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90B7B">
      <w:pPr>
        <w:spacing w:line="600" w:lineRule="auto"/>
        <w:ind w:left="0" w:leftChars="0" w:firstLine="0" w:firstLineChars="0"/>
        <w:jc w:val="center"/>
        <w:rPr>
          <w:rFonts w:hint="eastAsia" w:ascii="Times New Roman" w:hAnsi="Times New Roman" w:eastAsia="黑体" w:cs="Times New Roman"/>
          <w:b/>
          <w:color w:val="auto"/>
          <w:sz w:val="48"/>
          <w:szCs w:val="48"/>
          <w:lang w:eastAsia="zh-CN"/>
        </w:rPr>
      </w:pPr>
      <w:bookmarkStart w:id="0" w:name="_Hlk93933338"/>
    </w:p>
    <w:p w14:paraId="2DEF1DD0">
      <w:pPr>
        <w:spacing w:line="600" w:lineRule="auto"/>
        <w:ind w:left="0" w:leftChars="0" w:firstLine="0" w:firstLineChars="0"/>
        <w:jc w:val="center"/>
        <w:rPr>
          <w:rFonts w:hint="eastAsia" w:ascii="Times New Roman" w:hAnsi="Times New Roman" w:eastAsia="黑体" w:cs="Times New Roman"/>
          <w:b/>
          <w:color w:val="auto"/>
          <w:sz w:val="48"/>
          <w:szCs w:val="48"/>
          <w:lang w:eastAsia="zh-CN"/>
        </w:rPr>
      </w:pPr>
    </w:p>
    <w:p w14:paraId="4C2DB66A">
      <w:pPr>
        <w:spacing w:line="600" w:lineRule="auto"/>
        <w:ind w:left="0" w:leftChars="0" w:firstLine="0" w:firstLineChars="0"/>
        <w:jc w:val="center"/>
        <w:rPr>
          <w:rFonts w:hint="eastAsia" w:ascii="Times New Roman" w:hAnsi="Times New Roman" w:eastAsia="黑体" w:cs="Times New Roman"/>
          <w:b/>
          <w:color w:val="auto"/>
          <w:sz w:val="44"/>
          <w:szCs w:val="44"/>
          <w:lang w:eastAsia="zh-CN"/>
        </w:rPr>
      </w:pPr>
      <w:r>
        <w:rPr>
          <w:rFonts w:hint="eastAsia" w:ascii="Times New Roman" w:hAnsi="Times New Roman" w:eastAsia="黑体" w:cs="Times New Roman"/>
          <w:b/>
          <w:color w:val="auto"/>
          <w:sz w:val="44"/>
          <w:szCs w:val="44"/>
          <w:lang w:eastAsia="zh-CN"/>
        </w:rPr>
        <w:t>四川诚正建科新材料有限公司</w:t>
      </w:r>
    </w:p>
    <w:bookmarkEnd w:id="0"/>
    <w:p w14:paraId="5BE606F7">
      <w:pPr>
        <w:spacing w:line="600" w:lineRule="auto"/>
        <w:ind w:left="0" w:leftChars="0" w:firstLine="0" w:firstLineChars="0"/>
        <w:jc w:val="center"/>
        <w:rPr>
          <w:rFonts w:hint="eastAsia" w:ascii="Times New Roman" w:hAnsi="Times New Roman" w:eastAsia="黑体" w:cs="Times New Roman"/>
          <w:b/>
          <w:color w:val="auto"/>
          <w:sz w:val="44"/>
          <w:szCs w:val="44"/>
          <w:lang w:eastAsia="zh-CN"/>
        </w:rPr>
      </w:pPr>
      <w:r>
        <w:rPr>
          <w:rFonts w:hint="eastAsia" w:ascii="Times New Roman" w:hAnsi="Times New Roman" w:eastAsia="黑体" w:cs="Times New Roman"/>
          <w:b/>
          <w:color w:val="auto"/>
          <w:sz w:val="44"/>
          <w:szCs w:val="44"/>
          <w:lang w:eastAsia="zh-CN"/>
        </w:rPr>
        <w:t>聚羧酸减水剂与无碱速凝剂生产项目</w:t>
      </w:r>
    </w:p>
    <w:p w14:paraId="3F372EA0">
      <w:pPr>
        <w:spacing w:line="360" w:lineRule="auto"/>
        <w:jc w:val="left"/>
        <w:rPr>
          <w:rFonts w:ascii="Times New Roman" w:hAnsi="Times New Roman" w:eastAsia="黑体" w:cs="Times New Roman"/>
          <w:color w:val="auto"/>
          <w:sz w:val="24"/>
          <w:szCs w:val="24"/>
        </w:rPr>
      </w:pPr>
    </w:p>
    <w:p w14:paraId="0C210376">
      <w:pPr>
        <w:spacing w:line="360" w:lineRule="auto"/>
        <w:jc w:val="left"/>
        <w:rPr>
          <w:rFonts w:ascii="Times New Roman" w:hAnsi="Times New Roman" w:eastAsia="黑体" w:cs="Times New Roman"/>
          <w:color w:val="auto"/>
          <w:sz w:val="24"/>
          <w:szCs w:val="24"/>
        </w:rPr>
      </w:pPr>
    </w:p>
    <w:p w14:paraId="3CBA1610">
      <w:pPr>
        <w:spacing w:line="360" w:lineRule="auto"/>
        <w:jc w:val="center"/>
        <w:rPr>
          <w:rFonts w:ascii="Times New Roman" w:hAnsi="Times New Roman" w:eastAsia="黑体" w:cs="Times New Roman"/>
          <w:b/>
          <w:color w:val="auto"/>
          <w:sz w:val="72"/>
          <w:szCs w:val="72"/>
        </w:rPr>
      </w:pPr>
      <w:r>
        <w:rPr>
          <w:rFonts w:ascii="Times New Roman" w:hAnsi="Times New Roman" w:eastAsia="黑体" w:cs="Times New Roman"/>
          <w:b/>
          <w:color w:val="auto"/>
          <w:sz w:val="72"/>
          <w:szCs w:val="72"/>
        </w:rPr>
        <w:t>环境影响报告</w:t>
      </w:r>
      <w:r>
        <w:rPr>
          <w:rFonts w:hint="eastAsia" w:ascii="Times New Roman" w:hAnsi="Times New Roman" w:eastAsia="黑体" w:cs="Times New Roman"/>
          <w:b/>
          <w:color w:val="auto"/>
          <w:sz w:val="72"/>
          <w:szCs w:val="72"/>
        </w:rPr>
        <w:t>书</w:t>
      </w:r>
    </w:p>
    <w:p w14:paraId="4E9C2493">
      <w:pPr>
        <w:spacing w:line="360" w:lineRule="auto"/>
        <w:jc w:val="center"/>
        <w:rPr>
          <w:rFonts w:ascii="Times New Roman" w:hAnsi="Times New Roman" w:eastAsia="隶书"/>
          <w:b/>
          <w:color w:val="auto"/>
          <w:sz w:val="44"/>
          <w:szCs w:val="44"/>
        </w:rPr>
      </w:pPr>
      <w:r>
        <w:rPr>
          <w:rFonts w:hint="eastAsia" w:ascii="Times New Roman" w:hAnsi="Times New Roman" w:eastAsia="隶书"/>
          <w:b/>
          <w:color w:val="auto"/>
          <w:sz w:val="44"/>
          <w:szCs w:val="44"/>
        </w:rPr>
        <w:t>（</w:t>
      </w:r>
      <w:r>
        <w:rPr>
          <w:rFonts w:hint="eastAsia" w:eastAsia="隶书"/>
          <w:b/>
          <w:color w:val="auto"/>
          <w:sz w:val="44"/>
          <w:szCs w:val="44"/>
          <w:lang w:val="en-US" w:eastAsia="zh-CN"/>
        </w:rPr>
        <w:t>公示本</w:t>
      </w:r>
      <w:r>
        <w:rPr>
          <w:rFonts w:hint="eastAsia" w:ascii="Times New Roman" w:hAnsi="Times New Roman" w:eastAsia="隶书"/>
          <w:b/>
          <w:color w:val="auto"/>
          <w:sz w:val="44"/>
          <w:szCs w:val="44"/>
        </w:rPr>
        <w:t>）</w:t>
      </w:r>
    </w:p>
    <w:p w14:paraId="60C622D1">
      <w:pPr>
        <w:spacing w:line="360" w:lineRule="auto"/>
        <w:rPr>
          <w:rFonts w:ascii="Times New Roman" w:hAnsi="Times New Roman" w:eastAsia="黑体" w:cs="Times New Roman"/>
          <w:color w:val="auto"/>
          <w:sz w:val="24"/>
          <w:szCs w:val="24"/>
        </w:rPr>
      </w:pPr>
    </w:p>
    <w:p w14:paraId="493D1853">
      <w:pPr>
        <w:spacing w:line="360" w:lineRule="auto"/>
        <w:rPr>
          <w:rFonts w:ascii="Times New Roman" w:hAnsi="Times New Roman" w:eastAsia="黑体" w:cs="Times New Roman"/>
          <w:color w:val="auto"/>
          <w:sz w:val="24"/>
          <w:szCs w:val="24"/>
        </w:rPr>
      </w:pPr>
    </w:p>
    <w:p w14:paraId="51F497AF">
      <w:pPr>
        <w:spacing w:line="360" w:lineRule="auto"/>
        <w:rPr>
          <w:rFonts w:ascii="Times New Roman" w:hAnsi="Times New Roman" w:eastAsia="黑体" w:cs="Times New Roman"/>
          <w:color w:val="auto"/>
          <w:sz w:val="24"/>
          <w:szCs w:val="24"/>
        </w:rPr>
      </w:pPr>
    </w:p>
    <w:p w14:paraId="2E9CE5A5">
      <w:pPr>
        <w:spacing w:line="360" w:lineRule="auto"/>
        <w:rPr>
          <w:rFonts w:ascii="Times New Roman" w:hAnsi="Times New Roman" w:eastAsia="黑体" w:cs="Times New Roman"/>
          <w:color w:val="auto"/>
          <w:sz w:val="24"/>
          <w:szCs w:val="24"/>
        </w:rPr>
      </w:pPr>
    </w:p>
    <w:p w14:paraId="343AA712">
      <w:pPr>
        <w:spacing w:line="360" w:lineRule="auto"/>
        <w:rPr>
          <w:rFonts w:ascii="Times New Roman" w:hAnsi="Times New Roman" w:eastAsia="黑体" w:cs="Times New Roman"/>
          <w:color w:val="auto"/>
          <w:sz w:val="24"/>
          <w:szCs w:val="24"/>
        </w:rPr>
      </w:pPr>
    </w:p>
    <w:p w14:paraId="6451B280">
      <w:pPr>
        <w:spacing w:line="360" w:lineRule="auto"/>
        <w:rPr>
          <w:rFonts w:ascii="Times New Roman" w:hAnsi="Times New Roman" w:eastAsia="黑体" w:cs="Times New Roman"/>
          <w:color w:val="auto"/>
          <w:sz w:val="24"/>
          <w:szCs w:val="24"/>
        </w:rPr>
      </w:pPr>
    </w:p>
    <w:p w14:paraId="740D11A9">
      <w:pPr>
        <w:spacing w:line="360" w:lineRule="auto"/>
        <w:rPr>
          <w:rFonts w:ascii="Times New Roman" w:hAnsi="Times New Roman" w:eastAsia="黑体" w:cs="Times New Roman"/>
          <w:color w:val="auto"/>
          <w:sz w:val="24"/>
          <w:szCs w:val="24"/>
        </w:rPr>
      </w:pPr>
    </w:p>
    <w:p w14:paraId="3FD87435">
      <w:pPr>
        <w:spacing w:line="360" w:lineRule="auto"/>
        <w:rPr>
          <w:rFonts w:ascii="Times New Roman" w:hAnsi="Times New Roman" w:eastAsia="黑体" w:cs="Times New Roman"/>
          <w:color w:val="auto"/>
          <w:sz w:val="24"/>
          <w:szCs w:val="24"/>
        </w:rPr>
      </w:pPr>
    </w:p>
    <w:p w14:paraId="719B3BC8">
      <w:pPr>
        <w:spacing w:line="360" w:lineRule="auto"/>
        <w:rPr>
          <w:rFonts w:ascii="Times New Roman" w:hAnsi="Times New Roman" w:eastAsia="黑体" w:cs="Times New Roman"/>
          <w:color w:val="auto"/>
          <w:sz w:val="24"/>
          <w:szCs w:val="24"/>
        </w:rPr>
      </w:pPr>
    </w:p>
    <w:tbl>
      <w:tblPr>
        <w:tblStyle w:val="20"/>
        <w:tblW w:w="4828" w:type="pct"/>
        <w:jc w:val="center"/>
        <w:tblLayout w:type="autofit"/>
        <w:tblCellMar>
          <w:top w:w="0" w:type="dxa"/>
          <w:left w:w="108" w:type="dxa"/>
          <w:bottom w:w="0" w:type="dxa"/>
          <w:right w:w="108" w:type="dxa"/>
        </w:tblCellMar>
      </w:tblPr>
      <w:tblGrid>
        <w:gridCol w:w="2325"/>
        <w:gridCol w:w="6862"/>
      </w:tblGrid>
      <w:tr w14:paraId="508FA2C7">
        <w:tblPrEx>
          <w:tblCellMar>
            <w:top w:w="0" w:type="dxa"/>
            <w:left w:w="108" w:type="dxa"/>
            <w:bottom w:w="0" w:type="dxa"/>
            <w:right w:w="108" w:type="dxa"/>
          </w:tblCellMar>
        </w:tblPrEx>
        <w:trPr>
          <w:jc w:val="center"/>
        </w:trPr>
        <w:tc>
          <w:tcPr>
            <w:tcW w:w="1265" w:type="pct"/>
            <w:shd w:val="clear" w:color="auto" w:fill="auto"/>
          </w:tcPr>
          <w:p w14:paraId="19D0EECC">
            <w:pPr>
              <w:spacing w:line="360" w:lineRule="auto"/>
              <w:jc w:val="center"/>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建设单位：</w:t>
            </w:r>
          </w:p>
        </w:tc>
        <w:tc>
          <w:tcPr>
            <w:tcW w:w="3734" w:type="pct"/>
            <w:shd w:val="clear" w:color="auto" w:fill="auto"/>
          </w:tcPr>
          <w:p w14:paraId="49D4AE10">
            <w:pPr>
              <w:spacing w:line="360" w:lineRule="auto"/>
              <w:jc w:val="center"/>
              <w:rPr>
                <w:rFonts w:hint="eastAsia" w:ascii="Times New Roman" w:hAnsi="Times New Roman" w:eastAsia="黑体" w:cs="Times New Roman"/>
                <w:b/>
                <w:color w:val="auto"/>
                <w:sz w:val="32"/>
                <w:szCs w:val="32"/>
                <w:lang w:eastAsia="zh-CN"/>
              </w:rPr>
            </w:pPr>
            <w:r>
              <w:rPr>
                <w:rFonts w:hint="eastAsia" w:ascii="Times New Roman" w:hAnsi="Times New Roman" w:eastAsia="黑体" w:cs="Times New Roman"/>
                <w:b/>
                <w:color w:val="auto"/>
                <w:sz w:val="32"/>
                <w:szCs w:val="32"/>
                <w:lang w:eastAsia="zh-CN"/>
              </w:rPr>
              <w:t>四川诚正建科新材料有限公司</w:t>
            </w:r>
          </w:p>
        </w:tc>
      </w:tr>
      <w:tr w14:paraId="0D19B7EB">
        <w:tblPrEx>
          <w:tblCellMar>
            <w:top w:w="0" w:type="dxa"/>
            <w:left w:w="108" w:type="dxa"/>
            <w:bottom w:w="0" w:type="dxa"/>
            <w:right w:w="108" w:type="dxa"/>
          </w:tblCellMar>
        </w:tblPrEx>
        <w:trPr>
          <w:jc w:val="center"/>
        </w:trPr>
        <w:tc>
          <w:tcPr>
            <w:tcW w:w="1265" w:type="pct"/>
            <w:shd w:val="clear" w:color="auto" w:fill="auto"/>
          </w:tcPr>
          <w:p w14:paraId="4A0DD3FF">
            <w:pPr>
              <w:spacing w:line="360" w:lineRule="auto"/>
              <w:jc w:val="center"/>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评价单位：</w:t>
            </w:r>
          </w:p>
        </w:tc>
        <w:tc>
          <w:tcPr>
            <w:tcW w:w="3734" w:type="pct"/>
            <w:shd w:val="clear" w:color="auto" w:fill="auto"/>
          </w:tcPr>
          <w:p w14:paraId="49A6401D">
            <w:pPr>
              <w:spacing w:line="360" w:lineRule="auto"/>
              <w:jc w:val="center"/>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四川省国环环境工程咨询有限公司</w:t>
            </w:r>
          </w:p>
        </w:tc>
      </w:tr>
    </w:tbl>
    <w:p w14:paraId="168950BA">
      <w:pPr>
        <w:spacing w:line="360" w:lineRule="auto"/>
        <w:jc w:val="center"/>
        <w:rPr>
          <w:rFonts w:hint="eastAsia" w:ascii="Times New Roman" w:hAnsi="Times New Roman" w:eastAsia="黑体" w:cs="Times New Roman"/>
          <w:b/>
          <w:color w:val="auto"/>
          <w:sz w:val="32"/>
          <w:szCs w:val="32"/>
          <w:lang w:eastAsia="zh-CN"/>
        </w:rPr>
        <w:sectPr>
          <w:headerReference r:id="rId5" w:type="default"/>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r>
        <w:rPr>
          <w:rFonts w:hint="eastAsia" w:ascii="Times New Roman" w:hAnsi="Times New Roman" w:eastAsia="黑体" w:cs="Times New Roman"/>
          <w:b/>
          <w:color w:val="auto"/>
          <w:sz w:val="32"/>
          <w:szCs w:val="32"/>
          <w:lang w:eastAsia="zh-CN"/>
        </w:rPr>
        <w:t>二〇二</w:t>
      </w:r>
      <w:r>
        <w:rPr>
          <w:rFonts w:hint="eastAsia" w:ascii="Times New Roman" w:hAnsi="Times New Roman" w:eastAsia="黑体" w:cs="Times New Roman"/>
          <w:b/>
          <w:color w:val="auto"/>
          <w:sz w:val="32"/>
          <w:szCs w:val="32"/>
          <w:lang w:val="en-US" w:eastAsia="zh-CN"/>
        </w:rPr>
        <w:t>六</w:t>
      </w:r>
      <w:r>
        <w:rPr>
          <w:rFonts w:hint="eastAsia" w:ascii="Times New Roman" w:hAnsi="Times New Roman" w:eastAsia="黑体" w:cs="Times New Roman"/>
          <w:b/>
          <w:color w:val="auto"/>
          <w:sz w:val="32"/>
          <w:szCs w:val="32"/>
          <w:lang w:eastAsia="zh-CN"/>
        </w:rPr>
        <w:t>年</w:t>
      </w:r>
      <w:r>
        <w:rPr>
          <w:rFonts w:hint="eastAsia" w:eastAsia="黑体" w:cs="Times New Roman"/>
          <w:b/>
          <w:color w:val="auto"/>
          <w:sz w:val="32"/>
          <w:szCs w:val="32"/>
          <w:lang w:val="en-US" w:eastAsia="zh-CN"/>
        </w:rPr>
        <w:t>五</w:t>
      </w:r>
      <w:r>
        <w:rPr>
          <w:rFonts w:hint="eastAsia" w:ascii="Times New Roman" w:hAnsi="Times New Roman" w:eastAsia="黑体" w:cs="Times New Roman"/>
          <w:b/>
          <w:color w:val="auto"/>
          <w:sz w:val="32"/>
          <w:szCs w:val="32"/>
          <w:lang w:eastAsia="zh-CN"/>
        </w:rPr>
        <w:t>月</w:t>
      </w:r>
    </w:p>
    <w:p w14:paraId="6C5548A4">
      <w:pPr>
        <w:pStyle w:val="2"/>
        <w:bidi w:val="0"/>
        <w:rPr>
          <w:rFonts w:hint="default" w:ascii="Times New Roman" w:hAnsi="Times New Roman" w:cs="Times New Roman"/>
          <w:color w:val="auto"/>
          <w:highlight w:val="none"/>
        </w:rPr>
      </w:pPr>
      <w:bookmarkStart w:id="1" w:name="_Toc24147"/>
      <w:r>
        <w:rPr>
          <w:rFonts w:hint="default" w:ascii="Times New Roman" w:hAnsi="Times New Roman" w:cs="Times New Roman"/>
          <w:color w:val="auto"/>
          <w:highlight w:val="none"/>
        </w:rPr>
        <w:t>概述</w:t>
      </w:r>
      <w:bookmarkEnd w:id="1"/>
    </w:p>
    <w:p w14:paraId="3EFB53E4">
      <w:pPr>
        <w:pStyle w:val="3"/>
        <w:bidi w:val="0"/>
        <w:rPr>
          <w:rFonts w:hint="default"/>
          <w:color w:val="auto"/>
          <w:highlight w:val="none"/>
        </w:rPr>
      </w:pPr>
      <w:bookmarkStart w:id="2" w:name="_Toc23079"/>
      <w:bookmarkStart w:id="3" w:name="_Toc31155"/>
      <w:r>
        <w:rPr>
          <w:rFonts w:hint="default"/>
          <w:color w:val="auto"/>
          <w:highlight w:val="none"/>
        </w:rPr>
        <w:t>项目由来</w:t>
      </w:r>
      <w:bookmarkEnd w:id="2"/>
      <w:bookmarkEnd w:id="3"/>
    </w:p>
    <w:p w14:paraId="42EAD7FA">
      <w:pPr>
        <w:numPr>
          <w:ilvl w:val="0"/>
          <w:numId w:val="0"/>
        </w:numPr>
        <w:spacing w:line="360" w:lineRule="auto"/>
        <w:ind w:left="0" w:leftChars="0" w:firstLine="480" w:firstLineChars="20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混凝土是工程建设所需的重要建筑材料，建筑业新施工技术的不断发展，对混凝土各方面性能提出了新的要求。</w:t>
      </w:r>
    </w:p>
    <w:p w14:paraId="57DE72C6">
      <w:pPr>
        <w:numPr>
          <w:ilvl w:val="0"/>
          <w:numId w:val="0"/>
        </w:numPr>
        <w:spacing w:line="360" w:lineRule="auto"/>
        <w:ind w:left="0" w:leftChars="0" w:firstLine="480" w:firstLineChars="20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减水剂、速凝剂和脱模剂等均是在混凝土中所占份额较少，却可以显著改善混凝土某些特性的添加剂，如：减水剂加入混凝土拌合物后，对水泥颗粒有分散作用，在维持混凝土坍落度不变的前提下，能减少拌合用水量或减少单位水泥用量，节约水泥，普通减水剂掺量一般为混凝土胶凝材料总量的 1%~2%，而聚羧酸减水剂作为新一代高性能减水剂，系依据水泥分散机理设计的分子结构，具有超分散作用，掺量仅为混凝土胶凝材料总量的 0.2%~0.3%；速凝剂能加速水泥的硬化，在短时间内形成足够的强度，相较于传统有碱速凝剂，无碱速凝剂从源头上避免了碱骨料反应对混凝土结构的破坏，减少了工程后期因结构修复带来的资源浪费和环境污染，延长了建筑物的使用寿命；脱模剂能在混凝土与模板之间形成一层均匀稳定的隔离膜，确保混凝土构件表面平整光滑，无蜂窝、麻面等缺陷，减少了后续修补工作的强度和成本，与传统的油性脱模剂相比，</w:t>
      </w:r>
      <w:r>
        <w:rPr>
          <w:rFonts w:hint="eastAsia" w:cs="Times New Roman"/>
          <w:color w:val="auto"/>
          <w:kern w:val="2"/>
          <w:sz w:val="24"/>
          <w:szCs w:val="24"/>
          <w:lang w:val="en-US" w:eastAsia="zh-CN" w:bidi="ar-SA"/>
        </w:rPr>
        <w:t>乳化型</w:t>
      </w:r>
      <w:r>
        <w:rPr>
          <w:rFonts w:hint="eastAsia" w:ascii="Times New Roman" w:hAnsi="Times New Roman" w:eastAsia="宋体" w:cs="Times New Roman"/>
          <w:color w:val="auto"/>
          <w:kern w:val="2"/>
          <w:sz w:val="24"/>
          <w:szCs w:val="24"/>
          <w:lang w:val="en-US" w:eastAsia="zh-CN" w:bidi="ar-SA"/>
        </w:rPr>
        <w:t>脱模剂具有显著的环保优势，可以有效改善施工现场的空气质量，降低对操作人员身体健康的危害。</w:t>
      </w:r>
    </w:p>
    <w:p w14:paraId="31D68438">
      <w:pPr>
        <w:bidi w:val="0"/>
        <w:ind w:left="0" w:leftChars="0" w:firstLine="480" w:firstLineChars="200"/>
        <w:rPr>
          <w:rFonts w:hint="default"/>
          <w:color w:val="auto"/>
          <w:lang w:val="en-US" w:eastAsia="zh-CN"/>
        </w:rPr>
      </w:pPr>
      <w:r>
        <w:rPr>
          <w:rFonts w:hint="eastAsia"/>
          <w:color w:val="auto"/>
          <w:lang w:val="en-US" w:eastAsia="zh-CN"/>
        </w:rPr>
        <w:t>四川诚正建科新材料有限公司专注于混凝土添加剂生产，</w:t>
      </w:r>
      <w:r>
        <w:rPr>
          <w:rFonts w:hint="eastAsia"/>
          <w:color w:val="auto"/>
        </w:rPr>
        <w:t>拟投资</w:t>
      </w:r>
      <w:r>
        <w:rPr>
          <w:rFonts w:hint="eastAsia"/>
          <w:color w:val="auto"/>
          <w:lang w:val="en-US" w:eastAsia="zh-CN"/>
        </w:rPr>
        <w:t>11065</w:t>
      </w:r>
      <w:r>
        <w:rPr>
          <w:rFonts w:hint="eastAsia"/>
          <w:color w:val="auto"/>
        </w:rPr>
        <w:t>万元在</w:t>
      </w:r>
      <w:r>
        <w:rPr>
          <w:rFonts w:hint="eastAsia"/>
          <w:color w:val="auto"/>
          <w:lang w:val="en-US" w:eastAsia="zh-CN"/>
        </w:rPr>
        <w:t>四川巴中经济开发区金堂区块（巴中曾口-金堂化工园区）内</w:t>
      </w:r>
      <w:r>
        <w:rPr>
          <w:color w:val="auto"/>
        </w:rPr>
        <w:t>建设</w:t>
      </w:r>
      <w:r>
        <w:rPr>
          <w:rFonts w:hint="eastAsia"/>
          <w:color w:val="auto"/>
          <w:lang w:eastAsia="zh-CN"/>
        </w:rPr>
        <w:t>聚羧酸减水剂与无碱速凝剂生产项目。</w:t>
      </w:r>
      <w:r>
        <w:rPr>
          <w:rFonts w:hint="eastAsia"/>
          <w:color w:val="auto"/>
          <w:lang w:val="en-US" w:eastAsia="zh-CN"/>
        </w:rPr>
        <w:t>该项目</w:t>
      </w:r>
      <w:r>
        <w:rPr>
          <w:rFonts w:hint="eastAsia"/>
          <w:color w:val="auto"/>
        </w:rPr>
        <w:t>占地</w:t>
      </w:r>
      <w:r>
        <w:rPr>
          <w:color w:val="auto"/>
        </w:rPr>
        <w:t>面积</w:t>
      </w:r>
      <w:r>
        <w:rPr>
          <w:rFonts w:hint="eastAsia"/>
          <w:color w:val="auto"/>
          <w:lang w:val="en-US" w:eastAsia="zh-CN"/>
        </w:rPr>
        <w:t>17171.05m</w:t>
      </w:r>
      <w:r>
        <w:rPr>
          <w:rFonts w:hint="eastAsia"/>
          <w:color w:val="auto"/>
          <w:vertAlign w:val="superscript"/>
          <w:lang w:val="en-US" w:eastAsia="zh-CN"/>
        </w:rPr>
        <w:t>2</w:t>
      </w:r>
      <w:r>
        <w:rPr>
          <w:color w:val="auto"/>
        </w:rPr>
        <w:t>，</w:t>
      </w:r>
      <w:r>
        <w:rPr>
          <w:rFonts w:hint="eastAsia"/>
          <w:color w:val="auto"/>
        </w:rPr>
        <w:t>主要</w:t>
      </w:r>
      <w:r>
        <w:rPr>
          <w:color w:val="auto"/>
        </w:rPr>
        <w:t>建设内容包括包括</w:t>
      </w:r>
      <w:r>
        <w:rPr>
          <w:rFonts w:hint="eastAsia"/>
          <w:color w:val="auto"/>
          <w:lang w:val="en-US" w:eastAsia="zh-CN"/>
        </w:rPr>
        <w:t>1栋生产车间、3个罐区、1栋综合楼、1栋仓库和公用工程间、装卸区</w:t>
      </w:r>
      <w:r>
        <w:rPr>
          <w:color w:val="auto"/>
        </w:rPr>
        <w:t>等相关配套设施</w:t>
      </w:r>
      <w:r>
        <w:rPr>
          <w:rFonts w:hint="eastAsia"/>
          <w:color w:val="auto"/>
        </w:rPr>
        <w:t>，</w:t>
      </w:r>
      <w:r>
        <w:rPr>
          <w:rFonts w:hint="eastAsia"/>
          <w:color w:val="auto"/>
          <w:lang w:val="en-US" w:eastAsia="zh-CN"/>
        </w:rPr>
        <w:t>年产聚羧酸减水剂母液12000t（含减水型8000t、保坍型4000t，其中7200t（减水型4800t、保坍型2400t）用于生产高性能聚羧酸减水剂、4800t（减水型3200t、保坍型1600t）外售）、高性能聚羧酸减水剂20000t（含标准型15000t、缓凝型2500t、早强型2500t）、无碱速凝剂40000t、乳化型脱模剂10000t（含乳化油型5000t、水乳型5000t）。</w:t>
      </w:r>
    </w:p>
    <w:p w14:paraId="7924863F">
      <w:pPr>
        <w:ind w:left="0" w:leftChars="0" w:firstLine="480" w:firstLineChars="200"/>
        <w:rPr>
          <w:rFonts w:hint="default"/>
          <w:color w:val="auto"/>
        </w:rPr>
      </w:pPr>
      <w:r>
        <w:rPr>
          <w:rFonts w:cstheme="minorHAnsi"/>
          <w:color w:val="auto"/>
          <w:szCs w:val="24"/>
        </w:rPr>
        <w:t>根据《中华人民共和国环境保护法》、《中华人民共和国环境影响评价法》及</w:t>
      </w:r>
      <w:r>
        <w:rPr>
          <w:rFonts w:cstheme="minorHAnsi"/>
          <w:bCs/>
          <w:color w:val="auto"/>
          <w:szCs w:val="24"/>
        </w:rPr>
        <w:t>《国务院关于修改〈建设项目环境保护管理条例〉的决定》（国务院令第682号）的有关规定</w:t>
      </w:r>
      <w:r>
        <w:rPr>
          <w:rFonts w:cstheme="minorHAnsi"/>
          <w:color w:val="auto"/>
          <w:szCs w:val="24"/>
        </w:rPr>
        <w:t>，建设单位在工程开工前应当开展环境影响评价工作，</w:t>
      </w:r>
      <w:r>
        <w:rPr>
          <w:rFonts w:cstheme="minorHAnsi"/>
          <w:bCs/>
          <w:color w:val="auto"/>
          <w:szCs w:val="24"/>
        </w:rPr>
        <w:t>编制环境影响评价文件。</w:t>
      </w:r>
      <w:r>
        <w:rPr>
          <w:rFonts w:hint="eastAsia" w:cstheme="minorHAnsi"/>
          <w:bCs/>
          <w:color w:val="auto"/>
          <w:szCs w:val="24"/>
          <w:lang w:val="en-US" w:eastAsia="zh-CN"/>
        </w:rPr>
        <w:t>根据通江县经济和信息化局《关于聚羧酸减水剂和无碱速凝剂生产项目行业类别的情况说明》（见附件2-2），</w:t>
      </w:r>
      <w:r>
        <w:rPr>
          <w:rFonts w:hint="eastAsia" w:cs="Times New Roman"/>
          <w:color w:val="auto"/>
          <w:kern w:val="2"/>
          <w:sz w:val="24"/>
          <w:szCs w:val="24"/>
          <w:lang w:val="en-US" w:eastAsia="zh-CN" w:bidi="ar-SA"/>
        </w:rPr>
        <w:t>本项目</w:t>
      </w:r>
      <w:r>
        <w:rPr>
          <w:rFonts w:hint="eastAsia"/>
          <w:bCs/>
          <w:color w:val="auto"/>
          <w:kern w:val="0"/>
          <w:sz w:val="24"/>
          <w:lang w:val="en-US" w:eastAsia="zh-CN"/>
        </w:rPr>
        <w:t>为《国民经济行业分类》（GB/T4754-2017）中“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cstheme="minorHAnsi"/>
          <w:bCs/>
          <w:color w:val="auto"/>
          <w:szCs w:val="24"/>
        </w:rPr>
        <w:t>依据</w:t>
      </w:r>
      <w:r>
        <w:rPr>
          <w:rFonts w:cstheme="minorHAnsi"/>
          <w:bCs/>
          <w:color w:val="auto"/>
          <w:szCs w:val="24"/>
          <w:highlight w:val="none"/>
        </w:rPr>
        <w:t>《建设项目环境影响评价分类管理目录（2021年版）》（生态环境部令第16号）中</w:t>
      </w:r>
      <w:r>
        <w:rPr>
          <w:rFonts w:cstheme="minorHAnsi"/>
          <w:b w:val="0"/>
          <w:bCs w:val="0"/>
          <w:i/>
          <w:iCs/>
          <w:color w:val="auto"/>
          <w:szCs w:val="24"/>
          <w:highlight w:val="none"/>
        </w:rPr>
        <w:t>“</w:t>
      </w:r>
      <w:r>
        <w:rPr>
          <w:rFonts w:cstheme="minorHAnsi"/>
          <w:b/>
          <w:bCs/>
          <w:i/>
          <w:iCs/>
          <w:color w:val="auto"/>
          <w:szCs w:val="24"/>
          <w:highlight w:val="none"/>
        </w:rPr>
        <w:t>二</w:t>
      </w:r>
      <w:r>
        <w:rPr>
          <w:rFonts w:hint="default" w:cstheme="minorHAnsi"/>
          <w:b/>
          <w:bCs/>
          <w:i/>
          <w:iCs/>
          <w:color w:val="auto"/>
          <w:szCs w:val="24"/>
          <w:highlight w:val="none"/>
        </w:rPr>
        <w:t>十三、化学原料和化学制品制造业</w:t>
      </w:r>
      <w:r>
        <w:rPr>
          <w:rFonts w:hint="eastAsia" w:cstheme="minorHAnsi"/>
          <w:b/>
          <w:bCs/>
          <w:i/>
          <w:iCs/>
          <w:color w:val="auto"/>
          <w:szCs w:val="24"/>
          <w:highlight w:val="none"/>
          <w:lang w:val="en-US" w:eastAsia="zh-CN"/>
        </w:rPr>
        <w:t>26</w:t>
      </w:r>
      <w:r>
        <w:rPr>
          <w:rFonts w:cstheme="minorHAnsi"/>
          <w:b w:val="0"/>
          <w:bCs w:val="0"/>
          <w:i/>
          <w:iCs/>
          <w:color w:val="auto"/>
          <w:szCs w:val="24"/>
          <w:highlight w:val="none"/>
        </w:rPr>
        <w:t>/4</w:t>
      </w:r>
      <w:r>
        <w:rPr>
          <w:rFonts w:hint="default" w:cstheme="minorHAnsi"/>
          <w:b w:val="0"/>
          <w:bCs w:val="0"/>
          <w:i/>
          <w:iCs/>
          <w:color w:val="auto"/>
          <w:szCs w:val="24"/>
          <w:highlight w:val="none"/>
        </w:rPr>
        <w:t>4.基础化学原料制造261；农药制造263；涂料、油墨、颜料及类似产品制造264；合成材料制造265；</w:t>
      </w:r>
      <w:r>
        <w:rPr>
          <w:rFonts w:hint="default" w:cstheme="minorHAnsi"/>
          <w:b/>
          <w:bCs/>
          <w:i/>
          <w:iCs/>
          <w:color w:val="auto"/>
          <w:szCs w:val="24"/>
          <w:highlight w:val="none"/>
        </w:rPr>
        <w:t>专用化学产品制造266</w:t>
      </w:r>
      <w:r>
        <w:rPr>
          <w:rFonts w:hint="default" w:cstheme="minorHAnsi"/>
          <w:b w:val="0"/>
          <w:bCs w:val="0"/>
          <w:i/>
          <w:iCs/>
          <w:color w:val="auto"/>
          <w:szCs w:val="24"/>
          <w:highlight w:val="none"/>
        </w:rPr>
        <w:t>；炸药、火工及焰火产品制造267</w:t>
      </w:r>
      <w:r>
        <w:rPr>
          <w:rFonts w:hint="eastAsia" w:cstheme="minorHAnsi"/>
          <w:b w:val="0"/>
          <w:bCs w:val="0"/>
          <w:i/>
          <w:iCs/>
          <w:color w:val="auto"/>
          <w:szCs w:val="24"/>
          <w:highlight w:val="none"/>
        </w:rPr>
        <w:t>/</w:t>
      </w:r>
      <w:r>
        <w:rPr>
          <w:rFonts w:hint="eastAsia" w:cstheme="minorHAnsi"/>
          <w:b/>
          <w:bCs/>
          <w:i/>
          <w:iCs/>
          <w:color w:val="auto"/>
          <w:szCs w:val="24"/>
          <w:highlight w:val="none"/>
        </w:rPr>
        <w:t>全部（含研发中试；不含单纯物理分离、物理提纯、混合、分装的）</w:t>
      </w:r>
      <w:r>
        <w:rPr>
          <w:rFonts w:cstheme="minorHAnsi"/>
          <w:b w:val="0"/>
          <w:bCs w:val="0"/>
          <w:i/>
          <w:iCs/>
          <w:color w:val="auto"/>
          <w:szCs w:val="24"/>
          <w:highlight w:val="none"/>
        </w:rPr>
        <w:t>”</w:t>
      </w:r>
      <w:r>
        <w:rPr>
          <w:rFonts w:cstheme="minorHAnsi"/>
          <w:bCs/>
          <w:color w:val="auto"/>
          <w:szCs w:val="24"/>
        </w:rPr>
        <w:t>，本项目环境影响评价文件为环境影响报告书</w:t>
      </w:r>
      <w:r>
        <w:rPr>
          <w:rFonts w:cstheme="minorHAnsi"/>
          <w:color w:val="auto"/>
          <w:szCs w:val="24"/>
        </w:rPr>
        <w:t>。为此，</w:t>
      </w:r>
      <w:r>
        <w:rPr>
          <w:rFonts w:hint="eastAsia" w:cstheme="minorHAnsi"/>
          <w:color w:val="auto"/>
          <w:szCs w:val="24"/>
          <w:lang w:eastAsia="zh-CN"/>
        </w:rPr>
        <w:t>四川诚正建科新材料有限公司</w:t>
      </w:r>
      <w:r>
        <w:rPr>
          <w:rFonts w:cstheme="minorHAnsi"/>
          <w:color w:val="auto"/>
          <w:szCs w:val="24"/>
        </w:rPr>
        <w:t>委托四川省国环环境工程咨询有限公司</w:t>
      </w:r>
      <w:r>
        <w:rPr>
          <w:rFonts w:cstheme="minorHAnsi"/>
          <w:bCs/>
          <w:color w:val="auto"/>
          <w:szCs w:val="24"/>
        </w:rPr>
        <w:t>开展本项目的环境影响评价工作，我公司接受委托后，即派</w:t>
      </w:r>
      <w:r>
        <w:rPr>
          <w:rFonts w:hint="eastAsia" w:cstheme="minorHAnsi"/>
          <w:bCs/>
          <w:color w:val="auto"/>
          <w:szCs w:val="24"/>
        </w:rPr>
        <w:t>项目组</w:t>
      </w:r>
      <w:r>
        <w:rPr>
          <w:rFonts w:cstheme="minorHAnsi"/>
          <w:bCs/>
          <w:color w:val="auto"/>
          <w:szCs w:val="24"/>
        </w:rPr>
        <w:t>对该项目进行现场踏勘和资料收集，并按照有关技术规范和四川省生态环境厅的有关规定，编制该项目环境影响报告书，供生态环境主管部门审查。</w:t>
      </w:r>
    </w:p>
    <w:p w14:paraId="6E30DBBD">
      <w:pPr>
        <w:pStyle w:val="3"/>
        <w:bidi w:val="0"/>
        <w:rPr>
          <w:rFonts w:hint="default"/>
          <w:color w:val="auto"/>
          <w:highlight w:val="none"/>
        </w:rPr>
      </w:pPr>
      <w:bookmarkStart w:id="4" w:name="_Toc19815"/>
      <w:bookmarkStart w:id="5" w:name="_Toc31157"/>
      <w:r>
        <w:rPr>
          <w:rFonts w:hint="default"/>
          <w:color w:val="auto"/>
          <w:highlight w:val="none"/>
        </w:rPr>
        <w:t>建设项目特点</w:t>
      </w:r>
      <w:bookmarkEnd w:id="4"/>
      <w:bookmarkEnd w:id="5"/>
    </w:p>
    <w:p w14:paraId="435B08EC">
      <w:pPr>
        <w:numPr>
          <w:ilvl w:val="0"/>
          <w:numId w:val="0"/>
        </w:numPr>
        <w:spacing w:line="360" w:lineRule="auto"/>
        <w:ind w:left="0" w:leftChars="0" w:firstLine="480" w:firstLineChars="200"/>
        <w:rPr>
          <w:rFonts w:hint="default" w:ascii="Times New Roman" w:hAnsi="Times New Roman"/>
          <w:color w:val="auto"/>
          <w:sz w:val="24"/>
          <w:szCs w:val="24"/>
          <w:lang w:val="en-US"/>
        </w:rPr>
      </w:pPr>
      <w:r>
        <w:rPr>
          <w:rFonts w:hint="default" w:ascii="Times New Roman" w:hAnsi="Times New Roman" w:eastAsia="宋体" w:cs="Times New Roman"/>
          <w:color w:val="auto"/>
          <w:kern w:val="2"/>
          <w:sz w:val="24"/>
          <w:szCs w:val="24"/>
          <w:lang w:val="en-US" w:eastAsia="zh-CN" w:bidi="ar-SA"/>
        </w:rPr>
        <w:t>1、</w:t>
      </w:r>
      <w:r>
        <w:rPr>
          <w:rFonts w:hint="eastAsia" w:cs="Times New Roman"/>
          <w:color w:val="auto"/>
          <w:kern w:val="2"/>
          <w:sz w:val="24"/>
          <w:szCs w:val="24"/>
          <w:lang w:val="en-US" w:eastAsia="zh-CN" w:bidi="ar-SA"/>
        </w:rPr>
        <w:t>本项目</w:t>
      </w:r>
      <w:r>
        <w:rPr>
          <w:rFonts w:hint="eastAsia"/>
          <w:bCs/>
          <w:color w:val="auto"/>
          <w:kern w:val="0"/>
          <w:sz w:val="24"/>
          <w:lang w:val="en-US" w:eastAsia="zh-CN"/>
        </w:rPr>
        <w:t>为《国民经济行业分类》（GB/T4754-2017）中“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”，属于</w:t>
      </w:r>
      <w:r>
        <w:rPr>
          <w:rFonts w:hint="eastAsia" w:ascii="Times New Roman"/>
          <w:color w:val="auto"/>
          <w:sz w:val="24"/>
          <w:lang w:val="en-US" w:eastAsia="zh-CN"/>
        </w:rPr>
        <w:t>四川省经济和信息化厅等6部门关于印发</w:t>
      </w:r>
      <w:r>
        <w:rPr>
          <w:rFonts w:hint="eastAsia" w:ascii="Times New Roman" w:hAnsi="Times New Roman"/>
          <w:color w:val="auto"/>
          <w:sz w:val="24"/>
          <w:szCs w:val="24"/>
          <w:lang w:val="en-US" w:eastAsia="zh-CN"/>
        </w:rPr>
        <w:t>《四川省化工生产建设项目入园指引（试行）》的通知（</w:t>
      </w:r>
      <w:r>
        <w:rPr>
          <w:rFonts w:hint="eastAsia" w:ascii="Times New Roman"/>
          <w:color w:val="auto"/>
          <w:sz w:val="24"/>
          <w:lang w:val="en-US" w:eastAsia="zh-CN"/>
        </w:rPr>
        <w:t>川经信规</w:t>
      </w:r>
      <w:r>
        <w:rPr>
          <w:rFonts w:hint="eastAsia"/>
          <w:color w:val="auto"/>
          <w:sz w:val="24"/>
          <w:lang w:val="en-US" w:eastAsia="zh-CN"/>
        </w:rPr>
        <w:t>〔</w:t>
      </w:r>
      <w:r>
        <w:rPr>
          <w:rFonts w:hint="eastAsia" w:ascii="Times New Roman"/>
          <w:color w:val="auto"/>
          <w:sz w:val="24"/>
          <w:lang w:val="en-US" w:eastAsia="zh-CN"/>
        </w:rPr>
        <w:t>2024</w:t>
      </w:r>
      <w:r>
        <w:rPr>
          <w:rFonts w:hint="eastAsia"/>
          <w:color w:val="auto"/>
          <w:sz w:val="24"/>
          <w:lang w:val="en-US" w:eastAsia="zh-CN"/>
        </w:rPr>
        <w:t>〕</w:t>
      </w:r>
      <w:r>
        <w:rPr>
          <w:rFonts w:hint="eastAsia" w:ascii="Times New Roman"/>
          <w:color w:val="auto"/>
          <w:sz w:val="24"/>
          <w:lang w:val="en-US" w:eastAsia="zh-CN"/>
        </w:rPr>
        <w:t>4号</w:t>
      </w:r>
      <w:r>
        <w:rPr>
          <w:rFonts w:hint="eastAsia" w:ascii="Times New Roman" w:hAnsi="Times New Roman"/>
          <w:color w:val="auto"/>
          <w:sz w:val="24"/>
          <w:szCs w:val="24"/>
          <w:lang w:val="en-US" w:eastAsia="zh-CN"/>
        </w:rPr>
        <w:t>）</w:t>
      </w:r>
      <w:r>
        <w:rPr>
          <w:rFonts w:hint="eastAsia"/>
          <w:color w:val="auto"/>
          <w:sz w:val="24"/>
          <w:szCs w:val="24"/>
          <w:lang w:val="en-US" w:eastAsia="zh-CN"/>
        </w:rPr>
        <w:t>中</w:t>
      </w:r>
      <w:r>
        <w:rPr>
          <w:rFonts w:hint="eastAsia" w:ascii="Times New Roman" w:hAnsi="Times New Roman"/>
          <w:color w:val="auto"/>
          <w:sz w:val="24"/>
          <w:szCs w:val="24"/>
          <w:lang w:val="en-US" w:eastAsia="zh-CN"/>
        </w:rPr>
        <w:t>“</w:t>
      </w:r>
      <w:r>
        <w:rPr>
          <w:rFonts w:hint="eastAsia" w:ascii="Times New Roman" w:hAnsi="Times New Roman"/>
          <w:i/>
          <w:iCs/>
          <w:color w:val="auto"/>
          <w:sz w:val="24"/>
          <w:szCs w:val="24"/>
          <w:lang w:val="en-US" w:eastAsia="zh-CN"/>
        </w:rPr>
        <w:t>（二）本指引所称化工行业，包括国家统计局《国民经济行业分类（GB/T4754-2017）》中以下行业：25石油、煤炭及其他燃料加工业中，仅限于：2511原油加工及石油制品制造，2522煤制合成气生产，2523煤制液体燃料生产。26化学原料和化学制品制造业中，仅限于：261基础化学原料制造，262肥料制造，263农药制造，264涂料、油墨、颜料及类似产品制造，265合成材料制造，</w:t>
      </w:r>
      <w:r>
        <w:rPr>
          <w:rFonts w:hint="eastAsia" w:ascii="Times New Roman" w:hAnsi="Times New Roman"/>
          <w:b/>
          <w:bCs/>
          <w:i/>
          <w:iCs/>
          <w:color w:val="auto"/>
          <w:sz w:val="24"/>
          <w:szCs w:val="24"/>
          <w:lang w:val="en-US" w:eastAsia="zh-CN"/>
        </w:rPr>
        <w:t>266专用化学产品制造</w:t>
      </w:r>
      <w:r>
        <w:rPr>
          <w:rFonts w:hint="eastAsia" w:ascii="Times New Roman" w:hAnsi="Times New Roman"/>
          <w:i/>
          <w:iCs/>
          <w:color w:val="auto"/>
          <w:sz w:val="24"/>
          <w:szCs w:val="24"/>
          <w:lang w:val="en-US" w:eastAsia="zh-CN"/>
        </w:rPr>
        <w:t>。29橡胶和塑料制品业中，仅限于：291橡胶制品业。</w:t>
      </w:r>
      <w:r>
        <w:rPr>
          <w:rFonts w:hint="eastAsia" w:ascii="Times New Roman" w:hAnsi="Times New Roman"/>
          <w:color w:val="auto"/>
          <w:sz w:val="24"/>
          <w:szCs w:val="24"/>
          <w:lang w:val="en-US" w:eastAsia="zh-CN"/>
        </w:rPr>
        <w:t>”</w:t>
      </w:r>
      <w:r>
        <w:rPr>
          <w:rFonts w:hint="eastAsia"/>
          <w:color w:val="auto"/>
          <w:sz w:val="24"/>
          <w:szCs w:val="24"/>
          <w:lang w:val="en-US" w:eastAsia="zh-CN"/>
        </w:rPr>
        <w:t>规定的化工行业。</w:t>
      </w:r>
    </w:p>
    <w:p w14:paraId="18FB565C">
      <w:pPr>
        <w:numPr>
          <w:ilvl w:val="0"/>
          <w:numId w:val="0"/>
        </w:numPr>
        <w:spacing w:line="360" w:lineRule="auto"/>
        <w:ind w:left="0" w:leftChars="0" w:firstLine="480" w:firstLineChars="200"/>
        <w:rPr>
          <w:rFonts w:hint="eastAsia"/>
          <w:color w:val="auto"/>
          <w:sz w:val="24"/>
          <w:szCs w:val="24"/>
          <w:lang w:val="en-US" w:eastAsia="zh-CN"/>
        </w:rPr>
      </w:pPr>
      <w:r>
        <w:rPr>
          <w:rFonts w:hint="eastAsia"/>
          <w:color w:val="auto"/>
          <w:sz w:val="24"/>
          <w:lang w:val="en-US" w:eastAsia="zh-CN"/>
        </w:rPr>
        <w:t>2、</w:t>
      </w:r>
      <w:r>
        <w:rPr>
          <w:rFonts w:hint="eastAsia" w:cs="Times New Roman"/>
          <w:color w:val="auto"/>
          <w:kern w:val="2"/>
          <w:sz w:val="24"/>
          <w:szCs w:val="24"/>
          <w:lang w:val="en-US" w:eastAsia="zh-CN" w:bidi="ar-SA"/>
        </w:rPr>
        <w:t>本项目</w:t>
      </w:r>
      <w:r>
        <w:rPr>
          <w:rFonts w:hint="eastAsia" w:ascii="Times New Roman"/>
          <w:color w:val="auto"/>
          <w:sz w:val="24"/>
          <w:lang w:val="en-US" w:eastAsia="zh-CN"/>
        </w:rPr>
        <w:t>位于</w:t>
      </w:r>
      <w:r>
        <w:rPr>
          <w:rFonts w:hint="eastAsia"/>
          <w:color w:val="auto"/>
          <w:sz w:val="24"/>
          <w:lang w:val="en-US" w:eastAsia="zh-CN"/>
        </w:rPr>
        <w:t>四川巴中经济开发区金堂区块（巴中曾口-金堂化工园区）内</w:t>
      </w:r>
      <w:r>
        <w:rPr>
          <w:rFonts w:hint="eastAsia" w:ascii="Times New Roman"/>
          <w:color w:val="auto"/>
          <w:sz w:val="24"/>
          <w:lang w:val="en-US" w:eastAsia="zh-CN"/>
        </w:rPr>
        <w:t>，</w:t>
      </w:r>
      <w:r>
        <w:rPr>
          <w:rFonts w:hint="eastAsia"/>
          <w:color w:val="auto"/>
          <w:sz w:val="24"/>
          <w:lang w:val="en-US" w:eastAsia="zh-CN"/>
        </w:rPr>
        <w:t>巴中曾口-金堂化工园区</w:t>
      </w:r>
      <w:r>
        <w:rPr>
          <w:rFonts w:hint="eastAsia" w:ascii="Times New Roman"/>
          <w:color w:val="auto"/>
          <w:sz w:val="24"/>
          <w:lang w:val="en-US" w:eastAsia="zh-CN"/>
        </w:rPr>
        <w:t>是经《四川省经济和信息化厅等7部门关于公布盐亭巨龙等4家化工园区及达州普光化工园区扩区调整的通知》（川经信化工</w:t>
      </w:r>
      <w:r>
        <w:rPr>
          <w:rFonts w:hint="eastAsia"/>
          <w:color w:val="auto"/>
          <w:sz w:val="24"/>
          <w:lang w:val="en-US" w:eastAsia="zh-CN"/>
        </w:rPr>
        <w:t>〔</w:t>
      </w:r>
      <w:r>
        <w:rPr>
          <w:rFonts w:hint="eastAsia" w:ascii="Times New Roman"/>
          <w:color w:val="auto"/>
          <w:sz w:val="24"/>
          <w:lang w:val="en-US" w:eastAsia="zh-CN"/>
        </w:rPr>
        <w:t>2025</w:t>
      </w:r>
      <w:r>
        <w:rPr>
          <w:rFonts w:hint="eastAsia"/>
          <w:color w:val="auto"/>
          <w:sz w:val="24"/>
          <w:lang w:val="en-US" w:eastAsia="zh-CN"/>
        </w:rPr>
        <w:t>〕</w:t>
      </w:r>
      <w:r>
        <w:rPr>
          <w:rFonts w:hint="eastAsia" w:ascii="Times New Roman"/>
          <w:color w:val="auto"/>
          <w:sz w:val="24"/>
          <w:lang w:val="en-US" w:eastAsia="zh-CN"/>
        </w:rPr>
        <w:t>192号）认定的化工园区</w:t>
      </w:r>
      <w:r>
        <w:rPr>
          <w:rFonts w:hint="eastAsia"/>
          <w:color w:val="auto"/>
          <w:sz w:val="24"/>
          <w:lang w:val="en-US" w:eastAsia="zh-CN"/>
        </w:rPr>
        <w:t>（见附件5-2）</w:t>
      </w:r>
      <w:r>
        <w:rPr>
          <w:rFonts w:hint="eastAsia" w:ascii="Times New Roman"/>
          <w:color w:val="auto"/>
          <w:sz w:val="24"/>
          <w:lang w:val="en-US" w:eastAsia="zh-CN"/>
        </w:rPr>
        <w:t>，</w:t>
      </w:r>
      <w:r>
        <w:rPr>
          <w:rFonts w:hint="eastAsia"/>
          <w:color w:val="auto"/>
          <w:sz w:val="24"/>
          <w:lang w:val="en-US" w:eastAsia="zh-CN"/>
        </w:rPr>
        <w:t>且根据</w:t>
      </w:r>
      <w:r>
        <w:rPr>
          <w:rFonts w:hint="eastAsia" w:ascii="Times New Roman"/>
          <w:color w:val="auto"/>
          <w:sz w:val="24"/>
          <w:lang w:val="en-US" w:eastAsia="zh-CN"/>
        </w:rPr>
        <w:t>《四川省应急管理厅公告》（202</w:t>
      </w:r>
      <w:r>
        <w:rPr>
          <w:rFonts w:hint="eastAsia"/>
          <w:color w:val="auto"/>
          <w:sz w:val="24"/>
          <w:lang w:val="en-US" w:eastAsia="zh-CN"/>
        </w:rPr>
        <w:t>5</w:t>
      </w:r>
      <w:r>
        <w:rPr>
          <w:rFonts w:hint="eastAsia" w:ascii="Times New Roman"/>
          <w:color w:val="auto"/>
          <w:sz w:val="24"/>
          <w:lang w:val="en-US" w:eastAsia="zh-CN"/>
        </w:rPr>
        <w:t>年第</w:t>
      </w:r>
      <w:r>
        <w:rPr>
          <w:rFonts w:hint="eastAsia"/>
          <w:color w:val="auto"/>
          <w:sz w:val="24"/>
          <w:lang w:val="en-US" w:eastAsia="zh-CN"/>
        </w:rPr>
        <w:t>26</w:t>
      </w:r>
      <w:r>
        <w:rPr>
          <w:rFonts w:hint="eastAsia" w:ascii="Times New Roman"/>
          <w:color w:val="auto"/>
          <w:sz w:val="24"/>
          <w:lang w:val="en-US" w:eastAsia="zh-CN"/>
        </w:rPr>
        <w:t>号），</w:t>
      </w:r>
      <w:r>
        <w:rPr>
          <w:rFonts w:hint="eastAsia"/>
          <w:color w:val="auto"/>
          <w:sz w:val="24"/>
          <w:lang w:val="en-US" w:eastAsia="zh-CN"/>
        </w:rPr>
        <w:t>巴中曾口-金堂化工园区</w:t>
      </w:r>
      <w:r>
        <w:rPr>
          <w:rFonts w:hint="eastAsia" w:ascii="Times New Roman"/>
          <w:color w:val="auto"/>
          <w:sz w:val="24"/>
          <w:lang w:val="en-US" w:eastAsia="zh-CN"/>
        </w:rPr>
        <w:t>安全风险等级分类为较低安全风险等级（D级）</w:t>
      </w:r>
      <w:r>
        <w:rPr>
          <w:rFonts w:hint="eastAsia"/>
          <w:color w:val="auto"/>
          <w:sz w:val="24"/>
          <w:lang w:val="en-US" w:eastAsia="zh-CN"/>
        </w:rPr>
        <w:t>，本项目选址</w:t>
      </w:r>
      <w:r>
        <w:rPr>
          <w:rFonts w:hint="eastAsia" w:ascii="Times New Roman"/>
          <w:color w:val="auto"/>
          <w:sz w:val="24"/>
          <w:lang w:val="en-US" w:eastAsia="zh-CN"/>
        </w:rPr>
        <w:t>符合四川省经济和信息化厅等6部门关于印发</w:t>
      </w:r>
      <w:r>
        <w:rPr>
          <w:rFonts w:hint="eastAsia" w:ascii="Times New Roman" w:hAnsi="Times New Roman"/>
          <w:color w:val="auto"/>
          <w:sz w:val="24"/>
          <w:szCs w:val="24"/>
          <w:lang w:val="en-US" w:eastAsia="zh-CN"/>
        </w:rPr>
        <w:t>《四川省化工生产建设项目入园指引（试行）》的通知中“</w:t>
      </w:r>
      <w:r>
        <w:rPr>
          <w:rFonts w:hint="eastAsia" w:ascii="Times New Roman"/>
          <w:i/>
          <w:iCs/>
          <w:color w:val="auto"/>
          <w:sz w:val="24"/>
          <w:highlight w:val="none"/>
          <w:lang w:val="en-US" w:eastAsia="zh-CN"/>
        </w:rPr>
        <w:t>新建、改建、扩建化工生产建设项目必须进入一般或较低安全风险等级的化工园区/（二）化工行业中，以爆炸性化学品、剧（高）毒化学品、液化烃类易燃易爆化学品为主要原料的项目。（三）化工行业中，构成危险化学品重大危险源的项目。</w:t>
      </w:r>
      <w:r>
        <w:rPr>
          <w:rFonts w:hint="eastAsia" w:ascii="Times New Roman" w:hAnsi="Times New Roman"/>
          <w:color w:val="auto"/>
          <w:sz w:val="24"/>
          <w:szCs w:val="24"/>
          <w:lang w:val="en-US" w:eastAsia="zh-CN"/>
        </w:rPr>
        <w:t>”的规定</w:t>
      </w:r>
      <w:r>
        <w:rPr>
          <w:rFonts w:hint="eastAsia"/>
          <w:color w:val="auto"/>
          <w:sz w:val="24"/>
          <w:szCs w:val="24"/>
          <w:lang w:val="en-US" w:eastAsia="zh-CN"/>
        </w:rPr>
        <w:t>。</w:t>
      </w:r>
    </w:p>
    <w:p w14:paraId="0CBFD3D8">
      <w:pPr>
        <w:numPr>
          <w:ilvl w:val="0"/>
          <w:numId w:val="0"/>
        </w:numPr>
        <w:spacing w:line="360" w:lineRule="auto"/>
        <w:ind w:left="0" w:leftChars="0" w:firstLine="480" w:firstLineChars="200"/>
        <w:rPr>
          <w:rFonts w:hint="default"/>
          <w:color w:val="auto"/>
          <w:sz w:val="24"/>
          <w:lang w:val="en-US" w:eastAsia="zh-CN"/>
        </w:rPr>
      </w:pPr>
      <w:r>
        <w:rPr>
          <w:rFonts w:hint="eastAsia"/>
          <w:color w:val="auto"/>
          <w:sz w:val="24"/>
          <w:szCs w:val="24"/>
          <w:lang w:val="en-US" w:eastAsia="zh-CN"/>
        </w:rPr>
        <w:t>3、</w:t>
      </w:r>
      <w:r>
        <w:rPr>
          <w:rFonts w:hint="eastAsia"/>
          <w:color w:val="auto"/>
          <w:sz w:val="24"/>
          <w:lang w:val="en-US" w:eastAsia="zh-CN"/>
        </w:rPr>
        <w:t>巴中曾口-金堂化工园区</w:t>
      </w:r>
      <w:r>
        <w:rPr>
          <w:rFonts w:hint="eastAsia" w:ascii="Times New Roman"/>
          <w:color w:val="auto"/>
          <w:sz w:val="24"/>
          <w:lang w:val="en-US" w:eastAsia="zh-CN"/>
        </w:rPr>
        <w:t>主导产业为天然气化工新材料、石墨高性能材料和石墨烯材料、先进碳材料和新型电池及关键材料</w:t>
      </w:r>
      <w:r>
        <w:rPr>
          <w:rFonts w:hint="eastAsia"/>
          <w:color w:val="auto"/>
          <w:sz w:val="24"/>
          <w:lang w:val="en-US" w:eastAsia="zh-CN"/>
        </w:rPr>
        <w:t>。</w:t>
      </w:r>
      <w:r>
        <w:rPr>
          <w:rFonts w:hint="eastAsia" w:ascii="Times New Roman"/>
          <w:color w:val="auto"/>
          <w:sz w:val="24"/>
          <w:lang w:val="en-US" w:eastAsia="zh-CN"/>
        </w:rPr>
        <w:t>本项目</w:t>
      </w:r>
      <w:r>
        <w:rPr>
          <w:rFonts w:hint="eastAsia"/>
          <w:color w:val="auto"/>
          <w:sz w:val="24"/>
          <w:lang w:val="en-US" w:eastAsia="zh-CN"/>
        </w:rPr>
        <w:t>生产所需</w:t>
      </w:r>
      <w:r>
        <w:rPr>
          <w:rFonts w:hint="eastAsia" w:ascii="Times New Roman"/>
          <w:color w:val="auto"/>
          <w:sz w:val="24"/>
          <w:lang w:val="en-US" w:eastAsia="zh-CN"/>
        </w:rPr>
        <w:t>部分</w:t>
      </w:r>
      <w:r>
        <w:rPr>
          <w:rFonts w:hint="eastAsia"/>
          <w:color w:val="auto"/>
          <w:sz w:val="24"/>
          <w:lang w:val="en-US" w:eastAsia="zh-CN"/>
        </w:rPr>
        <w:t>原辅材料</w:t>
      </w:r>
      <w:r>
        <w:rPr>
          <w:rFonts w:hint="eastAsia" w:ascii="Times New Roman"/>
          <w:color w:val="auto"/>
          <w:sz w:val="24"/>
          <w:lang w:val="en-US" w:eastAsia="zh-CN"/>
        </w:rPr>
        <w:t>取自天然气化工产业链的下游产品或衍生中间体</w:t>
      </w:r>
      <w:r>
        <w:rPr>
          <w:rFonts w:hint="eastAsia"/>
          <w:color w:val="auto"/>
          <w:sz w:val="24"/>
          <w:lang w:val="en-US" w:eastAsia="zh-CN"/>
        </w:rPr>
        <w:t>，例如：聚醚可由天然气转化的环氧乙烷为起始剂聚合而成，丙烯酸可通过天然气制得的甲醇氧化生产，硫酸、氢氧化铝、氟硅酸等均为天然气化工产业常见的副产品或关联产品。本</w:t>
      </w:r>
      <w:r>
        <w:rPr>
          <w:rFonts w:hint="eastAsia" w:ascii="Times New Roman"/>
          <w:color w:val="auto"/>
          <w:sz w:val="24"/>
          <w:lang w:val="en-US" w:eastAsia="zh-CN"/>
        </w:rPr>
        <w:t>项目</w:t>
      </w:r>
      <w:r>
        <w:rPr>
          <w:rFonts w:hint="eastAsia"/>
          <w:color w:val="auto"/>
          <w:sz w:val="24"/>
          <w:lang w:val="en-US" w:eastAsia="zh-CN"/>
        </w:rPr>
        <w:t>的建设</w:t>
      </w:r>
      <w:r>
        <w:rPr>
          <w:rFonts w:hint="eastAsia" w:ascii="Times New Roman"/>
          <w:color w:val="auto"/>
          <w:sz w:val="24"/>
          <w:lang w:val="en-US" w:eastAsia="zh-CN"/>
        </w:rPr>
        <w:t>能够有效消化园区未来可能产生的工业副产物，减少资源浪费和环境污染</w:t>
      </w:r>
      <w:r>
        <w:rPr>
          <w:rFonts w:hint="eastAsia"/>
          <w:color w:val="auto"/>
          <w:sz w:val="24"/>
          <w:lang w:val="en-US" w:eastAsia="zh-CN"/>
        </w:rPr>
        <w:t>，</w:t>
      </w:r>
      <w:r>
        <w:rPr>
          <w:rFonts w:hint="eastAsia" w:ascii="Times New Roman"/>
          <w:color w:val="auto"/>
          <w:sz w:val="24"/>
          <w:lang w:val="en-US" w:eastAsia="zh-CN"/>
        </w:rPr>
        <w:t>能够深度融入园区天然气化工产业生态，</w:t>
      </w:r>
      <w:r>
        <w:rPr>
          <w:rFonts w:hint="eastAsia"/>
          <w:color w:val="auto"/>
          <w:sz w:val="24"/>
          <w:lang w:val="en-US" w:eastAsia="zh-CN"/>
        </w:rPr>
        <w:t>并</w:t>
      </w:r>
      <w:r>
        <w:rPr>
          <w:rFonts w:hint="eastAsia" w:ascii="Times New Roman"/>
          <w:color w:val="auto"/>
          <w:sz w:val="24"/>
          <w:lang w:val="en-US" w:eastAsia="zh-CN"/>
        </w:rPr>
        <w:t>进一步完善园区天然气化工产业链条，促进上下游产业间的协同发展，形成产业集聚效应。因此，本项目与</w:t>
      </w:r>
      <w:r>
        <w:rPr>
          <w:rFonts w:hint="eastAsia"/>
          <w:color w:val="auto"/>
          <w:sz w:val="24"/>
          <w:lang w:val="en-US" w:eastAsia="zh-CN"/>
        </w:rPr>
        <w:t>巴中曾口-金堂化工园区主导产业-</w:t>
      </w:r>
      <w:r>
        <w:rPr>
          <w:rFonts w:hint="eastAsia" w:ascii="Times New Roman"/>
          <w:color w:val="auto"/>
          <w:sz w:val="24"/>
          <w:lang w:val="en-US" w:eastAsia="zh-CN"/>
        </w:rPr>
        <w:t>天然气化工新材料高度契合。</w:t>
      </w:r>
      <w:r>
        <w:rPr>
          <w:rFonts w:hint="eastAsia"/>
          <w:color w:val="auto"/>
          <w:sz w:val="24"/>
          <w:lang w:val="en-US" w:eastAsia="zh-CN"/>
        </w:rPr>
        <w:t>此外，本项目符合四川巴中经济开发区金堂区块生态环境准入清单中相关要求。</w:t>
      </w:r>
    </w:p>
    <w:p w14:paraId="33C0CB56">
      <w:pPr>
        <w:spacing w:line="360" w:lineRule="auto"/>
        <w:ind w:left="0" w:leftChars="0" w:firstLine="480" w:firstLineChars="200"/>
        <w:rPr>
          <w:rFonts w:hint="eastAsia" w:ascii="Times New Roman" w:hAnsi="Times New Roman" w:eastAsia="宋体" w:cs="Times New Roman"/>
          <w:color w:val="auto"/>
          <w:sz w:val="24"/>
          <w:szCs w:val="24"/>
          <w:highlight w:val="none"/>
          <w:lang w:val="en-US" w:eastAsia="zh-CN"/>
        </w:rPr>
      </w:pPr>
      <w:r>
        <w:rPr>
          <w:rFonts w:hint="eastAsia"/>
          <w:color w:val="auto"/>
          <w:sz w:val="24"/>
          <w:lang w:val="en-US" w:eastAsia="zh-CN"/>
        </w:rPr>
        <w:t>4、</w:t>
      </w:r>
      <w:r>
        <w:rPr>
          <w:rFonts w:hint="eastAsia"/>
          <w:color w:val="auto"/>
          <w:highlight w:val="none"/>
          <w:lang w:val="en-US" w:eastAsia="zh-CN"/>
        </w:rPr>
        <w:t>本项目正在开展安全评价，已编制完成《四川诚正建科新材料有限公司聚羧酸减水剂与无碱速凝剂生产项目安全预评价报告（送审件）》。根据《四川诚正建科新材料有限公司聚羧酸减水剂与无碱速凝剂生产项目安全预评价报告（送审件）》，</w:t>
      </w:r>
      <w:r>
        <w:rPr>
          <w:rFonts w:hint="eastAsia"/>
          <w:color w:val="auto"/>
          <w:sz w:val="24"/>
          <w:lang w:val="en-US" w:eastAsia="zh-CN"/>
        </w:rPr>
        <w:t>本项目</w:t>
      </w:r>
      <w:r>
        <w:rPr>
          <w:rFonts w:hint="eastAsia" w:ascii="Times New Roman" w:hAnsi="Times New Roman" w:eastAsia="宋体" w:cs="Times New Roman"/>
          <w:color w:val="auto"/>
          <w:sz w:val="24"/>
          <w:szCs w:val="24"/>
          <w:highlight w:val="none"/>
          <w:lang w:val="en-US" w:eastAsia="zh-CN"/>
        </w:rPr>
        <w:t>厂区内建（构）筑物防火间距、</w:t>
      </w:r>
      <w:r>
        <w:rPr>
          <w:rFonts w:hint="eastAsia"/>
          <w:color w:val="auto"/>
          <w:highlight w:val="none"/>
          <w:lang w:val="en-US" w:eastAsia="zh-CN"/>
        </w:rPr>
        <w:t>罐区内各罐组防火间距等</w:t>
      </w:r>
      <w:r>
        <w:rPr>
          <w:rFonts w:hint="eastAsia"/>
          <w:color w:val="auto"/>
          <w:sz w:val="24"/>
          <w:lang w:val="en-US" w:eastAsia="zh-CN"/>
        </w:rPr>
        <w:t>符合《石油化工企业设计防火标准》（GB50160-2008，2018年版）、《精细化工企业工程设计防火标准》（GB51283-2020）、《建筑设计防火规范》（GB50016-2014，2018年版）、</w:t>
      </w:r>
      <w:r>
        <w:rPr>
          <w:rFonts w:hint="default" w:ascii="Times New Roman" w:hAnsi="Times New Roman" w:cs="Times New Roman"/>
          <w:snapToGrid w:val="0"/>
          <w:color w:val="auto"/>
        </w:rPr>
        <w:t>《建筑防火通</w:t>
      </w:r>
      <w:r>
        <w:rPr>
          <w:rFonts w:hint="default" w:ascii="Times New Roman" w:hAnsi="Times New Roman" w:cs="Times New Roman"/>
          <w:snapToGrid w:val="0"/>
          <w:color w:val="auto"/>
          <w:spacing w:val="-6"/>
        </w:rPr>
        <w:t>用规范》（GB55037-2022）</w:t>
      </w:r>
      <w:r>
        <w:rPr>
          <w:rFonts w:hint="eastAsia" w:ascii="Times New Roman" w:hAnsi="Times New Roman" w:eastAsia="宋体" w:cs="Times New Roman"/>
          <w:color w:val="auto"/>
          <w:sz w:val="24"/>
          <w:szCs w:val="24"/>
          <w:highlight w:val="none"/>
          <w:lang w:val="en-US" w:eastAsia="zh-CN"/>
        </w:rPr>
        <w:t>中相关要求</w:t>
      </w:r>
      <w:r>
        <w:rPr>
          <w:rFonts w:hint="eastAsia"/>
          <w:color w:val="auto"/>
          <w:highlight w:val="none"/>
          <w:lang w:val="en-US" w:eastAsia="zh-CN"/>
        </w:rPr>
        <w:t>，本项目工艺技术成熟可靠，只要项目建设运行后加强安全管理，严格执行各项安全操作规程及安全管理制度，本项目建成后能够安全稳定地运行，对安全生产条件的影响可以控制在可接受的范围内</w:t>
      </w:r>
      <w:r>
        <w:rPr>
          <w:rFonts w:hint="eastAsia" w:ascii="Times New Roman" w:hAnsi="Times New Roman" w:eastAsia="宋体" w:cs="Times New Roman"/>
          <w:color w:val="auto"/>
          <w:sz w:val="24"/>
          <w:szCs w:val="24"/>
          <w:highlight w:val="none"/>
          <w:lang w:val="en-US" w:eastAsia="zh-CN"/>
        </w:rPr>
        <w:t>。</w:t>
      </w:r>
    </w:p>
    <w:p w14:paraId="5612292F">
      <w:pPr>
        <w:spacing w:line="360" w:lineRule="auto"/>
        <w:ind w:left="0" w:leftChars="0" w:firstLine="480" w:firstLineChars="200"/>
        <w:rPr>
          <w:rFonts w:hint="eastAsia"/>
          <w:color w:val="auto"/>
          <w:highlight w:val="none"/>
          <w:lang w:val="en-US" w:eastAsia="zh-CN"/>
        </w:rPr>
      </w:pPr>
      <w:r>
        <w:rPr>
          <w:rFonts w:hint="eastAsia" w:cs="Times New Roman"/>
          <w:color w:val="auto"/>
          <w:sz w:val="24"/>
          <w:szCs w:val="24"/>
          <w:highlight w:val="none"/>
          <w:lang w:val="en-US" w:eastAsia="zh-CN"/>
        </w:rPr>
        <w:t>5、本项目</w:t>
      </w:r>
      <w:r>
        <w:rPr>
          <w:rFonts w:hint="eastAsia"/>
          <w:color w:val="auto"/>
          <w:highlight w:val="none"/>
          <w:lang w:val="en-US" w:eastAsia="zh-CN"/>
        </w:rPr>
        <w:t>除</w:t>
      </w:r>
      <w:r>
        <w:rPr>
          <w:rFonts w:hint="eastAsia" w:cs="Times New Roman"/>
          <w:color w:val="auto"/>
          <w:sz w:val="24"/>
          <w:szCs w:val="24"/>
          <w:highlight w:val="none"/>
          <w:lang w:val="en-US" w:eastAsia="zh-CN"/>
        </w:rPr>
        <w:t>固态原料采用人工投料外（投料完成后，关闭罐体上方投料孔），</w:t>
      </w:r>
      <w:r>
        <w:rPr>
          <w:rFonts w:hint="eastAsia"/>
          <w:color w:val="auto"/>
          <w:highlight w:val="none"/>
          <w:lang w:val="en-US" w:eastAsia="zh-CN"/>
        </w:rPr>
        <w:t>生产全流程采用管道输送，</w:t>
      </w:r>
      <w:r>
        <w:rPr>
          <w:rFonts w:hint="eastAsia"/>
          <w:color w:val="auto"/>
          <w:kern w:val="0"/>
          <w:sz w:val="24"/>
          <w:highlight w:val="none"/>
          <w:lang w:val="en-US" w:eastAsia="zh-CN"/>
        </w:rPr>
        <w:t>生产过程全密闭</w:t>
      </w:r>
      <w:r>
        <w:rPr>
          <w:rFonts w:hint="eastAsia"/>
          <w:color w:val="auto"/>
          <w:highlight w:val="none"/>
          <w:lang w:val="en-US" w:eastAsia="zh-CN"/>
        </w:rPr>
        <w:t>。</w:t>
      </w:r>
    </w:p>
    <w:p w14:paraId="6EF43110">
      <w:pPr>
        <w:spacing w:line="360" w:lineRule="auto"/>
        <w:ind w:left="0" w:leftChars="0" w:firstLine="480" w:firstLineChars="200"/>
        <w:rPr>
          <w:rFonts w:hint="default"/>
          <w:color w:val="auto"/>
          <w:highlight w:val="none"/>
          <w:lang w:val="en-US" w:eastAsia="zh-CN"/>
        </w:rPr>
      </w:pPr>
      <w:r>
        <w:rPr>
          <w:rFonts w:hint="eastAsia"/>
          <w:color w:val="auto"/>
          <w:highlight w:val="none"/>
          <w:lang w:val="en-US" w:eastAsia="zh-CN"/>
        </w:rPr>
        <w:t>6、本项目采用DCS分散型控制系统对泵、罐体和生产设备等的重要参数（如温度、压力、液位、流量等）进行监视、控制及报警，自动化程度高；并在生产车间、罐区、仓库和装卸区等可能存在可燃气体/有毒气体泄漏的位置设置1套可燃气体/有毒气体检测系统，信号引入中央控制室集中报警。</w:t>
      </w:r>
    </w:p>
    <w:p w14:paraId="28B7E0B0">
      <w:pPr>
        <w:ind w:left="0" w:leftChars="0" w:firstLine="480" w:firstLineChars="200"/>
        <w:rPr>
          <w:rFonts w:hint="eastAsia" w:ascii="Times New Roman"/>
          <w:color w:val="auto"/>
          <w:sz w:val="24"/>
        </w:rPr>
      </w:pPr>
      <w:r>
        <w:rPr>
          <w:rFonts w:hint="eastAsia" w:ascii="Times New Roman"/>
          <w:color w:val="auto"/>
          <w:sz w:val="24"/>
        </w:rPr>
        <w:t>本次环评将结合项目建设特点，针对可能产生的问题提出相应的环境保护措施，使建设项目污染物实现有效处置，防止对区域环境造成影响，并为企业建设、生态环境管理提供依据。</w:t>
      </w:r>
    </w:p>
    <w:p w14:paraId="62EC353A">
      <w:pPr>
        <w:pStyle w:val="3"/>
        <w:bidi w:val="0"/>
        <w:rPr>
          <w:rFonts w:hint="default" w:ascii="Times New Roman" w:hAnsi="Times New Roman"/>
          <w:color w:val="auto"/>
          <w:highlight w:val="none"/>
        </w:rPr>
      </w:pPr>
      <w:bookmarkStart w:id="6" w:name="_Toc26024"/>
      <w:bookmarkStart w:id="7" w:name="_Toc25858"/>
      <w:r>
        <w:rPr>
          <w:rFonts w:hint="default" w:ascii="Times New Roman" w:hAnsi="Times New Roman"/>
          <w:color w:val="auto"/>
          <w:highlight w:val="none"/>
        </w:rPr>
        <w:t>评价工作过程</w:t>
      </w:r>
      <w:bookmarkEnd w:id="6"/>
      <w:bookmarkEnd w:id="7"/>
    </w:p>
    <w:p w14:paraId="5553DCB9">
      <w:pPr>
        <w:pStyle w:val="4"/>
        <w:bidi w:val="0"/>
        <w:rPr>
          <w:rFonts w:hint="default" w:ascii="Times New Roman" w:hAnsi="Times New Roman"/>
          <w:color w:val="auto"/>
          <w:highlight w:val="none"/>
        </w:rPr>
      </w:pPr>
      <w:bookmarkStart w:id="8" w:name="_Toc31531"/>
      <w:r>
        <w:rPr>
          <w:rFonts w:hint="eastAsia" w:ascii="Times New Roman" w:hAnsi="Times New Roman"/>
          <w:color w:val="auto"/>
          <w:highlight w:val="none"/>
        </w:rPr>
        <w:t>评价开展过程</w:t>
      </w:r>
      <w:bookmarkEnd w:id="8"/>
    </w:p>
    <w:p w14:paraId="311238A8">
      <w:pPr>
        <w:spacing w:line="360" w:lineRule="auto"/>
        <w:ind w:left="0" w:leftChars="0" w:firstLine="480" w:firstLineChars="200"/>
        <w:rPr>
          <w:rFonts w:hint="eastAsia" w:ascii="Times New Roman"/>
          <w:color w:val="auto"/>
          <w:sz w:val="24"/>
        </w:rPr>
      </w:pPr>
      <w:r>
        <w:rPr>
          <w:rFonts w:hint="eastAsia"/>
          <w:color w:val="auto"/>
          <w:sz w:val="24"/>
          <w:lang w:eastAsia="zh-CN"/>
        </w:rPr>
        <w:t>四川诚正建科新材料有限公司</w:t>
      </w:r>
      <w:r>
        <w:rPr>
          <w:rFonts w:hint="eastAsia" w:ascii="Times New Roman"/>
          <w:color w:val="auto"/>
          <w:sz w:val="24"/>
        </w:rPr>
        <w:t>委托四川省国环环境工程咨询有限公司承担</w:t>
      </w:r>
      <w:r>
        <w:rPr>
          <w:rFonts w:hint="eastAsia"/>
          <w:color w:val="auto"/>
          <w:sz w:val="24"/>
          <w:lang w:eastAsia="zh-CN"/>
        </w:rPr>
        <w:t>聚羧酸减水剂与无碱速凝剂生产项目</w:t>
      </w:r>
      <w:r>
        <w:rPr>
          <w:rFonts w:hint="eastAsia" w:ascii="Times New Roman"/>
          <w:color w:val="auto"/>
          <w:sz w:val="24"/>
        </w:rPr>
        <w:t>环境影响评价工作，环境影响评价工作分为三个阶段，即前期准备、调研和工作方案阶段，分析论证和预测阶段，环境影响评价文件编制阶段。</w:t>
      </w:r>
    </w:p>
    <w:p w14:paraId="3AEE06DF">
      <w:pPr>
        <w:bidi w:val="0"/>
        <w:outlineLvl w:val="3"/>
        <w:rPr>
          <w:rFonts w:hint="default" w:ascii="Times New Roman" w:hAnsi="Times New Roman" w:cs="Times New Roman"/>
          <w:b/>
          <w:bCs/>
          <w:color w:val="auto"/>
        </w:rPr>
      </w:pPr>
      <w:r>
        <w:rPr>
          <w:rFonts w:hint="default" w:ascii="Times New Roman" w:hAnsi="Times New Roman" w:cs="Times New Roman"/>
          <w:b/>
          <w:bCs/>
          <w:color w:val="auto"/>
        </w:rPr>
        <w:t>1、前期准备、调研和工作方案阶段</w:t>
      </w:r>
    </w:p>
    <w:p w14:paraId="5B7D22F8">
      <w:pPr>
        <w:bidi w:val="0"/>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rPr>
        <w:t>接受委托后，</w:t>
      </w:r>
      <w:r>
        <w:rPr>
          <w:rFonts w:hint="eastAsia" w:ascii="Times New Roman"/>
          <w:color w:val="auto"/>
          <w:sz w:val="24"/>
        </w:rPr>
        <w:t>我公司立即组建了项目组，并派遣项目负责人及主要技术人员进行了实地踏勘</w:t>
      </w:r>
      <w:r>
        <w:rPr>
          <w:rFonts w:hint="default" w:ascii="Times New Roman" w:hAnsi="Times New Roman" w:cs="Times New Roman"/>
          <w:color w:val="auto"/>
        </w:rPr>
        <w:t>，了解本项目拟建地有关情况，收集了相关资料；研究了本项目建设方案及与本项目相关的支持性文件；进行了初步工程分析，开展了初步的环境状况调查，进行了本项目环境影响因素识别与评价因子筛选，明确了评价重点，掌握了本项目的四邻关系、环境保护目标情况等，在以上工作的基础上，确定了本项目的评价工作等级和评价范围，制定了本项目的评价工作方案及编制人员分工。</w:t>
      </w:r>
      <w:r>
        <w:rPr>
          <w:rFonts w:hint="eastAsia" w:cs="Times New Roman"/>
          <w:color w:val="auto"/>
          <w:lang w:val="en-US" w:eastAsia="zh-CN"/>
        </w:rPr>
        <w:t>同时，建设单位于</w:t>
      </w:r>
      <w:r>
        <w:rPr>
          <w:rFonts w:hint="default" w:ascii="Times New Roman" w:hAnsi="Times New Roman" w:cs="Times New Roman"/>
          <w:color w:val="auto"/>
          <w:highlight w:val="none"/>
        </w:rPr>
        <w:t>202</w:t>
      </w:r>
      <w:r>
        <w:rPr>
          <w:rFonts w:hint="eastAsia" w:cs="Times New Roman"/>
          <w:color w:val="auto"/>
          <w:highlight w:val="none"/>
          <w:lang w:val="en-US" w:eastAsia="zh-CN"/>
        </w:rPr>
        <w:t>6</w:t>
      </w:r>
      <w:r>
        <w:rPr>
          <w:rFonts w:hint="default" w:ascii="Times New Roman" w:hAnsi="Times New Roman" w:cs="Times New Roman"/>
          <w:color w:val="auto"/>
          <w:highlight w:val="none"/>
        </w:rPr>
        <w:t>年</w:t>
      </w:r>
      <w:r>
        <w:rPr>
          <w:rFonts w:hint="eastAsia" w:cs="Times New Roman"/>
          <w:color w:val="auto"/>
          <w:highlight w:val="none"/>
          <w:lang w:val="en-US" w:eastAsia="zh-CN"/>
        </w:rPr>
        <w:t>1</w:t>
      </w:r>
      <w:r>
        <w:rPr>
          <w:rFonts w:hint="default" w:ascii="Times New Roman" w:hAnsi="Times New Roman" w:cs="Times New Roman"/>
          <w:color w:val="auto"/>
          <w:highlight w:val="none"/>
        </w:rPr>
        <w:t>月</w:t>
      </w:r>
      <w:r>
        <w:rPr>
          <w:rFonts w:hint="eastAsia" w:cs="Times New Roman"/>
          <w:color w:val="auto"/>
          <w:highlight w:val="none"/>
          <w:lang w:val="en-US" w:eastAsia="zh-CN"/>
        </w:rPr>
        <w:t>16</w:t>
      </w:r>
      <w:r>
        <w:rPr>
          <w:rFonts w:hint="default" w:ascii="Times New Roman" w:hAnsi="Times New Roman" w:cs="Times New Roman"/>
          <w:color w:val="auto"/>
          <w:highlight w:val="none"/>
        </w:rPr>
        <w:t>日</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即我公司</w:t>
      </w:r>
      <w:r>
        <w:rPr>
          <w:color w:val="auto"/>
        </w:rPr>
        <w:t>接受</w:t>
      </w:r>
      <w:r>
        <w:rPr>
          <w:rFonts w:hint="eastAsia"/>
          <w:color w:val="auto"/>
          <w:lang w:val="en-US" w:eastAsia="zh-CN"/>
        </w:rPr>
        <w:t>建设单位</w:t>
      </w:r>
      <w:r>
        <w:rPr>
          <w:color w:val="auto"/>
        </w:rPr>
        <w:t>委托7日内</w:t>
      </w:r>
      <w:r>
        <w:rPr>
          <w:rFonts w:hint="eastAsia" w:ascii="Times New Roman" w:hAnsi="Times New Roman" w:cs="Times New Roman"/>
          <w:color w:val="auto"/>
          <w:highlight w:val="none"/>
          <w:lang w:eastAsia="zh-CN"/>
        </w:rPr>
        <w:t>）</w:t>
      </w:r>
      <w:r>
        <w:rPr>
          <w:rFonts w:hint="eastAsia"/>
          <w:color w:val="auto"/>
          <w:lang w:val="en-US" w:eastAsia="zh-CN"/>
        </w:rPr>
        <w:t>在巴中之窗网站</w:t>
      </w:r>
      <w:r>
        <w:rPr>
          <w:color w:val="auto"/>
        </w:rPr>
        <w:t>进行了</w:t>
      </w:r>
      <w:r>
        <w:rPr>
          <w:rFonts w:hint="eastAsia"/>
          <w:color w:val="auto"/>
          <w:lang w:val="en-US" w:eastAsia="zh-CN"/>
        </w:rPr>
        <w:t>环境影响评价首次</w:t>
      </w:r>
      <w:r>
        <w:rPr>
          <w:color w:val="auto"/>
        </w:rPr>
        <w:t>公示。</w:t>
      </w:r>
    </w:p>
    <w:p w14:paraId="040C7E32">
      <w:pPr>
        <w:bidi w:val="0"/>
        <w:outlineLvl w:val="3"/>
        <w:rPr>
          <w:rFonts w:hint="default" w:ascii="Times New Roman" w:hAnsi="Times New Roman" w:cs="Times New Roman"/>
          <w:b/>
          <w:bCs/>
          <w:color w:val="auto"/>
        </w:rPr>
      </w:pPr>
      <w:r>
        <w:rPr>
          <w:rFonts w:hint="default" w:ascii="Times New Roman" w:hAnsi="Times New Roman" w:cs="Times New Roman"/>
          <w:b/>
          <w:bCs/>
          <w:color w:val="auto"/>
        </w:rPr>
        <w:t>2、分析论证和预测评价阶段</w:t>
      </w:r>
    </w:p>
    <w:p w14:paraId="315547CD">
      <w:pPr>
        <w:bidi w:val="0"/>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rPr>
        <w:t>按照评价等级、评价范围要求，结合项目实际情况以及区域环境功能特点，</w:t>
      </w:r>
      <w:r>
        <w:rPr>
          <w:rFonts w:hint="default" w:ascii="Times New Roman" w:hAnsi="Times New Roman" w:cs="Times New Roman"/>
          <w:color w:val="auto"/>
          <w:lang w:val="en-US" w:eastAsia="zh-CN"/>
        </w:rPr>
        <w:t>项目组</w:t>
      </w:r>
      <w:r>
        <w:rPr>
          <w:rFonts w:hint="default" w:ascii="Times New Roman" w:hAnsi="Times New Roman" w:cs="Times New Roman"/>
          <w:color w:val="auto"/>
        </w:rPr>
        <w:t>编制了环境质量现状监测方案，委托</w:t>
      </w:r>
      <w:r>
        <w:rPr>
          <w:rFonts w:hint="default" w:ascii="Times New Roman" w:hAnsi="Times New Roman" w:cs="Times New Roman"/>
          <w:color w:val="auto"/>
          <w:highlight w:val="none"/>
        </w:rPr>
        <w:t>四川华皓检测技术有限公司</w:t>
      </w:r>
      <w:r>
        <w:rPr>
          <w:rFonts w:hint="default" w:ascii="Times New Roman" w:hAnsi="Times New Roman" w:cs="Times New Roman"/>
          <w:color w:val="auto"/>
        </w:rPr>
        <w:t>开展了环境质量现状调查和监测；在工作方案的指导下，进行本项目的工程分析，并在此基础上开展本项目区域环境质量现状调查与评价，在现状区域环境质量现状评价及工程分析的基础上对各个环境要素进行了环境影响预测及评价。</w:t>
      </w:r>
    </w:p>
    <w:p w14:paraId="7501033B">
      <w:pPr>
        <w:bidi w:val="0"/>
        <w:outlineLvl w:val="3"/>
        <w:rPr>
          <w:rFonts w:hint="default" w:ascii="Times New Roman" w:hAnsi="Times New Roman" w:cs="Times New Roman"/>
          <w:b/>
          <w:bCs/>
          <w:color w:val="auto"/>
        </w:rPr>
      </w:pPr>
      <w:r>
        <w:rPr>
          <w:rFonts w:hint="default" w:ascii="Times New Roman" w:hAnsi="Times New Roman" w:cs="Times New Roman"/>
          <w:b/>
          <w:bCs/>
          <w:color w:val="auto"/>
        </w:rPr>
        <w:t>3、环评报告书编制阶段</w:t>
      </w:r>
    </w:p>
    <w:p w14:paraId="0BE44E79">
      <w:pPr>
        <w:spacing w:line="360" w:lineRule="auto"/>
        <w:ind w:left="0" w:leftChars="0" w:firstLine="480" w:firstLineChars="200"/>
        <w:rPr>
          <w:rFonts w:hint="eastAsia" w:ascii="Times New Roman"/>
          <w:color w:val="auto"/>
          <w:sz w:val="24"/>
        </w:rPr>
      </w:pPr>
      <w:r>
        <w:rPr>
          <w:rFonts w:hint="default" w:ascii="Times New Roman" w:hAnsi="Times New Roman" w:cs="Times New Roman"/>
          <w:color w:val="auto"/>
        </w:rPr>
        <w:t>在前面工作的基础上对本项目拟采取的环保措施进行技术经济论证，对部分不满足要求的措施，环评给出了补充措施的要求及建议，分析了补充环保措施的可行性，初步完成编制工作</w:t>
      </w:r>
      <w:r>
        <w:rPr>
          <w:rFonts w:hint="eastAsia" w:cs="Times New Roman"/>
          <w:color w:val="auto"/>
          <w:lang w:eastAsia="zh-CN"/>
        </w:rPr>
        <w:t>。</w:t>
      </w:r>
      <w:r>
        <w:rPr>
          <w:rFonts w:hint="eastAsia" w:cs="Times New Roman"/>
          <w:color w:val="auto"/>
          <w:lang w:val="en-US" w:eastAsia="zh-CN"/>
        </w:rPr>
        <w:t>建设单位</w:t>
      </w:r>
      <w:r>
        <w:rPr>
          <w:rFonts w:hint="eastAsia"/>
          <w:color w:val="auto"/>
          <w:lang w:val="en-US" w:eastAsia="zh-CN"/>
        </w:rPr>
        <w:t>按照《环境影响评价公众参与办法》（生态环境部 部令第4号）开展了征求意见稿公示，分别采取网络平台公开、报纸公开、张贴公告方式，其中网络公开平台为巴中市通江生态环境局网站，公开时间为2026年4月24日-5月11日（10个工作日）；报纸公开平台为《巴中日报》，公开时间为2026年4月29日和2026年5月8日；张贴公告场所为项目现场，公开时间为2026年4月24日-5月11日（10个工作日）。</w:t>
      </w:r>
      <w:r>
        <w:rPr>
          <w:rFonts w:hint="default" w:ascii="Times New Roman" w:hAnsi="Times New Roman" w:cs="Times New Roman"/>
          <w:color w:val="auto"/>
        </w:rPr>
        <w:t>经过建设单位和环评公司内审，认真修改后完成了该项目环评报告书的送审工作</w:t>
      </w:r>
      <w:r>
        <w:rPr>
          <w:rFonts w:hint="eastAsia" w:cs="Times New Roman"/>
          <w:color w:val="auto"/>
          <w:lang w:eastAsia="zh-CN"/>
        </w:rPr>
        <w:t>。</w:t>
      </w:r>
      <w:r>
        <w:rPr>
          <w:rFonts w:hint="eastAsia" w:cs="Times New Roman"/>
          <w:color w:val="auto"/>
          <w:lang w:val="en-US" w:eastAsia="zh-CN"/>
        </w:rPr>
        <w:t>此后，</w:t>
      </w:r>
      <w:r>
        <w:rPr>
          <w:rFonts w:hint="eastAsia"/>
          <w:color w:val="auto"/>
          <w:lang w:val="en-US" w:eastAsia="zh-CN"/>
        </w:rPr>
        <w:t>建设单位于</w:t>
      </w:r>
      <w:r>
        <w:rPr>
          <w:color w:val="auto"/>
          <w:sz w:val="24"/>
          <w:szCs w:val="24"/>
          <w:highlight w:val="none"/>
        </w:rPr>
        <w:t>20</w:t>
      </w:r>
      <w:r>
        <w:rPr>
          <w:rFonts w:hint="eastAsia"/>
          <w:color w:val="auto"/>
          <w:sz w:val="24"/>
          <w:szCs w:val="24"/>
          <w:highlight w:val="none"/>
        </w:rPr>
        <w:t>2</w:t>
      </w:r>
      <w:r>
        <w:rPr>
          <w:rFonts w:hint="eastAsia"/>
          <w:color w:val="auto"/>
          <w:sz w:val="24"/>
          <w:szCs w:val="24"/>
          <w:highlight w:val="none"/>
          <w:lang w:val="en-US" w:eastAsia="zh-CN"/>
        </w:rPr>
        <w:t>6</w:t>
      </w:r>
      <w:r>
        <w:rPr>
          <w:color w:val="auto"/>
          <w:sz w:val="24"/>
          <w:szCs w:val="24"/>
          <w:highlight w:val="none"/>
        </w:rPr>
        <w:t>年</w:t>
      </w:r>
      <w:r>
        <w:rPr>
          <w:rFonts w:hint="eastAsia"/>
          <w:color w:val="auto"/>
          <w:sz w:val="24"/>
          <w:szCs w:val="24"/>
          <w:highlight w:val="none"/>
          <w:lang w:val="en-US" w:eastAsia="zh-CN"/>
        </w:rPr>
        <w:t>5</w:t>
      </w:r>
      <w:r>
        <w:rPr>
          <w:color w:val="auto"/>
          <w:sz w:val="24"/>
          <w:szCs w:val="24"/>
          <w:highlight w:val="none"/>
        </w:rPr>
        <w:t>月</w:t>
      </w:r>
      <w:r>
        <w:rPr>
          <w:rFonts w:hint="eastAsia"/>
          <w:color w:val="auto"/>
          <w:sz w:val="24"/>
          <w:szCs w:val="24"/>
          <w:highlight w:val="none"/>
          <w:lang w:val="en-US" w:eastAsia="zh-CN"/>
        </w:rPr>
        <w:t>12</w:t>
      </w:r>
      <w:r>
        <w:rPr>
          <w:color w:val="auto"/>
          <w:sz w:val="24"/>
          <w:szCs w:val="24"/>
          <w:highlight w:val="none"/>
        </w:rPr>
        <w:t>日在</w:t>
      </w:r>
      <w:r>
        <w:rPr>
          <w:rFonts w:hint="eastAsia"/>
          <w:color w:val="auto"/>
          <w:sz w:val="24"/>
          <w:szCs w:val="24"/>
          <w:highlight w:val="none"/>
          <w:lang w:val="en-US" w:eastAsia="zh-CN"/>
        </w:rPr>
        <w:t>巴中市通江生态环境局</w:t>
      </w:r>
      <w:r>
        <w:rPr>
          <w:rFonts w:hint="eastAsia"/>
          <w:color w:val="auto"/>
          <w:lang w:val="en-US" w:eastAsia="zh-CN"/>
        </w:rPr>
        <w:t>网站</w:t>
      </w:r>
      <w:r>
        <w:rPr>
          <w:color w:val="auto"/>
        </w:rPr>
        <w:t>进行了</w:t>
      </w:r>
      <w:r>
        <w:rPr>
          <w:rFonts w:hint="eastAsia" w:cs="Times New Roman"/>
          <w:color w:val="auto"/>
          <w:lang w:eastAsia="zh-CN"/>
        </w:rPr>
        <w:t>报批前公示</w:t>
      </w:r>
      <w:r>
        <w:rPr>
          <w:rFonts w:hint="default" w:ascii="Times New Roman" w:hAnsi="Times New Roman" w:cs="Times New Roman"/>
          <w:color w:val="auto"/>
        </w:rPr>
        <w:t>。</w:t>
      </w:r>
      <w:r>
        <w:rPr>
          <w:rFonts w:hint="eastAsia" w:cs="Times New Roman"/>
          <w:color w:val="auto"/>
          <w:lang w:val="en-US" w:eastAsia="zh-CN"/>
        </w:rPr>
        <w:t>历次</w:t>
      </w:r>
      <w:r>
        <w:rPr>
          <w:rFonts w:hint="default" w:ascii="Times New Roman" w:hAnsi="Times New Roman" w:cs="Times New Roman"/>
          <w:color w:val="auto"/>
          <w:lang w:val="en-US" w:eastAsia="zh-CN"/>
        </w:rPr>
        <w:t>公示期间</w:t>
      </w:r>
      <w:r>
        <w:rPr>
          <w:rFonts w:hint="eastAsia" w:cs="Times New Roman"/>
          <w:color w:val="auto"/>
          <w:lang w:val="en-US" w:eastAsia="zh-CN"/>
        </w:rPr>
        <w:t>，均</w:t>
      </w:r>
      <w:r>
        <w:rPr>
          <w:rFonts w:hint="default" w:ascii="Times New Roman" w:hAnsi="Times New Roman" w:cs="Times New Roman"/>
          <w:color w:val="auto"/>
          <w:lang w:val="en-US" w:eastAsia="zh-CN"/>
        </w:rPr>
        <w:t>未收到反馈意见</w:t>
      </w:r>
      <w:r>
        <w:rPr>
          <w:rFonts w:hint="eastAsia" w:cs="Times New Roman"/>
          <w:color w:val="auto"/>
          <w:lang w:val="en-US" w:eastAsia="zh-CN"/>
        </w:rPr>
        <w:t>。</w:t>
      </w:r>
    </w:p>
    <w:p w14:paraId="5DFA7CD1">
      <w:pPr>
        <w:pStyle w:val="4"/>
        <w:bidi w:val="0"/>
        <w:rPr>
          <w:rFonts w:hint="eastAsia" w:ascii="Times New Roman" w:hAnsi="Times New Roman"/>
          <w:color w:val="auto"/>
          <w:highlight w:val="none"/>
        </w:rPr>
      </w:pPr>
      <w:bookmarkStart w:id="9" w:name="_Toc17155"/>
      <w:r>
        <w:rPr>
          <w:rFonts w:hint="eastAsia" w:ascii="Times New Roman" w:hAnsi="Times New Roman"/>
          <w:color w:val="auto"/>
          <w:highlight w:val="none"/>
        </w:rPr>
        <w:t>环评工作程序</w:t>
      </w:r>
      <w:bookmarkEnd w:id="9"/>
    </w:p>
    <w:p w14:paraId="50B38924">
      <w:pPr>
        <w:spacing w:line="360" w:lineRule="auto"/>
        <w:rPr>
          <w:rFonts w:ascii="Times New Roman" w:hAnsi="Times New Roman"/>
          <w:color w:val="auto"/>
          <w:sz w:val="24"/>
          <w:szCs w:val="24"/>
        </w:rPr>
      </w:pPr>
      <w:r>
        <w:rPr>
          <w:rFonts w:hint="eastAsia" w:ascii="Times New Roman" w:hAnsi="Times New Roman" w:cs="宋体"/>
          <w:color w:val="auto"/>
          <w:sz w:val="24"/>
          <w:szCs w:val="24"/>
        </w:rPr>
        <w:t>本次环评工作程序分为三个阶段，即：</w:t>
      </w:r>
    </w:p>
    <w:p w14:paraId="7F5226BF">
      <w:pPr>
        <w:spacing w:line="360" w:lineRule="auto"/>
        <w:rPr>
          <w:rFonts w:ascii="Times New Roman" w:hAnsi="Times New Roman"/>
          <w:color w:val="auto"/>
          <w:sz w:val="24"/>
          <w:szCs w:val="24"/>
        </w:rPr>
      </w:pPr>
      <w:r>
        <w:rPr>
          <w:rFonts w:hint="eastAsia" w:ascii="Times New Roman" w:hAnsi="Times New Roman" w:cs="宋体"/>
          <w:color w:val="auto"/>
          <w:sz w:val="24"/>
          <w:szCs w:val="24"/>
        </w:rPr>
        <w:t>①前期准备、调研和工作方案编制阶段；</w:t>
      </w:r>
    </w:p>
    <w:p w14:paraId="3225705A">
      <w:pPr>
        <w:spacing w:line="360" w:lineRule="auto"/>
        <w:rPr>
          <w:rFonts w:ascii="Times New Roman" w:hAnsi="Times New Roman"/>
          <w:color w:val="auto"/>
          <w:sz w:val="24"/>
          <w:szCs w:val="24"/>
        </w:rPr>
      </w:pPr>
      <w:r>
        <w:rPr>
          <w:rFonts w:hint="eastAsia" w:ascii="Times New Roman" w:hAnsi="Times New Roman" w:cs="宋体"/>
          <w:color w:val="auto"/>
          <w:sz w:val="24"/>
          <w:szCs w:val="24"/>
        </w:rPr>
        <w:t>②分析论证和预测评价阶段；</w:t>
      </w:r>
    </w:p>
    <w:p w14:paraId="374B57CE">
      <w:pPr>
        <w:spacing w:line="360" w:lineRule="auto"/>
        <w:rPr>
          <w:rFonts w:ascii="Times New Roman" w:hAnsi="Times New Roman" w:cs="宋体"/>
          <w:color w:val="auto"/>
          <w:sz w:val="24"/>
          <w:szCs w:val="24"/>
        </w:rPr>
      </w:pPr>
      <w:r>
        <w:rPr>
          <w:rFonts w:hint="eastAsia" w:ascii="Times New Roman" w:hAnsi="Times New Roman" w:cs="宋体"/>
          <w:color w:val="auto"/>
          <w:sz w:val="24"/>
          <w:szCs w:val="24"/>
        </w:rPr>
        <w:t>③环境影响报告书编制及审批阶段。</w:t>
      </w:r>
    </w:p>
    <w:p w14:paraId="6380A841">
      <w:pPr>
        <w:autoSpaceDE w:val="0"/>
        <w:autoSpaceDN w:val="0"/>
        <w:adjustRightInd w:val="0"/>
        <w:spacing w:line="360" w:lineRule="auto"/>
        <w:ind w:left="0" w:leftChars="0" w:firstLine="0" w:firstLineChars="0"/>
        <w:jc w:val="center"/>
        <w:rPr>
          <w:rFonts w:ascii="Times New Roman" w:hAnsi="Times New Roman" w:cstheme="minorHAnsi"/>
          <w:color w:val="auto"/>
          <w:kern w:val="0"/>
          <w:sz w:val="24"/>
          <w:szCs w:val="24"/>
        </w:rPr>
      </w:pPr>
      <w:r>
        <w:rPr>
          <w:rFonts w:ascii="Times New Roman" w:hAnsi="Times New Roman" w:cs="Times New Roman"/>
          <w:color w:val="auto"/>
        </w:rPr>
        <w:object>
          <v:shape id="_x0000_i1025" o:spt="75" type="#_x0000_t75" style="height:461.15pt;width:380.2pt;" o:ole="t" filled="f" o:preferrelative="t" stroked="f" coordsize="21600,21600">
            <v:path/>
            <v:fill on="f" focussize="0,0"/>
            <v:stroke on="f"/>
            <v:imagedata r:id="rId15" cropleft="1714f" croptop="-932f" cropbottom="-518f" o:title=""/>
            <o:lock v:ext="edit" aspectratio="t"/>
            <w10:wrap type="none"/>
            <w10:anchorlock/>
          </v:shape>
          <o:OLEObject Type="Embed" ProgID="Visio.Drawing.15" ShapeID="_x0000_i1025" DrawAspect="Content" ObjectID="_1468075725" r:id="rId14">
            <o:LockedField>false</o:LockedField>
          </o:OLEObject>
        </w:object>
      </w:r>
    </w:p>
    <w:p w14:paraId="09EB473B">
      <w:pPr>
        <w:numPr>
          <w:ilvl w:val="0"/>
          <w:numId w:val="3"/>
        </w:numPr>
        <w:autoSpaceDE w:val="0"/>
        <w:autoSpaceDN w:val="0"/>
        <w:adjustRightInd w:val="0"/>
        <w:spacing w:line="360" w:lineRule="auto"/>
        <w:ind w:left="425" w:leftChars="0" w:hanging="425" w:firstLineChars="0"/>
        <w:jc w:val="center"/>
        <w:rPr>
          <w:rFonts w:ascii="Times New Roman"/>
          <w:color w:val="auto"/>
          <w:sz w:val="21"/>
          <w:szCs w:val="21"/>
        </w:rPr>
      </w:pPr>
      <w:r>
        <w:rPr>
          <w:rFonts w:ascii="Times New Roman" w:hAnsi="Times New Roman" w:eastAsia="黑体"/>
          <w:color w:val="auto"/>
          <w:sz w:val="21"/>
          <w:szCs w:val="21"/>
        </w:rPr>
        <w:t>建设项目环境影响评价工作程序</w:t>
      </w:r>
    </w:p>
    <w:p w14:paraId="1E10BAF2">
      <w:pPr>
        <w:pStyle w:val="3"/>
        <w:bidi w:val="0"/>
        <w:rPr>
          <w:rFonts w:hint="default" w:ascii="Times New Roman" w:hAnsi="Times New Roman"/>
          <w:color w:val="auto"/>
          <w:highlight w:val="none"/>
        </w:rPr>
      </w:pPr>
      <w:bookmarkStart w:id="10" w:name="_Toc21767"/>
      <w:bookmarkStart w:id="11" w:name="_Toc6526"/>
      <w:r>
        <w:rPr>
          <w:rFonts w:hint="eastAsia" w:ascii="Times New Roman" w:hAnsi="Times New Roman"/>
          <w:color w:val="auto"/>
          <w:highlight w:val="none"/>
        </w:rPr>
        <w:t>分析</w:t>
      </w:r>
      <w:r>
        <w:rPr>
          <w:rFonts w:hint="default" w:ascii="Times New Roman" w:hAnsi="Times New Roman"/>
          <w:color w:val="auto"/>
          <w:highlight w:val="none"/>
        </w:rPr>
        <w:t>判定相关情况</w:t>
      </w:r>
      <w:bookmarkEnd w:id="10"/>
      <w:bookmarkEnd w:id="11"/>
    </w:p>
    <w:p w14:paraId="606E85DF">
      <w:pPr>
        <w:ind w:left="0" w:leftChars="0" w:firstLine="482" w:firstLineChars="200"/>
        <w:outlineLvl w:val="3"/>
        <w:rPr>
          <w:rFonts w:hint="default"/>
          <w:b/>
          <w:bCs/>
          <w:color w:val="auto"/>
          <w:lang w:val="en-US" w:eastAsia="zh-CN"/>
        </w:rPr>
      </w:pPr>
      <w:r>
        <w:rPr>
          <w:rFonts w:hint="eastAsia"/>
          <w:b/>
          <w:bCs/>
          <w:color w:val="auto"/>
          <w:lang w:val="en-US" w:eastAsia="zh-CN"/>
        </w:rPr>
        <w:t>1、产业政策符合性</w:t>
      </w:r>
    </w:p>
    <w:p w14:paraId="78C192B2">
      <w:pPr>
        <w:spacing w:line="360" w:lineRule="auto"/>
        <w:ind w:left="0" w:leftChars="0" w:firstLine="480" w:firstLineChars="200"/>
        <w:rPr>
          <w:rFonts w:hint="eastAsia"/>
          <w:color w:val="auto"/>
          <w:kern w:val="0"/>
          <w:sz w:val="24"/>
          <w:lang w:val="en-US" w:eastAsia="zh-CN"/>
        </w:rPr>
      </w:pPr>
      <w:r>
        <w:rPr>
          <w:rFonts w:hint="eastAsia"/>
          <w:bCs/>
          <w:color w:val="auto"/>
          <w:kern w:val="0"/>
          <w:sz w:val="24"/>
          <w:lang w:val="en-US" w:eastAsia="zh-CN"/>
        </w:rPr>
        <w:t>本项目为混凝土添加剂生产，属于《国民经济行业分类》（GB/T4754-2017）中“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根据《产业结构调整指导目录（2024年本）》，项目不属于鼓励类、限制类、淘汰类，为允许类；根据《四川省国家重点生态功能区产业准入负面清单（第一批）（试行）》，项目不属于通江县限制类、禁止类产业；</w:t>
      </w:r>
      <w:r>
        <w:rPr>
          <w:rFonts w:hint="eastAsia"/>
          <w:color w:val="auto"/>
          <w:kern w:val="0"/>
          <w:sz w:val="24"/>
          <w:lang w:val="en-US" w:eastAsia="zh-CN"/>
        </w:rPr>
        <w:t>根据四川省发展和改革委员会 四川省经济和信息化厅关于印发《四川省“两高”项目管理目录（试行）》的通知（川发改环资函〔2024〕259号），本项目不属于纳入“两高”管理范围的产品或工艺（工序）；本项目也不涉及《环境保护综合名录（2021年版）》中高污染、高环境风险产品，不属于高污染项目。同时，四川巴中经济开发区经济发展局对本项目进行了备案（川投资备〔2603-511924-04-01-913052〕FGQB-0026号）（见附件2-1）。</w:t>
      </w:r>
    </w:p>
    <w:p w14:paraId="79416276">
      <w:pPr>
        <w:spacing w:line="360" w:lineRule="auto"/>
        <w:rPr>
          <w:rFonts w:ascii="Times New Roman" w:hAnsi="Times New Roman"/>
          <w:color w:val="auto"/>
          <w:sz w:val="24"/>
          <w:szCs w:val="24"/>
        </w:rPr>
      </w:pPr>
      <w:r>
        <w:rPr>
          <w:rFonts w:hint="eastAsia"/>
          <w:color w:val="auto"/>
          <w:sz w:val="24"/>
          <w:lang w:val="en-US" w:eastAsia="zh-CN"/>
        </w:rPr>
        <w:t>因此</w:t>
      </w:r>
      <w:r>
        <w:rPr>
          <w:rFonts w:hint="eastAsia"/>
          <w:color w:val="auto"/>
          <w:sz w:val="24"/>
        </w:rPr>
        <w:t>，</w:t>
      </w:r>
      <w:r>
        <w:rPr>
          <w:rFonts w:cstheme="minorHAnsi"/>
          <w:color w:val="auto"/>
          <w:sz w:val="24"/>
          <w:szCs w:val="24"/>
        </w:rPr>
        <w:t>本项目符合国家现行产业政策</w:t>
      </w:r>
      <w:r>
        <w:rPr>
          <w:rFonts w:ascii="Times New Roman" w:hAnsi="Times New Roman"/>
          <w:color w:val="auto"/>
          <w:sz w:val="24"/>
          <w:szCs w:val="24"/>
        </w:rPr>
        <w:t>。</w:t>
      </w:r>
    </w:p>
    <w:p w14:paraId="5838936C">
      <w:pPr>
        <w:ind w:left="0" w:leftChars="0" w:firstLine="482" w:firstLineChars="200"/>
        <w:outlineLvl w:val="3"/>
        <w:rPr>
          <w:rFonts w:hint="eastAsia"/>
          <w:b/>
          <w:bCs/>
          <w:color w:val="auto"/>
          <w:lang w:val="en-US" w:eastAsia="zh-CN"/>
        </w:rPr>
      </w:pPr>
      <w:r>
        <w:rPr>
          <w:rFonts w:hint="eastAsia"/>
          <w:b/>
          <w:bCs/>
          <w:color w:val="auto"/>
          <w:lang w:val="en-US" w:eastAsia="zh-CN"/>
        </w:rPr>
        <w:t>2、规划符合性</w:t>
      </w:r>
    </w:p>
    <w:p w14:paraId="6D3E71C9">
      <w:pPr>
        <w:numPr>
          <w:ilvl w:val="0"/>
          <w:numId w:val="0"/>
        </w:numPr>
        <w:spacing w:line="360" w:lineRule="auto"/>
        <w:ind w:firstLine="480" w:firstLineChars="200"/>
        <w:rPr>
          <w:rFonts w:hint="eastAsia" w:ascii="Times New Roman" w:hAnsi="Times New Roman" w:cs="Times New Roman"/>
          <w:bCs/>
          <w:color w:val="auto"/>
          <w:sz w:val="24"/>
        </w:rPr>
      </w:pPr>
      <w:r>
        <w:rPr>
          <w:rFonts w:hint="default"/>
          <w:color w:val="auto"/>
          <w:sz w:val="24"/>
          <w:szCs w:val="24"/>
          <w:lang w:val="en-US" w:eastAsia="zh-CN"/>
        </w:rPr>
        <w:t>本项目</w:t>
      </w:r>
      <w:r>
        <w:rPr>
          <w:rFonts w:hint="eastAsia"/>
          <w:color w:val="auto"/>
          <w:sz w:val="24"/>
          <w:szCs w:val="24"/>
          <w:lang w:val="en-US" w:eastAsia="zh-CN"/>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default"/>
          <w:color w:val="auto"/>
          <w:sz w:val="24"/>
          <w:szCs w:val="24"/>
          <w:lang w:val="en-US" w:eastAsia="zh-CN"/>
        </w:rPr>
        <w:t>，根据分析，项目建设符合</w:t>
      </w:r>
      <w:r>
        <w:rPr>
          <w:rFonts w:hint="eastAsia" w:ascii="Times New Roman" w:hAnsi="Times New Roman"/>
          <w:color w:val="auto"/>
          <w:sz w:val="24"/>
          <w:szCs w:val="24"/>
          <w:lang w:val="en-US" w:eastAsia="zh-CN"/>
        </w:rPr>
        <w:t>《</w:t>
      </w:r>
      <w:r>
        <w:rPr>
          <w:rFonts w:hint="eastAsia"/>
          <w:color w:val="auto"/>
          <w:sz w:val="24"/>
          <w:szCs w:val="24"/>
          <w:lang w:val="en-US" w:eastAsia="zh-CN"/>
        </w:rPr>
        <w:t>巴中市</w:t>
      </w:r>
      <w:r>
        <w:rPr>
          <w:rFonts w:hint="eastAsia" w:ascii="Times New Roman" w:hAnsi="Times New Roman"/>
          <w:color w:val="auto"/>
          <w:sz w:val="24"/>
          <w:szCs w:val="24"/>
          <w:lang w:val="en-US" w:eastAsia="zh-CN"/>
        </w:rPr>
        <w:t>国土空间总体规划</w:t>
      </w:r>
      <w:r>
        <w:rPr>
          <w:rFonts w:hint="eastAsia" w:ascii="Times New Roman" w:hAnsi="Times New Roman"/>
          <w:color w:val="auto"/>
          <w:sz w:val="24"/>
          <w:szCs w:val="24"/>
          <w:lang w:eastAsia="zh-CN"/>
        </w:rPr>
        <w:t>（20</w:t>
      </w:r>
      <w:r>
        <w:rPr>
          <w:rFonts w:hint="eastAsia" w:ascii="Times New Roman" w:hAnsi="Times New Roman"/>
          <w:color w:val="auto"/>
          <w:sz w:val="24"/>
          <w:szCs w:val="24"/>
          <w:lang w:val="en-US" w:eastAsia="zh-CN"/>
        </w:rPr>
        <w:t>21</w:t>
      </w:r>
      <w:r>
        <w:rPr>
          <w:rFonts w:hint="eastAsia" w:ascii="Times New Roman" w:hAnsi="Times New Roman"/>
          <w:color w:val="auto"/>
          <w:sz w:val="24"/>
          <w:szCs w:val="24"/>
          <w:lang w:eastAsia="zh-CN"/>
        </w:rPr>
        <w:t>-20</w:t>
      </w:r>
      <w:r>
        <w:rPr>
          <w:rFonts w:hint="eastAsia" w:ascii="Times New Roman" w:hAnsi="Times New Roman"/>
          <w:color w:val="auto"/>
          <w:sz w:val="24"/>
          <w:szCs w:val="24"/>
          <w:lang w:val="en-US" w:eastAsia="zh-CN"/>
        </w:rPr>
        <w:t>35</w:t>
      </w:r>
      <w:r>
        <w:rPr>
          <w:rFonts w:hint="eastAsia" w:ascii="Times New Roman" w:hAnsi="Times New Roman"/>
          <w:color w:val="auto"/>
          <w:sz w:val="24"/>
          <w:szCs w:val="24"/>
          <w:lang w:eastAsia="zh-CN"/>
        </w:rPr>
        <w:t>）》</w:t>
      </w:r>
      <w:r>
        <w:rPr>
          <w:rFonts w:hint="eastAsia"/>
          <w:color w:val="auto"/>
          <w:sz w:val="24"/>
          <w:szCs w:val="24"/>
          <w:lang w:val="en-US" w:eastAsia="zh-CN"/>
        </w:rPr>
        <w:t>和《通江县国土空间总体规划（2021-2035年）》</w:t>
      </w:r>
      <w:r>
        <w:rPr>
          <w:rFonts w:hint="eastAsia" w:ascii="Times New Roman" w:hAnsi="Times New Roman"/>
          <w:color w:val="auto"/>
          <w:sz w:val="24"/>
          <w:szCs w:val="24"/>
          <w:lang w:eastAsia="zh-CN"/>
        </w:rPr>
        <w:t>，</w:t>
      </w:r>
      <w:r>
        <w:rPr>
          <w:rFonts w:hint="eastAsia" w:ascii="Times New Roman" w:hAnsi="Times New Roman" w:cs="Times New Roman"/>
          <w:color w:val="auto"/>
          <w:sz w:val="24"/>
          <w:szCs w:val="24"/>
        </w:rPr>
        <w:t>符合</w:t>
      </w:r>
      <w:r>
        <w:rPr>
          <w:rFonts w:hint="eastAsia"/>
          <w:color w:val="auto"/>
          <w:sz w:val="24"/>
          <w:lang w:val="en-US" w:eastAsia="zh-CN"/>
        </w:rPr>
        <w:t>四川巴中经济开发区规划修编</w:t>
      </w:r>
      <w:r>
        <w:rPr>
          <w:rFonts w:hint="eastAsia" w:cs="Times New Roman"/>
          <w:color w:val="auto"/>
          <w:sz w:val="24"/>
          <w:szCs w:val="24"/>
          <w:lang w:val="en-US" w:eastAsia="zh-CN"/>
        </w:rPr>
        <w:t>及规划环评</w:t>
      </w:r>
      <w:r>
        <w:rPr>
          <w:rFonts w:hint="eastAsia" w:ascii="Times New Roman" w:hAnsi="Times New Roman" w:cs="Times New Roman"/>
          <w:color w:val="auto"/>
          <w:sz w:val="24"/>
          <w:szCs w:val="24"/>
        </w:rPr>
        <w:t>中相关要求，</w:t>
      </w:r>
      <w:r>
        <w:rPr>
          <w:rFonts w:hint="eastAsia" w:ascii="Times New Roman" w:hAnsi="Times New Roman" w:cs="Times New Roman"/>
          <w:color w:val="auto"/>
          <w:sz w:val="24"/>
          <w:szCs w:val="24"/>
          <w:lang w:val="en-US" w:eastAsia="zh-CN"/>
        </w:rPr>
        <w:t>符合</w:t>
      </w:r>
      <w:r>
        <w:rPr>
          <w:rFonts w:hint="eastAsia" w:cs="Times New Roman"/>
          <w:color w:val="auto"/>
          <w:sz w:val="24"/>
          <w:szCs w:val="24"/>
          <w:lang w:val="en-US" w:eastAsia="zh-CN"/>
        </w:rPr>
        <w:t>巴中</w:t>
      </w:r>
      <w:r>
        <w:rPr>
          <w:rFonts w:hint="eastAsia" w:ascii="Times New Roman" w:hAnsi="Times New Roman" w:cs="Times New Roman"/>
          <w:color w:val="auto"/>
          <w:sz w:val="24"/>
          <w:szCs w:val="24"/>
          <w:lang w:val="en-US" w:eastAsia="zh-CN"/>
        </w:rPr>
        <w:t>市生态环境分区管控要求</w:t>
      </w:r>
      <w:r>
        <w:rPr>
          <w:rFonts w:hint="eastAsia" w:cs="Times New Roman"/>
          <w:color w:val="auto"/>
          <w:sz w:val="24"/>
          <w:szCs w:val="24"/>
          <w:lang w:val="en-US" w:eastAsia="zh-CN"/>
        </w:rPr>
        <w:t>；符合长江保护相关法规政策</w:t>
      </w:r>
      <w:r>
        <w:rPr>
          <w:rFonts w:hint="eastAsia" w:ascii="Times New Roman" w:hAnsi="Times New Roman" w:cs="Times New Roman"/>
          <w:color w:val="auto"/>
          <w:sz w:val="24"/>
          <w:szCs w:val="24"/>
          <w:lang w:val="en-US" w:eastAsia="zh-CN"/>
        </w:rPr>
        <w:t>、《关于加强高耗能、高排放建设项目生态环境源头防控的指导意见》等相关要求</w:t>
      </w:r>
      <w:r>
        <w:rPr>
          <w:rFonts w:hint="eastAsia" w:cs="Times New Roman"/>
          <w:color w:val="auto"/>
          <w:sz w:val="24"/>
          <w:szCs w:val="24"/>
          <w:lang w:val="en-US" w:eastAsia="zh-CN"/>
        </w:rPr>
        <w:t>，</w:t>
      </w:r>
      <w:r>
        <w:rPr>
          <w:rFonts w:hint="eastAsia" w:ascii="Times New Roman" w:hAnsi="Times New Roman" w:cs="Times New Roman"/>
          <w:color w:val="auto"/>
          <w:sz w:val="24"/>
          <w:szCs w:val="24"/>
        </w:rPr>
        <w:t>符合大气污染防治、水污染防治及</w:t>
      </w:r>
      <w:r>
        <w:rPr>
          <w:rFonts w:hint="eastAsia" w:ascii="Times New Roman" w:hAnsi="Times New Roman"/>
          <w:color w:val="auto"/>
          <w:sz w:val="24"/>
        </w:rPr>
        <w:t>土壤</w:t>
      </w:r>
      <w:r>
        <w:rPr>
          <w:rFonts w:ascii="Times New Roman" w:hAnsi="Times New Roman"/>
          <w:color w:val="auto"/>
          <w:sz w:val="24"/>
        </w:rPr>
        <w:t>污染防治</w:t>
      </w:r>
      <w:r>
        <w:rPr>
          <w:rFonts w:hint="eastAsia" w:ascii="Times New Roman" w:hAnsi="Times New Roman" w:cs="Times New Roman"/>
          <w:color w:val="auto"/>
          <w:sz w:val="24"/>
          <w:szCs w:val="24"/>
        </w:rPr>
        <w:t>相关法规、规范的相关要求</w:t>
      </w:r>
      <w:r>
        <w:rPr>
          <w:rFonts w:hint="eastAsia" w:ascii="Times New Roman" w:hAnsi="Times New Roman" w:cs="Times New Roman"/>
          <w:bCs/>
          <w:color w:val="auto"/>
          <w:sz w:val="24"/>
        </w:rPr>
        <w:t>。</w:t>
      </w:r>
      <w:bookmarkStart w:id="12" w:name="_Toc6722"/>
    </w:p>
    <w:p w14:paraId="72A629B8">
      <w:pPr>
        <w:pStyle w:val="3"/>
        <w:bidi w:val="0"/>
        <w:rPr>
          <w:rFonts w:hint="eastAsia" w:ascii="Times New Roman" w:hAnsi="Times New Roman"/>
          <w:color w:val="auto"/>
          <w:highlight w:val="none"/>
        </w:rPr>
      </w:pPr>
      <w:bookmarkStart w:id="13" w:name="_Toc12241"/>
      <w:r>
        <w:rPr>
          <w:rFonts w:hint="eastAsia" w:ascii="Times New Roman" w:hAnsi="Times New Roman"/>
          <w:color w:val="auto"/>
          <w:highlight w:val="none"/>
        </w:rPr>
        <w:t>主要环境问题及环境影响</w:t>
      </w:r>
      <w:bookmarkEnd w:id="12"/>
      <w:bookmarkEnd w:id="13"/>
    </w:p>
    <w:p w14:paraId="0DCEF893">
      <w:pPr>
        <w:pStyle w:val="4"/>
        <w:bidi w:val="0"/>
        <w:rPr>
          <w:rFonts w:hint="eastAsia" w:ascii="Times New Roman" w:hAnsi="Times New Roman"/>
          <w:color w:val="auto"/>
          <w:highlight w:val="none"/>
        </w:rPr>
      </w:pPr>
      <w:bookmarkStart w:id="14" w:name="_Toc28906"/>
      <w:r>
        <w:rPr>
          <w:rFonts w:hint="eastAsia" w:ascii="Times New Roman" w:hAnsi="Times New Roman"/>
          <w:color w:val="auto"/>
          <w:highlight w:val="none"/>
        </w:rPr>
        <w:t>关注的主要环境问题</w:t>
      </w:r>
      <w:bookmarkEnd w:id="14"/>
    </w:p>
    <w:p w14:paraId="4FCE9A35">
      <w:pPr>
        <w:spacing w:line="360" w:lineRule="auto"/>
        <w:ind w:left="0" w:leftChars="0" w:firstLine="480" w:firstLineChars="200"/>
        <w:rPr>
          <w:rFonts w:ascii="Times New Roman"/>
          <w:color w:val="auto"/>
          <w:sz w:val="24"/>
        </w:rPr>
      </w:pPr>
      <w:r>
        <w:rPr>
          <w:rFonts w:ascii="Times New Roman"/>
          <w:color w:val="auto"/>
          <w:sz w:val="24"/>
        </w:rPr>
        <w:t>针对项目建设特点，本次环境影响评价过程中关注的主要环境问题如下：</w:t>
      </w:r>
    </w:p>
    <w:p w14:paraId="2B33A39D">
      <w:pPr>
        <w:spacing w:line="360" w:lineRule="auto"/>
        <w:ind w:left="0" w:leftChars="0" w:firstLine="480" w:firstLineChars="200"/>
        <w:rPr>
          <w:rFonts w:ascii="Times New Roman"/>
          <w:color w:val="auto"/>
          <w:sz w:val="24"/>
        </w:rPr>
      </w:pPr>
      <w:r>
        <w:rPr>
          <w:rFonts w:ascii="Times New Roman"/>
          <w:color w:val="auto"/>
          <w:sz w:val="24"/>
        </w:rPr>
        <w:t>1</w:t>
      </w:r>
      <w:r>
        <w:rPr>
          <w:rFonts w:hint="eastAsia" w:ascii="Times New Roman"/>
          <w:color w:val="auto"/>
          <w:sz w:val="24"/>
        </w:rPr>
        <w:t>、通过对项目所在地区环境质量现状调查，弄清区域的大气环境、地表水环境、地下水环境、声环境和土壤环境质量现状。</w:t>
      </w:r>
    </w:p>
    <w:p w14:paraId="0100254E">
      <w:pPr>
        <w:spacing w:line="360" w:lineRule="auto"/>
        <w:ind w:left="0" w:leftChars="0" w:firstLine="480" w:firstLineChars="200"/>
        <w:rPr>
          <w:rFonts w:ascii="Times New Roman"/>
          <w:color w:val="auto"/>
          <w:sz w:val="24"/>
        </w:rPr>
      </w:pPr>
      <w:r>
        <w:rPr>
          <w:rFonts w:hint="eastAsia" w:ascii="Times New Roman"/>
          <w:color w:val="auto"/>
          <w:sz w:val="24"/>
        </w:rPr>
        <w:t>2、根据建设项目工程分析，识别出废气、废水、噪声和固体废物等可能造成的环境污染，结合项目拟设置的污染防治措施，明确其是否能够满足国家和地方排放限值要求。</w:t>
      </w:r>
    </w:p>
    <w:p w14:paraId="421B8947">
      <w:pPr>
        <w:spacing w:line="360" w:lineRule="auto"/>
        <w:ind w:left="0" w:leftChars="0" w:firstLine="480" w:firstLineChars="200"/>
        <w:rPr>
          <w:rFonts w:ascii="Times New Roman"/>
          <w:color w:val="auto"/>
          <w:sz w:val="24"/>
        </w:rPr>
      </w:pPr>
      <w:r>
        <w:rPr>
          <w:rFonts w:ascii="Times New Roman"/>
          <w:color w:val="auto"/>
          <w:sz w:val="24"/>
        </w:rPr>
        <w:t>3</w:t>
      </w:r>
      <w:r>
        <w:rPr>
          <w:rFonts w:hint="eastAsia" w:ascii="Times New Roman"/>
          <w:color w:val="auto"/>
          <w:sz w:val="24"/>
        </w:rPr>
        <w:t>、</w:t>
      </w:r>
      <w:r>
        <w:rPr>
          <w:rFonts w:ascii="Times New Roman" w:hAnsi="Times New Roman" w:cs="Times New Roman"/>
          <w:color w:val="auto"/>
          <w:sz w:val="24"/>
        </w:rPr>
        <w:t>根据建设项目特点、可能产生的环境影响和当地环境特征，识别地下水、土壤环境影响类型与影响途径，提出保护措施与对策，分析是否满足地下水、土壤污染防控要求。</w:t>
      </w:r>
    </w:p>
    <w:p w14:paraId="5476431F">
      <w:pPr>
        <w:spacing w:line="360" w:lineRule="auto"/>
        <w:ind w:left="0" w:leftChars="0" w:firstLine="480" w:firstLineChars="200"/>
        <w:rPr>
          <w:rFonts w:ascii="Times New Roman"/>
          <w:color w:val="auto"/>
          <w:sz w:val="24"/>
        </w:rPr>
      </w:pPr>
      <w:r>
        <w:rPr>
          <w:rFonts w:ascii="Times New Roman"/>
          <w:color w:val="auto"/>
          <w:sz w:val="24"/>
        </w:rPr>
        <w:t>4</w:t>
      </w:r>
      <w:r>
        <w:rPr>
          <w:rFonts w:hint="eastAsia" w:ascii="Times New Roman"/>
          <w:color w:val="auto"/>
          <w:sz w:val="24"/>
        </w:rPr>
        <w:t>、根据建设项目工程分析，识别出项目可能存在的环境风险，结合拟设置的环境风险防范体系、应急措施、应急</w:t>
      </w:r>
      <w:r>
        <w:rPr>
          <w:rFonts w:hint="eastAsia" w:ascii="Times New Roman"/>
          <w:color w:val="auto"/>
          <w:sz w:val="24"/>
          <w:lang w:val="en-US" w:eastAsia="zh-CN"/>
        </w:rPr>
        <w:t>物资</w:t>
      </w:r>
      <w:r>
        <w:rPr>
          <w:rFonts w:hint="eastAsia" w:ascii="Times New Roman"/>
          <w:color w:val="auto"/>
          <w:sz w:val="24"/>
        </w:rPr>
        <w:t>等内容是否满足风险防控的要求。</w:t>
      </w:r>
    </w:p>
    <w:p w14:paraId="4F6C54BD">
      <w:pPr>
        <w:pStyle w:val="4"/>
        <w:bidi w:val="0"/>
        <w:rPr>
          <w:rFonts w:hint="eastAsia" w:ascii="Times New Roman" w:hAnsi="Times New Roman"/>
          <w:color w:val="auto"/>
          <w:highlight w:val="none"/>
        </w:rPr>
      </w:pPr>
      <w:bookmarkStart w:id="15" w:name="_Toc29018"/>
      <w:r>
        <w:rPr>
          <w:rFonts w:hint="eastAsia" w:ascii="Times New Roman" w:hAnsi="Times New Roman"/>
          <w:color w:val="auto"/>
          <w:highlight w:val="none"/>
        </w:rPr>
        <w:t>主要环境影响</w:t>
      </w:r>
      <w:bookmarkEnd w:id="15"/>
    </w:p>
    <w:p w14:paraId="2BF53C2A">
      <w:pPr>
        <w:spacing w:line="360" w:lineRule="auto"/>
        <w:ind w:left="0" w:leftChars="0" w:firstLine="480" w:firstLineChars="200"/>
        <w:rPr>
          <w:rFonts w:hint="eastAsia"/>
          <w:color w:val="auto"/>
          <w:sz w:val="24"/>
          <w:lang w:val="en-US" w:eastAsia="zh-CN"/>
        </w:rPr>
      </w:pPr>
      <w:r>
        <w:rPr>
          <w:rFonts w:hint="eastAsia"/>
          <w:color w:val="auto"/>
          <w:sz w:val="24"/>
          <w:lang w:eastAsia="zh-CN"/>
        </w:rPr>
        <w:t>运营期</w:t>
      </w:r>
      <w:r>
        <w:rPr>
          <w:rFonts w:hint="eastAsia" w:ascii="Times New Roman"/>
          <w:color w:val="auto"/>
          <w:sz w:val="24"/>
        </w:rPr>
        <w:t>主要环境影响因素为废气、废水、噪声和固体废物，</w:t>
      </w:r>
      <w:r>
        <w:rPr>
          <w:rFonts w:hint="eastAsia"/>
          <w:color w:val="auto"/>
          <w:sz w:val="24"/>
          <w:lang w:val="en-US" w:eastAsia="zh-CN"/>
        </w:rPr>
        <w:t>此外，项目还存在一定的环境风险。</w:t>
      </w:r>
      <w:r>
        <w:rPr>
          <w:rFonts w:hint="eastAsia" w:ascii="Times New Roman"/>
          <w:color w:val="auto"/>
          <w:sz w:val="24"/>
        </w:rPr>
        <w:t>通过对项目工程分析及区域环境调查，识别出本项目对环境的影响情况</w:t>
      </w:r>
      <w:r>
        <w:rPr>
          <w:rFonts w:hint="eastAsia"/>
          <w:color w:val="auto"/>
          <w:sz w:val="24"/>
          <w:lang w:val="en-US" w:eastAsia="zh-CN"/>
        </w:rPr>
        <w:t>如下：</w:t>
      </w:r>
    </w:p>
    <w:p w14:paraId="19B22C60">
      <w:pPr>
        <w:numPr>
          <w:ilvl w:val="0"/>
          <w:numId w:val="4"/>
        </w:numPr>
        <w:ind w:left="420" w:leftChars="0" w:firstLine="0" w:firstLineChars="0"/>
        <w:outlineLvl w:val="3"/>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大气环境影响</w:t>
      </w:r>
    </w:p>
    <w:p w14:paraId="2A50410C">
      <w:pPr>
        <w:spacing w:line="360" w:lineRule="auto"/>
        <w:ind w:left="0" w:leftChars="0" w:firstLine="480" w:firstLineChars="200"/>
        <w:rPr>
          <w:rFonts w:hint="eastAsia"/>
          <w:b w:val="0"/>
          <w:bCs w:val="0"/>
          <w:color w:val="auto"/>
          <w:sz w:val="24"/>
          <w:lang w:val="en-US" w:eastAsia="zh-CN"/>
        </w:rPr>
      </w:pPr>
      <w:r>
        <w:rPr>
          <w:rFonts w:hint="eastAsia"/>
          <w:b w:val="0"/>
          <w:bCs w:val="0"/>
          <w:color w:val="auto"/>
          <w:sz w:val="24"/>
          <w:lang w:val="en-US" w:eastAsia="zh-CN"/>
        </w:rPr>
        <w:t>本项目大气</w:t>
      </w:r>
      <w:r>
        <w:rPr>
          <w:rFonts w:hint="default" w:ascii="Times New Roman" w:hAnsi="Times New Roman" w:cs="Times New Roman"/>
          <w:b w:val="0"/>
          <w:bCs w:val="0"/>
          <w:color w:val="auto"/>
          <w:highlight w:val="none"/>
        </w:rPr>
        <w:t>环境影响评价工作等级为</w:t>
      </w:r>
      <w:r>
        <w:rPr>
          <w:rFonts w:hint="eastAsia" w:cs="Times New Roman"/>
          <w:b/>
          <w:bCs/>
          <w:color w:val="auto"/>
          <w:highlight w:val="none"/>
          <w:lang w:val="en-US" w:eastAsia="zh-CN"/>
        </w:rPr>
        <w:t>一</w:t>
      </w:r>
      <w:r>
        <w:rPr>
          <w:rFonts w:hint="default" w:ascii="Times New Roman" w:hAnsi="Times New Roman" w:cs="Times New Roman"/>
          <w:b/>
          <w:bCs/>
          <w:color w:val="auto"/>
          <w:highlight w:val="none"/>
        </w:rPr>
        <w:t>级</w:t>
      </w:r>
      <w:r>
        <w:rPr>
          <w:rFonts w:hint="eastAsia"/>
          <w:b w:val="0"/>
          <w:bCs w:val="0"/>
          <w:color w:val="auto"/>
          <w:sz w:val="24"/>
          <w:lang w:val="en-US" w:eastAsia="zh-CN"/>
        </w:rPr>
        <w:t>。</w:t>
      </w:r>
    </w:p>
    <w:p w14:paraId="6CFEB7CC">
      <w:pPr>
        <w:ind w:left="0" w:leftChars="0" w:firstLine="480" w:firstLineChars="200"/>
        <w:rPr>
          <w:rFonts w:hint="eastAsia"/>
          <w:color w:val="auto"/>
          <w:sz w:val="24"/>
          <w:lang w:val="en-US" w:eastAsia="zh-CN"/>
        </w:rPr>
      </w:pPr>
      <w:r>
        <w:rPr>
          <w:rFonts w:cs="Times New Roman"/>
          <w:color w:val="auto"/>
        </w:rPr>
        <w:t>根据</w:t>
      </w:r>
      <w:r>
        <w:rPr>
          <w:rFonts w:hint="eastAsia" w:cs="Times New Roman"/>
          <w:color w:val="auto"/>
          <w:lang w:val="en-US" w:eastAsia="zh-CN"/>
        </w:rPr>
        <w:t>大气</w:t>
      </w:r>
      <w:r>
        <w:rPr>
          <w:rFonts w:cs="Times New Roman"/>
          <w:color w:val="auto"/>
        </w:rPr>
        <w:t>环境影响预测结果可知</w:t>
      </w:r>
      <w:r>
        <w:rPr>
          <w:rFonts w:hint="eastAsia" w:cs="Times New Roman"/>
          <w:color w:val="auto"/>
          <w:lang w:eastAsia="zh-CN"/>
        </w:rPr>
        <w:t>：</w:t>
      </w:r>
      <w:r>
        <w:rPr>
          <w:rFonts w:cs="Times New Roman"/>
          <w:color w:val="auto"/>
        </w:rPr>
        <w:t>本项目新增污染源正常排放下污染物短期浓度（1小时平均</w:t>
      </w:r>
      <w:r>
        <w:rPr>
          <w:rFonts w:hint="eastAsia" w:cs="Times New Roman"/>
          <w:color w:val="auto"/>
          <w:lang w:eastAsia="zh-CN"/>
        </w:rPr>
        <w:t>、</w:t>
      </w:r>
      <w:r>
        <w:rPr>
          <w:rFonts w:hint="eastAsia" w:cs="Times New Roman"/>
          <w:color w:val="auto"/>
          <w:lang w:val="en-US" w:eastAsia="zh-CN"/>
        </w:rPr>
        <w:t>日平均</w:t>
      </w:r>
      <w:r>
        <w:rPr>
          <w:rFonts w:cs="Times New Roman"/>
          <w:color w:val="auto"/>
        </w:rPr>
        <w:t>）贡献值的最大浓度占标率均小于100%，污染物年均浓度贡献值的最大浓度占标率</w:t>
      </w:r>
      <w:r>
        <w:rPr>
          <w:rFonts w:hint="eastAsia" w:cs="Times New Roman"/>
          <w:color w:val="auto"/>
          <w:lang w:val="en-US" w:eastAsia="zh-CN"/>
        </w:rPr>
        <w:t>均</w:t>
      </w:r>
      <w:r>
        <w:rPr>
          <w:rFonts w:cs="Times New Roman"/>
          <w:color w:val="auto"/>
        </w:rPr>
        <w:t>小于30%</w:t>
      </w:r>
      <w:r>
        <w:rPr>
          <w:rFonts w:hint="eastAsia" w:cs="Times New Roman"/>
          <w:color w:val="auto"/>
          <w:lang w:eastAsia="zh-CN"/>
        </w:rPr>
        <w:t>。</w:t>
      </w:r>
      <w:r>
        <w:rPr>
          <w:rFonts w:hint="eastAsia" w:cs="Times New Roman"/>
          <w:color w:val="auto"/>
          <w:lang w:val="en-US" w:eastAsia="zh-CN"/>
        </w:rPr>
        <w:t>针对现状达标的污染物，本</w:t>
      </w:r>
      <w:r>
        <w:rPr>
          <w:rFonts w:hint="eastAsia" w:cs="Times New Roman"/>
          <w:color w:val="auto"/>
        </w:rPr>
        <w:t>项目</w:t>
      </w:r>
      <w:r>
        <w:rPr>
          <w:rFonts w:hint="eastAsia" w:cs="Times New Roman"/>
          <w:color w:val="auto"/>
          <w:lang w:val="en-US" w:eastAsia="zh-CN"/>
        </w:rPr>
        <w:t>预测因子</w:t>
      </w:r>
      <w:r>
        <w:rPr>
          <w:rFonts w:hint="eastAsia" w:cs="Times New Roman"/>
          <w:color w:val="auto"/>
        </w:rPr>
        <w:t>叠加现状环境质量浓度及其他在建、拟建污染源影响后预测污染物浓度符合环境质量标准</w:t>
      </w:r>
      <w:r>
        <w:rPr>
          <w:rFonts w:hint="eastAsia" w:cs="Times New Roman"/>
          <w:color w:val="auto"/>
          <w:lang w:eastAsia="zh-CN"/>
        </w:rPr>
        <w:t>；</w:t>
      </w:r>
      <w:r>
        <w:rPr>
          <w:rFonts w:hint="eastAsia" w:cs="Times New Roman"/>
          <w:color w:val="auto"/>
          <w:lang w:val="en-US" w:eastAsia="zh-CN"/>
        </w:rPr>
        <w:t>对于现状超标的</w:t>
      </w:r>
      <w:r>
        <w:rPr>
          <w:rFonts w:hint="default" w:cs="Times New Roman"/>
          <w:color w:val="auto"/>
          <w:lang w:val="en-US" w:eastAsia="zh-CN"/>
        </w:rPr>
        <w:t>PM</w:t>
      </w:r>
      <w:r>
        <w:rPr>
          <w:rFonts w:hint="default" w:cs="Times New Roman"/>
          <w:color w:val="auto"/>
          <w:vertAlign w:val="subscript"/>
          <w:lang w:val="en-US" w:eastAsia="zh-CN"/>
        </w:rPr>
        <w:t>2</w:t>
      </w:r>
      <w:r>
        <w:rPr>
          <w:rFonts w:hint="eastAsia" w:cs="Times New Roman"/>
          <w:color w:val="auto"/>
          <w:vertAlign w:val="subscript"/>
          <w:lang w:val="en-US" w:eastAsia="zh-CN"/>
        </w:rPr>
        <w:t>.5</w:t>
      </w:r>
      <w:r>
        <w:rPr>
          <w:rFonts w:hint="eastAsia" w:cs="Times New Roman"/>
          <w:color w:val="auto"/>
          <w:lang w:val="en-US" w:eastAsia="zh-CN"/>
        </w:rPr>
        <w:t>，本项目与区域削减方案实施后，年平均质量浓度变化率k≦-20%，本项目建设后区域环境质量得到整体改善。</w:t>
      </w:r>
      <w:r>
        <w:rPr>
          <w:rFonts w:cs="Times New Roman"/>
          <w:color w:val="auto"/>
        </w:rPr>
        <w:t>本项目不需设置大气环境防护距离</w:t>
      </w:r>
      <w:r>
        <w:rPr>
          <w:rFonts w:hint="eastAsia" w:cs="Times New Roman"/>
          <w:color w:val="auto"/>
          <w:lang w:eastAsia="zh-CN"/>
        </w:rPr>
        <w:t>，</w:t>
      </w:r>
      <w:r>
        <w:rPr>
          <w:rFonts w:cs="Times New Roman"/>
          <w:color w:val="auto"/>
        </w:rPr>
        <w:t>根据《大气有害物质无组织排放卫生防护距离推导技术导则》（GB/T39499-2020）中卫生防护距离计算方法，本项目卫生防护距离为</w:t>
      </w:r>
      <w:r>
        <w:rPr>
          <w:rFonts w:hint="eastAsia"/>
          <w:color w:val="auto"/>
          <w:szCs w:val="24"/>
          <w:highlight w:val="none"/>
          <w:lang w:val="en-US" w:eastAsia="zh-CN"/>
        </w:rPr>
        <w:t>生产车间</w:t>
      </w:r>
      <w:r>
        <w:rPr>
          <w:rFonts w:hint="eastAsia"/>
          <w:color w:val="auto"/>
          <w:szCs w:val="24"/>
          <w:highlight w:val="none"/>
          <w:lang w:eastAsia="zh-CN"/>
        </w:rPr>
        <w:t>、</w:t>
      </w:r>
      <w:r>
        <w:rPr>
          <w:rFonts w:hint="eastAsia"/>
          <w:color w:val="auto"/>
          <w:szCs w:val="24"/>
          <w:highlight w:val="none"/>
          <w:lang w:val="en-US" w:eastAsia="zh-CN"/>
        </w:rPr>
        <w:t>1#罐区、2#罐区及质检室边界起</w:t>
      </w:r>
      <w:r>
        <w:rPr>
          <w:rFonts w:hint="eastAsia" w:ascii="Times New Roman" w:hAnsi="Times New Roman"/>
          <w:b w:val="0"/>
          <w:bCs w:val="0"/>
          <w:color w:val="auto"/>
          <w:sz w:val="24"/>
          <w:szCs w:val="24"/>
          <w:highlight w:val="none"/>
          <w:lang w:val="en-US" w:eastAsia="zh-CN"/>
        </w:rPr>
        <w:t>50</w:t>
      </w:r>
      <w:r>
        <w:rPr>
          <w:rFonts w:ascii="Times New Roman" w:hAnsi="Times New Roman"/>
          <w:b w:val="0"/>
          <w:bCs w:val="0"/>
          <w:color w:val="auto"/>
          <w:sz w:val="24"/>
          <w:szCs w:val="24"/>
          <w:highlight w:val="none"/>
        </w:rPr>
        <w:t>m</w:t>
      </w:r>
      <w:r>
        <w:rPr>
          <w:rFonts w:hint="eastAsia" w:ascii="Times New Roman" w:hAnsi="Times New Roman"/>
          <w:b w:val="0"/>
          <w:bCs w:val="0"/>
          <w:color w:val="auto"/>
          <w:sz w:val="24"/>
          <w:szCs w:val="24"/>
          <w:highlight w:val="none"/>
          <w:lang w:val="en-US" w:eastAsia="zh-CN"/>
        </w:rPr>
        <w:t>范围</w:t>
      </w:r>
      <w:r>
        <w:rPr>
          <w:rFonts w:cs="Times New Roman"/>
          <w:color w:val="auto"/>
        </w:rPr>
        <w:t>，</w:t>
      </w:r>
      <w:r>
        <w:rPr>
          <w:rFonts w:hint="eastAsia" w:cs="Times New Roman"/>
          <w:color w:val="auto"/>
          <w:lang w:val="en-US" w:eastAsia="zh-CN"/>
        </w:rPr>
        <w:t>卫生</w:t>
      </w:r>
      <w:r>
        <w:rPr>
          <w:rFonts w:cs="Times New Roman"/>
          <w:color w:val="auto"/>
        </w:rPr>
        <w:t>防护距离内不涉及环境敏感目标，同时卫生防护距离之内今后不得新增居民住宅、学校、医院等环境敏感目标。</w:t>
      </w:r>
    </w:p>
    <w:p w14:paraId="39392766">
      <w:pPr>
        <w:spacing w:line="360" w:lineRule="auto"/>
        <w:ind w:left="0" w:leftChars="0" w:firstLine="480" w:firstLineChars="200"/>
        <w:rPr>
          <w:rFonts w:hint="eastAsia"/>
          <w:color w:val="auto"/>
          <w:sz w:val="24"/>
          <w:lang w:val="en-US" w:eastAsia="zh-CN"/>
        </w:rPr>
      </w:pPr>
      <w:r>
        <w:rPr>
          <w:rFonts w:hint="eastAsia"/>
          <w:color w:val="auto"/>
          <w:sz w:val="24"/>
          <w:lang w:val="en-US" w:eastAsia="zh-CN"/>
        </w:rPr>
        <w:t>综上所述，本项目正常排放情况下对区域及各敏感点大气环境质量影响较小，不会因项目建设造成区域大气环境功能的改变。</w:t>
      </w:r>
    </w:p>
    <w:p w14:paraId="38B4A97C">
      <w:pPr>
        <w:numPr>
          <w:ilvl w:val="0"/>
          <w:numId w:val="4"/>
        </w:numPr>
        <w:ind w:left="420" w:leftChars="0" w:firstLine="0" w:firstLineChars="0"/>
        <w:outlineLvl w:val="3"/>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地表水环境影响</w:t>
      </w:r>
    </w:p>
    <w:p w14:paraId="7ADF15CD">
      <w:pPr>
        <w:spacing w:line="360" w:lineRule="auto"/>
        <w:ind w:left="0" w:leftChars="0" w:firstLine="480" w:firstLineChars="200"/>
        <w:rPr>
          <w:rFonts w:hint="eastAsia"/>
          <w:b w:val="0"/>
          <w:bCs w:val="0"/>
          <w:color w:val="auto"/>
          <w:sz w:val="24"/>
          <w:lang w:val="en-US" w:eastAsia="zh-CN"/>
        </w:rPr>
      </w:pPr>
      <w:r>
        <w:rPr>
          <w:rFonts w:hint="eastAsia"/>
          <w:b w:val="0"/>
          <w:bCs w:val="0"/>
          <w:color w:val="auto"/>
          <w:sz w:val="24"/>
          <w:lang w:val="en-US" w:eastAsia="zh-CN"/>
        </w:rPr>
        <w:t>本项目地表水</w:t>
      </w:r>
      <w:r>
        <w:rPr>
          <w:rFonts w:hint="default" w:ascii="Times New Roman" w:hAnsi="Times New Roman" w:cs="Times New Roman"/>
          <w:b w:val="0"/>
          <w:bCs w:val="0"/>
          <w:color w:val="auto"/>
          <w:highlight w:val="none"/>
        </w:rPr>
        <w:t>环境影响评价工作等级为</w:t>
      </w:r>
      <w:r>
        <w:rPr>
          <w:rFonts w:hint="eastAsia" w:cs="Times New Roman"/>
          <w:b/>
          <w:bCs/>
          <w:color w:val="auto"/>
          <w:highlight w:val="none"/>
          <w:lang w:val="en-US" w:eastAsia="zh-CN"/>
        </w:rPr>
        <w:t>三</w:t>
      </w:r>
      <w:r>
        <w:rPr>
          <w:rFonts w:hint="default" w:ascii="Times New Roman" w:hAnsi="Times New Roman" w:cs="Times New Roman"/>
          <w:b/>
          <w:bCs/>
          <w:color w:val="auto"/>
          <w:highlight w:val="none"/>
        </w:rPr>
        <w:t>级</w:t>
      </w:r>
      <w:r>
        <w:rPr>
          <w:rFonts w:hint="eastAsia" w:cs="Times New Roman"/>
          <w:b/>
          <w:bCs/>
          <w:color w:val="auto"/>
          <w:highlight w:val="none"/>
          <w:lang w:val="en-US" w:eastAsia="zh-CN"/>
        </w:rPr>
        <w:t>B</w:t>
      </w:r>
      <w:r>
        <w:rPr>
          <w:rFonts w:hint="eastAsia"/>
          <w:b w:val="0"/>
          <w:bCs w:val="0"/>
          <w:color w:val="auto"/>
          <w:sz w:val="24"/>
          <w:lang w:val="en-US" w:eastAsia="zh-CN"/>
        </w:rPr>
        <w:t>。</w:t>
      </w:r>
    </w:p>
    <w:p w14:paraId="5AD0BD47">
      <w:pPr>
        <w:spacing w:line="360" w:lineRule="auto"/>
        <w:ind w:left="0" w:leftChars="0" w:firstLine="480" w:firstLineChars="200"/>
        <w:rPr>
          <w:rFonts w:hint="default"/>
          <w:b w:val="0"/>
          <w:bCs w:val="0"/>
          <w:color w:val="auto"/>
          <w:sz w:val="24"/>
          <w:lang w:val="en-US" w:eastAsia="zh-CN"/>
        </w:rPr>
      </w:pPr>
      <w:r>
        <w:rPr>
          <w:rFonts w:hint="default"/>
          <w:b w:val="0"/>
          <w:bCs w:val="0"/>
          <w:color w:val="auto"/>
          <w:sz w:val="24"/>
          <w:lang w:val="en-US" w:eastAsia="zh-CN"/>
        </w:rPr>
        <w:t>经分析，</w:t>
      </w:r>
      <w:r>
        <w:rPr>
          <w:rFonts w:hint="eastAsia"/>
          <w:b w:val="0"/>
          <w:bCs w:val="0"/>
          <w:color w:val="auto"/>
          <w:sz w:val="24"/>
          <w:lang w:val="en-US" w:eastAsia="zh-CN"/>
        </w:rPr>
        <w:t>本</w:t>
      </w:r>
      <w:r>
        <w:rPr>
          <w:rFonts w:hint="default"/>
          <w:b w:val="0"/>
          <w:bCs w:val="0"/>
          <w:color w:val="auto"/>
          <w:sz w:val="24"/>
          <w:lang w:val="en-US" w:eastAsia="zh-CN"/>
        </w:rPr>
        <w:t>项目水污染控制和水环境影响减缓措施有效可行，依托污水处理设施的环境可行，可实现达标排放，项目废水经处理达标排放对区域地表水环境影响较小。</w:t>
      </w:r>
    </w:p>
    <w:p w14:paraId="1CBBD24E">
      <w:pPr>
        <w:numPr>
          <w:ilvl w:val="0"/>
          <w:numId w:val="4"/>
        </w:numPr>
        <w:ind w:left="420" w:leftChars="0" w:firstLine="0" w:firstLineChars="0"/>
        <w:outlineLvl w:val="3"/>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地下水环境影响</w:t>
      </w:r>
    </w:p>
    <w:p w14:paraId="665248A9">
      <w:pPr>
        <w:spacing w:line="360" w:lineRule="auto"/>
        <w:ind w:left="0" w:leftChars="0" w:firstLine="480" w:firstLineChars="200"/>
        <w:rPr>
          <w:rFonts w:hint="eastAsia"/>
          <w:b w:val="0"/>
          <w:bCs w:val="0"/>
          <w:color w:val="auto"/>
          <w:sz w:val="24"/>
          <w:lang w:val="en-US" w:eastAsia="zh-CN"/>
        </w:rPr>
      </w:pPr>
      <w:r>
        <w:rPr>
          <w:rFonts w:cstheme="minorHAnsi"/>
          <w:b w:val="0"/>
          <w:bCs/>
          <w:color w:val="auto"/>
          <w:sz w:val="24"/>
          <w:szCs w:val="24"/>
        </w:rPr>
        <w:t>本项目地下水环境影响评价等级为</w:t>
      </w:r>
      <w:r>
        <w:rPr>
          <w:rFonts w:hint="eastAsia" w:cstheme="minorHAnsi"/>
          <w:b/>
          <w:color w:val="auto"/>
          <w:sz w:val="24"/>
          <w:szCs w:val="24"/>
          <w:lang w:val="en-US" w:eastAsia="zh-CN"/>
        </w:rPr>
        <w:t>一</w:t>
      </w:r>
      <w:r>
        <w:rPr>
          <w:rFonts w:cstheme="minorHAnsi"/>
          <w:b/>
          <w:color w:val="auto"/>
          <w:sz w:val="24"/>
          <w:szCs w:val="24"/>
        </w:rPr>
        <w:t>级</w:t>
      </w:r>
      <w:r>
        <w:rPr>
          <w:rFonts w:hint="eastAsia"/>
          <w:b w:val="0"/>
          <w:bCs w:val="0"/>
          <w:color w:val="auto"/>
          <w:sz w:val="24"/>
          <w:lang w:val="en-US" w:eastAsia="zh-CN"/>
        </w:rPr>
        <w:t>。</w:t>
      </w:r>
    </w:p>
    <w:p w14:paraId="332FAFDC">
      <w:pPr>
        <w:spacing w:line="360" w:lineRule="auto"/>
        <w:ind w:left="0" w:leftChars="0" w:firstLine="480" w:firstLineChars="200"/>
        <w:rPr>
          <w:rFonts w:hint="default"/>
          <w:b w:val="0"/>
          <w:bCs w:val="0"/>
          <w:color w:val="auto"/>
          <w:sz w:val="24"/>
          <w:lang w:val="en-US" w:eastAsia="zh-CN"/>
        </w:rPr>
      </w:pPr>
      <w:r>
        <w:rPr>
          <w:rFonts w:hint="eastAsia"/>
          <w:color w:val="auto"/>
          <w:highlight w:val="none"/>
          <w:lang w:val="en-US" w:eastAsia="zh-CN"/>
        </w:rPr>
        <w:t>非正常状况下，</w:t>
      </w:r>
      <w:r>
        <w:rPr>
          <w:rFonts w:hint="eastAsia" w:cs="Courier New"/>
          <w:b w:val="0"/>
          <w:bCs w:val="0"/>
          <w:color w:val="auto"/>
          <w:highlight w:val="none"/>
          <w:lang w:val="en-US" w:eastAsia="zh-CN"/>
        </w:rPr>
        <w:t>罐体/原料桶破损，物料</w:t>
      </w:r>
      <w:r>
        <w:rPr>
          <w:rFonts w:hint="eastAsia" w:ascii="Times New Roman" w:hAnsi="Times New Roman" w:eastAsia="宋体" w:cs="Courier New"/>
          <w:b w:val="0"/>
          <w:bCs w:val="0"/>
          <w:color w:val="auto"/>
          <w:highlight w:val="none"/>
          <w:lang w:val="en-US" w:eastAsia="zh-CN"/>
        </w:rPr>
        <w:t>发生泄漏，恰好发生泄漏处的地下水防渗层破裂或损坏</w:t>
      </w:r>
      <w:r>
        <w:rPr>
          <w:rFonts w:hint="eastAsia" w:cs="Courier New"/>
          <w:b w:val="0"/>
          <w:bCs w:val="0"/>
          <w:color w:val="auto"/>
          <w:highlight w:val="none"/>
          <w:lang w:val="en-US" w:eastAsia="zh-CN"/>
        </w:rPr>
        <w:t>，</w:t>
      </w:r>
      <w:r>
        <w:rPr>
          <w:rFonts w:hint="eastAsia" w:ascii="Times New Roman" w:hAnsi="Times New Roman" w:cs="Times New Roman"/>
          <w:color w:val="auto"/>
          <w:lang w:val="en-US" w:eastAsia="zh-CN"/>
        </w:rPr>
        <w:t>废液</w:t>
      </w:r>
      <w:r>
        <w:rPr>
          <w:rFonts w:ascii="Times New Roman" w:hAnsi="Times New Roman" w:cs="Times New Roman"/>
          <w:color w:val="auto"/>
        </w:rPr>
        <w:t>穿过防渗层及包气带，渗漏进入含水层</w:t>
      </w:r>
      <w:r>
        <w:rPr>
          <w:rFonts w:hint="eastAsia" w:cs="Times New Roman"/>
          <w:color w:val="auto"/>
          <w:lang w:eastAsia="zh-CN"/>
        </w:rPr>
        <w:t>。</w:t>
      </w:r>
      <w:r>
        <w:rPr>
          <w:rFonts w:hint="eastAsia"/>
          <w:color w:val="auto"/>
          <w:highlight w:val="none"/>
        </w:rPr>
        <w:t>根据预测结果，项目非正常状况下将对下游地下水局部水质造成污染，环评要求：运营期应严格落实环评提出的地下水污染防治措施</w:t>
      </w:r>
      <w:r>
        <w:rPr>
          <w:rFonts w:hint="eastAsia"/>
          <w:color w:val="auto"/>
          <w:highlight w:val="none"/>
          <w:lang w:eastAsia="zh-CN"/>
        </w:rPr>
        <w:t>，</w:t>
      </w:r>
      <w:r>
        <w:rPr>
          <w:rFonts w:hint="eastAsia"/>
          <w:color w:val="auto"/>
          <w:highlight w:val="none"/>
        </w:rPr>
        <w:t>定期对地下水水质进行监测，</w:t>
      </w:r>
      <w:r>
        <w:rPr>
          <w:rFonts w:hint="eastAsia"/>
          <w:color w:val="auto"/>
          <w:highlight w:val="none"/>
          <w:lang w:val="en-US" w:eastAsia="zh-CN"/>
        </w:rPr>
        <w:t>并制定</w:t>
      </w:r>
      <w:r>
        <w:rPr>
          <w:rFonts w:hint="eastAsia"/>
          <w:color w:val="auto"/>
          <w:highlight w:val="none"/>
        </w:rPr>
        <w:t>风险事故应急预案</w:t>
      </w:r>
      <w:r>
        <w:rPr>
          <w:rFonts w:hint="eastAsia"/>
          <w:color w:val="auto"/>
          <w:highlight w:val="none"/>
          <w:lang w:eastAsia="zh-CN"/>
        </w:rPr>
        <w:t>，</w:t>
      </w:r>
      <w:r>
        <w:rPr>
          <w:rFonts w:hint="eastAsia"/>
          <w:color w:val="auto"/>
          <w:highlight w:val="none"/>
        </w:rPr>
        <w:t>如发现水质异常，</w:t>
      </w:r>
      <w:r>
        <w:rPr>
          <w:rFonts w:hint="eastAsia"/>
          <w:color w:val="auto"/>
          <w:highlight w:val="none"/>
          <w:lang w:val="en-US" w:eastAsia="zh-CN"/>
        </w:rPr>
        <w:t>应</w:t>
      </w:r>
      <w:r>
        <w:rPr>
          <w:rFonts w:hint="eastAsia"/>
          <w:color w:val="auto"/>
          <w:highlight w:val="none"/>
        </w:rPr>
        <w:t>立刻采取有效措施切断污染源并阻止污染羽的扩散迁移，将地下水控制在局部范围，避免对厂区下游地下水造成污染</w:t>
      </w:r>
      <w:r>
        <w:rPr>
          <w:rFonts w:hint="default"/>
          <w:b w:val="0"/>
          <w:bCs w:val="0"/>
          <w:color w:val="auto"/>
          <w:sz w:val="24"/>
          <w:lang w:val="en-US" w:eastAsia="zh-CN"/>
        </w:rPr>
        <w:t>。</w:t>
      </w:r>
    </w:p>
    <w:p w14:paraId="0D50919A">
      <w:pPr>
        <w:spacing w:line="360" w:lineRule="auto"/>
        <w:ind w:left="0" w:leftChars="0" w:firstLine="480" w:firstLineChars="200"/>
        <w:rPr>
          <w:rFonts w:hint="default"/>
          <w:b w:val="0"/>
          <w:bCs w:val="0"/>
          <w:color w:val="auto"/>
          <w:sz w:val="24"/>
          <w:lang w:val="en-US" w:eastAsia="zh-CN"/>
        </w:rPr>
      </w:pPr>
      <w:r>
        <w:rPr>
          <w:rFonts w:hint="eastAsia"/>
          <w:b w:val="0"/>
          <w:bCs w:val="0"/>
          <w:color w:val="auto"/>
          <w:sz w:val="24"/>
          <w:lang w:val="en-US" w:eastAsia="zh-CN"/>
        </w:rPr>
        <w:t>项目在采取“源头控制、分区防渗、</w:t>
      </w:r>
      <w:r>
        <w:rPr>
          <w:rFonts w:hint="eastAsia"/>
          <w:color w:val="auto"/>
          <w:highlight w:val="none"/>
        </w:rPr>
        <w:t>地下水</w:t>
      </w:r>
      <w:r>
        <w:rPr>
          <w:rFonts w:hint="eastAsia"/>
          <w:color w:val="auto"/>
          <w:highlight w:val="none"/>
          <w:lang w:val="en-US" w:eastAsia="zh-CN"/>
        </w:rPr>
        <w:t>跟踪</w:t>
      </w:r>
      <w:r>
        <w:rPr>
          <w:rFonts w:hint="eastAsia"/>
          <w:color w:val="auto"/>
          <w:highlight w:val="none"/>
        </w:rPr>
        <w:t>监测</w:t>
      </w:r>
      <w:r>
        <w:rPr>
          <w:rFonts w:hint="eastAsia"/>
          <w:b w:val="0"/>
          <w:bCs w:val="0"/>
          <w:color w:val="auto"/>
          <w:sz w:val="24"/>
          <w:lang w:val="en-US" w:eastAsia="zh-CN"/>
        </w:rPr>
        <w:t>”等措施后，可防止地下水污染，对</w:t>
      </w:r>
      <w:r>
        <w:rPr>
          <w:rFonts w:hint="default"/>
          <w:b w:val="0"/>
          <w:bCs w:val="0"/>
          <w:color w:val="auto"/>
          <w:sz w:val="24"/>
          <w:lang w:val="en-US" w:eastAsia="zh-CN"/>
        </w:rPr>
        <w:t>地</w:t>
      </w:r>
      <w:r>
        <w:rPr>
          <w:rFonts w:hint="eastAsia"/>
          <w:b w:val="0"/>
          <w:bCs w:val="0"/>
          <w:color w:val="auto"/>
          <w:sz w:val="24"/>
          <w:lang w:val="en-US" w:eastAsia="zh-CN"/>
        </w:rPr>
        <w:t>下</w:t>
      </w:r>
      <w:r>
        <w:rPr>
          <w:rFonts w:hint="default"/>
          <w:b w:val="0"/>
          <w:bCs w:val="0"/>
          <w:color w:val="auto"/>
          <w:sz w:val="24"/>
          <w:lang w:val="en-US" w:eastAsia="zh-CN"/>
        </w:rPr>
        <w:t>水环境影响较小。</w:t>
      </w:r>
    </w:p>
    <w:p w14:paraId="61D7B1C4">
      <w:pPr>
        <w:numPr>
          <w:ilvl w:val="0"/>
          <w:numId w:val="4"/>
        </w:numPr>
        <w:ind w:left="420" w:leftChars="0" w:firstLine="0" w:firstLineChars="0"/>
        <w:outlineLvl w:val="3"/>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声环境影响</w:t>
      </w:r>
    </w:p>
    <w:p w14:paraId="70BCDCA2">
      <w:pPr>
        <w:spacing w:line="360" w:lineRule="auto"/>
        <w:ind w:left="0" w:leftChars="0" w:firstLine="480" w:firstLineChars="200"/>
        <w:rPr>
          <w:rFonts w:hint="eastAsia"/>
          <w:b w:val="0"/>
          <w:bCs w:val="0"/>
          <w:color w:val="auto"/>
          <w:sz w:val="24"/>
          <w:lang w:val="en-US" w:eastAsia="zh-CN"/>
        </w:rPr>
      </w:pPr>
      <w:r>
        <w:rPr>
          <w:rFonts w:cstheme="minorHAnsi"/>
          <w:b w:val="0"/>
          <w:bCs/>
          <w:color w:val="auto"/>
          <w:sz w:val="24"/>
          <w:szCs w:val="24"/>
        </w:rPr>
        <w:t>本项目声环境影响评价等级为</w:t>
      </w:r>
      <w:r>
        <w:rPr>
          <w:rFonts w:hint="eastAsia" w:cstheme="minorHAnsi"/>
          <w:b/>
          <w:color w:val="auto"/>
          <w:sz w:val="24"/>
          <w:szCs w:val="24"/>
          <w:lang w:val="en-US" w:eastAsia="zh-CN"/>
        </w:rPr>
        <w:t>三</w:t>
      </w:r>
      <w:r>
        <w:rPr>
          <w:rFonts w:cstheme="minorHAnsi"/>
          <w:b/>
          <w:color w:val="auto"/>
          <w:sz w:val="24"/>
          <w:szCs w:val="24"/>
        </w:rPr>
        <w:t>级</w:t>
      </w:r>
      <w:r>
        <w:rPr>
          <w:rFonts w:hint="eastAsia"/>
          <w:b w:val="0"/>
          <w:bCs w:val="0"/>
          <w:color w:val="auto"/>
          <w:sz w:val="24"/>
          <w:lang w:val="en-US" w:eastAsia="zh-CN"/>
        </w:rPr>
        <w:t>。</w:t>
      </w:r>
    </w:p>
    <w:p w14:paraId="327F3C1D">
      <w:pPr>
        <w:spacing w:line="360" w:lineRule="auto"/>
        <w:ind w:left="0" w:leftChars="0" w:firstLine="480" w:firstLineChars="200"/>
        <w:rPr>
          <w:rFonts w:hint="eastAsia"/>
          <w:color w:val="auto"/>
          <w:highlight w:val="none"/>
        </w:rPr>
      </w:pPr>
      <w:r>
        <w:rPr>
          <w:color w:val="auto"/>
          <w:highlight w:val="none"/>
        </w:rPr>
        <w:t>根据噪声预测结果，项目运营期在</w:t>
      </w:r>
      <w:r>
        <w:rPr>
          <w:rFonts w:hint="eastAsia"/>
          <w:color w:val="auto"/>
          <w:highlight w:val="none"/>
        </w:rPr>
        <w:t>采取本环评提出的噪声控制措施后，厂界各预测点噪声均满足《工业企业厂界环境噪声排放标准》（GB12348-2008）</w:t>
      </w:r>
      <w:r>
        <w:rPr>
          <w:color w:val="auto"/>
          <w:highlight w:val="none"/>
        </w:rPr>
        <w:t>3</w:t>
      </w:r>
      <w:r>
        <w:rPr>
          <w:rFonts w:hint="eastAsia"/>
          <w:color w:val="auto"/>
          <w:highlight w:val="none"/>
        </w:rPr>
        <w:t>类标准，实现达标排放</w:t>
      </w:r>
      <w:r>
        <w:rPr>
          <w:rFonts w:hint="eastAsia"/>
          <w:color w:val="auto"/>
          <w:highlight w:val="none"/>
          <w:lang w:eastAsia="zh-CN"/>
        </w:rPr>
        <w:t>，</w:t>
      </w:r>
      <w:r>
        <w:rPr>
          <w:rFonts w:hint="eastAsia"/>
          <w:color w:val="auto"/>
          <w:highlight w:val="none"/>
          <w:lang w:val="en-US" w:eastAsia="zh-CN"/>
        </w:rPr>
        <w:t>且声环境保护目标处噪声能满足</w:t>
      </w:r>
      <w:r>
        <w:rPr>
          <w:rFonts w:hint="eastAsia"/>
          <w:color w:val="auto"/>
          <w:highlight w:val="none"/>
          <w:lang w:eastAsia="zh-CN"/>
        </w:rPr>
        <w:t>《声环境质量标准》（GB3096-2008）2类标准</w:t>
      </w:r>
      <w:r>
        <w:rPr>
          <w:rFonts w:hint="eastAsia"/>
          <w:color w:val="auto"/>
          <w:highlight w:val="none"/>
        </w:rPr>
        <w:t>。</w:t>
      </w:r>
    </w:p>
    <w:p w14:paraId="71D5ACE9">
      <w:pPr>
        <w:numPr>
          <w:ilvl w:val="0"/>
          <w:numId w:val="4"/>
        </w:numPr>
        <w:ind w:left="420" w:leftChars="0" w:firstLine="0" w:firstLineChars="0"/>
        <w:outlineLvl w:val="3"/>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固体废物环境影响</w:t>
      </w:r>
    </w:p>
    <w:p w14:paraId="655D8BDB">
      <w:pPr>
        <w:spacing w:line="360" w:lineRule="auto"/>
        <w:ind w:left="0" w:leftChars="0" w:firstLine="480" w:firstLineChars="200"/>
        <w:rPr>
          <w:rFonts w:hint="eastAsia"/>
          <w:b w:val="0"/>
          <w:bCs w:val="0"/>
          <w:color w:val="auto"/>
          <w:sz w:val="24"/>
          <w:lang w:val="en-US" w:eastAsia="zh-CN"/>
        </w:rPr>
      </w:pPr>
      <w:r>
        <w:rPr>
          <w:rFonts w:hint="eastAsia"/>
          <w:b w:val="0"/>
          <w:bCs w:val="0"/>
          <w:color w:val="auto"/>
          <w:sz w:val="24"/>
          <w:lang w:val="en-US" w:eastAsia="zh-CN"/>
        </w:rPr>
        <w:t>本项目固废按照“三化”原则进行处置，一般固废外运综合利用，危险废物委托</w:t>
      </w:r>
      <w:r>
        <w:rPr>
          <w:rFonts w:hint="eastAsia"/>
          <w:color w:val="auto"/>
          <w:sz w:val="24"/>
          <w:szCs w:val="24"/>
          <w:highlight w:val="none"/>
        </w:rPr>
        <w:t>具资质单位处理</w:t>
      </w:r>
      <w:r>
        <w:rPr>
          <w:rFonts w:hint="eastAsia"/>
          <w:b w:val="0"/>
          <w:bCs w:val="0"/>
          <w:color w:val="auto"/>
          <w:sz w:val="24"/>
          <w:lang w:val="en-US" w:eastAsia="zh-CN"/>
        </w:rPr>
        <w:t>。采取上述措施后，本项目固体废物不会带来二次污染，不会对环境产生明显影响。</w:t>
      </w:r>
    </w:p>
    <w:p w14:paraId="31D4D724">
      <w:pPr>
        <w:numPr>
          <w:ilvl w:val="0"/>
          <w:numId w:val="4"/>
        </w:numPr>
        <w:ind w:left="420" w:leftChars="0" w:firstLine="0" w:firstLineChars="0"/>
        <w:outlineLvl w:val="3"/>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土壤环境影响</w:t>
      </w:r>
    </w:p>
    <w:p w14:paraId="4D537E62">
      <w:pPr>
        <w:spacing w:line="360" w:lineRule="auto"/>
        <w:ind w:left="0" w:leftChars="0" w:firstLine="480" w:firstLineChars="200"/>
        <w:rPr>
          <w:rFonts w:hint="eastAsia"/>
          <w:b w:val="0"/>
          <w:bCs w:val="0"/>
          <w:color w:val="auto"/>
          <w:sz w:val="24"/>
          <w:lang w:val="en-US" w:eastAsia="zh-CN"/>
        </w:rPr>
      </w:pPr>
      <w:r>
        <w:rPr>
          <w:rFonts w:cstheme="minorHAnsi"/>
          <w:b w:val="0"/>
          <w:bCs/>
          <w:color w:val="auto"/>
          <w:sz w:val="24"/>
          <w:szCs w:val="24"/>
        </w:rPr>
        <w:t>本项目</w:t>
      </w:r>
      <w:r>
        <w:rPr>
          <w:rFonts w:hint="eastAsia" w:cstheme="minorHAnsi"/>
          <w:b w:val="0"/>
          <w:bCs/>
          <w:color w:val="auto"/>
          <w:sz w:val="24"/>
          <w:szCs w:val="24"/>
          <w:lang w:val="en-US" w:eastAsia="zh-CN"/>
        </w:rPr>
        <w:t>土壤</w:t>
      </w:r>
      <w:r>
        <w:rPr>
          <w:rFonts w:cstheme="minorHAnsi"/>
          <w:b w:val="0"/>
          <w:bCs/>
          <w:color w:val="auto"/>
          <w:sz w:val="24"/>
          <w:szCs w:val="24"/>
        </w:rPr>
        <w:t>环境影响评价等级为</w:t>
      </w:r>
      <w:r>
        <w:rPr>
          <w:rFonts w:hint="eastAsia" w:cstheme="minorHAnsi"/>
          <w:b/>
          <w:color w:val="auto"/>
          <w:sz w:val="24"/>
          <w:szCs w:val="24"/>
          <w:lang w:val="en-US" w:eastAsia="zh-CN"/>
        </w:rPr>
        <w:t>一</w:t>
      </w:r>
      <w:r>
        <w:rPr>
          <w:rFonts w:cstheme="minorHAnsi"/>
          <w:b/>
          <w:color w:val="auto"/>
          <w:sz w:val="24"/>
          <w:szCs w:val="24"/>
        </w:rPr>
        <w:t>级</w:t>
      </w:r>
      <w:r>
        <w:rPr>
          <w:rFonts w:hint="eastAsia"/>
          <w:b w:val="0"/>
          <w:bCs w:val="0"/>
          <w:color w:val="auto"/>
          <w:sz w:val="24"/>
          <w:lang w:val="en-US" w:eastAsia="zh-CN"/>
        </w:rPr>
        <w:t>。</w:t>
      </w:r>
    </w:p>
    <w:p w14:paraId="4C129DAB">
      <w:pPr>
        <w:spacing w:line="360" w:lineRule="auto"/>
        <w:ind w:left="0" w:leftChars="0" w:firstLine="480" w:firstLineChars="200"/>
        <w:rPr>
          <w:rFonts w:hint="default"/>
          <w:b w:val="0"/>
          <w:bCs w:val="0"/>
          <w:color w:val="auto"/>
          <w:sz w:val="24"/>
          <w:lang w:val="en-US" w:eastAsia="zh-CN"/>
        </w:rPr>
      </w:pPr>
      <w:r>
        <w:rPr>
          <w:rFonts w:hint="eastAsia"/>
          <w:color w:val="auto"/>
          <w:highlight w:val="none"/>
          <w:lang w:val="en-US" w:eastAsia="zh-CN"/>
        </w:rPr>
        <w:t>本项目</w:t>
      </w:r>
      <w:r>
        <w:rPr>
          <w:rFonts w:hint="eastAsia"/>
          <w:color w:val="auto"/>
          <w:sz w:val="24"/>
          <w:szCs w:val="24"/>
          <w:lang w:eastAsia="zh-CN"/>
        </w:rPr>
        <w:t>经处理后的酸性废气排放浓度满足排放标准限值，其对土壤pH值贡献</w:t>
      </w:r>
      <w:r>
        <w:rPr>
          <w:rFonts w:hint="eastAsia"/>
          <w:color w:val="auto"/>
          <w:sz w:val="24"/>
          <w:szCs w:val="24"/>
          <w:lang w:val="en-US" w:eastAsia="zh-CN"/>
        </w:rPr>
        <w:t>很</w:t>
      </w:r>
      <w:r>
        <w:rPr>
          <w:rFonts w:hint="eastAsia"/>
          <w:color w:val="auto"/>
          <w:sz w:val="24"/>
          <w:szCs w:val="24"/>
          <w:lang w:eastAsia="zh-CN"/>
        </w:rPr>
        <w:t>小，不会造成土壤pH值明显改变，不会造成土壤酸化现象；</w:t>
      </w:r>
      <w:r>
        <w:rPr>
          <w:rFonts w:hint="eastAsia"/>
          <w:color w:val="auto"/>
          <w:highlight w:val="none"/>
          <w:lang w:val="en-US" w:eastAsia="zh-CN"/>
        </w:rPr>
        <w:t>非正常状况下，</w:t>
      </w:r>
      <w:r>
        <w:rPr>
          <w:rFonts w:hint="eastAsia" w:cs="Courier New"/>
          <w:b w:val="0"/>
          <w:bCs w:val="0"/>
          <w:color w:val="auto"/>
          <w:highlight w:val="none"/>
          <w:lang w:val="en-US" w:eastAsia="zh-CN"/>
        </w:rPr>
        <w:t>罐体/原料桶破损，物料</w:t>
      </w:r>
      <w:r>
        <w:rPr>
          <w:rFonts w:hint="eastAsia" w:ascii="Times New Roman" w:hAnsi="Times New Roman" w:eastAsia="宋体" w:cs="Courier New"/>
          <w:b w:val="0"/>
          <w:bCs w:val="0"/>
          <w:color w:val="auto"/>
          <w:highlight w:val="none"/>
          <w:lang w:val="en-US" w:eastAsia="zh-CN"/>
        </w:rPr>
        <w:t>发生泄漏，恰好发生泄漏处的地下水防渗层破裂或损坏</w:t>
      </w:r>
      <w:r>
        <w:rPr>
          <w:rFonts w:hint="eastAsia" w:cs="Courier New"/>
          <w:b w:val="0"/>
          <w:bCs w:val="0"/>
          <w:color w:val="auto"/>
          <w:highlight w:val="none"/>
          <w:lang w:val="en-US" w:eastAsia="zh-CN"/>
        </w:rPr>
        <w:t>，</w:t>
      </w:r>
      <w:r>
        <w:rPr>
          <w:rFonts w:hint="eastAsia" w:ascii="Times New Roman" w:hAnsi="Times New Roman" w:cs="Times New Roman"/>
          <w:color w:val="auto"/>
          <w:lang w:val="en-US" w:eastAsia="zh-CN"/>
        </w:rPr>
        <w:t>废液</w:t>
      </w:r>
      <w:r>
        <w:rPr>
          <w:rFonts w:hint="eastAsia" w:ascii="Times New Roman" w:hAnsi="Times New Roman"/>
          <w:color w:val="auto"/>
          <w:sz w:val="24"/>
          <w:szCs w:val="24"/>
        </w:rPr>
        <w:t>垂直入渗进入包气带后在土壤中运移</w:t>
      </w:r>
      <w:r>
        <w:rPr>
          <w:rFonts w:hint="eastAsia"/>
          <w:color w:val="auto"/>
          <w:sz w:val="24"/>
          <w:szCs w:val="24"/>
          <w:lang w:eastAsia="zh-CN"/>
        </w:rPr>
        <w:t>，</w:t>
      </w:r>
      <w:r>
        <w:rPr>
          <w:rFonts w:hint="eastAsia"/>
          <w:color w:val="auto"/>
          <w:highlight w:val="none"/>
        </w:rPr>
        <w:t>根据预测结果，</w:t>
      </w:r>
      <w:r>
        <w:rPr>
          <w:rFonts w:hint="eastAsia"/>
          <w:color w:val="auto"/>
          <w:sz w:val="24"/>
          <w:szCs w:val="24"/>
          <w:lang w:val="en-US" w:eastAsia="zh-CN"/>
        </w:rPr>
        <w:t>土壤中污染物</w:t>
      </w:r>
      <w:r>
        <w:rPr>
          <w:rFonts w:hint="eastAsia" w:ascii="Times New Roman" w:hAnsi="Times New Roman"/>
          <w:color w:val="auto"/>
          <w:sz w:val="24"/>
          <w:szCs w:val="24"/>
        </w:rPr>
        <w:t>增量很小，预测值满足相应标准要求</w:t>
      </w:r>
      <w:r>
        <w:rPr>
          <w:rFonts w:hint="eastAsia"/>
          <w:color w:val="auto"/>
          <w:sz w:val="24"/>
          <w:szCs w:val="24"/>
          <w:lang w:eastAsia="zh-CN"/>
        </w:rPr>
        <w:t>；</w:t>
      </w:r>
      <w:r>
        <w:rPr>
          <w:rFonts w:hint="eastAsia"/>
          <w:color w:val="auto"/>
          <w:sz w:val="24"/>
          <w:szCs w:val="24"/>
          <w:lang w:val="en-US" w:eastAsia="zh-CN"/>
        </w:rPr>
        <w:t>本项目</w:t>
      </w:r>
      <w:r>
        <w:rPr>
          <w:rFonts w:hint="eastAsia" w:ascii="宋体" w:hAnsi="宋体" w:eastAsia="宋体" w:cs="宋体"/>
          <w:color w:val="auto"/>
          <w:kern w:val="0"/>
          <w:sz w:val="24"/>
          <w:szCs w:val="24"/>
          <w:lang w:val="en-US" w:eastAsia="zh-CN" w:bidi="ar"/>
        </w:rPr>
        <w:t>设置“生产单元</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企业</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园区”的三级事故废水防范体系</w:t>
      </w:r>
      <w:r>
        <w:rPr>
          <w:rFonts w:hint="eastAsia" w:ascii="宋体" w:hAnsi="宋体" w:cs="宋体"/>
          <w:color w:val="auto"/>
          <w:kern w:val="0"/>
          <w:sz w:val="24"/>
          <w:szCs w:val="24"/>
          <w:lang w:val="en-US" w:eastAsia="zh-CN" w:bidi="ar"/>
        </w:rPr>
        <w:t>，</w:t>
      </w:r>
      <w:r>
        <w:rPr>
          <w:rFonts w:hint="eastAsia" w:ascii="Times New Roman" w:hAnsi="Times New Roman"/>
          <w:color w:val="auto"/>
          <w:sz w:val="24"/>
          <w:szCs w:val="24"/>
          <w:lang w:val="en-US" w:eastAsia="zh-CN"/>
        </w:rPr>
        <w:t>物料</w:t>
      </w:r>
      <w:r>
        <w:rPr>
          <w:rFonts w:hint="eastAsia"/>
          <w:color w:val="auto"/>
          <w:sz w:val="24"/>
          <w:szCs w:val="24"/>
          <w:lang w:val="en-US" w:eastAsia="zh-CN"/>
        </w:rPr>
        <w:t>或废水</w:t>
      </w:r>
      <w:r>
        <w:rPr>
          <w:rFonts w:hint="eastAsia" w:ascii="Times New Roman" w:hAnsi="Times New Roman"/>
          <w:color w:val="auto"/>
          <w:sz w:val="24"/>
          <w:szCs w:val="24"/>
          <w:lang w:val="en-US" w:eastAsia="zh-CN"/>
        </w:rPr>
        <w:t>发生泄漏时，均可得到有效收集，</w:t>
      </w:r>
      <w:r>
        <w:rPr>
          <w:rFonts w:hint="eastAsia" w:ascii="Times New Roman" w:hAnsi="Times New Roman"/>
          <w:color w:val="auto"/>
          <w:sz w:val="24"/>
          <w:szCs w:val="24"/>
        </w:rPr>
        <w:t>不会对周边土壤环境造成影响。</w:t>
      </w:r>
    </w:p>
    <w:p w14:paraId="3A78B33C">
      <w:pPr>
        <w:numPr>
          <w:ilvl w:val="0"/>
          <w:numId w:val="4"/>
        </w:numPr>
        <w:ind w:left="420" w:leftChars="0" w:firstLine="0" w:firstLineChars="0"/>
        <w:outlineLvl w:val="3"/>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环境风险</w:t>
      </w:r>
    </w:p>
    <w:p w14:paraId="46A52CFE">
      <w:pPr>
        <w:spacing w:line="360" w:lineRule="auto"/>
        <w:ind w:left="0" w:leftChars="0" w:firstLine="480" w:firstLineChars="200"/>
        <w:rPr>
          <w:rFonts w:hint="eastAsia"/>
          <w:b w:val="0"/>
          <w:bCs w:val="0"/>
          <w:color w:val="auto"/>
          <w:sz w:val="24"/>
          <w:lang w:val="en-US" w:eastAsia="zh-CN"/>
        </w:rPr>
      </w:pP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highlight w:val="none"/>
        </w:rPr>
        <w:t>大气</w:t>
      </w:r>
      <w:r>
        <w:rPr>
          <w:rFonts w:hint="default" w:ascii="Times New Roman" w:hAnsi="Times New Roman" w:cs="Times New Roman"/>
          <w:color w:val="auto"/>
          <w:sz w:val="24"/>
          <w:highlight w:val="none"/>
          <w:lang w:val="en-US" w:eastAsia="zh-CN"/>
        </w:rPr>
        <w:t>和地下水</w:t>
      </w:r>
      <w:r>
        <w:rPr>
          <w:rFonts w:hint="default" w:ascii="Times New Roman" w:hAnsi="Times New Roman" w:cs="Times New Roman"/>
          <w:color w:val="auto"/>
          <w:sz w:val="24"/>
          <w:highlight w:val="none"/>
        </w:rPr>
        <w:t>环境风险潜势为</w:t>
      </w:r>
      <w:r>
        <w:rPr>
          <w:rFonts w:hint="default" w:ascii="Times New Roman" w:hAnsi="Times New Roman" w:cs="Times New Roman"/>
          <w:color w:val="auto"/>
          <w:highlight w:val="none"/>
        </w:rPr>
        <w:t>IV+</w:t>
      </w:r>
      <w:r>
        <w:rPr>
          <w:rFonts w:hint="default" w:ascii="Times New Roman" w:hAnsi="Times New Roman" w:cs="Times New Roman"/>
          <w:color w:val="auto"/>
          <w:sz w:val="24"/>
          <w:highlight w:val="none"/>
        </w:rPr>
        <w:t>、地表水环境风险潜势为IV</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大气、地表水和地下水</w:t>
      </w:r>
      <w:r>
        <w:rPr>
          <w:rFonts w:hint="default" w:ascii="Times New Roman" w:hAnsi="Times New Roman" w:cs="Times New Roman"/>
          <w:b w:val="0"/>
          <w:bCs w:val="0"/>
          <w:color w:val="auto"/>
          <w:highlight w:val="none"/>
          <w:lang w:val="en-US" w:eastAsia="zh-CN"/>
        </w:rPr>
        <w:t>环境风险评价工作等级</w:t>
      </w:r>
      <w:r>
        <w:rPr>
          <w:rFonts w:hint="eastAsia" w:ascii="Times New Roman" w:hAnsi="Times New Roman" w:cs="Times New Roman"/>
          <w:b w:val="0"/>
          <w:bCs w:val="0"/>
          <w:color w:val="auto"/>
          <w:highlight w:val="none"/>
          <w:lang w:val="en-US" w:eastAsia="zh-CN"/>
        </w:rPr>
        <w:t>均</w:t>
      </w:r>
      <w:r>
        <w:rPr>
          <w:rFonts w:hint="default" w:ascii="Times New Roman" w:hAnsi="Times New Roman" w:cs="Times New Roman"/>
          <w:b w:val="0"/>
          <w:bCs w:val="0"/>
          <w:color w:val="auto"/>
          <w:highlight w:val="none"/>
          <w:lang w:val="en-US" w:eastAsia="zh-CN"/>
        </w:rPr>
        <w:t>为</w:t>
      </w:r>
      <w:r>
        <w:rPr>
          <w:rFonts w:hint="eastAsia" w:cs="Times New Roman"/>
          <w:b/>
          <w:bCs/>
          <w:color w:val="auto"/>
          <w:highlight w:val="none"/>
          <w:lang w:val="en-US" w:eastAsia="zh-CN"/>
        </w:rPr>
        <w:t>一</w:t>
      </w:r>
      <w:r>
        <w:rPr>
          <w:rFonts w:hint="default" w:ascii="Times New Roman" w:hAnsi="Times New Roman" w:cs="Times New Roman"/>
          <w:b/>
          <w:bCs/>
          <w:color w:val="auto"/>
          <w:highlight w:val="none"/>
          <w:lang w:val="en-US" w:eastAsia="zh-CN"/>
        </w:rPr>
        <w:t>级</w:t>
      </w:r>
      <w:r>
        <w:rPr>
          <w:rFonts w:hint="eastAsia"/>
          <w:b w:val="0"/>
          <w:bCs w:val="0"/>
          <w:color w:val="auto"/>
          <w:sz w:val="24"/>
          <w:lang w:val="en-US" w:eastAsia="zh-CN"/>
        </w:rPr>
        <w:t>。</w:t>
      </w:r>
    </w:p>
    <w:p w14:paraId="64068A13">
      <w:pPr>
        <w:spacing w:line="360" w:lineRule="auto"/>
        <w:ind w:left="0" w:leftChars="0" w:firstLine="480" w:firstLineChars="200"/>
        <w:rPr>
          <w:rFonts w:hint="eastAsia"/>
          <w:color w:val="auto"/>
          <w:highlight w:val="none"/>
          <w:lang w:val="en-US" w:eastAsia="zh-CN"/>
        </w:rPr>
      </w:pPr>
      <w:r>
        <w:rPr>
          <w:rFonts w:hint="eastAsia" w:ascii="Times New Roman" w:hAnsi="Times New Roman" w:cs="Times New Roman"/>
          <w:color w:val="auto"/>
          <w:kern w:val="0"/>
          <w:sz w:val="24"/>
          <w:szCs w:val="24"/>
          <w:highlight w:val="none"/>
          <w:lang w:val="en-US" w:eastAsia="zh-CN" w:bidi="ar"/>
        </w:rPr>
        <w:t>根据预测结果，</w:t>
      </w:r>
      <w:r>
        <w:rPr>
          <w:rFonts w:hint="eastAsia"/>
          <w:color w:val="auto"/>
          <w:highlight w:val="none"/>
          <w:lang w:val="en-US" w:eastAsia="zh-CN"/>
        </w:rPr>
        <w:t>项目运营期风险事故类型主要为有毒有害物料泄漏扩散和火灾爆炸等引发的伴生/次生污染物排放对大气环境的影响。</w:t>
      </w:r>
      <w:r>
        <w:rPr>
          <w:rFonts w:hint="default" w:ascii="Times New Roman" w:hAnsi="Times New Roman" w:cs="Times New Roman"/>
          <w:color w:val="auto"/>
          <w:highlight w:val="none"/>
          <w:lang w:val="en-US" w:eastAsia="zh-CN"/>
        </w:rPr>
        <w:t>当</w:t>
      </w:r>
      <w:r>
        <w:rPr>
          <w:rFonts w:hint="eastAsia" w:cs="Times New Roman"/>
          <w:color w:val="auto"/>
          <w:highlight w:val="none"/>
          <w:lang w:val="en-US" w:eastAsia="zh-CN"/>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highlight w:val="none"/>
          <w:lang w:val="en-US" w:eastAsia="zh-CN"/>
        </w:rPr>
        <w:t>发生泄漏事故时，产生的</w:t>
      </w:r>
      <w:r>
        <w:rPr>
          <w:rFonts w:hint="eastAsia" w:cs="Times New Roman"/>
          <w:color w:val="auto"/>
          <w:highlight w:val="none"/>
          <w:lang w:val="en-US" w:eastAsia="zh-CN"/>
        </w:rPr>
        <w:t>硫酸雾</w:t>
      </w:r>
      <w:r>
        <w:rPr>
          <w:rFonts w:hint="default" w:ascii="Times New Roman" w:hAnsi="Times New Roman" w:cs="Times New Roman"/>
          <w:color w:val="auto"/>
          <w:highlight w:val="none"/>
          <w:lang w:val="en-US" w:eastAsia="zh-CN"/>
        </w:rPr>
        <w:t>在最不利</w:t>
      </w:r>
      <w:r>
        <w:rPr>
          <w:rFonts w:hint="eastAsia" w:cs="Times New Roman"/>
          <w:color w:val="auto"/>
          <w:highlight w:val="none"/>
          <w:lang w:val="en-US" w:eastAsia="zh-CN"/>
        </w:rPr>
        <w:t>和</w:t>
      </w:r>
      <w:r>
        <w:rPr>
          <w:rFonts w:hint="default" w:ascii="Times New Roman" w:hAnsi="Times New Roman" w:cs="Times New Roman"/>
          <w:color w:val="auto"/>
          <w:highlight w:val="none"/>
          <w:lang w:val="en-US" w:eastAsia="zh-CN"/>
        </w:rPr>
        <w:t>最</w:t>
      </w:r>
      <w:r>
        <w:rPr>
          <w:rFonts w:hint="eastAsia"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气象条件下，毒性终点浓度-2的距离</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为下风向</w:t>
      </w:r>
      <w:r>
        <w:rPr>
          <w:rFonts w:hint="eastAsia" w:cs="Times New Roman"/>
          <w:color w:val="auto"/>
          <w:highlight w:val="none"/>
          <w:lang w:val="en-US" w:eastAsia="zh-CN"/>
        </w:rPr>
        <w:t>260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毒性终点浓度-2</w:t>
      </w:r>
      <w:r>
        <w:rPr>
          <w:rFonts w:hint="eastAsia" w:cs="Times New Roman"/>
          <w:color w:val="auto"/>
          <w:highlight w:val="none"/>
          <w:lang w:val="en-US" w:eastAsia="zh-CN"/>
        </w:rPr>
        <w:t>影响范围内有少量散户分布。</w:t>
      </w:r>
      <w:r>
        <w:rPr>
          <w:rFonts w:hint="default" w:ascii="Times New Roman" w:hAnsi="Times New Roman" w:eastAsia="宋体" w:cs="Times New Roman"/>
          <w:color w:val="auto"/>
          <w:kern w:val="0"/>
          <w:sz w:val="24"/>
          <w:szCs w:val="24"/>
          <w:highlight w:val="none"/>
          <w:lang w:val="en-US" w:eastAsia="zh-CN" w:bidi="ar"/>
        </w:rPr>
        <w:t>在最不利气象条件下评价范围内</w:t>
      </w:r>
      <w:r>
        <w:rPr>
          <w:rFonts w:hint="eastAsia" w:ascii="Times New Roman" w:hAnsi="Times New Roman" w:eastAsia="宋体" w:cs="Times New Roman"/>
          <w:color w:val="auto"/>
          <w:kern w:val="0"/>
          <w:sz w:val="24"/>
          <w:szCs w:val="24"/>
          <w:highlight w:val="none"/>
          <w:lang w:val="en-US" w:eastAsia="zh-CN" w:bidi="ar"/>
        </w:rPr>
        <w:t>东北侧</w:t>
      </w:r>
      <w:r>
        <w:rPr>
          <w:rFonts w:hint="eastAsia" w:cs="Times New Roman"/>
          <w:color w:val="auto"/>
          <w:kern w:val="0"/>
          <w:sz w:val="24"/>
          <w:szCs w:val="24"/>
          <w:highlight w:val="none"/>
          <w:lang w:val="en-US" w:eastAsia="zh-CN" w:bidi="ar"/>
        </w:rPr>
        <w:t>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，持续时间为15min</w:t>
      </w:r>
      <w:r>
        <w:rPr>
          <w:rFonts w:hint="eastAsia" w:cs="Times New Roman"/>
          <w:color w:val="auto"/>
          <w:kern w:val="0"/>
          <w:sz w:val="24"/>
          <w:szCs w:val="24"/>
          <w:highlight w:val="none"/>
          <w:lang w:val="en-US" w:eastAsia="zh-CN" w:bidi="ar"/>
        </w:rPr>
        <w:t>；在最常见</w:t>
      </w:r>
      <w:r>
        <w:rPr>
          <w:rFonts w:hint="default" w:ascii="Times New Roman" w:hAnsi="Times New Roman" w:eastAsia="宋体" w:cs="Times New Roman"/>
          <w:color w:val="auto"/>
          <w:kern w:val="0"/>
          <w:sz w:val="24"/>
          <w:szCs w:val="24"/>
          <w:highlight w:val="none"/>
          <w:lang w:val="en-US" w:eastAsia="zh-CN" w:bidi="ar"/>
        </w:rPr>
        <w:t>气象条件下评价范围内</w:t>
      </w:r>
      <w:r>
        <w:rPr>
          <w:rFonts w:hint="eastAsia" w:cs="Times New Roman"/>
          <w:color w:val="auto"/>
          <w:kern w:val="0"/>
          <w:sz w:val="24"/>
          <w:szCs w:val="24"/>
          <w:highlight w:val="none"/>
          <w:lang w:val="en-US" w:eastAsia="zh-CN" w:bidi="ar"/>
        </w:rPr>
        <w:t>东北侧散户出现了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，持续时间为1</w:t>
      </w:r>
      <w:r>
        <w:rPr>
          <w:rFonts w:hint="eastAsia" w:cs="Times New Roman"/>
          <w:color w:val="auto"/>
          <w:kern w:val="0"/>
          <w:sz w:val="24"/>
          <w:szCs w:val="24"/>
          <w:highlight w:val="none"/>
          <w:lang w:val="en-US" w:eastAsia="zh-CN" w:bidi="ar"/>
        </w:rPr>
        <w:t>6</w:t>
      </w:r>
      <w:r>
        <w:rPr>
          <w:rFonts w:hint="eastAsia" w:ascii="Times New Roman" w:hAnsi="Times New Roman" w:eastAsia="宋体" w:cs="Times New Roman"/>
          <w:color w:val="auto"/>
          <w:kern w:val="0"/>
          <w:sz w:val="24"/>
          <w:szCs w:val="24"/>
          <w:highlight w:val="none"/>
          <w:lang w:val="en-US" w:eastAsia="zh-CN" w:bidi="ar"/>
        </w:rPr>
        <w:t>min</w:t>
      </w:r>
      <w:r>
        <w:rPr>
          <w:rFonts w:hint="eastAsia" w:cs="Times New Roman"/>
          <w:color w:val="auto"/>
          <w:kern w:val="0"/>
          <w:sz w:val="24"/>
          <w:szCs w:val="24"/>
          <w:highlight w:val="none"/>
          <w:lang w:val="en-US" w:eastAsia="zh-CN" w:bidi="ar"/>
        </w:rPr>
        <w:t>。此外，</w:t>
      </w:r>
      <w:r>
        <w:rPr>
          <w:rFonts w:hint="default" w:ascii="Times New Roman" w:hAnsi="Times New Roman" w:cs="Times New Roman"/>
          <w:color w:val="auto"/>
          <w:kern w:val="0"/>
          <w:sz w:val="24"/>
          <w:szCs w:val="24"/>
          <w:highlight w:val="none"/>
          <w:lang w:val="en-US" w:eastAsia="zh-CN" w:bidi="ar"/>
        </w:rPr>
        <w:t>本次</w:t>
      </w:r>
      <w:r>
        <w:rPr>
          <w:rFonts w:hint="default" w:ascii="Times New Roman" w:hAnsi="Times New Roman" w:cs="Times New Roman"/>
          <w:color w:val="auto"/>
          <w:lang w:val="en-US" w:eastAsia="zh-CN"/>
        </w:rPr>
        <w:t>对暴露于有</w:t>
      </w:r>
      <w:r>
        <w:rPr>
          <w:rFonts w:hint="eastAsia" w:cs="Times New Roman"/>
          <w:color w:val="auto"/>
          <w:lang w:val="en-US" w:eastAsia="zh-CN"/>
        </w:rPr>
        <w:t>一氧化碳或</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气团下、无任何防护的人员</w:t>
      </w:r>
      <w:r>
        <w:rPr>
          <w:rFonts w:hint="eastAsia" w:cs="Times New Roman"/>
          <w:color w:val="auto"/>
          <w:lang w:val="en-US" w:eastAsia="zh-CN"/>
        </w:rPr>
        <w:t>进行了关心点概率分析</w:t>
      </w:r>
      <w:r>
        <w:rPr>
          <w:rFonts w:hint="default" w:ascii="Times New Roman" w:hAnsi="Times New Roman" w:cs="Times New Roman"/>
          <w:color w:val="auto"/>
          <w:lang w:val="en-US" w:eastAsia="zh-CN"/>
        </w:rPr>
        <w:t>，</w:t>
      </w:r>
      <w:r>
        <w:rPr>
          <w:rFonts w:hint="eastAsia" w:cs="Times New Roman"/>
          <w:color w:val="auto"/>
          <w:lang w:val="en-US" w:eastAsia="zh-CN"/>
        </w:rPr>
        <w:t>经计算，</w:t>
      </w:r>
      <w:r>
        <w:rPr>
          <w:rFonts w:hint="default" w:ascii="Times New Roman" w:hAnsi="Times New Roman" w:cs="Times New Roman"/>
          <w:color w:val="auto"/>
          <w:lang w:val="en-US" w:eastAsia="zh-CN"/>
        </w:rPr>
        <w:t>因</w:t>
      </w:r>
      <w:r>
        <w:rPr>
          <w:rFonts w:hint="eastAsia" w:cs="Times New Roman"/>
          <w:color w:val="auto"/>
          <w:lang w:val="en-US" w:eastAsia="zh-CN"/>
        </w:rPr>
        <w:t>一氧化碳或</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毒性而导致死亡的概率</w:t>
      </w:r>
      <w:r>
        <w:rPr>
          <w:rFonts w:hint="default" w:ascii="Times New Roman" w:hAnsi="Times New Roman" w:eastAsia="宋体" w:cs="Times New Roman"/>
          <w:color w:val="auto"/>
          <w:highlight w:val="none"/>
          <w:lang w:val="en-US" w:eastAsia="zh-CN"/>
        </w:rPr>
        <w:t>为0。</w:t>
      </w:r>
      <w:r>
        <w:rPr>
          <w:rFonts w:hint="eastAsia" w:cs="Times New Roman"/>
          <w:color w:val="auto"/>
          <w:kern w:val="0"/>
          <w:sz w:val="24"/>
          <w:szCs w:val="24"/>
          <w:highlight w:val="none"/>
          <w:lang w:val="en-US" w:eastAsia="zh-CN" w:bidi="ar"/>
        </w:rPr>
        <w:t>环评要求：</w:t>
      </w:r>
      <w:r>
        <w:rPr>
          <w:rFonts w:hint="eastAsia" w:ascii="Times New Roman" w:hAnsi="Times New Roman" w:eastAsia="宋体" w:cs="Times New Roman"/>
          <w:color w:val="auto"/>
          <w:kern w:val="0"/>
          <w:sz w:val="24"/>
          <w:szCs w:val="24"/>
          <w:highlight w:val="none"/>
          <w:lang w:val="en-US" w:eastAsia="zh-CN" w:bidi="ar"/>
        </w:rPr>
        <w:t>一旦发生事故，应立即启动应急预案，根据事故当天风向确定最大影响范围，及时对影响范围内人员发布警报，并组织厂区员工、附近群众在5min内按拟定逃生路线进行疏散撤离，同时确定应急监测点，组织应急监测，直至监测达标方才恢复正常生产、生活。</w:t>
      </w:r>
    </w:p>
    <w:p w14:paraId="4B63CC9D">
      <w:pPr>
        <w:spacing w:line="360" w:lineRule="auto"/>
        <w:ind w:left="0" w:leftChars="0" w:firstLine="480" w:firstLineChars="200"/>
        <w:rPr>
          <w:rFonts w:hint="default"/>
          <w:b w:val="0"/>
          <w:bCs w:val="0"/>
          <w:color w:val="auto"/>
          <w:sz w:val="24"/>
          <w:highlight w:val="none"/>
          <w:lang w:val="en-US" w:eastAsia="zh-CN"/>
        </w:rPr>
      </w:pPr>
      <w:r>
        <w:rPr>
          <w:rFonts w:hint="eastAsia"/>
          <w:color w:val="auto"/>
          <w:highlight w:val="none"/>
          <w:lang w:val="en-US" w:eastAsia="zh-CN"/>
        </w:rPr>
        <w:t>本项目</w:t>
      </w:r>
      <w:r>
        <w:rPr>
          <w:rFonts w:hint="default" w:ascii="Times New Roman" w:hAnsi="Times New Roman" w:eastAsia="宋体" w:cs="Times New Roman"/>
          <w:color w:val="auto"/>
          <w:szCs w:val="24"/>
          <w:highlight w:val="none"/>
        </w:rPr>
        <w:t>存在一定风险，风险事故会对周围环境造成一定程度的影响，企业须加强管理，采取必要的风险事故防范措施，杜绝有毒有害物</w:t>
      </w:r>
      <w:r>
        <w:rPr>
          <w:rFonts w:hint="default" w:ascii="Times New Roman" w:hAnsi="Times New Roman" w:cs="Times New Roman"/>
          <w:color w:val="auto"/>
          <w:highlight w:val="none"/>
        </w:rPr>
        <w:t>质泄漏及燃爆事故发生；同时若一旦发生事故，则应立即启动应急预案，判断风向、及时对下风向的敏感点发布警报，并组织附近群众在短时间内进行疏散</w:t>
      </w:r>
      <w:r>
        <w:rPr>
          <w:rFonts w:hint="eastAsia"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撤离，通过采取严密的风险防范措施，项目环境</w:t>
      </w:r>
      <w:r>
        <w:rPr>
          <w:rFonts w:hint="eastAsia" w:ascii="Times New Roman" w:hAnsi="Times New Roman" w:cs="Times New Roman"/>
          <w:color w:val="auto"/>
          <w:highlight w:val="none"/>
          <w:lang w:val="en-US" w:eastAsia="zh-CN"/>
        </w:rPr>
        <w:t>风险</w:t>
      </w:r>
      <w:r>
        <w:rPr>
          <w:rFonts w:hint="default" w:ascii="Times New Roman" w:hAnsi="Times New Roman" w:cs="Times New Roman"/>
          <w:color w:val="auto"/>
          <w:highlight w:val="none"/>
        </w:rPr>
        <w:t>处于可接受水平。</w:t>
      </w:r>
    </w:p>
    <w:p w14:paraId="2E4417FC">
      <w:pPr>
        <w:spacing w:line="360" w:lineRule="auto"/>
        <w:ind w:left="0" w:leftChars="0" w:firstLine="480" w:firstLineChars="200"/>
        <w:rPr>
          <w:rFonts w:hint="default"/>
          <w:color w:val="auto"/>
          <w:highlight w:val="none"/>
          <w:lang w:val="en-US" w:eastAsia="zh-CN"/>
        </w:rPr>
        <w:sectPr>
          <w:headerReference r:id="rId6" w:type="default"/>
          <w:footerReference r:id="rId7" w:type="default"/>
          <w:pgSz w:w="11906" w:h="16838"/>
          <w:pgMar w:top="1474" w:right="1247" w:bottom="1304" w:left="1361" w:header="851" w:footer="992" w:gutter="0"/>
          <w:pgBorders>
            <w:top w:val="none" w:sz="0" w:space="0"/>
            <w:left w:val="none" w:sz="0" w:space="0"/>
            <w:bottom w:val="none" w:sz="0" w:space="0"/>
            <w:right w:val="none" w:sz="0" w:space="0"/>
          </w:pgBorders>
          <w:pgNumType w:fmt="decimal" w:start="1"/>
          <w:cols w:space="0" w:num="1"/>
          <w:rtlGutter w:val="0"/>
          <w:docGrid w:type="lines" w:linePitch="343" w:charSpace="0"/>
        </w:sectPr>
      </w:pPr>
    </w:p>
    <w:p w14:paraId="695C6308">
      <w:pPr>
        <w:numPr>
          <w:ilvl w:val="0"/>
          <w:numId w:val="5"/>
        </w:numPr>
        <w:spacing w:line="360" w:lineRule="auto"/>
        <w:ind w:left="425" w:leftChars="0" w:hanging="425" w:firstLineChars="0"/>
        <w:jc w:val="center"/>
        <w:rPr>
          <w:rFonts w:ascii="Times New Roman" w:hAnsi="Times New Roman" w:eastAsia="黑体"/>
          <w:color w:val="auto"/>
          <w:sz w:val="21"/>
          <w:szCs w:val="21"/>
        </w:rPr>
      </w:pPr>
      <w:r>
        <w:rPr>
          <w:rFonts w:ascii="Times New Roman" w:hAnsi="Times New Roman" w:eastAsia="黑体"/>
          <w:color w:val="auto"/>
          <w:sz w:val="21"/>
          <w:szCs w:val="21"/>
        </w:rPr>
        <w:t>主要环境影响因素识别表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269"/>
        <w:gridCol w:w="1327"/>
        <w:gridCol w:w="2086"/>
        <w:gridCol w:w="4137"/>
        <w:gridCol w:w="899"/>
        <w:gridCol w:w="688"/>
        <w:gridCol w:w="2337"/>
        <w:gridCol w:w="827"/>
      </w:tblGrid>
      <w:tr w14:paraId="30D6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244" w:type="pct"/>
            <w:shd w:val="clear" w:color="auto" w:fill="auto"/>
            <w:vAlign w:val="center"/>
          </w:tcPr>
          <w:p w14:paraId="4D5B145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影响时段</w:t>
            </w:r>
          </w:p>
        </w:tc>
        <w:tc>
          <w:tcPr>
            <w:tcW w:w="445" w:type="pct"/>
            <w:shd w:val="clear" w:color="auto" w:fill="auto"/>
            <w:vAlign w:val="center"/>
          </w:tcPr>
          <w:p w14:paraId="52184FD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环境要素</w:t>
            </w:r>
          </w:p>
        </w:tc>
        <w:tc>
          <w:tcPr>
            <w:tcW w:w="465" w:type="pct"/>
            <w:shd w:val="clear" w:color="auto" w:fill="auto"/>
            <w:vAlign w:val="center"/>
          </w:tcPr>
          <w:p w14:paraId="7E22CB4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影响因素</w:t>
            </w:r>
          </w:p>
        </w:tc>
        <w:tc>
          <w:tcPr>
            <w:tcW w:w="731" w:type="pct"/>
            <w:shd w:val="clear" w:color="auto" w:fill="auto"/>
            <w:vAlign w:val="center"/>
          </w:tcPr>
          <w:p w14:paraId="4BF6F70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生产工序或工程内容</w:t>
            </w:r>
          </w:p>
        </w:tc>
        <w:tc>
          <w:tcPr>
            <w:tcW w:w="1450" w:type="pct"/>
            <w:shd w:val="clear" w:color="auto" w:fill="auto"/>
            <w:vAlign w:val="center"/>
          </w:tcPr>
          <w:p w14:paraId="1388F7B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影响因子</w:t>
            </w:r>
          </w:p>
        </w:tc>
        <w:tc>
          <w:tcPr>
            <w:tcW w:w="315" w:type="pct"/>
            <w:shd w:val="clear" w:color="auto" w:fill="auto"/>
            <w:vAlign w:val="center"/>
          </w:tcPr>
          <w:p w14:paraId="6AA0CDB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w:t>
            </w:r>
          </w:p>
          <w:p w14:paraId="0C47C60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性质</w:t>
            </w:r>
          </w:p>
        </w:tc>
        <w:tc>
          <w:tcPr>
            <w:tcW w:w="241" w:type="pct"/>
            <w:shd w:val="clear" w:color="auto" w:fill="auto"/>
            <w:vAlign w:val="center"/>
          </w:tcPr>
          <w:p w14:paraId="6937F4D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w:t>
            </w:r>
          </w:p>
          <w:p w14:paraId="20C2846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关系</w:t>
            </w:r>
          </w:p>
        </w:tc>
        <w:tc>
          <w:tcPr>
            <w:tcW w:w="819" w:type="pct"/>
            <w:shd w:val="clear" w:color="auto" w:fill="auto"/>
            <w:vAlign w:val="center"/>
          </w:tcPr>
          <w:p w14:paraId="2897505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影响范围</w:t>
            </w:r>
          </w:p>
        </w:tc>
        <w:tc>
          <w:tcPr>
            <w:tcW w:w="288" w:type="pct"/>
            <w:shd w:val="clear" w:color="auto" w:fill="auto"/>
            <w:vAlign w:val="center"/>
          </w:tcPr>
          <w:p w14:paraId="0F2581B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影响程度*</w:t>
            </w:r>
          </w:p>
        </w:tc>
      </w:tr>
      <w:tr w14:paraId="2730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244" w:type="pct"/>
            <w:vMerge w:val="restart"/>
            <w:shd w:val="clear" w:color="auto" w:fill="auto"/>
            <w:vAlign w:val="center"/>
          </w:tcPr>
          <w:p w14:paraId="7D168E27">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运营期</w:t>
            </w:r>
          </w:p>
        </w:tc>
        <w:tc>
          <w:tcPr>
            <w:tcW w:w="445" w:type="pct"/>
            <w:vMerge w:val="restart"/>
            <w:shd w:val="clear" w:color="auto" w:fill="auto"/>
            <w:vAlign w:val="center"/>
          </w:tcPr>
          <w:p w14:paraId="7D5B18B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大气环境</w:t>
            </w:r>
          </w:p>
        </w:tc>
        <w:tc>
          <w:tcPr>
            <w:tcW w:w="465" w:type="pct"/>
            <w:vMerge w:val="restart"/>
            <w:shd w:val="clear" w:color="auto" w:fill="auto"/>
            <w:vAlign w:val="center"/>
          </w:tcPr>
          <w:p w14:paraId="7C26306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废气</w:t>
            </w:r>
          </w:p>
        </w:tc>
        <w:tc>
          <w:tcPr>
            <w:tcW w:w="731" w:type="pct"/>
            <w:shd w:val="clear" w:color="auto" w:fill="auto"/>
            <w:vAlign w:val="center"/>
          </w:tcPr>
          <w:p w14:paraId="329B3900">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工艺过程</w:t>
            </w:r>
          </w:p>
        </w:tc>
        <w:tc>
          <w:tcPr>
            <w:tcW w:w="1450" w:type="pct"/>
            <w:shd w:val="clear" w:color="auto" w:fill="auto"/>
            <w:vAlign w:val="center"/>
          </w:tcPr>
          <w:p w14:paraId="7B326D0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颗粒物</w:t>
            </w:r>
            <w:r>
              <w:rPr>
                <w:rFonts w:hint="eastAsia" w:cs="Courier New"/>
                <w:b w:val="0"/>
                <w:bCs w:val="0"/>
                <w:color w:val="auto"/>
                <w:highlight w:val="none"/>
                <w:lang w:val="en-US" w:eastAsia="zh-CN"/>
              </w:rPr>
              <w:t>、</w:t>
            </w:r>
            <w:r>
              <w:rPr>
                <w:rFonts w:hint="eastAsia"/>
                <w:color w:val="auto"/>
                <w:highlight w:val="none"/>
                <w:lang w:val="en-US" w:eastAsia="zh-CN"/>
              </w:rPr>
              <w:t>硫酸雾、氟化物、VOCs、</w:t>
            </w:r>
            <w:r>
              <w:rPr>
                <w:rFonts w:hint="eastAsia" w:ascii="Times New Roman" w:hAnsi="Times New Roman" w:eastAsia="宋体" w:cs="Courier New"/>
                <w:b w:val="0"/>
                <w:bCs w:val="0"/>
                <w:color w:val="auto"/>
                <w:highlight w:val="none"/>
                <w:lang w:val="en-US" w:eastAsia="zh-CN"/>
              </w:rPr>
              <w:t>NH</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、臭气浓度</w:t>
            </w:r>
          </w:p>
        </w:tc>
        <w:tc>
          <w:tcPr>
            <w:tcW w:w="315" w:type="pct"/>
            <w:shd w:val="clear" w:color="auto" w:fill="auto"/>
            <w:vAlign w:val="center"/>
          </w:tcPr>
          <w:p w14:paraId="30CD2E5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6E50CE8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vMerge w:val="restart"/>
            <w:shd w:val="clear" w:color="auto" w:fill="auto"/>
            <w:vAlign w:val="center"/>
          </w:tcPr>
          <w:p w14:paraId="6B39DB8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自厂界外延边长为5×5km的矩形区域</w:t>
            </w:r>
          </w:p>
        </w:tc>
        <w:tc>
          <w:tcPr>
            <w:tcW w:w="288" w:type="pct"/>
            <w:shd w:val="clear" w:color="auto" w:fill="auto"/>
            <w:vAlign w:val="center"/>
          </w:tcPr>
          <w:p w14:paraId="24BCB4A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957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244" w:type="pct"/>
            <w:vMerge w:val="continue"/>
            <w:shd w:val="clear" w:color="auto" w:fill="auto"/>
            <w:vAlign w:val="center"/>
          </w:tcPr>
          <w:p w14:paraId="42A6D28C">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65B4CF55">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370B984B">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53EB1FC6">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质检室</w:t>
            </w:r>
          </w:p>
        </w:tc>
        <w:tc>
          <w:tcPr>
            <w:tcW w:w="1450" w:type="pct"/>
            <w:shd w:val="clear" w:color="auto" w:fill="auto"/>
            <w:vAlign w:val="center"/>
          </w:tcPr>
          <w:p w14:paraId="5AC0838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氯化氢、</w:t>
            </w:r>
            <w:r>
              <w:rPr>
                <w:rFonts w:hint="eastAsia"/>
                <w:color w:val="auto"/>
                <w:highlight w:val="none"/>
                <w:lang w:val="en-US" w:eastAsia="zh-CN"/>
              </w:rPr>
              <w:t>硫酸雾、氟化物</w:t>
            </w:r>
          </w:p>
        </w:tc>
        <w:tc>
          <w:tcPr>
            <w:tcW w:w="315" w:type="pct"/>
            <w:shd w:val="clear" w:color="auto" w:fill="auto"/>
            <w:vAlign w:val="center"/>
          </w:tcPr>
          <w:p w14:paraId="353CE35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17E8369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vMerge w:val="continue"/>
            <w:shd w:val="clear" w:color="auto" w:fill="auto"/>
            <w:vAlign w:val="center"/>
          </w:tcPr>
          <w:p w14:paraId="3A72A1AE">
            <w:pPr>
              <w:pStyle w:val="24"/>
              <w:bidi w:val="0"/>
              <w:rPr>
                <w:rFonts w:hint="eastAsia" w:ascii="Times New Roman" w:hAnsi="Times New Roman" w:eastAsia="宋体" w:cs="Courier New"/>
                <w:b w:val="0"/>
                <w:bCs w:val="0"/>
                <w:color w:val="auto"/>
                <w:highlight w:val="none"/>
                <w:lang w:val="en-US" w:eastAsia="zh-CN"/>
              </w:rPr>
            </w:pPr>
          </w:p>
        </w:tc>
        <w:tc>
          <w:tcPr>
            <w:tcW w:w="288" w:type="pct"/>
            <w:shd w:val="clear" w:color="auto" w:fill="auto"/>
            <w:vAlign w:val="center"/>
          </w:tcPr>
          <w:p w14:paraId="03A0C9B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1B5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44" w:type="pct"/>
            <w:vMerge w:val="continue"/>
            <w:shd w:val="clear" w:color="auto" w:fill="auto"/>
            <w:vAlign w:val="center"/>
          </w:tcPr>
          <w:p w14:paraId="2904F072">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0E503B29">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43D3BA1D">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5B2E44CC">
            <w:pPr>
              <w:pStyle w:val="24"/>
              <w:bidi w:val="0"/>
              <w:rPr>
                <w:rFonts w:hint="default" w:ascii="Times New Roman" w:hAnsi="Times New Roman" w:eastAsia="宋体" w:cs="Courier New"/>
                <w:b w:val="0"/>
                <w:bCs w:val="0"/>
                <w:color w:val="auto"/>
                <w:highlight w:val="none"/>
                <w:lang w:val="en-US" w:eastAsia="zh-CN"/>
              </w:rPr>
            </w:pPr>
            <w:r>
              <w:rPr>
                <w:rFonts w:hint="eastAsia" w:cs="Times New Roman"/>
                <w:b w:val="0"/>
                <w:bCs w:val="0"/>
                <w:color w:val="auto"/>
                <w:highlight w:val="none"/>
                <w:lang w:val="en-US" w:eastAsia="zh-CN"/>
              </w:rPr>
              <w:t>危废暂存间</w:t>
            </w:r>
          </w:p>
        </w:tc>
        <w:tc>
          <w:tcPr>
            <w:tcW w:w="1450" w:type="pct"/>
            <w:shd w:val="clear" w:color="auto" w:fill="auto"/>
            <w:vAlign w:val="center"/>
          </w:tcPr>
          <w:p w14:paraId="7AA55C5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氯化氢、硫酸雾、</w:t>
            </w:r>
            <w:r>
              <w:rPr>
                <w:rFonts w:hint="eastAsia" w:cs="Courier New"/>
                <w:b w:val="0"/>
                <w:bCs w:val="0"/>
                <w:color w:val="auto"/>
                <w:highlight w:val="none"/>
                <w:lang w:val="en-US" w:eastAsia="zh-CN"/>
              </w:rPr>
              <w:t>氟化物</w:t>
            </w:r>
            <w:r>
              <w:rPr>
                <w:rFonts w:hint="eastAsia" w:ascii="Times New Roman" w:hAnsi="Times New Roman" w:eastAsia="宋体" w:cs="Courier New"/>
                <w:b w:val="0"/>
                <w:bCs w:val="0"/>
                <w:color w:val="auto"/>
                <w:highlight w:val="none"/>
                <w:lang w:val="en-US" w:eastAsia="zh-CN"/>
              </w:rPr>
              <w:t>、VOCs等</w:t>
            </w:r>
          </w:p>
        </w:tc>
        <w:tc>
          <w:tcPr>
            <w:tcW w:w="315" w:type="pct"/>
            <w:shd w:val="clear" w:color="auto" w:fill="auto"/>
            <w:vAlign w:val="center"/>
          </w:tcPr>
          <w:p w14:paraId="35A2D50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190E4A0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vMerge w:val="continue"/>
            <w:shd w:val="clear" w:color="auto" w:fill="auto"/>
            <w:vAlign w:val="center"/>
          </w:tcPr>
          <w:p w14:paraId="3FBB2912">
            <w:pPr>
              <w:pStyle w:val="24"/>
              <w:bidi w:val="0"/>
              <w:rPr>
                <w:rFonts w:hint="eastAsia" w:ascii="Times New Roman" w:hAnsi="Times New Roman" w:eastAsia="宋体" w:cs="Courier New"/>
                <w:b w:val="0"/>
                <w:bCs w:val="0"/>
                <w:color w:val="auto"/>
                <w:highlight w:val="none"/>
                <w:lang w:val="en-US" w:eastAsia="zh-CN"/>
              </w:rPr>
            </w:pPr>
          </w:p>
        </w:tc>
        <w:tc>
          <w:tcPr>
            <w:tcW w:w="288" w:type="pct"/>
            <w:shd w:val="clear" w:color="auto" w:fill="auto"/>
            <w:vAlign w:val="center"/>
          </w:tcPr>
          <w:p w14:paraId="2D35F3E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7D2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4" w:type="pct"/>
            <w:vMerge w:val="continue"/>
            <w:shd w:val="clear" w:color="auto" w:fill="auto"/>
            <w:vAlign w:val="center"/>
          </w:tcPr>
          <w:p w14:paraId="0838DD33">
            <w:pPr>
              <w:pStyle w:val="24"/>
              <w:bidi w:val="0"/>
              <w:rPr>
                <w:rFonts w:hint="eastAsia" w:ascii="Times New Roman" w:hAnsi="Times New Roman" w:eastAsia="宋体" w:cs="Courier New"/>
                <w:b w:val="0"/>
                <w:bCs w:val="0"/>
                <w:color w:val="auto"/>
                <w:highlight w:val="none"/>
                <w:lang w:val="en-US" w:eastAsia="zh-CN"/>
              </w:rPr>
            </w:pPr>
          </w:p>
        </w:tc>
        <w:tc>
          <w:tcPr>
            <w:tcW w:w="445" w:type="pct"/>
            <w:vMerge w:val="restart"/>
            <w:shd w:val="clear" w:color="auto" w:fill="auto"/>
            <w:vAlign w:val="center"/>
          </w:tcPr>
          <w:p w14:paraId="6E7B874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地表水环境</w:t>
            </w:r>
          </w:p>
        </w:tc>
        <w:tc>
          <w:tcPr>
            <w:tcW w:w="465" w:type="pct"/>
            <w:vMerge w:val="restart"/>
            <w:shd w:val="clear" w:color="auto" w:fill="auto"/>
            <w:vAlign w:val="center"/>
          </w:tcPr>
          <w:p w14:paraId="6AE792F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废水</w:t>
            </w:r>
          </w:p>
        </w:tc>
        <w:tc>
          <w:tcPr>
            <w:tcW w:w="731" w:type="pct"/>
            <w:shd w:val="clear" w:color="auto" w:fill="auto"/>
            <w:vAlign w:val="center"/>
          </w:tcPr>
          <w:p w14:paraId="56A949C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降雨</w:t>
            </w:r>
          </w:p>
        </w:tc>
        <w:tc>
          <w:tcPr>
            <w:tcW w:w="4137" w:type="dxa"/>
            <w:vMerge w:val="restart"/>
            <w:shd w:val="clear" w:color="auto" w:fill="auto"/>
            <w:vAlign w:val="center"/>
          </w:tcPr>
          <w:p w14:paraId="16C376A6">
            <w:pPr>
              <w:pStyle w:val="24"/>
              <w:bidi w:val="0"/>
              <w:ind w:left="0" w:leftChars="0"/>
              <w:jc w:val="center"/>
              <w:rPr>
                <w:rFonts w:hint="eastAsia" w:ascii="Times New Roman" w:hAnsi="Times New Roman" w:eastAsia="宋体" w:cs="Courier New"/>
                <w:b w:val="0"/>
                <w:bCs w:val="0"/>
                <w:color w:val="auto"/>
                <w:highlight w:val="none"/>
                <w:lang w:val="en-US" w:eastAsia="zh-CN"/>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-N、TN等</w:t>
            </w:r>
          </w:p>
        </w:tc>
        <w:tc>
          <w:tcPr>
            <w:tcW w:w="315" w:type="pct"/>
            <w:shd w:val="clear" w:color="auto" w:fill="auto"/>
            <w:vAlign w:val="center"/>
          </w:tcPr>
          <w:p w14:paraId="3462FB28">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241" w:type="pct"/>
            <w:shd w:val="clear" w:color="auto" w:fill="auto"/>
            <w:vAlign w:val="center"/>
          </w:tcPr>
          <w:p w14:paraId="6CB763D9">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19" w:type="pct"/>
            <w:vMerge w:val="restart"/>
            <w:shd w:val="clear" w:color="auto" w:fill="auto"/>
            <w:vAlign w:val="center"/>
          </w:tcPr>
          <w:p w14:paraId="00C4C84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通江河</w:t>
            </w:r>
            <w:r>
              <w:rPr>
                <w:rFonts w:hint="eastAsia" w:ascii="Times New Roman" w:hAnsi="Times New Roman" w:eastAsia="宋体" w:cs="Courier New"/>
                <w:b w:val="0"/>
                <w:bCs w:val="0"/>
                <w:color w:val="auto"/>
                <w:highlight w:val="none"/>
                <w:lang w:val="en-US" w:eastAsia="zh-CN"/>
              </w:rPr>
              <w:t>-通江县秋锦山产业园区综合污水处理厂</w:t>
            </w:r>
            <w:r>
              <w:rPr>
                <w:rFonts w:hint="eastAsia" w:cs="Courier New"/>
                <w:b w:val="0"/>
                <w:bCs w:val="0"/>
                <w:color w:val="auto"/>
                <w:highlight w:val="none"/>
                <w:lang w:val="en-US" w:eastAsia="zh-CN"/>
              </w:rPr>
              <w:t>排口</w:t>
            </w:r>
            <w:r>
              <w:rPr>
                <w:rFonts w:hint="eastAsia" w:ascii="Times New Roman" w:hAnsi="Times New Roman" w:eastAsia="宋体" w:cs="Courier New"/>
                <w:b w:val="0"/>
                <w:bCs w:val="0"/>
                <w:color w:val="auto"/>
                <w:highlight w:val="none"/>
                <w:lang w:val="en-US" w:eastAsia="zh-CN"/>
              </w:rPr>
              <w:t>上游</w:t>
            </w:r>
            <w:r>
              <w:rPr>
                <w:rFonts w:hint="eastAsia" w:cs="Courier New"/>
                <w:b w:val="0"/>
                <w:bCs w:val="0"/>
                <w:color w:val="auto"/>
                <w:highlight w:val="none"/>
                <w:lang w:val="en-US" w:eastAsia="zh-CN"/>
              </w:rPr>
              <w:t>0.5k</w:t>
            </w:r>
            <w:r>
              <w:rPr>
                <w:rFonts w:hint="eastAsia" w:ascii="Times New Roman" w:hAnsi="Times New Roman" w:eastAsia="宋体" w:cs="Courier New"/>
                <w:b w:val="0"/>
                <w:bCs w:val="0"/>
                <w:color w:val="auto"/>
                <w:highlight w:val="none"/>
                <w:lang w:val="en-US" w:eastAsia="zh-CN"/>
              </w:rPr>
              <w:t>m至</w:t>
            </w:r>
            <w:r>
              <w:rPr>
                <w:rFonts w:hint="eastAsia" w:cs="Courier New"/>
                <w:b w:val="0"/>
                <w:bCs w:val="0"/>
                <w:color w:val="auto"/>
                <w:highlight w:val="none"/>
                <w:lang w:val="en-US" w:eastAsia="zh-CN"/>
              </w:rPr>
              <w:t>下游30.4km（纳溪口国控断面）范围</w:t>
            </w:r>
          </w:p>
        </w:tc>
        <w:tc>
          <w:tcPr>
            <w:tcW w:w="827" w:type="dxa"/>
            <w:shd w:val="clear" w:color="auto" w:fill="auto"/>
            <w:vAlign w:val="center"/>
          </w:tcPr>
          <w:p w14:paraId="59A7EE9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r w14:paraId="6C4E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4" w:type="pct"/>
            <w:vMerge w:val="continue"/>
            <w:shd w:val="clear" w:color="auto" w:fill="auto"/>
            <w:vAlign w:val="center"/>
          </w:tcPr>
          <w:p w14:paraId="12C2B29A">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605B3BF8">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1C9A6994">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6CB889AB">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不涉及磷及重金属的</w:t>
            </w:r>
            <w:r>
              <w:rPr>
                <w:rFonts w:hint="eastAsia" w:ascii="Times New Roman" w:hAnsi="Times New Roman" w:eastAsia="宋体" w:cs="Courier New"/>
                <w:b w:val="0"/>
                <w:bCs w:val="0"/>
                <w:color w:val="auto"/>
                <w:highlight w:val="none"/>
                <w:lang w:val="en-US" w:eastAsia="zh-CN"/>
              </w:rPr>
              <w:t>器皿三次后清洗</w:t>
            </w:r>
          </w:p>
        </w:tc>
        <w:tc>
          <w:tcPr>
            <w:tcW w:w="1450" w:type="pct"/>
            <w:vMerge w:val="continue"/>
            <w:shd w:val="clear" w:color="auto" w:fill="auto"/>
            <w:vAlign w:val="center"/>
          </w:tcPr>
          <w:p w14:paraId="065BC3E5">
            <w:pPr>
              <w:pStyle w:val="24"/>
              <w:bidi w:val="0"/>
              <w:rPr>
                <w:rFonts w:hint="eastAsia" w:cs="Times New Roman"/>
                <w:b w:val="0"/>
                <w:bCs w:val="0"/>
                <w:color w:val="auto"/>
                <w:sz w:val="21"/>
                <w:szCs w:val="21"/>
                <w:highlight w:val="none"/>
                <w:lang w:val="en-US" w:eastAsia="zh-CN"/>
              </w:rPr>
            </w:pPr>
          </w:p>
        </w:tc>
        <w:tc>
          <w:tcPr>
            <w:tcW w:w="899" w:type="dxa"/>
            <w:shd w:val="clear" w:color="auto" w:fill="auto"/>
            <w:vAlign w:val="center"/>
          </w:tcPr>
          <w:p w14:paraId="0E97B28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688" w:type="dxa"/>
            <w:shd w:val="clear" w:color="auto" w:fill="auto"/>
            <w:vAlign w:val="center"/>
          </w:tcPr>
          <w:p w14:paraId="112409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19" w:type="pct"/>
            <w:vMerge w:val="continue"/>
            <w:shd w:val="clear" w:color="auto" w:fill="auto"/>
            <w:vAlign w:val="center"/>
          </w:tcPr>
          <w:p w14:paraId="3CEB0E8D">
            <w:pPr>
              <w:pStyle w:val="24"/>
              <w:bidi w:val="0"/>
              <w:rPr>
                <w:rFonts w:hint="eastAsia" w:ascii="Times New Roman" w:hAnsi="Times New Roman" w:eastAsia="宋体" w:cs="Courier New"/>
                <w:b w:val="0"/>
                <w:bCs w:val="0"/>
                <w:color w:val="auto"/>
                <w:highlight w:val="none"/>
                <w:lang w:val="en-US" w:eastAsia="zh-CN"/>
              </w:rPr>
            </w:pPr>
          </w:p>
        </w:tc>
        <w:tc>
          <w:tcPr>
            <w:tcW w:w="827" w:type="dxa"/>
            <w:shd w:val="clear" w:color="auto" w:fill="auto"/>
            <w:vAlign w:val="center"/>
          </w:tcPr>
          <w:p w14:paraId="0648661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r w14:paraId="4983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4" w:type="pct"/>
            <w:vMerge w:val="continue"/>
            <w:shd w:val="clear" w:color="auto" w:fill="auto"/>
            <w:vAlign w:val="center"/>
          </w:tcPr>
          <w:p w14:paraId="4FDA06F5">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25A5D3A7">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19C69378">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14D6FA10">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生产</w:t>
            </w:r>
            <w:r>
              <w:rPr>
                <w:rFonts w:hint="eastAsia" w:ascii="Times New Roman" w:hAnsi="Times New Roman" w:eastAsia="宋体" w:cs="Courier New"/>
                <w:b w:val="0"/>
                <w:bCs w:val="0"/>
                <w:color w:val="auto"/>
                <w:highlight w:val="none"/>
                <w:lang w:val="en-US" w:eastAsia="zh-CN"/>
              </w:rPr>
              <w:t>车间地面清洁</w:t>
            </w:r>
          </w:p>
        </w:tc>
        <w:tc>
          <w:tcPr>
            <w:tcW w:w="4137" w:type="dxa"/>
            <w:shd w:val="clear" w:color="auto" w:fill="auto"/>
            <w:vAlign w:val="center"/>
          </w:tcPr>
          <w:p w14:paraId="47404BC2">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-N、TN、石油类等</w:t>
            </w:r>
          </w:p>
        </w:tc>
        <w:tc>
          <w:tcPr>
            <w:tcW w:w="899" w:type="dxa"/>
            <w:shd w:val="clear" w:color="auto" w:fill="auto"/>
            <w:vAlign w:val="center"/>
          </w:tcPr>
          <w:p w14:paraId="6B15BC5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688" w:type="dxa"/>
            <w:shd w:val="clear" w:color="auto" w:fill="auto"/>
            <w:vAlign w:val="center"/>
          </w:tcPr>
          <w:p w14:paraId="02B40F0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19" w:type="pct"/>
            <w:vMerge w:val="continue"/>
            <w:shd w:val="clear" w:color="auto" w:fill="auto"/>
            <w:vAlign w:val="center"/>
          </w:tcPr>
          <w:p w14:paraId="5C6B539B">
            <w:pPr>
              <w:pStyle w:val="24"/>
              <w:bidi w:val="0"/>
              <w:rPr>
                <w:rFonts w:hint="eastAsia" w:ascii="Times New Roman" w:hAnsi="Times New Roman" w:eastAsia="宋体" w:cs="Courier New"/>
                <w:b w:val="0"/>
                <w:bCs w:val="0"/>
                <w:color w:val="auto"/>
                <w:highlight w:val="none"/>
                <w:lang w:val="en-US" w:eastAsia="zh-CN"/>
              </w:rPr>
            </w:pPr>
          </w:p>
        </w:tc>
        <w:tc>
          <w:tcPr>
            <w:tcW w:w="827" w:type="dxa"/>
            <w:shd w:val="clear" w:color="auto" w:fill="auto"/>
            <w:vAlign w:val="center"/>
          </w:tcPr>
          <w:p w14:paraId="00D8F8B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r w14:paraId="6414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4" w:type="pct"/>
            <w:vMerge w:val="continue"/>
            <w:shd w:val="clear" w:color="auto" w:fill="auto"/>
            <w:vAlign w:val="center"/>
          </w:tcPr>
          <w:p w14:paraId="4774291E">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68483713">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094DF9C4">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3B80199E">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软水机组</w:t>
            </w:r>
          </w:p>
        </w:tc>
        <w:tc>
          <w:tcPr>
            <w:tcW w:w="4137" w:type="dxa"/>
            <w:vMerge w:val="restart"/>
            <w:shd w:val="clear" w:color="auto" w:fill="auto"/>
            <w:vAlign w:val="center"/>
          </w:tcPr>
          <w:p w14:paraId="7CE9B99E">
            <w:pPr>
              <w:pStyle w:val="24"/>
              <w:bidi w:val="0"/>
              <w:ind w:left="0" w:leftChars="0"/>
              <w:jc w:val="center"/>
              <w:rPr>
                <w:rFonts w:hint="eastAsia" w:ascii="Times New Roman" w:hAnsi="Times New Roman" w:eastAsia="宋体" w:cs="Courier New"/>
                <w:b w:val="0"/>
                <w:bCs w:val="0"/>
                <w:color w:val="auto"/>
                <w:highlight w:val="none"/>
                <w:lang w:val="en-US" w:eastAsia="zh-CN"/>
              </w:rPr>
            </w:pPr>
            <w:r>
              <w:rPr>
                <w:rFonts w:hint="eastAsia" w:cs="Times New Roman"/>
                <w:b w:val="0"/>
                <w:bCs w:val="0"/>
                <w:color w:val="auto"/>
                <w:kern w:val="2"/>
                <w:sz w:val="21"/>
                <w:szCs w:val="21"/>
                <w:highlight w:val="none"/>
                <w:lang w:val="en-US" w:eastAsia="zh-CN" w:bidi="ar-SA"/>
              </w:rPr>
              <w:t>SS等</w:t>
            </w:r>
          </w:p>
        </w:tc>
        <w:tc>
          <w:tcPr>
            <w:tcW w:w="899" w:type="dxa"/>
            <w:shd w:val="clear" w:color="auto" w:fill="auto"/>
            <w:vAlign w:val="center"/>
          </w:tcPr>
          <w:p w14:paraId="45C9D93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688" w:type="dxa"/>
            <w:shd w:val="clear" w:color="auto" w:fill="auto"/>
            <w:vAlign w:val="center"/>
          </w:tcPr>
          <w:p w14:paraId="221A86A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19" w:type="pct"/>
            <w:vMerge w:val="continue"/>
            <w:shd w:val="clear" w:color="auto" w:fill="auto"/>
            <w:vAlign w:val="center"/>
          </w:tcPr>
          <w:p w14:paraId="4624211A">
            <w:pPr>
              <w:pStyle w:val="24"/>
              <w:bidi w:val="0"/>
              <w:rPr>
                <w:rFonts w:hint="eastAsia" w:ascii="Times New Roman" w:hAnsi="Times New Roman" w:eastAsia="宋体" w:cs="Courier New"/>
                <w:b w:val="0"/>
                <w:bCs w:val="0"/>
                <w:color w:val="auto"/>
                <w:highlight w:val="none"/>
                <w:lang w:val="en-US" w:eastAsia="zh-CN"/>
              </w:rPr>
            </w:pPr>
          </w:p>
        </w:tc>
        <w:tc>
          <w:tcPr>
            <w:tcW w:w="827" w:type="dxa"/>
            <w:shd w:val="clear" w:color="auto" w:fill="auto"/>
            <w:vAlign w:val="center"/>
          </w:tcPr>
          <w:p w14:paraId="7DFE195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r w14:paraId="2AB6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4" w:type="pct"/>
            <w:vMerge w:val="continue"/>
            <w:shd w:val="clear" w:color="auto" w:fill="auto"/>
            <w:vAlign w:val="center"/>
          </w:tcPr>
          <w:p w14:paraId="1153455E">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65262D38">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3BBDEB87">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3CAA8BCA">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冷冻水机组</w:t>
            </w:r>
          </w:p>
        </w:tc>
        <w:tc>
          <w:tcPr>
            <w:tcW w:w="1450" w:type="pct"/>
            <w:vMerge w:val="continue"/>
            <w:shd w:val="clear" w:color="auto" w:fill="auto"/>
            <w:vAlign w:val="center"/>
          </w:tcPr>
          <w:p w14:paraId="06F4A1D5">
            <w:pPr>
              <w:pStyle w:val="24"/>
              <w:bidi w:val="0"/>
              <w:rPr>
                <w:rFonts w:hint="eastAsia" w:ascii="Times New Roman" w:hAnsi="Times New Roman" w:eastAsia="宋体" w:cs="Courier New"/>
                <w:b w:val="0"/>
                <w:bCs w:val="0"/>
                <w:color w:val="auto"/>
                <w:highlight w:val="none"/>
                <w:lang w:val="en-US" w:eastAsia="zh-CN"/>
              </w:rPr>
            </w:pPr>
          </w:p>
        </w:tc>
        <w:tc>
          <w:tcPr>
            <w:tcW w:w="899" w:type="dxa"/>
            <w:shd w:val="clear" w:color="auto" w:fill="auto"/>
            <w:vAlign w:val="center"/>
          </w:tcPr>
          <w:p w14:paraId="7458379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688" w:type="dxa"/>
            <w:shd w:val="clear" w:color="auto" w:fill="auto"/>
            <w:vAlign w:val="center"/>
          </w:tcPr>
          <w:p w14:paraId="6E70601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19" w:type="pct"/>
            <w:vMerge w:val="continue"/>
            <w:shd w:val="clear" w:color="auto" w:fill="auto"/>
            <w:vAlign w:val="center"/>
          </w:tcPr>
          <w:p w14:paraId="0549A451">
            <w:pPr>
              <w:pStyle w:val="24"/>
              <w:bidi w:val="0"/>
              <w:rPr>
                <w:rFonts w:hint="eastAsia" w:ascii="Times New Roman" w:hAnsi="Times New Roman" w:eastAsia="宋体" w:cs="Courier New"/>
                <w:b w:val="0"/>
                <w:bCs w:val="0"/>
                <w:color w:val="auto"/>
                <w:highlight w:val="none"/>
                <w:lang w:val="en-US" w:eastAsia="zh-CN"/>
              </w:rPr>
            </w:pPr>
          </w:p>
        </w:tc>
        <w:tc>
          <w:tcPr>
            <w:tcW w:w="827" w:type="dxa"/>
            <w:shd w:val="clear" w:color="auto" w:fill="auto"/>
            <w:vAlign w:val="center"/>
          </w:tcPr>
          <w:p w14:paraId="320FE2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r w14:paraId="5C3A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4" w:type="pct"/>
            <w:vMerge w:val="continue"/>
            <w:shd w:val="clear" w:color="auto" w:fill="auto"/>
            <w:vAlign w:val="center"/>
          </w:tcPr>
          <w:p w14:paraId="134DBEC3">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10CA86B1">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6C49B348">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5F9B702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废气处理</w:t>
            </w:r>
          </w:p>
        </w:tc>
        <w:tc>
          <w:tcPr>
            <w:tcW w:w="4137" w:type="dxa"/>
            <w:shd w:val="clear" w:color="auto" w:fill="auto"/>
            <w:vAlign w:val="center"/>
          </w:tcPr>
          <w:p w14:paraId="4E4FD46D">
            <w:pPr>
              <w:pStyle w:val="24"/>
              <w:bidi w:val="0"/>
              <w:ind w:left="0" w:leftChars="0"/>
              <w:jc w:val="center"/>
              <w:rPr>
                <w:rFonts w:hint="default" w:ascii="Times New Roman" w:hAnsi="Times New Roman" w:eastAsia="宋体" w:cs="Courier New"/>
                <w:b w:val="0"/>
                <w:bCs w:val="0"/>
                <w:color w:val="auto"/>
                <w:highlight w:val="none"/>
                <w:lang w:val="en-US" w:eastAsia="zh-CN"/>
              </w:rPr>
            </w:pPr>
            <w:r>
              <w:rPr>
                <w:rFonts w:hint="eastAsia" w:cs="Times New Roman"/>
                <w:b w:val="0"/>
                <w:bCs w:val="0"/>
                <w:color w:val="auto"/>
                <w:sz w:val="21"/>
                <w:szCs w:val="21"/>
                <w:highlight w:val="none"/>
                <w:lang w:val="en-US" w:eastAsia="zh-CN"/>
              </w:rPr>
              <w:t>pH、COD、SS等</w:t>
            </w:r>
          </w:p>
        </w:tc>
        <w:tc>
          <w:tcPr>
            <w:tcW w:w="899" w:type="dxa"/>
            <w:shd w:val="clear" w:color="auto" w:fill="auto"/>
            <w:vAlign w:val="center"/>
          </w:tcPr>
          <w:p w14:paraId="1B36460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w:t>
            </w:r>
          </w:p>
        </w:tc>
        <w:tc>
          <w:tcPr>
            <w:tcW w:w="688" w:type="dxa"/>
            <w:shd w:val="clear" w:color="auto" w:fill="auto"/>
            <w:vAlign w:val="center"/>
          </w:tcPr>
          <w:p w14:paraId="34EC959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w:t>
            </w:r>
          </w:p>
        </w:tc>
        <w:tc>
          <w:tcPr>
            <w:tcW w:w="819" w:type="pct"/>
            <w:vMerge w:val="continue"/>
            <w:shd w:val="clear" w:color="auto" w:fill="auto"/>
            <w:vAlign w:val="center"/>
          </w:tcPr>
          <w:p w14:paraId="4B579C74">
            <w:pPr>
              <w:pStyle w:val="24"/>
              <w:bidi w:val="0"/>
              <w:rPr>
                <w:rFonts w:hint="eastAsia" w:ascii="Times New Roman" w:hAnsi="Times New Roman" w:eastAsia="宋体" w:cs="Courier New"/>
                <w:b w:val="0"/>
                <w:bCs w:val="0"/>
                <w:color w:val="auto"/>
                <w:highlight w:val="none"/>
                <w:lang w:val="en-US" w:eastAsia="zh-CN"/>
              </w:rPr>
            </w:pPr>
          </w:p>
        </w:tc>
        <w:tc>
          <w:tcPr>
            <w:tcW w:w="827" w:type="dxa"/>
            <w:shd w:val="clear" w:color="auto" w:fill="auto"/>
            <w:vAlign w:val="center"/>
          </w:tcPr>
          <w:p w14:paraId="0A8B92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r w14:paraId="2A7B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4" w:type="pct"/>
            <w:vMerge w:val="continue"/>
            <w:shd w:val="clear" w:color="auto" w:fill="auto"/>
            <w:vAlign w:val="center"/>
          </w:tcPr>
          <w:p w14:paraId="24CBCEF5">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543C28C3">
            <w:pPr>
              <w:pStyle w:val="24"/>
              <w:bidi w:val="0"/>
              <w:rPr>
                <w:rFonts w:hint="eastAsia" w:ascii="Times New Roman" w:hAnsi="Times New Roman" w:eastAsia="宋体" w:cs="Courier New"/>
                <w:b w:val="0"/>
                <w:bCs w:val="0"/>
                <w:color w:val="auto"/>
                <w:highlight w:val="none"/>
                <w:lang w:val="en-US" w:eastAsia="zh-CN"/>
              </w:rPr>
            </w:pPr>
          </w:p>
        </w:tc>
        <w:tc>
          <w:tcPr>
            <w:tcW w:w="465" w:type="pct"/>
            <w:vMerge w:val="continue"/>
            <w:shd w:val="clear" w:color="auto" w:fill="auto"/>
            <w:vAlign w:val="center"/>
          </w:tcPr>
          <w:p w14:paraId="77857A0A">
            <w:pPr>
              <w:pStyle w:val="24"/>
              <w:bidi w:val="0"/>
              <w:rPr>
                <w:rFonts w:hint="eastAsia" w:ascii="Times New Roman" w:hAnsi="Times New Roman" w:eastAsia="宋体" w:cs="Courier New"/>
                <w:b w:val="0"/>
                <w:bCs w:val="0"/>
                <w:color w:val="auto"/>
                <w:highlight w:val="none"/>
                <w:lang w:val="en-US" w:eastAsia="zh-CN"/>
              </w:rPr>
            </w:pPr>
          </w:p>
        </w:tc>
        <w:tc>
          <w:tcPr>
            <w:tcW w:w="731" w:type="pct"/>
            <w:shd w:val="clear" w:color="auto" w:fill="auto"/>
            <w:vAlign w:val="center"/>
          </w:tcPr>
          <w:p w14:paraId="4AECB3B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生产及办公人员</w:t>
            </w:r>
          </w:p>
        </w:tc>
        <w:tc>
          <w:tcPr>
            <w:tcW w:w="4137" w:type="dxa"/>
            <w:shd w:val="clear" w:color="auto" w:fill="auto"/>
            <w:vAlign w:val="center"/>
          </w:tcPr>
          <w:p w14:paraId="1FF68D62">
            <w:pPr>
              <w:pStyle w:val="24"/>
              <w:bidi w:val="0"/>
              <w:ind w:left="0" w:leftChars="0"/>
              <w:jc w:val="center"/>
              <w:rPr>
                <w:rFonts w:hint="eastAsia" w:ascii="Times New Roman" w:hAnsi="Times New Roman" w:eastAsia="宋体" w:cs="Courier New"/>
                <w:b w:val="0"/>
                <w:bCs w:val="0"/>
                <w:color w:val="auto"/>
                <w:highlight w:val="none"/>
                <w:lang w:val="en-US" w:eastAsia="zh-CN"/>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-N、TP、TN等</w:t>
            </w:r>
          </w:p>
        </w:tc>
        <w:tc>
          <w:tcPr>
            <w:tcW w:w="315" w:type="pct"/>
            <w:shd w:val="clear" w:color="auto" w:fill="auto"/>
            <w:vAlign w:val="center"/>
          </w:tcPr>
          <w:p w14:paraId="13429AC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2D07118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间接</w:t>
            </w:r>
          </w:p>
        </w:tc>
        <w:tc>
          <w:tcPr>
            <w:tcW w:w="819" w:type="pct"/>
            <w:vMerge w:val="continue"/>
            <w:shd w:val="clear" w:color="auto" w:fill="auto"/>
            <w:vAlign w:val="center"/>
          </w:tcPr>
          <w:p w14:paraId="1914DE0F">
            <w:pPr>
              <w:pStyle w:val="24"/>
              <w:bidi w:val="0"/>
              <w:rPr>
                <w:rFonts w:hint="eastAsia" w:ascii="Times New Roman" w:hAnsi="Times New Roman" w:eastAsia="宋体" w:cs="Courier New"/>
                <w:b w:val="0"/>
                <w:bCs w:val="0"/>
                <w:color w:val="auto"/>
                <w:highlight w:val="none"/>
                <w:lang w:val="en-US" w:eastAsia="zh-CN"/>
              </w:rPr>
            </w:pPr>
          </w:p>
        </w:tc>
        <w:tc>
          <w:tcPr>
            <w:tcW w:w="288" w:type="pct"/>
            <w:shd w:val="clear" w:color="auto" w:fill="auto"/>
            <w:vAlign w:val="center"/>
          </w:tcPr>
          <w:p w14:paraId="6310822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E28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44" w:type="pct"/>
            <w:vMerge w:val="continue"/>
            <w:shd w:val="clear" w:color="auto" w:fill="auto"/>
            <w:vAlign w:val="center"/>
          </w:tcPr>
          <w:p w14:paraId="3CAB614D">
            <w:pPr>
              <w:pStyle w:val="24"/>
              <w:bidi w:val="0"/>
              <w:rPr>
                <w:rFonts w:hint="eastAsia" w:ascii="Times New Roman" w:hAnsi="Times New Roman" w:eastAsia="宋体" w:cs="Courier New"/>
                <w:b w:val="0"/>
                <w:bCs w:val="0"/>
                <w:color w:val="auto"/>
                <w:highlight w:val="none"/>
                <w:lang w:val="en-US" w:eastAsia="zh-CN"/>
              </w:rPr>
            </w:pPr>
          </w:p>
        </w:tc>
        <w:tc>
          <w:tcPr>
            <w:tcW w:w="445" w:type="pct"/>
            <w:shd w:val="clear" w:color="auto" w:fill="auto"/>
            <w:vAlign w:val="center"/>
          </w:tcPr>
          <w:p w14:paraId="110F823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地下水环境</w:t>
            </w:r>
          </w:p>
        </w:tc>
        <w:tc>
          <w:tcPr>
            <w:tcW w:w="465" w:type="pct"/>
            <w:shd w:val="clear" w:color="auto" w:fill="auto"/>
            <w:vAlign w:val="center"/>
          </w:tcPr>
          <w:p w14:paraId="5C79F3F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物料泄漏</w:t>
            </w:r>
          </w:p>
        </w:tc>
        <w:tc>
          <w:tcPr>
            <w:tcW w:w="731" w:type="pct"/>
            <w:shd w:val="clear" w:color="auto" w:fill="auto"/>
            <w:vAlign w:val="center"/>
          </w:tcPr>
          <w:p w14:paraId="56844E43">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罐区、仓库等</w:t>
            </w:r>
          </w:p>
        </w:tc>
        <w:tc>
          <w:tcPr>
            <w:tcW w:w="1450" w:type="pct"/>
            <w:shd w:val="clear" w:color="auto" w:fill="auto"/>
            <w:vAlign w:val="center"/>
          </w:tcPr>
          <w:p w14:paraId="4DD0EED4">
            <w:pPr>
              <w:pStyle w:val="24"/>
              <w:bidi w:val="0"/>
              <w:rPr>
                <w:rFonts w:hint="default" w:ascii="Times New Roman" w:hAnsi="Times New Roman" w:eastAsia="宋体" w:cs="Courier New"/>
                <w:b w:val="0"/>
                <w:bCs w:val="0"/>
                <w:color w:val="auto"/>
                <w:highlight w:val="none"/>
                <w:lang w:val="en-US" w:eastAsia="zh-CN"/>
              </w:rPr>
            </w:pPr>
            <w:r>
              <w:rPr>
                <w:rFonts w:hint="eastAsia" w:cs="Times New Roman"/>
                <w:b w:val="0"/>
                <w:bCs w:val="0"/>
                <w:color w:val="auto"/>
                <w:sz w:val="21"/>
                <w:szCs w:val="21"/>
                <w:highlight w:val="none"/>
                <w:lang w:val="en-US" w:eastAsia="zh-CN"/>
              </w:rPr>
              <w:t>COD</w:t>
            </w:r>
            <w:r>
              <w:rPr>
                <w:rFonts w:hint="eastAsia" w:cs="Times New Roman"/>
                <w:b w:val="0"/>
                <w:bCs w:val="0"/>
                <w:color w:val="auto"/>
                <w:sz w:val="21"/>
                <w:szCs w:val="21"/>
                <w:highlight w:val="none"/>
                <w:vertAlign w:val="subscript"/>
                <w:lang w:val="en-US" w:eastAsia="zh-CN"/>
              </w:rPr>
              <w:t>Mn</w:t>
            </w:r>
            <w:r>
              <w:rPr>
                <w:rFonts w:hint="eastAsia" w:cs="Times New Roman"/>
                <w:b w:val="0"/>
                <w:bCs w:val="0"/>
                <w:color w:val="auto"/>
                <w:sz w:val="21"/>
                <w:szCs w:val="21"/>
                <w:highlight w:val="none"/>
                <w:lang w:val="en-US" w:eastAsia="zh-CN"/>
              </w:rPr>
              <w:t>、钠、硫酸根、氟化物、铁、总磷、铝</w:t>
            </w:r>
          </w:p>
        </w:tc>
        <w:tc>
          <w:tcPr>
            <w:tcW w:w="315" w:type="pct"/>
            <w:shd w:val="clear" w:color="auto" w:fill="auto"/>
            <w:vAlign w:val="center"/>
          </w:tcPr>
          <w:p w14:paraId="13AFED2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5535205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shd w:val="clear" w:color="auto" w:fill="auto"/>
            <w:vAlign w:val="center"/>
          </w:tcPr>
          <w:p w14:paraId="27FC7287">
            <w:pPr>
              <w:pStyle w:val="24"/>
              <w:bidi w:val="0"/>
              <w:rPr>
                <w:rFonts w:hint="default" w:ascii="Times New Roman" w:hAnsi="Times New Roman" w:eastAsia="宋体" w:cs="Courier New"/>
                <w:b w:val="0"/>
                <w:bCs w:val="0"/>
                <w:color w:val="auto"/>
                <w:highlight w:val="none"/>
                <w:lang w:val="en-US" w:eastAsia="zh-CN"/>
              </w:rPr>
            </w:pPr>
            <w:r>
              <w:rPr>
                <w:rFonts w:hint="eastAsia"/>
                <w:color w:val="auto"/>
                <w:lang w:val="en-US" w:eastAsia="zh-CN"/>
              </w:rPr>
              <w:t>8.63km</w:t>
            </w:r>
            <w:r>
              <w:rPr>
                <w:rFonts w:hint="eastAsia"/>
                <w:color w:val="auto"/>
                <w:vertAlign w:val="superscript"/>
                <w:lang w:val="en-US" w:eastAsia="zh-CN"/>
              </w:rPr>
              <w:t>2</w:t>
            </w:r>
          </w:p>
        </w:tc>
        <w:tc>
          <w:tcPr>
            <w:tcW w:w="288" w:type="pct"/>
            <w:shd w:val="clear" w:color="auto" w:fill="auto"/>
            <w:vAlign w:val="center"/>
          </w:tcPr>
          <w:p w14:paraId="649A6E2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BCA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27AF12A3">
            <w:pPr>
              <w:pStyle w:val="24"/>
              <w:bidi w:val="0"/>
              <w:rPr>
                <w:rFonts w:hint="eastAsia" w:ascii="Times New Roman" w:hAnsi="Times New Roman" w:eastAsia="宋体" w:cs="Courier New"/>
                <w:b w:val="0"/>
                <w:bCs w:val="0"/>
                <w:color w:val="auto"/>
                <w:highlight w:val="none"/>
                <w:lang w:val="en-US" w:eastAsia="zh-CN"/>
              </w:rPr>
            </w:pPr>
          </w:p>
        </w:tc>
        <w:tc>
          <w:tcPr>
            <w:tcW w:w="445" w:type="pct"/>
            <w:shd w:val="clear" w:color="auto" w:fill="auto"/>
            <w:vAlign w:val="center"/>
          </w:tcPr>
          <w:p w14:paraId="6BA2BFB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声环境</w:t>
            </w:r>
          </w:p>
        </w:tc>
        <w:tc>
          <w:tcPr>
            <w:tcW w:w="465" w:type="pct"/>
            <w:shd w:val="clear" w:color="auto" w:fill="auto"/>
            <w:vAlign w:val="center"/>
          </w:tcPr>
          <w:p w14:paraId="37295C2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噪声</w:t>
            </w:r>
          </w:p>
        </w:tc>
        <w:tc>
          <w:tcPr>
            <w:tcW w:w="731" w:type="pct"/>
            <w:shd w:val="clear" w:color="auto" w:fill="auto"/>
            <w:vAlign w:val="center"/>
          </w:tcPr>
          <w:p w14:paraId="1A3D458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生产设备、辅助设备</w:t>
            </w:r>
          </w:p>
        </w:tc>
        <w:tc>
          <w:tcPr>
            <w:tcW w:w="1450" w:type="pct"/>
            <w:shd w:val="clear" w:color="auto" w:fill="auto"/>
            <w:vAlign w:val="center"/>
          </w:tcPr>
          <w:p w14:paraId="0B502D5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噪声</w:t>
            </w:r>
          </w:p>
        </w:tc>
        <w:tc>
          <w:tcPr>
            <w:tcW w:w="315" w:type="pct"/>
            <w:shd w:val="clear" w:color="auto" w:fill="auto"/>
            <w:vAlign w:val="center"/>
          </w:tcPr>
          <w:p w14:paraId="5C8A2E7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7774095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shd w:val="clear" w:color="auto" w:fill="auto"/>
            <w:vAlign w:val="center"/>
          </w:tcPr>
          <w:p w14:paraId="2F976DB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200m</w:t>
            </w:r>
          </w:p>
        </w:tc>
        <w:tc>
          <w:tcPr>
            <w:tcW w:w="288" w:type="pct"/>
            <w:shd w:val="clear" w:color="auto" w:fill="auto"/>
            <w:vAlign w:val="center"/>
          </w:tcPr>
          <w:p w14:paraId="68D8262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BBC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74B16D3C">
            <w:pPr>
              <w:pStyle w:val="24"/>
              <w:bidi w:val="0"/>
              <w:rPr>
                <w:rFonts w:hint="eastAsia" w:ascii="Times New Roman" w:hAnsi="Times New Roman" w:eastAsia="宋体" w:cs="Courier New"/>
                <w:b w:val="0"/>
                <w:bCs w:val="0"/>
                <w:color w:val="auto"/>
                <w:highlight w:val="none"/>
                <w:lang w:val="en-US" w:eastAsia="zh-CN"/>
              </w:rPr>
            </w:pPr>
          </w:p>
        </w:tc>
        <w:tc>
          <w:tcPr>
            <w:tcW w:w="445" w:type="pct"/>
            <w:vMerge w:val="restart"/>
            <w:shd w:val="clear" w:color="auto" w:fill="auto"/>
            <w:vAlign w:val="center"/>
          </w:tcPr>
          <w:p w14:paraId="7A87205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土壤环境</w:t>
            </w:r>
          </w:p>
        </w:tc>
        <w:tc>
          <w:tcPr>
            <w:tcW w:w="465" w:type="pct"/>
            <w:shd w:val="clear" w:color="auto" w:fill="auto"/>
            <w:vAlign w:val="center"/>
          </w:tcPr>
          <w:p w14:paraId="3B6749B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大气沉降</w:t>
            </w:r>
          </w:p>
        </w:tc>
        <w:tc>
          <w:tcPr>
            <w:tcW w:w="731" w:type="pct"/>
            <w:shd w:val="clear" w:color="auto" w:fill="auto"/>
            <w:vAlign w:val="center"/>
          </w:tcPr>
          <w:p w14:paraId="2D067A9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废气排放</w:t>
            </w:r>
          </w:p>
        </w:tc>
        <w:tc>
          <w:tcPr>
            <w:tcW w:w="1450" w:type="pct"/>
            <w:shd w:val="clear" w:color="auto" w:fill="auto"/>
            <w:vAlign w:val="center"/>
          </w:tcPr>
          <w:p w14:paraId="22A98008">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氯化氢、</w:t>
            </w:r>
            <w:r>
              <w:rPr>
                <w:rFonts w:hint="default" w:ascii="Times New Roman" w:hAnsi="Times New Roman" w:eastAsia="宋体" w:cs="Courier New"/>
                <w:b w:val="0"/>
                <w:bCs w:val="0"/>
                <w:color w:val="auto"/>
                <w:highlight w:val="none"/>
                <w:lang w:val="en-US" w:eastAsia="zh-CN"/>
              </w:rPr>
              <w:t>硫酸雾、</w:t>
            </w:r>
            <w:r>
              <w:rPr>
                <w:rFonts w:hint="eastAsia" w:cs="Courier New"/>
                <w:b w:val="0"/>
                <w:bCs w:val="0"/>
                <w:color w:val="auto"/>
                <w:highlight w:val="none"/>
                <w:lang w:val="en-US" w:eastAsia="zh-CN"/>
              </w:rPr>
              <w:t>氟化物</w:t>
            </w:r>
            <w:r>
              <w:rPr>
                <w:rFonts w:hint="default" w:ascii="Times New Roman" w:hAnsi="Times New Roman" w:eastAsia="宋体" w:cs="Courier New"/>
                <w:b w:val="0"/>
                <w:bCs w:val="0"/>
                <w:color w:val="auto"/>
                <w:highlight w:val="none"/>
                <w:lang w:val="en-US" w:eastAsia="zh-CN"/>
              </w:rPr>
              <w:t>等酸性废气</w:t>
            </w:r>
          </w:p>
        </w:tc>
        <w:tc>
          <w:tcPr>
            <w:tcW w:w="315" w:type="pct"/>
            <w:shd w:val="clear" w:color="auto" w:fill="auto"/>
            <w:vAlign w:val="center"/>
          </w:tcPr>
          <w:p w14:paraId="550BF84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35C5DAD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vMerge w:val="restart"/>
            <w:shd w:val="clear" w:color="auto" w:fill="auto"/>
            <w:vAlign w:val="center"/>
          </w:tcPr>
          <w:p w14:paraId="75CD0DF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占地范围内及占地范围外1km范围</w:t>
            </w:r>
          </w:p>
        </w:tc>
        <w:tc>
          <w:tcPr>
            <w:tcW w:w="288" w:type="pct"/>
            <w:shd w:val="clear" w:color="auto" w:fill="auto"/>
            <w:vAlign w:val="center"/>
          </w:tcPr>
          <w:p w14:paraId="2EB2297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1FE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04E4C89B">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6E1AA583">
            <w:pPr>
              <w:pStyle w:val="24"/>
              <w:bidi w:val="0"/>
              <w:rPr>
                <w:rFonts w:hint="eastAsia" w:ascii="Times New Roman" w:hAnsi="Times New Roman" w:eastAsia="宋体" w:cs="Courier New"/>
                <w:b w:val="0"/>
                <w:bCs w:val="0"/>
                <w:color w:val="auto"/>
                <w:highlight w:val="none"/>
                <w:lang w:val="en-US" w:eastAsia="zh-CN"/>
              </w:rPr>
            </w:pPr>
          </w:p>
        </w:tc>
        <w:tc>
          <w:tcPr>
            <w:tcW w:w="465" w:type="pct"/>
            <w:shd w:val="clear" w:color="auto" w:fill="auto"/>
            <w:vAlign w:val="center"/>
          </w:tcPr>
          <w:p w14:paraId="572BA05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地表漫流</w:t>
            </w:r>
          </w:p>
        </w:tc>
        <w:tc>
          <w:tcPr>
            <w:tcW w:w="731" w:type="pct"/>
            <w:shd w:val="clear" w:color="auto" w:fill="auto"/>
            <w:vAlign w:val="center"/>
          </w:tcPr>
          <w:p w14:paraId="380EBF2B">
            <w:pPr>
              <w:pStyle w:val="24"/>
              <w:bidi w:val="0"/>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罐区、仓库等</w:t>
            </w:r>
          </w:p>
        </w:tc>
        <w:tc>
          <w:tcPr>
            <w:tcW w:w="1450" w:type="pct"/>
            <w:shd w:val="clear" w:color="auto" w:fill="auto"/>
            <w:vAlign w:val="center"/>
          </w:tcPr>
          <w:p w14:paraId="655F99CF">
            <w:pPr>
              <w:pStyle w:val="24"/>
              <w:bidi w:val="0"/>
              <w:rPr>
                <w:rFonts w:hint="default"/>
                <w:color w:val="auto"/>
                <w:highlight w:val="none"/>
                <w:lang w:val="en-US" w:eastAsia="zh-CN"/>
              </w:rPr>
            </w:pPr>
            <w:r>
              <w:rPr>
                <w:rFonts w:hint="eastAsia"/>
                <w:color w:val="auto"/>
                <w:highlight w:val="none"/>
                <w:lang w:val="en-US" w:eastAsia="zh-CN"/>
              </w:rPr>
              <w:t>/</w:t>
            </w:r>
          </w:p>
        </w:tc>
        <w:tc>
          <w:tcPr>
            <w:tcW w:w="315" w:type="pct"/>
            <w:shd w:val="clear" w:color="auto" w:fill="auto"/>
            <w:vAlign w:val="center"/>
          </w:tcPr>
          <w:p w14:paraId="5043224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32C2CE9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直接</w:t>
            </w:r>
          </w:p>
        </w:tc>
        <w:tc>
          <w:tcPr>
            <w:tcW w:w="819" w:type="pct"/>
            <w:vMerge w:val="continue"/>
            <w:shd w:val="clear" w:color="auto" w:fill="auto"/>
            <w:vAlign w:val="center"/>
          </w:tcPr>
          <w:p w14:paraId="3A358A35">
            <w:pPr>
              <w:pStyle w:val="24"/>
              <w:bidi w:val="0"/>
              <w:rPr>
                <w:rFonts w:hint="eastAsia" w:ascii="Times New Roman" w:hAnsi="Times New Roman" w:eastAsia="宋体" w:cs="Courier New"/>
                <w:b w:val="0"/>
                <w:bCs w:val="0"/>
                <w:color w:val="auto"/>
                <w:highlight w:val="none"/>
                <w:lang w:val="en-US" w:eastAsia="zh-CN"/>
              </w:rPr>
            </w:pPr>
          </w:p>
        </w:tc>
        <w:tc>
          <w:tcPr>
            <w:tcW w:w="288" w:type="pct"/>
            <w:shd w:val="clear" w:color="auto" w:fill="auto"/>
            <w:vAlign w:val="center"/>
          </w:tcPr>
          <w:p w14:paraId="79CC92C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7D5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1262135C">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4F2C09B9">
            <w:pPr>
              <w:pStyle w:val="24"/>
              <w:bidi w:val="0"/>
              <w:rPr>
                <w:rFonts w:hint="eastAsia" w:ascii="Times New Roman" w:hAnsi="Times New Roman" w:eastAsia="宋体" w:cs="Courier New"/>
                <w:b w:val="0"/>
                <w:bCs w:val="0"/>
                <w:color w:val="auto"/>
                <w:highlight w:val="none"/>
                <w:lang w:val="en-US" w:eastAsia="zh-CN"/>
              </w:rPr>
            </w:pPr>
          </w:p>
        </w:tc>
        <w:tc>
          <w:tcPr>
            <w:tcW w:w="465" w:type="pct"/>
            <w:shd w:val="clear" w:color="auto" w:fill="auto"/>
            <w:vAlign w:val="center"/>
          </w:tcPr>
          <w:p w14:paraId="624E332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垂直入渗</w:t>
            </w:r>
          </w:p>
        </w:tc>
        <w:tc>
          <w:tcPr>
            <w:tcW w:w="731" w:type="pct"/>
            <w:shd w:val="clear" w:color="auto" w:fill="auto"/>
            <w:vAlign w:val="center"/>
          </w:tcPr>
          <w:p w14:paraId="2BE529C0">
            <w:pPr>
              <w:pStyle w:val="24"/>
              <w:bidi w:val="0"/>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罐区、仓库等</w:t>
            </w:r>
          </w:p>
        </w:tc>
        <w:tc>
          <w:tcPr>
            <w:tcW w:w="1450" w:type="pct"/>
            <w:shd w:val="clear" w:color="auto" w:fill="auto"/>
            <w:vAlign w:val="center"/>
          </w:tcPr>
          <w:p w14:paraId="2EB0C43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sz w:val="21"/>
                <w:szCs w:val="21"/>
                <w:highlight w:val="none"/>
                <w:lang w:val="en-US" w:eastAsia="zh-CN"/>
              </w:rPr>
              <w:t>氟化物</w:t>
            </w:r>
          </w:p>
        </w:tc>
        <w:tc>
          <w:tcPr>
            <w:tcW w:w="315" w:type="pct"/>
            <w:shd w:val="clear" w:color="auto" w:fill="auto"/>
            <w:vAlign w:val="center"/>
          </w:tcPr>
          <w:p w14:paraId="0CF81FF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1CA119E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vMerge w:val="continue"/>
            <w:shd w:val="clear" w:color="auto" w:fill="auto"/>
            <w:vAlign w:val="center"/>
          </w:tcPr>
          <w:p w14:paraId="08269C83">
            <w:pPr>
              <w:pStyle w:val="24"/>
              <w:bidi w:val="0"/>
              <w:rPr>
                <w:rFonts w:hint="eastAsia" w:ascii="Times New Roman" w:hAnsi="Times New Roman" w:eastAsia="宋体" w:cs="Courier New"/>
                <w:b w:val="0"/>
                <w:bCs w:val="0"/>
                <w:color w:val="auto"/>
                <w:highlight w:val="none"/>
                <w:lang w:val="en-US" w:eastAsia="zh-CN"/>
              </w:rPr>
            </w:pPr>
          </w:p>
        </w:tc>
        <w:tc>
          <w:tcPr>
            <w:tcW w:w="288" w:type="pct"/>
            <w:shd w:val="clear" w:color="auto" w:fill="auto"/>
            <w:vAlign w:val="center"/>
          </w:tcPr>
          <w:p w14:paraId="122505B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817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3C385265">
            <w:pPr>
              <w:pStyle w:val="24"/>
              <w:bidi w:val="0"/>
              <w:rPr>
                <w:rFonts w:hint="eastAsia" w:ascii="Times New Roman" w:hAnsi="Times New Roman" w:eastAsia="宋体" w:cs="Courier New"/>
                <w:b w:val="0"/>
                <w:bCs w:val="0"/>
                <w:color w:val="auto"/>
                <w:highlight w:val="none"/>
                <w:lang w:val="en-US" w:eastAsia="zh-CN"/>
              </w:rPr>
            </w:pPr>
          </w:p>
        </w:tc>
        <w:tc>
          <w:tcPr>
            <w:tcW w:w="445" w:type="pct"/>
            <w:vMerge w:val="restart"/>
            <w:shd w:val="clear" w:color="auto" w:fill="auto"/>
            <w:vAlign w:val="center"/>
          </w:tcPr>
          <w:p w14:paraId="767ABA2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环境风险</w:t>
            </w:r>
          </w:p>
        </w:tc>
        <w:tc>
          <w:tcPr>
            <w:tcW w:w="465" w:type="pct"/>
            <w:shd w:val="clear" w:color="auto" w:fill="auto"/>
            <w:vAlign w:val="center"/>
          </w:tcPr>
          <w:p w14:paraId="30CBEC49">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大气环境风险</w:t>
            </w:r>
          </w:p>
        </w:tc>
        <w:tc>
          <w:tcPr>
            <w:tcW w:w="731" w:type="pct"/>
            <w:shd w:val="clear" w:color="auto" w:fill="auto"/>
            <w:vAlign w:val="center"/>
          </w:tcPr>
          <w:p w14:paraId="3A3D2CE3">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罐区</w:t>
            </w:r>
          </w:p>
        </w:tc>
        <w:tc>
          <w:tcPr>
            <w:tcW w:w="1450" w:type="pct"/>
            <w:shd w:val="clear" w:color="auto" w:fill="auto"/>
            <w:vAlign w:val="center"/>
          </w:tcPr>
          <w:p w14:paraId="4781958D">
            <w:pPr>
              <w:pStyle w:val="24"/>
              <w:bidi w:val="0"/>
              <w:rPr>
                <w:rFonts w:hint="default" w:cs="Courier New"/>
                <w:b w:val="0"/>
                <w:bCs w:val="0"/>
                <w:color w:val="auto"/>
                <w:highlight w:val="none"/>
                <w:lang w:val="en-US" w:eastAsia="zh-CN"/>
              </w:rPr>
            </w:pPr>
            <w:r>
              <w:rPr>
                <w:rFonts w:hint="eastAsia"/>
                <w:color w:val="auto"/>
                <w:highlight w:val="none"/>
                <w:lang w:val="en-US" w:eastAsia="zh-CN"/>
              </w:rPr>
              <w:t>硫酸、氟硅酸、一氧化碳、二氧化硫</w:t>
            </w:r>
          </w:p>
        </w:tc>
        <w:tc>
          <w:tcPr>
            <w:tcW w:w="315" w:type="pct"/>
            <w:shd w:val="clear" w:color="auto" w:fill="auto"/>
            <w:vAlign w:val="center"/>
          </w:tcPr>
          <w:p w14:paraId="3C090C2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19FB9D1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直接</w:t>
            </w:r>
          </w:p>
        </w:tc>
        <w:tc>
          <w:tcPr>
            <w:tcW w:w="819" w:type="pct"/>
            <w:shd w:val="clear" w:color="auto" w:fill="auto"/>
            <w:vAlign w:val="center"/>
          </w:tcPr>
          <w:p w14:paraId="2C3CECA4">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距项目厂界5km范围</w:t>
            </w:r>
          </w:p>
        </w:tc>
        <w:tc>
          <w:tcPr>
            <w:tcW w:w="288" w:type="pct"/>
            <w:shd w:val="clear" w:color="auto" w:fill="auto"/>
            <w:vAlign w:val="center"/>
          </w:tcPr>
          <w:p w14:paraId="09FB5D8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194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700AC5C0">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0110DB8A">
            <w:pPr>
              <w:pStyle w:val="24"/>
              <w:bidi w:val="0"/>
              <w:rPr>
                <w:rFonts w:hint="eastAsia" w:ascii="Times New Roman" w:hAnsi="Times New Roman" w:eastAsia="宋体" w:cs="Courier New"/>
                <w:b w:val="0"/>
                <w:bCs w:val="0"/>
                <w:color w:val="auto"/>
                <w:highlight w:val="none"/>
                <w:lang w:val="en-US" w:eastAsia="zh-CN"/>
              </w:rPr>
            </w:pPr>
          </w:p>
        </w:tc>
        <w:tc>
          <w:tcPr>
            <w:tcW w:w="465" w:type="pct"/>
            <w:shd w:val="clear" w:color="auto" w:fill="auto"/>
            <w:vAlign w:val="center"/>
          </w:tcPr>
          <w:p w14:paraId="593CECF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地表水环境风险</w:t>
            </w:r>
          </w:p>
        </w:tc>
        <w:tc>
          <w:tcPr>
            <w:tcW w:w="731" w:type="pct"/>
            <w:shd w:val="clear" w:color="auto" w:fill="auto"/>
            <w:vAlign w:val="center"/>
          </w:tcPr>
          <w:p w14:paraId="568CBF5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废水排放</w:t>
            </w:r>
          </w:p>
        </w:tc>
        <w:tc>
          <w:tcPr>
            <w:tcW w:w="1450" w:type="pct"/>
            <w:shd w:val="clear" w:color="auto" w:fill="auto"/>
            <w:vAlign w:val="center"/>
          </w:tcPr>
          <w:p w14:paraId="24FF8DD9">
            <w:pPr>
              <w:pStyle w:val="24"/>
              <w:bidi w:val="0"/>
              <w:rPr>
                <w:rFonts w:hint="eastAsia" w:cs="Courier New"/>
                <w:b w:val="0"/>
                <w:bCs w:val="0"/>
                <w:color w:val="auto"/>
                <w:highlight w:val="none"/>
                <w:lang w:val="en-US" w:eastAsia="zh-CN"/>
              </w:rPr>
            </w:pPr>
            <w:r>
              <w:rPr>
                <w:rFonts w:hint="eastAsia" w:cs="Times New Roman"/>
                <w:b w:val="0"/>
                <w:bCs w:val="0"/>
                <w:color w:val="auto"/>
                <w:sz w:val="21"/>
                <w:szCs w:val="21"/>
                <w:highlight w:val="none"/>
                <w:lang w:val="en-US" w:eastAsia="zh-CN"/>
              </w:rPr>
              <w:t>COD、NH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w:t>
            </w:r>
          </w:p>
        </w:tc>
        <w:tc>
          <w:tcPr>
            <w:tcW w:w="315" w:type="pct"/>
            <w:shd w:val="clear" w:color="auto" w:fill="auto"/>
            <w:vAlign w:val="center"/>
          </w:tcPr>
          <w:p w14:paraId="76532AB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70A3564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直接</w:t>
            </w:r>
          </w:p>
        </w:tc>
        <w:tc>
          <w:tcPr>
            <w:tcW w:w="819" w:type="pct"/>
            <w:shd w:val="clear" w:color="auto" w:fill="auto"/>
            <w:vAlign w:val="center"/>
          </w:tcPr>
          <w:p w14:paraId="3AECEFC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通江河-通江县秋锦山产业园区综合污水处理厂排口上游0.5km至</w:t>
            </w:r>
            <w:r>
              <w:rPr>
                <w:rFonts w:hint="eastAsia" w:cs="Courier New"/>
                <w:b w:val="0"/>
                <w:bCs w:val="0"/>
                <w:color w:val="auto"/>
                <w:highlight w:val="none"/>
                <w:lang w:val="en-US" w:eastAsia="zh-CN"/>
              </w:rPr>
              <w:t>下游30.4km（纳溪口国控断面）</w:t>
            </w:r>
            <w:r>
              <w:rPr>
                <w:rFonts w:hint="eastAsia" w:ascii="Times New Roman" w:hAnsi="Times New Roman" w:eastAsia="宋体" w:cs="Courier New"/>
                <w:b w:val="0"/>
                <w:bCs w:val="0"/>
                <w:color w:val="auto"/>
                <w:highlight w:val="none"/>
                <w:lang w:val="en-US" w:eastAsia="zh-CN"/>
              </w:rPr>
              <w:t>范围</w:t>
            </w:r>
          </w:p>
        </w:tc>
        <w:tc>
          <w:tcPr>
            <w:tcW w:w="288" w:type="pct"/>
            <w:shd w:val="clear" w:color="auto" w:fill="auto"/>
            <w:vAlign w:val="center"/>
          </w:tcPr>
          <w:p w14:paraId="048DF0C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956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44" w:type="pct"/>
            <w:vMerge w:val="continue"/>
            <w:shd w:val="clear" w:color="auto" w:fill="auto"/>
            <w:vAlign w:val="center"/>
          </w:tcPr>
          <w:p w14:paraId="477BD71B">
            <w:pPr>
              <w:pStyle w:val="24"/>
              <w:bidi w:val="0"/>
              <w:rPr>
                <w:rFonts w:hint="eastAsia" w:ascii="Times New Roman" w:hAnsi="Times New Roman" w:eastAsia="宋体" w:cs="Courier New"/>
                <w:b w:val="0"/>
                <w:bCs w:val="0"/>
                <w:color w:val="auto"/>
                <w:highlight w:val="none"/>
                <w:lang w:val="en-US" w:eastAsia="zh-CN"/>
              </w:rPr>
            </w:pPr>
          </w:p>
        </w:tc>
        <w:tc>
          <w:tcPr>
            <w:tcW w:w="445" w:type="pct"/>
            <w:vMerge w:val="continue"/>
            <w:shd w:val="clear" w:color="auto" w:fill="auto"/>
            <w:vAlign w:val="center"/>
          </w:tcPr>
          <w:p w14:paraId="0A48C9B8">
            <w:pPr>
              <w:pStyle w:val="24"/>
              <w:bidi w:val="0"/>
              <w:rPr>
                <w:rFonts w:hint="eastAsia" w:ascii="Times New Roman" w:hAnsi="Times New Roman" w:eastAsia="宋体" w:cs="Courier New"/>
                <w:b w:val="0"/>
                <w:bCs w:val="0"/>
                <w:color w:val="auto"/>
                <w:highlight w:val="none"/>
                <w:lang w:val="en-US" w:eastAsia="zh-CN"/>
              </w:rPr>
            </w:pPr>
          </w:p>
        </w:tc>
        <w:tc>
          <w:tcPr>
            <w:tcW w:w="465" w:type="pct"/>
            <w:shd w:val="clear" w:color="auto" w:fill="auto"/>
            <w:vAlign w:val="center"/>
          </w:tcPr>
          <w:p w14:paraId="5996995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地下水环境风险</w:t>
            </w:r>
          </w:p>
        </w:tc>
        <w:tc>
          <w:tcPr>
            <w:tcW w:w="731" w:type="pct"/>
            <w:shd w:val="clear" w:color="auto" w:fill="auto"/>
            <w:vAlign w:val="center"/>
          </w:tcPr>
          <w:p w14:paraId="24E561A7">
            <w:pPr>
              <w:pStyle w:val="24"/>
              <w:bidi w:val="0"/>
              <w:ind w:left="0" w:leftChars="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罐区、仓库等</w:t>
            </w:r>
          </w:p>
        </w:tc>
        <w:tc>
          <w:tcPr>
            <w:tcW w:w="1450" w:type="pct"/>
            <w:shd w:val="clear" w:color="auto" w:fill="auto"/>
            <w:vAlign w:val="center"/>
          </w:tcPr>
          <w:p w14:paraId="7E4BF20D">
            <w:pPr>
              <w:pStyle w:val="24"/>
              <w:bidi w:val="0"/>
              <w:ind w:left="0" w:leftChars="0"/>
              <w:rPr>
                <w:rFonts w:hint="eastAsia" w:cs="Courier New"/>
                <w:b w:val="0"/>
                <w:bCs w:val="0"/>
                <w:color w:val="auto"/>
                <w:highlight w:val="none"/>
                <w:lang w:val="en-US" w:eastAsia="zh-CN"/>
              </w:rPr>
            </w:pPr>
            <w:r>
              <w:rPr>
                <w:rFonts w:hint="eastAsia" w:cs="Times New Roman"/>
                <w:b w:val="0"/>
                <w:bCs w:val="0"/>
                <w:color w:val="auto"/>
                <w:sz w:val="21"/>
                <w:szCs w:val="21"/>
                <w:highlight w:val="none"/>
                <w:lang w:val="en-US" w:eastAsia="zh-CN"/>
              </w:rPr>
              <w:t>COD</w:t>
            </w:r>
            <w:r>
              <w:rPr>
                <w:rFonts w:hint="eastAsia" w:cs="Times New Roman"/>
                <w:b w:val="0"/>
                <w:bCs w:val="0"/>
                <w:color w:val="auto"/>
                <w:sz w:val="21"/>
                <w:szCs w:val="21"/>
                <w:highlight w:val="none"/>
                <w:vertAlign w:val="subscript"/>
                <w:lang w:val="en-US" w:eastAsia="zh-CN"/>
              </w:rPr>
              <w:t>Mn</w:t>
            </w:r>
            <w:r>
              <w:rPr>
                <w:rFonts w:hint="eastAsia" w:cs="Times New Roman"/>
                <w:b w:val="0"/>
                <w:bCs w:val="0"/>
                <w:color w:val="auto"/>
                <w:sz w:val="21"/>
                <w:szCs w:val="21"/>
                <w:highlight w:val="none"/>
                <w:lang w:val="en-US" w:eastAsia="zh-CN"/>
              </w:rPr>
              <w:t>、钠、硫酸根、氟化物、铁、总磷、铝</w:t>
            </w:r>
          </w:p>
        </w:tc>
        <w:tc>
          <w:tcPr>
            <w:tcW w:w="315" w:type="pct"/>
            <w:shd w:val="clear" w:color="auto" w:fill="auto"/>
            <w:vAlign w:val="center"/>
          </w:tcPr>
          <w:p w14:paraId="6969D0B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负影响</w:t>
            </w:r>
          </w:p>
        </w:tc>
        <w:tc>
          <w:tcPr>
            <w:tcW w:w="241" w:type="pct"/>
            <w:shd w:val="clear" w:color="auto" w:fill="auto"/>
            <w:vAlign w:val="center"/>
          </w:tcPr>
          <w:p w14:paraId="4415553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w:t>
            </w:r>
          </w:p>
        </w:tc>
        <w:tc>
          <w:tcPr>
            <w:tcW w:w="819" w:type="pct"/>
            <w:shd w:val="clear" w:color="auto" w:fill="auto"/>
            <w:vAlign w:val="center"/>
          </w:tcPr>
          <w:p w14:paraId="3A176BE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olor w:val="auto"/>
                <w:lang w:val="en-US" w:eastAsia="zh-CN"/>
              </w:rPr>
              <w:t>8.63km</w:t>
            </w:r>
            <w:r>
              <w:rPr>
                <w:rFonts w:hint="eastAsia"/>
                <w:color w:val="auto"/>
                <w:vertAlign w:val="superscript"/>
                <w:lang w:val="en-US" w:eastAsia="zh-CN"/>
              </w:rPr>
              <w:t>2</w:t>
            </w:r>
          </w:p>
        </w:tc>
        <w:tc>
          <w:tcPr>
            <w:tcW w:w="288" w:type="pct"/>
            <w:shd w:val="clear" w:color="auto" w:fill="auto"/>
            <w:vAlign w:val="center"/>
          </w:tcPr>
          <w:p w14:paraId="4708588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B6D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5000" w:type="pct"/>
            <w:gridSpan w:val="9"/>
            <w:shd w:val="clear" w:color="auto" w:fill="auto"/>
            <w:vAlign w:val="center"/>
          </w:tcPr>
          <w:p w14:paraId="69B7E454">
            <w:pPr>
              <w:pStyle w:val="24"/>
              <w:bidi w:val="0"/>
              <w:jc w:val="both"/>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注：*表中“+”表示影响程度的轻重，符号越多，影响程度越深</w:t>
            </w:r>
            <w:r>
              <w:rPr>
                <w:rFonts w:hint="eastAsia" w:cs="Courier New"/>
                <w:b w:val="0"/>
                <w:bCs w:val="0"/>
                <w:color w:val="auto"/>
                <w:highlight w:val="none"/>
                <w:lang w:val="en-US" w:eastAsia="zh-CN"/>
              </w:rPr>
              <w:t>；初期雨水、其余器皿三次后清洗废水、车间地面清洁废水、反冲洗废水、循环排污水、喷淋废水作为回用水用于高性能聚羧酸减水剂复配，不外排，不会对周边地表水环境造成影响。</w:t>
            </w:r>
          </w:p>
        </w:tc>
      </w:tr>
    </w:tbl>
    <w:p w14:paraId="024FB58F">
      <w:pPr>
        <w:pStyle w:val="3"/>
        <w:bidi w:val="0"/>
        <w:rPr>
          <w:rFonts w:hint="eastAsia" w:ascii="Times New Roman" w:hAnsi="Times New Roman"/>
          <w:color w:val="auto"/>
          <w:highlight w:val="none"/>
        </w:rPr>
      </w:pPr>
      <w:bookmarkStart w:id="16" w:name="_Toc8307"/>
      <w:bookmarkStart w:id="17" w:name="_Toc15482"/>
      <w:r>
        <w:rPr>
          <w:rFonts w:hint="eastAsia" w:ascii="Times New Roman" w:hAnsi="Times New Roman"/>
          <w:color w:val="auto"/>
          <w:highlight w:val="none"/>
        </w:rPr>
        <w:t>环境影响评价结论</w:t>
      </w:r>
      <w:bookmarkEnd w:id="16"/>
      <w:bookmarkEnd w:id="17"/>
    </w:p>
    <w:p w14:paraId="492E3A3F">
      <w:pPr>
        <w:ind w:left="0" w:leftChars="0" w:firstLine="480" w:firstLineChars="200"/>
        <w:rPr>
          <w:rFonts w:hint="eastAsia" w:cs="Times New Roman"/>
          <w:color w:val="auto"/>
          <w:sz w:val="24"/>
          <w:szCs w:val="24"/>
          <w:lang w:eastAsia="zh-CN"/>
        </w:rPr>
        <w:sectPr>
          <w:footerReference r:id="rId8" w:type="default"/>
          <w:pgSz w:w="16838" w:h="11906" w:orient="landscape"/>
          <w:pgMar w:top="1361" w:right="1474" w:bottom="1247" w:left="1304"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r>
        <w:rPr>
          <w:rFonts w:hint="eastAsia"/>
          <w:color w:val="auto"/>
          <w:sz w:val="24"/>
          <w:lang w:eastAsia="zh-CN"/>
        </w:rPr>
        <w:t>四川诚正建科新材料有限公司聚羧酸减水剂与无碱速凝剂生产项目</w:t>
      </w:r>
      <w:r>
        <w:rPr>
          <w:rFonts w:hint="eastAsia" w:ascii="Times New Roman"/>
          <w:color w:val="auto"/>
          <w:sz w:val="24"/>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rPr>
        <w:t>，项目建设</w:t>
      </w:r>
      <w:r>
        <w:rPr>
          <w:rFonts w:ascii="Times New Roman" w:hAnsi="Times New Roman"/>
          <w:color w:val="auto"/>
          <w:sz w:val="24"/>
          <w:szCs w:val="24"/>
        </w:rPr>
        <w:t>符合</w:t>
      </w:r>
      <w:r>
        <w:rPr>
          <w:rFonts w:cstheme="minorHAnsi"/>
          <w:color w:val="auto"/>
          <w:sz w:val="24"/>
          <w:szCs w:val="24"/>
        </w:rPr>
        <w:t>国家现行产业政策</w:t>
      </w:r>
      <w:r>
        <w:rPr>
          <w:rFonts w:hint="eastAsia" w:cstheme="minorHAnsi"/>
          <w:color w:val="auto"/>
          <w:sz w:val="24"/>
          <w:szCs w:val="24"/>
          <w:lang w:eastAsia="zh-CN"/>
        </w:rPr>
        <w:t>，</w:t>
      </w:r>
      <w:r>
        <w:rPr>
          <w:rFonts w:hint="eastAsia"/>
          <w:color w:val="auto"/>
          <w:sz w:val="24"/>
        </w:rPr>
        <w:t>选址</w:t>
      </w:r>
      <w:r>
        <w:rPr>
          <w:color w:val="auto"/>
          <w:sz w:val="24"/>
          <w:szCs w:val="24"/>
        </w:rPr>
        <w:t>与外环境相容</w:t>
      </w:r>
      <w:r>
        <w:rPr>
          <w:rFonts w:hint="eastAsia"/>
          <w:color w:val="auto"/>
          <w:sz w:val="24"/>
          <w:szCs w:val="24"/>
          <w:lang w:eastAsia="zh-CN"/>
        </w:rPr>
        <w:t>，</w:t>
      </w:r>
      <w:r>
        <w:rPr>
          <w:rFonts w:hint="eastAsia" w:ascii="Times New Roman" w:hAnsi="Times New Roman"/>
          <w:color w:val="auto"/>
          <w:sz w:val="24"/>
          <w:szCs w:val="24"/>
        </w:rPr>
        <w:t>符合</w:t>
      </w:r>
      <w:r>
        <w:rPr>
          <w:rFonts w:hint="eastAsia" w:ascii="Times New Roman" w:hAnsi="Times New Roman"/>
          <w:color w:val="auto"/>
          <w:sz w:val="24"/>
          <w:szCs w:val="24"/>
          <w:lang w:val="en-US" w:eastAsia="zh-CN"/>
        </w:rPr>
        <w:t>《</w:t>
      </w:r>
      <w:r>
        <w:rPr>
          <w:rFonts w:hint="eastAsia"/>
          <w:color w:val="auto"/>
          <w:sz w:val="24"/>
          <w:szCs w:val="24"/>
          <w:lang w:val="en-US" w:eastAsia="zh-CN"/>
        </w:rPr>
        <w:t>巴中市</w:t>
      </w:r>
      <w:r>
        <w:rPr>
          <w:rFonts w:hint="eastAsia" w:ascii="Times New Roman" w:hAnsi="Times New Roman"/>
          <w:color w:val="auto"/>
          <w:sz w:val="24"/>
          <w:szCs w:val="24"/>
          <w:lang w:val="en-US" w:eastAsia="zh-CN"/>
        </w:rPr>
        <w:t>国土空间总体规划</w:t>
      </w:r>
      <w:r>
        <w:rPr>
          <w:rFonts w:hint="eastAsia" w:ascii="Times New Roman" w:hAnsi="Times New Roman"/>
          <w:color w:val="auto"/>
          <w:sz w:val="24"/>
          <w:szCs w:val="24"/>
          <w:lang w:eastAsia="zh-CN"/>
        </w:rPr>
        <w:t>（20</w:t>
      </w:r>
      <w:r>
        <w:rPr>
          <w:rFonts w:hint="eastAsia" w:ascii="Times New Roman" w:hAnsi="Times New Roman"/>
          <w:color w:val="auto"/>
          <w:sz w:val="24"/>
          <w:szCs w:val="24"/>
          <w:lang w:val="en-US" w:eastAsia="zh-CN"/>
        </w:rPr>
        <w:t>21</w:t>
      </w:r>
      <w:r>
        <w:rPr>
          <w:rFonts w:hint="eastAsia" w:ascii="Times New Roman" w:hAnsi="Times New Roman"/>
          <w:color w:val="auto"/>
          <w:sz w:val="24"/>
          <w:szCs w:val="24"/>
          <w:lang w:eastAsia="zh-CN"/>
        </w:rPr>
        <w:t>-20</w:t>
      </w:r>
      <w:r>
        <w:rPr>
          <w:rFonts w:hint="eastAsia" w:ascii="Times New Roman" w:hAnsi="Times New Roman"/>
          <w:color w:val="auto"/>
          <w:sz w:val="24"/>
          <w:szCs w:val="24"/>
          <w:lang w:val="en-US" w:eastAsia="zh-CN"/>
        </w:rPr>
        <w:t>35</w:t>
      </w:r>
      <w:r>
        <w:rPr>
          <w:rFonts w:hint="eastAsia" w:ascii="Times New Roman" w:hAnsi="Times New Roman"/>
          <w:color w:val="auto"/>
          <w:sz w:val="24"/>
          <w:szCs w:val="24"/>
          <w:lang w:eastAsia="zh-CN"/>
        </w:rPr>
        <w:t>）》</w:t>
      </w:r>
      <w:r>
        <w:rPr>
          <w:rFonts w:hint="eastAsia"/>
          <w:color w:val="auto"/>
          <w:sz w:val="24"/>
          <w:szCs w:val="24"/>
          <w:lang w:val="en-US" w:eastAsia="zh-CN"/>
        </w:rPr>
        <w:t>、《通江县国土空间总体规划（2021-2035年）》和</w:t>
      </w:r>
      <w:r>
        <w:rPr>
          <w:rFonts w:hint="eastAsia"/>
          <w:color w:val="auto"/>
          <w:sz w:val="24"/>
          <w:lang w:val="en-US" w:eastAsia="zh-CN"/>
        </w:rPr>
        <w:t>四川巴中经济开发区规划修编</w:t>
      </w:r>
      <w:r>
        <w:rPr>
          <w:rFonts w:hint="eastAsia" w:cs="Times New Roman"/>
          <w:color w:val="auto"/>
          <w:sz w:val="24"/>
          <w:szCs w:val="24"/>
          <w:lang w:val="en-US" w:eastAsia="zh-CN"/>
        </w:rPr>
        <w:t>及规划环评</w:t>
      </w:r>
      <w:r>
        <w:rPr>
          <w:rFonts w:hint="eastAsia" w:ascii="Times New Roman" w:hAnsi="Times New Roman" w:cs="Times New Roman"/>
          <w:color w:val="auto"/>
          <w:sz w:val="24"/>
          <w:szCs w:val="24"/>
        </w:rPr>
        <w:t>中相关要求</w:t>
      </w:r>
      <w:r>
        <w:rPr>
          <w:rFonts w:hint="eastAsia" w:cs="Times New Roman"/>
          <w:color w:val="auto"/>
          <w:sz w:val="24"/>
          <w:szCs w:val="24"/>
          <w:lang w:eastAsia="zh-CN"/>
        </w:rPr>
        <w:t>，符合相关大气、水、土壤污染防治要求和</w:t>
      </w:r>
      <w:r>
        <w:rPr>
          <w:rFonts w:hint="eastAsia" w:cs="Times New Roman"/>
          <w:color w:val="auto"/>
          <w:sz w:val="24"/>
          <w:szCs w:val="24"/>
          <w:lang w:val="en-US" w:eastAsia="zh-CN"/>
        </w:rPr>
        <w:t>巴中</w:t>
      </w:r>
      <w:r>
        <w:rPr>
          <w:rFonts w:hint="eastAsia" w:ascii="Times New Roman" w:hAnsi="Times New Roman" w:cs="Times New Roman"/>
          <w:color w:val="auto"/>
          <w:sz w:val="24"/>
          <w:szCs w:val="24"/>
          <w:lang w:val="en-US" w:eastAsia="zh-CN"/>
        </w:rPr>
        <w:t>市生态环境分区管控要求</w:t>
      </w:r>
      <w:r>
        <w:rPr>
          <w:rFonts w:hint="eastAsia" w:cs="Times New Roman"/>
          <w:color w:val="auto"/>
          <w:sz w:val="24"/>
          <w:szCs w:val="24"/>
          <w:lang w:eastAsia="zh-CN"/>
        </w:rPr>
        <w:t>，总平面布置合理。拟采取的环境保护措施技术可行、经济可靠，公众参与符合《环境影响评价公众参与办法》（</w:t>
      </w:r>
      <w:r>
        <w:rPr>
          <w:rFonts w:hint="eastAsia" w:cs="Times New Roman"/>
          <w:color w:val="auto"/>
          <w:sz w:val="24"/>
          <w:szCs w:val="24"/>
          <w:lang w:val="en-US" w:eastAsia="zh-CN"/>
        </w:rPr>
        <w:t>生态环境部 部令第4号</w:t>
      </w:r>
      <w:r>
        <w:rPr>
          <w:rFonts w:hint="eastAsia" w:cs="Times New Roman"/>
          <w:color w:val="auto"/>
          <w:sz w:val="24"/>
          <w:szCs w:val="24"/>
          <w:lang w:eastAsia="zh-CN"/>
        </w:rPr>
        <w:t>）中有关要求。建设单位只要认真落实本报告中提出的各项污染防治措施及环境风险防范措施，可确保污染物实现稳定达标排放。从环保角度而言，本项目建设是可行的。</w:t>
      </w:r>
    </w:p>
    <w:p w14:paraId="1CCB0DB8">
      <w:pPr>
        <w:pStyle w:val="2"/>
        <w:bidi w:val="0"/>
        <w:rPr>
          <w:rFonts w:hint="default" w:ascii="Times New Roman" w:hAnsi="Times New Roman" w:cs="Times New Roman"/>
          <w:color w:val="auto"/>
          <w:highlight w:val="none"/>
        </w:rPr>
      </w:pPr>
      <w:bookmarkStart w:id="18" w:name="_Toc455395187"/>
      <w:bookmarkStart w:id="19" w:name="_Toc461524905"/>
      <w:bookmarkStart w:id="20" w:name="_Toc455997565"/>
      <w:bookmarkStart w:id="21" w:name="_Toc10427"/>
      <w:bookmarkStart w:id="22" w:name="_Toc1773"/>
      <w:r>
        <w:rPr>
          <w:rFonts w:hint="eastAsia" w:ascii="Times New Roman" w:hAnsi="Times New Roman"/>
          <w:color w:val="auto"/>
        </w:rPr>
        <w:t>总</w:t>
      </w:r>
      <w:bookmarkEnd w:id="18"/>
      <w:bookmarkEnd w:id="19"/>
      <w:bookmarkEnd w:id="20"/>
      <w:r>
        <w:rPr>
          <w:rFonts w:hint="eastAsia" w:ascii="Times New Roman" w:hAnsi="Times New Roman"/>
          <w:color w:val="auto"/>
        </w:rPr>
        <w:t>则</w:t>
      </w:r>
      <w:bookmarkEnd w:id="21"/>
      <w:bookmarkEnd w:id="22"/>
    </w:p>
    <w:p w14:paraId="59E904AE">
      <w:pPr>
        <w:pStyle w:val="3"/>
        <w:bidi w:val="0"/>
        <w:rPr>
          <w:rFonts w:hint="default"/>
          <w:color w:val="auto"/>
          <w:highlight w:val="none"/>
        </w:rPr>
      </w:pPr>
      <w:bookmarkStart w:id="23" w:name="_Toc28881"/>
      <w:r>
        <w:rPr>
          <w:rFonts w:ascii="Times New Roman"/>
          <w:color w:val="auto"/>
        </w:rPr>
        <w:t>评价目的及原则</w:t>
      </w:r>
      <w:bookmarkEnd w:id="23"/>
    </w:p>
    <w:p w14:paraId="7191CF5A">
      <w:pPr>
        <w:pStyle w:val="4"/>
        <w:bidi w:val="0"/>
        <w:rPr>
          <w:rFonts w:hint="default"/>
          <w:color w:val="auto"/>
          <w:highlight w:val="none"/>
        </w:rPr>
      </w:pPr>
      <w:r>
        <w:rPr>
          <w:rFonts w:ascii="Times New Roman"/>
          <w:color w:val="auto"/>
        </w:rPr>
        <w:t>评价目的</w:t>
      </w:r>
    </w:p>
    <w:p w14:paraId="1B94F17D">
      <w:pPr>
        <w:ind w:left="0" w:leftChars="0" w:firstLine="480" w:firstLineChars="200"/>
        <w:rPr>
          <w:rFonts w:hint="default"/>
          <w:color w:val="auto"/>
        </w:rPr>
      </w:pPr>
      <w:r>
        <w:rPr>
          <w:color w:val="auto"/>
        </w:rPr>
        <w:t>环境影响评价作为建设项目环境保护管理的一项制度，根本目的是贯</w:t>
      </w:r>
      <w:r>
        <w:rPr>
          <w:rFonts w:asciiTheme="minorEastAsia" w:hAnsiTheme="minorEastAsia" w:eastAsiaTheme="minorEastAsia"/>
          <w:color w:val="auto"/>
        </w:rPr>
        <w:t>彻</w:t>
      </w:r>
      <w:r>
        <w:rPr>
          <w:rFonts w:hint="eastAsia" w:asciiTheme="minorEastAsia" w:hAnsiTheme="minorEastAsia" w:eastAsiaTheme="minorEastAsia"/>
          <w:color w:val="auto"/>
          <w:lang w:eastAsia="zh-CN"/>
        </w:rPr>
        <w:t>“</w:t>
      </w:r>
      <w:r>
        <w:rPr>
          <w:rFonts w:asciiTheme="minorEastAsia" w:hAnsiTheme="minorEastAsia" w:eastAsiaTheme="minorEastAsia"/>
          <w:color w:val="auto"/>
        </w:rPr>
        <w:t>保护环境</w:t>
      </w:r>
      <w:r>
        <w:rPr>
          <w:rFonts w:hint="eastAsia" w:asciiTheme="minorEastAsia" w:hAnsiTheme="minorEastAsia" w:eastAsiaTheme="minorEastAsia"/>
          <w:color w:val="auto"/>
          <w:lang w:eastAsia="zh-CN"/>
        </w:rPr>
        <w:t>”</w:t>
      </w:r>
      <w:r>
        <w:rPr>
          <w:color w:val="auto"/>
        </w:rPr>
        <w:t>的基本国策，认真执</w:t>
      </w:r>
      <w:r>
        <w:rPr>
          <w:rFonts w:asciiTheme="minorEastAsia" w:hAnsiTheme="minorEastAsia" w:eastAsiaTheme="minorEastAsia"/>
          <w:color w:val="auto"/>
        </w:rPr>
        <w:t>行</w:t>
      </w:r>
      <w:r>
        <w:rPr>
          <w:rFonts w:hint="eastAsia" w:asciiTheme="minorEastAsia" w:hAnsiTheme="minorEastAsia" w:eastAsiaTheme="minorEastAsia"/>
          <w:color w:val="auto"/>
          <w:lang w:eastAsia="zh-CN"/>
        </w:rPr>
        <w:t>“</w:t>
      </w:r>
      <w:r>
        <w:rPr>
          <w:rFonts w:asciiTheme="minorEastAsia" w:hAnsiTheme="minorEastAsia" w:eastAsiaTheme="minorEastAsia"/>
          <w:color w:val="auto"/>
        </w:rPr>
        <w:t>预防为主，防治结合</w:t>
      </w:r>
      <w:r>
        <w:rPr>
          <w:rFonts w:hint="eastAsia" w:asciiTheme="minorEastAsia" w:hAnsiTheme="minorEastAsia" w:eastAsiaTheme="minorEastAsia"/>
          <w:color w:val="auto"/>
          <w:lang w:eastAsia="zh-CN"/>
        </w:rPr>
        <w:t>”</w:t>
      </w:r>
      <w:r>
        <w:rPr>
          <w:rFonts w:asciiTheme="minorEastAsia" w:hAnsiTheme="minorEastAsia" w:eastAsiaTheme="minorEastAsia"/>
          <w:color w:val="auto"/>
        </w:rPr>
        <w:t>的</w:t>
      </w:r>
      <w:r>
        <w:rPr>
          <w:color w:val="auto"/>
        </w:rPr>
        <w:t>环境管理方针。编制本项目环境影响报告书的目的，旨在通过环境调查和现场监测，了解工程所处环境状况的基础上，根据工程特性，对工程项目建设过程和投入使用后污染源的产生位置、污染物排放种类、排放方式、排放去向和最终排放量、防止污染措施等进行全面分析，评价区域环境质量可能产生的变化，分析本工程的建设是否存在重大环境问题，以环保法规为准绳，衡量建设项目的可行性，提出尽可能减少环境影响的对策建议，为管理部门审查和决策、设计部门设计、项目的环境管理提供依据</w:t>
      </w:r>
      <w:r>
        <w:rPr>
          <w:rFonts w:hint="eastAsia"/>
          <w:color w:val="auto"/>
        </w:rPr>
        <w:t>。</w:t>
      </w:r>
    </w:p>
    <w:p w14:paraId="3720B74D">
      <w:pPr>
        <w:pStyle w:val="4"/>
        <w:bidi w:val="0"/>
        <w:rPr>
          <w:rFonts w:hint="default"/>
          <w:color w:val="auto"/>
          <w:highlight w:val="none"/>
        </w:rPr>
      </w:pPr>
      <w:r>
        <w:rPr>
          <w:rFonts w:ascii="Times New Roman"/>
          <w:color w:val="auto"/>
        </w:rPr>
        <w:t>评价原则</w:t>
      </w:r>
    </w:p>
    <w:p w14:paraId="74326516">
      <w:pPr>
        <w:pStyle w:val="26"/>
        <w:ind w:left="0" w:leftChars="0" w:firstLine="480" w:firstLineChars="200"/>
        <w:rPr>
          <w:color w:val="auto"/>
        </w:rPr>
      </w:pPr>
      <w:r>
        <w:rPr>
          <w:color w:val="auto"/>
        </w:rPr>
        <w:t>突出环境影响评价的源头预防作用，坚持保护和改善环境质量，</w:t>
      </w:r>
      <w:r>
        <w:rPr>
          <w:rFonts w:hint="eastAsia"/>
          <w:color w:val="auto"/>
        </w:rPr>
        <w:t>坚持</w:t>
      </w:r>
      <w:r>
        <w:rPr>
          <w:rFonts w:hint="eastAsia"/>
          <w:color w:val="auto"/>
          <w:lang w:eastAsia="zh-CN"/>
        </w:rPr>
        <w:t>“</w:t>
      </w:r>
      <w:r>
        <w:rPr>
          <w:rFonts w:hint="eastAsia"/>
          <w:color w:val="auto"/>
          <w:lang w:val="en-US" w:eastAsia="zh-CN"/>
        </w:rPr>
        <w:t>依法评价</w:t>
      </w:r>
      <w:r>
        <w:rPr>
          <w:rFonts w:hint="eastAsia"/>
          <w:color w:val="auto"/>
          <w:lang w:eastAsia="zh-CN"/>
        </w:rPr>
        <w:t>”</w:t>
      </w:r>
      <w:r>
        <w:rPr>
          <w:rFonts w:hint="eastAsia"/>
          <w:color w:val="auto"/>
        </w:rPr>
        <w:t>、</w:t>
      </w:r>
      <w:r>
        <w:rPr>
          <w:rFonts w:hint="eastAsia"/>
          <w:color w:val="auto"/>
          <w:lang w:eastAsia="zh-CN"/>
        </w:rPr>
        <w:t>“</w:t>
      </w:r>
      <w:r>
        <w:rPr>
          <w:rFonts w:hint="eastAsia"/>
          <w:color w:val="auto"/>
          <w:lang w:val="en-US" w:eastAsia="zh-CN"/>
        </w:rPr>
        <w:t>科学评价</w:t>
      </w:r>
      <w:r>
        <w:rPr>
          <w:rFonts w:hint="eastAsia"/>
          <w:color w:val="auto"/>
          <w:lang w:eastAsia="zh-CN"/>
        </w:rPr>
        <w:t>”</w:t>
      </w:r>
      <w:r>
        <w:rPr>
          <w:rFonts w:hint="eastAsia"/>
          <w:color w:val="auto"/>
        </w:rPr>
        <w:t>和</w:t>
      </w:r>
      <w:r>
        <w:rPr>
          <w:rFonts w:hint="eastAsia"/>
          <w:color w:val="auto"/>
          <w:lang w:eastAsia="zh-CN"/>
        </w:rPr>
        <w:t>“</w:t>
      </w:r>
      <w:r>
        <w:rPr>
          <w:rFonts w:hint="eastAsia"/>
          <w:color w:val="auto"/>
          <w:lang w:val="en-US" w:eastAsia="zh-CN"/>
        </w:rPr>
        <w:t>突出重点</w:t>
      </w:r>
      <w:r>
        <w:rPr>
          <w:rFonts w:hint="eastAsia"/>
          <w:color w:val="auto"/>
          <w:lang w:eastAsia="zh-CN"/>
        </w:rPr>
        <w:t>”</w:t>
      </w:r>
      <w:r>
        <w:rPr>
          <w:rFonts w:hint="eastAsia"/>
          <w:color w:val="auto"/>
        </w:rPr>
        <w:t>的原则，</w:t>
      </w:r>
      <w:r>
        <w:rPr>
          <w:color w:val="auto"/>
        </w:rPr>
        <w:t>贯彻执行我国环境保护相关法律法规、标准、政策和规划等要求，</w:t>
      </w:r>
      <w:r>
        <w:rPr>
          <w:rFonts w:hint="eastAsia"/>
          <w:color w:val="auto"/>
        </w:rPr>
        <w:t>制定切实可行的污染防治措施，</w:t>
      </w:r>
      <w:r>
        <w:rPr>
          <w:color w:val="auto"/>
        </w:rPr>
        <w:t>优化项目建设，</w:t>
      </w:r>
      <w:r>
        <w:rPr>
          <w:rFonts w:hint="eastAsia"/>
          <w:color w:val="auto"/>
        </w:rPr>
        <w:t>确保污染物排放量满足总量控制要求，使项目的建设满足城市发展总体规划、环境保护规划、环境功能区划的要求。</w:t>
      </w:r>
    </w:p>
    <w:p w14:paraId="78614766">
      <w:pPr>
        <w:pStyle w:val="3"/>
        <w:bidi w:val="0"/>
        <w:rPr>
          <w:rFonts w:hint="default"/>
          <w:color w:val="auto"/>
          <w:highlight w:val="none"/>
        </w:rPr>
      </w:pPr>
      <w:bookmarkStart w:id="24" w:name="_Toc18395"/>
      <w:r>
        <w:rPr>
          <w:rFonts w:hint="eastAsia" w:ascii="Times New Roman"/>
          <w:color w:val="auto"/>
        </w:rPr>
        <w:t>编制依据</w:t>
      </w:r>
      <w:bookmarkEnd w:id="24"/>
    </w:p>
    <w:p w14:paraId="0501D336">
      <w:pPr>
        <w:pStyle w:val="4"/>
        <w:bidi w:val="0"/>
        <w:rPr>
          <w:rFonts w:hint="default"/>
          <w:color w:val="auto"/>
          <w:highlight w:val="none"/>
        </w:rPr>
      </w:pPr>
      <w:r>
        <w:rPr>
          <w:rFonts w:ascii="Times New Roman"/>
          <w:color w:val="auto"/>
        </w:rPr>
        <w:t>法律</w:t>
      </w:r>
    </w:p>
    <w:p w14:paraId="7468BC8D">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《中华人民共和国环境保护法》（2015年1月1日实施）。</w:t>
      </w:r>
    </w:p>
    <w:p w14:paraId="43AE6EAF">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《中华人民共和国环境影响评价法》（2018年12月29日修正）。</w:t>
      </w:r>
    </w:p>
    <w:p w14:paraId="453F14DB">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《中华人民共和国大气污染防治法》（2018年10月26日修正）。</w:t>
      </w:r>
    </w:p>
    <w:p w14:paraId="6372352E">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《中华人民共和国水污染防治法》（2018年1月1日实施）。</w:t>
      </w:r>
    </w:p>
    <w:p w14:paraId="4E133EF2">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《中华人民共和国噪声污染防治法》（2022年6月5日实施）。</w:t>
      </w:r>
    </w:p>
    <w:p w14:paraId="0EACAA5C">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《中华人民共和国固体废物污染环境防治法》（2020年9月1日实施）。</w:t>
      </w:r>
    </w:p>
    <w:p w14:paraId="653EB8D5">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《中华人民共和国土壤污染防治法》（2019年1月1日实施）。</w:t>
      </w:r>
    </w:p>
    <w:p w14:paraId="630F7DC5">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《中华人民共和国环境保护税法》（2018年1月1日实施）。</w:t>
      </w:r>
    </w:p>
    <w:p w14:paraId="59162292">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《中华人民共和国清洁生产促进法》（2012年2月29日修正）。</w:t>
      </w:r>
    </w:p>
    <w:p w14:paraId="5B644619">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《中华人民共和国长江保护法》（2021年3月1日实施）。</w:t>
      </w:r>
    </w:p>
    <w:p w14:paraId="57B05C25">
      <w:pPr>
        <w:numPr>
          <w:ilvl w:val="0"/>
          <w:numId w:val="6"/>
        </w:numPr>
        <w:spacing w:line="360" w:lineRule="auto"/>
        <w:ind w:left="0" w:leftChars="0"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《中华人民共和国安全生产法》（全国人民代表大会常务委员会第二十八次会议通过）</w:t>
      </w:r>
      <w:r>
        <w:rPr>
          <w:rFonts w:hint="eastAsia" w:ascii="Times New Roman" w:hAnsi="Times New Roman" w:eastAsia="宋体" w:cs="Times New Roman"/>
          <w:color w:val="auto"/>
          <w:sz w:val="24"/>
          <w:lang w:eastAsia="zh-CN"/>
        </w:rPr>
        <w:t>。</w:t>
      </w:r>
    </w:p>
    <w:p w14:paraId="08F44E36">
      <w:pPr>
        <w:pStyle w:val="4"/>
        <w:bidi w:val="0"/>
        <w:rPr>
          <w:rFonts w:hint="default"/>
          <w:color w:val="auto"/>
          <w:highlight w:val="none"/>
        </w:rPr>
      </w:pPr>
      <w:r>
        <w:rPr>
          <w:rFonts w:hint="default" w:ascii="Times New Roman"/>
          <w:color w:val="auto"/>
          <w:lang w:val="en-US" w:eastAsia="zh-CN"/>
        </w:rPr>
        <w:t>部门</w:t>
      </w:r>
      <w:r>
        <w:rPr>
          <w:rFonts w:hint="default" w:ascii="Times New Roman"/>
          <w:color w:val="auto"/>
        </w:rPr>
        <w:t>规章</w:t>
      </w:r>
      <w:r>
        <w:rPr>
          <w:rFonts w:hint="default" w:ascii="Times New Roman"/>
          <w:color w:val="auto"/>
          <w:lang w:val="en-US" w:eastAsia="zh-CN"/>
        </w:rPr>
        <w:t>、规范性文件</w:t>
      </w:r>
    </w:p>
    <w:p w14:paraId="682E68A5">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《产业结构调整指导目录（2024年本）》（国家发展和改革委员会令</w:t>
      </w:r>
      <w:r>
        <w:rPr>
          <w:rFonts w:hint="eastAsia" w:ascii="Times New Roman" w:hAnsi="Times New Roman" w:eastAsia="宋体" w:cs="Times New Roman"/>
          <w:color w:val="auto"/>
          <w:sz w:val="24"/>
          <w:lang w:val="en-US" w:eastAsia="zh-CN"/>
        </w:rPr>
        <w:t xml:space="preserve"> </w:t>
      </w:r>
      <w:r>
        <w:rPr>
          <w:rFonts w:hint="eastAsia" w:ascii="Times New Roman" w:hAnsi="Times New Roman" w:eastAsia="宋体" w:cs="Times New Roman"/>
          <w:color w:val="auto"/>
          <w:sz w:val="24"/>
        </w:rPr>
        <w:t>第7号）</w:t>
      </w:r>
      <w:r>
        <w:rPr>
          <w:rFonts w:hint="eastAsia" w:ascii="Times New Roman" w:hAnsi="Times New Roman" w:eastAsia="宋体" w:cs="Times New Roman"/>
          <w:color w:val="auto"/>
          <w:sz w:val="24"/>
          <w:lang w:eastAsia="zh-CN"/>
        </w:rPr>
        <w:t>。</w:t>
      </w:r>
    </w:p>
    <w:p w14:paraId="21308FB7">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《建设项目环境保护管理条例》（国务院令</w:t>
      </w:r>
      <w:r>
        <w:rPr>
          <w:rFonts w:hint="eastAsia" w:ascii="Times New Roman" w:hAnsi="Times New Roman" w:eastAsia="宋体" w:cs="Times New Roman"/>
          <w:color w:val="auto"/>
          <w:sz w:val="24"/>
          <w:lang w:val="en-US" w:eastAsia="zh-CN"/>
        </w:rPr>
        <w:t xml:space="preserve"> </w:t>
      </w:r>
      <w:r>
        <w:rPr>
          <w:rFonts w:hint="eastAsia" w:ascii="Times New Roman" w:hAnsi="Times New Roman" w:eastAsia="宋体" w:cs="Times New Roman"/>
          <w:color w:val="auto"/>
          <w:sz w:val="24"/>
        </w:rPr>
        <w:t>第682号）。</w:t>
      </w:r>
    </w:p>
    <w:p w14:paraId="0ABACA7C">
      <w:pPr>
        <w:numPr>
          <w:ilvl w:val="0"/>
          <w:numId w:val="7"/>
        </w:numPr>
        <w:spacing w:line="360" w:lineRule="auto"/>
        <w:ind w:left="0" w:leftChars="0"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《建设项目环境影响评价分类管理名录（2021年版）》（</w:t>
      </w:r>
      <w:r>
        <w:rPr>
          <w:rFonts w:hint="eastAsia" w:ascii="Times New Roman" w:hAnsi="Times New Roman" w:eastAsia="宋体" w:cs="Times New Roman"/>
          <w:color w:val="auto"/>
          <w:sz w:val="24"/>
          <w:highlight w:val="none"/>
          <w:lang w:val="en-US" w:eastAsia="zh-CN"/>
        </w:rPr>
        <w:t xml:space="preserve">生态环境部 </w:t>
      </w:r>
      <w:r>
        <w:rPr>
          <w:rFonts w:hint="eastAsia" w:ascii="Times New Roman" w:hAnsi="Times New Roman" w:eastAsia="宋体" w:cs="Times New Roman"/>
          <w:color w:val="auto"/>
          <w:sz w:val="24"/>
          <w:highlight w:val="none"/>
          <w:lang w:eastAsia="zh-CN"/>
        </w:rPr>
        <w:t>部令第16号）。</w:t>
      </w:r>
    </w:p>
    <w:p w14:paraId="77BA3D01">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《中华人民共和国环境保护税法实施条例》（国务院</w:t>
      </w:r>
      <w:r>
        <w:rPr>
          <w:rFonts w:hint="eastAsia" w:ascii="Times New Roman" w:hAnsi="Times New Roman" w:eastAsia="宋体" w:cs="Times New Roman"/>
          <w:color w:val="auto"/>
          <w:sz w:val="24"/>
          <w:lang w:val="en-US" w:eastAsia="zh-CN"/>
        </w:rPr>
        <w:t xml:space="preserve"> </w:t>
      </w:r>
      <w:r>
        <w:rPr>
          <w:rFonts w:hint="eastAsia" w:ascii="Times New Roman" w:hAnsi="Times New Roman" w:eastAsia="宋体" w:cs="Times New Roman"/>
          <w:color w:val="auto"/>
          <w:sz w:val="24"/>
        </w:rPr>
        <w:t>令第693号）。</w:t>
      </w:r>
    </w:p>
    <w:p w14:paraId="2A74B956">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《国家危险废物名录（202</w:t>
      </w:r>
      <w:r>
        <w:rPr>
          <w:rFonts w:hint="eastAsia" w:ascii="Times New Roman" w:hAnsi="Times New Roman" w:eastAsia="宋体" w:cs="Times New Roman"/>
          <w:color w:val="auto"/>
          <w:sz w:val="24"/>
          <w:lang w:val="en-US" w:eastAsia="zh-CN"/>
        </w:rPr>
        <w:t>5</w:t>
      </w:r>
      <w:r>
        <w:rPr>
          <w:rFonts w:hint="eastAsia" w:ascii="Times New Roman" w:hAnsi="Times New Roman" w:eastAsia="宋体" w:cs="Times New Roman"/>
          <w:color w:val="auto"/>
          <w:sz w:val="24"/>
        </w:rPr>
        <w:t>版）》（</w:t>
      </w:r>
      <w:r>
        <w:rPr>
          <w:rFonts w:hint="eastAsia" w:ascii="Times New Roman" w:hAnsi="Times New Roman" w:eastAsia="宋体" w:cs="Times New Roman"/>
          <w:color w:val="auto"/>
          <w:sz w:val="24"/>
          <w:lang w:eastAsia="zh-CN"/>
        </w:rPr>
        <w:t>生态环境部 部令</w:t>
      </w:r>
      <w:r>
        <w:rPr>
          <w:rFonts w:hint="eastAsia" w:ascii="Times New Roman" w:hAnsi="Times New Roman" w:eastAsia="宋体" w:cs="Times New Roman"/>
          <w:color w:val="auto"/>
          <w:sz w:val="24"/>
        </w:rPr>
        <w:t>第36号）。</w:t>
      </w:r>
    </w:p>
    <w:p w14:paraId="0730E6CA">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《环境影响评价公众参与办法》（</w:t>
      </w:r>
      <w:r>
        <w:rPr>
          <w:rFonts w:hint="eastAsia" w:ascii="Times New Roman" w:hAnsi="Times New Roman" w:eastAsia="宋体" w:cs="Times New Roman"/>
          <w:color w:val="auto"/>
          <w:sz w:val="24"/>
          <w:lang w:eastAsia="zh-CN"/>
        </w:rPr>
        <w:t>生态环境部 部令</w:t>
      </w:r>
      <w:r>
        <w:rPr>
          <w:rFonts w:hint="eastAsia" w:ascii="Times New Roman" w:hAnsi="Times New Roman" w:eastAsia="宋体" w:cs="Times New Roman"/>
          <w:color w:val="auto"/>
          <w:sz w:val="24"/>
        </w:rPr>
        <w:t>第4号）。</w:t>
      </w:r>
    </w:p>
    <w:p w14:paraId="34C949BB">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生态环境部《关于发布&lt;环境影响评价公众参与办法&gt;配套文件的公告》（生态环境部公告 2018年第48号）。</w:t>
      </w:r>
    </w:p>
    <w:p w14:paraId="17DFE389">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《大气污染防治行动计划》（国发</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2013</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37号）。</w:t>
      </w:r>
    </w:p>
    <w:p w14:paraId="5D47E2AE">
      <w:pPr>
        <w:numPr>
          <w:ilvl w:val="0"/>
          <w:numId w:val="7"/>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rPr>
        <w:t>《重点行业挥发性有机物综合治理方案》（环大气</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2019</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53号）</w:t>
      </w:r>
      <w:r>
        <w:rPr>
          <w:rFonts w:hint="eastAsia" w:ascii="Times New Roman" w:hAnsi="Times New Roman" w:eastAsia="宋体" w:cs="Times New Roman"/>
          <w:color w:val="auto"/>
          <w:sz w:val="24"/>
          <w:lang w:eastAsia="zh-CN"/>
        </w:rPr>
        <w:t>。</w:t>
      </w:r>
    </w:p>
    <w:p w14:paraId="0584C913">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《水污染防治行动计划》（国发</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2015</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17号）。</w:t>
      </w:r>
    </w:p>
    <w:p w14:paraId="18663F96">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《土壤污染防治行动计划》（国发</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2016</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31号）。</w:t>
      </w:r>
    </w:p>
    <w:p w14:paraId="666C6A7B">
      <w:pPr>
        <w:numPr>
          <w:ilvl w:val="0"/>
          <w:numId w:val="7"/>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《地下水管理条例》（国务院令</w:t>
      </w:r>
      <w:r>
        <w:rPr>
          <w:rFonts w:hint="eastAsia" w:ascii="Times New Roman" w:hAnsi="Times New Roman" w:eastAsia="宋体" w:cs="Times New Roman"/>
          <w:color w:val="auto"/>
          <w:sz w:val="24"/>
          <w:lang w:val="en-US" w:eastAsia="zh-CN"/>
        </w:rPr>
        <w:t xml:space="preserve"> </w:t>
      </w:r>
      <w:r>
        <w:rPr>
          <w:rFonts w:hint="eastAsia" w:ascii="Times New Roman" w:hAnsi="Times New Roman" w:eastAsia="宋体" w:cs="Times New Roman"/>
          <w:color w:val="auto"/>
          <w:sz w:val="24"/>
          <w:lang w:eastAsia="zh-CN"/>
        </w:rPr>
        <w:t>第748号）。</w:t>
      </w:r>
    </w:p>
    <w:p w14:paraId="3589A3DD">
      <w:pPr>
        <w:numPr>
          <w:ilvl w:val="0"/>
          <w:numId w:val="7"/>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《重污染天气重点行业应急减排措施制定技术指南（2020年修订版）》</w:t>
      </w:r>
      <w:r>
        <w:rPr>
          <w:rFonts w:hint="eastAsia" w:ascii="Times New Roman" w:hAnsi="Times New Roman" w:eastAsia="宋体" w:cs="Times New Roman"/>
          <w:color w:val="auto"/>
          <w:sz w:val="24"/>
          <w:lang w:eastAsia="zh-CN"/>
        </w:rPr>
        <w:t>（环办大气函〔</w:t>
      </w:r>
      <w:r>
        <w:rPr>
          <w:rFonts w:hint="eastAsia" w:ascii="Times New Roman" w:hAnsi="Times New Roman" w:eastAsia="宋体" w:cs="Times New Roman"/>
          <w:color w:val="auto"/>
          <w:sz w:val="24"/>
          <w:lang w:val="en-US" w:eastAsia="zh-CN"/>
        </w:rPr>
        <w:t>2020</w:t>
      </w:r>
      <w:r>
        <w:rPr>
          <w:rFonts w:hint="eastAsia" w:ascii="Times New Roman" w:hAnsi="Times New Roman" w:eastAsia="宋体" w:cs="Times New Roman"/>
          <w:color w:val="auto"/>
          <w:sz w:val="24"/>
          <w:lang w:eastAsia="zh-CN"/>
        </w:rPr>
        <w:t>〕340号）</w:t>
      </w:r>
      <w:r>
        <w:rPr>
          <w:rFonts w:hint="eastAsia" w:ascii="Times New Roman" w:hAnsi="Times New Roman" w:eastAsia="宋体" w:cs="Times New Roman"/>
          <w:color w:val="auto"/>
          <w:sz w:val="24"/>
        </w:rPr>
        <w:t>。</w:t>
      </w:r>
    </w:p>
    <w:p w14:paraId="51324898">
      <w:pPr>
        <w:numPr>
          <w:ilvl w:val="0"/>
          <w:numId w:val="7"/>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rPr>
        <w:t>《长江经济带发展负面清单指南（试行，2022年版）》</w:t>
      </w:r>
      <w:r>
        <w:rPr>
          <w:rFonts w:hint="eastAsia" w:ascii="Times New Roman" w:hAnsi="Times New Roman" w:eastAsia="宋体" w:cs="Times New Roman"/>
          <w:color w:val="auto"/>
          <w:sz w:val="24"/>
          <w:lang w:eastAsia="zh-CN"/>
        </w:rPr>
        <w:t>。</w:t>
      </w:r>
    </w:p>
    <w:p w14:paraId="2A415EDD">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《关于全面加强危险化学品安全生产工作的意见》（2020年2月27日实施）。</w:t>
      </w:r>
    </w:p>
    <w:p w14:paraId="02879250">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《危险化学品安全管理条例》</w:t>
      </w:r>
      <w:r>
        <w:rPr>
          <w:rFonts w:hint="eastAsia" w:ascii="Times New Roman" w:hAnsi="Times New Roman" w:eastAsia="宋体" w:cs="Times New Roman"/>
          <w:color w:val="auto"/>
          <w:sz w:val="24"/>
          <w:lang w:eastAsia="zh-CN"/>
        </w:rPr>
        <w:t>（国务院令</w:t>
      </w:r>
      <w:r>
        <w:rPr>
          <w:rFonts w:hint="eastAsia" w:ascii="Times New Roman" w:hAnsi="Times New Roman" w:eastAsia="宋体" w:cs="Times New Roman"/>
          <w:color w:val="auto"/>
          <w:sz w:val="24"/>
          <w:lang w:val="en-US" w:eastAsia="zh-CN"/>
        </w:rPr>
        <w:t xml:space="preserve"> </w:t>
      </w:r>
      <w:r>
        <w:rPr>
          <w:rFonts w:hint="eastAsia" w:ascii="Times New Roman" w:hAnsi="Times New Roman" w:eastAsia="宋体" w:cs="Times New Roman"/>
          <w:color w:val="auto"/>
          <w:sz w:val="24"/>
          <w:lang w:eastAsia="zh-CN"/>
        </w:rPr>
        <w:t>第645号）。</w:t>
      </w:r>
    </w:p>
    <w:p w14:paraId="4B610F61">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《危险化学品重大危险源辨识》（GB18218-2018）</w:t>
      </w:r>
      <w:r>
        <w:rPr>
          <w:rFonts w:hint="eastAsia" w:ascii="Times New Roman" w:hAnsi="Times New Roman" w:eastAsia="宋体" w:cs="Times New Roman"/>
          <w:color w:val="auto"/>
          <w:sz w:val="24"/>
          <w:lang w:eastAsia="zh-CN"/>
        </w:rPr>
        <w:t>。</w:t>
      </w:r>
    </w:p>
    <w:p w14:paraId="527DC530">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《危险化学品目录（2015年版）》</w:t>
      </w:r>
      <w:r>
        <w:rPr>
          <w:rFonts w:hint="eastAsia" w:ascii="Times New Roman" w:hAnsi="Times New Roman" w:eastAsia="宋体" w:cs="Times New Roman"/>
          <w:color w:val="auto"/>
          <w:sz w:val="24"/>
          <w:lang w:val="en-US" w:eastAsia="zh-CN"/>
        </w:rPr>
        <w:t>及</w:t>
      </w:r>
      <w:r>
        <w:rPr>
          <w:rFonts w:hint="default" w:ascii="Times New Roman" w:hAnsi="Times New Roman" w:eastAsia="宋体" w:cs="Times New Roman"/>
          <w:color w:val="auto"/>
          <w:sz w:val="24"/>
        </w:rPr>
        <w:t>《应急管理部等十部门关于调整〈危险化学品目录（2015版）〉的公告》</w:t>
      </w:r>
      <w:r>
        <w:rPr>
          <w:rFonts w:hint="eastAsia" w:ascii="Times New Roman" w:hAnsi="Times New Roman" w:eastAsia="宋体" w:cs="Times New Roman"/>
          <w:color w:val="auto"/>
          <w:sz w:val="24"/>
          <w:lang w:eastAsia="zh-CN"/>
        </w:rPr>
        <w:t>。</w:t>
      </w:r>
    </w:p>
    <w:p w14:paraId="00D65460">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《易制爆危险化学品名录（2017年版）》</w:t>
      </w:r>
      <w:r>
        <w:rPr>
          <w:rFonts w:hint="eastAsia" w:ascii="Times New Roman" w:hAnsi="Times New Roman" w:eastAsia="宋体" w:cs="Times New Roman"/>
          <w:color w:val="auto"/>
          <w:sz w:val="24"/>
          <w:lang w:eastAsia="zh-CN"/>
        </w:rPr>
        <w:t>。</w:t>
      </w:r>
    </w:p>
    <w:p w14:paraId="3B6217F1">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《易制毒化学品管理条例》（国务院令</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第703号</w:t>
      </w:r>
      <w:r>
        <w:rPr>
          <w:rFonts w:hint="eastAsia" w:ascii="Times New Roman" w:hAnsi="Times New Roman" w:eastAsia="宋体" w:cs="Times New Roman"/>
          <w:color w:val="auto"/>
          <w:sz w:val="24"/>
          <w:lang w:val="en-US" w:eastAsia="zh-CN"/>
        </w:rPr>
        <w:t>修改</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w:t>
      </w:r>
    </w:p>
    <w:p w14:paraId="74359CB1">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《高毒物品目录》（卫法监发</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2003</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第142号）</w:t>
      </w:r>
      <w:r>
        <w:rPr>
          <w:rFonts w:hint="eastAsia" w:ascii="Times New Roman" w:hAnsi="Times New Roman" w:eastAsia="宋体" w:cs="Times New Roman"/>
          <w:color w:val="auto"/>
          <w:sz w:val="24"/>
          <w:lang w:eastAsia="zh-CN"/>
        </w:rPr>
        <w:t>。</w:t>
      </w:r>
    </w:p>
    <w:p w14:paraId="194E2021">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《特别管控危险化学品目录（第一版）》</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应急管理部、工业和信息化部、公安部、交通运输部公告</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2020年第3号</w:t>
      </w:r>
      <w:r>
        <w:rPr>
          <w:rFonts w:hint="eastAsia" w:ascii="Times New Roman" w:hAnsi="Times New Roman" w:eastAsia="宋体" w:cs="Times New Roman"/>
          <w:color w:val="auto"/>
          <w:sz w:val="24"/>
          <w:lang w:eastAsia="zh-CN"/>
        </w:rPr>
        <w:t>）</w:t>
      </w:r>
      <w:r>
        <w:rPr>
          <w:rFonts w:hint="eastAsia" w:cs="Times New Roman"/>
          <w:color w:val="auto"/>
          <w:sz w:val="24"/>
          <w:lang w:eastAsia="zh-CN"/>
        </w:rPr>
        <w:t>。</w:t>
      </w:r>
    </w:p>
    <w:p w14:paraId="1142386A">
      <w:pPr>
        <w:numPr>
          <w:ilvl w:val="0"/>
          <w:numId w:val="7"/>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《关于加强高耗能、高排放建设项目生态环境源头防控的指导意见》（环环评〔2021〕45号）。</w:t>
      </w:r>
    </w:p>
    <w:p w14:paraId="5E2533F5">
      <w:pPr>
        <w:pStyle w:val="4"/>
        <w:bidi w:val="0"/>
        <w:rPr>
          <w:rFonts w:hint="default"/>
          <w:color w:val="auto"/>
          <w:highlight w:val="none"/>
        </w:rPr>
      </w:pPr>
      <w:r>
        <w:rPr>
          <w:rFonts w:hint="default"/>
          <w:color w:val="auto"/>
          <w:highlight w:val="none"/>
          <w:lang w:val="en-US" w:eastAsia="zh-CN"/>
        </w:rPr>
        <w:t>地方环保法规、政策及规划文件</w:t>
      </w:r>
    </w:p>
    <w:p w14:paraId="345A57BC">
      <w:pPr>
        <w:numPr>
          <w:ilvl w:val="0"/>
          <w:numId w:val="8"/>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《四川省环境保护条例》（2018年1月1日</w:t>
      </w:r>
      <w:r>
        <w:rPr>
          <w:rFonts w:hint="eastAsia" w:ascii="Times New Roman" w:hAnsi="Times New Roman" w:eastAsia="宋体" w:cs="Times New Roman"/>
          <w:color w:val="auto"/>
          <w:sz w:val="24"/>
          <w:lang w:val="en-US" w:eastAsia="zh-CN"/>
        </w:rPr>
        <w:t>实施</w:t>
      </w:r>
      <w:r>
        <w:rPr>
          <w:rFonts w:hint="eastAsia" w:ascii="Times New Roman" w:hAnsi="Times New Roman" w:eastAsia="宋体" w:cs="Times New Roman"/>
          <w:color w:val="auto"/>
          <w:sz w:val="24"/>
        </w:rPr>
        <w:t>）。</w:t>
      </w:r>
    </w:p>
    <w:p w14:paraId="17890EB0">
      <w:pPr>
        <w:numPr>
          <w:ilvl w:val="0"/>
          <w:numId w:val="8"/>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《四川省〈中华人民共和国大气污染防治法〉实施办法》（2018年12月7日修订）。</w:t>
      </w:r>
    </w:p>
    <w:p w14:paraId="0ACED537">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rPr>
      </w:pPr>
      <w:r>
        <w:rPr>
          <w:rFonts w:hint="eastAsia" w:ascii="Times New Roman" w:hAnsi="Times New Roman" w:eastAsia="宋体" w:cs="Times New Roman"/>
          <w:color w:val="auto"/>
          <w:sz w:val="24"/>
          <w:lang w:val="en-US" w:eastAsia="zh-CN"/>
        </w:rPr>
        <w:t>《四川省空气质量持续改善行动计划实施方案》（川府发〔2024〕15 号）。</w:t>
      </w:r>
    </w:p>
    <w:p w14:paraId="75537489">
      <w:pPr>
        <w:numPr>
          <w:ilvl w:val="0"/>
          <w:numId w:val="8"/>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《水污染防治行动计划四川省工作方案》（川府发</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2015</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59号）。</w:t>
      </w:r>
    </w:p>
    <w:p w14:paraId="29D8DA65">
      <w:pPr>
        <w:numPr>
          <w:ilvl w:val="0"/>
          <w:numId w:val="8"/>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《四川省土壤污染防治条例》（2023年7月1日起</w:t>
      </w:r>
      <w:r>
        <w:rPr>
          <w:rFonts w:hint="eastAsia" w:ascii="Times New Roman" w:hAnsi="Times New Roman" w:eastAsia="宋体" w:cs="Times New Roman"/>
          <w:color w:val="auto"/>
          <w:sz w:val="24"/>
          <w:lang w:val="en-US" w:eastAsia="zh-CN"/>
        </w:rPr>
        <w:t>实施</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w:t>
      </w:r>
    </w:p>
    <w:p w14:paraId="67295836">
      <w:pPr>
        <w:numPr>
          <w:ilvl w:val="0"/>
          <w:numId w:val="8"/>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《土壤污染防治行动计划四川省工作方案》（川府发〔</w:t>
      </w:r>
      <w:r>
        <w:rPr>
          <w:rFonts w:hint="eastAsia" w:ascii="Times New Roman" w:hAnsi="Times New Roman" w:eastAsia="宋体" w:cs="Times New Roman"/>
          <w:color w:val="auto"/>
          <w:sz w:val="24"/>
          <w:lang w:val="en-US" w:eastAsia="zh-CN"/>
        </w:rPr>
        <w:t>2016</w:t>
      </w:r>
      <w:r>
        <w:rPr>
          <w:rFonts w:hint="eastAsia" w:ascii="Times New Roman" w:hAnsi="Times New Roman" w:eastAsia="宋体" w:cs="Times New Roman"/>
          <w:color w:val="auto"/>
          <w:sz w:val="24"/>
          <w:lang w:eastAsia="zh-CN"/>
        </w:rPr>
        <w:t>〕63号）。</w:t>
      </w:r>
    </w:p>
    <w:p w14:paraId="650DAC3B">
      <w:pPr>
        <w:numPr>
          <w:ilvl w:val="0"/>
          <w:numId w:val="8"/>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《四川省固体废物污染环境防治条例》（2018年7月26日修正）。</w:t>
      </w:r>
    </w:p>
    <w:p w14:paraId="731B5CDA">
      <w:pPr>
        <w:numPr>
          <w:ilvl w:val="0"/>
          <w:numId w:val="8"/>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四川省生态环境厅办公室《关于加强重金属污染防控工作的通知》（川环办函</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2020</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313号）。</w:t>
      </w:r>
    </w:p>
    <w:p w14:paraId="5A538967">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《四川省</w:t>
      </w:r>
      <w:r>
        <w:rPr>
          <w:rFonts w:hint="eastAsia" w:cs="Times New Roman"/>
          <w:color w:val="auto"/>
          <w:sz w:val="24"/>
          <w:lang w:eastAsia="zh-CN"/>
        </w:rPr>
        <w:t>“</w:t>
      </w:r>
      <w:r>
        <w:rPr>
          <w:rFonts w:hint="default" w:ascii="Times New Roman" w:hAnsi="Times New Roman" w:eastAsia="宋体" w:cs="Times New Roman"/>
          <w:color w:val="auto"/>
          <w:sz w:val="24"/>
        </w:rPr>
        <w:t>十</w:t>
      </w:r>
      <w:r>
        <w:rPr>
          <w:rFonts w:hint="eastAsia" w:ascii="Times New Roman" w:hAnsi="Times New Roman" w:eastAsia="宋体" w:cs="Times New Roman"/>
          <w:color w:val="auto"/>
          <w:sz w:val="24"/>
          <w:lang w:eastAsia="zh-CN"/>
        </w:rPr>
        <w:t>四</w:t>
      </w:r>
      <w:r>
        <w:rPr>
          <w:rFonts w:hint="default" w:ascii="Times New Roman" w:hAnsi="Times New Roman" w:eastAsia="宋体" w:cs="Times New Roman"/>
          <w:color w:val="auto"/>
          <w:sz w:val="24"/>
        </w:rPr>
        <w:t>五</w:t>
      </w:r>
      <w:r>
        <w:rPr>
          <w:rFonts w:hint="eastAsia" w:cs="Times New Roman"/>
          <w:color w:val="auto"/>
          <w:sz w:val="24"/>
          <w:lang w:eastAsia="zh-CN"/>
        </w:rPr>
        <w:t>”</w:t>
      </w:r>
      <w:r>
        <w:rPr>
          <w:rFonts w:hint="default" w:ascii="Times New Roman" w:hAnsi="Times New Roman" w:eastAsia="宋体" w:cs="Times New Roman"/>
          <w:color w:val="auto"/>
          <w:sz w:val="24"/>
        </w:rPr>
        <w:t>重金属污染</w:t>
      </w:r>
      <w:r>
        <w:rPr>
          <w:rFonts w:hint="eastAsia" w:ascii="Times New Roman" w:hAnsi="Times New Roman" w:eastAsia="宋体" w:cs="Times New Roman"/>
          <w:color w:val="auto"/>
          <w:sz w:val="24"/>
          <w:lang w:eastAsia="zh-CN"/>
        </w:rPr>
        <w:t>防控工作</w:t>
      </w:r>
      <w:r>
        <w:rPr>
          <w:rFonts w:hint="default" w:ascii="Times New Roman" w:hAnsi="Times New Roman" w:eastAsia="宋体" w:cs="Times New Roman"/>
          <w:color w:val="auto"/>
          <w:sz w:val="24"/>
        </w:rPr>
        <w:t>方案》</w:t>
      </w:r>
      <w:r>
        <w:rPr>
          <w:rFonts w:hint="default" w:ascii="Times New Roman" w:hAnsi="Times New Roman" w:eastAsia="宋体" w:cs="Times New Roman"/>
          <w:color w:val="auto"/>
          <w:sz w:val="24"/>
          <w:lang w:val="en-US" w:eastAsia="zh-CN"/>
        </w:rPr>
        <w:t>（川污防攻坚办</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2022</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61号）</w:t>
      </w:r>
      <w:r>
        <w:rPr>
          <w:rFonts w:hint="eastAsia" w:ascii="Times New Roman" w:hAnsi="Times New Roman" w:eastAsia="宋体" w:cs="Times New Roman"/>
          <w:color w:val="auto"/>
          <w:sz w:val="24"/>
          <w:lang w:val="en-US" w:eastAsia="zh-CN"/>
        </w:rPr>
        <w:t>。</w:t>
      </w:r>
    </w:p>
    <w:p w14:paraId="28DCDF18">
      <w:pPr>
        <w:numPr>
          <w:ilvl w:val="0"/>
          <w:numId w:val="8"/>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《四川省</w:t>
      </w:r>
      <w:r>
        <w:rPr>
          <w:rFonts w:hint="eastAsia" w:cs="Times New Roman"/>
          <w:color w:val="auto"/>
          <w:sz w:val="24"/>
          <w:lang w:eastAsia="zh-CN"/>
        </w:rPr>
        <w:t>“</w:t>
      </w:r>
      <w:r>
        <w:rPr>
          <w:rFonts w:hint="default" w:ascii="Times New Roman" w:hAnsi="Times New Roman" w:eastAsia="宋体" w:cs="Times New Roman"/>
          <w:color w:val="auto"/>
          <w:sz w:val="24"/>
          <w:lang w:eastAsia="zh-CN"/>
        </w:rPr>
        <w:t>十四五</w:t>
      </w:r>
      <w:r>
        <w:rPr>
          <w:rFonts w:hint="eastAsia" w:cs="Times New Roman"/>
          <w:color w:val="auto"/>
          <w:sz w:val="24"/>
          <w:lang w:eastAsia="zh-CN"/>
        </w:rPr>
        <w:t>”</w:t>
      </w:r>
      <w:r>
        <w:rPr>
          <w:rFonts w:hint="default" w:ascii="Times New Roman" w:hAnsi="Times New Roman" w:eastAsia="宋体" w:cs="Times New Roman"/>
          <w:color w:val="auto"/>
          <w:sz w:val="24"/>
          <w:lang w:eastAsia="zh-CN"/>
        </w:rPr>
        <w:t>生态环境保护规划》（川府发</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2022</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lang w:eastAsia="zh-CN"/>
        </w:rPr>
        <w:t>号）</w:t>
      </w:r>
      <w:r>
        <w:rPr>
          <w:rFonts w:hint="eastAsia" w:ascii="Times New Roman" w:hAnsi="Times New Roman" w:eastAsia="宋体" w:cs="Times New Roman"/>
          <w:color w:val="auto"/>
          <w:sz w:val="24"/>
          <w:lang w:eastAsia="zh-CN"/>
        </w:rPr>
        <w:t>。</w:t>
      </w:r>
    </w:p>
    <w:p w14:paraId="29842926">
      <w:pPr>
        <w:numPr>
          <w:ilvl w:val="0"/>
          <w:numId w:val="8"/>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四川省重污染天气金属表面处理及热处理加工等 10 个行业应急减排措施制定技术指南（试行）</w:t>
      </w:r>
      <w:r>
        <w:rPr>
          <w:rFonts w:hint="eastAsia" w:ascii="Times New Roman" w:hAnsi="Times New Roman" w:eastAsia="宋体" w:cs="Times New Roman"/>
          <w:color w:val="auto"/>
          <w:sz w:val="24"/>
          <w:lang w:eastAsia="zh-CN"/>
        </w:rPr>
        <w:t>》（2023年</w:t>
      </w:r>
      <w:r>
        <w:rPr>
          <w:rFonts w:hint="eastAsia"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eastAsia="zh-CN"/>
        </w:rPr>
        <w:t>月</w:t>
      </w:r>
      <w:r>
        <w:rPr>
          <w:rFonts w:hint="eastAsia"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eastAsia="zh-CN"/>
        </w:rPr>
        <w:t>日）。</w:t>
      </w:r>
    </w:p>
    <w:p w14:paraId="1BBE3D28">
      <w:pPr>
        <w:numPr>
          <w:ilvl w:val="0"/>
          <w:numId w:val="8"/>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eastAsia="zh-CN"/>
        </w:rPr>
        <w:t>四川省生态环境厅办公室关于印发《产业园区规划环评</w:t>
      </w:r>
      <w:r>
        <w:rPr>
          <w:rFonts w:hint="eastAsia" w:cs="Times New Roman"/>
          <w:color w:val="auto"/>
          <w:sz w:val="24"/>
          <w:lang w:eastAsia="zh-CN"/>
        </w:rPr>
        <w:t>“</w:t>
      </w:r>
      <w:r>
        <w:rPr>
          <w:rFonts w:hint="eastAsia" w:ascii="Times New Roman" w:hAnsi="Times New Roman" w:eastAsia="宋体" w:cs="Times New Roman"/>
          <w:color w:val="auto"/>
          <w:sz w:val="24"/>
          <w:lang w:eastAsia="zh-CN"/>
        </w:rPr>
        <w:t>三线一单</w:t>
      </w:r>
      <w:r>
        <w:rPr>
          <w:rFonts w:hint="eastAsia" w:cs="Times New Roman"/>
          <w:color w:val="auto"/>
          <w:sz w:val="24"/>
          <w:lang w:eastAsia="zh-CN"/>
        </w:rPr>
        <w:t>”</w:t>
      </w:r>
      <w:r>
        <w:rPr>
          <w:rFonts w:hint="eastAsia" w:ascii="Times New Roman" w:hAnsi="Times New Roman" w:eastAsia="宋体" w:cs="Times New Roman"/>
          <w:color w:val="auto"/>
          <w:sz w:val="24"/>
          <w:lang w:eastAsia="zh-CN"/>
        </w:rPr>
        <w:t>符合性分析技术要点（试行）》和《项目环评</w:t>
      </w:r>
      <w:r>
        <w:rPr>
          <w:rFonts w:hint="eastAsia" w:cs="Times New Roman"/>
          <w:color w:val="auto"/>
          <w:sz w:val="24"/>
          <w:lang w:eastAsia="zh-CN"/>
        </w:rPr>
        <w:t>“</w:t>
      </w:r>
      <w:r>
        <w:rPr>
          <w:rFonts w:hint="eastAsia" w:ascii="Times New Roman" w:hAnsi="Times New Roman" w:eastAsia="宋体" w:cs="Times New Roman"/>
          <w:color w:val="auto"/>
          <w:sz w:val="24"/>
          <w:lang w:eastAsia="zh-CN"/>
        </w:rPr>
        <w:t>三线一单</w:t>
      </w:r>
      <w:r>
        <w:rPr>
          <w:rFonts w:hint="eastAsia" w:cs="Times New Roman"/>
          <w:color w:val="auto"/>
          <w:sz w:val="24"/>
          <w:lang w:eastAsia="zh-CN"/>
        </w:rPr>
        <w:t>”</w:t>
      </w:r>
      <w:r>
        <w:rPr>
          <w:rFonts w:hint="eastAsia" w:ascii="Times New Roman" w:hAnsi="Times New Roman" w:eastAsia="宋体" w:cs="Times New Roman"/>
          <w:color w:val="auto"/>
          <w:sz w:val="24"/>
          <w:lang w:eastAsia="zh-CN"/>
        </w:rPr>
        <w:t>符合性分析技术要点（试行）的通知》（川环办函〔</w:t>
      </w:r>
      <w:r>
        <w:rPr>
          <w:rFonts w:hint="eastAsia" w:ascii="Times New Roman" w:hAnsi="Times New Roman" w:eastAsia="宋体" w:cs="Times New Roman"/>
          <w:color w:val="auto"/>
          <w:sz w:val="24"/>
          <w:lang w:val="en-US" w:eastAsia="zh-CN"/>
        </w:rPr>
        <w:t>2021</w:t>
      </w:r>
      <w:r>
        <w:rPr>
          <w:rFonts w:hint="eastAsia" w:ascii="Times New Roman" w:hAnsi="Times New Roman" w:eastAsia="宋体" w:cs="Times New Roman"/>
          <w:color w:val="auto"/>
          <w:sz w:val="24"/>
          <w:lang w:eastAsia="zh-CN"/>
        </w:rPr>
        <w:t>〕469号）。</w:t>
      </w:r>
    </w:p>
    <w:p w14:paraId="34E60BF3">
      <w:pPr>
        <w:numPr>
          <w:ilvl w:val="0"/>
          <w:numId w:val="8"/>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四川省、重庆市长江经济带发展负面清单实施细则（试行，2022 年版）》（川长江办〔2022〕17号）。</w:t>
      </w:r>
    </w:p>
    <w:p w14:paraId="559D92B7">
      <w:pPr>
        <w:numPr>
          <w:ilvl w:val="0"/>
          <w:numId w:val="8"/>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《四川省嘉陵江流域生态环境保护条例》</w:t>
      </w:r>
      <w:r>
        <w:rPr>
          <w:rFonts w:hint="eastAsia" w:cs="Times New Roman"/>
          <w:color w:val="auto"/>
          <w:sz w:val="24"/>
          <w:lang w:val="en-US" w:eastAsia="zh-CN"/>
        </w:rPr>
        <w:t>。</w:t>
      </w:r>
    </w:p>
    <w:p w14:paraId="3781197C">
      <w:pPr>
        <w:numPr>
          <w:ilvl w:val="0"/>
          <w:numId w:val="8"/>
        </w:num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《四川省危险化学品</w:t>
      </w:r>
      <w:r>
        <w:rPr>
          <w:rFonts w:hint="eastAsia" w:cs="Times New Roman"/>
          <w:color w:val="auto"/>
          <w:sz w:val="24"/>
          <w:lang w:eastAsia="zh-CN"/>
        </w:rPr>
        <w:t>“</w:t>
      </w:r>
      <w:r>
        <w:rPr>
          <w:rFonts w:hint="default" w:ascii="Times New Roman" w:hAnsi="Times New Roman" w:eastAsia="宋体" w:cs="Times New Roman"/>
          <w:color w:val="auto"/>
          <w:sz w:val="24"/>
        </w:rPr>
        <w:t>禁限控</w:t>
      </w:r>
      <w:r>
        <w:rPr>
          <w:rFonts w:hint="eastAsia" w:cs="Times New Roman"/>
          <w:color w:val="auto"/>
          <w:sz w:val="24"/>
          <w:lang w:eastAsia="zh-CN"/>
        </w:rPr>
        <w:t>”</w:t>
      </w:r>
      <w:r>
        <w:rPr>
          <w:rFonts w:hint="default" w:ascii="Times New Roman" w:hAnsi="Times New Roman" w:eastAsia="宋体" w:cs="Times New Roman"/>
          <w:color w:val="auto"/>
          <w:sz w:val="24"/>
        </w:rPr>
        <w:t>目录（第一批）》（川应急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2021</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133号）</w:t>
      </w:r>
      <w:r>
        <w:rPr>
          <w:rFonts w:hint="eastAsia" w:ascii="Times New Roman" w:hAnsi="Times New Roman" w:eastAsia="宋体" w:cs="Times New Roman"/>
          <w:color w:val="auto"/>
          <w:sz w:val="24"/>
          <w:lang w:eastAsia="zh-CN"/>
        </w:rPr>
        <w:t>。</w:t>
      </w:r>
    </w:p>
    <w:p w14:paraId="5621C820">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《四川省化工生产建设项目入园指引（试行）》的通知（川经信规〔2024〕4号）。</w:t>
      </w:r>
    </w:p>
    <w:p w14:paraId="6E8EF0A2">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《巴中市国土空间总体规划（2021-2035年）》</w:t>
      </w:r>
      <w:r>
        <w:rPr>
          <w:rFonts w:hint="eastAsia" w:ascii="Times New Roman" w:hAnsi="Times New Roman" w:eastAsia="宋体" w:cs="Times New Roman"/>
          <w:color w:val="auto"/>
          <w:sz w:val="24"/>
          <w:lang w:val="en-US" w:eastAsia="zh-CN"/>
        </w:rPr>
        <w:t>。</w:t>
      </w:r>
    </w:p>
    <w:p w14:paraId="7D51B90E">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巴中市工业园区发展规划（2022</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2027年）</w:t>
      </w:r>
      <w:r>
        <w:rPr>
          <w:rFonts w:hint="eastAsia" w:ascii="Times New Roman" w:hAnsi="Times New Roman" w:eastAsia="宋体" w:cs="Times New Roman"/>
          <w:color w:val="auto"/>
          <w:sz w:val="24"/>
          <w:lang w:val="en-US" w:eastAsia="zh-CN"/>
        </w:rPr>
        <w:t>》。</w:t>
      </w:r>
    </w:p>
    <w:p w14:paraId="14EBCC55">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《巴中市通江县</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三区三线</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划定方案》（2022年）。</w:t>
      </w:r>
    </w:p>
    <w:p w14:paraId="60F07045">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《巴中市</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十四五</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生态环境保护规划》（巴府发〔2021〕19号）</w:t>
      </w:r>
      <w:r>
        <w:rPr>
          <w:rFonts w:hint="eastAsia" w:ascii="Times New Roman" w:hAnsi="Times New Roman" w:eastAsia="宋体" w:cs="Times New Roman"/>
          <w:color w:val="auto"/>
          <w:sz w:val="24"/>
          <w:lang w:val="en-US" w:eastAsia="zh-CN"/>
        </w:rPr>
        <w:t>。</w:t>
      </w:r>
    </w:p>
    <w:p w14:paraId="1549CD07">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《巴中市生态环境保护委员会办公室关于加强生态环境分区管控的通知》（巴环委办</w:t>
      </w:r>
      <w:r>
        <w:rPr>
          <w:rFonts w:hint="eastAsia" w:ascii="Times New Roman" w:hAnsi="Times New Roman" w:eastAsia="宋体" w:cs="Times New Roman"/>
          <w:color w:val="auto"/>
          <w:sz w:val="24"/>
          <w:lang w:val="en-US" w:eastAsia="zh-CN"/>
        </w:rPr>
        <w:t>〔2024〕</w:t>
      </w:r>
      <w:r>
        <w:rPr>
          <w:rFonts w:hint="default" w:ascii="Times New Roman" w:hAnsi="Times New Roman" w:eastAsia="宋体" w:cs="Times New Roman"/>
          <w:color w:val="auto"/>
          <w:sz w:val="24"/>
          <w:lang w:val="en-US" w:eastAsia="zh-CN"/>
        </w:rPr>
        <w:t>3号）</w:t>
      </w:r>
      <w:r>
        <w:rPr>
          <w:rFonts w:hint="eastAsia" w:ascii="Times New Roman" w:hAnsi="Times New Roman" w:eastAsia="宋体" w:cs="Times New Roman"/>
          <w:color w:val="auto"/>
          <w:sz w:val="24"/>
          <w:lang w:val="en-US" w:eastAsia="zh-CN"/>
        </w:rPr>
        <w:t>。</w:t>
      </w:r>
    </w:p>
    <w:p w14:paraId="2DC314D2">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《通江县国土空间总体规划（2021-2035年）》</w:t>
      </w:r>
      <w:r>
        <w:rPr>
          <w:rFonts w:hint="eastAsia" w:ascii="Times New Roman" w:hAnsi="Times New Roman" w:eastAsia="宋体" w:cs="Times New Roman"/>
          <w:color w:val="auto"/>
          <w:sz w:val="24"/>
          <w:lang w:val="en-US" w:eastAsia="zh-CN"/>
        </w:rPr>
        <w:t>。</w:t>
      </w:r>
    </w:p>
    <w:p w14:paraId="16AD9A02">
      <w:pPr>
        <w:numPr>
          <w:ilvl w:val="0"/>
          <w:numId w:val="8"/>
        </w:numPr>
        <w:spacing w:line="360" w:lineRule="auto"/>
        <w:ind w:left="0" w:leftChars="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《通江县“十四五”生态环境保护规划》</w:t>
      </w:r>
      <w:r>
        <w:rPr>
          <w:rFonts w:hint="eastAsia" w:cs="Times New Roman"/>
          <w:color w:val="auto"/>
          <w:sz w:val="24"/>
          <w:lang w:val="en-US" w:eastAsia="zh-CN"/>
        </w:rPr>
        <w:t>。</w:t>
      </w:r>
    </w:p>
    <w:p w14:paraId="5386367B">
      <w:pPr>
        <w:pStyle w:val="4"/>
        <w:bidi w:val="0"/>
        <w:rPr>
          <w:rFonts w:hint="default"/>
          <w:color w:val="auto"/>
          <w:highlight w:val="none"/>
        </w:rPr>
      </w:pPr>
      <w:r>
        <w:rPr>
          <w:rFonts w:hint="default"/>
          <w:color w:val="auto"/>
          <w:highlight w:val="none"/>
          <w:lang w:val="en-US" w:eastAsia="zh-CN"/>
        </w:rPr>
        <w:t>环境影响评价技术</w:t>
      </w:r>
      <w:r>
        <w:rPr>
          <w:rFonts w:hint="default"/>
          <w:color w:val="auto"/>
          <w:highlight w:val="none"/>
        </w:rPr>
        <w:t>规范</w:t>
      </w:r>
    </w:p>
    <w:p w14:paraId="72B66C75">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《建设项目环境影响评价技术导则 总纲》（HJ2.1-2016）</w:t>
      </w:r>
      <w:r>
        <w:rPr>
          <w:rFonts w:hint="default" w:ascii="Times New Roman" w:hAnsi="Times New Roman" w:eastAsia="宋体" w:cs="Times New Roman"/>
          <w:color w:val="auto"/>
          <w:sz w:val="24"/>
        </w:rPr>
        <w:t>。</w:t>
      </w:r>
    </w:p>
    <w:p w14:paraId="60937A7B">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《环境影响评价技术导则 大气环境》（HJ2.2-2018）</w:t>
      </w:r>
      <w:r>
        <w:rPr>
          <w:rFonts w:hint="default" w:ascii="Times New Roman" w:hAnsi="Times New Roman" w:eastAsia="宋体" w:cs="Times New Roman"/>
          <w:color w:val="auto"/>
          <w:sz w:val="24"/>
        </w:rPr>
        <w:t>。</w:t>
      </w:r>
    </w:p>
    <w:p w14:paraId="65015B01">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《环境影响评价技术导则 地表水环境》（HJ2.3-2018）</w:t>
      </w:r>
      <w:r>
        <w:rPr>
          <w:rFonts w:hint="default" w:ascii="Times New Roman" w:hAnsi="Times New Roman" w:eastAsia="宋体" w:cs="Times New Roman"/>
          <w:color w:val="auto"/>
          <w:sz w:val="24"/>
        </w:rPr>
        <w:t>。</w:t>
      </w:r>
    </w:p>
    <w:p w14:paraId="6D266DCA">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《环境影响评价技术导则</w:t>
      </w:r>
      <w:r>
        <w:rPr>
          <w:rFonts w:hint="eastAsia" w:ascii="Times New Roman" w:hAnsi="Times New Roman" w:eastAsia="宋体" w:cs="Times New Roman"/>
          <w:color w:val="auto"/>
          <w:sz w:val="24"/>
        </w:rPr>
        <w:t xml:space="preserve"> </w:t>
      </w:r>
      <w:r>
        <w:rPr>
          <w:rFonts w:hint="default" w:ascii="Times New Roman" w:hAnsi="Times New Roman" w:eastAsia="宋体" w:cs="Times New Roman"/>
          <w:color w:val="auto"/>
          <w:sz w:val="24"/>
        </w:rPr>
        <w:t>声环境》（HJ2.4-2</w:t>
      </w:r>
      <w:r>
        <w:rPr>
          <w:rFonts w:hint="eastAsia" w:ascii="Times New Roman" w:hAnsi="Times New Roman" w:eastAsia="宋体" w:cs="Times New Roman"/>
          <w:color w:val="auto"/>
          <w:sz w:val="24"/>
          <w:lang w:val="en-US" w:eastAsia="zh-CN"/>
        </w:rPr>
        <w:t>021</w:t>
      </w:r>
      <w:r>
        <w:rPr>
          <w:rFonts w:hint="default" w:ascii="Times New Roman" w:hAnsi="Times New Roman" w:eastAsia="宋体" w:cs="Times New Roman"/>
          <w:color w:val="auto"/>
          <w:sz w:val="24"/>
        </w:rPr>
        <w:t>）。</w:t>
      </w:r>
    </w:p>
    <w:p w14:paraId="6F091E48">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《环境影响评价技术导则</w:t>
      </w:r>
      <w:r>
        <w:rPr>
          <w:rFonts w:hint="eastAsia" w:ascii="Times New Roman" w:hAnsi="Times New Roman" w:eastAsia="宋体" w:cs="Times New Roman"/>
          <w:color w:val="auto"/>
          <w:sz w:val="24"/>
        </w:rPr>
        <w:t xml:space="preserve"> </w:t>
      </w:r>
      <w:r>
        <w:rPr>
          <w:rFonts w:hint="default" w:ascii="Times New Roman" w:hAnsi="Times New Roman" w:eastAsia="宋体" w:cs="Times New Roman"/>
          <w:color w:val="auto"/>
          <w:sz w:val="24"/>
        </w:rPr>
        <w:t>地下水环境》（HJ610-2016）。</w:t>
      </w:r>
    </w:p>
    <w:p w14:paraId="0E710002">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《环境影响评价技术导则</w:t>
      </w:r>
      <w:r>
        <w:rPr>
          <w:rFonts w:hint="eastAsia" w:ascii="Times New Roman" w:hAnsi="Times New Roman" w:eastAsia="宋体" w:cs="Times New Roman"/>
          <w:color w:val="auto"/>
          <w:sz w:val="24"/>
        </w:rPr>
        <w:t xml:space="preserve"> </w:t>
      </w:r>
      <w:r>
        <w:rPr>
          <w:rFonts w:hint="default" w:ascii="Times New Roman" w:hAnsi="Times New Roman" w:eastAsia="宋体" w:cs="Times New Roman"/>
          <w:color w:val="auto"/>
          <w:sz w:val="24"/>
        </w:rPr>
        <w:t>生态影响》（HJ19-20</w:t>
      </w:r>
      <w:r>
        <w:rPr>
          <w:rFonts w:hint="eastAsia" w:ascii="Times New Roman" w:hAnsi="Times New Roman" w:eastAsia="宋体" w:cs="Times New Roman"/>
          <w:color w:val="auto"/>
          <w:sz w:val="24"/>
          <w:lang w:val="en-US" w:eastAsia="zh-CN"/>
        </w:rPr>
        <w:t>22</w:t>
      </w:r>
      <w:r>
        <w:rPr>
          <w:rFonts w:hint="default" w:ascii="Times New Roman" w:hAnsi="Times New Roman" w:eastAsia="宋体" w:cs="Times New Roman"/>
          <w:color w:val="auto"/>
          <w:sz w:val="24"/>
        </w:rPr>
        <w:t>）。</w:t>
      </w:r>
    </w:p>
    <w:p w14:paraId="16277A24">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《环境影响评价技术导则 土壤环境（试行）》（HJ964-2018）。</w:t>
      </w:r>
    </w:p>
    <w:p w14:paraId="0EAAA926">
      <w:pPr>
        <w:numPr>
          <w:ilvl w:val="0"/>
          <w:numId w:val="9"/>
        </w:numPr>
        <w:spacing w:line="360" w:lineRule="auto"/>
        <w:ind w:left="0" w:leftChars="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《建设项目环境风险评价技术导则》（HJ169-2018）</w:t>
      </w:r>
      <w:r>
        <w:rPr>
          <w:rFonts w:hint="default" w:ascii="Times New Roman" w:hAnsi="Times New Roman" w:eastAsia="宋体" w:cs="Times New Roman"/>
          <w:color w:val="auto"/>
          <w:sz w:val="24"/>
        </w:rPr>
        <w:t>。</w:t>
      </w:r>
    </w:p>
    <w:p w14:paraId="1B6F4FF9">
      <w:pPr>
        <w:numPr>
          <w:ilvl w:val="0"/>
          <w:numId w:val="9"/>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固体废物分类与代码目录</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生态环境部公告 2024年第4号</w:t>
      </w:r>
      <w:r>
        <w:rPr>
          <w:rFonts w:hint="eastAsia" w:ascii="Times New Roman" w:hAnsi="Times New Roman" w:eastAsia="宋体" w:cs="Times New Roman"/>
          <w:color w:val="auto"/>
          <w:sz w:val="24"/>
          <w:lang w:eastAsia="zh-CN"/>
        </w:rPr>
        <w:t>）。</w:t>
      </w:r>
    </w:p>
    <w:p w14:paraId="503C9FAC">
      <w:pPr>
        <w:numPr>
          <w:ilvl w:val="0"/>
          <w:numId w:val="9"/>
        </w:numPr>
        <w:spacing w:line="360" w:lineRule="auto"/>
        <w:ind w:left="0" w:leftChars="0"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《危险废物贮存污染控制标准》（GB18597-20</w:t>
      </w:r>
      <w:r>
        <w:rPr>
          <w:rFonts w:hint="eastAsia" w:ascii="Times New Roman" w:hAnsi="Times New Roman" w:eastAsia="宋体" w:cs="Times New Roman"/>
          <w:color w:val="auto"/>
          <w:sz w:val="24"/>
          <w:lang w:val="en-US" w:eastAsia="zh-CN"/>
        </w:rPr>
        <w:t>23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w:t>
      </w:r>
    </w:p>
    <w:p w14:paraId="78197AB0">
      <w:pPr>
        <w:numPr>
          <w:ilvl w:val="0"/>
          <w:numId w:val="9"/>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《排放源统计调查产排污核算方法和系数手册》（公告2021年第24号）。</w:t>
      </w:r>
    </w:p>
    <w:p w14:paraId="55A41475">
      <w:pPr>
        <w:numPr>
          <w:ilvl w:val="0"/>
          <w:numId w:val="9"/>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color w:val="auto"/>
          <w:sz w:val="24"/>
          <w:szCs w:val="24"/>
        </w:rPr>
        <w:t xml:space="preserve">《污染源源强核算技术指南 </w:t>
      </w:r>
      <w:r>
        <w:rPr>
          <w:rFonts w:hint="eastAsia" w:ascii="Times New Roman" w:hAnsi="Times New Roman"/>
          <w:color w:val="auto"/>
          <w:sz w:val="24"/>
          <w:szCs w:val="24"/>
          <w:lang w:val="en-US" w:eastAsia="zh-CN"/>
        </w:rPr>
        <w:t>准则</w:t>
      </w:r>
      <w:r>
        <w:rPr>
          <w:rFonts w:hint="eastAsia" w:ascii="Times New Roman" w:hAnsi="Times New Roman"/>
          <w:color w:val="auto"/>
          <w:sz w:val="24"/>
          <w:szCs w:val="24"/>
        </w:rPr>
        <w:t>》（HJ884-2018）。</w:t>
      </w:r>
    </w:p>
    <w:p w14:paraId="27D1CA1E">
      <w:pPr>
        <w:numPr>
          <w:ilvl w:val="0"/>
          <w:numId w:val="9"/>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《排污许可证申请与核发技术规范 专用化学产品制造工业》（HJ1103-2020）。</w:t>
      </w:r>
    </w:p>
    <w:p w14:paraId="579CB65A">
      <w:pPr>
        <w:numPr>
          <w:ilvl w:val="0"/>
          <w:numId w:val="9"/>
        </w:numPr>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color w:val="auto"/>
          <w:sz w:val="24"/>
          <w:szCs w:val="24"/>
        </w:rPr>
        <w:t xml:space="preserve">《排污单位自行监测技术指南 </w:t>
      </w:r>
      <w:r>
        <w:rPr>
          <w:rFonts w:hint="eastAsia" w:ascii="Times New Roman" w:hAnsi="Times New Roman"/>
          <w:color w:val="auto"/>
          <w:sz w:val="24"/>
          <w:szCs w:val="24"/>
          <w:lang w:val="en-US" w:eastAsia="zh-CN"/>
        </w:rPr>
        <w:t>总则</w:t>
      </w:r>
      <w:r>
        <w:rPr>
          <w:rFonts w:hint="eastAsia" w:ascii="Times New Roman" w:hAnsi="Times New Roman"/>
          <w:color w:val="auto"/>
          <w:sz w:val="24"/>
          <w:szCs w:val="24"/>
        </w:rPr>
        <w:t>》（HJ819-2017）。</w:t>
      </w:r>
    </w:p>
    <w:p w14:paraId="063C0A14">
      <w:pPr>
        <w:numPr>
          <w:ilvl w:val="0"/>
          <w:numId w:val="9"/>
        </w:numPr>
        <w:spacing w:line="360" w:lineRule="auto"/>
        <w:ind w:left="0" w:leftChars="0" w:firstLine="480" w:firstLineChars="200"/>
        <w:rPr>
          <w:rFonts w:hint="default"/>
          <w:color w:val="auto"/>
        </w:rPr>
      </w:pPr>
      <w:r>
        <w:rPr>
          <w:rFonts w:hint="eastAsia" w:ascii="Times New Roman" w:hAnsi="Times New Roman" w:eastAsia="宋体" w:cs="Times New Roman"/>
          <w:color w:val="auto"/>
          <w:sz w:val="24"/>
          <w:lang w:eastAsia="zh-CN"/>
        </w:rPr>
        <w:t>《工业企业土壤和地下水自行监测技术指南（试行）》（HJ1209-2021）。</w:t>
      </w:r>
    </w:p>
    <w:p w14:paraId="3A904BB8">
      <w:pPr>
        <w:pStyle w:val="4"/>
        <w:bidi w:val="0"/>
        <w:rPr>
          <w:rFonts w:hint="default"/>
          <w:color w:val="auto"/>
          <w:highlight w:val="none"/>
        </w:rPr>
      </w:pPr>
      <w:r>
        <w:rPr>
          <w:rFonts w:hint="default"/>
          <w:color w:val="auto"/>
          <w:highlight w:val="none"/>
        </w:rPr>
        <w:t>项目</w:t>
      </w:r>
      <w:r>
        <w:rPr>
          <w:rFonts w:hint="eastAsia"/>
          <w:color w:val="auto"/>
          <w:highlight w:val="none"/>
          <w:lang w:val="en-US" w:eastAsia="zh-CN"/>
        </w:rPr>
        <w:t>有关资料</w:t>
      </w:r>
    </w:p>
    <w:p w14:paraId="41D8C4DC">
      <w:pPr>
        <w:numPr>
          <w:ilvl w:val="0"/>
          <w:numId w:val="10"/>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四川省固定资产投资项目备案表</w:t>
      </w:r>
      <w:r>
        <w:rPr>
          <w:rFonts w:hint="eastAsia" w:ascii="Times New Roman" w:hAnsi="Times New Roman" w:eastAsia="宋体" w:cs="Times New Roman"/>
          <w:color w:val="auto"/>
          <w:sz w:val="24"/>
          <w:lang w:eastAsia="zh-CN"/>
        </w:rPr>
        <w:t>》（</w:t>
      </w:r>
      <w:r>
        <w:rPr>
          <w:rFonts w:hint="eastAsia"/>
          <w:color w:val="auto"/>
          <w:kern w:val="0"/>
          <w:sz w:val="24"/>
          <w:lang w:val="en-US" w:eastAsia="zh-CN"/>
        </w:rPr>
        <w:t>川投资备〔2603-511924-04-01-913052〕FGQB-0026号</w:t>
      </w:r>
      <w:r>
        <w:rPr>
          <w:rFonts w:hint="eastAsia" w:ascii="Times New Roman" w:hAnsi="Times New Roman" w:eastAsia="宋体" w:cs="Times New Roman"/>
          <w:color w:val="auto"/>
          <w:sz w:val="24"/>
          <w:lang w:eastAsia="zh-CN"/>
        </w:rPr>
        <w:t>）。</w:t>
      </w:r>
    </w:p>
    <w:p w14:paraId="1247421E">
      <w:pPr>
        <w:numPr>
          <w:ilvl w:val="0"/>
          <w:numId w:val="10"/>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w:t>
      </w:r>
      <w:r>
        <w:rPr>
          <w:rFonts w:hint="eastAsia"/>
          <w:color w:val="auto"/>
          <w:lang w:eastAsia="zh-CN"/>
        </w:rPr>
        <w:t>聚羧酸减水剂和无碱速凝剂生产项目</w:t>
      </w:r>
      <w:r>
        <w:rPr>
          <w:rFonts w:hint="eastAsia"/>
          <w:color w:val="auto"/>
          <w:lang w:val="en-US" w:eastAsia="zh-CN"/>
        </w:rPr>
        <w:t>可行性研究报告</w:t>
      </w:r>
      <w:r>
        <w:rPr>
          <w:rFonts w:hint="eastAsia" w:ascii="Times New Roman" w:hAnsi="Times New Roman" w:eastAsia="宋体" w:cs="Times New Roman"/>
          <w:color w:val="auto"/>
          <w:sz w:val="24"/>
          <w:lang w:eastAsia="zh-CN"/>
        </w:rPr>
        <w:t>》（山东中天科技工程有限公司）。</w:t>
      </w:r>
    </w:p>
    <w:p w14:paraId="3418147D">
      <w:pPr>
        <w:numPr>
          <w:ilvl w:val="0"/>
          <w:numId w:val="10"/>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w:t>
      </w:r>
      <w:r>
        <w:rPr>
          <w:rFonts w:hint="eastAsia"/>
          <w:color w:val="auto"/>
          <w:lang w:eastAsia="zh-CN"/>
        </w:rPr>
        <w:t>聚羧酸减水剂和无碱速凝剂生产项目</w:t>
      </w:r>
      <w:r>
        <w:rPr>
          <w:rFonts w:hint="eastAsia"/>
          <w:color w:val="auto"/>
          <w:lang w:val="en-US" w:eastAsia="zh-CN"/>
        </w:rPr>
        <w:t>设计说明</w:t>
      </w:r>
      <w:r>
        <w:rPr>
          <w:rFonts w:hint="eastAsia" w:ascii="Times New Roman" w:hAnsi="Times New Roman" w:eastAsia="宋体" w:cs="Times New Roman"/>
          <w:color w:val="auto"/>
          <w:sz w:val="24"/>
          <w:lang w:eastAsia="zh-CN"/>
        </w:rPr>
        <w:t>》（山东中天科技工程有限公司）</w:t>
      </w:r>
      <w:r>
        <w:rPr>
          <w:rFonts w:hint="eastAsia" w:cs="Times New Roman"/>
          <w:color w:val="auto"/>
          <w:sz w:val="24"/>
          <w:lang w:eastAsia="zh-CN"/>
        </w:rPr>
        <w:t>。</w:t>
      </w:r>
    </w:p>
    <w:p w14:paraId="72BC9D71">
      <w:pPr>
        <w:numPr>
          <w:ilvl w:val="0"/>
          <w:numId w:val="10"/>
        </w:numPr>
        <w:spacing w:line="360" w:lineRule="auto"/>
        <w:ind w:left="0" w:leftChars="0" w:firstLine="480" w:firstLineChars="200"/>
        <w:rPr>
          <w:rFonts w:hint="eastAsia" w:ascii="Times New Roman" w:hAnsi="Times New Roman" w:eastAsia="宋体" w:cs="Times New Roman"/>
          <w:color w:val="auto"/>
          <w:sz w:val="24"/>
          <w:lang w:eastAsia="zh-CN"/>
        </w:rPr>
      </w:pPr>
      <w:r>
        <w:rPr>
          <w:rFonts w:hint="eastAsia" w:ascii="Times New Roman" w:hAnsi="Times New Roman"/>
          <w:color w:val="auto"/>
          <w:szCs w:val="20"/>
        </w:rPr>
        <w:t>《</w:t>
      </w:r>
      <w:r>
        <w:rPr>
          <w:rFonts w:hint="eastAsia"/>
          <w:color w:val="auto"/>
          <w:szCs w:val="20"/>
          <w:lang w:eastAsia="zh-CN"/>
        </w:rPr>
        <w:t>聚羧酸减水剂和无碱速凝剂生产项目</w:t>
      </w:r>
      <w:r>
        <w:rPr>
          <w:rFonts w:hint="eastAsia" w:ascii="Times New Roman" w:hAnsi="Times New Roman"/>
          <w:color w:val="auto"/>
          <w:szCs w:val="20"/>
        </w:rPr>
        <w:t>岩土工程勘察报告》</w:t>
      </w:r>
      <w:r>
        <w:rPr>
          <w:rFonts w:hint="eastAsia"/>
          <w:color w:val="auto"/>
          <w:szCs w:val="20"/>
          <w:lang w:eastAsia="zh-CN"/>
        </w:rPr>
        <w:t>（</w:t>
      </w:r>
      <w:r>
        <w:rPr>
          <w:rFonts w:hint="eastAsia"/>
          <w:color w:val="auto"/>
          <w:szCs w:val="20"/>
          <w:lang w:val="en-US" w:eastAsia="zh-CN"/>
        </w:rPr>
        <w:t>中庚工程技术有限公司</w:t>
      </w:r>
      <w:r>
        <w:rPr>
          <w:rFonts w:hint="eastAsia"/>
          <w:color w:val="auto"/>
          <w:szCs w:val="20"/>
          <w:lang w:eastAsia="zh-CN"/>
        </w:rPr>
        <w:t>）。</w:t>
      </w:r>
    </w:p>
    <w:p w14:paraId="32009F64">
      <w:pPr>
        <w:numPr>
          <w:ilvl w:val="0"/>
          <w:numId w:val="10"/>
        </w:numPr>
        <w:spacing w:line="360" w:lineRule="auto"/>
        <w:ind w:left="0" w:leftChars="0" w:firstLine="480" w:firstLineChars="200"/>
        <w:rPr>
          <w:rFonts w:hint="default"/>
          <w:color w:val="auto"/>
        </w:rPr>
      </w:pPr>
      <w:r>
        <w:rPr>
          <w:rFonts w:hint="eastAsia" w:ascii="Times New Roman" w:hAnsi="Times New Roman" w:eastAsia="宋体" w:cs="Times New Roman"/>
          <w:color w:val="auto"/>
          <w:sz w:val="24"/>
          <w:lang w:eastAsia="zh-CN"/>
        </w:rPr>
        <w:t>《</w:t>
      </w:r>
      <w:r>
        <w:rPr>
          <w:rFonts w:hint="eastAsia" w:cs="Times New Roman"/>
          <w:color w:val="auto"/>
          <w:sz w:val="24"/>
          <w:lang w:eastAsia="zh-CN"/>
        </w:rPr>
        <w:t>聚羧酸减水剂和无碱速凝剂生产项目</w:t>
      </w:r>
      <w:r>
        <w:rPr>
          <w:rFonts w:hint="eastAsia" w:ascii="Times New Roman" w:hAnsi="Times New Roman" w:eastAsia="宋体" w:cs="Times New Roman"/>
          <w:color w:val="auto"/>
          <w:sz w:val="24"/>
          <w:lang w:eastAsia="zh-CN"/>
        </w:rPr>
        <w:t>安全</w:t>
      </w:r>
      <w:r>
        <w:rPr>
          <w:rFonts w:hint="eastAsia" w:cs="Times New Roman"/>
          <w:color w:val="auto"/>
          <w:sz w:val="24"/>
          <w:lang w:val="en-US" w:eastAsia="zh-CN"/>
        </w:rPr>
        <w:t>预</w:t>
      </w:r>
      <w:r>
        <w:rPr>
          <w:rFonts w:hint="eastAsia" w:ascii="Times New Roman" w:hAnsi="Times New Roman" w:eastAsia="宋体" w:cs="Times New Roman"/>
          <w:color w:val="auto"/>
          <w:sz w:val="24"/>
          <w:lang w:eastAsia="zh-CN"/>
        </w:rPr>
        <w:t>评价报告》（四川鑫民睿安全技术有限公司）。</w:t>
      </w:r>
    </w:p>
    <w:p w14:paraId="559223F7">
      <w:pPr>
        <w:numPr>
          <w:ilvl w:val="0"/>
          <w:numId w:val="10"/>
        </w:numPr>
        <w:spacing w:line="360" w:lineRule="auto"/>
        <w:ind w:left="0" w:leftChars="0" w:firstLine="480" w:firstLineChars="200"/>
        <w:rPr>
          <w:rFonts w:hint="default"/>
          <w:color w:val="auto"/>
        </w:rPr>
      </w:pPr>
      <w:r>
        <w:rPr>
          <w:rFonts w:hint="eastAsia"/>
          <w:color w:val="auto"/>
          <w:lang w:val="en-US" w:eastAsia="zh-CN"/>
        </w:rPr>
        <w:t>与项目有关的其他资料。</w:t>
      </w:r>
    </w:p>
    <w:p w14:paraId="5ABF7AC6">
      <w:pPr>
        <w:pStyle w:val="3"/>
        <w:bidi w:val="0"/>
        <w:rPr>
          <w:rFonts w:hint="default"/>
          <w:color w:val="auto"/>
          <w:highlight w:val="none"/>
        </w:rPr>
      </w:pPr>
      <w:bookmarkStart w:id="25" w:name="_Toc32395"/>
      <w:r>
        <w:rPr>
          <w:rFonts w:ascii="Times New Roman" w:hAnsi="Times New Roman"/>
          <w:color w:val="auto"/>
        </w:rPr>
        <w:t>评价因子与评价标准</w:t>
      </w:r>
      <w:bookmarkEnd w:id="25"/>
    </w:p>
    <w:p w14:paraId="277CF2AE">
      <w:pPr>
        <w:pStyle w:val="4"/>
        <w:bidi w:val="0"/>
        <w:rPr>
          <w:rFonts w:hint="default"/>
          <w:color w:val="auto"/>
          <w:highlight w:val="none"/>
        </w:rPr>
      </w:pPr>
      <w:r>
        <w:rPr>
          <w:rFonts w:ascii="Times New Roman" w:hAnsi="Times New Roman"/>
          <w:color w:val="auto"/>
        </w:rPr>
        <w:t>评价因子</w:t>
      </w:r>
    </w:p>
    <w:p w14:paraId="65503EF4">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根据项目</w:t>
      </w:r>
      <w:r>
        <w:rPr>
          <w:rFonts w:hint="eastAsia" w:ascii="Times New Roman" w:hAnsi="Times New Roman"/>
          <w:color w:val="auto"/>
          <w:sz w:val="24"/>
          <w:szCs w:val="24"/>
        </w:rPr>
        <w:t>建设特</w:t>
      </w:r>
      <w:r>
        <w:rPr>
          <w:rFonts w:ascii="Times New Roman" w:hAnsi="Times New Roman"/>
          <w:color w:val="auto"/>
          <w:sz w:val="24"/>
          <w:szCs w:val="24"/>
        </w:rPr>
        <w:t>点，结合区域的环境特征和评价要求，确定本次环境影响评价因子如下：</w:t>
      </w:r>
    </w:p>
    <w:p w14:paraId="2E788293">
      <w:pPr>
        <w:pStyle w:val="29"/>
        <w:ind w:left="0" w:leftChars="0" w:firstLine="482" w:firstLineChars="200"/>
        <w:rPr>
          <w:color w:val="auto"/>
        </w:rPr>
      </w:pPr>
      <w:r>
        <w:rPr>
          <w:color w:val="auto"/>
        </w:rPr>
        <w:t>1、环境空气</w:t>
      </w:r>
    </w:p>
    <w:p w14:paraId="25036FAB">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现状评价因子：SO</w:t>
      </w:r>
      <w:r>
        <w:rPr>
          <w:rFonts w:ascii="Times New Roman" w:hAnsi="Times New Roman"/>
          <w:color w:val="auto"/>
          <w:sz w:val="24"/>
          <w:szCs w:val="24"/>
          <w:vertAlign w:val="subscript"/>
        </w:rPr>
        <w:t>2</w:t>
      </w:r>
      <w:r>
        <w:rPr>
          <w:rFonts w:ascii="Times New Roman" w:hAnsi="Times New Roman"/>
          <w:color w:val="auto"/>
          <w:sz w:val="24"/>
          <w:szCs w:val="24"/>
        </w:rPr>
        <w:t>、NO</w:t>
      </w:r>
      <w:r>
        <w:rPr>
          <w:rFonts w:ascii="Times New Roman" w:hAnsi="Times New Roman"/>
          <w:color w:val="auto"/>
          <w:sz w:val="24"/>
          <w:szCs w:val="24"/>
          <w:vertAlign w:val="subscript"/>
        </w:rPr>
        <w:t>2</w:t>
      </w:r>
      <w:r>
        <w:rPr>
          <w:rFonts w:ascii="Times New Roman" w:hAnsi="Times New Roman"/>
          <w:color w:val="auto"/>
          <w:sz w:val="24"/>
          <w:szCs w:val="24"/>
        </w:rPr>
        <w:t>、PM</w:t>
      </w:r>
      <w:r>
        <w:rPr>
          <w:rFonts w:ascii="Times New Roman" w:hAnsi="Times New Roman"/>
          <w:color w:val="auto"/>
          <w:sz w:val="24"/>
          <w:szCs w:val="24"/>
          <w:vertAlign w:val="subscript"/>
        </w:rPr>
        <w:t>10</w:t>
      </w:r>
      <w:r>
        <w:rPr>
          <w:rFonts w:ascii="Times New Roman" w:hAnsi="Times New Roman"/>
          <w:color w:val="auto"/>
          <w:sz w:val="24"/>
          <w:szCs w:val="24"/>
        </w:rPr>
        <w:t>、PM</w:t>
      </w:r>
      <w:r>
        <w:rPr>
          <w:rFonts w:ascii="Times New Roman" w:hAnsi="Times New Roman"/>
          <w:color w:val="auto"/>
          <w:sz w:val="24"/>
          <w:szCs w:val="24"/>
          <w:vertAlign w:val="subscript"/>
        </w:rPr>
        <w:t>2.5</w:t>
      </w:r>
      <w:r>
        <w:rPr>
          <w:rFonts w:ascii="Times New Roman" w:hAnsi="Times New Roman"/>
          <w:color w:val="auto"/>
          <w:sz w:val="24"/>
          <w:szCs w:val="24"/>
        </w:rPr>
        <w:t>、CO</w:t>
      </w:r>
      <w:r>
        <w:rPr>
          <w:rFonts w:hint="eastAsia" w:ascii="Times New Roman" w:hAnsi="Times New Roman"/>
          <w:color w:val="auto"/>
          <w:sz w:val="24"/>
          <w:szCs w:val="24"/>
        </w:rPr>
        <w:t>、</w:t>
      </w:r>
      <w:r>
        <w:rPr>
          <w:rFonts w:ascii="Times New Roman" w:hAnsi="Times New Roman"/>
          <w:color w:val="auto"/>
          <w:sz w:val="24"/>
          <w:szCs w:val="24"/>
        </w:rPr>
        <w:t>O</w:t>
      </w:r>
      <w:r>
        <w:rPr>
          <w:rFonts w:ascii="Times New Roman" w:hAnsi="Times New Roman"/>
          <w:color w:val="auto"/>
          <w:sz w:val="24"/>
          <w:szCs w:val="24"/>
          <w:vertAlign w:val="subscript"/>
        </w:rPr>
        <w:t>3</w:t>
      </w:r>
      <w:r>
        <w:rPr>
          <w:rFonts w:hint="eastAsia" w:ascii="Times New Roman" w:hAnsi="Times New Roman"/>
          <w:color w:val="auto"/>
          <w:sz w:val="24"/>
          <w:szCs w:val="24"/>
        </w:rPr>
        <w:t>、</w:t>
      </w:r>
      <w:r>
        <w:rPr>
          <w:rFonts w:hint="eastAsia" w:ascii="Times New Roman" w:hAnsi="Times New Roman" w:cs="Times New Roman"/>
          <w:color w:val="auto"/>
          <w:sz w:val="24"/>
          <w:szCs w:val="24"/>
        </w:rPr>
        <w:t>TSP</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氟化物、氯化氢、硫酸、氨、TVOC</w:t>
      </w:r>
      <w:r>
        <w:rPr>
          <w:rFonts w:ascii="Times New Roman" w:hAnsi="Times New Roman"/>
          <w:color w:val="auto"/>
          <w:sz w:val="24"/>
          <w:szCs w:val="24"/>
        </w:rPr>
        <w:t>。</w:t>
      </w:r>
    </w:p>
    <w:p w14:paraId="15D2D2F0">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预测</w:t>
      </w:r>
      <w:r>
        <w:rPr>
          <w:rFonts w:ascii="Times New Roman" w:hAnsi="Times New Roman"/>
          <w:color w:val="auto"/>
          <w:sz w:val="24"/>
          <w:szCs w:val="24"/>
        </w:rPr>
        <w:t>因子：PM</w:t>
      </w:r>
      <w:r>
        <w:rPr>
          <w:rFonts w:ascii="Times New Roman" w:hAnsi="Times New Roman"/>
          <w:color w:val="auto"/>
          <w:sz w:val="24"/>
          <w:szCs w:val="24"/>
          <w:vertAlign w:val="subscript"/>
        </w:rPr>
        <w:t>10</w:t>
      </w:r>
      <w:r>
        <w:rPr>
          <w:rFonts w:ascii="Times New Roman" w:hAnsi="Times New Roman"/>
          <w:color w:val="auto"/>
          <w:sz w:val="24"/>
          <w:szCs w:val="24"/>
        </w:rPr>
        <w:t>、PM</w:t>
      </w:r>
      <w:r>
        <w:rPr>
          <w:rFonts w:ascii="Times New Roman" w:hAnsi="Times New Roman"/>
          <w:color w:val="auto"/>
          <w:sz w:val="24"/>
          <w:szCs w:val="24"/>
          <w:vertAlign w:val="subscript"/>
        </w:rPr>
        <w:t>2.5</w:t>
      </w:r>
      <w:r>
        <w:rPr>
          <w:rFonts w:ascii="Times New Roman" w:hAnsi="Times New Roman"/>
          <w:color w:val="auto"/>
          <w:sz w:val="24"/>
          <w:szCs w:val="24"/>
        </w:rPr>
        <w:t>、</w:t>
      </w:r>
      <w:r>
        <w:rPr>
          <w:rFonts w:hint="eastAsia" w:ascii="Times New Roman" w:hAnsi="Times New Roman"/>
          <w:color w:val="auto"/>
          <w:sz w:val="24"/>
          <w:szCs w:val="24"/>
        </w:rPr>
        <w:t>TSP、</w:t>
      </w:r>
      <w:r>
        <w:rPr>
          <w:rFonts w:hint="eastAsia" w:ascii="Times New Roman" w:hAnsi="Times New Roman" w:cs="Times New Roman"/>
          <w:color w:val="auto"/>
          <w:sz w:val="24"/>
          <w:szCs w:val="24"/>
          <w:lang w:val="en-US" w:eastAsia="zh-CN"/>
        </w:rPr>
        <w:t>氟化物、</w:t>
      </w:r>
      <w:r>
        <w:rPr>
          <w:rFonts w:hint="eastAsia" w:cs="Times New Roman"/>
          <w:color w:val="auto"/>
          <w:sz w:val="24"/>
          <w:szCs w:val="24"/>
          <w:lang w:val="en-US" w:eastAsia="zh-CN"/>
        </w:rPr>
        <w:t>氯化物、</w:t>
      </w:r>
      <w:r>
        <w:rPr>
          <w:rFonts w:hint="eastAsia" w:ascii="Times New Roman" w:hAnsi="Times New Roman" w:cs="Times New Roman"/>
          <w:color w:val="auto"/>
          <w:sz w:val="24"/>
          <w:szCs w:val="24"/>
          <w:lang w:val="en-US" w:eastAsia="zh-CN"/>
        </w:rPr>
        <w:t>硫酸、</w:t>
      </w:r>
      <w:r>
        <w:rPr>
          <w:rFonts w:hint="eastAsia" w:cs="Times New Roman"/>
          <w:color w:val="auto"/>
          <w:sz w:val="24"/>
          <w:szCs w:val="24"/>
          <w:lang w:val="en-US" w:eastAsia="zh-CN"/>
        </w:rPr>
        <w:t>TVOC。</w:t>
      </w:r>
    </w:p>
    <w:p w14:paraId="1DA977EA">
      <w:pPr>
        <w:pStyle w:val="29"/>
        <w:ind w:left="0" w:leftChars="0" w:firstLine="482" w:firstLineChars="200"/>
        <w:rPr>
          <w:color w:val="auto"/>
        </w:rPr>
      </w:pPr>
      <w:r>
        <w:rPr>
          <w:color w:val="auto"/>
        </w:rPr>
        <w:t>2、地表水环境</w:t>
      </w:r>
    </w:p>
    <w:p w14:paraId="204AC5E1">
      <w:pPr>
        <w:spacing w:line="360" w:lineRule="auto"/>
        <w:ind w:left="0" w:leftChars="0" w:firstLine="480" w:firstLineChars="200"/>
        <w:rPr>
          <w:rFonts w:cstheme="minorHAnsi"/>
          <w:bCs/>
          <w:color w:val="auto"/>
          <w:sz w:val="24"/>
          <w:szCs w:val="24"/>
        </w:rPr>
      </w:pPr>
      <w:r>
        <w:rPr>
          <w:rFonts w:ascii="Times New Roman" w:hAnsi="Times New Roman"/>
          <w:color w:val="auto"/>
          <w:sz w:val="24"/>
          <w:szCs w:val="24"/>
        </w:rPr>
        <w:t>现状评价因子：</w:t>
      </w:r>
      <w:r>
        <w:rPr>
          <w:rFonts w:hint="eastAsia" w:cstheme="minorHAnsi"/>
          <w:bCs/>
          <w:color w:val="auto"/>
          <w:sz w:val="24"/>
          <w:szCs w:val="24"/>
        </w:rPr>
        <w:t>pH、溶解氧、高锰酸盐指数、化学需氧量、五日生化需氧量、氨氮、总磷、铜、锌、氟化物、硒、砷、汞、镉、铬（六价）、铅、氰化物、挥发酚、石油类、阴离子表面活性剂、硫化物。</w:t>
      </w:r>
    </w:p>
    <w:p w14:paraId="14051C55">
      <w:pPr>
        <w:pStyle w:val="29"/>
        <w:ind w:left="0" w:leftChars="0" w:firstLine="482" w:firstLineChars="200"/>
        <w:rPr>
          <w:color w:val="auto"/>
        </w:rPr>
      </w:pPr>
      <w:r>
        <w:rPr>
          <w:color w:val="auto"/>
        </w:rPr>
        <w:t>3、地下水环境</w:t>
      </w:r>
    </w:p>
    <w:p w14:paraId="4E535FD6">
      <w:pPr>
        <w:spacing w:line="360" w:lineRule="auto"/>
        <w:ind w:left="0" w:leftChars="0" w:firstLine="480" w:firstLineChars="200"/>
        <w:rPr>
          <w:rFonts w:hint="eastAsia" w:ascii="宋体" w:hAnsi="宋体" w:eastAsia="宋体"/>
          <w:color w:val="auto"/>
          <w:sz w:val="24"/>
          <w:szCs w:val="24"/>
          <w:lang w:eastAsia="zh-CN"/>
        </w:rPr>
      </w:pPr>
      <w:r>
        <w:rPr>
          <w:rFonts w:ascii="Times New Roman" w:hAnsi="Times New Roman"/>
          <w:color w:val="auto"/>
          <w:sz w:val="24"/>
          <w:szCs w:val="24"/>
        </w:rPr>
        <w:t>现状评价因子：pH</w:t>
      </w:r>
      <w:r>
        <w:rPr>
          <w:rFonts w:ascii="Times New Roman" w:hAnsi="Times New Roman" w:cs="Times New Roman"/>
          <w:color w:val="auto"/>
          <w:sz w:val="24"/>
          <w:szCs w:val="24"/>
        </w:rPr>
        <w:t>、</w:t>
      </w:r>
      <w:r>
        <w:rPr>
          <w:rFonts w:hint="eastAsia" w:ascii="Times New Roman" w:hAnsi="Times New Roman" w:cs="Times New Roman"/>
          <w:color w:val="auto"/>
          <w:sz w:val="24"/>
          <w:szCs w:val="24"/>
        </w:rPr>
        <w:t>氨氮</w:t>
      </w:r>
      <w:r>
        <w:rPr>
          <w:rFonts w:ascii="Times New Roman" w:hAnsi="Times New Roman" w:cs="Times New Roman"/>
          <w:color w:val="auto"/>
          <w:sz w:val="24"/>
          <w:szCs w:val="24"/>
        </w:rPr>
        <w:t>、硝酸盐、亚硝酸盐、挥发性酚类、氰化物、砷、汞、六价铬</w:t>
      </w:r>
      <w:r>
        <w:rPr>
          <w:rFonts w:hint="eastAsia" w:ascii="Times New Roman" w:hAnsi="Times New Roman" w:cs="Times New Roman"/>
          <w:color w:val="auto"/>
          <w:sz w:val="24"/>
          <w:szCs w:val="24"/>
        </w:rPr>
        <w:t>、总硬度</w:t>
      </w:r>
      <w:r>
        <w:rPr>
          <w:rFonts w:ascii="Times New Roman" w:hAnsi="Times New Roman" w:cs="Times New Roman"/>
          <w:color w:val="auto"/>
          <w:sz w:val="24"/>
          <w:szCs w:val="24"/>
        </w:rPr>
        <w:t>、</w:t>
      </w:r>
      <w:r>
        <w:rPr>
          <w:rFonts w:hint="eastAsia" w:ascii="Times New Roman" w:hAnsi="Times New Roman" w:cs="Times New Roman"/>
          <w:color w:val="auto"/>
          <w:sz w:val="24"/>
          <w:szCs w:val="24"/>
        </w:rPr>
        <w:t>铅</w:t>
      </w:r>
      <w:r>
        <w:rPr>
          <w:rFonts w:ascii="Times New Roman" w:hAnsi="Times New Roman" w:cs="Times New Roman"/>
          <w:color w:val="auto"/>
          <w:sz w:val="24"/>
          <w:szCs w:val="24"/>
        </w:rPr>
        <w:t>、</w:t>
      </w:r>
      <w:r>
        <w:rPr>
          <w:rFonts w:hint="eastAsia" w:ascii="Times New Roman" w:hAnsi="Times New Roman" w:cs="Times New Roman"/>
          <w:color w:val="auto"/>
          <w:sz w:val="24"/>
          <w:szCs w:val="24"/>
        </w:rPr>
        <w:t>氟化物</w:t>
      </w:r>
      <w:r>
        <w:rPr>
          <w:rFonts w:ascii="Times New Roman" w:hAnsi="Times New Roman" w:cs="Times New Roman"/>
          <w:color w:val="auto"/>
          <w:sz w:val="24"/>
          <w:szCs w:val="24"/>
        </w:rPr>
        <w:t>、</w:t>
      </w:r>
      <w:r>
        <w:rPr>
          <w:rFonts w:hint="eastAsia" w:ascii="Times New Roman" w:hAnsi="Times New Roman" w:cs="Times New Roman"/>
          <w:color w:val="auto"/>
          <w:sz w:val="24"/>
          <w:szCs w:val="24"/>
        </w:rPr>
        <w:t>镉</w:t>
      </w:r>
      <w:r>
        <w:rPr>
          <w:rFonts w:ascii="Times New Roman" w:hAnsi="Times New Roman" w:cs="Times New Roman"/>
          <w:color w:val="auto"/>
          <w:sz w:val="24"/>
          <w:szCs w:val="24"/>
        </w:rPr>
        <w:t>、铁、锰、溶解性总固体、</w:t>
      </w:r>
      <w:r>
        <w:rPr>
          <w:rFonts w:hint="eastAsia" w:ascii="Times New Roman" w:hAnsi="Times New Roman" w:cs="Times New Roman"/>
          <w:color w:val="auto"/>
          <w:sz w:val="24"/>
          <w:szCs w:val="24"/>
          <w:lang w:val="en-US" w:eastAsia="zh-CN"/>
        </w:rPr>
        <w:t>耗氧量、</w:t>
      </w:r>
      <w:r>
        <w:rPr>
          <w:rFonts w:hint="eastAsia" w:ascii="Times New Roman" w:hAnsi="Times New Roman"/>
          <w:color w:val="auto"/>
          <w:sz w:val="24"/>
          <w:szCs w:val="24"/>
        </w:rPr>
        <w:t>硫酸盐</w:t>
      </w:r>
      <w:r>
        <w:rPr>
          <w:rFonts w:ascii="Times New Roman" w:hAnsi="Times New Roman"/>
          <w:color w:val="auto"/>
          <w:sz w:val="24"/>
          <w:szCs w:val="24"/>
        </w:rPr>
        <w:t>、</w:t>
      </w:r>
      <w:r>
        <w:rPr>
          <w:rFonts w:hint="eastAsia" w:ascii="Times New Roman" w:hAnsi="Times New Roman"/>
          <w:color w:val="auto"/>
          <w:sz w:val="24"/>
          <w:szCs w:val="24"/>
        </w:rPr>
        <w:t>氯化物</w:t>
      </w:r>
      <w:r>
        <w:rPr>
          <w:rFonts w:ascii="Times New Roman" w:hAnsi="Times New Roman"/>
          <w:color w:val="auto"/>
          <w:sz w:val="24"/>
          <w:szCs w:val="24"/>
        </w:rPr>
        <w:t>、</w:t>
      </w:r>
      <w:r>
        <w:rPr>
          <w:rFonts w:hint="eastAsia" w:ascii="Times New Roman" w:hAnsi="Times New Roman" w:cs="Times New Roman"/>
          <w:color w:val="auto"/>
          <w:sz w:val="24"/>
          <w:szCs w:val="24"/>
        </w:rPr>
        <w:t>总</w:t>
      </w:r>
      <w:r>
        <w:rPr>
          <w:rFonts w:ascii="Times New Roman" w:hAnsi="Times New Roman" w:cs="Times New Roman"/>
          <w:color w:val="auto"/>
          <w:sz w:val="24"/>
          <w:szCs w:val="24"/>
        </w:rPr>
        <w:t>大肠菌群</w:t>
      </w:r>
      <w:r>
        <w:rPr>
          <w:rFonts w:hint="eastAsia" w:ascii="Times New Roman" w:hAnsi="Times New Roman" w:cs="Times New Roman"/>
          <w:color w:val="auto"/>
          <w:sz w:val="24"/>
          <w:szCs w:val="24"/>
        </w:rPr>
        <w:t>、</w:t>
      </w:r>
      <w:r>
        <w:rPr>
          <w:rFonts w:ascii="Times New Roman" w:hAnsi="Times New Roman" w:cs="Times New Roman"/>
          <w:color w:val="auto"/>
          <w:sz w:val="24"/>
          <w:szCs w:val="24"/>
        </w:rPr>
        <w:t>细菌总数</w:t>
      </w:r>
      <w:r>
        <w:rPr>
          <w:rFonts w:hint="eastAsia" w:cs="Times New Roman"/>
          <w:color w:val="auto"/>
          <w:sz w:val="24"/>
          <w:szCs w:val="24"/>
          <w:lang w:eastAsia="zh-CN"/>
        </w:rPr>
        <w:t>、</w:t>
      </w:r>
      <w:r>
        <w:rPr>
          <w:rFonts w:hint="eastAsia" w:cs="Times New Roman"/>
          <w:color w:val="auto"/>
          <w:sz w:val="24"/>
          <w:szCs w:val="24"/>
          <w:lang w:val="en-US" w:eastAsia="zh-CN"/>
        </w:rPr>
        <w:t>铝、</w:t>
      </w:r>
      <w:r>
        <w:rPr>
          <w:rFonts w:hint="eastAsia" w:ascii="Times New Roman" w:hAnsi="Times New Roman"/>
          <w:color w:val="auto"/>
          <w:sz w:val="24"/>
          <w:szCs w:val="24"/>
        </w:rPr>
        <w:t>钠</w:t>
      </w:r>
      <w:r>
        <w:rPr>
          <w:rFonts w:hint="eastAsia" w:ascii="Times New Roman" w:hAnsi="Times New Roman"/>
          <w:color w:val="auto"/>
          <w:sz w:val="24"/>
          <w:szCs w:val="24"/>
          <w:lang w:eastAsia="zh-CN"/>
        </w:rPr>
        <w:t>。</w:t>
      </w:r>
    </w:p>
    <w:p w14:paraId="1CD96348">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预测因子</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COD</w:t>
      </w:r>
      <w:r>
        <w:rPr>
          <w:rFonts w:hint="eastAsia" w:ascii="Times New Roman" w:hAnsi="Times New Roman"/>
          <w:color w:val="auto"/>
          <w:sz w:val="24"/>
          <w:szCs w:val="24"/>
          <w:vertAlign w:val="subscript"/>
          <w:lang w:val="en-US" w:eastAsia="zh-CN"/>
        </w:rPr>
        <w:t>Mn</w:t>
      </w:r>
      <w:r>
        <w:rPr>
          <w:rFonts w:hint="eastAsia" w:ascii="Times New Roman" w:hAnsi="Times New Roman"/>
          <w:color w:val="auto"/>
          <w:sz w:val="24"/>
          <w:szCs w:val="24"/>
          <w:lang w:val="en-US" w:eastAsia="zh-CN"/>
        </w:rPr>
        <w:t>、钠、硫酸根、氟化物、铁、总磷、铝</w:t>
      </w:r>
      <w:r>
        <w:rPr>
          <w:rFonts w:hint="eastAsia"/>
          <w:color w:val="auto"/>
          <w:sz w:val="24"/>
          <w:szCs w:val="24"/>
          <w:lang w:val="en-US" w:eastAsia="zh-CN"/>
        </w:rPr>
        <w:t>。</w:t>
      </w:r>
    </w:p>
    <w:p w14:paraId="6BD589D3">
      <w:pPr>
        <w:pStyle w:val="29"/>
        <w:ind w:left="0" w:leftChars="0" w:firstLine="482" w:firstLineChars="200"/>
        <w:rPr>
          <w:color w:val="auto"/>
        </w:rPr>
      </w:pPr>
      <w:r>
        <w:rPr>
          <w:color w:val="auto"/>
        </w:rPr>
        <w:t>4、声环境</w:t>
      </w:r>
    </w:p>
    <w:p w14:paraId="2924BBEF">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现状评价因子：等效连续A声级。</w:t>
      </w:r>
    </w:p>
    <w:p w14:paraId="766FF532">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预测因子：</w:t>
      </w:r>
      <w:r>
        <w:rPr>
          <w:rFonts w:hint="eastAsia" w:ascii="Times New Roman" w:hAnsi="Times New Roman"/>
          <w:color w:val="auto"/>
          <w:sz w:val="24"/>
          <w:szCs w:val="24"/>
        </w:rPr>
        <w:t>厂界</w:t>
      </w:r>
      <w:r>
        <w:rPr>
          <w:rFonts w:hint="eastAsia"/>
          <w:color w:val="auto"/>
          <w:sz w:val="24"/>
          <w:szCs w:val="24"/>
          <w:lang w:val="en-US" w:eastAsia="zh-CN"/>
        </w:rPr>
        <w:t>及声环境敏感目标处</w:t>
      </w:r>
      <w:r>
        <w:rPr>
          <w:rFonts w:ascii="Times New Roman" w:hAnsi="Times New Roman"/>
          <w:color w:val="auto"/>
          <w:sz w:val="24"/>
          <w:szCs w:val="24"/>
        </w:rPr>
        <w:t>等效连续A声级。</w:t>
      </w:r>
    </w:p>
    <w:p w14:paraId="545ABA0E">
      <w:pPr>
        <w:pStyle w:val="29"/>
        <w:ind w:left="0" w:leftChars="0" w:firstLine="482" w:firstLineChars="200"/>
        <w:rPr>
          <w:color w:val="auto"/>
        </w:rPr>
      </w:pPr>
      <w:r>
        <w:rPr>
          <w:rFonts w:hint="eastAsia"/>
          <w:color w:val="auto"/>
        </w:rPr>
        <w:t>5、土壤环境</w:t>
      </w:r>
    </w:p>
    <w:p w14:paraId="26489DB0">
      <w:pPr>
        <w:spacing w:line="360" w:lineRule="auto"/>
        <w:ind w:left="0" w:leftChars="0" w:firstLine="480" w:firstLineChars="200"/>
        <w:rPr>
          <w:rFonts w:hint="eastAsia"/>
          <w:color w:val="auto"/>
          <w:sz w:val="24"/>
          <w:szCs w:val="24"/>
        </w:rPr>
      </w:pPr>
      <w:r>
        <w:rPr>
          <w:rFonts w:hint="eastAsia"/>
          <w:color w:val="auto"/>
          <w:sz w:val="24"/>
          <w:szCs w:val="24"/>
        </w:rPr>
        <w:t>现状评价因子：</w:t>
      </w:r>
    </w:p>
    <w:p w14:paraId="2AB789A5">
      <w:pPr>
        <w:spacing w:line="360" w:lineRule="auto"/>
        <w:ind w:left="0" w:leftChars="0" w:firstLine="480" w:firstLineChars="200"/>
        <w:rPr>
          <w:rFonts w:hint="eastAsia"/>
          <w:b w:val="0"/>
          <w:bCs w:val="0"/>
          <w:color w:val="auto"/>
          <w:sz w:val="24"/>
          <w:szCs w:val="24"/>
          <w:lang w:val="en-US" w:eastAsia="zh-CN"/>
        </w:rPr>
      </w:pPr>
      <w:r>
        <w:rPr>
          <w:rFonts w:hint="eastAsia"/>
          <w:color w:val="auto"/>
          <w:sz w:val="24"/>
          <w:szCs w:val="24"/>
          <w:lang w:val="en-US" w:eastAsia="zh-CN"/>
        </w:rPr>
        <w:t>S1~S6、S9、S11</w:t>
      </w:r>
      <w:r>
        <w:rPr>
          <w:rFonts w:hint="eastAsia"/>
          <w:b w:val="0"/>
          <w:bCs w:val="0"/>
          <w:color w:val="auto"/>
          <w:sz w:val="24"/>
          <w:szCs w:val="24"/>
          <w:lang w:val="en-US" w:eastAsia="zh-CN"/>
        </w:rPr>
        <w:t>：</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w:t>
      </w:r>
    </w:p>
    <w:p w14:paraId="192C9119">
      <w:pPr>
        <w:spacing w:line="360" w:lineRule="auto"/>
        <w:ind w:left="0" w:leftChars="0" w:firstLine="480" w:firstLineChars="200"/>
        <w:rPr>
          <w:rFonts w:hint="eastAsia" w:ascii="Times New Roman" w:hAnsi="Times New Roman" w:cs="Times New Roman"/>
          <w:b w:val="0"/>
          <w:bCs w:val="0"/>
          <w:color w:val="auto"/>
          <w:sz w:val="24"/>
          <w:szCs w:val="24"/>
        </w:rPr>
      </w:pPr>
      <w:r>
        <w:rPr>
          <w:rFonts w:hint="eastAsia"/>
          <w:b w:val="0"/>
          <w:bCs w:val="0"/>
          <w:color w:val="auto"/>
          <w:sz w:val="24"/>
          <w:szCs w:val="24"/>
          <w:lang w:val="en-US" w:eastAsia="zh-CN"/>
        </w:rPr>
        <w:t>S7：</w:t>
      </w:r>
      <w:r>
        <w:rPr>
          <w:rFonts w:hint="eastAsia" w:ascii="Times New Roman" w:hAnsi="Times New Roman" w:cs="Times New Roman"/>
          <w:b w:val="0"/>
          <w:bCs w:val="0"/>
          <w:color w:val="auto"/>
          <w:sz w:val="24"/>
          <w:szCs w:val="24"/>
        </w:rPr>
        <w:t>砷、镉、铬（六价）、铜、铅、汞、镍、四氯化碳、氯仿、氯甲烷、</w:t>
      </w:r>
      <w:r>
        <w:rPr>
          <w:rFonts w:ascii="Times New Roman" w:hAnsi="Times New Roman" w:cs="Times New Roman"/>
          <w:b w:val="0"/>
          <w:bCs w:val="0"/>
          <w:color w:val="auto"/>
          <w:sz w:val="24"/>
          <w:szCs w:val="24"/>
        </w:rPr>
        <w:t>1,1-</w:t>
      </w:r>
      <w:r>
        <w:rPr>
          <w:rFonts w:hint="eastAsia" w:ascii="Times New Roman" w:hAnsi="Times New Roman" w:cs="Times New Roman"/>
          <w:b w:val="0"/>
          <w:bCs w:val="0"/>
          <w:color w:val="auto"/>
          <w:sz w:val="24"/>
          <w:szCs w:val="24"/>
        </w:rPr>
        <w:t>二氯乙烷、</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二氯乙烷、</w:t>
      </w:r>
      <w:r>
        <w:rPr>
          <w:rFonts w:ascii="Times New Roman" w:hAnsi="Times New Roman" w:cs="Times New Roman"/>
          <w:b w:val="0"/>
          <w:bCs w:val="0"/>
          <w:color w:val="auto"/>
          <w:sz w:val="24"/>
          <w:szCs w:val="24"/>
        </w:rPr>
        <w:t>1,1-</w:t>
      </w:r>
      <w:r>
        <w:rPr>
          <w:rFonts w:hint="eastAsia" w:ascii="Times New Roman" w:hAnsi="Times New Roman" w:cs="Times New Roman"/>
          <w:b w:val="0"/>
          <w:bCs w:val="0"/>
          <w:color w:val="auto"/>
          <w:sz w:val="24"/>
          <w:szCs w:val="24"/>
        </w:rPr>
        <w:t>二氯乙烯、顺</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二氯乙烯、反</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二氯乙烯、二氯甲烷、</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二氯丙烷、</w:t>
      </w:r>
      <w:r>
        <w:rPr>
          <w:rFonts w:ascii="Times New Roman" w:hAnsi="Times New Roman" w:cs="Times New Roman"/>
          <w:b w:val="0"/>
          <w:bCs w:val="0"/>
          <w:color w:val="auto"/>
          <w:sz w:val="24"/>
          <w:szCs w:val="24"/>
        </w:rPr>
        <w:t>1,1,1,2-</w:t>
      </w:r>
      <w:r>
        <w:rPr>
          <w:rFonts w:hint="eastAsia" w:ascii="Times New Roman" w:hAnsi="Times New Roman" w:cs="Times New Roman"/>
          <w:b w:val="0"/>
          <w:bCs w:val="0"/>
          <w:color w:val="auto"/>
          <w:sz w:val="24"/>
          <w:szCs w:val="24"/>
        </w:rPr>
        <w:t>四氯乙烷、</w:t>
      </w:r>
      <w:r>
        <w:rPr>
          <w:rFonts w:ascii="Times New Roman" w:hAnsi="Times New Roman" w:cs="Times New Roman"/>
          <w:b w:val="0"/>
          <w:bCs w:val="0"/>
          <w:color w:val="auto"/>
          <w:sz w:val="24"/>
          <w:szCs w:val="24"/>
        </w:rPr>
        <w:t>1,1,2,2-</w:t>
      </w:r>
      <w:r>
        <w:rPr>
          <w:rFonts w:hint="eastAsia" w:ascii="Times New Roman" w:hAnsi="Times New Roman" w:cs="Times New Roman"/>
          <w:b w:val="0"/>
          <w:bCs w:val="0"/>
          <w:color w:val="auto"/>
          <w:sz w:val="24"/>
          <w:szCs w:val="24"/>
        </w:rPr>
        <w:t>四氯乙烷、四氯乙烯、</w:t>
      </w:r>
      <w:r>
        <w:rPr>
          <w:rFonts w:ascii="Times New Roman" w:hAnsi="Times New Roman" w:cs="Times New Roman"/>
          <w:b w:val="0"/>
          <w:bCs w:val="0"/>
          <w:color w:val="auto"/>
          <w:sz w:val="24"/>
          <w:szCs w:val="24"/>
        </w:rPr>
        <w:t>1,1,1</w:t>
      </w:r>
      <w:r>
        <w:rPr>
          <w:rFonts w:hint="eastAsia" w:ascii="Times New Roman" w:hAnsi="Times New Roman" w:cs="Times New Roman"/>
          <w:b w:val="0"/>
          <w:bCs w:val="0"/>
          <w:color w:val="auto"/>
          <w:sz w:val="24"/>
          <w:szCs w:val="24"/>
        </w:rPr>
        <w:t>–三氯乙烷、</w:t>
      </w:r>
      <w:r>
        <w:rPr>
          <w:rFonts w:ascii="Times New Roman" w:hAnsi="Times New Roman" w:cs="Times New Roman"/>
          <w:b w:val="0"/>
          <w:bCs w:val="0"/>
          <w:color w:val="auto"/>
          <w:sz w:val="24"/>
          <w:szCs w:val="24"/>
        </w:rPr>
        <w:t>1,1,2</w:t>
      </w:r>
      <w:r>
        <w:rPr>
          <w:rFonts w:hint="eastAsia" w:ascii="Times New Roman" w:hAnsi="Times New Roman" w:cs="Times New Roman"/>
          <w:b w:val="0"/>
          <w:bCs w:val="0"/>
          <w:color w:val="auto"/>
          <w:sz w:val="24"/>
          <w:szCs w:val="24"/>
        </w:rPr>
        <w:t>–三氯乙烷、三氯乙烯、</w:t>
      </w:r>
      <w:r>
        <w:rPr>
          <w:rFonts w:ascii="Times New Roman" w:hAnsi="Times New Roman" w:cs="Times New Roman"/>
          <w:b w:val="0"/>
          <w:bCs w:val="0"/>
          <w:color w:val="auto"/>
          <w:sz w:val="24"/>
          <w:szCs w:val="24"/>
        </w:rPr>
        <w:t>1,2,3</w:t>
      </w:r>
      <w:r>
        <w:rPr>
          <w:rFonts w:hint="eastAsia" w:ascii="Times New Roman" w:hAnsi="Times New Roman" w:cs="Times New Roman"/>
          <w:b w:val="0"/>
          <w:bCs w:val="0"/>
          <w:color w:val="auto"/>
          <w:sz w:val="24"/>
          <w:szCs w:val="24"/>
        </w:rPr>
        <w:t>–三氯丙烷、氯乙烯、苯、氯苯、</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–二氯苯、</w:t>
      </w:r>
      <w:r>
        <w:rPr>
          <w:rFonts w:ascii="Times New Roman" w:hAnsi="Times New Roman" w:cs="Times New Roman"/>
          <w:b w:val="0"/>
          <w:bCs w:val="0"/>
          <w:color w:val="auto"/>
          <w:sz w:val="24"/>
          <w:szCs w:val="24"/>
        </w:rPr>
        <w:t>1,4</w:t>
      </w:r>
      <w:r>
        <w:rPr>
          <w:rFonts w:hint="eastAsia" w:ascii="Times New Roman" w:hAnsi="Times New Roman" w:cs="Times New Roman"/>
          <w:b w:val="0"/>
          <w:bCs w:val="0"/>
          <w:color w:val="auto"/>
          <w:sz w:val="24"/>
          <w:szCs w:val="24"/>
        </w:rPr>
        <w:t>–二氯苯、乙苯、苯乙烯、甲苯、间二甲苯</w:t>
      </w:r>
      <w:r>
        <w:rPr>
          <w:rFonts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rPr>
        <w:t>对二甲苯、邻二甲苯、硝基苯、苯胺、</w:t>
      </w:r>
      <w:r>
        <w:rPr>
          <w:rFonts w:ascii="Times New Roman" w:hAnsi="Times New Roman" w:cs="Times New Roman"/>
          <w:b w:val="0"/>
          <w:bCs w:val="0"/>
          <w:color w:val="auto"/>
          <w:sz w:val="24"/>
          <w:szCs w:val="24"/>
        </w:rPr>
        <w:t>2-</w:t>
      </w:r>
      <w:r>
        <w:rPr>
          <w:rFonts w:hint="eastAsia" w:ascii="Times New Roman" w:hAnsi="Times New Roman" w:cs="Times New Roman"/>
          <w:b w:val="0"/>
          <w:bCs w:val="0"/>
          <w:color w:val="auto"/>
          <w:sz w:val="24"/>
          <w:szCs w:val="24"/>
        </w:rPr>
        <w:t>氯酚、苯并</w:t>
      </w:r>
      <w:r>
        <w:rPr>
          <w:rFonts w:ascii="Times New Roman" w:hAnsi="Times New Roman" w:cs="Times New Roman"/>
          <w:b w:val="0"/>
          <w:bCs w:val="0"/>
          <w:color w:val="auto"/>
          <w:sz w:val="24"/>
          <w:szCs w:val="24"/>
        </w:rPr>
        <w:t>[a]</w:t>
      </w:r>
      <w:r>
        <w:rPr>
          <w:rFonts w:hint="eastAsia" w:ascii="Times New Roman" w:hAnsi="Times New Roman" w:cs="Times New Roman"/>
          <w:b w:val="0"/>
          <w:bCs w:val="0"/>
          <w:color w:val="auto"/>
          <w:sz w:val="24"/>
          <w:szCs w:val="24"/>
        </w:rPr>
        <w:t>蒽、苯并</w:t>
      </w:r>
      <w:r>
        <w:rPr>
          <w:rFonts w:ascii="Times New Roman" w:hAnsi="Times New Roman" w:cs="Times New Roman"/>
          <w:b w:val="0"/>
          <w:bCs w:val="0"/>
          <w:color w:val="auto"/>
          <w:sz w:val="24"/>
          <w:szCs w:val="24"/>
        </w:rPr>
        <w:t>[a]</w:t>
      </w:r>
      <w:r>
        <w:rPr>
          <w:rFonts w:hint="eastAsia" w:ascii="Times New Roman" w:hAnsi="Times New Roman" w:cs="Times New Roman"/>
          <w:b w:val="0"/>
          <w:bCs w:val="0"/>
          <w:color w:val="auto"/>
          <w:sz w:val="24"/>
          <w:szCs w:val="24"/>
        </w:rPr>
        <w:t>芘、苯并</w:t>
      </w:r>
      <w:r>
        <w:rPr>
          <w:rFonts w:ascii="Times New Roman" w:hAnsi="Times New Roman" w:cs="Times New Roman"/>
          <w:b w:val="0"/>
          <w:bCs w:val="0"/>
          <w:color w:val="auto"/>
          <w:sz w:val="24"/>
          <w:szCs w:val="24"/>
        </w:rPr>
        <w:t>[b]</w:t>
      </w:r>
      <w:r>
        <w:rPr>
          <w:rFonts w:hint="eastAsia" w:ascii="Times New Roman" w:hAnsi="Times New Roman" w:cs="Times New Roman"/>
          <w:b w:val="0"/>
          <w:bCs w:val="0"/>
          <w:color w:val="auto"/>
          <w:sz w:val="24"/>
          <w:szCs w:val="24"/>
        </w:rPr>
        <w:t>荧蒽、苯并</w:t>
      </w:r>
      <w:r>
        <w:rPr>
          <w:rFonts w:ascii="Times New Roman" w:hAnsi="Times New Roman" w:cs="Times New Roman"/>
          <w:b w:val="0"/>
          <w:bCs w:val="0"/>
          <w:color w:val="auto"/>
          <w:sz w:val="24"/>
          <w:szCs w:val="24"/>
        </w:rPr>
        <w:t>[k]</w:t>
      </w:r>
      <w:r>
        <w:rPr>
          <w:rFonts w:hint="eastAsia" w:ascii="Times New Roman" w:hAnsi="Times New Roman" w:cs="Times New Roman"/>
          <w:b w:val="0"/>
          <w:bCs w:val="0"/>
          <w:color w:val="auto"/>
          <w:sz w:val="24"/>
          <w:szCs w:val="24"/>
        </w:rPr>
        <w:t>荧蒽、䓛、二苯并</w:t>
      </w:r>
      <w:r>
        <w:rPr>
          <w:rFonts w:ascii="Times New Roman" w:hAnsi="Times New Roman" w:cs="Times New Roman"/>
          <w:b w:val="0"/>
          <w:bCs w:val="0"/>
          <w:color w:val="auto"/>
          <w:sz w:val="24"/>
          <w:szCs w:val="24"/>
        </w:rPr>
        <w:t>[a,h]</w:t>
      </w:r>
      <w:r>
        <w:rPr>
          <w:rFonts w:hint="eastAsia" w:ascii="Times New Roman" w:hAnsi="Times New Roman" w:cs="Times New Roman"/>
          <w:b w:val="0"/>
          <w:bCs w:val="0"/>
          <w:color w:val="auto"/>
          <w:sz w:val="24"/>
          <w:szCs w:val="24"/>
        </w:rPr>
        <w:t>蒽、茚并</w:t>
      </w:r>
      <w:r>
        <w:rPr>
          <w:rFonts w:ascii="Times New Roman" w:hAnsi="Times New Roman" w:cs="Times New Roman"/>
          <w:b w:val="0"/>
          <w:bCs w:val="0"/>
          <w:color w:val="auto"/>
          <w:sz w:val="24"/>
          <w:szCs w:val="24"/>
        </w:rPr>
        <w:t>[1,2,3-cd</w:t>
      </w:r>
      <w:r>
        <w:rPr>
          <w:rFonts w:hint="eastAsia" w:ascii="Times New Roman" w:hAnsi="Times New Roman" w:cs="Times New Roman"/>
          <w:b w:val="0"/>
          <w:bCs w:val="0"/>
          <w:color w:val="auto"/>
          <w:sz w:val="24"/>
          <w:szCs w:val="24"/>
        </w:rPr>
        <w:t>芘、萘</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rPr>
        <w:t>石油烃</w:t>
      </w:r>
      <w:r>
        <w:rPr>
          <w:rFonts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rPr>
        <w:t>C</w:t>
      </w:r>
      <w:r>
        <w:rPr>
          <w:rFonts w:hint="eastAsia" w:ascii="Times New Roman" w:hAnsi="Times New Roman" w:cs="Times New Roman"/>
          <w:b w:val="0"/>
          <w:bCs w:val="0"/>
          <w:color w:val="auto"/>
          <w:sz w:val="24"/>
          <w:szCs w:val="24"/>
          <w:vertAlign w:val="subscript"/>
        </w:rPr>
        <w:t>10</w:t>
      </w:r>
      <w:r>
        <w:rPr>
          <w:rFonts w:hint="eastAsia" w:ascii="Times New Roman" w:hAnsi="Times New Roman" w:cs="Times New Roman"/>
          <w:b w:val="0"/>
          <w:bCs w:val="0"/>
          <w:color w:val="auto"/>
          <w:sz w:val="24"/>
          <w:szCs w:val="24"/>
        </w:rPr>
        <w:t>-C</w:t>
      </w:r>
      <w:r>
        <w:rPr>
          <w:rFonts w:hint="eastAsia" w:ascii="Times New Roman" w:hAnsi="Times New Roman" w:cs="Times New Roman"/>
          <w:b w:val="0"/>
          <w:bCs w:val="0"/>
          <w:color w:val="auto"/>
          <w:sz w:val="24"/>
          <w:szCs w:val="24"/>
          <w:vertAlign w:val="subscript"/>
        </w:rPr>
        <w:t>40</w:t>
      </w:r>
      <w:r>
        <w:rPr>
          <w:rFonts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氟化物</w:t>
      </w:r>
      <w:r>
        <w:rPr>
          <w:rFonts w:hint="eastAsia" w:cs="Times New Roman"/>
          <w:b w:val="0"/>
          <w:bCs w:val="0"/>
          <w:color w:val="auto"/>
          <w:sz w:val="24"/>
          <w:szCs w:val="24"/>
          <w:lang w:val="en-US" w:eastAsia="zh-CN"/>
        </w:rPr>
        <w:t>；</w:t>
      </w:r>
    </w:p>
    <w:p w14:paraId="6BFDE9CF">
      <w:pPr>
        <w:spacing w:line="360" w:lineRule="auto"/>
        <w:ind w:left="0" w:leftChars="0" w:firstLine="480" w:firstLineChars="200"/>
        <w:rPr>
          <w:rFonts w:hint="eastAsia" w:eastAsia="宋体" w:cs="Times New Roman"/>
          <w:color w:val="auto"/>
          <w:sz w:val="24"/>
          <w:szCs w:val="24"/>
          <w:lang w:eastAsia="zh-CN"/>
        </w:rPr>
      </w:pPr>
      <w:r>
        <w:rPr>
          <w:rFonts w:hint="eastAsia" w:cs="Times New Roman"/>
          <w:b w:val="0"/>
          <w:bCs w:val="0"/>
          <w:color w:val="auto"/>
          <w:sz w:val="24"/>
          <w:szCs w:val="24"/>
          <w:lang w:val="en-US" w:eastAsia="zh-CN"/>
        </w:rPr>
        <w:t>S8、S10</w:t>
      </w:r>
      <w:r>
        <w:rPr>
          <w:rFonts w:hint="eastAsia" w:ascii="Times New Roman" w:hAnsi="Times New Roman" w:cs="Times New Roman"/>
          <w:b w:val="0"/>
          <w:bCs w:val="0"/>
          <w:color w:val="auto"/>
          <w:sz w:val="24"/>
          <w:szCs w:val="24"/>
          <w:lang w:val="en-US" w:eastAsia="zh-CN"/>
        </w:rPr>
        <w:t>：</w:t>
      </w:r>
      <w:r>
        <w:rPr>
          <w:rFonts w:hint="eastAsia" w:ascii="Times New Roman" w:hAnsi="Times New Roman" w:cs="Times New Roman"/>
          <w:color w:val="auto"/>
          <w:sz w:val="24"/>
          <w:szCs w:val="24"/>
        </w:rPr>
        <w:t>镉</w:t>
      </w:r>
      <w:r>
        <w:rPr>
          <w:rFonts w:ascii="Times New Roman" w:hAnsi="Times New Roman" w:cs="Times New Roman"/>
          <w:color w:val="auto"/>
          <w:sz w:val="24"/>
          <w:szCs w:val="24"/>
        </w:rPr>
        <w:t>、汞、砷、铅、铬、铜、镍、锌</w:t>
      </w:r>
      <w:r>
        <w:rPr>
          <w:rFonts w:hint="eastAsia" w:cs="Times New Roman"/>
          <w:color w:val="auto"/>
          <w:sz w:val="24"/>
          <w:szCs w:val="24"/>
          <w:lang w:eastAsia="zh-CN"/>
        </w:rPr>
        <w:t>、</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cs="Times New Roman"/>
          <w:color w:val="auto"/>
          <w:sz w:val="24"/>
          <w:szCs w:val="24"/>
          <w:lang w:eastAsia="zh-CN"/>
        </w:rPr>
        <w:t>。</w:t>
      </w:r>
    </w:p>
    <w:p w14:paraId="21758A39">
      <w:pPr>
        <w:spacing w:line="360" w:lineRule="auto"/>
        <w:ind w:left="0" w:leftChars="0" w:firstLine="480" w:firstLineChars="200"/>
        <w:rPr>
          <w:rFonts w:hint="default" w:eastAsia="宋体"/>
          <w:color w:val="auto"/>
          <w:sz w:val="24"/>
          <w:szCs w:val="24"/>
          <w:lang w:val="en-US" w:eastAsia="zh-CN"/>
        </w:rPr>
      </w:pPr>
      <w:r>
        <w:rPr>
          <w:rFonts w:ascii="Times New Roman" w:hAnsi="Times New Roman"/>
          <w:color w:val="auto"/>
          <w:sz w:val="24"/>
          <w:szCs w:val="24"/>
        </w:rPr>
        <w:t>预测因子：</w:t>
      </w:r>
      <w:r>
        <w:rPr>
          <w:rFonts w:hint="eastAsia"/>
          <w:color w:val="auto"/>
          <w:highlight w:val="none"/>
          <w:lang w:val="en-US" w:eastAsia="zh-CN"/>
        </w:rPr>
        <w:t>氟化物。</w:t>
      </w:r>
    </w:p>
    <w:p w14:paraId="626CA5F2">
      <w:pPr>
        <w:pStyle w:val="29"/>
        <w:ind w:left="0" w:leftChars="0" w:firstLine="482" w:firstLineChars="200"/>
        <w:rPr>
          <w:color w:val="auto"/>
        </w:rPr>
      </w:pPr>
      <w:r>
        <w:rPr>
          <w:color w:val="auto"/>
        </w:rPr>
        <w:t>6、环境风险</w:t>
      </w:r>
    </w:p>
    <w:p w14:paraId="05F0F0AB">
      <w:pPr>
        <w:pStyle w:val="26"/>
        <w:ind w:left="0" w:leftChars="0" w:firstLine="480" w:firstLineChars="200"/>
        <w:rPr>
          <w:rFonts w:hint="eastAsia"/>
          <w:color w:val="auto"/>
          <w:szCs w:val="24"/>
        </w:rPr>
      </w:pPr>
      <w:r>
        <w:rPr>
          <w:color w:val="auto"/>
          <w:szCs w:val="24"/>
        </w:rPr>
        <w:t>进行风险</w:t>
      </w:r>
      <w:r>
        <w:rPr>
          <w:rFonts w:hint="eastAsia"/>
          <w:color w:val="auto"/>
          <w:szCs w:val="24"/>
        </w:rPr>
        <w:t>调查</w:t>
      </w:r>
      <w:r>
        <w:rPr>
          <w:color w:val="auto"/>
          <w:szCs w:val="24"/>
        </w:rPr>
        <w:t>、</w:t>
      </w:r>
      <w:r>
        <w:rPr>
          <w:rFonts w:hint="eastAsia"/>
          <w:color w:val="auto"/>
          <w:szCs w:val="24"/>
        </w:rPr>
        <w:t>风险潜势</w:t>
      </w:r>
      <w:r>
        <w:rPr>
          <w:color w:val="auto"/>
          <w:szCs w:val="24"/>
        </w:rPr>
        <w:t>初判，调查周围环境敏感目标</w:t>
      </w:r>
      <w:r>
        <w:rPr>
          <w:rFonts w:hint="eastAsia"/>
          <w:color w:val="auto"/>
          <w:szCs w:val="24"/>
        </w:rPr>
        <w:t>、</w:t>
      </w:r>
      <w:r>
        <w:rPr>
          <w:color w:val="auto"/>
          <w:szCs w:val="24"/>
        </w:rPr>
        <w:t>主要危险物质及分布情况</w:t>
      </w:r>
      <w:r>
        <w:rPr>
          <w:rFonts w:hint="eastAsia"/>
          <w:color w:val="auto"/>
          <w:szCs w:val="24"/>
        </w:rPr>
        <w:t>，</w:t>
      </w:r>
      <w:r>
        <w:rPr>
          <w:color w:val="auto"/>
          <w:szCs w:val="24"/>
        </w:rPr>
        <w:t>识别可能影响环境的途径</w:t>
      </w:r>
      <w:r>
        <w:rPr>
          <w:rFonts w:hint="eastAsia"/>
          <w:color w:val="auto"/>
          <w:szCs w:val="24"/>
        </w:rPr>
        <w:t>，</w:t>
      </w:r>
      <w:r>
        <w:rPr>
          <w:color w:val="auto"/>
          <w:szCs w:val="24"/>
        </w:rPr>
        <w:t>提出风险防范措施和应急措施</w:t>
      </w:r>
      <w:r>
        <w:rPr>
          <w:rFonts w:hint="eastAsia"/>
          <w:color w:val="auto"/>
          <w:szCs w:val="24"/>
        </w:rPr>
        <w:t>。</w:t>
      </w:r>
    </w:p>
    <w:p w14:paraId="50AE88C2">
      <w:pPr>
        <w:pStyle w:val="26"/>
        <w:ind w:left="0" w:leftChars="0" w:firstLine="480" w:firstLineChars="200"/>
        <w:rPr>
          <w:rFonts w:hint="default" w:eastAsia="宋体"/>
          <w:color w:val="auto"/>
          <w:lang w:val="en-US" w:eastAsia="zh-CN"/>
        </w:rPr>
      </w:pPr>
      <w:r>
        <w:rPr>
          <w:rFonts w:hint="eastAsia"/>
          <w:color w:val="auto"/>
        </w:rPr>
        <w:t>预测因子：</w:t>
      </w:r>
      <w:r>
        <w:rPr>
          <w:rFonts w:hint="eastAsia"/>
          <w:color w:val="auto"/>
          <w:lang w:val="en-US" w:eastAsia="zh-CN"/>
        </w:rPr>
        <w:t>大气环境风险预测因子为</w:t>
      </w:r>
      <w:r>
        <w:rPr>
          <w:rFonts w:hint="eastAsia"/>
          <w:color w:val="auto"/>
          <w:highlight w:val="none"/>
          <w:lang w:val="en-US" w:eastAsia="zh-CN"/>
        </w:rPr>
        <w:t>硫酸、氟</w:t>
      </w:r>
      <w:r>
        <w:rPr>
          <w:rFonts w:hint="eastAsia"/>
          <w:color w:val="auto"/>
          <w:lang w:val="en-US" w:eastAsia="zh-CN"/>
        </w:rPr>
        <w:t>硅酸、氯化氢、一氧化碳、二氧化硫，地表水环境风险预测因子为COD、NH</w:t>
      </w:r>
      <w:r>
        <w:rPr>
          <w:rFonts w:hint="eastAsia"/>
          <w:color w:val="auto"/>
          <w:vertAlign w:val="subscript"/>
          <w:lang w:val="en-US" w:eastAsia="zh-CN"/>
        </w:rPr>
        <w:t>3</w:t>
      </w:r>
      <w:r>
        <w:rPr>
          <w:rFonts w:hint="eastAsia"/>
          <w:color w:val="auto"/>
          <w:lang w:val="en-US" w:eastAsia="zh-CN"/>
        </w:rPr>
        <w:t>-N，地下水环境风险预测因子为</w:t>
      </w:r>
      <w:r>
        <w:rPr>
          <w:rFonts w:hint="eastAsia" w:ascii="Times New Roman" w:hAnsi="Times New Roman"/>
          <w:color w:val="auto"/>
          <w:sz w:val="24"/>
          <w:szCs w:val="24"/>
          <w:lang w:val="en-US" w:eastAsia="zh-CN"/>
        </w:rPr>
        <w:t>COD</w:t>
      </w:r>
      <w:r>
        <w:rPr>
          <w:rFonts w:hint="eastAsia" w:ascii="Times New Roman" w:hAnsi="Times New Roman"/>
          <w:color w:val="auto"/>
          <w:sz w:val="24"/>
          <w:szCs w:val="24"/>
          <w:vertAlign w:val="subscript"/>
          <w:lang w:val="en-US" w:eastAsia="zh-CN"/>
        </w:rPr>
        <w:t>Mn</w:t>
      </w:r>
      <w:r>
        <w:rPr>
          <w:rFonts w:hint="eastAsia" w:ascii="Times New Roman" w:hAnsi="Times New Roman"/>
          <w:color w:val="auto"/>
          <w:sz w:val="24"/>
          <w:szCs w:val="24"/>
          <w:lang w:val="en-US" w:eastAsia="zh-CN"/>
        </w:rPr>
        <w:t>、钠、硫酸根、氟化物、铁、总磷、铝</w:t>
      </w:r>
      <w:r>
        <w:rPr>
          <w:rFonts w:hint="eastAsia"/>
          <w:color w:val="auto"/>
          <w:lang w:val="en-US" w:eastAsia="zh-CN"/>
        </w:rPr>
        <w:t>。</w:t>
      </w:r>
    </w:p>
    <w:p w14:paraId="27E9773A">
      <w:pPr>
        <w:pStyle w:val="4"/>
        <w:bidi w:val="0"/>
        <w:rPr>
          <w:rFonts w:hint="default"/>
          <w:color w:val="auto"/>
          <w:highlight w:val="none"/>
        </w:rPr>
      </w:pPr>
      <w:r>
        <w:rPr>
          <w:rFonts w:ascii="Times New Roman" w:hAnsi="Times New Roman"/>
          <w:color w:val="auto"/>
        </w:rPr>
        <w:t>评价标准</w:t>
      </w:r>
    </w:p>
    <w:p w14:paraId="40762D03">
      <w:pPr>
        <w:pStyle w:val="29"/>
        <w:ind w:left="0" w:leftChars="0" w:firstLine="482" w:firstLineChars="200"/>
        <w:rPr>
          <w:color w:val="auto"/>
        </w:rPr>
      </w:pPr>
      <w:r>
        <w:rPr>
          <w:color w:val="auto"/>
        </w:rPr>
        <w:t>1</w:t>
      </w:r>
      <w:r>
        <w:rPr>
          <w:rFonts w:hint="eastAsia"/>
          <w:color w:val="auto"/>
        </w:rPr>
        <w:t>、环境质量标准</w:t>
      </w:r>
    </w:p>
    <w:p w14:paraId="68288D34">
      <w:pPr>
        <w:spacing w:line="360" w:lineRule="auto"/>
        <w:ind w:left="0" w:leftChars="0" w:firstLine="482" w:firstLineChars="200"/>
        <w:rPr>
          <w:rFonts w:ascii="Times New Roman" w:hAnsi="Times New Roman"/>
          <w:b/>
          <w:color w:val="auto"/>
          <w:sz w:val="24"/>
          <w:szCs w:val="24"/>
        </w:rPr>
      </w:pPr>
      <w:r>
        <w:rPr>
          <w:rFonts w:ascii="Times New Roman" w:hAnsi="Times New Roman"/>
          <w:b/>
          <w:color w:val="auto"/>
          <w:sz w:val="24"/>
          <w:szCs w:val="24"/>
        </w:rPr>
        <w:t>（</w:t>
      </w:r>
      <w:r>
        <w:rPr>
          <w:rFonts w:hint="eastAsia" w:ascii="Times New Roman" w:hAnsi="Times New Roman"/>
          <w:b/>
          <w:color w:val="auto"/>
          <w:sz w:val="24"/>
          <w:szCs w:val="24"/>
        </w:rPr>
        <w:t>1</w:t>
      </w:r>
      <w:r>
        <w:rPr>
          <w:rFonts w:ascii="Times New Roman" w:hAnsi="Times New Roman"/>
          <w:b/>
          <w:color w:val="auto"/>
          <w:sz w:val="24"/>
          <w:szCs w:val="24"/>
        </w:rPr>
        <w:t>）环境空气</w:t>
      </w:r>
    </w:p>
    <w:p w14:paraId="037A97DE">
      <w:pPr>
        <w:pStyle w:val="26"/>
        <w:ind w:left="0" w:leftChars="0" w:firstLine="480" w:firstLineChars="200"/>
        <w:rPr>
          <w:color w:val="auto"/>
        </w:rPr>
      </w:pPr>
      <w:r>
        <w:rPr>
          <w:rFonts w:ascii="Times New Roman" w:hAnsi="Times New Roman"/>
          <w:color w:val="auto"/>
          <w:sz w:val="24"/>
          <w:szCs w:val="24"/>
        </w:rPr>
        <w:t>SO</w:t>
      </w:r>
      <w:r>
        <w:rPr>
          <w:rFonts w:ascii="Times New Roman" w:hAnsi="Times New Roman"/>
          <w:color w:val="auto"/>
          <w:sz w:val="24"/>
          <w:szCs w:val="24"/>
          <w:vertAlign w:val="subscript"/>
        </w:rPr>
        <w:t>2</w:t>
      </w:r>
      <w:r>
        <w:rPr>
          <w:rFonts w:ascii="Times New Roman" w:hAnsi="Times New Roman"/>
          <w:color w:val="auto"/>
          <w:sz w:val="24"/>
          <w:szCs w:val="24"/>
        </w:rPr>
        <w:t>、NO</w:t>
      </w:r>
      <w:r>
        <w:rPr>
          <w:rFonts w:ascii="Times New Roman" w:hAnsi="Times New Roman"/>
          <w:color w:val="auto"/>
          <w:sz w:val="24"/>
          <w:szCs w:val="24"/>
          <w:vertAlign w:val="subscript"/>
        </w:rPr>
        <w:t>2</w:t>
      </w:r>
      <w:r>
        <w:rPr>
          <w:rFonts w:ascii="Times New Roman" w:hAnsi="Times New Roman"/>
          <w:color w:val="auto"/>
          <w:sz w:val="24"/>
          <w:szCs w:val="24"/>
        </w:rPr>
        <w:t>、PM</w:t>
      </w:r>
      <w:r>
        <w:rPr>
          <w:rFonts w:ascii="Times New Roman" w:hAnsi="Times New Roman"/>
          <w:color w:val="auto"/>
          <w:sz w:val="24"/>
          <w:szCs w:val="24"/>
          <w:vertAlign w:val="subscript"/>
        </w:rPr>
        <w:t>10</w:t>
      </w:r>
      <w:r>
        <w:rPr>
          <w:rFonts w:ascii="Times New Roman" w:hAnsi="Times New Roman"/>
          <w:color w:val="auto"/>
          <w:sz w:val="24"/>
          <w:szCs w:val="24"/>
        </w:rPr>
        <w:t>、PM</w:t>
      </w:r>
      <w:r>
        <w:rPr>
          <w:rFonts w:ascii="Times New Roman" w:hAnsi="Times New Roman"/>
          <w:color w:val="auto"/>
          <w:sz w:val="24"/>
          <w:szCs w:val="24"/>
          <w:vertAlign w:val="subscript"/>
        </w:rPr>
        <w:t>2.5</w:t>
      </w:r>
      <w:r>
        <w:rPr>
          <w:rFonts w:ascii="Times New Roman" w:hAnsi="Times New Roman"/>
          <w:color w:val="auto"/>
          <w:sz w:val="24"/>
          <w:szCs w:val="24"/>
        </w:rPr>
        <w:t>、CO</w:t>
      </w:r>
      <w:r>
        <w:rPr>
          <w:rFonts w:hint="eastAsia" w:ascii="Times New Roman" w:hAnsi="Times New Roman"/>
          <w:color w:val="auto"/>
          <w:sz w:val="24"/>
          <w:szCs w:val="24"/>
        </w:rPr>
        <w:t>、</w:t>
      </w:r>
      <w:r>
        <w:rPr>
          <w:rFonts w:ascii="Times New Roman" w:hAnsi="Times New Roman"/>
          <w:color w:val="auto"/>
          <w:sz w:val="24"/>
          <w:szCs w:val="24"/>
        </w:rPr>
        <w:t>O</w:t>
      </w:r>
      <w:r>
        <w:rPr>
          <w:rFonts w:ascii="Times New Roman" w:hAnsi="Times New Roman"/>
          <w:color w:val="auto"/>
          <w:sz w:val="24"/>
          <w:szCs w:val="24"/>
          <w:vertAlign w:val="subscript"/>
        </w:rPr>
        <w:t>3</w:t>
      </w:r>
      <w:r>
        <w:rPr>
          <w:color w:val="auto"/>
          <w:szCs w:val="24"/>
        </w:rPr>
        <w:t>执行《环境空气质量标准》（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表1中过渡阶段</w:t>
      </w:r>
      <w:r>
        <w:rPr>
          <w:color w:val="auto"/>
          <w:szCs w:val="24"/>
        </w:rPr>
        <w:t>二级标准，</w:t>
      </w:r>
      <w:r>
        <w:rPr>
          <w:rFonts w:hint="eastAsia"/>
          <w:color w:val="auto"/>
          <w:szCs w:val="24"/>
          <w:lang w:val="en-US" w:eastAsia="zh-CN"/>
        </w:rPr>
        <w:t>TSP执行</w:t>
      </w:r>
      <w:r>
        <w:rPr>
          <w:color w:val="auto"/>
          <w:szCs w:val="24"/>
        </w:rPr>
        <w:t>《环境空气质量标准》（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表2中</w:t>
      </w:r>
      <w:r>
        <w:rPr>
          <w:color w:val="auto"/>
          <w:szCs w:val="24"/>
        </w:rPr>
        <w:t>二级标准，</w:t>
      </w:r>
      <w:r>
        <w:rPr>
          <w:rFonts w:hint="eastAsia" w:ascii="Times New Roman" w:hAnsi="Times New Roman" w:cs="Times New Roman"/>
          <w:color w:val="auto"/>
          <w:sz w:val="24"/>
          <w:szCs w:val="24"/>
          <w:lang w:val="en-US" w:eastAsia="zh-CN"/>
        </w:rPr>
        <w:t>氟化物执行《环境空气质量标准》（GB3095-2026）附录A中浓度限值，氯化氢、硫酸、氨、TVOC</w:t>
      </w:r>
      <w:r>
        <w:rPr>
          <w:rFonts w:hint="eastAsia" w:ascii="Times New Roman" w:hAnsi="Times New Roman" w:cs="Times New Roman"/>
          <w:color w:val="auto"/>
          <w:sz w:val="24"/>
          <w:szCs w:val="24"/>
        </w:rPr>
        <w:t>执行《环境</w:t>
      </w:r>
      <w:r>
        <w:rPr>
          <w:rFonts w:ascii="Times New Roman" w:hAnsi="Times New Roman" w:cs="Times New Roman"/>
          <w:color w:val="auto"/>
          <w:sz w:val="24"/>
          <w:szCs w:val="24"/>
        </w:rPr>
        <w:t>影响评价技术导则</w:t>
      </w:r>
      <w:r>
        <w:rPr>
          <w:rFonts w:hint="eastAsia" w:ascii="Times New Roman" w:hAnsi="Times New Roman" w:cs="Times New Roman"/>
          <w:color w:val="auto"/>
          <w:sz w:val="24"/>
          <w:szCs w:val="24"/>
        </w:rPr>
        <w:t xml:space="preserve"> 大气导则》（HJ2.2</w:t>
      </w:r>
      <w:r>
        <w:rPr>
          <w:rFonts w:ascii="Times New Roman" w:hAnsi="Times New Roman" w:cs="Times New Roman"/>
          <w:color w:val="auto"/>
          <w:sz w:val="24"/>
          <w:szCs w:val="24"/>
        </w:rPr>
        <w:t>-2018</w:t>
      </w:r>
      <w:r>
        <w:rPr>
          <w:rFonts w:hint="eastAsia" w:ascii="Times New Roman" w:hAnsi="Times New Roman" w:cs="Times New Roman"/>
          <w:color w:val="auto"/>
          <w:sz w:val="24"/>
          <w:szCs w:val="24"/>
        </w:rPr>
        <w:t>）附录D中相关</w:t>
      </w:r>
      <w:r>
        <w:rPr>
          <w:rFonts w:ascii="Times New Roman" w:hAnsi="Times New Roman" w:cs="Times New Roman"/>
          <w:color w:val="auto"/>
          <w:sz w:val="24"/>
          <w:szCs w:val="24"/>
        </w:rPr>
        <w:t>限值</w:t>
      </w:r>
      <w:r>
        <w:rPr>
          <w:color w:val="auto"/>
        </w:rPr>
        <w:t>。</w:t>
      </w:r>
    </w:p>
    <w:p w14:paraId="501C448C">
      <w:pPr>
        <w:numPr>
          <w:ilvl w:val="0"/>
          <w:numId w:val="11"/>
        </w:numPr>
        <w:spacing w:line="360" w:lineRule="auto"/>
        <w:ind w:left="425" w:leftChars="0" w:hanging="425" w:firstLineChars="0"/>
        <w:jc w:val="center"/>
        <w:rPr>
          <w:rFonts w:ascii="Times New Roman" w:hAnsi="Times New Roman" w:eastAsia="黑体"/>
          <w:color w:val="auto"/>
          <w:sz w:val="21"/>
          <w:szCs w:val="21"/>
        </w:rPr>
      </w:pPr>
      <w:r>
        <w:rPr>
          <w:rFonts w:ascii="Times New Roman" w:hAnsi="Times New Roman" w:eastAsia="黑体"/>
          <w:color w:val="auto"/>
          <w:sz w:val="21"/>
          <w:szCs w:val="21"/>
        </w:rPr>
        <w:t>环境空气质量标准限值</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5"/>
        <w:gridCol w:w="1411"/>
        <w:gridCol w:w="1325"/>
        <w:gridCol w:w="1411"/>
        <w:gridCol w:w="1323"/>
        <w:gridCol w:w="1378"/>
      </w:tblGrid>
      <w:tr w14:paraId="7839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restart"/>
            <w:shd w:val="clear" w:color="auto" w:fill="auto"/>
            <w:vAlign w:val="center"/>
          </w:tcPr>
          <w:p w14:paraId="4DE9D3F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标准依据</w:t>
            </w:r>
          </w:p>
        </w:tc>
        <w:tc>
          <w:tcPr>
            <w:tcW w:w="742" w:type="pct"/>
            <w:vMerge w:val="restart"/>
            <w:shd w:val="clear" w:color="auto" w:fill="auto"/>
            <w:vAlign w:val="center"/>
          </w:tcPr>
          <w:p w14:paraId="1D509BE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污染物名称</w:t>
            </w:r>
          </w:p>
        </w:tc>
        <w:tc>
          <w:tcPr>
            <w:tcW w:w="2860" w:type="pct"/>
            <w:gridSpan w:val="4"/>
            <w:shd w:val="clear" w:color="auto" w:fill="auto"/>
            <w:vAlign w:val="center"/>
          </w:tcPr>
          <w:p w14:paraId="44E1497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标准限值（mg/m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w:t>
            </w:r>
          </w:p>
        </w:tc>
      </w:tr>
      <w:tr w14:paraId="729E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60EF1127">
            <w:pPr>
              <w:pStyle w:val="24"/>
              <w:bidi w:val="0"/>
              <w:rPr>
                <w:rFonts w:hint="eastAsia" w:ascii="Times New Roman" w:hAnsi="Times New Roman" w:eastAsia="宋体" w:cs="Courier New"/>
                <w:b/>
                <w:bCs/>
                <w:color w:val="auto"/>
                <w:highlight w:val="none"/>
                <w:lang w:val="en-US" w:eastAsia="zh-CN"/>
              </w:rPr>
            </w:pPr>
          </w:p>
        </w:tc>
        <w:tc>
          <w:tcPr>
            <w:tcW w:w="742" w:type="pct"/>
            <w:vMerge w:val="continue"/>
            <w:shd w:val="clear" w:color="auto" w:fill="auto"/>
            <w:vAlign w:val="center"/>
          </w:tcPr>
          <w:p w14:paraId="020A8687">
            <w:pPr>
              <w:pStyle w:val="24"/>
              <w:bidi w:val="0"/>
              <w:rPr>
                <w:rFonts w:hint="eastAsia" w:ascii="Times New Roman" w:hAnsi="Times New Roman" w:eastAsia="宋体" w:cs="Courier New"/>
                <w:b/>
                <w:bCs/>
                <w:color w:val="auto"/>
                <w:highlight w:val="none"/>
                <w:lang w:val="en-US" w:eastAsia="zh-CN"/>
              </w:rPr>
            </w:pPr>
          </w:p>
        </w:tc>
        <w:tc>
          <w:tcPr>
            <w:tcW w:w="697" w:type="pct"/>
            <w:vAlign w:val="center"/>
          </w:tcPr>
          <w:p w14:paraId="35D97CD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年平均</w:t>
            </w:r>
          </w:p>
        </w:tc>
        <w:tc>
          <w:tcPr>
            <w:tcW w:w="742" w:type="pct"/>
            <w:vAlign w:val="center"/>
          </w:tcPr>
          <w:p w14:paraId="538CB9B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24小时平均</w:t>
            </w:r>
          </w:p>
        </w:tc>
        <w:tc>
          <w:tcPr>
            <w:tcW w:w="696" w:type="pct"/>
            <w:vAlign w:val="center"/>
          </w:tcPr>
          <w:p w14:paraId="28F77C8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8小时平均</w:t>
            </w:r>
          </w:p>
        </w:tc>
        <w:tc>
          <w:tcPr>
            <w:tcW w:w="724" w:type="pct"/>
            <w:vAlign w:val="center"/>
          </w:tcPr>
          <w:p w14:paraId="36EF682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1小时平均</w:t>
            </w:r>
          </w:p>
        </w:tc>
      </w:tr>
      <w:tr w14:paraId="1CB8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restart"/>
            <w:shd w:val="clear" w:color="auto" w:fill="auto"/>
            <w:vAlign w:val="center"/>
          </w:tcPr>
          <w:p w14:paraId="2D6A52F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《环境空气质量标准》（</w:t>
            </w:r>
            <w:r>
              <w:rPr>
                <w:rFonts w:hint="eastAsia" w:cs="Courier New"/>
                <w:b w:val="0"/>
                <w:bCs w:val="0"/>
                <w:color w:val="auto"/>
                <w:highlight w:val="none"/>
                <w:lang w:val="en-US" w:eastAsia="zh-CN"/>
              </w:rPr>
              <w:t>GB3095-2026</w:t>
            </w:r>
            <w:r>
              <w:rPr>
                <w:rFonts w:hint="eastAsia" w:ascii="Times New Roman" w:hAnsi="Times New Roman" w:eastAsia="宋体" w:cs="Courier New"/>
                <w:b w:val="0"/>
                <w:bCs w:val="0"/>
                <w:color w:val="auto"/>
                <w:highlight w:val="none"/>
                <w:lang w:val="en-US" w:eastAsia="zh-CN"/>
              </w:rPr>
              <w:t>）</w:t>
            </w:r>
          </w:p>
        </w:tc>
        <w:tc>
          <w:tcPr>
            <w:tcW w:w="742" w:type="pct"/>
            <w:shd w:val="clear" w:color="auto" w:fill="auto"/>
            <w:vAlign w:val="center"/>
          </w:tcPr>
          <w:p w14:paraId="73B6563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SO</w:t>
            </w:r>
            <w:r>
              <w:rPr>
                <w:rFonts w:hint="eastAsia" w:ascii="Times New Roman" w:hAnsi="Times New Roman" w:eastAsia="宋体" w:cs="Courier New"/>
                <w:b w:val="0"/>
                <w:bCs w:val="0"/>
                <w:color w:val="auto"/>
                <w:highlight w:val="none"/>
                <w:vertAlign w:val="subscript"/>
                <w:lang w:val="en-US" w:eastAsia="zh-CN"/>
              </w:rPr>
              <w:t>2</w:t>
            </w:r>
          </w:p>
        </w:tc>
        <w:tc>
          <w:tcPr>
            <w:tcW w:w="697" w:type="pct"/>
            <w:vAlign w:val="center"/>
          </w:tcPr>
          <w:p w14:paraId="17A7801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0.060</w:t>
            </w:r>
          </w:p>
        </w:tc>
        <w:tc>
          <w:tcPr>
            <w:tcW w:w="742" w:type="pct"/>
            <w:vAlign w:val="center"/>
          </w:tcPr>
          <w:p w14:paraId="238E211A">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0.150</w:t>
            </w:r>
          </w:p>
        </w:tc>
        <w:tc>
          <w:tcPr>
            <w:tcW w:w="696" w:type="pct"/>
            <w:vAlign w:val="center"/>
          </w:tcPr>
          <w:p w14:paraId="500FF41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50077AA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0.500</w:t>
            </w:r>
          </w:p>
        </w:tc>
      </w:tr>
      <w:tr w14:paraId="59FC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4E537347">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576FB56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NO</w:t>
            </w:r>
            <w:r>
              <w:rPr>
                <w:rFonts w:hint="eastAsia" w:ascii="Times New Roman" w:hAnsi="Times New Roman" w:eastAsia="宋体" w:cs="Courier New"/>
                <w:b w:val="0"/>
                <w:bCs w:val="0"/>
                <w:color w:val="auto"/>
                <w:highlight w:val="none"/>
                <w:vertAlign w:val="subscript"/>
                <w:lang w:val="en-US" w:eastAsia="zh-CN"/>
              </w:rPr>
              <w:t>2</w:t>
            </w:r>
          </w:p>
        </w:tc>
        <w:tc>
          <w:tcPr>
            <w:tcW w:w="697" w:type="pct"/>
            <w:vAlign w:val="center"/>
          </w:tcPr>
          <w:p w14:paraId="2974633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0.040</w:t>
            </w:r>
          </w:p>
        </w:tc>
        <w:tc>
          <w:tcPr>
            <w:tcW w:w="742" w:type="pct"/>
            <w:vAlign w:val="center"/>
          </w:tcPr>
          <w:p w14:paraId="1D1D61A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0.080</w:t>
            </w:r>
          </w:p>
        </w:tc>
        <w:tc>
          <w:tcPr>
            <w:tcW w:w="696" w:type="pct"/>
            <w:vAlign w:val="center"/>
          </w:tcPr>
          <w:p w14:paraId="356DE77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2274ADC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0.200</w:t>
            </w:r>
          </w:p>
        </w:tc>
      </w:tr>
      <w:tr w14:paraId="5B74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7" w:type="pct"/>
            <w:vMerge w:val="continue"/>
            <w:shd w:val="clear" w:color="auto" w:fill="auto"/>
            <w:vAlign w:val="center"/>
          </w:tcPr>
          <w:p w14:paraId="2BE44D2D">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6DEC225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PM</w:t>
            </w:r>
            <w:r>
              <w:rPr>
                <w:rFonts w:hint="eastAsia" w:ascii="Times New Roman" w:hAnsi="Times New Roman" w:eastAsia="宋体" w:cs="Courier New"/>
                <w:b w:val="0"/>
                <w:bCs w:val="0"/>
                <w:color w:val="auto"/>
                <w:highlight w:val="none"/>
                <w:vertAlign w:val="subscript"/>
                <w:lang w:val="en-US" w:eastAsia="zh-CN"/>
              </w:rPr>
              <w:t>10</w:t>
            </w:r>
          </w:p>
        </w:tc>
        <w:tc>
          <w:tcPr>
            <w:tcW w:w="697" w:type="pct"/>
            <w:vAlign w:val="center"/>
          </w:tcPr>
          <w:p w14:paraId="793CD55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w:t>
            </w:r>
            <w:r>
              <w:rPr>
                <w:rFonts w:hint="eastAsia" w:cs="Courier New"/>
                <w:b w:val="0"/>
                <w:bCs w:val="0"/>
                <w:color w:val="auto"/>
                <w:highlight w:val="none"/>
                <w:lang w:val="en-US" w:eastAsia="zh-CN"/>
              </w:rPr>
              <w:t>6</w:t>
            </w:r>
            <w:r>
              <w:rPr>
                <w:rFonts w:hint="eastAsia" w:ascii="Times New Roman" w:hAnsi="Times New Roman" w:eastAsia="宋体" w:cs="Courier New"/>
                <w:b w:val="0"/>
                <w:bCs w:val="0"/>
                <w:color w:val="auto"/>
                <w:highlight w:val="none"/>
                <w:lang w:val="en-US" w:eastAsia="zh-CN"/>
              </w:rPr>
              <w:t>0</w:t>
            </w:r>
          </w:p>
        </w:tc>
        <w:tc>
          <w:tcPr>
            <w:tcW w:w="742" w:type="pct"/>
            <w:vAlign w:val="center"/>
          </w:tcPr>
          <w:p w14:paraId="215B6B2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w:t>
            </w:r>
            <w:r>
              <w:rPr>
                <w:rFonts w:hint="eastAsia" w:cs="Courier New"/>
                <w:b w:val="0"/>
                <w:bCs w:val="0"/>
                <w:color w:val="auto"/>
                <w:highlight w:val="none"/>
                <w:lang w:val="en-US" w:eastAsia="zh-CN"/>
              </w:rPr>
              <w:t>2</w:t>
            </w:r>
            <w:r>
              <w:rPr>
                <w:rFonts w:hint="eastAsia" w:ascii="Times New Roman" w:hAnsi="Times New Roman" w:eastAsia="宋体" w:cs="Courier New"/>
                <w:b w:val="0"/>
                <w:bCs w:val="0"/>
                <w:color w:val="auto"/>
                <w:highlight w:val="none"/>
                <w:lang w:val="en-US" w:eastAsia="zh-CN"/>
              </w:rPr>
              <w:t>0</w:t>
            </w:r>
          </w:p>
        </w:tc>
        <w:tc>
          <w:tcPr>
            <w:tcW w:w="696" w:type="pct"/>
            <w:vAlign w:val="center"/>
          </w:tcPr>
          <w:p w14:paraId="672C15D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6884273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AD2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44517538">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2B942F3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PM</w:t>
            </w:r>
            <w:r>
              <w:rPr>
                <w:rFonts w:hint="eastAsia" w:ascii="Times New Roman" w:hAnsi="Times New Roman" w:eastAsia="宋体" w:cs="Courier New"/>
                <w:b w:val="0"/>
                <w:bCs w:val="0"/>
                <w:color w:val="auto"/>
                <w:highlight w:val="none"/>
                <w:vertAlign w:val="subscript"/>
                <w:lang w:val="en-US" w:eastAsia="zh-CN"/>
              </w:rPr>
              <w:t>2.5</w:t>
            </w:r>
          </w:p>
        </w:tc>
        <w:tc>
          <w:tcPr>
            <w:tcW w:w="697" w:type="pct"/>
            <w:vAlign w:val="center"/>
          </w:tcPr>
          <w:p w14:paraId="15DAE0D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0.03</w:t>
            </w:r>
            <w:r>
              <w:rPr>
                <w:rFonts w:hint="eastAsia" w:cs="Courier New"/>
                <w:b w:val="0"/>
                <w:bCs w:val="0"/>
                <w:color w:val="auto"/>
                <w:highlight w:val="none"/>
                <w:lang w:val="en-US" w:eastAsia="zh-CN"/>
              </w:rPr>
              <w:t>0</w:t>
            </w:r>
          </w:p>
        </w:tc>
        <w:tc>
          <w:tcPr>
            <w:tcW w:w="742" w:type="pct"/>
            <w:vAlign w:val="center"/>
          </w:tcPr>
          <w:p w14:paraId="4F66C13E">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w:t>
            </w:r>
            <w:r>
              <w:rPr>
                <w:rFonts w:hint="eastAsia" w:cs="Courier New"/>
                <w:b w:val="0"/>
                <w:bCs w:val="0"/>
                <w:color w:val="auto"/>
                <w:highlight w:val="none"/>
                <w:lang w:val="en-US" w:eastAsia="zh-CN"/>
              </w:rPr>
              <w:t>60</w:t>
            </w:r>
          </w:p>
        </w:tc>
        <w:tc>
          <w:tcPr>
            <w:tcW w:w="696" w:type="pct"/>
            <w:vAlign w:val="center"/>
          </w:tcPr>
          <w:p w14:paraId="48FF0C8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1AC12F0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4CE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69E8E8F8">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135EE73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CO</w:t>
            </w:r>
          </w:p>
        </w:tc>
        <w:tc>
          <w:tcPr>
            <w:tcW w:w="697" w:type="pct"/>
            <w:vAlign w:val="center"/>
          </w:tcPr>
          <w:p w14:paraId="77DA791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42" w:type="pct"/>
            <w:vAlign w:val="center"/>
          </w:tcPr>
          <w:p w14:paraId="753F733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w:t>
            </w:r>
          </w:p>
        </w:tc>
        <w:tc>
          <w:tcPr>
            <w:tcW w:w="696" w:type="pct"/>
            <w:vAlign w:val="center"/>
          </w:tcPr>
          <w:p w14:paraId="639D8FC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0E240A7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p>
        </w:tc>
      </w:tr>
      <w:tr w14:paraId="2044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4D88FAF7">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65D0E73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O</w:t>
            </w:r>
            <w:r>
              <w:rPr>
                <w:rFonts w:hint="eastAsia" w:ascii="Times New Roman" w:hAnsi="Times New Roman" w:eastAsia="宋体" w:cs="Courier New"/>
                <w:b w:val="0"/>
                <w:bCs w:val="0"/>
                <w:color w:val="auto"/>
                <w:highlight w:val="none"/>
                <w:vertAlign w:val="subscript"/>
                <w:lang w:val="en-US" w:eastAsia="zh-CN"/>
              </w:rPr>
              <w:t>3</w:t>
            </w:r>
          </w:p>
        </w:tc>
        <w:tc>
          <w:tcPr>
            <w:tcW w:w="697" w:type="pct"/>
            <w:vAlign w:val="center"/>
          </w:tcPr>
          <w:p w14:paraId="3B3C990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42" w:type="pct"/>
            <w:vAlign w:val="center"/>
          </w:tcPr>
          <w:p w14:paraId="4B42E7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696" w:type="pct"/>
            <w:vAlign w:val="center"/>
          </w:tcPr>
          <w:p w14:paraId="2006EEC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0.160</w:t>
            </w:r>
          </w:p>
        </w:tc>
        <w:tc>
          <w:tcPr>
            <w:tcW w:w="724" w:type="pct"/>
            <w:vAlign w:val="center"/>
          </w:tcPr>
          <w:p w14:paraId="48E7D827">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0.200</w:t>
            </w:r>
          </w:p>
        </w:tc>
      </w:tr>
      <w:tr w14:paraId="04FA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4403C602">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001C898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TSP</w:t>
            </w:r>
          </w:p>
        </w:tc>
        <w:tc>
          <w:tcPr>
            <w:tcW w:w="697" w:type="pct"/>
            <w:vAlign w:val="center"/>
          </w:tcPr>
          <w:p w14:paraId="512E389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0.200</w:t>
            </w:r>
          </w:p>
        </w:tc>
        <w:tc>
          <w:tcPr>
            <w:tcW w:w="742" w:type="pct"/>
            <w:vAlign w:val="center"/>
          </w:tcPr>
          <w:p w14:paraId="59B4FEB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0.300</w:t>
            </w:r>
          </w:p>
        </w:tc>
        <w:tc>
          <w:tcPr>
            <w:tcW w:w="696" w:type="pct"/>
            <w:vAlign w:val="center"/>
          </w:tcPr>
          <w:p w14:paraId="1A3697F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37B4F20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8F9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390EC0B7">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51E2106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氟化物</w:t>
            </w:r>
          </w:p>
        </w:tc>
        <w:tc>
          <w:tcPr>
            <w:tcW w:w="697" w:type="pct"/>
            <w:vAlign w:val="center"/>
          </w:tcPr>
          <w:p w14:paraId="7F2749A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42" w:type="pct"/>
            <w:vAlign w:val="center"/>
          </w:tcPr>
          <w:p w14:paraId="4D19C1B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0.007</w:t>
            </w:r>
          </w:p>
        </w:tc>
        <w:tc>
          <w:tcPr>
            <w:tcW w:w="696" w:type="pct"/>
            <w:vAlign w:val="center"/>
          </w:tcPr>
          <w:p w14:paraId="70AD5FA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24" w:type="pct"/>
            <w:vAlign w:val="center"/>
          </w:tcPr>
          <w:p w14:paraId="5256C4F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0.020</w:t>
            </w:r>
          </w:p>
        </w:tc>
      </w:tr>
      <w:tr w14:paraId="450F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restart"/>
            <w:shd w:val="clear" w:color="auto" w:fill="auto"/>
            <w:vAlign w:val="center"/>
          </w:tcPr>
          <w:p w14:paraId="40A798C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《环境影响评价技术导则 大气环境》（HJ2.2-2018）附录D中限值</w:t>
            </w:r>
          </w:p>
        </w:tc>
        <w:tc>
          <w:tcPr>
            <w:tcW w:w="742" w:type="pct"/>
            <w:shd w:val="clear" w:color="auto" w:fill="auto"/>
            <w:vAlign w:val="center"/>
          </w:tcPr>
          <w:p w14:paraId="5729E175">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氯化氢</w:t>
            </w:r>
          </w:p>
        </w:tc>
        <w:tc>
          <w:tcPr>
            <w:tcW w:w="697" w:type="pct"/>
            <w:vAlign w:val="center"/>
          </w:tcPr>
          <w:p w14:paraId="6D14B8CE">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742" w:type="pct"/>
            <w:vAlign w:val="center"/>
          </w:tcPr>
          <w:p w14:paraId="2E62BD1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0.015</w:t>
            </w:r>
          </w:p>
        </w:tc>
        <w:tc>
          <w:tcPr>
            <w:tcW w:w="696" w:type="pct"/>
            <w:vAlign w:val="center"/>
          </w:tcPr>
          <w:p w14:paraId="3FDF90D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724" w:type="pct"/>
            <w:vAlign w:val="center"/>
          </w:tcPr>
          <w:p w14:paraId="07D7CC6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0.050</w:t>
            </w:r>
          </w:p>
        </w:tc>
      </w:tr>
      <w:tr w14:paraId="2449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0A419306">
            <w:pPr>
              <w:pStyle w:val="24"/>
              <w:bidi w:val="0"/>
              <w:rPr>
                <w:rFonts w:hint="eastAsia" w:ascii="Times New Roman" w:hAnsi="Times New Roman" w:eastAsia="宋体" w:cs="Courier New"/>
                <w:b w:val="0"/>
                <w:bCs w:val="0"/>
                <w:color w:val="auto"/>
                <w:highlight w:val="none"/>
                <w:lang w:val="en-US" w:eastAsia="zh-CN"/>
              </w:rPr>
            </w:pPr>
          </w:p>
        </w:tc>
        <w:tc>
          <w:tcPr>
            <w:tcW w:w="1411" w:type="dxa"/>
            <w:shd w:val="clear" w:color="auto" w:fill="auto"/>
            <w:vAlign w:val="center"/>
          </w:tcPr>
          <w:p w14:paraId="635CBD3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硫酸</w:t>
            </w:r>
          </w:p>
        </w:tc>
        <w:tc>
          <w:tcPr>
            <w:tcW w:w="1325" w:type="dxa"/>
            <w:shd w:val="clear" w:color="auto" w:fill="auto"/>
            <w:vAlign w:val="center"/>
          </w:tcPr>
          <w:p w14:paraId="5ACE23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1411" w:type="dxa"/>
            <w:shd w:val="clear" w:color="auto" w:fill="auto"/>
            <w:vAlign w:val="center"/>
          </w:tcPr>
          <w:p w14:paraId="247E20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0.100</w:t>
            </w:r>
          </w:p>
        </w:tc>
        <w:tc>
          <w:tcPr>
            <w:tcW w:w="1323" w:type="dxa"/>
            <w:shd w:val="clear" w:color="auto" w:fill="auto"/>
            <w:vAlign w:val="center"/>
          </w:tcPr>
          <w:p w14:paraId="1368F0E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1378" w:type="dxa"/>
            <w:shd w:val="clear" w:color="auto" w:fill="auto"/>
            <w:vAlign w:val="center"/>
          </w:tcPr>
          <w:p w14:paraId="06CC1E3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0.300</w:t>
            </w:r>
          </w:p>
        </w:tc>
      </w:tr>
      <w:tr w14:paraId="064E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10DA274E">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18CCD81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氨</w:t>
            </w:r>
          </w:p>
        </w:tc>
        <w:tc>
          <w:tcPr>
            <w:tcW w:w="697" w:type="pct"/>
            <w:shd w:val="clear" w:color="auto" w:fill="auto"/>
            <w:vAlign w:val="center"/>
          </w:tcPr>
          <w:p w14:paraId="11056C6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742" w:type="pct"/>
            <w:shd w:val="clear" w:color="auto" w:fill="auto"/>
            <w:vAlign w:val="center"/>
          </w:tcPr>
          <w:p w14:paraId="2B951B9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96" w:type="pct"/>
            <w:shd w:val="clear" w:color="auto" w:fill="auto"/>
            <w:vAlign w:val="center"/>
          </w:tcPr>
          <w:p w14:paraId="43DD965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724" w:type="pct"/>
            <w:shd w:val="clear" w:color="auto" w:fill="auto"/>
            <w:vAlign w:val="center"/>
          </w:tcPr>
          <w:p w14:paraId="6B80094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0.200</w:t>
            </w:r>
          </w:p>
        </w:tc>
      </w:tr>
      <w:tr w14:paraId="320A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7" w:type="pct"/>
            <w:vMerge w:val="continue"/>
            <w:shd w:val="clear" w:color="auto" w:fill="auto"/>
            <w:vAlign w:val="center"/>
          </w:tcPr>
          <w:p w14:paraId="42DFEEED">
            <w:pPr>
              <w:pStyle w:val="24"/>
              <w:bidi w:val="0"/>
              <w:rPr>
                <w:rFonts w:hint="eastAsia" w:ascii="Times New Roman" w:hAnsi="Times New Roman" w:eastAsia="宋体" w:cs="Courier New"/>
                <w:b w:val="0"/>
                <w:bCs w:val="0"/>
                <w:color w:val="auto"/>
                <w:highlight w:val="none"/>
                <w:lang w:val="en-US" w:eastAsia="zh-CN"/>
              </w:rPr>
            </w:pPr>
          </w:p>
        </w:tc>
        <w:tc>
          <w:tcPr>
            <w:tcW w:w="742" w:type="pct"/>
            <w:shd w:val="clear" w:color="auto" w:fill="auto"/>
            <w:vAlign w:val="center"/>
          </w:tcPr>
          <w:p w14:paraId="7404F0C1">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TVOC</w:t>
            </w:r>
          </w:p>
        </w:tc>
        <w:tc>
          <w:tcPr>
            <w:tcW w:w="697" w:type="pct"/>
            <w:shd w:val="clear" w:color="auto" w:fill="auto"/>
            <w:vAlign w:val="center"/>
          </w:tcPr>
          <w:p w14:paraId="7CF7D68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742" w:type="pct"/>
            <w:shd w:val="clear" w:color="auto" w:fill="auto"/>
            <w:vAlign w:val="center"/>
          </w:tcPr>
          <w:p w14:paraId="71103ED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96" w:type="pct"/>
            <w:shd w:val="clear" w:color="auto" w:fill="auto"/>
            <w:vAlign w:val="center"/>
          </w:tcPr>
          <w:p w14:paraId="28DA265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0.600</w:t>
            </w:r>
          </w:p>
        </w:tc>
        <w:tc>
          <w:tcPr>
            <w:tcW w:w="724" w:type="pct"/>
            <w:vAlign w:val="center"/>
          </w:tcPr>
          <w:p w14:paraId="20D6AB13">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r>
    </w:tbl>
    <w:p w14:paraId="611EA677">
      <w:pPr>
        <w:spacing w:line="360" w:lineRule="auto"/>
        <w:rPr>
          <w:rFonts w:ascii="Times New Roman" w:hAnsi="Times New Roman"/>
          <w:b/>
          <w:color w:val="auto"/>
          <w:sz w:val="24"/>
          <w:szCs w:val="24"/>
        </w:rPr>
      </w:pPr>
      <w:r>
        <w:rPr>
          <w:rFonts w:ascii="Times New Roman" w:hAnsi="Times New Roman"/>
          <w:b/>
          <w:color w:val="auto"/>
          <w:sz w:val="24"/>
          <w:szCs w:val="24"/>
        </w:rPr>
        <w:t>（2）地表水环境</w:t>
      </w:r>
    </w:p>
    <w:p w14:paraId="0DFB11F3">
      <w:pPr>
        <w:spacing w:line="360" w:lineRule="auto"/>
        <w:rPr>
          <w:rFonts w:ascii="Times New Roman" w:hAnsi="Times New Roman"/>
          <w:color w:val="auto"/>
          <w:sz w:val="24"/>
          <w:szCs w:val="24"/>
        </w:rPr>
      </w:pPr>
      <w:r>
        <w:rPr>
          <w:rFonts w:ascii="Times New Roman" w:hAnsi="Times New Roman"/>
          <w:color w:val="auto"/>
          <w:sz w:val="24"/>
          <w:szCs w:val="24"/>
        </w:rPr>
        <w:t>执行《地表水环境质量标准》（GB3838-2002）</w:t>
      </w:r>
      <w:r>
        <w:rPr>
          <w:rFonts w:hint="eastAsia" w:ascii="Times New Roman" w:hAnsi="Times New Roman"/>
          <w:color w:val="auto"/>
          <w:sz w:val="24"/>
          <w:szCs w:val="24"/>
        </w:rPr>
        <w:t>Ⅲ</w:t>
      </w:r>
      <w:r>
        <w:rPr>
          <w:rFonts w:ascii="Times New Roman" w:hAnsi="Times New Roman"/>
          <w:color w:val="auto"/>
          <w:sz w:val="24"/>
          <w:szCs w:val="24"/>
        </w:rPr>
        <w:t>类标准。</w:t>
      </w:r>
    </w:p>
    <w:p w14:paraId="071AF0FE">
      <w:pPr>
        <w:numPr>
          <w:ilvl w:val="0"/>
          <w:numId w:val="11"/>
        </w:numPr>
        <w:spacing w:line="360" w:lineRule="auto"/>
        <w:ind w:left="425" w:leftChars="0" w:hanging="425" w:firstLineChars="0"/>
        <w:jc w:val="center"/>
        <w:rPr>
          <w:rFonts w:hint="eastAsia" w:ascii="Times New Roman" w:hAnsi="Times New Roman" w:eastAsia="黑体"/>
          <w:color w:val="auto"/>
          <w:sz w:val="21"/>
          <w:szCs w:val="21"/>
          <w:lang w:val="en-US" w:eastAsia="zh-CN"/>
        </w:rPr>
      </w:pPr>
      <w:r>
        <w:rPr>
          <w:rFonts w:hint="eastAsia" w:ascii="Times New Roman" w:hAnsi="Times New Roman" w:eastAsia="黑体"/>
          <w:color w:val="auto"/>
          <w:sz w:val="21"/>
          <w:szCs w:val="21"/>
          <w:lang w:val="en-US" w:eastAsia="zh-CN"/>
        </w:rPr>
        <w:t>地表水环境质量标准限值</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227"/>
        <w:gridCol w:w="1151"/>
        <w:gridCol w:w="1532"/>
        <w:gridCol w:w="1067"/>
        <w:gridCol w:w="1111"/>
        <w:gridCol w:w="1263"/>
        <w:gridCol w:w="1164"/>
      </w:tblGrid>
      <w:tr w14:paraId="077E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383DDC83">
            <w:pPr>
              <w:pStyle w:val="24"/>
              <w:rPr>
                <w:color w:val="auto"/>
              </w:rPr>
            </w:pPr>
            <w:r>
              <w:rPr>
                <w:rFonts w:hint="eastAsia" w:ascii="宋体" w:hAnsi="宋体" w:eastAsia="宋体" w:cs="宋体"/>
                <w:color w:val="auto"/>
              </w:rPr>
              <w:t>项目</w:t>
            </w:r>
          </w:p>
        </w:tc>
        <w:tc>
          <w:tcPr>
            <w:tcW w:w="645" w:type="pct"/>
            <w:shd w:val="clear" w:color="auto" w:fill="auto"/>
            <w:vAlign w:val="center"/>
          </w:tcPr>
          <w:p w14:paraId="1D00016A">
            <w:pPr>
              <w:pStyle w:val="24"/>
              <w:rPr>
                <w:color w:val="auto"/>
              </w:rPr>
            </w:pPr>
            <w:r>
              <w:rPr>
                <w:color w:val="auto"/>
              </w:rPr>
              <w:t>pH</w:t>
            </w:r>
          </w:p>
        </w:tc>
        <w:tc>
          <w:tcPr>
            <w:tcW w:w="605" w:type="pct"/>
            <w:shd w:val="clear" w:color="auto" w:fill="auto"/>
            <w:vAlign w:val="center"/>
          </w:tcPr>
          <w:p w14:paraId="205E279D">
            <w:pPr>
              <w:pStyle w:val="24"/>
              <w:rPr>
                <w:color w:val="auto"/>
              </w:rPr>
            </w:pPr>
            <w:r>
              <w:rPr>
                <w:rFonts w:hint="eastAsia" w:ascii="宋体" w:hAnsi="宋体" w:eastAsia="宋体" w:cs="宋体"/>
                <w:color w:val="auto"/>
              </w:rPr>
              <w:t>溶解氧</w:t>
            </w:r>
          </w:p>
        </w:tc>
        <w:tc>
          <w:tcPr>
            <w:tcW w:w="805" w:type="pct"/>
            <w:shd w:val="clear" w:color="auto" w:fill="auto"/>
            <w:vAlign w:val="center"/>
          </w:tcPr>
          <w:p w14:paraId="6CC90444">
            <w:pPr>
              <w:pStyle w:val="24"/>
              <w:rPr>
                <w:color w:val="auto"/>
              </w:rPr>
            </w:pPr>
            <w:r>
              <w:rPr>
                <w:rFonts w:hint="eastAsia" w:ascii="宋体" w:hAnsi="宋体" w:eastAsia="宋体" w:cs="宋体"/>
                <w:bCs/>
                <w:color w:val="auto"/>
              </w:rPr>
              <w:t>高锰酸盐指数</w:t>
            </w:r>
          </w:p>
        </w:tc>
        <w:tc>
          <w:tcPr>
            <w:tcW w:w="561" w:type="pct"/>
            <w:vAlign w:val="center"/>
          </w:tcPr>
          <w:p w14:paraId="0835A7B1">
            <w:pPr>
              <w:pStyle w:val="24"/>
              <w:rPr>
                <w:color w:val="auto"/>
              </w:rPr>
            </w:pPr>
            <w:r>
              <w:rPr>
                <w:color w:val="auto"/>
              </w:rPr>
              <w:t>COD</w:t>
            </w:r>
          </w:p>
        </w:tc>
        <w:tc>
          <w:tcPr>
            <w:tcW w:w="584" w:type="pct"/>
            <w:vAlign w:val="center"/>
          </w:tcPr>
          <w:p w14:paraId="2A185D06">
            <w:pPr>
              <w:pStyle w:val="24"/>
              <w:rPr>
                <w:color w:val="auto"/>
              </w:rPr>
            </w:pPr>
            <w:r>
              <w:rPr>
                <w:color w:val="auto"/>
              </w:rPr>
              <w:t>BOD</w:t>
            </w:r>
            <w:r>
              <w:rPr>
                <w:color w:val="auto"/>
                <w:vertAlign w:val="subscript"/>
              </w:rPr>
              <w:t>5</w:t>
            </w:r>
          </w:p>
        </w:tc>
        <w:tc>
          <w:tcPr>
            <w:tcW w:w="664" w:type="pct"/>
            <w:shd w:val="clear" w:color="auto" w:fill="auto"/>
            <w:vAlign w:val="center"/>
          </w:tcPr>
          <w:p w14:paraId="262A8EEF">
            <w:pPr>
              <w:pStyle w:val="24"/>
              <w:rPr>
                <w:color w:val="auto"/>
              </w:rPr>
            </w:pPr>
            <w:r>
              <w:rPr>
                <w:color w:val="auto"/>
              </w:rPr>
              <w:t>NH</w:t>
            </w:r>
            <w:r>
              <w:rPr>
                <w:color w:val="auto"/>
                <w:vertAlign w:val="subscript"/>
              </w:rPr>
              <w:t>3</w:t>
            </w:r>
            <w:r>
              <w:rPr>
                <w:color w:val="auto"/>
              </w:rPr>
              <w:t>-N</w:t>
            </w:r>
          </w:p>
        </w:tc>
        <w:tc>
          <w:tcPr>
            <w:tcW w:w="608" w:type="pct"/>
            <w:vAlign w:val="center"/>
          </w:tcPr>
          <w:p w14:paraId="07E8F3F0">
            <w:pPr>
              <w:pStyle w:val="24"/>
              <w:rPr>
                <w:color w:val="auto"/>
              </w:rPr>
            </w:pPr>
            <w:r>
              <w:rPr>
                <w:color w:val="auto"/>
              </w:rPr>
              <w:t>TP</w:t>
            </w:r>
          </w:p>
        </w:tc>
      </w:tr>
      <w:tr w14:paraId="2728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1603C003">
            <w:pPr>
              <w:pStyle w:val="24"/>
              <w:rPr>
                <w:color w:val="auto"/>
              </w:rPr>
            </w:pPr>
            <w:r>
              <w:rPr>
                <w:rFonts w:hint="eastAsia" w:ascii="宋体" w:hAnsi="宋体" w:eastAsia="宋体" w:cs="宋体"/>
                <w:color w:val="auto"/>
              </w:rPr>
              <w:t>标准值</w:t>
            </w:r>
            <w:r>
              <w:rPr>
                <w:color w:val="auto"/>
              </w:rPr>
              <w:t>*</w:t>
            </w:r>
          </w:p>
        </w:tc>
        <w:tc>
          <w:tcPr>
            <w:tcW w:w="645" w:type="pct"/>
            <w:shd w:val="clear" w:color="auto" w:fill="auto"/>
            <w:vAlign w:val="center"/>
          </w:tcPr>
          <w:p w14:paraId="08115513">
            <w:pPr>
              <w:pStyle w:val="24"/>
              <w:rPr>
                <w:color w:val="auto"/>
              </w:rPr>
            </w:pPr>
            <w:r>
              <w:rPr>
                <w:color w:val="auto"/>
              </w:rPr>
              <w:t>6~9</w:t>
            </w:r>
          </w:p>
        </w:tc>
        <w:tc>
          <w:tcPr>
            <w:tcW w:w="605" w:type="pct"/>
            <w:shd w:val="clear" w:color="auto" w:fill="auto"/>
            <w:vAlign w:val="center"/>
          </w:tcPr>
          <w:p w14:paraId="6589A557">
            <w:pPr>
              <w:pStyle w:val="24"/>
              <w:rPr>
                <w:color w:val="auto"/>
              </w:rPr>
            </w:pPr>
            <w:r>
              <w:rPr>
                <w:color w:val="auto"/>
              </w:rPr>
              <w:t>≥5</w:t>
            </w:r>
          </w:p>
        </w:tc>
        <w:tc>
          <w:tcPr>
            <w:tcW w:w="805" w:type="pct"/>
            <w:shd w:val="clear" w:color="auto" w:fill="auto"/>
            <w:vAlign w:val="center"/>
          </w:tcPr>
          <w:p w14:paraId="58C1D321">
            <w:pPr>
              <w:pStyle w:val="24"/>
              <w:rPr>
                <w:color w:val="auto"/>
              </w:rPr>
            </w:pPr>
            <w:r>
              <w:rPr>
                <w:color w:val="auto"/>
                <w:kern w:val="0"/>
              </w:rPr>
              <w:t>≤6</w:t>
            </w:r>
          </w:p>
        </w:tc>
        <w:tc>
          <w:tcPr>
            <w:tcW w:w="561" w:type="pct"/>
            <w:vAlign w:val="center"/>
          </w:tcPr>
          <w:p w14:paraId="12A39B08">
            <w:pPr>
              <w:pStyle w:val="24"/>
              <w:rPr>
                <w:color w:val="auto"/>
              </w:rPr>
            </w:pPr>
            <w:r>
              <w:rPr>
                <w:color w:val="auto"/>
                <w:kern w:val="0"/>
              </w:rPr>
              <w:t>≤20</w:t>
            </w:r>
          </w:p>
        </w:tc>
        <w:tc>
          <w:tcPr>
            <w:tcW w:w="584" w:type="pct"/>
            <w:vAlign w:val="center"/>
          </w:tcPr>
          <w:p w14:paraId="0EB898E7">
            <w:pPr>
              <w:pStyle w:val="24"/>
              <w:rPr>
                <w:color w:val="auto"/>
              </w:rPr>
            </w:pPr>
            <w:r>
              <w:rPr>
                <w:color w:val="auto"/>
                <w:kern w:val="0"/>
              </w:rPr>
              <w:t>≤4</w:t>
            </w:r>
          </w:p>
        </w:tc>
        <w:tc>
          <w:tcPr>
            <w:tcW w:w="664" w:type="pct"/>
            <w:shd w:val="clear" w:color="auto" w:fill="auto"/>
            <w:vAlign w:val="center"/>
          </w:tcPr>
          <w:p w14:paraId="69172AB8">
            <w:pPr>
              <w:pStyle w:val="24"/>
              <w:rPr>
                <w:color w:val="auto"/>
                <w:kern w:val="0"/>
              </w:rPr>
            </w:pPr>
            <w:r>
              <w:rPr>
                <w:color w:val="auto"/>
                <w:kern w:val="0"/>
              </w:rPr>
              <w:t>≤1.0</w:t>
            </w:r>
          </w:p>
        </w:tc>
        <w:tc>
          <w:tcPr>
            <w:tcW w:w="608" w:type="pct"/>
            <w:vAlign w:val="center"/>
          </w:tcPr>
          <w:p w14:paraId="38AD116F">
            <w:pPr>
              <w:pStyle w:val="24"/>
              <w:rPr>
                <w:color w:val="auto"/>
              </w:rPr>
            </w:pPr>
            <w:r>
              <w:rPr>
                <w:color w:val="auto"/>
                <w:kern w:val="0"/>
              </w:rPr>
              <w:t>≤0.2</w:t>
            </w:r>
          </w:p>
        </w:tc>
      </w:tr>
      <w:tr w14:paraId="17A6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28CB6B58">
            <w:pPr>
              <w:pStyle w:val="24"/>
              <w:rPr>
                <w:color w:val="auto"/>
              </w:rPr>
            </w:pPr>
            <w:r>
              <w:rPr>
                <w:rFonts w:hint="eastAsia" w:ascii="宋体" w:hAnsi="宋体" w:eastAsia="宋体" w:cs="宋体"/>
                <w:color w:val="auto"/>
              </w:rPr>
              <w:t>项目</w:t>
            </w:r>
          </w:p>
        </w:tc>
        <w:tc>
          <w:tcPr>
            <w:tcW w:w="645" w:type="pct"/>
            <w:shd w:val="clear" w:color="auto" w:fill="auto"/>
            <w:vAlign w:val="center"/>
          </w:tcPr>
          <w:p w14:paraId="716F6321">
            <w:pPr>
              <w:pStyle w:val="24"/>
              <w:rPr>
                <w:color w:val="auto"/>
              </w:rPr>
            </w:pPr>
            <w:r>
              <w:rPr>
                <w:rFonts w:hint="eastAsia" w:ascii="宋体" w:hAnsi="宋体" w:eastAsia="宋体" w:cs="宋体"/>
                <w:color w:val="auto"/>
              </w:rPr>
              <w:t>铜</w:t>
            </w:r>
          </w:p>
        </w:tc>
        <w:tc>
          <w:tcPr>
            <w:tcW w:w="605" w:type="pct"/>
            <w:shd w:val="clear" w:color="auto" w:fill="auto"/>
            <w:vAlign w:val="center"/>
          </w:tcPr>
          <w:p w14:paraId="0D6CAF48">
            <w:pPr>
              <w:pStyle w:val="24"/>
              <w:rPr>
                <w:color w:val="auto"/>
              </w:rPr>
            </w:pPr>
            <w:r>
              <w:rPr>
                <w:rFonts w:hint="eastAsia" w:ascii="宋体" w:hAnsi="宋体" w:eastAsia="宋体" w:cs="宋体"/>
                <w:color w:val="auto"/>
              </w:rPr>
              <w:t>锌</w:t>
            </w:r>
          </w:p>
        </w:tc>
        <w:tc>
          <w:tcPr>
            <w:tcW w:w="805" w:type="pct"/>
            <w:shd w:val="clear" w:color="auto" w:fill="auto"/>
            <w:vAlign w:val="center"/>
          </w:tcPr>
          <w:p w14:paraId="273C4457">
            <w:pPr>
              <w:pStyle w:val="24"/>
              <w:rPr>
                <w:color w:val="auto"/>
              </w:rPr>
            </w:pPr>
            <w:r>
              <w:rPr>
                <w:rFonts w:hint="eastAsia" w:ascii="宋体" w:hAnsi="宋体" w:eastAsia="宋体" w:cs="宋体"/>
                <w:color w:val="auto"/>
              </w:rPr>
              <w:t>氟化物</w:t>
            </w:r>
          </w:p>
        </w:tc>
        <w:tc>
          <w:tcPr>
            <w:tcW w:w="561" w:type="pct"/>
            <w:vAlign w:val="center"/>
          </w:tcPr>
          <w:p w14:paraId="52919965">
            <w:pPr>
              <w:pStyle w:val="24"/>
              <w:rPr>
                <w:color w:val="auto"/>
              </w:rPr>
            </w:pPr>
            <w:r>
              <w:rPr>
                <w:rFonts w:hint="eastAsia" w:ascii="宋体" w:hAnsi="宋体" w:eastAsia="宋体" w:cs="宋体"/>
                <w:color w:val="auto"/>
              </w:rPr>
              <w:t>硒</w:t>
            </w:r>
          </w:p>
        </w:tc>
        <w:tc>
          <w:tcPr>
            <w:tcW w:w="584" w:type="pct"/>
            <w:vAlign w:val="center"/>
          </w:tcPr>
          <w:p w14:paraId="194B2012">
            <w:pPr>
              <w:pStyle w:val="24"/>
              <w:rPr>
                <w:color w:val="auto"/>
              </w:rPr>
            </w:pPr>
            <w:r>
              <w:rPr>
                <w:rFonts w:hint="eastAsia" w:ascii="宋体" w:hAnsi="宋体" w:eastAsia="宋体" w:cs="宋体"/>
                <w:color w:val="auto"/>
              </w:rPr>
              <w:t>砷</w:t>
            </w:r>
          </w:p>
        </w:tc>
        <w:tc>
          <w:tcPr>
            <w:tcW w:w="664" w:type="pct"/>
            <w:shd w:val="clear" w:color="auto" w:fill="auto"/>
            <w:vAlign w:val="center"/>
          </w:tcPr>
          <w:p w14:paraId="723D3850">
            <w:pPr>
              <w:pStyle w:val="24"/>
              <w:rPr>
                <w:color w:val="auto"/>
              </w:rPr>
            </w:pPr>
            <w:r>
              <w:rPr>
                <w:rFonts w:hint="eastAsia" w:ascii="宋体" w:hAnsi="宋体" w:eastAsia="宋体" w:cs="宋体"/>
                <w:color w:val="auto"/>
              </w:rPr>
              <w:t>汞</w:t>
            </w:r>
          </w:p>
        </w:tc>
        <w:tc>
          <w:tcPr>
            <w:tcW w:w="608" w:type="pct"/>
            <w:vAlign w:val="center"/>
          </w:tcPr>
          <w:p w14:paraId="015D6EA4">
            <w:pPr>
              <w:pStyle w:val="24"/>
              <w:rPr>
                <w:color w:val="auto"/>
              </w:rPr>
            </w:pPr>
            <w:r>
              <w:rPr>
                <w:rFonts w:hint="eastAsia" w:ascii="宋体" w:hAnsi="宋体" w:eastAsia="宋体" w:cs="宋体"/>
                <w:bCs/>
                <w:color w:val="auto"/>
              </w:rPr>
              <w:t>镉</w:t>
            </w:r>
          </w:p>
        </w:tc>
      </w:tr>
      <w:tr w14:paraId="455F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626B997C">
            <w:pPr>
              <w:pStyle w:val="24"/>
              <w:rPr>
                <w:color w:val="auto"/>
              </w:rPr>
            </w:pPr>
            <w:r>
              <w:rPr>
                <w:rFonts w:hint="eastAsia" w:ascii="宋体" w:hAnsi="宋体" w:eastAsia="宋体" w:cs="宋体"/>
                <w:color w:val="auto"/>
              </w:rPr>
              <w:t>标准值</w:t>
            </w:r>
            <w:r>
              <w:rPr>
                <w:color w:val="auto"/>
              </w:rPr>
              <w:t>*</w:t>
            </w:r>
          </w:p>
        </w:tc>
        <w:tc>
          <w:tcPr>
            <w:tcW w:w="645" w:type="pct"/>
            <w:shd w:val="clear" w:color="auto" w:fill="auto"/>
            <w:vAlign w:val="center"/>
          </w:tcPr>
          <w:p w14:paraId="0B57F05B">
            <w:pPr>
              <w:pStyle w:val="24"/>
              <w:rPr>
                <w:color w:val="auto"/>
              </w:rPr>
            </w:pPr>
            <w:r>
              <w:rPr>
                <w:color w:val="auto"/>
                <w:kern w:val="0"/>
              </w:rPr>
              <w:t>≤1.0</w:t>
            </w:r>
          </w:p>
        </w:tc>
        <w:tc>
          <w:tcPr>
            <w:tcW w:w="605" w:type="pct"/>
            <w:shd w:val="clear" w:color="auto" w:fill="auto"/>
            <w:vAlign w:val="center"/>
          </w:tcPr>
          <w:p w14:paraId="4D8FE5CF">
            <w:pPr>
              <w:pStyle w:val="24"/>
              <w:rPr>
                <w:color w:val="auto"/>
              </w:rPr>
            </w:pPr>
            <w:r>
              <w:rPr>
                <w:color w:val="auto"/>
                <w:kern w:val="0"/>
              </w:rPr>
              <w:t>≤1.0</w:t>
            </w:r>
          </w:p>
        </w:tc>
        <w:tc>
          <w:tcPr>
            <w:tcW w:w="805" w:type="pct"/>
            <w:shd w:val="clear" w:color="auto" w:fill="auto"/>
            <w:vAlign w:val="center"/>
          </w:tcPr>
          <w:p w14:paraId="5C417C25">
            <w:pPr>
              <w:pStyle w:val="24"/>
              <w:rPr>
                <w:color w:val="auto"/>
              </w:rPr>
            </w:pPr>
            <w:r>
              <w:rPr>
                <w:color w:val="auto"/>
                <w:kern w:val="0"/>
              </w:rPr>
              <w:t>≤1.0</w:t>
            </w:r>
          </w:p>
        </w:tc>
        <w:tc>
          <w:tcPr>
            <w:tcW w:w="561" w:type="pct"/>
            <w:vAlign w:val="center"/>
          </w:tcPr>
          <w:p w14:paraId="4EE33B29">
            <w:pPr>
              <w:pStyle w:val="24"/>
              <w:rPr>
                <w:color w:val="auto"/>
              </w:rPr>
            </w:pPr>
            <w:r>
              <w:rPr>
                <w:color w:val="auto"/>
                <w:kern w:val="0"/>
              </w:rPr>
              <w:t>≤0.01</w:t>
            </w:r>
          </w:p>
        </w:tc>
        <w:tc>
          <w:tcPr>
            <w:tcW w:w="584" w:type="pct"/>
            <w:vAlign w:val="center"/>
          </w:tcPr>
          <w:p w14:paraId="43953212">
            <w:pPr>
              <w:pStyle w:val="24"/>
              <w:rPr>
                <w:color w:val="auto"/>
              </w:rPr>
            </w:pPr>
            <w:r>
              <w:rPr>
                <w:color w:val="auto"/>
                <w:kern w:val="0"/>
              </w:rPr>
              <w:t>≤0.05</w:t>
            </w:r>
          </w:p>
        </w:tc>
        <w:tc>
          <w:tcPr>
            <w:tcW w:w="664" w:type="pct"/>
            <w:shd w:val="clear" w:color="auto" w:fill="auto"/>
            <w:vAlign w:val="center"/>
          </w:tcPr>
          <w:p w14:paraId="533C651B">
            <w:pPr>
              <w:pStyle w:val="24"/>
              <w:rPr>
                <w:color w:val="auto"/>
              </w:rPr>
            </w:pPr>
            <w:r>
              <w:rPr>
                <w:color w:val="auto"/>
                <w:kern w:val="0"/>
              </w:rPr>
              <w:t>≤0.0001</w:t>
            </w:r>
          </w:p>
        </w:tc>
        <w:tc>
          <w:tcPr>
            <w:tcW w:w="608" w:type="pct"/>
            <w:vAlign w:val="center"/>
          </w:tcPr>
          <w:p w14:paraId="2756880A">
            <w:pPr>
              <w:pStyle w:val="24"/>
              <w:rPr>
                <w:color w:val="auto"/>
              </w:rPr>
            </w:pPr>
            <w:r>
              <w:rPr>
                <w:color w:val="auto"/>
                <w:kern w:val="0"/>
              </w:rPr>
              <w:t>≤0.005</w:t>
            </w:r>
          </w:p>
        </w:tc>
      </w:tr>
      <w:tr w14:paraId="6504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6603C73A">
            <w:pPr>
              <w:pStyle w:val="24"/>
              <w:rPr>
                <w:color w:val="auto"/>
              </w:rPr>
            </w:pPr>
            <w:r>
              <w:rPr>
                <w:rFonts w:hint="eastAsia" w:ascii="宋体" w:hAnsi="宋体" w:eastAsia="宋体" w:cs="宋体"/>
                <w:color w:val="auto"/>
              </w:rPr>
              <w:t>项目</w:t>
            </w:r>
          </w:p>
        </w:tc>
        <w:tc>
          <w:tcPr>
            <w:tcW w:w="645" w:type="pct"/>
            <w:shd w:val="clear" w:color="auto" w:fill="auto"/>
            <w:vAlign w:val="center"/>
          </w:tcPr>
          <w:p w14:paraId="2C3CABBE">
            <w:pPr>
              <w:pStyle w:val="24"/>
              <w:rPr>
                <w:color w:val="auto"/>
                <w:kern w:val="0"/>
              </w:rPr>
            </w:pPr>
            <w:r>
              <w:rPr>
                <w:rFonts w:hint="eastAsia" w:ascii="宋体" w:hAnsi="宋体" w:eastAsia="宋体" w:cs="宋体"/>
                <w:bCs/>
                <w:color w:val="auto"/>
              </w:rPr>
              <w:t>铬（六价）</w:t>
            </w:r>
          </w:p>
        </w:tc>
        <w:tc>
          <w:tcPr>
            <w:tcW w:w="605" w:type="pct"/>
            <w:shd w:val="clear" w:color="auto" w:fill="auto"/>
            <w:vAlign w:val="center"/>
          </w:tcPr>
          <w:p w14:paraId="455F8C89">
            <w:pPr>
              <w:pStyle w:val="24"/>
              <w:rPr>
                <w:color w:val="auto"/>
                <w:kern w:val="0"/>
              </w:rPr>
            </w:pPr>
            <w:r>
              <w:rPr>
                <w:rFonts w:hint="eastAsia" w:ascii="宋体" w:hAnsi="宋体" w:eastAsia="宋体" w:cs="宋体"/>
                <w:color w:val="auto"/>
              </w:rPr>
              <w:t>铅</w:t>
            </w:r>
          </w:p>
        </w:tc>
        <w:tc>
          <w:tcPr>
            <w:tcW w:w="805" w:type="pct"/>
            <w:shd w:val="clear" w:color="auto" w:fill="auto"/>
            <w:vAlign w:val="center"/>
          </w:tcPr>
          <w:p w14:paraId="18076D30">
            <w:pPr>
              <w:pStyle w:val="24"/>
              <w:rPr>
                <w:color w:val="auto"/>
                <w:kern w:val="0"/>
              </w:rPr>
            </w:pPr>
            <w:r>
              <w:rPr>
                <w:rFonts w:hint="eastAsia" w:ascii="宋体" w:hAnsi="宋体" w:eastAsia="宋体" w:cs="宋体"/>
                <w:color w:val="auto"/>
              </w:rPr>
              <w:t>氰化物</w:t>
            </w:r>
          </w:p>
        </w:tc>
        <w:tc>
          <w:tcPr>
            <w:tcW w:w="561" w:type="pct"/>
            <w:vAlign w:val="center"/>
          </w:tcPr>
          <w:p w14:paraId="2F33FA69">
            <w:pPr>
              <w:pStyle w:val="24"/>
              <w:rPr>
                <w:color w:val="auto"/>
                <w:kern w:val="0"/>
              </w:rPr>
            </w:pPr>
            <w:r>
              <w:rPr>
                <w:rFonts w:hint="eastAsia" w:ascii="宋体" w:hAnsi="宋体" w:eastAsia="宋体" w:cs="宋体"/>
                <w:color w:val="auto"/>
              </w:rPr>
              <w:t>挥发酚</w:t>
            </w:r>
          </w:p>
        </w:tc>
        <w:tc>
          <w:tcPr>
            <w:tcW w:w="584" w:type="pct"/>
            <w:vAlign w:val="center"/>
          </w:tcPr>
          <w:p w14:paraId="77D2B456">
            <w:pPr>
              <w:pStyle w:val="24"/>
              <w:rPr>
                <w:color w:val="auto"/>
                <w:kern w:val="0"/>
              </w:rPr>
            </w:pPr>
            <w:r>
              <w:rPr>
                <w:rFonts w:hint="eastAsia" w:ascii="宋体" w:hAnsi="宋体" w:eastAsia="宋体" w:cs="宋体"/>
                <w:bCs/>
                <w:color w:val="auto"/>
              </w:rPr>
              <w:t>石油类</w:t>
            </w:r>
          </w:p>
        </w:tc>
        <w:tc>
          <w:tcPr>
            <w:tcW w:w="664" w:type="pct"/>
            <w:shd w:val="clear" w:color="auto" w:fill="auto"/>
            <w:vAlign w:val="center"/>
          </w:tcPr>
          <w:p w14:paraId="187F23E1">
            <w:pPr>
              <w:pStyle w:val="24"/>
              <w:rPr>
                <w:color w:val="auto"/>
                <w:kern w:val="0"/>
              </w:rPr>
            </w:pPr>
            <w:r>
              <w:rPr>
                <w:rFonts w:hint="eastAsia" w:ascii="宋体" w:hAnsi="宋体" w:eastAsia="宋体" w:cs="宋体"/>
                <w:bCs/>
                <w:color w:val="auto"/>
              </w:rPr>
              <w:t>阴离子表面活性剂</w:t>
            </w:r>
          </w:p>
        </w:tc>
        <w:tc>
          <w:tcPr>
            <w:tcW w:w="608" w:type="pct"/>
            <w:vAlign w:val="center"/>
          </w:tcPr>
          <w:p w14:paraId="2CB2F512">
            <w:pPr>
              <w:pStyle w:val="24"/>
              <w:rPr>
                <w:color w:val="auto"/>
                <w:kern w:val="0"/>
              </w:rPr>
            </w:pPr>
            <w:r>
              <w:rPr>
                <w:rFonts w:hint="eastAsia" w:ascii="宋体" w:hAnsi="宋体" w:eastAsia="宋体" w:cs="宋体"/>
                <w:color w:val="auto"/>
              </w:rPr>
              <w:t>硫化物</w:t>
            </w:r>
          </w:p>
        </w:tc>
      </w:tr>
      <w:tr w14:paraId="6D76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shd w:val="clear" w:color="auto" w:fill="auto"/>
            <w:vAlign w:val="center"/>
          </w:tcPr>
          <w:p w14:paraId="2FC9487D">
            <w:pPr>
              <w:pStyle w:val="24"/>
              <w:rPr>
                <w:color w:val="auto"/>
              </w:rPr>
            </w:pPr>
            <w:r>
              <w:rPr>
                <w:rFonts w:hint="eastAsia" w:ascii="宋体" w:hAnsi="宋体" w:eastAsia="宋体" w:cs="宋体"/>
                <w:color w:val="auto"/>
              </w:rPr>
              <w:t>标准值</w:t>
            </w:r>
            <w:r>
              <w:rPr>
                <w:color w:val="auto"/>
              </w:rPr>
              <w:t>*</w:t>
            </w:r>
          </w:p>
        </w:tc>
        <w:tc>
          <w:tcPr>
            <w:tcW w:w="645" w:type="pct"/>
            <w:shd w:val="clear" w:color="auto" w:fill="auto"/>
            <w:vAlign w:val="center"/>
          </w:tcPr>
          <w:p w14:paraId="734DDF93">
            <w:pPr>
              <w:pStyle w:val="24"/>
              <w:rPr>
                <w:color w:val="auto"/>
                <w:kern w:val="0"/>
              </w:rPr>
            </w:pPr>
            <w:r>
              <w:rPr>
                <w:color w:val="auto"/>
                <w:kern w:val="0"/>
              </w:rPr>
              <w:t>≤0.05</w:t>
            </w:r>
          </w:p>
        </w:tc>
        <w:tc>
          <w:tcPr>
            <w:tcW w:w="605" w:type="pct"/>
            <w:shd w:val="clear" w:color="auto" w:fill="auto"/>
            <w:vAlign w:val="center"/>
          </w:tcPr>
          <w:p w14:paraId="23224FDC">
            <w:pPr>
              <w:pStyle w:val="24"/>
              <w:rPr>
                <w:color w:val="auto"/>
                <w:kern w:val="0"/>
              </w:rPr>
            </w:pPr>
            <w:r>
              <w:rPr>
                <w:color w:val="auto"/>
                <w:kern w:val="0"/>
              </w:rPr>
              <w:t>≤0.05</w:t>
            </w:r>
          </w:p>
        </w:tc>
        <w:tc>
          <w:tcPr>
            <w:tcW w:w="805" w:type="pct"/>
            <w:shd w:val="clear" w:color="auto" w:fill="auto"/>
            <w:vAlign w:val="center"/>
          </w:tcPr>
          <w:p w14:paraId="5A926DA0">
            <w:pPr>
              <w:pStyle w:val="24"/>
              <w:rPr>
                <w:color w:val="auto"/>
                <w:kern w:val="0"/>
              </w:rPr>
            </w:pPr>
            <w:r>
              <w:rPr>
                <w:color w:val="auto"/>
                <w:kern w:val="0"/>
              </w:rPr>
              <w:t>≤0.2</w:t>
            </w:r>
          </w:p>
        </w:tc>
        <w:tc>
          <w:tcPr>
            <w:tcW w:w="561" w:type="pct"/>
            <w:vAlign w:val="center"/>
          </w:tcPr>
          <w:p w14:paraId="16AE9014">
            <w:pPr>
              <w:pStyle w:val="24"/>
              <w:rPr>
                <w:color w:val="auto"/>
                <w:kern w:val="0"/>
              </w:rPr>
            </w:pPr>
            <w:r>
              <w:rPr>
                <w:color w:val="auto"/>
                <w:kern w:val="0"/>
              </w:rPr>
              <w:t>≤0.005</w:t>
            </w:r>
          </w:p>
        </w:tc>
        <w:tc>
          <w:tcPr>
            <w:tcW w:w="584" w:type="pct"/>
            <w:vAlign w:val="center"/>
          </w:tcPr>
          <w:p w14:paraId="40787403">
            <w:pPr>
              <w:pStyle w:val="24"/>
              <w:rPr>
                <w:color w:val="auto"/>
                <w:kern w:val="0"/>
              </w:rPr>
            </w:pPr>
            <w:r>
              <w:rPr>
                <w:color w:val="auto"/>
                <w:kern w:val="0"/>
              </w:rPr>
              <w:t>≤0.05</w:t>
            </w:r>
          </w:p>
        </w:tc>
        <w:tc>
          <w:tcPr>
            <w:tcW w:w="664" w:type="pct"/>
            <w:shd w:val="clear" w:color="auto" w:fill="auto"/>
            <w:vAlign w:val="center"/>
          </w:tcPr>
          <w:p w14:paraId="35A55A73">
            <w:pPr>
              <w:pStyle w:val="24"/>
              <w:rPr>
                <w:color w:val="auto"/>
                <w:kern w:val="0"/>
              </w:rPr>
            </w:pPr>
            <w:r>
              <w:rPr>
                <w:color w:val="auto"/>
                <w:kern w:val="0"/>
              </w:rPr>
              <w:t>≤0.2</w:t>
            </w:r>
          </w:p>
        </w:tc>
        <w:tc>
          <w:tcPr>
            <w:tcW w:w="608" w:type="pct"/>
            <w:vAlign w:val="center"/>
          </w:tcPr>
          <w:p w14:paraId="5CF1CA26">
            <w:pPr>
              <w:pStyle w:val="24"/>
              <w:rPr>
                <w:color w:val="auto"/>
                <w:kern w:val="0"/>
              </w:rPr>
            </w:pPr>
            <w:r>
              <w:rPr>
                <w:color w:val="auto"/>
                <w:kern w:val="0"/>
              </w:rPr>
              <w:t>≤0.2</w:t>
            </w:r>
          </w:p>
        </w:tc>
      </w:tr>
      <w:tr w14:paraId="4195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shd w:val="clear" w:color="auto" w:fill="auto"/>
            <w:vAlign w:val="center"/>
          </w:tcPr>
          <w:p w14:paraId="00F798E9">
            <w:pPr>
              <w:pStyle w:val="24"/>
              <w:jc w:val="both"/>
              <w:rPr>
                <w:color w:val="auto"/>
                <w:kern w:val="0"/>
              </w:rPr>
            </w:pPr>
            <w:r>
              <w:rPr>
                <w:rFonts w:hint="eastAsia" w:ascii="宋体" w:hAnsi="宋体" w:eastAsia="宋体" w:cs="宋体"/>
                <w:color w:val="auto"/>
              </w:rPr>
              <w:t>注：</w:t>
            </w:r>
            <w:r>
              <w:rPr>
                <w:color w:val="auto"/>
              </w:rPr>
              <w:t>pH</w:t>
            </w:r>
            <w:r>
              <w:rPr>
                <w:rFonts w:hint="eastAsia" w:ascii="宋体" w:hAnsi="宋体" w:eastAsia="宋体" w:cs="宋体"/>
                <w:color w:val="auto"/>
              </w:rPr>
              <w:t>无量纲，其余指标单位为</w:t>
            </w:r>
            <w:r>
              <w:rPr>
                <w:color w:val="auto"/>
              </w:rPr>
              <w:t>mg/L</w:t>
            </w:r>
            <w:r>
              <w:rPr>
                <w:rFonts w:hint="eastAsia" w:ascii="宋体" w:hAnsi="宋体" w:eastAsia="宋体" w:cs="宋体"/>
                <w:color w:val="auto"/>
              </w:rPr>
              <w:t>。</w:t>
            </w:r>
          </w:p>
        </w:tc>
      </w:tr>
    </w:tbl>
    <w:p w14:paraId="195428D6">
      <w:pPr>
        <w:spacing w:line="360" w:lineRule="auto"/>
        <w:rPr>
          <w:rFonts w:ascii="Times New Roman" w:hAnsi="Times New Roman"/>
          <w:b/>
          <w:color w:val="auto"/>
          <w:sz w:val="24"/>
          <w:szCs w:val="24"/>
        </w:rPr>
      </w:pPr>
      <w:r>
        <w:rPr>
          <w:rFonts w:ascii="Times New Roman" w:hAnsi="Times New Roman"/>
          <w:b/>
          <w:color w:val="auto"/>
          <w:sz w:val="24"/>
          <w:szCs w:val="24"/>
        </w:rPr>
        <w:t>（3）地下水环境</w:t>
      </w:r>
    </w:p>
    <w:p w14:paraId="1E08DCDA">
      <w:pPr>
        <w:spacing w:line="360" w:lineRule="auto"/>
        <w:rPr>
          <w:rFonts w:ascii="Times New Roman" w:hAnsi="Times New Roman"/>
          <w:color w:val="auto"/>
          <w:sz w:val="24"/>
          <w:szCs w:val="24"/>
        </w:rPr>
      </w:pPr>
      <w:r>
        <w:rPr>
          <w:rFonts w:ascii="Times New Roman" w:hAnsi="Times New Roman"/>
          <w:color w:val="auto"/>
          <w:sz w:val="24"/>
          <w:szCs w:val="24"/>
        </w:rPr>
        <w:t>执行</w:t>
      </w:r>
      <w:r>
        <w:rPr>
          <w:rFonts w:hint="eastAsia" w:ascii="Times New Roman" w:hAnsi="Times New Roman"/>
          <w:color w:val="auto"/>
          <w:sz w:val="24"/>
          <w:szCs w:val="24"/>
        </w:rPr>
        <w:t>《地下水质量标准》（GB/T14848-2017）Ⅲ</w:t>
      </w:r>
      <w:r>
        <w:rPr>
          <w:rFonts w:ascii="Times New Roman" w:hAnsi="Times New Roman"/>
          <w:color w:val="auto"/>
          <w:sz w:val="24"/>
          <w:szCs w:val="24"/>
        </w:rPr>
        <w:t>类标准。</w:t>
      </w:r>
    </w:p>
    <w:p w14:paraId="5878F2D2">
      <w:pPr>
        <w:spacing w:line="360" w:lineRule="auto"/>
        <w:rPr>
          <w:rFonts w:ascii="Times New Roman" w:hAnsi="Times New Roman"/>
          <w:color w:val="auto"/>
          <w:sz w:val="24"/>
          <w:szCs w:val="24"/>
        </w:rPr>
      </w:pPr>
    </w:p>
    <w:p w14:paraId="17FF0366">
      <w:pPr>
        <w:numPr>
          <w:ilvl w:val="0"/>
          <w:numId w:val="11"/>
        </w:numPr>
        <w:spacing w:line="360" w:lineRule="auto"/>
        <w:ind w:left="425" w:leftChars="0" w:hanging="425" w:firstLineChars="0"/>
        <w:jc w:val="center"/>
        <w:rPr>
          <w:rFonts w:hint="eastAsia" w:ascii="Times New Roman" w:hAnsi="Times New Roman" w:eastAsia="黑体"/>
          <w:color w:val="auto"/>
          <w:szCs w:val="21"/>
          <w:lang w:val="en-US" w:eastAsia="zh-CN"/>
        </w:rPr>
      </w:pPr>
      <w:r>
        <w:rPr>
          <w:rFonts w:hint="eastAsia" w:ascii="Times New Roman" w:hAnsi="Times New Roman" w:eastAsia="黑体"/>
          <w:color w:val="auto"/>
          <w:sz w:val="21"/>
          <w:szCs w:val="21"/>
          <w:lang w:val="en-US" w:eastAsia="zh-CN"/>
        </w:rPr>
        <w:t>地下水环境质量标准限值</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945"/>
        <w:gridCol w:w="905"/>
        <w:gridCol w:w="1226"/>
        <w:gridCol w:w="1004"/>
        <w:gridCol w:w="1004"/>
        <w:gridCol w:w="1061"/>
        <w:gridCol w:w="1061"/>
        <w:gridCol w:w="1148"/>
      </w:tblGrid>
      <w:tr w14:paraId="48FB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05" w:type="pct"/>
            <w:shd w:val="clear" w:color="auto" w:fill="auto"/>
            <w:vAlign w:val="center"/>
          </w:tcPr>
          <w:p w14:paraId="5DB8E942">
            <w:pPr>
              <w:pStyle w:val="24"/>
              <w:rPr>
                <w:color w:val="auto"/>
              </w:rPr>
            </w:pPr>
            <w:r>
              <w:rPr>
                <w:rFonts w:hint="eastAsia" w:ascii="宋体" w:hAnsi="宋体" w:eastAsia="宋体" w:cs="宋体"/>
                <w:color w:val="auto"/>
              </w:rPr>
              <w:t>项目</w:t>
            </w:r>
          </w:p>
        </w:tc>
        <w:tc>
          <w:tcPr>
            <w:tcW w:w="498" w:type="pct"/>
            <w:shd w:val="clear" w:color="auto" w:fill="auto"/>
            <w:vAlign w:val="center"/>
          </w:tcPr>
          <w:p w14:paraId="17DA9DE8">
            <w:pPr>
              <w:pStyle w:val="24"/>
              <w:ind w:left="0" w:leftChars="0"/>
              <w:rPr>
                <w:rFonts w:ascii="Times New Roman" w:hAnsi="Times New Roman" w:eastAsia="宋体" w:cs="Courier New"/>
                <w:color w:val="auto"/>
                <w:kern w:val="2"/>
                <w:sz w:val="21"/>
                <w:szCs w:val="24"/>
                <w:lang w:val="en-US" w:eastAsia="zh-CN" w:bidi="ar-SA"/>
              </w:rPr>
            </w:pPr>
            <w:r>
              <w:rPr>
                <w:color w:val="auto"/>
              </w:rPr>
              <w:t>pH</w:t>
            </w:r>
          </w:p>
        </w:tc>
        <w:tc>
          <w:tcPr>
            <w:tcW w:w="476" w:type="pct"/>
            <w:shd w:val="clear" w:color="auto" w:fill="auto"/>
            <w:vAlign w:val="center"/>
          </w:tcPr>
          <w:p w14:paraId="4B861A72">
            <w:pPr>
              <w:pStyle w:val="24"/>
              <w:ind w:left="0" w:leftChars="0"/>
              <w:rPr>
                <w:rFonts w:ascii="Times New Roman" w:hAnsi="Times New Roman" w:eastAsia="宋体" w:cs="Courier New"/>
                <w:color w:val="auto"/>
                <w:kern w:val="2"/>
                <w:sz w:val="21"/>
                <w:szCs w:val="24"/>
                <w:lang w:val="en-US" w:eastAsia="zh-CN" w:bidi="ar-SA"/>
              </w:rPr>
            </w:pPr>
            <w:r>
              <w:rPr>
                <w:rFonts w:eastAsia="宋体"/>
                <w:color w:val="auto"/>
              </w:rPr>
              <w:t>氨氮</w:t>
            </w:r>
          </w:p>
        </w:tc>
        <w:tc>
          <w:tcPr>
            <w:tcW w:w="645" w:type="pct"/>
            <w:shd w:val="clear" w:color="auto" w:fill="auto"/>
            <w:vAlign w:val="center"/>
          </w:tcPr>
          <w:p w14:paraId="75132A52">
            <w:pPr>
              <w:pStyle w:val="24"/>
              <w:ind w:left="0" w:leftChars="0"/>
              <w:rPr>
                <w:rFonts w:ascii="Times New Roman" w:hAnsi="Times New Roman" w:eastAsia="宋体" w:cs="Courier New"/>
                <w:color w:val="auto"/>
                <w:kern w:val="2"/>
                <w:sz w:val="21"/>
                <w:szCs w:val="24"/>
                <w:lang w:val="en-US" w:eastAsia="zh-CN" w:bidi="ar-SA"/>
              </w:rPr>
            </w:pPr>
            <w:r>
              <w:rPr>
                <w:rFonts w:eastAsia="宋体"/>
                <w:color w:val="auto"/>
              </w:rPr>
              <w:t>硝酸盐</w:t>
            </w:r>
          </w:p>
        </w:tc>
        <w:tc>
          <w:tcPr>
            <w:tcW w:w="528" w:type="pct"/>
            <w:shd w:val="clear" w:color="auto" w:fill="auto"/>
            <w:vAlign w:val="center"/>
          </w:tcPr>
          <w:p w14:paraId="40DE146E">
            <w:pPr>
              <w:pStyle w:val="24"/>
              <w:ind w:left="0" w:leftChars="0"/>
              <w:rPr>
                <w:rFonts w:ascii="Times New Roman" w:hAnsi="Times New Roman" w:eastAsia="宋体" w:cs="Courier New"/>
                <w:color w:val="auto"/>
                <w:kern w:val="2"/>
                <w:sz w:val="21"/>
                <w:szCs w:val="24"/>
                <w:lang w:val="en-US" w:eastAsia="zh-CN" w:bidi="ar-SA"/>
              </w:rPr>
            </w:pPr>
            <w:r>
              <w:rPr>
                <w:rFonts w:eastAsia="宋体"/>
                <w:color w:val="auto"/>
              </w:rPr>
              <w:t>亚硝酸盐</w:t>
            </w:r>
          </w:p>
        </w:tc>
        <w:tc>
          <w:tcPr>
            <w:tcW w:w="528" w:type="pct"/>
            <w:shd w:val="clear" w:color="auto" w:fill="auto"/>
            <w:vAlign w:val="center"/>
          </w:tcPr>
          <w:p w14:paraId="3B6CC9FB">
            <w:pPr>
              <w:pStyle w:val="24"/>
              <w:ind w:left="0" w:leftChars="0"/>
              <w:rPr>
                <w:rFonts w:ascii="Times New Roman" w:hAnsi="Times New Roman" w:eastAsia="宋体" w:cs="Courier New"/>
                <w:color w:val="auto"/>
                <w:kern w:val="2"/>
                <w:sz w:val="21"/>
                <w:szCs w:val="24"/>
                <w:lang w:val="en-US" w:eastAsia="zh-CN" w:bidi="ar-SA"/>
              </w:rPr>
            </w:pPr>
            <w:r>
              <w:rPr>
                <w:rFonts w:eastAsia="宋体"/>
                <w:color w:val="auto"/>
              </w:rPr>
              <w:t>挥发性酚类</w:t>
            </w:r>
          </w:p>
        </w:tc>
        <w:tc>
          <w:tcPr>
            <w:tcW w:w="558" w:type="pct"/>
            <w:shd w:val="clear" w:color="auto" w:fill="auto"/>
            <w:vAlign w:val="center"/>
          </w:tcPr>
          <w:p w14:paraId="78429DFC">
            <w:pPr>
              <w:pStyle w:val="24"/>
              <w:ind w:left="0" w:leftChars="0"/>
              <w:rPr>
                <w:rFonts w:ascii="Times New Roman" w:hAnsi="Times New Roman" w:eastAsia="Times New Roman" w:cs="Times New Roman"/>
                <w:color w:val="auto"/>
                <w:kern w:val="2"/>
                <w:sz w:val="21"/>
                <w:szCs w:val="21"/>
                <w:lang w:val="en-US" w:eastAsia="zh-CN" w:bidi="ar-SA"/>
              </w:rPr>
            </w:pPr>
            <w:r>
              <w:rPr>
                <w:rFonts w:eastAsia="宋体"/>
                <w:color w:val="auto"/>
              </w:rPr>
              <w:t>氰化物</w:t>
            </w:r>
          </w:p>
        </w:tc>
        <w:tc>
          <w:tcPr>
            <w:tcW w:w="558" w:type="pct"/>
            <w:shd w:val="clear" w:color="auto" w:fill="auto"/>
            <w:vAlign w:val="center"/>
          </w:tcPr>
          <w:p w14:paraId="1CA3F2A6">
            <w:pPr>
              <w:pStyle w:val="24"/>
              <w:ind w:left="0" w:leftChars="0"/>
              <w:rPr>
                <w:rFonts w:ascii="Times New Roman" w:hAnsi="Times New Roman" w:eastAsia="宋体" w:cs="Times New Roman"/>
                <w:color w:val="auto"/>
                <w:kern w:val="2"/>
                <w:sz w:val="21"/>
                <w:szCs w:val="21"/>
                <w:lang w:val="en-US" w:eastAsia="zh-CN" w:bidi="ar-SA"/>
              </w:rPr>
            </w:pPr>
            <w:r>
              <w:rPr>
                <w:rFonts w:eastAsia="宋体"/>
                <w:color w:val="auto"/>
              </w:rPr>
              <w:t>砷</w:t>
            </w:r>
          </w:p>
        </w:tc>
        <w:tc>
          <w:tcPr>
            <w:tcW w:w="601" w:type="pct"/>
            <w:shd w:val="clear" w:color="auto" w:fill="auto"/>
            <w:vAlign w:val="center"/>
          </w:tcPr>
          <w:p w14:paraId="759F3E75">
            <w:pPr>
              <w:pStyle w:val="24"/>
              <w:ind w:left="0" w:leftChars="0"/>
              <w:rPr>
                <w:rFonts w:ascii="Times New Roman" w:hAnsi="Times New Roman" w:eastAsia="Times New Roman" w:cs="Times New Roman"/>
                <w:color w:val="auto"/>
                <w:kern w:val="2"/>
                <w:sz w:val="21"/>
                <w:szCs w:val="21"/>
                <w:lang w:val="en-US" w:eastAsia="zh-CN" w:bidi="ar-SA"/>
              </w:rPr>
            </w:pPr>
            <w:r>
              <w:rPr>
                <w:rFonts w:eastAsia="宋体"/>
                <w:color w:val="auto"/>
              </w:rPr>
              <w:t>汞</w:t>
            </w:r>
          </w:p>
        </w:tc>
      </w:tr>
      <w:tr w14:paraId="11F7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shd w:val="clear" w:color="auto" w:fill="auto"/>
            <w:vAlign w:val="center"/>
          </w:tcPr>
          <w:p w14:paraId="5A61CE82">
            <w:pPr>
              <w:pStyle w:val="24"/>
              <w:rPr>
                <w:color w:val="auto"/>
              </w:rPr>
            </w:pPr>
            <w:r>
              <w:rPr>
                <w:rFonts w:hint="eastAsia" w:ascii="宋体" w:hAnsi="宋体" w:eastAsia="宋体" w:cs="宋体"/>
                <w:color w:val="auto"/>
              </w:rPr>
              <w:t>标准限值</w:t>
            </w:r>
            <w:r>
              <w:rPr>
                <w:color w:val="auto"/>
              </w:rPr>
              <w:t>*</w:t>
            </w:r>
          </w:p>
        </w:tc>
        <w:tc>
          <w:tcPr>
            <w:tcW w:w="498" w:type="pct"/>
            <w:shd w:val="clear" w:color="auto" w:fill="auto"/>
            <w:vAlign w:val="center"/>
          </w:tcPr>
          <w:p w14:paraId="3B66D734">
            <w:pPr>
              <w:pStyle w:val="24"/>
              <w:ind w:left="0" w:leftChars="0"/>
              <w:rPr>
                <w:rFonts w:ascii="Times New Roman" w:hAnsi="Times New Roman" w:eastAsia="宋体" w:cs="Courier New"/>
                <w:color w:val="auto"/>
                <w:kern w:val="2"/>
                <w:sz w:val="21"/>
                <w:szCs w:val="24"/>
                <w:lang w:val="en-US" w:eastAsia="zh-CN" w:bidi="ar-SA"/>
              </w:rPr>
            </w:pPr>
            <w:r>
              <w:rPr>
                <w:color w:val="auto"/>
              </w:rPr>
              <w:t>6.5-8.5</w:t>
            </w:r>
          </w:p>
        </w:tc>
        <w:tc>
          <w:tcPr>
            <w:tcW w:w="476" w:type="pct"/>
            <w:shd w:val="clear" w:color="auto" w:fill="auto"/>
            <w:vAlign w:val="center"/>
          </w:tcPr>
          <w:p w14:paraId="2B06C47D">
            <w:pPr>
              <w:pStyle w:val="24"/>
              <w:ind w:left="0" w:leftChars="0"/>
              <w:rPr>
                <w:rFonts w:ascii="Times New Roman" w:hAnsi="Times New Roman" w:eastAsia="宋体" w:cs="Courier New"/>
                <w:color w:val="auto"/>
                <w:kern w:val="2"/>
                <w:sz w:val="21"/>
                <w:szCs w:val="24"/>
                <w:lang w:val="en-US" w:eastAsia="zh-CN" w:bidi="ar-SA"/>
              </w:rPr>
            </w:pPr>
            <w:r>
              <w:rPr>
                <w:color w:val="auto"/>
              </w:rPr>
              <w:t>≤0.50</w:t>
            </w:r>
          </w:p>
        </w:tc>
        <w:tc>
          <w:tcPr>
            <w:tcW w:w="645" w:type="pct"/>
            <w:shd w:val="clear" w:color="auto" w:fill="auto"/>
            <w:vAlign w:val="center"/>
          </w:tcPr>
          <w:p w14:paraId="4C2EE047">
            <w:pPr>
              <w:pStyle w:val="24"/>
              <w:ind w:left="0" w:leftChars="0"/>
              <w:rPr>
                <w:rFonts w:ascii="Times New Roman" w:hAnsi="Times New Roman" w:eastAsia="宋体" w:cs="Courier New"/>
                <w:color w:val="auto"/>
                <w:kern w:val="2"/>
                <w:sz w:val="21"/>
                <w:szCs w:val="24"/>
                <w:lang w:val="en-US" w:eastAsia="zh-CN" w:bidi="ar-SA"/>
              </w:rPr>
            </w:pPr>
            <w:r>
              <w:rPr>
                <w:color w:val="auto"/>
              </w:rPr>
              <w:t>≤20.0</w:t>
            </w:r>
          </w:p>
        </w:tc>
        <w:tc>
          <w:tcPr>
            <w:tcW w:w="528" w:type="pct"/>
            <w:shd w:val="clear" w:color="auto" w:fill="auto"/>
            <w:vAlign w:val="center"/>
          </w:tcPr>
          <w:p w14:paraId="021A9590">
            <w:pPr>
              <w:pStyle w:val="24"/>
              <w:ind w:left="0" w:leftChars="0"/>
              <w:rPr>
                <w:rFonts w:ascii="Times New Roman" w:hAnsi="Times New Roman" w:eastAsia="宋体" w:cs="Courier New"/>
                <w:color w:val="auto"/>
                <w:kern w:val="2"/>
                <w:sz w:val="21"/>
                <w:szCs w:val="24"/>
                <w:lang w:val="en-US" w:eastAsia="zh-CN" w:bidi="ar-SA"/>
              </w:rPr>
            </w:pPr>
            <w:r>
              <w:rPr>
                <w:color w:val="auto"/>
              </w:rPr>
              <w:t>≤1.00</w:t>
            </w:r>
          </w:p>
        </w:tc>
        <w:tc>
          <w:tcPr>
            <w:tcW w:w="528" w:type="pct"/>
            <w:shd w:val="clear" w:color="auto" w:fill="auto"/>
            <w:vAlign w:val="center"/>
          </w:tcPr>
          <w:p w14:paraId="77C39FF0">
            <w:pPr>
              <w:pStyle w:val="24"/>
              <w:ind w:left="0" w:leftChars="0"/>
              <w:rPr>
                <w:rFonts w:ascii="Times New Roman" w:hAnsi="Times New Roman" w:eastAsia="宋体" w:cs="Courier New"/>
                <w:color w:val="auto"/>
                <w:kern w:val="2"/>
                <w:sz w:val="21"/>
                <w:szCs w:val="24"/>
                <w:lang w:val="en-US" w:eastAsia="zh-CN" w:bidi="ar-SA"/>
              </w:rPr>
            </w:pPr>
            <w:r>
              <w:rPr>
                <w:color w:val="auto"/>
              </w:rPr>
              <w:t>≤0.002</w:t>
            </w:r>
          </w:p>
        </w:tc>
        <w:tc>
          <w:tcPr>
            <w:tcW w:w="558" w:type="pct"/>
            <w:shd w:val="clear" w:color="auto" w:fill="auto"/>
            <w:vAlign w:val="center"/>
          </w:tcPr>
          <w:p w14:paraId="1D237B9A">
            <w:pPr>
              <w:pStyle w:val="24"/>
              <w:ind w:left="0" w:leftChars="0"/>
              <w:rPr>
                <w:rFonts w:ascii="Times New Roman" w:hAnsi="Times New Roman" w:eastAsia="Times New Roman" w:cs="Times New Roman"/>
                <w:color w:val="auto"/>
                <w:kern w:val="0"/>
                <w:sz w:val="21"/>
                <w:szCs w:val="21"/>
                <w:lang w:val="en-US" w:eastAsia="zh-CN" w:bidi="ar-SA"/>
              </w:rPr>
            </w:pPr>
            <w:r>
              <w:rPr>
                <w:color w:val="auto"/>
              </w:rPr>
              <w:t>≤0.05</w:t>
            </w:r>
          </w:p>
        </w:tc>
        <w:tc>
          <w:tcPr>
            <w:tcW w:w="558" w:type="pct"/>
            <w:shd w:val="clear" w:color="auto" w:fill="auto"/>
            <w:vAlign w:val="center"/>
          </w:tcPr>
          <w:p w14:paraId="3628E5CF">
            <w:pPr>
              <w:pStyle w:val="24"/>
              <w:ind w:left="0" w:leftChars="0"/>
              <w:rPr>
                <w:rFonts w:ascii="Times New Roman" w:hAnsi="Times New Roman" w:eastAsia="Times New Roman" w:cs="Times New Roman"/>
                <w:color w:val="auto"/>
                <w:kern w:val="2"/>
                <w:sz w:val="21"/>
                <w:szCs w:val="21"/>
                <w:lang w:val="en-US" w:eastAsia="zh-CN" w:bidi="ar-SA"/>
              </w:rPr>
            </w:pPr>
            <w:r>
              <w:rPr>
                <w:color w:val="auto"/>
              </w:rPr>
              <w:t>≤0.01</w:t>
            </w:r>
          </w:p>
        </w:tc>
        <w:tc>
          <w:tcPr>
            <w:tcW w:w="601" w:type="pct"/>
            <w:shd w:val="clear" w:color="auto" w:fill="auto"/>
            <w:vAlign w:val="center"/>
          </w:tcPr>
          <w:p w14:paraId="12E1CF74">
            <w:pPr>
              <w:pStyle w:val="24"/>
              <w:ind w:left="0" w:leftChars="0"/>
              <w:rPr>
                <w:rFonts w:ascii="Times New Roman" w:hAnsi="Times New Roman" w:eastAsia="Times New Roman" w:cs="Times New Roman"/>
                <w:color w:val="auto"/>
                <w:kern w:val="2"/>
                <w:sz w:val="21"/>
                <w:szCs w:val="21"/>
                <w:lang w:val="en-US" w:eastAsia="zh-CN" w:bidi="ar-SA"/>
              </w:rPr>
            </w:pPr>
            <w:r>
              <w:rPr>
                <w:color w:val="auto"/>
              </w:rPr>
              <w:t>≤0.001</w:t>
            </w:r>
          </w:p>
        </w:tc>
      </w:tr>
      <w:tr w14:paraId="4ACF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shd w:val="clear" w:color="auto" w:fill="auto"/>
            <w:vAlign w:val="center"/>
          </w:tcPr>
          <w:p w14:paraId="484DBC7E">
            <w:pPr>
              <w:pStyle w:val="24"/>
              <w:rPr>
                <w:color w:val="auto"/>
              </w:rPr>
            </w:pPr>
            <w:r>
              <w:rPr>
                <w:rFonts w:hint="eastAsia" w:ascii="宋体" w:hAnsi="宋体" w:eastAsia="宋体" w:cs="宋体"/>
                <w:color w:val="auto"/>
              </w:rPr>
              <w:t>项目</w:t>
            </w:r>
          </w:p>
        </w:tc>
        <w:tc>
          <w:tcPr>
            <w:tcW w:w="498" w:type="pct"/>
            <w:shd w:val="clear" w:color="auto" w:fill="auto"/>
            <w:vAlign w:val="center"/>
          </w:tcPr>
          <w:p w14:paraId="7FF3316E">
            <w:pPr>
              <w:pStyle w:val="24"/>
              <w:ind w:left="0" w:leftChars="0"/>
              <w:rPr>
                <w:rFonts w:ascii="Times New Roman" w:hAnsi="Times New Roman" w:eastAsia="Times New Roman" w:cs="Times New Roman"/>
                <w:color w:val="auto"/>
                <w:kern w:val="2"/>
                <w:sz w:val="21"/>
                <w:szCs w:val="21"/>
                <w:lang w:val="en-US" w:eastAsia="zh-CN" w:bidi="ar-SA"/>
              </w:rPr>
            </w:pPr>
            <w:r>
              <w:rPr>
                <w:rFonts w:eastAsia="宋体"/>
                <w:color w:val="auto"/>
              </w:rPr>
              <w:t>六价铬</w:t>
            </w:r>
          </w:p>
        </w:tc>
        <w:tc>
          <w:tcPr>
            <w:tcW w:w="476" w:type="pct"/>
            <w:shd w:val="clear" w:color="auto" w:fill="auto"/>
            <w:vAlign w:val="center"/>
          </w:tcPr>
          <w:p w14:paraId="1F3AB692">
            <w:pPr>
              <w:pStyle w:val="24"/>
              <w:ind w:left="0" w:leftChars="0"/>
              <w:rPr>
                <w:rFonts w:ascii="Times New Roman" w:hAnsi="Times New Roman" w:eastAsia="Times New Roman" w:cs="Times New Roman"/>
                <w:color w:val="auto"/>
                <w:kern w:val="2"/>
                <w:sz w:val="21"/>
                <w:szCs w:val="21"/>
                <w:lang w:val="en-US" w:eastAsia="zh-CN" w:bidi="ar-SA"/>
              </w:rPr>
            </w:pPr>
            <w:r>
              <w:rPr>
                <w:rFonts w:eastAsia="宋体"/>
                <w:color w:val="auto"/>
              </w:rPr>
              <w:t>总硬度</w:t>
            </w:r>
          </w:p>
        </w:tc>
        <w:tc>
          <w:tcPr>
            <w:tcW w:w="645" w:type="pct"/>
            <w:shd w:val="clear" w:color="auto" w:fill="auto"/>
            <w:vAlign w:val="center"/>
          </w:tcPr>
          <w:p w14:paraId="3C0F3D37">
            <w:pPr>
              <w:pStyle w:val="24"/>
              <w:ind w:left="0" w:leftChars="0"/>
              <w:rPr>
                <w:rFonts w:ascii="Times New Roman" w:hAnsi="Times New Roman" w:eastAsia="Times New Roman" w:cs="Times New Roman"/>
                <w:bCs/>
                <w:color w:val="auto"/>
                <w:kern w:val="2"/>
                <w:sz w:val="21"/>
                <w:szCs w:val="21"/>
                <w:lang w:val="en-US" w:eastAsia="zh-CN" w:bidi="ar-SA"/>
              </w:rPr>
            </w:pPr>
            <w:r>
              <w:rPr>
                <w:rFonts w:eastAsia="宋体"/>
                <w:color w:val="auto"/>
              </w:rPr>
              <w:t>铅</w:t>
            </w:r>
          </w:p>
        </w:tc>
        <w:tc>
          <w:tcPr>
            <w:tcW w:w="528" w:type="pct"/>
            <w:shd w:val="clear" w:color="auto" w:fill="auto"/>
            <w:vAlign w:val="center"/>
          </w:tcPr>
          <w:p w14:paraId="59A1684F">
            <w:pPr>
              <w:pStyle w:val="24"/>
              <w:ind w:left="0" w:leftChars="0"/>
              <w:rPr>
                <w:rFonts w:ascii="Times New Roman" w:hAnsi="Times New Roman" w:eastAsia="Times New Roman" w:cs="Times New Roman"/>
                <w:color w:val="auto"/>
                <w:kern w:val="2"/>
                <w:sz w:val="21"/>
                <w:szCs w:val="21"/>
                <w:lang w:val="en-US" w:eastAsia="zh-CN" w:bidi="ar-SA"/>
              </w:rPr>
            </w:pPr>
            <w:r>
              <w:rPr>
                <w:rFonts w:eastAsia="宋体"/>
                <w:color w:val="auto"/>
              </w:rPr>
              <w:t>氟化物</w:t>
            </w:r>
          </w:p>
        </w:tc>
        <w:tc>
          <w:tcPr>
            <w:tcW w:w="528" w:type="pct"/>
            <w:shd w:val="clear" w:color="auto" w:fill="auto"/>
            <w:vAlign w:val="center"/>
          </w:tcPr>
          <w:p w14:paraId="65711501">
            <w:pPr>
              <w:pStyle w:val="24"/>
              <w:ind w:left="0" w:leftChars="0"/>
              <w:rPr>
                <w:rFonts w:ascii="Times New Roman" w:hAnsi="Times New Roman" w:eastAsia="Times New Roman" w:cs="Times New Roman"/>
                <w:bCs/>
                <w:color w:val="auto"/>
                <w:kern w:val="2"/>
                <w:sz w:val="21"/>
                <w:szCs w:val="21"/>
                <w:lang w:val="en-US" w:eastAsia="zh-CN" w:bidi="ar-SA"/>
              </w:rPr>
            </w:pPr>
            <w:r>
              <w:rPr>
                <w:rFonts w:eastAsia="宋体"/>
                <w:color w:val="auto"/>
              </w:rPr>
              <w:t>镉</w:t>
            </w:r>
          </w:p>
        </w:tc>
        <w:tc>
          <w:tcPr>
            <w:tcW w:w="558" w:type="pct"/>
            <w:shd w:val="clear" w:color="auto" w:fill="auto"/>
            <w:vAlign w:val="center"/>
          </w:tcPr>
          <w:p w14:paraId="6802F928">
            <w:pPr>
              <w:pStyle w:val="24"/>
              <w:ind w:left="0" w:leftChars="0"/>
              <w:rPr>
                <w:rFonts w:ascii="Times New Roman" w:hAnsi="Times New Roman" w:eastAsia="宋体" w:cs="Times New Roman"/>
                <w:color w:val="auto"/>
                <w:kern w:val="2"/>
                <w:sz w:val="21"/>
                <w:szCs w:val="21"/>
                <w:lang w:val="en-US" w:eastAsia="zh-CN" w:bidi="ar-SA"/>
              </w:rPr>
            </w:pPr>
            <w:r>
              <w:rPr>
                <w:rFonts w:eastAsia="宋体"/>
                <w:color w:val="auto"/>
              </w:rPr>
              <w:t>铁</w:t>
            </w:r>
          </w:p>
        </w:tc>
        <w:tc>
          <w:tcPr>
            <w:tcW w:w="558" w:type="pct"/>
            <w:shd w:val="clear" w:color="auto" w:fill="auto"/>
            <w:vAlign w:val="center"/>
          </w:tcPr>
          <w:p w14:paraId="44F0878E">
            <w:pPr>
              <w:pStyle w:val="24"/>
              <w:ind w:left="0" w:leftChars="0"/>
              <w:rPr>
                <w:rFonts w:ascii="Times New Roman" w:hAnsi="Times New Roman" w:eastAsia="Times New Roman" w:cs="Times New Roman"/>
                <w:color w:val="auto"/>
                <w:kern w:val="2"/>
                <w:sz w:val="21"/>
                <w:szCs w:val="21"/>
                <w:lang w:val="en-US" w:eastAsia="zh-CN" w:bidi="ar-SA"/>
              </w:rPr>
            </w:pPr>
            <w:r>
              <w:rPr>
                <w:rFonts w:eastAsia="宋体"/>
                <w:color w:val="auto"/>
              </w:rPr>
              <w:t>锰</w:t>
            </w:r>
          </w:p>
        </w:tc>
        <w:tc>
          <w:tcPr>
            <w:tcW w:w="601" w:type="pct"/>
            <w:shd w:val="clear" w:color="auto" w:fill="auto"/>
            <w:vAlign w:val="center"/>
          </w:tcPr>
          <w:p w14:paraId="05FA3CF8">
            <w:pPr>
              <w:pStyle w:val="24"/>
              <w:ind w:left="0" w:leftChars="0"/>
              <w:rPr>
                <w:rFonts w:hint="default" w:ascii="Times New Roman" w:hAnsi="Times New Roman" w:eastAsia="Times New Roman" w:cs="Times New Roman"/>
                <w:color w:val="auto"/>
                <w:kern w:val="2"/>
                <w:sz w:val="21"/>
                <w:szCs w:val="21"/>
                <w:lang w:val="en-US" w:eastAsia="zh-CN" w:bidi="ar-SA"/>
              </w:rPr>
            </w:pPr>
            <w:r>
              <w:rPr>
                <w:rFonts w:eastAsia="宋体"/>
                <w:color w:val="auto"/>
              </w:rPr>
              <w:t>溶解性总固体</w:t>
            </w:r>
          </w:p>
        </w:tc>
      </w:tr>
      <w:tr w14:paraId="3530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shd w:val="clear" w:color="auto" w:fill="auto"/>
            <w:vAlign w:val="center"/>
          </w:tcPr>
          <w:p w14:paraId="0E515EF8">
            <w:pPr>
              <w:pStyle w:val="24"/>
              <w:rPr>
                <w:color w:val="auto"/>
              </w:rPr>
            </w:pPr>
            <w:r>
              <w:rPr>
                <w:rFonts w:hint="eastAsia" w:ascii="宋体" w:hAnsi="宋体" w:eastAsia="宋体" w:cs="宋体"/>
                <w:color w:val="auto"/>
              </w:rPr>
              <w:t>标准限值</w:t>
            </w:r>
            <w:r>
              <w:rPr>
                <w:color w:val="auto"/>
              </w:rPr>
              <w:t>*</w:t>
            </w:r>
          </w:p>
        </w:tc>
        <w:tc>
          <w:tcPr>
            <w:tcW w:w="498" w:type="pct"/>
            <w:shd w:val="clear" w:color="auto" w:fill="auto"/>
            <w:vAlign w:val="center"/>
          </w:tcPr>
          <w:p w14:paraId="61BC5F00">
            <w:pPr>
              <w:pStyle w:val="24"/>
              <w:ind w:left="0" w:leftChars="0"/>
              <w:rPr>
                <w:rFonts w:ascii="Times New Roman" w:hAnsi="Times New Roman" w:eastAsia="Times New Roman" w:cs="Times New Roman"/>
                <w:color w:val="auto"/>
                <w:kern w:val="2"/>
                <w:sz w:val="21"/>
                <w:szCs w:val="21"/>
                <w:lang w:val="en-US" w:eastAsia="zh-CN" w:bidi="ar-SA"/>
              </w:rPr>
            </w:pPr>
            <w:r>
              <w:rPr>
                <w:color w:val="auto"/>
              </w:rPr>
              <w:t>≤0.05</w:t>
            </w:r>
          </w:p>
        </w:tc>
        <w:tc>
          <w:tcPr>
            <w:tcW w:w="476" w:type="pct"/>
            <w:shd w:val="clear" w:color="auto" w:fill="auto"/>
            <w:vAlign w:val="center"/>
          </w:tcPr>
          <w:p w14:paraId="5EFD5AB1">
            <w:pPr>
              <w:pStyle w:val="24"/>
              <w:ind w:left="0" w:leftChars="0"/>
              <w:rPr>
                <w:rFonts w:ascii="Times New Roman" w:hAnsi="Times New Roman" w:eastAsia="Times New Roman" w:cs="Times New Roman"/>
                <w:color w:val="auto"/>
                <w:kern w:val="2"/>
                <w:sz w:val="21"/>
                <w:szCs w:val="21"/>
                <w:lang w:val="en-US" w:eastAsia="zh-CN" w:bidi="ar-SA"/>
              </w:rPr>
            </w:pPr>
            <w:r>
              <w:rPr>
                <w:color w:val="auto"/>
              </w:rPr>
              <w:t>≤450</w:t>
            </w:r>
          </w:p>
        </w:tc>
        <w:tc>
          <w:tcPr>
            <w:tcW w:w="645" w:type="pct"/>
            <w:shd w:val="clear" w:color="auto" w:fill="auto"/>
            <w:vAlign w:val="center"/>
          </w:tcPr>
          <w:p w14:paraId="171F11D3">
            <w:pPr>
              <w:pStyle w:val="24"/>
              <w:ind w:left="0" w:leftChars="0"/>
              <w:rPr>
                <w:rFonts w:ascii="Times New Roman" w:hAnsi="Times New Roman" w:eastAsia="Times New Roman" w:cs="Times New Roman"/>
                <w:color w:val="auto"/>
                <w:kern w:val="2"/>
                <w:sz w:val="21"/>
                <w:szCs w:val="21"/>
                <w:lang w:val="en-US" w:eastAsia="zh-CN" w:bidi="ar-SA"/>
              </w:rPr>
            </w:pPr>
            <w:r>
              <w:rPr>
                <w:color w:val="auto"/>
              </w:rPr>
              <w:t>≤0.01</w:t>
            </w:r>
          </w:p>
        </w:tc>
        <w:tc>
          <w:tcPr>
            <w:tcW w:w="528" w:type="pct"/>
            <w:shd w:val="clear" w:color="auto" w:fill="auto"/>
            <w:vAlign w:val="center"/>
          </w:tcPr>
          <w:p w14:paraId="100C2959">
            <w:pPr>
              <w:pStyle w:val="24"/>
              <w:ind w:left="0" w:leftChars="0"/>
              <w:rPr>
                <w:rFonts w:ascii="Times New Roman" w:hAnsi="Times New Roman" w:eastAsia="Times New Roman" w:cs="Times New Roman"/>
                <w:color w:val="auto"/>
                <w:kern w:val="2"/>
                <w:sz w:val="21"/>
                <w:szCs w:val="21"/>
                <w:lang w:val="en-US" w:eastAsia="zh-CN" w:bidi="ar-SA"/>
              </w:rPr>
            </w:pPr>
            <w:r>
              <w:rPr>
                <w:color w:val="auto"/>
              </w:rPr>
              <w:t>≤1.0</w:t>
            </w:r>
          </w:p>
        </w:tc>
        <w:tc>
          <w:tcPr>
            <w:tcW w:w="528" w:type="pct"/>
            <w:shd w:val="clear" w:color="auto" w:fill="auto"/>
            <w:vAlign w:val="center"/>
          </w:tcPr>
          <w:p w14:paraId="76C0B08B">
            <w:pPr>
              <w:pStyle w:val="24"/>
              <w:ind w:left="0" w:leftChars="0"/>
              <w:rPr>
                <w:rFonts w:ascii="Times New Roman" w:hAnsi="Times New Roman" w:eastAsia="Times New Roman" w:cs="Times New Roman"/>
                <w:color w:val="auto"/>
                <w:kern w:val="2"/>
                <w:sz w:val="21"/>
                <w:szCs w:val="21"/>
                <w:lang w:val="en-US" w:eastAsia="zh-CN" w:bidi="ar-SA"/>
              </w:rPr>
            </w:pPr>
            <w:r>
              <w:rPr>
                <w:color w:val="auto"/>
              </w:rPr>
              <w:t>≤0.005</w:t>
            </w:r>
          </w:p>
        </w:tc>
        <w:tc>
          <w:tcPr>
            <w:tcW w:w="558" w:type="pct"/>
            <w:shd w:val="clear" w:color="auto" w:fill="auto"/>
            <w:vAlign w:val="center"/>
          </w:tcPr>
          <w:p w14:paraId="64DD6AC7">
            <w:pPr>
              <w:pStyle w:val="24"/>
              <w:ind w:left="0" w:leftChars="0"/>
              <w:rPr>
                <w:rFonts w:ascii="Times New Roman" w:hAnsi="Times New Roman" w:eastAsia="Times New Roman" w:cs="Times New Roman"/>
                <w:color w:val="auto"/>
                <w:kern w:val="2"/>
                <w:sz w:val="21"/>
                <w:szCs w:val="21"/>
                <w:lang w:val="en-US" w:eastAsia="zh-CN" w:bidi="ar-SA"/>
              </w:rPr>
            </w:pPr>
            <w:r>
              <w:rPr>
                <w:color w:val="auto"/>
              </w:rPr>
              <w:t>≤0.3</w:t>
            </w:r>
          </w:p>
        </w:tc>
        <w:tc>
          <w:tcPr>
            <w:tcW w:w="558" w:type="pct"/>
            <w:shd w:val="clear" w:color="auto" w:fill="auto"/>
            <w:vAlign w:val="center"/>
          </w:tcPr>
          <w:p w14:paraId="6B27D54D">
            <w:pPr>
              <w:pStyle w:val="24"/>
              <w:ind w:left="0" w:leftChars="0"/>
              <w:rPr>
                <w:rFonts w:ascii="Times New Roman" w:hAnsi="Times New Roman" w:eastAsia="Times New Roman" w:cs="Times New Roman"/>
                <w:color w:val="auto"/>
                <w:kern w:val="2"/>
                <w:sz w:val="21"/>
                <w:szCs w:val="21"/>
                <w:lang w:val="en-US" w:eastAsia="zh-CN" w:bidi="ar-SA"/>
              </w:rPr>
            </w:pPr>
            <w:r>
              <w:rPr>
                <w:color w:val="auto"/>
              </w:rPr>
              <w:t>≤0.10</w:t>
            </w:r>
          </w:p>
        </w:tc>
        <w:tc>
          <w:tcPr>
            <w:tcW w:w="601" w:type="pct"/>
            <w:shd w:val="clear" w:color="auto" w:fill="auto"/>
            <w:vAlign w:val="center"/>
          </w:tcPr>
          <w:p w14:paraId="5F44E404">
            <w:pPr>
              <w:pStyle w:val="24"/>
              <w:ind w:left="0" w:leftChars="0"/>
              <w:rPr>
                <w:rFonts w:hint="default" w:ascii="Times New Roman" w:hAnsi="Times New Roman" w:eastAsia="宋体" w:cs="Times New Roman"/>
                <w:color w:val="auto"/>
                <w:kern w:val="2"/>
                <w:sz w:val="21"/>
                <w:szCs w:val="21"/>
                <w:lang w:val="en-US" w:eastAsia="zh-CN" w:bidi="ar-SA"/>
              </w:rPr>
            </w:pPr>
            <w:r>
              <w:rPr>
                <w:color w:val="auto"/>
              </w:rPr>
              <w:t>≤1000</w:t>
            </w:r>
          </w:p>
        </w:tc>
      </w:tr>
      <w:tr w14:paraId="7565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shd w:val="clear" w:color="auto" w:fill="auto"/>
            <w:vAlign w:val="center"/>
          </w:tcPr>
          <w:p w14:paraId="465359D9">
            <w:pPr>
              <w:pStyle w:val="24"/>
              <w:rPr>
                <w:color w:val="auto"/>
              </w:rPr>
            </w:pPr>
            <w:r>
              <w:rPr>
                <w:rFonts w:hint="eastAsia" w:ascii="宋体" w:hAnsi="宋体" w:eastAsia="宋体" w:cs="宋体"/>
                <w:color w:val="auto"/>
              </w:rPr>
              <w:t>项目</w:t>
            </w:r>
          </w:p>
        </w:tc>
        <w:tc>
          <w:tcPr>
            <w:tcW w:w="498" w:type="pct"/>
            <w:shd w:val="clear" w:color="auto" w:fill="auto"/>
            <w:vAlign w:val="center"/>
          </w:tcPr>
          <w:p w14:paraId="1E114000">
            <w:pPr>
              <w:pStyle w:val="24"/>
              <w:ind w:left="0" w:leftChars="0"/>
              <w:rPr>
                <w:rFonts w:ascii="Times New Roman" w:hAnsi="Times New Roman" w:cs="Courier New" w:eastAsiaTheme="minorEastAsia"/>
                <w:color w:val="auto"/>
                <w:kern w:val="2"/>
                <w:sz w:val="21"/>
                <w:szCs w:val="24"/>
                <w:lang w:val="en-US" w:eastAsia="zh-CN" w:bidi="ar-SA"/>
              </w:rPr>
            </w:pPr>
            <w:r>
              <w:rPr>
                <w:rFonts w:eastAsia="宋体"/>
                <w:color w:val="auto"/>
              </w:rPr>
              <w:t>耗氧量</w:t>
            </w:r>
          </w:p>
        </w:tc>
        <w:tc>
          <w:tcPr>
            <w:tcW w:w="476" w:type="pct"/>
            <w:shd w:val="clear" w:color="auto" w:fill="auto"/>
            <w:vAlign w:val="center"/>
          </w:tcPr>
          <w:p w14:paraId="110B678C">
            <w:pPr>
              <w:pStyle w:val="24"/>
              <w:ind w:left="0" w:leftChars="0"/>
              <w:rPr>
                <w:rFonts w:ascii="Times New Roman" w:hAnsi="Times New Roman" w:eastAsia="宋体" w:cs="Courier New"/>
                <w:color w:val="auto"/>
                <w:kern w:val="2"/>
                <w:sz w:val="21"/>
                <w:szCs w:val="24"/>
                <w:lang w:val="en-US" w:eastAsia="zh-CN" w:bidi="ar-SA"/>
              </w:rPr>
            </w:pPr>
            <w:r>
              <w:rPr>
                <w:rFonts w:hint="eastAsia" w:ascii="宋体" w:hAnsi="宋体" w:eastAsia="宋体" w:cs="宋体"/>
                <w:color w:val="auto"/>
              </w:rPr>
              <w:t>硫酸盐</w:t>
            </w:r>
          </w:p>
        </w:tc>
        <w:tc>
          <w:tcPr>
            <w:tcW w:w="645" w:type="pct"/>
            <w:shd w:val="clear" w:color="auto" w:fill="auto"/>
            <w:vAlign w:val="center"/>
          </w:tcPr>
          <w:p w14:paraId="02C2FFD3">
            <w:pPr>
              <w:pStyle w:val="24"/>
              <w:ind w:left="0" w:leftChars="0"/>
              <w:rPr>
                <w:rFonts w:hint="default" w:ascii="Times New Roman" w:hAnsi="Times New Roman" w:eastAsia="宋体" w:cs="Courier New"/>
                <w:color w:val="auto"/>
                <w:kern w:val="2"/>
                <w:sz w:val="21"/>
                <w:szCs w:val="24"/>
                <w:lang w:val="en-US" w:eastAsia="zh-CN" w:bidi="ar-SA"/>
              </w:rPr>
            </w:pPr>
            <w:r>
              <w:rPr>
                <w:rFonts w:hint="eastAsia" w:ascii="宋体" w:hAnsi="宋体" w:eastAsia="宋体" w:cs="宋体"/>
                <w:color w:val="auto"/>
              </w:rPr>
              <w:t>氯化物</w:t>
            </w:r>
          </w:p>
        </w:tc>
        <w:tc>
          <w:tcPr>
            <w:tcW w:w="528" w:type="pct"/>
            <w:shd w:val="clear" w:color="auto" w:fill="auto"/>
            <w:vAlign w:val="center"/>
          </w:tcPr>
          <w:p w14:paraId="041CC043">
            <w:pPr>
              <w:pStyle w:val="24"/>
              <w:ind w:left="0" w:leftChars="0"/>
              <w:rPr>
                <w:rFonts w:hint="eastAsia" w:ascii="Times New Roman" w:hAnsi="Times New Roman" w:eastAsia="宋体" w:cs="Times New Roman"/>
                <w:color w:val="auto"/>
                <w:kern w:val="2"/>
                <w:sz w:val="21"/>
                <w:szCs w:val="21"/>
                <w:lang w:val="en-US" w:eastAsia="zh-CN" w:bidi="ar-SA"/>
              </w:rPr>
            </w:pPr>
            <w:r>
              <w:rPr>
                <w:rFonts w:eastAsia="宋体"/>
                <w:color w:val="auto"/>
              </w:rPr>
              <w:t>总大肠菌群</w:t>
            </w:r>
          </w:p>
        </w:tc>
        <w:tc>
          <w:tcPr>
            <w:tcW w:w="528" w:type="pct"/>
            <w:shd w:val="clear" w:color="auto" w:fill="auto"/>
            <w:vAlign w:val="center"/>
          </w:tcPr>
          <w:p w14:paraId="68ECA186">
            <w:pPr>
              <w:pStyle w:val="24"/>
              <w:ind w:left="0" w:leftChars="0"/>
              <w:rPr>
                <w:rFonts w:hint="eastAsia" w:ascii="Times New Roman" w:hAnsi="Times New Roman" w:eastAsia="Times New Roman" w:cs="Times New Roman"/>
                <w:color w:val="auto"/>
                <w:kern w:val="2"/>
                <w:sz w:val="21"/>
                <w:szCs w:val="21"/>
                <w:lang w:val="en-US" w:eastAsia="zh-CN" w:bidi="ar-SA"/>
              </w:rPr>
            </w:pPr>
            <w:r>
              <w:rPr>
                <w:rFonts w:eastAsia="宋体"/>
                <w:color w:val="auto"/>
              </w:rPr>
              <w:t>细菌总数</w:t>
            </w:r>
          </w:p>
        </w:tc>
        <w:tc>
          <w:tcPr>
            <w:tcW w:w="558" w:type="pct"/>
            <w:shd w:val="clear" w:color="auto" w:fill="auto"/>
            <w:vAlign w:val="center"/>
          </w:tcPr>
          <w:p w14:paraId="06CAB2C1">
            <w:pPr>
              <w:pStyle w:val="24"/>
              <w:rPr>
                <w:rFonts w:hint="default" w:ascii="Times New Roman" w:hAnsi="Times New Roman" w:eastAsia="Times New Roman" w:cs="Times New Roman"/>
                <w:color w:val="auto"/>
                <w:kern w:val="2"/>
                <w:sz w:val="21"/>
                <w:szCs w:val="21"/>
                <w:lang w:val="en-US" w:eastAsia="zh-CN" w:bidi="ar-SA"/>
              </w:rPr>
            </w:pPr>
            <w:r>
              <w:rPr>
                <w:rFonts w:hint="eastAsia" w:eastAsia="Times New Roman" w:cs="Times New Roman"/>
                <w:color w:val="auto"/>
                <w:kern w:val="2"/>
                <w:sz w:val="21"/>
                <w:szCs w:val="21"/>
                <w:lang w:val="en-US" w:eastAsia="zh-CN" w:bidi="ar-SA"/>
              </w:rPr>
              <w:t>铝</w:t>
            </w:r>
          </w:p>
        </w:tc>
        <w:tc>
          <w:tcPr>
            <w:tcW w:w="558" w:type="pct"/>
            <w:shd w:val="clear" w:color="auto" w:fill="auto"/>
            <w:vAlign w:val="center"/>
          </w:tcPr>
          <w:p w14:paraId="2D8028F9">
            <w:pPr>
              <w:pStyle w:val="24"/>
              <w:ind w:left="0" w:leftChars="0"/>
              <w:rPr>
                <w:rFonts w:hint="eastAsia" w:ascii="Times New Roman" w:hAnsi="Times New Roman" w:eastAsia="宋体" w:cs="Courier New"/>
                <w:color w:val="auto"/>
                <w:kern w:val="2"/>
                <w:sz w:val="21"/>
                <w:szCs w:val="24"/>
                <w:lang w:val="en-US" w:eastAsia="zh-CN" w:bidi="ar-SA"/>
              </w:rPr>
            </w:pPr>
            <w:r>
              <w:rPr>
                <w:rFonts w:hint="eastAsia" w:ascii="宋体" w:hAnsi="宋体" w:eastAsia="宋体" w:cs="宋体"/>
                <w:color w:val="auto"/>
              </w:rPr>
              <w:t>钠</w:t>
            </w:r>
          </w:p>
        </w:tc>
        <w:tc>
          <w:tcPr>
            <w:tcW w:w="601" w:type="pct"/>
            <w:shd w:val="clear" w:color="auto" w:fill="auto"/>
            <w:vAlign w:val="center"/>
          </w:tcPr>
          <w:p w14:paraId="056FABCC">
            <w:pPr>
              <w:pStyle w:val="24"/>
              <w:rPr>
                <w:rFonts w:ascii="Times New Roman" w:hAnsi="Times New Roman" w:eastAsia="宋体" w:cs="Times New Roman"/>
                <w:color w:val="auto"/>
                <w:kern w:val="2"/>
                <w:sz w:val="21"/>
                <w:szCs w:val="21"/>
                <w:lang w:val="en-US" w:eastAsia="zh-CN" w:bidi="ar-SA"/>
              </w:rPr>
            </w:pPr>
          </w:p>
        </w:tc>
      </w:tr>
      <w:tr w14:paraId="7DBA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shd w:val="clear" w:color="auto" w:fill="auto"/>
            <w:vAlign w:val="center"/>
          </w:tcPr>
          <w:p w14:paraId="42D76BC0">
            <w:pPr>
              <w:pStyle w:val="24"/>
              <w:rPr>
                <w:color w:val="auto"/>
              </w:rPr>
            </w:pPr>
            <w:r>
              <w:rPr>
                <w:rFonts w:hint="eastAsia" w:ascii="宋体" w:hAnsi="宋体" w:eastAsia="宋体" w:cs="宋体"/>
                <w:color w:val="auto"/>
              </w:rPr>
              <w:t>标准限值</w:t>
            </w:r>
            <w:r>
              <w:rPr>
                <w:color w:val="auto"/>
              </w:rPr>
              <w:t>*</w:t>
            </w:r>
          </w:p>
        </w:tc>
        <w:tc>
          <w:tcPr>
            <w:tcW w:w="498" w:type="pct"/>
            <w:shd w:val="clear" w:color="auto" w:fill="auto"/>
            <w:vAlign w:val="center"/>
          </w:tcPr>
          <w:p w14:paraId="6FD80A6D">
            <w:pPr>
              <w:pStyle w:val="24"/>
              <w:ind w:left="0" w:leftChars="0"/>
              <w:rPr>
                <w:rFonts w:ascii="Times New Roman" w:hAnsi="Times New Roman" w:eastAsia="宋体" w:cs="Courier New"/>
                <w:color w:val="auto"/>
                <w:kern w:val="2"/>
                <w:sz w:val="21"/>
                <w:szCs w:val="24"/>
                <w:lang w:val="en-US" w:eastAsia="zh-CN" w:bidi="ar-SA"/>
              </w:rPr>
            </w:pPr>
            <w:r>
              <w:rPr>
                <w:color w:val="auto"/>
              </w:rPr>
              <w:t>≤3.0</w:t>
            </w:r>
          </w:p>
        </w:tc>
        <w:tc>
          <w:tcPr>
            <w:tcW w:w="476" w:type="pct"/>
            <w:shd w:val="clear" w:color="auto" w:fill="auto"/>
            <w:vAlign w:val="center"/>
          </w:tcPr>
          <w:p w14:paraId="2649360F">
            <w:pPr>
              <w:pStyle w:val="24"/>
              <w:ind w:left="0" w:leftChars="0"/>
              <w:rPr>
                <w:rFonts w:ascii="Times New Roman" w:hAnsi="Times New Roman" w:eastAsia="宋体" w:cs="Courier New"/>
                <w:color w:val="auto"/>
                <w:kern w:val="2"/>
                <w:sz w:val="21"/>
                <w:szCs w:val="24"/>
                <w:lang w:val="en-US" w:eastAsia="zh-CN" w:bidi="ar-SA"/>
              </w:rPr>
            </w:pPr>
            <w:r>
              <w:rPr>
                <w:color w:val="auto"/>
              </w:rPr>
              <w:t>≤250</w:t>
            </w:r>
          </w:p>
        </w:tc>
        <w:tc>
          <w:tcPr>
            <w:tcW w:w="645" w:type="pct"/>
            <w:shd w:val="clear" w:color="auto" w:fill="auto"/>
            <w:vAlign w:val="center"/>
          </w:tcPr>
          <w:p w14:paraId="608BE1B8">
            <w:pPr>
              <w:pStyle w:val="24"/>
              <w:ind w:left="0" w:leftChars="0"/>
              <w:rPr>
                <w:rFonts w:hint="default" w:ascii="Times New Roman" w:hAnsi="Times New Roman" w:eastAsia="宋体" w:cs="Courier New"/>
                <w:color w:val="auto"/>
                <w:kern w:val="2"/>
                <w:sz w:val="21"/>
                <w:szCs w:val="24"/>
                <w:lang w:val="en-US" w:eastAsia="zh-CN" w:bidi="ar-SA"/>
              </w:rPr>
            </w:pPr>
            <w:r>
              <w:rPr>
                <w:color w:val="auto"/>
              </w:rPr>
              <w:t>≤250</w:t>
            </w:r>
          </w:p>
        </w:tc>
        <w:tc>
          <w:tcPr>
            <w:tcW w:w="528" w:type="pct"/>
            <w:shd w:val="clear" w:color="auto" w:fill="auto"/>
            <w:vAlign w:val="center"/>
          </w:tcPr>
          <w:p w14:paraId="7C783146">
            <w:pPr>
              <w:pStyle w:val="24"/>
              <w:ind w:left="0" w:leftChars="0"/>
              <w:rPr>
                <w:rFonts w:hint="default" w:ascii="Times New Roman" w:hAnsi="Times New Roman" w:eastAsia="Times New Roman" w:cs="Times New Roman"/>
                <w:color w:val="auto"/>
                <w:kern w:val="2"/>
                <w:sz w:val="21"/>
                <w:szCs w:val="21"/>
                <w:lang w:val="en-US" w:eastAsia="zh-CN" w:bidi="ar-SA"/>
              </w:rPr>
            </w:pPr>
            <w:r>
              <w:rPr>
                <w:color w:val="auto"/>
              </w:rPr>
              <w:t>≤3.0</w:t>
            </w:r>
          </w:p>
        </w:tc>
        <w:tc>
          <w:tcPr>
            <w:tcW w:w="528" w:type="pct"/>
            <w:shd w:val="clear" w:color="auto" w:fill="auto"/>
            <w:vAlign w:val="center"/>
          </w:tcPr>
          <w:p w14:paraId="457ECEDD">
            <w:pPr>
              <w:pStyle w:val="24"/>
              <w:ind w:left="0" w:leftChars="0"/>
              <w:rPr>
                <w:rFonts w:hint="default" w:ascii="Times New Roman" w:hAnsi="Times New Roman" w:eastAsia="Times New Roman" w:cs="Times New Roman"/>
                <w:color w:val="auto"/>
                <w:kern w:val="2"/>
                <w:sz w:val="21"/>
                <w:szCs w:val="21"/>
                <w:lang w:val="en-US" w:eastAsia="zh-CN" w:bidi="ar-SA"/>
              </w:rPr>
            </w:pPr>
            <w:r>
              <w:rPr>
                <w:color w:val="auto"/>
              </w:rPr>
              <w:t>≤100</w:t>
            </w:r>
          </w:p>
        </w:tc>
        <w:tc>
          <w:tcPr>
            <w:tcW w:w="558" w:type="pct"/>
            <w:shd w:val="clear" w:color="auto" w:fill="auto"/>
            <w:vAlign w:val="center"/>
          </w:tcPr>
          <w:p w14:paraId="0250165E">
            <w:pPr>
              <w:pStyle w:val="24"/>
              <w:rPr>
                <w:rFonts w:hint="default" w:ascii="Times New Roman" w:hAnsi="Times New Roman" w:eastAsia="宋体" w:cs="Times New Roman"/>
                <w:color w:val="auto"/>
                <w:kern w:val="2"/>
                <w:sz w:val="21"/>
                <w:szCs w:val="21"/>
                <w:lang w:val="en-US" w:eastAsia="zh-CN" w:bidi="ar-SA"/>
              </w:rPr>
            </w:pPr>
            <w:r>
              <w:rPr>
                <w:color w:val="auto"/>
              </w:rPr>
              <w:t>≤</w:t>
            </w:r>
            <w:r>
              <w:rPr>
                <w:rFonts w:hint="eastAsia"/>
                <w:color w:val="auto"/>
                <w:lang w:val="en-US" w:eastAsia="zh-CN"/>
              </w:rPr>
              <w:t>0.20</w:t>
            </w:r>
          </w:p>
        </w:tc>
        <w:tc>
          <w:tcPr>
            <w:tcW w:w="558" w:type="pct"/>
            <w:shd w:val="clear" w:color="auto" w:fill="auto"/>
            <w:vAlign w:val="center"/>
          </w:tcPr>
          <w:p w14:paraId="2FDE41D2">
            <w:pPr>
              <w:pStyle w:val="24"/>
              <w:ind w:left="0" w:leftChars="0"/>
              <w:rPr>
                <w:rFonts w:hint="default" w:ascii="Times New Roman" w:hAnsi="Times New Roman" w:eastAsia="宋体" w:cs="Courier New"/>
                <w:color w:val="auto"/>
                <w:kern w:val="2"/>
                <w:sz w:val="21"/>
                <w:szCs w:val="24"/>
                <w:lang w:val="en-US" w:eastAsia="zh-CN" w:bidi="ar-SA"/>
              </w:rPr>
            </w:pPr>
            <w:r>
              <w:rPr>
                <w:color w:val="auto"/>
              </w:rPr>
              <w:t>≤200</w:t>
            </w:r>
          </w:p>
        </w:tc>
        <w:tc>
          <w:tcPr>
            <w:tcW w:w="601" w:type="pct"/>
            <w:shd w:val="clear" w:color="auto" w:fill="auto"/>
            <w:vAlign w:val="center"/>
          </w:tcPr>
          <w:p w14:paraId="75C00CDD">
            <w:pPr>
              <w:pStyle w:val="24"/>
              <w:rPr>
                <w:rFonts w:ascii="Times New Roman" w:hAnsi="Times New Roman" w:eastAsia="Times New Roman" w:cs="Times New Roman"/>
                <w:color w:val="auto"/>
                <w:kern w:val="0"/>
                <w:sz w:val="21"/>
                <w:szCs w:val="21"/>
                <w:lang w:val="en-US" w:eastAsia="zh-CN" w:bidi="ar-SA"/>
              </w:rPr>
            </w:pPr>
          </w:p>
        </w:tc>
      </w:tr>
      <w:tr w14:paraId="7A16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shd w:val="clear" w:color="auto" w:fill="auto"/>
            <w:vAlign w:val="center"/>
          </w:tcPr>
          <w:p w14:paraId="6238E7B1">
            <w:pPr>
              <w:pStyle w:val="24"/>
              <w:jc w:val="left"/>
              <w:rPr>
                <w:color w:val="auto"/>
              </w:rPr>
            </w:pPr>
            <w:r>
              <w:rPr>
                <w:rFonts w:hint="eastAsia" w:ascii="宋体" w:hAnsi="宋体" w:eastAsia="宋体" w:cs="宋体"/>
                <w:color w:val="auto"/>
              </w:rPr>
              <w:t>注：</w:t>
            </w:r>
            <w:r>
              <w:rPr>
                <w:color w:val="auto"/>
              </w:rPr>
              <w:t>pH</w:t>
            </w:r>
            <w:r>
              <w:rPr>
                <w:rFonts w:hint="eastAsia" w:ascii="宋体" w:hAnsi="宋体" w:eastAsia="宋体" w:cs="宋体"/>
                <w:color w:val="auto"/>
              </w:rPr>
              <w:t>无量纲，总大肠菌群单位为</w:t>
            </w:r>
            <w:r>
              <w:rPr>
                <w:color w:val="auto"/>
              </w:rPr>
              <w:t>MPN/100mL</w:t>
            </w:r>
            <w:r>
              <w:rPr>
                <w:rFonts w:hint="eastAsia" w:ascii="宋体" w:hAnsi="宋体" w:eastAsia="宋体" w:cs="宋体"/>
                <w:color w:val="auto"/>
              </w:rPr>
              <w:t>、细菌总数单位为个</w:t>
            </w:r>
            <w:r>
              <w:rPr>
                <w:color w:val="auto"/>
              </w:rPr>
              <w:t>/mL</w:t>
            </w:r>
            <w:r>
              <w:rPr>
                <w:rFonts w:hint="eastAsia" w:eastAsiaTheme="minorEastAsia"/>
                <w:color w:val="auto"/>
              </w:rPr>
              <w:t>，</w:t>
            </w:r>
            <w:r>
              <w:rPr>
                <w:rFonts w:hint="eastAsia" w:ascii="宋体" w:hAnsi="宋体" w:eastAsia="宋体" w:cs="宋体"/>
                <w:color w:val="auto"/>
              </w:rPr>
              <w:t>其余指标单位为</w:t>
            </w:r>
            <w:r>
              <w:rPr>
                <w:color w:val="auto"/>
              </w:rPr>
              <w:t>mg/L</w:t>
            </w:r>
            <w:r>
              <w:rPr>
                <w:rFonts w:hint="eastAsia" w:ascii="宋体" w:hAnsi="宋体" w:eastAsia="宋体" w:cs="宋体"/>
                <w:color w:val="auto"/>
              </w:rPr>
              <w:t>。</w:t>
            </w:r>
          </w:p>
        </w:tc>
      </w:tr>
    </w:tbl>
    <w:p w14:paraId="0863CA9B">
      <w:pPr>
        <w:spacing w:line="360" w:lineRule="auto"/>
        <w:rPr>
          <w:rFonts w:ascii="Times New Roman" w:hAnsi="Times New Roman"/>
          <w:b/>
          <w:color w:val="auto"/>
          <w:sz w:val="24"/>
          <w:szCs w:val="24"/>
        </w:rPr>
      </w:pPr>
      <w:r>
        <w:rPr>
          <w:rFonts w:ascii="Times New Roman" w:hAnsi="Times New Roman"/>
          <w:b/>
          <w:color w:val="auto"/>
          <w:sz w:val="24"/>
          <w:szCs w:val="24"/>
        </w:rPr>
        <w:t>（4）</w:t>
      </w:r>
      <w:r>
        <w:rPr>
          <w:rFonts w:hint="eastAsia" w:ascii="Times New Roman" w:hAnsi="Times New Roman"/>
          <w:b/>
          <w:color w:val="auto"/>
          <w:sz w:val="24"/>
          <w:szCs w:val="24"/>
        </w:rPr>
        <w:t>土壤</w:t>
      </w:r>
      <w:r>
        <w:rPr>
          <w:rFonts w:ascii="Times New Roman" w:hAnsi="Times New Roman"/>
          <w:b/>
          <w:color w:val="auto"/>
          <w:sz w:val="24"/>
          <w:szCs w:val="24"/>
        </w:rPr>
        <w:t>环境</w:t>
      </w:r>
    </w:p>
    <w:p w14:paraId="03B0370E">
      <w:pPr>
        <w:spacing w:line="360" w:lineRule="auto"/>
        <w:ind w:left="0" w:leftChars="0" w:firstLine="480" w:firstLineChars="200"/>
        <w:rPr>
          <w:rFonts w:cstheme="minorHAnsi"/>
          <w:color w:val="auto"/>
          <w:sz w:val="24"/>
          <w:szCs w:val="24"/>
        </w:rPr>
      </w:pPr>
      <w:r>
        <w:rPr>
          <w:rFonts w:hint="eastAsia" w:cstheme="minorHAnsi"/>
          <w:color w:val="auto"/>
          <w:sz w:val="24"/>
          <w:szCs w:val="24"/>
          <w:lang w:val="en-US" w:eastAsia="zh-CN"/>
        </w:rPr>
        <w:t>S1~S7、S9、S11</w:t>
      </w:r>
      <w:r>
        <w:rPr>
          <w:rFonts w:hint="eastAsia" w:cstheme="minorHAnsi"/>
          <w:color w:val="auto"/>
          <w:sz w:val="24"/>
          <w:szCs w:val="24"/>
        </w:rPr>
        <w:t>执行《土壤环境质量</w:t>
      </w:r>
      <w:r>
        <w:rPr>
          <w:rFonts w:hint="eastAsia" w:cstheme="minorHAnsi"/>
          <w:color w:val="auto"/>
          <w:sz w:val="24"/>
          <w:szCs w:val="24"/>
          <w:lang w:val="en-US" w:eastAsia="zh-CN"/>
        </w:rPr>
        <w:t xml:space="preserve"> </w:t>
      </w:r>
      <w:r>
        <w:rPr>
          <w:rFonts w:hint="eastAsia" w:cstheme="minorHAnsi"/>
          <w:color w:val="auto"/>
          <w:sz w:val="24"/>
          <w:szCs w:val="24"/>
        </w:rPr>
        <w:t>建设用地土壤污染风险管控标准（试行）》（GB36600-2018）表1、表2中建设用地土壤污染风险第二类用地筛选值</w:t>
      </w:r>
      <w:r>
        <w:rPr>
          <w:rFonts w:hint="eastAsia" w:cstheme="minorHAnsi"/>
          <w:color w:val="auto"/>
          <w:sz w:val="24"/>
          <w:szCs w:val="24"/>
          <w:lang w:eastAsia="zh-CN"/>
        </w:rPr>
        <w:t>（</w:t>
      </w:r>
      <w:r>
        <w:rPr>
          <w:rFonts w:hint="eastAsia" w:cstheme="minorHAnsi"/>
          <w:color w:val="auto"/>
          <w:sz w:val="24"/>
          <w:szCs w:val="24"/>
          <w:lang w:val="en-US" w:eastAsia="zh-CN"/>
        </w:rPr>
        <w:t>其中氟化物执行《四川省建设用地土壤污染风险管控标准》（DB51/2978-2023）</w:t>
      </w:r>
      <w:r>
        <w:rPr>
          <w:rFonts w:hint="eastAsia" w:cstheme="minorHAnsi"/>
          <w:color w:val="auto"/>
          <w:sz w:val="24"/>
          <w:szCs w:val="24"/>
        </w:rPr>
        <w:t>表1中建设用地土壤污染风险第</w:t>
      </w:r>
      <w:r>
        <w:rPr>
          <w:rFonts w:hint="eastAsia" w:cstheme="minorHAnsi"/>
          <w:color w:val="auto"/>
          <w:sz w:val="24"/>
          <w:szCs w:val="24"/>
          <w:lang w:val="en-US" w:eastAsia="zh-CN"/>
        </w:rPr>
        <w:t>二</w:t>
      </w:r>
      <w:r>
        <w:rPr>
          <w:rFonts w:hint="eastAsia" w:cstheme="minorHAnsi"/>
          <w:color w:val="auto"/>
          <w:sz w:val="24"/>
          <w:szCs w:val="24"/>
        </w:rPr>
        <w:t>类用地筛选值</w:t>
      </w:r>
      <w:r>
        <w:rPr>
          <w:rFonts w:hint="eastAsia" w:cstheme="minorHAnsi"/>
          <w:color w:val="auto"/>
          <w:sz w:val="24"/>
          <w:szCs w:val="24"/>
          <w:lang w:eastAsia="zh-CN"/>
        </w:rPr>
        <w:t>）；</w:t>
      </w:r>
      <w:r>
        <w:rPr>
          <w:rFonts w:hint="eastAsia" w:cstheme="minorHAnsi"/>
          <w:color w:val="auto"/>
          <w:sz w:val="24"/>
          <w:szCs w:val="24"/>
          <w:lang w:val="en-US" w:eastAsia="zh-CN"/>
        </w:rPr>
        <w:t>S8、S10执行</w:t>
      </w:r>
      <w:r>
        <w:rPr>
          <w:rFonts w:hint="eastAsia" w:cstheme="minorHAnsi"/>
          <w:color w:val="auto"/>
          <w:sz w:val="24"/>
          <w:szCs w:val="24"/>
        </w:rPr>
        <w:t>《土壤环境质量 农用地土壤污染风险管控标准（试行）》（GB15618-2018）</w:t>
      </w:r>
      <w:r>
        <w:rPr>
          <w:rFonts w:hint="eastAsia" w:cstheme="minorHAnsi"/>
          <w:color w:val="auto"/>
          <w:sz w:val="24"/>
          <w:szCs w:val="24"/>
          <w:lang w:val="en-US" w:eastAsia="zh-CN"/>
        </w:rPr>
        <w:t>表1中农</w:t>
      </w:r>
      <w:r>
        <w:rPr>
          <w:rFonts w:hint="eastAsia" w:cstheme="minorHAnsi"/>
          <w:color w:val="auto"/>
          <w:sz w:val="24"/>
          <w:szCs w:val="24"/>
        </w:rPr>
        <w:t>用地土壤污染风险筛选值</w:t>
      </w:r>
      <w:r>
        <w:rPr>
          <w:rFonts w:hint="eastAsia" w:cstheme="minorHAnsi"/>
          <w:color w:val="auto"/>
          <w:sz w:val="24"/>
          <w:szCs w:val="24"/>
          <w:lang w:eastAsia="zh-CN"/>
        </w:rPr>
        <w:t>（</w:t>
      </w:r>
      <w:r>
        <w:rPr>
          <w:rFonts w:hint="eastAsia" w:cstheme="minorHAnsi"/>
          <w:color w:val="auto"/>
          <w:sz w:val="24"/>
          <w:szCs w:val="24"/>
          <w:lang w:val="en-US" w:eastAsia="zh-CN"/>
        </w:rPr>
        <w:t>其中石油烃</w:t>
      </w:r>
      <w:r>
        <w:rPr>
          <w:rFonts w:hint="eastAsia" w:cstheme="minorHAnsi"/>
          <w:color w:val="auto"/>
          <w:sz w:val="24"/>
          <w:szCs w:val="24"/>
        </w:rPr>
        <w:t>（C</w:t>
      </w:r>
      <w:r>
        <w:rPr>
          <w:rFonts w:hint="eastAsia" w:cstheme="minorHAnsi"/>
          <w:color w:val="auto"/>
          <w:sz w:val="24"/>
          <w:szCs w:val="24"/>
          <w:vertAlign w:val="subscript"/>
        </w:rPr>
        <w:t>10</w:t>
      </w:r>
      <w:r>
        <w:rPr>
          <w:rFonts w:hint="eastAsia" w:cstheme="minorHAnsi"/>
          <w:color w:val="auto"/>
          <w:sz w:val="24"/>
          <w:szCs w:val="24"/>
        </w:rPr>
        <w:t>-C</w:t>
      </w:r>
      <w:r>
        <w:rPr>
          <w:rFonts w:hint="eastAsia" w:cstheme="minorHAnsi"/>
          <w:color w:val="auto"/>
          <w:sz w:val="24"/>
          <w:szCs w:val="24"/>
          <w:vertAlign w:val="subscript"/>
        </w:rPr>
        <w:t>40</w:t>
      </w:r>
      <w:r>
        <w:rPr>
          <w:rFonts w:hint="eastAsia" w:cstheme="minorHAnsi"/>
          <w:color w:val="auto"/>
          <w:sz w:val="24"/>
          <w:szCs w:val="24"/>
        </w:rPr>
        <w:t>）</w:t>
      </w:r>
      <w:r>
        <w:rPr>
          <w:rFonts w:hint="eastAsia" w:cstheme="minorHAnsi"/>
          <w:color w:val="auto"/>
          <w:sz w:val="24"/>
          <w:szCs w:val="24"/>
          <w:lang w:val="en-US" w:eastAsia="zh-CN"/>
        </w:rPr>
        <w:t>执行《农用地土壤环境风险评价技术规定(试行) 》（环办土壤函〔2018〕1479 号）附表1-3中农用地土壤其他增测项目评价参考值</w:t>
      </w:r>
      <w:r>
        <w:rPr>
          <w:rFonts w:hint="eastAsia" w:cstheme="minorHAnsi"/>
          <w:color w:val="auto"/>
          <w:sz w:val="24"/>
          <w:szCs w:val="24"/>
          <w:lang w:eastAsia="zh-CN"/>
        </w:rPr>
        <w:t>）</w:t>
      </w:r>
      <w:r>
        <w:rPr>
          <w:rFonts w:hint="eastAsia" w:cstheme="minorHAnsi"/>
          <w:color w:val="auto"/>
          <w:sz w:val="24"/>
          <w:szCs w:val="24"/>
        </w:rPr>
        <w:t>。</w:t>
      </w:r>
    </w:p>
    <w:p w14:paraId="5573D6E7">
      <w:pPr>
        <w:numPr>
          <w:ilvl w:val="0"/>
          <w:numId w:val="11"/>
        </w:numPr>
        <w:spacing w:line="360" w:lineRule="auto"/>
        <w:ind w:left="425" w:leftChars="0" w:hanging="425" w:firstLineChars="0"/>
        <w:jc w:val="center"/>
        <w:rPr>
          <w:rFonts w:hint="eastAsia" w:ascii="Times New Roman" w:hAnsi="Times New Roman" w:eastAsia="黑体"/>
          <w:color w:val="auto"/>
          <w:sz w:val="21"/>
          <w:szCs w:val="21"/>
          <w:lang w:val="en-US" w:eastAsia="zh-CN"/>
        </w:rPr>
      </w:pPr>
      <w:r>
        <w:rPr>
          <w:rFonts w:hint="eastAsia" w:ascii="Times New Roman" w:hAnsi="Times New Roman" w:eastAsia="黑体"/>
          <w:color w:val="auto"/>
          <w:sz w:val="21"/>
          <w:szCs w:val="21"/>
          <w:lang w:val="en-US" w:eastAsia="zh-CN"/>
        </w:rPr>
        <w:t>建设用地土壤环境标准限值</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7"/>
        <w:gridCol w:w="1306"/>
        <w:gridCol w:w="1306"/>
        <w:gridCol w:w="2176"/>
        <w:gridCol w:w="1304"/>
        <w:gridCol w:w="1395"/>
      </w:tblGrid>
      <w:tr w14:paraId="2163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pct"/>
            <w:vMerge w:val="restart"/>
            <w:shd w:val="clear" w:color="auto" w:fill="auto"/>
            <w:vAlign w:val="center"/>
          </w:tcPr>
          <w:p w14:paraId="7CBDF9F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项目</w:t>
            </w:r>
          </w:p>
        </w:tc>
        <w:tc>
          <w:tcPr>
            <w:tcW w:w="1372" w:type="pct"/>
            <w:gridSpan w:val="2"/>
            <w:shd w:val="clear" w:color="auto" w:fill="auto"/>
            <w:vAlign w:val="center"/>
          </w:tcPr>
          <w:p w14:paraId="5CAF0AF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筛选值（mg/kg）</w:t>
            </w:r>
          </w:p>
        </w:tc>
        <w:tc>
          <w:tcPr>
            <w:tcW w:w="1143" w:type="pct"/>
            <w:vMerge w:val="restart"/>
            <w:vAlign w:val="center"/>
          </w:tcPr>
          <w:p w14:paraId="3A0598A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项目</w:t>
            </w:r>
          </w:p>
        </w:tc>
        <w:tc>
          <w:tcPr>
            <w:tcW w:w="1418" w:type="pct"/>
            <w:gridSpan w:val="2"/>
            <w:vAlign w:val="center"/>
          </w:tcPr>
          <w:p w14:paraId="784B26B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筛选值（mg/kg）</w:t>
            </w:r>
          </w:p>
        </w:tc>
      </w:tr>
      <w:tr w14:paraId="4915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pct"/>
            <w:vMerge w:val="continue"/>
            <w:shd w:val="clear" w:color="auto" w:fill="auto"/>
            <w:vAlign w:val="center"/>
          </w:tcPr>
          <w:p w14:paraId="61BFD77F">
            <w:pPr>
              <w:pStyle w:val="24"/>
              <w:bidi w:val="0"/>
              <w:rPr>
                <w:rFonts w:hint="eastAsia" w:ascii="Times New Roman" w:hAnsi="Times New Roman" w:eastAsia="宋体" w:cs="Courier New"/>
                <w:b/>
                <w:bCs/>
                <w:color w:val="auto"/>
                <w:highlight w:val="none"/>
                <w:lang w:val="en-US" w:eastAsia="zh-CN"/>
              </w:rPr>
            </w:pPr>
          </w:p>
        </w:tc>
        <w:tc>
          <w:tcPr>
            <w:tcW w:w="686" w:type="pct"/>
            <w:shd w:val="clear" w:color="auto" w:fill="auto"/>
            <w:vAlign w:val="center"/>
          </w:tcPr>
          <w:p w14:paraId="0CBCE98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第一类用地</w:t>
            </w:r>
          </w:p>
        </w:tc>
        <w:tc>
          <w:tcPr>
            <w:tcW w:w="686" w:type="pct"/>
            <w:vAlign w:val="center"/>
          </w:tcPr>
          <w:p w14:paraId="3AA7E7F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第二类用地</w:t>
            </w:r>
          </w:p>
        </w:tc>
        <w:tc>
          <w:tcPr>
            <w:tcW w:w="1143" w:type="pct"/>
            <w:vMerge w:val="continue"/>
            <w:vAlign w:val="center"/>
          </w:tcPr>
          <w:p w14:paraId="35A89A1B">
            <w:pPr>
              <w:pStyle w:val="24"/>
              <w:bidi w:val="0"/>
              <w:rPr>
                <w:rFonts w:hint="eastAsia" w:ascii="Times New Roman" w:hAnsi="Times New Roman" w:eastAsia="宋体" w:cs="Courier New"/>
                <w:b/>
                <w:bCs/>
                <w:color w:val="auto"/>
                <w:highlight w:val="none"/>
                <w:lang w:val="en-US" w:eastAsia="zh-CN"/>
              </w:rPr>
            </w:pPr>
          </w:p>
        </w:tc>
        <w:tc>
          <w:tcPr>
            <w:tcW w:w="685" w:type="pct"/>
            <w:vAlign w:val="center"/>
          </w:tcPr>
          <w:p w14:paraId="21B34A8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第一类用地</w:t>
            </w:r>
          </w:p>
        </w:tc>
        <w:tc>
          <w:tcPr>
            <w:tcW w:w="733" w:type="pct"/>
            <w:vAlign w:val="center"/>
          </w:tcPr>
          <w:p w14:paraId="208879B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第二类用地</w:t>
            </w:r>
          </w:p>
        </w:tc>
      </w:tr>
      <w:tr w14:paraId="140F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2E856CF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砷</w:t>
            </w:r>
          </w:p>
        </w:tc>
        <w:tc>
          <w:tcPr>
            <w:tcW w:w="686" w:type="pct"/>
            <w:vAlign w:val="center"/>
          </w:tcPr>
          <w:p w14:paraId="06930C6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686" w:type="pct"/>
            <w:vAlign w:val="center"/>
          </w:tcPr>
          <w:p w14:paraId="063AE2D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60</w:t>
            </w:r>
          </w:p>
        </w:tc>
        <w:tc>
          <w:tcPr>
            <w:tcW w:w="1143" w:type="pct"/>
            <w:shd w:val="clear" w:color="auto" w:fill="auto"/>
            <w:vAlign w:val="center"/>
          </w:tcPr>
          <w:p w14:paraId="56227FA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氯乙烯</w:t>
            </w:r>
          </w:p>
        </w:tc>
        <w:tc>
          <w:tcPr>
            <w:tcW w:w="685" w:type="pct"/>
            <w:shd w:val="clear" w:color="auto" w:fill="auto"/>
            <w:vAlign w:val="center"/>
          </w:tcPr>
          <w:p w14:paraId="4AC9B47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0.12</w:t>
            </w:r>
          </w:p>
        </w:tc>
        <w:tc>
          <w:tcPr>
            <w:tcW w:w="733" w:type="pct"/>
            <w:shd w:val="clear" w:color="auto" w:fill="auto"/>
            <w:vAlign w:val="center"/>
          </w:tcPr>
          <w:p w14:paraId="4376179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0.43</w:t>
            </w:r>
          </w:p>
        </w:tc>
      </w:tr>
      <w:tr w14:paraId="5443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4EBADF4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镉</w:t>
            </w:r>
          </w:p>
        </w:tc>
        <w:tc>
          <w:tcPr>
            <w:tcW w:w="686" w:type="pct"/>
            <w:vAlign w:val="center"/>
          </w:tcPr>
          <w:p w14:paraId="233AE20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686" w:type="pct"/>
            <w:vAlign w:val="center"/>
          </w:tcPr>
          <w:p w14:paraId="43F2086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65</w:t>
            </w:r>
          </w:p>
        </w:tc>
        <w:tc>
          <w:tcPr>
            <w:tcW w:w="1143" w:type="pct"/>
            <w:shd w:val="clear" w:color="auto" w:fill="auto"/>
            <w:vAlign w:val="center"/>
          </w:tcPr>
          <w:p w14:paraId="7C2669D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w:t>
            </w:r>
          </w:p>
        </w:tc>
        <w:tc>
          <w:tcPr>
            <w:tcW w:w="685" w:type="pct"/>
            <w:shd w:val="clear" w:color="auto" w:fill="auto"/>
            <w:vAlign w:val="center"/>
          </w:tcPr>
          <w:p w14:paraId="7BA66DE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733" w:type="pct"/>
            <w:shd w:val="clear" w:color="auto" w:fill="auto"/>
            <w:vAlign w:val="center"/>
          </w:tcPr>
          <w:p w14:paraId="78F56AC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w:t>
            </w:r>
          </w:p>
        </w:tc>
      </w:tr>
      <w:tr w14:paraId="6C55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7688294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六价铬</w:t>
            </w:r>
          </w:p>
        </w:tc>
        <w:tc>
          <w:tcPr>
            <w:tcW w:w="686" w:type="pct"/>
            <w:vAlign w:val="center"/>
          </w:tcPr>
          <w:p w14:paraId="418D6CD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w:t>
            </w:r>
          </w:p>
        </w:tc>
        <w:tc>
          <w:tcPr>
            <w:tcW w:w="686" w:type="pct"/>
            <w:vAlign w:val="center"/>
          </w:tcPr>
          <w:p w14:paraId="7CDE4AD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5.7</w:t>
            </w:r>
          </w:p>
        </w:tc>
        <w:tc>
          <w:tcPr>
            <w:tcW w:w="1143" w:type="pct"/>
            <w:shd w:val="clear" w:color="auto" w:fill="auto"/>
            <w:vAlign w:val="center"/>
          </w:tcPr>
          <w:p w14:paraId="309C020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氯苯</w:t>
            </w:r>
          </w:p>
        </w:tc>
        <w:tc>
          <w:tcPr>
            <w:tcW w:w="685" w:type="pct"/>
            <w:shd w:val="clear" w:color="auto" w:fill="auto"/>
            <w:vAlign w:val="center"/>
          </w:tcPr>
          <w:p w14:paraId="4359647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w:t>
            </w:r>
          </w:p>
        </w:tc>
        <w:tc>
          <w:tcPr>
            <w:tcW w:w="733" w:type="pct"/>
            <w:shd w:val="clear" w:color="auto" w:fill="auto"/>
            <w:vAlign w:val="center"/>
          </w:tcPr>
          <w:p w14:paraId="368F9CA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270</w:t>
            </w:r>
          </w:p>
        </w:tc>
      </w:tr>
      <w:tr w14:paraId="2271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2024C4D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铜</w:t>
            </w:r>
          </w:p>
        </w:tc>
        <w:tc>
          <w:tcPr>
            <w:tcW w:w="686" w:type="pct"/>
            <w:vAlign w:val="center"/>
          </w:tcPr>
          <w:p w14:paraId="31760D9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2000</w:t>
            </w:r>
          </w:p>
        </w:tc>
        <w:tc>
          <w:tcPr>
            <w:tcW w:w="686" w:type="pct"/>
            <w:vAlign w:val="center"/>
          </w:tcPr>
          <w:p w14:paraId="4DEFD59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18000</w:t>
            </w:r>
          </w:p>
        </w:tc>
        <w:tc>
          <w:tcPr>
            <w:tcW w:w="1143" w:type="pct"/>
            <w:shd w:val="clear" w:color="auto" w:fill="auto"/>
            <w:vAlign w:val="center"/>
          </w:tcPr>
          <w:p w14:paraId="38DF06E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1,2-二氯苯</w:t>
            </w:r>
          </w:p>
        </w:tc>
        <w:tc>
          <w:tcPr>
            <w:tcW w:w="685" w:type="pct"/>
            <w:shd w:val="clear" w:color="auto" w:fill="auto"/>
            <w:vAlign w:val="center"/>
          </w:tcPr>
          <w:p w14:paraId="27EB16E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560</w:t>
            </w:r>
          </w:p>
        </w:tc>
        <w:tc>
          <w:tcPr>
            <w:tcW w:w="733" w:type="pct"/>
            <w:shd w:val="clear" w:color="auto" w:fill="auto"/>
            <w:vAlign w:val="center"/>
          </w:tcPr>
          <w:p w14:paraId="130FC15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560</w:t>
            </w:r>
          </w:p>
        </w:tc>
      </w:tr>
      <w:tr w14:paraId="605B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3B2B8CA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铅</w:t>
            </w:r>
          </w:p>
        </w:tc>
        <w:tc>
          <w:tcPr>
            <w:tcW w:w="686" w:type="pct"/>
            <w:vAlign w:val="center"/>
          </w:tcPr>
          <w:p w14:paraId="78386E8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400</w:t>
            </w:r>
          </w:p>
        </w:tc>
        <w:tc>
          <w:tcPr>
            <w:tcW w:w="686" w:type="pct"/>
            <w:vAlign w:val="center"/>
          </w:tcPr>
          <w:p w14:paraId="7582CFD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800</w:t>
            </w:r>
          </w:p>
        </w:tc>
        <w:tc>
          <w:tcPr>
            <w:tcW w:w="1143" w:type="pct"/>
            <w:shd w:val="clear" w:color="auto" w:fill="auto"/>
            <w:vAlign w:val="center"/>
          </w:tcPr>
          <w:p w14:paraId="667A879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1,4-二氯苯</w:t>
            </w:r>
          </w:p>
        </w:tc>
        <w:tc>
          <w:tcPr>
            <w:tcW w:w="685" w:type="pct"/>
            <w:shd w:val="clear" w:color="auto" w:fill="auto"/>
            <w:vAlign w:val="center"/>
          </w:tcPr>
          <w:p w14:paraId="0B041C7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5.6</w:t>
            </w:r>
          </w:p>
        </w:tc>
        <w:tc>
          <w:tcPr>
            <w:tcW w:w="733" w:type="pct"/>
            <w:shd w:val="clear" w:color="auto" w:fill="auto"/>
            <w:vAlign w:val="center"/>
          </w:tcPr>
          <w:p w14:paraId="11D5CC6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r>
      <w:tr w14:paraId="5DB9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5F9E797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汞</w:t>
            </w:r>
          </w:p>
        </w:tc>
        <w:tc>
          <w:tcPr>
            <w:tcW w:w="686" w:type="pct"/>
            <w:vAlign w:val="center"/>
          </w:tcPr>
          <w:p w14:paraId="3E2F77B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w:t>
            </w:r>
          </w:p>
        </w:tc>
        <w:tc>
          <w:tcPr>
            <w:tcW w:w="686" w:type="pct"/>
            <w:vAlign w:val="center"/>
          </w:tcPr>
          <w:p w14:paraId="314B17A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w:t>
            </w:r>
          </w:p>
        </w:tc>
        <w:tc>
          <w:tcPr>
            <w:tcW w:w="1143" w:type="pct"/>
            <w:shd w:val="clear" w:color="auto" w:fill="auto"/>
            <w:vAlign w:val="center"/>
          </w:tcPr>
          <w:p w14:paraId="74177C5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乙苯</w:t>
            </w:r>
          </w:p>
        </w:tc>
        <w:tc>
          <w:tcPr>
            <w:tcW w:w="685" w:type="pct"/>
            <w:shd w:val="clear" w:color="auto" w:fill="auto"/>
            <w:vAlign w:val="center"/>
          </w:tcPr>
          <w:p w14:paraId="5B895DD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7.2</w:t>
            </w:r>
          </w:p>
        </w:tc>
        <w:tc>
          <w:tcPr>
            <w:tcW w:w="733" w:type="pct"/>
            <w:shd w:val="clear" w:color="auto" w:fill="auto"/>
            <w:vAlign w:val="center"/>
          </w:tcPr>
          <w:p w14:paraId="6E6E6D9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w:t>
            </w:r>
          </w:p>
        </w:tc>
      </w:tr>
      <w:tr w14:paraId="1305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05FB95B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镍</w:t>
            </w:r>
          </w:p>
        </w:tc>
        <w:tc>
          <w:tcPr>
            <w:tcW w:w="686" w:type="pct"/>
            <w:vAlign w:val="center"/>
          </w:tcPr>
          <w:p w14:paraId="13E0348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150</w:t>
            </w:r>
          </w:p>
        </w:tc>
        <w:tc>
          <w:tcPr>
            <w:tcW w:w="686" w:type="pct"/>
            <w:vAlign w:val="center"/>
          </w:tcPr>
          <w:p w14:paraId="4B99845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900</w:t>
            </w:r>
          </w:p>
        </w:tc>
        <w:tc>
          <w:tcPr>
            <w:tcW w:w="1143" w:type="pct"/>
            <w:shd w:val="clear" w:color="auto" w:fill="auto"/>
            <w:vAlign w:val="center"/>
          </w:tcPr>
          <w:p w14:paraId="2857E45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苯乙烯</w:t>
            </w:r>
          </w:p>
        </w:tc>
        <w:tc>
          <w:tcPr>
            <w:tcW w:w="685" w:type="pct"/>
            <w:shd w:val="clear" w:color="auto" w:fill="auto"/>
            <w:vAlign w:val="center"/>
          </w:tcPr>
          <w:p w14:paraId="396D6F4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1290</w:t>
            </w:r>
          </w:p>
        </w:tc>
        <w:tc>
          <w:tcPr>
            <w:tcW w:w="733" w:type="pct"/>
            <w:shd w:val="clear" w:color="auto" w:fill="auto"/>
            <w:vAlign w:val="center"/>
          </w:tcPr>
          <w:p w14:paraId="6E4BEE6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1290</w:t>
            </w:r>
          </w:p>
        </w:tc>
      </w:tr>
      <w:tr w14:paraId="1CCE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2112EC3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四氯化碳</w:t>
            </w:r>
          </w:p>
        </w:tc>
        <w:tc>
          <w:tcPr>
            <w:tcW w:w="686" w:type="pct"/>
            <w:vAlign w:val="center"/>
          </w:tcPr>
          <w:p w14:paraId="346B540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0.9</w:t>
            </w:r>
          </w:p>
        </w:tc>
        <w:tc>
          <w:tcPr>
            <w:tcW w:w="686" w:type="pct"/>
            <w:vAlign w:val="center"/>
          </w:tcPr>
          <w:p w14:paraId="692764B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w:t>
            </w:r>
          </w:p>
        </w:tc>
        <w:tc>
          <w:tcPr>
            <w:tcW w:w="1143" w:type="pct"/>
            <w:shd w:val="clear" w:color="auto" w:fill="auto"/>
            <w:vAlign w:val="center"/>
          </w:tcPr>
          <w:p w14:paraId="2FA227C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甲苯</w:t>
            </w:r>
          </w:p>
        </w:tc>
        <w:tc>
          <w:tcPr>
            <w:tcW w:w="685" w:type="pct"/>
            <w:shd w:val="clear" w:color="auto" w:fill="auto"/>
            <w:vAlign w:val="center"/>
          </w:tcPr>
          <w:p w14:paraId="5359320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1200</w:t>
            </w:r>
          </w:p>
        </w:tc>
        <w:tc>
          <w:tcPr>
            <w:tcW w:w="733" w:type="pct"/>
            <w:shd w:val="clear" w:color="auto" w:fill="auto"/>
            <w:vAlign w:val="center"/>
          </w:tcPr>
          <w:p w14:paraId="29CF243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1200</w:t>
            </w:r>
          </w:p>
        </w:tc>
      </w:tr>
      <w:tr w14:paraId="5D9A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174EEFC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氯仿</w:t>
            </w:r>
          </w:p>
        </w:tc>
        <w:tc>
          <w:tcPr>
            <w:tcW w:w="686" w:type="pct"/>
            <w:vAlign w:val="center"/>
          </w:tcPr>
          <w:p w14:paraId="35E58CA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w:t>
            </w:r>
          </w:p>
        </w:tc>
        <w:tc>
          <w:tcPr>
            <w:tcW w:w="686" w:type="pct"/>
            <w:vAlign w:val="center"/>
          </w:tcPr>
          <w:p w14:paraId="7466CBF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0.9</w:t>
            </w:r>
          </w:p>
        </w:tc>
        <w:tc>
          <w:tcPr>
            <w:tcW w:w="1143" w:type="pct"/>
            <w:shd w:val="clear" w:color="auto" w:fill="auto"/>
            <w:vAlign w:val="center"/>
          </w:tcPr>
          <w:p w14:paraId="188F8A3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间二甲苯+对二甲苯</w:t>
            </w:r>
          </w:p>
        </w:tc>
        <w:tc>
          <w:tcPr>
            <w:tcW w:w="685" w:type="pct"/>
            <w:shd w:val="clear" w:color="auto" w:fill="auto"/>
            <w:vAlign w:val="center"/>
          </w:tcPr>
          <w:p w14:paraId="0E52CB6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163</w:t>
            </w:r>
          </w:p>
        </w:tc>
        <w:tc>
          <w:tcPr>
            <w:tcW w:w="733" w:type="pct"/>
            <w:shd w:val="clear" w:color="auto" w:fill="auto"/>
            <w:vAlign w:val="center"/>
          </w:tcPr>
          <w:p w14:paraId="2835472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570</w:t>
            </w:r>
          </w:p>
        </w:tc>
      </w:tr>
      <w:tr w14:paraId="0104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720716D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氯甲烷</w:t>
            </w:r>
          </w:p>
        </w:tc>
        <w:tc>
          <w:tcPr>
            <w:tcW w:w="686" w:type="pct"/>
            <w:vAlign w:val="center"/>
          </w:tcPr>
          <w:p w14:paraId="4CEA7CF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w:t>
            </w:r>
          </w:p>
        </w:tc>
        <w:tc>
          <w:tcPr>
            <w:tcW w:w="686" w:type="pct"/>
            <w:vAlign w:val="center"/>
          </w:tcPr>
          <w:p w14:paraId="2A7F08C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37</w:t>
            </w:r>
          </w:p>
        </w:tc>
        <w:tc>
          <w:tcPr>
            <w:tcW w:w="1143" w:type="pct"/>
            <w:shd w:val="clear" w:color="auto" w:fill="auto"/>
            <w:vAlign w:val="center"/>
          </w:tcPr>
          <w:p w14:paraId="5B9A9E9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邻二甲苯</w:t>
            </w:r>
          </w:p>
        </w:tc>
        <w:tc>
          <w:tcPr>
            <w:tcW w:w="685" w:type="pct"/>
            <w:shd w:val="clear" w:color="auto" w:fill="auto"/>
            <w:vAlign w:val="center"/>
          </w:tcPr>
          <w:p w14:paraId="6A0D24F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222</w:t>
            </w:r>
          </w:p>
        </w:tc>
        <w:tc>
          <w:tcPr>
            <w:tcW w:w="733" w:type="pct"/>
            <w:shd w:val="clear" w:color="auto" w:fill="auto"/>
            <w:vAlign w:val="center"/>
          </w:tcPr>
          <w:p w14:paraId="486D67A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640</w:t>
            </w:r>
          </w:p>
        </w:tc>
      </w:tr>
      <w:tr w14:paraId="2DF6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65" w:type="pct"/>
            <w:shd w:val="clear" w:color="auto" w:fill="auto"/>
            <w:vAlign w:val="center"/>
          </w:tcPr>
          <w:p w14:paraId="30FC7F5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1,1-二氯乙烷</w:t>
            </w:r>
          </w:p>
        </w:tc>
        <w:tc>
          <w:tcPr>
            <w:tcW w:w="686" w:type="pct"/>
            <w:vAlign w:val="center"/>
          </w:tcPr>
          <w:p w14:paraId="0D83F6C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w:t>
            </w:r>
          </w:p>
        </w:tc>
        <w:tc>
          <w:tcPr>
            <w:tcW w:w="686" w:type="pct"/>
            <w:vAlign w:val="center"/>
          </w:tcPr>
          <w:p w14:paraId="13005B2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w:t>
            </w:r>
          </w:p>
        </w:tc>
        <w:tc>
          <w:tcPr>
            <w:tcW w:w="1143" w:type="pct"/>
            <w:shd w:val="clear" w:color="auto" w:fill="auto"/>
            <w:vAlign w:val="center"/>
          </w:tcPr>
          <w:p w14:paraId="4060EB5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硝基苯</w:t>
            </w:r>
          </w:p>
        </w:tc>
        <w:tc>
          <w:tcPr>
            <w:tcW w:w="685" w:type="pct"/>
            <w:shd w:val="clear" w:color="auto" w:fill="auto"/>
            <w:vAlign w:val="center"/>
          </w:tcPr>
          <w:p w14:paraId="36B4AC7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w:t>
            </w:r>
          </w:p>
        </w:tc>
        <w:tc>
          <w:tcPr>
            <w:tcW w:w="733" w:type="pct"/>
            <w:shd w:val="clear" w:color="auto" w:fill="auto"/>
            <w:vAlign w:val="center"/>
          </w:tcPr>
          <w:p w14:paraId="12DA5A0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76</w:t>
            </w:r>
          </w:p>
        </w:tc>
      </w:tr>
      <w:tr w14:paraId="6C8D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065" w:type="pct"/>
            <w:shd w:val="clear" w:color="auto" w:fill="auto"/>
            <w:vAlign w:val="center"/>
          </w:tcPr>
          <w:p w14:paraId="0141BEB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1,2-二氯乙烷</w:t>
            </w:r>
          </w:p>
        </w:tc>
        <w:tc>
          <w:tcPr>
            <w:tcW w:w="686" w:type="pct"/>
            <w:vAlign w:val="center"/>
          </w:tcPr>
          <w:p w14:paraId="4E5FDC9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0.52</w:t>
            </w:r>
          </w:p>
        </w:tc>
        <w:tc>
          <w:tcPr>
            <w:tcW w:w="686" w:type="pct"/>
            <w:vAlign w:val="center"/>
          </w:tcPr>
          <w:p w14:paraId="3E87E9E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w:t>
            </w:r>
          </w:p>
        </w:tc>
        <w:tc>
          <w:tcPr>
            <w:tcW w:w="1143" w:type="pct"/>
            <w:shd w:val="clear" w:color="auto" w:fill="auto"/>
            <w:vAlign w:val="center"/>
          </w:tcPr>
          <w:p w14:paraId="3D1DE87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苯胺</w:t>
            </w:r>
          </w:p>
        </w:tc>
        <w:tc>
          <w:tcPr>
            <w:tcW w:w="685" w:type="pct"/>
            <w:shd w:val="clear" w:color="auto" w:fill="auto"/>
            <w:vAlign w:val="center"/>
          </w:tcPr>
          <w:p w14:paraId="096180F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92</w:t>
            </w:r>
          </w:p>
        </w:tc>
        <w:tc>
          <w:tcPr>
            <w:tcW w:w="733" w:type="pct"/>
            <w:shd w:val="clear" w:color="auto" w:fill="auto"/>
            <w:vAlign w:val="center"/>
          </w:tcPr>
          <w:p w14:paraId="72E82A8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260</w:t>
            </w:r>
          </w:p>
        </w:tc>
      </w:tr>
      <w:tr w14:paraId="5A3E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065" w:type="pct"/>
            <w:shd w:val="clear" w:color="auto" w:fill="auto"/>
            <w:vAlign w:val="center"/>
          </w:tcPr>
          <w:p w14:paraId="1F04F7F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1,1-二氯乙烯</w:t>
            </w:r>
          </w:p>
        </w:tc>
        <w:tc>
          <w:tcPr>
            <w:tcW w:w="686" w:type="pct"/>
            <w:vAlign w:val="center"/>
          </w:tcPr>
          <w:p w14:paraId="5D660DA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w:t>
            </w:r>
          </w:p>
        </w:tc>
        <w:tc>
          <w:tcPr>
            <w:tcW w:w="686" w:type="pct"/>
            <w:vAlign w:val="center"/>
          </w:tcPr>
          <w:p w14:paraId="16944BE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66</w:t>
            </w:r>
          </w:p>
        </w:tc>
        <w:tc>
          <w:tcPr>
            <w:tcW w:w="1143" w:type="pct"/>
            <w:shd w:val="clear" w:color="auto" w:fill="auto"/>
            <w:vAlign w:val="center"/>
          </w:tcPr>
          <w:p w14:paraId="5C78D5E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2-氯酚</w:t>
            </w:r>
          </w:p>
        </w:tc>
        <w:tc>
          <w:tcPr>
            <w:tcW w:w="685" w:type="pct"/>
            <w:shd w:val="clear" w:color="auto" w:fill="auto"/>
            <w:vAlign w:val="center"/>
          </w:tcPr>
          <w:p w14:paraId="49E6CEA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250</w:t>
            </w:r>
          </w:p>
        </w:tc>
        <w:tc>
          <w:tcPr>
            <w:tcW w:w="733" w:type="pct"/>
            <w:shd w:val="clear" w:color="auto" w:fill="auto"/>
            <w:vAlign w:val="center"/>
          </w:tcPr>
          <w:p w14:paraId="34892B9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2256</w:t>
            </w:r>
          </w:p>
        </w:tc>
      </w:tr>
      <w:tr w14:paraId="0546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4233238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顺1,2-二氯乙烯</w:t>
            </w:r>
          </w:p>
        </w:tc>
        <w:tc>
          <w:tcPr>
            <w:tcW w:w="686" w:type="pct"/>
            <w:vAlign w:val="center"/>
          </w:tcPr>
          <w:p w14:paraId="4C3081E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66</w:t>
            </w:r>
          </w:p>
        </w:tc>
        <w:tc>
          <w:tcPr>
            <w:tcW w:w="686" w:type="pct"/>
            <w:vAlign w:val="center"/>
          </w:tcPr>
          <w:p w14:paraId="44CF5FA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596</w:t>
            </w:r>
          </w:p>
        </w:tc>
        <w:tc>
          <w:tcPr>
            <w:tcW w:w="1143" w:type="pct"/>
            <w:shd w:val="clear" w:color="auto" w:fill="auto"/>
            <w:vAlign w:val="center"/>
          </w:tcPr>
          <w:p w14:paraId="291854B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苯并[a]蒽</w:t>
            </w:r>
          </w:p>
        </w:tc>
        <w:tc>
          <w:tcPr>
            <w:tcW w:w="685" w:type="pct"/>
            <w:shd w:val="clear" w:color="auto" w:fill="auto"/>
            <w:vAlign w:val="center"/>
          </w:tcPr>
          <w:p w14:paraId="352FD92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w:t>
            </w:r>
          </w:p>
        </w:tc>
        <w:tc>
          <w:tcPr>
            <w:tcW w:w="733" w:type="pct"/>
            <w:shd w:val="clear" w:color="auto" w:fill="auto"/>
            <w:vAlign w:val="center"/>
          </w:tcPr>
          <w:p w14:paraId="727A5A0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r>
      <w:tr w14:paraId="6949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3A2CA94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反1,2-二氯乙烯</w:t>
            </w:r>
          </w:p>
        </w:tc>
        <w:tc>
          <w:tcPr>
            <w:tcW w:w="686" w:type="pct"/>
            <w:vAlign w:val="center"/>
          </w:tcPr>
          <w:p w14:paraId="5D4884E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p>
        </w:tc>
        <w:tc>
          <w:tcPr>
            <w:tcW w:w="686" w:type="pct"/>
            <w:vAlign w:val="center"/>
          </w:tcPr>
          <w:p w14:paraId="0033DFE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54</w:t>
            </w:r>
          </w:p>
        </w:tc>
        <w:tc>
          <w:tcPr>
            <w:tcW w:w="1143" w:type="pct"/>
            <w:shd w:val="clear" w:color="auto" w:fill="auto"/>
            <w:vAlign w:val="center"/>
          </w:tcPr>
          <w:p w14:paraId="5BC35B1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苯并[a]芘</w:t>
            </w:r>
          </w:p>
        </w:tc>
        <w:tc>
          <w:tcPr>
            <w:tcW w:w="685" w:type="pct"/>
            <w:shd w:val="clear" w:color="auto" w:fill="auto"/>
            <w:vAlign w:val="center"/>
          </w:tcPr>
          <w:p w14:paraId="22E7F7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0.55</w:t>
            </w:r>
          </w:p>
        </w:tc>
        <w:tc>
          <w:tcPr>
            <w:tcW w:w="733" w:type="pct"/>
            <w:shd w:val="clear" w:color="auto" w:fill="auto"/>
            <w:vAlign w:val="center"/>
          </w:tcPr>
          <w:p w14:paraId="693BF3C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r>
      <w:tr w14:paraId="2916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33391A4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二氯甲烷</w:t>
            </w:r>
          </w:p>
        </w:tc>
        <w:tc>
          <w:tcPr>
            <w:tcW w:w="686" w:type="pct"/>
            <w:vAlign w:val="center"/>
          </w:tcPr>
          <w:p w14:paraId="25DAECF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94</w:t>
            </w:r>
          </w:p>
        </w:tc>
        <w:tc>
          <w:tcPr>
            <w:tcW w:w="686" w:type="pct"/>
            <w:vAlign w:val="center"/>
          </w:tcPr>
          <w:p w14:paraId="4F899A9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616</w:t>
            </w:r>
          </w:p>
        </w:tc>
        <w:tc>
          <w:tcPr>
            <w:tcW w:w="1143" w:type="pct"/>
            <w:shd w:val="clear" w:color="auto" w:fill="auto"/>
            <w:vAlign w:val="center"/>
          </w:tcPr>
          <w:p w14:paraId="0433253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苯并[b]荧蒽</w:t>
            </w:r>
          </w:p>
        </w:tc>
        <w:tc>
          <w:tcPr>
            <w:tcW w:w="685" w:type="pct"/>
            <w:shd w:val="clear" w:color="auto" w:fill="auto"/>
            <w:vAlign w:val="center"/>
          </w:tcPr>
          <w:p w14:paraId="18355C6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w:t>
            </w:r>
          </w:p>
        </w:tc>
        <w:tc>
          <w:tcPr>
            <w:tcW w:w="733" w:type="pct"/>
            <w:shd w:val="clear" w:color="auto" w:fill="auto"/>
            <w:vAlign w:val="center"/>
          </w:tcPr>
          <w:p w14:paraId="7AA098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r>
      <w:tr w14:paraId="5545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029E4B8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1,2-二氯丙烷</w:t>
            </w:r>
          </w:p>
        </w:tc>
        <w:tc>
          <w:tcPr>
            <w:tcW w:w="686" w:type="pct"/>
            <w:vAlign w:val="center"/>
          </w:tcPr>
          <w:p w14:paraId="2C156B2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686" w:type="pct"/>
            <w:vAlign w:val="center"/>
          </w:tcPr>
          <w:p w14:paraId="2C3AC62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w:t>
            </w:r>
          </w:p>
        </w:tc>
        <w:tc>
          <w:tcPr>
            <w:tcW w:w="1143" w:type="pct"/>
            <w:shd w:val="clear" w:color="auto" w:fill="auto"/>
            <w:vAlign w:val="center"/>
          </w:tcPr>
          <w:p w14:paraId="1CF57FE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苯并[k]荧蒽</w:t>
            </w:r>
          </w:p>
        </w:tc>
        <w:tc>
          <w:tcPr>
            <w:tcW w:w="685" w:type="pct"/>
            <w:shd w:val="clear" w:color="auto" w:fill="auto"/>
            <w:vAlign w:val="center"/>
          </w:tcPr>
          <w:p w14:paraId="5FDE609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w:t>
            </w:r>
          </w:p>
        </w:tc>
        <w:tc>
          <w:tcPr>
            <w:tcW w:w="733" w:type="pct"/>
            <w:shd w:val="clear" w:color="auto" w:fill="auto"/>
            <w:vAlign w:val="center"/>
          </w:tcPr>
          <w:p w14:paraId="228F475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151</w:t>
            </w:r>
          </w:p>
        </w:tc>
      </w:tr>
      <w:tr w14:paraId="493B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57BB48B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1,1,1,2-四氯乙烷</w:t>
            </w:r>
          </w:p>
        </w:tc>
        <w:tc>
          <w:tcPr>
            <w:tcW w:w="686" w:type="pct"/>
            <w:vAlign w:val="center"/>
          </w:tcPr>
          <w:p w14:paraId="5D96CEE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686" w:type="pct"/>
            <w:vAlign w:val="center"/>
          </w:tcPr>
          <w:p w14:paraId="0658DF3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p>
        </w:tc>
        <w:tc>
          <w:tcPr>
            <w:tcW w:w="1143" w:type="pct"/>
            <w:shd w:val="clear" w:color="auto" w:fill="auto"/>
            <w:vAlign w:val="center"/>
          </w:tcPr>
          <w:p w14:paraId="21E16C9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䓛</w:t>
            </w:r>
          </w:p>
        </w:tc>
        <w:tc>
          <w:tcPr>
            <w:tcW w:w="685" w:type="pct"/>
            <w:shd w:val="clear" w:color="auto" w:fill="auto"/>
            <w:vAlign w:val="center"/>
          </w:tcPr>
          <w:p w14:paraId="1826AEC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490</w:t>
            </w:r>
          </w:p>
        </w:tc>
        <w:tc>
          <w:tcPr>
            <w:tcW w:w="733" w:type="pct"/>
            <w:shd w:val="clear" w:color="auto" w:fill="auto"/>
            <w:vAlign w:val="center"/>
          </w:tcPr>
          <w:p w14:paraId="6C557C2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1293</w:t>
            </w:r>
          </w:p>
        </w:tc>
      </w:tr>
      <w:tr w14:paraId="5A8E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4151E78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1,1,2,2-四氯乙烷</w:t>
            </w:r>
          </w:p>
        </w:tc>
        <w:tc>
          <w:tcPr>
            <w:tcW w:w="686" w:type="pct"/>
            <w:vAlign w:val="center"/>
          </w:tcPr>
          <w:p w14:paraId="2FA8E77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w:t>
            </w:r>
          </w:p>
        </w:tc>
        <w:tc>
          <w:tcPr>
            <w:tcW w:w="686" w:type="pct"/>
            <w:vAlign w:val="center"/>
          </w:tcPr>
          <w:p w14:paraId="5EC2C3D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w:t>
            </w:r>
          </w:p>
        </w:tc>
        <w:tc>
          <w:tcPr>
            <w:tcW w:w="1143" w:type="pct"/>
            <w:shd w:val="clear" w:color="auto" w:fill="auto"/>
            <w:vAlign w:val="center"/>
          </w:tcPr>
          <w:p w14:paraId="5DB1D9B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二苯并[a,h]蒽</w:t>
            </w:r>
          </w:p>
        </w:tc>
        <w:tc>
          <w:tcPr>
            <w:tcW w:w="685" w:type="pct"/>
            <w:shd w:val="clear" w:color="auto" w:fill="auto"/>
            <w:vAlign w:val="center"/>
          </w:tcPr>
          <w:p w14:paraId="49C87E6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0.55</w:t>
            </w:r>
          </w:p>
        </w:tc>
        <w:tc>
          <w:tcPr>
            <w:tcW w:w="733" w:type="pct"/>
            <w:shd w:val="clear" w:color="auto" w:fill="auto"/>
            <w:vAlign w:val="center"/>
          </w:tcPr>
          <w:p w14:paraId="45F6F37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r>
      <w:tr w14:paraId="3BD9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71B256D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四氯乙烯</w:t>
            </w:r>
          </w:p>
        </w:tc>
        <w:tc>
          <w:tcPr>
            <w:tcW w:w="686" w:type="pct"/>
            <w:vAlign w:val="center"/>
          </w:tcPr>
          <w:p w14:paraId="703DA37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w:t>
            </w:r>
          </w:p>
        </w:tc>
        <w:tc>
          <w:tcPr>
            <w:tcW w:w="686" w:type="pct"/>
            <w:vAlign w:val="center"/>
          </w:tcPr>
          <w:p w14:paraId="6A11D5D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53</w:t>
            </w:r>
          </w:p>
        </w:tc>
        <w:tc>
          <w:tcPr>
            <w:tcW w:w="1143" w:type="pct"/>
            <w:shd w:val="clear" w:color="auto" w:fill="auto"/>
            <w:vAlign w:val="center"/>
          </w:tcPr>
          <w:p w14:paraId="3DB4820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茚并[1,2,3-cd]芘</w:t>
            </w:r>
          </w:p>
        </w:tc>
        <w:tc>
          <w:tcPr>
            <w:tcW w:w="685" w:type="pct"/>
            <w:shd w:val="clear" w:color="auto" w:fill="auto"/>
            <w:vAlign w:val="center"/>
          </w:tcPr>
          <w:p w14:paraId="1F64359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w:t>
            </w:r>
          </w:p>
        </w:tc>
        <w:tc>
          <w:tcPr>
            <w:tcW w:w="733" w:type="pct"/>
            <w:shd w:val="clear" w:color="auto" w:fill="auto"/>
            <w:vAlign w:val="center"/>
          </w:tcPr>
          <w:p w14:paraId="2880082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r>
      <w:tr w14:paraId="340A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4711A02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1,1,1-三氯乙烷</w:t>
            </w:r>
          </w:p>
        </w:tc>
        <w:tc>
          <w:tcPr>
            <w:tcW w:w="686" w:type="pct"/>
            <w:vAlign w:val="center"/>
          </w:tcPr>
          <w:p w14:paraId="66A5046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701</w:t>
            </w:r>
          </w:p>
        </w:tc>
        <w:tc>
          <w:tcPr>
            <w:tcW w:w="686" w:type="pct"/>
            <w:vAlign w:val="center"/>
          </w:tcPr>
          <w:p w14:paraId="22609F1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840</w:t>
            </w:r>
          </w:p>
        </w:tc>
        <w:tc>
          <w:tcPr>
            <w:tcW w:w="1143" w:type="pct"/>
            <w:shd w:val="clear" w:color="auto" w:fill="auto"/>
            <w:vAlign w:val="center"/>
          </w:tcPr>
          <w:p w14:paraId="5ED04EC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萘</w:t>
            </w:r>
          </w:p>
        </w:tc>
        <w:tc>
          <w:tcPr>
            <w:tcW w:w="685" w:type="pct"/>
            <w:shd w:val="clear" w:color="auto" w:fill="auto"/>
            <w:vAlign w:val="center"/>
          </w:tcPr>
          <w:p w14:paraId="31E9CCA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w:t>
            </w:r>
          </w:p>
        </w:tc>
        <w:tc>
          <w:tcPr>
            <w:tcW w:w="733" w:type="pct"/>
            <w:shd w:val="clear" w:color="auto" w:fill="auto"/>
            <w:vAlign w:val="center"/>
          </w:tcPr>
          <w:p w14:paraId="7DA9019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70</w:t>
            </w:r>
          </w:p>
        </w:tc>
      </w:tr>
      <w:tr w14:paraId="473B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58149A2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1,1,2-三氯乙烷</w:t>
            </w:r>
          </w:p>
        </w:tc>
        <w:tc>
          <w:tcPr>
            <w:tcW w:w="686" w:type="pct"/>
            <w:vAlign w:val="center"/>
          </w:tcPr>
          <w:p w14:paraId="09421A6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0.6</w:t>
            </w:r>
          </w:p>
        </w:tc>
        <w:tc>
          <w:tcPr>
            <w:tcW w:w="686" w:type="pct"/>
            <w:vAlign w:val="center"/>
          </w:tcPr>
          <w:p w14:paraId="5345F0A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w:t>
            </w:r>
          </w:p>
        </w:tc>
        <w:tc>
          <w:tcPr>
            <w:tcW w:w="1143" w:type="pct"/>
            <w:shd w:val="clear" w:color="auto" w:fill="auto"/>
            <w:vAlign w:val="center"/>
          </w:tcPr>
          <w:p w14:paraId="50A5CAF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石油烃（C</w:t>
            </w:r>
            <w:r>
              <w:rPr>
                <w:rFonts w:hint="eastAsia" w:ascii="Times New Roman" w:hAnsi="Times New Roman" w:eastAsia="宋体" w:cs="Courier New"/>
                <w:b w:val="0"/>
                <w:bCs w:val="0"/>
                <w:color w:val="auto"/>
                <w:highlight w:val="none"/>
                <w:vertAlign w:val="subscript"/>
                <w:lang w:val="en-US" w:eastAsia="zh-CN"/>
              </w:rPr>
              <w:t>10</w:t>
            </w:r>
            <w:r>
              <w:rPr>
                <w:rFonts w:hint="eastAsia" w:ascii="Times New Roman" w:hAnsi="Times New Roman" w:eastAsia="宋体" w:cs="Courier New"/>
                <w:b w:val="0"/>
                <w:bCs w:val="0"/>
                <w:color w:val="auto"/>
                <w:highlight w:val="none"/>
                <w:lang w:val="en-US" w:eastAsia="zh-CN"/>
              </w:rPr>
              <w:t>-C</w:t>
            </w:r>
            <w:r>
              <w:rPr>
                <w:rFonts w:hint="eastAsia" w:ascii="Times New Roman" w:hAnsi="Times New Roman" w:eastAsia="宋体" w:cs="Courier New"/>
                <w:b w:val="0"/>
                <w:bCs w:val="0"/>
                <w:color w:val="auto"/>
                <w:highlight w:val="none"/>
                <w:vertAlign w:val="subscript"/>
                <w:lang w:val="en-US" w:eastAsia="zh-CN"/>
              </w:rPr>
              <w:t>40</w:t>
            </w:r>
            <w:r>
              <w:rPr>
                <w:rFonts w:hint="eastAsia" w:ascii="Times New Roman" w:hAnsi="Times New Roman" w:eastAsia="宋体" w:cs="Courier New"/>
                <w:b w:val="0"/>
                <w:bCs w:val="0"/>
                <w:color w:val="auto"/>
                <w:highlight w:val="none"/>
                <w:lang w:val="en-US" w:eastAsia="zh-CN"/>
              </w:rPr>
              <w:t>）</w:t>
            </w:r>
          </w:p>
        </w:tc>
        <w:tc>
          <w:tcPr>
            <w:tcW w:w="685" w:type="pct"/>
            <w:shd w:val="clear" w:color="auto" w:fill="auto"/>
            <w:vAlign w:val="center"/>
          </w:tcPr>
          <w:p w14:paraId="4041714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826</w:t>
            </w:r>
          </w:p>
        </w:tc>
        <w:tc>
          <w:tcPr>
            <w:tcW w:w="733" w:type="pct"/>
            <w:shd w:val="clear" w:color="auto" w:fill="auto"/>
            <w:vAlign w:val="center"/>
          </w:tcPr>
          <w:p w14:paraId="5100BD3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4500</w:t>
            </w:r>
          </w:p>
        </w:tc>
      </w:tr>
      <w:tr w14:paraId="21A8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7D2EF32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三氯乙烯</w:t>
            </w:r>
          </w:p>
        </w:tc>
        <w:tc>
          <w:tcPr>
            <w:tcW w:w="686" w:type="pct"/>
            <w:vAlign w:val="center"/>
          </w:tcPr>
          <w:p w14:paraId="752CF1C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0.7</w:t>
            </w:r>
          </w:p>
        </w:tc>
        <w:tc>
          <w:tcPr>
            <w:tcW w:w="686" w:type="pct"/>
            <w:vAlign w:val="center"/>
          </w:tcPr>
          <w:p w14:paraId="209C024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w:t>
            </w:r>
          </w:p>
        </w:tc>
        <w:tc>
          <w:tcPr>
            <w:tcW w:w="1143" w:type="pct"/>
            <w:vAlign w:val="center"/>
          </w:tcPr>
          <w:p w14:paraId="19A00E9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氟化物</w:t>
            </w:r>
          </w:p>
        </w:tc>
        <w:tc>
          <w:tcPr>
            <w:tcW w:w="685" w:type="pct"/>
            <w:vAlign w:val="center"/>
          </w:tcPr>
          <w:p w14:paraId="6E0D2EC4">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1915</w:t>
            </w:r>
          </w:p>
        </w:tc>
        <w:tc>
          <w:tcPr>
            <w:tcW w:w="733" w:type="pct"/>
            <w:vAlign w:val="center"/>
          </w:tcPr>
          <w:p w14:paraId="299FB23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16022</w:t>
            </w:r>
          </w:p>
        </w:tc>
      </w:tr>
      <w:tr w14:paraId="7379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065" w:type="pct"/>
            <w:shd w:val="clear" w:color="auto" w:fill="auto"/>
            <w:vAlign w:val="center"/>
          </w:tcPr>
          <w:p w14:paraId="2EA696C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1,2,3-三氯丙烷</w:t>
            </w:r>
          </w:p>
        </w:tc>
        <w:tc>
          <w:tcPr>
            <w:tcW w:w="686" w:type="pct"/>
            <w:shd w:val="clear" w:color="auto" w:fill="auto"/>
            <w:vAlign w:val="center"/>
          </w:tcPr>
          <w:p w14:paraId="3958FB5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0.05</w:t>
            </w:r>
          </w:p>
        </w:tc>
        <w:tc>
          <w:tcPr>
            <w:tcW w:w="686" w:type="pct"/>
            <w:shd w:val="clear" w:color="auto" w:fill="auto"/>
            <w:vAlign w:val="center"/>
          </w:tcPr>
          <w:p w14:paraId="34B2EC8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w:t>
            </w:r>
          </w:p>
        </w:tc>
        <w:tc>
          <w:tcPr>
            <w:tcW w:w="1143" w:type="pct"/>
            <w:vAlign w:val="center"/>
          </w:tcPr>
          <w:p w14:paraId="3A55835B">
            <w:pPr>
              <w:pStyle w:val="24"/>
              <w:bidi w:val="0"/>
              <w:rPr>
                <w:rFonts w:hint="eastAsia" w:ascii="Times New Roman" w:hAnsi="Times New Roman" w:eastAsia="宋体" w:cs="Courier New"/>
                <w:b w:val="0"/>
                <w:bCs w:val="0"/>
                <w:color w:val="auto"/>
                <w:highlight w:val="none"/>
                <w:lang w:val="en-US" w:eastAsia="zh-CN"/>
              </w:rPr>
            </w:pPr>
          </w:p>
        </w:tc>
        <w:tc>
          <w:tcPr>
            <w:tcW w:w="685" w:type="pct"/>
            <w:vAlign w:val="center"/>
          </w:tcPr>
          <w:p w14:paraId="739ECB56">
            <w:pPr>
              <w:pStyle w:val="24"/>
              <w:bidi w:val="0"/>
              <w:rPr>
                <w:rFonts w:hint="eastAsia" w:ascii="Times New Roman" w:hAnsi="Times New Roman" w:eastAsia="宋体" w:cs="Courier New"/>
                <w:b w:val="0"/>
                <w:bCs w:val="0"/>
                <w:color w:val="auto"/>
                <w:highlight w:val="none"/>
                <w:lang w:val="en-US" w:eastAsia="zh-CN"/>
              </w:rPr>
            </w:pPr>
          </w:p>
        </w:tc>
        <w:tc>
          <w:tcPr>
            <w:tcW w:w="733" w:type="pct"/>
            <w:vAlign w:val="center"/>
          </w:tcPr>
          <w:p w14:paraId="36ABB898">
            <w:pPr>
              <w:pStyle w:val="24"/>
              <w:bidi w:val="0"/>
              <w:rPr>
                <w:rFonts w:hint="eastAsia" w:ascii="Times New Roman" w:hAnsi="Times New Roman" w:eastAsia="宋体" w:cs="Courier New"/>
                <w:b w:val="0"/>
                <w:bCs w:val="0"/>
                <w:color w:val="auto"/>
                <w:highlight w:val="none"/>
                <w:lang w:val="en-US" w:eastAsia="zh-CN"/>
              </w:rPr>
            </w:pPr>
          </w:p>
        </w:tc>
      </w:tr>
    </w:tbl>
    <w:p w14:paraId="40FE4706">
      <w:pPr>
        <w:numPr>
          <w:ilvl w:val="0"/>
          <w:numId w:val="11"/>
        </w:numPr>
        <w:spacing w:line="360" w:lineRule="auto"/>
        <w:ind w:left="425" w:leftChars="0" w:hanging="425" w:firstLineChars="0"/>
        <w:jc w:val="center"/>
        <w:rPr>
          <w:rFonts w:hint="eastAsia" w:ascii="Times New Roman" w:hAnsi="Times New Roman" w:eastAsia="黑体"/>
          <w:color w:val="auto"/>
          <w:sz w:val="21"/>
          <w:szCs w:val="21"/>
          <w:lang w:val="en-US" w:eastAsia="zh-CN"/>
        </w:rPr>
      </w:pPr>
      <w:r>
        <w:rPr>
          <w:rFonts w:hint="eastAsia" w:ascii="Times New Roman" w:hAnsi="Times New Roman" w:eastAsia="黑体"/>
          <w:color w:val="auto"/>
          <w:sz w:val="21"/>
          <w:szCs w:val="21"/>
          <w:lang w:val="en-US" w:eastAsia="zh-CN"/>
        </w:rPr>
        <w:t>农用地土壤环境标准限值</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013"/>
        <w:gridCol w:w="1163"/>
        <w:gridCol w:w="1652"/>
        <w:gridCol w:w="1652"/>
        <w:gridCol w:w="1652"/>
        <w:gridCol w:w="1657"/>
      </w:tblGrid>
      <w:tr w14:paraId="376C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420DC74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序号</w:t>
            </w:r>
          </w:p>
        </w:tc>
        <w:tc>
          <w:tcPr>
            <w:tcW w:w="1143" w:type="pct"/>
            <w:gridSpan w:val="2"/>
            <w:vMerge w:val="restart"/>
            <w:shd w:val="clear" w:color="auto" w:fill="auto"/>
            <w:vAlign w:val="center"/>
          </w:tcPr>
          <w:p w14:paraId="77147D4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污染物项目</w:t>
            </w:r>
          </w:p>
        </w:tc>
        <w:tc>
          <w:tcPr>
            <w:tcW w:w="3474" w:type="pct"/>
            <w:gridSpan w:val="4"/>
            <w:vAlign w:val="center"/>
          </w:tcPr>
          <w:p w14:paraId="1F9666B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风险筛选值（mg/kg）</w:t>
            </w:r>
          </w:p>
        </w:tc>
      </w:tr>
      <w:tr w14:paraId="2576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continue"/>
            <w:shd w:val="clear" w:color="auto" w:fill="auto"/>
            <w:vAlign w:val="center"/>
          </w:tcPr>
          <w:p w14:paraId="305AD99D">
            <w:pPr>
              <w:pStyle w:val="24"/>
              <w:bidi w:val="0"/>
              <w:rPr>
                <w:rFonts w:hint="eastAsia" w:ascii="Times New Roman" w:hAnsi="Times New Roman" w:eastAsia="宋体" w:cs="Courier New"/>
                <w:b/>
                <w:bCs/>
                <w:color w:val="auto"/>
                <w:highlight w:val="none"/>
                <w:lang w:val="en-US" w:eastAsia="zh-CN"/>
              </w:rPr>
            </w:pPr>
          </w:p>
        </w:tc>
        <w:tc>
          <w:tcPr>
            <w:tcW w:w="1143" w:type="pct"/>
            <w:gridSpan w:val="2"/>
            <w:vMerge w:val="continue"/>
            <w:shd w:val="clear" w:color="auto" w:fill="auto"/>
            <w:vAlign w:val="center"/>
          </w:tcPr>
          <w:p w14:paraId="763241A0">
            <w:pPr>
              <w:pStyle w:val="24"/>
              <w:bidi w:val="0"/>
              <w:rPr>
                <w:rFonts w:hint="eastAsia" w:ascii="Times New Roman" w:hAnsi="Times New Roman" w:eastAsia="宋体" w:cs="Courier New"/>
                <w:b/>
                <w:bCs/>
                <w:color w:val="auto"/>
                <w:highlight w:val="none"/>
                <w:lang w:val="en-US" w:eastAsia="zh-CN"/>
              </w:rPr>
            </w:pPr>
          </w:p>
        </w:tc>
        <w:tc>
          <w:tcPr>
            <w:tcW w:w="868" w:type="pct"/>
            <w:vAlign w:val="center"/>
          </w:tcPr>
          <w:p w14:paraId="4F7FCB2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pH≤5.5</w:t>
            </w:r>
          </w:p>
        </w:tc>
        <w:tc>
          <w:tcPr>
            <w:tcW w:w="868" w:type="pct"/>
            <w:vAlign w:val="center"/>
          </w:tcPr>
          <w:p w14:paraId="777E1A6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5.5&lt;pH≤6.5</w:t>
            </w:r>
          </w:p>
        </w:tc>
        <w:tc>
          <w:tcPr>
            <w:tcW w:w="868" w:type="pct"/>
            <w:vAlign w:val="center"/>
          </w:tcPr>
          <w:p w14:paraId="7D1B729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6.5&lt;pH≤7.5</w:t>
            </w:r>
          </w:p>
        </w:tc>
        <w:tc>
          <w:tcPr>
            <w:tcW w:w="870" w:type="pct"/>
            <w:vAlign w:val="center"/>
          </w:tcPr>
          <w:p w14:paraId="2C4C409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pH&gt;7.5</w:t>
            </w:r>
          </w:p>
        </w:tc>
      </w:tr>
      <w:tr w14:paraId="3C1A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2FB8FE3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532" w:type="pct"/>
            <w:vMerge w:val="restart"/>
            <w:shd w:val="clear" w:color="auto" w:fill="auto"/>
            <w:vAlign w:val="center"/>
          </w:tcPr>
          <w:p w14:paraId="17F8E7A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镉</w:t>
            </w:r>
          </w:p>
        </w:tc>
        <w:tc>
          <w:tcPr>
            <w:tcW w:w="611" w:type="pct"/>
            <w:vAlign w:val="center"/>
          </w:tcPr>
          <w:p w14:paraId="3AA8B30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水田</w:t>
            </w:r>
          </w:p>
        </w:tc>
        <w:tc>
          <w:tcPr>
            <w:tcW w:w="868" w:type="pct"/>
            <w:vAlign w:val="center"/>
          </w:tcPr>
          <w:p w14:paraId="1FC8CB7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w:t>
            </w:r>
          </w:p>
        </w:tc>
        <w:tc>
          <w:tcPr>
            <w:tcW w:w="868" w:type="pct"/>
            <w:vAlign w:val="center"/>
          </w:tcPr>
          <w:p w14:paraId="13A2F6A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0.4</w:t>
            </w:r>
          </w:p>
        </w:tc>
        <w:tc>
          <w:tcPr>
            <w:tcW w:w="868" w:type="pct"/>
            <w:vAlign w:val="center"/>
          </w:tcPr>
          <w:p w14:paraId="26DE067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0.6</w:t>
            </w:r>
          </w:p>
        </w:tc>
        <w:tc>
          <w:tcPr>
            <w:tcW w:w="870" w:type="pct"/>
            <w:vAlign w:val="center"/>
          </w:tcPr>
          <w:p w14:paraId="600EDF6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0.8</w:t>
            </w:r>
          </w:p>
        </w:tc>
      </w:tr>
      <w:tr w14:paraId="464F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continue"/>
            <w:shd w:val="clear" w:color="auto" w:fill="auto"/>
            <w:vAlign w:val="center"/>
          </w:tcPr>
          <w:p w14:paraId="623702C0">
            <w:pPr>
              <w:pStyle w:val="24"/>
              <w:bidi w:val="0"/>
              <w:rPr>
                <w:rFonts w:hint="eastAsia" w:ascii="Times New Roman" w:hAnsi="Times New Roman" w:eastAsia="宋体" w:cs="Courier New"/>
                <w:b w:val="0"/>
                <w:bCs w:val="0"/>
                <w:color w:val="auto"/>
                <w:highlight w:val="none"/>
                <w:lang w:val="en-US" w:eastAsia="zh-CN"/>
              </w:rPr>
            </w:pPr>
          </w:p>
        </w:tc>
        <w:tc>
          <w:tcPr>
            <w:tcW w:w="532" w:type="pct"/>
            <w:vMerge w:val="continue"/>
            <w:shd w:val="clear" w:color="auto" w:fill="auto"/>
            <w:vAlign w:val="center"/>
          </w:tcPr>
          <w:p w14:paraId="5C121DA6">
            <w:pPr>
              <w:pStyle w:val="24"/>
              <w:bidi w:val="0"/>
              <w:rPr>
                <w:rFonts w:hint="eastAsia" w:ascii="Times New Roman" w:hAnsi="Times New Roman" w:eastAsia="宋体" w:cs="Courier New"/>
                <w:b w:val="0"/>
                <w:bCs w:val="0"/>
                <w:color w:val="auto"/>
                <w:highlight w:val="none"/>
                <w:lang w:val="en-US" w:eastAsia="zh-CN"/>
              </w:rPr>
            </w:pPr>
          </w:p>
        </w:tc>
        <w:tc>
          <w:tcPr>
            <w:tcW w:w="611" w:type="pct"/>
            <w:vAlign w:val="center"/>
          </w:tcPr>
          <w:p w14:paraId="178BF03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w:t>
            </w:r>
          </w:p>
        </w:tc>
        <w:tc>
          <w:tcPr>
            <w:tcW w:w="868" w:type="pct"/>
            <w:vAlign w:val="center"/>
          </w:tcPr>
          <w:p w14:paraId="15A2458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w:t>
            </w:r>
          </w:p>
        </w:tc>
        <w:tc>
          <w:tcPr>
            <w:tcW w:w="868" w:type="pct"/>
            <w:vAlign w:val="center"/>
          </w:tcPr>
          <w:p w14:paraId="0163FF1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w:t>
            </w:r>
          </w:p>
        </w:tc>
        <w:tc>
          <w:tcPr>
            <w:tcW w:w="868" w:type="pct"/>
            <w:vAlign w:val="center"/>
          </w:tcPr>
          <w:p w14:paraId="6B2BFF2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w:t>
            </w:r>
          </w:p>
        </w:tc>
        <w:tc>
          <w:tcPr>
            <w:tcW w:w="870" w:type="pct"/>
            <w:vAlign w:val="center"/>
          </w:tcPr>
          <w:p w14:paraId="114BCAA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0.6</w:t>
            </w:r>
          </w:p>
        </w:tc>
      </w:tr>
      <w:tr w14:paraId="096C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09146D8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w:t>
            </w:r>
          </w:p>
        </w:tc>
        <w:tc>
          <w:tcPr>
            <w:tcW w:w="532" w:type="pct"/>
            <w:vMerge w:val="restart"/>
            <w:shd w:val="clear" w:color="auto" w:fill="auto"/>
            <w:vAlign w:val="center"/>
          </w:tcPr>
          <w:p w14:paraId="2B9E21C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汞</w:t>
            </w:r>
          </w:p>
        </w:tc>
        <w:tc>
          <w:tcPr>
            <w:tcW w:w="611" w:type="pct"/>
            <w:vAlign w:val="center"/>
          </w:tcPr>
          <w:p w14:paraId="09F5177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水田</w:t>
            </w:r>
          </w:p>
        </w:tc>
        <w:tc>
          <w:tcPr>
            <w:tcW w:w="868" w:type="pct"/>
            <w:vAlign w:val="center"/>
          </w:tcPr>
          <w:p w14:paraId="6F4E66F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w:t>
            </w:r>
          </w:p>
        </w:tc>
        <w:tc>
          <w:tcPr>
            <w:tcW w:w="868" w:type="pct"/>
            <w:vAlign w:val="center"/>
          </w:tcPr>
          <w:p w14:paraId="07E3558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w:t>
            </w:r>
          </w:p>
        </w:tc>
        <w:tc>
          <w:tcPr>
            <w:tcW w:w="868" w:type="pct"/>
            <w:vAlign w:val="center"/>
          </w:tcPr>
          <w:p w14:paraId="1897E6A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0.6</w:t>
            </w:r>
          </w:p>
        </w:tc>
        <w:tc>
          <w:tcPr>
            <w:tcW w:w="870" w:type="pct"/>
            <w:vAlign w:val="center"/>
          </w:tcPr>
          <w:p w14:paraId="33B5BC6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p>
        </w:tc>
      </w:tr>
      <w:tr w14:paraId="7576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continue"/>
            <w:shd w:val="clear" w:color="auto" w:fill="auto"/>
            <w:vAlign w:val="center"/>
          </w:tcPr>
          <w:p w14:paraId="470A0356">
            <w:pPr>
              <w:pStyle w:val="24"/>
              <w:bidi w:val="0"/>
              <w:rPr>
                <w:rFonts w:hint="eastAsia" w:ascii="Times New Roman" w:hAnsi="Times New Roman" w:eastAsia="宋体" w:cs="Courier New"/>
                <w:b w:val="0"/>
                <w:bCs w:val="0"/>
                <w:color w:val="auto"/>
                <w:highlight w:val="none"/>
                <w:lang w:val="en-US" w:eastAsia="zh-CN"/>
              </w:rPr>
            </w:pPr>
          </w:p>
        </w:tc>
        <w:tc>
          <w:tcPr>
            <w:tcW w:w="532" w:type="pct"/>
            <w:vMerge w:val="continue"/>
            <w:shd w:val="clear" w:color="auto" w:fill="auto"/>
            <w:vAlign w:val="center"/>
          </w:tcPr>
          <w:p w14:paraId="2207155D">
            <w:pPr>
              <w:pStyle w:val="24"/>
              <w:bidi w:val="0"/>
              <w:rPr>
                <w:rFonts w:hint="eastAsia" w:ascii="Times New Roman" w:hAnsi="Times New Roman" w:eastAsia="宋体" w:cs="Courier New"/>
                <w:b w:val="0"/>
                <w:bCs w:val="0"/>
                <w:color w:val="auto"/>
                <w:highlight w:val="none"/>
                <w:lang w:val="en-US" w:eastAsia="zh-CN"/>
              </w:rPr>
            </w:pPr>
          </w:p>
        </w:tc>
        <w:tc>
          <w:tcPr>
            <w:tcW w:w="611" w:type="pct"/>
            <w:vAlign w:val="center"/>
          </w:tcPr>
          <w:p w14:paraId="19A3C29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w:t>
            </w:r>
          </w:p>
        </w:tc>
        <w:tc>
          <w:tcPr>
            <w:tcW w:w="868" w:type="pct"/>
            <w:vAlign w:val="center"/>
          </w:tcPr>
          <w:p w14:paraId="1F611E6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1.3</w:t>
            </w:r>
          </w:p>
        </w:tc>
        <w:tc>
          <w:tcPr>
            <w:tcW w:w="868" w:type="pct"/>
            <w:vAlign w:val="center"/>
          </w:tcPr>
          <w:p w14:paraId="7D72133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1.8</w:t>
            </w:r>
          </w:p>
        </w:tc>
        <w:tc>
          <w:tcPr>
            <w:tcW w:w="868" w:type="pct"/>
            <w:vAlign w:val="center"/>
          </w:tcPr>
          <w:p w14:paraId="7BE270F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2.4</w:t>
            </w:r>
          </w:p>
        </w:tc>
        <w:tc>
          <w:tcPr>
            <w:tcW w:w="870" w:type="pct"/>
            <w:vAlign w:val="center"/>
          </w:tcPr>
          <w:p w14:paraId="1851D8B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w:t>
            </w:r>
          </w:p>
        </w:tc>
      </w:tr>
      <w:tr w14:paraId="7DE5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4850DC6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w:t>
            </w:r>
          </w:p>
        </w:tc>
        <w:tc>
          <w:tcPr>
            <w:tcW w:w="532" w:type="pct"/>
            <w:vMerge w:val="restart"/>
            <w:shd w:val="clear" w:color="auto" w:fill="auto"/>
            <w:vAlign w:val="center"/>
          </w:tcPr>
          <w:p w14:paraId="5D60D43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砷</w:t>
            </w:r>
          </w:p>
        </w:tc>
        <w:tc>
          <w:tcPr>
            <w:tcW w:w="611" w:type="pct"/>
            <w:vAlign w:val="center"/>
          </w:tcPr>
          <w:p w14:paraId="6E284C4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水田</w:t>
            </w:r>
          </w:p>
        </w:tc>
        <w:tc>
          <w:tcPr>
            <w:tcW w:w="868" w:type="pct"/>
            <w:vAlign w:val="center"/>
          </w:tcPr>
          <w:p w14:paraId="2EBC7A2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w:t>
            </w:r>
          </w:p>
        </w:tc>
        <w:tc>
          <w:tcPr>
            <w:tcW w:w="868" w:type="pct"/>
            <w:vAlign w:val="center"/>
          </w:tcPr>
          <w:p w14:paraId="077226F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w:t>
            </w:r>
          </w:p>
        </w:tc>
        <w:tc>
          <w:tcPr>
            <w:tcW w:w="868" w:type="pct"/>
            <w:vAlign w:val="center"/>
          </w:tcPr>
          <w:p w14:paraId="2912810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w:t>
            </w:r>
          </w:p>
        </w:tc>
        <w:tc>
          <w:tcPr>
            <w:tcW w:w="870" w:type="pct"/>
            <w:vAlign w:val="center"/>
          </w:tcPr>
          <w:p w14:paraId="53BCE7B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r>
      <w:tr w14:paraId="448B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1" w:type="pct"/>
            <w:vMerge w:val="continue"/>
            <w:shd w:val="clear" w:color="auto" w:fill="auto"/>
            <w:vAlign w:val="center"/>
          </w:tcPr>
          <w:p w14:paraId="4AF0E180">
            <w:pPr>
              <w:pStyle w:val="24"/>
              <w:bidi w:val="0"/>
              <w:rPr>
                <w:rFonts w:hint="eastAsia" w:ascii="Times New Roman" w:hAnsi="Times New Roman" w:eastAsia="宋体" w:cs="Courier New"/>
                <w:b w:val="0"/>
                <w:bCs w:val="0"/>
                <w:color w:val="auto"/>
                <w:highlight w:val="none"/>
                <w:lang w:val="en-US" w:eastAsia="zh-CN"/>
              </w:rPr>
            </w:pPr>
          </w:p>
        </w:tc>
        <w:tc>
          <w:tcPr>
            <w:tcW w:w="532" w:type="pct"/>
            <w:vMerge w:val="continue"/>
            <w:shd w:val="clear" w:color="auto" w:fill="auto"/>
            <w:vAlign w:val="center"/>
          </w:tcPr>
          <w:p w14:paraId="2583A0E8">
            <w:pPr>
              <w:pStyle w:val="24"/>
              <w:bidi w:val="0"/>
              <w:rPr>
                <w:rFonts w:hint="eastAsia" w:ascii="Times New Roman" w:hAnsi="Times New Roman" w:eastAsia="宋体" w:cs="Courier New"/>
                <w:b w:val="0"/>
                <w:bCs w:val="0"/>
                <w:color w:val="auto"/>
                <w:highlight w:val="none"/>
                <w:lang w:val="en-US" w:eastAsia="zh-CN"/>
              </w:rPr>
            </w:pPr>
          </w:p>
        </w:tc>
        <w:tc>
          <w:tcPr>
            <w:tcW w:w="611" w:type="pct"/>
            <w:vAlign w:val="center"/>
          </w:tcPr>
          <w:p w14:paraId="5800D36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w:t>
            </w:r>
          </w:p>
        </w:tc>
        <w:tc>
          <w:tcPr>
            <w:tcW w:w="868" w:type="pct"/>
            <w:vAlign w:val="center"/>
          </w:tcPr>
          <w:p w14:paraId="125521C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w:t>
            </w:r>
          </w:p>
        </w:tc>
        <w:tc>
          <w:tcPr>
            <w:tcW w:w="868" w:type="pct"/>
            <w:vAlign w:val="center"/>
          </w:tcPr>
          <w:p w14:paraId="480E613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w:t>
            </w:r>
          </w:p>
        </w:tc>
        <w:tc>
          <w:tcPr>
            <w:tcW w:w="868" w:type="pct"/>
            <w:vAlign w:val="center"/>
          </w:tcPr>
          <w:p w14:paraId="59F707A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w:t>
            </w:r>
          </w:p>
        </w:tc>
        <w:tc>
          <w:tcPr>
            <w:tcW w:w="870" w:type="pct"/>
            <w:vAlign w:val="center"/>
          </w:tcPr>
          <w:p w14:paraId="65BDD12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w:t>
            </w:r>
          </w:p>
        </w:tc>
      </w:tr>
      <w:tr w14:paraId="4726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208D954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w:t>
            </w:r>
          </w:p>
        </w:tc>
        <w:tc>
          <w:tcPr>
            <w:tcW w:w="532" w:type="pct"/>
            <w:vMerge w:val="restart"/>
            <w:shd w:val="clear" w:color="auto" w:fill="auto"/>
            <w:vAlign w:val="center"/>
          </w:tcPr>
          <w:p w14:paraId="413D99F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铅</w:t>
            </w:r>
          </w:p>
        </w:tc>
        <w:tc>
          <w:tcPr>
            <w:tcW w:w="611" w:type="pct"/>
            <w:vAlign w:val="center"/>
          </w:tcPr>
          <w:p w14:paraId="1219D27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水田</w:t>
            </w:r>
          </w:p>
        </w:tc>
        <w:tc>
          <w:tcPr>
            <w:tcW w:w="868" w:type="pct"/>
            <w:vAlign w:val="center"/>
          </w:tcPr>
          <w:p w14:paraId="2D95F71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80</w:t>
            </w:r>
          </w:p>
        </w:tc>
        <w:tc>
          <w:tcPr>
            <w:tcW w:w="868" w:type="pct"/>
            <w:vAlign w:val="center"/>
          </w:tcPr>
          <w:p w14:paraId="7ACF76C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100</w:t>
            </w:r>
          </w:p>
        </w:tc>
        <w:tc>
          <w:tcPr>
            <w:tcW w:w="868" w:type="pct"/>
            <w:vAlign w:val="center"/>
          </w:tcPr>
          <w:p w14:paraId="5863444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140</w:t>
            </w:r>
          </w:p>
        </w:tc>
        <w:tc>
          <w:tcPr>
            <w:tcW w:w="870" w:type="pct"/>
            <w:vAlign w:val="center"/>
          </w:tcPr>
          <w:p w14:paraId="20E46A5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240</w:t>
            </w:r>
          </w:p>
        </w:tc>
      </w:tr>
      <w:tr w14:paraId="2641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continue"/>
            <w:shd w:val="clear" w:color="auto" w:fill="auto"/>
            <w:vAlign w:val="center"/>
          </w:tcPr>
          <w:p w14:paraId="668B02E7">
            <w:pPr>
              <w:pStyle w:val="24"/>
              <w:bidi w:val="0"/>
              <w:rPr>
                <w:rFonts w:hint="eastAsia" w:ascii="Times New Roman" w:hAnsi="Times New Roman" w:eastAsia="宋体" w:cs="Courier New"/>
                <w:b w:val="0"/>
                <w:bCs w:val="0"/>
                <w:color w:val="auto"/>
                <w:highlight w:val="none"/>
                <w:lang w:val="en-US" w:eastAsia="zh-CN"/>
              </w:rPr>
            </w:pPr>
          </w:p>
        </w:tc>
        <w:tc>
          <w:tcPr>
            <w:tcW w:w="532" w:type="pct"/>
            <w:vMerge w:val="continue"/>
            <w:shd w:val="clear" w:color="auto" w:fill="auto"/>
            <w:vAlign w:val="center"/>
          </w:tcPr>
          <w:p w14:paraId="32B95EF8">
            <w:pPr>
              <w:pStyle w:val="24"/>
              <w:bidi w:val="0"/>
              <w:rPr>
                <w:rFonts w:hint="eastAsia" w:ascii="Times New Roman" w:hAnsi="Times New Roman" w:eastAsia="宋体" w:cs="Courier New"/>
                <w:b w:val="0"/>
                <w:bCs w:val="0"/>
                <w:color w:val="auto"/>
                <w:highlight w:val="none"/>
                <w:lang w:val="en-US" w:eastAsia="zh-CN"/>
              </w:rPr>
            </w:pPr>
          </w:p>
        </w:tc>
        <w:tc>
          <w:tcPr>
            <w:tcW w:w="611" w:type="pct"/>
            <w:vAlign w:val="center"/>
          </w:tcPr>
          <w:p w14:paraId="4CA795F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w:t>
            </w:r>
          </w:p>
        </w:tc>
        <w:tc>
          <w:tcPr>
            <w:tcW w:w="868" w:type="pct"/>
            <w:vAlign w:val="center"/>
          </w:tcPr>
          <w:p w14:paraId="45880AB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70</w:t>
            </w:r>
          </w:p>
        </w:tc>
        <w:tc>
          <w:tcPr>
            <w:tcW w:w="868" w:type="pct"/>
            <w:vAlign w:val="center"/>
          </w:tcPr>
          <w:p w14:paraId="75425F8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w:t>
            </w:r>
          </w:p>
        </w:tc>
        <w:tc>
          <w:tcPr>
            <w:tcW w:w="868" w:type="pct"/>
            <w:vAlign w:val="center"/>
          </w:tcPr>
          <w:p w14:paraId="37C12F4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120</w:t>
            </w:r>
          </w:p>
        </w:tc>
        <w:tc>
          <w:tcPr>
            <w:tcW w:w="870" w:type="pct"/>
            <w:vAlign w:val="center"/>
          </w:tcPr>
          <w:p w14:paraId="0E9FF7E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170</w:t>
            </w:r>
          </w:p>
        </w:tc>
      </w:tr>
      <w:tr w14:paraId="40D2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45023D8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w:t>
            </w:r>
          </w:p>
        </w:tc>
        <w:tc>
          <w:tcPr>
            <w:tcW w:w="532" w:type="pct"/>
            <w:vMerge w:val="restart"/>
            <w:shd w:val="clear" w:color="auto" w:fill="auto"/>
            <w:vAlign w:val="center"/>
          </w:tcPr>
          <w:p w14:paraId="638B4B9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铬</w:t>
            </w:r>
          </w:p>
        </w:tc>
        <w:tc>
          <w:tcPr>
            <w:tcW w:w="611" w:type="pct"/>
            <w:vAlign w:val="center"/>
          </w:tcPr>
          <w:p w14:paraId="34D7282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水田</w:t>
            </w:r>
          </w:p>
        </w:tc>
        <w:tc>
          <w:tcPr>
            <w:tcW w:w="868" w:type="pct"/>
            <w:vAlign w:val="center"/>
          </w:tcPr>
          <w:p w14:paraId="199092F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250</w:t>
            </w:r>
          </w:p>
        </w:tc>
        <w:tc>
          <w:tcPr>
            <w:tcW w:w="868" w:type="pct"/>
            <w:vAlign w:val="center"/>
          </w:tcPr>
          <w:p w14:paraId="7F4BB6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250</w:t>
            </w:r>
          </w:p>
        </w:tc>
        <w:tc>
          <w:tcPr>
            <w:tcW w:w="868" w:type="pct"/>
            <w:vAlign w:val="center"/>
          </w:tcPr>
          <w:p w14:paraId="689D304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300</w:t>
            </w:r>
          </w:p>
        </w:tc>
        <w:tc>
          <w:tcPr>
            <w:tcW w:w="870" w:type="pct"/>
            <w:vAlign w:val="center"/>
          </w:tcPr>
          <w:p w14:paraId="534870D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350</w:t>
            </w:r>
          </w:p>
        </w:tc>
      </w:tr>
      <w:tr w14:paraId="4818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continue"/>
            <w:shd w:val="clear" w:color="auto" w:fill="auto"/>
            <w:vAlign w:val="center"/>
          </w:tcPr>
          <w:p w14:paraId="53438A42">
            <w:pPr>
              <w:pStyle w:val="24"/>
              <w:bidi w:val="0"/>
              <w:rPr>
                <w:rFonts w:hint="eastAsia" w:ascii="Times New Roman" w:hAnsi="Times New Roman" w:eastAsia="宋体" w:cs="Courier New"/>
                <w:b w:val="0"/>
                <w:bCs w:val="0"/>
                <w:color w:val="auto"/>
                <w:highlight w:val="none"/>
                <w:lang w:val="en-US" w:eastAsia="zh-CN"/>
              </w:rPr>
            </w:pPr>
          </w:p>
        </w:tc>
        <w:tc>
          <w:tcPr>
            <w:tcW w:w="532" w:type="pct"/>
            <w:vMerge w:val="continue"/>
            <w:shd w:val="clear" w:color="auto" w:fill="auto"/>
            <w:vAlign w:val="center"/>
          </w:tcPr>
          <w:p w14:paraId="41255E58">
            <w:pPr>
              <w:pStyle w:val="24"/>
              <w:bidi w:val="0"/>
              <w:rPr>
                <w:rFonts w:hint="eastAsia" w:ascii="Times New Roman" w:hAnsi="Times New Roman" w:eastAsia="宋体" w:cs="Courier New"/>
                <w:b w:val="0"/>
                <w:bCs w:val="0"/>
                <w:color w:val="auto"/>
                <w:highlight w:val="none"/>
                <w:lang w:val="en-US" w:eastAsia="zh-CN"/>
              </w:rPr>
            </w:pPr>
          </w:p>
        </w:tc>
        <w:tc>
          <w:tcPr>
            <w:tcW w:w="611" w:type="pct"/>
            <w:vAlign w:val="center"/>
          </w:tcPr>
          <w:p w14:paraId="20ACD52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w:t>
            </w:r>
          </w:p>
        </w:tc>
        <w:tc>
          <w:tcPr>
            <w:tcW w:w="868" w:type="pct"/>
            <w:vAlign w:val="center"/>
          </w:tcPr>
          <w:p w14:paraId="2F383FE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150</w:t>
            </w:r>
          </w:p>
        </w:tc>
        <w:tc>
          <w:tcPr>
            <w:tcW w:w="868" w:type="pct"/>
            <w:vAlign w:val="center"/>
          </w:tcPr>
          <w:p w14:paraId="2802EC9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150</w:t>
            </w:r>
          </w:p>
        </w:tc>
        <w:tc>
          <w:tcPr>
            <w:tcW w:w="868" w:type="pct"/>
            <w:vAlign w:val="center"/>
          </w:tcPr>
          <w:p w14:paraId="20819F3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w:t>
            </w:r>
          </w:p>
        </w:tc>
        <w:tc>
          <w:tcPr>
            <w:tcW w:w="870" w:type="pct"/>
            <w:vAlign w:val="center"/>
          </w:tcPr>
          <w:p w14:paraId="18E0CE7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250</w:t>
            </w:r>
          </w:p>
        </w:tc>
      </w:tr>
      <w:tr w14:paraId="65C0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restart"/>
            <w:shd w:val="clear" w:color="auto" w:fill="auto"/>
            <w:vAlign w:val="center"/>
          </w:tcPr>
          <w:p w14:paraId="0B42061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w:t>
            </w:r>
          </w:p>
        </w:tc>
        <w:tc>
          <w:tcPr>
            <w:tcW w:w="532" w:type="pct"/>
            <w:vMerge w:val="restart"/>
            <w:shd w:val="clear" w:color="auto" w:fill="auto"/>
            <w:vAlign w:val="center"/>
          </w:tcPr>
          <w:p w14:paraId="28B7B73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铜</w:t>
            </w:r>
          </w:p>
        </w:tc>
        <w:tc>
          <w:tcPr>
            <w:tcW w:w="611" w:type="pct"/>
            <w:vAlign w:val="center"/>
          </w:tcPr>
          <w:p w14:paraId="3006135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果园</w:t>
            </w:r>
          </w:p>
        </w:tc>
        <w:tc>
          <w:tcPr>
            <w:tcW w:w="868" w:type="pct"/>
            <w:vAlign w:val="center"/>
          </w:tcPr>
          <w:p w14:paraId="4005148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150</w:t>
            </w:r>
          </w:p>
        </w:tc>
        <w:tc>
          <w:tcPr>
            <w:tcW w:w="868" w:type="pct"/>
            <w:vAlign w:val="center"/>
          </w:tcPr>
          <w:p w14:paraId="7EF5293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150</w:t>
            </w:r>
          </w:p>
        </w:tc>
        <w:tc>
          <w:tcPr>
            <w:tcW w:w="868" w:type="pct"/>
            <w:vAlign w:val="center"/>
          </w:tcPr>
          <w:p w14:paraId="034F89F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w:t>
            </w:r>
          </w:p>
        </w:tc>
        <w:tc>
          <w:tcPr>
            <w:tcW w:w="870" w:type="pct"/>
            <w:vAlign w:val="center"/>
          </w:tcPr>
          <w:p w14:paraId="4D0F195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w:t>
            </w:r>
          </w:p>
        </w:tc>
      </w:tr>
      <w:tr w14:paraId="6000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vMerge w:val="continue"/>
            <w:shd w:val="clear" w:color="auto" w:fill="auto"/>
            <w:vAlign w:val="center"/>
          </w:tcPr>
          <w:p w14:paraId="54F6D494">
            <w:pPr>
              <w:pStyle w:val="24"/>
              <w:bidi w:val="0"/>
              <w:rPr>
                <w:rFonts w:hint="eastAsia" w:ascii="Times New Roman" w:hAnsi="Times New Roman" w:eastAsia="宋体" w:cs="Courier New"/>
                <w:b w:val="0"/>
                <w:bCs w:val="0"/>
                <w:color w:val="auto"/>
                <w:highlight w:val="none"/>
                <w:lang w:val="en-US" w:eastAsia="zh-CN"/>
              </w:rPr>
            </w:pPr>
          </w:p>
        </w:tc>
        <w:tc>
          <w:tcPr>
            <w:tcW w:w="532" w:type="pct"/>
            <w:vMerge w:val="continue"/>
            <w:shd w:val="clear" w:color="auto" w:fill="auto"/>
            <w:vAlign w:val="center"/>
          </w:tcPr>
          <w:p w14:paraId="1301E801">
            <w:pPr>
              <w:pStyle w:val="24"/>
              <w:bidi w:val="0"/>
              <w:rPr>
                <w:rFonts w:hint="eastAsia" w:ascii="Times New Roman" w:hAnsi="Times New Roman" w:eastAsia="宋体" w:cs="Courier New"/>
                <w:b w:val="0"/>
                <w:bCs w:val="0"/>
                <w:color w:val="auto"/>
                <w:highlight w:val="none"/>
                <w:lang w:val="en-US" w:eastAsia="zh-CN"/>
              </w:rPr>
            </w:pPr>
          </w:p>
        </w:tc>
        <w:tc>
          <w:tcPr>
            <w:tcW w:w="611" w:type="pct"/>
            <w:vAlign w:val="center"/>
          </w:tcPr>
          <w:p w14:paraId="69B2FED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w:t>
            </w:r>
          </w:p>
        </w:tc>
        <w:tc>
          <w:tcPr>
            <w:tcW w:w="868" w:type="pct"/>
            <w:vAlign w:val="center"/>
          </w:tcPr>
          <w:p w14:paraId="4BDE0E8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50</w:t>
            </w:r>
          </w:p>
        </w:tc>
        <w:tc>
          <w:tcPr>
            <w:tcW w:w="868" w:type="pct"/>
            <w:vAlign w:val="center"/>
          </w:tcPr>
          <w:p w14:paraId="24A84C0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50</w:t>
            </w:r>
          </w:p>
        </w:tc>
        <w:tc>
          <w:tcPr>
            <w:tcW w:w="868" w:type="pct"/>
            <w:vAlign w:val="center"/>
          </w:tcPr>
          <w:p w14:paraId="4286DAE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100</w:t>
            </w:r>
          </w:p>
        </w:tc>
        <w:tc>
          <w:tcPr>
            <w:tcW w:w="870" w:type="pct"/>
            <w:vAlign w:val="center"/>
          </w:tcPr>
          <w:p w14:paraId="5DDCDC7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100</w:t>
            </w:r>
          </w:p>
        </w:tc>
      </w:tr>
      <w:tr w14:paraId="37F2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shd w:val="clear" w:color="auto" w:fill="auto"/>
            <w:vAlign w:val="center"/>
          </w:tcPr>
          <w:p w14:paraId="5A29BB9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w:t>
            </w:r>
          </w:p>
        </w:tc>
        <w:tc>
          <w:tcPr>
            <w:tcW w:w="1143" w:type="pct"/>
            <w:gridSpan w:val="2"/>
            <w:shd w:val="clear" w:color="auto" w:fill="auto"/>
            <w:vAlign w:val="center"/>
          </w:tcPr>
          <w:p w14:paraId="03E3EB7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镍</w:t>
            </w:r>
          </w:p>
        </w:tc>
        <w:tc>
          <w:tcPr>
            <w:tcW w:w="868" w:type="pct"/>
            <w:vAlign w:val="center"/>
          </w:tcPr>
          <w:p w14:paraId="1C43162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60</w:t>
            </w:r>
          </w:p>
        </w:tc>
        <w:tc>
          <w:tcPr>
            <w:tcW w:w="868" w:type="pct"/>
            <w:vAlign w:val="center"/>
          </w:tcPr>
          <w:p w14:paraId="5916926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70</w:t>
            </w:r>
          </w:p>
        </w:tc>
        <w:tc>
          <w:tcPr>
            <w:tcW w:w="868" w:type="pct"/>
            <w:vAlign w:val="center"/>
          </w:tcPr>
          <w:p w14:paraId="2B61108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100</w:t>
            </w:r>
          </w:p>
        </w:tc>
        <w:tc>
          <w:tcPr>
            <w:tcW w:w="870" w:type="pct"/>
            <w:vAlign w:val="center"/>
          </w:tcPr>
          <w:p w14:paraId="0D90835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190</w:t>
            </w:r>
          </w:p>
        </w:tc>
      </w:tr>
      <w:tr w14:paraId="015A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shd w:val="clear" w:color="auto" w:fill="auto"/>
            <w:vAlign w:val="center"/>
          </w:tcPr>
          <w:p w14:paraId="74F5834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w:t>
            </w:r>
          </w:p>
        </w:tc>
        <w:tc>
          <w:tcPr>
            <w:tcW w:w="1143" w:type="pct"/>
            <w:gridSpan w:val="2"/>
            <w:shd w:val="clear" w:color="auto" w:fill="auto"/>
            <w:vAlign w:val="center"/>
          </w:tcPr>
          <w:p w14:paraId="5F0F0C1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锌</w:t>
            </w:r>
          </w:p>
        </w:tc>
        <w:tc>
          <w:tcPr>
            <w:tcW w:w="868" w:type="pct"/>
            <w:vAlign w:val="center"/>
          </w:tcPr>
          <w:p w14:paraId="7A6596C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w:t>
            </w:r>
          </w:p>
        </w:tc>
        <w:tc>
          <w:tcPr>
            <w:tcW w:w="868" w:type="pct"/>
            <w:vAlign w:val="center"/>
          </w:tcPr>
          <w:p w14:paraId="3CD4839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200</w:t>
            </w:r>
          </w:p>
        </w:tc>
        <w:tc>
          <w:tcPr>
            <w:tcW w:w="868" w:type="pct"/>
            <w:vAlign w:val="center"/>
          </w:tcPr>
          <w:p w14:paraId="48E27FC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250</w:t>
            </w:r>
          </w:p>
        </w:tc>
        <w:tc>
          <w:tcPr>
            <w:tcW w:w="870" w:type="pct"/>
            <w:vAlign w:val="center"/>
          </w:tcPr>
          <w:p w14:paraId="6B74B35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300</w:t>
            </w:r>
          </w:p>
        </w:tc>
      </w:tr>
      <w:tr w14:paraId="4669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1" w:type="pct"/>
            <w:shd w:val="clear" w:color="auto" w:fill="auto"/>
            <w:vAlign w:val="center"/>
          </w:tcPr>
          <w:p w14:paraId="4F395C4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9</w:t>
            </w:r>
          </w:p>
        </w:tc>
        <w:tc>
          <w:tcPr>
            <w:tcW w:w="1143" w:type="pct"/>
            <w:gridSpan w:val="2"/>
            <w:shd w:val="clear" w:color="auto" w:fill="auto"/>
            <w:vAlign w:val="center"/>
          </w:tcPr>
          <w:p w14:paraId="2008685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s="Times New Roman"/>
                <w:color w:val="auto"/>
                <w:sz w:val="21"/>
                <w:szCs w:val="21"/>
              </w:rPr>
              <w:t>石油烃</w:t>
            </w:r>
            <w:r>
              <w:rPr>
                <w:rFonts w:ascii="Times New Roman" w:hAnsi="Times New Roman" w:cs="Times New Roman"/>
                <w:color w:val="auto"/>
                <w:sz w:val="21"/>
                <w:szCs w:val="21"/>
              </w:rPr>
              <w:t>（</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10</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40</w:t>
            </w:r>
            <w:r>
              <w:rPr>
                <w:rFonts w:ascii="Times New Roman" w:hAnsi="Times New Roman" w:cs="Times New Roman"/>
                <w:color w:val="auto"/>
                <w:sz w:val="21"/>
                <w:szCs w:val="21"/>
              </w:rPr>
              <w:t>）</w:t>
            </w:r>
          </w:p>
        </w:tc>
        <w:tc>
          <w:tcPr>
            <w:tcW w:w="3474" w:type="pct"/>
            <w:gridSpan w:val="4"/>
            <w:vAlign w:val="center"/>
          </w:tcPr>
          <w:p w14:paraId="2852034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500</w:t>
            </w:r>
          </w:p>
        </w:tc>
      </w:tr>
    </w:tbl>
    <w:p w14:paraId="301E1702">
      <w:pPr>
        <w:spacing w:line="360" w:lineRule="auto"/>
        <w:rPr>
          <w:rFonts w:ascii="Times New Roman" w:hAnsi="Times New Roman"/>
          <w:b/>
          <w:color w:val="auto"/>
          <w:sz w:val="24"/>
          <w:szCs w:val="24"/>
        </w:rPr>
      </w:pPr>
      <w:r>
        <w:rPr>
          <w:rFonts w:hint="eastAsia" w:ascii="Times New Roman" w:hAnsi="Times New Roman"/>
          <w:b/>
          <w:color w:val="auto"/>
          <w:sz w:val="24"/>
          <w:szCs w:val="24"/>
        </w:rPr>
        <w:t>（5）</w:t>
      </w:r>
      <w:r>
        <w:rPr>
          <w:rFonts w:ascii="Times New Roman" w:hAnsi="Times New Roman"/>
          <w:b/>
          <w:color w:val="auto"/>
          <w:sz w:val="24"/>
          <w:szCs w:val="24"/>
        </w:rPr>
        <w:t>声环境</w:t>
      </w:r>
    </w:p>
    <w:p w14:paraId="7014FD76">
      <w:pPr>
        <w:spacing w:line="360" w:lineRule="auto"/>
        <w:ind w:left="0" w:leftChars="0"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N1~N4</w:t>
      </w:r>
      <w:r>
        <w:rPr>
          <w:rFonts w:ascii="Times New Roman" w:hAnsi="Times New Roman" w:cs="Times New Roman"/>
          <w:color w:val="auto"/>
          <w:sz w:val="24"/>
          <w:szCs w:val="24"/>
        </w:rPr>
        <w:t>执行《声环境质量标准》（GB3096-2008）3类标准</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N5</w:t>
      </w:r>
      <w:r>
        <w:rPr>
          <w:rFonts w:ascii="Times New Roman" w:hAnsi="Times New Roman" w:cs="Times New Roman"/>
          <w:color w:val="auto"/>
          <w:sz w:val="24"/>
          <w:szCs w:val="24"/>
        </w:rPr>
        <w:t>执行《声环境质量标准》（GB3096-2008）</w:t>
      </w:r>
      <w:r>
        <w:rPr>
          <w:rFonts w:hint="eastAsia" w:ascii="Times New Roman" w:hAnsi="Times New Roman" w:cs="Times New Roman"/>
          <w:color w:val="auto"/>
          <w:sz w:val="24"/>
          <w:szCs w:val="24"/>
          <w:lang w:val="en-US" w:eastAsia="zh-CN"/>
        </w:rPr>
        <w:t>2</w:t>
      </w:r>
      <w:r>
        <w:rPr>
          <w:rFonts w:ascii="Times New Roman" w:hAnsi="Times New Roman" w:cs="Times New Roman"/>
          <w:color w:val="auto"/>
          <w:sz w:val="24"/>
          <w:szCs w:val="24"/>
        </w:rPr>
        <w:t>类标准。</w:t>
      </w:r>
    </w:p>
    <w:p w14:paraId="6023D2D7">
      <w:pPr>
        <w:numPr>
          <w:ilvl w:val="0"/>
          <w:numId w:val="11"/>
        </w:numPr>
        <w:spacing w:line="360" w:lineRule="auto"/>
        <w:ind w:left="425" w:leftChars="0" w:hanging="425" w:firstLineChars="0"/>
        <w:jc w:val="center"/>
        <w:rPr>
          <w:rFonts w:hint="eastAsia" w:ascii="Times New Roman" w:hAnsi="Times New Roman" w:eastAsia="黑体"/>
          <w:color w:val="auto"/>
          <w:sz w:val="21"/>
          <w:szCs w:val="21"/>
          <w:lang w:val="en-US" w:eastAsia="zh-CN"/>
        </w:rPr>
      </w:pPr>
      <w:r>
        <w:rPr>
          <w:rFonts w:hint="eastAsia" w:ascii="Times New Roman" w:hAnsi="Times New Roman" w:eastAsia="黑体"/>
          <w:color w:val="auto"/>
          <w:sz w:val="21"/>
          <w:szCs w:val="21"/>
          <w:lang w:val="en-US" w:eastAsia="zh-CN"/>
        </w:rPr>
        <w:t>环境噪声标准限值</w:t>
      </w:r>
    </w:p>
    <w:tbl>
      <w:tblPr>
        <w:tblStyle w:val="2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7"/>
        <w:gridCol w:w="3167"/>
        <w:gridCol w:w="3170"/>
      </w:tblGrid>
      <w:tr w14:paraId="015D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72E9B16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标准级别</w:t>
            </w:r>
          </w:p>
        </w:tc>
        <w:tc>
          <w:tcPr>
            <w:tcW w:w="1666" w:type="pct"/>
            <w:shd w:val="clear" w:color="auto" w:fill="auto"/>
            <w:vAlign w:val="center"/>
          </w:tcPr>
          <w:p w14:paraId="20DEB75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昼间[dB(A)]</w:t>
            </w:r>
          </w:p>
        </w:tc>
        <w:tc>
          <w:tcPr>
            <w:tcW w:w="1667" w:type="pct"/>
            <w:shd w:val="clear" w:color="auto" w:fill="auto"/>
            <w:vAlign w:val="center"/>
          </w:tcPr>
          <w:p w14:paraId="5CE60CD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夜间[dB(A)]</w:t>
            </w:r>
          </w:p>
        </w:tc>
      </w:tr>
      <w:tr w14:paraId="18F1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AB8998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2类标准</w:t>
            </w:r>
          </w:p>
        </w:tc>
        <w:tc>
          <w:tcPr>
            <w:tcW w:w="1666" w:type="pct"/>
            <w:shd w:val="clear" w:color="auto" w:fill="auto"/>
            <w:vAlign w:val="center"/>
          </w:tcPr>
          <w:p w14:paraId="1AB4165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60</w:t>
            </w:r>
          </w:p>
        </w:tc>
        <w:tc>
          <w:tcPr>
            <w:tcW w:w="1667" w:type="pct"/>
            <w:shd w:val="clear" w:color="auto" w:fill="auto"/>
            <w:vAlign w:val="center"/>
          </w:tcPr>
          <w:p w14:paraId="0AAE9579">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50</w:t>
            </w:r>
          </w:p>
        </w:tc>
      </w:tr>
      <w:tr w14:paraId="6AF4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shd w:val="clear" w:color="auto" w:fill="auto"/>
            <w:vAlign w:val="top"/>
          </w:tcPr>
          <w:p w14:paraId="03571B6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3类标准</w:t>
            </w:r>
          </w:p>
        </w:tc>
        <w:tc>
          <w:tcPr>
            <w:tcW w:w="1666" w:type="pct"/>
            <w:shd w:val="clear" w:color="auto" w:fill="auto"/>
            <w:vAlign w:val="center"/>
          </w:tcPr>
          <w:p w14:paraId="79AFFC1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65</w:t>
            </w:r>
          </w:p>
        </w:tc>
        <w:tc>
          <w:tcPr>
            <w:tcW w:w="1667" w:type="pct"/>
            <w:shd w:val="clear" w:color="auto" w:fill="auto"/>
            <w:vAlign w:val="center"/>
          </w:tcPr>
          <w:p w14:paraId="311C93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55</w:t>
            </w:r>
          </w:p>
        </w:tc>
      </w:tr>
    </w:tbl>
    <w:p w14:paraId="2A77C161">
      <w:pPr>
        <w:pStyle w:val="29"/>
        <w:ind w:left="0" w:leftChars="0" w:firstLine="482" w:firstLineChars="200"/>
        <w:rPr>
          <w:color w:val="auto"/>
        </w:rPr>
      </w:pPr>
      <w:r>
        <w:rPr>
          <w:color w:val="auto"/>
        </w:rPr>
        <w:t>2</w:t>
      </w:r>
      <w:r>
        <w:rPr>
          <w:rFonts w:hint="eastAsia"/>
          <w:color w:val="auto"/>
        </w:rPr>
        <w:t>、污染物排放标准</w:t>
      </w:r>
    </w:p>
    <w:p w14:paraId="64A67E91">
      <w:pPr>
        <w:spacing w:line="360" w:lineRule="auto"/>
        <w:rPr>
          <w:rFonts w:ascii="Times New Roman" w:hAnsi="Times New Roman"/>
          <w:b/>
          <w:color w:val="auto"/>
          <w:sz w:val="24"/>
          <w:szCs w:val="24"/>
        </w:rPr>
      </w:pPr>
      <w:r>
        <w:rPr>
          <w:rFonts w:ascii="Times New Roman" w:hAnsi="Times New Roman"/>
          <w:b/>
          <w:color w:val="auto"/>
          <w:sz w:val="24"/>
          <w:szCs w:val="24"/>
        </w:rPr>
        <w:t>（</w:t>
      </w:r>
      <w:r>
        <w:rPr>
          <w:rFonts w:hint="eastAsia" w:ascii="Times New Roman" w:hAnsi="Times New Roman"/>
          <w:b/>
          <w:color w:val="auto"/>
          <w:sz w:val="24"/>
          <w:szCs w:val="24"/>
        </w:rPr>
        <w:t>1</w:t>
      </w:r>
      <w:r>
        <w:rPr>
          <w:rFonts w:ascii="Times New Roman" w:hAnsi="Times New Roman"/>
          <w:b/>
          <w:color w:val="auto"/>
          <w:sz w:val="24"/>
          <w:szCs w:val="24"/>
        </w:rPr>
        <w:t>）废气</w:t>
      </w:r>
    </w:p>
    <w:p w14:paraId="1A2E87A7">
      <w:pPr>
        <w:pStyle w:val="30"/>
        <w:bidi w:val="0"/>
        <w:rPr>
          <w:rFonts w:hint="default" w:ascii="Times New Roman" w:hAnsi="Times New Roman" w:cs="Times New Roman"/>
          <w:color w:val="auto"/>
          <w:sz w:val="24"/>
          <w:szCs w:val="24"/>
          <w:highlight w:val="none"/>
        </w:rPr>
      </w:pPr>
      <w:bookmarkStart w:id="26" w:name="_Hlk79997246"/>
      <w:r>
        <w:rPr>
          <w:rFonts w:hint="default" w:ascii="Times New Roman" w:hAnsi="Times New Roman" w:cs="Times New Roman"/>
          <w:color w:val="auto"/>
          <w:sz w:val="24"/>
          <w:szCs w:val="24"/>
          <w:highlight w:val="none"/>
          <w:lang w:val="en-US" w:eastAsia="zh-CN"/>
        </w:rPr>
        <w:t>①</w:t>
      </w:r>
      <w:r>
        <w:rPr>
          <w:rFonts w:hint="default" w:ascii="Times New Roman" w:hAnsi="Times New Roman" w:cs="Times New Roman"/>
          <w:color w:val="auto"/>
          <w:sz w:val="24"/>
          <w:szCs w:val="24"/>
          <w:highlight w:val="none"/>
        </w:rPr>
        <w:t>施工期</w:t>
      </w:r>
    </w:p>
    <w:p w14:paraId="3E05AC06">
      <w:pPr>
        <w:pStyle w:val="26"/>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施工期施工场地</w:t>
      </w:r>
      <w:r>
        <w:rPr>
          <w:rFonts w:hint="default" w:ascii="Times New Roman" w:hAnsi="Times New Roman" w:cs="Times New Roman"/>
          <w:color w:val="auto"/>
          <w:highlight w:val="none"/>
        </w:rPr>
        <w:t>扬尘执行《四川省施工场地扬尘排放标准》（DB51/2682-2020）表1中排放限值</w:t>
      </w:r>
      <w:r>
        <w:rPr>
          <w:rFonts w:hint="default" w:ascii="Times New Roman" w:hAnsi="Times New Roman" w:cs="Times New Roman"/>
          <w:color w:val="auto"/>
          <w:highlight w:val="none"/>
          <w:lang w:eastAsia="zh-CN"/>
        </w:rPr>
        <w:t>。</w:t>
      </w:r>
    </w:p>
    <w:p w14:paraId="47BC6898">
      <w:pPr>
        <w:numPr>
          <w:ilvl w:val="0"/>
          <w:numId w:val="11"/>
        </w:numPr>
        <w:spacing w:line="360" w:lineRule="auto"/>
        <w:ind w:left="425" w:leftChars="0" w:hanging="425" w:firstLineChars="0"/>
        <w:jc w:val="center"/>
        <w:rPr>
          <w:rFonts w:hint="default" w:ascii="Times New Roman" w:hAnsi="Times New Roman" w:eastAsia="黑体"/>
          <w:color w:val="auto"/>
          <w:sz w:val="21"/>
          <w:szCs w:val="21"/>
          <w:lang w:val="en-US" w:eastAsia="zh-CN"/>
        </w:rPr>
      </w:pPr>
      <w:r>
        <w:rPr>
          <w:rFonts w:hint="default" w:ascii="Times New Roman" w:hAnsi="Times New Roman" w:eastAsia="黑体"/>
          <w:color w:val="auto"/>
          <w:sz w:val="21"/>
          <w:szCs w:val="21"/>
          <w:lang w:val="en-US" w:eastAsia="zh-CN"/>
        </w:rPr>
        <w:t>施工场地扬尘排放限值</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620"/>
        <w:gridCol w:w="2873"/>
        <w:gridCol w:w="2756"/>
        <w:gridCol w:w="1540"/>
      </w:tblGrid>
      <w:tr w14:paraId="289F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noWrap w:val="0"/>
            <w:vAlign w:val="center"/>
          </w:tcPr>
          <w:p w14:paraId="3BDC99E9">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序号</w:t>
            </w:r>
          </w:p>
        </w:tc>
        <w:tc>
          <w:tcPr>
            <w:tcW w:w="851" w:type="pct"/>
            <w:noWrap w:val="0"/>
            <w:vAlign w:val="center"/>
          </w:tcPr>
          <w:p w14:paraId="7C7CB581">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w:t>
            </w:r>
          </w:p>
        </w:tc>
        <w:tc>
          <w:tcPr>
            <w:tcW w:w="1509" w:type="pct"/>
            <w:noWrap w:val="0"/>
            <w:vAlign w:val="center"/>
          </w:tcPr>
          <w:p w14:paraId="5A081522">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施工阶段</w:t>
            </w:r>
          </w:p>
        </w:tc>
        <w:tc>
          <w:tcPr>
            <w:tcW w:w="1448" w:type="pct"/>
            <w:noWrap w:val="0"/>
            <w:vAlign w:val="center"/>
          </w:tcPr>
          <w:p w14:paraId="70CB6575">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监测点排放限值（mg/m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c>
          <w:tcPr>
            <w:tcW w:w="809" w:type="pct"/>
            <w:noWrap w:val="0"/>
            <w:vAlign w:val="center"/>
          </w:tcPr>
          <w:p w14:paraId="21A7F96E">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监测时间</w:t>
            </w:r>
          </w:p>
        </w:tc>
      </w:tr>
      <w:tr w14:paraId="08E8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Merge w:val="restart"/>
            <w:noWrap w:val="0"/>
            <w:vAlign w:val="center"/>
          </w:tcPr>
          <w:p w14:paraId="62B10765">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851" w:type="pct"/>
            <w:vMerge w:val="restart"/>
            <w:noWrap w:val="0"/>
            <w:vAlign w:val="center"/>
          </w:tcPr>
          <w:p w14:paraId="116C0B1B">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总悬浮颗粒物（TSP）</w:t>
            </w:r>
          </w:p>
        </w:tc>
        <w:tc>
          <w:tcPr>
            <w:tcW w:w="1509" w:type="pct"/>
            <w:noWrap w:val="0"/>
            <w:vAlign w:val="center"/>
          </w:tcPr>
          <w:p w14:paraId="0A7CBC45">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拆除过程/土方开挖/土方回填</w:t>
            </w:r>
          </w:p>
        </w:tc>
        <w:tc>
          <w:tcPr>
            <w:tcW w:w="1448" w:type="pct"/>
            <w:noWrap w:val="0"/>
            <w:vAlign w:val="center"/>
          </w:tcPr>
          <w:p w14:paraId="13BA46BD">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0.600</w:t>
            </w:r>
          </w:p>
        </w:tc>
        <w:tc>
          <w:tcPr>
            <w:tcW w:w="809" w:type="pct"/>
            <w:vMerge w:val="restart"/>
            <w:noWrap w:val="0"/>
            <w:vAlign w:val="center"/>
          </w:tcPr>
          <w:p w14:paraId="74272896">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自监测起持续15min</w:t>
            </w:r>
          </w:p>
        </w:tc>
      </w:tr>
      <w:tr w14:paraId="2C2E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 w:type="pct"/>
            <w:vMerge w:val="continue"/>
            <w:noWrap w:val="0"/>
            <w:vAlign w:val="center"/>
          </w:tcPr>
          <w:p w14:paraId="3D3684D5">
            <w:pPr>
              <w:pStyle w:val="24"/>
              <w:rPr>
                <w:rFonts w:hint="default" w:ascii="Times New Roman" w:hAnsi="Times New Roman" w:cs="Times New Roman"/>
                <w:color w:val="auto"/>
                <w:highlight w:val="none"/>
              </w:rPr>
            </w:pPr>
          </w:p>
        </w:tc>
        <w:tc>
          <w:tcPr>
            <w:tcW w:w="851" w:type="pct"/>
            <w:vMerge w:val="continue"/>
            <w:noWrap w:val="0"/>
            <w:vAlign w:val="center"/>
          </w:tcPr>
          <w:p w14:paraId="635DDD87">
            <w:pPr>
              <w:pStyle w:val="24"/>
              <w:rPr>
                <w:rFonts w:hint="default" w:ascii="Times New Roman" w:hAnsi="Times New Roman" w:cs="Times New Roman"/>
                <w:color w:val="auto"/>
                <w:highlight w:val="none"/>
              </w:rPr>
            </w:pPr>
          </w:p>
        </w:tc>
        <w:tc>
          <w:tcPr>
            <w:tcW w:w="1509" w:type="pct"/>
            <w:noWrap w:val="0"/>
            <w:vAlign w:val="center"/>
          </w:tcPr>
          <w:p w14:paraId="7A43B34A">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其他过程阶段</w:t>
            </w:r>
          </w:p>
        </w:tc>
        <w:tc>
          <w:tcPr>
            <w:tcW w:w="1448" w:type="pct"/>
            <w:noWrap w:val="0"/>
            <w:vAlign w:val="center"/>
          </w:tcPr>
          <w:p w14:paraId="6769FDB8">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0.250</w:t>
            </w:r>
          </w:p>
        </w:tc>
        <w:tc>
          <w:tcPr>
            <w:tcW w:w="0" w:type="auto"/>
            <w:vMerge w:val="continue"/>
            <w:noWrap w:val="0"/>
            <w:vAlign w:val="center"/>
          </w:tcPr>
          <w:p w14:paraId="14ADAC7E">
            <w:pPr>
              <w:pStyle w:val="24"/>
              <w:rPr>
                <w:rFonts w:hint="default" w:ascii="Times New Roman" w:hAnsi="Times New Roman" w:cs="Times New Roman"/>
                <w:color w:val="auto"/>
                <w:highlight w:val="none"/>
              </w:rPr>
            </w:pPr>
          </w:p>
        </w:tc>
      </w:tr>
    </w:tbl>
    <w:p w14:paraId="5DB8D9D1">
      <w:pPr>
        <w:spacing w:line="360" w:lineRule="auto"/>
        <w:rPr>
          <w:rFonts w:hint="eastAsia"/>
          <w:b/>
          <w:bCs/>
          <w:color w:val="auto"/>
          <w:sz w:val="24"/>
          <w:szCs w:val="24"/>
          <w:lang w:val="en-US" w:eastAsia="zh-CN"/>
        </w:rPr>
      </w:pPr>
      <w:r>
        <w:rPr>
          <w:rFonts w:hint="eastAsia"/>
          <w:b/>
          <w:bCs/>
          <w:color w:val="auto"/>
          <w:sz w:val="24"/>
          <w:szCs w:val="24"/>
          <w:lang w:val="en-US" w:eastAsia="zh-CN"/>
        </w:rPr>
        <w:t>②运营期</w:t>
      </w:r>
    </w:p>
    <w:p w14:paraId="39BAC4E3">
      <w:pPr>
        <w:spacing w:line="360" w:lineRule="auto"/>
        <w:ind w:left="0" w:leftChars="0" w:firstLine="480" w:firstLineChars="200"/>
        <w:rPr>
          <w:rFonts w:hint="default"/>
          <w:color w:val="auto"/>
          <w:sz w:val="24"/>
          <w:szCs w:val="24"/>
          <w:lang w:val="en-US" w:eastAsia="zh-CN"/>
        </w:rPr>
      </w:pPr>
      <w:r>
        <w:rPr>
          <w:rFonts w:hint="eastAsia"/>
          <w:color w:val="auto"/>
          <w:sz w:val="24"/>
          <w:szCs w:val="24"/>
          <w:lang w:val="en-US" w:eastAsia="zh-CN"/>
        </w:rPr>
        <w:t>运营期工艺废气中颗粒物执行《大气污染物综合排放标准》（GB16297-1996）表2中二级标准；VOCs执行《四川省固定污染源大气挥发性有机物排放标准》（DB51/2377-2017）表 3、表 5中排放限值和《挥发性有机物无组织排放控制标准》（GB37822-2019）中表A.1厂区内无组织特别排放限值要求；</w:t>
      </w:r>
      <w:r>
        <w:rPr>
          <w:rFonts w:hint="eastAsia"/>
          <w:color w:val="auto"/>
          <w:highlight w:val="none"/>
          <w:lang w:val="en-US" w:eastAsia="zh-CN"/>
        </w:rPr>
        <w:t>NH</w:t>
      </w:r>
      <w:r>
        <w:rPr>
          <w:rFonts w:hint="eastAsia"/>
          <w:color w:val="auto"/>
          <w:highlight w:val="none"/>
          <w:vertAlign w:val="subscript"/>
          <w:lang w:val="en-US" w:eastAsia="zh-CN"/>
        </w:rPr>
        <w:t>3</w:t>
      </w:r>
      <w:r>
        <w:rPr>
          <w:rFonts w:hint="eastAsia"/>
          <w:color w:val="auto"/>
          <w:sz w:val="24"/>
          <w:szCs w:val="24"/>
          <w:lang w:val="en-US" w:eastAsia="zh-CN"/>
        </w:rPr>
        <w:t>、臭气浓度</w:t>
      </w:r>
      <w:r>
        <w:rPr>
          <w:rFonts w:hint="eastAsia" w:cs="Times New Roman"/>
          <w:b w:val="0"/>
          <w:bCs/>
          <w:color w:val="auto"/>
          <w:sz w:val="24"/>
          <w:lang w:val="en-US" w:eastAsia="zh-CN"/>
        </w:rPr>
        <w:t>执行</w:t>
      </w:r>
      <w:r>
        <w:rPr>
          <w:rFonts w:hint="eastAsia" w:ascii="Times New Roman" w:hAnsi="Times New Roman" w:eastAsia="宋体" w:cs="Times New Roman"/>
          <w:b w:val="0"/>
          <w:bCs/>
          <w:color w:val="auto"/>
          <w:sz w:val="24"/>
          <w:lang w:val="en-US" w:eastAsia="zh-CN"/>
        </w:rPr>
        <w:t>《恶臭污染物排放标准》（GB14554-93）</w:t>
      </w:r>
      <w:r>
        <w:rPr>
          <w:rFonts w:hint="eastAsia" w:cs="Times New Roman"/>
          <w:b w:val="0"/>
          <w:bCs/>
          <w:color w:val="auto"/>
          <w:sz w:val="24"/>
          <w:lang w:val="en-US" w:eastAsia="zh-CN"/>
        </w:rPr>
        <w:t>表1、</w:t>
      </w:r>
      <w:r>
        <w:rPr>
          <w:rFonts w:hint="eastAsia" w:ascii="Times New Roman" w:hAnsi="Times New Roman" w:eastAsia="宋体" w:cs="Times New Roman"/>
          <w:b w:val="0"/>
          <w:bCs/>
          <w:color w:val="auto"/>
          <w:sz w:val="24"/>
          <w:lang w:val="en-US" w:eastAsia="zh-CN"/>
        </w:rPr>
        <w:t>表</w:t>
      </w:r>
      <w:r>
        <w:rPr>
          <w:rFonts w:hint="eastAsia" w:ascii="Times New Roman" w:hAnsi="Times New Roman" w:cs="Times New Roman"/>
          <w:b w:val="0"/>
          <w:bCs/>
          <w:color w:val="auto"/>
          <w:sz w:val="24"/>
          <w:lang w:val="en-US" w:eastAsia="zh-CN"/>
        </w:rPr>
        <w:t>2</w:t>
      </w:r>
      <w:r>
        <w:rPr>
          <w:rFonts w:hint="eastAsia" w:ascii="Times New Roman" w:hAnsi="Times New Roman" w:eastAsia="宋体" w:cs="Times New Roman"/>
          <w:b w:val="0"/>
          <w:bCs/>
          <w:color w:val="auto"/>
          <w:sz w:val="24"/>
          <w:lang w:val="en-US" w:eastAsia="zh-CN"/>
        </w:rPr>
        <w:t>中排放限值；</w:t>
      </w:r>
      <w:r>
        <w:rPr>
          <w:rFonts w:hint="eastAsia"/>
          <w:color w:val="auto"/>
          <w:lang w:val="en-US" w:eastAsia="zh-CN"/>
        </w:rPr>
        <w:t>硫酸雾、氟化物产生于无碱速凝剂生产过程中，</w:t>
      </w:r>
      <w:r>
        <w:rPr>
          <w:rFonts w:hint="eastAsia" w:cstheme="minorHAnsi"/>
          <w:bCs/>
          <w:color w:val="auto"/>
          <w:szCs w:val="24"/>
          <w:lang w:val="en-US" w:eastAsia="zh-CN"/>
        </w:rPr>
        <w:t>根据通江县经济和信息化局《关于聚羧酸减水剂和无碱速凝剂生产项目行业类别的情况说明》（见附件2-2），</w:t>
      </w:r>
      <w:r>
        <w:rPr>
          <w:rFonts w:hint="eastAsia" w:cs="Times New Roman"/>
          <w:color w:val="auto"/>
          <w:kern w:val="2"/>
          <w:sz w:val="24"/>
          <w:szCs w:val="24"/>
          <w:lang w:val="en-US" w:eastAsia="zh-CN" w:bidi="ar-SA"/>
        </w:rPr>
        <w:t>本项目</w:t>
      </w:r>
      <w:r>
        <w:rPr>
          <w:rFonts w:hint="eastAsia"/>
          <w:bCs/>
          <w:color w:val="auto"/>
          <w:kern w:val="0"/>
          <w:sz w:val="24"/>
          <w:lang w:val="en-US" w:eastAsia="zh-CN"/>
        </w:rPr>
        <w:t>为《国民经济行业分类》（GB/T4754-2017）中“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”，但</w:t>
      </w:r>
      <w:r>
        <w:rPr>
          <w:rFonts w:hint="eastAsia"/>
          <w:color w:val="auto"/>
          <w:lang w:val="en-US" w:eastAsia="zh-CN"/>
        </w:rPr>
        <w:t>由于无碱速凝剂生产过程中中间产物涉及硫酸铝、</w:t>
      </w:r>
      <w:r>
        <w:rPr>
          <w:rFonts w:hint="eastAsia" w:eastAsia="宋体"/>
          <w:b w:val="0"/>
          <w:bCs w:val="0"/>
          <w:caps w:val="0"/>
          <w:smallCaps w:val="0"/>
          <w:color w:val="auto"/>
          <w:sz w:val="24"/>
          <w:highlight w:val="none"/>
          <w:lang w:val="en-US" w:eastAsia="zh-CN"/>
        </w:rPr>
        <w:t>AlF</w:t>
      </w:r>
      <w:r>
        <w:rPr>
          <w:rFonts w:hint="eastAsia" w:eastAsia="宋体"/>
          <w:b w:val="0"/>
          <w:bCs w:val="0"/>
          <w:caps w:val="0"/>
          <w:smallCaps w:val="0"/>
          <w:color w:val="auto"/>
          <w:sz w:val="24"/>
          <w:highlight w:val="none"/>
          <w:vertAlign w:val="subscript"/>
          <w:lang w:val="en-US" w:eastAsia="zh-CN"/>
        </w:rPr>
        <w:t>3</w:t>
      </w:r>
      <w:r>
        <w:rPr>
          <w:rFonts w:hint="eastAsia" w:eastAsia="宋体"/>
          <w:b w:val="0"/>
          <w:bCs w:val="0"/>
          <w:caps w:val="0"/>
          <w:smallCaps w:val="0"/>
          <w:color w:val="auto"/>
          <w:sz w:val="24"/>
          <w:highlight w:val="none"/>
          <w:lang w:val="en-US" w:eastAsia="zh-CN"/>
        </w:rPr>
        <w:t>、</w:t>
      </w:r>
      <w:r>
        <w:rPr>
          <w:color w:val="auto"/>
          <w:sz w:val="24"/>
        </w:rPr>
        <w:t>Al</w:t>
      </w:r>
      <w:r>
        <w:rPr>
          <w:color w:val="auto"/>
          <w:sz w:val="24"/>
          <w:vertAlign w:val="subscript"/>
        </w:rPr>
        <w:t>2</w:t>
      </w:r>
      <w:r>
        <w:rPr>
          <w:b/>
          <w:bCs/>
          <w:color w:val="auto"/>
          <w:sz w:val="24"/>
        </w:rPr>
        <w:t xml:space="preserve"> </w:t>
      </w:r>
      <w:r>
        <w:rPr>
          <w:color w:val="auto"/>
          <w:sz w:val="24"/>
        </w:rPr>
        <w:t>(SiF</w:t>
      </w:r>
      <w:r>
        <w:rPr>
          <w:color w:val="auto"/>
          <w:sz w:val="24"/>
          <w:vertAlign w:val="subscript"/>
        </w:rPr>
        <w:t>6</w:t>
      </w:r>
      <w:r>
        <w:rPr>
          <w:color w:val="auto"/>
          <w:sz w:val="24"/>
        </w:rPr>
        <w:t>)</w:t>
      </w:r>
      <w:r>
        <w:rPr>
          <w:color w:val="auto"/>
          <w:sz w:val="24"/>
          <w:vertAlign w:val="subscript"/>
        </w:rPr>
        <w:t>3</w:t>
      </w:r>
      <w:r>
        <w:rPr>
          <w:rFonts w:hint="eastAsia"/>
          <w:color w:val="auto"/>
          <w:sz w:val="24"/>
          <w:vertAlign w:val="baseline"/>
          <w:lang w:val="en-US" w:eastAsia="zh-CN"/>
        </w:rPr>
        <w:t>等</w:t>
      </w:r>
      <w:r>
        <w:rPr>
          <w:rFonts w:hint="eastAsia"/>
          <w:color w:val="auto"/>
          <w:lang w:val="en-US" w:eastAsia="zh-CN"/>
        </w:rPr>
        <w:t>，与无机盐生产相似，且《无机化学工业污染物排放标准》（GB 31573-2015）表3、表5中硫酸雾、氟化物排放限值（硫酸雾有组织排放浓度限值20mg/m</w:t>
      </w:r>
      <w:r>
        <w:rPr>
          <w:rFonts w:hint="eastAsia"/>
          <w:color w:val="auto"/>
          <w:vertAlign w:val="superscript"/>
          <w:lang w:val="en-US" w:eastAsia="zh-CN"/>
        </w:rPr>
        <w:t>3</w:t>
      </w:r>
      <w:r>
        <w:rPr>
          <w:rFonts w:hint="eastAsia"/>
          <w:color w:val="auto"/>
          <w:lang w:val="en-US" w:eastAsia="zh-CN"/>
        </w:rPr>
        <w:t>、无组织排放浓度限值0.3mg/m</w:t>
      </w:r>
      <w:r>
        <w:rPr>
          <w:rFonts w:hint="eastAsia"/>
          <w:color w:val="auto"/>
          <w:vertAlign w:val="superscript"/>
          <w:lang w:val="en-US" w:eastAsia="zh-CN"/>
        </w:rPr>
        <w:t>3</w:t>
      </w:r>
      <w:r>
        <w:rPr>
          <w:rFonts w:hint="eastAsia"/>
          <w:color w:val="auto"/>
          <w:lang w:val="en-US" w:eastAsia="zh-CN"/>
        </w:rPr>
        <w:t>；氟化物有组织排放浓度限值6mg/m</w:t>
      </w:r>
      <w:r>
        <w:rPr>
          <w:rFonts w:hint="eastAsia"/>
          <w:color w:val="auto"/>
          <w:vertAlign w:val="superscript"/>
          <w:lang w:val="en-US" w:eastAsia="zh-CN"/>
        </w:rPr>
        <w:t>3</w:t>
      </w:r>
      <w:r>
        <w:rPr>
          <w:rFonts w:hint="eastAsia"/>
          <w:color w:val="auto"/>
          <w:lang w:val="en-US" w:eastAsia="zh-CN"/>
        </w:rPr>
        <w:t>、无组织排放浓度限值0.02mg/m</w:t>
      </w:r>
      <w:r>
        <w:rPr>
          <w:rFonts w:hint="eastAsia"/>
          <w:color w:val="auto"/>
          <w:vertAlign w:val="superscript"/>
          <w:lang w:val="en-US" w:eastAsia="zh-CN"/>
        </w:rPr>
        <w:t>3</w:t>
      </w:r>
      <w:r>
        <w:rPr>
          <w:rFonts w:hint="eastAsia"/>
          <w:color w:val="auto"/>
          <w:lang w:val="en-US" w:eastAsia="zh-CN"/>
        </w:rPr>
        <w:t>）严于</w:t>
      </w:r>
      <w:r>
        <w:rPr>
          <w:rFonts w:hint="eastAsia"/>
          <w:color w:val="auto"/>
          <w:sz w:val="24"/>
          <w:szCs w:val="24"/>
          <w:lang w:val="en-US" w:eastAsia="zh-CN"/>
        </w:rPr>
        <w:t>《大气污染物综合排放标准》（GB16297-1996）表2二级标准中</w:t>
      </w:r>
      <w:r>
        <w:rPr>
          <w:rFonts w:hint="eastAsia"/>
          <w:color w:val="auto"/>
          <w:lang w:val="en-US" w:eastAsia="zh-CN"/>
        </w:rPr>
        <w:t>硫酸雾、氟化物排放限值（硫酸雾有组织排放浓度限值45mg/m</w:t>
      </w:r>
      <w:r>
        <w:rPr>
          <w:rFonts w:hint="eastAsia"/>
          <w:color w:val="auto"/>
          <w:vertAlign w:val="superscript"/>
          <w:lang w:val="en-US" w:eastAsia="zh-CN"/>
        </w:rPr>
        <w:t>3</w:t>
      </w:r>
      <w:r>
        <w:rPr>
          <w:rFonts w:hint="eastAsia"/>
          <w:color w:val="auto"/>
          <w:lang w:val="en-US" w:eastAsia="zh-CN"/>
        </w:rPr>
        <w:t>、无组织排放浓度限值1.2mg/m</w:t>
      </w:r>
      <w:r>
        <w:rPr>
          <w:rFonts w:hint="eastAsia"/>
          <w:color w:val="auto"/>
          <w:vertAlign w:val="superscript"/>
          <w:lang w:val="en-US" w:eastAsia="zh-CN"/>
        </w:rPr>
        <w:t>3</w:t>
      </w:r>
      <w:r>
        <w:rPr>
          <w:rFonts w:hint="eastAsia"/>
          <w:color w:val="auto"/>
          <w:lang w:val="en-US" w:eastAsia="zh-CN"/>
        </w:rPr>
        <w:t>；氟化物有组织排放浓度限值9mg/m</w:t>
      </w:r>
      <w:r>
        <w:rPr>
          <w:rFonts w:hint="eastAsia"/>
          <w:color w:val="auto"/>
          <w:vertAlign w:val="superscript"/>
          <w:lang w:val="en-US" w:eastAsia="zh-CN"/>
        </w:rPr>
        <w:t>3</w:t>
      </w:r>
      <w:r>
        <w:rPr>
          <w:rFonts w:hint="eastAsia"/>
          <w:color w:val="auto"/>
          <w:lang w:val="en-US" w:eastAsia="zh-CN"/>
        </w:rPr>
        <w:t>、无组织排放浓度限值0.02mg/m</w:t>
      </w:r>
      <w:r>
        <w:rPr>
          <w:rFonts w:hint="eastAsia"/>
          <w:color w:val="auto"/>
          <w:vertAlign w:val="superscript"/>
          <w:lang w:val="en-US" w:eastAsia="zh-CN"/>
        </w:rPr>
        <w:t>3</w:t>
      </w:r>
      <w:r>
        <w:rPr>
          <w:rFonts w:hint="eastAsia"/>
          <w:color w:val="auto"/>
          <w:lang w:val="en-US" w:eastAsia="zh-CN"/>
        </w:rPr>
        <w:t>），则硫酸雾、氟化物参照执行《无机化学工业污染物排放标准》（GB 31573-2015）表3、表5中排放限值。</w:t>
      </w:r>
    </w:p>
    <w:p w14:paraId="4DC8FF9E">
      <w:pPr>
        <w:spacing w:line="360" w:lineRule="auto"/>
        <w:ind w:left="0" w:leftChars="0" w:firstLine="480" w:firstLineChars="200"/>
        <w:rPr>
          <w:rFonts w:hint="eastAsia"/>
          <w:color w:val="auto"/>
          <w:sz w:val="24"/>
          <w:szCs w:val="24"/>
          <w:lang w:val="en-US" w:eastAsia="zh-CN"/>
        </w:rPr>
      </w:pPr>
      <w:r>
        <w:rPr>
          <w:rFonts w:hint="eastAsia" w:cs="Times New Roman"/>
          <w:b w:val="0"/>
          <w:bCs/>
          <w:color w:val="auto"/>
          <w:sz w:val="24"/>
          <w:lang w:val="en-US" w:eastAsia="zh-CN"/>
        </w:rPr>
        <w:t>质检</w:t>
      </w:r>
      <w:r>
        <w:rPr>
          <w:rFonts w:hint="eastAsia"/>
          <w:color w:val="auto"/>
          <w:lang w:val="en-US" w:eastAsia="zh-CN"/>
        </w:rPr>
        <w:t>废气中氯化氢、硫酸雾、氟化物有组织排放速率、排放浓度满足《大气污染物排放标准》（GB 16297-1996）表2中二级标准限值。</w:t>
      </w:r>
    </w:p>
    <w:p w14:paraId="682EC83A">
      <w:pPr>
        <w:numPr>
          <w:ilvl w:val="0"/>
          <w:numId w:val="11"/>
        </w:numPr>
        <w:spacing w:line="360" w:lineRule="auto"/>
        <w:ind w:left="425" w:leftChars="0" w:hanging="425" w:firstLineChars="0"/>
        <w:jc w:val="center"/>
        <w:rPr>
          <w:rFonts w:hint="eastAsia" w:ascii="Times New Roman" w:hAnsi="Times New Roman" w:eastAsia="黑体"/>
          <w:color w:val="auto"/>
          <w:sz w:val="21"/>
          <w:szCs w:val="21"/>
          <w:lang w:val="en-US" w:eastAsia="zh-CN"/>
        </w:rPr>
      </w:pPr>
      <w:r>
        <w:rPr>
          <w:rFonts w:hint="eastAsia" w:ascii="Times New Roman" w:hAnsi="Times New Roman" w:eastAsia="黑体"/>
          <w:color w:val="auto"/>
          <w:sz w:val="21"/>
          <w:szCs w:val="21"/>
          <w:lang w:val="en-US" w:eastAsia="zh-CN"/>
        </w:rPr>
        <w:t>大气污染物排放标准限值</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091"/>
        <w:gridCol w:w="1250"/>
        <w:gridCol w:w="875"/>
        <w:gridCol w:w="1337"/>
        <w:gridCol w:w="1263"/>
        <w:gridCol w:w="3085"/>
      </w:tblGrid>
      <w:tr w14:paraId="21A2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gridSpan w:val="2"/>
            <w:shd w:val="clear" w:color="auto" w:fill="auto"/>
            <w:vAlign w:val="center"/>
          </w:tcPr>
          <w:p w14:paraId="13BBB287">
            <w:pPr>
              <w:pStyle w:val="24"/>
              <w:bidi w:val="0"/>
              <w:rPr>
                <w:rFonts w:hint="eastAsia" w:ascii="Times New Roman" w:hAnsi="Times New Roman" w:eastAsia="宋体" w:cs="Courier New"/>
                <w:b/>
                <w:bCs/>
                <w:color w:val="auto"/>
                <w:highlight w:val="none"/>
                <w:lang w:val="en-US" w:eastAsia="zh-CN"/>
              </w:rPr>
            </w:pPr>
            <w:bookmarkStart w:id="27" w:name="_Hlk80286439"/>
            <w:r>
              <w:rPr>
                <w:rFonts w:hint="eastAsia" w:ascii="Times New Roman" w:hAnsi="Times New Roman" w:eastAsia="宋体" w:cs="Courier New"/>
                <w:b/>
                <w:bCs/>
                <w:color w:val="auto"/>
                <w:highlight w:val="none"/>
                <w:lang w:val="en-US" w:eastAsia="zh-CN"/>
              </w:rPr>
              <w:t>污染物名称</w:t>
            </w:r>
          </w:p>
        </w:tc>
        <w:tc>
          <w:tcPr>
            <w:tcW w:w="657" w:type="pct"/>
            <w:shd w:val="clear" w:color="auto" w:fill="auto"/>
            <w:vAlign w:val="center"/>
          </w:tcPr>
          <w:p w14:paraId="1EA9133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最高允许排放浓度（mg/m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w:t>
            </w:r>
          </w:p>
        </w:tc>
        <w:tc>
          <w:tcPr>
            <w:tcW w:w="460" w:type="pct"/>
            <w:shd w:val="clear" w:color="auto" w:fill="auto"/>
            <w:vAlign w:val="center"/>
          </w:tcPr>
          <w:p w14:paraId="2F88AFED">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排气筒高度（m）</w:t>
            </w:r>
          </w:p>
        </w:tc>
        <w:tc>
          <w:tcPr>
            <w:tcW w:w="703" w:type="pct"/>
            <w:shd w:val="clear" w:color="auto" w:fill="auto"/>
            <w:vAlign w:val="center"/>
          </w:tcPr>
          <w:p w14:paraId="601319D4">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最高允许排放速率（kg/h）</w:t>
            </w:r>
            <w:r>
              <w:rPr>
                <w:rFonts w:hint="eastAsia" w:cs="Courier New"/>
                <w:b/>
                <w:bCs/>
                <w:color w:val="auto"/>
                <w:highlight w:val="none"/>
                <w:lang w:val="en-US" w:eastAsia="zh-CN"/>
              </w:rPr>
              <w:t>*</w:t>
            </w:r>
          </w:p>
        </w:tc>
        <w:tc>
          <w:tcPr>
            <w:tcW w:w="664" w:type="pct"/>
            <w:shd w:val="clear" w:color="auto" w:fill="auto"/>
            <w:vAlign w:val="center"/>
          </w:tcPr>
          <w:p w14:paraId="4D753BF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无组织排放浓度限值（mg/m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w:t>
            </w:r>
          </w:p>
        </w:tc>
        <w:tc>
          <w:tcPr>
            <w:tcW w:w="1623" w:type="pct"/>
            <w:shd w:val="clear" w:color="auto" w:fill="auto"/>
            <w:vAlign w:val="center"/>
          </w:tcPr>
          <w:p w14:paraId="6FF0B45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排放标准</w:t>
            </w:r>
          </w:p>
        </w:tc>
      </w:tr>
      <w:tr w14:paraId="69D5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restart"/>
            <w:shd w:val="clear" w:color="auto" w:fill="auto"/>
            <w:vAlign w:val="center"/>
          </w:tcPr>
          <w:p w14:paraId="3CE0FDE2">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工艺废气</w:t>
            </w:r>
          </w:p>
        </w:tc>
        <w:tc>
          <w:tcPr>
            <w:tcW w:w="574" w:type="pct"/>
            <w:shd w:val="clear" w:color="auto" w:fill="auto"/>
            <w:vAlign w:val="center"/>
          </w:tcPr>
          <w:p w14:paraId="412B35F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颗粒物</w:t>
            </w:r>
          </w:p>
        </w:tc>
        <w:tc>
          <w:tcPr>
            <w:tcW w:w="657" w:type="pct"/>
            <w:shd w:val="clear" w:color="auto" w:fill="auto"/>
            <w:vAlign w:val="center"/>
          </w:tcPr>
          <w:p w14:paraId="35F38DB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120</w:t>
            </w:r>
          </w:p>
        </w:tc>
        <w:tc>
          <w:tcPr>
            <w:tcW w:w="460" w:type="pct"/>
            <w:shd w:val="clear" w:color="auto" w:fill="auto"/>
            <w:vAlign w:val="center"/>
          </w:tcPr>
          <w:p w14:paraId="7548FCA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c>
          <w:tcPr>
            <w:tcW w:w="703" w:type="pct"/>
            <w:shd w:val="clear" w:color="auto" w:fill="auto"/>
            <w:vAlign w:val="center"/>
          </w:tcPr>
          <w:p w14:paraId="242B265C">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3.5/1.75（严格50%）</w:t>
            </w:r>
          </w:p>
        </w:tc>
        <w:tc>
          <w:tcPr>
            <w:tcW w:w="664" w:type="pct"/>
            <w:shd w:val="clear" w:color="auto" w:fill="auto"/>
            <w:vAlign w:val="center"/>
          </w:tcPr>
          <w:p w14:paraId="29F7CE2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p>
        </w:tc>
        <w:tc>
          <w:tcPr>
            <w:tcW w:w="1623" w:type="pct"/>
            <w:shd w:val="clear" w:color="auto" w:fill="auto"/>
            <w:vAlign w:val="center"/>
          </w:tcPr>
          <w:p w14:paraId="6C62E3D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《大气污染物综合排放标准》（GB16297-1996）表2中二级标准</w:t>
            </w:r>
          </w:p>
        </w:tc>
      </w:tr>
      <w:tr w14:paraId="5A9B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644BF1B9">
            <w:pPr>
              <w:pStyle w:val="24"/>
              <w:bidi w:val="0"/>
              <w:rPr>
                <w:rFonts w:hint="eastAsia" w:ascii="Times New Roman" w:hAnsi="Times New Roman" w:eastAsia="宋体" w:cs="Courier New"/>
                <w:b w:val="0"/>
                <w:bCs w:val="0"/>
                <w:color w:val="auto"/>
                <w:highlight w:val="none"/>
                <w:lang w:val="en-US" w:eastAsia="zh-CN"/>
              </w:rPr>
            </w:pPr>
          </w:p>
        </w:tc>
        <w:tc>
          <w:tcPr>
            <w:tcW w:w="574" w:type="pct"/>
            <w:vMerge w:val="restart"/>
            <w:shd w:val="clear" w:color="auto" w:fill="auto"/>
            <w:vAlign w:val="center"/>
          </w:tcPr>
          <w:p w14:paraId="5EFCCBB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VOCs</w:t>
            </w:r>
          </w:p>
        </w:tc>
        <w:tc>
          <w:tcPr>
            <w:tcW w:w="657" w:type="pct"/>
            <w:shd w:val="clear" w:color="auto" w:fill="auto"/>
            <w:vAlign w:val="center"/>
          </w:tcPr>
          <w:p w14:paraId="2BC1D75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60</w:t>
            </w:r>
          </w:p>
        </w:tc>
        <w:tc>
          <w:tcPr>
            <w:tcW w:w="460" w:type="pct"/>
            <w:shd w:val="clear" w:color="auto" w:fill="auto"/>
            <w:vAlign w:val="center"/>
          </w:tcPr>
          <w:p w14:paraId="687305F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c>
          <w:tcPr>
            <w:tcW w:w="703" w:type="pct"/>
            <w:shd w:val="clear" w:color="auto" w:fill="auto"/>
            <w:vAlign w:val="center"/>
          </w:tcPr>
          <w:p w14:paraId="5969B0BB">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w:t>
            </w:r>
            <w:r>
              <w:rPr>
                <w:rFonts w:hint="eastAsia" w:cs="Courier New"/>
                <w:b w:val="0"/>
                <w:bCs w:val="0"/>
                <w:color w:val="auto"/>
                <w:highlight w:val="none"/>
                <w:lang w:val="en-US" w:eastAsia="zh-CN"/>
              </w:rPr>
              <w:t>/1.7（严格50%）</w:t>
            </w:r>
          </w:p>
        </w:tc>
        <w:tc>
          <w:tcPr>
            <w:tcW w:w="664" w:type="pct"/>
            <w:shd w:val="clear" w:color="auto" w:fill="auto"/>
            <w:vAlign w:val="center"/>
          </w:tcPr>
          <w:p w14:paraId="38782EE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1623" w:type="pct"/>
            <w:shd w:val="clear" w:color="auto" w:fill="auto"/>
            <w:vAlign w:val="center"/>
          </w:tcPr>
          <w:p w14:paraId="45EA2A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《四川省固定污染源大气挥发性有机物排放标准》（DB51/2377-2017）表 3、表 5中排放限值</w:t>
            </w:r>
          </w:p>
        </w:tc>
      </w:tr>
      <w:tr w14:paraId="69C2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316" w:type="pct"/>
            <w:vMerge w:val="continue"/>
            <w:shd w:val="clear" w:color="auto" w:fill="auto"/>
            <w:vAlign w:val="center"/>
          </w:tcPr>
          <w:p w14:paraId="483037C8">
            <w:pPr>
              <w:pStyle w:val="24"/>
              <w:bidi w:val="0"/>
              <w:rPr>
                <w:rFonts w:hint="eastAsia" w:ascii="Times New Roman" w:hAnsi="Times New Roman" w:eastAsia="宋体" w:cs="Courier New"/>
                <w:b w:val="0"/>
                <w:bCs w:val="0"/>
                <w:color w:val="auto"/>
                <w:highlight w:val="none"/>
                <w:lang w:val="en-US" w:eastAsia="zh-CN"/>
              </w:rPr>
            </w:pPr>
          </w:p>
        </w:tc>
        <w:tc>
          <w:tcPr>
            <w:tcW w:w="574" w:type="pct"/>
            <w:vMerge w:val="continue"/>
            <w:shd w:val="clear" w:color="auto" w:fill="auto"/>
            <w:vAlign w:val="center"/>
          </w:tcPr>
          <w:p w14:paraId="608F0DA2">
            <w:pPr>
              <w:pStyle w:val="24"/>
              <w:bidi w:val="0"/>
              <w:ind w:left="0" w:leftChars="0"/>
              <w:rPr>
                <w:rFonts w:hint="eastAsia" w:ascii="Times New Roman" w:hAnsi="Times New Roman" w:eastAsia="宋体" w:cs="Courier New"/>
                <w:b w:val="0"/>
                <w:bCs w:val="0"/>
                <w:color w:val="auto"/>
                <w:highlight w:val="none"/>
                <w:lang w:val="en-US" w:eastAsia="zh-CN"/>
              </w:rPr>
            </w:pPr>
          </w:p>
        </w:tc>
        <w:tc>
          <w:tcPr>
            <w:tcW w:w="657" w:type="pct"/>
            <w:shd w:val="clear" w:color="auto" w:fill="auto"/>
            <w:vAlign w:val="center"/>
          </w:tcPr>
          <w:p w14:paraId="608EA8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0" w:type="pct"/>
            <w:shd w:val="clear" w:color="auto" w:fill="auto"/>
            <w:vAlign w:val="center"/>
          </w:tcPr>
          <w:p w14:paraId="2399347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703" w:type="pct"/>
            <w:shd w:val="clear" w:color="auto" w:fill="auto"/>
            <w:vAlign w:val="center"/>
          </w:tcPr>
          <w:p w14:paraId="1B8DBD8D">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664" w:type="pct"/>
            <w:shd w:val="clear" w:color="auto" w:fill="auto"/>
            <w:vAlign w:val="center"/>
          </w:tcPr>
          <w:p w14:paraId="7050F1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6（1h平均）</w:t>
            </w:r>
          </w:p>
          <w:p w14:paraId="15331F7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20（任意一次）</w:t>
            </w:r>
          </w:p>
        </w:tc>
        <w:tc>
          <w:tcPr>
            <w:tcW w:w="1623" w:type="pct"/>
            <w:shd w:val="clear" w:color="auto" w:fill="auto"/>
            <w:vAlign w:val="center"/>
          </w:tcPr>
          <w:p w14:paraId="567FA77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《挥发性有机物无组织排放控制标准》（GB37822-2019）中表A.1厂区内无组织特别排放限值</w:t>
            </w:r>
          </w:p>
        </w:tc>
      </w:tr>
      <w:tr w14:paraId="4A2E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3923EDC7">
            <w:pPr>
              <w:pStyle w:val="24"/>
              <w:bidi w:val="0"/>
              <w:rPr>
                <w:rFonts w:hint="eastAsia" w:ascii="Times New Roman" w:hAnsi="Times New Roman" w:eastAsia="宋体" w:cs="Courier New"/>
                <w:b w:val="0"/>
                <w:bCs w:val="0"/>
                <w:color w:val="auto"/>
                <w:highlight w:val="none"/>
                <w:lang w:val="en-US" w:eastAsia="zh-CN"/>
              </w:rPr>
            </w:pPr>
          </w:p>
        </w:tc>
        <w:tc>
          <w:tcPr>
            <w:tcW w:w="574" w:type="pct"/>
            <w:shd w:val="clear" w:color="auto" w:fill="auto"/>
            <w:vAlign w:val="center"/>
          </w:tcPr>
          <w:p w14:paraId="1E718AB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olor w:val="auto"/>
                <w:highlight w:val="none"/>
                <w:lang w:val="en-US" w:eastAsia="zh-CN"/>
              </w:rPr>
              <w:t>NH</w:t>
            </w:r>
            <w:r>
              <w:rPr>
                <w:rFonts w:hint="eastAsia"/>
                <w:color w:val="auto"/>
                <w:highlight w:val="none"/>
                <w:vertAlign w:val="subscript"/>
                <w:lang w:val="en-US" w:eastAsia="zh-CN"/>
              </w:rPr>
              <w:t>3</w:t>
            </w:r>
          </w:p>
        </w:tc>
        <w:tc>
          <w:tcPr>
            <w:tcW w:w="657" w:type="pct"/>
            <w:shd w:val="clear" w:color="auto" w:fill="auto"/>
            <w:vAlign w:val="center"/>
          </w:tcPr>
          <w:p w14:paraId="7BB4D70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0" w:type="pct"/>
            <w:shd w:val="clear" w:color="auto" w:fill="auto"/>
            <w:vAlign w:val="center"/>
          </w:tcPr>
          <w:p w14:paraId="2D3067C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15</w:t>
            </w:r>
          </w:p>
        </w:tc>
        <w:tc>
          <w:tcPr>
            <w:tcW w:w="703" w:type="pct"/>
            <w:shd w:val="clear" w:color="auto" w:fill="auto"/>
            <w:vAlign w:val="center"/>
          </w:tcPr>
          <w:p w14:paraId="7F52247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4.9/2.45（严格50%）</w:t>
            </w:r>
          </w:p>
        </w:tc>
        <w:tc>
          <w:tcPr>
            <w:tcW w:w="664" w:type="pct"/>
            <w:shd w:val="clear" w:color="auto" w:fill="auto"/>
            <w:vAlign w:val="center"/>
          </w:tcPr>
          <w:p w14:paraId="4138B17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1.5</w:t>
            </w:r>
          </w:p>
        </w:tc>
        <w:tc>
          <w:tcPr>
            <w:tcW w:w="1623" w:type="pct"/>
            <w:vMerge w:val="restart"/>
            <w:shd w:val="clear" w:color="auto" w:fill="auto"/>
            <w:vAlign w:val="center"/>
          </w:tcPr>
          <w:p w14:paraId="49F28D7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《恶臭污染物排放标准》（GB14554-93）表1、表2中排放限值</w:t>
            </w:r>
          </w:p>
        </w:tc>
      </w:tr>
      <w:tr w14:paraId="7717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1EB41C58">
            <w:pPr>
              <w:pStyle w:val="24"/>
              <w:bidi w:val="0"/>
              <w:rPr>
                <w:rFonts w:hint="eastAsia" w:ascii="Times New Roman" w:hAnsi="Times New Roman" w:eastAsia="宋体" w:cs="Courier New"/>
                <w:b w:val="0"/>
                <w:bCs w:val="0"/>
                <w:color w:val="auto"/>
                <w:highlight w:val="none"/>
                <w:lang w:val="en-US" w:eastAsia="zh-CN"/>
              </w:rPr>
            </w:pPr>
          </w:p>
        </w:tc>
        <w:tc>
          <w:tcPr>
            <w:tcW w:w="574" w:type="pct"/>
            <w:shd w:val="clear" w:color="auto" w:fill="auto"/>
            <w:vAlign w:val="center"/>
          </w:tcPr>
          <w:p w14:paraId="53D442F2">
            <w:pPr>
              <w:pStyle w:val="24"/>
              <w:bidi w:val="0"/>
              <w:ind w:left="0" w:leftChars="0"/>
              <w:rPr>
                <w:rFonts w:hint="eastAsia" w:ascii="Times New Roman" w:hAnsi="Times New Roman" w:eastAsia="宋体" w:cs="Courier New"/>
                <w:color w:val="auto"/>
                <w:kern w:val="2"/>
                <w:sz w:val="21"/>
                <w:szCs w:val="24"/>
                <w:highlight w:val="none"/>
                <w:lang w:val="en-US" w:eastAsia="zh-CN" w:bidi="ar-SA"/>
              </w:rPr>
            </w:pPr>
            <w:r>
              <w:rPr>
                <w:rFonts w:hint="eastAsia"/>
                <w:color w:val="auto"/>
                <w:highlight w:val="none"/>
                <w:lang w:val="en-US" w:eastAsia="zh-CN"/>
              </w:rPr>
              <w:t>臭气浓度</w:t>
            </w:r>
          </w:p>
        </w:tc>
        <w:tc>
          <w:tcPr>
            <w:tcW w:w="657" w:type="pct"/>
            <w:shd w:val="clear" w:color="auto" w:fill="auto"/>
            <w:vAlign w:val="center"/>
          </w:tcPr>
          <w:p w14:paraId="7C3EF9D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0" w:type="pct"/>
            <w:shd w:val="clear" w:color="auto" w:fill="auto"/>
            <w:vAlign w:val="center"/>
          </w:tcPr>
          <w:p w14:paraId="6499270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15</w:t>
            </w:r>
          </w:p>
        </w:tc>
        <w:tc>
          <w:tcPr>
            <w:tcW w:w="703" w:type="pct"/>
            <w:shd w:val="clear" w:color="auto" w:fill="auto"/>
            <w:vAlign w:val="center"/>
          </w:tcPr>
          <w:p w14:paraId="231047F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2000（无量纲）/1000（严格50%，无量纲）</w:t>
            </w:r>
          </w:p>
        </w:tc>
        <w:tc>
          <w:tcPr>
            <w:tcW w:w="664" w:type="pct"/>
            <w:shd w:val="clear" w:color="auto" w:fill="auto"/>
            <w:vAlign w:val="center"/>
          </w:tcPr>
          <w:p w14:paraId="69A8C3D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20（无量纲）</w:t>
            </w:r>
          </w:p>
        </w:tc>
        <w:tc>
          <w:tcPr>
            <w:tcW w:w="1623" w:type="pct"/>
            <w:vMerge w:val="continue"/>
            <w:shd w:val="clear" w:color="auto" w:fill="auto"/>
            <w:vAlign w:val="center"/>
          </w:tcPr>
          <w:p w14:paraId="4F8AD656">
            <w:pPr>
              <w:pStyle w:val="24"/>
              <w:bidi w:val="0"/>
              <w:rPr>
                <w:rFonts w:hint="eastAsia" w:ascii="Times New Roman" w:hAnsi="Times New Roman" w:eastAsia="宋体" w:cs="Courier New"/>
                <w:b w:val="0"/>
                <w:bCs w:val="0"/>
                <w:color w:val="auto"/>
                <w:highlight w:val="none"/>
                <w:lang w:val="en-US" w:eastAsia="zh-CN"/>
              </w:rPr>
            </w:pPr>
          </w:p>
        </w:tc>
      </w:tr>
      <w:tr w14:paraId="7B43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6344A659">
            <w:pPr>
              <w:pStyle w:val="24"/>
              <w:bidi w:val="0"/>
              <w:rPr>
                <w:rFonts w:hint="eastAsia" w:ascii="Times New Roman" w:hAnsi="Times New Roman" w:eastAsia="宋体" w:cs="Courier New"/>
                <w:b w:val="0"/>
                <w:bCs w:val="0"/>
                <w:color w:val="auto"/>
                <w:highlight w:val="none"/>
                <w:lang w:val="en-US" w:eastAsia="zh-CN"/>
              </w:rPr>
            </w:pPr>
          </w:p>
        </w:tc>
        <w:tc>
          <w:tcPr>
            <w:tcW w:w="574" w:type="pct"/>
            <w:shd w:val="clear" w:color="auto" w:fill="auto"/>
            <w:vAlign w:val="center"/>
          </w:tcPr>
          <w:p w14:paraId="647FD414">
            <w:pPr>
              <w:pStyle w:val="24"/>
              <w:bidi w:val="0"/>
              <w:ind w:left="0" w:leftChars="0"/>
              <w:rPr>
                <w:rFonts w:hint="eastAsia"/>
                <w:color w:val="auto"/>
                <w:highlight w:val="none"/>
                <w:lang w:val="en-US" w:eastAsia="zh-CN"/>
              </w:rPr>
            </w:pPr>
            <w:r>
              <w:rPr>
                <w:rFonts w:hint="eastAsia"/>
                <w:color w:val="auto"/>
                <w:highlight w:val="none"/>
                <w:lang w:val="en-US" w:eastAsia="zh-CN"/>
              </w:rPr>
              <w:t>硫酸雾</w:t>
            </w:r>
          </w:p>
        </w:tc>
        <w:tc>
          <w:tcPr>
            <w:tcW w:w="657" w:type="pct"/>
            <w:shd w:val="clear" w:color="auto" w:fill="auto"/>
            <w:vAlign w:val="center"/>
          </w:tcPr>
          <w:p w14:paraId="649E670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60" w:type="pct"/>
            <w:shd w:val="clear" w:color="auto" w:fill="auto"/>
            <w:vAlign w:val="center"/>
          </w:tcPr>
          <w:p w14:paraId="75D0D1B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15</w:t>
            </w:r>
          </w:p>
        </w:tc>
        <w:tc>
          <w:tcPr>
            <w:tcW w:w="703" w:type="pct"/>
            <w:shd w:val="clear" w:color="auto" w:fill="auto"/>
            <w:vAlign w:val="center"/>
          </w:tcPr>
          <w:p w14:paraId="7DADDC87">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664" w:type="pct"/>
            <w:shd w:val="clear" w:color="auto" w:fill="auto"/>
            <w:vAlign w:val="center"/>
          </w:tcPr>
          <w:p w14:paraId="08EDD7DF">
            <w:pPr>
              <w:pStyle w:val="24"/>
              <w:bidi w:val="0"/>
              <w:ind w:left="0" w:leftChars="0"/>
              <w:rPr>
                <w:rFonts w:hint="default" w:cs="Courier New"/>
                <w:b w:val="0"/>
                <w:bCs w:val="0"/>
                <w:color w:val="auto"/>
                <w:highlight w:val="none"/>
                <w:lang w:val="en-US" w:eastAsia="zh-CN"/>
              </w:rPr>
            </w:pPr>
            <w:r>
              <w:rPr>
                <w:rFonts w:hint="eastAsia" w:cs="Courier New"/>
                <w:b w:val="0"/>
                <w:bCs w:val="0"/>
                <w:color w:val="auto"/>
                <w:highlight w:val="none"/>
                <w:lang w:val="en-US" w:eastAsia="zh-CN"/>
              </w:rPr>
              <w:t>0.3</w:t>
            </w:r>
          </w:p>
        </w:tc>
        <w:tc>
          <w:tcPr>
            <w:tcW w:w="1623" w:type="pct"/>
            <w:vMerge w:val="restart"/>
            <w:shd w:val="clear" w:color="auto" w:fill="auto"/>
            <w:vAlign w:val="center"/>
          </w:tcPr>
          <w:p w14:paraId="54C07D3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《无机化学工业污染物排放标准》（GB 31573-2015）表3、表5中排放限值</w:t>
            </w:r>
          </w:p>
        </w:tc>
      </w:tr>
      <w:tr w14:paraId="19FB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0E0077F3">
            <w:pPr>
              <w:pStyle w:val="24"/>
              <w:bidi w:val="0"/>
              <w:rPr>
                <w:rFonts w:hint="eastAsia" w:ascii="Times New Roman" w:hAnsi="Times New Roman" w:eastAsia="宋体" w:cs="Courier New"/>
                <w:b w:val="0"/>
                <w:bCs w:val="0"/>
                <w:color w:val="auto"/>
                <w:highlight w:val="none"/>
                <w:lang w:val="en-US" w:eastAsia="zh-CN"/>
              </w:rPr>
            </w:pPr>
          </w:p>
        </w:tc>
        <w:tc>
          <w:tcPr>
            <w:tcW w:w="574" w:type="pct"/>
            <w:shd w:val="clear" w:color="auto" w:fill="auto"/>
            <w:vAlign w:val="center"/>
          </w:tcPr>
          <w:p w14:paraId="02529AD1">
            <w:pPr>
              <w:pStyle w:val="24"/>
              <w:bidi w:val="0"/>
              <w:rPr>
                <w:rFonts w:hint="eastAsia" w:ascii="Times New Roman" w:hAnsi="Times New Roman" w:eastAsia="宋体" w:cs="Courier New"/>
                <w:b w:val="0"/>
                <w:bCs w:val="0"/>
                <w:color w:val="auto"/>
                <w:highlight w:val="none"/>
                <w:lang w:val="en-US" w:eastAsia="zh-CN"/>
              </w:rPr>
            </w:pPr>
            <w:r>
              <w:rPr>
                <w:rFonts w:hint="eastAsia"/>
                <w:color w:val="auto"/>
                <w:highlight w:val="none"/>
                <w:lang w:val="en-US" w:eastAsia="zh-CN"/>
              </w:rPr>
              <w:t>氟化物</w:t>
            </w:r>
          </w:p>
        </w:tc>
        <w:tc>
          <w:tcPr>
            <w:tcW w:w="657" w:type="pct"/>
            <w:shd w:val="clear" w:color="auto" w:fill="auto"/>
            <w:vAlign w:val="center"/>
          </w:tcPr>
          <w:p w14:paraId="59A0FDF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6</w:t>
            </w:r>
          </w:p>
        </w:tc>
        <w:tc>
          <w:tcPr>
            <w:tcW w:w="460" w:type="pct"/>
            <w:shd w:val="clear" w:color="auto" w:fill="auto"/>
            <w:vAlign w:val="center"/>
          </w:tcPr>
          <w:p w14:paraId="0A0E2A2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15</w:t>
            </w:r>
          </w:p>
        </w:tc>
        <w:tc>
          <w:tcPr>
            <w:tcW w:w="703" w:type="pct"/>
            <w:shd w:val="clear" w:color="auto" w:fill="auto"/>
            <w:vAlign w:val="center"/>
          </w:tcPr>
          <w:p w14:paraId="6A09DCE1">
            <w:pPr>
              <w:pStyle w:val="24"/>
              <w:bidi w:val="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664" w:type="pct"/>
            <w:shd w:val="clear" w:color="auto" w:fill="auto"/>
            <w:vAlign w:val="center"/>
          </w:tcPr>
          <w:p w14:paraId="38183948">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0.02</w:t>
            </w:r>
          </w:p>
        </w:tc>
        <w:tc>
          <w:tcPr>
            <w:tcW w:w="1623" w:type="pct"/>
            <w:vMerge w:val="continue"/>
            <w:shd w:val="clear" w:color="auto" w:fill="auto"/>
            <w:vAlign w:val="center"/>
          </w:tcPr>
          <w:p w14:paraId="672F1F52">
            <w:pPr>
              <w:pStyle w:val="24"/>
              <w:bidi w:val="0"/>
              <w:rPr>
                <w:rFonts w:hint="eastAsia" w:ascii="Times New Roman" w:hAnsi="Times New Roman" w:eastAsia="宋体" w:cs="Courier New"/>
                <w:b w:val="0"/>
                <w:bCs w:val="0"/>
                <w:color w:val="auto"/>
                <w:highlight w:val="none"/>
                <w:lang w:val="en-US" w:eastAsia="zh-CN"/>
              </w:rPr>
            </w:pPr>
          </w:p>
        </w:tc>
      </w:tr>
      <w:tr w14:paraId="4751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restart"/>
            <w:shd w:val="clear" w:color="auto" w:fill="auto"/>
            <w:vAlign w:val="center"/>
          </w:tcPr>
          <w:p w14:paraId="7962730C">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质检废气</w:t>
            </w:r>
          </w:p>
        </w:tc>
        <w:tc>
          <w:tcPr>
            <w:tcW w:w="574" w:type="pct"/>
            <w:shd w:val="clear" w:color="auto" w:fill="auto"/>
            <w:vAlign w:val="center"/>
          </w:tcPr>
          <w:p w14:paraId="2796A03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氯化氢</w:t>
            </w:r>
          </w:p>
        </w:tc>
        <w:tc>
          <w:tcPr>
            <w:tcW w:w="657" w:type="pct"/>
            <w:shd w:val="clear" w:color="auto" w:fill="auto"/>
            <w:vAlign w:val="center"/>
          </w:tcPr>
          <w:p w14:paraId="51FE6563">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100</w:t>
            </w:r>
          </w:p>
        </w:tc>
        <w:tc>
          <w:tcPr>
            <w:tcW w:w="460" w:type="pct"/>
            <w:shd w:val="clear" w:color="auto" w:fill="auto"/>
            <w:vAlign w:val="center"/>
          </w:tcPr>
          <w:p w14:paraId="45BBD5D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15</w:t>
            </w:r>
          </w:p>
        </w:tc>
        <w:tc>
          <w:tcPr>
            <w:tcW w:w="703" w:type="pct"/>
            <w:shd w:val="clear" w:color="auto" w:fill="auto"/>
            <w:vAlign w:val="center"/>
          </w:tcPr>
          <w:p w14:paraId="64E934A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0.26/0.13（严格50%）</w:t>
            </w:r>
          </w:p>
        </w:tc>
        <w:tc>
          <w:tcPr>
            <w:tcW w:w="664" w:type="pct"/>
            <w:shd w:val="clear" w:color="auto" w:fill="auto"/>
            <w:vAlign w:val="center"/>
          </w:tcPr>
          <w:p w14:paraId="0F4D6EA2">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0.2</w:t>
            </w:r>
          </w:p>
        </w:tc>
        <w:tc>
          <w:tcPr>
            <w:tcW w:w="1623" w:type="pct"/>
            <w:vMerge w:val="restart"/>
            <w:shd w:val="clear" w:color="auto" w:fill="auto"/>
            <w:vAlign w:val="center"/>
          </w:tcPr>
          <w:p w14:paraId="46A434B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《大气污染物综合排放标准》（GB16297-1996）表2中二级标准</w:t>
            </w:r>
          </w:p>
        </w:tc>
      </w:tr>
      <w:tr w14:paraId="6C95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6E8FBE65">
            <w:pPr>
              <w:pStyle w:val="24"/>
              <w:bidi w:val="0"/>
              <w:rPr>
                <w:rFonts w:hint="eastAsia" w:ascii="Times New Roman" w:hAnsi="Times New Roman" w:eastAsia="宋体" w:cs="Courier New"/>
                <w:b w:val="0"/>
                <w:bCs w:val="0"/>
                <w:color w:val="auto"/>
                <w:highlight w:val="none"/>
                <w:lang w:val="en-US" w:eastAsia="zh-CN"/>
              </w:rPr>
            </w:pPr>
          </w:p>
        </w:tc>
        <w:tc>
          <w:tcPr>
            <w:tcW w:w="574" w:type="pct"/>
            <w:shd w:val="clear" w:color="auto" w:fill="auto"/>
            <w:vAlign w:val="center"/>
          </w:tcPr>
          <w:p w14:paraId="51CE87A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硫酸雾</w:t>
            </w:r>
          </w:p>
        </w:tc>
        <w:tc>
          <w:tcPr>
            <w:tcW w:w="657" w:type="pct"/>
            <w:shd w:val="clear" w:color="auto" w:fill="auto"/>
            <w:vAlign w:val="center"/>
          </w:tcPr>
          <w:p w14:paraId="1E48E4D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45</w:t>
            </w:r>
          </w:p>
        </w:tc>
        <w:tc>
          <w:tcPr>
            <w:tcW w:w="460" w:type="pct"/>
            <w:shd w:val="clear" w:color="auto" w:fill="auto"/>
            <w:vAlign w:val="center"/>
          </w:tcPr>
          <w:p w14:paraId="24AA3428">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c>
          <w:tcPr>
            <w:tcW w:w="703" w:type="pct"/>
            <w:shd w:val="clear" w:color="auto" w:fill="auto"/>
            <w:vAlign w:val="center"/>
          </w:tcPr>
          <w:p w14:paraId="00D7C7BE">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r>
              <w:rPr>
                <w:rFonts w:hint="eastAsia" w:cs="Courier New"/>
                <w:b w:val="0"/>
                <w:bCs w:val="0"/>
                <w:color w:val="auto"/>
                <w:highlight w:val="none"/>
                <w:lang w:val="en-US" w:eastAsia="zh-CN"/>
              </w:rPr>
              <w:t>/0.75（严格50%）</w:t>
            </w:r>
          </w:p>
        </w:tc>
        <w:tc>
          <w:tcPr>
            <w:tcW w:w="664" w:type="pct"/>
            <w:shd w:val="clear" w:color="auto" w:fill="auto"/>
            <w:vAlign w:val="center"/>
          </w:tcPr>
          <w:p w14:paraId="532727D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w:t>
            </w:r>
          </w:p>
        </w:tc>
        <w:tc>
          <w:tcPr>
            <w:tcW w:w="1623" w:type="pct"/>
            <w:vMerge w:val="continue"/>
            <w:shd w:val="clear" w:color="auto" w:fill="auto"/>
            <w:vAlign w:val="center"/>
          </w:tcPr>
          <w:p w14:paraId="4185E119">
            <w:pPr>
              <w:pStyle w:val="24"/>
              <w:bidi w:val="0"/>
              <w:rPr>
                <w:rFonts w:hint="eastAsia" w:ascii="Times New Roman" w:hAnsi="Times New Roman" w:eastAsia="宋体" w:cs="Courier New"/>
                <w:b w:val="0"/>
                <w:bCs w:val="0"/>
                <w:color w:val="auto"/>
                <w:highlight w:val="none"/>
                <w:lang w:val="en-US" w:eastAsia="zh-CN"/>
              </w:rPr>
            </w:pPr>
          </w:p>
        </w:tc>
      </w:tr>
      <w:tr w14:paraId="3433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 w:type="pct"/>
            <w:vMerge w:val="continue"/>
            <w:shd w:val="clear" w:color="auto" w:fill="auto"/>
            <w:vAlign w:val="center"/>
          </w:tcPr>
          <w:p w14:paraId="792010DC">
            <w:pPr>
              <w:pStyle w:val="24"/>
              <w:bidi w:val="0"/>
              <w:rPr>
                <w:rFonts w:hint="eastAsia" w:ascii="Times New Roman" w:hAnsi="Times New Roman" w:eastAsia="宋体" w:cs="Courier New"/>
                <w:b w:val="0"/>
                <w:bCs w:val="0"/>
                <w:color w:val="auto"/>
                <w:highlight w:val="none"/>
                <w:lang w:val="en-US" w:eastAsia="zh-CN"/>
              </w:rPr>
            </w:pPr>
          </w:p>
        </w:tc>
        <w:tc>
          <w:tcPr>
            <w:tcW w:w="574" w:type="pct"/>
            <w:shd w:val="clear" w:color="auto" w:fill="auto"/>
            <w:vAlign w:val="center"/>
          </w:tcPr>
          <w:p w14:paraId="64EF166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氟化物</w:t>
            </w:r>
          </w:p>
        </w:tc>
        <w:tc>
          <w:tcPr>
            <w:tcW w:w="657" w:type="pct"/>
            <w:shd w:val="clear" w:color="auto" w:fill="auto"/>
            <w:vAlign w:val="center"/>
          </w:tcPr>
          <w:p w14:paraId="0859961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w:t>
            </w:r>
          </w:p>
        </w:tc>
        <w:tc>
          <w:tcPr>
            <w:tcW w:w="460" w:type="pct"/>
            <w:shd w:val="clear" w:color="auto" w:fill="auto"/>
            <w:vAlign w:val="center"/>
          </w:tcPr>
          <w:p w14:paraId="1E7043C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w:t>
            </w:r>
          </w:p>
        </w:tc>
        <w:tc>
          <w:tcPr>
            <w:tcW w:w="703" w:type="pct"/>
            <w:shd w:val="clear" w:color="auto" w:fill="auto"/>
            <w:vAlign w:val="center"/>
          </w:tcPr>
          <w:p w14:paraId="142325E3">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0.10</w:t>
            </w:r>
            <w:r>
              <w:rPr>
                <w:rFonts w:hint="eastAsia" w:cs="Courier New"/>
                <w:b w:val="0"/>
                <w:bCs w:val="0"/>
                <w:color w:val="auto"/>
                <w:highlight w:val="none"/>
                <w:lang w:val="en-US" w:eastAsia="zh-CN"/>
              </w:rPr>
              <w:t>/0.05（严格50%）</w:t>
            </w:r>
          </w:p>
        </w:tc>
        <w:tc>
          <w:tcPr>
            <w:tcW w:w="664" w:type="pct"/>
            <w:shd w:val="clear" w:color="auto" w:fill="auto"/>
            <w:vAlign w:val="center"/>
          </w:tcPr>
          <w:p w14:paraId="012CC9B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0.02</w:t>
            </w:r>
          </w:p>
        </w:tc>
        <w:tc>
          <w:tcPr>
            <w:tcW w:w="1623" w:type="pct"/>
            <w:vMerge w:val="continue"/>
            <w:shd w:val="clear" w:color="auto" w:fill="auto"/>
            <w:vAlign w:val="center"/>
          </w:tcPr>
          <w:p w14:paraId="15FB1E0C">
            <w:pPr>
              <w:pStyle w:val="24"/>
              <w:bidi w:val="0"/>
              <w:rPr>
                <w:rFonts w:hint="eastAsia" w:ascii="Times New Roman" w:hAnsi="Times New Roman" w:eastAsia="宋体" w:cs="Courier New"/>
                <w:b w:val="0"/>
                <w:bCs w:val="0"/>
                <w:color w:val="auto"/>
                <w:highlight w:val="none"/>
                <w:lang w:val="en-US" w:eastAsia="zh-CN"/>
              </w:rPr>
            </w:pPr>
          </w:p>
        </w:tc>
      </w:tr>
      <w:tr w14:paraId="62CA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shd w:val="clear" w:color="auto" w:fill="auto"/>
            <w:vAlign w:val="center"/>
          </w:tcPr>
          <w:p w14:paraId="2EEA1A9E">
            <w:pPr>
              <w:pStyle w:val="24"/>
              <w:bidi w:val="0"/>
              <w:jc w:val="both"/>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注：根据</w:t>
            </w:r>
            <w:r>
              <w:rPr>
                <w:rFonts w:hint="eastAsia" w:ascii="Times New Roman" w:hAnsi="Times New Roman" w:eastAsia="宋体" w:cs="Courier New"/>
                <w:b w:val="0"/>
                <w:bCs w:val="0"/>
                <w:color w:val="auto"/>
                <w:highlight w:val="none"/>
                <w:lang w:val="en-US" w:eastAsia="zh-CN"/>
              </w:rPr>
              <w:t>《大气污染物综合排放标准》（GB16297-1996）</w:t>
            </w:r>
            <w:r>
              <w:rPr>
                <w:rFonts w:hint="eastAsia" w:cs="Courier New"/>
                <w:b w:val="0"/>
                <w:bCs w:val="0"/>
                <w:color w:val="auto"/>
                <w:highlight w:val="none"/>
                <w:lang w:val="en-US" w:eastAsia="zh-CN"/>
              </w:rPr>
              <w:t>“7.1排气筒高度除须遵守表列排放速率标准值外，还应高出周围200m半径范围的建筑5m以上，不能达到该要求的排气筒，应按其高度对应的表列排放速率标准值严格50%执行。”、</w:t>
            </w:r>
            <w:r>
              <w:rPr>
                <w:rFonts w:hint="eastAsia" w:ascii="Times New Roman" w:hAnsi="Times New Roman" w:eastAsia="宋体" w:cs="Courier New"/>
                <w:b w:val="0"/>
                <w:bCs w:val="0"/>
                <w:color w:val="auto"/>
                <w:highlight w:val="none"/>
                <w:lang w:val="en-US" w:eastAsia="zh-CN"/>
              </w:rPr>
              <w:t>《四川省固定污染源大气挥发性有机物排放标准》（DB51/2377-2017）</w:t>
            </w:r>
            <w:r>
              <w:rPr>
                <w:rFonts w:hint="eastAsia" w:cs="Courier New"/>
                <w:b w:val="0"/>
                <w:bCs w:val="0"/>
                <w:color w:val="auto"/>
                <w:highlight w:val="none"/>
                <w:lang w:val="en-US" w:eastAsia="zh-CN"/>
              </w:rPr>
              <w:t>“4.4.3所有排气筒高度应不低于15m。排气筒周围半径200m范围内有建筑物时，排气筒高度还应高出最高建筑物3m以上。不能达到该要求的排气筒，按其高度对应的表列排放速率标准限值严格50%执行。”本项目排气筒均不能达到该要求，排放速率标准限值严格50%执行。</w:t>
            </w:r>
          </w:p>
        </w:tc>
      </w:tr>
      <w:bookmarkEnd w:id="26"/>
      <w:bookmarkEnd w:id="27"/>
    </w:tbl>
    <w:p w14:paraId="4457F06B">
      <w:pPr>
        <w:spacing w:line="360" w:lineRule="auto"/>
        <w:ind w:left="0" w:leftChars="0" w:firstLine="482" w:firstLineChars="200"/>
        <w:rPr>
          <w:rFonts w:ascii="Times New Roman" w:hAnsi="Times New Roman"/>
          <w:b/>
          <w:color w:val="auto"/>
          <w:sz w:val="24"/>
          <w:szCs w:val="24"/>
        </w:rPr>
      </w:pPr>
      <w:r>
        <w:rPr>
          <w:rFonts w:ascii="Times New Roman" w:hAnsi="Times New Roman"/>
          <w:b/>
          <w:color w:val="auto"/>
          <w:sz w:val="24"/>
          <w:szCs w:val="24"/>
        </w:rPr>
        <w:t>（2）废水</w:t>
      </w:r>
    </w:p>
    <w:p w14:paraId="5AC6760A">
      <w:pPr>
        <w:pStyle w:val="3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①</w:t>
      </w:r>
      <w:r>
        <w:rPr>
          <w:rFonts w:hint="default" w:ascii="Times New Roman" w:hAnsi="Times New Roman" w:cs="Times New Roman"/>
          <w:color w:val="auto"/>
          <w:sz w:val="24"/>
          <w:szCs w:val="24"/>
          <w:highlight w:val="none"/>
        </w:rPr>
        <w:t>施工期</w:t>
      </w:r>
    </w:p>
    <w:p w14:paraId="6B6050AC">
      <w:pPr>
        <w:pStyle w:val="26"/>
        <w:ind w:firstLine="480"/>
        <w:rPr>
          <w:rFonts w:hint="eastAsia"/>
          <w:color w:val="auto"/>
          <w:sz w:val="24"/>
          <w:lang w:val="en-US" w:eastAsia="zh-CN"/>
        </w:rPr>
      </w:pPr>
      <w:r>
        <w:rPr>
          <w:rFonts w:hint="default" w:ascii="Times New Roman" w:hAnsi="Times New Roman" w:cs="Times New Roman"/>
          <w:color w:val="auto"/>
          <w:highlight w:val="none"/>
          <w:lang w:val="en-US" w:eastAsia="zh-CN"/>
        </w:rPr>
        <w:t>施工期生活污水经环保厕所收集后</w:t>
      </w:r>
      <w:r>
        <w:rPr>
          <w:rFonts w:hint="eastAsia"/>
          <w:color w:val="auto"/>
          <w:highlight w:val="none"/>
          <w:lang w:val="en-US" w:eastAsia="zh-CN"/>
        </w:rPr>
        <w:t>通过密闭罐车运输至通江县春在污水处理厂进行处理</w:t>
      </w:r>
      <w:r>
        <w:rPr>
          <w:rFonts w:hint="eastAsia" w:cs="Times New Roman"/>
          <w:color w:val="auto"/>
          <w:highlight w:val="none"/>
          <w:lang w:val="en-US" w:eastAsia="zh-CN"/>
        </w:rPr>
        <w:t>。</w:t>
      </w:r>
    </w:p>
    <w:p w14:paraId="73A4F29B">
      <w:pPr>
        <w:spacing w:line="360" w:lineRule="auto"/>
        <w:rPr>
          <w:rFonts w:hint="eastAsia"/>
          <w:b/>
          <w:bCs/>
          <w:color w:val="auto"/>
          <w:sz w:val="24"/>
          <w:szCs w:val="24"/>
          <w:lang w:val="en-US" w:eastAsia="zh-CN"/>
        </w:rPr>
      </w:pPr>
      <w:r>
        <w:rPr>
          <w:rFonts w:hint="eastAsia"/>
          <w:b/>
          <w:bCs/>
          <w:color w:val="auto"/>
          <w:sz w:val="24"/>
          <w:szCs w:val="24"/>
          <w:lang w:val="en-US" w:eastAsia="zh-CN"/>
        </w:rPr>
        <w:t>②运营期</w:t>
      </w:r>
    </w:p>
    <w:p w14:paraId="2E7702E5">
      <w:pPr>
        <w:pStyle w:val="26"/>
        <w:ind w:firstLine="480"/>
        <w:rPr>
          <w:rFonts w:hint="eastAsia"/>
          <w:color w:val="auto"/>
          <w:sz w:val="24"/>
          <w:lang w:val="en-US" w:eastAsia="zh-CN"/>
        </w:rPr>
      </w:pPr>
      <w:r>
        <w:rPr>
          <w:rFonts w:hint="eastAsia"/>
          <w:color w:val="auto"/>
          <w:sz w:val="24"/>
          <w:lang w:val="en-US" w:eastAsia="zh-CN"/>
        </w:rPr>
        <w:t>《四川省化工园区水污染物排放标准》（DB51/3202-2024）“</w:t>
      </w:r>
      <w:r>
        <w:rPr>
          <w:rFonts w:hint="eastAsia"/>
          <w:i/>
          <w:iCs/>
          <w:color w:val="auto"/>
          <w:sz w:val="24"/>
          <w:lang w:val="en-US" w:eastAsia="zh-CN"/>
        </w:rPr>
        <w:t>4.2.2当企业污水排向化工园区集中式污水处理厂时，国家或四川省颁布有行业排放标准且包括有间接排放限值规定的，则从其规定；无行业排放标准或间接排放限值规定的，允许以具备法律效力的书面合同协商确定间接排放限值，未协商的指标执行本文件表1和表3的规定。化工园区集中式污水处理厂进水要求严于本文件时，企业间接排放水污染物应按照化工园区集中式污水处理厂进水要求执行。</w:t>
      </w:r>
      <w:r>
        <w:rPr>
          <w:rFonts w:hint="eastAsia"/>
          <w:color w:val="auto"/>
          <w:sz w:val="24"/>
          <w:lang w:val="en-US" w:eastAsia="zh-CN"/>
        </w:rPr>
        <w:t>”，</w:t>
      </w:r>
      <w:r>
        <w:rPr>
          <w:rFonts w:hint="eastAsia" w:cstheme="minorHAnsi"/>
          <w:bCs/>
          <w:color w:val="auto"/>
          <w:szCs w:val="24"/>
          <w:lang w:val="en-US" w:eastAsia="zh-CN"/>
        </w:rPr>
        <w:t>根据通江县经济和信息化局《关于聚羧酸减水剂和无碱速凝剂生产项目行业类别的情况说明》（见附件2-2），</w:t>
      </w:r>
      <w:r>
        <w:rPr>
          <w:rFonts w:hint="eastAsia" w:cs="Times New Roman"/>
          <w:color w:val="auto"/>
          <w:kern w:val="2"/>
          <w:sz w:val="24"/>
          <w:szCs w:val="24"/>
          <w:lang w:val="en-US" w:eastAsia="zh-CN" w:bidi="ar-SA"/>
        </w:rPr>
        <w:t>本项目</w:t>
      </w:r>
      <w:r>
        <w:rPr>
          <w:rFonts w:hint="eastAsia"/>
          <w:bCs/>
          <w:color w:val="auto"/>
          <w:kern w:val="0"/>
          <w:sz w:val="24"/>
          <w:lang w:val="en-US" w:eastAsia="zh-CN"/>
        </w:rPr>
        <w:t>为《国民经济行业分类》（GB/T4754-2017）中“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hint="eastAsia"/>
          <w:color w:val="auto"/>
          <w:sz w:val="24"/>
          <w:lang w:val="en-US" w:eastAsia="zh-CN"/>
        </w:rPr>
        <w:t>无行业排放标准。</w:t>
      </w:r>
    </w:p>
    <w:p w14:paraId="32E0A3F6">
      <w:pPr>
        <w:pStyle w:val="26"/>
        <w:ind w:firstLine="480"/>
        <w:rPr>
          <w:rFonts w:hint="default"/>
          <w:color w:val="auto"/>
          <w:sz w:val="24"/>
          <w:lang w:val="en-US" w:eastAsia="zh-CN"/>
        </w:rPr>
      </w:pPr>
      <w:r>
        <w:rPr>
          <w:rFonts w:hint="eastAsia"/>
          <w:color w:val="auto"/>
          <w:sz w:val="24"/>
          <w:lang w:val="en-US" w:eastAsia="zh-CN"/>
        </w:rPr>
        <w:t>本项目外排废水为生活污水，根据《通江县秋锦山产业园区综合污水处理厂及配套设施建设项目环境影响报告书》中项目进水纳管要求“</w:t>
      </w:r>
      <w:r>
        <w:rPr>
          <w:rFonts w:hint="eastAsia"/>
          <w:i/>
          <w:iCs/>
          <w:color w:val="auto"/>
          <w:sz w:val="24"/>
          <w:lang w:val="en-US" w:eastAsia="zh-CN"/>
        </w:rPr>
        <w:t>引入企业废水排放标准：服务范围内入驻企业废水须经自行处理达相关行业废水排放标准中的间接排放标准后，方可排入本项目污水处理厂处理。根据产业定位，入驻企业间接排放主要标准包括《石油化学工业污染物排放标准》（GB31571-2015）、《污水综合排放标准》（GB 898-1996）三级标准等。</w:t>
      </w:r>
      <w:r>
        <w:rPr>
          <w:rFonts w:hint="eastAsia"/>
          <w:color w:val="auto"/>
          <w:sz w:val="24"/>
          <w:lang w:val="en-US" w:eastAsia="zh-CN"/>
        </w:rPr>
        <w:t>”，本项目外排废水</w:t>
      </w:r>
      <w:r>
        <w:rPr>
          <w:rFonts w:hint="eastAsia" w:ascii="Times New Roman" w:hAnsi="Times New Roman" w:eastAsia="宋体" w:cs="Times New Roman"/>
          <w:color w:val="auto"/>
          <w:sz w:val="24"/>
          <w:szCs w:val="24"/>
          <w:lang w:val="en-US" w:eastAsia="zh-CN"/>
        </w:rPr>
        <w:t>经预处理池</w:t>
      </w:r>
      <w:r>
        <w:rPr>
          <w:rFonts w:hint="eastAsia" w:cs="Times New Roman"/>
          <w:color w:val="auto"/>
          <w:sz w:val="24"/>
          <w:szCs w:val="24"/>
          <w:lang w:val="en-US" w:eastAsia="zh-CN"/>
        </w:rPr>
        <w:t>处理应达到</w:t>
      </w:r>
      <w:r>
        <w:rPr>
          <w:rFonts w:hint="eastAsia"/>
          <w:color w:val="auto"/>
          <w:sz w:val="24"/>
          <w:lang w:val="en-US" w:eastAsia="zh-CN"/>
        </w:rPr>
        <w:t>《四川省化工园区水污染物排放标准》（DB51/3202-2024）表1中间接排放标准后</w:t>
      </w:r>
      <w:r>
        <w:rPr>
          <w:rFonts w:hint="eastAsia"/>
          <w:color w:val="auto"/>
          <w:highlight w:val="none"/>
          <w:lang w:val="en-US" w:eastAsia="zh-CN"/>
        </w:rPr>
        <w:t>通过园区污水管网排入通江县秋锦山产业园区综合污水处理厂进一步处理。</w:t>
      </w:r>
    </w:p>
    <w:p w14:paraId="2E490D31">
      <w:pPr>
        <w:numPr>
          <w:ilvl w:val="0"/>
          <w:numId w:val="11"/>
        </w:numPr>
        <w:spacing w:line="360" w:lineRule="auto"/>
        <w:ind w:left="425" w:leftChars="0" w:hanging="425" w:firstLineChars="0"/>
        <w:jc w:val="center"/>
        <w:rPr>
          <w:rFonts w:hint="eastAsia" w:ascii="Times New Roman" w:hAnsi="Times New Roman" w:eastAsia="黑体"/>
          <w:color w:val="auto"/>
          <w:sz w:val="21"/>
          <w:szCs w:val="21"/>
          <w:lang w:val="en-US" w:eastAsia="zh-CN"/>
        </w:rPr>
      </w:pPr>
      <w:r>
        <w:rPr>
          <w:rFonts w:hint="eastAsia" w:ascii="Times New Roman" w:hAnsi="Times New Roman" w:eastAsia="黑体"/>
          <w:color w:val="auto"/>
          <w:sz w:val="21"/>
          <w:szCs w:val="21"/>
          <w:lang w:val="en-US" w:eastAsia="zh-CN"/>
        </w:rPr>
        <w:t>水污染物排放标准限值</w:t>
      </w:r>
    </w:p>
    <w:tbl>
      <w:tblPr>
        <w:tblStyle w:val="2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0"/>
        <w:gridCol w:w="4261"/>
        <w:gridCol w:w="1875"/>
      </w:tblGrid>
      <w:tr w14:paraId="3BE0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vMerge w:val="restart"/>
            <w:shd w:val="clear" w:color="auto" w:fill="auto"/>
            <w:vAlign w:val="center"/>
          </w:tcPr>
          <w:p w14:paraId="7E58C02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污染物项目</w:t>
            </w:r>
          </w:p>
        </w:tc>
        <w:tc>
          <w:tcPr>
            <w:tcW w:w="2241" w:type="pct"/>
            <w:vAlign w:val="center"/>
          </w:tcPr>
          <w:p w14:paraId="0D3811B8">
            <w:pPr>
              <w:pStyle w:val="24"/>
              <w:bidi w:val="0"/>
              <w:rPr>
                <w:rFonts w:hint="eastAsia" w:cs="Courier New"/>
                <w:b/>
                <w:bCs/>
                <w:color w:val="auto"/>
                <w:highlight w:val="none"/>
                <w:lang w:val="en-US" w:eastAsia="zh-CN"/>
              </w:rPr>
            </w:pPr>
            <w:r>
              <w:rPr>
                <w:rFonts w:hint="eastAsia" w:cs="Courier New"/>
                <w:b/>
                <w:bCs/>
                <w:color w:val="auto"/>
                <w:highlight w:val="none"/>
                <w:lang w:val="en-US" w:eastAsia="zh-CN"/>
              </w:rPr>
              <w:t>排放限值</w:t>
            </w:r>
          </w:p>
        </w:tc>
        <w:tc>
          <w:tcPr>
            <w:tcW w:w="986" w:type="pct"/>
            <w:vMerge w:val="restart"/>
            <w:shd w:val="clear" w:color="auto" w:fill="auto"/>
            <w:vAlign w:val="center"/>
          </w:tcPr>
          <w:p w14:paraId="798C2C0E">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污染物排放监控位置</w:t>
            </w:r>
          </w:p>
        </w:tc>
      </w:tr>
      <w:tr w14:paraId="6203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vMerge w:val="continue"/>
            <w:shd w:val="clear" w:color="auto" w:fill="auto"/>
            <w:vAlign w:val="center"/>
          </w:tcPr>
          <w:p w14:paraId="50353A6E">
            <w:pPr>
              <w:pStyle w:val="24"/>
              <w:bidi w:val="0"/>
              <w:rPr>
                <w:color w:val="auto"/>
              </w:rPr>
            </w:pPr>
          </w:p>
        </w:tc>
        <w:tc>
          <w:tcPr>
            <w:tcW w:w="2241" w:type="pct"/>
            <w:shd w:val="clear" w:color="auto" w:fill="auto"/>
            <w:vAlign w:val="center"/>
          </w:tcPr>
          <w:p w14:paraId="0E0C8D9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《四川省化工园区水污染物排放标准》（DB51/3202-2024）表1中间接排放限值</w:t>
            </w:r>
          </w:p>
        </w:tc>
        <w:tc>
          <w:tcPr>
            <w:tcW w:w="986" w:type="pct"/>
            <w:vMerge w:val="continue"/>
            <w:shd w:val="clear" w:color="auto" w:fill="auto"/>
            <w:vAlign w:val="center"/>
          </w:tcPr>
          <w:p w14:paraId="5AD5E9E3">
            <w:pPr>
              <w:pStyle w:val="24"/>
              <w:bidi w:val="0"/>
              <w:rPr>
                <w:rFonts w:hint="eastAsia" w:ascii="Times New Roman" w:hAnsi="Times New Roman" w:eastAsia="宋体" w:cs="Courier New"/>
                <w:b/>
                <w:bCs/>
                <w:color w:val="auto"/>
                <w:highlight w:val="none"/>
                <w:lang w:val="en-US" w:eastAsia="zh-CN"/>
              </w:rPr>
            </w:pPr>
          </w:p>
        </w:tc>
      </w:tr>
      <w:tr w14:paraId="504C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492B236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pH值</w:t>
            </w:r>
          </w:p>
        </w:tc>
        <w:tc>
          <w:tcPr>
            <w:tcW w:w="2241" w:type="pct"/>
            <w:shd w:val="clear" w:color="auto" w:fill="auto"/>
            <w:vAlign w:val="center"/>
          </w:tcPr>
          <w:p w14:paraId="6B832D7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6~9</w:t>
            </w:r>
          </w:p>
        </w:tc>
        <w:tc>
          <w:tcPr>
            <w:tcW w:w="986" w:type="pct"/>
            <w:vMerge w:val="restart"/>
            <w:shd w:val="clear" w:color="auto" w:fill="auto"/>
            <w:vAlign w:val="center"/>
          </w:tcPr>
          <w:p w14:paraId="7626720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企业废水总排口</w:t>
            </w:r>
          </w:p>
        </w:tc>
      </w:tr>
      <w:tr w14:paraId="1CE6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7C7F187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化学需氧量（CODcr）</w:t>
            </w:r>
          </w:p>
        </w:tc>
        <w:tc>
          <w:tcPr>
            <w:tcW w:w="2241" w:type="pct"/>
            <w:shd w:val="clear" w:color="auto" w:fill="auto"/>
            <w:vAlign w:val="center"/>
          </w:tcPr>
          <w:p w14:paraId="5526423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500</w:t>
            </w:r>
          </w:p>
        </w:tc>
        <w:tc>
          <w:tcPr>
            <w:tcW w:w="986" w:type="pct"/>
            <w:vMerge w:val="continue"/>
            <w:shd w:val="clear" w:color="auto" w:fill="auto"/>
            <w:vAlign w:val="center"/>
          </w:tcPr>
          <w:p w14:paraId="7A76616F">
            <w:pPr>
              <w:pStyle w:val="24"/>
              <w:bidi w:val="0"/>
              <w:rPr>
                <w:rFonts w:hint="eastAsia" w:ascii="Times New Roman" w:hAnsi="Times New Roman" w:eastAsia="宋体" w:cs="Courier New"/>
                <w:b w:val="0"/>
                <w:bCs w:val="0"/>
                <w:color w:val="auto"/>
                <w:highlight w:val="none"/>
                <w:lang w:val="en-US" w:eastAsia="zh-CN"/>
              </w:rPr>
            </w:pPr>
          </w:p>
        </w:tc>
      </w:tr>
      <w:tr w14:paraId="53E6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6B67F38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氨氮</w:t>
            </w:r>
          </w:p>
        </w:tc>
        <w:tc>
          <w:tcPr>
            <w:tcW w:w="2241" w:type="pct"/>
            <w:shd w:val="clear" w:color="auto" w:fill="auto"/>
            <w:vAlign w:val="center"/>
          </w:tcPr>
          <w:p w14:paraId="3AF7FA7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45</w:t>
            </w:r>
          </w:p>
        </w:tc>
        <w:tc>
          <w:tcPr>
            <w:tcW w:w="986" w:type="pct"/>
            <w:vMerge w:val="continue"/>
            <w:shd w:val="clear" w:color="auto" w:fill="auto"/>
            <w:vAlign w:val="center"/>
          </w:tcPr>
          <w:p w14:paraId="686940EF">
            <w:pPr>
              <w:pStyle w:val="24"/>
              <w:bidi w:val="0"/>
              <w:rPr>
                <w:rFonts w:hint="eastAsia" w:ascii="Times New Roman" w:hAnsi="Times New Roman" w:eastAsia="宋体" w:cs="Courier New"/>
                <w:b w:val="0"/>
                <w:bCs w:val="0"/>
                <w:color w:val="auto"/>
                <w:highlight w:val="none"/>
                <w:lang w:val="en-US" w:eastAsia="zh-CN"/>
              </w:rPr>
            </w:pPr>
          </w:p>
        </w:tc>
      </w:tr>
      <w:tr w14:paraId="24BA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2EE18C9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总氮</w:t>
            </w:r>
          </w:p>
        </w:tc>
        <w:tc>
          <w:tcPr>
            <w:tcW w:w="2241" w:type="pct"/>
            <w:shd w:val="clear" w:color="auto" w:fill="auto"/>
            <w:vAlign w:val="center"/>
          </w:tcPr>
          <w:p w14:paraId="4905A7B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70</w:t>
            </w:r>
          </w:p>
        </w:tc>
        <w:tc>
          <w:tcPr>
            <w:tcW w:w="986" w:type="pct"/>
            <w:vMerge w:val="continue"/>
            <w:shd w:val="clear" w:color="auto" w:fill="auto"/>
            <w:vAlign w:val="center"/>
          </w:tcPr>
          <w:p w14:paraId="52FFBEDF">
            <w:pPr>
              <w:pStyle w:val="24"/>
              <w:bidi w:val="0"/>
              <w:rPr>
                <w:rFonts w:hint="eastAsia" w:ascii="Times New Roman" w:hAnsi="Times New Roman" w:eastAsia="宋体" w:cs="Courier New"/>
                <w:b w:val="0"/>
                <w:bCs w:val="0"/>
                <w:color w:val="auto"/>
                <w:highlight w:val="none"/>
                <w:lang w:val="en-US" w:eastAsia="zh-CN"/>
              </w:rPr>
            </w:pPr>
          </w:p>
        </w:tc>
      </w:tr>
      <w:tr w14:paraId="2B8B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51E8F3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总磷</w:t>
            </w:r>
          </w:p>
        </w:tc>
        <w:tc>
          <w:tcPr>
            <w:tcW w:w="2241" w:type="pct"/>
            <w:shd w:val="clear" w:color="auto" w:fill="auto"/>
            <w:vAlign w:val="center"/>
          </w:tcPr>
          <w:p w14:paraId="7973A21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w:t>
            </w:r>
          </w:p>
        </w:tc>
        <w:tc>
          <w:tcPr>
            <w:tcW w:w="986" w:type="pct"/>
            <w:vMerge w:val="continue"/>
            <w:shd w:val="clear" w:color="auto" w:fill="auto"/>
            <w:vAlign w:val="center"/>
          </w:tcPr>
          <w:p w14:paraId="5C622AD7">
            <w:pPr>
              <w:pStyle w:val="24"/>
              <w:bidi w:val="0"/>
              <w:rPr>
                <w:rFonts w:hint="eastAsia" w:ascii="Times New Roman" w:hAnsi="Times New Roman" w:eastAsia="宋体" w:cs="Courier New"/>
                <w:b w:val="0"/>
                <w:bCs w:val="0"/>
                <w:color w:val="auto"/>
                <w:highlight w:val="none"/>
                <w:lang w:val="en-US" w:eastAsia="zh-CN"/>
              </w:rPr>
            </w:pPr>
          </w:p>
        </w:tc>
      </w:tr>
      <w:tr w14:paraId="33A7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5C76F6F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悬浮物</w:t>
            </w:r>
            <w:r>
              <w:rPr>
                <w:rFonts w:hint="eastAsia" w:cs="Courier New"/>
                <w:b w:val="0"/>
                <w:bCs w:val="0"/>
                <w:color w:val="auto"/>
                <w:highlight w:val="none"/>
                <w:lang w:val="en-US" w:eastAsia="zh-CN"/>
              </w:rPr>
              <w:t>（SS）</w:t>
            </w:r>
          </w:p>
        </w:tc>
        <w:tc>
          <w:tcPr>
            <w:tcW w:w="2241" w:type="pct"/>
            <w:shd w:val="clear" w:color="auto" w:fill="auto"/>
            <w:vAlign w:val="center"/>
          </w:tcPr>
          <w:p w14:paraId="1D43ECC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150</w:t>
            </w:r>
          </w:p>
        </w:tc>
        <w:tc>
          <w:tcPr>
            <w:tcW w:w="986" w:type="pct"/>
            <w:vMerge w:val="continue"/>
            <w:shd w:val="clear" w:color="auto" w:fill="auto"/>
            <w:vAlign w:val="center"/>
          </w:tcPr>
          <w:p w14:paraId="2A1465D6">
            <w:pPr>
              <w:pStyle w:val="24"/>
              <w:bidi w:val="0"/>
              <w:rPr>
                <w:rFonts w:hint="eastAsia" w:ascii="Times New Roman" w:hAnsi="Times New Roman" w:eastAsia="宋体" w:cs="Courier New"/>
                <w:b w:val="0"/>
                <w:bCs w:val="0"/>
                <w:color w:val="auto"/>
                <w:highlight w:val="none"/>
                <w:lang w:val="en-US" w:eastAsia="zh-CN"/>
              </w:rPr>
            </w:pPr>
          </w:p>
        </w:tc>
      </w:tr>
      <w:tr w14:paraId="71CA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72" w:type="pct"/>
            <w:shd w:val="clear" w:color="auto" w:fill="auto"/>
            <w:vAlign w:val="center"/>
          </w:tcPr>
          <w:p w14:paraId="119EB0B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全盐量</w:t>
            </w:r>
          </w:p>
        </w:tc>
        <w:tc>
          <w:tcPr>
            <w:tcW w:w="2241" w:type="pct"/>
            <w:shd w:val="clear" w:color="auto" w:fill="auto"/>
            <w:vAlign w:val="center"/>
          </w:tcPr>
          <w:p w14:paraId="23AF2FD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7000</w:t>
            </w:r>
          </w:p>
        </w:tc>
        <w:tc>
          <w:tcPr>
            <w:tcW w:w="986" w:type="pct"/>
            <w:vMerge w:val="continue"/>
            <w:shd w:val="clear" w:color="auto" w:fill="auto"/>
            <w:vAlign w:val="center"/>
          </w:tcPr>
          <w:p w14:paraId="5989E26A">
            <w:pPr>
              <w:pStyle w:val="24"/>
              <w:bidi w:val="0"/>
              <w:rPr>
                <w:rFonts w:hint="eastAsia" w:ascii="Times New Roman" w:hAnsi="Times New Roman" w:eastAsia="宋体" w:cs="Courier New"/>
                <w:b w:val="0"/>
                <w:bCs w:val="0"/>
                <w:color w:val="auto"/>
                <w:highlight w:val="none"/>
                <w:lang w:val="en-US" w:eastAsia="zh-CN"/>
              </w:rPr>
            </w:pPr>
          </w:p>
        </w:tc>
      </w:tr>
    </w:tbl>
    <w:p w14:paraId="650F0DC5">
      <w:pPr>
        <w:spacing w:line="360" w:lineRule="auto"/>
        <w:rPr>
          <w:rFonts w:ascii="Times New Roman" w:hAnsi="Times New Roman"/>
          <w:b/>
          <w:color w:val="auto"/>
          <w:sz w:val="24"/>
          <w:szCs w:val="24"/>
        </w:rPr>
      </w:pPr>
      <w:r>
        <w:rPr>
          <w:rFonts w:hint="eastAsia" w:ascii="Times New Roman" w:hAnsi="Times New Roman" w:eastAsia="黑体"/>
          <w:color w:val="auto"/>
          <w:sz w:val="21"/>
          <w:szCs w:val="21"/>
          <w:lang w:val="en-US" w:eastAsia="zh-CN"/>
        </w:rPr>
        <w:t xml:space="preserve">  </w:t>
      </w:r>
      <w:r>
        <w:rPr>
          <w:rFonts w:ascii="Times New Roman" w:hAnsi="Times New Roman"/>
          <w:b/>
          <w:color w:val="auto"/>
          <w:sz w:val="24"/>
          <w:szCs w:val="24"/>
        </w:rPr>
        <w:t>（3）噪声</w:t>
      </w:r>
    </w:p>
    <w:p w14:paraId="7B6E3986">
      <w:pPr>
        <w:pStyle w:val="26"/>
        <w:ind w:firstLine="480"/>
        <w:rPr>
          <w:b/>
          <w:bCs/>
          <w:color w:val="auto"/>
        </w:rPr>
      </w:pPr>
      <w:r>
        <w:rPr>
          <w:rFonts w:hint="default" w:ascii="Times New Roman" w:hAnsi="Times New Roman" w:cs="Times New Roman"/>
          <w:b/>
          <w:bCs/>
          <w:color w:val="auto"/>
          <w:sz w:val="24"/>
          <w:szCs w:val="24"/>
          <w:highlight w:val="none"/>
          <w:lang w:val="en-US" w:eastAsia="zh-CN"/>
        </w:rPr>
        <w:t>①</w:t>
      </w:r>
      <w:r>
        <w:rPr>
          <w:rFonts w:hint="default" w:ascii="Times New Roman" w:hAnsi="Times New Roman" w:cs="Times New Roman"/>
          <w:b/>
          <w:bCs/>
          <w:color w:val="auto"/>
          <w:sz w:val="24"/>
          <w:szCs w:val="24"/>
          <w:highlight w:val="none"/>
        </w:rPr>
        <w:t>施工期</w:t>
      </w:r>
    </w:p>
    <w:p w14:paraId="70981DC9">
      <w:pPr>
        <w:pStyle w:val="26"/>
        <w:ind w:firstLine="480"/>
        <w:rPr>
          <w:rFonts w:hint="eastAsia"/>
          <w:color w:val="auto"/>
          <w:lang w:eastAsia="zh-CN"/>
        </w:rPr>
      </w:pPr>
      <w:r>
        <w:rPr>
          <w:color w:val="auto"/>
        </w:rPr>
        <w:t>施工期执行</w:t>
      </w:r>
      <w:r>
        <w:rPr>
          <w:rFonts w:hint="eastAsia"/>
          <w:color w:val="auto"/>
        </w:rPr>
        <w:t>《建筑施工场界环境噪声排放标准》（GB12523-2011）</w:t>
      </w:r>
      <w:r>
        <w:rPr>
          <w:rFonts w:hint="eastAsia"/>
          <w:color w:val="auto"/>
          <w:lang w:eastAsia="zh-CN"/>
        </w:rPr>
        <w:t>。</w:t>
      </w:r>
    </w:p>
    <w:p w14:paraId="6D6D1FD1">
      <w:pPr>
        <w:spacing w:line="360" w:lineRule="auto"/>
        <w:rPr>
          <w:rFonts w:hint="eastAsia"/>
          <w:b/>
          <w:bCs/>
          <w:color w:val="auto"/>
          <w:sz w:val="24"/>
          <w:szCs w:val="24"/>
          <w:lang w:val="en-US" w:eastAsia="zh-CN"/>
        </w:rPr>
      </w:pPr>
      <w:r>
        <w:rPr>
          <w:rFonts w:hint="eastAsia"/>
          <w:b/>
          <w:bCs/>
          <w:color w:val="auto"/>
          <w:sz w:val="24"/>
          <w:szCs w:val="24"/>
          <w:lang w:val="en-US" w:eastAsia="zh-CN"/>
        </w:rPr>
        <w:t>②运营期</w:t>
      </w:r>
    </w:p>
    <w:p w14:paraId="5D6C0288">
      <w:pPr>
        <w:pStyle w:val="26"/>
        <w:ind w:firstLine="480"/>
        <w:rPr>
          <w:color w:val="auto"/>
        </w:rPr>
      </w:pPr>
      <w:r>
        <w:rPr>
          <w:rFonts w:hint="eastAsia"/>
          <w:color w:val="auto"/>
          <w:sz w:val="24"/>
          <w:lang w:val="en-US" w:eastAsia="zh-CN"/>
        </w:rPr>
        <w:t>运营期</w:t>
      </w:r>
      <w:r>
        <w:rPr>
          <w:color w:val="auto"/>
        </w:rPr>
        <w:t>执行《工业企业厂界环境噪声排放标准》（GB12348-2008）3类标准。</w:t>
      </w:r>
    </w:p>
    <w:p w14:paraId="115ECFFB">
      <w:pPr>
        <w:numPr>
          <w:ilvl w:val="0"/>
          <w:numId w:val="11"/>
        </w:numPr>
        <w:spacing w:line="360" w:lineRule="auto"/>
        <w:ind w:left="425" w:leftChars="0" w:hanging="425" w:firstLineChars="0"/>
        <w:jc w:val="center"/>
        <w:rPr>
          <w:rFonts w:hint="eastAsia" w:ascii="Times New Roman" w:hAnsi="Times New Roman" w:eastAsia="黑体"/>
          <w:color w:val="auto"/>
          <w:szCs w:val="21"/>
          <w:lang w:val="en-US" w:eastAsia="zh-CN"/>
        </w:rPr>
      </w:pPr>
      <w:r>
        <w:rPr>
          <w:rFonts w:hint="eastAsia" w:ascii="Times New Roman" w:hAnsi="Times New Roman" w:eastAsia="黑体"/>
          <w:color w:val="auto"/>
          <w:sz w:val="21"/>
          <w:szCs w:val="21"/>
          <w:lang w:val="en-US" w:eastAsia="zh-CN"/>
        </w:rPr>
        <w:t>噪声排放标准限值</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2"/>
        <w:gridCol w:w="3145"/>
        <w:gridCol w:w="3147"/>
      </w:tblGrid>
      <w:tr w14:paraId="1F7F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3" w:type="pct"/>
            <w:shd w:val="clear" w:color="auto" w:fill="auto"/>
            <w:vAlign w:val="center"/>
          </w:tcPr>
          <w:p w14:paraId="1F66FE5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项目</w:t>
            </w:r>
          </w:p>
        </w:tc>
        <w:tc>
          <w:tcPr>
            <w:tcW w:w="1652" w:type="pct"/>
            <w:shd w:val="clear" w:color="auto" w:fill="auto"/>
            <w:vAlign w:val="center"/>
          </w:tcPr>
          <w:p w14:paraId="0F09000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昼间</w:t>
            </w:r>
          </w:p>
        </w:tc>
        <w:tc>
          <w:tcPr>
            <w:tcW w:w="1653" w:type="pct"/>
            <w:shd w:val="clear" w:color="auto" w:fill="auto"/>
            <w:vAlign w:val="center"/>
          </w:tcPr>
          <w:p w14:paraId="64D7B13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夜间</w:t>
            </w:r>
          </w:p>
        </w:tc>
      </w:tr>
      <w:tr w14:paraId="4A34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93" w:type="pct"/>
            <w:shd w:val="clear" w:color="auto" w:fill="auto"/>
            <w:vAlign w:val="center"/>
          </w:tcPr>
          <w:p w14:paraId="20A05F0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施工期排放标准[dB（A）]</w:t>
            </w:r>
          </w:p>
        </w:tc>
        <w:tc>
          <w:tcPr>
            <w:tcW w:w="1652" w:type="pct"/>
            <w:shd w:val="clear" w:color="auto" w:fill="auto"/>
            <w:vAlign w:val="center"/>
          </w:tcPr>
          <w:p w14:paraId="084E12B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70</w:t>
            </w:r>
          </w:p>
        </w:tc>
        <w:tc>
          <w:tcPr>
            <w:tcW w:w="1653" w:type="pct"/>
            <w:shd w:val="clear" w:color="auto" w:fill="auto"/>
            <w:vAlign w:val="center"/>
          </w:tcPr>
          <w:p w14:paraId="6243D10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w:t>
            </w:r>
          </w:p>
        </w:tc>
      </w:tr>
      <w:tr w14:paraId="6FC1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3" w:type="pct"/>
            <w:shd w:val="clear" w:color="auto" w:fill="auto"/>
            <w:vAlign w:val="center"/>
          </w:tcPr>
          <w:p w14:paraId="694FA831">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运营期</w:t>
            </w:r>
            <w:r>
              <w:rPr>
                <w:rFonts w:hint="eastAsia" w:ascii="Times New Roman" w:hAnsi="Times New Roman" w:eastAsia="宋体" w:cs="Courier New"/>
                <w:b w:val="0"/>
                <w:bCs w:val="0"/>
                <w:color w:val="auto"/>
                <w:highlight w:val="none"/>
                <w:lang w:val="en-US" w:eastAsia="zh-CN"/>
              </w:rPr>
              <w:t>排放标准[dB（A）]</w:t>
            </w:r>
          </w:p>
        </w:tc>
        <w:tc>
          <w:tcPr>
            <w:tcW w:w="1652" w:type="pct"/>
            <w:shd w:val="clear" w:color="auto" w:fill="auto"/>
            <w:vAlign w:val="center"/>
          </w:tcPr>
          <w:p w14:paraId="357806A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65</w:t>
            </w:r>
          </w:p>
        </w:tc>
        <w:tc>
          <w:tcPr>
            <w:tcW w:w="1653" w:type="pct"/>
            <w:shd w:val="clear" w:color="auto" w:fill="auto"/>
            <w:vAlign w:val="center"/>
          </w:tcPr>
          <w:p w14:paraId="38014EE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w:t>
            </w:r>
          </w:p>
        </w:tc>
      </w:tr>
    </w:tbl>
    <w:p w14:paraId="186E5DA8">
      <w:pPr>
        <w:spacing w:line="360" w:lineRule="auto"/>
        <w:rPr>
          <w:rFonts w:ascii="Times New Roman" w:hAnsi="Times New Roman"/>
          <w:b/>
          <w:color w:val="auto"/>
          <w:sz w:val="24"/>
          <w:szCs w:val="24"/>
        </w:rPr>
      </w:pPr>
      <w:r>
        <w:rPr>
          <w:rFonts w:ascii="Times New Roman" w:hAnsi="Times New Roman"/>
          <w:b/>
          <w:color w:val="auto"/>
          <w:sz w:val="24"/>
          <w:szCs w:val="24"/>
        </w:rPr>
        <w:t>（4）固体废物</w:t>
      </w:r>
    </w:p>
    <w:p w14:paraId="3B1C8B0B">
      <w:pPr>
        <w:ind w:left="0" w:leftChars="0" w:firstLine="480" w:firstLineChars="200"/>
        <w:rPr>
          <w:rFonts w:hint="default"/>
          <w:color w:val="auto"/>
        </w:rPr>
      </w:pPr>
      <w:r>
        <w:rPr>
          <w:rFonts w:hint="eastAsia"/>
          <w:color w:val="auto"/>
          <w:lang w:val="en-US" w:eastAsia="zh-CN"/>
        </w:rPr>
        <w:t>一般固废</w:t>
      </w:r>
      <w:r>
        <w:rPr>
          <w:rFonts w:hint="eastAsia" w:eastAsia="宋体"/>
          <w:color w:val="auto"/>
          <w:lang w:val="en-US" w:eastAsia="zh-CN"/>
        </w:rPr>
        <w:t>按照《一般固体废物分类及代码》（GB/T39198-2020）进行分类，</w:t>
      </w:r>
      <w:r>
        <w:rPr>
          <w:rFonts w:hint="eastAsia"/>
          <w:color w:val="auto"/>
          <w:lang w:val="en-US" w:eastAsia="zh-CN"/>
        </w:rPr>
        <w:t>并</w:t>
      </w:r>
      <w:r>
        <w:rPr>
          <w:rFonts w:hint="eastAsia" w:eastAsia="宋体"/>
          <w:color w:val="auto"/>
          <w:lang w:val="en-US" w:eastAsia="zh-CN"/>
        </w:rPr>
        <w:t>采取防风、防雨、防渗等措施；危险废物执行</w:t>
      </w:r>
      <w:r>
        <w:rPr>
          <w:rFonts w:hint="eastAsia" w:eastAsia="宋体"/>
          <w:color w:val="auto"/>
          <w:lang w:eastAsia="zh-CN"/>
        </w:rPr>
        <w:t>《危险废物贮存污染控制标准》（GB18597-2023）。</w:t>
      </w:r>
    </w:p>
    <w:p w14:paraId="70A226FE">
      <w:pPr>
        <w:pStyle w:val="3"/>
        <w:bidi w:val="0"/>
        <w:rPr>
          <w:rFonts w:ascii="Times New Roman" w:hAnsi="Times New Roman"/>
          <w:color w:val="auto"/>
        </w:rPr>
      </w:pPr>
      <w:bookmarkStart w:id="28" w:name="_Toc2758"/>
      <w:bookmarkStart w:id="29" w:name="_Toc429604882"/>
      <w:bookmarkStart w:id="30" w:name="_Toc453947119"/>
      <w:bookmarkStart w:id="31" w:name="_Toc461524909"/>
      <w:bookmarkStart w:id="32" w:name="_Toc31038"/>
      <w:r>
        <w:rPr>
          <w:rFonts w:ascii="Times New Roman" w:hAnsi="Times New Roman"/>
          <w:color w:val="auto"/>
        </w:rPr>
        <w:t>产业政策及</w:t>
      </w:r>
      <w:r>
        <w:rPr>
          <w:rFonts w:hint="eastAsia" w:ascii="Times New Roman" w:hAnsi="Times New Roman"/>
          <w:color w:val="auto"/>
        </w:rPr>
        <w:t>选址</w:t>
      </w:r>
      <w:r>
        <w:rPr>
          <w:rFonts w:ascii="Times New Roman" w:hAnsi="Times New Roman"/>
          <w:color w:val="auto"/>
        </w:rPr>
        <w:t>符合性</w:t>
      </w:r>
      <w:bookmarkEnd w:id="28"/>
      <w:bookmarkEnd w:id="29"/>
      <w:bookmarkEnd w:id="30"/>
      <w:bookmarkEnd w:id="31"/>
      <w:bookmarkEnd w:id="32"/>
    </w:p>
    <w:p w14:paraId="12571C42">
      <w:pPr>
        <w:pStyle w:val="4"/>
        <w:bidi w:val="0"/>
        <w:rPr>
          <w:rFonts w:hint="default" w:ascii="Times New Roman" w:hAnsi="Times New Roman"/>
          <w:color w:val="auto"/>
          <w:highlight w:val="none"/>
          <w:lang w:val="en-US" w:eastAsia="zh-CN"/>
        </w:rPr>
      </w:pPr>
      <w:bookmarkStart w:id="33" w:name="_Toc14834"/>
      <w:r>
        <w:rPr>
          <w:rFonts w:hint="default" w:ascii="Times New Roman" w:hAnsi="Times New Roman"/>
          <w:color w:val="auto"/>
          <w:highlight w:val="none"/>
          <w:lang w:val="en-US" w:eastAsia="zh-CN"/>
        </w:rPr>
        <w:t>产业政策符合性</w:t>
      </w:r>
      <w:bookmarkEnd w:id="33"/>
    </w:p>
    <w:p w14:paraId="0A67DB0C">
      <w:pPr>
        <w:spacing w:line="360" w:lineRule="auto"/>
        <w:ind w:left="0" w:leftChars="0" w:firstLine="480" w:firstLineChars="200"/>
        <w:rPr>
          <w:rFonts w:hint="eastAsia"/>
          <w:bCs/>
          <w:color w:val="auto"/>
          <w:kern w:val="0"/>
          <w:sz w:val="24"/>
          <w:lang w:val="en-US" w:eastAsia="zh-CN"/>
        </w:rPr>
      </w:pPr>
      <w:r>
        <w:rPr>
          <w:rFonts w:hint="eastAsia"/>
          <w:bCs/>
          <w:color w:val="auto"/>
          <w:kern w:val="0"/>
          <w:sz w:val="24"/>
          <w:lang w:val="en-US" w:eastAsia="zh-CN"/>
        </w:rPr>
        <w:t>本项目为混凝土添加剂生产，</w:t>
      </w:r>
      <w:r>
        <w:rPr>
          <w:rFonts w:hint="eastAsia" w:cstheme="minorHAnsi"/>
          <w:bCs/>
          <w:color w:val="auto"/>
          <w:szCs w:val="24"/>
          <w:lang w:val="en-US" w:eastAsia="zh-CN"/>
        </w:rPr>
        <w:t>根据通江县经济和信息化局《关于聚羧酸减水剂和无碱速凝剂生产项目行业类别的情况说明》（见附件2-2），</w:t>
      </w:r>
      <w:r>
        <w:rPr>
          <w:rFonts w:hint="eastAsia" w:cs="Times New Roman"/>
          <w:color w:val="auto"/>
          <w:kern w:val="2"/>
          <w:sz w:val="24"/>
          <w:szCs w:val="24"/>
          <w:lang w:val="en-US" w:eastAsia="zh-CN" w:bidi="ar-SA"/>
        </w:rPr>
        <w:t>本项目</w:t>
      </w:r>
      <w:r>
        <w:rPr>
          <w:rFonts w:hint="eastAsia"/>
          <w:bCs/>
          <w:color w:val="auto"/>
          <w:kern w:val="0"/>
          <w:sz w:val="24"/>
          <w:lang w:val="en-US" w:eastAsia="zh-CN"/>
        </w:rPr>
        <w:t>属于《国民经济行业分类》（GB/T4754-2017）中“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根据《产业结构调整指导目录（2024年本）》，项目不属于鼓励类、限制类、淘汰类，且根据《促进产业结构调整暂行规定》（国发〔2005〕40号）第十三条规定“不属于鼓励类、限制类和淘汰类，且符合国家有关法律、法规和政策规定的，为允许类”，本项目为允许类。此外，根据《四川省国家重点生态功能区产业准入负面清单（第一批）（试行）》，项目不属于通江县限制类、禁止类产业。</w:t>
      </w:r>
    </w:p>
    <w:p w14:paraId="27C754D4">
      <w:pPr>
        <w:spacing w:line="360" w:lineRule="auto"/>
        <w:ind w:left="0" w:leftChars="0" w:firstLine="480" w:firstLineChars="200"/>
        <w:rPr>
          <w:rFonts w:hint="eastAsia"/>
          <w:color w:val="auto"/>
          <w:kern w:val="0"/>
          <w:sz w:val="24"/>
          <w:lang w:val="en-US" w:eastAsia="zh-CN"/>
        </w:rPr>
      </w:pPr>
      <w:r>
        <w:rPr>
          <w:rFonts w:hint="eastAsia"/>
          <w:color w:val="auto"/>
          <w:kern w:val="0"/>
          <w:sz w:val="24"/>
          <w:lang w:val="en-US" w:eastAsia="zh-CN"/>
        </w:rPr>
        <w:t>根据四川省发展和改革委员会 四川省经济和信息化厅关于印发《四川省“两高”项目管理目录（试行）》的通知（川发改环资函〔2024〕259号），本项目不属于纳入“两高”管理范围的产品或工艺（工序）；本项目也不涉及《环境保护综合名录（2021年版）》中高污染、高环境风险产品，不属于高污染项目。</w:t>
      </w:r>
    </w:p>
    <w:p w14:paraId="24231239">
      <w:pPr>
        <w:spacing w:line="360" w:lineRule="auto"/>
        <w:ind w:left="0" w:leftChars="0" w:firstLine="480" w:firstLineChars="200"/>
        <w:rPr>
          <w:rFonts w:hint="eastAsia"/>
          <w:color w:val="auto"/>
          <w:kern w:val="0"/>
          <w:sz w:val="24"/>
          <w:lang w:val="en-US" w:eastAsia="zh-CN"/>
        </w:rPr>
      </w:pPr>
      <w:r>
        <w:rPr>
          <w:rFonts w:hint="eastAsia"/>
          <w:color w:val="auto"/>
          <w:kern w:val="0"/>
          <w:sz w:val="24"/>
          <w:lang w:val="en-US" w:eastAsia="zh-CN"/>
        </w:rPr>
        <w:t>同时，四川巴中经济开发区经济发展局对本项目进行了备案（川投资备〔2603-511924-04-01-913052〕FGQB-0026号）（见附件2-1）。</w:t>
      </w:r>
    </w:p>
    <w:p w14:paraId="09001AA7">
      <w:pPr>
        <w:spacing w:line="360" w:lineRule="auto"/>
        <w:ind w:left="0" w:leftChars="0" w:firstLine="480" w:firstLineChars="200"/>
        <w:rPr>
          <w:rFonts w:ascii="Times New Roman" w:hAnsi="Times New Roman"/>
          <w:color w:val="auto"/>
          <w:sz w:val="24"/>
          <w:szCs w:val="24"/>
        </w:rPr>
      </w:pPr>
      <w:r>
        <w:rPr>
          <w:rFonts w:hint="eastAsia"/>
          <w:color w:val="auto"/>
          <w:sz w:val="24"/>
          <w:lang w:val="en-US" w:eastAsia="zh-CN"/>
        </w:rPr>
        <w:t>因此</w:t>
      </w:r>
      <w:r>
        <w:rPr>
          <w:rFonts w:hint="eastAsia"/>
          <w:color w:val="auto"/>
          <w:sz w:val="24"/>
        </w:rPr>
        <w:t>，</w:t>
      </w:r>
      <w:r>
        <w:rPr>
          <w:rFonts w:cstheme="minorHAnsi"/>
          <w:color w:val="auto"/>
          <w:sz w:val="24"/>
          <w:szCs w:val="24"/>
        </w:rPr>
        <w:t>本项目符合国家现行产业政策</w:t>
      </w:r>
      <w:r>
        <w:rPr>
          <w:rFonts w:ascii="Times New Roman" w:hAnsi="Times New Roman"/>
          <w:color w:val="auto"/>
          <w:sz w:val="24"/>
          <w:szCs w:val="24"/>
        </w:rPr>
        <w:t>。</w:t>
      </w:r>
    </w:p>
    <w:p w14:paraId="341E2B93">
      <w:pPr>
        <w:pStyle w:val="4"/>
        <w:bidi w:val="0"/>
        <w:rPr>
          <w:rFonts w:hint="default" w:ascii="Times New Roman" w:hAnsi="Times New Roman"/>
          <w:color w:val="auto"/>
          <w:highlight w:val="none"/>
          <w:lang w:val="en-US" w:eastAsia="zh-CN"/>
        </w:rPr>
      </w:pPr>
      <w:bookmarkStart w:id="34" w:name="_Toc5137"/>
      <w:r>
        <w:rPr>
          <w:rFonts w:hint="eastAsia" w:ascii="Times New Roman" w:hAnsi="Times New Roman"/>
          <w:color w:val="auto"/>
          <w:highlight w:val="none"/>
          <w:lang w:val="en-US" w:eastAsia="zh-CN"/>
        </w:rPr>
        <w:t>选址</w:t>
      </w:r>
      <w:r>
        <w:rPr>
          <w:rFonts w:hint="default" w:ascii="Times New Roman" w:hAnsi="Times New Roman"/>
          <w:color w:val="auto"/>
          <w:highlight w:val="none"/>
          <w:lang w:val="en-US" w:eastAsia="zh-CN"/>
        </w:rPr>
        <w:t>合理性</w:t>
      </w:r>
      <w:bookmarkEnd w:id="34"/>
    </w:p>
    <w:p w14:paraId="2E59E682">
      <w:pPr>
        <w:bidi w:val="0"/>
        <w:outlineLvl w:val="3"/>
        <w:rPr>
          <w:b/>
          <w:bCs/>
          <w:color w:val="auto"/>
        </w:rPr>
      </w:pPr>
      <w:r>
        <w:rPr>
          <w:rFonts w:hint="eastAsia"/>
          <w:b/>
          <w:bCs/>
          <w:color w:val="auto"/>
        </w:rPr>
        <w:t>1、外环境关系</w:t>
      </w:r>
    </w:p>
    <w:p w14:paraId="2BA39BA9">
      <w:pPr>
        <w:spacing w:line="360" w:lineRule="auto"/>
        <w:ind w:left="0" w:leftChars="0" w:firstLine="480" w:firstLineChars="200"/>
        <w:rPr>
          <w:rFonts w:ascii="Times New Roman" w:hAnsi="Times New Roman"/>
          <w:color w:val="auto"/>
          <w:sz w:val="24"/>
        </w:rPr>
      </w:pPr>
      <w:r>
        <w:rPr>
          <w:rFonts w:hint="eastAsia" w:ascii="Times New Roman" w:hAnsi="Times New Roman"/>
          <w:color w:val="auto"/>
          <w:sz w:val="24"/>
          <w:lang w:val="en-US" w:eastAsia="zh-CN"/>
        </w:rPr>
        <w:t>本项目</w:t>
      </w:r>
      <w:r>
        <w:rPr>
          <w:rFonts w:ascii="Times New Roman" w:hAnsi="Times New Roman"/>
          <w:color w:val="auto"/>
          <w:sz w:val="24"/>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hAnsi="Times New Roman"/>
          <w:color w:val="auto"/>
          <w:sz w:val="24"/>
          <w:szCs w:val="24"/>
        </w:rPr>
        <w:t>，根据</w:t>
      </w:r>
      <w:r>
        <w:rPr>
          <w:rFonts w:ascii="Times New Roman" w:hAnsi="Times New Roman"/>
          <w:color w:val="auto"/>
          <w:sz w:val="24"/>
          <w:szCs w:val="24"/>
        </w:rPr>
        <w:t>现场踏勘</w:t>
      </w:r>
      <w:r>
        <w:rPr>
          <w:rFonts w:hint="eastAsia" w:ascii="Times New Roman" w:hAnsi="Times New Roman"/>
          <w:color w:val="auto"/>
          <w:sz w:val="24"/>
          <w:szCs w:val="24"/>
        </w:rPr>
        <w:t>，</w:t>
      </w:r>
      <w:r>
        <w:rPr>
          <w:rFonts w:hint="eastAsia" w:ascii="Times New Roman" w:hAnsi="Times New Roman"/>
          <w:color w:val="auto"/>
          <w:sz w:val="24"/>
          <w:lang w:val="en-US" w:eastAsia="zh-CN"/>
        </w:rPr>
        <w:t>本项目</w:t>
      </w:r>
      <w:r>
        <w:rPr>
          <w:rFonts w:hint="eastAsia" w:ascii="Times New Roman" w:hAnsi="Times New Roman"/>
          <w:color w:val="auto"/>
          <w:sz w:val="24"/>
          <w:szCs w:val="24"/>
        </w:rPr>
        <w:t>周边外环境关系如下：</w:t>
      </w:r>
    </w:p>
    <w:p w14:paraId="0A991055">
      <w:pPr>
        <w:numPr>
          <w:ilvl w:val="0"/>
          <w:numId w:val="0"/>
        </w:numPr>
        <w:spacing w:line="360" w:lineRule="auto"/>
        <w:ind w:firstLine="482" w:firstLineChars="200"/>
        <w:rPr>
          <w:rFonts w:hint="eastAsia"/>
          <w:b w:val="0"/>
          <w:bCs/>
          <w:color w:val="auto"/>
          <w:sz w:val="24"/>
          <w:lang w:val="en-US" w:eastAsia="zh-CN"/>
        </w:rPr>
      </w:pPr>
      <w:r>
        <w:rPr>
          <w:rFonts w:hint="eastAsia"/>
          <w:b/>
          <w:bCs w:val="0"/>
          <w:color w:val="auto"/>
          <w:sz w:val="24"/>
          <w:lang w:val="en-US" w:eastAsia="zh-CN"/>
        </w:rPr>
        <w:t>东北侧：</w:t>
      </w:r>
      <w:r>
        <w:rPr>
          <w:rFonts w:hint="eastAsia"/>
          <w:b w:val="0"/>
          <w:bCs/>
          <w:color w:val="auto"/>
          <w:sz w:val="24"/>
          <w:lang w:val="en-US" w:eastAsia="zh-CN"/>
        </w:rPr>
        <w:t>66m处为散户（约60人），2.1km处为秋锦山村（约3900人，秋锦山村距本项目最近的散户即为66m处东北侧散户）。</w:t>
      </w:r>
    </w:p>
    <w:p w14:paraId="7F35D82B">
      <w:pPr>
        <w:numPr>
          <w:ilvl w:val="0"/>
          <w:numId w:val="0"/>
        </w:numPr>
        <w:spacing w:line="360" w:lineRule="auto"/>
        <w:ind w:firstLine="482" w:firstLineChars="200"/>
        <w:rPr>
          <w:rFonts w:hint="eastAsia"/>
          <w:b w:val="0"/>
          <w:bCs/>
          <w:color w:val="auto"/>
          <w:sz w:val="24"/>
          <w:lang w:val="en-US" w:eastAsia="zh-CN"/>
        </w:rPr>
      </w:pPr>
      <w:r>
        <w:rPr>
          <w:rFonts w:hint="eastAsia"/>
          <w:b/>
          <w:bCs w:val="0"/>
          <w:color w:val="auto"/>
          <w:sz w:val="24"/>
          <w:lang w:val="en-US" w:eastAsia="zh-CN"/>
        </w:rPr>
        <w:t>东侧：</w:t>
      </w:r>
      <w:r>
        <w:rPr>
          <w:rFonts w:hint="eastAsia"/>
          <w:b w:val="0"/>
          <w:bCs/>
          <w:color w:val="auto"/>
          <w:sz w:val="24"/>
          <w:lang w:val="en-US" w:eastAsia="zh-CN"/>
        </w:rPr>
        <w:t>2.3km处为春在镇（约2500人）。</w:t>
      </w:r>
    </w:p>
    <w:p w14:paraId="40092B82">
      <w:pPr>
        <w:numPr>
          <w:ilvl w:val="0"/>
          <w:numId w:val="0"/>
        </w:numPr>
        <w:spacing w:line="360" w:lineRule="auto"/>
        <w:ind w:firstLine="482" w:firstLineChars="200"/>
        <w:rPr>
          <w:rFonts w:hint="default"/>
          <w:b w:val="0"/>
          <w:bCs/>
          <w:color w:val="auto"/>
          <w:sz w:val="24"/>
          <w:lang w:val="en-US" w:eastAsia="zh-CN"/>
        </w:rPr>
      </w:pPr>
      <w:r>
        <w:rPr>
          <w:rFonts w:hint="eastAsia"/>
          <w:b/>
          <w:bCs w:val="0"/>
          <w:color w:val="auto"/>
          <w:sz w:val="24"/>
          <w:lang w:val="en-US" w:eastAsia="zh-CN"/>
        </w:rPr>
        <w:t>东南侧：</w:t>
      </w:r>
      <w:r>
        <w:rPr>
          <w:rFonts w:hint="eastAsia"/>
          <w:b w:val="0"/>
          <w:bCs/>
          <w:color w:val="auto"/>
          <w:sz w:val="24"/>
          <w:lang w:val="en-US" w:eastAsia="zh-CN"/>
        </w:rPr>
        <w:t>1.7km处为金堂村（约1000人，距金堂村最近的散户约692m），1.93km处为通江工业园区（金堂片区）（入驻企业包括1.95km处为新能源新材料产业园、2km处为四川能投巴中燃气发电有限公司（发电厂）等）。</w:t>
      </w:r>
    </w:p>
    <w:p w14:paraId="4D8023B2">
      <w:pPr>
        <w:numPr>
          <w:ilvl w:val="0"/>
          <w:numId w:val="0"/>
        </w:numPr>
        <w:spacing w:line="360" w:lineRule="auto"/>
        <w:ind w:firstLine="482" w:firstLineChars="200"/>
        <w:rPr>
          <w:rFonts w:hint="eastAsia"/>
          <w:b w:val="0"/>
          <w:bCs/>
          <w:color w:val="auto"/>
          <w:sz w:val="24"/>
          <w:lang w:val="en-US" w:eastAsia="zh-CN"/>
        </w:rPr>
      </w:pPr>
      <w:r>
        <w:rPr>
          <w:rFonts w:hint="eastAsia"/>
          <w:b/>
          <w:bCs w:val="0"/>
          <w:color w:val="auto"/>
          <w:sz w:val="24"/>
          <w:lang w:val="en-US" w:eastAsia="zh-CN"/>
        </w:rPr>
        <w:t>西南侧：</w:t>
      </w:r>
      <w:r>
        <w:rPr>
          <w:rFonts w:hint="eastAsia"/>
          <w:b w:val="0"/>
          <w:bCs/>
          <w:color w:val="auto"/>
          <w:sz w:val="24"/>
          <w:lang w:val="en-US" w:eastAsia="zh-CN"/>
        </w:rPr>
        <w:t>2.3km处为亮垭村（约2500人，距亮垭村最近的散户约582m）。</w:t>
      </w:r>
    </w:p>
    <w:p w14:paraId="56F94C90">
      <w:pPr>
        <w:numPr>
          <w:ilvl w:val="0"/>
          <w:numId w:val="0"/>
        </w:numPr>
        <w:spacing w:line="360" w:lineRule="auto"/>
        <w:ind w:firstLine="480" w:firstLineChars="200"/>
        <w:rPr>
          <w:rFonts w:hint="eastAsia"/>
          <w:b w:val="0"/>
          <w:bCs/>
          <w:color w:val="auto"/>
          <w:sz w:val="24"/>
          <w:lang w:val="en-US" w:eastAsia="zh-CN"/>
        </w:rPr>
      </w:pPr>
      <w:r>
        <w:rPr>
          <w:rFonts w:hint="eastAsia"/>
          <w:b w:val="0"/>
          <w:bCs/>
          <w:color w:val="auto"/>
          <w:sz w:val="24"/>
          <w:lang w:val="en-US" w:eastAsia="zh-CN"/>
        </w:rPr>
        <w:t>本项目评价范围内主要分布有通江工业园区（金堂片区）入驻企业和金堂村、秋锦山村、亮垭村、春在镇、通江县城居民住宅。根据</w:t>
      </w:r>
      <w:r>
        <w:rPr>
          <w:rFonts w:hint="eastAsia"/>
          <w:color w:val="auto"/>
          <w:sz w:val="24"/>
          <w:szCs w:val="32"/>
        </w:rPr>
        <w:t>《</w:t>
      </w:r>
      <w:r>
        <w:rPr>
          <w:rFonts w:hint="default"/>
          <w:color w:val="auto"/>
          <w:lang w:val="en-US" w:eastAsia="zh-CN"/>
        </w:rPr>
        <w:t>四川巴中经济开发区规划修编</w:t>
      </w:r>
      <w:r>
        <w:rPr>
          <w:rFonts w:hint="eastAsia"/>
          <w:color w:val="auto"/>
          <w:sz w:val="24"/>
          <w:szCs w:val="32"/>
        </w:rPr>
        <w:t>环境影响报告书》</w:t>
      </w:r>
      <w:r>
        <w:rPr>
          <w:rFonts w:hint="eastAsia"/>
          <w:color w:val="auto"/>
          <w:sz w:val="24"/>
          <w:szCs w:val="32"/>
          <w:lang w:eastAsia="zh-CN"/>
        </w:rPr>
        <w:t>，</w:t>
      </w:r>
      <w:r>
        <w:rPr>
          <w:rFonts w:hint="eastAsia"/>
          <w:color w:val="auto"/>
          <w:sz w:val="24"/>
          <w:szCs w:val="32"/>
          <w:lang w:val="en-US" w:eastAsia="zh-CN"/>
        </w:rPr>
        <w:t>金堂区块规划范围外设置300m安全控制线，其中本项目东北侧散户位于安全控制线范围内。</w:t>
      </w:r>
      <w:r>
        <w:rPr>
          <w:rFonts w:hint="eastAsia"/>
          <w:b w:val="0"/>
          <w:bCs/>
          <w:color w:val="auto"/>
          <w:sz w:val="24"/>
          <w:lang w:val="en-US" w:eastAsia="zh-CN"/>
        </w:rPr>
        <w:t>环境保护目标见表2.6-1。</w:t>
      </w:r>
    </w:p>
    <w:p w14:paraId="1C8B6FF0">
      <w:pPr>
        <w:bidi w:val="0"/>
        <w:outlineLvl w:val="3"/>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2、选址合理性</w:t>
      </w:r>
    </w:p>
    <w:p w14:paraId="45202E8A">
      <w:pPr>
        <w:spacing w:line="360" w:lineRule="auto"/>
        <w:ind w:left="0" w:leftChars="0" w:firstLine="480" w:firstLineChars="200"/>
        <w:rPr>
          <w:rFonts w:hint="eastAsia"/>
          <w:color w:val="auto"/>
          <w:sz w:val="24"/>
        </w:rPr>
      </w:pPr>
      <w:r>
        <w:rPr>
          <w:rFonts w:hint="eastAsia"/>
          <w:color w:val="auto"/>
          <w:sz w:val="24"/>
        </w:rPr>
        <w:t>①</w:t>
      </w:r>
      <w:r>
        <w:rPr>
          <w:rFonts w:hint="eastAsia"/>
          <w:color w:val="auto"/>
          <w:sz w:val="24"/>
          <w:lang w:val="en-US" w:eastAsia="zh-CN"/>
        </w:rPr>
        <w:t>根据</w:t>
      </w:r>
      <w:r>
        <w:rPr>
          <w:rFonts w:hint="eastAsia" w:ascii="Times New Roman" w:hAnsi="Times New Roman"/>
          <w:color w:val="auto"/>
          <w:szCs w:val="20"/>
        </w:rPr>
        <w:t>《</w:t>
      </w:r>
      <w:r>
        <w:rPr>
          <w:rFonts w:hint="eastAsia"/>
          <w:color w:val="auto"/>
          <w:szCs w:val="20"/>
          <w:lang w:eastAsia="zh-CN"/>
        </w:rPr>
        <w:t>聚羧酸减水剂和无碱速凝剂生产项目</w:t>
      </w:r>
      <w:r>
        <w:rPr>
          <w:rFonts w:hint="eastAsia" w:ascii="Times New Roman" w:hAnsi="Times New Roman"/>
          <w:color w:val="auto"/>
          <w:szCs w:val="20"/>
        </w:rPr>
        <w:t>岩土工程勘察报告》</w:t>
      </w:r>
      <w:r>
        <w:rPr>
          <w:rFonts w:hint="eastAsia"/>
          <w:color w:val="auto"/>
          <w:szCs w:val="20"/>
          <w:lang w:eastAsia="zh-CN"/>
        </w:rPr>
        <w:t>，</w:t>
      </w:r>
      <w:r>
        <w:rPr>
          <w:rFonts w:hint="eastAsia"/>
          <w:color w:val="auto"/>
          <w:szCs w:val="20"/>
          <w:lang w:val="en-US" w:eastAsia="zh-CN"/>
        </w:rPr>
        <w:t>本项目场地未发现不良地质作用，也无埋藏的对工程不利的埋藏物，场地地下水和土壤均对工程建设的地基、建（构）筑物无影响。</w:t>
      </w:r>
    </w:p>
    <w:p w14:paraId="46D3E006">
      <w:pPr>
        <w:spacing w:line="360" w:lineRule="auto"/>
        <w:ind w:left="0" w:leftChars="0" w:firstLine="480" w:firstLineChars="200"/>
        <w:rPr>
          <w:rFonts w:hint="default" w:eastAsia="宋体"/>
          <w:color w:val="auto"/>
          <w:sz w:val="24"/>
          <w:lang w:val="en-US" w:eastAsia="zh-CN"/>
        </w:rPr>
      </w:pPr>
      <w:r>
        <w:rPr>
          <w:rFonts w:hint="eastAsia"/>
          <w:color w:val="auto"/>
          <w:sz w:val="24"/>
        </w:rPr>
        <w:t>②</w:t>
      </w:r>
      <w:r>
        <w:rPr>
          <w:rFonts w:ascii="Times New Roman" w:hAnsi="Times New Roman"/>
          <w:color w:val="auto"/>
          <w:sz w:val="24"/>
          <w:szCs w:val="24"/>
        </w:rPr>
        <w:t>本</w:t>
      </w:r>
      <w:r>
        <w:rPr>
          <w:rFonts w:hint="eastAsia" w:ascii="Times New Roman" w:hAnsi="Times New Roman"/>
          <w:color w:val="auto"/>
          <w:sz w:val="24"/>
          <w:szCs w:val="24"/>
          <w:lang w:val="en-US" w:eastAsia="zh-CN"/>
        </w:rPr>
        <w:t>项目废气</w:t>
      </w:r>
      <w:r>
        <w:rPr>
          <w:rFonts w:hint="eastAsia"/>
          <w:color w:val="auto"/>
          <w:sz w:val="24"/>
          <w:szCs w:val="24"/>
          <w:lang w:val="en-US" w:eastAsia="zh-CN"/>
        </w:rPr>
        <w:t>主要为粉尘、酸性</w:t>
      </w:r>
      <w:r>
        <w:rPr>
          <w:rFonts w:hint="eastAsia" w:ascii="Times New Roman" w:hAnsi="Times New Roman"/>
          <w:color w:val="auto"/>
          <w:sz w:val="24"/>
          <w:szCs w:val="24"/>
          <w:lang w:val="en-US" w:eastAsia="zh-CN"/>
        </w:rPr>
        <w:t>废气</w:t>
      </w:r>
      <w:r>
        <w:rPr>
          <w:rFonts w:hint="eastAsia"/>
          <w:color w:val="auto"/>
          <w:sz w:val="24"/>
          <w:szCs w:val="24"/>
          <w:lang w:val="en-US" w:eastAsia="zh-CN"/>
        </w:rPr>
        <w:t>和</w:t>
      </w:r>
      <w:r>
        <w:rPr>
          <w:rFonts w:hint="eastAsia" w:ascii="Times New Roman" w:hAnsi="Times New Roman"/>
          <w:color w:val="auto"/>
          <w:sz w:val="24"/>
          <w:szCs w:val="24"/>
          <w:lang w:val="en-US" w:eastAsia="zh-CN"/>
        </w:rPr>
        <w:t>有机废气，产生量较小，经收集处理后均可实现达标排放，根据大气环境影响预测结果可知，各环境保护目标在叠加环境质量现状浓度</w:t>
      </w:r>
      <w:r>
        <w:rPr>
          <w:rFonts w:hint="eastAsia"/>
          <w:color w:val="auto"/>
          <w:sz w:val="24"/>
          <w:szCs w:val="24"/>
          <w:lang w:val="en-US" w:eastAsia="zh-CN"/>
        </w:rPr>
        <w:t>和拟建、在建项目排放的同类污染物</w:t>
      </w:r>
      <w:r>
        <w:rPr>
          <w:rFonts w:hint="eastAsia" w:ascii="Times New Roman" w:hAnsi="Times New Roman"/>
          <w:color w:val="auto"/>
          <w:sz w:val="24"/>
          <w:szCs w:val="24"/>
          <w:lang w:val="en-US" w:eastAsia="zh-CN"/>
        </w:rPr>
        <w:t>后预测污染物浓度均</w:t>
      </w:r>
      <w:r>
        <w:rPr>
          <w:rFonts w:hint="eastAsia"/>
          <w:color w:val="auto"/>
          <w:sz w:val="24"/>
          <w:szCs w:val="24"/>
          <w:lang w:val="en-US" w:eastAsia="zh-CN"/>
        </w:rPr>
        <w:t>满足</w:t>
      </w:r>
      <w:r>
        <w:rPr>
          <w:rFonts w:hint="eastAsia" w:ascii="Times New Roman" w:hAnsi="Times New Roman"/>
          <w:color w:val="auto"/>
          <w:sz w:val="24"/>
          <w:szCs w:val="24"/>
          <w:lang w:val="en-US" w:eastAsia="zh-CN"/>
        </w:rPr>
        <w:t>环境质量标准，</w:t>
      </w:r>
      <w:r>
        <w:rPr>
          <w:rFonts w:hint="eastAsia"/>
          <w:color w:val="auto"/>
          <w:sz w:val="24"/>
          <w:szCs w:val="24"/>
          <w:lang w:val="en-US" w:eastAsia="zh-CN"/>
        </w:rPr>
        <w:t>本项目</w:t>
      </w:r>
      <w:r>
        <w:rPr>
          <w:rFonts w:hint="eastAsia" w:ascii="Times New Roman" w:hAnsi="Times New Roman"/>
          <w:color w:val="auto"/>
          <w:sz w:val="24"/>
          <w:szCs w:val="24"/>
          <w:lang w:val="en-US" w:eastAsia="zh-CN"/>
        </w:rPr>
        <w:t>运营期外排废气对区域环境贡献值较低，不会造成环境保护目标环境质量超标，不会改变区域环境功能。</w:t>
      </w:r>
    </w:p>
    <w:p w14:paraId="560C2D57">
      <w:pPr>
        <w:spacing w:line="360" w:lineRule="auto"/>
        <w:ind w:left="0" w:leftChars="0" w:firstLine="480" w:firstLineChars="200"/>
        <w:rPr>
          <w:color w:val="auto"/>
          <w:sz w:val="24"/>
        </w:rPr>
      </w:pPr>
      <w:r>
        <w:rPr>
          <w:rFonts w:hint="eastAsia"/>
          <w:color w:val="auto"/>
          <w:sz w:val="24"/>
        </w:rPr>
        <w:t>③本项目</w:t>
      </w:r>
      <w:r>
        <w:rPr>
          <w:rFonts w:hint="eastAsia"/>
          <w:color w:val="auto"/>
          <w:sz w:val="24"/>
          <w:lang w:val="en-US" w:eastAsia="zh-CN"/>
        </w:rPr>
        <w:t>分别以</w:t>
      </w:r>
      <w:r>
        <w:rPr>
          <w:rFonts w:hint="eastAsia"/>
          <w:color w:val="auto"/>
          <w:szCs w:val="24"/>
          <w:highlight w:val="none"/>
          <w:lang w:val="en-US" w:eastAsia="zh-CN"/>
        </w:rPr>
        <w:t>生产车间、1#罐区、2#罐区及质检室边界</w:t>
      </w:r>
      <w:r>
        <w:rPr>
          <w:rFonts w:hint="eastAsia"/>
          <w:color w:val="auto"/>
          <w:sz w:val="24"/>
          <w:lang w:val="en-US" w:eastAsia="zh-CN"/>
        </w:rPr>
        <w:t>为起点划定50m卫生防护距离，</w:t>
      </w:r>
      <w:r>
        <w:rPr>
          <w:rFonts w:ascii="Times New Roman" w:hAnsi="Times New Roman"/>
          <w:color w:val="auto"/>
          <w:sz w:val="24"/>
        </w:rPr>
        <w:t>卫生防护距离</w:t>
      </w:r>
      <w:r>
        <w:rPr>
          <w:rFonts w:hint="eastAsia" w:ascii="Times New Roman" w:hAnsi="Times New Roman"/>
          <w:color w:val="auto"/>
          <w:sz w:val="24"/>
        </w:rPr>
        <w:t>包络线内不涉及居民住宅、学校、医院及食品、医药等生产企业分布</w:t>
      </w:r>
      <w:r>
        <w:rPr>
          <w:rFonts w:hint="eastAsia" w:ascii="Times New Roman" w:hAnsi="Times New Roman"/>
          <w:color w:val="auto"/>
          <w:sz w:val="24"/>
          <w:szCs w:val="24"/>
        </w:rPr>
        <w:t>，外环境满足本项目卫生防护距离要求</w:t>
      </w:r>
      <w:r>
        <w:rPr>
          <w:rFonts w:hint="eastAsia" w:ascii="Times New Roman" w:hAnsi="Times New Roman"/>
          <w:color w:val="auto"/>
          <w:sz w:val="24"/>
        </w:rPr>
        <w:t>。</w:t>
      </w:r>
    </w:p>
    <w:p w14:paraId="24C17196">
      <w:pPr>
        <w:spacing w:line="360" w:lineRule="auto"/>
        <w:ind w:left="0" w:leftChars="0" w:firstLine="480" w:firstLineChars="200"/>
        <w:rPr>
          <w:rFonts w:hint="eastAsia" w:eastAsia="宋体"/>
          <w:color w:val="auto"/>
          <w:sz w:val="24"/>
          <w:lang w:val="en-US" w:eastAsia="zh-CN"/>
        </w:rPr>
      </w:pPr>
      <w:r>
        <w:rPr>
          <w:rFonts w:hint="eastAsia"/>
          <w:color w:val="auto"/>
          <w:sz w:val="24"/>
        </w:rPr>
        <w:t>④</w:t>
      </w:r>
      <w:r>
        <w:rPr>
          <w:rFonts w:ascii="Times New Roman" w:hAnsi="Times New Roman" w:cs="Times New Roman"/>
          <w:color w:val="auto"/>
          <w:sz w:val="24"/>
        </w:rPr>
        <w:t>本项目</w:t>
      </w:r>
      <w:r>
        <w:rPr>
          <w:rFonts w:hint="eastAsia" w:ascii="Times New Roman" w:hAnsi="Times New Roman" w:cs="Times New Roman"/>
          <w:color w:val="auto"/>
          <w:sz w:val="24"/>
          <w:lang w:val="en-US" w:eastAsia="zh-CN"/>
        </w:rPr>
        <w:t>与</w:t>
      </w:r>
      <w:r>
        <w:rPr>
          <w:rFonts w:hint="eastAsia" w:cs="Times New Roman"/>
          <w:color w:val="auto"/>
          <w:sz w:val="24"/>
          <w:lang w:val="en-US" w:eastAsia="zh-CN"/>
        </w:rPr>
        <w:t>周边地表水体</w:t>
      </w:r>
      <w:r>
        <w:rPr>
          <w:rFonts w:hint="eastAsia" w:ascii="Times New Roman" w:hAnsi="Times New Roman" w:cs="Times New Roman"/>
          <w:color w:val="auto"/>
          <w:sz w:val="24"/>
          <w:lang w:val="en-US" w:eastAsia="zh-CN"/>
        </w:rPr>
        <w:t>相距较远，不受</w:t>
      </w:r>
      <w:r>
        <w:rPr>
          <w:rFonts w:hint="eastAsia" w:ascii="Times New Roman" w:hAnsi="Times New Roman"/>
          <w:color w:val="auto"/>
          <w:sz w:val="24"/>
          <w:lang w:val="en-US" w:eastAsia="zh-CN"/>
        </w:rPr>
        <w:t>洪水、潮水或内涝威胁；</w:t>
      </w:r>
      <w:r>
        <w:rPr>
          <w:rFonts w:hint="eastAsia"/>
          <w:color w:val="auto"/>
          <w:sz w:val="24"/>
          <w:szCs w:val="24"/>
          <w:lang w:val="en-US" w:eastAsia="zh-CN"/>
        </w:rPr>
        <w:t>本项目</w:t>
      </w:r>
      <w:r>
        <w:rPr>
          <w:rFonts w:hint="eastAsia" w:ascii="宋体" w:hAnsi="宋体" w:eastAsia="宋体" w:cs="宋体"/>
          <w:color w:val="auto"/>
          <w:kern w:val="0"/>
          <w:sz w:val="24"/>
          <w:szCs w:val="24"/>
          <w:lang w:val="en-US" w:eastAsia="zh-CN" w:bidi="ar"/>
        </w:rPr>
        <w:t>设置</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生产单元</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企业</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园区</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的三级事故废水防范体系</w:t>
      </w:r>
      <w:r>
        <w:rPr>
          <w:rFonts w:hint="eastAsia" w:ascii="宋体" w:hAnsi="宋体" w:cs="宋体"/>
          <w:color w:val="auto"/>
          <w:kern w:val="0"/>
          <w:sz w:val="24"/>
          <w:szCs w:val="24"/>
          <w:lang w:val="en-US" w:eastAsia="zh-CN" w:bidi="ar"/>
        </w:rPr>
        <w:t>，</w:t>
      </w:r>
      <w:r>
        <w:rPr>
          <w:rFonts w:hint="eastAsia" w:ascii="Times New Roman" w:hAnsi="Times New Roman"/>
          <w:color w:val="auto"/>
          <w:sz w:val="24"/>
          <w:szCs w:val="24"/>
          <w:lang w:val="en-US" w:eastAsia="zh-CN"/>
        </w:rPr>
        <w:t>物料</w:t>
      </w:r>
      <w:r>
        <w:rPr>
          <w:rFonts w:hint="eastAsia"/>
          <w:color w:val="auto"/>
          <w:sz w:val="24"/>
          <w:szCs w:val="24"/>
          <w:lang w:val="en-US" w:eastAsia="zh-CN"/>
        </w:rPr>
        <w:t>或废水</w:t>
      </w:r>
      <w:r>
        <w:rPr>
          <w:rFonts w:hint="eastAsia" w:ascii="Times New Roman" w:hAnsi="Times New Roman"/>
          <w:color w:val="auto"/>
          <w:sz w:val="24"/>
          <w:szCs w:val="24"/>
          <w:lang w:val="en-US" w:eastAsia="zh-CN"/>
        </w:rPr>
        <w:t>发生泄漏时，可得到有效收集，</w:t>
      </w:r>
      <w:r>
        <w:rPr>
          <w:rFonts w:hint="eastAsia"/>
          <w:color w:val="auto"/>
          <w:sz w:val="24"/>
          <w:szCs w:val="24"/>
          <w:lang w:val="en-US" w:eastAsia="zh-CN"/>
        </w:rPr>
        <w:t>可确保泄漏物料不下河</w:t>
      </w:r>
      <w:r>
        <w:rPr>
          <w:rFonts w:ascii="Times New Roman" w:hAnsi="Times New Roman" w:cs="Times New Roman"/>
          <w:color w:val="auto"/>
          <w:sz w:val="24"/>
        </w:rPr>
        <w:t>。</w:t>
      </w:r>
    </w:p>
    <w:p w14:paraId="4A473BA7">
      <w:p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color w:val="auto"/>
          <w:sz w:val="24"/>
        </w:rPr>
        <w:t>⑤</w:t>
      </w:r>
      <w:r>
        <w:rPr>
          <w:rFonts w:hint="eastAsia" w:cs="Times New Roman"/>
          <w:color w:val="auto"/>
          <w:sz w:val="24"/>
          <w:lang w:val="en-US" w:eastAsia="zh-CN"/>
        </w:rPr>
        <w:t>本项目</w:t>
      </w:r>
      <w:r>
        <w:rPr>
          <w:rFonts w:hint="eastAsia" w:cs="Times New Roman"/>
          <w:color w:val="auto"/>
          <w:highlight w:val="none"/>
          <w:lang w:val="en-US" w:eastAsia="zh-CN"/>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highlight w:val="none"/>
          <w:lang w:val="en-US" w:eastAsia="zh-CN"/>
        </w:rPr>
        <w:t>发生泄漏事故时，</w:t>
      </w:r>
      <w:r>
        <w:rPr>
          <w:rFonts w:hint="eastAsia" w:ascii="Times New Roman" w:hAnsi="Times New Roman" w:eastAsia="宋体" w:cs="Times New Roman"/>
          <w:color w:val="auto"/>
          <w:kern w:val="0"/>
          <w:sz w:val="24"/>
          <w:szCs w:val="24"/>
          <w:lang w:val="en-US" w:eastAsia="zh-CN" w:bidi="ar"/>
        </w:rPr>
        <w:t>东北侧</w:t>
      </w:r>
      <w:r>
        <w:rPr>
          <w:rFonts w:hint="eastAsia" w:cs="Times New Roman"/>
          <w:color w:val="auto"/>
          <w:kern w:val="0"/>
          <w:sz w:val="24"/>
          <w:szCs w:val="24"/>
          <w:highlight w:val="none"/>
          <w:lang w:val="en-US" w:eastAsia="zh-CN" w:bidi="ar"/>
        </w:rPr>
        <w:t>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，在最不利气象条件下持续时间为15min；在最常见气象条件下持续时间为16min；</w:t>
      </w:r>
      <w:r>
        <w:rPr>
          <w:rFonts w:hint="eastAsia" w:cs="Times New Roman"/>
          <w:color w:val="auto"/>
          <w:kern w:val="0"/>
          <w:sz w:val="24"/>
          <w:szCs w:val="24"/>
          <w:highlight w:val="none"/>
          <w:lang w:val="en-US" w:eastAsia="zh-CN" w:bidi="ar"/>
        </w:rPr>
        <w:t>此外，</w:t>
      </w:r>
      <w:r>
        <w:rPr>
          <w:rFonts w:hint="default" w:ascii="Times New Roman" w:hAnsi="Times New Roman" w:cs="Times New Roman"/>
          <w:color w:val="auto"/>
          <w:kern w:val="0"/>
          <w:sz w:val="24"/>
          <w:szCs w:val="24"/>
          <w:highlight w:val="none"/>
          <w:lang w:val="en-US" w:eastAsia="zh-CN" w:bidi="ar"/>
        </w:rPr>
        <w:t>本次</w:t>
      </w:r>
      <w:r>
        <w:rPr>
          <w:rFonts w:hint="default" w:ascii="Times New Roman" w:hAnsi="Times New Roman" w:cs="Times New Roman"/>
          <w:color w:val="auto"/>
          <w:lang w:val="en-US" w:eastAsia="zh-CN"/>
        </w:rPr>
        <w:t>对暴露于有</w:t>
      </w:r>
      <w:r>
        <w:rPr>
          <w:rFonts w:hint="eastAsia" w:cs="Times New Roman"/>
          <w:color w:val="auto"/>
          <w:lang w:val="en-US" w:eastAsia="zh-CN"/>
        </w:rPr>
        <w:t>一氧化碳或</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气团下、无任何防护的人员</w:t>
      </w:r>
      <w:r>
        <w:rPr>
          <w:rFonts w:hint="eastAsia" w:cs="Times New Roman"/>
          <w:color w:val="auto"/>
          <w:lang w:val="en-US" w:eastAsia="zh-CN"/>
        </w:rPr>
        <w:t>进行了关心点概率分析</w:t>
      </w:r>
      <w:r>
        <w:rPr>
          <w:rFonts w:hint="default" w:ascii="Times New Roman" w:hAnsi="Times New Roman" w:cs="Times New Roman"/>
          <w:color w:val="auto"/>
          <w:lang w:val="en-US" w:eastAsia="zh-CN"/>
        </w:rPr>
        <w:t>，</w:t>
      </w:r>
      <w:r>
        <w:rPr>
          <w:rFonts w:hint="eastAsia" w:cs="Times New Roman"/>
          <w:color w:val="auto"/>
          <w:lang w:val="en-US" w:eastAsia="zh-CN"/>
        </w:rPr>
        <w:t>经计算，</w:t>
      </w:r>
      <w:r>
        <w:rPr>
          <w:rFonts w:hint="default" w:ascii="Times New Roman" w:hAnsi="Times New Roman" w:cs="Times New Roman"/>
          <w:color w:val="auto"/>
          <w:lang w:val="en-US" w:eastAsia="zh-CN"/>
        </w:rPr>
        <w:t>因</w:t>
      </w:r>
      <w:r>
        <w:rPr>
          <w:rFonts w:hint="eastAsia" w:cs="Times New Roman"/>
          <w:color w:val="auto"/>
          <w:lang w:val="en-US" w:eastAsia="zh-CN"/>
        </w:rPr>
        <w:t>一氧化碳或</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毒性而导致死亡的概率</w:t>
      </w:r>
      <w:r>
        <w:rPr>
          <w:rFonts w:hint="default" w:ascii="Times New Roman" w:hAnsi="Times New Roman" w:eastAsia="宋体" w:cs="Times New Roman"/>
          <w:color w:val="auto"/>
          <w:highlight w:val="none"/>
          <w:lang w:val="en-US" w:eastAsia="zh-CN"/>
        </w:rPr>
        <w:t>为0。</w:t>
      </w:r>
      <w:r>
        <w:rPr>
          <w:rFonts w:hint="eastAsia" w:cs="Times New Roman"/>
          <w:color w:val="auto"/>
          <w:kern w:val="0"/>
          <w:sz w:val="24"/>
          <w:szCs w:val="24"/>
          <w:highlight w:val="none"/>
          <w:lang w:val="en-US" w:eastAsia="zh-CN" w:bidi="ar"/>
        </w:rPr>
        <w:t>环评要求：</w:t>
      </w:r>
      <w:r>
        <w:rPr>
          <w:rFonts w:hint="eastAsia" w:ascii="Times New Roman" w:hAnsi="Times New Roman" w:eastAsia="宋体" w:cs="Times New Roman"/>
          <w:color w:val="auto"/>
          <w:kern w:val="0"/>
          <w:sz w:val="24"/>
          <w:szCs w:val="24"/>
          <w:highlight w:val="none"/>
          <w:lang w:val="en-US" w:eastAsia="zh-CN" w:bidi="ar"/>
        </w:rPr>
        <w:t>一旦发生事故，应立即启动应急预案，根据事故当天风向确定最大影响范围，及时对影响范围内人员发布警报，并组织厂区员工、附近群众在5min内按拟定逃生路线进行疏散撤离。</w:t>
      </w:r>
    </w:p>
    <w:p w14:paraId="6E857F49">
      <w:pPr>
        <w:spacing w:line="360" w:lineRule="auto"/>
        <w:ind w:left="0" w:leftChars="0" w:firstLine="480" w:firstLineChars="200"/>
        <w:rPr>
          <w:color w:val="auto"/>
          <w:sz w:val="24"/>
        </w:rPr>
      </w:pPr>
      <w:r>
        <w:rPr>
          <w:color w:val="auto"/>
          <w:sz w:val="24"/>
        </w:rPr>
        <w:t>综上所述</w:t>
      </w:r>
      <w:r>
        <w:rPr>
          <w:rFonts w:hint="eastAsia"/>
          <w:color w:val="auto"/>
          <w:sz w:val="24"/>
        </w:rPr>
        <w:t>，本</w:t>
      </w:r>
      <w:r>
        <w:rPr>
          <w:rFonts w:hint="eastAsia" w:ascii="Times New Roman"/>
          <w:color w:val="auto"/>
          <w:sz w:val="24"/>
        </w:rPr>
        <w:t>项目</w:t>
      </w:r>
      <w:r>
        <w:rPr>
          <w:rFonts w:hint="eastAsia" w:ascii="Times New Roman" w:hAnsi="Times New Roman" w:eastAsia="宋体" w:cs="Times New Roman"/>
          <w:color w:val="auto"/>
          <w:kern w:val="0"/>
          <w:sz w:val="24"/>
          <w:szCs w:val="24"/>
          <w:lang w:val="en-US" w:eastAsia="zh-CN" w:bidi="ar"/>
        </w:rPr>
        <w:t>东北侧有少量</w:t>
      </w:r>
      <w:r>
        <w:rPr>
          <w:rFonts w:hint="eastAsia" w:cs="Times New Roman"/>
          <w:color w:val="auto"/>
          <w:kern w:val="0"/>
          <w:sz w:val="24"/>
          <w:szCs w:val="24"/>
          <w:highlight w:val="none"/>
          <w:lang w:val="en-US" w:eastAsia="zh-CN" w:bidi="ar"/>
        </w:rPr>
        <w:t>散户分布，</w:t>
      </w:r>
      <w:r>
        <w:rPr>
          <w:rFonts w:hint="eastAsia" w:ascii="Times New Roman"/>
          <w:color w:val="auto"/>
          <w:sz w:val="24"/>
        </w:rPr>
        <w:t>存在一定的环境制约因素，在充分落实报告书中提出的各项环保措施</w:t>
      </w:r>
      <w:r>
        <w:rPr>
          <w:rFonts w:hint="eastAsia" w:ascii="Times New Roman"/>
          <w:color w:val="auto"/>
          <w:sz w:val="24"/>
          <w:lang w:eastAsia="zh-CN"/>
        </w:rPr>
        <w:t>、</w:t>
      </w:r>
      <w:r>
        <w:rPr>
          <w:rFonts w:hint="default" w:ascii="Times New Roman" w:hAnsi="Times New Roman" w:cs="Times New Roman"/>
          <w:color w:val="auto"/>
          <w:highlight w:val="none"/>
          <w:lang w:val="en-US" w:eastAsia="zh-CN"/>
        </w:rPr>
        <w:t>环境风险防范措施</w:t>
      </w:r>
      <w:r>
        <w:rPr>
          <w:rFonts w:hint="eastAsia" w:cs="Times New Roman"/>
          <w:color w:val="auto"/>
          <w:highlight w:val="none"/>
          <w:lang w:val="en-US" w:eastAsia="zh-CN"/>
        </w:rPr>
        <w:t>和</w:t>
      </w:r>
      <w:r>
        <w:rPr>
          <w:rFonts w:hint="eastAsia" w:ascii="Times New Roman"/>
          <w:color w:val="auto"/>
          <w:sz w:val="24"/>
        </w:rPr>
        <w:t>管理要求，确保污染物达标排放</w:t>
      </w:r>
      <w:r>
        <w:rPr>
          <w:rFonts w:hint="eastAsia" w:ascii="Times New Roman"/>
          <w:color w:val="auto"/>
          <w:sz w:val="24"/>
          <w:lang w:eastAsia="zh-CN"/>
        </w:rPr>
        <w:t>、</w:t>
      </w:r>
      <w:r>
        <w:rPr>
          <w:rFonts w:hint="default" w:ascii="Times New Roman" w:hAnsi="Times New Roman" w:eastAsia="宋体" w:cs="Times New Roman"/>
          <w:color w:val="auto"/>
          <w:szCs w:val="24"/>
          <w:highlight w:val="none"/>
        </w:rPr>
        <w:t>杜绝有毒有害物</w:t>
      </w:r>
      <w:r>
        <w:rPr>
          <w:rFonts w:hint="default" w:ascii="Times New Roman" w:hAnsi="Times New Roman" w:cs="Times New Roman"/>
          <w:color w:val="auto"/>
          <w:highlight w:val="none"/>
        </w:rPr>
        <w:t>质泄漏及燃爆事故发生</w:t>
      </w:r>
      <w:r>
        <w:rPr>
          <w:rFonts w:hint="eastAsia" w:ascii="Times New Roman"/>
          <w:color w:val="auto"/>
          <w:sz w:val="24"/>
        </w:rPr>
        <w:t>的前提下，选址与外环境基本相容，</w:t>
      </w:r>
      <w:r>
        <w:rPr>
          <w:color w:val="auto"/>
          <w:sz w:val="24"/>
          <w:szCs w:val="24"/>
        </w:rPr>
        <w:t>选址</w:t>
      </w:r>
      <w:r>
        <w:rPr>
          <w:rFonts w:hint="eastAsia"/>
          <w:color w:val="auto"/>
          <w:sz w:val="24"/>
          <w:szCs w:val="24"/>
        </w:rPr>
        <w:t>基本</w:t>
      </w:r>
      <w:r>
        <w:rPr>
          <w:color w:val="auto"/>
          <w:sz w:val="24"/>
          <w:szCs w:val="24"/>
        </w:rPr>
        <w:t>合理</w:t>
      </w:r>
      <w:r>
        <w:rPr>
          <w:rFonts w:hint="eastAsia" w:ascii="Times New Roman" w:hAnsi="Times New Roman"/>
          <w:color w:val="auto"/>
          <w:sz w:val="24"/>
          <w:szCs w:val="24"/>
        </w:rPr>
        <w:t>。</w:t>
      </w:r>
    </w:p>
    <w:p w14:paraId="141E3245">
      <w:pPr>
        <w:pStyle w:val="39"/>
        <w:ind w:left="0" w:leftChars="0" w:firstLine="0" w:firstLineChars="0"/>
        <w:rPr>
          <w:rFonts w:ascii="Times New Roman" w:hAnsi="Times New Roman"/>
          <w:color w:val="auto"/>
        </w:rPr>
      </w:pPr>
      <w:bookmarkStart w:id="35" w:name="_Toc12863"/>
      <w:bookmarkStart w:id="36" w:name="_Toc30283"/>
      <w:r>
        <w:rPr>
          <w:rFonts w:ascii="Times New Roman" w:hAnsi="Times New Roman"/>
          <w:color w:val="auto"/>
        </w:rPr>
        <w:t>2.5 相关规划及环境功能区划</w:t>
      </w:r>
      <w:bookmarkEnd w:id="35"/>
      <w:bookmarkEnd w:id="36"/>
    </w:p>
    <w:p w14:paraId="3396D743">
      <w:pPr>
        <w:pStyle w:val="40"/>
        <w:ind w:left="0" w:leftChars="0" w:firstLine="0" w:firstLineChars="0"/>
        <w:rPr>
          <w:rFonts w:ascii="Times New Roman" w:hAnsi="Times New Roman"/>
          <w:color w:val="auto"/>
        </w:rPr>
      </w:pPr>
      <w:bookmarkStart w:id="37" w:name="_Toc26566"/>
      <w:r>
        <w:rPr>
          <w:rFonts w:ascii="Times New Roman" w:hAnsi="Times New Roman"/>
          <w:color w:val="auto"/>
        </w:rPr>
        <w:t xml:space="preserve">2.5.1 </w:t>
      </w:r>
      <w:r>
        <w:rPr>
          <w:rFonts w:hint="eastAsia" w:ascii="Times New Roman" w:hAnsi="Times New Roman"/>
          <w:color w:val="auto"/>
        </w:rPr>
        <w:t>规划</w:t>
      </w:r>
      <w:r>
        <w:rPr>
          <w:rFonts w:ascii="Times New Roman" w:hAnsi="Times New Roman"/>
          <w:color w:val="auto"/>
        </w:rPr>
        <w:t>符合性</w:t>
      </w:r>
      <w:bookmarkEnd w:id="37"/>
    </w:p>
    <w:p w14:paraId="3892FB99">
      <w:pPr>
        <w:bidi w:val="0"/>
        <w:ind w:left="0" w:leftChars="0" w:firstLine="482" w:firstLineChars="200"/>
        <w:outlineLvl w:val="3"/>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1、与</w:t>
      </w:r>
      <w:r>
        <w:rPr>
          <w:rFonts w:hint="default" w:ascii="Times New Roman" w:hAnsi="Times New Roman" w:eastAsia="宋体" w:cs="Times New Roman"/>
          <w:b/>
          <w:bCs/>
          <w:color w:val="auto"/>
          <w:lang w:val="en-US" w:eastAsia="zh-CN"/>
        </w:rPr>
        <w:t>《巴中市国土空间总体规划（2021-2035年）》</w:t>
      </w:r>
      <w:r>
        <w:rPr>
          <w:rFonts w:hint="eastAsia" w:ascii="Times New Roman" w:hAnsi="Times New Roman" w:eastAsia="宋体" w:cs="Times New Roman"/>
          <w:b/>
          <w:bCs/>
          <w:color w:val="auto"/>
          <w:lang w:val="en-US" w:eastAsia="zh-CN"/>
        </w:rPr>
        <w:t>、</w:t>
      </w:r>
      <w:r>
        <w:rPr>
          <w:rFonts w:hint="default" w:ascii="Times New Roman" w:hAnsi="Times New Roman" w:eastAsia="宋体" w:cs="Times New Roman"/>
          <w:b/>
          <w:bCs/>
          <w:color w:val="auto"/>
          <w:lang w:val="en-US" w:eastAsia="zh-CN"/>
        </w:rPr>
        <w:t>《通江县国土空间总体规划（2021-2035年）》</w:t>
      </w:r>
      <w:r>
        <w:rPr>
          <w:rFonts w:hint="eastAsia" w:ascii="Times New Roman" w:hAnsi="Times New Roman" w:eastAsia="宋体" w:cs="Times New Roman"/>
          <w:b/>
          <w:bCs/>
          <w:color w:val="auto"/>
        </w:rPr>
        <w:t>符合性</w:t>
      </w:r>
    </w:p>
    <w:p w14:paraId="35F104FC">
      <w:pPr>
        <w:autoSpaceDE w:val="0"/>
        <w:autoSpaceDN w:val="0"/>
        <w:adjustRightInd w:val="0"/>
        <w:spacing w:line="360" w:lineRule="auto"/>
        <w:ind w:left="0" w:leftChars="0" w:firstLine="480" w:firstLineChars="200"/>
        <w:rPr>
          <w:rFonts w:hint="default"/>
          <w:color w:val="auto"/>
          <w:sz w:val="24"/>
          <w:szCs w:val="24"/>
          <w:highlight w:val="none"/>
          <w:lang w:val="en-US" w:eastAsia="zh-CN"/>
        </w:rPr>
      </w:pPr>
      <w:r>
        <w:rPr>
          <w:rFonts w:hint="eastAsia"/>
          <w:b w:val="0"/>
          <w:bCs/>
          <w:color w:val="auto"/>
          <w:sz w:val="24"/>
          <w:lang w:val="en-US" w:eastAsia="zh-CN" w:bidi="en-US"/>
        </w:rPr>
        <w:t>《巴中市国土空间总体规划（2021-2035年）》和</w:t>
      </w:r>
      <w:r>
        <w:rPr>
          <w:rFonts w:hint="eastAsia"/>
          <w:color w:val="auto"/>
          <w:sz w:val="24"/>
          <w:lang w:val="en-US" w:eastAsia="zh-CN" w:bidi="en-US"/>
        </w:rPr>
        <w:t>四川省人民政府</w:t>
      </w:r>
      <w:r>
        <w:rPr>
          <w:rFonts w:hint="eastAsia"/>
          <w:color w:val="auto"/>
          <w:sz w:val="24"/>
          <w:lang w:eastAsia="zh-CN" w:bidi="en-US"/>
        </w:rPr>
        <w:t>关于《</w:t>
      </w:r>
      <w:r>
        <w:rPr>
          <w:rFonts w:hint="eastAsia"/>
          <w:color w:val="auto"/>
          <w:sz w:val="24"/>
          <w:lang w:val="en-US" w:eastAsia="zh-CN" w:bidi="en-US"/>
        </w:rPr>
        <w:t>巴中市国土空间总体规划（2021-2035年）</w:t>
      </w:r>
      <w:r>
        <w:rPr>
          <w:rFonts w:hint="eastAsia"/>
          <w:color w:val="auto"/>
          <w:sz w:val="24"/>
          <w:lang w:eastAsia="zh-CN" w:bidi="en-US"/>
        </w:rPr>
        <w:t>》的批复（</w:t>
      </w:r>
      <w:r>
        <w:rPr>
          <w:rFonts w:hint="eastAsia"/>
          <w:color w:val="auto"/>
          <w:sz w:val="24"/>
          <w:lang w:val="en-US" w:eastAsia="zh-CN" w:bidi="en-US"/>
        </w:rPr>
        <w:t>川府</w:t>
      </w:r>
      <w:r>
        <w:rPr>
          <w:rFonts w:hint="eastAsia"/>
          <w:color w:val="auto"/>
          <w:sz w:val="24"/>
          <w:lang w:eastAsia="zh-CN" w:bidi="en-US"/>
        </w:rPr>
        <w:t>函〔</w:t>
      </w:r>
      <w:r>
        <w:rPr>
          <w:rFonts w:hint="eastAsia"/>
          <w:color w:val="auto"/>
          <w:sz w:val="24"/>
          <w:lang w:val="en-US" w:eastAsia="zh-CN" w:bidi="en-US"/>
        </w:rPr>
        <w:t>2024</w:t>
      </w:r>
      <w:r>
        <w:rPr>
          <w:rFonts w:hint="eastAsia"/>
          <w:color w:val="auto"/>
          <w:sz w:val="24"/>
          <w:lang w:eastAsia="zh-CN" w:bidi="en-US"/>
        </w:rPr>
        <w:t>〕</w:t>
      </w:r>
      <w:r>
        <w:rPr>
          <w:rFonts w:hint="eastAsia"/>
          <w:color w:val="auto"/>
          <w:sz w:val="24"/>
          <w:lang w:val="en-US" w:eastAsia="zh-CN" w:bidi="en-US"/>
        </w:rPr>
        <w:t>65</w:t>
      </w:r>
      <w:r>
        <w:rPr>
          <w:rFonts w:hint="eastAsia"/>
          <w:color w:val="auto"/>
          <w:sz w:val="24"/>
          <w:lang w:eastAsia="zh-CN" w:bidi="en-US"/>
        </w:rPr>
        <w:t>号）</w:t>
      </w:r>
      <w:r>
        <w:rPr>
          <w:rFonts w:hint="eastAsia"/>
          <w:color w:val="auto"/>
          <w:sz w:val="24"/>
          <w:lang w:val="en-US" w:eastAsia="zh-CN" w:bidi="en-US"/>
        </w:rPr>
        <w:t>中明确</w:t>
      </w:r>
      <w:r>
        <w:rPr>
          <w:rFonts w:hint="eastAsia"/>
          <w:color w:val="auto"/>
          <w:sz w:val="24"/>
          <w:lang w:eastAsia="zh-CN" w:bidi="en-US"/>
        </w:rPr>
        <w:t>：</w:t>
      </w:r>
      <w:r>
        <w:rPr>
          <w:rFonts w:hint="eastAsia"/>
          <w:i/>
          <w:iCs/>
          <w:color w:val="auto"/>
          <w:sz w:val="24"/>
          <w:lang w:eastAsia="zh-CN" w:bidi="en-US"/>
        </w:rPr>
        <w:t>规划构建“一屏一区、一核三副六廊”的市域国土空间总体格局</w:t>
      </w:r>
      <w:r>
        <w:rPr>
          <w:rFonts w:hint="eastAsia"/>
          <w:i/>
          <w:iCs/>
          <w:color w:val="auto"/>
          <w:sz w:val="24"/>
          <w:lang w:val="en-US" w:eastAsia="zh-CN" w:bidi="en-US"/>
        </w:rPr>
        <w:t>......</w:t>
      </w:r>
      <w:r>
        <w:rPr>
          <w:rFonts w:hint="eastAsia"/>
          <w:i/>
          <w:iCs/>
          <w:color w:val="auto"/>
          <w:sz w:val="24"/>
          <w:lang w:eastAsia="zh-CN" w:bidi="en-US"/>
        </w:rPr>
        <w:t>“一核”指以巴中市中心城区为发展核心，包含巴州城区、恩阳城区、</w:t>
      </w:r>
      <w:r>
        <w:rPr>
          <w:rFonts w:hint="eastAsia"/>
          <w:b/>
          <w:bCs/>
          <w:i/>
          <w:iCs/>
          <w:color w:val="auto"/>
          <w:sz w:val="24"/>
          <w:lang w:eastAsia="zh-CN" w:bidi="en-US"/>
        </w:rPr>
        <w:t>巴中经开区</w:t>
      </w:r>
      <w:r>
        <w:rPr>
          <w:rFonts w:hint="eastAsia"/>
          <w:i/>
          <w:iCs/>
          <w:color w:val="auto"/>
          <w:sz w:val="24"/>
          <w:lang w:val="en-US" w:eastAsia="zh-CN" w:bidi="en-US"/>
        </w:rPr>
        <w:t>......巴中经开区争创国家级经开区，建成全市的政治中心、经济中心、创新中心，打造全市创新驱动的龙头、后发赶超的样板、振兴发展的引擎。重点发展生物医药和新能源新材料产业、</w:t>
      </w:r>
      <w:r>
        <w:rPr>
          <w:rFonts w:hint="eastAsia"/>
          <w:b/>
          <w:bCs/>
          <w:i/>
          <w:iCs/>
          <w:color w:val="auto"/>
          <w:sz w:val="24"/>
          <w:lang w:val="en-US" w:eastAsia="zh-CN" w:bidi="en-US"/>
        </w:rPr>
        <w:t>天然气化工产业</w:t>
      </w:r>
      <w:r>
        <w:rPr>
          <w:rFonts w:hint="eastAsia"/>
          <w:i/>
          <w:iCs/>
          <w:color w:val="auto"/>
          <w:sz w:val="24"/>
          <w:lang w:val="en-US" w:eastAsia="zh-CN" w:bidi="en-US"/>
        </w:rPr>
        <w:t>，打造工业高质量发展新引擎......结合巴中市发展需求，省级经济开发区努力打造国家级经济开发区，积极推进经济开发区的扩区建设，</w:t>
      </w:r>
      <w:r>
        <w:rPr>
          <w:rFonts w:hint="eastAsia"/>
          <w:b/>
          <w:bCs/>
          <w:i/>
          <w:iCs/>
          <w:color w:val="auto"/>
          <w:sz w:val="24"/>
          <w:lang w:val="en-US" w:eastAsia="zh-CN" w:bidi="en-US"/>
        </w:rPr>
        <w:t>优先保障产业园区的用地</w:t>
      </w:r>
      <w:r>
        <w:rPr>
          <w:rFonts w:hint="eastAsia"/>
          <w:i/>
          <w:iCs/>
          <w:color w:val="auto"/>
          <w:sz w:val="24"/>
          <w:lang w:val="en-US" w:eastAsia="zh-CN" w:bidi="en-US"/>
        </w:rPr>
        <w:t>，优化产业发展方向，支撑产业培育振兴，加强产业园区与城区的通道联系和设施对接，引领园区高质量发展</w:t>
      </w:r>
      <w:r>
        <w:rPr>
          <w:rFonts w:hint="eastAsia"/>
          <w:i w:val="0"/>
          <w:iCs w:val="0"/>
          <w:color w:val="auto"/>
          <w:sz w:val="24"/>
          <w:lang w:val="en-US" w:eastAsia="zh-CN" w:bidi="en-US"/>
        </w:rPr>
        <w:t>。</w:t>
      </w:r>
    </w:p>
    <w:p w14:paraId="025C5622">
      <w:pPr>
        <w:autoSpaceDE w:val="0"/>
        <w:autoSpaceDN w:val="0"/>
        <w:adjustRightInd w:val="0"/>
        <w:spacing w:line="360" w:lineRule="auto"/>
        <w:ind w:left="0" w:leftChars="0"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《通江县国土空间总体规划（2021-2035年）》和四川省人民政府关于《巴中市南江县等3个县国土空间总体规划（2021-2035年）的批复》</w:t>
      </w:r>
      <w:r>
        <w:rPr>
          <w:rFonts w:hint="eastAsia"/>
          <w:color w:val="auto"/>
          <w:sz w:val="24"/>
          <w:lang w:eastAsia="zh-CN" w:bidi="en-US"/>
        </w:rPr>
        <w:t>（川府函〔</w:t>
      </w:r>
      <w:r>
        <w:rPr>
          <w:rFonts w:hint="eastAsia"/>
          <w:color w:val="auto"/>
          <w:sz w:val="24"/>
          <w:lang w:val="en-US" w:eastAsia="zh-CN" w:bidi="en-US"/>
        </w:rPr>
        <w:t>2024</w:t>
      </w:r>
      <w:r>
        <w:rPr>
          <w:rFonts w:hint="eastAsia"/>
          <w:color w:val="auto"/>
          <w:sz w:val="24"/>
          <w:lang w:eastAsia="zh-CN" w:bidi="en-US"/>
        </w:rPr>
        <w:t>〕</w:t>
      </w:r>
      <w:r>
        <w:rPr>
          <w:rFonts w:hint="eastAsia"/>
          <w:color w:val="auto"/>
          <w:sz w:val="24"/>
          <w:lang w:val="en-US" w:eastAsia="zh-CN" w:bidi="en-US"/>
        </w:rPr>
        <w:t>166</w:t>
      </w:r>
      <w:r>
        <w:rPr>
          <w:rFonts w:hint="eastAsia"/>
          <w:color w:val="auto"/>
          <w:sz w:val="24"/>
          <w:lang w:eastAsia="zh-CN" w:bidi="en-US"/>
        </w:rPr>
        <w:t>号）</w:t>
      </w:r>
      <w:r>
        <w:rPr>
          <w:rFonts w:hint="eastAsia"/>
          <w:color w:val="auto"/>
          <w:sz w:val="24"/>
          <w:lang w:val="en-US" w:eastAsia="zh-CN" w:bidi="en-US"/>
        </w:rPr>
        <w:t>中明确：</w:t>
      </w:r>
      <w:r>
        <w:rPr>
          <w:rFonts w:hint="eastAsia"/>
          <w:i/>
          <w:iCs/>
          <w:color w:val="auto"/>
          <w:sz w:val="24"/>
          <w:lang w:val="en-US" w:eastAsia="zh-CN" w:bidi="en-US"/>
        </w:rPr>
        <w:t>落实节约集约发展要求，加大城乡存量用地挖潜力度，全面提升国土空间开发保护利用水平</w:t>
      </w:r>
      <w:r>
        <w:rPr>
          <w:rFonts w:hint="eastAsia"/>
          <w:color w:val="auto"/>
          <w:sz w:val="24"/>
          <w:szCs w:val="24"/>
          <w:highlight w:val="none"/>
          <w:lang w:val="en-US" w:eastAsia="zh-CN"/>
        </w:rPr>
        <w:t xml:space="preserve">。 </w:t>
      </w:r>
    </w:p>
    <w:p w14:paraId="07BF18BE">
      <w:pPr>
        <w:autoSpaceDE w:val="0"/>
        <w:autoSpaceDN w:val="0"/>
        <w:adjustRightInd w:val="0"/>
        <w:spacing w:line="360" w:lineRule="auto"/>
        <w:ind w:left="0" w:leftChars="0"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根据</w:t>
      </w:r>
      <w:r>
        <w:rPr>
          <w:rFonts w:hint="eastAsia"/>
          <w:b w:val="0"/>
          <w:bCs/>
          <w:color w:val="auto"/>
          <w:sz w:val="24"/>
          <w:lang w:val="en-US" w:eastAsia="zh-CN" w:bidi="en-US"/>
        </w:rPr>
        <w:t>《巴中市国土空间总体规划（2021-2035年）</w:t>
      </w:r>
      <w:r>
        <w:rPr>
          <w:rFonts w:hint="eastAsia"/>
          <w:color w:val="auto"/>
          <w:sz w:val="24"/>
          <w:szCs w:val="24"/>
          <w:highlight w:val="none"/>
          <w:lang w:val="en-US" w:eastAsia="zh-CN"/>
        </w:rPr>
        <w:t>-市域城镇开发边界图》（见附图14），本项目位于城镇开发边界内；根据本项目地块</w:t>
      </w:r>
      <w:r>
        <w:rPr>
          <w:rFonts w:hint="eastAsia" w:cs="Times New Roman"/>
          <w:color w:val="auto"/>
          <w:kern w:val="2"/>
          <w:sz w:val="24"/>
          <w:szCs w:val="30"/>
          <w:lang w:val="en-US" w:eastAsia="zh-CN" w:bidi="ar-SA"/>
        </w:rPr>
        <w:t>《国有建设用地使用权出让合同》</w:t>
      </w:r>
      <w:r>
        <w:rPr>
          <w:rFonts w:hint="eastAsia"/>
          <w:color w:val="auto"/>
          <w:sz w:val="24"/>
          <w:szCs w:val="24"/>
          <w:highlight w:val="none"/>
          <w:lang w:val="en-US" w:eastAsia="zh-CN"/>
        </w:rPr>
        <w:t>（不动产单元代码：511921005002GB00006W00000000、合同编号：511921-2025P-21）（见附件3-1）和《</w:t>
      </w:r>
      <w:r>
        <w:rPr>
          <w:rFonts w:hint="eastAsia"/>
          <w:color w:val="auto"/>
          <w:sz w:val="24"/>
          <w:lang w:val="en-US" w:eastAsia="zh-CN"/>
        </w:rPr>
        <w:t>四川巴中经济开发区金堂区块</w:t>
      </w:r>
      <w:r>
        <w:rPr>
          <w:rFonts w:hint="eastAsia"/>
          <w:color w:val="auto"/>
          <w:sz w:val="24"/>
          <w:szCs w:val="24"/>
          <w:highlight w:val="none"/>
          <w:lang w:val="en-US" w:eastAsia="zh-CN"/>
        </w:rPr>
        <w:t>土地使用规划图》（见附图15），本项目用地性质为三类工业用地；本项目</w:t>
      </w:r>
      <w:r>
        <w:rPr>
          <w:rFonts w:hint="eastAsia" w:ascii="Times New Roman"/>
          <w:color w:val="auto"/>
          <w:sz w:val="24"/>
          <w:lang w:val="en-US" w:eastAsia="zh-CN"/>
        </w:rPr>
        <w:t>为</w:t>
      </w:r>
      <w:r>
        <w:rPr>
          <w:rFonts w:hint="eastAsia"/>
          <w:bCs/>
          <w:color w:val="auto"/>
          <w:kern w:val="0"/>
          <w:sz w:val="24"/>
          <w:lang w:val="en-US" w:eastAsia="zh-CN"/>
        </w:rPr>
        <w:t>混凝土添加剂生产</w:t>
      </w:r>
      <w:r>
        <w:rPr>
          <w:rFonts w:hint="eastAsia" w:ascii="Times New Roman"/>
          <w:color w:val="auto"/>
          <w:sz w:val="24"/>
          <w:lang w:val="en-US" w:eastAsia="zh-CN"/>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lang w:val="en-US" w:eastAsia="zh-CN"/>
        </w:rPr>
        <w:t>，本项目</w:t>
      </w:r>
      <w:r>
        <w:rPr>
          <w:rFonts w:hint="eastAsia"/>
          <w:color w:val="auto"/>
          <w:sz w:val="24"/>
          <w:lang w:val="en-US" w:eastAsia="zh-CN"/>
        </w:rPr>
        <w:t>生产所需</w:t>
      </w:r>
      <w:r>
        <w:rPr>
          <w:rFonts w:hint="eastAsia" w:ascii="Times New Roman"/>
          <w:color w:val="auto"/>
          <w:sz w:val="24"/>
          <w:lang w:val="en-US" w:eastAsia="zh-CN"/>
        </w:rPr>
        <w:t>部分</w:t>
      </w:r>
      <w:r>
        <w:rPr>
          <w:rFonts w:hint="eastAsia"/>
          <w:color w:val="auto"/>
          <w:sz w:val="24"/>
          <w:lang w:val="en-US" w:eastAsia="zh-CN"/>
        </w:rPr>
        <w:t>原辅材料</w:t>
      </w:r>
      <w:r>
        <w:rPr>
          <w:rFonts w:hint="eastAsia" w:ascii="Times New Roman"/>
          <w:color w:val="auto"/>
          <w:sz w:val="24"/>
          <w:lang w:val="en-US" w:eastAsia="zh-CN"/>
        </w:rPr>
        <w:t>取自天然气化工产业链的下游产品或衍生中间体</w:t>
      </w:r>
      <w:r>
        <w:rPr>
          <w:rFonts w:hint="eastAsia"/>
          <w:color w:val="auto"/>
          <w:sz w:val="24"/>
          <w:lang w:val="en-US" w:eastAsia="zh-CN"/>
        </w:rPr>
        <w:t>，</w:t>
      </w:r>
      <w:r>
        <w:rPr>
          <w:rFonts w:hint="eastAsia" w:ascii="Times New Roman"/>
          <w:color w:val="auto"/>
          <w:sz w:val="24"/>
          <w:lang w:val="en-US" w:eastAsia="zh-CN"/>
        </w:rPr>
        <w:t>与</w:t>
      </w:r>
      <w:r>
        <w:rPr>
          <w:rFonts w:hint="eastAsia"/>
          <w:color w:val="auto"/>
          <w:sz w:val="24"/>
          <w:lang w:val="en-US" w:eastAsia="zh-CN"/>
        </w:rPr>
        <w:t>其主导产业-</w:t>
      </w:r>
      <w:r>
        <w:rPr>
          <w:rFonts w:hint="eastAsia" w:ascii="Times New Roman"/>
          <w:color w:val="auto"/>
          <w:sz w:val="24"/>
          <w:lang w:val="en-US" w:eastAsia="zh-CN"/>
        </w:rPr>
        <w:t>天然气化工新材料高度契合。</w:t>
      </w:r>
      <w:r>
        <w:rPr>
          <w:rFonts w:hint="eastAsia"/>
          <w:color w:val="auto"/>
          <w:sz w:val="24"/>
          <w:szCs w:val="24"/>
          <w:highlight w:val="none"/>
          <w:lang w:val="en-US" w:eastAsia="zh-CN"/>
        </w:rPr>
        <w:t>因此，本项目符合《巴中市国土空间总体规划（2021-2035年）》、《通江县国土空间总体规划（2021-2035年）》中相关要求。</w:t>
      </w:r>
    </w:p>
    <w:p w14:paraId="179E5A3E">
      <w:pPr>
        <w:pStyle w:val="29"/>
        <w:ind w:left="0" w:leftChars="0" w:firstLine="482" w:firstLineChars="200"/>
        <w:rPr>
          <w:color w:val="auto"/>
        </w:rPr>
      </w:pPr>
      <w:r>
        <w:rPr>
          <w:rFonts w:hint="eastAsia"/>
          <w:color w:val="auto"/>
          <w:lang w:val="en-US" w:eastAsia="zh-CN"/>
        </w:rPr>
        <w:t>2</w:t>
      </w:r>
      <w:r>
        <w:rPr>
          <w:color w:val="auto"/>
        </w:rPr>
        <w:t>、与</w:t>
      </w:r>
      <w:r>
        <w:rPr>
          <w:rFonts w:hint="eastAsia"/>
          <w:color w:val="auto"/>
          <w:lang w:val="en-US" w:eastAsia="zh-CN"/>
        </w:rPr>
        <w:t>《</w:t>
      </w:r>
      <w:r>
        <w:rPr>
          <w:rFonts w:hint="default"/>
          <w:color w:val="auto"/>
          <w:lang w:val="en-US" w:eastAsia="zh-CN"/>
        </w:rPr>
        <w:t>巴中市工业园区发展规划（2022</w:t>
      </w:r>
      <w:r>
        <w:rPr>
          <w:rFonts w:hint="eastAsia"/>
          <w:color w:val="auto"/>
          <w:lang w:val="en-US" w:eastAsia="zh-CN"/>
        </w:rPr>
        <w:t>-</w:t>
      </w:r>
      <w:r>
        <w:rPr>
          <w:rFonts w:hint="default"/>
          <w:color w:val="auto"/>
          <w:lang w:val="en-US" w:eastAsia="zh-CN"/>
        </w:rPr>
        <w:t>2027年）</w:t>
      </w:r>
      <w:r>
        <w:rPr>
          <w:rFonts w:hint="eastAsia"/>
          <w:color w:val="auto"/>
          <w:lang w:val="en-US" w:eastAsia="zh-CN"/>
        </w:rPr>
        <w:t>》</w:t>
      </w:r>
      <w:r>
        <w:rPr>
          <w:color w:val="auto"/>
        </w:rPr>
        <w:t>符合性</w:t>
      </w:r>
    </w:p>
    <w:p w14:paraId="4666A6C9">
      <w:pPr>
        <w:autoSpaceDE w:val="0"/>
        <w:autoSpaceDN w:val="0"/>
        <w:adjustRightInd w:val="0"/>
        <w:spacing w:line="360" w:lineRule="auto"/>
        <w:ind w:left="0" w:leftChars="0" w:firstLine="480" w:firstLineChars="200"/>
        <w:rPr>
          <w:rFonts w:hint="default"/>
          <w:i/>
          <w:iCs/>
          <w:color w:val="auto"/>
          <w:sz w:val="24"/>
          <w:szCs w:val="24"/>
          <w:highlight w:val="none"/>
          <w:lang w:val="en-US" w:eastAsia="zh-CN"/>
        </w:rPr>
      </w:pPr>
      <w:r>
        <w:rPr>
          <w:rFonts w:hint="eastAsia"/>
          <w:color w:val="auto"/>
          <w:sz w:val="24"/>
          <w:szCs w:val="24"/>
          <w:highlight w:val="none"/>
          <w:lang w:val="en-US" w:eastAsia="zh-CN"/>
        </w:rPr>
        <w:t>《巴中市工业园区发展规划（2022-2027年）》和巴中市人民政府关于印发《巴中市工业园区发展规划（2022-2027年）》的通知</w:t>
      </w:r>
      <w:r>
        <w:rPr>
          <w:rFonts w:hint="eastAsia"/>
          <w:color w:val="auto"/>
          <w:sz w:val="24"/>
          <w:lang w:eastAsia="zh-CN" w:bidi="en-US"/>
        </w:rPr>
        <w:t>（</w:t>
      </w:r>
      <w:r>
        <w:rPr>
          <w:rFonts w:hint="eastAsia"/>
          <w:color w:val="auto"/>
          <w:sz w:val="24"/>
          <w:lang w:val="en-US" w:eastAsia="zh-CN" w:bidi="en-US"/>
        </w:rPr>
        <w:t>巴</w:t>
      </w:r>
      <w:r>
        <w:rPr>
          <w:rFonts w:hint="eastAsia"/>
          <w:color w:val="auto"/>
          <w:sz w:val="24"/>
          <w:lang w:eastAsia="zh-CN" w:bidi="en-US"/>
        </w:rPr>
        <w:t>府</w:t>
      </w:r>
      <w:r>
        <w:rPr>
          <w:rFonts w:hint="eastAsia"/>
          <w:color w:val="auto"/>
          <w:sz w:val="24"/>
          <w:lang w:val="en-US" w:eastAsia="zh-CN" w:bidi="en-US"/>
        </w:rPr>
        <w:t>发</w:t>
      </w:r>
      <w:r>
        <w:rPr>
          <w:rFonts w:hint="eastAsia"/>
          <w:color w:val="auto"/>
          <w:sz w:val="24"/>
          <w:lang w:eastAsia="zh-CN" w:bidi="en-US"/>
        </w:rPr>
        <w:t>〔</w:t>
      </w:r>
      <w:r>
        <w:rPr>
          <w:rFonts w:hint="eastAsia"/>
          <w:color w:val="auto"/>
          <w:sz w:val="24"/>
          <w:lang w:val="en-US" w:eastAsia="zh-CN" w:bidi="en-US"/>
        </w:rPr>
        <w:t>2023</w:t>
      </w:r>
      <w:r>
        <w:rPr>
          <w:rFonts w:hint="eastAsia"/>
          <w:color w:val="auto"/>
          <w:sz w:val="24"/>
          <w:lang w:eastAsia="zh-CN" w:bidi="en-US"/>
        </w:rPr>
        <w:t>〕</w:t>
      </w:r>
      <w:r>
        <w:rPr>
          <w:rFonts w:hint="eastAsia"/>
          <w:color w:val="auto"/>
          <w:sz w:val="24"/>
          <w:lang w:val="en-US" w:eastAsia="zh-CN" w:bidi="en-US"/>
        </w:rPr>
        <w:t>6</w:t>
      </w:r>
      <w:r>
        <w:rPr>
          <w:rFonts w:hint="eastAsia"/>
          <w:color w:val="auto"/>
          <w:sz w:val="24"/>
          <w:lang w:eastAsia="zh-CN" w:bidi="en-US"/>
        </w:rPr>
        <w:t>号）</w:t>
      </w:r>
      <w:r>
        <w:rPr>
          <w:rFonts w:hint="eastAsia"/>
          <w:color w:val="auto"/>
          <w:sz w:val="24"/>
          <w:lang w:val="en-US" w:eastAsia="zh-CN" w:bidi="en-US"/>
        </w:rPr>
        <w:t>中明确：</w:t>
      </w:r>
      <w:r>
        <w:rPr>
          <w:rFonts w:hint="eastAsia"/>
          <w:i/>
          <w:iCs/>
          <w:color w:val="auto"/>
          <w:sz w:val="24"/>
          <w:lang w:val="en-US" w:eastAsia="zh-CN" w:bidi="en-US"/>
        </w:rPr>
        <w:t>以</w:t>
      </w:r>
      <w:r>
        <w:rPr>
          <w:rFonts w:hint="eastAsia"/>
          <w:b/>
          <w:bCs/>
          <w:i/>
          <w:iCs/>
          <w:color w:val="auto"/>
          <w:sz w:val="24"/>
          <w:lang w:val="en-US" w:eastAsia="zh-CN" w:bidi="en-US"/>
        </w:rPr>
        <w:t>巴中经开区</w:t>
      </w:r>
      <w:r>
        <w:rPr>
          <w:rFonts w:hint="eastAsia"/>
          <w:i/>
          <w:iCs/>
          <w:color w:val="auto"/>
          <w:sz w:val="24"/>
          <w:lang w:val="en-US" w:eastAsia="zh-CN" w:bidi="en-US"/>
        </w:rPr>
        <w:t>为核心，汇聚人才流、资金流、技术流、信息流等高端要素，突出发展高端产业和产业高端，引领巴中工业园区迈上新台阶......按照“全市政治中心、经济中心、创新中心”总体定位，对标园区4.0标准，高起点开展“二次创业”，重点发展“新能源新材料+生物医药”（“1+1”产业），持续聚焦电池材料、</w:t>
      </w:r>
      <w:r>
        <w:rPr>
          <w:rFonts w:hint="eastAsia"/>
          <w:b w:val="0"/>
          <w:bCs w:val="0"/>
          <w:i/>
          <w:iCs/>
          <w:color w:val="auto"/>
          <w:sz w:val="24"/>
          <w:lang w:val="en-US" w:eastAsia="zh-CN" w:bidi="en-US"/>
        </w:rPr>
        <w:t>新型建筑材料、</w:t>
      </w:r>
      <w:r>
        <w:rPr>
          <w:rFonts w:hint="eastAsia"/>
          <w:b/>
          <w:bCs/>
          <w:i/>
          <w:iCs/>
          <w:color w:val="auto"/>
          <w:sz w:val="24"/>
          <w:lang w:val="en-US" w:eastAsia="zh-CN" w:bidi="en-US"/>
        </w:rPr>
        <w:t>天然气化工</w:t>
      </w:r>
      <w:r>
        <w:rPr>
          <w:rFonts w:hint="eastAsia"/>
          <w:i/>
          <w:iCs/>
          <w:color w:val="auto"/>
          <w:sz w:val="24"/>
          <w:lang w:val="en-US" w:eastAsia="zh-CN" w:bidi="en-US"/>
        </w:rPr>
        <w:t>、清洁能源、中成药、中药饮片、医疗耗材等细分领域；培育时尚消费品制造（品质家居、智能移动终端、时尚服饰）、机械制造（新能源汽车零部件及塑料五金等）等，积极发展信息服务、科技服务为主的制造服务业，构建新型工业与生产性服务业协同发展的产业体系</w:t>
      </w:r>
      <w:r>
        <w:rPr>
          <w:rFonts w:hint="eastAsia"/>
          <w:i w:val="0"/>
          <w:iCs w:val="0"/>
          <w:color w:val="auto"/>
          <w:sz w:val="24"/>
          <w:lang w:val="en-US" w:eastAsia="zh-CN" w:bidi="en-US"/>
        </w:rPr>
        <w:t>。</w:t>
      </w:r>
    </w:p>
    <w:p w14:paraId="093B0126">
      <w:pPr>
        <w:autoSpaceDE w:val="0"/>
        <w:autoSpaceDN w:val="0"/>
        <w:adjustRightInd w:val="0"/>
        <w:spacing w:line="360" w:lineRule="auto"/>
        <w:ind w:left="0" w:leftChars="0"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本项目</w:t>
      </w:r>
      <w:r>
        <w:rPr>
          <w:rFonts w:hint="eastAsia" w:ascii="Times New Roman"/>
          <w:color w:val="auto"/>
          <w:sz w:val="24"/>
          <w:lang w:val="en-US" w:eastAsia="zh-CN"/>
        </w:rPr>
        <w:t>为</w:t>
      </w:r>
      <w:r>
        <w:rPr>
          <w:rFonts w:hint="eastAsia"/>
          <w:bCs/>
          <w:color w:val="auto"/>
          <w:kern w:val="0"/>
          <w:sz w:val="24"/>
          <w:lang w:val="en-US" w:eastAsia="zh-CN"/>
        </w:rPr>
        <w:t>混凝土添加剂生产</w:t>
      </w:r>
      <w:r>
        <w:rPr>
          <w:rFonts w:hint="eastAsia" w:ascii="Times New Roman"/>
          <w:color w:val="auto"/>
          <w:sz w:val="24"/>
          <w:lang w:val="en-US" w:eastAsia="zh-CN"/>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lang w:val="en-US" w:eastAsia="zh-CN"/>
        </w:rPr>
        <w:t>，本项目</w:t>
      </w:r>
      <w:r>
        <w:rPr>
          <w:rFonts w:hint="eastAsia"/>
          <w:color w:val="auto"/>
          <w:sz w:val="24"/>
          <w:lang w:val="en-US" w:eastAsia="zh-CN"/>
        </w:rPr>
        <w:t>生产所需</w:t>
      </w:r>
      <w:r>
        <w:rPr>
          <w:rFonts w:hint="eastAsia" w:ascii="Times New Roman"/>
          <w:color w:val="auto"/>
          <w:sz w:val="24"/>
          <w:lang w:val="en-US" w:eastAsia="zh-CN"/>
        </w:rPr>
        <w:t>部分</w:t>
      </w:r>
      <w:r>
        <w:rPr>
          <w:rFonts w:hint="eastAsia"/>
          <w:color w:val="auto"/>
          <w:sz w:val="24"/>
          <w:lang w:val="en-US" w:eastAsia="zh-CN"/>
        </w:rPr>
        <w:t>原辅材料</w:t>
      </w:r>
      <w:r>
        <w:rPr>
          <w:rFonts w:hint="eastAsia" w:ascii="Times New Roman"/>
          <w:color w:val="auto"/>
          <w:sz w:val="24"/>
          <w:lang w:val="en-US" w:eastAsia="zh-CN"/>
        </w:rPr>
        <w:t>取自天然气化工产业链的下游产品或衍生中间体</w:t>
      </w:r>
      <w:r>
        <w:rPr>
          <w:rFonts w:hint="eastAsia"/>
          <w:color w:val="auto"/>
          <w:sz w:val="24"/>
          <w:lang w:val="en-US" w:eastAsia="zh-CN"/>
        </w:rPr>
        <w:t>，</w:t>
      </w:r>
      <w:r>
        <w:rPr>
          <w:rFonts w:hint="eastAsia" w:ascii="Times New Roman"/>
          <w:color w:val="auto"/>
          <w:sz w:val="24"/>
          <w:lang w:val="en-US" w:eastAsia="zh-CN"/>
        </w:rPr>
        <w:t>与</w:t>
      </w:r>
      <w:r>
        <w:rPr>
          <w:rFonts w:hint="eastAsia"/>
          <w:color w:val="auto"/>
          <w:sz w:val="24"/>
          <w:lang w:val="en-US" w:eastAsia="zh-CN"/>
        </w:rPr>
        <w:t>其主导产业-</w:t>
      </w:r>
      <w:r>
        <w:rPr>
          <w:rFonts w:hint="eastAsia" w:ascii="Times New Roman"/>
          <w:color w:val="auto"/>
          <w:sz w:val="24"/>
          <w:lang w:val="en-US" w:eastAsia="zh-CN"/>
        </w:rPr>
        <w:t>天然气化工新材料高度契合。</w:t>
      </w:r>
      <w:r>
        <w:rPr>
          <w:rFonts w:hint="eastAsia"/>
          <w:color w:val="auto"/>
          <w:sz w:val="24"/>
          <w:szCs w:val="24"/>
          <w:highlight w:val="none"/>
          <w:lang w:val="en-US" w:eastAsia="zh-CN"/>
        </w:rPr>
        <w:t>因此，本项目符合《巴中市工业园区发展规划（2022-2027年）》中相关要求。</w:t>
      </w:r>
    </w:p>
    <w:p w14:paraId="2B1A1F4F">
      <w:pPr>
        <w:pStyle w:val="29"/>
        <w:ind w:left="0" w:leftChars="0" w:firstLine="482" w:firstLineChars="200"/>
        <w:rPr>
          <w:color w:val="auto"/>
        </w:rPr>
      </w:pPr>
      <w:bookmarkStart w:id="38" w:name="_Toc455395198"/>
      <w:bookmarkStart w:id="39" w:name="_Toc455997579"/>
      <w:bookmarkStart w:id="40" w:name="_Toc5608"/>
      <w:r>
        <w:rPr>
          <w:rFonts w:hint="eastAsia"/>
          <w:color w:val="auto"/>
          <w:lang w:val="en-US" w:eastAsia="zh-CN"/>
        </w:rPr>
        <w:t>3</w:t>
      </w:r>
      <w:r>
        <w:rPr>
          <w:color w:val="auto"/>
        </w:rPr>
        <w:t>、与</w:t>
      </w:r>
      <w:r>
        <w:rPr>
          <w:rFonts w:hint="eastAsia"/>
          <w:color w:val="auto"/>
          <w:lang w:val="en-US" w:eastAsia="zh-CN"/>
        </w:rPr>
        <w:t>四川巴中经济开发区规</w:t>
      </w:r>
      <w:r>
        <w:rPr>
          <w:rFonts w:hint="eastAsia"/>
          <w:color w:val="auto"/>
        </w:rPr>
        <w:t>划</w:t>
      </w:r>
      <w:r>
        <w:rPr>
          <w:color w:val="auto"/>
        </w:rPr>
        <w:t>符合性</w:t>
      </w:r>
    </w:p>
    <w:p w14:paraId="63842059">
      <w:pPr>
        <w:pStyle w:val="41"/>
        <w:numPr>
          <w:ilvl w:val="0"/>
          <w:numId w:val="0"/>
        </w:numPr>
        <w:spacing w:line="360" w:lineRule="auto"/>
        <w:ind w:firstLine="480" w:firstLineChars="200"/>
        <w:rPr>
          <w:rFonts w:hint="eastAsia"/>
          <w:color w:val="auto"/>
          <w:lang w:val="en-US" w:eastAsia="zh-CN"/>
        </w:rPr>
      </w:pPr>
      <w:r>
        <w:rPr>
          <w:rFonts w:hint="eastAsia"/>
          <w:color w:val="auto"/>
          <w:lang w:val="en-US" w:eastAsia="zh-CN"/>
        </w:rPr>
        <w:t>2003年，原四川省发展计划委员会以川计综函〔2003〕168号批准成立四川巴中经济技术开发区；2006年，国家发展和改革委员会公告（2006 年第 23 号）核定四川巴中经济开发区（原四川巴中经济技术开发区）为省级开发区。后期历经多次区位调整、扩区调位、规划修编，至2022年9月，经巴中市委市政府研究决定，分别在巴州区曾口镇城镇开发边界范围内设立曾口工业园、通江县诺江镇城镇开发边界范围内设立金堂工业园，作为天然气资源就地转化基地，重点发展天然气化工和新能源新材料，并纳入巴中经开区托管。</w:t>
      </w:r>
      <w:r>
        <w:rPr>
          <w:rFonts w:hint="default"/>
          <w:color w:val="auto"/>
          <w:lang w:val="en-US" w:eastAsia="zh-CN"/>
        </w:rPr>
        <w:t>2022年11月</w:t>
      </w:r>
      <w:r>
        <w:rPr>
          <w:rFonts w:hint="eastAsia"/>
          <w:color w:val="auto"/>
          <w:lang w:val="en-US" w:eastAsia="zh-CN"/>
        </w:rPr>
        <w:t>，四川巴中经济开发区管理委员会</w:t>
      </w:r>
      <w:r>
        <w:rPr>
          <w:rFonts w:hint="default"/>
          <w:color w:val="auto"/>
          <w:lang w:val="en-US" w:eastAsia="zh-CN"/>
        </w:rPr>
        <w:t>组织编制了《四川巴中经济开发区规划修编》，规划面积1677.3513hm</w:t>
      </w:r>
      <w:r>
        <w:rPr>
          <w:rFonts w:hint="default"/>
          <w:color w:val="auto"/>
          <w:vertAlign w:val="superscript"/>
          <w:lang w:val="en-US" w:eastAsia="zh-CN"/>
        </w:rPr>
        <w:t>2</w:t>
      </w:r>
      <w:r>
        <w:rPr>
          <w:rFonts w:hint="default"/>
          <w:color w:val="auto"/>
          <w:lang w:val="en-US" w:eastAsia="zh-CN"/>
        </w:rPr>
        <w:t>，</w:t>
      </w:r>
      <w:r>
        <w:rPr>
          <w:rFonts w:hint="eastAsia"/>
          <w:color w:val="auto"/>
          <w:lang w:val="en-US" w:eastAsia="zh-CN"/>
        </w:rPr>
        <w:t>其中：</w:t>
      </w:r>
    </w:p>
    <w:p w14:paraId="3C2B4F80">
      <w:pPr>
        <w:pStyle w:val="41"/>
        <w:numPr>
          <w:ilvl w:val="0"/>
          <w:numId w:val="0"/>
        </w:numPr>
        <w:spacing w:line="360" w:lineRule="auto"/>
        <w:ind w:firstLine="480" w:firstLineChars="200"/>
        <w:rPr>
          <w:rFonts w:hint="eastAsia"/>
          <w:color w:val="auto"/>
          <w:lang w:val="en-US" w:eastAsia="zh-CN"/>
        </w:rPr>
      </w:pPr>
      <w:r>
        <w:rPr>
          <w:rFonts w:hint="default"/>
          <w:color w:val="auto"/>
          <w:lang w:val="en-US" w:eastAsia="zh-CN"/>
        </w:rPr>
        <w:t>核心区</w:t>
      </w:r>
      <w:r>
        <w:rPr>
          <w:rFonts w:hint="eastAsia"/>
          <w:color w:val="auto"/>
          <w:lang w:val="en-US" w:eastAsia="zh-CN"/>
        </w:rPr>
        <w:t>：</w:t>
      </w:r>
      <w:r>
        <w:rPr>
          <w:rFonts w:hint="default"/>
          <w:color w:val="auto"/>
          <w:lang w:val="en-US" w:eastAsia="zh-CN"/>
        </w:rPr>
        <w:t>规划面积约1389.9942hm</w:t>
      </w:r>
      <w:r>
        <w:rPr>
          <w:rFonts w:hint="default"/>
          <w:color w:val="auto"/>
          <w:vertAlign w:val="superscript"/>
          <w:lang w:val="en-US" w:eastAsia="zh-CN"/>
        </w:rPr>
        <w:t>2</w:t>
      </w:r>
      <w:r>
        <w:rPr>
          <w:rFonts w:hint="eastAsia"/>
          <w:color w:val="auto"/>
          <w:lang w:val="en-US" w:eastAsia="zh-CN"/>
        </w:rPr>
        <w:t>；四至范围为北至北至唐家庙，南至铁匠咀，东至巴中高速出入口，西以国道G347、棠湖街等为界；以机械、电子、服装为主导产业，辅助发展新能源新材料、生物医药。</w:t>
      </w:r>
    </w:p>
    <w:p w14:paraId="3A1122DD">
      <w:pPr>
        <w:pStyle w:val="41"/>
        <w:numPr>
          <w:ilvl w:val="0"/>
          <w:numId w:val="0"/>
        </w:numPr>
        <w:spacing w:line="360" w:lineRule="auto"/>
        <w:ind w:firstLine="480" w:firstLineChars="200"/>
        <w:rPr>
          <w:rFonts w:hint="eastAsia"/>
          <w:color w:val="auto"/>
          <w:lang w:val="en-US" w:eastAsia="zh-CN"/>
        </w:rPr>
      </w:pPr>
      <w:r>
        <w:rPr>
          <w:rFonts w:hint="default"/>
          <w:color w:val="auto"/>
          <w:lang w:val="en-US" w:eastAsia="zh-CN"/>
        </w:rPr>
        <w:t>曾口区块</w:t>
      </w:r>
      <w:r>
        <w:rPr>
          <w:rFonts w:hint="eastAsia"/>
          <w:color w:val="auto"/>
          <w:lang w:val="en-US" w:eastAsia="zh-CN"/>
        </w:rPr>
        <w:t>：</w:t>
      </w:r>
      <w:r>
        <w:rPr>
          <w:rFonts w:hint="default"/>
          <w:color w:val="auto"/>
          <w:lang w:val="en-US" w:eastAsia="zh-CN"/>
        </w:rPr>
        <w:t>规划面积约191.8105hm</w:t>
      </w:r>
      <w:r>
        <w:rPr>
          <w:rFonts w:hint="default"/>
          <w:color w:val="auto"/>
          <w:vertAlign w:val="superscript"/>
          <w:lang w:val="en-US" w:eastAsia="zh-CN"/>
        </w:rPr>
        <w:t>2</w:t>
      </w:r>
      <w:r>
        <w:rPr>
          <w:rFonts w:hint="eastAsia"/>
          <w:color w:val="auto"/>
          <w:lang w:val="en-US" w:eastAsia="zh-CN"/>
        </w:rPr>
        <w:t>；四至范围为东至寿星村团包梁，南至寿星村磨盘寨，西至寿星村双堰塘，北至寿星村周家湾；以天然气化工、新能源新材料为主导产业。</w:t>
      </w:r>
    </w:p>
    <w:p w14:paraId="20DBD166">
      <w:pPr>
        <w:pStyle w:val="41"/>
        <w:numPr>
          <w:ilvl w:val="0"/>
          <w:numId w:val="0"/>
        </w:numPr>
        <w:spacing w:line="360" w:lineRule="auto"/>
        <w:ind w:firstLine="480" w:firstLineChars="200"/>
        <w:rPr>
          <w:rFonts w:hint="eastAsia"/>
          <w:color w:val="auto"/>
          <w:lang w:val="en-US" w:eastAsia="zh-CN"/>
        </w:rPr>
      </w:pPr>
      <w:r>
        <w:rPr>
          <w:rFonts w:hint="default"/>
          <w:color w:val="auto"/>
          <w:lang w:val="en-US" w:eastAsia="zh-CN"/>
        </w:rPr>
        <w:t>金堂区块</w:t>
      </w:r>
      <w:r>
        <w:rPr>
          <w:rFonts w:hint="eastAsia"/>
          <w:color w:val="auto"/>
          <w:lang w:val="en-US" w:eastAsia="zh-CN"/>
        </w:rPr>
        <w:t>：</w:t>
      </w:r>
      <w:r>
        <w:rPr>
          <w:rFonts w:hint="default"/>
          <w:color w:val="auto"/>
          <w:lang w:val="en-US" w:eastAsia="zh-CN"/>
        </w:rPr>
        <w:t>规划面积约95.5466hm</w:t>
      </w:r>
      <w:r>
        <w:rPr>
          <w:rFonts w:hint="default"/>
          <w:color w:val="auto"/>
          <w:vertAlign w:val="superscript"/>
          <w:lang w:val="en-US" w:eastAsia="zh-CN"/>
        </w:rPr>
        <w:t>2</w:t>
      </w:r>
      <w:r>
        <w:rPr>
          <w:rFonts w:hint="eastAsia"/>
          <w:color w:val="auto"/>
          <w:lang w:val="en-US" w:eastAsia="zh-CN"/>
        </w:rPr>
        <w:t>；四至范围为东至诺江镇秋锦山村青山湾，南至广纳镇金堂村大弯梁，西至诺江镇亮垭村曹家沟，北至诺江镇秋锦山村佛儿岩；以天然气化工为主导产业。</w:t>
      </w:r>
    </w:p>
    <w:p w14:paraId="197DF2EC">
      <w:pPr>
        <w:pStyle w:val="41"/>
        <w:numPr>
          <w:ilvl w:val="0"/>
          <w:numId w:val="0"/>
        </w:numPr>
        <w:spacing w:line="360" w:lineRule="auto"/>
        <w:ind w:firstLine="480" w:firstLineChars="200"/>
        <w:rPr>
          <w:rFonts w:hint="default"/>
          <w:color w:val="auto"/>
          <w:lang w:val="en-US" w:eastAsia="zh-CN"/>
        </w:rPr>
      </w:pPr>
      <w:r>
        <w:rPr>
          <w:rFonts w:hint="eastAsia"/>
          <w:color w:val="auto"/>
          <w:sz w:val="24"/>
          <w:szCs w:val="32"/>
          <w:lang w:val="en-US" w:eastAsia="zh-CN"/>
        </w:rPr>
        <w:t>信息产业电子第十一设计研究院科技工程股份有限公司于2023年</w:t>
      </w:r>
      <w:r>
        <w:rPr>
          <w:rFonts w:hint="eastAsia"/>
          <w:color w:val="auto"/>
          <w:sz w:val="24"/>
          <w:szCs w:val="32"/>
        </w:rPr>
        <w:t>编制了《</w:t>
      </w:r>
      <w:r>
        <w:rPr>
          <w:rFonts w:hint="default"/>
          <w:color w:val="auto"/>
          <w:lang w:val="en-US" w:eastAsia="zh-CN"/>
        </w:rPr>
        <w:t>四川巴中经济开发区规划修编</w:t>
      </w:r>
      <w:r>
        <w:rPr>
          <w:rFonts w:hint="eastAsia"/>
          <w:color w:val="auto"/>
          <w:sz w:val="24"/>
          <w:szCs w:val="32"/>
        </w:rPr>
        <w:t>环境影响报告书》</w:t>
      </w:r>
      <w:r>
        <w:rPr>
          <w:rFonts w:hint="eastAsia"/>
          <w:color w:val="auto"/>
          <w:sz w:val="24"/>
          <w:szCs w:val="32"/>
          <w:lang w:eastAsia="zh-CN"/>
        </w:rPr>
        <w:t>，</w:t>
      </w:r>
      <w:r>
        <w:rPr>
          <w:rFonts w:cs="Calibri"/>
          <w:color w:val="auto"/>
          <w:sz w:val="24"/>
          <w:szCs w:val="24"/>
          <w:highlight w:val="none"/>
        </w:rPr>
        <w:t>于</w:t>
      </w:r>
      <w:r>
        <w:rPr>
          <w:rFonts w:hint="eastAsia" w:cs="Calibri"/>
          <w:color w:val="auto"/>
          <w:sz w:val="24"/>
          <w:szCs w:val="24"/>
          <w:highlight w:val="none"/>
        </w:rPr>
        <w:t>20</w:t>
      </w:r>
      <w:r>
        <w:rPr>
          <w:rFonts w:hint="eastAsia" w:cs="Calibri"/>
          <w:color w:val="auto"/>
          <w:sz w:val="24"/>
          <w:szCs w:val="24"/>
          <w:highlight w:val="none"/>
          <w:lang w:val="en-US" w:eastAsia="zh-CN"/>
        </w:rPr>
        <w:t>23</w:t>
      </w:r>
      <w:r>
        <w:rPr>
          <w:rFonts w:hint="eastAsia" w:cs="Calibri"/>
          <w:color w:val="auto"/>
          <w:sz w:val="24"/>
          <w:szCs w:val="24"/>
          <w:highlight w:val="none"/>
        </w:rPr>
        <w:t>年</w:t>
      </w:r>
      <w:r>
        <w:rPr>
          <w:rFonts w:hint="eastAsia" w:cs="Calibri"/>
          <w:color w:val="auto"/>
          <w:sz w:val="24"/>
          <w:szCs w:val="24"/>
          <w:highlight w:val="none"/>
          <w:lang w:val="en-US" w:eastAsia="zh-CN"/>
        </w:rPr>
        <w:t>11</w:t>
      </w:r>
      <w:r>
        <w:rPr>
          <w:rFonts w:hint="eastAsia" w:cs="Calibri"/>
          <w:color w:val="auto"/>
          <w:sz w:val="24"/>
          <w:szCs w:val="24"/>
          <w:highlight w:val="none"/>
        </w:rPr>
        <w:t>月</w:t>
      </w:r>
      <w:r>
        <w:rPr>
          <w:rFonts w:hint="eastAsia" w:cs="Calibri"/>
          <w:color w:val="auto"/>
          <w:sz w:val="24"/>
          <w:szCs w:val="24"/>
          <w:highlight w:val="none"/>
          <w:lang w:val="en-US" w:eastAsia="zh-CN"/>
        </w:rPr>
        <w:t>8</w:t>
      </w:r>
      <w:r>
        <w:rPr>
          <w:rFonts w:hint="eastAsia" w:cs="Calibri"/>
          <w:color w:val="auto"/>
          <w:sz w:val="24"/>
          <w:szCs w:val="24"/>
          <w:highlight w:val="none"/>
        </w:rPr>
        <w:t>日</w:t>
      </w:r>
      <w:r>
        <w:rPr>
          <w:rFonts w:cs="Calibri"/>
          <w:color w:val="auto"/>
          <w:sz w:val="24"/>
          <w:szCs w:val="24"/>
          <w:highlight w:val="none"/>
        </w:rPr>
        <w:t>取得了</w:t>
      </w:r>
      <w:r>
        <w:rPr>
          <w:rFonts w:hint="eastAsia" w:cs="Calibri"/>
          <w:color w:val="auto"/>
          <w:sz w:val="24"/>
          <w:szCs w:val="24"/>
          <w:highlight w:val="none"/>
          <w:lang w:val="en-US" w:eastAsia="zh-CN"/>
        </w:rPr>
        <w:t>四川省生态环境厅关于印发《四川巴中经济开发区规划修编环境影响评价报告书》审查意见的函</w:t>
      </w:r>
      <w:r>
        <w:rPr>
          <w:rFonts w:hint="eastAsia"/>
          <w:color w:val="auto"/>
          <w:sz w:val="24"/>
          <w:szCs w:val="24"/>
          <w:highlight w:val="none"/>
          <w:lang w:eastAsia="zh-CN"/>
        </w:rPr>
        <w:t>（</w:t>
      </w:r>
      <w:r>
        <w:rPr>
          <w:rFonts w:hint="eastAsia"/>
          <w:color w:val="auto"/>
          <w:sz w:val="24"/>
          <w:szCs w:val="24"/>
          <w:highlight w:val="none"/>
          <w:lang w:val="en-US" w:eastAsia="zh-CN"/>
        </w:rPr>
        <w:t>川环建函〔2023〕29号</w:t>
      </w:r>
      <w:r>
        <w:rPr>
          <w:rFonts w:hint="eastAsia"/>
          <w:color w:val="auto"/>
          <w:sz w:val="24"/>
          <w:szCs w:val="24"/>
          <w:highlight w:val="none"/>
          <w:lang w:eastAsia="zh-CN"/>
        </w:rPr>
        <w:t>）。</w:t>
      </w:r>
    </w:p>
    <w:p w14:paraId="6A480A09">
      <w:pPr>
        <w:pStyle w:val="41"/>
        <w:numPr>
          <w:ilvl w:val="0"/>
          <w:numId w:val="0"/>
        </w:numPr>
        <w:spacing w:line="360" w:lineRule="auto"/>
        <w:ind w:firstLine="480" w:firstLineChars="200"/>
        <w:rPr>
          <w:rFonts w:hint="default"/>
          <w:color w:val="auto"/>
          <w:lang w:val="en-US" w:eastAsia="zh-CN"/>
        </w:rPr>
      </w:pPr>
      <w:r>
        <w:rPr>
          <w:rFonts w:hint="eastAsia"/>
          <w:color w:val="auto"/>
          <w:sz w:val="24"/>
          <w:lang w:val="en-US" w:eastAsia="zh-CN"/>
        </w:rPr>
        <w:t>2025年10月23日，</w:t>
      </w:r>
      <w:r>
        <w:rPr>
          <w:rFonts w:hint="default"/>
          <w:color w:val="auto"/>
          <w:lang w:val="en-US" w:eastAsia="zh-CN"/>
        </w:rPr>
        <w:t>四川巴中经济开发区曾口区块</w:t>
      </w:r>
      <w:r>
        <w:rPr>
          <w:rFonts w:hint="eastAsia"/>
          <w:color w:val="auto"/>
          <w:lang w:val="en-US" w:eastAsia="zh-CN"/>
        </w:rPr>
        <w:t>和</w:t>
      </w:r>
      <w:r>
        <w:rPr>
          <w:rFonts w:hint="default"/>
          <w:color w:val="auto"/>
          <w:lang w:val="en-US" w:eastAsia="zh-CN"/>
        </w:rPr>
        <w:t>金堂区块</w:t>
      </w:r>
      <w:r>
        <w:rPr>
          <w:rFonts w:hint="eastAsia" w:ascii="Times New Roman"/>
          <w:color w:val="auto"/>
          <w:sz w:val="24"/>
          <w:lang w:val="en-US" w:eastAsia="zh-CN"/>
        </w:rPr>
        <w:t>经《四川省经济和信息化厅等7部门关于公布盐亭巨龙等4家化工园区及达州普光化工园区扩区调整的通知》（川经信化工</w:t>
      </w:r>
      <w:r>
        <w:rPr>
          <w:rFonts w:hint="eastAsia"/>
          <w:color w:val="auto"/>
          <w:sz w:val="24"/>
          <w:lang w:val="en-US" w:eastAsia="zh-CN"/>
        </w:rPr>
        <w:t>〔</w:t>
      </w:r>
      <w:r>
        <w:rPr>
          <w:rFonts w:hint="eastAsia" w:ascii="Times New Roman"/>
          <w:color w:val="auto"/>
          <w:sz w:val="24"/>
          <w:lang w:val="en-US" w:eastAsia="zh-CN"/>
        </w:rPr>
        <w:t>2025</w:t>
      </w:r>
      <w:r>
        <w:rPr>
          <w:rFonts w:hint="eastAsia"/>
          <w:color w:val="auto"/>
          <w:sz w:val="24"/>
          <w:lang w:val="en-US" w:eastAsia="zh-CN"/>
        </w:rPr>
        <w:t>〕</w:t>
      </w:r>
      <w:r>
        <w:rPr>
          <w:rFonts w:hint="eastAsia" w:ascii="Times New Roman"/>
          <w:color w:val="auto"/>
          <w:sz w:val="24"/>
          <w:lang w:val="en-US" w:eastAsia="zh-CN"/>
        </w:rPr>
        <w:t>192号）认定</w:t>
      </w:r>
      <w:r>
        <w:rPr>
          <w:rFonts w:hint="eastAsia"/>
          <w:color w:val="auto"/>
          <w:sz w:val="24"/>
          <w:lang w:val="en-US" w:eastAsia="zh-CN"/>
        </w:rPr>
        <w:t>为巴中曾口-金堂化工园区，主导产业</w:t>
      </w:r>
      <w:r>
        <w:rPr>
          <w:rFonts w:hint="eastAsia" w:ascii="Times New Roman"/>
          <w:color w:val="auto"/>
          <w:sz w:val="24"/>
          <w:lang w:val="en-US" w:eastAsia="zh-CN"/>
        </w:rPr>
        <w:t>为天然气化工新材料、石墨高性能材料和石墨烯材料、先进碳材料和新型电池及关键材料</w:t>
      </w:r>
      <w:r>
        <w:rPr>
          <w:rFonts w:hint="eastAsia"/>
          <w:color w:val="auto"/>
          <w:sz w:val="24"/>
          <w:lang w:val="en-US" w:eastAsia="zh-CN"/>
        </w:rPr>
        <w:t>，认定面积与2022年规划修编规划范围基本一致，其中曾口区块认定面积为</w:t>
      </w:r>
      <w:r>
        <w:rPr>
          <w:rFonts w:hint="default"/>
          <w:color w:val="auto"/>
          <w:lang w:val="en-US" w:eastAsia="zh-CN"/>
        </w:rPr>
        <w:t>1</w:t>
      </w:r>
      <w:r>
        <w:rPr>
          <w:rFonts w:hint="eastAsia"/>
          <w:color w:val="auto"/>
          <w:lang w:val="en-US" w:eastAsia="zh-CN"/>
        </w:rPr>
        <w:t>89.423</w:t>
      </w:r>
      <w:r>
        <w:rPr>
          <w:rFonts w:hint="default"/>
          <w:color w:val="auto"/>
          <w:lang w:val="en-US" w:eastAsia="zh-CN"/>
        </w:rPr>
        <w:t>hm</w:t>
      </w:r>
      <w:r>
        <w:rPr>
          <w:rFonts w:hint="default"/>
          <w:color w:val="auto"/>
          <w:vertAlign w:val="superscript"/>
          <w:lang w:val="en-US" w:eastAsia="zh-CN"/>
        </w:rPr>
        <w:t>2</w:t>
      </w:r>
      <w:r>
        <w:rPr>
          <w:rFonts w:hint="eastAsia" w:ascii="Times New Roman"/>
          <w:color w:val="auto"/>
          <w:sz w:val="24"/>
          <w:lang w:val="en-US" w:eastAsia="zh-CN"/>
        </w:rPr>
        <w:t>、</w:t>
      </w:r>
      <w:r>
        <w:rPr>
          <w:rFonts w:hint="eastAsia"/>
          <w:color w:val="auto"/>
          <w:sz w:val="24"/>
          <w:lang w:val="en-US" w:eastAsia="zh-CN"/>
        </w:rPr>
        <w:t>金堂区块认定面积为</w:t>
      </w:r>
      <w:r>
        <w:rPr>
          <w:rFonts w:hint="eastAsia"/>
          <w:color w:val="auto"/>
          <w:lang w:val="en-US" w:eastAsia="zh-CN"/>
        </w:rPr>
        <w:t>95.5343</w:t>
      </w:r>
      <w:r>
        <w:rPr>
          <w:rFonts w:hint="default"/>
          <w:color w:val="auto"/>
          <w:lang w:val="en-US" w:eastAsia="zh-CN"/>
        </w:rPr>
        <w:t>hm</w:t>
      </w:r>
      <w:r>
        <w:rPr>
          <w:rFonts w:hint="default"/>
          <w:color w:val="auto"/>
          <w:vertAlign w:val="superscript"/>
          <w:lang w:val="en-US" w:eastAsia="zh-CN"/>
        </w:rPr>
        <w:t>2</w:t>
      </w:r>
      <w:r>
        <w:rPr>
          <w:rFonts w:hint="eastAsia"/>
          <w:color w:val="auto"/>
          <w:sz w:val="24"/>
          <w:szCs w:val="24"/>
          <w:highlight w:val="none"/>
          <w:lang w:eastAsia="zh-CN"/>
        </w:rPr>
        <w:t>。</w:t>
      </w:r>
      <w:r>
        <w:rPr>
          <w:rFonts w:hint="eastAsia"/>
          <w:color w:val="auto"/>
          <w:sz w:val="24"/>
          <w:lang w:val="en-US" w:eastAsia="zh-CN"/>
        </w:rPr>
        <w:t>根据</w:t>
      </w:r>
      <w:r>
        <w:rPr>
          <w:rFonts w:hint="eastAsia" w:ascii="Times New Roman"/>
          <w:color w:val="auto"/>
          <w:sz w:val="24"/>
          <w:lang w:val="en-US" w:eastAsia="zh-CN"/>
        </w:rPr>
        <w:t>《四川省应急管理厅公告》（202</w:t>
      </w:r>
      <w:r>
        <w:rPr>
          <w:rFonts w:hint="eastAsia"/>
          <w:color w:val="auto"/>
          <w:sz w:val="24"/>
          <w:lang w:val="en-US" w:eastAsia="zh-CN"/>
        </w:rPr>
        <w:t>5</w:t>
      </w:r>
      <w:r>
        <w:rPr>
          <w:rFonts w:hint="eastAsia" w:ascii="Times New Roman"/>
          <w:color w:val="auto"/>
          <w:sz w:val="24"/>
          <w:lang w:val="en-US" w:eastAsia="zh-CN"/>
        </w:rPr>
        <w:t>年第</w:t>
      </w:r>
      <w:r>
        <w:rPr>
          <w:rFonts w:hint="eastAsia"/>
          <w:color w:val="auto"/>
          <w:sz w:val="24"/>
          <w:lang w:val="en-US" w:eastAsia="zh-CN"/>
        </w:rPr>
        <w:t>26</w:t>
      </w:r>
      <w:r>
        <w:rPr>
          <w:rFonts w:hint="eastAsia" w:ascii="Times New Roman"/>
          <w:color w:val="auto"/>
          <w:sz w:val="24"/>
          <w:lang w:val="en-US" w:eastAsia="zh-CN"/>
        </w:rPr>
        <w:t>号），</w:t>
      </w:r>
      <w:r>
        <w:rPr>
          <w:rFonts w:hint="eastAsia"/>
          <w:color w:val="auto"/>
          <w:sz w:val="24"/>
          <w:lang w:val="en-US" w:eastAsia="zh-CN"/>
        </w:rPr>
        <w:t>巴中曾口-金堂化工园区</w:t>
      </w:r>
      <w:r>
        <w:rPr>
          <w:rFonts w:hint="eastAsia" w:ascii="Times New Roman"/>
          <w:color w:val="auto"/>
          <w:sz w:val="24"/>
          <w:lang w:val="en-US" w:eastAsia="zh-CN"/>
        </w:rPr>
        <w:t>安全风险等级分类为较低安全风险等级（D级）。</w:t>
      </w:r>
    </w:p>
    <w:p w14:paraId="4711D591">
      <w:pPr>
        <w:pStyle w:val="41"/>
        <w:numPr>
          <w:ilvl w:val="0"/>
          <w:numId w:val="0"/>
        </w:numPr>
        <w:spacing w:line="360" w:lineRule="auto"/>
        <w:ind w:firstLine="480" w:firstLineChars="200"/>
        <w:rPr>
          <w:rFonts w:hint="eastAsia"/>
          <w:color w:val="auto"/>
          <w:szCs w:val="24"/>
          <w:lang w:bidi="en-US"/>
        </w:rPr>
        <w:sectPr>
          <w:footerReference r:id="rId9" w:type="default"/>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eastAsia"/>
          <w:color w:val="auto"/>
          <w:szCs w:val="24"/>
          <w:lang w:val="en-US" w:eastAsia="zh-CN" w:bidi="en-US"/>
        </w:rPr>
        <w:t>根据</w:t>
      </w:r>
      <w:r>
        <w:rPr>
          <w:rFonts w:hint="eastAsia" w:cs="Calibri"/>
          <w:color w:val="auto"/>
          <w:sz w:val="24"/>
          <w:szCs w:val="24"/>
          <w:highlight w:val="none"/>
          <w:lang w:val="en-US" w:eastAsia="zh-CN"/>
        </w:rPr>
        <w:t>《四川巴中经济开发区规划修编环境影响评价报告书》</w:t>
      </w:r>
      <w:r>
        <w:rPr>
          <w:rFonts w:hint="eastAsia"/>
          <w:color w:val="auto"/>
          <w:sz w:val="24"/>
          <w:szCs w:val="32"/>
          <w:lang w:val="en-US" w:eastAsia="zh-CN"/>
        </w:rPr>
        <w:t>及审查意见（见附件5-1）、</w:t>
      </w:r>
      <w:r>
        <w:rPr>
          <w:rFonts w:hint="eastAsia" w:ascii="Times New Roman"/>
          <w:color w:val="auto"/>
          <w:sz w:val="24"/>
          <w:lang w:val="en-US" w:eastAsia="zh-CN"/>
        </w:rPr>
        <w:t>《四川省经济和信息化厅等7部门关于公布盐亭巨龙等4家化工园区及达州普光化工园区扩区调整的通知》（川经信化工</w:t>
      </w:r>
      <w:r>
        <w:rPr>
          <w:rFonts w:hint="eastAsia"/>
          <w:color w:val="auto"/>
          <w:sz w:val="24"/>
          <w:lang w:val="en-US" w:eastAsia="zh-CN"/>
        </w:rPr>
        <w:t>〔</w:t>
      </w:r>
      <w:r>
        <w:rPr>
          <w:rFonts w:hint="eastAsia" w:ascii="Times New Roman"/>
          <w:color w:val="auto"/>
          <w:sz w:val="24"/>
          <w:lang w:val="en-US" w:eastAsia="zh-CN"/>
        </w:rPr>
        <w:t>2025</w:t>
      </w:r>
      <w:r>
        <w:rPr>
          <w:rFonts w:hint="eastAsia"/>
          <w:color w:val="auto"/>
          <w:sz w:val="24"/>
          <w:lang w:val="en-US" w:eastAsia="zh-CN"/>
        </w:rPr>
        <w:t>〕</w:t>
      </w:r>
      <w:r>
        <w:rPr>
          <w:rFonts w:hint="eastAsia" w:ascii="Times New Roman"/>
          <w:color w:val="auto"/>
          <w:sz w:val="24"/>
          <w:lang w:val="en-US" w:eastAsia="zh-CN"/>
        </w:rPr>
        <w:t>192号）</w:t>
      </w:r>
      <w:r>
        <w:rPr>
          <w:rFonts w:hint="eastAsia"/>
          <w:color w:val="auto"/>
          <w:sz w:val="24"/>
          <w:szCs w:val="32"/>
          <w:lang w:val="en-US" w:eastAsia="zh-CN"/>
        </w:rPr>
        <w:t>（见附件5-2）</w:t>
      </w:r>
      <w:r>
        <w:rPr>
          <w:rFonts w:hint="eastAsia"/>
          <w:color w:val="auto"/>
          <w:szCs w:val="24"/>
          <w:lang w:val="en-US" w:eastAsia="zh-CN" w:bidi="en-US"/>
        </w:rPr>
        <w:t>，本项目与其</w:t>
      </w:r>
      <w:r>
        <w:rPr>
          <w:rFonts w:hint="default"/>
          <w:color w:val="auto"/>
          <w:szCs w:val="24"/>
          <w:lang w:bidi="en-US"/>
        </w:rPr>
        <w:t>符合性见下表</w:t>
      </w:r>
      <w:r>
        <w:rPr>
          <w:rFonts w:hint="eastAsia"/>
          <w:color w:val="auto"/>
          <w:szCs w:val="24"/>
          <w:lang w:bidi="en-US"/>
        </w:rPr>
        <w:t>。</w:t>
      </w:r>
    </w:p>
    <w:p w14:paraId="7E00D26D">
      <w:pPr>
        <w:pStyle w:val="41"/>
        <w:numPr>
          <w:ilvl w:val="0"/>
          <w:numId w:val="12"/>
        </w:numPr>
        <w:spacing w:line="276" w:lineRule="auto"/>
        <w:ind w:left="425" w:leftChars="0" w:hanging="425" w:firstLineChars="0"/>
        <w:jc w:val="center"/>
        <w:rPr>
          <w:color w:val="auto"/>
          <w:sz w:val="21"/>
          <w:szCs w:val="21"/>
        </w:rPr>
      </w:pPr>
      <w:r>
        <w:rPr>
          <w:rFonts w:hint="eastAsia" w:eastAsia="黑体"/>
          <w:color w:val="auto"/>
          <w:sz w:val="21"/>
          <w:szCs w:val="21"/>
          <w:lang w:val="en-US" w:eastAsia="zh-CN"/>
        </w:rPr>
        <w:t>本</w:t>
      </w:r>
      <w:r>
        <w:rPr>
          <w:rFonts w:eastAsia="黑体"/>
          <w:color w:val="auto"/>
          <w:sz w:val="21"/>
          <w:szCs w:val="21"/>
        </w:rPr>
        <w:t>项目与</w:t>
      </w:r>
      <w:r>
        <w:rPr>
          <w:rFonts w:hint="eastAsia" w:eastAsia="黑体"/>
          <w:color w:val="auto"/>
          <w:sz w:val="21"/>
          <w:szCs w:val="21"/>
          <w:lang w:val="en-US" w:eastAsia="zh-CN"/>
        </w:rPr>
        <w:t>《四川巴中经济开发区规划修编环境影响评价报告书》及审查意见</w:t>
      </w:r>
      <w:r>
        <w:rPr>
          <w:rFonts w:eastAsia="黑体"/>
          <w:color w:val="auto"/>
          <w:sz w:val="21"/>
          <w:szCs w:val="21"/>
        </w:rPr>
        <w:t>符合性分析</w:t>
      </w:r>
    </w:p>
    <w:tbl>
      <w:tblPr>
        <w:tblStyle w:val="20"/>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725"/>
        <w:gridCol w:w="788"/>
        <w:gridCol w:w="3736"/>
        <w:gridCol w:w="2714"/>
        <w:gridCol w:w="729"/>
      </w:tblGrid>
      <w:tr w14:paraId="30DA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pct"/>
            <w:gridSpan w:val="2"/>
            <w:noWrap w:val="0"/>
            <w:vAlign w:val="center"/>
          </w:tcPr>
          <w:p w14:paraId="57E39F50">
            <w:pPr>
              <w:pStyle w:val="24"/>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类别</w:t>
            </w:r>
          </w:p>
        </w:tc>
        <w:tc>
          <w:tcPr>
            <w:tcW w:w="2380" w:type="pct"/>
            <w:gridSpan w:val="2"/>
            <w:noWrap w:val="0"/>
            <w:vAlign w:val="center"/>
          </w:tcPr>
          <w:p w14:paraId="52F22A1E">
            <w:pPr>
              <w:pStyle w:val="24"/>
              <w:rPr>
                <w:rFonts w:hint="default" w:ascii="Times New Roman" w:hAnsi="Times New Roman" w:eastAsia="宋体" w:cs="Times New Roman"/>
                <w:b/>
                <w:bCs/>
                <w:color w:val="auto"/>
                <w:highlight w:val="none"/>
                <w:lang w:val="en-US"/>
              </w:rPr>
            </w:pPr>
            <w:r>
              <w:rPr>
                <w:rFonts w:hint="eastAsia" w:ascii="Times New Roman" w:hAnsi="Times New Roman" w:eastAsia="宋体" w:cs="Times New Roman"/>
                <w:b/>
                <w:bCs/>
                <w:color w:val="auto"/>
                <w:highlight w:val="none"/>
                <w:lang w:val="en-US" w:eastAsia="zh-CN"/>
              </w:rPr>
              <w:t>规定内容</w:t>
            </w:r>
          </w:p>
        </w:tc>
        <w:tc>
          <w:tcPr>
            <w:tcW w:w="1428" w:type="pct"/>
            <w:noWrap w:val="0"/>
            <w:vAlign w:val="center"/>
          </w:tcPr>
          <w:p w14:paraId="127EA5C6">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rPr>
              <w:t>本项目</w:t>
            </w:r>
            <w:r>
              <w:rPr>
                <w:rFonts w:hint="eastAsia" w:ascii="Times New Roman" w:hAnsi="Times New Roman" w:eastAsia="宋体" w:cs="Times New Roman"/>
                <w:b/>
                <w:bCs/>
                <w:color w:val="auto"/>
                <w:highlight w:val="none"/>
                <w:lang w:val="en-US" w:eastAsia="zh-CN"/>
              </w:rPr>
              <w:t>情况</w:t>
            </w:r>
          </w:p>
        </w:tc>
        <w:tc>
          <w:tcPr>
            <w:tcW w:w="383" w:type="pct"/>
            <w:noWrap w:val="0"/>
            <w:vAlign w:val="center"/>
          </w:tcPr>
          <w:p w14:paraId="35068A48">
            <w:pPr>
              <w:pStyle w:val="24"/>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符合性</w:t>
            </w:r>
          </w:p>
        </w:tc>
      </w:tr>
      <w:tr w14:paraId="5B9C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noWrap w:val="0"/>
            <w:vAlign w:val="center"/>
          </w:tcPr>
          <w:p w14:paraId="368B5D85">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rPr>
              <w:t>《</w:t>
            </w:r>
            <w:r>
              <w:rPr>
                <w:rFonts w:hint="eastAsia" w:ascii="Times New Roman" w:hAnsi="Times New Roman" w:eastAsia="宋体" w:cs="Times New Roman"/>
                <w:b w:val="0"/>
                <w:bCs w:val="0"/>
                <w:color w:val="auto"/>
                <w:highlight w:val="none"/>
                <w:lang w:val="en-US" w:eastAsia="zh-CN"/>
              </w:rPr>
              <w:t>四川巴中经济开发区规划修编环境影响评价报告书</w:t>
            </w:r>
            <w:r>
              <w:rPr>
                <w:rFonts w:hint="eastAsia" w:ascii="Times New Roman" w:hAnsi="Times New Roman" w:eastAsia="宋体" w:cs="Times New Roman"/>
                <w:b w:val="0"/>
                <w:bCs w:val="0"/>
                <w:color w:val="auto"/>
                <w:highlight w:val="none"/>
              </w:rPr>
              <w:t>》</w:t>
            </w:r>
          </w:p>
        </w:tc>
        <w:tc>
          <w:tcPr>
            <w:tcW w:w="381" w:type="pct"/>
            <w:noWrap w:val="0"/>
            <w:vAlign w:val="center"/>
          </w:tcPr>
          <w:p w14:paraId="1EC94A6E">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产业定位</w:t>
            </w:r>
          </w:p>
        </w:tc>
        <w:tc>
          <w:tcPr>
            <w:tcW w:w="2380" w:type="pct"/>
            <w:gridSpan w:val="2"/>
            <w:noWrap w:val="0"/>
            <w:vAlign w:val="center"/>
          </w:tcPr>
          <w:p w14:paraId="2BE8E06F">
            <w:pPr>
              <w:pStyle w:val="24"/>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lang w:val="en-US" w:eastAsia="zh-CN"/>
              </w:rPr>
              <w:t>以机械、电子、服装为主导产业，辅助发展生物医药、新能源新材料、天然气化工。</w:t>
            </w:r>
            <w:r>
              <w:rPr>
                <w:rFonts w:hint="eastAsia" w:cs="Times New Roman"/>
                <w:b w:val="0"/>
                <w:bCs w:val="0"/>
                <w:color w:val="auto"/>
                <w:highlight w:val="none"/>
                <w:lang w:val="en-US" w:eastAsia="zh-CN"/>
              </w:rPr>
              <w:t>其中核心区产业：重点发展机械、电子、服装，辅助发展生物医药、新能源新材料；曾口区块产业：发展天然气化工、新能源新材料；金堂区块产业：以天然气就地转化为重点，发展天然气化工。</w:t>
            </w:r>
          </w:p>
        </w:tc>
        <w:tc>
          <w:tcPr>
            <w:tcW w:w="1428" w:type="pct"/>
            <w:noWrap w:val="0"/>
            <w:vAlign w:val="center"/>
          </w:tcPr>
          <w:p w14:paraId="7EA5EF83">
            <w:pPr>
              <w:pStyle w:val="24"/>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lang w:val="en-US" w:eastAsia="zh-CN"/>
              </w:rPr>
              <w:t>本项目</w:t>
            </w:r>
            <w:r>
              <w:rPr>
                <w:rFonts w:hint="eastAsia" w:cs="Times New Roman"/>
                <w:b w:val="0"/>
                <w:bCs w:val="0"/>
                <w:color w:val="auto"/>
                <w:highlight w:val="none"/>
                <w:lang w:val="en-US" w:eastAsia="zh-CN"/>
              </w:rPr>
              <w:t>位于金堂区块，</w:t>
            </w:r>
            <w:r>
              <w:rPr>
                <w:rFonts w:hint="default" w:ascii="Times New Roman" w:hAnsi="Times New Roman" w:eastAsia="宋体" w:cs="Times New Roman"/>
                <w:b w:val="0"/>
                <w:bCs w:val="0"/>
                <w:color w:val="auto"/>
                <w:highlight w:val="none"/>
                <w:lang w:val="en-US" w:eastAsia="zh-CN"/>
              </w:rPr>
              <w:t>生产所需部分原辅材料取自天然气化工产业链的下游产品或衍生中间体，与其主导产业-天然气化工高度契合</w:t>
            </w:r>
            <w:r>
              <w:rPr>
                <w:rFonts w:hint="eastAsia" w:cs="Times New Roman"/>
                <w:b w:val="0"/>
                <w:bCs w:val="0"/>
                <w:color w:val="auto"/>
                <w:highlight w:val="none"/>
                <w:lang w:val="en-US" w:eastAsia="zh-CN"/>
              </w:rPr>
              <w:t>。</w:t>
            </w:r>
          </w:p>
        </w:tc>
        <w:tc>
          <w:tcPr>
            <w:tcW w:w="383" w:type="pct"/>
            <w:noWrap w:val="0"/>
            <w:vAlign w:val="center"/>
          </w:tcPr>
          <w:p w14:paraId="3A37B8E5">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不冲突</w:t>
            </w:r>
          </w:p>
        </w:tc>
      </w:tr>
      <w:tr w14:paraId="5AAD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1AD1E7D1">
            <w:pPr>
              <w:pStyle w:val="24"/>
              <w:rPr>
                <w:rFonts w:hint="eastAsia" w:ascii="Times New Roman" w:hAnsi="Times New Roman" w:eastAsia="宋体" w:cs="Times New Roman"/>
                <w:b w:val="0"/>
                <w:bCs w:val="0"/>
                <w:color w:val="auto"/>
                <w:highlight w:val="none"/>
              </w:rPr>
            </w:pPr>
          </w:p>
        </w:tc>
        <w:tc>
          <w:tcPr>
            <w:tcW w:w="381" w:type="pct"/>
            <w:vMerge w:val="restart"/>
            <w:noWrap w:val="0"/>
            <w:vAlign w:val="center"/>
          </w:tcPr>
          <w:p w14:paraId="34BB37CA">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优化调整建议</w:t>
            </w:r>
          </w:p>
        </w:tc>
        <w:tc>
          <w:tcPr>
            <w:tcW w:w="414" w:type="pct"/>
            <w:noWrap w:val="0"/>
            <w:vAlign w:val="center"/>
          </w:tcPr>
          <w:p w14:paraId="7566D35B">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供水规划</w:t>
            </w:r>
          </w:p>
        </w:tc>
        <w:tc>
          <w:tcPr>
            <w:tcW w:w="1965" w:type="pct"/>
            <w:shd w:val="clear" w:color="auto" w:fill="auto"/>
            <w:noWrap w:val="0"/>
            <w:vAlign w:val="center"/>
          </w:tcPr>
          <w:p w14:paraId="753556CF">
            <w:pPr>
              <w:pStyle w:val="24"/>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 xml:space="preserve">①规划区供水设施建设应结合规划实施采取分期建设，在满足规划区生产用水需求的同时，避免造成资源浪费； </w:t>
            </w:r>
          </w:p>
          <w:p w14:paraId="350D9E36">
            <w:pPr>
              <w:pStyle w:val="24"/>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②取水口位于高坑电站上游，生活供水由城镇水厂统一供水。</w:t>
            </w:r>
          </w:p>
        </w:tc>
        <w:tc>
          <w:tcPr>
            <w:tcW w:w="1428" w:type="pct"/>
            <w:shd w:val="clear" w:color="auto" w:fill="auto"/>
            <w:noWrap w:val="0"/>
            <w:vAlign w:val="center"/>
          </w:tcPr>
          <w:p w14:paraId="3FD0E3D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本项目用水由园区供水管网统一供给。</w:t>
            </w:r>
          </w:p>
        </w:tc>
        <w:tc>
          <w:tcPr>
            <w:tcW w:w="383" w:type="pct"/>
            <w:shd w:val="clear" w:color="auto" w:fill="auto"/>
            <w:noWrap w:val="0"/>
            <w:vAlign w:val="center"/>
          </w:tcPr>
          <w:p w14:paraId="71DAFDD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符合</w:t>
            </w:r>
          </w:p>
        </w:tc>
      </w:tr>
      <w:tr w14:paraId="5792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15B6B4DA">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6BA38F15">
            <w:pPr>
              <w:pStyle w:val="24"/>
              <w:rPr>
                <w:rFonts w:hint="default" w:ascii="Times New Roman" w:hAnsi="Times New Roman" w:eastAsia="宋体" w:cs="Times New Roman"/>
                <w:b w:val="0"/>
                <w:bCs w:val="0"/>
                <w:color w:val="auto"/>
                <w:highlight w:val="none"/>
              </w:rPr>
            </w:pPr>
          </w:p>
        </w:tc>
        <w:tc>
          <w:tcPr>
            <w:tcW w:w="414" w:type="pct"/>
            <w:shd w:val="clear" w:color="auto" w:fill="auto"/>
            <w:noWrap w:val="0"/>
            <w:vAlign w:val="center"/>
          </w:tcPr>
          <w:p w14:paraId="7FAF09BE">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排水规划</w:t>
            </w:r>
          </w:p>
        </w:tc>
        <w:tc>
          <w:tcPr>
            <w:tcW w:w="1965" w:type="pct"/>
            <w:shd w:val="clear" w:color="auto" w:fill="auto"/>
            <w:noWrap w:val="0"/>
            <w:vAlign w:val="center"/>
          </w:tcPr>
          <w:p w14:paraId="38600009">
            <w:pPr>
              <w:pStyle w:val="24"/>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①结合规划区开发进度和企业排水情况，合理确定污水处理厂近期建设规模和扩建时序，确保规划区废水收集率达到100%，处理率达到100%。</w:t>
            </w:r>
          </w:p>
          <w:p w14:paraId="4A77D11C">
            <w:pPr>
              <w:pStyle w:val="24"/>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②远期污水处理厂规模不超过0.8万m</w:t>
            </w:r>
            <w:r>
              <w:rPr>
                <w:rFonts w:hint="default" w:ascii="Times New Roman" w:hAnsi="Times New Roman" w:eastAsia="宋体" w:cs="Times New Roman"/>
                <w:b w:val="0"/>
                <w:bCs w:val="0"/>
                <w:color w:val="auto"/>
                <w:kern w:val="2"/>
                <w:sz w:val="21"/>
                <w:szCs w:val="24"/>
                <w:highlight w:val="none"/>
                <w:vertAlign w:val="superscript"/>
                <w:lang w:val="en-US" w:eastAsia="zh-CN" w:bidi="ar-SA"/>
              </w:rPr>
              <w:t>3</w:t>
            </w:r>
            <w:r>
              <w:rPr>
                <w:rFonts w:hint="default" w:ascii="Times New Roman" w:hAnsi="Times New Roman" w:eastAsia="宋体" w:cs="Times New Roman"/>
                <w:b w:val="0"/>
                <w:bCs w:val="0"/>
                <w:color w:val="auto"/>
                <w:kern w:val="2"/>
                <w:sz w:val="21"/>
                <w:szCs w:val="24"/>
                <w:highlight w:val="none"/>
                <w:lang w:val="en-US" w:eastAsia="zh-CN" w:bidi="ar-SA"/>
              </w:rPr>
              <w:t xml:space="preserve"> /d。</w:t>
            </w:r>
          </w:p>
        </w:tc>
        <w:tc>
          <w:tcPr>
            <w:tcW w:w="1428" w:type="pct"/>
            <w:shd w:val="clear" w:color="auto" w:fill="auto"/>
            <w:noWrap w:val="0"/>
            <w:vAlign w:val="center"/>
          </w:tcPr>
          <w:p w14:paraId="291222B3">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本项目外排废水依托通江县秋锦山产业园区综合污水处理厂处理，收集率、处理率可达到100%；根据调查，目前正在建设的通江县秋锦山产业园区综合污水处理厂一期处理规模</w:t>
            </w:r>
            <w:r>
              <w:rPr>
                <w:rFonts w:hint="default" w:ascii="Times New Roman" w:hAnsi="Times New Roman" w:eastAsia="宋体" w:cs="Times New Roman"/>
                <w:b w:val="0"/>
                <w:bCs w:val="0"/>
                <w:color w:val="auto"/>
                <w:kern w:val="2"/>
                <w:sz w:val="21"/>
                <w:szCs w:val="24"/>
                <w:highlight w:val="none"/>
                <w:lang w:val="en-US" w:eastAsia="zh-CN" w:bidi="ar-SA"/>
              </w:rPr>
              <w:t>0.</w:t>
            </w:r>
            <w:r>
              <w:rPr>
                <w:rFonts w:hint="eastAsia" w:ascii="Times New Roman" w:hAnsi="Times New Roman" w:eastAsia="宋体" w:cs="Times New Roman"/>
                <w:b w:val="0"/>
                <w:bCs w:val="0"/>
                <w:color w:val="auto"/>
                <w:kern w:val="2"/>
                <w:sz w:val="21"/>
                <w:szCs w:val="24"/>
                <w:highlight w:val="none"/>
                <w:lang w:val="en-US" w:eastAsia="zh-CN" w:bidi="ar-SA"/>
              </w:rPr>
              <w:t>4</w:t>
            </w:r>
            <w:r>
              <w:rPr>
                <w:rFonts w:hint="default" w:ascii="Times New Roman" w:hAnsi="Times New Roman" w:eastAsia="宋体" w:cs="Times New Roman"/>
                <w:b w:val="0"/>
                <w:bCs w:val="0"/>
                <w:color w:val="auto"/>
                <w:kern w:val="2"/>
                <w:sz w:val="21"/>
                <w:szCs w:val="24"/>
                <w:highlight w:val="none"/>
                <w:lang w:val="en-US" w:eastAsia="zh-CN" w:bidi="ar-SA"/>
              </w:rPr>
              <w:t>万m</w:t>
            </w:r>
            <w:r>
              <w:rPr>
                <w:rFonts w:hint="default" w:ascii="Times New Roman" w:hAnsi="Times New Roman" w:eastAsia="宋体" w:cs="Times New Roman"/>
                <w:b w:val="0"/>
                <w:bCs w:val="0"/>
                <w:color w:val="auto"/>
                <w:kern w:val="2"/>
                <w:sz w:val="21"/>
                <w:szCs w:val="24"/>
                <w:highlight w:val="none"/>
                <w:vertAlign w:val="superscript"/>
                <w:lang w:val="en-US" w:eastAsia="zh-CN" w:bidi="ar-SA"/>
              </w:rPr>
              <w:t>3</w:t>
            </w:r>
            <w:r>
              <w:rPr>
                <w:rFonts w:hint="default" w:ascii="Times New Roman" w:hAnsi="Times New Roman" w:eastAsia="宋体" w:cs="Times New Roman"/>
                <w:b w:val="0"/>
                <w:bCs w:val="0"/>
                <w:color w:val="auto"/>
                <w:kern w:val="2"/>
                <w:sz w:val="21"/>
                <w:szCs w:val="24"/>
                <w:highlight w:val="none"/>
                <w:lang w:val="en-US" w:eastAsia="zh-CN" w:bidi="ar-SA"/>
              </w:rPr>
              <w:t xml:space="preserve"> /d</w:t>
            </w:r>
            <w:r>
              <w:rPr>
                <w:rFonts w:hint="eastAsia" w:ascii="Times New Roman" w:hAnsi="Times New Roman" w:eastAsia="宋体" w:cs="Times New Roman"/>
                <w:b w:val="0"/>
                <w:bCs w:val="0"/>
                <w:color w:val="auto"/>
                <w:kern w:val="2"/>
                <w:sz w:val="21"/>
                <w:szCs w:val="24"/>
                <w:highlight w:val="none"/>
                <w:lang w:val="en-US" w:eastAsia="zh-CN" w:bidi="ar-SA"/>
              </w:rPr>
              <w:t>。</w:t>
            </w:r>
          </w:p>
        </w:tc>
        <w:tc>
          <w:tcPr>
            <w:tcW w:w="383" w:type="pct"/>
            <w:shd w:val="clear" w:color="auto" w:fill="auto"/>
            <w:noWrap w:val="0"/>
            <w:vAlign w:val="center"/>
          </w:tcPr>
          <w:p w14:paraId="530F05D7">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328F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4F9E5F3B">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5146104A">
            <w:pPr>
              <w:pStyle w:val="24"/>
              <w:rPr>
                <w:rFonts w:hint="default" w:ascii="Times New Roman" w:hAnsi="Times New Roman" w:eastAsia="宋体" w:cs="Times New Roman"/>
                <w:b w:val="0"/>
                <w:bCs w:val="0"/>
                <w:color w:val="auto"/>
                <w:highlight w:val="none"/>
              </w:rPr>
            </w:pPr>
          </w:p>
        </w:tc>
        <w:tc>
          <w:tcPr>
            <w:tcW w:w="414" w:type="pct"/>
            <w:shd w:val="clear" w:color="auto" w:fill="auto"/>
            <w:noWrap w:val="0"/>
            <w:vAlign w:val="center"/>
          </w:tcPr>
          <w:p w14:paraId="6401261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环卫设施规划</w:t>
            </w:r>
          </w:p>
        </w:tc>
        <w:tc>
          <w:tcPr>
            <w:tcW w:w="1965" w:type="pct"/>
            <w:shd w:val="clear" w:color="auto" w:fill="auto"/>
            <w:noWrap w:val="0"/>
            <w:vAlign w:val="center"/>
          </w:tcPr>
          <w:p w14:paraId="2EDA302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取消危险废物转运站，规划区各企业自建危险废物暂存间，分类收集暂存各类危险废物，并委托资质单位进行处理。</w:t>
            </w:r>
          </w:p>
        </w:tc>
        <w:tc>
          <w:tcPr>
            <w:tcW w:w="1428" w:type="pct"/>
            <w:shd w:val="clear" w:color="auto" w:fill="auto"/>
            <w:noWrap w:val="0"/>
            <w:vAlign w:val="center"/>
          </w:tcPr>
          <w:p w14:paraId="64CBDF89">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本项目厂区设1个危废暂存间，危险废物经分类收集至危废暂存间暂存，定期交由具资质单位处理，并签订危废处置协议。</w:t>
            </w:r>
          </w:p>
        </w:tc>
        <w:tc>
          <w:tcPr>
            <w:tcW w:w="383" w:type="pct"/>
            <w:shd w:val="clear" w:color="auto" w:fill="auto"/>
            <w:noWrap w:val="0"/>
            <w:vAlign w:val="center"/>
          </w:tcPr>
          <w:p w14:paraId="0117F21E">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632F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3B5473BC">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7F38D3AD">
            <w:pPr>
              <w:pStyle w:val="24"/>
              <w:rPr>
                <w:rFonts w:hint="default" w:ascii="Times New Roman" w:hAnsi="Times New Roman" w:eastAsia="宋体" w:cs="Times New Roman"/>
                <w:b w:val="0"/>
                <w:bCs w:val="0"/>
                <w:color w:val="auto"/>
                <w:highlight w:val="none"/>
              </w:rPr>
            </w:pPr>
          </w:p>
        </w:tc>
        <w:tc>
          <w:tcPr>
            <w:tcW w:w="414" w:type="pct"/>
            <w:shd w:val="clear" w:color="auto" w:fill="auto"/>
            <w:noWrap w:val="0"/>
            <w:vAlign w:val="center"/>
          </w:tcPr>
          <w:p w14:paraId="58292DF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能源规划</w:t>
            </w:r>
          </w:p>
        </w:tc>
        <w:tc>
          <w:tcPr>
            <w:tcW w:w="1965" w:type="pct"/>
            <w:shd w:val="clear" w:color="auto" w:fill="auto"/>
            <w:noWrap w:val="0"/>
            <w:vAlign w:val="center"/>
          </w:tcPr>
          <w:p w14:paraId="0E36071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规划以清洁能源天然气和电为主，禁止使用燃煤。鼓励企业新建或改建燃气锅炉安装低氮燃烧器。</w:t>
            </w:r>
          </w:p>
        </w:tc>
        <w:tc>
          <w:tcPr>
            <w:tcW w:w="1428" w:type="pct"/>
            <w:shd w:val="clear" w:color="auto" w:fill="auto"/>
            <w:noWrap w:val="0"/>
            <w:vAlign w:val="center"/>
          </w:tcPr>
          <w:p w14:paraId="21DB59A7">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本项目设1台电蒸汽发生器，不涉及使用燃煤。</w:t>
            </w:r>
          </w:p>
        </w:tc>
        <w:tc>
          <w:tcPr>
            <w:tcW w:w="383" w:type="pct"/>
            <w:shd w:val="clear" w:color="auto" w:fill="auto"/>
            <w:noWrap w:val="0"/>
            <w:vAlign w:val="center"/>
          </w:tcPr>
          <w:p w14:paraId="4B514467">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756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062D3687">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7E62DAF6">
            <w:pPr>
              <w:pStyle w:val="24"/>
              <w:rPr>
                <w:rFonts w:hint="default" w:ascii="Times New Roman" w:hAnsi="Times New Roman" w:eastAsia="宋体" w:cs="Times New Roman"/>
                <w:b w:val="0"/>
                <w:bCs w:val="0"/>
                <w:color w:val="auto"/>
                <w:highlight w:val="none"/>
              </w:rPr>
            </w:pPr>
          </w:p>
        </w:tc>
        <w:tc>
          <w:tcPr>
            <w:tcW w:w="414" w:type="pct"/>
            <w:shd w:val="clear" w:color="auto" w:fill="auto"/>
            <w:noWrap w:val="0"/>
            <w:vAlign w:val="center"/>
          </w:tcPr>
          <w:p w14:paraId="7CE3C80B">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开发时序</w:t>
            </w:r>
          </w:p>
        </w:tc>
        <w:tc>
          <w:tcPr>
            <w:tcW w:w="1965" w:type="pct"/>
            <w:shd w:val="clear" w:color="auto" w:fill="auto"/>
            <w:noWrap w:val="0"/>
            <w:vAlign w:val="center"/>
          </w:tcPr>
          <w:p w14:paraId="42C8169C">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落实《巴中市国土空间总体规划（2021-2035年）》《通江县国土空间总体规划（2021-2035年）》对通江县诺江镇规划为城镇重点发展区成果。在成果批复前，暂不实施金堂区块天然气化工项目开发建设。</w:t>
            </w:r>
          </w:p>
        </w:tc>
        <w:tc>
          <w:tcPr>
            <w:tcW w:w="1428" w:type="pct"/>
            <w:shd w:val="clear" w:color="auto" w:fill="auto"/>
            <w:noWrap w:val="0"/>
            <w:vAlign w:val="center"/>
          </w:tcPr>
          <w:p w14:paraId="49C334AE">
            <w:pPr>
              <w:pStyle w:val="24"/>
              <w:ind w:left="0" w:leftChars="0"/>
              <w:rPr>
                <w:rFonts w:hint="eastAsia" w:cs="Times New Roman"/>
                <w:b w:val="0"/>
                <w:bCs w:val="0"/>
                <w:color w:val="auto"/>
                <w:highlight w:val="none"/>
                <w:lang w:val="en-US" w:eastAsia="zh-CN"/>
              </w:rPr>
            </w:pPr>
            <w:r>
              <w:rPr>
                <w:rFonts w:hint="eastAsia" w:cs="Times New Roman"/>
                <w:b w:val="0"/>
                <w:bCs w:val="0"/>
                <w:color w:val="auto"/>
                <w:highlight w:val="none"/>
                <w:lang w:val="en-US" w:eastAsia="zh-CN"/>
              </w:rPr>
              <w:t>《巴中市国土空间总体规划（2021-2035年）》、《通江县国土空间总体规划（2021-2035年）》已取得相关批复（川府函〔2024〕65号、川府函〔2024〕166号）。</w:t>
            </w:r>
          </w:p>
        </w:tc>
        <w:tc>
          <w:tcPr>
            <w:tcW w:w="383" w:type="pct"/>
            <w:shd w:val="clear" w:color="auto" w:fill="auto"/>
            <w:noWrap w:val="0"/>
            <w:vAlign w:val="center"/>
          </w:tcPr>
          <w:p w14:paraId="43326490">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CE8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1C197258">
            <w:pPr>
              <w:pStyle w:val="24"/>
              <w:rPr>
                <w:rFonts w:hint="eastAsia" w:ascii="Times New Roman" w:hAnsi="Times New Roman" w:eastAsia="宋体" w:cs="Times New Roman"/>
                <w:b w:val="0"/>
                <w:bCs w:val="0"/>
                <w:color w:val="auto"/>
                <w:highlight w:val="none"/>
              </w:rPr>
            </w:pPr>
          </w:p>
        </w:tc>
        <w:tc>
          <w:tcPr>
            <w:tcW w:w="381" w:type="pct"/>
            <w:vMerge w:val="restart"/>
            <w:noWrap w:val="0"/>
            <w:vAlign w:val="center"/>
          </w:tcPr>
          <w:p w14:paraId="3DE9BBC4">
            <w:pPr>
              <w:pStyle w:val="24"/>
              <w:rPr>
                <w:rFonts w:hint="default" w:ascii="Times New Roman" w:hAnsi="Times New Roman" w:eastAsia="宋体" w:cs="Times New Roman"/>
                <w:b w:val="0"/>
                <w:bCs w:val="0"/>
                <w:color w:val="auto"/>
                <w:highlight w:val="none"/>
                <w:lang w:val="en-US"/>
              </w:rPr>
            </w:pPr>
            <w:r>
              <w:rPr>
                <w:rFonts w:hint="eastAsia" w:ascii="Times New Roman" w:hAnsi="Times New Roman" w:eastAsia="宋体" w:cs="Times New Roman"/>
                <w:b w:val="0"/>
                <w:bCs w:val="0"/>
                <w:color w:val="auto"/>
                <w:highlight w:val="none"/>
                <w:lang w:val="en-US" w:eastAsia="zh-CN"/>
              </w:rPr>
              <w:t>规划实施</w:t>
            </w:r>
            <w:r>
              <w:rPr>
                <w:rFonts w:hint="eastAsia" w:cs="Times New Roman"/>
                <w:b w:val="0"/>
                <w:bCs w:val="0"/>
                <w:color w:val="auto"/>
                <w:highlight w:val="none"/>
                <w:lang w:val="en-US" w:eastAsia="zh-CN"/>
              </w:rPr>
              <w:t>应注意的主要问题</w:t>
            </w:r>
          </w:p>
        </w:tc>
        <w:tc>
          <w:tcPr>
            <w:tcW w:w="2380" w:type="pct"/>
            <w:gridSpan w:val="2"/>
            <w:noWrap w:val="0"/>
            <w:vAlign w:val="center"/>
          </w:tcPr>
          <w:p w14:paraId="76DBA195">
            <w:pPr>
              <w:pStyle w:val="24"/>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lang w:val="en-US" w:eastAsia="zh-CN"/>
              </w:rPr>
              <w:t>（一）严格落实长江经济带</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共抓大保护，不搞大开发</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的总体要求，坚持生态优先、绿色发展，严格执行《中华人民共和国长江保护法》和长江经济带发展负面清单等法规、政策相关要求，坚持统筹协调、科学规划，严格落实生态环境分区管控要求，以生态环境高水平保护助推区域经济高质量发展。</w:t>
            </w:r>
          </w:p>
        </w:tc>
        <w:tc>
          <w:tcPr>
            <w:tcW w:w="1428" w:type="pct"/>
            <w:noWrap w:val="0"/>
            <w:vAlign w:val="center"/>
          </w:tcPr>
          <w:p w14:paraId="7C1E5BFB">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根据表2.5-11，本项目符合《中华人民共和国长江保护法》和长江经济带发展负面清单等法规、政策相关要求。</w:t>
            </w:r>
          </w:p>
        </w:tc>
        <w:tc>
          <w:tcPr>
            <w:tcW w:w="383" w:type="pct"/>
            <w:noWrap w:val="0"/>
            <w:vAlign w:val="center"/>
          </w:tcPr>
          <w:p w14:paraId="01D32223">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符合</w:t>
            </w:r>
          </w:p>
        </w:tc>
      </w:tr>
      <w:tr w14:paraId="1085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4D00E05E">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7AE99436">
            <w:pPr>
              <w:pStyle w:val="24"/>
              <w:rPr>
                <w:rFonts w:hint="eastAsia"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6CF2CFC6">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二）严格生态环境准入。按照《报告书》提出的《规划》优化调整建议、生态环境准入清单，进一步优化园区功能布局、发展规模、开发时序，确保《规划》符合巴中市国土空间总体规划，实现产业发展与生态环境保护、中心城区及周边场镇发展相协调。禁止在长江干支流岸线一公里范围内新建、扩建化工园区和化工项目。</w:t>
            </w:r>
          </w:p>
        </w:tc>
        <w:tc>
          <w:tcPr>
            <w:tcW w:w="1428" w:type="pct"/>
            <w:noWrap w:val="0"/>
            <w:vAlign w:val="center"/>
          </w:tcPr>
          <w:p w14:paraId="1A7DAA91">
            <w:pPr>
              <w:pStyle w:val="24"/>
              <w:rPr>
                <w:rFonts w:hint="eastAsia" w:cs="Times New Roman"/>
                <w:b w:val="0"/>
                <w:bCs w:val="0"/>
                <w:color w:val="auto"/>
                <w:highlight w:val="none"/>
                <w:lang w:val="en-US" w:eastAsia="zh-CN"/>
              </w:rPr>
            </w:pPr>
            <w:r>
              <w:rPr>
                <w:rFonts w:hint="eastAsia" w:cs="Times New Roman"/>
                <w:b w:val="0"/>
                <w:bCs w:val="0"/>
                <w:color w:val="auto"/>
                <w:highlight w:val="none"/>
                <w:lang w:val="en-US" w:eastAsia="zh-CN"/>
              </w:rPr>
              <w:t>本项目符合《规划》优化调整建议、生态环境准入清单；本项目距通江河（长江四级支流）2650m，不在长江干支流岸线一公里范围内。</w:t>
            </w:r>
          </w:p>
          <w:p w14:paraId="0BBEC31F">
            <w:pPr>
              <w:pStyle w:val="24"/>
              <w:rPr>
                <w:rFonts w:hint="default" w:cs="Times New Roman"/>
                <w:b w:val="0"/>
                <w:bCs w:val="0"/>
                <w:color w:val="auto"/>
                <w:highlight w:val="none"/>
                <w:lang w:val="en-US" w:eastAsia="zh-CN"/>
              </w:rPr>
            </w:pPr>
          </w:p>
        </w:tc>
        <w:tc>
          <w:tcPr>
            <w:tcW w:w="383" w:type="pct"/>
            <w:noWrap w:val="0"/>
            <w:vAlign w:val="center"/>
          </w:tcPr>
          <w:p w14:paraId="3604E8C8">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0E61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79AC4EE9">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375BFB66">
            <w:pPr>
              <w:pStyle w:val="24"/>
              <w:rPr>
                <w:rFonts w:hint="eastAsia"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7DE58CA2">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三）严守环境质量底线。根据国家、四川省生态环境保护相关要求和巴中市生态环境分区管控成果，严格执行巴中市、巴州区、通江县大气污染防治相关要求。深化区域地表水体整治工作，根据国家和地方污染防治相关要求，推进区域水环境质量持续改善。严格控制大气、水污染物排放总量。认真落实《报告书》提出各项生态环境保护措施和不良环境影响减缓对策措施。</w:t>
            </w:r>
          </w:p>
        </w:tc>
        <w:tc>
          <w:tcPr>
            <w:tcW w:w="1428" w:type="pct"/>
            <w:noWrap w:val="0"/>
            <w:vAlign w:val="center"/>
          </w:tcPr>
          <w:p w14:paraId="042A1EB6">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本项目符合</w:t>
            </w:r>
            <w:r>
              <w:rPr>
                <w:rFonts w:hint="default" w:ascii="Times New Roman" w:hAnsi="Times New Roman" w:eastAsia="宋体" w:cs="Times New Roman"/>
                <w:b w:val="0"/>
                <w:bCs w:val="0"/>
                <w:color w:val="auto"/>
                <w:highlight w:val="none"/>
                <w:lang w:val="en-US" w:eastAsia="zh-CN"/>
              </w:rPr>
              <w:t>巴中市、巴州区、通江县大气污染防治相关要求</w:t>
            </w:r>
            <w:r>
              <w:rPr>
                <w:rFonts w:hint="eastAsia" w:ascii="Times New Roman" w:hAnsi="Times New Roman" w:eastAsia="宋体" w:cs="Times New Roman"/>
                <w:b w:val="0"/>
                <w:bCs w:val="0"/>
                <w:color w:val="auto"/>
                <w:highlight w:val="none"/>
                <w:lang w:val="en-US" w:eastAsia="zh-CN"/>
              </w:rPr>
              <w:t>。</w:t>
            </w:r>
          </w:p>
        </w:tc>
        <w:tc>
          <w:tcPr>
            <w:tcW w:w="383" w:type="pct"/>
            <w:noWrap w:val="0"/>
            <w:vAlign w:val="center"/>
          </w:tcPr>
          <w:p w14:paraId="175FB5FD">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B5C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3EA7BCEF">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53F01FDB">
            <w:pPr>
              <w:pStyle w:val="24"/>
              <w:rPr>
                <w:rFonts w:hint="eastAsia"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0991B278">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四）强化环境基础设施建设。严格落实规划区中水回用工程，按照《四川省化工园区认定管理办法》有关要求建设生产废水集中处理设施及专管或明管输送的配套管网，规划区配套污水处理厂未建成投运，入驻企业不得投产。加强对固体废物（特别是危险废物）的收集、暂存、转运、利用及处置过程的环境管理，防止产生二次污染。</w:t>
            </w:r>
          </w:p>
        </w:tc>
        <w:tc>
          <w:tcPr>
            <w:tcW w:w="1428" w:type="pct"/>
            <w:noWrap w:val="0"/>
            <w:vAlign w:val="center"/>
          </w:tcPr>
          <w:p w14:paraId="080BBBC5">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本项目生产废水输送管道可视化架空设置，环评要求：在通江县秋锦山产业园区综合污水处理厂建成投运前，本项目不得投产。</w:t>
            </w:r>
          </w:p>
        </w:tc>
        <w:tc>
          <w:tcPr>
            <w:tcW w:w="383" w:type="pct"/>
            <w:noWrap w:val="0"/>
            <w:vAlign w:val="center"/>
          </w:tcPr>
          <w:p w14:paraId="7D5A41D9">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7D27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73EFE665">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61C29BBD">
            <w:pPr>
              <w:pStyle w:val="24"/>
              <w:rPr>
                <w:rFonts w:hint="eastAsia"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157282F3">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五）强化经开区环境风险管控。健全经开区环境风险多级防控体系，建立环境应急专业队伍，完善环境应急管理制度，落实经开区内企业事故废水收集处置措施，设置截断设施、事故应急池等环境风险防范措施，杜绝事故废水入河；完善经开区环境风险应急预案，强化环境应急物资储备，配备环境应急监测设备，定期开展环境风险应急演练，提升环境应急能力，确保环境安全。</w:t>
            </w:r>
          </w:p>
        </w:tc>
        <w:tc>
          <w:tcPr>
            <w:tcW w:w="1428" w:type="pct"/>
            <w:noWrap w:val="0"/>
            <w:vAlign w:val="center"/>
          </w:tcPr>
          <w:p w14:paraId="6EF8A7F7">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本项目设置“生产单元-企业-园区”的三级事故废水防范体系，厂区设围堰、事故应急池等。</w:t>
            </w:r>
          </w:p>
        </w:tc>
        <w:tc>
          <w:tcPr>
            <w:tcW w:w="383" w:type="pct"/>
            <w:noWrap w:val="0"/>
            <w:vAlign w:val="center"/>
          </w:tcPr>
          <w:p w14:paraId="60B6CE9F">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753A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4A5C04BD">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4F896BEB">
            <w:pPr>
              <w:pStyle w:val="24"/>
              <w:rPr>
                <w:rFonts w:hint="eastAsia"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074AF38A">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六）推动园区减污降碳协同管控。建立健全园区碳排放管理制度，推动产业结构、能源结构、物流运输绿色低碳发展。入驻企业通过采用各种先进技术和生产工艺，改进能源利用技术，提高能源综合利用效率，减少和控制温室气体排放，促进规划区产业绿色低碳循环发展。</w:t>
            </w:r>
          </w:p>
        </w:tc>
        <w:tc>
          <w:tcPr>
            <w:tcW w:w="1428" w:type="pct"/>
            <w:noWrap w:val="0"/>
            <w:vAlign w:val="center"/>
          </w:tcPr>
          <w:p w14:paraId="2BA407A7">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本项目采用先进技术和生产工艺，电作为能源，最大程度减少碳排放。</w:t>
            </w:r>
          </w:p>
        </w:tc>
        <w:tc>
          <w:tcPr>
            <w:tcW w:w="383" w:type="pct"/>
            <w:noWrap w:val="0"/>
            <w:vAlign w:val="center"/>
          </w:tcPr>
          <w:p w14:paraId="059CB502">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151D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148AA1F5">
            <w:pPr>
              <w:pStyle w:val="24"/>
              <w:rPr>
                <w:rFonts w:hint="eastAsia" w:ascii="Times New Roman" w:hAnsi="Times New Roman" w:eastAsia="宋体" w:cs="Times New Roman"/>
                <w:b w:val="0"/>
                <w:bCs w:val="0"/>
                <w:color w:val="auto"/>
                <w:highlight w:val="none"/>
              </w:rPr>
            </w:pPr>
          </w:p>
        </w:tc>
        <w:tc>
          <w:tcPr>
            <w:tcW w:w="381" w:type="pct"/>
            <w:vMerge w:val="restart"/>
            <w:noWrap w:val="0"/>
            <w:vAlign w:val="center"/>
          </w:tcPr>
          <w:p w14:paraId="716FBB98">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不良环境影响减缓对策措施</w:t>
            </w:r>
            <w:r>
              <w:rPr>
                <w:rFonts w:hint="eastAsia" w:cs="Times New Roman"/>
                <w:b w:val="0"/>
                <w:bCs w:val="0"/>
                <w:color w:val="auto"/>
                <w:highlight w:val="none"/>
                <w:lang w:val="en-US" w:eastAsia="zh-CN"/>
              </w:rPr>
              <w:t>和</w:t>
            </w:r>
            <w:r>
              <w:rPr>
                <w:rFonts w:hint="default" w:ascii="Times New Roman" w:hAnsi="Times New Roman" w:eastAsia="宋体" w:cs="Times New Roman"/>
                <w:b w:val="0"/>
                <w:bCs w:val="0"/>
                <w:color w:val="auto"/>
                <w:highlight w:val="none"/>
                <w:lang w:val="en-US" w:eastAsia="zh-CN"/>
              </w:rPr>
              <w:t>协同降碳建议</w:t>
            </w:r>
          </w:p>
        </w:tc>
        <w:tc>
          <w:tcPr>
            <w:tcW w:w="414" w:type="pct"/>
            <w:vMerge w:val="restart"/>
            <w:shd w:val="clear" w:color="auto" w:fill="auto"/>
            <w:noWrap w:val="0"/>
            <w:vAlign w:val="center"/>
          </w:tcPr>
          <w:p w14:paraId="55118413">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资源节约与</w:t>
            </w:r>
            <w:r>
              <w:rPr>
                <w:rFonts w:hint="eastAsia" w:ascii="Times New Roman" w:hAnsi="Times New Roman" w:eastAsia="宋体" w:cs="Times New Roman"/>
                <w:b w:val="0"/>
                <w:bCs w:val="0"/>
                <w:color w:val="auto"/>
                <w:highlight w:val="none"/>
                <w:lang w:val="en-US" w:eastAsia="zh-CN"/>
              </w:rPr>
              <w:t>碳减排</w:t>
            </w:r>
          </w:p>
        </w:tc>
        <w:tc>
          <w:tcPr>
            <w:tcW w:w="1965" w:type="pct"/>
            <w:shd w:val="clear" w:color="auto" w:fill="auto"/>
            <w:noWrap w:val="0"/>
            <w:vAlign w:val="center"/>
          </w:tcPr>
          <w:p w14:paraId="3B00DC7E">
            <w:pPr>
              <w:pStyle w:val="24"/>
              <w:ind w:left="0" w:leftChars="0"/>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能源节约措施：1、</w:t>
            </w:r>
            <w:r>
              <w:rPr>
                <w:rFonts w:hint="default" w:ascii="Times New Roman" w:hAnsi="Times New Roman" w:eastAsia="宋体" w:cs="Times New Roman"/>
                <w:b w:val="0"/>
                <w:bCs w:val="0"/>
                <w:color w:val="auto"/>
                <w:kern w:val="2"/>
                <w:sz w:val="21"/>
                <w:szCs w:val="24"/>
                <w:highlight w:val="none"/>
                <w:lang w:val="en-US" w:eastAsia="zh-CN" w:bidi="ar-SA"/>
              </w:rPr>
              <w:t>应实施统筹规划，考虑现有高耗能企业的节能降耗措施</w:t>
            </w:r>
            <w:r>
              <w:rPr>
                <w:rFonts w:hint="eastAsia"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2、引入项目应严格落实巴中市十四五能耗双控指标的相关要求。</w:t>
            </w:r>
          </w:p>
        </w:tc>
        <w:tc>
          <w:tcPr>
            <w:tcW w:w="1428" w:type="pct"/>
            <w:shd w:val="clear" w:color="auto" w:fill="auto"/>
            <w:noWrap w:val="0"/>
            <w:vAlign w:val="center"/>
          </w:tcPr>
          <w:p w14:paraId="418C908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本项目不属于高耗能企业。</w:t>
            </w:r>
          </w:p>
        </w:tc>
        <w:tc>
          <w:tcPr>
            <w:tcW w:w="383" w:type="pct"/>
            <w:shd w:val="clear" w:color="auto" w:fill="auto"/>
            <w:noWrap w:val="0"/>
            <w:vAlign w:val="center"/>
          </w:tcPr>
          <w:p w14:paraId="7892DD40">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w:t>
            </w:r>
          </w:p>
        </w:tc>
      </w:tr>
      <w:tr w14:paraId="54DE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2DF23E86">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3157D590">
            <w:pPr>
              <w:pStyle w:val="24"/>
              <w:rPr>
                <w:rFonts w:hint="eastAsia" w:cs="Times New Roman"/>
                <w:b w:val="0"/>
                <w:bCs w:val="0"/>
                <w:color w:val="auto"/>
                <w:highlight w:val="none"/>
                <w:lang w:val="en-US" w:eastAsia="zh-CN"/>
              </w:rPr>
            </w:pPr>
          </w:p>
        </w:tc>
        <w:tc>
          <w:tcPr>
            <w:tcW w:w="414" w:type="pct"/>
            <w:vMerge w:val="continue"/>
            <w:shd w:val="clear" w:color="auto" w:fill="auto"/>
            <w:noWrap w:val="0"/>
            <w:vAlign w:val="center"/>
          </w:tcPr>
          <w:p w14:paraId="3B4FE3E7">
            <w:pPr>
              <w:pStyle w:val="24"/>
              <w:ind w:left="0" w:leftChars="0"/>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2DE61EE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水资源利用：</w:t>
            </w:r>
            <w:r>
              <w:rPr>
                <w:rFonts w:hint="default" w:ascii="Times New Roman" w:hAnsi="Times New Roman" w:eastAsia="宋体" w:cs="Times New Roman"/>
                <w:b w:val="0"/>
                <w:bCs w:val="0"/>
                <w:color w:val="auto"/>
                <w:kern w:val="2"/>
                <w:sz w:val="21"/>
                <w:szCs w:val="24"/>
                <w:highlight w:val="none"/>
                <w:lang w:val="en-US" w:eastAsia="zh-CN" w:bidi="ar-SA"/>
              </w:rPr>
              <w:t>1、严格落实规划区中水回用工程。2、引入企业应积极落实区域中水回用方案</w:t>
            </w:r>
            <w:r>
              <w:rPr>
                <w:rFonts w:hint="eastAsia" w:cs="Times New Roman"/>
                <w:b w:val="0"/>
                <w:bCs w:val="0"/>
                <w:color w:val="auto"/>
                <w:kern w:val="2"/>
                <w:sz w:val="21"/>
                <w:szCs w:val="24"/>
                <w:highlight w:val="none"/>
                <w:lang w:val="en-US" w:eastAsia="zh-CN" w:bidi="ar-SA"/>
              </w:rPr>
              <w:t>。</w:t>
            </w:r>
          </w:p>
        </w:tc>
        <w:tc>
          <w:tcPr>
            <w:tcW w:w="1428" w:type="pct"/>
            <w:shd w:val="clear" w:color="auto" w:fill="auto"/>
            <w:noWrap w:val="0"/>
            <w:vAlign w:val="center"/>
          </w:tcPr>
          <w:p w14:paraId="0377BC83">
            <w:pPr>
              <w:pStyle w:val="24"/>
              <w:ind w:left="0" w:leftChars="0"/>
              <w:rPr>
                <w:rFonts w:hint="default" w:cs="Times New Roman"/>
                <w:b w:val="0"/>
                <w:bCs w:val="0"/>
                <w:color w:val="auto"/>
                <w:highlight w:val="none"/>
                <w:lang w:val="en-US" w:eastAsia="zh-CN"/>
              </w:rPr>
            </w:pPr>
            <w:r>
              <w:rPr>
                <w:rFonts w:hint="default" w:cs="Times New Roman"/>
                <w:b w:val="0"/>
                <w:bCs w:val="0"/>
                <w:color w:val="auto"/>
                <w:highlight w:val="none"/>
                <w:lang w:val="en-US" w:eastAsia="zh-CN"/>
              </w:rPr>
              <w:t>本项目初期雨水、其余器皿三次后清洗废水、车间地面清洁废水</w:t>
            </w:r>
            <w:r>
              <w:rPr>
                <w:rFonts w:hint="eastAsia" w:cs="Times New Roman"/>
                <w:b w:val="0"/>
                <w:bCs w:val="0"/>
                <w:color w:val="auto"/>
                <w:highlight w:val="none"/>
                <w:lang w:val="en-US" w:eastAsia="zh-CN"/>
              </w:rPr>
              <w:t>、</w:t>
            </w:r>
            <w:r>
              <w:rPr>
                <w:rFonts w:hint="default" w:cs="Times New Roman"/>
                <w:b w:val="0"/>
                <w:bCs w:val="0"/>
                <w:color w:val="auto"/>
                <w:highlight w:val="none"/>
                <w:lang w:val="en-US" w:eastAsia="zh-CN"/>
              </w:rPr>
              <w:t>反冲洗废水、循环排污水、喷淋废水作为回用水用于高性能聚羧酸减水剂复配</w:t>
            </w:r>
            <w:r>
              <w:rPr>
                <w:rFonts w:hint="eastAsia" w:cs="Times New Roman"/>
                <w:b w:val="0"/>
                <w:bCs w:val="0"/>
                <w:color w:val="auto"/>
                <w:highlight w:val="none"/>
                <w:lang w:val="en-US" w:eastAsia="zh-CN"/>
              </w:rPr>
              <w:t>。</w:t>
            </w:r>
          </w:p>
        </w:tc>
        <w:tc>
          <w:tcPr>
            <w:tcW w:w="383" w:type="pct"/>
            <w:shd w:val="clear" w:color="auto" w:fill="auto"/>
            <w:noWrap w:val="0"/>
            <w:vAlign w:val="center"/>
          </w:tcPr>
          <w:p w14:paraId="5609CE02">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F9B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31FFB216">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18CDE7AD">
            <w:pPr>
              <w:pStyle w:val="24"/>
              <w:rPr>
                <w:rFonts w:hint="eastAsia" w:cs="Times New Roman"/>
                <w:b w:val="0"/>
                <w:bCs w:val="0"/>
                <w:color w:val="auto"/>
                <w:highlight w:val="none"/>
                <w:lang w:val="en-US" w:eastAsia="zh-CN"/>
              </w:rPr>
            </w:pPr>
          </w:p>
        </w:tc>
        <w:tc>
          <w:tcPr>
            <w:tcW w:w="414" w:type="pct"/>
            <w:vMerge w:val="continue"/>
            <w:shd w:val="clear" w:color="auto" w:fill="auto"/>
            <w:noWrap w:val="0"/>
            <w:vAlign w:val="center"/>
          </w:tcPr>
          <w:p w14:paraId="4537DB98">
            <w:pPr>
              <w:pStyle w:val="24"/>
              <w:ind w:left="0" w:leftChars="0"/>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584BBEF0">
            <w:pPr>
              <w:pStyle w:val="24"/>
              <w:ind w:left="0" w:leftChars="0"/>
              <w:rPr>
                <w:rFonts w:hint="eastAsia"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 xml:space="preserve">碳排放：2、找准区域落实碳达峰、碳中和战略的关键企业，政策支持、引导企业实施先进工艺技术及污染处理技术，鼓励企业实施碳捕集回收利用技术，要求企业尽量购买水电、太阳能、风能等清洁电力，通过强化绿色电力、热力在能源加工及 </w:t>
            </w:r>
          </w:p>
          <w:p w14:paraId="167D3954">
            <w:pPr>
              <w:pStyle w:val="24"/>
              <w:ind w:left="0" w:leftChars="0"/>
              <w:rPr>
                <w:rFonts w:hint="eastAsia"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转换过程中的利用，实现清洁用电，降低用电、用热碳排放。3、推进区域产业循环式组合发展。4、要求规划区引入项目在初期建设时必须进行建筑绿色节能设计，从源头减少碳排放。 5、考虑固废资源化或回收利用是有效的减排途径。</w:t>
            </w:r>
          </w:p>
        </w:tc>
        <w:tc>
          <w:tcPr>
            <w:tcW w:w="1428" w:type="pct"/>
            <w:shd w:val="clear" w:color="auto" w:fill="auto"/>
            <w:noWrap w:val="0"/>
            <w:vAlign w:val="center"/>
          </w:tcPr>
          <w:p w14:paraId="1DB84608">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本项目采用电作为能源，最大程度减少碳排放；根据项目初步设计资料，本项目进行了</w:t>
            </w:r>
            <w:r>
              <w:rPr>
                <w:rFonts w:hint="eastAsia" w:cs="Times New Roman"/>
                <w:b w:val="0"/>
                <w:bCs w:val="0"/>
                <w:color w:val="auto"/>
                <w:kern w:val="2"/>
                <w:sz w:val="21"/>
                <w:szCs w:val="24"/>
                <w:highlight w:val="none"/>
                <w:lang w:val="en-US" w:eastAsia="zh-CN" w:bidi="ar-SA"/>
              </w:rPr>
              <w:t>建筑绿色节能设计；本项目废包装材料</w:t>
            </w:r>
            <w:r>
              <w:rPr>
                <w:rFonts w:hint="eastAsia" w:ascii="Times New Roman" w:hAnsi="Times New Roman" w:eastAsia="宋体" w:cs="Courier New"/>
                <w:b w:val="0"/>
                <w:bCs w:val="0"/>
                <w:color w:val="auto"/>
                <w:sz w:val="21"/>
                <w:szCs w:val="21"/>
                <w:highlight w:val="none"/>
                <w:lang w:val="en-US" w:eastAsia="zh-CN"/>
              </w:rPr>
              <w:t>外售至废旧物资回收单位，实现了固废资源化或回收利用。</w:t>
            </w:r>
          </w:p>
        </w:tc>
        <w:tc>
          <w:tcPr>
            <w:tcW w:w="383" w:type="pct"/>
            <w:shd w:val="clear" w:color="auto" w:fill="auto"/>
            <w:noWrap w:val="0"/>
            <w:vAlign w:val="center"/>
          </w:tcPr>
          <w:p w14:paraId="583E264F">
            <w:pPr>
              <w:pStyle w:val="24"/>
              <w:ind w:left="0" w:leftChars="0"/>
              <w:rPr>
                <w:rFonts w:hint="eastAsia"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0D09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42AA5AA9">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5C3C076A">
            <w:pPr>
              <w:pStyle w:val="24"/>
              <w:rPr>
                <w:rFonts w:hint="eastAsia" w:cs="Times New Roman"/>
                <w:b w:val="0"/>
                <w:bCs w:val="0"/>
                <w:color w:val="auto"/>
                <w:highlight w:val="none"/>
                <w:lang w:val="en-US" w:eastAsia="zh-CN"/>
              </w:rPr>
            </w:pPr>
          </w:p>
        </w:tc>
        <w:tc>
          <w:tcPr>
            <w:tcW w:w="414" w:type="pct"/>
            <w:vMerge w:val="restart"/>
            <w:shd w:val="clear" w:color="auto" w:fill="auto"/>
            <w:noWrap w:val="0"/>
            <w:vAlign w:val="center"/>
          </w:tcPr>
          <w:p w14:paraId="1EE6D471">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生态环境保护与污染防治对策和措施</w:t>
            </w:r>
          </w:p>
        </w:tc>
        <w:tc>
          <w:tcPr>
            <w:tcW w:w="1965" w:type="pct"/>
            <w:shd w:val="clear" w:color="auto" w:fill="auto"/>
            <w:noWrap w:val="0"/>
            <w:vAlign w:val="center"/>
          </w:tcPr>
          <w:p w14:paraId="04BDCB81">
            <w:pPr>
              <w:pStyle w:val="24"/>
              <w:ind w:left="0" w:leftChars="0"/>
              <w:jc w:val="center"/>
              <w:rPr>
                <w:rFonts w:hint="eastAsia"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废水处理对策及要求</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1、全面落实最严格水资源管理制度</w:t>
            </w:r>
            <w:r>
              <w:rPr>
                <w:rFonts w:hint="eastAsia" w:cs="Times New Roman"/>
                <w:b w:val="0"/>
                <w:bCs w:val="0"/>
                <w:color w:val="auto"/>
                <w:highlight w:val="none"/>
                <w:lang w:val="en-US" w:eastAsia="zh-CN"/>
              </w:rPr>
              <w:t xml:space="preserve">。（1）强化水资源“三条红线”管控，加强水资源承载能力评价及监测预警。对取用水总量已达到或超过控制指标的地区暂停审批建设项目新增取水，对取用水总量接近控制指标的地区限制审批建设项目新增取水。（2）大力推进重点领域节水，全面提高用水效率。加快推进工业节水；同步实施中水回用工程。（3）从源头控制工业污染物排放量，要求入区企业提高用水循环率，减少工业用水量和废水排放量。2、加强企业污水预处理能力，完善管网铺设，保障废水100%纳管率。（1）工业废水需经厂内污水处理设施预处理后，在满足《污水综合排放标准》（GB8978-1996）及相关行业的国家排放标准后，方可排入污水处理厂进行处理。且曾口、金堂区块规划污水处理厂仅接纳园区污水。（2）废水中的酸碱度、重金属及难降解的有机类有毒污染物以及废水中盐分浓度对废水的生化处理均有抑制作用，因此，废水无论在厂内处理或是在厂外处 </w:t>
            </w:r>
          </w:p>
          <w:p w14:paraId="30A415CF">
            <w:pPr>
              <w:pStyle w:val="24"/>
              <w:ind w:left="0" w:leftChars="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理均应做好预处理，包括废水的酸碱度调节、重金属离子的去除、盐度的降低及油分的去除、生化性能的改善等。（3）有序推动污水管网和中水回用管网铺设进度，保证企业生产污废水全部收集处理。在园区污水处理厂未建成之前，禁止企业生产排水。</w:t>
            </w:r>
          </w:p>
        </w:tc>
        <w:tc>
          <w:tcPr>
            <w:tcW w:w="1428" w:type="pct"/>
            <w:shd w:val="clear" w:color="auto" w:fill="auto"/>
            <w:noWrap w:val="0"/>
            <w:vAlign w:val="center"/>
          </w:tcPr>
          <w:p w14:paraId="7305D258">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1、本项目</w:t>
            </w:r>
            <w:r>
              <w:rPr>
                <w:rFonts w:hint="eastAsia" w:cs="Times New Roman"/>
                <w:b w:val="0"/>
                <w:bCs w:val="0"/>
                <w:color w:val="auto"/>
                <w:kern w:val="2"/>
                <w:sz w:val="21"/>
                <w:szCs w:val="24"/>
                <w:highlight w:val="none"/>
                <w:lang w:val="en-US" w:eastAsia="zh-CN" w:bidi="ar-SA"/>
              </w:rPr>
              <w:t>用水由园区供水管网统一供给</w:t>
            </w:r>
            <w:r>
              <w:rPr>
                <w:rFonts w:hint="eastAsia" w:eastAsia="宋体" w:cs="Times New Roman"/>
                <w:b w:val="0"/>
                <w:bCs w:val="0"/>
                <w:color w:val="auto"/>
                <w:sz w:val="21"/>
                <w:szCs w:val="21"/>
                <w:highlight w:val="none"/>
                <w:lang w:val="en-US" w:eastAsia="zh-CN"/>
              </w:rPr>
              <w:t>，</w:t>
            </w:r>
            <w:r>
              <w:rPr>
                <w:rFonts w:hint="default" w:cs="Times New Roman"/>
                <w:b w:val="0"/>
                <w:bCs w:val="0"/>
                <w:color w:val="auto"/>
                <w:highlight w:val="none"/>
                <w:lang w:val="en-US" w:eastAsia="zh-CN"/>
              </w:rPr>
              <w:t>初期雨水、其余器皿三次后清洗废水、车间地面清洁废水</w:t>
            </w:r>
            <w:r>
              <w:rPr>
                <w:rFonts w:hint="eastAsia" w:cs="Times New Roman"/>
                <w:b w:val="0"/>
                <w:bCs w:val="0"/>
                <w:color w:val="auto"/>
                <w:highlight w:val="none"/>
                <w:lang w:val="en-US" w:eastAsia="zh-CN"/>
              </w:rPr>
              <w:t>、</w:t>
            </w:r>
            <w:r>
              <w:rPr>
                <w:rFonts w:hint="default" w:cs="Times New Roman"/>
                <w:b w:val="0"/>
                <w:bCs w:val="0"/>
                <w:color w:val="auto"/>
                <w:highlight w:val="none"/>
                <w:lang w:val="en-US" w:eastAsia="zh-CN"/>
              </w:rPr>
              <w:t>反冲洗废水、循环排污水、喷淋废水作为回用水用于高性能聚羧酸减水剂复配</w:t>
            </w:r>
            <w:r>
              <w:rPr>
                <w:rFonts w:hint="eastAsia" w:cs="Times New Roman"/>
                <w:b w:val="0"/>
                <w:bCs w:val="0"/>
                <w:color w:val="auto"/>
                <w:highlight w:val="none"/>
                <w:lang w:val="en-US" w:eastAsia="zh-CN"/>
              </w:rPr>
              <w:t>；</w:t>
            </w:r>
            <w:r>
              <w:rPr>
                <w:rFonts w:hint="eastAsia" w:eastAsia="宋体" w:cs="Times New Roman"/>
                <w:b w:val="0"/>
                <w:bCs w:val="0"/>
                <w:color w:val="auto"/>
                <w:sz w:val="21"/>
                <w:szCs w:val="21"/>
                <w:highlight w:val="none"/>
                <w:lang w:val="en-US" w:eastAsia="zh-CN"/>
              </w:rPr>
              <w:t>2、</w:t>
            </w:r>
            <w:r>
              <w:rPr>
                <w:rFonts w:hint="eastAsia" w:cs="Times New Roman"/>
                <w:b w:val="0"/>
                <w:bCs w:val="0"/>
                <w:color w:val="auto"/>
                <w:highlight w:val="none"/>
                <w:lang w:val="en-US" w:eastAsia="zh-CN"/>
              </w:rPr>
              <w:t>本项目外排废水为生活污水，经预处理达标后，依托通江县秋锦山产业园区综合污水处理厂进一步处理，收集率可达到100%；环评要求：在通江县秋锦山产业园区综合污水处理厂建成投运前，本项目不得投产。</w:t>
            </w:r>
          </w:p>
        </w:tc>
        <w:tc>
          <w:tcPr>
            <w:tcW w:w="383" w:type="pct"/>
            <w:shd w:val="clear" w:color="auto" w:fill="auto"/>
            <w:noWrap w:val="0"/>
            <w:vAlign w:val="center"/>
          </w:tcPr>
          <w:p w14:paraId="180F0578">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7E1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4FA1B294">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522E8B03">
            <w:pPr>
              <w:pStyle w:val="24"/>
              <w:rPr>
                <w:rFonts w:hint="eastAsia" w:cs="Times New Roman"/>
                <w:b w:val="0"/>
                <w:bCs w:val="0"/>
                <w:color w:val="auto"/>
                <w:highlight w:val="none"/>
                <w:lang w:val="en-US" w:eastAsia="zh-CN"/>
              </w:rPr>
            </w:pPr>
          </w:p>
        </w:tc>
        <w:tc>
          <w:tcPr>
            <w:tcW w:w="414" w:type="pct"/>
            <w:vMerge w:val="continue"/>
            <w:shd w:val="clear" w:color="auto" w:fill="auto"/>
            <w:noWrap w:val="0"/>
            <w:vAlign w:val="center"/>
          </w:tcPr>
          <w:p w14:paraId="7C9EBFC4">
            <w:pPr>
              <w:pStyle w:val="24"/>
              <w:ind w:left="0" w:leftChars="0"/>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784E646C">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废气处理对策及要求</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 xml:space="preserve">1、地方政府及管委会严格落实各级大气污染防治工作方案和总量减排，为规划实施提供环境容量。 </w:t>
            </w:r>
          </w:p>
          <w:p w14:paraId="1232E83D">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2、严格规划项目生态环境准入要求</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 xml:space="preserve">（1）按照规划区规划的重点项目实施产业发展，禁止高能耗、高污染的传统化工项目建设，限制与规划主导产业不符的项目建设。（2）规划项目的工艺技术、建设规模应符合国家产业政策要求，鼓励采用能源转换率高、污染物排放强度低、环境风险小的工艺技术。 </w:t>
            </w:r>
          </w:p>
          <w:p w14:paraId="6E51890C">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 xml:space="preserve">3、各企业均需落实项目环评提出的具体的大气环境防护距离。 </w:t>
            </w:r>
          </w:p>
          <w:p w14:paraId="37BDABD9">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4、积极推行清洁能源，禁止新建、改扩建采用高污染燃料的项目和设施。5、提高入园企业大气污染物排放的清洁生产水平，引进企业必须采取先进、可靠的废气治理措施，确保规划区企业废气达标排放。6、严格涉VOCs建设项目环境影响评价，新、改、扩建涉VOCs排放项目，应从源头加强控制，使用低（无）VOCs含量的原辅材料，加强废气收集，安装高效治理设施。7、规划区企业 VOCs 无组织源控制措施如下：（1）源头控制方案将企业内可能出现泄漏的生产装置及时进行升级改造，更新替换可能出现泄漏的管道系统。（2）过程控制方案</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1）罐体应保持完好，不应有孔洞、缝隙；储罐附件开口（孔），除采样、计量、例行检查、维护和其他正常活动外，应密闭；定期检查呼吸阀的定压是否符合设定要求。2）成品装车平台装车过程中，会逸散大量的尾气，造成现场异味很重，为有效预防装车过程中出现的废气外逸，装车鹤管要用专用接口。3）应加强存储、装卸、使用过程的密闭性，无组织废气应收尽收，收集率不低于90%。应加强阀门、法兰、泵和压缩机密封、泄压设备等设备的检修和维护，建立泄露修复技术（LDAR），定期实施泄露检修计划。（3）末端治理方案废水预处理设施（调节池、气浮池、隔油池）加盖并配备废气收集处理设施后接入净化装置进行处理。8、参照巴中市应急管理局《关于划定巴中经开化工园区周边土地规划安全控制线的函》（巴市应急函〔2022〕58 号）中</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综合考虑3×10</w:t>
            </w:r>
            <w:r>
              <w:rPr>
                <w:rFonts w:hint="default" w:ascii="Times New Roman" w:hAnsi="Times New Roman" w:eastAsia="宋体" w:cs="Times New Roman"/>
                <w:b w:val="0"/>
                <w:bCs w:val="0"/>
                <w:color w:val="auto"/>
                <w:highlight w:val="none"/>
                <w:vertAlign w:val="superscript"/>
                <w:lang w:val="en-US" w:eastAsia="zh-CN"/>
              </w:rPr>
              <w:t xml:space="preserve">-7 </w:t>
            </w:r>
            <w:r>
              <w:rPr>
                <w:rFonts w:hint="default" w:ascii="Times New Roman" w:hAnsi="Times New Roman" w:eastAsia="宋体" w:cs="Times New Roman"/>
                <w:b w:val="0"/>
                <w:bCs w:val="0"/>
                <w:color w:val="auto"/>
                <w:highlight w:val="none"/>
                <w:lang w:val="en-US" w:eastAsia="zh-CN"/>
              </w:rPr>
              <w:t>/年个人风险等值线的范围以及相关重大事故后果影响范围，以现有化工园区边界为起点，向东、西、南、北侧延伸300米范围，划定巴中经开（又名</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巴中曾口-金堂</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）化工园区周边土地规划安全控制线</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。曾口、金堂区块规划范围外300m设置为安全控制线，项目入驻应强化选址合理性和环境可行性论证，严格污染防治措施，工业企业与安全防护距离范围内的住户留足防护距离，避免对其造成不利环境影响。</w:t>
            </w:r>
          </w:p>
        </w:tc>
        <w:tc>
          <w:tcPr>
            <w:tcW w:w="1428" w:type="pct"/>
            <w:shd w:val="clear" w:color="auto" w:fill="auto"/>
            <w:noWrap w:val="0"/>
            <w:vAlign w:val="center"/>
          </w:tcPr>
          <w:p w14:paraId="35F32E66">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1、本项目不属于</w:t>
            </w:r>
            <w:r>
              <w:rPr>
                <w:rFonts w:hint="default" w:ascii="Times New Roman" w:hAnsi="Times New Roman" w:eastAsia="宋体" w:cs="Times New Roman"/>
                <w:b w:val="0"/>
                <w:bCs w:val="0"/>
                <w:color w:val="auto"/>
                <w:highlight w:val="none"/>
                <w:lang w:val="en-US" w:eastAsia="zh-CN"/>
              </w:rPr>
              <w:t>高能耗、高污染</w:t>
            </w:r>
            <w:r>
              <w:rPr>
                <w:rFonts w:hint="eastAsia" w:ascii="Times New Roman" w:hAnsi="Times New Roman" w:eastAsia="宋体" w:cs="Times New Roman"/>
                <w:b w:val="0"/>
                <w:bCs w:val="0"/>
                <w:color w:val="auto"/>
                <w:highlight w:val="none"/>
                <w:lang w:val="en-US" w:eastAsia="zh-CN"/>
              </w:rPr>
              <w:t>企业；本项目采用电作为能源，生产过程全密闭，污染物排放强度低，环境风险小。2、本项目不需设置大气环境防护距离。3、本项目采用电作为能源，不涉及使用</w:t>
            </w:r>
            <w:r>
              <w:rPr>
                <w:rFonts w:hint="default" w:ascii="Times New Roman" w:hAnsi="Times New Roman" w:eastAsia="宋体" w:cs="Times New Roman"/>
                <w:b w:val="0"/>
                <w:bCs w:val="0"/>
                <w:color w:val="auto"/>
                <w:highlight w:val="none"/>
                <w:lang w:val="en-US" w:eastAsia="zh-CN"/>
              </w:rPr>
              <w:t>高污染燃料</w:t>
            </w:r>
            <w:r>
              <w:rPr>
                <w:rFonts w:hint="eastAsia" w:ascii="Times New Roman" w:hAnsi="Times New Roman" w:eastAsia="宋体" w:cs="Times New Roman"/>
                <w:b w:val="0"/>
                <w:bCs w:val="0"/>
                <w:color w:val="auto"/>
                <w:highlight w:val="none"/>
                <w:lang w:val="en-US" w:eastAsia="zh-CN"/>
              </w:rPr>
              <w:t>。4、本项目清洁生产</w:t>
            </w:r>
            <w:r>
              <w:rPr>
                <w:rFonts w:hint="eastAsia"/>
                <w:color w:val="auto"/>
                <w:lang w:val="en-US" w:eastAsia="zh-CN"/>
              </w:rPr>
              <w:t>可达到国内先进水平，废气处理采用</w:t>
            </w:r>
            <w:r>
              <w:rPr>
                <w:rFonts w:hint="default" w:ascii="Times New Roman" w:hAnsi="Times New Roman" w:eastAsia="宋体" w:cs="Times New Roman"/>
                <w:b w:val="0"/>
                <w:bCs w:val="0"/>
                <w:color w:val="auto"/>
                <w:highlight w:val="none"/>
                <w:lang w:val="en-US" w:eastAsia="zh-CN"/>
              </w:rPr>
              <w:t>先进、可靠的</w:t>
            </w:r>
            <w:r>
              <w:rPr>
                <w:rFonts w:hint="eastAsia" w:ascii="Times New Roman" w:hAnsi="Times New Roman" w:eastAsia="宋体" w:cs="Times New Roman"/>
                <w:b w:val="0"/>
                <w:bCs w:val="0"/>
                <w:color w:val="auto"/>
                <w:highlight w:val="none"/>
                <w:lang w:val="en-US" w:eastAsia="zh-CN"/>
              </w:rPr>
              <w:t>治理措施，可实现达标排放。5、本项目原辅材料中尽量使用大分子有机物，减少VOCs产生，生产过程全密闭，并采用密闭集气管道对排气阀进行收集，末端安装</w:t>
            </w:r>
            <w:r>
              <w:rPr>
                <w:rFonts w:hint="default" w:ascii="Times New Roman" w:hAnsi="Times New Roman" w:eastAsia="宋体" w:cs="Times New Roman"/>
                <w:b w:val="0"/>
                <w:bCs w:val="0"/>
                <w:color w:val="auto"/>
                <w:highlight w:val="none"/>
                <w:lang w:val="en-US" w:eastAsia="zh-CN"/>
              </w:rPr>
              <w:t>高效治理设施</w:t>
            </w:r>
            <w:r>
              <w:rPr>
                <w:rFonts w:hint="eastAsia" w:ascii="Times New Roman" w:hAnsi="Times New Roman" w:eastAsia="宋体" w:cs="Times New Roman"/>
                <w:b w:val="0"/>
                <w:bCs w:val="0"/>
                <w:color w:val="auto"/>
                <w:highlight w:val="none"/>
                <w:lang w:val="en-US" w:eastAsia="zh-CN"/>
              </w:rPr>
              <w:t>。6、本项目</w:t>
            </w:r>
            <w:r>
              <w:rPr>
                <w:rFonts w:hint="eastAsia"/>
                <w:color w:val="auto"/>
                <w:highlight w:val="none"/>
                <w:lang w:val="en-US" w:eastAsia="zh-CN"/>
              </w:rPr>
              <w:t>采用DCS分散型控制系统对泵、罐体和生产设备等进行监视、控制及报警，保证其保持密闭；VOCs物料采用储罐或密闭桶装储存，</w:t>
            </w:r>
            <w:r>
              <w:rPr>
                <w:rFonts w:hint="eastAsia" w:ascii="Times New Roman" w:hAnsi="Times New Roman" w:eastAsia="宋体" w:cs="Times New Roman"/>
                <w:b w:val="0"/>
                <w:bCs w:val="0"/>
                <w:color w:val="auto"/>
                <w:highlight w:val="none"/>
                <w:lang w:val="en-US" w:eastAsia="zh-CN"/>
              </w:rPr>
              <w:t>生产过程全密闭，工艺废气</w:t>
            </w:r>
            <w:r>
              <w:rPr>
                <w:rFonts w:hint="default" w:ascii="Times New Roman" w:hAnsi="Times New Roman" w:eastAsia="宋体" w:cs="Times New Roman"/>
                <w:b w:val="0"/>
                <w:bCs w:val="0"/>
                <w:color w:val="auto"/>
                <w:highlight w:val="none"/>
                <w:lang w:val="en-US" w:eastAsia="zh-CN"/>
              </w:rPr>
              <w:t>收集率</w:t>
            </w:r>
            <w:r>
              <w:rPr>
                <w:rFonts w:hint="eastAsia" w:ascii="Times New Roman" w:hAnsi="Times New Roman" w:eastAsia="宋体" w:cs="Times New Roman"/>
                <w:b w:val="0"/>
                <w:bCs w:val="0"/>
                <w:color w:val="auto"/>
                <w:highlight w:val="none"/>
                <w:lang w:val="en-US" w:eastAsia="zh-CN"/>
              </w:rPr>
              <w:t>可达到</w:t>
            </w:r>
            <w:r>
              <w:rPr>
                <w:rFonts w:hint="default" w:ascii="Times New Roman" w:hAnsi="Times New Roman" w:eastAsia="宋体" w:cs="Times New Roman"/>
                <w:b w:val="0"/>
                <w:bCs w:val="0"/>
                <w:color w:val="auto"/>
                <w:highlight w:val="none"/>
                <w:lang w:val="en-US" w:eastAsia="zh-CN"/>
              </w:rPr>
              <w:t>90%</w:t>
            </w:r>
            <w:r>
              <w:rPr>
                <w:rFonts w:hint="eastAsia" w:ascii="Times New Roman" w:hAnsi="Times New Roman" w:eastAsia="宋体" w:cs="Times New Roman"/>
                <w:b w:val="0"/>
                <w:bCs w:val="0"/>
                <w:color w:val="auto"/>
                <w:highlight w:val="none"/>
                <w:lang w:val="en-US" w:eastAsia="zh-CN"/>
              </w:rPr>
              <w:t>。7、本项目</w:t>
            </w:r>
            <w:r>
              <w:rPr>
                <w:rFonts w:hint="eastAsia" w:cs="Times New Roman"/>
                <w:b w:val="0"/>
                <w:bCs w:val="0"/>
                <w:color w:val="auto"/>
                <w:highlight w:val="none"/>
                <w:lang w:val="en-US" w:eastAsia="zh-CN"/>
              </w:rPr>
              <w:t>环境风险源与东北侧散户（约10户，60人）的最近距离约82m，东北侧散户</w:t>
            </w:r>
            <w:r>
              <w:rPr>
                <w:rFonts w:hint="eastAsia" w:ascii="Times New Roman" w:hAnsi="Times New Roman" w:eastAsia="宋体" w:cs="Times New Roman"/>
                <w:b w:val="0"/>
                <w:bCs w:val="0"/>
                <w:color w:val="auto"/>
                <w:highlight w:val="none"/>
                <w:lang w:val="en-US" w:eastAsia="zh-CN"/>
              </w:rPr>
              <w:t>位于金堂区块划定的300m安全控制线内；</w:t>
            </w:r>
            <w:r>
              <w:rPr>
                <w:rFonts w:hint="eastAsia" w:cs="Times New Roman"/>
                <w:b w:val="0"/>
                <w:bCs w:val="0"/>
                <w:color w:val="auto"/>
                <w:highlight w:val="none"/>
                <w:lang w:val="en-US" w:eastAsia="zh-CN"/>
              </w:rPr>
              <w:t>与最近的居住区金堂村（居住区指1000人或300户及以上者）约1830m，符合《精细化工企业工程设计防火标准》（GB51283-2020）和和《建筑设计防火规范》（GB50016-2014，2018年版）中乙类储罐、乙类生产设施与居住区、民用建筑的最大防火间距要求（50m）。本项目存在一定风险，风险事故会对周围环境造成一定程度的影响，企业将通过加强管理，采取必要的风险事故防范措施，杜绝有毒有害物质泄漏及燃爆事故发生，并将编制环境风险应急预案，定期组织应急事故演练，同时若一旦发生事故，则应立即启动应急预案，判断风向、及时对下风向的敏感点发布警报，并组织附近群众在短时间内进行疏散和撤离，通过采取严密的风险防范措施，项目环境分析处于可接受水平。</w:t>
            </w:r>
          </w:p>
        </w:tc>
        <w:tc>
          <w:tcPr>
            <w:tcW w:w="383" w:type="pct"/>
            <w:shd w:val="clear" w:color="auto" w:fill="auto"/>
            <w:noWrap w:val="0"/>
            <w:vAlign w:val="center"/>
          </w:tcPr>
          <w:p w14:paraId="57013CCC">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4888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524F5034">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7E50203E">
            <w:pPr>
              <w:pStyle w:val="24"/>
              <w:rPr>
                <w:rFonts w:hint="eastAsia" w:cs="Times New Roman"/>
                <w:b w:val="0"/>
                <w:bCs w:val="0"/>
                <w:color w:val="auto"/>
                <w:highlight w:val="none"/>
                <w:lang w:val="en-US" w:eastAsia="zh-CN"/>
              </w:rPr>
            </w:pPr>
          </w:p>
        </w:tc>
        <w:tc>
          <w:tcPr>
            <w:tcW w:w="414" w:type="pct"/>
            <w:vMerge w:val="continue"/>
            <w:shd w:val="clear" w:color="auto" w:fill="auto"/>
            <w:noWrap w:val="0"/>
            <w:vAlign w:val="center"/>
          </w:tcPr>
          <w:p w14:paraId="2A8B64F3">
            <w:pPr>
              <w:pStyle w:val="24"/>
              <w:ind w:left="0" w:leftChars="0"/>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1F593B88">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地下水污染防治对策</w:t>
            </w:r>
            <w:r>
              <w:rPr>
                <w:rFonts w:hint="eastAsia" w:cs="Times New Roman"/>
                <w:b w:val="0"/>
                <w:bCs w:val="0"/>
                <w:color w:val="auto"/>
                <w:highlight w:val="none"/>
                <w:lang w:val="en-US" w:eastAsia="zh-CN"/>
              </w:rPr>
              <w:t>：3、严格规划项目地下水污染防治工作。（1）严格潜在污染源防渗工程设计开发区规划项目应严格按照《环境影响评价技术导则 地下水环境》（HJ610-2016）《石油化工工程防渗技术规范》（GB/T50934-2013）《地下水污染源防渗技术指南（试行）》（环办土壤函</w:t>
            </w:r>
            <w:r>
              <w:rPr>
                <w:rFonts w:hint="eastAsia"/>
                <w:color w:val="auto"/>
                <w:sz w:val="21"/>
                <w:szCs w:val="21"/>
                <w:lang w:val="en-US" w:eastAsia="zh-CN"/>
              </w:rPr>
              <w:t>〔</w:t>
            </w:r>
            <w:r>
              <w:rPr>
                <w:rFonts w:hint="eastAsia" w:ascii="Times New Roman"/>
                <w:color w:val="auto"/>
                <w:sz w:val="21"/>
                <w:szCs w:val="21"/>
                <w:lang w:val="en-US" w:eastAsia="zh-CN"/>
              </w:rPr>
              <w:t>20</w:t>
            </w:r>
            <w:r>
              <w:rPr>
                <w:rFonts w:hint="eastAsia"/>
                <w:color w:val="auto"/>
                <w:sz w:val="21"/>
                <w:szCs w:val="21"/>
                <w:lang w:val="en-US" w:eastAsia="zh-CN"/>
              </w:rPr>
              <w:t>20〕</w:t>
            </w:r>
            <w:r>
              <w:rPr>
                <w:rFonts w:hint="eastAsia" w:cs="Times New Roman"/>
                <w:b w:val="0"/>
                <w:bCs w:val="0"/>
                <w:color w:val="auto"/>
                <w:highlight w:val="none"/>
                <w:lang w:val="en-US" w:eastAsia="zh-CN"/>
              </w:rPr>
              <w:t>72 号）和其他相关技术规范进行防渗工程设计工作，由于规划项目所在区域包气带防污性能较弱，建议企业针对自身产生的特征污染物的装置类型和风险程度，适当提升防渗等级，加强地下水污染防治工作......坚持“可视化”原则，在满足工程和防渗层结构标准要求的前提下，尽量在地表面实施防渗措施，便于泄漏物质的收集和及时发现破损的防渗层。实施防渗的区域均设置检漏装置，其中可能泄漏危险废物的重点污染防治区防渗设置自动检漏装置。防渗层上渗漏污染物和防渗层内渗漏污染物收集系统与全区“三废”处理措施统筹考虑，统一处理。（2）加强防渗工程施工管理。企业建设过程中应做好防渗工程施工管理工作，应委托专业的施工期环境监理机构，确保防渗工程按设计进行施工，施工完成后应开展抗渗能力检测，检测合格后方可进行交工验收，该项工作应纳入企业自主验收的调查内容。（3）加强运营期日常巡视工作。企业生产运营期间，应安排专人定期对重点区域、重点设施开展隐患排查，进行防渗漏检测，发现异常情况应及时进行处理。（4）制定地下水环境风险应急预案。企业环境风险应急预案中应包含地下水环境风险的相关内容，对可能产生环境风险后的应急处置措施进行定期演练，并配备相应的应急物资。 （6）定期开展地下水环境现状监测。企业应定期开展地下水环境现状例行监测工作，针对重点装置和重点区域，在其下游一定距离内（不超过30m）设置地下水监测井，定期进行取样监测。监测内容主要包括企业产生的特征污染物，以及区域本底值偏高或超标的其他污染物。监测结果应及时向开发区管委会和所在地生态环境主管部门进行备案。</w:t>
            </w:r>
          </w:p>
        </w:tc>
        <w:tc>
          <w:tcPr>
            <w:tcW w:w="1428" w:type="pct"/>
            <w:shd w:val="clear" w:color="auto" w:fill="auto"/>
            <w:noWrap w:val="0"/>
            <w:vAlign w:val="center"/>
          </w:tcPr>
          <w:p w14:paraId="3F77386B">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本项目严格按照《环境影响评价技术导则 地下水环境》（HJ610-2016）等相关要求采取防渗措施，各防渗分区的防渗结构应由专业设计单位根据相关要求进行设计后最终确定，不应低于环评提出的防渗要求；定期进行检漏和防渗漏检测，并制定地下水环境风险应急预案。</w:t>
            </w:r>
          </w:p>
        </w:tc>
        <w:tc>
          <w:tcPr>
            <w:tcW w:w="383" w:type="pct"/>
            <w:shd w:val="clear" w:color="auto" w:fill="auto"/>
            <w:noWrap w:val="0"/>
            <w:vAlign w:val="center"/>
          </w:tcPr>
          <w:p w14:paraId="70448EF6">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0C02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2D76B670">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57E4CABC">
            <w:pPr>
              <w:pStyle w:val="24"/>
              <w:rPr>
                <w:rFonts w:hint="eastAsia" w:cs="Times New Roman"/>
                <w:b w:val="0"/>
                <w:bCs w:val="0"/>
                <w:color w:val="auto"/>
                <w:highlight w:val="none"/>
                <w:lang w:val="en-US" w:eastAsia="zh-CN"/>
              </w:rPr>
            </w:pPr>
          </w:p>
        </w:tc>
        <w:tc>
          <w:tcPr>
            <w:tcW w:w="414" w:type="pct"/>
            <w:vMerge w:val="continue"/>
            <w:shd w:val="clear" w:color="auto" w:fill="auto"/>
            <w:noWrap w:val="0"/>
            <w:vAlign w:val="center"/>
          </w:tcPr>
          <w:p w14:paraId="1E0E0271">
            <w:pPr>
              <w:pStyle w:val="24"/>
              <w:ind w:left="0" w:leftChars="0"/>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7C417BF2">
            <w:pPr>
              <w:pStyle w:val="24"/>
              <w:rPr>
                <w:rFonts w:hint="eastAsia"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土壤污染防治对策</w:t>
            </w:r>
            <w:r>
              <w:rPr>
                <w:rFonts w:hint="eastAsia" w:cs="Times New Roman"/>
                <w:b w:val="0"/>
                <w:bCs w:val="0"/>
                <w:color w:val="auto"/>
                <w:highlight w:val="none"/>
                <w:lang w:val="en-US" w:eastAsia="zh-CN"/>
              </w:rPr>
              <w:t xml:space="preserve">：针对可能对土壤产生的积累性影响，环评要求在规划在实施过程中，各企业采取下列减缓措施：（1）采用先进、成熟、可靠的生产工艺、设备、集散控制系统；采用切实有效的污染物处理系统，做到源头控制污染物产生及排放量。（2）生产系统严格密闭，选用材质性能好的设备和管件，输送有毒、有害物料的管道必须完好，连接紧密，无泄漏。 </w:t>
            </w:r>
          </w:p>
          <w:p w14:paraId="321B5F3B">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3）物料贮罐区应设置围堰，并配备数量足够的备用贮罐。罐区采用三级设防，杜绝事故废水的直接外排。（4）建立土壤跟踪监测系统，并对监测结果进行评估，或在必要时提出后续减缓措施和项目的环境改进措施。（5）一旦发生事故，应立刻采取应急处理方案。</w:t>
            </w:r>
          </w:p>
        </w:tc>
        <w:tc>
          <w:tcPr>
            <w:tcW w:w="1428" w:type="pct"/>
            <w:shd w:val="clear" w:color="auto" w:fill="auto"/>
            <w:noWrap w:val="0"/>
            <w:vAlign w:val="center"/>
          </w:tcPr>
          <w:p w14:paraId="6BF4967D">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w:t>
            </w:r>
            <w:r>
              <w:rPr>
                <w:rFonts w:hint="eastAsia" w:ascii="Times New Roman" w:hAnsi="Times New Roman" w:eastAsia="宋体" w:cs="Times New Roman"/>
                <w:b w:val="0"/>
                <w:bCs w:val="0"/>
                <w:color w:val="auto"/>
                <w:highlight w:val="none"/>
                <w:lang w:val="en-US" w:eastAsia="zh-CN"/>
              </w:rPr>
              <w:t>生产过程全密闭，罐区设置围堰和集水池（集水池内设潜污泵，用于提升事故废水至可视化架空管廊），并</w:t>
            </w:r>
            <w:r>
              <w:rPr>
                <w:rFonts w:hint="eastAsia" w:cs="Times New Roman"/>
                <w:b w:val="0"/>
                <w:bCs w:val="0"/>
                <w:color w:val="auto"/>
                <w:highlight w:val="none"/>
                <w:lang w:val="en-US" w:eastAsia="zh-CN"/>
              </w:rPr>
              <w:t>设置“生产单元-企业-园区”的三级事故废水防范体系；本项目建成后对土壤进行跟踪监测；本项目危险废物经分类收集至危废暂存间暂存，定期交由具资质单位处理，并签订危废处置协议。</w:t>
            </w:r>
          </w:p>
        </w:tc>
        <w:tc>
          <w:tcPr>
            <w:tcW w:w="383" w:type="pct"/>
            <w:shd w:val="clear" w:color="auto" w:fill="auto"/>
            <w:noWrap w:val="0"/>
            <w:vAlign w:val="center"/>
          </w:tcPr>
          <w:p w14:paraId="6A67C55B">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0494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423F3A44">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6CCFD856">
            <w:pPr>
              <w:pStyle w:val="24"/>
              <w:rPr>
                <w:rFonts w:hint="eastAsia" w:cs="Times New Roman"/>
                <w:b w:val="0"/>
                <w:bCs w:val="0"/>
                <w:color w:val="auto"/>
                <w:highlight w:val="none"/>
                <w:lang w:val="en-US" w:eastAsia="zh-CN"/>
              </w:rPr>
            </w:pPr>
          </w:p>
        </w:tc>
        <w:tc>
          <w:tcPr>
            <w:tcW w:w="414" w:type="pct"/>
            <w:vMerge w:val="continue"/>
            <w:shd w:val="clear" w:color="auto" w:fill="auto"/>
            <w:noWrap w:val="0"/>
            <w:vAlign w:val="center"/>
          </w:tcPr>
          <w:p w14:paraId="7183F3AA">
            <w:pPr>
              <w:pStyle w:val="24"/>
              <w:ind w:left="0" w:leftChars="0"/>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160E38B4">
            <w:pPr>
              <w:pStyle w:val="24"/>
              <w:rPr>
                <w:rFonts w:hint="eastAsia"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固废处置对策及要求</w:t>
            </w:r>
            <w:r>
              <w:rPr>
                <w:rFonts w:hint="eastAsia" w:cs="Times New Roman"/>
                <w:b w:val="0"/>
                <w:bCs w:val="0"/>
                <w:color w:val="auto"/>
                <w:highlight w:val="none"/>
                <w:lang w:val="en-US" w:eastAsia="zh-CN"/>
              </w:rPr>
              <w:t>：对于规划区产生的工业固废，应按照国家有关规定进行安全处置，危险废物需送有处置资质的单位进行集中处置。总体本着“三化”原则，加强综合利用。</w:t>
            </w:r>
          </w:p>
        </w:tc>
        <w:tc>
          <w:tcPr>
            <w:tcW w:w="1428" w:type="pct"/>
            <w:shd w:val="clear" w:color="auto" w:fill="auto"/>
            <w:noWrap w:val="0"/>
            <w:vAlign w:val="center"/>
          </w:tcPr>
          <w:p w14:paraId="4D15D585">
            <w:pPr>
              <w:pStyle w:val="24"/>
              <w:ind w:left="0" w:leftChars="0"/>
              <w:rPr>
                <w:rFonts w:hint="eastAsia" w:cs="Times New Roman"/>
                <w:b w:val="0"/>
                <w:bCs w:val="0"/>
                <w:color w:val="auto"/>
                <w:highlight w:val="none"/>
                <w:lang w:val="en-US" w:eastAsia="zh-CN"/>
              </w:rPr>
            </w:pPr>
          </w:p>
        </w:tc>
        <w:tc>
          <w:tcPr>
            <w:tcW w:w="383" w:type="pct"/>
            <w:shd w:val="clear" w:color="auto" w:fill="auto"/>
            <w:noWrap w:val="0"/>
            <w:vAlign w:val="center"/>
          </w:tcPr>
          <w:p w14:paraId="3C29F4B5">
            <w:pPr>
              <w:pStyle w:val="24"/>
              <w:ind w:left="0" w:leftChars="0"/>
              <w:rPr>
                <w:rFonts w:hint="eastAsia" w:cs="Times New Roman"/>
                <w:b w:val="0"/>
                <w:bCs w:val="0"/>
                <w:color w:val="auto"/>
                <w:highlight w:val="none"/>
                <w:lang w:val="en-US" w:eastAsia="zh-CN"/>
              </w:rPr>
            </w:pPr>
          </w:p>
        </w:tc>
      </w:tr>
      <w:tr w14:paraId="033D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5B0DFEA0">
            <w:pPr>
              <w:pStyle w:val="24"/>
              <w:rPr>
                <w:rFonts w:hint="eastAsia" w:ascii="Times New Roman" w:hAnsi="Times New Roman" w:eastAsia="宋体" w:cs="Times New Roman"/>
                <w:b w:val="0"/>
                <w:bCs w:val="0"/>
                <w:color w:val="auto"/>
                <w:highlight w:val="none"/>
              </w:rPr>
            </w:pPr>
          </w:p>
        </w:tc>
        <w:tc>
          <w:tcPr>
            <w:tcW w:w="381" w:type="pct"/>
            <w:vMerge w:val="continue"/>
            <w:noWrap w:val="0"/>
            <w:vAlign w:val="center"/>
          </w:tcPr>
          <w:p w14:paraId="55677B48">
            <w:pPr>
              <w:pStyle w:val="24"/>
              <w:rPr>
                <w:rFonts w:hint="default" w:ascii="Times New Roman" w:hAnsi="Times New Roman" w:eastAsia="宋体" w:cs="Times New Roman"/>
                <w:b w:val="0"/>
                <w:bCs w:val="0"/>
                <w:color w:val="auto"/>
                <w:highlight w:val="none"/>
                <w:lang w:val="en-US" w:eastAsia="zh-CN"/>
              </w:rPr>
            </w:pPr>
          </w:p>
        </w:tc>
        <w:tc>
          <w:tcPr>
            <w:tcW w:w="414" w:type="pct"/>
            <w:vMerge w:val="continue"/>
            <w:noWrap w:val="0"/>
            <w:vAlign w:val="center"/>
          </w:tcPr>
          <w:p w14:paraId="1BDA3D38">
            <w:pPr>
              <w:pStyle w:val="24"/>
              <w:rPr>
                <w:rFonts w:hint="default" w:ascii="Times New Roman" w:hAnsi="Times New Roman" w:eastAsia="宋体" w:cs="Times New Roman"/>
                <w:b w:val="0"/>
                <w:bCs w:val="0"/>
                <w:color w:val="auto"/>
                <w:highlight w:val="none"/>
                <w:lang w:val="en-US" w:eastAsia="zh-CN"/>
              </w:rPr>
            </w:pPr>
          </w:p>
        </w:tc>
        <w:tc>
          <w:tcPr>
            <w:tcW w:w="1965" w:type="pct"/>
            <w:shd w:val="clear" w:color="auto" w:fill="auto"/>
            <w:noWrap w:val="0"/>
            <w:vAlign w:val="center"/>
          </w:tcPr>
          <w:p w14:paraId="7A63D398">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环境风险防控</w:t>
            </w:r>
            <w:r>
              <w:rPr>
                <w:rFonts w:hint="eastAsia" w:cs="Times New Roman"/>
                <w:b w:val="0"/>
                <w:bCs w:val="0"/>
                <w:color w:val="auto"/>
                <w:highlight w:val="none"/>
                <w:lang w:val="en-US" w:eastAsia="zh-CN"/>
              </w:rPr>
              <w:t>：1、环境风险源与环境敏感区须保持符合规范要求的安全距离。切实做好危险化学品贮运、使用过程中的安全防范措施，最大程度降低环境风险事故发生几率。2、构建“政府职能部门-工业园区-企业”多层次、多层级设防的环境风险管理机制。通过强化危化品贮存、生产、运输中的泄漏应急处置措施，建立相关应急联防机制，确保事故状态下危化品泄漏及时得到控制，确保泄漏污染物不进入地表水体。4、园区和入园企业均应制定可操作的环境风险应急预案，定期开展环境风险应急演练；入园企业项目环评中细化环境应急监测计划和环境风险事故状态下周边居民的应急撤离路线。</w:t>
            </w:r>
          </w:p>
        </w:tc>
        <w:tc>
          <w:tcPr>
            <w:tcW w:w="1428" w:type="pct"/>
            <w:noWrap w:val="0"/>
            <w:vAlign w:val="center"/>
          </w:tcPr>
          <w:p w14:paraId="4D5D01CD">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环境风险源与东北侧散户（约10户，60人）的最近距离约82m，与最近的居住区金堂村（居住区指1000人或300户及以上者）约1830m，符合《精细化工企业工程设计防火标准》（GB51283-2020）和和《建筑设计防火规范》（GB50016-2014，2018年版）中乙类储罐、乙类生产设施与居住区、民用建筑的最大防火间距要求（50m）；定期对工艺设备、管道等进行检漏，并采用DCS分散型控制系统对泵、罐体和生产设备等的重要参数进行监视、控制及报警，最大程度降低环境风险事故发生几率；本项目设围堰/地漏和集水池，用于及时收集转运泄漏物料，确保泄漏污染物不进入地表水体；本项目将制定环境风险应急预案，定期开展环境风险应急演练，并制定了应急监测计划，拟定了应急撤离路线。</w:t>
            </w:r>
          </w:p>
        </w:tc>
        <w:tc>
          <w:tcPr>
            <w:tcW w:w="383" w:type="pct"/>
            <w:noWrap w:val="0"/>
            <w:vAlign w:val="center"/>
          </w:tcPr>
          <w:p w14:paraId="3E096810">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755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158EC273">
            <w:pPr>
              <w:pStyle w:val="24"/>
              <w:rPr>
                <w:rFonts w:hint="default" w:ascii="Times New Roman" w:hAnsi="Times New Roman" w:eastAsia="宋体" w:cs="Times New Roman"/>
                <w:b w:val="0"/>
                <w:bCs w:val="0"/>
                <w:color w:val="auto"/>
                <w:highlight w:val="none"/>
              </w:rPr>
            </w:pPr>
          </w:p>
        </w:tc>
        <w:tc>
          <w:tcPr>
            <w:tcW w:w="381" w:type="pct"/>
            <w:vMerge w:val="restart"/>
            <w:noWrap w:val="0"/>
            <w:vAlign w:val="center"/>
          </w:tcPr>
          <w:p w14:paraId="7B334012">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产业园区环境准入</w:t>
            </w:r>
          </w:p>
        </w:tc>
        <w:tc>
          <w:tcPr>
            <w:tcW w:w="414" w:type="pct"/>
            <w:noWrap w:val="0"/>
            <w:vAlign w:val="center"/>
          </w:tcPr>
          <w:p w14:paraId="3B88203B">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总体要求</w:t>
            </w:r>
          </w:p>
        </w:tc>
        <w:tc>
          <w:tcPr>
            <w:tcW w:w="1965" w:type="pct"/>
            <w:noWrap w:val="0"/>
            <w:vAlign w:val="center"/>
          </w:tcPr>
          <w:p w14:paraId="41E139F5">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1）禁止新建、扩建法律法规和相关政策明令禁止的落后产能项目。禁止新建《产业结构调整指导目录》中淘汰、限制类项目，对属于限制类的现有生产能力允许企业在一定期限内采取措施改造升级。（2）禁止新建、扩建不符合国家产能置换要求的严重过剩产能行业的项目，禁止新建、扩建不符合要求的高耗能高排放项目。（3）禁止引入不符合国家、地方重金属污染防治规范的项目。（4）禁止引入清洁生产水平不能达二级或国内先进水平的项目。（5）禁止新建制浆造纸（含废纸制浆）、印染染整、制革、水泥、冶炼及与主导产业不相容的项目。（6）禁止高污染燃料。</w:t>
            </w:r>
          </w:p>
        </w:tc>
        <w:tc>
          <w:tcPr>
            <w:tcW w:w="1428" w:type="pct"/>
            <w:vMerge w:val="restart"/>
            <w:noWrap w:val="0"/>
            <w:vAlign w:val="center"/>
          </w:tcPr>
          <w:p w14:paraId="418328FE">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1、本项目不属于</w:t>
            </w:r>
            <w:r>
              <w:rPr>
                <w:rFonts w:hint="default" w:ascii="Times New Roman" w:hAnsi="Times New Roman" w:eastAsia="宋体" w:cs="Times New Roman"/>
                <w:b w:val="0"/>
                <w:bCs w:val="0"/>
                <w:color w:val="auto"/>
                <w:highlight w:val="none"/>
                <w:lang w:val="en-US" w:eastAsia="zh-CN"/>
              </w:rPr>
              <w:t>落后产能项目</w:t>
            </w:r>
            <w:r>
              <w:rPr>
                <w:rFonts w:hint="eastAsia" w:ascii="Times New Roman" w:hAnsi="Times New Roman" w:eastAsia="宋体" w:cs="Times New Roman"/>
                <w:b w:val="0"/>
                <w:bCs w:val="0"/>
                <w:color w:val="auto"/>
                <w:highlight w:val="none"/>
                <w:lang w:val="en-US" w:eastAsia="zh-CN"/>
              </w:rPr>
              <w:t>，不属于</w:t>
            </w:r>
            <w:r>
              <w:rPr>
                <w:rFonts w:hint="default" w:ascii="Times New Roman" w:hAnsi="Times New Roman" w:eastAsia="宋体" w:cs="Times New Roman"/>
                <w:b w:val="0"/>
                <w:bCs w:val="0"/>
                <w:color w:val="auto"/>
                <w:highlight w:val="none"/>
                <w:lang w:val="en-US" w:eastAsia="zh-CN"/>
              </w:rPr>
              <w:t>《产业结构调整指导目录》中淘汰、限制类项目</w:t>
            </w:r>
            <w:r>
              <w:rPr>
                <w:rFonts w:hint="eastAsia" w:ascii="Times New Roman" w:hAnsi="Times New Roman" w:eastAsia="宋体" w:cs="Times New Roman"/>
                <w:b w:val="0"/>
                <w:bCs w:val="0"/>
                <w:color w:val="auto"/>
                <w:highlight w:val="none"/>
                <w:lang w:val="en-US" w:eastAsia="zh-CN"/>
              </w:rPr>
              <w:t>；2、本项目不属于</w:t>
            </w:r>
            <w:r>
              <w:rPr>
                <w:rFonts w:hint="default" w:ascii="Times New Roman" w:hAnsi="Times New Roman" w:eastAsia="宋体" w:cs="Times New Roman"/>
                <w:b w:val="0"/>
                <w:bCs w:val="0"/>
                <w:color w:val="auto"/>
                <w:highlight w:val="none"/>
                <w:lang w:val="en-US" w:eastAsia="zh-CN"/>
              </w:rPr>
              <w:t>严重过剩产能行业的项目</w:t>
            </w:r>
            <w:r>
              <w:rPr>
                <w:rFonts w:hint="eastAsia" w:ascii="Times New Roman" w:hAnsi="Times New Roman" w:eastAsia="宋体" w:cs="Times New Roman"/>
                <w:b w:val="0"/>
                <w:bCs w:val="0"/>
                <w:color w:val="auto"/>
                <w:highlight w:val="none"/>
                <w:lang w:val="en-US" w:eastAsia="zh-CN"/>
              </w:rPr>
              <w:t>、不属于</w:t>
            </w:r>
            <w:r>
              <w:rPr>
                <w:rFonts w:hint="default" w:ascii="Times New Roman" w:hAnsi="Times New Roman" w:eastAsia="宋体" w:cs="Times New Roman"/>
                <w:b w:val="0"/>
                <w:bCs w:val="0"/>
                <w:color w:val="auto"/>
                <w:highlight w:val="none"/>
                <w:lang w:val="en-US" w:eastAsia="zh-CN"/>
              </w:rPr>
              <w:t>高耗能高排放项目</w:t>
            </w:r>
            <w:r>
              <w:rPr>
                <w:rFonts w:hint="eastAsia" w:ascii="Times New Roman" w:hAnsi="Times New Roman" w:eastAsia="宋体" w:cs="Times New Roman"/>
                <w:b w:val="0"/>
                <w:bCs w:val="0"/>
                <w:color w:val="auto"/>
                <w:highlight w:val="none"/>
                <w:lang w:val="en-US" w:eastAsia="zh-CN"/>
              </w:rPr>
              <w:t>；3、本项目不涉及重金属排放；4、本项目清洁生产</w:t>
            </w:r>
            <w:r>
              <w:rPr>
                <w:rFonts w:hint="eastAsia"/>
                <w:color w:val="auto"/>
                <w:lang w:val="en-US" w:eastAsia="zh-CN"/>
              </w:rPr>
              <w:t>可达到国内先进水平；5、本项目不属于</w:t>
            </w:r>
            <w:r>
              <w:rPr>
                <w:rFonts w:hint="default" w:ascii="Times New Roman" w:hAnsi="Times New Roman" w:eastAsia="宋体" w:cs="Times New Roman"/>
                <w:b w:val="0"/>
                <w:bCs w:val="0"/>
                <w:color w:val="auto"/>
                <w:highlight w:val="none"/>
                <w:lang w:val="en-US" w:eastAsia="zh-CN"/>
              </w:rPr>
              <w:t>制浆造纸（含废纸制浆）、印染染整、制革、水泥、冶炼及与主导产业不相容的项目</w:t>
            </w:r>
            <w:r>
              <w:rPr>
                <w:rFonts w:hint="eastAsia" w:ascii="Times New Roman" w:hAnsi="Times New Roman" w:eastAsia="宋体" w:cs="Times New Roman"/>
                <w:b w:val="0"/>
                <w:bCs w:val="0"/>
                <w:color w:val="auto"/>
                <w:highlight w:val="none"/>
                <w:lang w:val="en-US" w:eastAsia="zh-CN"/>
              </w:rPr>
              <w:t>；6、本项目不涉及</w:t>
            </w:r>
            <w:r>
              <w:rPr>
                <w:rFonts w:hint="default" w:ascii="Times New Roman" w:hAnsi="Times New Roman" w:eastAsia="宋体" w:cs="Times New Roman"/>
                <w:b w:val="0"/>
                <w:bCs w:val="0"/>
                <w:color w:val="auto"/>
                <w:highlight w:val="none"/>
                <w:lang w:val="en-US" w:eastAsia="zh-CN"/>
              </w:rPr>
              <w:t>高污染燃料</w:t>
            </w:r>
            <w:r>
              <w:rPr>
                <w:rFonts w:hint="eastAsia" w:ascii="Times New Roman" w:hAnsi="Times New Roman" w:eastAsia="宋体" w:cs="Times New Roman"/>
                <w:b w:val="0"/>
                <w:bCs w:val="0"/>
                <w:color w:val="auto"/>
                <w:highlight w:val="none"/>
                <w:lang w:val="en-US" w:eastAsia="zh-CN"/>
              </w:rPr>
              <w:t>使用。</w:t>
            </w:r>
          </w:p>
          <w:p w14:paraId="790E2E49">
            <w:pPr>
              <w:pStyle w:val="24"/>
              <w:rPr>
                <w:rFonts w:hint="default" w:ascii="Times New Roman" w:hAnsi="Times New Roman" w:eastAsia="宋体" w:cs="Times New Roman"/>
                <w:b w:val="0"/>
                <w:bCs w:val="0"/>
                <w:color w:val="auto"/>
                <w:highlight w:val="none"/>
                <w:lang w:val="en-US" w:eastAsia="zh-CN"/>
              </w:rPr>
            </w:pPr>
          </w:p>
        </w:tc>
        <w:tc>
          <w:tcPr>
            <w:tcW w:w="383" w:type="pct"/>
            <w:vMerge w:val="restart"/>
            <w:noWrap w:val="0"/>
            <w:vAlign w:val="center"/>
          </w:tcPr>
          <w:p w14:paraId="32DC681B">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符合</w:t>
            </w:r>
          </w:p>
        </w:tc>
      </w:tr>
      <w:tr w14:paraId="55DCD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noWrap w:val="0"/>
            <w:vAlign w:val="center"/>
          </w:tcPr>
          <w:p w14:paraId="69FCE8E0">
            <w:pPr>
              <w:pStyle w:val="24"/>
              <w:rPr>
                <w:rFonts w:hint="default" w:ascii="Times New Roman" w:hAnsi="Times New Roman" w:eastAsia="宋体" w:cs="Times New Roman"/>
                <w:b w:val="0"/>
                <w:bCs w:val="0"/>
                <w:color w:val="auto"/>
                <w:highlight w:val="none"/>
              </w:rPr>
            </w:pPr>
          </w:p>
        </w:tc>
        <w:tc>
          <w:tcPr>
            <w:tcW w:w="381" w:type="pct"/>
            <w:vMerge w:val="continue"/>
            <w:noWrap w:val="0"/>
            <w:vAlign w:val="center"/>
          </w:tcPr>
          <w:p w14:paraId="21B4B2C9">
            <w:pPr>
              <w:pStyle w:val="24"/>
              <w:rPr>
                <w:rFonts w:hint="default" w:ascii="Times New Roman" w:hAnsi="Times New Roman" w:eastAsia="宋体" w:cs="Times New Roman"/>
                <w:b w:val="0"/>
                <w:bCs w:val="0"/>
                <w:color w:val="auto"/>
                <w:highlight w:val="none"/>
                <w:lang w:val="en-US" w:eastAsia="zh-CN"/>
              </w:rPr>
            </w:pPr>
          </w:p>
        </w:tc>
        <w:tc>
          <w:tcPr>
            <w:tcW w:w="414" w:type="pct"/>
            <w:noWrap w:val="0"/>
            <w:vAlign w:val="center"/>
          </w:tcPr>
          <w:p w14:paraId="7E11E33A">
            <w:pPr>
              <w:pStyle w:val="24"/>
              <w:ind w:left="0" w:leftChars="0"/>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分区管控要求</w:t>
            </w:r>
          </w:p>
        </w:tc>
        <w:tc>
          <w:tcPr>
            <w:tcW w:w="1965" w:type="pct"/>
            <w:noWrap w:val="0"/>
            <w:vAlign w:val="center"/>
          </w:tcPr>
          <w:p w14:paraId="36992F62">
            <w:pPr>
              <w:pStyle w:val="24"/>
              <w:rPr>
                <w:rFonts w:hint="default"/>
                <w:color w:val="auto"/>
                <w:lang w:val="en-US"/>
              </w:rPr>
            </w:pPr>
            <w:r>
              <w:rPr>
                <w:rFonts w:hint="eastAsia" w:cs="Times New Roman"/>
                <w:b w:val="0"/>
                <w:bCs w:val="0"/>
                <w:color w:val="auto"/>
                <w:highlight w:val="none"/>
                <w:lang w:val="en-US" w:eastAsia="zh-CN"/>
              </w:rPr>
              <w:t>详见表2.5-2。</w:t>
            </w:r>
          </w:p>
        </w:tc>
        <w:tc>
          <w:tcPr>
            <w:tcW w:w="1428" w:type="pct"/>
            <w:vMerge w:val="continue"/>
            <w:noWrap w:val="0"/>
            <w:vAlign w:val="center"/>
          </w:tcPr>
          <w:p w14:paraId="713A4A85">
            <w:pPr>
              <w:pStyle w:val="24"/>
              <w:rPr>
                <w:rFonts w:hint="default" w:ascii="Times New Roman" w:hAnsi="Times New Roman" w:eastAsia="宋体" w:cs="Times New Roman"/>
                <w:b w:val="0"/>
                <w:bCs w:val="0"/>
                <w:color w:val="auto"/>
                <w:highlight w:val="none"/>
                <w:lang w:val="en-US" w:eastAsia="zh-CN"/>
              </w:rPr>
            </w:pPr>
          </w:p>
        </w:tc>
        <w:tc>
          <w:tcPr>
            <w:tcW w:w="383" w:type="pct"/>
            <w:vMerge w:val="continue"/>
            <w:noWrap w:val="0"/>
            <w:vAlign w:val="center"/>
          </w:tcPr>
          <w:p w14:paraId="67975BD3">
            <w:pPr>
              <w:pStyle w:val="24"/>
              <w:rPr>
                <w:rFonts w:hint="default" w:ascii="Times New Roman" w:hAnsi="Times New Roman" w:eastAsia="宋体" w:cs="Times New Roman"/>
                <w:b w:val="0"/>
                <w:bCs w:val="0"/>
                <w:color w:val="auto"/>
                <w:highlight w:val="none"/>
              </w:rPr>
            </w:pPr>
          </w:p>
        </w:tc>
      </w:tr>
      <w:tr w14:paraId="6AA5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restart"/>
            <w:noWrap w:val="0"/>
            <w:vAlign w:val="center"/>
          </w:tcPr>
          <w:p w14:paraId="0A39FB00">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审查意见</w:t>
            </w:r>
          </w:p>
        </w:tc>
        <w:tc>
          <w:tcPr>
            <w:tcW w:w="381" w:type="pct"/>
            <w:vMerge w:val="restart"/>
            <w:noWrap w:val="0"/>
            <w:vAlign w:val="center"/>
          </w:tcPr>
          <w:p w14:paraId="45984D11">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对《规划》</w:t>
            </w:r>
            <w:r>
              <w:rPr>
                <w:rFonts w:hint="eastAsia" w:cs="Times New Roman"/>
                <w:b w:val="0"/>
                <w:bCs w:val="0"/>
                <w:color w:val="auto"/>
                <w:highlight w:val="none"/>
                <w:lang w:val="en-US" w:eastAsia="zh-CN"/>
              </w:rPr>
              <w:t>优化调整和</w:t>
            </w:r>
            <w:r>
              <w:rPr>
                <w:rFonts w:hint="default" w:ascii="Times New Roman" w:hAnsi="Times New Roman" w:eastAsia="宋体" w:cs="Times New Roman"/>
                <w:b w:val="0"/>
                <w:bCs w:val="0"/>
                <w:color w:val="auto"/>
                <w:highlight w:val="none"/>
                <w:lang w:val="en-US" w:eastAsia="zh-CN"/>
              </w:rPr>
              <w:t>实施过程中的意见</w:t>
            </w:r>
          </w:p>
          <w:p w14:paraId="1B6DCC46">
            <w:pPr>
              <w:pStyle w:val="24"/>
              <w:rPr>
                <w:rFonts w:hint="default"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7696663C">
            <w:pPr>
              <w:pStyle w:val="24"/>
              <w:rPr>
                <w:rFonts w:hint="eastAsia"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（一）严格落实长江经济带</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共抓大保护、不搞大开发</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的总体要求，坚持生态优先、绿色发展，严格执行《中华人民共和国长江保护法》和长江经济带发展负面清单等法规、政策相关要求，坚持统筹协调、科学规划，严格落实生态环境分区管控要求，以高</w:t>
            </w:r>
            <w:r>
              <w:rPr>
                <w:rFonts w:hint="eastAsia" w:cs="Times New Roman"/>
                <w:b w:val="0"/>
                <w:bCs w:val="0"/>
                <w:color w:val="auto"/>
                <w:highlight w:val="none"/>
                <w:lang w:val="en-US" w:eastAsia="zh-CN"/>
              </w:rPr>
              <w:t>品质</w:t>
            </w:r>
            <w:r>
              <w:rPr>
                <w:rFonts w:hint="default" w:ascii="Times New Roman" w:hAnsi="Times New Roman" w:eastAsia="宋体" w:cs="Times New Roman"/>
                <w:b w:val="0"/>
                <w:bCs w:val="0"/>
                <w:color w:val="auto"/>
                <w:highlight w:val="none"/>
                <w:lang w:val="en-US" w:eastAsia="zh-CN"/>
              </w:rPr>
              <w:t>生态环境支撑高质量发展。</w:t>
            </w:r>
          </w:p>
        </w:tc>
        <w:tc>
          <w:tcPr>
            <w:tcW w:w="1428" w:type="pct"/>
            <w:noWrap w:val="0"/>
            <w:vAlign w:val="center"/>
          </w:tcPr>
          <w:p w14:paraId="14704916">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本项目符合</w:t>
            </w:r>
            <w:r>
              <w:rPr>
                <w:rFonts w:hint="default" w:ascii="Times New Roman" w:hAnsi="Times New Roman" w:eastAsia="宋体" w:cs="Times New Roman"/>
                <w:b w:val="0"/>
                <w:bCs w:val="0"/>
                <w:color w:val="auto"/>
                <w:highlight w:val="none"/>
                <w:lang w:val="en-US" w:eastAsia="zh-CN"/>
              </w:rPr>
              <w:t>《中华人民共和国长江保护法》和长江经济带发展负面清单等法规、政策相关要求，</w:t>
            </w:r>
            <w:r>
              <w:rPr>
                <w:rFonts w:hint="eastAsia" w:ascii="Times New Roman" w:hAnsi="Times New Roman" w:eastAsia="宋体" w:cs="Times New Roman"/>
                <w:b w:val="0"/>
                <w:bCs w:val="0"/>
                <w:color w:val="auto"/>
                <w:highlight w:val="none"/>
                <w:lang w:val="en-US" w:eastAsia="zh-CN"/>
              </w:rPr>
              <w:t>符合</w:t>
            </w:r>
            <w:r>
              <w:rPr>
                <w:rFonts w:hint="default" w:ascii="Times New Roman" w:hAnsi="Times New Roman" w:eastAsia="宋体" w:cs="Times New Roman"/>
                <w:b w:val="0"/>
                <w:bCs w:val="0"/>
                <w:color w:val="auto"/>
                <w:highlight w:val="none"/>
                <w:lang w:val="en-US" w:eastAsia="zh-CN"/>
              </w:rPr>
              <w:t>生态环境分区管控要求</w:t>
            </w:r>
            <w:r>
              <w:rPr>
                <w:rFonts w:hint="eastAsia" w:ascii="Times New Roman" w:hAnsi="Times New Roman" w:eastAsia="宋体" w:cs="Times New Roman"/>
                <w:b w:val="0"/>
                <w:bCs w:val="0"/>
                <w:color w:val="auto"/>
                <w:highlight w:val="none"/>
                <w:lang w:val="en-US" w:eastAsia="zh-CN"/>
              </w:rPr>
              <w:t>。</w:t>
            </w:r>
          </w:p>
        </w:tc>
        <w:tc>
          <w:tcPr>
            <w:tcW w:w="383" w:type="pct"/>
            <w:noWrap w:val="0"/>
            <w:vAlign w:val="center"/>
          </w:tcPr>
          <w:p w14:paraId="416686FE">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5D04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20DA5D08">
            <w:pPr>
              <w:pStyle w:val="24"/>
              <w:rPr>
                <w:color w:val="auto"/>
              </w:rPr>
            </w:pPr>
          </w:p>
        </w:tc>
        <w:tc>
          <w:tcPr>
            <w:tcW w:w="381" w:type="pct"/>
            <w:vMerge w:val="continue"/>
            <w:noWrap w:val="0"/>
            <w:vAlign w:val="center"/>
          </w:tcPr>
          <w:p w14:paraId="6BC0378B">
            <w:pPr>
              <w:pStyle w:val="24"/>
              <w:rPr>
                <w:color w:val="auto"/>
              </w:rPr>
            </w:pPr>
          </w:p>
        </w:tc>
        <w:tc>
          <w:tcPr>
            <w:tcW w:w="2380" w:type="pct"/>
            <w:gridSpan w:val="2"/>
            <w:noWrap w:val="0"/>
            <w:vAlign w:val="center"/>
          </w:tcPr>
          <w:p w14:paraId="08734236">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（二）严格生态环境准入。按照《报告书》提出的《规划》优化调整建议</w:t>
            </w:r>
            <w:r>
              <w:rPr>
                <w:rFonts w:hint="eastAsia" w:cs="Times New Roman"/>
                <w:b w:val="0"/>
                <w:bCs w:val="0"/>
                <w:color w:val="auto"/>
                <w:highlight w:val="none"/>
                <w:lang w:val="en-US" w:eastAsia="zh-CN"/>
              </w:rPr>
              <w:t>和各片区</w:t>
            </w:r>
            <w:r>
              <w:rPr>
                <w:rFonts w:hint="default" w:ascii="Times New Roman" w:hAnsi="Times New Roman" w:eastAsia="宋体" w:cs="Times New Roman"/>
                <w:b w:val="0"/>
                <w:bCs w:val="0"/>
                <w:color w:val="auto"/>
                <w:highlight w:val="none"/>
                <w:lang w:val="en-US" w:eastAsia="zh-CN"/>
              </w:rPr>
              <w:t>生态环境准入</w:t>
            </w:r>
            <w:r>
              <w:rPr>
                <w:rFonts w:hint="eastAsia" w:cs="Times New Roman"/>
                <w:b w:val="0"/>
                <w:bCs w:val="0"/>
                <w:color w:val="auto"/>
                <w:highlight w:val="none"/>
                <w:lang w:val="en-US" w:eastAsia="zh-CN"/>
              </w:rPr>
              <w:t>要求</w:t>
            </w:r>
            <w:r>
              <w:rPr>
                <w:rFonts w:hint="default" w:ascii="Times New Roman" w:hAnsi="Times New Roman" w:eastAsia="宋体" w:cs="Times New Roman"/>
                <w:b w:val="0"/>
                <w:bCs w:val="0"/>
                <w:color w:val="auto"/>
                <w:highlight w:val="none"/>
                <w:lang w:val="en-US" w:eastAsia="zh-CN"/>
              </w:rPr>
              <w:t>，做好</w:t>
            </w:r>
            <w:r>
              <w:rPr>
                <w:rFonts w:hint="eastAsia" w:cs="Times New Roman"/>
                <w:b w:val="0"/>
                <w:bCs w:val="0"/>
                <w:color w:val="auto"/>
                <w:highlight w:val="none"/>
                <w:lang w:val="en-US" w:eastAsia="zh-CN"/>
              </w:rPr>
              <w:t>经开区</w:t>
            </w:r>
            <w:r>
              <w:rPr>
                <w:rFonts w:hint="default" w:ascii="Times New Roman" w:hAnsi="Times New Roman" w:eastAsia="宋体" w:cs="Times New Roman"/>
                <w:b w:val="0"/>
                <w:bCs w:val="0"/>
                <w:color w:val="auto"/>
                <w:highlight w:val="none"/>
                <w:lang w:val="en-US" w:eastAsia="zh-CN"/>
              </w:rPr>
              <w:t>的项目引入和规划建设工作。禁止在长江干支流岸线一公里范围内新建、扩建化工园区和化工项目。</w:t>
            </w:r>
          </w:p>
        </w:tc>
        <w:tc>
          <w:tcPr>
            <w:tcW w:w="1428" w:type="pct"/>
            <w:noWrap w:val="0"/>
            <w:vAlign w:val="center"/>
          </w:tcPr>
          <w:p w14:paraId="69623248">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本项目符合《规划》优化调整建议、生态环境准入清单；本项目距通江河（长江四级支流）2650m，不在长江干支流岸线一公里范围内。</w:t>
            </w:r>
          </w:p>
        </w:tc>
        <w:tc>
          <w:tcPr>
            <w:tcW w:w="383" w:type="pct"/>
            <w:noWrap w:val="0"/>
            <w:vAlign w:val="center"/>
          </w:tcPr>
          <w:p w14:paraId="0A1846BF">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1026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6CB2AB81">
            <w:pPr>
              <w:pStyle w:val="24"/>
              <w:rPr>
                <w:rFonts w:hint="default" w:ascii="Times New Roman" w:hAnsi="Times New Roman" w:eastAsia="宋体" w:cs="Times New Roman"/>
                <w:b w:val="0"/>
                <w:bCs w:val="0"/>
                <w:color w:val="auto"/>
                <w:highlight w:val="none"/>
                <w:lang w:val="en-US" w:eastAsia="zh-CN"/>
              </w:rPr>
            </w:pPr>
          </w:p>
        </w:tc>
        <w:tc>
          <w:tcPr>
            <w:tcW w:w="381" w:type="pct"/>
            <w:vMerge w:val="continue"/>
            <w:noWrap w:val="0"/>
            <w:vAlign w:val="center"/>
          </w:tcPr>
          <w:p w14:paraId="7B016BD5">
            <w:pPr>
              <w:pStyle w:val="24"/>
              <w:rPr>
                <w:rFonts w:hint="default" w:ascii="Times New Roman" w:hAnsi="Times New Roman" w:eastAsia="宋体" w:cs="Times New Roman"/>
                <w:b w:val="0"/>
                <w:bCs w:val="0"/>
                <w:color w:val="auto"/>
                <w:highlight w:val="none"/>
                <w:lang w:val="en-US" w:eastAsia="zh-CN"/>
              </w:rPr>
            </w:pPr>
          </w:p>
        </w:tc>
        <w:tc>
          <w:tcPr>
            <w:tcW w:w="2380" w:type="pct"/>
            <w:gridSpan w:val="2"/>
            <w:noWrap w:val="0"/>
            <w:vAlign w:val="center"/>
          </w:tcPr>
          <w:p w14:paraId="6B9C4BDE">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三）严格空间管控、优化功能布局。《规划》应符合巴中市国土空间总体规划，规划建设应严格落实自然资源部《关于做好城镇开发边界管理的通知（试行）》要求。进一步优化经开区功能布局、发展规模、开发时序，保留曾口区块周边的自然山体作为天然隔离屏障，加强入驻项目选址环境可行性论证，强化对经开区周边集中居民区的防护。</w:t>
            </w:r>
          </w:p>
        </w:tc>
        <w:tc>
          <w:tcPr>
            <w:tcW w:w="1428" w:type="pct"/>
            <w:noWrap w:val="0"/>
            <w:vAlign w:val="center"/>
          </w:tcPr>
          <w:p w14:paraId="5620BCF1">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本项目符合</w:t>
            </w:r>
            <w:r>
              <w:rPr>
                <w:rFonts w:hint="default" w:ascii="Times New Roman" w:hAnsi="Times New Roman" w:eastAsia="宋体" w:cs="Times New Roman"/>
                <w:b w:val="0"/>
                <w:bCs w:val="0"/>
                <w:color w:val="auto"/>
                <w:highlight w:val="none"/>
                <w:lang w:val="en-US" w:eastAsia="zh-CN"/>
              </w:rPr>
              <w:t>巴中市国土空间总体规划</w:t>
            </w:r>
            <w:r>
              <w:rPr>
                <w:rFonts w:hint="eastAsia" w:ascii="Times New Roman" w:hAnsi="Times New Roman" w:eastAsia="宋体" w:cs="Times New Roman"/>
                <w:b w:val="0"/>
                <w:bCs w:val="0"/>
                <w:color w:val="auto"/>
                <w:highlight w:val="none"/>
                <w:lang w:val="en-US" w:eastAsia="zh-CN"/>
              </w:rPr>
              <w:t>，本项目位于</w:t>
            </w:r>
            <w:r>
              <w:rPr>
                <w:rFonts w:hint="default" w:ascii="Times New Roman" w:hAnsi="Times New Roman" w:eastAsia="宋体" w:cs="Times New Roman"/>
                <w:b w:val="0"/>
                <w:bCs w:val="0"/>
                <w:color w:val="auto"/>
                <w:highlight w:val="none"/>
                <w:lang w:val="en-US" w:eastAsia="zh-CN"/>
              </w:rPr>
              <w:t>城镇开发边界</w:t>
            </w:r>
            <w:r>
              <w:rPr>
                <w:rFonts w:hint="eastAsia" w:ascii="Times New Roman" w:hAnsi="Times New Roman" w:eastAsia="宋体" w:cs="Times New Roman"/>
                <w:b w:val="0"/>
                <w:bCs w:val="0"/>
                <w:color w:val="auto"/>
                <w:highlight w:val="none"/>
                <w:lang w:val="en-US" w:eastAsia="zh-CN"/>
              </w:rPr>
              <w:t>内。</w:t>
            </w:r>
          </w:p>
        </w:tc>
        <w:tc>
          <w:tcPr>
            <w:tcW w:w="383" w:type="pct"/>
            <w:noWrap w:val="0"/>
            <w:vAlign w:val="center"/>
          </w:tcPr>
          <w:p w14:paraId="29414C6E">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48E6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527F4609">
            <w:pPr>
              <w:pStyle w:val="24"/>
              <w:rPr>
                <w:rFonts w:hint="default" w:ascii="Times New Roman" w:hAnsi="Times New Roman" w:eastAsia="宋体" w:cs="Times New Roman"/>
                <w:b w:val="0"/>
                <w:bCs w:val="0"/>
                <w:color w:val="auto"/>
                <w:highlight w:val="none"/>
                <w:lang w:val="en-US" w:eastAsia="zh-CN"/>
              </w:rPr>
            </w:pPr>
          </w:p>
        </w:tc>
        <w:tc>
          <w:tcPr>
            <w:tcW w:w="381" w:type="pct"/>
            <w:vMerge w:val="continue"/>
            <w:noWrap w:val="0"/>
            <w:vAlign w:val="center"/>
          </w:tcPr>
          <w:p w14:paraId="568377EB">
            <w:pPr>
              <w:pStyle w:val="24"/>
              <w:rPr>
                <w:rFonts w:hint="default" w:ascii="Times New Roman" w:hAnsi="Times New Roman" w:eastAsia="宋体" w:cs="Times New Roman"/>
                <w:b w:val="0"/>
                <w:bCs w:val="0"/>
                <w:color w:val="auto"/>
                <w:highlight w:val="none"/>
                <w:lang w:val="en-US" w:eastAsia="zh-CN"/>
              </w:rPr>
            </w:pPr>
          </w:p>
        </w:tc>
        <w:tc>
          <w:tcPr>
            <w:tcW w:w="2380" w:type="pct"/>
            <w:gridSpan w:val="2"/>
            <w:shd w:val="clear" w:color="auto" w:fill="auto"/>
            <w:noWrap w:val="0"/>
            <w:vAlign w:val="center"/>
          </w:tcPr>
          <w:p w14:paraId="0516017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（四）严守环境质量底线。根据国家和地方水污染防治相关要求，深化区域地表水整治工作，严格落实《通江县高坑水电站生态流量</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一站一策</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实施方案》，确保高坑电站下泄生态流量不低于13.4立方米/秒；曾口区块污水处理厂、金堂区块污水处理厂远期处理规模分别不超过1.6万立方米/天、0.8万立方米/ 天，严格控制水污染物排放总量，持续改善区域地表水环境质量。严格执行巴中市大气污染防治相关要求，落实《通江县</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十四五</w:t>
            </w:r>
            <w:r>
              <w:rPr>
                <w:rFonts w:hint="eastAsia"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大气污染物削减方案》，持续改善区域大气环境质量。严格规范固体废物（特别是危险废物）的收集、暂存、转运、利用及处置过程的环境管理，采取有效、可靠的防范措施，防止产生二次污染。</w:t>
            </w:r>
          </w:p>
        </w:tc>
        <w:tc>
          <w:tcPr>
            <w:tcW w:w="1428" w:type="pct"/>
            <w:noWrap w:val="0"/>
            <w:vAlign w:val="center"/>
          </w:tcPr>
          <w:p w14:paraId="4C19D57B">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w:t>
            </w:r>
            <w:r>
              <w:rPr>
                <w:rFonts w:hint="default" w:cs="Times New Roman"/>
                <w:b w:val="0"/>
                <w:bCs w:val="0"/>
                <w:color w:val="auto"/>
                <w:highlight w:val="none"/>
                <w:lang w:val="en-US" w:eastAsia="zh-CN"/>
              </w:rPr>
              <w:t>初期雨水、其余器皿三次后清洗废水、车间地面清洁废水</w:t>
            </w:r>
            <w:r>
              <w:rPr>
                <w:rFonts w:hint="eastAsia" w:cs="Times New Roman"/>
                <w:b w:val="0"/>
                <w:bCs w:val="0"/>
                <w:color w:val="auto"/>
                <w:highlight w:val="none"/>
                <w:lang w:val="en-US" w:eastAsia="zh-CN"/>
              </w:rPr>
              <w:t>、</w:t>
            </w:r>
            <w:r>
              <w:rPr>
                <w:rFonts w:hint="default" w:cs="Times New Roman"/>
                <w:b w:val="0"/>
                <w:bCs w:val="0"/>
                <w:color w:val="auto"/>
                <w:highlight w:val="none"/>
                <w:lang w:val="en-US" w:eastAsia="zh-CN"/>
              </w:rPr>
              <w:t>反冲洗废水、循环排污水、喷淋废水作为回用水用于高性能聚羧酸减水剂复配</w:t>
            </w:r>
            <w:r>
              <w:rPr>
                <w:rFonts w:hint="eastAsia" w:cs="Times New Roman"/>
                <w:b w:val="0"/>
                <w:bCs w:val="0"/>
                <w:color w:val="auto"/>
                <w:highlight w:val="none"/>
                <w:lang w:val="en-US" w:eastAsia="zh-CN"/>
              </w:rPr>
              <w:t>，减少</w:t>
            </w:r>
            <w:r>
              <w:rPr>
                <w:rFonts w:hint="default" w:ascii="Times New Roman" w:hAnsi="Times New Roman" w:eastAsia="宋体" w:cs="Times New Roman"/>
                <w:b w:val="0"/>
                <w:bCs w:val="0"/>
                <w:color w:val="auto"/>
                <w:highlight w:val="none"/>
                <w:lang w:val="en-US" w:eastAsia="zh-CN"/>
              </w:rPr>
              <w:t>水污染物排放总量</w:t>
            </w:r>
            <w:r>
              <w:rPr>
                <w:rFonts w:hint="eastAsia" w:ascii="Times New Roman" w:hAnsi="Times New Roman" w:eastAsia="宋体" w:cs="Times New Roman"/>
                <w:b w:val="0"/>
                <w:bCs w:val="0"/>
                <w:color w:val="auto"/>
                <w:highlight w:val="none"/>
                <w:lang w:val="en-US" w:eastAsia="zh-CN"/>
              </w:rPr>
              <w:t>；本项目严格执行</w:t>
            </w:r>
            <w:r>
              <w:rPr>
                <w:rFonts w:hint="default" w:ascii="Times New Roman" w:hAnsi="Times New Roman" w:eastAsia="宋体" w:cs="Times New Roman"/>
                <w:b w:val="0"/>
                <w:bCs w:val="0"/>
                <w:color w:val="auto"/>
                <w:highlight w:val="none"/>
                <w:lang w:val="en-US" w:eastAsia="zh-CN"/>
              </w:rPr>
              <w:t>巴中市大气污染防治相关要求</w:t>
            </w:r>
            <w:r>
              <w:rPr>
                <w:rFonts w:hint="eastAsia" w:ascii="Times New Roman" w:hAnsi="Times New Roman" w:eastAsia="宋体" w:cs="Times New Roman"/>
                <w:b w:val="0"/>
                <w:bCs w:val="0"/>
                <w:color w:val="auto"/>
                <w:highlight w:val="none"/>
                <w:lang w:val="en-US" w:eastAsia="zh-CN"/>
              </w:rPr>
              <w:t>；本项目固体废物收集、暂存、转运等过程中采取防风、防雨、防渗等措施，</w:t>
            </w:r>
            <w:r>
              <w:rPr>
                <w:rFonts w:hint="default" w:ascii="Times New Roman" w:hAnsi="Times New Roman" w:eastAsia="宋体" w:cs="Times New Roman"/>
                <w:b w:val="0"/>
                <w:bCs w:val="0"/>
                <w:color w:val="auto"/>
                <w:highlight w:val="none"/>
                <w:lang w:val="en-US" w:eastAsia="zh-CN"/>
              </w:rPr>
              <w:t>采取有效、可靠的防范措施</w:t>
            </w:r>
            <w:r>
              <w:rPr>
                <w:rFonts w:hint="eastAsia" w:ascii="Times New Roman" w:hAnsi="Times New Roman" w:eastAsia="宋体" w:cs="Times New Roman"/>
                <w:b w:val="0"/>
                <w:bCs w:val="0"/>
                <w:color w:val="auto"/>
                <w:highlight w:val="none"/>
                <w:lang w:val="en-US" w:eastAsia="zh-CN"/>
              </w:rPr>
              <w:t>。</w:t>
            </w:r>
          </w:p>
        </w:tc>
        <w:tc>
          <w:tcPr>
            <w:tcW w:w="383" w:type="pct"/>
            <w:noWrap w:val="0"/>
            <w:vAlign w:val="center"/>
          </w:tcPr>
          <w:p w14:paraId="4AF8B8BF">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6307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3DC88E2A">
            <w:pPr>
              <w:pStyle w:val="24"/>
              <w:rPr>
                <w:rFonts w:hint="default" w:ascii="Times New Roman" w:hAnsi="Times New Roman" w:eastAsia="宋体" w:cs="Times New Roman"/>
                <w:b w:val="0"/>
                <w:bCs w:val="0"/>
                <w:color w:val="auto"/>
                <w:highlight w:val="none"/>
                <w:lang w:val="en-US" w:eastAsia="zh-CN"/>
              </w:rPr>
            </w:pPr>
          </w:p>
        </w:tc>
        <w:tc>
          <w:tcPr>
            <w:tcW w:w="381" w:type="pct"/>
            <w:vMerge w:val="continue"/>
            <w:noWrap w:val="0"/>
            <w:vAlign w:val="center"/>
          </w:tcPr>
          <w:p w14:paraId="2AECD6BC">
            <w:pPr>
              <w:pStyle w:val="24"/>
              <w:rPr>
                <w:rFonts w:hint="default" w:ascii="Times New Roman" w:hAnsi="Times New Roman" w:eastAsia="宋体" w:cs="Times New Roman"/>
                <w:b w:val="0"/>
                <w:bCs w:val="0"/>
                <w:color w:val="auto"/>
                <w:highlight w:val="none"/>
                <w:lang w:val="en-US" w:eastAsia="zh-CN"/>
              </w:rPr>
            </w:pPr>
          </w:p>
        </w:tc>
        <w:tc>
          <w:tcPr>
            <w:tcW w:w="2380" w:type="pct"/>
            <w:gridSpan w:val="2"/>
            <w:shd w:val="clear" w:color="auto" w:fill="auto"/>
            <w:noWrap w:val="0"/>
            <w:vAlign w:val="center"/>
          </w:tcPr>
          <w:p w14:paraId="094CA0FC">
            <w:pPr>
              <w:pStyle w:val="24"/>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（五）强化环境基础设施建设。严格落实《规划》再生水回用工程。加快经开区各污水处理设施及配套管网建设，确保污水收集率和处理率均达</w:t>
            </w:r>
            <w:r>
              <w:rPr>
                <w:rFonts w:hint="eastAsia" w:cs="Times New Roman"/>
                <w:b w:val="0"/>
                <w:bCs w:val="0"/>
                <w:color w:val="auto"/>
                <w:highlight w:val="none"/>
                <w:lang w:val="en-US" w:eastAsia="zh-CN"/>
              </w:rPr>
              <w:t>1</w:t>
            </w:r>
            <w:r>
              <w:rPr>
                <w:rFonts w:hint="default" w:ascii="Times New Roman" w:hAnsi="Times New Roman" w:eastAsia="宋体" w:cs="Times New Roman"/>
                <w:b w:val="0"/>
                <w:bCs w:val="0"/>
                <w:color w:val="auto"/>
                <w:highlight w:val="none"/>
                <w:lang w:val="en-US" w:eastAsia="zh-CN"/>
              </w:rPr>
              <w:t>00%。按照《四川省化工园区认定管理办法》有关要求，曾口区块和金堂区块建设专业化工生产废水集中处理设施及专管或明管输送的配套管网，配套污水处理厂未建成投运，入驻企业不得投产。</w:t>
            </w:r>
          </w:p>
        </w:tc>
        <w:tc>
          <w:tcPr>
            <w:tcW w:w="1428" w:type="pct"/>
            <w:noWrap w:val="0"/>
            <w:vAlign w:val="center"/>
          </w:tcPr>
          <w:p w14:paraId="2470F625">
            <w:pPr>
              <w:pStyle w:val="24"/>
              <w:rPr>
                <w:rFonts w:hint="default" w:ascii="Times New Roman" w:hAnsi="Times New Roman" w:eastAsia="宋体" w:cs="Times New Roman"/>
                <w:b w:val="0"/>
                <w:bCs w:val="0"/>
                <w:color w:val="auto"/>
                <w:highlight w:val="none"/>
                <w:lang w:val="en-US" w:eastAsia="zh-CN"/>
              </w:rPr>
            </w:pP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环评要求：在通江县秋锦山产业园区综合污水处理厂建成投运前，本项目不得投产。</w:t>
            </w:r>
          </w:p>
        </w:tc>
        <w:tc>
          <w:tcPr>
            <w:tcW w:w="383" w:type="pct"/>
            <w:shd w:val="clear" w:color="auto" w:fill="auto"/>
            <w:noWrap w:val="0"/>
            <w:vAlign w:val="center"/>
          </w:tcPr>
          <w:p w14:paraId="102CE940">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符合</w:t>
            </w:r>
          </w:p>
        </w:tc>
      </w:tr>
      <w:tr w14:paraId="2F81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0AB07BAA">
            <w:pPr>
              <w:pStyle w:val="24"/>
              <w:rPr>
                <w:rFonts w:hint="default" w:ascii="Times New Roman" w:hAnsi="Times New Roman" w:eastAsia="宋体" w:cs="Times New Roman"/>
                <w:b w:val="0"/>
                <w:bCs w:val="0"/>
                <w:color w:val="auto"/>
                <w:highlight w:val="none"/>
                <w:lang w:val="en-US" w:eastAsia="zh-CN"/>
              </w:rPr>
            </w:pPr>
          </w:p>
        </w:tc>
        <w:tc>
          <w:tcPr>
            <w:tcW w:w="381" w:type="pct"/>
            <w:vMerge w:val="continue"/>
            <w:noWrap w:val="0"/>
            <w:vAlign w:val="center"/>
          </w:tcPr>
          <w:p w14:paraId="52AB2377">
            <w:pPr>
              <w:pStyle w:val="24"/>
              <w:rPr>
                <w:rFonts w:hint="default" w:ascii="Times New Roman" w:hAnsi="Times New Roman" w:eastAsia="宋体" w:cs="Times New Roman"/>
                <w:b w:val="0"/>
                <w:bCs w:val="0"/>
                <w:color w:val="auto"/>
                <w:highlight w:val="none"/>
                <w:lang w:val="en-US" w:eastAsia="zh-CN"/>
              </w:rPr>
            </w:pPr>
          </w:p>
        </w:tc>
        <w:tc>
          <w:tcPr>
            <w:tcW w:w="2380" w:type="pct"/>
            <w:gridSpan w:val="2"/>
            <w:shd w:val="clear" w:color="auto" w:fill="auto"/>
            <w:noWrap w:val="0"/>
            <w:vAlign w:val="center"/>
          </w:tcPr>
          <w:p w14:paraId="09EB69EB">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六）强化经开区环境风险管控。健全经开区环境风险多级防控体系，建立环境应急专业队伍，完善环境应急管理制度，严格落实经开区内企业事故废水收集处置措施，设置事故应急池等环境风险防范措施，杜绝事故废水入河；完善经开区环境风险应急预案，强化环境应急物资储备，配备环境应急监测设备，定期开展环境风险应急演练，提升环境应急能力，确保环境安全。</w:t>
            </w:r>
          </w:p>
        </w:tc>
        <w:tc>
          <w:tcPr>
            <w:tcW w:w="1428" w:type="pct"/>
            <w:noWrap w:val="0"/>
            <w:vAlign w:val="center"/>
          </w:tcPr>
          <w:p w14:paraId="5640903B">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本项目设置“生产单元-企业-园区”的三级事故废水防范体系，厂区设围堰、事故应急池等。</w:t>
            </w:r>
          </w:p>
        </w:tc>
        <w:tc>
          <w:tcPr>
            <w:tcW w:w="383" w:type="pct"/>
            <w:shd w:val="clear" w:color="auto" w:fill="auto"/>
            <w:noWrap w:val="0"/>
            <w:vAlign w:val="center"/>
          </w:tcPr>
          <w:p w14:paraId="5CFEFE52">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符合</w:t>
            </w:r>
          </w:p>
        </w:tc>
      </w:tr>
      <w:tr w14:paraId="6959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3F148CC0">
            <w:pPr>
              <w:pStyle w:val="24"/>
              <w:rPr>
                <w:rFonts w:hint="default" w:ascii="Times New Roman" w:hAnsi="Times New Roman" w:eastAsia="宋体" w:cs="Times New Roman"/>
                <w:b w:val="0"/>
                <w:bCs w:val="0"/>
                <w:color w:val="auto"/>
                <w:highlight w:val="none"/>
                <w:lang w:val="en-US" w:eastAsia="zh-CN"/>
              </w:rPr>
            </w:pPr>
          </w:p>
        </w:tc>
        <w:tc>
          <w:tcPr>
            <w:tcW w:w="381" w:type="pct"/>
            <w:vMerge w:val="continue"/>
            <w:noWrap w:val="0"/>
            <w:vAlign w:val="center"/>
          </w:tcPr>
          <w:p w14:paraId="7996E2C4">
            <w:pPr>
              <w:pStyle w:val="24"/>
              <w:rPr>
                <w:rFonts w:hint="default" w:ascii="Times New Roman" w:hAnsi="Times New Roman" w:eastAsia="宋体" w:cs="Times New Roman"/>
                <w:b w:val="0"/>
                <w:bCs w:val="0"/>
                <w:color w:val="auto"/>
                <w:highlight w:val="none"/>
                <w:lang w:val="en-US" w:eastAsia="zh-CN"/>
              </w:rPr>
            </w:pPr>
          </w:p>
        </w:tc>
        <w:tc>
          <w:tcPr>
            <w:tcW w:w="2380" w:type="pct"/>
            <w:gridSpan w:val="2"/>
            <w:shd w:val="clear" w:color="auto" w:fill="auto"/>
            <w:noWrap w:val="0"/>
            <w:vAlign w:val="center"/>
          </w:tcPr>
          <w:p w14:paraId="497D2C2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（七）推动经开区减污降碳协同管控。根据国家和地方碳达峰行动方案、</w:t>
            </w:r>
            <w:r>
              <w:rPr>
                <w:rFonts w:hint="eastAsia"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十四五</w:t>
            </w:r>
            <w:r>
              <w:rPr>
                <w:rFonts w:hint="eastAsia"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zh-CN" w:bidi="ar-SA"/>
              </w:rPr>
              <w:t>应对气候变化专项规划和节能减排工作要求，推进经开区绿色低碳转型发展。建立健全经开区碳排放管理制度，根据经开区主导产业和污染物、碳排放水平，积极探索推进减污降碳协同增效。</w:t>
            </w:r>
          </w:p>
        </w:tc>
        <w:tc>
          <w:tcPr>
            <w:tcW w:w="1428" w:type="pct"/>
            <w:noWrap w:val="0"/>
            <w:vAlign w:val="center"/>
          </w:tcPr>
          <w:p w14:paraId="6677BB34">
            <w:pPr>
              <w:pStyle w:val="24"/>
              <w:rPr>
                <w:rFonts w:hint="eastAsia" w:cs="Times New Roman"/>
                <w:b w:val="0"/>
                <w:bCs w:val="0"/>
                <w:color w:val="auto"/>
                <w:highlight w:val="none"/>
                <w:lang w:val="en-US" w:eastAsia="zh-CN"/>
              </w:rPr>
            </w:pPr>
            <w:r>
              <w:rPr>
                <w:rFonts w:hint="eastAsia" w:cs="Times New Roman"/>
                <w:b w:val="0"/>
                <w:bCs w:val="0"/>
                <w:color w:val="auto"/>
                <w:highlight w:val="none"/>
                <w:lang w:val="en-US" w:eastAsia="zh-CN"/>
              </w:rPr>
              <w:t>本项目采用先进技术和生产工艺，电作为能源，最大程度减少碳排放。</w:t>
            </w:r>
          </w:p>
        </w:tc>
        <w:tc>
          <w:tcPr>
            <w:tcW w:w="383" w:type="pct"/>
            <w:shd w:val="clear" w:color="auto" w:fill="auto"/>
            <w:noWrap w:val="0"/>
            <w:vAlign w:val="center"/>
          </w:tcPr>
          <w:p w14:paraId="6EC1CE36">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符合</w:t>
            </w:r>
          </w:p>
        </w:tc>
      </w:tr>
      <w:tr w14:paraId="5F58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26" w:type="pct"/>
            <w:vMerge w:val="continue"/>
            <w:noWrap w:val="0"/>
            <w:vAlign w:val="center"/>
          </w:tcPr>
          <w:p w14:paraId="248A2483">
            <w:pPr>
              <w:pStyle w:val="24"/>
              <w:rPr>
                <w:rFonts w:hint="default" w:ascii="Times New Roman" w:hAnsi="Times New Roman" w:eastAsia="宋体" w:cs="Times New Roman"/>
                <w:b w:val="0"/>
                <w:bCs w:val="0"/>
                <w:color w:val="auto"/>
                <w:highlight w:val="none"/>
                <w:lang w:val="en-US" w:eastAsia="zh-CN"/>
              </w:rPr>
            </w:pPr>
          </w:p>
        </w:tc>
        <w:tc>
          <w:tcPr>
            <w:tcW w:w="2762" w:type="pct"/>
            <w:gridSpan w:val="3"/>
            <w:noWrap w:val="0"/>
            <w:vAlign w:val="center"/>
          </w:tcPr>
          <w:p w14:paraId="6DD246E6">
            <w:pPr>
              <w:pStyle w:val="24"/>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拟入区建设项目应符合并落实《报告书》及审查意见要求，做好环境影响评价工作。在项目环境影响评价中重点开展工程分析、环境影响预测和环保措施的可行性论证等工作，强化污染物治理措施，严格控制污染物排放总量。与有关规划的协调性分析、区域环境现状调查等符合要求的内容可供建设项目环评共享。</w:t>
            </w:r>
          </w:p>
        </w:tc>
        <w:tc>
          <w:tcPr>
            <w:tcW w:w="1428" w:type="pct"/>
            <w:noWrap w:val="0"/>
            <w:vAlign w:val="center"/>
          </w:tcPr>
          <w:p w14:paraId="40F57EBD">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本项目环境影响评价</w:t>
            </w:r>
            <w:r>
              <w:rPr>
                <w:rFonts w:hint="default" w:ascii="Times New Roman" w:hAnsi="Times New Roman" w:eastAsia="宋体" w:cs="Times New Roman"/>
                <w:b w:val="0"/>
                <w:bCs w:val="0"/>
                <w:color w:val="auto"/>
                <w:highlight w:val="none"/>
                <w:lang w:val="en-US" w:eastAsia="zh-CN"/>
              </w:rPr>
              <w:t>重点开展</w:t>
            </w:r>
            <w:r>
              <w:rPr>
                <w:rFonts w:hint="eastAsia" w:ascii="Times New Roman" w:hAnsi="Times New Roman" w:eastAsia="宋体" w:cs="Times New Roman"/>
                <w:b w:val="0"/>
                <w:bCs w:val="0"/>
                <w:color w:val="auto"/>
                <w:highlight w:val="none"/>
                <w:lang w:val="en-US" w:eastAsia="zh-CN"/>
              </w:rPr>
              <w:t>了</w:t>
            </w:r>
            <w:r>
              <w:rPr>
                <w:rFonts w:hint="default" w:ascii="Times New Roman" w:hAnsi="Times New Roman" w:eastAsia="宋体" w:cs="Times New Roman"/>
                <w:b w:val="0"/>
                <w:bCs w:val="0"/>
                <w:color w:val="auto"/>
                <w:highlight w:val="none"/>
                <w:lang w:val="en-US" w:eastAsia="zh-CN"/>
              </w:rPr>
              <w:t>工程分析、环境影响预测和环保措施的可行性论证等工作，强化</w:t>
            </w:r>
            <w:r>
              <w:rPr>
                <w:rFonts w:hint="eastAsia" w:ascii="Times New Roman" w:hAnsi="Times New Roman" w:eastAsia="宋体" w:cs="Times New Roman"/>
                <w:b w:val="0"/>
                <w:bCs w:val="0"/>
                <w:color w:val="auto"/>
                <w:highlight w:val="none"/>
                <w:lang w:val="en-US" w:eastAsia="zh-CN"/>
              </w:rPr>
              <w:t>了</w:t>
            </w:r>
            <w:r>
              <w:rPr>
                <w:rFonts w:hint="default" w:ascii="Times New Roman" w:hAnsi="Times New Roman" w:eastAsia="宋体" w:cs="Times New Roman"/>
                <w:b w:val="0"/>
                <w:bCs w:val="0"/>
                <w:color w:val="auto"/>
                <w:highlight w:val="none"/>
                <w:lang w:val="en-US" w:eastAsia="zh-CN"/>
              </w:rPr>
              <w:t>污染物治理措施，严格控制污染物排放总量</w:t>
            </w:r>
            <w:r>
              <w:rPr>
                <w:rFonts w:hint="eastAsia" w:ascii="Times New Roman" w:hAnsi="Times New Roman" w:eastAsia="宋体" w:cs="Times New Roman"/>
                <w:b w:val="0"/>
                <w:bCs w:val="0"/>
                <w:color w:val="auto"/>
                <w:highlight w:val="none"/>
                <w:lang w:val="en-US" w:eastAsia="zh-CN"/>
              </w:rPr>
              <w:t>。</w:t>
            </w:r>
          </w:p>
        </w:tc>
        <w:tc>
          <w:tcPr>
            <w:tcW w:w="383" w:type="pct"/>
            <w:noWrap w:val="0"/>
            <w:vAlign w:val="center"/>
          </w:tcPr>
          <w:p w14:paraId="0202D85A">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bl>
    <w:p w14:paraId="74131B86">
      <w:pPr>
        <w:ind w:left="0" w:leftChars="0" w:firstLine="420" w:firstLineChars="200"/>
        <w:rPr>
          <w:rFonts w:hint="eastAsia" w:ascii="Times New Roman" w:hAnsi="Times New Roman" w:eastAsia="宋体" w:cs="Times New Roman"/>
          <w:b w:val="0"/>
          <w:bCs w:val="0"/>
          <w:color w:val="auto"/>
          <w:highlight w:val="none"/>
          <w:lang w:val="en-US" w:eastAsia="zh-CN"/>
        </w:rPr>
      </w:pPr>
      <w:r>
        <w:rPr>
          <w:rFonts w:hint="eastAsia" w:eastAsia="黑体"/>
          <w:color w:val="auto"/>
          <w:sz w:val="21"/>
          <w:szCs w:val="21"/>
          <w:lang w:val="en-US" w:eastAsia="zh-CN"/>
        </w:rPr>
        <w:t xml:space="preserve"> </w:t>
      </w:r>
      <w:r>
        <w:rPr>
          <w:rFonts w:hint="eastAsia" w:cs="Times New Roman"/>
          <w:color w:val="auto"/>
          <w:highlight w:val="none"/>
          <w:lang w:val="en-US" w:eastAsia="zh-CN"/>
        </w:rPr>
        <w:t>本项目生产所需部分原辅材料取自天然气化工产业链的下游产品或衍生中间体，与其主导产业-天然气化工高度契合；</w:t>
      </w:r>
      <w:r>
        <w:rPr>
          <w:rFonts w:hint="eastAsia" w:ascii="Times New Roman" w:hAnsi="Times New Roman" w:eastAsia="宋体" w:cs="Times New Roman"/>
          <w:b w:val="0"/>
          <w:bCs w:val="0"/>
          <w:color w:val="auto"/>
          <w:highlight w:val="none"/>
          <w:lang w:val="en-US" w:eastAsia="zh-CN"/>
        </w:rPr>
        <w:t>清洁生产水平可达到</w:t>
      </w:r>
      <w:r>
        <w:rPr>
          <w:rFonts w:hint="eastAsia" w:cs="Times New Roman"/>
          <w:b w:val="0"/>
          <w:bCs w:val="0"/>
          <w:color w:val="auto"/>
          <w:highlight w:val="none"/>
          <w:lang w:val="en-US" w:eastAsia="zh-CN"/>
        </w:rPr>
        <w:t>国内</w:t>
      </w:r>
      <w:r>
        <w:rPr>
          <w:rFonts w:hint="eastAsia" w:ascii="Times New Roman" w:hAnsi="Times New Roman" w:eastAsia="宋体" w:cs="Times New Roman"/>
          <w:b w:val="0"/>
          <w:bCs w:val="0"/>
          <w:color w:val="auto"/>
          <w:highlight w:val="none"/>
          <w:lang w:val="en-US" w:eastAsia="zh-CN"/>
        </w:rPr>
        <w:t>先进水平，</w:t>
      </w:r>
      <w:r>
        <w:rPr>
          <w:rFonts w:hint="eastAsia" w:cs="Times New Roman"/>
          <w:b w:val="0"/>
          <w:bCs w:val="0"/>
          <w:color w:val="auto"/>
          <w:highlight w:val="none"/>
          <w:lang w:val="en-US" w:eastAsia="zh-CN"/>
        </w:rPr>
        <w:t>符合园区环境准入要求，</w:t>
      </w:r>
      <w:r>
        <w:rPr>
          <w:rFonts w:hint="eastAsia" w:ascii="Times New Roman" w:hAnsi="Times New Roman" w:eastAsia="宋体" w:cs="Times New Roman"/>
          <w:b w:val="0"/>
          <w:bCs w:val="0"/>
          <w:color w:val="auto"/>
          <w:highlight w:val="none"/>
          <w:lang w:val="en-US" w:eastAsia="zh-CN"/>
        </w:rPr>
        <w:t>符合规划环评中相关要求。</w:t>
      </w:r>
    </w:p>
    <w:p w14:paraId="39B2978B">
      <w:pPr>
        <w:pStyle w:val="40"/>
        <w:ind w:left="0" w:leftChars="0" w:firstLine="0" w:firstLineChars="0"/>
        <w:rPr>
          <w:rFonts w:ascii="Times New Roman" w:hAnsi="Times New Roman"/>
          <w:color w:val="auto"/>
        </w:rPr>
      </w:pPr>
      <w:r>
        <w:rPr>
          <w:rFonts w:ascii="Times New Roman" w:hAnsi="Times New Roman"/>
          <w:color w:val="auto"/>
        </w:rPr>
        <w:t>2</w:t>
      </w: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w:t>
      </w:r>
      <w:r>
        <w:rPr>
          <w:rFonts w:ascii="Times New Roman" w:hAnsi="Times New Roman"/>
          <w:color w:val="auto"/>
        </w:rPr>
        <w:t xml:space="preserve">2 </w:t>
      </w:r>
      <w:r>
        <w:rPr>
          <w:rFonts w:hint="eastAsia" w:ascii="Times New Roman" w:hAnsi="Times New Roman"/>
          <w:color w:val="auto"/>
        </w:rPr>
        <w:t>与相关法规</w:t>
      </w:r>
      <w:r>
        <w:rPr>
          <w:rFonts w:ascii="Times New Roman" w:hAnsi="Times New Roman"/>
          <w:color w:val="auto"/>
        </w:rPr>
        <w:t>、</w:t>
      </w:r>
      <w:r>
        <w:rPr>
          <w:rFonts w:hint="eastAsia" w:ascii="Times New Roman" w:hAnsi="Times New Roman"/>
          <w:color w:val="auto"/>
        </w:rPr>
        <w:t>规范符合性</w:t>
      </w:r>
      <w:bookmarkEnd w:id="38"/>
      <w:bookmarkEnd w:id="39"/>
      <w:bookmarkEnd w:id="40"/>
    </w:p>
    <w:p w14:paraId="4AACAE7B">
      <w:pPr>
        <w:pStyle w:val="29"/>
        <w:ind w:left="0" w:leftChars="0" w:firstLine="482" w:firstLineChars="200"/>
        <w:rPr>
          <w:rFonts w:eastAsia="黑体"/>
          <w:color w:val="auto"/>
        </w:rPr>
      </w:pPr>
      <w:r>
        <w:rPr>
          <w:rFonts w:hint="eastAsia"/>
          <w:color w:val="auto"/>
        </w:rPr>
        <w:t>1、</w:t>
      </w:r>
      <w:r>
        <w:rPr>
          <w:color w:val="auto"/>
        </w:rPr>
        <w:t>与</w:t>
      </w:r>
      <w:r>
        <w:rPr>
          <w:rFonts w:hint="eastAsia"/>
          <w:color w:val="auto"/>
        </w:rPr>
        <w:t>大气</w:t>
      </w:r>
      <w:r>
        <w:rPr>
          <w:color w:val="auto"/>
        </w:rPr>
        <w:t>污染防治相关法规</w:t>
      </w:r>
      <w:r>
        <w:rPr>
          <w:rFonts w:hint="eastAsia"/>
          <w:color w:val="auto"/>
        </w:rPr>
        <w:t>、</w:t>
      </w:r>
      <w:r>
        <w:rPr>
          <w:color w:val="auto"/>
        </w:rPr>
        <w:t>规范的符合性</w:t>
      </w:r>
    </w:p>
    <w:p w14:paraId="5455D6BF">
      <w:pPr>
        <w:spacing w:line="360" w:lineRule="auto"/>
        <w:rPr>
          <w:rFonts w:hint="eastAsia" w:ascii="Times New Roman" w:hAnsi="Times New Roman" w:cs="Times New Roman"/>
          <w:color w:val="auto"/>
          <w:sz w:val="24"/>
          <w:szCs w:val="24"/>
        </w:rPr>
      </w:pPr>
      <w:r>
        <w:rPr>
          <w:rFonts w:ascii="Times New Roman" w:hAnsi="Times New Roman" w:cs="Times New Roman"/>
          <w:color w:val="auto"/>
          <w:sz w:val="24"/>
          <w:szCs w:val="24"/>
        </w:rPr>
        <w:t>本项目</w:t>
      </w:r>
      <w:r>
        <w:rPr>
          <w:rFonts w:hint="eastAsia" w:ascii="Times New Roman" w:hAnsi="Times New Roman" w:cs="Times New Roman"/>
          <w:color w:val="auto"/>
          <w:sz w:val="24"/>
          <w:szCs w:val="24"/>
        </w:rPr>
        <w:t>与大气污染防治相关法规、规范符合性分析见</w:t>
      </w:r>
      <w:r>
        <w:rPr>
          <w:rFonts w:hint="eastAsia" w:cs="Times New Roman"/>
          <w:color w:val="auto"/>
          <w:sz w:val="24"/>
          <w:szCs w:val="24"/>
          <w:lang w:val="en-US" w:eastAsia="zh-CN"/>
        </w:rPr>
        <w:t>下</w:t>
      </w:r>
      <w:r>
        <w:rPr>
          <w:rFonts w:hint="eastAsia" w:ascii="Times New Roman" w:hAnsi="Times New Roman" w:cs="Times New Roman"/>
          <w:color w:val="auto"/>
          <w:sz w:val="24"/>
          <w:szCs w:val="24"/>
        </w:rPr>
        <w:t>表。</w:t>
      </w:r>
    </w:p>
    <w:p w14:paraId="435DF319">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本项目与大气污染防治相关法规、规范符合性分析</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4968"/>
        <w:gridCol w:w="1936"/>
        <w:gridCol w:w="666"/>
      </w:tblGrid>
      <w:tr w14:paraId="54B7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tcBorders>
              <w:top w:val="single" w:color="auto" w:sz="4" w:space="0"/>
              <w:left w:val="single" w:color="auto" w:sz="4" w:space="0"/>
              <w:bottom w:val="single" w:color="auto" w:sz="4" w:space="0"/>
              <w:right w:val="single" w:color="auto" w:sz="4" w:space="0"/>
            </w:tcBorders>
            <w:noWrap w:val="0"/>
            <w:vAlign w:val="center"/>
          </w:tcPr>
          <w:p w14:paraId="7C8C0476">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法规、规范名称</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6E838124">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相关要求</w:t>
            </w:r>
          </w:p>
        </w:tc>
        <w:tc>
          <w:tcPr>
            <w:tcW w:w="1017" w:type="pct"/>
            <w:tcBorders>
              <w:top w:val="single" w:color="auto" w:sz="4" w:space="0"/>
              <w:left w:val="single" w:color="auto" w:sz="4" w:space="0"/>
              <w:bottom w:val="single" w:color="auto" w:sz="4" w:space="0"/>
              <w:right w:val="single" w:color="auto" w:sz="4" w:space="0"/>
            </w:tcBorders>
            <w:noWrap w:val="0"/>
            <w:vAlign w:val="center"/>
          </w:tcPr>
          <w:p w14:paraId="680B5016">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本项目情况</w:t>
            </w:r>
          </w:p>
        </w:tc>
        <w:tc>
          <w:tcPr>
            <w:tcW w:w="350" w:type="pct"/>
            <w:tcBorders>
              <w:top w:val="single" w:color="auto" w:sz="4" w:space="0"/>
              <w:left w:val="single" w:color="auto" w:sz="4" w:space="0"/>
              <w:bottom w:val="single" w:color="auto" w:sz="4" w:space="0"/>
              <w:right w:val="single" w:color="auto" w:sz="4" w:space="0"/>
            </w:tcBorders>
            <w:noWrap w:val="0"/>
            <w:vAlign w:val="center"/>
          </w:tcPr>
          <w:p w14:paraId="2230EEE6">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符合性</w:t>
            </w:r>
          </w:p>
        </w:tc>
      </w:tr>
      <w:tr w14:paraId="34A3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restart"/>
            <w:tcBorders>
              <w:top w:val="single" w:color="auto" w:sz="4" w:space="0"/>
              <w:left w:val="single" w:color="auto" w:sz="4" w:space="0"/>
              <w:bottom w:val="single" w:color="auto" w:sz="4" w:space="0"/>
              <w:right w:val="single" w:color="auto" w:sz="4" w:space="0"/>
            </w:tcBorders>
            <w:noWrap w:val="0"/>
            <w:vAlign w:val="center"/>
          </w:tcPr>
          <w:p w14:paraId="4EC4F06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《中华人民共和国大气污染防治法》</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681114EC">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钢铁、建材、有色金属、石油、化工等企业生产过程中排放粉尘、硫化物和氮氧化物的，应当采用清洁生产工艺，配套建设除尘、脱硫、脱硝等装置，或者采取技术改造等其他控制大气污染物排放的措施。</w:t>
            </w:r>
          </w:p>
        </w:tc>
        <w:tc>
          <w:tcPr>
            <w:tcW w:w="1017" w:type="pct"/>
            <w:tcBorders>
              <w:top w:val="single" w:color="auto" w:sz="4" w:space="0"/>
              <w:left w:val="single" w:color="auto" w:sz="4" w:space="0"/>
              <w:bottom w:val="single" w:color="auto" w:sz="4" w:space="0"/>
              <w:right w:val="single" w:color="auto" w:sz="4" w:space="0"/>
            </w:tcBorders>
            <w:noWrap w:val="0"/>
            <w:vAlign w:val="center"/>
          </w:tcPr>
          <w:p w14:paraId="4789762D">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本项目投料粉尘配套降尘装置。</w:t>
            </w:r>
          </w:p>
        </w:tc>
        <w:tc>
          <w:tcPr>
            <w:tcW w:w="350" w:type="pct"/>
            <w:tcBorders>
              <w:top w:val="single" w:color="auto" w:sz="4" w:space="0"/>
              <w:left w:val="single" w:color="auto" w:sz="4" w:space="0"/>
              <w:bottom w:val="single" w:color="auto" w:sz="4" w:space="0"/>
              <w:right w:val="single" w:color="auto" w:sz="4" w:space="0"/>
            </w:tcBorders>
            <w:noWrap w:val="0"/>
            <w:vAlign w:val="center"/>
          </w:tcPr>
          <w:p w14:paraId="238A8190">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25F9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1A2A3411">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49E6FAD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产生含挥发性有机物废气的生产和服务活动，应当在密闭空间或者设备中进行，并按照规定安装、使用污染防治设施；无法密闭的，应当采取措施减少废气排放。</w:t>
            </w:r>
          </w:p>
        </w:tc>
        <w:tc>
          <w:tcPr>
            <w:tcW w:w="1017" w:type="pct"/>
            <w:tcBorders>
              <w:left w:val="single" w:color="auto" w:sz="4" w:space="0"/>
              <w:right w:val="single" w:color="auto" w:sz="4" w:space="0"/>
            </w:tcBorders>
            <w:shd w:val="clear" w:color="auto" w:fill="auto"/>
            <w:noWrap w:val="0"/>
            <w:vAlign w:val="center"/>
          </w:tcPr>
          <w:p w14:paraId="0CDAB96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w:t>
            </w:r>
            <w:r>
              <w:rPr>
                <w:rFonts w:hint="eastAsia" w:cs="Times New Roman"/>
                <w:b w:val="0"/>
                <w:bCs w:val="0"/>
                <w:color w:val="auto"/>
                <w:highlight w:val="none"/>
                <w:lang w:val="en-US" w:eastAsia="zh-CN"/>
              </w:rPr>
              <w:t>原料及产品采用密闭储罐/包装桶储存，生产过程中采用密闭管道输送，合成、复配等在密闭罐体或反应釜内进行，</w:t>
            </w:r>
            <w:r>
              <w:rPr>
                <w:rFonts w:hint="eastAsia" w:ascii="Times New Roman" w:hAnsi="Times New Roman" w:eastAsia="宋体" w:cs="Times New Roman"/>
                <w:b w:val="0"/>
                <w:bCs w:val="0"/>
                <w:color w:val="auto"/>
                <w:highlight w:val="none"/>
              </w:rPr>
              <w:t>仅产生少量VOCs</w:t>
            </w: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并</w:t>
            </w:r>
            <w:r>
              <w:rPr>
                <w:rFonts w:hint="eastAsia" w:ascii="Times New Roman" w:hAnsi="Times New Roman" w:eastAsia="宋体" w:cs="Times New Roman"/>
                <w:b w:val="0"/>
                <w:bCs w:val="0"/>
                <w:color w:val="auto"/>
                <w:highlight w:val="none"/>
              </w:rPr>
              <w:t>安装有废气处理设施。</w:t>
            </w:r>
          </w:p>
        </w:tc>
        <w:tc>
          <w:tcPr>
            <w:tcW w:w="350" w:type="pct"/>
            <w:tcBorders>
              <w:left w:val="single" w:color="auto" w:sz="4" w:space="0"/>
              <w:right w:val="single" w:color="auto" w:sz="4" w:space="0"/>
            </w:tcBorders>
            <w:shd w:val="clear" w:color="auto" w:fill="auto"/>
            <w:noWrap w:val="0"/>
            <w:vAlign w:val="center"/>
          </w:tcPr>
          <w:p w14:paraId="3103F6DB">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rPr>
              <w:t>符合</w:t>
            </w:r>
          </w:p>
        </w:tc>
      </w:tr>
      <w:tr w14:paraId="7D96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64FC8FF8">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6B9B983">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rPr>
              <w:t>石油、化工以及其他生产和使用有机溶剂的企业，应当采取措施对管道、设备进行日常维护、维修，减少物料泄漏，对泄漏的物料应当及时收集处理。</w:t>
            </w:r>
          </w:p>
        </w:tc>
        <w:tc>
          <w:tcPr>
            <w:tcW w:w="1017" w:type="pct"/>
            <w:tcBorders>
              <w:left w:val="single" w:color="auto" w:sz="4" w:space="0"/>
              <w:right w:val="single" w:color="auto" w:sz="4" w:space="0"/>
            </w:tcBorders>
            <w:shd w:val="clear" w:color="auto" w:fill="auto"/>
            <w:noWrap w:val="0"/>
            <w:vAlign w:val="center"/>
          </w:tcPr>
          <w:p w14:paraId="41FEDD44">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本项目将加强生产过程中设备与管道系统的管理和维修，并定期进行检漏。</w:t>
            </w:r>
          </w:p>
        </w:tc>
        <w:tc>
          <w:tcPr>
            <w:tcW w:w="350" w:type="pct"/>
            <w:tcBorders>
              <w:left w:val="single" w:color="auto" w:sz="4" w:space="0"/>
              <w:right w:val="single" w:color="auto" w:sz="4" w:space="0"/>
            </w:tcBorders>
            <w:shd w:val="clear" w:color="auto" w:fill="auto"/>
            <w:noWrap w:val="0"/>
            <w:vAlign w:val="center"/>
          </w:tcPr>
          <w:p w14:paraId="11ABC564">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符合</w:t>
            </w:r>
          </w:p>
        </w:tc>
      </w:tr>
      <w:tr w14:paraId="110F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29E6ABC4">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3584BAED">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钢铁、建材、有色金属、石油、化工、制药、矿产开采等企业，应当加强精细化管理，采取集中收集处理等措施，严格控制粉尘和气态污染物的排放。</w:t>
            </w:r>
          </w:p>
        </w:tc>
        <w:tc>
          <w:tcPr>
            <w:tcW w:w="1017" w:type="pct"/>
            <w:tcBorders>
              <w:left w:val="single" w:color="auto" w:sz="4" w:space="0"/>
              <w:right w:val="single" w:color="auto" w:sz="4" w:space="0"/>
            </w:tcBorders>
            <w:shd w:val="clear" w:color="auto" w:fill="auto"/>
            <w:noWrap w:val="0"/>
            <w:vAlign w:val="center"/>
          </w:tcPr>
          <w:p w14:paraId="3FD84449">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本项目废气均采取集中处理措施。</w:t>
            </w:r>
          </w:p>
        </w:tc>
        <w:tc>
          <w:tcPr>
            <w:tcW w:w="350" w:type="pct"/>
            <w:tcBorders>
              <w:left w:val="single" w:color="auto" w:sz="4" w:space="0"/>
              <w:right w:val="single" w:color="auto" w:sz="4" w:space="0"/>
            </w:tcBorders>
            <w:shd w:val="clear" w:color="auto" w:fill="auto"/>
            <w:noWrap w:val="0"/>
            <w:vAlign w:val="center"/>
          </w:tcPr>
          <w:p w14:paraId="56565521">
            <w:pPr>
              <w:pStyle w:val="24"/>
              <w:ind w:left="0" w:leftChars="0"/>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216C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restart"/>
            <w:tcBorders>
              <w:left w:val="single" w:color="auto" w:sz="4" w:space="0"/>
              <w:right w:val="single" w:color="auto" w:sz="4" w:space="0"/>
            </w:tcBorders>
            <w:noWrap w:val="0"/>
            <w:vAlign w:val="center"/>
          </w:tcPr>
          <w:p w14:paraId="03B424F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 xml:space="preserve">《空气质量持续改善行动计划》（国发 </w:t>
            </w: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2023</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24号）</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741AE4E7">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017" w:type="pct"/>
            <w:tcBorders>
              <w:left w:val="single" w:color="auto" w:sz="4" w:space="0"/>
              <w:right w:val="single" w:color="auto" w:sz="4" w:space="0"/>
            </w:tcBorders>
            <w:shd w:val="clear" w:color="auto" w:fill="auto"/>
            <w:noWrap w:val="0"/>
            <w:vAlign w:val="center"/>
          </w:tcPr>
          <w:p w14:paraId="513DC1F0">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本项目不属于“两高”项目，符合国家产业政策、巴中市生态环境分区管控方案、规划环评、总量控制要求等。</w:t>
            </w:r>
          </w:p>
        </w:tc>
        <w:tc>
          <w:tcPr>
            <w:tcW w:w="350" w:type="pct"/>
            <w:tcBorders>
              <w:left w:val="single" w:color="auto" w:sz="4" w:space="0"/>
              <w:right w:val="single" w:color="auto" w:sz="4" w:space="0"/>
            </w:tcBorders>
            <w:shd w:val="clear" w:color="auto" w:fill="auto"/>
            <w:noWrap w:val="0"/>
            <w:vAlign w:val="center"/>
          </w:tcPr>
          <w:p w14:paraId="2E4DB87F">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015E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68057D49">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7B0AA0E8">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实施工业炉窑清洁能源替代。有序推进以电代煤，积极稳妥推进以气代煤。重点区域不再新增燃料类煤气发生炉，新改扩建加热炉、热处理炉、干燥炉、熔化炉原则上采用清洁低碳能源；安全稳妥推进使用高污染燃料的工业炉窑改用工业余热、电能、天然气等；燃料类煤气发生炉实行清洁能源替代，或因地制宜采取园区（集群）集中供气、分散使用方式；逐步淘汰固定床间歇式煤气发生炉。</w:t>
            </w:r>
          </w:p>
        </w:tc>
        <w:tc>
          <w:tcPr>
            <w:tcW w:w="1017" w:type="pct"/>
            <w:tcBorders>
              <w:left w:val="single" w:color="auto" w:sz="4" w:space="0"/>
              <w:right w:val="single" w:color="auto" w:sz="4" w:space="0"/>
            </w:tcBorders>
            <w:shd w:val="clear" w:color="auto" w:fill="auto"/>
            <w:noWrap w:val="0"/>
            <w:vAlign w:val="center"/>
          </w:tcPr>
          <w:p w14:paraId="2C81400A">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本项目采用电蒸汽发生器。</w:t>
            </w:r>
          </w:p>
        </w:tc>
        <w:tc>
          <w:tcPr>
            <w:tcW w:w="350" w:type="pct"/>
            <w:tcBorders>
              <w:left w:val="single" w:color="auto" w:sz="4" w:space="0"/>
              <w:right w:val="single" w:color="auto" w:sz="4" w:space="0"/>
            </w:tcBorders>
            <w:shd w:val="clear" w:color="auto" w:fill="auto"/>
            <w:noWrap w:val="0"/>
            <w:vAlign w:val="center"/>
          </w:tcPr>
          <w:p w14:paraId="44C6C421">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3CD9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6503005B">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65D4A094">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强化VOCs全流程、全环节综合治理。鼓励储罐使用低泄漏的呼吸阀、紧急泄压阀，定期开展密封性检测。汽车罐车推广使用密封式快速接头。污水处理场所高浓度有机废气要单独收集处理；含VOCs有机废水储罐、装置区集水井（池）有机废气要密闭收集处理。</w:t>
            </w:r>
          </w:p>
        </w:tc>
        <w:tc>
          <w:tcPr>
            <w:tcW w:w="1017" w:type="pct"/>
            <w:tcBorders>
              <w:left w:val="single" w:color="auto" w:sz="4" w:space="0"/>
              <w:right w:val="single" w:color="auto" w:sz="4" w:space="0"/>
            </w:tcBorders>
            <w:shd w:val="clear" w:color="auto" w:fill="auto"/>
            <w:noWrap w:val="0"/>
            <w:vAlign w:val="center"/>
          </w:tcPr>
          <w:p w14:paraId="21CAF5D5">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本项目原料及产品采用密闭储罐/包装桶储存，生产过程中采用密闭管道输送，合成、复配等在密闭罐体或反应釜内进行，全流程控制VOCs的产生，并定期对生产设备与管道进行检漏。</w:t>
            </w:r>
          </w:p>
        </w:tc>
        <w:tc>
          <w:tcPr>
            <w:tcW w:w="350" w:type="pct"/>
            <w:tcBorders>
              <w:left w:val="single" w:color="auto" w:sz="4" w:space="0"/>
              <w:right w:val="single" w:color="auto" w:sz="4" w:space="0"/>
            </w:tcBorders>
            <w:shd w:val="clear" w:color="auto" w:fill="auto"/>
            <w:noWrap w:val="0"/>
            <w:vAlign w:val="center"/>
          </w:tcPr>
          <w:p w14:paraId="56210D2D">
            <w:pPr>
              <w:pStyle w:val="24"/>
              <w:ind w:left="0" w:leftChars="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12E7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restart"/>
            <w:tcBorders>
              <w:top w:val="single" w:color="auto" w:sz="4" w:space="0"/>
              <w:left w:val="single" w:color="auto" w:sz="4" w:space="0"/>
              <w:bottom w:val="single" w:color="auto" w:sz="4" w:space="0"/>
              <w:right w:val="single" w:color="auto" w:sz="4" w:space="0"/>
            </w:tcBorders>
            <w:noWrap w:val="0"/>
            <w:vAlign w:val="center"/>
          </w:tcPr>
          <w:p w14:paraId="28C2DED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《重点行业挥发性有机物综合治理方案》（环大气</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2019</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53号）</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012E24E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全面加强无组织排放控制。重点对含VOCs物料储存、转移和输送、设备与管线组件泄漏、敞开液面逸散以及工艺过程等五类排放源实施管控，通过采取设备与场所密闭、工艺改进、废气有效收集等措施，削减VOCs无组织排放。</w:t>
            </w:r>
          </w:p>
        </w:tc>
        <w:tc>
          <w:tcPr>
            <w:tcW w:w="1017" w:type="pct"/>
            <w:vMerge w:val="restart"/>
            <w:tcBorders>
              <w:top w:val="single" w:color="auto" w:sz="4" w:space="0"/>
              <w:left w:val="single" w:color="auto" w:sz="4" w:space="0"/>
              <w:right w:val="single" w:color="auto" w:sz="4" w:space="0"/>
            </w:tcBorders>
            <w:shd w:val="clear" w:color="auto" w:fill="auto"/>
            <w:noWrap w:val="0"/>
            <w:vAlign w:val="center"/>
          </w:tcPr>
          <w:p w14:paraId="3DAABDFE">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本项目原料及产品采用密闭储罐/包装桶储存，生产过程中采用密闭管道输送，合成、复配等在密闭罐体或反应釜内进行，</w:t>
            </w:r>
            <w:r>
              <w:rPr>
                <w:rFonts w:hint="eastAsia" w:ascii="Times New Roman" w:hAnsi="Times New Roman" w:eastAsia="宋体" w:cs="Times New Roman"/>
                <w:b w:val="0"/>
                <w:bCs w:val="0"/>
                <w:color w:val="auto"/>
                <w:highlight w:val="none"/>
              </w:rPr>
              <w:t>仅产生少量VOCs</w:t>
            </w: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并</w:t>
            </w:r>
            <w:r>
              <w:rPr>
                <w:rFonts w:hint="eastAsia" w:ascii="Times New Roman" w:hAnsi="Times New Roman" w:eastAsia="宋体" w:cs="Times New Roman"/>
                <w:b w:val="0"/>
                <w:bCs w:val="0"/>
                <w:color w:val="auto"/>
                <w:highlight w:val="none"/>
              </w:rPr>
              <w:t>安装有废气处理设施。</w:t>
            </w:r>
          </w:p>
        </w:tc>
        <w:tc>
          <w:tcPr>
            <w:tcW w:w="350" w:type="pct"/>
            <w:vMerge w:val="restart"/>
            <w:tcBorders>
              <w:top w:val="single" w:color="auto" w:sz="4" w:space="0"/>
              <w:left w:val="single" w:color="auto" w:sz="4" w:space="0"/>
              <w:right w:val="single" w:color="auto" w:sz="4" w:space="0"/>
            </w:tcBorders>
            <w:shd w:val="clear" w:color="auto" w:fill="auto"/>
            <w:noWrap w:val="0"/>
            <w:vAlign w:val="center"/>
          </w:tcPr>
          <w:p w14:paraId="34B90D1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符合</w:t>
            </w:r>
          </w:p>
        </w:tc>
      </w:tr>
      <w:tr w14:paraId="0124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06FDA357">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0AFEA49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加强设备与场所密闭管理。含VOCs物料应储存于密闭容器、包装袋，高效密封储罐，封闭式储库、料仓等。含VOCs物料转移和输送，应采用密闭管道或密闭容器、罐车等。</w:t>
            </w:r>
          </w:p>
        </w:tc>
        <w:tc>
          <w:tcPr>
            <w:tcW w:w="1017" w:type="pct"/>
            <w:vMerge w:val="continue"/>
            <w:tcBorders>
              <w:left w:val="single" w:color="auto" w:sz="4" w:space="0"/>
              <w:right w:val="single" w:color="auto" w:sz="4" w:space="0"/>
            </w:tcBorders>
            <w:noWrap w:val="0"/>
            <w:vAlign w:val="center"/>
          </w:tcPr>
          <w:p w14:paraId="4D1B4972">
            <w:pPr>
              <w:pStyle w:val="24"/>
              <w:rPr>
                <w:rFonts w:hint="eastAsia" w:cs="Times New Roman"/>
                <w:b w:val="0"/>
                <w:bCs w:val="0"/>
                <w:color w:val="auto"/>
                <w:highlight w:val="none"/>
                <w:lang w:val="en-US" w:eastAsia="zh-CN"/>
              </w:rPr>
            </w:pPr>
          </w:p>
        </w:tc>
        <w:tc>
          <w:tcPr>
            <w:tcW w:w="350" w:type="pct"/>
            <w:vMerge w:val="continue"/>
            <w:tcBorders>
              <w:left w:val="single" w:color="auto" w:sz="4" w:space="0"/>
              <w:right w:val="single" w:color="auto" w:sz="4" w:space="0"/>
            </w:tcBorders>
            <w:noWrap w:val="0"/>
            <w:vAlign w:val="center"/>
          </w:tcPr>
          <w:p w14:paraId="36147CD1">
            <w:pPr>
              <w:pStyle w:val="24"/>
              <w:rPr>
                <w:rFonts w:hint="eastAsia" w:ascii="Times New Roman" w:hAnsi="Times New Roman" w:eastAsia="宋体" w:cs="Times New Roman"/>
                <w:b w:val="0"/>
                <w:bCs w:val="0"/>
                <w:color w:val="auto"/>
                <w:highlight w:val="none"/>
              </w:rPr>
            </w:pPr>
          </w:p>
        </w:tc>
      </w:tr>
      <w:tr w14:paraId="7D05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0B0F5EA5">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239503F7">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推进使用先进生产工艺。通过采用全密闭、连续化、自动化等生产技术，以及高效工艺与设备等，减少工艺过程无组织排放。挥发性有机液体装载优先采用底部装载方式。石化、化工行业重点推进使用低（无）泄漏的泵、压缩机、过滤机、离心机、干燥设备等，推广采用油品在线调和技术、密闭式循环水冷却系统等。</w:t>
            </w:r>
          </w:p>
        </w:tc>
        <w:tc>
          <w:tcPr>
            <w:tcW w:w="1017" w:type="pct"/>
            <w:tcBorders>
              <w:left w:val="single" w:color="auto" w:sz="4" w:space="0"/>
              <w:right w:val="single" w:color="auto" w:sz="4" w:space="0"/>
            </w:tcBorders>
            <w:noWrap w:val="0"/>
            <w:vAlign w:val="center"/>
          </w:tcPr>
          <w:p w14:paraId="36842324">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本项目生产过程全密闭，自动化程度高，并定期对生产设备、管线进行检漏。</w:t>
            </w:r>
          </w:p>
        </w:tc>
        <w:tc>
          <w:tcPr>
            <w:tcW w:w="350" w:type="pct"/>
            <w:tcBorders>
              <w:left w:val="single" w:color="auto" w:sz="4" w:space="0"/>
              <w:right w:val="single" w:color="auto" w:sz="4" w:space="0"/>
            </w:tcBorders>
            <w:noWrap w:val="0"/>
            <w:vAlign w:val="center"/>
          </w:tcPr>
          <w:p w14:paraId="2085A338">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159E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7EC2786F">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786FCEAE">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提高废气收集率。遵循</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应收尽收、分质收集</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1017" w:type="pct"/>
            <w:tcBorders>
              <w:left w:val="single" w:color="auto" w:sz="4" w:space="0"/>
              <w:right w:val="single" w:color="auto" w:sz="4" w:space="0"/>
            </w:tcBorders>
            <w:shd w:val="clear" w:color="auto" w:fill="auto"/>
            <w:noWrap w:val="0"/>
            <w:vAlign w:val="center"/>
          </w:tcPr>
          <w:p w14:paraId="27DAFF42">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本项目采用密闭储罐/包装桶储存，生产过程中采用密闭管道输送，合成、复配等在密闭罐体或反应釜内进行，罐体/反应釜排气阀设置集气管道。</w:t>
            </w:r>
          </w:p>
        </w:tc>
        <w:tc>
          <w:tcPr>
            <w:tcW w:w="350" w:type="pct"/>
            <w:tcBorders>
              <w:left w:val="single" w:color="auto" w:sz="4" w:space="0"/>
              <w:right w:val="single" w:color="auto" w:sz="4" w:space="0"/>
            </w:tcBorders>
            <w:shd w:val="clear" w:color="auto" w:fill="auto"/>
            <w:noWrap w:val="0"/>
            <w:vAlign w:val="center"/>
          </w:tcPr>
          <w:p w14:paraId="503F0F8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rPr>
              <w:t>符合</w:t>
            </w:r>
          </w:p>
        </w:tc>
      </w:tr>
      <w:tr w14:paraId="62B8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53BAA4B8">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78F2108D">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加强设备与管线组件泄漏控制。企业中载有气态、液态VOCs物料的设备与管线组件，密封点数量大于等于2000个的，应按要求开展LDAR工作。石化企业按行业排放标准规定执行。</w:t>
            </w:r>
          </w:p>
        </w:tc>
        <w:tc>
          <w:tcPr>
            <w:tcW w:w="1017" w:type="pct"/>
            <w:tcBorders>
              <w:left w:val="single" w:color="auto" w:sz="4" w:space="0"/>
              <w:right w:val="single" w:color="auto" w:sz="4" w:space="0"/>
            </w:tcBorders>
            <w:noWrap w:val="0"/>
            <w:vAlign w:val="center"/>
          </w:tcPr>
          <w:p w14:paraId="36C90D27">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本项目将定期对生产设备、管线进行检漏。</w:t>
            </w:r>
          </w:p>
        </w:tc>
        <w:tc>
          <w:tcPr>
            <w:tcW w:w="350" w:type="pct"/>
            <w:tcBorders>
              <w:left w:val="single" w:color="auto" w:sz="4" w:space="0"/>
              <w:right w:val="single" w:color="auto" w:sz="4" w:space="0"/>
            </w:tcBorders>
            <w:noWrap w:val="0"/>
            <w:vAlign w:val="center"/>
          </w:tcPr>
          <w:p w14:paraId="5207D1A8">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30A0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70B355EE">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651648EC">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tc>
        <w:tc>
          <w:tcPr>
            <w:tcW w:w="1017" w:type="pct"/>
            <w:tcBorders>
              <w:left w:val="single" w:color="auto" w:sz="4" w:space="0"/>
              <w:right w:val="single" w:color="auto" w:sz="4" w:space="0"/>
            </w:tcBorders>
            <w:noWrap w:val="0"/>
            <w:vAlign w:val="center"/>
          </w:tcPr>
          <w:p w14:paraId="273B1B20">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本项目工艺废气中丙烯酸、巯基乙醇、丙烯酸羟乙酯等均为水溶性物质，采用二级碱喷淋（自带除雾装置）+两级活性炭吸附装置的组合工艺，并按后文要求定期更换活性炭。</w:t>
            </w:r>
          </w:p>
        </w:tc>
        <w:tc>
          <w:tcPr>
            <w:tcW w:w="350" w:type="pct"/>
            <w:tcBorders>
              <w:left w:val="single" w:color="auto" w:sz="4" w:space="0"/>
              <w:right w:val="single" w:color="auto" w:sz="4" w:space="0"/>
            </w:tcBorders>
            <w:noWrap w:val="0"/>
            <w:vAlign w:val="center"/>
          </w:tcPr>
          <w:p w14:paraId="32C5BB52">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3D75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restart"/>
            <w:tcBorders>
              <w:top w:val="single" w:color="auto" w:sz="4" w:space="0"/>
              <w:left w:val="single" w:color="auto" w:sz="4" w:space="0"/>
              <w:right w:val="single" w:color="auto" w:sz="4" w:space="0"/>
            </w:tcBorders>
            <w:noWrap w:val="0"/>
            <w:vAlign w:val="center"/>
          </w:tcPr>
          <w:p w14:paraId="0E24F16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《挥发性有机物无组织排放控制标准》（GB37822-2019）</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26DF0FC3">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VOCs物料应储存于密闭的容器、包装袋、储罐、储库、料仓中。盛装VOCs物料的容器或包装袋应存放于室内，或存放于设置有雨棚、遮阳和防渗设施的专用场地。盛装VOCs物料的容器或包装袋在非取用状态时应加盖、封口，保持密闭。VOCs物料储罐应密封良好，其中挥发性有机液体储罐应符合5.2条规定。VOCs物料储库、料仓应满足3.6条对密闭空间的要求。</w:t>
            </w:r>
          </w:p>
        </w:tc>
        <w:tc>
          <w:tcPr>
            <w:tcW w:w="1017" w:type="pct"/>
            <w:tcBorders>
              <w:top w:val="single" w:color="auto" w:sz="4" w:space="0"/>
              <w:left w:val="single" w:color="auto" w:sz="4" w:space="0"/>
              <w:right w:val="single" w:color="auto" w:sz="4" w:space="0"/>
            </w:tcBorders>
            <w:noWrap w:val="0"/>
            <w:vAlign w:val="center"/>
          </w:tcPr>
          <w:p w14:paraId="0DCF8E47">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w:t>
            </w:r>
            <w:r>
              <w:rPr>
                <w:rFonts w:hint="eastAsia" w:cs="Times New Roman"/>
                <w:b w:val="0"/>
                <w:bCs w:val="0"/>
                <w:color w:val="auto"/>
                <w:highlight w:val="none"/>
                <w:lang w:val="en-US" w:eastAsia="zh-CN"/>
              </w:rPr>
              <w:t>原料及产品采用密闭储罐/包装桶储存，其中包装桶存放于密闭仓库内；储罐密闭设置，储存物料真实蒸气压均小于5.2kPa，储罐最大容积50m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，采用固定顶罐，且罐体密闭、完好，无孔洞、缝隙等</w:t>
            </w:r>
            <w:r>
              <w:rPr>
                <w:rFonts w:hint="eastAsia" w:ascii="Times New Roman" w:hAnsi="Times New Roman" w:eastAsia="宋体" w:cs="Times New Roman"/>
                <w:b w:val="0"/>
                <w:bCs w:val="0"/>
                <w:color w:val="auto"/>
                <w:highlight w:val="none"/>
              </w:rPr>
              <w:t>。</w:t>
            </w:r>
          </w:p>
        </w:tc>
        <w:tc>
          <w:tcPr>
            <w:tcW w:w="350" w:type="pct"/>
            <w:tcBorders>
              <w:top w:val="single" w:color="auto" w:sz="4" w:space="0"/>
              <w:left w:val="single" w:color="auto" w:sz="4" w:space="0"/>
              <w:right w:val="single" w:color="auto" w:sz="4" w:space="0"/>
            </w:tcBorders>
            <w:noWrap w:val="0"/>
            <w:vAlign w:val="center"/>
          </w:tcPr>
          <w:p w14:paraId="463502C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符合</w:t>
            </w:r>
          </w:p>
        </w:tc>
      </w:tr>
      <w:tr w14:paraId="77E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top w:val="single" w:color="auto" w:sz="4" w:space="0"/>
              <w:left w:val="single" w:color="auto" w:sz="4" w:space="0"/>
              <w:right w:val="single" w:color="auto" w:sz="4" w:space="0"/>
            </w:tcBorders>
            <w:noWrap w:val="0"/>
            <w:vAlign w:val="center"/>
          </w:tcPr>
          <w:p w14:paraId="1A614EFE">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354E5352">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液态VOCs物料应采用密闭管道输送。采用非管道输送方式转移液态VOCs物料时，应采用密闭容器、罐车。粉状、粒状VOCs物料应采用气力输送设备、管状带式输送机、螺旋输送机等密闭输送方式，或者采用密闭的包装袋、容器或罐车进行物料转移。</w:t>
            </w:r>
          </w:p>
        </w:tc>
        <w:tc>
          <w:tcPr>
            <w:tcW w:w="1017" w:type="pct"/>
            <w:tcBorders>
              <w:top w:val="single" w:color="auto" w:sz="4" w:space="0"/>
              <w:left w:val="single" w:color="auto" w:sz="4" w:space="0"/>
              <w:right w:val="single" w:color="auto" w:sz="4" w:space="0"/>
            </w:tcBorders>
            <w:noWrap w:val="0"/>
            <w:vAlign w:val="center"/>
          </w:tcPr>
          <w:p w14:paraId="5BB492B2">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w:t>
            </w:r>
            <w:r>
              <w:rPr>
                <w:rFonts w:hint="eastAsia" w:cs="Times New Roman"/>
                <w:b w:val="0"/>
                <w:bCs w:val="0"/>
                <w:color w:val="auto"/>
                <w:highlight w:val="none"/>
                <w:lang w:val="en-US" w:eastAsia="zh-CN"/>
              </w:rPr>
              <w:t>液态VOCs物料采用密闭管道输送，固体VOCs物料采用气力输送，且采用密闭包装袋转移</w:t>
            </w:r>
            <w:r>
              <w:rPr>
                <w:rFonts w:hint="eastAsia" w:ascii="Times New Roman" w:hAnsi="Times New Roman" w:eastAsia="宋体" w:cs="Times New Roman"/>
                <w:b w:val="0"/>
                <w:bCs w:val="0"/>
                <w:color w:val="auto"/>
                <w:highlight w:val="none"/>
              </w:rPr>
              <w:t>。</w:t>
            </w:r>
          </w:p>
        </w:tc>
        <w:tc>
          <w:tcPr>
            <w:tcW w:w="350" w:type="pct"/>
            <w:tcBorders>
              <w:top w:val="single" w:color="auto" w:sz="4" w:space="0"/>
              <w:left w:val="single" w:color="auto" w:sz="4" w:space="0"/>
              <w:right w:val="single" w:color="auto" w:sz="4" w:space="0"/>
            </w:tcBorders>
            <w:noWrap w:val="0"/>
            <w:vAlign w:val="center"/>
          </w:tcPr>
          <w:p w14:paraId="389FE2A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符合</w:t>
            </w:r>
          </w:p>
        </w:tc>
      </w:tr>
      <w:tr w14:paraId="20A2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top w:val="single" w:color="auto" w:sz="4" w:space="0"/>
              <w:left w:val="single" w:color="auto" w:sz="4" w:space="0"/>
              <w:right w:val="single" w:color="auto" w:sz="4" w:space="0"/>
            </w:tcBorders>
            <w:noWrap w:val="0"/>
            <w:vAlign w:val="center"/>
          </w:tcPr>
          <w:p w14:paraId="4D4EA600">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3779D232">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挥发性有机液体应采用底部装载方式；若采用顶部浸没式装载，出料管口距离槽（罐）底部高度应小于200mm。</w:t>
            </w:r>
          </w:p>
        </w:tc>
        <w:tc>
          <w:tcPr>
            <w:tcW w:w="1017" w:type="pct"/>
            <w:tcBorders>
              <w:top w:val="single" w:color="auto" w:sz="4" w:space="0"/>
              <w:left w:val="single" w:color="auto" w:sz="4" w:space="0"/>
              <w:right w:val="single" w:color="auto" w:sz="4" w:space="0"/>
            </w:tcBorders>
            <w:noWrap w:val="0"/>
            <w:vAlign w:val="center"/>
          </w:tcPr>
          <w:p w14:paraId="19597D28">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本项目储罐采用</w:t>
            </w:r>
            <w:r>
              <w:rPr>
                <w:rFonts w:hint="eastAsia" w:ascii="Times New Roman" w:hAnsi="Times New Roman" w:eastAsia="宋体" w:cs="Times New Roman"/>
                <w:b w:val="0"/>
                <w:bCs w:val="0"/>
                <w:color w:val="auto"/>
                <w:highlight w:val="none"/>
              </w:rPr>
              <w:t>底部装载方式</w:t>
            </w:r>
            <w:r>
              <w:rPr>
                <w:rFonts w:hint="eastAsia" w:cs="Times New Roman"/>
                <w:b w:val="0"/>
                <w:bCs w:val="0"/>
                <w:color w:val="auto"/>
                <w:highlight w:val="none"/>
                <w:lang w:val="en-US" w:eastAsia="zh-CN"/>
              </w:rPr>
              <w:t>。</w:t>
            </w:r>
          </w:p>
        </w:tc>
        <w:tc>
          <w:tcPr>
            <w:tcW w:w="350" w:type="pct"/>
            <w:tcBorders>
              <w:top w:val="single" w:color="auto" w:sz="4" w:space="0"/>
              <w:left w:val="single" w:color="auto" w:sz="4" w:space="0"/>
              <w:right w:val="single" w:color="auto" w:sz="4" w:space="0"/>
            </w:tcBorders>
            <w:noWrap w:val="0"/>
            <w:vAlign w:val="center"/>
          </w:tcPr>
          <w:p w14:paraId="729D4064">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4453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top w:val="single" w:color="auto" w:sz="4" w:space="0"/>
              <w:left w:val="single" w:color="auto" w:sz="4" w:space="0"/>
              <w:right w:val="single" w:color="auto" w:sz="4" w:space="0"/>
            </w:tcBorders>
            <w:noWrap w:val="0"/>
            <w:vAlign w:val="center"/>
          </w:tcPr>
          <w:p w14:paraId="2C61B2C0">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3BCA43B1">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液态VOCs物料应采用密闭管道输送方式或采用高位槽（罐）、桶泵等给料方式密闭投加。无法密闭投加的，应在密闭空间内操作，或进行局部气体收集，废气应排至VOCs废气收集处理系统。</w:t>
            </w:r>
          </w:p>
          <w:p w14:paraId="6E9D4B59">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粉状、粒状VOCs物料应采用气力输送方式或采用密闭固体投料器等给料方式密闭投加。无法密闭投加的，应在密闭空间内操作，或进行局部气体收集，废气应排至除尘设施、VOCs废气收集处理系统。</w:t>
            </w:r>
          </w:p>
          <w:p w14:paraId="3DD8E59F">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VOCs物料卸（出、放）料过程应密闭，卸料废气应排至VOCs废气收集处理系统；无法密闭的，应采取局部气体收集措施，废气应排至VOCs废气收集处理系统。</w:t>
            </w:r>
          </w:p>
        </w:tc>
        <w:tc>
          <w:tcPr>
            <w:tcW w:w="1017" w:type="pct"/>
            <w:tcBorders>
              <w:top w:val="single" w:color="auto" w:sz="4" w:space="0"/>
              <w:left w:val="single" w:color="auto" w:sz="4" w:space="0"/>
              <w:right w:val="single" w:color="auto" w:sz="4" w:space="0"/>
            </w:tcBorders>
            <w:noWrap w:val="0"/>
            <w:vAlign w:val="center"/>
          </w:tcPr>
          <w:p w14:paraId="68F9847C">
            <w:pPr>
              <w:pStyle w:val="24"/>
              <w:rPr>
                <w:rFonts w:hint="eastAsia"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w:t>
            </w:r>
            <w:r>
              <w:rPr>
                <w:rFonts w:hint="eastAsia" w:ascii="Times New Roman" w:hAnsi="Times New Roman" w:eastAsia="宋体" w:cs="Times New Roman"/>
                <w:b w:val="0"/>
                <w:bCs w:val="0"/>
                <w:color w:val="auto"/>
                <w:highlight w:val="none"/>
              </w:rPr>
              <w:t>液态VOCs物料采用密闭管道</w:t>
            </w:r>
            <w:r>
              <w:rPr>
                <w:rFonts w:hint="eastAsia" w:ascii="Times New Roman" w:hAnsi="Times New Roman" w:eastAsia="宋体" w:cs="Times New Roman"/>
                <w:b w:val="0"/>
                <w:bCs w:val="0"/>
                <w:color w:val="auto"/>
                <w:highlight w:val="none"/>
                <w:lang w:val="en-US" w:eastAsia="zh-CN"/>
              </w:rPr>
              <w:t>投加，</w:t>
            </w:r>
            <w:r>
              <w:rPr>
                <w:rFonts w:hint="eastAsia" w:ascii="Times New Roman" w:hAnsi="Times New Roman" w:eastAsia="宋体" w:cs="Times New Roman"/>
                <w:b w:val="0"/>
                <w:bCs w:val="0"/>
                <w:color w:val="auto"/>
                <w:highlight w:val="none"/>
              </w:rPr>
              <w:t>VOCs物料卸料过程密闭，卸料废气安装有废气处理设施</w:t>
            </w:r>
            <w:r>
              <w:rPr>
                <w:rFonts w:hint="eastAsia" w:ascii="Times New Roman" w:hAnsi="Times New Roman" w:eastAsia="宋体" w:cs="Times New Roman"/>
                <w:b w:val="0"/>
                <w:bCs w:val="0"/>
                <w:color w:val="auto"/>
                <w:highlight w:val="none"/>
                <w:lang w:eastAsia="zh-CN"/>
              </w:rPr>
              <w:t>。</w:t>
            </w:r>
          </w:p>
        </w:tc>
        <w:tc>
          <w:tcPr>
            <w:tcW w:w="350" w:type="pct"/>
            <w:tcBorders>
              <w:top w:val="single" w:color="auto" w:sz="4" w:space="0"/>
              <w:left w:val="single" w:color="auto" w:sz="4" w:space="0"/>
              <w:right w:val="single" w:color="auto" w:sz="4" w:space="0"/>
            </w:tcBorders>
            <w:noWrap w:val="0"/>
            <w:vAlign w:val="center"/>
          </w:tcPr>
          <w:p w14:paraId="04E098E3">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4144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top w:val="single" w:color="auto" w:sz="4" w:space="0"/>
              <w:left w:val="single" w:color="auto" w:sz="4" w:space="0"/>
              <w:right w:val="single" w:color="auto" w:sz="4" w:space="0"/>
            </w:tcBorders>
            <w:noWrap w:val="0"/>
            <w:vAlign w:val="center"/>
          </w:tcPr>
          <w:p w14:paraId="638E44BF">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5C9F328C">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反应设备进料置换废气、挥发排气、反应尾气等应排至VOCs废气收集处理系统。</w:t>
            </w:r>
          </w:p>
          <w:p w14:paraId="59215A1C">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在反应期间，反应设备的进料口、出料口、检修口、搅拌口、观察孔等开口（孔）在不操作时</w:t>
            </w:r>
          </w:p>
          <w:p w14:paraId="5DECCD89">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应保持密闭。</w:t>
            </w:r>
          </w:p>
        </w:tc>
        <w:tc>
          <w:tcPr>
            <w:tcW w:w="1017" w:type="pct"/>
            <w:tcBorders>
              <w:top w:val="single" w:color="auto" w:sz="4" w:space="0"/>
              <w:left w:val="single" w:color="auto" w:sz="4" w:space="0"/>
              <w:right w:val="single" w:color="auto" w:sz="4" w:space="0"/>
            </w:tcBorders>
            <w:noWrap w:val="0"/>
            <w:vAlign w:val="center"/>
          </w:tcPr>
          <w:p w14:paraId="2BEC1BE6">
            <w:pPr>
              <w:pStyle w:val="24"/>
              <w:rPr>
                <w:rFonts w:hint="eastAsia"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本项目物料进入罐体或反应釜时推出的空气（含少量物料挥发产生的废气）、反应废气等排至</w:t>
            </w:r>
            <w:r>
              <w:rPr>
                <w:rFonts w:hint="eastAsia" w:ascii="Times New Roman" w:hAnsi="Times New Roman" w:eastAsia="宋体" w:cs="Times New Roman"/>
                <w:b w:val="0"/>
                <w:bCs w:val="0"/>
                <w:color w:val="auto"/>
                <w:highlight w:val="none"/>
              </w:rPr>
              <w:t>VOCs废气收集处理系统</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反应期间，反应设备</w:t>
            </w:r>
            <w:r>
              <w:rPr>
                <w:rFonts w:hint="eastAsia" w:ascii="Times New Roman" w:hAnsi="Times New Roman" w:eastAsia="宋体" w:cs="Times New Roman"/>
                <w:b w:val="0"/>
                <w:bCs w:val="0"/>
                <w:color w:val="auto"/>
                <w:highlight w:val="none"/>
                <w:lang w:val="en-US" w:eastAsia="zh-CN"/>
              </w:rPr>
              <w:t>全密闭</w:t>
            </w:r>
            <w:r>
              <w:rPr>
                <w:rFonts w:hint="eastAsia" w:ascii="Times New Roman" w:hAnsi="Times New Roman" w:eastAsia="宋体" w:cs="Times New Roman"/>
                <w:b w:val="0"/>
                <w:bCs w:val="0"/>
                <w:color w:val="auto"/>
                <w:highlight w:val="none"/>
              </w:rPr>
              <w:t>。</w:t>
            </w:r>
          </w:p>
        </w:tc>
        <w:tc>
          <w:tcPr>
            <w:tcW w:w="350" w:type="pct"/>
            <w:tcBorders>
              <w:top w:val="single" w:color="auto" w:sz="4" w:space="0"/>
              <w:left w:val="single" w:color="auto" w:sz="4" w:space="0"/>
              <w:right w:val="single" w:color="auto" w:sz="4" w:space="0"/>
            </w:tcBorders>
            <w:noWrap w:val="0"/>
            <w:vAlign w:val="center"/>
          </w:tcPr>
          <w:p w14:paraId="09517D23">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26C9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top w:val="single" w:color="auto" w:sz="4" w:space="0"/>
              <w:left w:val="single" w:color="auto" w:sz="4" w:space="0"/>
              <w:right w:val="single" w:color="auto" w:sz="4" w:space="0"/>
            </w:tcBorders>
            <w:noWrap w:val="0"/>
            <w:vAlign w:val="center"/>
          </w:tcPr>
          <w:p w14:paraId="0B14F9AC">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5E780F51">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VOCs物料混合、搅拌、研磨、造粒、切片、压块等配料加工过程，以及含VOCs产品的包装（灌装、分装）过程应采用密闭设备或在密闭空间内操作，废气应排至VOCs废气收集处理系统；无法密闭的，应采取局部气体收集措施，废气应排至VOCs废气收集处理系统。</w:t>
            </w:r>
          </w:p>
        </w:tc>
        <w:tc>
          <w:tcPr>
            <w:tcW w:w="1017" w:type="pct"/>
            <w:tcBorders>
              <w:top w:val="single" w:color="auto" w:sz="4" w:space="0"/>
              <w:left w:val="single" w:color="auto" w:sz="4" w:space="0"/>
              <w:right w:val="single" w:color="auto" w:sz="4" w:space="0"/>
            </w:tcBorders>
            <w:noWrap w:val="0"/>
            <w:vAlign w:val="center"/>
          </w:tcPr>
          <w:p w14:paraId="4C29943D">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本项目生产过程全密闭，合成、复配等在密闭罐体或反应釜内进行，排气阀连接密闭集气管道。</w:t>
            </w:r>
          </w:p>
        </w:tc>
        <w:tc>
          <w:tcPr>
            <w:tcW w:w="350" w:type="pct"/>
            <w:tcBorders>
              <w:top w:val="single" w:color="auto" w:sz="4" w:space="0"/>
              <w:left w:val="single" w:color="auto" w:sz="4" w:space="0"/>
              <w:right w:val="single" w:color="auto" w:sz="4" w:space="0"/>
            </w:tcBorders>
            <w:noWrap w:val="0"/>
            <w:vAlign w:val="center"/>
          </w:tcPr>
          <w:p w14:paraId="763F6B82">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64A4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top w:val="single" w:color="auto" w:sz="4" w:space="0"/>
              <w:left w:val="single" w:color="auto" w:sz="4" w:space="0"/>
              <w:right w:val="single" w:color="auto" w:sz="4" w:space="0"/>
            </w:tcBorders>
            <w:noWrap w:val="0"/>
            <w:vAlign w:val="center"/>
          </w:tcPr>
          <w:p w14:paraId="7C0D0396">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2ED71F2B">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企业应按下列频次对设备与管线组件的密封点进行VOCs泄漏检测：a）对设备与管线组件的密封点每周进行目视观察，检查其密封处是否出现可见泄漏现象。b）泵、压缩机、搅拌器（机）、阀门、开口阀或开口管线、泄压设备、取样连接系统至少每6个月检测一次。c）法兰及其他连接件、其他密封设备至少每12个月检测一次。</w:t>
            </w:r>
          </w:p>
          <w:p w14:paraId="32E9ECDD">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d）对于直接排放的泄压设备，在非泄压状态下进行泄漏检测。直接排放的泄压设备泄压后，应在泄压之日起5个工作日之内，对泄压设备进行泄漏检测。e）设备与管线组件初次启用或检维修后，应在90d内进行泄漏检测。</w:t>
            </w:r>
          </w:p>
        </w:tc>
        <w:tc>
          <w:tcPr>
            <w:tcW w:w="1017" w:type="pct"/>
            <w:tcBorders>
              <w:top w:val="single" w:color="auto" w:sz="4" w:space="0"/>
              <w:left w:val="single" w:color="auto" w:sz="4" w:space="0"/>
              <w:right w:val="single" w:color="auto" w:sz="4" w:space="0"/>
            </w:tcBorders>
            <w:noWrap w:val="0"/>
            <w:vAlign w:val="center"/>
          </w:tcPr>
          <w:p w14:paraId="3BB32566">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本项目将按相关要求定期对生产设备、管线进行检漏。</w:t>
            </w:r>
          </w:p>
        </w:tc>
        <w:tc>
          <w:tcPr>
            <w:tcW w:w="350" w:type="pct"/>
            <w:tcBorders>
              <w:top w:val="single" w:color="auto" w:sz="4" w:space="0"/>
              <w:left w:val="single" w:color="auto" w:sz="4" w:space="0"/>
              <w:right w:val="single" w:color="auto" w:sz="4" w:space="0"/>
            </w:tcBorders>
            <w:noWrap w:val="0"/>
            <w:vAlign w:val="center"/>
          </w:tcPr>
          <w:p w14:paraId="5B055045">
            <w:pPr>
              <w:pStyle w:val="24"/>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3316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bottom w:val="single" w:color="auto" w:sz="4" w:space="0"/>
              <w:right w:val="single" w:color="auto" w:sz="4" w:space="0"/>
            </w:tcBorders>
            <w:noWrap w:val="0"/>
            <w:vAlign w:val="center"/>
          </w:tcPr>
          <w:p w14:paraId="06E3234F">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5838144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收集的废气中NMHC初始排放速率≥3kg/h时，应配置VOCs处理设施，处理效率不低于80%；对于重点地区，收集的废气中NMHC初始排放速率≥2kg/h时，应配置VOCs处理设施，处理效率不低于80%；采用的原辅材料符合国家有关低VOCs含量产品规定的除外。</w:t>
            </w:r>
          </w:p>
        </w:tc>
        <w:tc>
          <w:tcPr>
            <w:tcW w:w="1017" w:type="pct"/>
            <w:tcBorders>
              <w:left w:val="single" w:color="auto" w:sz="4" w:space="0"/>
              <w:bottom w:val="single" w:color="auto" w:sz="4" w:space="0"/>
              <w:right w:val="single" w:color="auto" w:sz="4" w:space="0"/>
            </w:tcBorders>
            <w:noWrap w:val="0"/>
            <w:vAlign w:val="center"/>
          </w:tcPr>
          <w:p w14:paraId="009853DE">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项目NMHC初始排放速率＜2kg/h</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配置</w:t>
            </w:r>
            <w:r>
              <w:rPr>
                <w:rFonts w:hint="eastAsia" w:ascii="Times New Roman" w:hAnsi="Times New Roman" w:eastAsia="宋体" w:cs="Times New Roman"/>
                <w:b w:val="0"/>
                <w:bCs w:val="0"/>
                <w:color w:val="auto"/>
                <w:highlight w:val="none"/>
                <w:lang w:val="en-US" w:eastAsia="zh-CN"/>
              </w:rPr>
              <w:t>有</w:t>
            </w:r>
            <w:r>
              <w:rPr>
                <w:rFonts w:hint="eastAsia" w:ascii="Times New Roman" w:hAnsi="Times New Roman" w:eastAsia="宋体" w:cs="Times New Roman"/>
                <w:b w:val="0"/>
                <w:bCs w:val="0"/>
                <w:color w:val="auto"/>
                <w:highlight w:val="none"/>
              </w:rPr>
              <w:t>VOCs处理设施。</w:t>
            </w:r>
          </w:p>
        </w:tc>
        <w:tc>
          <w:tcPr>
            <w:tcW w:w="350" w:type="pct"/>
            <w:tcBorders>
              <w:left w:val="single" w:color="auto" w:sz="4" w:space="0"/>
              <w:bottom w:val="single" w:color="auto" w:sz="4" w:space="0"/>
              <w:right w:val="single" w:color="auto" w:sz="4" w:space="0"/>
            </w:tcBorders>
            <w:noWrap w:val="0"/>
            <w:vAlign w:val="center"/>
          </w:tcPr>
          <w:p w14:paraId="40251E5C">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符合</w:t>
            </w:r>
          </w:p>
        </w:tc>
      </w:tr>
      <w:tr w14:paraId="4B55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restart"/>
            <w:tcBorders>
              <w:left w:val="single" w:color="auto" w:sz="4" w:space="0"/>
              <w:right w:val="single" w:color="auto" w:sz="4" w:space="0"/>
            </w:tcBorders>
            <w:noWrap w:val="0"/>
            <w:vAlign w:val="center"/>
          </w:tcPr>
          <w:p w14:paraId="227B292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《中共四川省委 四川省人民政府关于深入打好污染防治攻坚战的实施意见》</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0134697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推动产业结构优化升级。建立高耗能、高排放、低水平项目判定标准、管理台账和正面清单，强化</w:t>
            </w:r>
            <w:r>
              <w:rPr>
                <w:rFonts w:hint="eastAsia"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三线一单</w:t>
            </w:r>
            <w:r>
              <w:rPr>
                <w:rFonts w:hint="eastAsia"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生态环境分区管控、环境影响评价、节能审查等硬约束，坚决遏制高耗能、高排放、低水平项目盲目发展。钢铁、水泥、平板玻璃等行业新增产能严格执行产能置换政策。推动钢铁、白酒、建材等传统产业向清洁化、绿色化、智能化发展。大力发展绿色低碳优势产业，壮大锂电、晶硅、现代清洁能源装备及钒钛、动力电池、新能源汽车、大数据等产业。</w:t>
            </w:r>
          </w:p>
        </w:tc>
        <w:tc>
          <w:tcPr>
            <w:tcW w:w="1017" w:type="pct"/>
            <w:tcBorders>
              <w:left w:val="single" w:color="auto" w:sz="4" w:space="0"/>
              <w:bottom w:val="single" w:color="auto" w:sz="4" w:space="0"/>
              <w:right w:val="single" w:color="auto" w:sz="4" w:space="0"/>
            </w:tcBorders>
            <w:noWrap w:val="0"/>
            <w:vAlign w:val="center"/>
          </w:tcPr>
          <w:p w14:paraId="5C62873E">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项目不属于高耗能、高排放、低水平项目。</w:t>
            </w:r>
          </w:p>
        </w:tc>
        <w:tc>
          <w:tcPr>
            <w:tcW w:w="350" w:type="pct"/>
            <w:vMerge w:val="restart"/>
            <w:tcBorders>
              <w:left w:val="single" w:color="auto" w:sz="4" w:space="0"/>
              <w:right w:val="single" w:color="auto" w:sz="4" w:space="0"/>
            </w:tcBorders>
            <w:noWrap w:val="0"/>
            <w:vAlign w:val="center"/>
          </w:tcPr>
          <w:p w14:paraId="7ACF326B">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rPr>
              <w:t>符合</w:t>
            </w:r>
          </w:p>
        </w:tc>
      </w:tr>
      <w:tr w14:paraId="2A3D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bottom w:val="single" w:color="auto" w:sz="4" w:space="0"/>
              <w:right w:val="single" w:color="auto" w:sz="4" w:space="0"/>
            </w:tcBorders>
            <w:noWrap w:val="0"/>
            <w:vAlign w:val="center"/>
          </w:tcPr>
          <w:p w14:paraId="466544C9">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624B2C7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着力解决大气面源和噪声污染问题。全面加强各类施工工地、道路、工业企业料场堆场等扬尘标准化管控，将绿色施工纳入企业信用管理。加强脏车入城和城市道路行驶管理。强化秸秆综合利用和禁烧管控。完善餐饮油烟监管体系，加强城市建成区餐饮油烟排放监管。深化消耗臭氧层物质和氢氟碳化物环境管理。实施噪声污染防治行动计划。全面开展声环境功能区评估与调整，加强声环境功能区划管理。到2025年，全省地级及以上城市全面实现功能区声环境质量自动监测，全省声环境功能区夜间达标率达到国家考核目标。</w:t>
            </w:r>
          </w:p>
        </w:tc>
        <w:tc>
          <w:tcPr>
            <w:tcW w:w="1017" w:type="pct"/>
            <w:tcBorders>
              <w:left w:val="single" w:color="auto" w:sz="4" w:space="0"/>
              <w:bottom w:val="single" w:color="auto" w:sz="4" w:space="0"/>
              <w:right w:val="single" w:color="auto" w:sz="4" w:space="0"/>
            </w:tcBorders>
            <w:noWrap w:val="0"/>
            <w:vAlign w:val="center"/>
          </w:tcPr>
          <w:p w14:paraId="307CFDF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施工场地扬尘可达到《四川省施工场地扬尘排放标准》（DB51/2682-2020）中相关限值要求；根据噪声预测结果，</w:t>
            </w: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项目噪声不会对区域声环境造成影响。</w:t>
            </w:r>
          </w:p>
        </w:tc>
        <w:tc>
          <w:tcPr>
            <w:tcW w:w="350" w:type="pct"/>
            <w:vMerge w:val="continue"/>
            <w:tcBorders>
              <w:left w:val="single" w:color="auto" w:sz="4" w:space="0"/>
              <w:bottom w:val="single" w:color="auto" w:sz="4" w:space="0"/>
              <w:right w:val="single" w:color="auto" w:sz="4" w:space="0"/>
            </w:tcBorders>
            <w:noWrap w:val="0"/>
            <w:vAlign w:val="center"/>
          </w:tcPr>
          <w:p w14:paraId="09AFFB5D">
            <w:pPr>
              <w:pStyle w:val="24"/>
              <w:rPr>
                <w:rFonts w:hint="eastAsia" w:ascii="Times New Roman" w:hAnsi="Times New Roman" w:eastAsia="宋体" w:cs="Times New Roman"/>
                <w:b w:val="0"/>
                <w:bCs w:val="0"/>
                <w:color w:val="auto"/>
                <w:highlight w:val="none"/>
              </w:rPr>
            </w:pPr>
          </w:p>
        </w:tc>
      </w:tr>
      <w:tr w14:paraId="4693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21" w:type="pct"/>
            <w:vMerge w:val="restart"/>
            <w:tcBorders>
              <w:left w:val="single" w:color="auto" w:sz="4" w:space="0"/>
              <w:right w:val="single" w:color="auto" w:sz="4" w:space="0"/>
            </w:tcBorders>
            <w:noWrap w:val="0"/>
            <w:vAlign w:val="center"/>
          </w:tcPr>
          <w:p w14:paraId="3D26290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《四川省空气质量持续改善行动计划实施方案》</w:t>
            </w:r>
            <w:r>
              <w:rPr>
                <w:rFonts w:hint="eastAsia" w:ascii="Times New Roman" w:hAnsi="Times New Roman" w:eastAsia="宋体" w:cs="Times New Roman"/>
                <w:b w:val="0"/>
                <w:bCs w:val="0"/>
                <w:color w:val="auto"/>
                <w:highlight w:val="none"/>
                <w:lang w:eastAsia="zh-CN"/>
              </w:rPr>
              <w:t>（川府发〔</w:t>
            </w:r>
            <w:r>
              <w:rPr>
                <w:rFonts w:hint="eastAsia" w:ascii="Times New Roman" w:hAnsi="Times New Roman" w:eastAsia="宋体" w:cs="Times New Roman"/>
                <w:b w:val="0"/>
                <w:bCs w:val="0"/>
                <w:color w:val="auto"/>
                <w:highlight w:val="none"/>
                <w:lang w:val="en-US" w:eastAsia="zh-CN"/>
              </w:rPr>
              <w:t>2024</w:t>
            </w:r>
            <w:r>
              <w:rPr>
                <w:rFonts w:hint="eastAsia" w:ascii="Times New Roman" w:hAnsi="Times New Roman" w:eastAsia="宋体" w:cs="Times New Roman"/>
                <w:b w:val="0"/>
                <w:bCs w:val="0"/>
                <w:color w:val="auto"/>
                <w:highlight w:val="none"/>
                <w:lang w:eastAsia="zh-CN"/>
              </w:rPr>
              <w:t>〕〕15号）</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3F9CCCF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严格产业准入</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坚决遏制高耗能、高排放、低水平项目盲目上马</w:t>
            </w:r>
            <w:r>
              <w:rPr>
                <w:rFonts w:hint="eastAsia" w:ascii="Times New Roman" w:hAnsi="Times New Roman" w:eastAsia="宋体" w:cs="Times New Roman"/>
                <w:b w:val="0"/>
                <w:bCs w:val="0"/>
                <w:color w:val="auto"/>
                <w:highlight w:val="none"/>
                <w:lang w:eastAsia="zh-CN"/>
              </w:rPr>
              <w:t>。</w:t>
            </w:r>
          </w:p>
        </w:tc>
        <w:tc>
          <w:tcPr>
            <w:tcW w:w="1017" w:type="pct"/>
            <w:tcBorders>
              <w:left w:val="single" w:color="auto" w:sz="4" w:space="0"/>
              <w:bottom w:val="single" w:color="auto" w:sz="4" w:space="0"/>
              <w:right w:val="single" w:color="auto" w:sz="4" w:space="0"/>
            </w:tcBorders>
            <w:noWrap w:val="0"/>
            <w:vAlign w:val="center"/>
          </w:tcPr>
          <w:p w14:paraId="04E5BC2A">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项目不属于</w:t>
            </w:r>
            <w:r>
              <w:rPr>
                <w:rFonts w:hint="eastAsia" w:ascii="Times New Roman" w:hAnsi="Times New Roman" w:eastAsia="宋体" w:cs="Times New Roman"/>
                <w:b w:val="0"/>
                <w:bCs w:val="0"/>
                <w:color w:val="auto"/>
                <w:highlight w:val="none"/>
              </w:rPr>
              <w:t>高耗能、高排放、低水平项目</w:t>
            </w:r>
            <w:r>
              <w:rPr>
                <w:rFonts w:hint="eastAsia" w:ascii="Times New Roman" w:hAnsi="Times New Roman" w:eastAsia="宋体" w:cs="Times New Roman"/>
                <w:b w:val="0"/>
                <w:bCs w:val="0"/>
                <w:color w:val="auto"/>
                <w:highlight w:val="none"/>
                <w:lang w:eastAsia="zh-CN"/>
              </w:rPr>
              <w:t>。</w:t>
            </w:r>
          </w:p>
        </w:tc>
        <w:tc>
          <w:tcPr>
            <w:tcW w:w="350" w:type="pct"/>
            <w:vMerge w:val="restart"/>
            <w:tcBorders>
              <w:left w:val="single" w:color="auto" w:sz="4" w:space="0"/>
              <w:right w:val="single" w:color="auto" w:sz="4" w:space="0"/>
            </w:tcBorders>
            <w:noWrap w:val="0"/>
            <w:vAlign w:val="center"/>
          </w:tcPr>
          <w:p w14:paraId="2250B1F5">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符合</w:t>
            </w:r>
          </w:p>
        </w:tc>
      </w:tr>
      <w:tr w14:paraId="0D61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3EF11D56">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242B5F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eastAsia="zh-CN"/>
              </w:rPr>
              <w:t>加快调整优化重点行业产能。严格执行《产业结构调整指导目录（</w:t>
            </w:r>
            <w:r>
              <w:rPr>
                <w:rFonts w:hint="eastAsia" w:ascii="Times New Roman" w:hAnsi="Times New Roman" w:eastAsia="宋体" w:cs="Times New Roman"/>
                <w:b w:val="0"/>
                <w:bCs w:val="0"/>
                <w:color w:val="auto"/>
                <w:highlight w:val="none"/>
                <w:lang w:val="en-US" w:eastAsia="zh-CN"/>
              </w:rPr>
              <w:t>2024年本</w:t>
            </w:r>
            <w:r>
              <w:rPr>
                <w:rFonts w:hint="eastAsia" w:ascii="Times New Roman" w:hAnsi="Times New Roman" w:eastAsia="宋体" w:cs="Times New Roman"/>
                <w:b w:val="0"/>
                <w:bCs w:val="0"/>
                <w:color w:val="auto"/>
                <w:highlight w:val="none"/>
                <w:lang w:eastAsia="zh-CN"/>
              </w:rPr>
              <w:t>）》制定实施年度推动落后产能退出工作方案。</w:t>
            </w:r>
          </w:p>
        </w:tc>
        <w:tc>
          <w:tcPr>
            <w:tcW w:w="1017" w:type="pct"/>
            <w:tcBorders>
              <w:left w:val="single" w:color="auto" w:sz="4" w:space="0"/>
              <w:bottom w:val="single" w:color="auto" w:sz="4" w:space="0"/>
              <w:right w:val="single" w:color="auto" w:sz="4" w:space="0"/>
            </w:tcBorders>
            <w:shd w:val="clear" w:color="auto" w:fill="auto"/>
            <w:noWrap w:val="0"/>
            <w:vAlign w:val="center"/>
          </w:tcPr>
          <w:p w14:paraId="6293981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w:t>
            </w:r>
            <w:r>
              <w:rPr>
                <w:rFonts w:hint="eastAsia" w:cs="Times New Roman"/>
                <w:b w:val="0"/>
                <w:bCs w:val="0"/>
                <w:color w:val="auto"/>
                <w:highlight w:val="none"/>
                <w:lang w:val="en-US" w:eastAsia="zh-CN"/>
              </w:rPr>
              <w:t>为</w:t>
            </w:r>
            <w:r>
              <w:rPr>
                <w:rFonts w:hint="eastAsia" w:ascii="Times New Roman" w:hAnsi="Times New Roman" w:eastAsia="宋体" w:cs="Times New Roman"/>
                <w:b w:val="0"/>
                <w:bCs w:val="0"/>
                <w:color w:val="auto"/>
                <w:highlight w:val="none"/>
                <w:lang w:val="en-US" w:eastAsia="zh-CN"/>
              </w:rPr>
              <w:t>《产业结构调整指导目录（2024年本）》</w:t>
            </w:r>
            <w:r>
              <w:rPr>
                <w:rFonts w:hint="eastAsia" w:cs="Times New Roman"/>
                <w:b w:val="0"/>
                <w:bCs w:val="0"/>
                <w:color w:val="auto"/>
                <w:highlight w:val="none"/>
                <w:lang w:val="en-US" w:eastAsia="zh-CN"/>
              </w:rPr>
              <w:t>允许类</w:t>
            </w:r>
            <w:r>
              <w:rPr>
                <w:rFonts w:hint="eastAsia" w:ascii="Times New Roman" w:hAnsi="Times New Roman" w:eastAsia="宋体" w:cs="Times New Roman"/>
                <w:b w:val="0"/>
                <w:bCs w:val="0"/>
                <w:color w:val="auto"/>
                <w:highlight w:val="none"/>
                <w:lang w:val="en-US" w:eastAsia="zh-CN"/>
              </w:rPr>
              <w:t>。</w:t>
            </w:r>
          </w:p>
        </w:tc>
        <w:tc>
          <w:tcPr>
            <w:tcW w:w="350" w:type="pct"/>
            <w:vMerge w:val="continue"/>
            <w:tcBorders>
              <w:left w:val="single" w:color="auto" w:sz="4" w:space="0"/>
              <w:right w:val="single" w:color="auto" w:sz="4" w:space="0"/>
            </w:tcBorders>
            <w:noWrap w:val="0"/>
            <w:vAlign w:val="center"/>
          </w:tcPr>
          <w:p w14:paraId="659E741E">
            <w:pPr>
              <w:pStyle w:val="24"/>
              <w:rPr>
                <w:rFonts w:hint="eastAsia" w:ascii="Times New Roman" w:hAnsi="Times New Roman" w:eastAsia="宋体" w:cs="Times New Roman"/>
                <w:b w:val="0"/>
                <w:bCs w:val="0"/>
                <w:color w:val="auto"/>
                <w:highlight w:val="none"/>
              </w:rPr>
            </w:pPr>
          </w:p>
        </w:tc>
      </w:tr>
      <w:tr w14:paraId="5123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vMerge w:val="continue"/>
            <w:tcBorders>
              <w:left w:val="single" w:color="auto" w:sz="4" w:space="0"/>
              <w:right w:val="single" w:color="auto" w:sz="4" w:space="0"/>
            </w:tcBorders>
            <w:noWrap w:val="0"/>
            <w:vAlign w:val="center"/>
          </w:tcPr>
          <w:p w14:paraId="5552FBB1">
            <w:pPr>
              <w:pStyle w:val="24"/>
              <w:rPr>
                <w:rFonts w:hint="eastAsia" w:ascii="Times New Roman" w:hAnsi="Times New Roman" w:eastAsia="宋体" w:cs="Times New Roman"/>
                <w:b w:val="0"/>
                <w:bCs w:val="0"/>
                <w:color w:val="auto"/>
                <w:highlight w:val="none"/>
              </w:rPr>
            </w:pPr>
          </w:p>
        </w:tc>
        <w:tc>
          <w:tcPr>
            <w:tcW w:w="2610" w:type="pct"/>
            <w:tcBorders>
              <w:top w:val="single" w:color="auto" w:sz="4" w:space="0"/>
              <w:left w:val="single" w:color="auto" w:sz="4" w:space="0"/>
              <w:bottom w:val="single" w:color="auto" w:sz="4" w:space="0"/>
              <w:right w:val="single" w:color="auto" w:sz="4" w:space="0"/>
            </w:tcBorders>
            <w:noWrap w:val="0"/>
            <w:vAlign w:val="center"/>
          </w:tcPr>
          <w:p w14:paraId="16CC8EBB">
            <w:pPr>
              <w:pStyle w:val="24"/>
              <w:rPr>
                <w:rFonts w:hint="eastAsia" w:ascii="Times New Roman" w:hAnsi="Times New Roman" w:eastAsia="宋体" w:cs="Times New Roman"/>
                <w:b w:val="0"/>
                <w:bCs w:val="0"/>
                <w:color w:val="auto"/>
                <w:highlight w:val="none"/>
                <w:lang w:eastAsia="zh-CN"/>
              </w:rPr>
            </w:pPr>
            <w:r>
              <w:rPr>
                <w:rFonts w:hint="eastAsia" w:ascii="Times New Roman" w:hAnsi="Times New Roman" w:eastAsia="宋体" w:cs="Times New Roman"/>
                <w:b w:val="0"/>
                <w:bCs w:val="0"/>
                <w:color w:val="auto"/>
                <w:highlight w:val="none"/>
              </w:rPr>
              <w:t>强化VOCs全过程管控。开展低效失效VOCs处理设施排查整治。储罐使用低泄漏的呼吸阀、紧急泄压阀，定期开展密封性检测。汽车罐车推广使用密封式快速接头。污水处理场所高浓度有机废气要单独收集处理；含VOCs有机废水储罐、装置区集水井</w:t>
            </w: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池</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有机废气要密闭收集处理。推动各市</w:t>
            </w: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州</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和重点工业园区的泄漏检测与修复管理规范化、信息化。加强非正常工况废气排放管控，企业开停工、检维修期间，及时收集处理退料、清洗、吹扫等作业产生的VOCs废气。企业不得将火炬燃烧装置作为日常大气污染处理设施</w:t>
            </w:r>
            <w:r>
              <w:rPr>
                <w:rFonts w:hint="eastAsia" w:cs="Times New Roman"/>
                <w:b w:val="0"/>
                <w:bCs w:val="0"/>
                <w:color w:val="auto"/>
                <w:highlight w:val="none"/>
                <w:lang w:eastAsia="zh-CN"/>
              </w:rPr>
              <w:t>。</w:t>
            </w:r>
          </w:p>
        </w:tc>
        <w:tc>
          <w:tcPr>
            <w:tcW w:w="1017" w:type="pct"/>
            <w:tcBorders>
              <w:left w:val="single" w:color="auto" w:sz="4" w:space="0"/>
              <w:bottom w:val="single" w:color="auto" w:sz="4" w:space="0"/>
              <w:right w:val="single" w:color="auto" w:sz="4" w:space="0"/>
            </w:tcBorders>
            <w:noWrap w:val="0"/>
            <w:vAlign w:val="center"/>
          </w:tcPr>
          <w:p w14:paraId="5A935E55">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本项目将按相关要求定期对生产设备、管线进行检漏，并对厂区所有产生VOCs的点位进行收集。</w:t>
            </w:r>
          </w:p>
        </w:tc>
        <w:tc>
          <w:tcPr>
            <w:tcW w:w="350" w:type="pct"/>
            <w:vMerge w:val="continue"/>
            <w:tcBorders>
              <w:left w:val="single" w:color="auto" w:sz="4" w:space="0"/>
              <w:right w:val="single" w:color="auto" w:sz="4" w:space="0"/>
            </w:tcBorders>
            <w:noWrap w:val="0"/>
            <w:vAlign w:val="center"/>
          </w:tcPr>
          <w:p w14:paraId="15A17293">
            <w:pPr>
              <w:pStyle w:val="24"/>
              <w:rPr>
                <w:rFonts w:hint="eastAsia" w:ascii="Times New Roman" w:hAnsi="Times New Roman" w:eastAsia="宋体" w:cs="Times New Roman"/>
                <w:b w:val="0"/>
                <w:bCs w:val="0"/>
                <w:color w:val="auto"/>
                <w:highlight w:val="none"/>
              </w:rPr>
            </w:pPr>
          </w:p>
        </w:tc>
      </w:tr>
      <w:tr w14:paraId="5B06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pct"/>
            <w:tcBorders>
              <w:left w:val="single" w:color="auto" w:sz="4" w:space="0"/>
              <w:right w:val="single" w:color="auto" w:sz="4" w:space="0"/>
            </w:tcBorders>
            <w:noWrap w:val="0"/>
            <w:vAlign w:val="center"/>
          </w:tcPr>
          <w:p w14:paraId="6AC7ED8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《四川省深入打好重污染天气消除、臭氧污染防治和柴油货车污染治理攻坚战实施方案》（川环发</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2023</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4号）</w:t>
            </w:r>
          </w:p>
        </w:tc>
        <w:tc>
          <w:tcPr>
            <w:tcW w:w="2610" w:type="pct"/>
            <w:tcBorders>
              <w:top w:val="single" w:color="auto" w:sz="4" w:space="0"/>
              <w:left w:val="single" w:color="auto" w:sz="4" w:space="0"/>
              <w:bottom w:val="single" w:color="auto" w:sz="4" w:space="0"/>
              <w:right w:val="single" w:color="auto" w:sz="4" w:space="0"/>
            </w:tcBorders>
            <w:noWrap w:val="0"/>
            <w:vAlign w:val="center"/>
          </w:tcPr>
          <w:p w14:paraId="53AF505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重点优化重点行业空间布局，统筹构建城市间通风廊道，解决区域性传输污染问题。促进产业绿色转型升级，坚决遏制高耗能、高排放、低水平项目盲目发展，开展传统产业集群升级改造</w:t>
            </w:r>
            <w:r>
              <w:rPr>
                <w:rFonts w:hint="eastAsia" w:ascii="Times New Roman" w:hAnsi="Times New Roman" w:eastAsia="宋体" w:cs="Times New Roman"/>
                <w:b w:val="0"/>
                <w:bCs w:val="0"/>
                <w:color w:val="auto"/>
                <w:highlight w:val="none"/>
                <w:lang w:val="en-US" w:eastAsia="zh-CN"/>
              </w:rPr>
              <w:t>......强化挥发性有机物（VOCs）、氮氧化物等多污染物协同减排，以石化、化工、涂装、制药、包装印刷和油品储运销等为重点，加强VOCs源头、过程、末端全流程治理......</w:t>
            </w:r>
          </w:p>
        </w:tc>
        <w:tc>
          <w:tcPr>
            <w:tcW w:w="1017" w:type="pct"/>
            <w:tcBorders>
              <w:left w:val="single" w:color="auto" w:sz="4" w:space="0"/>
              <w:right w:val="single" w:color="auto" w:sz="4" w:space="0"/>
            </w:tcBorders>
            <w:noWrap w:val="0"/>
            <w:vAlign w:val="center"/>
          </w:tcPr>
          <w:p w14:paraId="1911E8EC">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w:t>
            </w:r>
            <w:r>
              <w:rPr>
                <w:rFonts w:hint="eastAsia" w:ascii="Times New Roman" w:hAnsi="Times New Roman" w:eastAsia="宋体" w:cs="Times New Roman"/>
                <w:b w:val="0"/>
                <w:bCs w:val="0"/>
                <w:color w:val="auto"/>
                <w:highlight w:val="none"/>
              </w:rPr>
              <w:t>不在通风廊道内</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不属于</w:t>
            </w:r>
            <w:r>
              <w:rPr>
                <w:rFonts w:hint="eastAsia" w:ascii="Times New Roman" w:hAnsi="Times New Roman" w:eastAsia="宋体" w:cs="Times New Roman"/>
                <w:b w:val="0"/>
                <w:bCs w:val="0"/>
                <w:color w:val="auto"/>
                <w:highlight w:val="none"/>
              </w:rPr>
              <w:t>高耗能、高排放、低水平项目</w:t>
            </w:r>
            <w:r>
              <w:rPr>
                <w:rFonts w:hint="eastAsia" w:ascii="Times New Roman" w:hAnsi="Times New Roman" w:eastAsia="宋体" w:cs="Times New Roman"/>
                <w:b w:val="0"/>
                <w:bCs w:val="0"/>
                <w:color w:val="auto"/>
                <w:highlight w:val="none"/>
                <w:lang w:eastAsia="zh-CN"/>
              </w:rPr>
              <w:t>。</w:t>
            </w: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w:t>
            </w:r>
            <w:r>
              <w:rPr>
                <w:rFonts w:hint="eastAsia" w:cs="Times New Roman"/>
                <w:b w:val="0"/>
                <w:bCs w:val="0"/>
                <w:color w:val="auto"/>
                <w:highlight w:val="none"/>
                <w:lang w:val="en-US" w:eastAsia="zh-CN"/>
              </w:rPr>
              <w:t>原料及产品采用密闭储罐/包装桶储存</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并</w:t>
            </w:r>
            <w:r>
              <w:rPr>
                <w:rFonts w:hint="eastAsia" w:ascii="Times New Roman" w:hAnsi="Times New Roman" w:eastAsia="宋体" w:cs="Times New Roman"/>
                <w:b w:val="0"/>
                <w:bCs w:val="0"/>
                <w:color w:val="auto"/>
                <w:highlight w:val="none"/>
                <w:lang w:eastAsia="zh-CN"/>
              </w:rPr>
              <w:t>安装有废气处理设施。</w:t>
            </w:r>
          </w:p>
        </w:tc>
        <w:tc>
          <w:tcPr>
            <w:tcW w:w="350" w:type="pct"/>
            <w:tcBorders>
              <w:left w:val="single" w:color="auto" w:sz="4" w:space="0"/>
              <w:right w:val="single" w:color="auto" w:sz="4" w:space="0"/>
            </w:tcBorders>
            <w:noWrap w:val="0"/>
            <w:vAlign w:val="center"/>
          </w:tcPr>
          <w:p w14:paraId="509C81D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符合</w:t>
            </w:r>
          </w:p>
        </w:tc>
      </w:tr>
    </w:tbl>
    <w:p w14:paraId="69B0D3A5">
      <w:pPr>
        <w:autoSpaceDE w:val="0"/>
        <w:autoSpaceDN w:val="0"/>
        <w:adjustRightInd w:val="0"/>
        <w:snapToGrid w:val="0"/>
        <w:spacing w:line="360" w:lineRule="auto"/>
        <w:ind w:left="0" w:leftChars="0" w:firstLine="480" w:firstLineChars="200"/>
        <w:rPr>
          <w:color w:val="auto"/>
          <w:kern w:val="0"/>
          <w:sz w:val="24"/>
        </w:rPr>
      </w:pPr>
      <w:r>
        <w:rPr>
          <w:rFonts w:hint="eastAsia" w:ascii="Times New Roman" w:hAnsi="Times New Roman" w:eastAsia="宋体" w:cs="Times New Roman"/>
          <w:color w:val="auto"/>
          <w:kern w:val="0"/>
          <w:sz w:val="24"/>
          <w:lang w:val="en-US" w:eastAsia="zh-CN"/>
        </w:rPr>
        <w:t>本项目</w:t>
      </w:r>
      <w:r>
        <w:rPr>
          <w:rFonts w:hint="eastAsia" w:cs="Times New Roman"/>
          <w:color w:val="auto"/>
          <w:kern w:val="0"/>
          <w:sz w:val="24"/>
          <w:lang w:val="en-US" w:eastAsia="zh-CN"/>
        </w:rPr>
        <w:t>根据</w:t>
      </w:r>
      <w:r>
        <w:rPr>
          <w:rFonts w:hint="eastAsia" w:ascii="Times New Roman" w:hAnsi="Times New Roman" w:eastAsia="宋体" w:cs="Times New Roman"/>
          <w:color w:val="auto"/>
          <w:kern w:val="0"/>
          <w:sz w:val="24"/>
        </w:rPr>
        <w:t>《四川省重污染天气金属表面处理及热处理加工等</w:t>
      </w:r>
      <w:r>
        <w:rPr>
          <w:rFonts w:hint="eastAsia" w:ascii="Times New Roman" w:hAnsi="Times New Roman" w:eastAsia="宋体" w:cs="Times New Roman"/>
          <w:color w:val="auto"/>
          <w:kern w:val="0"/>
          <w:sz w:val="24"/>
          <w:lang w:val="en-US" w:eastAsia="zh-CN"/>
        </w:rPr>
        <w:t>10</w:t>
      </w:r>
      <w:r>
        <w:rPr>
          <w:rFonts w:hint="eastAsia" w:ascii="Times New Roman" w:hAnsi="Times New Roman" w:eastAsia="宋体" w:cs="Times New Roman"/>
          <w:color w:val="auto"/>
          <w:kern w:val="0"/>
          <w:sz w:val="24"/>
        </w:rPr>
        <w:t>个行业应急减排措施制定技术指南（2024年修订版）》</w:t>
      </w:r>
      <w:r>
        <w:rPr>
          <w:rFonts w:hint="eastAsia" w:ascii="Times New Roman" w:hAnsi="Times New Roman" w:eastAsia="宋体" w:cs="Times New Roman"/>
          <w:color w:val="auto"/>
          <w:kern w:val="0"/>
          <w:sz w:val="24"/>
          <w:lang w:val="en-US" w:eastAsia="zh-CN"/>
        </w:rPr>
        <w:t>中</w:t>
      </w:r>
      <w:r>
        <w:rPr>
          <w:rFonts w:hint="eastAsia" w:cs="Times New Roman"/>
          <w:color w:val="auto"/>
          <w:kern w:val="0"/>
          <w:sz w:val="24"/>
          <w:lang w:val="en-US" w:eastAsia="zh-CN"/>
        </w:rPr>
        <w:t>有机化工</w:t>
      </w:r>
      <w:r>
        <w:rPr>
          <w:rFonts w:hint="eastAsia" w:ascii="Times New Roman" w:hAnsi="Times New Roman" w:eastAsia="宋体" w:cs="Times New Roman"/>
          <w:color w:val="auto"/>
          <w:kern w:val="0"/>
          <w:sz w:val="24"/>
          <w:lang w:val="en-US" w:eastAsia="zh-CN"/>
        </w:rPr>
        <w:t>绩效分级指标</w:t>
      </w:r>
      <w:r>
        <w:rPr>
          <w:color w:val="auto"/>
          <w:kern w:val="0"/>
          <w:sz w:val="24"/>
        </w:rPr>
        <w:t>分析见</w:t>
      </w:r>
      <w:r>
        <w:rPr>
          <w:rFonts w:hint="eastAsia"/>
          <w:color w:val="auto"/>
          <w:kern w:val="0"/>
          <w:sz w:val="24"/>
        </w:rPr>
        <w:t>下表</w:t>
      </w:r>
      <w:r>
        <w:rPr>
          <w:color w:val="auto"/>
          <w:kern w:val="0"/>
          <w:sz w:val="24"/>
        </w:rPr>
        <w:t>。</w:t>
      </w:r>
    </w:p>
    <w:p w14:paraId="5ADF33E8">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本项目与有机化工绩效分级指标符合性分析</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60"/>
        <w:gridCol w:w="2903"/>
        <w:gridCol w:w="2689"/>
        <w:gridCol w:w="1159"/>
        <w:gridCol w:w="1212"/>
        <w:gridCol w:w="724"/>
      </w:tblGrid>
      <w:tr w14:paraId="1E3D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4328FC00">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差异化指标</w:t>
            </w:r>
          </w:p>
        </w:tc>
        <w:tc>
          <w:tcPr>
            <w:tcW w:w="1552" w:type="pct"/>
            <w:tcBorders>
              <w:top w:val="single" w:color="auto" w:sz="4" w:space="0"/>
              <w:left w:val="single" w:color="auto" w:sz="4" w:space="0"/>
              <w:bottom w:val="single" w:color="auto" w:sz="4" w:space="0"/>
              <w:right w:val="single" w:color="auto" w:sz="4" w:space="0"/>
            </w:tcBorders>
            <w:vAlign w:val="center"/>
          </w:tcPr>
          <w:p w14:paraId="60DE52AF">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A级企业</w:t>
            </w:r>
          </w:p>
        </w:tc>
        <w:tc>
          <w:tcPr>
            <w:tcW w:w="1438" w:type="pct"/>
            <w:tcBorders>
              <w:top w:val="single" w:color="auto" w:sz="4" w:space="0"/>
              <w:left w:val="single" w:color="auto" w:sz="4" w:space="0"/>
              <w:bottom w:val="single" w:color="auto" w:sz="4" w:space="0"/>
              <w:right w:val="single" w:color="auto" w:sz="4" w:space="0"/>
            </w:tcBorders>
            <w:vAlign w:val="center"/>
          </w:tcPr>
          <w:p w14:paraId="79B0D719">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B级企业</w:t>
            </w:r>
          </w:p>
        </w:tc>
        <w:tc>
          <w:tcPr>
            <w:tcW w:w="619" w:type="pct"/>
            <w:tcBorders>
              <w:top w:val="single" w:color="auto" w:sz="4" w:space="0"/>
              <w:left w:val="single" w:color="auto" w:sz="4" w:space="0"/>
              <w:bottom w:val="single" w:color="auto" w:sz="4" w:space="0"/>
              <w:right w:val="single" w:color="auto" w:sz="4" w:space="0"/>
            </w:tcBorders>
            <w:vAlign w:val="center"/>
          </w:tcPr>
          <w:p w14:paraId="7C05CAB5">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C级企业</w:t>
            </w:r>
          </w:p>
        </w:tc>
        <w:tc>
          <w:tcPr>
            <w:tcW w:w="648" w:type="pct"/>
            <w:tcBorders>
              <w:top w:val="single" w:color="auto" w:sz="4" w:space="0"/>
              <w:left w:val="single" w:color="auto" w:sz="4" w:space="0"/>
              <w:bottom w:val="single" w:color="auto" w:sz="4" w:space="0"/>
              <w:right w:val="single" w:color="auto" w:sz="4" w:space="0"/>
            </w:tcBorders>
            <w:vAlign w:val="center"/>
          </w:tcPr>
          <w:p w14:paraId="514D89F6">
            <w:pPr>
              <w:pStyle w:val="24"/>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本项目情况</w:t>
            </w:r>
          </w:p>
        </w:tc>
        <w:tc>
          <w:tcPr>
            <w:tcW w:w="387" w:type="pct"/>
            <w:tcBorders>
              <w:top w:val="single" w:color="auto" w:sz="4" w:space="0"/>
              <w:left w:val="single" w:color="auto" w:sz="4" w:space="0"/>
              <w:bottom w:val="single" w:color="auto" w:sz="4" w:space="0"/>
              <w:right w:val="single" w:color="auto" w:sz="4" w:space="0"/>
            </w:tcBorders>
            <w:vAlign w:val="center"/>
          </w:tcPr>
          <w:p w14:paraId="3890D83C">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符合性</w:t>
            </w:r>
          </w:p>
        </w:tc>
      </w:tr>
      <w:tr w14:paraId="6120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4CE9527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能源类型</w:t>
            </w:r>
          </w:p>
        </w:tc>
        <w:tc>
          <w:tcPr>
            <w:tcW w:w="1552" w:type="pct"/>
            <w:tcBorders>
              <w:top w:val="single" w:color="auto" w:sz="4" w:space="0"/>
              <w:left w:val="single" w:color="auto" w:sz="4" w:space="0"/>
              <w:bottom w:val="single" w:color="auto" w:sz="4" w:space="0"/>
              <w:right w:val="single" w:color="auto" w:sz="4" w:space="0"/>
            </w:tcBorders>
            <w:vAlign w:val="center"/>
          </w:tcPr>
          <w:p w14:paraId="0794CF18">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天然气、电。</w:t>
            </w:r>
          </w:p>
        </w:tc>
        <w:tc>
          <w:tcPr>
            <w:tcW w:w="1438" w:type="pct"/>
            <w:tcBorders>
              <w:top w:val="single" w:color="auto" w:sz="4" w:space="0"/>
              <w:left w:val="single" w:color="auto" w:sz="4" w:space="0"/>
              <w:bottom w:val="single" w:color="auto" w:sz="4" w:space="0"/>
              <w:right w:val="single" w:color="auto" w:sz="4" w:space="0"/>
            </w:tcBorders>
            <w:vAlign w:val="center"/>
          </w:tcPr>
          <w:p w14:paraId="1B84D39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天然气、电、低硫煤（硫含量低于1%）。</w:t>
            </w:r>
          </w:p>
        </w:tc>
        <w:tc>
          <w:tcPr>
            <w:tcW w:w="619" w:type="pct"/>
            <w:tcBorders>
              <w:top w:val="single" w:color="auto" w:sz="4" w:space="0"/>
              <w:left w:val="single" w:color="auto" w:sz="4" w:space="0"/>
              <w:bottom w:val="single" w:color="auto" w:sz="4" w:space="0"/>
              <w:right w:val="single" w:color="auto" w:sz="4" w:space="0"/>
            </w:tcBorders>
            <w:vAlign w:val="center"/>
          </w:tcPr>
          <w:p w14:paraId="048EB02E">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691E8F9F">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本项目采用电作为能源。</w:t>
            </w:r>
          </w:p>
        </w:tc>
        <w:tc>
          <w:tcPr>
            <w:tcW w:w="387" w:type="pct"/>
            <w:tcBorders>
              <w:top w:val="single" w:color="auto" w:sz="4" w:space="0"/>
              <w:left w:val="single" w:color="auto" w:sz="4" w:space="0"/>
              <w:bottom w:val="single" w:color="auto" w:sz="4" w:space="0"/>
              <w:right w:val="single" w:color="auto" w:sz="4" w:space="0"/>
            </w:tcBorders>
            <w:vAlign w:val="center"/>
          </w:tcPr>
          <w:p w14:paraId="061A0944">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12AF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vMerge w:val="restart"/>
            <w:tcBorders>
              <w:top w:val="single" w:color="auto" w:sz="4" w:space="0"/>
              <w:left w:val="single" w:color="auto" w:sz="4" w:space="0"/>
              <w:bottom w:val="single" w:color="auto" w:sz="4" w:space="0"/>
              <w:right w:val="single" w:color="auto" w:sz="4" w:space="0"/>
            </w:tcBorders>
            <w:vAlign w:val="center"/>
          </w:tcPr>
          <w:p w14:paraId="53B732D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生产工艺及装备水平</w:t>
            </w:r>
          </w:p>
        </w:tc>
        <w:tc>
          <w:tcPr>
            <w:tcW w:w="2991" w:type="pct"/>
            <w:gridSpan w:val="2"/>
            <w:tcBorders>
              <w:top w:val="single" w:color="auto" w:sz="4" w:space="0"/>
              <w:left w:val="single" w:color="auto" w:sz="4" w:space="0"/>
              <w:bottom w:val="single" w:color="auto" w:sz="4" w:space="0"/>
              <w:right w:val="single" w:color="auto" w:sz="4" w:space="0"/>
            </w:tcBorders>
            <w:vAlign w:val="center"/>
          </w:tcPr>
          <w:p w14:paraId="4A7F4394">
            <w:pPr>
              <w:pStyle w:val="24"/>
              <w:jc w:val="both"/>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1、属于《产业结构调整指导目录》鼓励类。</w:t>
            </w:r>
          </w:p>
        </w:tc>
        <w:tc>
          <w:tcPr>
            <w:tcW w:w="619" w:type="pct"/>
            <w:tcBorders>
              <w:top w:val="single" w:color="auto" w:sz="4" w:space="0"/>
              <w:left w:val="single" w:color="auto" w:sz="4" w:space="0"/>
              <w:bottom w:val="single" w:color="auto" w:sz="4" w:space="0"/>
              <w:right w:val="single" w:color="auto" w:sz="4" w:space="0"/>
            </w:tcBorders>
            <w:vAlign w:val="center"/>
          </w:tcPr>
          <w:p w14:paraId="3CE9194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未达到A、B级要求。</w:t>
            </w:r>
          </w:p>
        </w:tc>
        <w:tc>
          <w:tcPr>
            <w:tcW w:w="648" w:type="pct"/>
            <w:tcBorders>
              <w:top w:val="single" w:color="auto" w:sz="4" w:space="0"/>
              <w:left w:val="single" w:color="auto" w:sz="4" w:space="0"/>
              <w:bottom w:val="single" w:color="auto" w:sz="4" w:space="0"/>
              <w:right w:val="single" w:color="auto" w:sz="4" w:space="0"/>
            </w:tcBorders>
            <w:vAlign w:val="center"/>
          </w:tcPr>
          <w:p w14:paraId="709D29A6">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本项目为允许类项目。</w:t>
            </w:r>
          </w:p>
        </w:tc>
        <w:tc>
          <w:tcPr>
            <w:tcW w:w="387" w:type="pct"/>
            <w:tcBorders>
              <w:top w:val="single" w:color="auto" w:sz="4" w:space="0"/>
              <w:left w:val="single" w:color="auto" w:sz="4" w:space="0"/>
              <w:bottom w:val="single" w:color="auto" w:sz="4" w:space="0"/>
              <w:right w:val="single" w:color="auto" w:sz="4" w:space="0"/>
            </w:tcBorders>
            <w:vAlign w:val="center"/>
          </w:tcPr>
          <w:p w14:paraId="6D95C4DA">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C级</w:t>
            </w:r>
          </w:p>
        </w:tc>
      </w:tr>
      <w:tr w14:paraId="0B2E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vMerge w:val="continue"/>
            <w:tcBorders>
              <w:top w:val="single" w:color="auto" w:sz="4" w:space="0"/>
              <w:left w:val="single" w:color="auto" w:sz="4" w:space="0"/>
              <w:bottom w:val="single" w:color="auto" w:sz="4" w:space="0"/>
              <w:right w:val="single" w:color="auto" w:sz="4" w:space="0"/>
            </w:tcBorders>
            <w:vAlign w:val="center"/>
          </w:tcPr>
          <w:p w14:paraId="6478D8F4">
            <w:pPr>
              <w:pStyle w:val="24"/>
              <w:rPr>
                <w:rFonts w:hint="eastAsia" w:ascii="Times New Roman" w:hAnsi="Times New Roman" w:eastAsia="宋体" w:cs="Times New Roman"/>
                <w:b w:val="0"/>
                <w:bCs w:val="0"/>
                <w:color w:val="auto"/>
                <w:highlight w:val="none"/>
              </w:rPr>
            </w:pPr>
          </w:p>
        </w:tc>
        <w:tc>
          <w:tcPr>
            <w:tcW w:w="1552" w:type="pct"/>
            <w:tcBorders>
              <w:top w:val="single" w:color="auto" w:sz="4" w:space="0"/>
              <w:left w:val="single" w:color="auto" w:sz="4" w:space="0"/>
              <w:bottom w:val="single" w:color="auto" w:sz="4" w:space="0"/>
              <w:right w:val="single" w:color="auto" w:sz="4" w:space="0"/>
            </w:tcBorders>
            <w:vAlign w:val="center"/>
          </w:tcPr>
          <w:p w14:paraId="3AAE613F">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2、</w:t>
            </w:r>
            <w:r>
              <w:rPr>
                <w:rFonts w:hint="eastAsia" w:ascii="Times New Roman" w:hAnsi="Times New Roman" w:eastAsia="宋体" w:cs="Times New Roman"/>
                <w:b w:val="0"/>
                <w:bCs w:val="0"/>
                <w:color w:val="auto"/>
                <w:highlight w:val="none"/>
              </w:rPr>
              <w:t>采用密闭化、管道化（液态物料）、全自动生产线（涉VOC生产点）。</w:t>
            </w:r>
          </w:p>
        </w:tc>
        <w:tc>
          <w:tcPr>
            <w:tcW w:w="2058" w:type="pct"/>
            <w:gridSpan w:val="2"/>
            <w:tcBorders>
              <w:top w:val="single" w:color="auto" w:sz="4" w:space="0"/>
              <w:left w:val="single" w:color="auto" w:sz="4" w:space="0"/>
              <w:bottom w:val="single" w:color="auto" w:sz="4" w:space="0"/>
              <w:right w:val="single" w:color="auto" w:sz="4" w:space="0"/>
            </w:tcBorders>
            <w:vAlign w:val="center"/>
          </w:tcPr>
          <w:p w14:paraId="18BA97D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未达到A级要求。</w:t>
            </w:r>
          </w:p>
        </w:tc>
        <w:tc>
          <w:tcPr>
            <w:tcW w:w="648" w:type="pct"/>
            <w:tcBorders>
              <w:top w:val="single" w:color="auto" w:sz="4" w:space="0"/>
              <w:left w:val="single" w:color="auto" w:sz="4" w:space="0"/>
              <w:bottom w:val="single" w:color="auto" w:sz="4" w:space="0"/>
              <w:right w:val="single" w:color="auto" w:sz="4" w:space="0"/>
            </w:tcBorders>
            <w:vAlign w:val="center"/>
          </w:tcPr>
          <w:p w14:paraId="6FDDCEE5">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本项目液态物料密闭储存，通过密闭管道输送，</w:t>
            </w:r>
            <w:r>
              <w:rPr>
                <w:rFonts w:hint="eastAsia" w:ascii="Times New Roman" w:hAnsi="Times New Roman" w:eastAsia="宋体" w:cs="Times New Roman"/>
                <w:b w:val="0"/>
                <w:bCs w:val="0"/>
                <w:color w:val="auto"/>
                <w:highlight w:val="none"/>
              </w:rPr>
              <w:t>涉VOC生产点</w:t>
            </w:r>
            <w:r>
              <w:rPr>
                <w:rFonts w:hint="eastAsia" w:ascii="Times New Roman" w:hAnsi="Times New Roman" w:eastAsia="宋体" w:cs="Times New Roman"/>
                <w:b w:val="0"/>
                <w:bCs w:val="0"/>
                <w:color w:val="auto"/>
                <w:highlight w:val="none"/>
                <w:lang w:val="en-US" w:eastAsia="zh-CN"/>
              </w:rPr>
              <w:t>均为全自动生产。</w:t>
            </w:r>
          </w:p>
        </w:tc>
        <w:tc>
          <w:tcPr>
            <w:tcW w:w="387" w:type="pct"/>
            <w:tcBorders>
              <w:top w:val="single" w:color="auto" w:sz="4" w:space="0"/>
              <w:left w:val="single" w:color="auto" w:sz="4" w:space="0"/>
              <w:bottom w:val="single" w:color="auto" w:sz="4" w:space="0"/>
              <w:right w:val="single" w:color="auto" w:sz="4" w:space="0"/>
            </w:tcBorders>
            <w:vAlign w:val="center"/>
          </w:tcPr>
          <w:p w14:paraId="5DB62570">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1D2B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192ECC8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工艺过程</w:t>
            </w:r>
          </w:p>
        </w:tc>
        <w:tc>
          <w:tcPr>
            <w:tcW w:w="1552" w:type="pct"/>
            <w:tcBorders>
              <w:top w:val="single" w:color="auto" w:sz="4" w:space="0"/>
              <w:left w:val="single" w:color="auto" w:sz="4" w:space="0"/>
              <w:bottom w:val="single" w:color="auto" w:sz="4" w:space="0"/>
              <w:right w:val="single" w:color="auto" w:sz="4" w:space="0"/>
            </w:tcBorders>
            <w:vAlign w:val="center"/>
          </w:tcPr>
          <w:p w14:paraId="4586EDBF">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1、涉VOCs物料的投加和卸放、化学反应、萃取/提取、蒸馏/精馏、结晶以及配料、混合、搅拌、包装等过程，采用密闭设备，废气全部收集治理。</w:t>
            </w:r>
          </w:p>
          <w:p w14:paraId="3CC8C4C3">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2、涉VOCs物料的离心、过滤单元操作采用密闭式离心机、过滤机、真空泵等设备；干燥单元操作采用密闭干燥设备；密闭设备排放的废气排至VOCs废气收集处理系统。</w:t>
            </w:r>
          </w:p>
          <w:p w14:paraId="57075B20">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3、载有VOCs物料的设备及其管道在开停工（车）、检修、清洗时，含VOCs物料用密闭容器盛装，废气排至VOCs废气收集处理系统。</w:t>
            </w:r>
          </w:p>
          <w:p w14:paraId="3F39FFD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4、液态VOCs物料采用密闭管道输送方式。</w:t>
            </w:r>
          </w:p>
          <w:p w14:paraId="2FFB9380">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5、粉状、粒状物料采用气力输送方式或密闭固体投料器等给料方式投加。</w:t>
            </w:r>
          </w:p>
          <w:p w14:paraId="06C5D7B3">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6、反应尾气、蒸馏装置不凝气等工艺排气，工艺容器的置换气、吹扫气、抽真空排气等全部收集治理。</w:t>
            </w:r>
          </w:p>
        </w:tc>
        <w:tc>
          <w:tcPr>
            <w:tcW w:w="1438" w:type="pct"/>
            <w:tcBorders>
              <w:top w:val="single" w:color="auto" w:sz="4" w:space="0"/>
              <w:left w:val="single" w:color="auto" w:sz="4" w:space="0"/>
              <w:bottom w:val="single" w:color="auto" w:sz="4" w:space="0"/>
              <w:right w:val="single" w:color="auto" w:sz="4" w:space="0"/>
            </w:tcBorders>
            <w:vAlign w:val="center"/>
          </w:tcPr>
          <w:p w14:paraId="43E2BFE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1、涉VOCs物料的投加和卸放、化学反应、萃取/提取、蒸馏/精馏、结晶以及配料、混合、搅拌、包装等过程，采用密闭设备或在密闭空间内操作，废气全部收集治理。</w:t>
            </w:r>
          </w:p>
          <w:p w14:paraId="5028485C">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2、涉VOCs物料的离心、过滤单元操作采用密闭式离心机、过滤机</w:t>
            </w:r>
            <w:r>
              <w:rPr>
                <w:rFonts w:hint="eastAsia" w:ascii="Times New Roman" w:hAnsi="Times New Roman" w:eastAsia="宋体" w:cs="Times New Roman"/>
                <w:b w:val="0"/>
                <w:bCs w:val="0"/>
                <w:color w:val="auto"/>
                <w:highlight w:val="none"/>
                <w:lang w:eastAsia="zh-CN"/>
              </w:rPr>
              <w:t>、真空泵</w:t>
            </w:r>
            <w:r>
              <w:rPr>
                <w:rFonts w:hint="eastAsia" w:ascii="Times New Roman" w:hAnsi="Times New Roman" w:eastAsia="宋体" w:cs="Times New Roman"/>
                <w:b w:val="0"/>
                <w:bCs w:val="0"/>
                <w:color w:val="auto"/>
                <w:highlight w:val="none"/>
              </w:rPr>
              <w:t>等设备，或在密闭空间内操作；干燥单元操作采用密闭干燥设备，或在密闭空间内操作，废气排至VOCs废气收集处理系统。</w:t>
            </w:r>
          </w:p>
          <w:p w14:paraId="39F4FBA2">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3、同A级第3条要求。</w:t>
            </w:r>
          </w:p>
          <w:p w14:paraId="17440244">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4、液态VOCs物料采用高位槽（罐）、桶泵等给料方式密闭投加，进料时置换的废气应排至VOCs废气收集处理系统或气相平衡系统。</w:t>
            </w:r>
          </w:p>
          <w:p w14:paraId="191923E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5、粉状、粒状物料采用气力输送方式或密闭固体投料器等给料方式投加，无法密闭投加的，设置集气罩收集并接入后处理装置。</w:t>
            </w:r>
          </w:p>
          <w:p w14:paraId="662CC6A6">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6、同A级第6条要求。</w:t>
            </w:r>
          </w:p>
        </w:tc>
        <w:tc>
          <w:tcPr>
            <w:tcW w:w="619" w:type="pct"/>
            <w:tcBorders>
              <w:top w:val="single" w:color="auto" w:sz="4" w:space="0"/>
              <w:left w:val="single" w:color="auto" w:sz="4" w:space="0"/>
              <w:bottom w:val="single" w:color="auto" w:sz="4" w:space="0"/>
              <w:right w:val="single" w:color="auto" w:sz="4" w:space="0"/>
            </w:tcBorders>
            <w:vAlign w:val="center"/>
          </w:tcPr>
          <w:p w14:paraId="7F60B7F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786BC251">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1、本项目</w:t>
            </w:r>
            <w:r>
              <w:rPr>
                <w:rFonts w:hint="eastAsia" w:ascii="Times New Roman" w:hAnsi="Times New Roman" w:eastAsia="宋体" w:cs="Times New Roman"/>
                <w:b w:val="0"/>
                <w:bCs w:val="0"/>
                <w:color w:val="auto"/>
                <w:highlight w:val="none"/>
              </w:rPr>
              <w:t>涉VOCs物料的</w:t>
            </w:r>
            <w:r>
              <w:rPr>
                <w:rFonts w:hint="eastAsia" w:ascii="Times New Roman" w:hAnsi="Times New Roman" w:eastAsia="宋体" w:cs="Times New Roman"/>
                <w:b w:val="0"/>
                <w:bCs w:val="0"/>
                <w:color w:val="auto"/>
                <w:highlight w:val="none"/>
                <w:lang w:val="en-US" w:eastAsia="zh-CN"/>
              </w:rPr>
              <w:t>所有</w:t>
            </w:r>
            <w:r>
              <w:rPr>
                <w:rFonts w:hint="eastAsia" w:ascii="Times New Roman" w:hAnsi="Times New Roman" w:eastAsia="宋体" w:cs="Times New Roman"/>
                <w:b w:val="0"/>
                <w:bCs w:val="0"/>
                <w:color w:val="auto"/>
                <w:highlight w:val="none"/>
              </w:rPr>
              <w:t>过程</w:t>
            </w:r>
            <w:r>
              <w:rPr>
                <w:rFonts w:hint="eastAsia" w:ascii="Times New Roman" w:hAnsi="Times New Roman" w:eastAsia="宋体" w:cs="Times New Roman"/>
                <w:b w:val="0"/>
                <w:bCs w:val="0"/>
                <w:color w:val="auto"/>
                <w:highlight w:val="none"/>
                <w:lang w:val="en-US" w:eastAsia="zh-CN"/>
              </w:rPr>
              <w:t>均</w:t>
            </w:r>
            <w:r>
              <w:rPr>
                <w:rFonts w:hint="eastAsia" w:ascii="Times New Roman" w:hAnsi="Times New Roman" w:eastAsia="宋体" w:cs="Times New Roman"/>
                <w:b w:val="0"/>
                <w:bCs w:val="0"/>
                <w:color w:val="auto"/>
                <w:highlight w:val="none"/>
              </w:rPr>
              <w:t>采用密闭设备，废气全部收集治理</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2、本项目</w:t>
            </w:r>
            <w:r>
              <w:rPr>
                <w:rFonts w:hint="eastAsia" w:ascii="Times New Roman" w:hAnsi="Times New Roman" w:eastAsia="宋体" w:cs="Times New Roman"/>
                <w:b w:val="0"/>
                <w:bCs w:val="0"/>
                <w:color w:val="auto"/>
                <w:highlight w:val="none"/>
              </w:rPr>
              <w:t>载有VOCs物料的设备及其管道在开停工（车）、检修时，含VOCs物料用密闭容器盛装，废气排至VOCs废气收集处理系统</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3、本项目</w:t>
            </w:r>
            <w:r>
              <w:rPr>
                <w:rFonts w:hint="eastAsia" w:ascii="Times New Roman" w:hAnsi="Times New Roman" w:eastAsia="宋体" w:cs="Times New Roman"/>
                <w:b w:val="0"/>
                <w:bCs w:val="0"/>
                <w:color w:val="auto"/>
                <w:highlight w:val="none"/>
              </w:rPr>
              <w:t>液态VOCs物料采用密闭管道输送</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4、本项目固态物料采用人工投料；5、本项目</w:t>
            </w:r>
            <w:r>
              <w:rPr>
                <w:rFonts w:hint="eastAsia" w:ascii="Times New Roman" w:hAnsi="Times New Roman" w:eastAsia="宋体" w:cs="Times New Roman"/>
                <w:b w:val="0"/>
                <w:bCs w:val="0"/>
                <w:color w:val="auto"/>
                <w:highlight w:val="none"/>
              </w:rPr>
              <w:t>工艺排气全部收集治理</w:t>
            </w:r>
            <w:r>
              <w:rPr>
                <w:rFonts w:hint="eastAsia" w:ascii="Times New Roman" w:hAnsi="Times New Roman" w:eastAsia="宋体" w:cs="Times New Roman"/>
                <w:b w:val="0"/>
                <w:bCs w:val="0"/>
                <w:color w:val="auto"/>
                <w:highlight w:val="none"/>
                <w:lang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3397795E">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C级</w:t>
            </w:r>
          </w:p>
        </w:tc>
      </w:tr>
      <w:tr w14:paraId="3998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6535AA1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泄漏检测与修复</w:t>
            </w:r>
          </w:p>
        </w:tc>
        <w:tc>
          <w:tcPr>
            <w:tcW w:w="1552" w:type="pct"/>
            <w:tcBorders>
              <w:top w:val="single" w:color="auto" w:sz="4" w:space="0"/>
              <w:left w:val="single" w:color="auto" w:sz="4" w:space="0"/>
              <w:bottom w:val="single" w:color="auto" w:sz="4" w:space="0"/>
              <w:right w:val="single" w:color="auto" w:sz="4" w:space="0"/>
            </w:tcBorders>
            <w:vAlign w:val="center"/>
          </w:tcPr>
          <w:p w14:paraId="5E2A408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涉VOCs物料企业按照《挥发性有机物无组织排放控制标准》（GB37822-2019）相关要求，开展泄漏检测与修复工作。动静密封点在1000个及以上的企业建立LDAR管理平台，动静密封点在1000个以下的企业建立LDAR电子台账。</w:t>
            </w:r>
          </w:p>
        </w:tc>
        <w:tc>
          <w:tcPr>
            <w:tcW w:w="1438" w:type="pct"/>
            <w:tcBorders>
              <w:top w:val="single" w:color="auto" w:sz="4" w:space="0"/>
              <w:left w:val="single" w:color="auto" w:sz="4" w:space="0"/>
              <w:bottom w:val="single" w:color="auto" w:sz="4" w:space="0"/>
              <w:right w:val="single" w:color="auto" w:sz="4" w:space="0"/>
            </w:tcBorders>
            <w:vAlign w:val="center"/>
          </w:tcPr>
          <w:p w14:paraId="7A1F552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涉VOCs物料企业按照《挥发性有机物无组织排放控制标准》（GB37822-2019）相关要求，开展泄漏检测与修复工作。动静密封点在2000个及以上的企业建立LDAR管理平台，动静密封点在2000个以下的企业建立LDAR电子台账。</w:t>
            </w:r>
          </w:p>
        </w:tc>
        <w:tc>
          <w:tcPr>
            <w:tcW w:w="619" w:type="pct"/>
            <w:tcBorders>
              <w:top w:val="single" w:color="auto" w:sz="4" w:space="0"/>
              <w:left w:val="single" w:color="auto" w:sz="4" w:space="0"/>
              <w:bottom w:val="single" w:color="auto" w:sz="4" w:space="0"/>
              <w:right w:val="single" w:color="auto" w:sz="4" w:space="0"/>
            </w:tcBorders>
            <w:vAlign w:val="center"/>
          </w:tcPr>
          <w:p w14:paraId="73227AA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3387BA7A">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本项目将</w:t>
            </w:r>
            <w:r>
              <w:rPr>
                <w:rFonts w:hint="eastAsia" w:ascii="Times New Roman" w:hAnsi="Times New Roman" w:eastAsia="宋体" w:cs="Times New Roman"/>
                <w:b w:val="0"/>
                <w:bCs w:val="0"/>
                <w:color w:val="auto"/>
                <w:highlight w:val="none"/>
              </w:rPr>
              <w:t>按照《挥发性有机物无组织排放控制标准》（GB37822-2019）相关要求开展泄漏检测与修复工作</w:t>
            </w:r>
            <w:r>
              <w:rPr>
                <w:rFonts w:hint="eastAsia" w:ascii="Times New Roman" w:hAnsi="Times New Roman" w:eastAsia="宋体" w:cs="Times New Roman"/>
                <w:b w:val="0"/>
                <w:bCs w:val="0"/>
                <w:color w:val="auto"/>
                <w:highlight w:val="none"/>
                <w:lang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47AE8011">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48FB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1" w:hRule="atLeast"/>
        </w:trPr>
        <w:tc>
          <w:tcPr>
            <w:tcW w:w="353" w:type="pct"/>
            <w:tcBorders>
              <w:top w:val="single" w:color="auto" w:sz="4" w:space="0"/>
              <w:left w:val="single" w:color="auto" w:sz="4" w:space="0"/>
              <w:bottom w:val="single" w:color="auto" w:sz="4" w:space="0"/>
              <w:right w:val="single" w:color="auto" w:sz="4" w:space="0"/>
            </w:tcBorders>
            <w:vAlign w:val="center"/>
          </w:tcPr>
          <w:p w14:paraId="00F8055E">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工艺有机废气治理</w:t>
            </w:r>
          </w:p>
        </w:tc>
        <w:tc>
          <w:tcPr>
            <w:tcW w:w="1552" w:type="pct"/>
            <w:tcBorders>
              <w:top w:val="single" w:color="auto" w:sz="4" w:space="0"/>
              <w:left w:val="single" w:color="auto" w:sz="4" w:space="0"/>
              <w:bottom w:val="single" w:color="auto" w:sz="4" w:space="0"/>
              <w:right w:val="single" w:color="auto" w:sz="4" w:space="0"/>
            </w:tcBorders>
            <w:vAlign w:val="center"/>
          </w:tcPr>
          <w:p w14:paraId="494A2ED0">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配料、反应、分离、提取、精制、干燥、溶剂回收等工艺有机废气全部密闭收集并引至有机废气治理设施，采用冷凝、吸收、</w:t>
            </w:r>
            <w:r>
              <w:rPr>
                <w:rFonts w:hint="eastAsia" w:ascii="Times New Roman" w:hAnsi="Times New Roman" w:eastAsia="宋体" w:cs="Times New Roman"/>
                <w:b w:val="0"/>
                <w:bCs w:val="0"/>
                <w:color w:val="auto"/>
                <w:highlight w:val="none"/>
                <w:lang w:eastAsia="zh-CN"/>
              </w:rPr>
              <w:t>吸附</w:t>
            </w:r>
            <w:r>
              <w:rPr>
                <w:rFonts w:hint="eastAsia" w:ascii="Times New Roman" w:hAnsi="Times New Roman" w:eastAsia="宋体" w:cs="Times New Roman"/>
                <w:b w:val="0"/>
                <w:bCs w:val="0"/>
                <w:color w:val="auto"/>
                <w:highlight w:val="none"/>
              </w:rPr>
              <w:t>浓缩、燃烧等组合处理工艺，处理效率应不低于90%，或送至工艺加热炉、锅炉、焚烧炉直接燃烧处理。</w:t>
            </w:r>
          </w:p>
        </w:tc>
        <w:tc>
          <w:tcPr>
            <w:tcW w:w="1438" w:type="pct"/>
            <w:tcBorders>
              <w:top w:val="single" w:color="auto" w:sz="4" w:space="0"/>
              <w:left w:val="single" w:color="auto" w:sz="4" w:space="0"/>
              <w:bottom w:val="single" w:color="auto" w:sz="4" w:space="0"/>
              <w:right w:val="single" w:color="auto" w:sz="4" w:space="0"/>
            </w:tcBorders>
            <w:vAlign w:val="center"/>
          </w:tcPr>
          <w:p w14:paraId="179A933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配料、反应、分离、提取、精制、干燥、溶剂回收等工艺有机废气全部收集并引至有机废气治理设施，采用冷凝、吸收、吸附等组合处理工艺，处理效率应不低于80%。</w:t>
            </w:r>
          </w:p>
        </w:tc>
        <w:tc>
          <w:tcPr>
            <w:tcW w:w="619" w:type="pct"/>
            <w:tcBorders>
              <w:top w:val="single" w:color="auto" w:sz="4" w:space="0"/>
              <w:left w:val="single" w:color="auto" w:sz="4" w:space="0"/>
              <w:bottom w:val="single" w:color="auto" w:sz="4" w:space="0"/>
              <w:right w:val="single" w:color="auto" w:sz="4" w:space="0"/>
            </w:tcBorders>
            <w:vAlign w:val="center"/>
          </w:tcPr>
          <w:p w14:paraId="27B76A5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0A082DBF">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w:t>
            </w:r>
            <w:r>
              <w:rPr>
                <w:rFonts w:hint="eastAsia" w:ascii="Times New Roman" w:hAnsi="Times New Roman" w:eastAsia="宋体" w:cs="Times New Roman"/>
                <w:b w:val="0"/>
                <w:bCs w:val="0"/>
                <w:color w:val="auto"/>
                <w:highlight w:val="none"/>
              </w:rPr>
              <w:t>工艺有机废气全部密闭收集并引至有机废气治理设施，采用</w:t>
            </w:r>
            <w:r>
              <w:rPr>
                <w:rFonts w:hint="eastAsia" w:ascii="Times New Roman" w:hAnsi="Times New Roman" w:eastAsia="宋体" w:cs="Times New Roman"/>
                <w:b w:val="0"/>
                <w:bCs w:val="0"/>
                <w:color w:val="auto"/>
                <w:highlight w:val="none"/>
                <w:lang w:val="en-US" w:eastAsia="zh-CN"/>
              </w:rPr>
              <w:t>吸附</w:t>
            </w:r>
            <w:r>
              <w:rPr>
                <w:rFonts w:hint="eastAsia" w:ascii="Times New Roman" w:hAnsi="Times New Roman" w:eastAsia="宋体" w:cs="Times New Roman"/>
                <w:b w:val="0"/>
                <w:bCs w:val="0"/>
                <w:color w:val="auto"/>
                <w:highlight w:val="none"/>
              </w:rPr>
              <w:t>处理工艺，处理效率</w:t>
            </w:r>
            <w:r>
              <w:rPr>
                <w:rFonts w:hint="eastAsia" w:ascii="Times New Roman" w:hAnsi="Times New Roman" w:eastAsia="宋体" w:cs="Times New Roman"/>
                <w:b w:val="0"/>
                <w:bCs w:val="0"/>
                <w:color w:val="auto"/>
                <w:highlight w:val="none"/>
                <w:lang w:val="en-US" w:eastAsia="zh-CN"/>
              </w:rPr>
              <w:t>为87.75%。</w:t>
            </w:r>
          </w:p>
        </w:tc>
        <w:tc>
          <w:tcPr>
            <w:tcW w:w="387" w:type="pct"/>
            <w:tcBorders>
              <w:top w:val="single" w:color="auto" w:sz="4" w:space="0"/>
              <w:left w:val="single" w:color="auto" w:sz="4" w:space="0"/>
              <w:bottom w:val="single" w:color="auto" w:sz="4" w:space="0"/>
              <w:right w:val="single" w:color="auto" w:sz="4" w:space="0"/>
            </w:tcBorders>
            <w:vAlign w:val="center"/>
          </w:tcPr>
          <w:p w14:paraId="5BC1929B">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B级</w:t>
            </w:r>
          </w:p>
        </w:tc>
      </w:tr>
      <w:tr w14:paraId="3C05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1" w:hRule="atLeast"/>
        </w:trPr>
        <w:tc>
          <w:tcPr>
            <w:tcW w:w="353" w:type="pct"/>
            <w:tcBorders>
              <w:top w:val="single" w:color="auto" w:sz="4" w:space="0"/>
              <w:left w:val="single" w:color="auto" w:sz="4" w:space="0"/>
              <w:bottom w:val="single" w:color="auto" w:sz="4" w:space="0"/>
              <w:right w:val="single" w:color="auto" w:sz="4" w:space="0"/>
            </w:tcBorders>
            <w:vAlign w:val="center"/>
          </w:tcPr>
          <w:p w14:paraId="650A4C82">
            <w:pPr>
              <w:pStyle w:val="24"/>
              <w:rPr>
                <w:rFonts w:hint="eastAsia" w:ascii="Times New Roman" w:hAnsi="Times New Roman" w:eastAsia="宋体" w:cs="Times New Roman"/>
                <w:b w:val="0"/>
                <w:bCs w:val="0"/>
                <w:color w:val="auto"/>
                <w:highlight w:val="none"/>
                <w:lang w:eastAsia="zh-CN"/>
              </w:rPr>
            </w:pPr>
            <w:r>
              <w:rPr>
                <w:rFonts w:hint="eastAsia" w:ascii="Times New Roman" w:hAnsi="Times New Roman" w:eastAsia="宋体" w:cs="Times New Roman"/>
                <w:b w:val="0"/>
                <w:bCs w:val="0"/>
                <w:color w:val="auto"/>
                <w:highlight w:val="none"/>
                <w:lang w:eastAsia="zh-CN"/>
              </w:rPr>
              <w:t>挥发性有机液体储罐</w:t>
            </w:r>
          </w:p>
        </w:tc>
        <w:tc>
          <w:tcPr>
            <w:tcW w:w="1552" w:type="pct"/>
            <w:tcBorders>
              <w:top w:val="single" w:color="auto" w:sz="4" w:space="0"/>
              <w:left w:val="single" w:color="auto" w:sz="4" w:space="0"/>
              <w:bottom w:val="single" w:color="auto" w:sz="4" w:space="0"/>
              <w:right w:val="single" w:color="auto" w:sz="4" w:space="0"/>
            </w:tcBorders>
            <w:vAlign w:val="center"/>
          </w:tcPr>
          <w:p w14:paraId="58202B45">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对于储存物料的真实蒸气压≥27.6kPa但＜76.6kPa的有机液体储罐，采用高级密封方式的浮顶罐，或采用固定顶罐安装密闭排气系统至有机废气治理设施，或采用气相平衡系统，或其他等效措施，并对呼吸废气进行收集处理。</w:t>
            </w:r>
          </w:p>
          <w:p w14:paraId="6D88B3A2">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2、符合第1条的固定顶罐排气采用燃烧工艺（包括直接燃烧、催化燃烧和蓄热燃烧）进行最终处理，或送工艺加热炉、锅炉、焚烧炉等燃烧处理。</w:t>
            </w:r>
          </w:p>
          <w:p w14:paraId="7B671839">
            <w:pPr>
              <w:pStyle w:val="24"/>
              <w:jc w:val="left"/>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3、</w:t>
            </w:r>
            <w:r>
              <w:rPr>
                <w:rFonts w:hint="eastAsia" w:ascii="Times New Roman" w:hAnsi="Times New Roman" w:eastAsia="宋体" w:cs="Times New Roman"/>
                <w:b w:val="0"/>
                <w:bCs w:val="0"/>
                <w:color w:val="auto"/>
                <w:highlight w:val="none"/>
              </w:rPr>
              <w:t>对于储存物料的真实蒸气压≥76.6kPa的有机液体储罐采用压力罐或其他等效措施。</w:t>
            </w:r>
          </w:p>
        </w:tc>
        <w:tc>
          <w:tcPr>
            <w:tcW w:w="1438" w:type="pct"/>
            <w:tcBorders>
              <w:top w:val="single" w:color="auto" w:sz="4" w:space="0"/>
              <w:left w:val="single" w:color="auto" w:sz="4" w:space="0"/>
              <w:bottom w:val="single" w:color="auto" w:sz="4" w:space="0"/>
              <w:right w:val="single" w:color="auto" w:sz="4" w:space="0"/>
            </w:tcBorders>
            <w:vAlign w:val="center"/>
          </w:tcPr>
          <w:p w14:paraId="0CEA4850">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1、同A级第1条要求。</w:t>
            </w:r>
          </w:p>
          <w:p w14:paraId="01D004E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2、符合第1条的固定顶罐排气采用吸收、吸附、冷凝、膜分离等组合工艺，处理效率应不低于80%。</w:t>
            </w:r>
          </w:p>
          <w:p w14:paraId="32E2551F">
            <w:pPr>
              <w:pStyle w:val="24"/>
              <w:jc w:val="left"/>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3、同A级第3条要求。</w:t>
            </w:r>
          </w:p>
        </w:tc>
        <w:tc>
          <w:tcPr>
            <w:tcW w:w="619" w:type="pct"/>
            <w:tcBorders>
              <w:top w:val="single" w:color="auto" w:sz="4" w:space="0"/>
              <w:left w:val="single" w:color="auto" w:sz="4" w:space="0"/>
              <w:bottom w:val="single" w:color="auto" w:sz="4" w:space="0"/>
              <w:right w:val="single" w:color="auto" w:sz="4" w:space="0"/>
            </w:tcBorders>
            <w:vAlign w:val="center"/>
          </w:tcPr>
          <w:p w14:paraId="245DF885">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0A881F82">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w:t>
            </w:r>
            <w:r>
              <w:rPr>
                <w:rFonts w:hint="eastAsia" w:ascii="Times New Roman" w:hAnsi="Times New Roman" w:eastAsia="宋体" w:cs="Times New Roman"/>
                <w:b w:val="0"/>
                <w:bCs w:val="0"/>
                <w:color w:val="auto"/>
                <w:highlight w:val="none"/>
              </w:rPr>
              <w:t>储存物料的真实蒸气压</w:t>
            </w:r>
            <w:r>
              <w:rPr>
                <w:rFonts w:hint="eastAsia" w:cs="Times New Roman"/>
                <w:b w:val="0"/>
                <w:bCs w:val="0"/>
                <w:color w:val="auto"/>
                <w:highlight w:val="none"/>
                <w:lang w:val="en-US" w:eastAsia="zh-CN"/>
              </w:rPr>
              <w:t>均小于5.2kPa。</w:t>
            </w:r>
          </w:p>
        </w:tc>
        <w:tc>
          <w:tcPr>
            <w:tcW w:w="387" w:type="pct"/>
            <w:tcBorders>
              <w:top w:val="single" w:color="auto" w:sz="4" w:space="0"/>
              <w:left w:val="single" w:color="auto" w:sz="4" w:space="0"/>
              <w:bottom w:val="single" w:color="auto" w:sz="4" w:space="0"/>
              <w:right w:val="single" w:color="auto" w:sz="4" w:space="0"/>
            </w:tcBorders>
            <w:vAlign w:val="center"/>
          </w:tcPr>
          <w:p w14:paraId="0276549E">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w:t>
            </w:r>
          </w:p>
        </w:tc>
      </w:tr>
      <w:tr w14:paraId="645F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0428AB1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挥发性有机液体装卸</w:t>
            </w:r>
          </w:p>
        </w:tc>
        <w:tc>
          <w:tcPr>
            <w:tcW w:w="1552" w:type="pct"/>
            <w:tcBorders>
              <w:top w:val="single" w:color="auto" w:sz="4" w:space="0"/>
              <w:left w:val="single" w:color="auto" w:sz="4" w:space="0"/>
              <w:bottom w:val="single" w:color="auto" w:sz="4" w:space="0"/>
              <w:right w:val="single" w:color="auto" w:sz="4" w:space="0"/>
            </w:tcBorders>
            <w:vAlign w:val="center"/>
          </w:tcPr>
          <w:p w14:paraId="7E6EEEEB">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1、对于真实蒸气压≥2.8kPa但＜76.6kPa的挥发性有机液体采用底部装载或顶部浸没式装载（出料管口距离槽（罐）底部高度＜200mm）</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排放的</w:t>
            </w:r>
            <w:r>
              <w:rPr>
                <w:rFonts w:hint="eastAsia" w:ascii="Times New Roman" w:hAnsi="Times New Roman" w:eastAsia="宋体" w:cs="Times New Roman"/>
                <w:b w:val="0"/>
                <w:bCs w:val="0"/>
                <w:color w:val="auto"/>
                <w:highlight w:val="none"/>
                <w:lang w:eastAsia="zh-CN"/>
              </w:rPr>
              <w:t>有机</w:t>
            </w:r>
            <w:r>
              <w:rPr>
                <w:rFonts w:hint="eastAsia" w:ascii="Times New Roman" w:hAnsi="Times New Roman" w:eastAsia="宋体" w:cs="Times New Roman"/>
                <w:b w:val="0"/>
                <w:bCs w:val="0"/>
                <w:color w:val="auto"/>
                <w:highlight w:val="none"/>
              </w:rPr>
              <w:t>废气应收集处理，处理效率应不低于80%。</w:t>
            </w:r>
          </w:p>
          <w:p w14:paraId="5EA1B721">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w:t>
            </w:r>
            <w:r>
              <w:rPr>
                <w:rFonts w:hint="eastAsia" w:ascii="Times New Roman" w:hAnsi="Times New Roman" w:eastAsia="宋体" w:cs="Times New Roman"/>
                <w:b w:val="0"/>
                <w:bCs w:val="0"/>
                <w:color w:val="auto"/>
                <w:highlight w:val="none"/>
                <w:lang w:eastAsia="zh-CN"/>
              </w:rPr>
              <w:t>废气</w:t>
            </w:r>
            <w:r>
              <w:rPr>
                <w:rFonts w:hint="eastAsia" w:ascii="Times New Roman" w:hAnsi="Times New Roman" w:eastAsia="宋体" w:cs="Times New Roman"/>
                <w:b w:val="0"/>
                <w:bCs w:val="0"/>
                <w:color w:val="auto"/>
                <w:highlight w:val="none"/>
              </w:rPr>
              <w:t>采用吸收、吸附、冷凝、膜分离等预处理后，采用燃烧工艺（包括直接燃烧、催化燃烧和蓄热燃烧）进行最终处理，或送工艺加热炉、锅炉、焚烧炉等燃烧处理。</w:t>
            </w:r>
          </w:p>
        </w:tc>
        <w:tc>
          <w:tcPr>
            <w:tcW w:w="1438" w:type="pct"/>
            <w:tcBorders>
              <w:top w:val="single" w:color="auto" w:sz="4" w:space="0"/>
              <w:left w:val="single" w:color="auto" w:sz="4" w:space="0"/>
              <w:bottom w:val="single" w:color="auto" w:sz="4" w:space="0"/>
              <w:right w:val="single" w:color="auto" w:sz="4" w:space="0"/>
            </w:tcBorders>
            <w:vAlign w:val="center"/>
          </w:tcPr>
          <w:p w14:paraId="0E4398C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1、同A级第1条要求。</w:t>
            </w:r>
          </w:p>
          <w:p w14:paraId="3A5B29C5">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w:t>
            </w:r>
            <w:r>
              <w:rPr>
                <w:rFonts w:hint="eastAsia" w:ascii="Times New Roman" w:hAnsi="Times New Roman" w:eastAsia="宋体" w:cs="Times New Roman"/>
                <w:b w:val="0"/>
                <w:bCs w:val="0"/>
                <w:color w:val="auto"/>
                <w:highlight w:val="none"/>
                <w:lang w:eastAsia="zh-CN"/>
              </w:rPr>
              <w:t>废</w:t>
            </w:r>
            <w:r>
              <w:rPr>
                <w:rFonts w:hint="eastAsia" w:ascii="Times New Roman" w:hAnsi="Times New Roman" w:eastAsia="宋体" w:cs="Times New Roman"/>
                <w:b w:val="0"/>
                <w:bCs w:val="0"/>
                <w:color w:val="auto"/>
                <w:highlight w:val="none"/>
              </w:rPr>
              <w:t>气采用吸收、吸附、冷凝、膜分离等组合工艺。</w:t>
            </w:r>
          </w:p>
        </w:tc>
        <w:tc>
          <w:tcPr>
            <w:tcW w:w="619" w:type="pct"/>
            <w:tcBorders>
              <w:top w:val="single" w:color="auto" w:sz="4" w:space="0"/>
              <w:left w:val="single" w:color="auto" w:sz="4" w:space="0"/>
              <w:bottom w:val="single" w:color="auto" w:sz="4" w:space="0"/>
              <w:right w:val="single" w:color="auto" w:sz="4" w:space="0"/>
            </w:tcBorders>
            <w:vAlign w:val="center"/>
          </w:tcPr>
          <w:p w14:paraId="4450A82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554EA3D6">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w:t>
            </w:r>
            <w:r>
              <w:rPr>
                <w:rFonts w:hint="eastAsia" w:ascii="Times New Roman" w:hAnsi="Times New Roman" w:eastAsia="宋体" w:cs="Times New Roman"/>
                <w:b w:val="0"/>
                <w:bCs w:val="0"/>
                <w:color w:val="auto"/>
                <w:highlight w:val="none"/>
              </w:rPr>
              <w:t>挥发性有机液体采用底部装载</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排放的</w:t>
            </w:r>
            <w:r>
              <w:rPr>
                <w:rFonts w:hint="eastAsia" w:ascii="Times New Roman" w:hAnsi="Times New Roman" w:eastAsia="宋体" w:cs="Times New Roman"/>
                <w:b w:val="0"/>
                <w:bCs w:val="0"/>
                <w:color w:val="auto"/>
                <w:highlight w:val="none"/>
                <w:lang w:eastAsia="zh-CN"/>
              </w:rPr>
              <w:t>有机</w:t>
            </w:r>
            <w:r>
              <w:rPr>
                <w:rFonts w:hint="eastAsia" w:ascii="Times New Roman" w:hAnsi="Times New Roman" w:eastAsia="宋体" w:cs="Times New Roman"/>
                <w:b w:val="0"/>
                <w:bCs w:val="0"/>
                <w:color w:val="auto"/>
                <w:highlight w:val="none"/>
              </w:rPr>
              <w:t>废气</w:t>
            </w:r>
            <w:r>
              <w:rPr>
                <w:rFonts w:hint="eastAsia" w:ascii="Times New Roman" w:hAnsi="Times New Roman" w:eastAsia="宋体" w:cs="Times New Roman"/>
                <w:b w:val="0"/>
                <w:bCs w:val="0"/>
                <w:color w:val="auto"/>
                <w:highlight w:val="none"/>
                <w:lang w:val="en-US" w:eastAsia="zh-CN"/>
              </w:rPr>
              <w:t>经密闭管道</w:t>
            </w:r>
            <w:r>
              <w:rPr>
                <w:rFonts w:hint="eastAsia" w:ascii="Times New Roman" w:hAnsi="Times New Roman" w:eastAsia="宋体" w:cs="Times New Roman"/>
                <w:b w:val="0"/>
                <w:bCs w:val="0"/>
                <w:color w:val="auto"/>
                <w:highlight w:val="none"/>
              </w:rPr>
              <w:t>收集</w:t>
            </w:r>
            <w:r>
              <w:rPr>
                <w:rFonts w:hint="eastAsia" w:ascii="Times New Roman" w:hAnsi="Times New Roman" w:eastAsia="宋体" w:cs="Times New Roman"/>
                <w:b w:val="0"/>
                <w:bCs w:val="0"/>
                <w:color w:val="auto"/>
                <w:highlight w:val="none"/>
                <w:lang w:val="en-US" w:eastAsia="zh-CN"/>
              </w:rPr>
              <w:t>引至废气治理设施</w:t>
            </w:r>
            <w:r>
              <w:rPr>
                <w:rFonts w:hint="eastAsia" w:ascii="Times New Roman" w:hAnsi="Times New Roman" w:eastAsia="宋体" w:cs="Times New Roman"/>
                <w:b w:val="0"/>
                <w:bCs w:val="0"/>
                <w:color w:val="auto"/>
                <w:highlight w:val="none"/>
              </w:rPr>
              <w:t>处理</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采用吸附工艺</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，处理效率</w:t>
            </w:r>
            <w:r>
              <w:rPr>
                <w:rFonts w:hint="eastAsia" w:ascii="Times New Roman" w:hAnsi="Times New Roman" w:eastAsia="宋体" w:cs="Times New Roman"/>
                <w:b w:val="0"/>
                <w:bCs w:val="0"/>
                <w:color w:val="auto"/>
                <w:highlight w:val="none"/>
                <w:lang w:val="en-US" w:eastAsia="zh-CN"/>
              </w:rPr>
              <w:t>为87.75</w:t>
            </w:r>
            <w:r>
              <w:rPr>
                <w:rFonts w:hint="eastAsia" w:ascii="Times New Roman" w:hAnsi="Times New Roman" w:eastAsia="宋体" w:cs="Times New Roman"/>
                <w:b w:val="0"/>
                <w:bCs w:val="0"/>
                <w:color w:val="auto"/>
                <w:highlight w:val="none"/>
              </w:rPr>
              <w:t>%</w:t>
            </w:r>
            <w:r>
              <w:rPr>
                <w:rFonts w:hint="eastAsia" w:ascii="Times New Roman" w:hAnsi="Times New Roman" w:eastAsia="宋体" w:cs="Times New Roman"/>
                <w:b w:val="0"/>
                <w:bCs w:val="0"/>
                <w:color w:val="auto"/>
                <w:highlight w:val="none"/>
                <w:lang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3BFA7FAE">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B级</w:t>
            </w:r>
          </w:p>
        </w:tc>
      </w:tr>
      <w:tr w14:paraId="3844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060F0FD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污水收集和处理</w:t>
            </w:r>
          </w:p>
        </w:tc>
        <w:tc>
          <w:tcPr>
            <w:tcW w:w="1552" w:type="pct"/>
            <w:tcBorders>
              <w:top w:val="single" w:color="auto" w:sz="4" w:space="0"/>
              <w:left w:val="single" w:color="auto" w:sz="4" w:space="0"/>
              <w:bottom w:val="single" w:color="auto" w:sz="4" w:space="0"/>
              <w:right w:val="single" w:color="auto" w:sz="4" w:space="0"/>
            </w:tcBorders>
            <w:vAlign w:val="center"/>
          </w:tcPr>
          <w:p w14:paraId="202EC8A5">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1、含VOCs废水采用密闭管道输送。</w:t>
            </w:r>
          </w:p>
          <w:p w14:paraId="03909BE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2、废水储存、处理设施应加盖密闭，并密闭排气至有机废气治理设施。</w:t>
            </w:r>
          </w:p>
          <w:p w14:paraId="1DEDDD22">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3、污水处理站集水井（池）、调节池、隔油池、气浮池、浓缩池等高浓度VOCs废气采用燃烧工艺或送加热炉、锅炉、焚烧炉燃烧处理；低浓度VOCs废气采用活性炭吸附</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采用颗粒状活性炭要求碘值不低于800 mg/g，采用蜂窝状活性炭要求碘值不低于650 mg/g，且预处理单元应配备温湿度仪及压差表</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、生物法或其他有效的治理措施。</w:t>
            </w:r>
          </w:p>
          <w:p w14:paraId="2AF0123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4、臭气处理可以选用低温等离子、光催化、光氧化等处理措施。</w:t>
            </w:r>
          </w:p>
        </w:tc>
        <w:tc>
          <w:tcPr>
            <w:tcW w:w="1438" w:type="pct"/>
            <w:tcBorders>
              <w:top w:val="single" w:color="auto" w:sz="4" w:space="0"/>
              <w:left w:val="single" w:color="auto" w:sz="4" w:space="0"/>
              <w:bottom w:val="single" w:color="auto" w:sz="4" w:space="0"/>
              <w:right w:val="single" w:color="auto" w:sz="4" w:space="0"/>
            </w:tcBorders>
            <w:vAlign w:val="center"/>
          </w:tcPr>
          <w:p w14:paraId="0B24622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1、含VOCs废水采用</w:t>
            </w:r>
            <w:r>
              <w:rPr>
                <w:rFonts w:hint="eastAsia" w:ascii="Times New Roman" w:hAnsi="Times New Roman" w:eastAsia="宋体" w:cs="Times New Roman"/>
                <w:b w:val="0"/>
                <w:bCs w:val="0"/>
                <w:color w:val="auto"/>
                <w:highlight w:val="none"/>
                <w:lang w:eastAsia="zh-CN"/>
              </w:rPr>
              <w:t>密闭管道输送或沟渠输送，采用</w:t>
            </w:r>
            <w:r>
              <w:rPr>
                <w:rFonts w:hint="eastAsia" w:ascii="Times New Roman" w:hAnsi="Times New Roman" w:eastAsia="宋体" w:cs="Times New Roman"/>
                <w:b w:val="0"/>
                <w:bCs w:val="0"/>
                <w:color w:val="auto"/>
                <w:highlight w:val="none"/>
              </w:rPr>
              <w:t>沟渠输送</w:t>
            </w:r>
            <w:r>
              <w:rPr>
                <w:rFonts w:hint="eastAsia" w:ascii="Times New Roman" w:hAnsi="Times New Roman" w:eastAsia="宋体" w:cs="Times New Roman"/>
                <w:b w:val="0"/>
                <w:bCs w:val="0"/>
                <w:color w:val="auto"/>
                <w:highlight w:val="none"/>
                <w:lang w:eastAsia="zh-CN"/>
              </w:rPr>
              <w:t>的</w:t>
            </w:r>
            <w:r>
              <w:rPr>
                <w:rFonts w:hint="eastAsia" w:ascii="Times New Roman" w:hAnsi="Times New Roman" w:eastAsia="宋体" w:cs="Times New Roman"/>
                <w:b w:val="0"/>
                <w:bCs w:val="0"/>
                <w:color w:val="auto"/>
                <w:highlight w:val="none"/>
              </w:rPr>
              <w:t>，敞开</w:t>
            </w:r>
            <w:r>
              <w:rPr>
                <w:rFonts w:hint="eastAsia" w:ascii="Times New Roman" w:hAnsi="Times New Roman" w:eastAsia="宋体" w:cs="Times New Roman"/>
                <w:b w:val="0"/>
                <w:bCs w:val="0"/>
                <w:color w:val="auto"/>
                <w:highlight w:val="none"/>
                <w:lang w:eastAsia="zh-CN"/>
              </w:rPr>
              <w:t>液面</w:t>
            </w:r>
            <w:r>
              <w:rPr>
                <w:rFonts w:hint="eastAsia" w:ascii="Times New Roman" w:hAnsi="Times New Roman" w:eastAsia="宋体" w:cs="Times New Roman"/>
                <w:b w:val="0"/>
                <w:bCs w:val="0"/>
                <w:color w:val="auto"/>
                <w:highlight w:val="none"/>
              </w:rPr>
              <w:t>上方100mm处VOCs检测浓度≥</w:t>
            </w:r>
            <w:r>
              <w:rPr>
                <w:rFonts w:hint="eastAsia" w:ascii="Times New Roman" w:hAnsi="Times New Roman" w:eastAsia="宋体" w:cs="Times New Roman"/>
                <w:b w:val="0"/>
                <w:bCs w:val="0"/>
                <w:color w:val="auto"/>
                <w:highlight w:val="none"/>
                <w:lang w:val="en-US" w:eastAsia="zh-CN"/>
              </w:rPr>
              <w:t>1</w:t>
            </w:r>
            <w:r>
              <w:rPr>
                <w:rFonts w:hint="eastAsia" w:ascii="Times New Roman" w:hAnsi="Times New Roman" w:eastAsia="宋体" w:cs="Times New Roman"/>
                <w:b w:val="0"/>
                <w:bCs w:val="0"/>
                <w:color w:val="auto"/>
                <w:highlight w:val="none"/>
              </w:rPr>
              <w:t>00μmol/mol，应加盖密闭。</w:t>
            </w:r>
          </w:p>
          <w:p w14:paraId="367C976C">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2、废水储存、处理设施</w:t>
            </w:r>
            <w:r>
              <w:rPr>
                <w:rFonts w:hint="eastAsia" w:ascii="Times New Roman" w:hAnsi="Times New Roman" w:eastAsia="宋体" w:cs="Times New Roman"/>
                <w:b w:val="0"/>
                <w:bCs w:val="0"/>
                <w:color w:val="auto"/>
                <w:highlight w:val="none"/>
                <w:lang w:eastAsia="zh-CN"/>
              </w:rPr>
              <w:t>，在曝气池及其之前</w:t>
            </w:r>
            <w:r>
              <w:rPr>
                <w:rFonts w:hint="eastAsia" w:ascii="Times New Roman" w:hAnsi="Times New Roman" w:eastAsia="宋体" w:cs="Times New Roman"/>
                <w:b w:val="0"/>
                <w:bCs w:val="0"/>
                <w:color w:val="auto"/>
                <w:highlight w:val="none"/>
              </w:rPr>
              <w:t>加盖密闭或采用等效措施，并密闭排气至有机废气治理设施。</w:t>
            </w:r>
          </w:p>
          <w:p w14:paraId="00A9ED3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3、同A级第3条要求。</w:t>
            </w:r>
          </w:p>
          <w:p w14:paraId="1881A9F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4、同A级第4条</w:t>
            </w:r>
            <w:r>
              <w:rPr>
                <w:rFonts w:hint="eastAsia" w:ascii="Times New Roman" w:hAnsi="Times New Roman" w:eastAsia="宋体" w:cs="Times New Roman"/>
                <w:b w:val="0"/>
                <w:bCs w:val="0"/>
                <w:color w:val="auto"/>
                <w:highlight w:val="none"/>
                <w:lang w:eastAsia="zh-CN"/>
              </w:rPr>
              <w:t>要求</w:t>
            </w:r>
            <w:r>
              <w:rPr>
                <w:rFonts w:hint="eastAsia" w:ascii="Times New Roman" w:hAnsi="Times New Roman" w:eastAsia="宋体" w:cs="Times New Roman"/>
                <w:b w:val="0"/>
                <w:bCs w:val="0"/>
                <w:color w:val="auto"/>
                <w:highlight w:val="none"/>
              </w:rPr>
              <w:t>。</w:t>
            </w:r>
          </w:p>
        </w:tc>
        <w:tc>
          <w:tcPr>
            <w:tcW w:w="619" w:type="pct"/>
            <w:tcBorders>
              <w:top w:val="single" w:color="auto" w:sz="4" w:space="0"/>
              <w:left w:val="single" w:color="auto" w:sz="4" w:space="0"/>
              <w:bottom w:val="single" w:color="auto" w:sz="4" w:space="0"/>
              <w:right w:val="single" w:color="auto" w:sz="4" w:space="0"/>
            </w:tcBorders>
            <w:vAlign w:val="center"/>
          </w:tcPr>
          <w:p w14:paraId="58379D9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1F61AB9C">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本项目不涉及</w:t>
            </w:r>
            <w:r>
              <w:rPr>
                <w:rFonts w:hint="eastAsia" w:ascii="Times New Roman" w:hAnsi="Times New Roman" w:eastAsia="宋体" w:cs="Times New Roman"/>
                <w:b w:val="0"/>
                <w:bCs w:val="0"/>
                <w:color w:val="auto"/>
                <w:highlight w:val="none"/>
              </w:rPr>
              <w:t>含VOCs废水</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极少量臭气随其他工艺废气一起经</w:t>
            </w:r>
            <w:r>
              <w:rPr>
                <w:rFonts w:hint="eastAsia"/>
                <w:color w:val="auto"/>
                <w:lang w:val="en-US" w:eastAsia="zh-CN"/>
              </w:rPr>
              <w:t>二级碱喷淋（自带除雾装置）+两级活性炭吸附装置处理。</w:t>
            </w:r>
          </w:p>
        </w:tc>
        <w:tc>
          <w:tcPr>
            <w:tcW w:w="387" w:type="pct"/>
            <w:tcBorders>
              <w:top w:val="single" w:color="auto" w:sz="4" w:space="0"/>
              <w:left w:val="single" w:color="auto" w:sz="4" w:space="0"/>
              <w:bottom w:val="single" w:color="auto" w:sz="4" w:space="0"/>
              <w:right w:val="single" w:color="auto" w:sz="4" w:space="0"/>
            </w:tcBorders>
            <w:vAlign w:val="center"/>
          </w:tcPr>
          <w:p w14:paraId="6D373C4F">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C级</w:t>
            </w:r>
          </w:p>
        </w:tc>
      </w:tr>
      <w:tr w14:paraId="142A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0" w:hRule="atLeast"/>
        </w:trPr>
        <w:tc>
          <w:tcPr>
            <w:tcW w:w="353" w:type="pct"/>
            <w:tcBorders>
              <w:top w:val="single" w:color="auto" w:sz="4" w:space="0"/>
              <w:left w:val="single" w:color="auto" w:sz="4" w:space="0"/>
              <w:bottom w:val="single" w:color="auto" w:sz="4" w:space="0"/>
              <w:right w:val="single" w:color="auto" w:sz="4" w:space="0"/>
            </w:tcBorders>
            <w:vAlign w:val="center"/>
          </w:tcPr>
          <w:p w14:paraId="71B5D0E8">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加热炉/锅炉及其他</w:t>
            </w:r>
          </w:p>
        </w:tc>
        <w:tc>
          <w:tcPr>
            <w:tcW w:w="1552" w:type="pct"/>
            <w:tcBorders>
              <w:top w:val="single" w:color="auto" w:sz="4" w:space="0"/>
              <w:left w:val="single" w:color="auto" w:sz="4" w:space="0"/>
              <w:bottom w:val="single" w:color="auto" w:sz="4" w:space="0"/>
              <w:right w:val="single" w:color="auto" w:sz="4" w:space="0"/>
            </w:tcBorders>
            <w:vAlign w:val="center"/>
          </w:tcPr>
          <w:p w14:paraId="779E9C1B">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1、PM治理采用覆膜袋式除尘器、滤筒除尘器、湿电除尘等高效除尘技术（除湿电除尘外，设计效率不低于99%）。</w:t>
            </w:r>
          </w:p>
          <w:p w14:paraId="3D02D26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2、脱硫采用石灰石/石灰-石膏湿法、氨法、半干法/干法脱硫等。</w:t>
            </w:r>
          </w:p>
          <w:p w14:paraId="3914E85B">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3、燃气锅炉（导热油炉）完成低氮燃烧改造。</w:t>
            </w:r>
          </w:p>
          <w:p w14:paraId="4C7D26F4">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4、燃气炉窑采用低氮燃烧、SCR、SNCR等脱硝技术。</w:t>
            </w:r>
          </w:p>
          <w:p w14:paraId="757255A3">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5、</w:t>
            </w:r>
            <w:r>
              <w:rPr>
                <w:rFonts w:hint="eastAsia" w:ascii="Times New Roman" w:hAnsi="Times New Roman" w:eastAsia="宋体" w:cs="Times New Roman"/>
                <w:b w:val="0"/>
                <w:bCs w:val="0"/>
                <w:color w:val="auto"/>
                <w:highlight w:val="none"/>
                <w:lang w:eastAsia="zh-CN"/>
              </w:rPr>
              <w:t>其他</w:t>
            </w:r>
            <w:r>
              <w:rPr>
                <w:rFonts w:hint="eastAsia" w:ascii="Times New Roman" w:hAnsi="Times New Roman" w:eastAsia="宋体" w:cs="Times New Roman"/>
                <w:b w:val="0"/>
                <w:bCs w:val="0"/>
                <w:color w:val="auto"/>
                <w:highlight w:val="none"/>
              </w:rPr>
              <w:t>工艺有机废气全部采用热力焚烧、催化燃烧、蓄热燃烧、吸附浓缩+催化燃烧等高效有机废气治理设施或送工艺加热炉、锅炉直接燃烧处理。</w:t>
            </w:r>
          </w:p>
        </w:tc>
        <w:tc>
          <w:tcPr>
            <w:tcW w:w="1438" w:type="pct"/>
            <w:tcBorders>
              <w:top w:val="single" w:color="auto" w:sz="4" w:space="0"/>
              <w:left w:val="single" w:color="auto" w:sz="4" w:space="0"/>
              <w:bottom w:val="single" w:color="auto" w:sz="4" w:space="0"/>
              <w:right w:val="single" w:color="auto" w:sz="4" w:space="0"/>
            </w:tcBorders>
            <w:vAlign w:val="center"/>
          </w:tcPr>
          <w:p w14:paraId="1389FE6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1、PM治理采用袋式除尘器、静电除尘等高效除尘技术。</w:t>
            </w:r>
          </w:p>
          <w:p w14:paraId="76CB5106">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2、脱硫采用钠碱法、双碱法脱硫（配自动加碱和pH值测量）等。</w:t>
            </w:r>
          </w:p>
          <w:p w14:paraId="7119C86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3、同A级第3条要求。</w:t>
            </w:r>
          </w:p>
          <w:p w14:paraId="29C3C4D7">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4、同A级第4条要求。</w:t>
            </w:r>
          </w:p>
          <w:p w14:paraId="01BCBF07">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5、</w:t>
            </w:r>
            <w:r>
              <w:rPr>
                <w:rFonts w:hint="eastAsia" w:ascii="Times New Roman" w:hAnsi="Times New Roman" w:eastAsia="宋体" w:cs="Times New Roman"/>
                <w:b w:val="0"/>
                <w:bCs w:val="0"/>
                <w:color w:val="auto"/>
                <w:highlight w:val="none"/>
                <w:lang w:eastAsia="zh-CN"/>
              </w:rPr>
              <w:t>其他</w:t>
            </w:r>
            <w:r>
              <w:rPr>
                <w:rFonts w:hint="eastAsia" w:ascii="Times New Roman" w:hAnsi="Times New Roman" w:eastAsia="宋体" w:cs="Times New Roman"/>
                <w:b w:val="0"/>
                <w:bCs w:val="0"/>
                <w:color w:val="auto"/>
                <w:highlight w:val="none"/>
              </w:rPr>
              <w:t>工艺有机废气</w:t>
            </w:r>
            <w:r>
              <w:rPr>
                <w:rFonts w:hint="eastAsia" w:ascii="Times New Roman" w:hAnsi="Times New Roman" w:eastAsia="宋体" w:cs="Times New Roman"/>
                <w:b w:val="0"/>
                <w:bCs w:val="0"/>
                <w:color w:val="auto"/>
                <w:highlight w:val="none"/>
                <w:lang w:eastAsia="zh-CN"/>
              </w:rPr>
              <w:t>中</w:t>
            </w:r>
            <w:r>
              <w:rPr>
                <w:rFonts w:hint="eastAsia" w:ascii="Times New Roman" w:hAnsi="Times New Roman" w:eastAsia="宋体" w:cs="Times New Roman"/>
                <w:b w:val="0"/>
                <w:bCs w:val="0"/>
                <w:color w:val="auto"/>
                <w:highlight w:val="none"/>
                <w:lang w:val="en-US" w:eastAsia="zh-CN"/>
              </w:rPr>
              <w:t>NMHC</w:t>
            </w:r>
            <w:r>
              <w:rPr>
                <w:rFonts w:hint="eastAsia" w:ascii="Times New Roman" w:hAnsi="Times New Roman" w:eastAsia="宋体" w:cs="Times New Roman"/>
                <w:b w:val="0"/>
                <w:bCs w:val="0"/>
                <w:color w:val="auto"/>
                <w:highlight w:val="none"/>
              </w:rPr>
              <w:t>初始排放速率</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2kg/h</w:t>
            </w:r>
            <w:r>
              <w:rPr>
                <w:rFonts w:hint="eastAsia" w:ascii="Times New Roman" w:hAnsi="Times New Roman" w:eastAsia="宋体" w:cs="Times New Roman"/>
                <w:b w:val="0"/>
                <w:bCs w:val="0"/>
                <w:color w:val="auto"/>
                <w:highlight w:val="none"/>
                <w:lang w:eastAsia="zh-CN"/>
              </w:rPr>
              <w:t>时，</w:t>
            </w:r>
            <w:r>
              <w:rPr>
                <w:rFonts w:hint="eastAsia" w:ascii="Times New Roman" w:hAnsi="Times New Roman" w:eastAsia="宋体" w:cs="Times New Roman"/>
                <w:b w:val="0"/>
                <w:bCs w:val="0"/>
                <w:color w:val="auto"/>
                <w:highlight w:val="none"/>
              </w:rPr>
              <w:t>采用吸收、吸附、冷凝、膜分离等两级及以上组合工艺处理，处理效率应不低于80%</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2kg/h</w:t>
            </w:r>
            <w:r>
              <w:rPr>
                <w:rFonts w:hint="eastAsia" w:ascii="Times New Roman" w:hAnsi="Times New Roman" w:eastAsia="宋体" w:cs="Times New Roman"/>
                <w:b w:val="0"/>
                <w:bCs w:val="0"/>
                <w:color w:val="auto"/>
                <w:highlight w:val="none"/>
                <w:lang w:eastAsia="zh-CN"/>
              </w:rPr>
              <w:t>时</w:t>
            </w:r>
            <w:r>
              <w:rPr>
                <w:rFonts w:hint="eastAsia" w:ascii="Times New Roman" w:hAnsi="Times New Roman" w:eastAsia="宋体" w:cs="Times New Roman"/>
                <w:b w:val="0"/>
                <w:bCs w:val="0"/>
                <w:color w:val="auto"/>
                <w:highlight w:val="none"/>
              </w:rPr>
              <w:t>，可采用活性炭吸附等有效的治理工艺。</w:t>
            </w:r>
          </w:p>
        </w:tc>
        <w:tc>
          <w:tcPr>
            <w:tcW w:w="619" w:type="pct"/>
            <w:tcBorders>
              <w:top w:val="single" w:color="auto" w:sz="4" w:space="0"/>
              <w:left w:val="single" w:color="auto" w:sz="4" w:space="0"/>
              <w:bottom w:val="single" w:color="auto" w:sz="4" w:space="0"/>
              <w:right w:val="single" w:color="auto" w:sz="4" w:space="0"/>
            </w:tcBorders>
            <w:vAlign w:val="center"/>
          </w:tcPr>
          <w:p w14:paraId="7FCA234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4C306118">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本项目投料粉尘随其他工艺废气一起经</w:t>
            </w:r>
            <w:r>
              <w:rPr>
                <w:rFonts w:hint="eastAsia"/>
                <w:color w:val="auto"/>
                <w:lang w:val="en-US" w:eastAsia="zh-CN"/>
              </w:rPr>
              <w:t>二级碱喷淋（自带除雾装置）+两级活性炭吸附装置处理。</w:t>
            </w:r>
          </w:p>
        </w:tc>
        <w:tc>
          <w:tcPr>
            <w:tcW w:w="387" w:type="pct"/>
            <w:tcBorders>
              <w:top w:val="single" w:color="auto" w:sz="4" w:space="0"/>
              <w:left w:val="single" w:color="auto" w:sz="4" w:space="0"/>
              <w:bottom w:val="single" w:color="auto" w:sz="4" w:space="0"/>
              <w:right w:val="single" w:color="auto" w:sz="4" w:space="0"/>
            </w:tcBorders>
            <w:vAlign w:val="center"/>
          </w:tcPr>
          <w:p w14:paraId="02178BA1">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C级</w:t>
            </w:r>
          </w:p>
        </w:tc>
      </w:tr>
      <w:tr w14:paraId="60AA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59FCDD69">
            <w:pPr>
              <w:pStyle w:val="24"/>
              <w:jc w:val="center"/>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无组织管控</w:t>
            </w:r>
          </w:p>
        </w:tc>
        <w:tc>
          <w:tcPr>
            <w:tcW w:w="1552" w:type="pct"/>
            <w:tcBorders>
              <w:top w:val="single" w:color="auto" w:sz="4" w:space="0"/>
              <w:left w:val="single" w:color="auto" w:sz="4" w:space="0"/>
              <w:bottom w:val="single" w:color="auto" w:sz="4" w:space="0"/>
              <w:right w:val="single" w:color="auto" w:sz="4" w:space="0"/>
            </w:tcBorders>
            <w:vAlign w:val="center"/>
          </w:tcPr>
          <w:p w14:paraId="0A3C68C2">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满足《挥发性有机物无组织排放控制标准》（GB 37822-2019）特别控制要求。</w:t>
            </w:r>
          </w:p>
          <w:p w14:paraId="21E70657">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一、生产工艺</w:t>
            </w:r>
          </w:p>
          <w:p w14:paraId="2FB62703">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1、所有物料采用密闭/封闭方式储存，含VOCs物料配备废气负压收集至VOCs处理设施。</w:t>
            </w:r>
          </w:p>
          <w:p w14:paraId="04F0B393">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2、厂区内物料转移和输送采用气力输送、封闭皮带等，无法封闭的产尘点（物料转载、下料口等）应设置独立集气罩，配套的废气治理设施不与室内通风除尘混用。</w:t>
            </w:r>
          </w:p>
          <w:p w14:paraId="60F0A93D">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3、含VOCs物料采用密闭输送、密闭投加或</w:t>
            </w:r>
            <w:r>
              <w:rPr>
                <w:rFonts w:hint="eastAsia" w:ascii="Times New Roman" w:hAnsi="Times New Roman" w:eastAsia="宋体" w:cs="Times New Roman"/>
                <w:b w:val="0"/>
                <w:bCs w:val="0"/>
                <w:color w:val="auto"/>
                <w:highlight w:val="none"/>
                <w:lang w:eastAsia="zh-CN"/>
              </w:rPr>
              <w:t>在</w:t>
            </w:r>
            <w:r>
              <w:rPr>
                <w:rFonts w:hint="eastAsia" w:ascii="Times New Roman" w:hAnsi="Times New Roman" w:eastAsia="宋体" w:cs="Times New Roman"/>
                <w:b w:val="0"/>
                <w:bCs w:val="0"/>
                <w:color w:val="auto"/>
                <w:highlight w:val="none"/>
              </w:rPr>
              <w:t>密闭</w:t>
            </w:r>
            <w:r>
              <w:rPr>
                <w:rFonts w:hint="eastAsia" w:ascii="Times New Roman" w:hAnsi="Times New Roman" w:eastAsia="宋体" w:cs="Times New Roman"/>
                <w:b w:val="0"/>
                <w:bCs w:val="0"/>
                <w:color w:val="auto"/>
                <w:highlight w:val="none"/>
                <w:lang w:eastAsia="zh-CN"/>
              </w:rPr>
              <w:t>空间内</w:t>
            </w:r>
            <w:r>
              <w:rPr>
                <w:rFonts w:hint="eastAsia" w:ascii="Times New Roman" w:hAnsi="Times New Roman" w:eastAsia="宋体" w:cs="Times New Roman"/>
                <w:b w:val="0"/>
                <w:bCs w:val="0"/>
                <w:color w:val="auto"/>
                <w:highlight w:val="none"/>
              </w:rPr>
              <w:t>操作。</w:t>
            </w:r>
          </w:p>
          <w:p w14:paraId="5EA8B744">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4、车间产尘点和涉VOCs工序安装集气罩和治理设施。</w:t>
            </w:r>
          </w:p>
          <w:p w14:paraId="5CE82482">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二、车间、料场环境</w:t>
            </w:r>
          </w:p>
          <w:p w14:paraId="7484F9D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1、生产车间地面干净，生产设施、设备材料表面无积料、积灰现象。</w:t>
            </w:r>
          </w:p>
          <w:p w14:paraId="13D75FB8">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2、封闭料棚，料场内路面全部硬化，料场货物进出大门为硬质材料门。</w:t>
            </w:r>
          </w:p>
          <w:p w14:paraId="30587B6C">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3、在确保安全的前提下，所有门窗应处于封闭状态。</w:t>
            </w:r>
          </w:p>
          <w:p w14:paraId="72EA99A2">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4、生产车间无可见烟粉尘外逸。</w:t>
            </w:r>
          </w:p>
        </w:tc>
        <w:tc>
          <w:tcPr>
            <w:tcW w:w="2058" w:type="pct"/>
            <w:gridSpan w:val="2"/>
            <w:tcBorders>
              <w:top w:val="single" w:color="auto" w:sz="4" w:space="0"/>
              <w:left w:val="single" w:color="auto" w:sz="4" w:space="0"/>
              <w:bottom w:val="single" w:color="auto" w:sz="4" w:space="0"/>
              <w:right w:val="single" w:color="auto" w:sz="4" w:space="0"/>
            </w:tcBorders>
            <w:vAlign w:val="center"/>
          </w:tcPr>
          <w:p w14:paraId="2AAEC08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未达到A、B级要求。</w:t>
            </w:r>
          </w:p>
        </w:tc>
        <w:tc>
          <w:tcPr>
            <w:tcW w:w="648" w:type="pct"/>
            <w:tcBorders>
              <w:top w:val="single" w:color="auto" w:sz="4" w:space="0"/>
              <w:left w:val="single" w:color="auto" w:sz="4" w:space="0"/>
              <w:bottom w:val="single" w:color="auto" w:sz="4" w:space="0"/>
              <w:right w:val="single" w:color="auto" w:sz="4" w:space="0"/>
            </w:tcBorders>
            <w:vAlign w:val="center"/>
          </w:tcPr>
          <w:p w14:paraId="415840E7">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本项目符合</w:t>
            </w:r>
            <w:r>
              <w:rPr>
                <w:rFonts w:hint="eastAsia" w:ascii="Times New Roman" w:hAnsi="Times New Roman" w:eastAsia="宋体" w:cs="Times New Roman"/>
                <w:b w:val="0"/>
                <w:bCs w:val="0"/>
                <w:color w:val="auto"/>
                <w:highlight w:val="none"/>
              </w:rPr>
              <w:t>《挥发性有机物无组织排放控制标准》（GB 37822-2019）特别控制要求</w:t>
            </w:r>
            <w:r>
              <w:rPr>
                <w:rFonts w:hint="eastAsia" w:ascii="Times New Roman" w:hAnsi="Times New Roman" w:eastAsia="宋体" w:cs="Times New Roman"/>
                <w:b w:val="0"/>
                <w:bCs w:val="0"/>
                <w:color w:val="auto"/>
                <w:highlight w:val="none"/>
                <w:lang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327CA1C7">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259D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076E36E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排放限值</w:t>
            </w:r>
          </w:p>
        </w:tc>
        <w:tc>
          <w:tcPr>
            <w:tcW w:w="1552" w:type="pct"/>
            <w:tcBorders>
              <w:top w:val="single" w:color="auto" w:sz="4" w:space="0"/>
              <w:left w:val="single" w:color="auto" w:sz="4" w:space="0"/>
              <w:bottom w:val="single" w:color="auto" w:sz="4" w:space="0"/>
              <w:right w:val="single" w:color="auto" w:sz="4" w:space="0"/>
            </w:tcBorders>
            <w:vAlign w:val="center"/>
          </w:tcPr>
          <w:p w14:paraId="2F7EFF7F">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1、全厂PM、NMHC有组织排放限值要求浓度分别不超过10、20mg/m</w:t>
            </w:r>
            <w:r>
              <w:rPr>
                <w:rFonts w:hint="eastAsia" w:ascii="Times New Roman" w:hAnsi="Times New Roman" w:eastAsia="宋体" w:cs="Times New Roman"/>
                <w:b w:val="0"/>
                <w:bCs w:val="0"/>
                <w:color w:val="auto"/>
                <w:highlight w:val="none"/>
                <w:vertAlign w:val="superscript"/>
              </w:rPr>
              <w:t>3</w:t>
            </w:r>
            <w:r>
              <w:rPr>
                <w:rFonts w:hint="eastAsia" w:ascii="Times New Roman" w:hAnsi="Times New Roman" w:eastAsia="宋体" w:cs="Times New Roman"/>
                <w:b w:val="0"/>
                <w:bCs w:val="0"/>
                <w:color w:val="auto"/>
                <w:highlight w:val="none"/>
              </w:rPr>
              <w:t>，且其他污染物稳定达到国家/地方排放限值。</w:t>
            </w:r>
          </w:p>
          <w:p w14:paraId="0A371D61">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2、VOCs治理设施同步运行率达到100%。</w:t>
            </w:r>
          </w:p>
          <w:p w14:paraId="7F77928A">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3、污水处理站周界监控点环境空气臭气浓度低于20，NH</w:t>
            </w:r>
            <w:r>
              <w:rPr>
                <w:rFonts w:hint="eastAsia" w:ascii="Times New Roman" w:hAnsi="Times New Roman" w:eastAsia="宋体" w:cs="Times New Roman"/>
                <w:b w:val="0"/>
                <w:bCs w:val="0"/>
                <w:color w:val="auto"/>
                <w:highlight w:val="none"/>
                <w:vertAlign w:val="subscript"/>
              </w:rPr>
              <w:t>3</w:t>
            </w:r>
            <w:r>
              <w:rPr>
                <w:rFonts w:hint="eastAsia" w:ascii="Times New Roman" w:hAnsi="Times New Roman" w:eastAsia="宋体" w:cs="Times New Roman"/>
                <w:b w:val="0"/>
                <w:bCs w:val="0"/>
                <w:color w:val="auto"/>
                <w:highlight w:val="none"/>
              </w:rPr>
              <w:t>、H</w:t>
            </w:r>
            <w:r>
              <w:rPr>
                <w:rFonts w:hint="eastAsia" w:ascii="Times New Roman" w:hAnsi="Times New Roman" w:eastAsia="宋体" w:cs="Times New Roman"/>
                <w:b w:val="0"/>
                <w:bCs w:val="0"/>
                <w:color w:val="auto"/>
                <w:highlight w:val="none"/>
                <w:vertAlign w:val="subscript"/>
              </w:rPr>
              <w:t>2</w:t>
            </w:r>
            <w:r>
              <w:rPr>
                <w:rFonts w:hint="eastAsia" w:ascii="Times New Roman" w:hAnsi="Times New Roman" w:eastAsia="宋体" w:cs="Times New Roman"/>
                <w:b w:val="0"/>
                <w:bCs w:val="0"/>
                <w:color w:val="auto"/>
                <w:highlight w:val="none"/>
              </w:rPr>
              <w:t>S浓度分别低于0.2、0.02</w:t>
            </w:r>
            <w:r>
              <w:rPr>
                <w:rFonts w:hint="eastAsia" w:ascii="Times New Roman" w:hAnsi="Times New Roman" w:eastAsia="宋体" w:cs="Times New Roman"/>
                <w:b w:val="0"/>
                <w:bCs w:val="0"/>
                <w:color w:val="auto"/>
                <w:highlight w:val="none"/>
                <w:lang w:val="en-US" w:eastAsia="zh-CN"/>
              </w:rPr>
              <w:t xml:space="preserve"> </w:t>
            </w:r>
            <w:r>
              <w:rPr>
                <w:rFonts w:hint="eastAsia" w:ascii="Times New Roman" w:hAnsi="Times New Roman" w:eastAsia="宋体" w:cs="Times New Roman"/>
                <w:b w:val="0"/>
                <w:bCs w:val="0"/>
                <w:color w:val="auto"/>
                <w:highlight w:val="none"/>
              </w:rPr>
              <w:t>mg/m</w:t>
            </w:r>
            <w:r>
              <w:rPr>
                <w:rFonts w:hint="eastAsia" w:ascii="Times New Roman" w:hAnsi="Times New Roman" w:eastAsia="宋体" w:cs="Times New Roman"/>
                <w:b w:val="0"/>
                <w:bCs w:val="0"/>
                <w:color w:val="auto"/>
                <w:highlight w:val="none"/>
                <w:vertAlign w:val="superscript"/>
              </w:rPr>
              <w:t>3</w:t>
            </w:r>
            <w:r>
              <w:rPr>
                <w:rFonts w:hint="eastAsia" w:ascii="Times New Roman" w:hAnsi="Times New Roman" w:eastAsia="宋体" w:cs="Times New Roman"/>
                <w:b w:val="0"/>
                <w:bCs w:val="0"/>
                <w:color w:val="auto"/>
                <w:highlight w:val="none"/>
              </w:rPr>
              <w:t>，其他特征污染物满足排污许可证排放限值要求。</w:t>
            </w:r>
          </w:p>
          <w:p w14:paraId="58412CCD">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4、若涉及脱硝氨逃逸浓度小于8mg/m</w:t>
            </w:r>
            <w:r>
              <w:rPr>
                <w:rFonts w:hint="eastAsia" w:ascii="Times New Roman" w:hAnsi="Times New Roman" w:eastAsia="宋体" w:cs="Times New Roman"/>
                <w:b w:val="0"/>
                <w:bCs w:val="0"/>
                <w:color w:val="auto"/>
                <w:highlight w:val="none"/>
                <w:vertAlign w:val="superscript"/>
              </w:rPr>
              <w:t>3</w:t>
            </w:r>
            <w:r>
              <w:rPr>
                <w:rFonts w:hint="eastAsia" w:ascii="Times New Roman" w:hAnsi="Times New Roman" w:eastAsia="宋体" w:cs="Times New Roman"/>
                <w:b w:val="0"/>
                <w:bCs w:val="0"/>
                <w:color w:val="auto"/>
                <w:highlight w:val="none"/>
              </w:rPr>
              <w:t>。</w:t>
            </w:r>
          </w:p>
        </w:tc>
        <w:tc>
          <w:tcPr>
            <w:tcW w:w="1438" w:type="pct"/>
            <w:tcBorders>
              <w:top w:val="single" w:color="auto" w:sz="4" w:space="0"/>
              <w:left w:val="single" w:color="auto" w:sz="4" w:space="0"/>
              <w:bottom w:val="single" w:color="auto" w:sz="4" w:space="0"/>
              <w:right w:val="single" w:color="auto" w:sz="4" w:space="0"/>
            </w:tcBorders>
            <w:vAlign w:val="center"/>
          </w:tcPr>
          <w:p w14:paraId="5D247E2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1、全厂PM、NMHC有组织排放浓度分别不超过10、40mg/m</w:t>
            </w:r>
            <w:r>
              <w:rPr>
                <w:rFonts w:hint="eastAsia" w:ascii="Times New Roman" w:hAnsi="Times New Roman" w:eastAsia="宋体" w:cs="Times New Roman"/>
                <w:b w:val="0"/>
                <w:bCs w:val="0"/>
                <w:color w:val="auto"/>
                <w:highlight w:val="none"/>
                <w:vertAlign w:val="superscript"/>
              </w:rPr>
              <w:t>3</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且其他污染物稳定达到国家/地方排放限值。</w:t>
            </w:r>
          </w:p>
          <w:p w14:paraId="7B1F5B06">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2、同A级第2条要求。</w:t>
            </w:r>
          </w:p>
          <w:p w14:paraId="12C9FD7E">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3、同A级第3条要求。</w:t>
            </w:r>
          </w:p>
          <w:p w14:paraId="0B28FA69">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4、同A级第4条要求。</w:t>
            </w:r>
          </w:p>
        </w:tc>
        <w:tc>
          <w:tcPr>
            <w:tcW w:w="619" w:type="pct"/>
            <w:tcBorders>
              <w:top w:val="single" w:color="auto" w:sz="4" w:space="0"/>
              <w:left w:val="single" w:color="auto" w:sz="4" w:space="0"/>
              <w:bottom w:val="single" w:color="auto" w:sz="4" w:space="0"/>
              <w:right w:val="single" w:color="auto" w:sz="4" w:space="0"/>
            </w:tcBorders>
            <w:vAlign w:val="center"/>
          </w:tcPr>
          <w:p w14:paraId="1EB61139">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7C8860D4">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本项目颗粒物、VOCs排放浓度分别为0.2、0.88</w:t>
            </w:r>
            <w:r>
              <w:rPr>
                <w:rFonts w:hint="eastAsia" w:ascii="Times New Roman" w:hAnsi="Times New Roman" w:eastAsia="宋体" w:cs="Times New Roman"/>
                <w:b w:val="0"/>
                <w:bCs w:val="0"/>
                <w:color w:val="auto"/>
                <w:highlight w:val="none"/>
              </w:rPr>
              <w:t>mg/m</w:t>
            </w:r>
            <w:r>
              <w:rPr>
                <w:rFonts w:hint="eastAsia" w:ascii="Times New Roman" w:hAnsi="Times New Roman" w:eastAsia="宋体" w:cs="Times New Roman"/>
                <w:b w:val="0"/>
                <w:bCs w:val="0"/>
                <w:color w:val="auto"/>
                <w:highlight w:val="none"/>
                <w:vertAlign w:val="superscript"/>
              </w:rPr>
              <w:t>3</w:t>
            </w:r>
            <w:r>
              <w:rPr>
                <w:rFonts w:hint="eastAsia" w:ascii="Times New Roman" w:hAnsi="Times New Roman" w:eastAsia="宋体" w:cs="Times New Roman"/>
                <w:b w:val="0"/>
                <w:bCs w:val="0"/>
                <w:color w:val="auto"/>
                <w:highlight w:val="none"/>
              </w:rPr>
              <w:t>，且其他污染物</w:t>
            </w:r>
            <w:r>
              <w:rPr>
                <w:rFonts w:hint="eastAsia" w:ascii="Times New Roman" w:hAnsi="Times New Roman" w:eastAsia="宋体" w:cs="Times New Roman"/>
                <w:b w:val="0"/>
                <w:bCs w:val="0"/>
                <w:color w:val="auto"/>
                <w:highlight w:val="none"/>
                <w:lang w:val="en-US" w:eastAsia="zh-CN"/>
              </w:rPr>
              <w:t>能</w:t>
            </w:r>
            <w:r>
              <w:rPr>
                <w:rFonts w:hint="eastAsia" w:ascii="Times New Roman" w:hAnsi="Times New Roman" w:eastAsia="宋体" w:cs="Times New Roman"/>
                <w:b w:val="0"/>
                <w:bCs w:val="0"/>
                <w:color w:val="auto"/>
                <w:highlight w:val="none"/>
              </w:rPr>
              <w:t>达到国家/地方排放限值</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VOCs治理设施同步运行率达到100%</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不涉及污水处理站。</w:t>
            </w:r>
          </w:p>
        </w:tc>
        <w:tc>
          <w:tcPr>
            <w:tcW w:w="387" w:type="pct"/>
            <w:tcBorders>
              <w:top w:val="single" w:color="auto" w:sz="4" w:space="0"/>
              <w:left w:val="single" w:color="auto" w:sz="4" w:space="0"/>
              <w:bottom w:val="single" w:color="auto" w:sz="4" w:space="0"/>
              <w:right w:val="single" w:color="auto" w:sz="4" w:space="0"/>
            </w:tcBorders>
            <w:vAlign w:val="center"/>
          </w:tcPr>
          <w:p w14:paraId="12955C3F">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4685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7C61AE08">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监测监控水平</w:t>
            </w:r>
          </w:p>
        </w:tc>
        <w:tc>
          <w:tcPr>
            <w:tcW w:w="2991" w:type="pct"/>
            <w:gridSpan w:val="2"/>
            <w:tcBorders>
              <w:top w:val="single" w:color="auto" w:sz="4" w:space="0"/>
              <w:left w:val="single" w:color="auto" w:sz="4" w:space="0"/>
              <w:bottom w:val="single" w:color="auto" w:sz="4" w:space="0"/>
              <w:right w:val="single" w:color="auto" w:sz="4" w:space="0"/>
            </w:tcBorders>
            <w:vAlign w:val="center"/>
          </w:tcPr>
          <w:p w14:paraId="1B9084C3">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1、重点排污单位且废气风量大于10000m</w:t>
            </w:r>
            <w:r>
              <w:rPr>
                <w:rFonts w:hint="eastAsia" w:ascii="Times New Roman" w:hAnsi="Times New Roman" w:eastAsia="宋体" w:cs="Times New Roman"/>
                <w:b w:val="0"/>
                <w:bCs w:val="0"/>
                <w:color w:val="auto"/>
                <w:highlight w:val="none"/>
                <w:vertAlign w:val="superscript"/>
              </w:rPr>
              <w:t>3</w:t>
            </w:r>
            <w:r>
              <w:rPr>
                <w:rFonts w:hint="eastAsia" w:ascii="Times New Roman" w:hAnsi="Times New Roman" w:eastAsia="宋体" w:cs="Times New Roman"/>
                <w:b w:val="0"/>
                <w:bCs w:val="0"/>
                <w:color w:val="auto"/>
                <w:highlight w:val="none"/>
              </w:rPr>
              <w:t>/h的</w:t>
            </w:r>
            <w:r>
              <w:rPr>
                <w:rFonts w:hint="eastAsia" w:ascii="Times New Roman" w:hAnsi="Times New Roman" w:eastAsia="宋体" w:cs="Times New Roman"/>
                <w:b w:val="0"/>
                <w:bCs w:val="0"/>
                <w:color w:val="auto"/>
                <w:highlight w:val="none"/>
                <w:lang w:eastAsia="zh-CN"/>
              </w:rPr>
              <w:t>有机废气主要</w:t>
            </w:r>
            <w:r>
              <w:rPr>
                <w:rFonts w:hint="eastAsia" w:ascii="Times New Roman" w:hAnsi="Times New Roman" w:eastAsia="宋体" w:cs="Times New Roman"/>
                <w:b w:val="0"/>
                <w:bCs w:val="0"/>
                <w:color w:val="auto"/>
                <w:highlight w:val="none"/>
              </w:rPr>
              <w:t>排放口</w:t>
            </w:r>
            <w:r>
              <w:rPr>
                <w:rFonts w:hint="eastAsia" w:ascii="Times New Roman" w:hAnsi="Times New Roman" w:eastAsia="宋体" w:cs="Times New Roman"/>
                <w:b w:val="0"/>
                <w:bCs w:val="0"/>
                <w:color w:val="auto"/>
                <w:highlight w:val="none"/>
                <w:lang w:eastAsia="zh-CN"/>
              </w:rPr>
              <w:t>安装</w:t>
            </w:r>
            <w:r>
              <w:rPr>
                <w:rFonts w:hint="eastAsia" w:ascii="Times New Roman" w:hAnsi="Times New Roman" w:eastAsia="宋体" w:cs="Times New Roman"/>
                <w:b w:val="0"/>
                <w:bCs w:val="0"/>
                <w:color w:val="auto"/>
                <w:highlight w:val="none"/>
                <w:lang w:val="en-US" w:eastAsia="zh-CN"/>
              </w:rPr>
              <w:t>NMHC</w:t>
            </w:r>
            <w:r>
              <w:rPr>
                <w:rFonts w:hint="eastAsia" w:ascii="Times New Roman" w:hAnsi="Times New Roman" w:eastAsia="宋体" w:cs="Times New Roman"/>
                <w:b w:val="0"/>
                <w:bCs w:val="0"/>
                <w:color w:val="auto"/>
                <w:highlight w:val="none"/>
              </w:rPr>
              <w:t>在线监控系统（FID检测器），并与生态环境主管部门的监控设备联网，数据保存一年以上（</w:t>
            </w:r>
            <w:r>
              <w:rPr>
                <w:rFonts w:hint="eastAsia" w:ascii="Times New Roman" w:hAnsi="Times New Roman" w:eastAsia="宋体" w:cs="Times New Roman"/>
                <w:b w:val="0"/>
                <w:bCs w:val="0"/>
                <w:color w:val="auto"/>
                <w:highlight w:val="none"/>
                <w:lang w:eastAsia="zh-CN"/>
              </w:rPr>
              <w:t>投产或安装时间不满一年的企业</w:t>
            </w:r>
            <w:r>
              <w:rPr>
                <w:rFonts w:hint="eastAsia" w:ascii="Times New Roman" w:hAnsi="Times New Roman" w:eastAsia="宋体" w:cs="Times New Roman"/>
                <w:b w:val="0"/>
                <w:bCs w:val="0"/>
                <w:color w:val="auto"/>
                <w:highlight w:val="none"/>
              </w:rPr>
              <w:t>，以现有数据为准）。</w:t>
            </w:r>
          </w:p>
          <w:p w14:paraId="41C74950">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2、有组织排放口按照排污许可证、行业自行监测技术指南或排污单位自行监测技术指南总则等相关要求开展自行监测。</w:t>
            </w:r>
          </w:p>
          <w:p w14:paraId="2F5CC874">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3、厂区货运进出口、</w:t>
            </w:r>
            <w:r>
              <w:rPr>
                <w:rFonts w:hint="eastAsia" w:ascii="Times New Roman" w:hAnsi="Times New Roman" w:eastAsia="宋体" w:cs="Times New Roman"/>
                <w:b w:val="0"/>
                <w:bCs w:val="0"/>
                <w:color w:val="auto"/>
                <w:highlight w:val="none"/>
                <w:lang w:eastAsia="zh-CN"/>
              </w:rPr>
              <w:t>易产尘点</w:t>
            </w:r>
            <w:r>
              <w:rPr>
                <w:rFonts w:hint="eastAsia" w:ascii="Times New Roman" w:hAnsi="Times New Roman" w:eastAsia="宋体" w:cs="Times New Roman"/>
                <w:b w:val="0"/>
                <w:bCs w:val="0"/>
                <w:color w:val="auto"/>
                <w:highlight w:val="none"/>
              </w:rPr>
              <w:t>安装高清视频监控系统，视频监控数据保存3个月以上。</w:t>
            </w:r>
          </w:p>
          <w:p w14:paraId="435A95BC">
            <w:pPr>
              <w:pStyle w:val="24"/>
              <w:jc w:val="left"/>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4</w:t>
            </w:r>
            <w:r>
              <w:rPr>
                <w:rFonts w:hint="eastAsia" w:ascii="Times New Roman" w:hAnsi="Times New Roman" w:eastAsia="宋体" w:cs="Times New Roman"/>
                <w:b w:val="0"/>
                <w:bCs w:val="0"/>
                <w:color w:val="auto"/>
                <w:highlight w:val="none"/>
              </w:rPr>
              <w:t>、企业主要环保设施及生产设施安装分布式控制系统（DCS）或可保存和查看历史数据的可编程控制系统（PLC），记录企业环保设施运行及相关生产过程主要参数，数据保存一年以上。</w:t>
            </w:r>
          </w:p>
        </w:tc>
        <w:tc>
          <w:tcPr>
            <w:tcW w:w="619" w:type="pct"/>
            <w:tcBorders>
              <w:top w:val="single" w:color="auto" w:sz="4" w:space="0"/>
              <w:left w:val="single" w:color="auto" w:sz="4" w:space="0"/>
              <w:bottom w:val="single" w:color="auto" w:sz="4" w:space="0"/>
              <w:right w:val="single" w:color="auto" w:sz="4" w:space="0"/>
            </w:tcBorders>
            <w:vAlign w:val="center"/>
          </w:tcPr>
          <w:p w14:paraId="7A1B64A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未达到A、B级要求。</w:t>
            </w:r>
          </w:p>
        </w:tc>
        <w:tc>
          <w:tcPr>
            <w:tcW w:w="648" w:type="pct"/>
            <w:tcBorders>
              <w:top w:val="single" w:color="auto" w:sz="4" w:space="0"/>
              <w:left w:val="single" w:color="auto" w:sz="4" w:space="0"/>
              <w:bottom w:val="single" w:color="auto" w:sz="4" w:space="0"/>
              <w:right w:val="single" w:color="auto" w:sz="4" w:space="0"/>
            </w:tcBorders>
            <w:vAlign w:val="center"/>
          </w:tcPr>
          <w:p w14:paraId="62A7338A">
            <w:pPr>
              <w:pStyle w:val="24"/>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本项目不安装NMHC</w:t>
            </w:r>
            <w:r>
              <w:rPr>
                <w:rFonts w:hint="eastAsia" w:ascii="Times New Roman" w:hAnsi="Times New Roman" w:eastAsia="宋体" w:cs="Times New Roman"/>
                <w:b w:val="0"/>
                <w:bCs w:val="0"/>
                <w:color w:val="auto"/>
                <w:highlight w:val="none"/>
              </w:rPr>
              <w:t>在线监控系统</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主要环保设施及生产设施安装分布式控制系统（DCS）</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有组织排放口按照相关要求开展自行监测</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厂区货运进出口安装高清视频监控系统，视频监控数据保存3个月以上</w:t>
            </w:r>
            <w:r>
              <w:rPr>
                <w:rFonts w:hint="eastAsia" w:ascii="Times New Roman" w:hAnsi="Times New Roman" w:eastAsia="宋体" w:cs="Times New Roman"/>
                <w:b w:val="0"/>
                <w:bCs w:val="0"/>
                <w:color w:val="auto"/>
                <w:highlight w:val="none"/>
                <w:lang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0F6AD05D">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C级</w:t>
            </w:r>
          </w:p>
        </w:tc>
      </w:tr>
      <w:tr w14:paraId="1E85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vMerge w:val="restart"/>
            <w:tcBorders>
              <w:top w:val="single" w:color="auto" w:sz="4" w:space="0"/>
              <w:left w:val="single" w:color="auto" w:sz="4" w:space="0"/>
              <w:bottom w:val="single" w:color="auto" w:sz="4" w:space="0"/>
              <w:right w:val="single" w:color="auto" w:sz="4" w:space="0"/>
            </w:tcBorders>
            <w:vAlign w:val="center"/>
          </w:tcPr>
          <w:p w14:paraId="421A8EF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环境管理水平</w:t>
            </w:r>
          </w:p>
        </w:tc>
        <w:tc>
          <w:tcPr>
            <w:tcW w:w="3611" w:type="pct"/>
            <w:gridSpan w:val="3"/>
            <w:tcBorders>
              <w:top w:val="single" w:color="auto" w:sz="4" w:space="0"/>
              <w:left w:val="single" w:color="auto" w:sz="4" w:space="0"/>
              <w:bottom w:val="single" w:color="auto" w:sz="4" w:space="0"/>
              <w:right w:val="single" w:color="auto" w:sz="4" w:space="0"/>
            </w:tcBorders>
            <w:vAlign w:val="center"/>
          </w:tcPr>
          <w:p w14:paraId="12EACE79">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环保档案：1、环评批复文件和竣工环保验收文件或者环境现状评估备案证明；2、排污许可证或固定污染物源排污登记回执；3、环境管理制度（有组织、无组织排放长效管理机制，主要包括岗位责任制度、达标公示制度和定期巡查维护制度等）；4、废气治理设施运行管理规程；5、一年内废气监测报告。</w:t>
            </w:r>
          </w:p>
        </w:tc>
        <w:tc>
          <w:tcPr>
            <w:tcW w:w="648" w:type="pct"/>
            <w:tcBorders>
              <w:top w:val="single" w:color="auto" w:sz="4" w:space="0"/>
              <w:left w:val="single" w:color="auto" w:sz="4" w:space="0"/>
              <w:bottom w:val="single" w:color="auto" w:sz="4" w:space="0"/>
              <w:right w:val="single" w:color="auto" w:sz="4" w:space="0"/>
            </w:tcBorders>
            <w:vAlign w:val="center"/>
          </w:tcPr>
          <w:p w14:paraId="7725F549">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本项目将按照相关要求建立环保档案。</w:t>
            </w:r>
          </w:p>
        </w:tc>
        <w:tc>
          <w:tcPr>
            <w:tcW w:w="387" w:type="pct"/>
            <w:tcBorders>
              <w:top w:val="single" w:color="auto" w:sz="4" w:space="0"/>
              <w:left w:val="single" w:color="auto" w:sz="4" w:space="0"/>
              <w:bottom w:val="single" w:color="auto" w:sz="4" w:space="0"/>
              <w:right w:val="single" w:color="auto" w:sz="4" w:space="0"/>
            </w:tcBorders>
            <w:vAlign w:val="center"/>
          </w:tcPr>
          <w:p w14:paraId="162202F3">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702F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vMerge w:val="continue"/>
            <w:tcBorders>
              <w:top w:val="single" w:color="auto" w:sz="4" w:space="0"/>
              <w:left w:val="single" w:color="auto" w:sz="4" w:space="0"/>
              <w:bottom w:val="single" w:color="auto" w:sz="4" w:space="0"/>
              <w:right w:val="single" w:color="auto" w:sz="4" w:space="0"/>
            </w:tcBorders>
            <w:vAlign w:val="center"/>
          </w:tcPr>
          <w:p w14:paraId="23F02536">
            <w:pPr>
              <w:pStyle w:val="24"/>
              <w:rPr>
                <w:rFonts w:hint="eastAsia" w:ascii="Times New Roman" w:hAnsi="Times New Roman" w:eastAsia="宋体" w:cs="Times New Roman"/>
                <w:b w:val="0"/>
                <w:bCs w:val="0"/>
                <w:color w:val="auto"/>
                <w:highlight w:val="none"/>
              </w:rPr>
            </w:pPr>
          </w:p>
        </w:tc>
        <w:tc>
          <w:tcPr>
            <w:tcW w:w="2991" w:type="pct"/>
            <w:gridSpan w:val="2"/>
            <w:tcBorders>
              <w:top w:val="single" w:color="auto" w:sz="4" w:space="0"/>
              <w:left w:val="single" w:color="auto" w:sz="4" w:space="0"/>
              <w:bottom w:val="single" w:color="auto" w:sz="4" w:space="0"/>
              <w:right w:val="single" w:color="auto" w:sz="4" w:space="0"/>
            </w:tcBorders>
            <w:vAlign w:val="center"/>
          </w:tcPr>
          <w:p w14:paraId="78FEB04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台账记录：1、生产设施运行管理信息（生产时间、运行负荷、产品产量等）；2、废气污染治理设施运行管理信息；3、监测记录信息（主要污染排放口废气排放记录等）；4、主要原辅材料消耗记录；5、燃料消耗记录；6、一般固废、危废处理记录；7、涉VOCs管理的记录台账；8、运输车辆、厂内车辆、非道路移动机械电子台账（进出场时间、车辆或非道路移动机械信息、运送货物名称及运量等）。</w:t>
            </w:r>
          </w:p>
        </w:tc>
        <w:tc>
          <w:tcPr>
            <w:tcW w:w="619" w:type="pct"/>
            <w:tcBorders>
              <w:top w:val="single" w:color="auto" w:sz="4" w:space="0"/>
              <w:left w:val="single" w:color="auto" w:sz="4" w:space="0"/>
              <w:bottom w:val="single" w:color="auto" w:sz="4" w:space="0"/>
              <w:right w:val="single" w:color="auto" w:sz="4" w:space="0"/>
            </w:tcBorders>
            <w:vAlign w:val="center"/>
          </w:tcPr>
          <w:p w14:paraId="1C4D6009">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未达到A、B级要求。</w:t>
            </w:r>
          </w:p>
        </w:tc>
        <w:tc>
          <w:tcPr>
            <w:tcW w:w="648" w:type="pct"/>
            <w:tcBorders>
              <w:top w:val="single" w:color="auto" w:sz="4" w:space="0"/>
              <w:left w:val="single" w:color="auto" w:sz="4" w:space="0"/>
              <w:bottom w:val="single" w:color="auto" w:sz="4" w:space="0"/>
              <w:right w:val="single" w:color="auto" w:sz="4" w:space="0"/>
            </w:tcBorders>
            <w:vAlign w:val="center"/>
          </w:tcPr>
          <w:p w14:paraId="61176C2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本项目将按照相关要求进行台账记录。</w:t>
            </w:r>
          </w:p>
        </w:tc>
        <w:tc>
          <w:tcPr>
            <w:tcW w:w="387" w:type="pct"/>
            <w:tcBorders>
              <w:top w:val="single" w:color="auto" w:sz="4" w:space="0"/>
              <w:left w:val="single" w:color="auto" w:sz="4" w:space="0"/>
              <w:bottom w:val="single" w:color="auto" w:sz="4" w:space="0"/>
              <w:right w:val="single" w:color="auto" w:sz="4" w:space="0"/>
            </w:tcBorders>
            <w:vAlign w:val="center"/>
          </w:tcPr>
          <w:p w14:paraId="05109208">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A级</w:t>
            </w:r>
          </w:p>
        </w:tc>
      </w:tr>
      <w:tr w14:paraId="2A43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vMerge w:val="continue"/>
            <w:tcBorders>
              <w:top w:val="single" w:color="auto" w:sz="4" w:space="0"/>
              <w:left w:val="single" w:color="auto" w:sz="4" w:space="0"/>
              <w:bottom w:val="single" w:color="auto" w:sz="4" w:space="0"/>
              <w:right w:val="single" w:color="auto" w:sz="4" w:space="0"/>
            </w:tcBorders>
            <w:vAlign w:val="center"/>
          </w:tcPr>
          <w:p w14:paraId="25BEDB33">
            <w:pPr>
              <w:pStyle w:val="24"/>
              <w:rPr>
                <w:rFonts w:hint="eastAsia" w:ascii="Times New Roman" w:hAnsi="Times New Roman" w:eastAsia="宋体" w:cs="Times New Roman"/>
                <w:b w:val="0"/>
                <w:bCs w:val="0"/>
                <w:color w:val="auto"/>
                <w:highlight w:val="none"/>
              </w:rPr>
            </w:pPr>
          </w:p>
        </w:tc>
        <w:tc>
          <w:tcPr>
            <w:tcW w:w="2991" w:type="pct"/>
            <w:gridSpan w:val="2"/>
            <w:tcBorders>
              <w:top w:val="single" w:color="auto" w:sz="4" w:space="0"/>
              <w:left w:val="single" w:color="auto" w:sz="4" w:space="0"/>
              <w:bottom w:val="single" w:color="auto" w:sz="4" w:space="0"/>
              <w:right w:val="single" w:color="auto" w:sz="4" w:space="0"/>
            </w:tcBorders>
            <w:vAlign w:val="center"/>
          </w:tcPr>
          <w:p w14:paraId="1D735C6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人员配置：配备专职环保人员，并具备相应的环境管理能力（学历、培训、从业经验等）。</w:t>
            </w:r>
          </w:p>
        </w:tc>
        <w:tc>
          <w:tcPr>
            <w:tcW w:w="619" w:type="pct"/>
            <w:tcBorders>
              <w:top w:val="single" w:color="auto" w:sz="4" w:space="0"/>
              <w:left w:val="single" w:color="auto" w:sz="4" w:space="0"/>
              <w:bottom w:val="single" w:color="auto" w:sz="4" w:space="0"/>
              <w:right w:val="single" w:color="auto" w:sz="4" w:space="0"/>
            </w:tcBorders>
            <w:vAlign w:val="center"/>
          </w:tcPr>
          <w:p w14:paraId="39F0FA3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未达到A、B级要求。</w:t>
            </w:r>
          </w:p>
        </w:tc>
        <w:tc>
          <w:tcPr>
            <w:tcW w:w="648" w:type="pct"/>
            <w:tcBorders>
              <w:top w:val="single" w:color="auto" w:sz="4" w:space="0"/>
              <w:left w:val="single" w:color="auto" w:sz="4" w:space="0"/>
              <w:bottom w:val="single" w:color="auto" w:sz="4" w:space="0"/>
              <w:right w:val="single" w:color="auto" w:sz="4" w:space="0"/>
            </w:tcBorders>
            <w:vAlign w:val="center"/>
          </w:tcPr>
          <w:p w14:paraId="4EC367E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本项目将</w:t>
            </w:r>
            <w:r>
              <w:rPr>
                <w:rFonts w:hint="eastAsia" w:ascii="Times New Roman" w:hAnsi="Times New Roman" w:eastAsia="宋体" w:cs="Times New Roman"/>
                <w:b w:val="0"/>
                <w:bCs w:val="0"/>
                <w:color w:val="auto"/>
                <w:highlight w:val="none"/>
              </w:rPr>
              <w:t>配备专职环保人员</w:t>
            </w:r>
            <w:r>
              <w:rPr>
                <w:rFonts w:hint="eastAsia" w:ascii="Times New Roman" w:hAnsi="Times New Roman" w:eastAsia="宋体" w:cs="Times New Roman"/>
                <w:b w:val="0"/>
                <w:bCs w:val="0"/>
                <w:color w:val="auto"/>
                <w:highlight w:val="none"/>
                <w:lang w:val="en-US"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33C2BF3B">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40FA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0F486E8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运输方式</w:t>
            </w:r>
          </w:p>
        </w:tc>
        <w:tc>
          <w:tcPr>
            <w:tcW w:w="1552" w:type="pct"/>
            <w:tcBorders>
              <w:top w:val="single" w:color="auto" w:sz="4" w:space="0"/>
              <w:left w:val="single" w:color="auto" w:sz="4" w:space="0"/>
              <w:bottom w:val="single" w:color="auto" w:sz="4" w:space="0"/>
              <w:right w:val="single" w:color="auto" w:sz="4" w:space="0"/>
            </w:tcBorders>
            <w:vAlign w:val="center"/>
          </w:tcPr>
          <w:p w14:paraId="6A6948A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1、物料、产品公路运输全部</w:t>
            </w:r>
            <w:r>
              <w:rPr>
                <w:rFonts w:hint="eastAsia" w:ascii="Times New Roman" w:hAnsi="Times New Roman" w:eastAsia="宋体" w:cs="Times New Roman"/>
                <w:b w:val="0"/>
                <w:bCs w:val="0"/>
                <w:color w:val="auto"/>
                <w:highlight w:val="none"/>
                <w:lang w:eastAsia="zh-CN"/>
              </w:rPr>
              <w:t>使用</w:t>
            </w:r>
            <w:r>
              <w:rPr>
                <w:rFonts w:hint="eastAsia" w:ascii="Times New Roman" w:hAnsi="Times New Roman" w:eastAsia="宋体" w:cs="Times New Roman"/>
                <w:b w:val="0"/>
                <w:bCs w:val="0"/>
                <w:color w:val="auto"/>
                <w:highlight w:val="none"/>
              </w:rPr>
              <w:t>国五及以上排放标准重型载货车辆（含燃气）或新能源车辆。</w:t>
            </w:r>
          </w:p>
          <w:p w14:paraId="022B77B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2、厂内运输车辆全部达到国五及以上排放标准（含燃气）或使用新能源车辆。</w:t>
            </w:r>
          </w:p>
          <w:p w14:paraId="7A50BE8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3、厂内非道路移动机械全部达到国三及以上排放标准或使用新能源机械。</w:t>
            </w:r>
          </w:p>
        </w:tc>
        <w:tc>
          <w:tcPr>
            <w:tcW w:w="1438" w:type="pct"/>
            <w:tcBorders>
              <w:top w:val="single" w:color="auto" w:sz="4" w:space="0"/>
              <w:left w:val="single" w:color="auto" w:sz="4" w:space="0"/>
              <w:bottom w:val="single" w:color="auto" w:sz="4" w:space="0"/>
              <w:right w:val="single" w:color="auto" w:sz="4" w:space="0"/>
            </w:tcBorders>
            <w:vAlign w:val="center"/>
          </w:tcPr>
          <w:p w14:paraId="56C55249">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1、物料、产品公路运输</w:t>
            </w:r>
            <w:r>
              <w:rPr>
                <w:rFonts w:hint="eastAsia" w:ascii="Times New Roman" w:hAnsi="Times New Roman" w:eastAsia="宋体" w:cs="Times New Roman"/>
                <w:b w:val="0"/>
                <w:bCs w:val="0"/>
                <w:color w:val="auto"/>
                <w:highlight w:val="none"/>
                <w:lang w:eastAsia="zh-CN"/>
              </w:rPr>
              <w:t>使用</w:t>
            </w:r>
            <w:r>
              <w:rPr>
                <w:rFonts w:hint="eastAsia" w:ascii="Times New Roman" w:hAnsi="Times New Roman" w:eastAsia="宋体" w:cs="Times New Roman"/>
                <w:b w:val="0"/>
                <w:bCs w:val="0"/>
                <w:color w:val="auto"/>
                <w:highlight w:val="none"/>
              </w:rPr>
              <w:t>国五及以上排放标准重型载货车辆（含燃气）或新能源车辆比例不低于80%。</w:t>
            </w:r>
          </w:p>
          <w:p w14:paraId="1BC14E70">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2、厂内运输车辆达到国五及以上排放标准（含燃气）或使用新能源车辆比例不低于80%。</w:t>
            </w:r>
          </w:p>
          <w:p w14:paraId="20D32BD0">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3、厂内非道路移动机械达到国三及以上排放标准或使用新能源机械比例不低于80%。</w:t>
            </w:r>
          </w:p>
        </w:tc>
        <w:tc>
          <w:tcPr>
            <w:tcW w:w="619" w:type="pct"/>
            <w:tcBorders>
              <w:top w:val="single" w:color="auto" w:sz="4" w:space="0"/>
              <w:left w:val="single" w:color="auto" w:sz="4" w:space="0"/>
              <w:bottom w:val="single" w:color="auto" w:sz="4" w:space="0"/>
              <w:right w:val="single" w:color="auto" w:sz="4" w:space="0"/>
            </w:tcBorders>
            <w:vAlign w:val="center"/>
          </w:tcPr>
          <w:p w14:paraId="7E2DAB9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未达到B级要求。</w:t>
            </w:r>
          </w:p>
        </w:tc>
        <w:tc>
          <w:tcPr>
            <w:tcW w:w="648" w:type="pct"/>
            <w:tcBorders>
              <w:top w:val="single" w:color="auto" w:sz="4" w:space="0"/>
              <w:left w:val="single" w:color="auto" w:sz="4" w:space="0"/>
              <w:bottom w:val="single" w:color="auto" w:sz="4" w:space="0"/>
              <w:right w:val="single" w:color="auto" w:sz="4" w:space="0"/>
            </w:tcBorders>
            <w:vAlign w:val="center"/>
          </w:tcPr>
          <w:p w14:paraId="055A9EAC">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本项目公路运输</w:t>
            </w:r>
            <w:r>
              <w:rPr>
                <w:rFonts w:hint="eastAsia" w:ascii="Times New Roman" w:hAnsi="Times New Roman" w:eastAsia="宋体" w:cs="Times New Roman"/>
                <w:b w:val="0"/>
                <w:bCs w:val="0"/>
                <w:color w:val="auto"/>
                <w:highlight w:val="none"/>
              </w:rPr>
              <w:t>全部</w:t>
            </w:r>
            <w:r>
              <w:rPr>
                <w:rFonts w:hint="eastAsia" w:ascii="Times New Roman" w:hAnsi="Times New Roman" w:eastAsia="宋体" w:cs="Times New Roman"/>
                <w:b w:val="0"/>
                <w:bCs w:val="0"/>
                <w:color w:val="auto"/>
                <w:highlight w:val="none"/>
                <w:lang w:eastAsia="zh-CN"/>
              </w:rPr>
              <w:t>使用</w:t>
            </w:r>
            <w:r>
              <w:rPr>
                <w:rFonts w:hint="eastAsia" w:ascii="Times New Roman" w:hAnsi="Times New Roman" w:eastAsia="宋体" w:cs="Times New Roman"/>
                <w:b w:val="0"/>
                <w:bCs w:val="0"/>
                <w:color w:val="auto"/>
                <w:highlight w:val="none"/>
              </w:rPr>
              <w:t>国五及以上排放标准重型载货车辆或新能源车辆</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厂内运输车辆全部达到国五及以上排放标准或使用新能源车辆</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厂内非道路移动机械全部达到国三及以上排放标准或使用新能源机械</w:t>
            </w:r>
            <w:r>
              <w:rPr>
                <w:rFonts w:hint="eastAsia" w:ascii="Times New Roman" w:hAnsi="Times New Roman" w:eastAsia="宋体" w:cs="Times New Roman"/>
                <w:b w:val="0"/>
                <w:bCs w:val="0"/>
                <w:color w:val="auto"/>
                <w:highlight w:val="none"/>
                <w:lang w:eastAsia="zh-CN"/>
              </w:rPr>
              <w:t>。</w:t>
            </w:r>
          </w:p>
        </w:tc>
        <w:tc>
          <w:tcPr>
            <w:tcW w:w="387" w:type="pct"/>
            <w:tcBorders>
              <w:top w:val="single" w:color="auto" w:sz="4" w:space="0"/>
              <w:left w:val="single" w:color="auto" w:sz="4" w:space="0"/>
              <w:bottom w:val="single" w:color="auto" w:sz="4" w:space="0"/>
              <w:right w:val="single" w:color="auto" w:sz="4" w:space="0"/>
            </w:tcBorders>
            <w:vAlign w:val="center"/>
          </w:tcPr>
          <w:p w14:paraId="1382D5EF">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A级</w:t>
            </w:r>
          </w:p>
        </w:tc>
      </w:tr>
      <w:tr w14:paraId="3F6C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353" w:type="pct"/>
            <w:tcBorders>
              <w:top w:val="single" w:color="auto" w:sz="4" w:space="0"/>
              <w:left w:val="single" w:color="auto" w:sz="4" w:space="0"/>
              <w:bottom w:val="single" w:color="auto" w:sz="4" w:space="0"/>
              <w:right w:val="single" w:color="auto" w:sz="4" w:space="0"/>
            </w:tcBorders>
            <w:vAlign w:val="center"/>
          </w:tcPr>
          <w:p w14:paraId="21490B29">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运输监管</w:t>
            </w:r>
          </w:p>
        </w:tc>
        <w:tc>
          <w:tcPr>
            <w:tcW w:w="2991" w:type="pct"/>
            <w:gridSpan w:val="2"/>
            <w:tcBorders>
              <w:top w:val="single" w:color="auto" w:sz="4" w:space="0"/>
              <w:left w:val="single" w:color="auto" w:sz="4" w:space="0"/>
              <w:bottom w:val="single" w:color="auto" w:sz="4" w:space="0"/>
              <w:right w:val="single" w:color="auto" w:sz="4" w:space="0"/>
            </w:tcBorders>
            <w:vAlign w:val="center"/>
          </w:tcPr>
          <w:p w14:paraId="05EBB94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eastAsia="zh-CN"/>
              </w:rPr>
              <w:t>建立门禁系统和电子台账，创建要求参照《重点行业移动源监管与核查技术指南》（</w:t>
            </w:r>
            <w:r>
              <w:rPr>
                <w:rFonts w:hint="eastAsia" w:ascii="Times New Roman" w:hAnsi="Times New Roman" w:eastAsia="宋体" w:cs="Times New Roman"/>
                <w:b w:val="0"/>
                <w:bCs w:val="0"/>
                <w:color w:val="auto"/>
                <w:highlight w:val="none"/>
                <w:lang w:val="en-US" w:eastAsia="zh-CN"/>
              </w:rPr>
              <w:t>HJ 1321</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w:t>
            </w:r>
          </w:p>
        </w:tc>
        <w:tc>
          <w:tcPr>
            <w:tcW w:w="619" w:type="pct"/>
            <w:tcBorders>
              <w:top w:val="single" w:color="auto" w:sz="4" w:space="0"/>
              <w:left w:val="single" w:color="auto" w:sz="4" w:space="0"/>
              <w:bottom w:val="single" w:color="auto" w:sz="4" w:space="0"/>
              <w:right w:val="single" w:color="auto" w:sz="4" w:space="0"/>
            </w:tcBorders>
            <w:vAlign w:val="center"/>
          </w:tcPr>
          <w:p w14:paraId="7D75D172">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未达到A、B级要求。</w:t>
            </w:r>
          </w:p>
        </w:tc>
        <w:tc>
          <w:tcPr>
            <w:tcW w:w="648" w:type="pct"/>
            <w:tcBorders>
              <w:top w:val="single" w:color="auto" w:sz="4" w:space="0"/>
              <w:left w:val="single" w:color="auto" w:sz="4" w:space="0"/>
              <w:bottom w:val="single" w:color="auto" w:sz="4" w:space="0"/>
              <w:right w:val="single" w:color="auto" w:sz="4" w:space="0"/>
            </w:tcBorders>
            <w:vAlign w:val="center"/>
          </w:tcPr>
          <w:p w14:paraId="49E41EEF">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本项目将建立</w:t>
            </w:r>
            <w:r>
              <w:rPr>
                <w:rFonts w:hint="eastAsia" w:ascii="Times New Roman" w:hAnsi="Times New Roman" w:eastAsia="宋体" w:cs="Times New Roman"/>
                <w:b w:val="0"/>
                <w:bCs w:val="0"/>
                <w:color w:val="auto"/>
                <w:highlight w:val="none"/>
                <w:lang w:eastAsia="zh-CN"/>
              </w:rPr>
              <w:t>门禁系统和电子台账。</w:t>
            </w:r>
          </w:p>
        </w:tc>
        <w:tc>
          <w:tcPr>
            <w:tcW w:w="387" w:type="pct"/>
            <w:tcBorders>
              <w:top w:val="single" w:color="auto" w:sz="4" w:space="0"/>
              <w:left w:val="single" w:color="auto" w:sz="4" w:space="0"/>
              <w:bottom w:val="single" w:color="auto" w:sz="4" w:space="0"/>
              <w:right w:val="single" w:color="auto" w:sz="4" w:space="0"/>
            </w:tcBorders>
            <w:vAlign w:val="center"/>
          </w:tcPr>
          <w:p w14:paraId="4CFE2D9A">
            <w:pPr>
              <w:pStyle w:val="24"/>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C级</w:t>
            </w:r>
          </w:p>
        </w:tc>
      </w:tr>
    </w:tbl>
    <w:p w14:paraId="5128CCAE">
      <w:pPr>
        <w:spacing w:line="360" w:lineRule="auto"/>
        <w:ind w:left="0" w:leftChars="0" w:firstLine="480" w:firstLineChars="200"/>
        <w:rPr>
          <w:rFonts w:ascii="Times New Roman" w:hAnsi="Times New Roman" w:cs="Times New Roman"/>
          <w:b/>
          <w:bCs/>
          <w:color w:val="auto"/>
          <w:sz w:val="24"/>
          <w:szCs w:val="24"/>
        </w:rPr>
      </w:pPr>
      <w:r>
        <w:rPr>
          <w:rFonts w:hint="eastAsia" w:ascii="Times New Roman" w:hAnsi="Times New Roman" w:cs="Times New Roman"/>
          <w:color w:val="auto"/>
          <w:sz w:val="24"/>
          <w:szCs w:val="24"/>
        </w:rPr>
        <w:t>根据上述分析，本项目符合《中华人民共和国大气污染防治法》等大气污染防治相关法规、规范的相关要求，并能达到</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四川省重污染天气金属表面处理及热处理加工等 10 个行业应急减排措施制定技术指南（试行）</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中</w:t>
      </w:r>
      <w:r>
        <w:rPr>
          <w:rFonts w:hint="eastAsia" w:cs="Times New Roman"/>
          <w:color w:val="auto"/>
          <w:sz w:val="24"/>
          <w:szCs w:val="24"/>
          <w:lang w:val="en-US" w:eastAsia="zh-CN"/>
        </w:rPr>
        <w:t>有机化工</w:t>
      </w:r>
      <w:r>
        <w:rPr>
          <w:rFonts w:hint="eastAsia" w:ascii="Times New Roman" w:hAnsi="Times New Roman" w:cs="Times New Roman"/>
          <w:color w:val="auto"/>
          <w:sz w:val="24"/>
          <w:szCs w:val="24"/>
          <w:lang w:val="en-US" w:eastAsia="zh-CN"/>
        </w:rPr>
        <w:t>绩效分级指标</w:t>
      </w:r>
      <w:r>
        <w:rPr>
          <w:rFonts w:hint="eastAsia" w:cs="Times New Roman"/>
          <w:color w:val="auto"/>
          <w:sz w:val="24"/>
          <w:szCs w:val="24"/>
          <w:lang w:val="en-US" w:eastAsia="zh-CN"/>
        </w:rPr>
        <w:t>C</w:t>
      </w:r>
      <w:r>
        <w:rPr>
          <w:rFonts w:hint="eastAsia" w:ascii="Times New Roman" w:hAnsi="Times New Roman" w:cs="Times New Roman"/>
          <w:color w:val="auto"/>
          <w:sz w:val="24"/>
          <w:szCs w:val="24"/>
        </w:rPr>
        <w:t>级企业</w:t>
      </w:r>
      <w:r>
        <w:rPr>
          <w:rFonts w:hint="eastAsia" w:ascii="Times New Roman" w:hAnsi="Times New Roman" w:cs="Times New Roman"/>
          <w:color w:val="auto"/>
          <w:sz w:val="24"/>
          <w:szCs w:val="24"/>
          <w:lang w:val="en-US" w:eastAsia="zh-CN"/>
        </w:rPr>
        <w:t>相关要求</w:t>
      </w:r>
      <w:r>
        <w:rPr>
          <w:rFonts w:hint="eastAsia" w:ascii="Times New Roman" w:hAnsi="Times New Roman" w:cs="Times New Roman"/>
          <w:color w:val="auto"/>
          <w:sz w:val="24"/>
          <w:szCs w:val="24"/>
        </w:rPr>
        <w:t>。</w:t>
      </w:r>
    </w:p>
    <w:p w14:paraId="76E87D6D">
      <w:pPr>
        <w:pStyle w:val="29"/>
        <w:ind w:left="0" w:leftChars="0" w:firstLine="482" w:firstLineChars="200"/>
        <w:rPr>
          <w:rFonts w:eastAsia="黑体"/>
          <w:color w:val="auto"/>
        </w:rPr>
      </w:pPr>
      <w:r>
        <w:rPr>
          <w:color w:val="auto"/>
        </w:rPr>
        <w:t>2</w:t>
      </w:r>
      <w:r>
        <w:rPr>
          <w:rFonts w:hint="eastAsia"/>
          <w:color w:val="auto"/>
        </w:rPr>
        <w:t>、</w:t>
      </w:r>
      <w:r>
        <w:rPr>
          <w:color w:val="auto"/>
        </w:rPr>
        <w:t>与</w:t>
      </w:r>
      <w:r>
        <w:rPr>
          <w:rFonts w:hint="eastAsia"/>
          <w:color w:val="auto"/>
        </w:rPr>
        <w:t>水</w:t>
      </w:r>
      <w:r>
        <w:rPr>
          <w:color w:val="auto"/>
        </w:rPr>
        <w:t>污染防治相关法规</w:t>
      </w:r>
      <w:r>
        <w:rPr>
          <w:rFonts w:hint="eastAsia"/>
          <w:color w:val="auto"/>
        </w:rPr>
        <w:t>、</w:t>
      </w:r>
      <w:r>
        <w:rPr>
          <w:color w:val="auto"/>
        </w:rPr>
        <w:t>规范的符合性</w:t>
      </w:r>
    </w:p>
    <w:p w14:paraId="69586A25">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本项目</w:t>
      </w:r>
      <w:r>
        <w:rPr>
          <w:rFonts w:hint="eastAsia" w:ascii="Times New Roman" w:hAnsi="Times New Roman" w:cs="Times New Roman"/>
          <w:color w:val="auto"/>
          <w:sz w:val="24"/>
          <w:szCs w:val="24"/>
        </w:rPr>
        <w:t>与水污染防治相关法规、规范符合性分析见</w:t>
      </w:r>
      <w:r>
        <w:rPr>
          <w:rFonts w:hint="eastAsia" w:cs="Times New Roman"/>
          <w:color w:val="auto"/>
          <w:sz w:val="24"/>
          <w:szCs w:val="24"/>
          <w:lang w:val="en-US" w:eastAsia="zh-CN"/>
        </w:rPr>
        <w:t>下表</w:t>
      </w:r>
      <w:r>
        <w:rPr>
          <w:rFonts w:hint="eastAsia" w:ascii="Times New Roman" w:hAnsi="Times New Roman" w:cs="Times New Roman"/>
          <w:color w:val="auto"/>
          <w:sz w:val="24"/>
          <w:szCs w:val="24"/>
        </w:rPr>
        <w:t>。</w:t>
      </w:r>
    </w:p>
    <w:p w14:paraId="3F372964">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本项目与水污染防治相关法规、规范符合性分析</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4884"/>
        <w:gridCol w:w="2187"/>
        <w:gridCol w:w="714"/>
      </w:tblGrid>
      <w:tr w14:paraId="3281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pct"/>
            <w:vAlign w:val="center"/>
          </w:tcPr>
          <w:p w14:paraId="1321E7F5">
            <w:pPr>
              <w:pStyle w:val="24"/>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法规、规范</w:t>
            </w:r>
          </w:p>
        </w:tc>
        <w:tc>
          <w:tcPr>
            <w:tcW w:w="2566" w:type="pct"/>
            <w:vAlign w:val="center"/>
          </w:tcPr>
          <w:p w14:paraId="234EAA6A">
            <w:pPr>
              <w:pStyle w:val="24"/>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相关要求</w:t>
            </w:r>
          </w:p>
        </w:tc>
        <w:tc>
          <w:tcPr>
            <w:tcW w:w="1149" w:type="pct"/>
            <w:vAlign w:val="center"/>
          </w:tcPr>
          <w:p w14:paraId="5DF6E3E5">
            <w:pPr>
              <w:pStyle w:val="24"/>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w:t>
            </w:r>
            <w:r>
              <w:rPr>
                <w:rFonts w:hint="eastAsia" w:cs="Times New Roman"/>
                <w:b/>
                <w:bCs/>
                <w:color w:val="auto"/>
                <w:highlight w:val="none"/>
                <w:lang w:val="en-US" w:eastAsia="zh-CN"/>
              </w:rPr>
              <w:t>情况</w:t>
            </w:r>
          </w:p>
        </w:tc>
        <w:tc>
          <w:tcPr>
            <w:tcW w:w="375" w:type="pct"/>
            <w:vAlign w:val="center"/>
          </w:tcPr>
          <w:p w14:paraId="516ADD1F">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符合性</w:t>
            </w:r>
          </w:p>
        </w:tc>
      </w:tr>
      <w:tr w14:paraId="7011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909" w:type="pct"/>
            <w:vMerge w:val="restart"/>
            <w:vAlign w:val="center"/>
          </w:tcPr>
          <w:p w14:paraId="04C8C841">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《中华人民共和国水污染防治法》</w:t>
            </w:r>
          </w:p>
        </w:tc>
        <w:tc>
          <w:tcPr>
            <w:tcW w:w="2566" w:type="pct"/>
            <w:vAlign w:val="center"/>
          </w:tcPr>
          <w:p w14:paraId="5EA307D7">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排放工业废水的企业应当采取有效措施，收集和处理产生的全部废水，防止污染环境</w:t>
            </w:r>
            <w:r>
              <w:rPr>
                <w:rFonts w:hint="default" w:ascii="Times New Roman" w:hAnsi="Times New Roman" w:eastAsia="宋体" w:cs="Times New Roman"/>
                <w:b w:val="0"/>
                <w:bCs w:val="0"/>
                <w:color w:val="auto"/>
                <w:highlight w:val="none"/>
              </w:rPr>
              <w:t>…</w:t>
            </w:r>
            <w:r>
              <w:rPr>
                <w:rFonts w:hint="eastAsia" w:ascii="Times New Roman" w:hAnsi="Times New Roman" w:eastAsia="宋体" w:cs="Times New Roman"/>
                <w:b w:val="0"/>
                <w:bCs w:val="0"/>
                <w:color w:val="auto"/>
                <w:highlight w:val="none"/>
              </w:rPr>
              <w:t>向污水集中处理设施排放工业废水的，应当按照国家有关规定进行预处理，达到集中处理设施处理工艺要求后方可排放。</w:t>
            </w:r>
          </w:p>
        </w:tc>
        <w:tc>
          <w:tcPr>
            <w:tcW w:w="1149" w:type="pct"/>
            <w:vMerge w:val="restart"/>
            <w:vAlign w:val="center"/>
          </w:tcPr>
          <w:p w14:paraId="24C67B00">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按照</w:t>
            </w:r>
            <w:r>
              <w:rPr>
                <w:rFonts w:hint="eastAsia"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分类收集、分质处理</w:t>
            </w:r>
            <w:r>
              <w:rPr>
                <w:rFonts w:hint="eastAsia"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的原则进行收集、处置，配套预处理池等，废水经处理达标后排放。</w:t>
            </w:r>
          </w:p>
        </w:tc>
        <w:tc>
          <w:tcPr>
            <w:tcW w:w="375" w:type="pct"/>
            <w:vMerge w:val="restart"/>
            <w:vAlign w:val="center"/>
          </w:tcPr>
          <w:p w14:paraId="57306B85">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符合</w:t>
            </w:r>
          </w:p>
        </w:tc>
      </w:tr>
      <w:tr w14:paraId="720E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09" w:type="pct"/>
            <w:vMerge w:val="continue"/>
            <w:vAlign w:val="center"/>
          </w:tcPr>
          <w:p w14:paraId="4317FC2A">
            <w:pPr>
              <w:pStyle w:val="24"/>
              <w:rPr>
                <w:rFonts w:hint="default" w:ascii="Times New Roman" w:hAnsi="Times New Roman" w:eastAsia="宋体" w:cs="Times New Roman"/>
                <w:b w:val="0"/>
                <w:bCs w:val="0"/>
                <w:color w:val="auto"/>
                <w:highlight w:val="none"/>
              </w:rPr>
            </w:pPr>
          </w:p>
        </w:tc>
        <w:tc>
          <w:tcPr>
            <w:tcW w:w="2566" w:type="pct"/>
            <w:vAlign w:val="center"/>
          </w:tcPr>
          <w:p w14:paraId="214CBA41">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企业应当采用原材料利用效率高、污染物排放量少的清洁工艺，并加强管理，减少水污染物的产生。</w:t>
            </w:r>
          </w:p>
        </w:tc>
        <w:tc>
          <w:tcPr>
            <w:tcW w:w="1149" w:type="pct"/>
            <w:vMerge w:val="continue"/>
            <w:vAlign w:val="center"/>
          </w:tcPr>
          <w:p w14:paraId="7DFE158E">
            <w:pPr>
              <w:pStyle w:val="24"/>
              <w:rPr>
                <w:rFonts w:hint="eastAsia" w:ascii="Times New Roman" w:hAnsi="Times New Roman" w:eastAsia="宋体" w:cs="Times New Roman"/>
                <w:b w:val="0"/>
                <w:bCs w:val="0"/>
                <w:color w:val="auto"/>
                <w:highlight w:val="none"/>
                <w:lang w:val="en-US" w:eastAsia="zh-CN"/>
              </w:rPr>
            </w:pPr>
          </w:p>
        </w:tc>
        <w:tc>
          <w:tcPr>
            <w:tcW w:w="375" w:type="pct"/>
            <w:vMerge w:val="continue"/>
            <w:vAlign w:val="center"/>
          </w:tcPr>
          <w:p w14:paraId="5AC6B39D">
            <w:pPr>
              <w:jc w:val="center"/>
              <w:rPr>
                <w:rFonts w:ascii="Times New Roman" w:hAnsi="Times New Roman"/>
                <w:color w:val="auto"/>
                <w:szCs w:val="21"/>
              </w:rPr>
            </w:pPr>
          </w:p>
        </w:tc>
      </w:tr>
      <w:tr w14:paraId="135D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09" w:type="pct"/>
            <w:vAlign w:val="center"/>
          </w:tcPr>
          <w:p w14:paraId="355A8031">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《水污染防治行动计划》（国发</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w:t>
            </w:r>
            <w:r>
              <w:rPr>
                <w:rFonts w:hint="default" w:ascii="Times New Roman" w:hAnsi="Times New Roman" w:eastAsia="宋体" w:cs="Times New Roman"/>
                <w:b w:val="0"/>
                <w:bCs w:val="0"/>
                <w:color w:val="auto"/>
                <w:highlight w:val="none"/>
              </w:rPr>
              <w:t>015</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17号）</w:t>
            </w:r>
          </w:p>
        </w:tc>
        <w:tc>
          <w:tcPr>
            <w:tcW w:w="2566" w:type="pct"/>
            <w:vAlign w:val="center"/>
          </w:tcPr>
          <w:p w14:paraId="66E8F4C4">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狠抓工业污染防治：取缔</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十小</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企业，专项整治十大重点行业。</w:t>
            </w:r>
          </w:p>
        </w:tc>
        <w:tc>
          <w:tcPr>
            <w:tcW w:w="1149" w:type="pct"/>
            <w:vAlign w:val="center"/>
          </w:tcPr>
          <w:p w14:paraId="24EFF483">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项目不属于</w:t>
            </w:r>
            <w:r>
              <w:rPr>
                <w:rFonts w:hint="eastAsia"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十小</w:t>
            </w:r>
            <w:r>
              <w:rPr>
                <w:rFonts w:hint="eastAsia"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企业。</w:t>
            </w:r>
          </w:p>
        </w:tc>
        <w:tc>
          <w:tcPr>
            <w:tcW w:w="375" w:type="pct"/>
            <w:vMerge w:val="continue"/>
            <w:vAlign w:val="center"/>
          </w:tcPr>
          <w:p w14:paraId="0CCE107A">
            <w:pPr>
              <w:jc w:val="center"/>
              <w:rPr>
                <w:rFonts w:ascii="Times New Roman" w:hAnsi="Times New Roman"/>
                <w:color w:val="auto"/>
                <w:szCs w:val="21"/>
              </w:rPr>
            </w:pPr>
          </w:p>
        </w:tc>
      </w:tr>
      <w:tr w14:paraId="6530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909" w:type="pct"/>
            <w:vMerge w:val="restart"/>
            <w:vAlign w:val="center"/>
          </w:tcPr>
          <w:p w14:paraId="73BBA923">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《四川省打赢碧水保卫战实施方案》（川府发</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w:t>
            </w:r>
            <w:r>
              <w:rPr>
                <w:rFonts w:hint="default" w:ascii="Times New Roman" w:hAnsi="Times New Roman" w:eastAsia="宋体" w:cs="Times New Roman"/>
                <w:b w:val="0"/>
                <w:bCs w:val="0"/>
                <w:color w:val="auto"/>
                <w:highlight w:val="none"/>
              </w:rPr>
              <w:t>019</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〕4号）</w:t>
            </w:r>
          </w:p>
        </w:tc>
        <w:tc>
          <w:tcPr>
            <w:tcW w:w="2566" w:type="pct"/>
            <w:vAlign w:val="center"/>
          </w:tcPr>
          <w:p w14:paraId="19858A17">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对工业循环用水大户和涉磷企业进行全面排查，建立总磷污染源数据库，实施循环水非磷配方药品替代改造，强化工业循环用水监管和总磷排放控制。</w:t>
            </w:r>
          </w:p>
        </w:tc>
        <w:tc>
          <w:tcPr>
            <w:tcW w:w="1149" w:type="pct"/>
            <w:vMerge w:val="restart"/>
            <w:vAlign w:val="center"/>
          </w:tcPr>
          <w:p w14:paraId="0B4DCF7C">
            <w:pPr>
              <w:pStyle w:val="24"/>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lang w:val="en-US" w:eastAsia="zh-CN"/>
              </w:rPr>
              <w:t>项目涉磷废水作为危废处置。</w:t>
            </w:r>
          </w:p>
        </w:tc>
        <w:tc>
          <w:tcPr>
            <w:tcW w:w="375" w:type="pct"/>
            <w:vMerge w:val="continue"/>
            <w:vAlign w:val="center"/>
          </w:tcPr>
          <w:p w14:paraId="63ADF3EE">
            <w:pPr>
              <w:jc w:val="center"/>
              <w:rPr>
                <w:rFonts w:ascii="Times New Roman" w:hAnsi="Times New Roman"/>
                <w:color w:val="auto"/>
                <w:szCs w:val="21"/>
              </w:rPr>
            </w:pPr>
          </w:p>
        </w:tc>
      </w:tr>
      <w:tr w14:paraId="5EB6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909" w:type="pct"/>
            <w:vMerge w:val="continue"/>
            <w:vAlign w:val="center"/>
          </w:tcPr>
          <w:p w14:paraId="5903F172">
            <w:pPr>
              <w:pStyle w:val="24"/>
              <w:rPr>
                <w:rFonts w:hint="default" w:ascii="Times New Roman" w:hAnsi="Times New Roman" w:eastAsia="宋体" w:cs="Times New Roman"/>
                <w:b w:val="0"/>
                <w:bCs w:val="0"/>
                <w:color w:val="auto"/>
                <w:highlight w:val="none"/>
              </w:rPr>
            </w:pPr>
          </w:p>
        </w:tc>
        <w:tc>
          <w:tcPr>
            <w:tcW w:w="2566" w:type="pct"/>
            <w:vAlign w:val="center"/>
          </w:tcPr>
          <w:p w14:paraId="1A81FA65">
            <w:pPr>
              <w:pStyle w:val="24"/>
              <w:rPr>
                <w:rFonts w:hint="default"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从严控制新建、改建、扩建涉磷行业的项目建设，总磷超标地方执行总磷排放减量置换。</w:t>
            </w:r>
          </w:p>
        </w:tc>
        <w:tc>
          <w:tcPr>
            <w:tcW w:w="1149" w:type="pct"/>
            <w:vMerge w:val="continue"/>
            <w:vAlign w:val="center"/>
          </w:tcPr>
          <w:p w14:paraId="76AA152A">
            <w:pPr>
              <w:pStyle w:val="24"/>
              <w:rPr>
                <w:rFonts w:hint="eastAsia" w:ascii="Times New Roman" w:hAnsi="Times New Roman" w:eastAsia="宋体" w:cs="Times New Roman"/>
                <w:b w:val="0"/>
                <w:bCs w:val="0"/>
                <w:color w:val="auto"/>
                <w:highlight w:val="none"/>
                <w:lang w:val="en-US" w:eastAsia="zh-CN"/>
              </w:rPr>
            </w:pPr>
          </w:p>
        </w:tc>
        <w:tc>
          <w:tcPr>
            <w:tcW w:w="375" w:type="pct"/>
            <w:vMerge w:val="continue"/>
            <w:vAlign w:val="center"/>
          </w:tcPr>
          <w:p w14:paraId="0C3A178A">
            <w:pPr>
              <w:jc w:val="center"/>
              <w:rPr>
                <w:rFonts w:ascii="Times New Roman" w:hAnsi="Times New Roman"/>
                <w:color w:val="auto"/>
                <w:szCs w:val="21"/>
              </w:rPr>
            </w:pPr>
          </w:p>
        </w:tc>
      </w:tr>
    </w:tbl>
    <w:p w14:paraId="3DD28A23">
      <w:pPr>
        <w:spacing w:line="360" w:lineRule="auto"/>
        <w:ind w:left="0" w:leftChars="0"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rPr>
        <w:t>根据上述分析，本项目符合《中华人民共和国水污染防治法》等水污染防治相关法规、规范的相关要求。</w:t>
      </w:r>
    </w:p>
    <w:p w14:paraId="264EFE45">
      <w:pPr>
        <w:pStyle w:val="29"/>
        <w:ind w:left="0" w:leftChars="0" w:firstLine="482" w:firstLineChars="200"/>
        <w:rPr>
          <w:b w:val="0"/>
          <w:color w:val="auto"/>
        </w:rPr>
      </w:pPr>
      <w:r>
        <w:rPr>
          <w:color w:val="auto"/>
        </w:rPr>
        <w:t>3</w:t>
      </w:r>
      <w:r>
        <w:rPr>
          <w:rFonts w:hint="eastAsia"/>
          <w:color w:val="auto"/>
        </w:rPr>
        <w:t>、</w:t>
      </w:r>
      <w:r>
        <w:rPr>
          <w:color w:val="auto"/>
        </w:rPr>
        <w:t>与</w:t>
      </w:r>
      <w:r>
        <w:rPr>
          <w:rFonts w:hint="eastAsia"/>
          <w:color w:val="auto"/>
        </w:rPr>
        <w:t>土壤</w:t>
      </w:r>
      <w:r>
        <w:rPr>
          <w:color w:val="auto"/>
        </w:rPr>
        <w:t>污染防治相关法规</w:t>
      </w:r>
      <w:r>
        <w:rPr>
          <w:rFonts w:hint="eastAsia"/>
          <w:color w:val="auto"/>
        </w:rPr>
        <w:t>、</w:t>
      </w:r>
      <w:r>
        <w:rPr>
          <w:color w:val="auto"/>
        </w:rPr>
        <w:t>规范</w:t>
      </w:r>
      <w:r>
        <w:rPr>
          <w:rFonts w:hint="eastAsia"/>
          <w:color w:val="auto"/>
        </w:rPr>
        <w:t>的</w:t>
      </w:r>
      <w:r>
        <w:rPr>
          <w:color w:val="auto"/>
        </w:rPr>
        <w:t>符合性</w:t>
      </w:r>
    </w:p>
    <w:p w14:paraId="2D83B632">
      <w:pPr>
        <w:snapToGrid w:val="0"/>
        <w:spacing w:line="360" w:lineRule="auto"/>
        <w:ind w:left="0" w:leftChars="0" w:firstLine="480" w:firstLineChars="200"/>
        <w:rPr>
          <w:rFonts w:ascii="Times New Roman" w:hAnsi="Times New Roman"/>
          <w:color w:val="auto"/>
          <w:sz w:val="24"/>
        </w:rPr>
      </w:pPr>
      <w:r>
        <w:rPr>
          <w:rFonts w:hint="eastAsia" w:ascii="Times New Roman" w:hAnsi="Times New Roman"/>
          <w:color w:val="auto"/>
          <w:sz w:val="24"/>
        </w:rPr>
        <w:t>本项目</w:t>
      </w:r>
      <w:r>
        <w:rPr>
          <w:rFonts w:ascii="Times New Roman" w:hAnsi="Times New Roman"/>
          <w:color w:val="auto"/>
          <w:sz w:val="24"/>
        </w:rPr>
        <w:t>与</w:t>
      </w:r>
      <w:r>
        <w:rPr>
          <w:rFonts w:hint="eastAsia" w:ascii="Times New Roman" w:hAnsi="Times New Roman"/>
          <w:color w:val="auto"/>
          <w:sz w:val="24"/>
        </w:rPr>
        <w:t>土壤</w:t>
      </w:r>
      <w:r>
        <w:rPr>
          <w:rFonts w:ascii="Times New Roman" w:hAnsi="Times New Roman"/>
          <w:color w:val="auto"/>
          <w:sz w:val="24"/>
        </w:rPr>
        <w:t>污染防治</w:t>
      </w:r>
      <w:r>
        <w:rPr>
          <w:rFonts w:hint="eastAsia" w:ascii="Times New Roman" w:hAnsi="Times New Roman"/>
          <w:color w:val="auto"/>
          <w:sz w:val="24"/>
        </w:rPr>
        <w:t>相关</w:t>
      </w:r>
      <w:r>
        <w:rPr>
          <w:rFonts w:ascii="Times New Roman" w:hAnsi="Times New Roman"/>
          <w:color w:val="auto"/>
          <w:sz w:val="24"/>
        </w:rPr>
        <w:t>法规、规范</w:t>
      </w:r>
      <w:r>
        <w:rPr>
          <w:rFonts w:hint="eastAsia" w:ascii="Times New Roman" w:hAnsi="Times New Roman"/>
          <w:color w:val="auto"/>
          <w:sz w:val="24"/>
        </w:rPr>
        <w:t>符合性</w:t>
      </w:r>
      <w:r>
        <w:rPr>
          <w:rFonts w:ascii="Times New Roman" w:hAnsi="Times New Roman"/>
          <w:color w:val="auto"/>
          <w:sz w:val="24"/>
        </w:rPr>
        <w:t>分析</w:t>
      </w:r>
      <w:r>
        <w:rPr>
          <w:rFonts w:hint="eastAsia" w:ascii="Times New Roman" w:hAnsi="Times New Roman"/>
          <w:color w:val="auto"/>
          <w:sz w:val="24"/>
        </w:rPr>
        <w:t>见</w:t>
      </w:r>
      <w:r>
        <w:rPr>
          <w:rFonts w:hint="eastAsia"/>
          <w:color w:val="auto"/>
          <w:sz w:val="24"/>
          <w:lang w:val="en-US" w:eastAsia="zh-CN"/>
        </w:rPr>
        <w:t>下表</w:t>
      </w:r>
      <w:r>
        <w:rPr>
          <w:rFonts w:hint="eastAsia" w:ascii="Times New Roman" w:hAnsi="Times New Roman"/>
          <w:color w:val="auto"/>
          <w:sz w:val="24"/>
        </w:rPr>
        <w:t>。</w:t>
      </w:r>
    </w:p>
    <w:p w14:paraId="6261535E">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本项目与土壤污染防治相关法规、规范符合性分析</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2"/>
        <w:gridCol w:w="4256"/>
        <w:gridCol w:w="2128"/>
        <w:gridCol w:w="718"/>
      </w:tblGrid>
      <w:tr w14:paraId="07F4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vAlign w:val="center"/>
          </w:tcPr>
          <w:p w14:paraId="48D9DDA6">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法规、规范名称</w:t>
            </w:r>
          </w:p>
        </w:tc>
        <w:tc>
          <w:tcPr>
            <w:tcW w:w="2236" w:type="pct"/>
            <w:vAlign w:val="center"/>
          </w:tcPr>
          <w:p w14:paraId="1626F9EA">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相关要求</w:t>
            </w:r>
          </w:p>
        </w:tc>
        <w:tc>
          <w:tcPr>
            <w:tcW w:w="1118" w:type="pct"/>
            <w:vAlign w:val="center"/>
          </w:tcPr>
          <w:p w14:paraId="32A93D4F">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rPr>
              <w:t>本项目</w:t>
            </w:r>
            <w:r>
              <w:rPr>
                <w:rFonts w:hint="eastAsia" w:cs="Times New Roman"/>
                <w:b/>
                <w:bCs/>
                <w:color w:val="auto"/>
                <w:highlight w:val="none"/>
                <w:lang w:val="en-US" w:eastAsia="zh-CN"/>
              </w:rPr>
              <w:t>情况</w:t>
            </w:r>
          </w:p>
        </w:tc>
        <w:tc>
          <w:tcPr>
            <w:tcW w:w="377" w:type="pct"/>
            <w:vAlign w:val="center"/>
          </w:tcPr>
          <w:p w14:paraId="7164A444">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符合性</w:t>
            </w:r>
          </w:p>
        </w:tc>
      </w:tr>
      <w:tr w14:paraId="07AF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vAlign w:val="center"/>
          </w:tcPr>
          <w:p w14:paraId="55B8345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《中华人民共和国土壤污染防治法》</w:t>
            </w:r>
          </w:p>
        </w:tc>
        <w:tc>
          <w:tcPr>
            <w:tcW w:w="2236" w:type="pct"/>
            <w:vAlign w:val="center"/>
          </w:tcPr>
          <w:p w14:paraId="280CA00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生产、使用、贮存、运输、回收、处置、排放有毒有害物质的单位和个人，应当采取有效措施，防止有毒有害物质渗漏、流失、扬散，避免土壤受到污染。</w:t>
            </w:r>
          </w:p>
        </w:tc>
        <w:tc>
          <w:tcPr>
            <w:tcW w:w="1118" w:type="pct"/>
            <w:vMerge w:val="restart"/>
            <w:vAlign w:val="center"/>
          </w:tcPr>
          <w:p w14:paraId="212492F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本项目不涉及镉（Cd）、汞（Hg）、砷（As）、铅（Pb）、铬（Cr）五类重金属</w:t>
            </w:r>
            <w:r>
              <w:rPr>
                <w:rFonts w:hint="eastAsia" w:cs="Times New Roman"/>
                <w:b w:val="0"/>
                <w:bCs w:val="0"/>
                <w:color w:val="auto"/>
                <w:highlight w:val="none"/>
                <w:lang w:val="en-US" w:eastAsia="zh-CN"/>
              </w:rPr>
              <w:t>排放</w:t>
            </w:r>
            <w:r>
              <w:rPr>
                <w:rFonts w:hint="eastAsia" w:ascii="Times New Roman" w:hAnsi="Times New Roman" w:eastAsia="宋体" w:cs="Times New Roman"/>
                <w:b w:val="0"/>
                <w:bCs w:val="0"/>
                <w:color w:val="auto"/>
                <w:highlight w:val="none"/>
              </w:rPr>
              <w:t>；</w:t>
            </w:r>
            <w:r>
              <w:rPr>
                <w:rFonts w:hint="eastAsia" w:ascii="Times New Roman" w:hAnsi="Times New Roman" w:eastAsia="宋体" w:cs="Times New Roman"/>
                <w:b w:val="0"/>
                <w:bCs w:val="0"/>
                <w:color w:val="auto"/>
                <w:highlight w:val="none"/>
                <w:lang w:val="en-US" w:eastAsia="zh-CN"/>
              </w:rPr>
              <w:t>罐区</w:t>
            </w:r>
            <w:r>
              <w:rPr>
                <w:rFonts w:hint="eastAsia" w:ascii="Times New Roman" w:hAnsi="Times New Roman" w:eastAsia="宋体" w:cs="Times New Roman"/>
                <w:b w:val="0"/>
                <w:bCs w:val="0"/>
                <w:color w:val="auto"/>
                <w:highlight w:val="none"/>
              </w:rPr>
              <w:t>、</w:t>
            </w:r>
            <w:r>
              <w:rPr>
                <w:rFonts w:hint="eastAsia" w:cs="Times New Roman"/>
                <w:b w:val="0"/>
                <w:bCs w:val="0"/>
                <w:color w:val="auto"/>
                <w:highlight w:val="none"/>
                <w:lang w:val="en-US" w:eastAsia="zh-CN"/>
              </w:rPr>
              <w:t>危险废物暂存库</w:t>
            </w:r>
            <w:r>
              <w:rPr>
                <w:rFonts w:hint="eastAsia" w:ascii="Times New Roman" w:hAnsi="Times New Roman" w:eastAsia="宋体" w:cs="Times New Roman"/>
                <w:b w:val="0"/>
                <w:bCs w:val="0"/>
                <w:color w:val="auto"/>
                <w:highlight w:val="none"/>
              </w:rPr>
              <w:t>等地面</w:t>
            </w:r>
            <w:r>
              <w:rPr>
                <w:rFonts w:hint="eastAsia" w:ascii="Times New Roman" w:hAnsi="Times New Roman" w:eastAsia="宋体" w:cs="Times New Roman"/>
                <w:b w:val="0"/>
                <w:bCs w:val="0"/>
                <w:color w:val="auto"/>
                <w:highlight w:val="none"/>
                <w:lang w:val="en-US" w:eastAsia="zh-CN"/>
              </w:rPr>
              <w:t>均</w:t>
            </w:r>
            <w:r>
              <w:rPr>
                <w:rFonts w:hint="eastAsia" w:ascii="Times New Roman" w:hAnsi="Times New Roman" w:eastAsia="宋体" w:cs="Times New Roman"/>
                <w:b w:val="0"/>
                <w:bCs w:val="0"/>
                <w:color w:val="auto"/>
                <w:highlight w:val="none"/>
              </w:rPr>
              <w:t>采取重点防渗，可有效防止有毒有害物质的渗漏。</w:t>
            </w:r>
          </w:p>
        </w:tc>
        <w:tc>
          <w:tcPr>
            <w:tcW w:w="377" w:type="pct"/>
            <w:vMerge w:val="restart"/>
            <w:vAlign w:val="center"/>
          </w:tcPr>
          <w:p w14:paraId="2A6D48D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符合</w:t>
            </w:r>
          </w:p>
        </w:tc>
      </w:tr>
      <w:tr w14:paraId="4FAE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vMerge w:val="restart"/>
            <w:vAlign w:val="center"/>
          </w:tcPr>
          <w:p w14:paraId="799CE6F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《土壤污染防治行动计划》（国发</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2016</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31号）</w:t>
            </w:r>
          </w:p>
        </w:tc>
        <w:tc>
          <w:tcPr>
            <w:tcW w:w="2236" w:type="pct"/>
            <w:vAlign w:val="center"/>
          </w:tcPr>
          <w:p w14:paraId="4E49991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1118" w:type="pct"/>
            <w:vMerge w:val="continue"/>
            <w:vAlign w:val="center"/>
          </w:tcPr>
          <w:p w14:paraId="51A5E851">
            <w:pPr>
              <w:pStyle w:val="24"/>
              <w:rPr>
                <w:rFonts w:hint="eastAsia" w:ascii="Times New Roman" w:hAnsi="Times New Roman" w:eastAsia="宋体" w:cs="Times New Roman"/>
                <w:b w:val="0"/>
                <w:bCs w:val="0"/>
                <w:color w:val="auto"/>
                <w:highlight w:val="none"/>
              </w:rPr>
            </w:pPr>
          </w:p>
        </w:tc>
        <w:tc>
          <w:tcPr>
            <w:tcW w:w="377" w:type="pct"/>
            <w:vMerge w:val="continue"/>
            <w:vAlign w:val="center"/>
          </w:tcPr>
          <w:p w14:paraId="07A3D44B">
            <w:pPr>
              <w:pStyle w:val="24"/>
              <w:rPr>
                <w:rFonts w:hint="eastAsia" w:ascii="Times New Roman" w:hAnsi="Times New Roman" w:eastAsia="宋体" w:cs="Times New Roman"/>
                <w:b w:val="0"/>
                <w:bCs w:val="0"/>
                <w:color w:val="auto"/>
                <w:highlight w:val="none"/>
              </w:rPr>
            </w:pPr>
          </w:p>
        </w:tc>
      </w:tr>
      <w:tr w14:paraId="771E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vMerge w:val="continue"/>
            <w:vAlign w:val="center"/>
          </w:tcPr>
          <w:p w14:paraId="0EBD1ABF">
            <w:pPr>
              <w:pStyle w:val="24"/>
              <w:rPr>
                <w:rFonts w:hint="eastAsia" w:ascii="Times New Roman" w:hAnsi="Times New Roman" w:eastAsia="宋体" w:cs="Times New Roman"/>
                <w:b w:val="0"/>
                <w:bCs w:val="0"/>
                <w:color w:val="auto"/>
                <w:highlight w:val="none"/>
              </w:rPr>
            </w:pPr>
          </w:p>
        </w:tc>
        <w:tc>
          <w:tcPr>
            <w:tcW w:w="2236" w:type="pct"/>
            <w:vAlign w:val="center"/>
          </w:tcPr>
          <w:p w14:paraId="1502706E">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加强涉重金属行业污染防控。严格执行重金属污染物排放标准并落实相关总量控制指标，……继续淘汰涉重金属重点行业落后产能，完善重金属相关行业准入条件，禁止新建落后产能或产能严重过剩行业的建设项目。……制定涉重金属重点工业行业清洁生产技术推行方案，鼓励企业采用先进适用生产工艺和技术。</w:t>
            </w:r>
          </w:p>
        </w:tc>
        <w:tc>
          <w:tcPr>
            <w:tcW w:w="1118" w:type="pct"/>
            <w:vMerge w:val="continue"/>
            <w:vAlign w:val="center"/>
          </w:tcPr>
          <w:p w14:paraId="64F27ED2">
            <w:pPr>
              <w:pStyle w:val="24"/>
              <w:rPr>
                <w:rFonts w:hint="eastAsia" w:ascii="Times New Roman" w:hAnsi="Times New Roman" w:eastAsia="宋体" w:cs="Times New Roman"/>
                <w:b w:val="0"/>
                <w:bCs w:val="0"/>
                <w:color w:val="auto"/>
                <w:highlight w:val="none"/>
              </w:rPr>
            </w:pPr>
          </w:p>
        </w:tc>
        <w:tc>
          <w:tcPr>
            <w:tcW w:w="377" w:type="pct"/>
            <w:vMerge w:val="continue"/>
            <w:vAlign w:val="center"/>
          </w:tcPr>
          <w:p w14:paraId="69BC159D">
            <w:pPr>
              <w:pStyle w:val="24"/>
              <w:rPr>
                <w:rFonts w:hint="eastAsia" w:ascii="Times New Roman" w:hAnsi="Times New Roman" w:eastAsia="宋体" w:cs="Times New Roman"/>
                <w:b w:val="0"/>
                <w:bCs w:val="0"/>
                <w:color w:val="auto"/>
                <w:highlight w:val="none"/>
              </w:rPr>
            </w:pPr>
          </w:p>
        </w:tc>
      </w:tr>
      <w:tr w14:paraId="297D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vMerge w:val="restart"/>
            <w:vAlign w:val="center"/>
          </w:tcPr>
          <w:p w14:paraId="60FF08A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《〈土壤污染防治行动计划四川省工作方案〉2020年度实施计划》（2020年3月27日）</w:t>
            </w:r>
          </w:p>
        </w:tc>
        <w:tc>
          <w:tcPr>
            <w:tcW w:w="2236" w:type="pct"/>
            <w:vAlign w:val="center"/>
          </w:tcPr>
          <w:p w14:paraId="2C1751E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排放重点污染物的建设项目，要严格执行土壤环境影响评价有关规定，落实环保</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三同时</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制度。</w:t>
            </w:r>
          </w:p>
        </w:tc>
        <w:tc>
          <w:tcPr>
            <w:tcW w:w="1118" w:type="pct"/>
            <w:vMerge w:val="continue"/>
            <w:vAlign w:val="center"/>
          </w:tcPr>
          <w:p w14:paraId="3627CEE7">
            <w:pPr>
              <w:pStyle w:val="24"/>
              <w:rPr>
                <w:rFonts w:hint="eastAsia" w:ascii="Times New Roman" w:hAnsi="Times New Roman" w:eastAsia="宋体" w:cs="Times New Roman"/>
                <w:b w:val="0"/>
                <w:bCs w:val="0"/>
                <w:color w:val="auto"/>
                <w:highlight w:val="none"/>
              </w:rPr>
            </w:pPr>
          </w:p>
        </w:tc>
        <w:tc>
          <w:tcPr>
            <w:tcW w:w="377" w:type="pct"/>
            <w:vMerge w:val="continue"/>
            <w:vAlign w:val="center"/>
          </w:tcPr>
          <w:p w14:paraId="5C50CA18">
            <w:pPr>
              <w:pStyle w:val="24"/>
              <w:rPr>
                <w:rFonts w:hint="eastAsia" w:ascii="Times New Roman" w:hAnsi="Times New Roman" w:eastAsia="宋体" w:cs="Times New Roman"/>
                <w:b w:val="0"/>
                <w:bCs w:val="0"/>
                <w:color w:val="auto"/>
                <w:highlight w:val="none"/>
              </w:rPr>
            </w:pPr>
          </w:p>
        </w:tc>
      </w:tr>
      <w:tr w14:paraId="06CA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pct"/>
            <w:vMerge w:val="continue"/>
            <w:vAlign w:val="center"/>
          </w:tcPr>
          <w:p w14:paraId="750A1004">
            <w:pPr>
              <w:pStyle w:val="24"/>
              <w:rPr>
                <w:rFonts w:hint="eastAsia" w:ascii="Times New Roman" w:hAnsi="Times New Roman" w:eastAsia="宋体" w:cs="Times New Roman"/>
                <w:b w:val="0"/>
                <w:bCs w:val="0"/>
                <w:color w:val="auto"/>
                <w:highlight w:val="none"/>
              </w:rPr>
            </w:pPr>
          </w:p>
        </w:tc>
        <w:tc>
          <w:tcPr>
            <w:tcW w:w="2236" w:type="pct"/>
            <w:vAlign w:val="center"/>
          </w:tcPr>
          <w:p w14:paraId="6501F15E">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深化重金属污染防治。严格执行重金属污染物排放标准并落实相关总量 控制制度，实施汞、镉、砷、铅、铬等重点重金属</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等量置换</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减量置换</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方案。加强重点行业重金属污染整治。推进全省重有色金属矿采选业、重有色金属冶炼业、金属表面处理及热处理加工行业、铅蓄电池制造业，皮革及其制品制造业、化学原料及化学品制造业等</w:t>
            </w:r>
            <w:r>
              <w:rPr>
                <w:rFonts w:hint="eastAsia" w:cs="Times New Roman"/>
                <w:b w:val="0"/>
                <w:bCs w:val="0"/>
                <w:color w:val="auto"/>
                <w:highlight w:val="none"/>
                <w:lang w:val="en-US" w:eastAsia="zh-CN"/>
              </w:rPr>
              <w:t>6</w:t>
            </w:r>
            <w:r>
              <w:rPr>
                <w:rFonts w:hint="eastAsia" w:ascii="Times New Roman" w:hAnsi="Times New Roman" w:eastAsia="宋体" w:cs="Times New Roman"/>
                <w:b w:val="0"/>
                <w:bCs w:val="0"/>
                <w:color w:val="auto"/>
                <w:highlight w:val="none"/>
              </w:rPr>
              <w:t>大行业污染整治。</w:t>
            </w:r>
          </w:p>
        </w:tc>
        <w:tc>
          <w:tcPr>
            <w:tcW w:w="1118" w:type="pct"/>
            <w:vMerge w:val="continue"/>
            <w:vAlign w:val="center"/>
          </w:tcPr>
          <w:p w14:paraId="6FF684BB">
            <w:pPr>
              <w:pStyle w:val="24"/>
              <w:rPr>
                <w:rFonts w:hint="eastAsia" w:ascii="Times New Roman" w:hAnsi="Times New Roman" w:eastAsia="宋体" w:cs="Times New Roman"/>
                <w:b w:val="0"/>
                <w:bCs w:val="0"/>
                <w:color w:val="auto"/>
                <w:highlight w:val="none"/>
              </w:rPr>
            </w:pPr>
          </w:p>
        </w:tc>
        <w:tc>
          <w:tcPr>
            <w:tcW w:w="377" w:type="pct"/>
            <w:vMerge w:val="continue"/>
            <w:vAlign w:val="center"/>
          </w:tcPr>
          <w:p w14:paraId="7011010E">
            <w:pPr>
              <w:pStyle w:val="24"/>
              <w:rPr>
                <w:rFonts w:hint="eastAsia" w:ascii="Times New Roman" w:hAnsi="Times New Roman" w:eastAsia="宋体" w:cs="Times New Roman"/>
                <w:b w:val="0"/>
                <w:bCs w:val="0"/>
                <w:color w:val="auto"/>
                <w:highlight w:val="none"/>
              </w:rPr>
            </w:pPr>
          </w:p>
        </w:tc>
      </w:tr>
    </w:tbl>
    <w:p w14:paraId="45AD18F5">
      <w:pPr>
        <w:snapToGrid w:val="0"/>
        <w:spacing w:line="360" w:lineRule="auto"/>
        <w:ind w:left="0" w:leftChars="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根据上述分析，本项目符合《中华人民共和国土壤污染防治法》等土壤污染防治相关的法规、规范的相关要求。</w:t>
      </w:r>
    </w:p>
    <w:p w14:paraId="6A30109E">
      <w:pPr>
        <w:pStyle w:val="29"/>
        <w:ind w:left="0" w:leftChars="0" w:firstLine="482" w:firstLineChars="200"/>
        <w:rPr>
          <w:rFonts w:eastAsia="黑体"/>
          <w:color w:val="auto"/>
        </w:rPr>
      </w:pPr>
      <w:r>
        <w:rPr>
          <w:color w:val="auto"/>
        </w:rPr>
        <w:t>4</w:t>
      </w:r>
      <w:r>
        <w:rPr>
          <w:rFonts w:hint="eastAsia"/>
          <w:color w:val="auto"/>
        </w:rPr>
        <w:t>、</w:t>
      </w:r>
      <w:r>
        <w:rPr>
          <w:color w:val="auto"/>
        </w:rPr>
        <w:t>与</w:t>
      </w:r>
      <w:r>
        <w:rPr>
          <w:rFonts w:hint="eastAsia"/>
          <w:color w:val="auto"/>
        </w:rPr>
        <w:t>《</w:t>
      </w:r>
      <w:r>
        <w:rPr>
          <w:rFonts w:hint="default" w:ascii="Times New Roman" w:hAnsi="Times New Roman" w:cs="Times New Roman"/>
          <w:b/>
          <w:bCs/>
          <w:color w:val="auto"/>
          <w:highlight w:val="none"/>
        </w:rPr>
        <w:t>四川省</w:t>
      </w:r>
      <w:r>
        <w:rPr>
          <w:rFonts w:hint="eastAsia" w:cs="Times New Roman"/>
          <w:b/>
          <w:bCs/>
          <w:color w:val="auto"/>
          <w:highlight w:val="none"/>
          <w:lang w:eastAsia="zh-CN"/>
        </w:rPr>
        <w:t>“</w:t>
      </w:r>
      <w:r>
        <w:rPr>
          <w:rFonts w:hint="default" w:ascii="Times New Roman" w:hAnsi="Times New Roman" w:cs="Times New Roman"/>
          <w:b/>
          <w:bCs/>
          <w:color w:val="auto"/>
          <w:highlight w:val="none"/>
        </w:rPr>
        <w:t>十</w:t>
      </w:r>
      <w:r>
        <w:rPr>
          <w:rFonts w:hint="eastAsia" w:cs="Times New Roman"/>
          <w:b/>
          <w:bCs/>
          <w:color w:val="auto"/>
          <w:highlight w:val="none"/>
          <w:lang w:eastAsia="zh-CN"/>
        </w:rPr>
        <w:t>四</w:t>
      </w:r>
      <w:r>
        <w:rPr>
          <w:rFonts w:hint="default" w:ascii="Times New Roman" w:hAnsi="Times New Roman" w:cs="Times New Roman"/>
          <w:b/>
          <w:bCs/>
          <w:color w:val="auto"/>
          <w:highlight w:val="none"/>
        </w:rPr>
        <w:t>五</w:t>
      </w:r>
      <w:r>
        <w:rPr>
          <w:rFonts w:hint="eastAsia" w:cs="Times New Roman"/>
          <w:b/>
          <w:bCs/>
          <w:color w:val="auto"/>
          <w:highlight w:val="none"/>
          <w:lang w:eastAsia="zh-CN"/>
        </w:rPr>
        <w:t>”</w:t>
      </w:r>
      <w:r>
        <w:rPr>
          <w:rFonts w:hint="default" w:ascii="Times New Roman" w:hAnsi="Times New Roman" w:cs="Times New Roman"/>
          <w:b/>
          <w:bCs/>
          <w:color w:val="auto"/>
          <w:highlight w:val="none"/>
        </w:rPr>
        <w:t>重金属污染</w:t>
      </w:r>
      <w:r>
        <w:rPr>
          <w:rFonts w:hint="eastAsia" w:cs="Times New Roman"/>
          <w:b/>
          <w:bCs/>
          <w:color w:val="auto"/>
          <w:highlight w:val="none"/>
          <w:lang w:eastAsia="zh-CN"/>
        </w:rPr>
        <w:t>防控工作</w:t>
      </w:r>
      <w:r>
        <w:rPr>
          <w:rFonts w:hint="default" w:ascii="Times New Roman" w:hAnsi="Times New Roman" w:cs="Times New Roman"/>
          <w:b/>
          <w:bCs/>
          <w:color w:val="auto"/>
          <w:highlight w:val="none"/>
        </w:rPr>
        <w:t>方案</w:t>
      </w:r>
      <w:r>
        <w:rPr>
          <w:rFonts w:hint="eastAsia"/>
          <w:color w:val="auto"/>
        </w:rPr>
        <w:t>》</w:t>
      </w:r>
      <w:r>
        <w:rPr>
          <w:color w:val="auto"/>
        </w:rPr>
        <w:t>符合性</w:t>
      </w:r>
    </w:p>
    <w:p w14:paraId="3F9056EC">
      <w:pPr>
        <w:spacing w:line="360" w:lineRule="auto"/>
        <w:ind w:left="0" w:leftChars="0" w:firstLine="480" w:firstLineChars="200"/>
        <w:rPr>
          <w:rFonts w:hint="default" w:ascii="Times New Roman" w:hAnsi="Times New Roman" w:cs="Times New Roman"/>
          <w:bCs/>
          <w:color w:val="auto"/>
          <w:sz w:val="24"/>
          <w:lang w:val="en-US" w:eastAsia="zh-CN"/>
        </w:rPr>
      </w:pPr>
      <w:r>
        <w:rPr>
          <w:rFonts w:ascii="Times New Roman" w:hAnsi="Times New Roman" w:cs="Times New Roman"/>
          <w:color w:val="auto"/>
          <w:sz w:val="24"/>
          <w:szCs w:val="24"/>
        </w:rPr>
        <w:t>根据</w:t>
      </w:r>
      <w:r>
        <w:rPr>
          <w:rFonts w:hint="eastAsia" w:ascii="Times New Roman" w:hAnsi="Times New Roman" w:cs="Times New Roman"/>
          <w:color w:val="auto"/>
          <w:sz w:val="24"/>
          <w:szCs w:val="24"/>
        </w:rPr>
        <w:t>《四川省</w:t>
      </w:r>
      <w:r>
        <w:rPr>
          <w:rFonts w:hint="eastAsia" w:cs="Times New Roman"/>
          <w:color w:val="auto"/>
          <w:sz w:val="24"/>
          <w:szCs w:val="24"/>
          <w:lang w:eastAsia="zh-CN"/>
        </w:rPr>
        <w:t>“</w:t>
      </w:r>
      <w:r>
        <w:rPr>
          <w:rFonts w:hint="eastAsia" w:ascii="Times New Roman" w:hAnsi="Times New Roman" w:cs="Times New Roman"/>
          <w:color w:val="auto"/>
          <w:sz w:val="24"/>
          <w:szCs w:val="24"/>
        </w:rPr>
        <w:t>十</w:t>
      </w:r>
      <w:r>
        <w:rPr>
          <w:rFonts w:hint="eastAsia" w:ascii="Times New Roman" w:hAnsi="Times New Roman" w:cs="Times New Roman"/>
          <w:color w:val="auto"/>
          <w:sz w:val="24"/>
          <w:szCs w:val="24"/>
          <w:lang w:eastAsia="zh-CN"/>
        </w:rPr>
        <w:t>四</w:t>
      </w:r>
      <w:r>
        <w:rPr>
          <w:rFonts w:hint="eastAsia" w:ascii="Times New Roman" w:hAnsi="Times New Roman" w:cs="Times New Roman"/>
          <w:color w:val="auto"/>
          <w:sz w:val="24"/>
          <w:szCs w:val="24"/>
        </w:rPr>
        <w:t>五</w:t>
      </w:r>
      <w:r>
        <w:rPr>
          <w:rFonts w:hint="eastAsia" w:cs="Times New Roman"/>
          <w:color w:val="auto"/>
          <w:sz w:val="24"/>
          <w:szCs w:val="24"/>
          <w:lang w:eastAsia="zh-CN"/>
        </w:rPr>
        <w:t>”</w:t>
      </w:r>
      <w:r>
        <w:rPr>
          <w:rFonts w:hint="eastAsia" w:ascii="Times New Roman" w:hAnsi="Times New Roman" w:cs="Times New Roman"/>
          <w:color w:val="auto"/>
          <w:sz w:val="24"/>
          <w:szCs w:val="24"/>
        </w:rPr>
        <w:t>重金属污染</w:t>
      </w:r>
      <w:r>
        <w:rPr>
          <w:rFonts w:hint="eastAsia" w:ascii="Times New Roman" w:hAnsi="Times New Roman" w:cs="Times New Roman"/>
          <w:color w:val="auto"/>
          <w:sz w:val="24"/>
          <w:szCs w:val="24"/>
          <w:lang w:eastAsia="zh-CN"/>
        </w:rPr>
        <w:t>防控工作</w:t>
      </w:r>
      <w:r>
        <w:rPr>
          <w:rFonts w:hint="eastAsia" w:ascii="Times New Roman" w:hAnsi="Times New Roman" w:cs="Times New Roman"/>
          <w:color w:val="auto"/>
          <w:sz w:val="24"/>
          <w:szCs w:val="24"/>
        </w:rPr>
        <w:t>方案》（</w:t>
      </w:r>
      <w:r>
        <w:rPr>
          <w:rFonts w:hint="eastAsia" w:ascii="Times New Roman" w:hAnsi="Times New Roman" w:cs="Times New Roman"/>
          <w:color w:val="auto"/>
          <w:sz w:val="24"/>
          <w:szCs w:val="24"/>
          <w:lang w:val="en-US" w:eastAsia="zh-CN"/>
        </w:rPr>
        <w:t>川污防攻坚办〔2022〕61号</w:t>
      </w:r>
      <w:r>
        <w:rPr>
          <w:rFonts w:hint="eastAsia" w:ascii="Times New Roman" w:hAnsi="Times New Roman" w:cs="Times New Roman"/>
          <w:color w:val="auto"/>
          <w:sz w:val="24"/>
          <w:szCs w:val="24"/>
        </w:rPr>
        <w:t>）</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防控重点如下</w:t>
      </w:r>
      <w:r>
        <w:rPr>
          <w:rFonts w:hint="eastAsia" w:ascii="Times New Roman" w:hAnsi="Times New Roman" w:cs="Times New Roman"/>
          <w:bCs/>
          <w:color w:val="auto"/>
          <w:sz w:val="24"/>
        </w:rPr>
        <w:t>：</w:t>
      </w:r>
    </w:p>
    <w:p w14:paraId="0DB95B8E">
      <w:pPr>
        <w:spacing w:line="360" w:lineRule="auto"/>
        <w:ind w:left="0" w:leftChars="0" w:firstLine="480" w:firstLineChars="200"/>
        <w:rPr>
          <w:rFonts w:ascii="Times New Roman" w:hAnsi="Times New Roman" w:cs="Times New Roman"/>
          <w:bCs/>
          <w:color w:val="auto"/>
          <w:sz w:val="24"/>
        </w:rPr>
      </w:pPr>
      <w:r>
        <w:rPr>
          <w:rFonts w:hint="default" w:ascii="Times New Roman" w:hAnsi="Times New Roman" w:cs="Times New Roman"/>
          <w:bCs/>
          <w:color w:val="auto"/>
          <w:sz w:val="24"/>
          <w:lang w:val="en-US" w:eastAsia="zh-CN"/>
        </w:rPr>
        <w:t>重点重金属污染物。铅（Pb）、汞（Hg）、镉（Cd）、铬（Cr）、砷（As）、铊（Tl）和锑（Sb），并对铅、汞、镉、铬和砷五种重金属污染物排放量实施总量控制。</w:t>
      </w:r>
    </w:p>
    <w:p w14:paraId="6BEB7116">
      <w:pPr>
        <w:spacing w:line="360" w:lineRule="auto"/>
        <w:ind w:left="0" w:leftChars="0" w:firstLine="480" w:firstLineChars="200"/>
        <w:rPr>
          <w:rFonts w:hint="eastAsia" w:ascii="Times New Roman" w:hAnsi="Times New Roman" w:cs="Times New Roman"/>
          <w:bCs/>
          <w:color w:val="auto"/>
          <w:sz w:val="24"/>
          <w:lang w:val="en-US" w:eastAsia="zh-CN"/>
        </w:rPr>
      </w:pPr>
      <w:r>
        <w:rPr>
          <w:rFonts w:hint="default" w:ascii="Times New Roman" w:hAnsi="Times New Roman" w:cs="Times New Roman"/>
          <w:bCs/>
          <w:color w:val="auto"/>
          <w:sz w:val="24"/>
          <w:lang w:val="en-US" w:eastAsia="zh-CN"/>
        </w:rPr>
        <w:t>重点行业。重有色金属矿采选业（铜、铅锌、镍钴、锡、锑和汞矿采选）、重有色金属冶炼业（铜、铅锌、镍钴、锡、锑和汞</w:t>
      </w:r>
      <w:r>
        <w:rPr>
          <w:rFonts w:hint="eastAsia" w:ascii="Times New Roman" w:hAnsi="Times New Roman" w:cs="Times New Roman"/>
          <w:bCs/>
          <w:color w:val="auto"/>
          <w:sz w:val="24"/>
          <w:lang w:val="en-US" w:eastAsia="zh-CN"/>
        </w:rPr>
        <w:t>冶</w:t>
      </w:r>
      <w:r>
        <w:rPr>
          <w:rFonts w:hint="default" w:ascii="Times New Roman" w:hAnsi="Times New Roman" w:cs="Times New Roman"/>
          <w:bCs/>
          <w:color w:val="auto"/>
          <w:sz w:val="24"/>
          <w:lang w:val="en-US" w:eastAsia="zh-CN"/>
        </w:rPr>
        <w:t>炼）、铅蓄电池制造业、电镀行业（包含专业电镀和有电镀工序的企业）、化学原料及化学制品制造业（电石法（聚）氯乙烯制造）</w:t>
      </w:r>
      <w:r>
        <w:rPr>
          <w:rFonts w:hint="eastAsia" w:cs="Times New Roman"/>
          <w:bCs/>
          <w:color w:val="auto"/>
          <w:sz w:val="24"/>
          <w:lang w:val="en-US" w:eastAsia="zh-CN"/>
        </w:rPr>
        <w:t>、</w:t>
      </w:r>
      <w:r>
        <w:rPr>
          <w:rFonts w:hint="default" w:ascii="Times New Roman" w:hAnsi="Times New Roman" w:cs="Times New Roman"/>
          <w:bCs/>
          <w:color w:val="auto"/>
          <w:sz w:val="24"/>
          <w:lang w:val="en-US" w:eastAsia="zh-CN"/>
        </w:rPr>
        <w:t>盐制造、以工业固体废物为原料的锌无机化合物工业）、皮革鞣制加工业等6个行业</w:t>
      </w:r>
      <w:r>
        <w:rPr>
          <w:rFonts w:hint="eastAsia" w:ascii="Times New Roman" w:hAnsi="Times New Roman" w:cs="Times New Roman"/>
          <w:bCs/>
          <w:color w:val="auto"/>
          <w:sz w:val="24"/>
          <w:lang w:val="en-US" w:eastAsia="zh-CN"/>
        </w:rPr>
        <w:t>。</w:t>
      </w:r>
    </w:p>
    <w:p w14:paraId="70CE6EFC">
      <w:pPr>
        <w:spacing w:line="360" w:lineRule="auto"/>
        <w:ind w:left="0" w:leftChars="0" w:firstLine="480" w:firstLineChars="200"/>
        <w:rPr>
          <w:rFonts w:hint="eastAsia" w:ascii="Times New Roman" w:hAnsi="Times New Roman" w:cs="Times New Roman"/>
          <w:bCs/>
          <w:color w:val="auto"/>
          <w:sz w:val="24"/>
          <w:lang w:val="en-US" w:eastAsia="zh-CN"/>
        </w:rPr>
      </w:pPr>
      <w:r>
        <w:rPr>
          <w:rFonts w:hint="eastAsia" w:ascii="Times New Roman" w:hAnsi="Times New Roman" w:cs="Times New Roman"/>
          <w:bCs/>
          <w:color w:val="auto"/>
          <w:sz w:val="24"/>
          <w:lang w:val="en-US" w:eastAsia="zh-CN"/>
        </w:rPr>
        <w:t>重点区域。雅安市汉源县、石棉县和凉山州甘洛县。</w:t>
      </w:r>
    </w:p>
    <w:p w14:paraId="5387C8F0">
      <w:pPr>
        <w:spacing w:line="360" w:lineRule="auto"/>
        <w:ind w:left="0" w:leftChars="0" w:firstLine="480" w:firstLineChars="200"/>
        <w:rPr>
          <w:rFonts w:hint="eastAsia" w:ascii="Times New Roman" w:hAnsi="Times New Roman" w:cs="Times New Roman"/>
          <w:bCs/>
          <w:color w:val="auto"/>
          <w:sz w:val="24"/>
          <w:lang w:val="en-US" w:eastAsia="zh-CN"/>
        </w:rPr>
      </w:pPr>
      <w:r>
        <w:rPr>
          <w:rFonts w:hint="eastAsia" w:ascii="Times New Roman" w:hAnsi="Times New Roman" w:cs="Times New Roman"/>
          <w:bCs/>
          <w:color w:val="auto"/>
          <w:sz w:val="24"/>
          <w:lang w:val="en-US" w:eastAsia="zh-CN"/>
        </w:rPr>
        <w:t>主要任务</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严格重点行业企业准入管理。新、改、扩建重点行业建设项目应符合</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三线一单</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、产业政策、区域环评、规划环评和行业环境准入管控要求，同时严格执行长江经济带发展负面清单管理制度。新、改、扩建重点行业建设项目应遵循重点重金属污染物排放</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等量替代</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原则，建设单位在提交环境影响评价文件时应明确重点重金属污染物排放总量及来源，无明确具体总量来源的，环评审批单位不得批准相关环境影响评价文件。总量指标来源原则上应是同一重点行业内企业削减的重点重金属污染物排放量，当同一重点行业内企业削减量无法满足时可从其他重点行业调剂。严格重点行业建设项目环境影响评价审批，不得以改革试点为名降低审批要求。</w:t>
      </w:r>
    </w:p>
    <w:p w14:paraId="5D2A9909">
      <w:pPr>
        <w:autoSpaceDE w:val="0"/>
        <w:autoSpaceDN w:val="0"/>
        <w:spacing w:line="360" w:lineRule="auto"/>
        <w:ind w:left="0" w:leftChars="0" w:firstLine="480" w:firstLineChars="200"/>
        <w:rPr>
          <w:rFonts w:hint="eastAsia" w:ascii="Times New Roman" w:hAnsi="Times New Roman" w:cs="Times New Roman"/>
          <w:bCs/>
          <w:color w:val="auto"/>
          <w:sz w:val="24"/>
          <w:lang w:val="en-US" w:eastAsia="zh-CN"/>
        </w:rPr>
      </w:pPr>
      <w:r>
        <w:rPr>
          <w:rFonts w:hint="eastAsia" w:ascii="Times New Roman" w:hAnsi="Times New Roman" w:cs="Times New Roman"/>
          <w:bCs/>
          <w:color w:val="auto"/>
          <w:sz w:val="24"/>
          <w:lang w:val="en-US" w:eastAsia="zh-CN"/>
        </w:rPr>
        <w:t>本项目</w:t>
      </w:r>
      <w:r>
        <w:rPr>
          <w:rFonts w:hint="eastAsia" w:cs="Times New Roman"/>
          <w:bCs/>
          <w:color w:val="auto"/>
          <w:sz w:val="24"/>
          <w:lang w:val="en-US" w:eastAsia="zh-CN"/>
        </w:rPr>
        <w:t>质检废液及涉及重金属的器皿清洗废水经收集后作为危废处置，</w:t>
      </w:r>
      <w:r>
        <w:rPr>
          <w:rFonts w:hint="eastAsia" w:ascii="Times New Roman" w:hAnsi="Times New Roman" w:cs="Times New Roman"/>
          <w:bCs/>
          <w:color w:val="auto"/>
          <w:sz w:val="24"/>
          <w:lang w:val="en-US" w:eastAsia="zh-CN"/>
        </w:rPr>
        <w:t>不涉及重点重金属</w:t>
      </w:r>
      <w:r>
        <w:rPr>
          <w:rFonts w:hint="eastAsia" w:cs="Times New Roman"/>
          <w:bCs/>
          <w:color w:val="auto"/>
          <w:sz w:val="24"/>
          <w:lang w:val="en-US" w:eastAsia="zh-CN"/>
        </w:rPr>
        <w:t>排放</w:t>
      </w:r>
      <w:r>
        <w:rPr>
          <w:rFonts w:hint="eastAsia" w:ascii="Times New Roman" w:hAnsi="Times New Roman" w:cs="Times New Roman"/>
          <w:bCs/>
          <w:color w:val="auto"/>
          <w:sz w:val="24"/>
          <w:lang w:val="en-US" w:eastAsia="zh-CN"/>
        </w:rPr>
        <w:t>，不属于重点行业，不在重点区域。</w:t>
      </w:r>
      <w:r>
        <w:rPr>
          <w:rFonts w:hint="eastAsia" w:ascii="Times New Roman" w:hAnsi="Times New Roman" w:cs="Times New Roman"/>
          <w:bCs/>
          <w:color w:val="auto"/>
          <w:sz w:val="24"/>
        </w:rPr>
        <w:t>因此，本项目符合</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lang w:val="en-US" w:eastAsia="zh-CN"/>
        </w:rPr>
        <w:t>四川省</w:t>
      </w:r>
      <w:r>
        <w:rPr>
          <w:rFonts w:hint="eastAsia" w:cs="Times New Roman"/>
          <w:bCs/>
          <w:color w:val="auto"/>
          <w:sz w:val="24"/>
          <w:lang w:val="en-US" w:eastAsia="zh-CN"/>
        </w:rPr>
        <w:t>“</w:t>
      </w:r>
      <w:r>
        <w:rPr>
          <w:rFonts w:hint="default" w:ascii="Times New Roman" w:hAnsi="Times New Roman" w:cs="Times New Roman"/>
          <w:bCs/>
          <w:color w:val="auto"/>
          <w:sz w:val="24"/>
          <w:lang w:val="en-US" w:eastAsia="zh-CN"/>
        </w:rPr>
        <w:t>十</w:t>
      </w:r>
      <w:r>
        <w:rPr>
          <w:rFonts w:hint="eastAsia" w:ascii="Times New Roman" w:hAnsi="Times New Roman" w:cs="Times New Roman"/>
          <w:bCs/>
          <w:color w:val="auto"/>
          <w:sz w:val="24"/>
          <w:lang w:val="en-US" w:eastAsia="zh-CN"/>
        </w:rPr>
        <w:t>四</w:t>
      </w:r>
      <w:r>
        <w:rPr>
          <w:rFonts w:hint="default" w:ascii="Times New Roman" w:hAnsi="Times New Roman" w:cs="Times New Roman"/>
          <w:bCs/>
          <w:color w:val="auto"/>
          <w:sz w:val="24"/>
          <w:lang w:val="en-US" w:eastAsia="zh-CN"/>
        </w:rPr>
        <w:t>五</w:t>
      </w:r>
      <w:r>
        <w:rPr>
          <w:rFonts w:hint="eastAsia" w:cs="Times New Roman"/>
          <w:bCs/>
          <w:color w:val="auto"/>
          <w:sz w:val="24"/>
          <w:lang w:val="en-US" w:eastAsia="zh-CN"/>
        </w:rPr>
        <w:t>”</w:t>
      </w:r>
      <w:r>
        <w:rPr>
          <w:rFonts w:hint="default" w:ascii="Times New Roman" w:hAnsi="Times New Roman" w:cs="Times New Roman"/>
          <w:bCs/>
          <w:color w:val="auto"/>
          <w:sz w:val="24"/>
          <w:lang w:val="en-US" w:eastAsia="zh-CN"/>
        </w:rPr>
        <w:t>重金属污染</w:t>
      </w:r>
      <w:r>
        <w:rPr>
          <w:rFonts w:hint="eastAsia" w:ascii="Times New Roman" w:hAnsi="Times New Roman" w:cs="Times New Roman"/>
          <w:bCs/>
          <w:color w:val="auto"/>
          <w:sz w:val="24"/>
          <w:lang w:val="en-US" w:eastAsia="zh-CN"/>
        </w:rPr>
        <w:t>防控工作</w:t>
      </w:r>
      <w:r>
        <w:rPr>
          <w:rFonts w:hint="default" w:ascii="Times New Roman" w:hAnsi="Times New Roman" w:cs="Times New Roman"/>
          <w:bCs/>
          <w:color w:val="auto"/>
          <w:sz w:val="24"/>
          <w:lang w:val="en-US" w:eastAsia="zh-CN"/>
        </w:rPr>
        <w:t>方案</w:t>
      </w:r>
      <w:r>
        <w:rPr>
          <w:rFonts w:hint="eastAsia" w:ascii="Times New Roman" w:hAnsi="Times New Roman" w:cs="Times New Roman"/>
          <w:bCs/>
          <w:color w:val="auto"/>
          <w:sz w:val="24"/>
          <w:lang w:val="en-US" w:eastAsia="zh-CN"/>
        </w:rPr>
        <w:t>》中相关要求。</w:t>
      </w:r>
    </w:p>
    <w:p w14:paraId="0DA31F77">
      <w:pPr>
        <w:pStyle w:val="29"/>
        <w:ind w:left="0" w:leftChars="0" w:firstLine="482" w:firstLineChars="200"/>
        <w:rPr>
          <w:rFonts w:eastAsia="黑体"/>
          <w:color w:val="auto"/>
        </w:rPr>
      </w:pPr>
      <w:r>
        <w:rPr>
          <w:rFonts w:hint="eastAsia"/>
          <w:color w:val="auto"/>
        </w:rPr>
        <w:t>5、</w:t>
      </w:r>
      <w:r>
        <w:rPr>
          <w:color w:val="auto"/>
        </w:rPr>
        <w:t>与化工项目入园符合性分析</w:t>
      </w:r>
    </w:p>
    <w:p w14:paraId="4DA9FF66">
      <w:pPr>
        <w:spacing w:line="360" w:lineRule="auto"/>
        <w:ind w:left="0" w:leftChars="0" w:firstLine="480" w:firstLineChars="200"/>
        <w:rPr>
          <w:rFonts w:hint="default" w:ascii="Times New Roman" w:hAnsi="Times New Roman" w:eastAsia="宋体" w:cs="Times New Roman"/>
          <w:i/>
          <w:iCs/>
          <w:color w:val="auto"/>
          <w:sz w:val="24"/>
          <w:szCs w:val="24"/>
        </w:rPr>
      </w:pPr>
      <w:r>
        <w:rPr>
          <w:rFonts w:hint="default" w:ascii="Times New Roman" w:hAnsi="Times New Roman" w:eastAsia="宋体" w:cs="Times New Roman"/>
          <w:color w:val="auto"/>
          <w:sz w:val="24"/>
          <w:szCs w:val="24"/>
        </w:rPr>
        <w:t>工业和信息化部 国家发展和改革委员会 科学技术部 生态环境部 应急管理部 国家能源局六部门联合印发了《关于</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十四五</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推动石化化工行业高质量发 展的指导意见》（工信部联原</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2022</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34 号）</w:t>
      </w:r>
      <w:r>
        <w:rPr>
          <w:rFonts w:hint="eastAsia" w:cs="Times New Roman"/>
          <w:color w:val="auto"/>
          <w:sz w:val="24"/>
          <w:szCs w:val="24"/>
          <w:lang w:val="en-US" w:eastAsia="zh-CN"/>
        </w:rPr>
        <w:t>中</w:t>
      </w:r>
      <w:r>
        <w:rPr>
          <w:rFonts w:hint="default" w:ascii="Times New Roman" w:hAnsi="Times New Roman" w:eastAsia="宋体" w:cs="Times New Roman"/>
          <w:color w:val="auto"/>
          <w:sz w:val="24"/>
          <w:szCs w:val="24"/>
        </w:rPr>
        <w:t>提出：</w:t>
      </w:r>
      <w:r>
        <w:rPr>
          <w:rFonts w:hint="default" w:ascii="Times New Roman" w:hAnsi="Times New Roman" w:eastAsia="宋体" w:cs="Times New Roman"/>
          <w:i/>
          <w:iCs/>
          <w:color w:val="auto"/>
          <w:sz w:val="24"/>
          <w:szCs w:val="24"/>
        </w:rPr>
        <w:t>引导化工项目进区入园，促进高水平集聚发展</w:t>
      </w:r>
      <w:r>
        <w:rPr>
          <w:rFonts w:hint="eastAsia" w:cs="Times New Roman"/>
          <w:i/>
          <w:iCs/>
          <w:color w:val="auto"/>
          <w:sz w:val="24"/>
          <w:szCs w:val="24"/>
          <w:lang w:val="en-US" w:eastAsia="zh-CN"/>
        </w:rPr>
        <w:t>......</w:t>
      </w:r>
      <w:r>
        <w:rPr>
          <w:rFonts w:hint="default" w:ascii="Times New Roman" w:hAnsi="Times New Roman" w:eastAsia="宋体" w:cs="Times New Roman"/>
          <w:i/>
          <w:iCs/>
          <w:color w:val="auto"/>
          <w:sz w:val="24"/>
          <w:szCs w:val="24"/>
        </w:rPr>
        <w:t>严格执行危险化学品</w:t>
      </w:r>
      <w:r>
        <w:rPr>
          <w:rFonts w:hint="eastAsia" w:cs="Times New Roman"/>
          <w:i/>
          <w:iCs/>
          <w:color w:val="auto"/>
          <w:sz w:val="24"/>
          <w:szCs w:val="24"/>
          <w:lang w:eastAsia="zh-CN"/>
        </w:rPr>
        <w:t>“</w:t>
      </w:r>
      <w:r>
        <w:rPr>
          <w:rFonts w:hint="default" w:ascii="Times New Roman" w:hAnsi="Times New Roman" w:eastAsia="宋体" w:cs="Times New Roman"/>
          <w:i/>
          <w:iCs/>
          <w:color w:val="auto"/>
          <w:sz w:val="24"/>
          <w:szCs w:val="24"/>
        </w:rPr>
        <w:t>禁限控</w:t>
      </w:r>
      <w:r>
        <w:rPr>
          <w:rFonts w:hint="eastAsia" w:cs="Times New Roman"/>
          <w:i/>
          <w:iCs/>
          <w:color w:val="auto"/>
          <w:sz w:val="24"/>
          <w:szCs w:val="24"/>
          <w:lang w:eastAsia="zh-CN"/>
        </w:rPr>
        <w:t>”</w:t>
      </w:r>
      <w:r>
        <w:rPr>
          <w:rFonts w:hint="default" w:ascii="Times New Roman" w:hAnsi="Times New Roman" w:eastAsia="宋体" w:cs="Times New Roman"/>
          <w:i/>
          <w:iCs/>
          <w:color w:val="auto"/>
          <w:sz w:val="24"/>
          <w:szCs w:val="24"/>
        </w:rPr>
        <w:t>目录，新建危险化学品生产项目必须进入一般或较低安全风险的化工园区（与其他行业生产装置配套建设的项目除外），引导其他石化化工项目在化工园区发展。</w:t>
      </w:r>
    </w:p>
    <w:p w14:paraId="7DAD9FDA">
      <w:pPr>
        <w:spacing w:line="360" w:lineRule="auto"/>
        <w:ind w:left="0" w:leftChars="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四川省经济和信息化厅等</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部门关于印发《四川省化工生产建设项目入园指 引（试行）》的通知（川经信规</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2024</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4 号）</w:t>
      </w:r>
      <w:r>
        <w:rPr>
          <w:rFonts w:hint="eastAsia" w:cs="Times New Roman"/>
          <w:color w:val="auto"/>
          <w:sz w:val="24"/>
          <w:szCs w:val="24"/>
          <w:lang w:val="en-US" w:eastAsia="zh-CN"/>
        </w:rPr>
        <w:t>中明确</w:t>
      </w:r>
      <w:r>
        <w:rPr>
          <w:rFonts w:hint="default" w:ascii="Times New Roman" w:hAnsi="Times New Roman" w:eastAsia="宋体" w:cs="Times New Roman"/>
          <w:color w:val="auto"/>
          <w:sz w:val="24"/>
          <w:szCs w:val="24"/>
        </w:rPr>
        <w:t>：</w:t>
      </w:r>
      <w:r>
        <w:rPr>
          <w:rFonts w:hint="default" w:ascii="Times New Roman" w:hAnsi="Times New Roman" w:eastAsia="宋体" w:cs="Times New Roman"/>
          <w:i/>
          <w:iCs/>
          <w:color w:val="auto"/>
          <w:sz w:val="24"/>
          <w:szCs w:val="24"/>
        </w:rPr>
        <w:t>第四条下列新建、改建、扩建化 工生产建设项目必须进入一般或较低安全风险等级的化工园区。（一）危险化学品生产项目（与其他行业生产装置配套建设的项目</w:t>
      </w:r>
      <w:r>
        <w:rPr>
          <w:rFonts w:hint="default" w:ascii="Times New Roman" w:hAnsi="Times New Roman" w:eastAsia="宋体" w:cs="Times New Roman"/>
          <w:color w:val="auto"/>
          <w:sz w:val="24"/>
          <w:szCs w:val="24"/>
        </w:rPr>
        <w:t>；</w:t>
      </w:r>
      <w:r>
        <w:rPr>
          <w:rFonts w:hint="default" w:ascii="Times New Roman" w:hAnsi="Times New Roman" w:eastAsia="宋体" w:cs="Times New Roman"/>
          <w:i/>
          <w:iCs/>
          <w:color w:val="auto"/>
          <w:sz w:val="24"/>
          <w:szCs w:val="24"/>
        </w:rPr>
        <w:t>安全、环保、节能和智能化改造项目；不含下游深加工的固废、废气、废液等资源综合利用项目；甘孜州、 阿坝州、凉山州空气分离制氧项目除外）。（二）化工行业中，以爆炸性化学品、 剧（高）毒化学品、液化烃类易燃易爆化学品为主要原料的项目。（三）化工行业中，构成危险化学品重大危险源的项目。</w:t>
      </w:r>
    </w:p>
    <w:p w14:paraId="65695626">
      <w:pPr>
        <w:spacing w:line="360" w:lineRule="auto"/>
        <w:ind w:left="0" w:leftChars="0" w:firstLine="480" w:firstLineChars="200"/>
        <w:rPr>
          <w:rFonts w:hint="eastAsia"/>
          <w:color w:val="auto"/>
          <w:sz w:val="24"/>
          <w:szCs w:val="24"/>
          <w:lang w:val="en-US" w:eastAsia="zh-CN"/>
        </w:rPr>
      </w:pPr>
      <w:r>
        <w:rPr>
          <w:rFonts w:hint="eastAsia" w:cs="Times New Roman"/>
          <w:color w:val="auto"/>
          <w:kern w:val="2"/>
          <w:sz w:val="24"/>
          <w:szCs w:val="24"/>
          <w:lang w:val="en-US" w:eastAsia="zh-CN" w:bidi="ar-SA"/>
        </w:rPr>
        <w:t>本项目</w:t>
      </w:r>
      <w:r>
        <w:rPr>
          <w:rFonts w:hint="eastAsia"/>
          <w:bCs/>
          <w:color w:val="auto"/>
          <w:kern w:val="0"/>
          <w:sz w:val="24"/>
          <w:lang w:val="en-US" w:eastAsia="zh-CN"/>
        </w:rPr>
        <w:t>为《国民经济行业分类》（GB/T4754-2017）中“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”，属于化工行业。</w:t>
      </w:r>
      <w:r>
        <w:rPr>
          <w:rFonts w:hint="eastAsia" w:ascii="Times New Roman"/>
          <w:color w:val="auto"/>
          <w:sz w:val="24"/>
          <w:lang w:val="en-US" w:eastAsia="zh-CN"/>
        </w:rPr>
        <w:t>本项目位于</w:t>
      </w:r>
      <w:r>
        <w:rPr>
          <w:rFonts w:hint="eastAsia"/>
          <w:color w:val="auto"/>
          <w:sz w:val="24"/>
          <w:lang w:val="en-US" w:eastAsia="zh-CN"/>
        </w:rPr>
        <w:t>四川巴中经济开发区金堂区块（巴中曾口-金堂化工园区）内</w:t>
      </w:r>
      <w:r>
        <w:rPr>
          <w:rFonts w:hint="eastAsia" w:ascii="Times New Roman"/>
          <w:color w:val="auto"/>
          <w:sz w:val="24"/>
          <w:lang w:val="en-US" w:eastAsia="zh-CN"/>
        </w:rPr>
        <w:t>，</w:t>
      </w:r>
      <w:r>
        <w:rPr>
          <w:rFonts w:hint="eastAsia"/>
          <w:color w:val="auto"/>
          <w:sz w:val="24"/>
          <w:lang w:val="en-US" w:eastAsia="zh-CN"/>
        </w:rPr>
        <w:t>巴中曾口-金堂化工园区</w:t>
      </w:r>
      <w:r>
        <w:rPr>
          <w:rFonts w:hint="eastAsia" w:ascii="Times New Roman"/>
          <w:color w:val="auto"/>
          <w:sz w:val="24"/>
          <w:lang w:val="en-US" w:eastAsia="zh-CN"/>
        </w:rPr>
        <w:t>是经《四川省经济和信息化厅等7部门关于公布盐亭巨龙等4家化工园区及达州普光化工园区扩区调整的通知》（川经信化工</w:t>
      </w:r>
      <w:r>
        <w:rPr>
          <w:rFonts w:hint="eastAsia"/>
          <w:color w:val="auto"/>
          <w:sz w:val="24"/>
          <w:lang w:val="en-US" w:eastAsia="zh-CN"/>
        </w:rPr>
        <w:t>〔</w:t>
      </w:r>
      <w:r>
        <w:rPr>
          <w:rFonts w:hint="eastAsia" w:ascii="Times New Roman"/>
          <w:color w:val="auto"/>
          <w:sz w:val="24"/>
          <w:lang w:val="en-US" w:eastAsia="zh-CN"/>
        </w:rPr>
        <w:t>2025</w:t>
      </w:r>
      <w:r>
        <w:rPr>
          <w:rFonts w:hint="eastAsia"/>
          <w:color w:val="auto"/>
          <w:sz w:val="24"/>
          <w:lang w:val="en-US" w:eastAsia="zh-CN"/>
        </w:rPr>
        <w:t>〕</w:t>
      </w:r>
      <w:r>
        <w:rPr>
          <w:rFonts w:hint="eastAsia" w:ascii="Times New Roman"/>
          <w:color w:val="auto"/>
          <w:sz w:val="24"/>
          <w:lang w:val="en-US" w:eastAsia="zh-CN"/>
        </w:rPr>
        <w:t>192号）认定的化工园区</w:t>
      </w:r>
      <w:r>
        <w:rPr>
          <w:rFonts w:hint="eastAsia"/>
          <w:color w:val="auto"/>
          <w:sz w:val="24"/>
          <w:lang w:val="en-US" w:eastAsia="zh-CN"/>
        </w:rPr>
        <w:t>（见附件5-2）</w:t>
      </w:r>
      <w:r>
        <w:rPr>
          <w:rFonts w:hint="eastAsia" w:ascii="Times New Roman"/>
          <w:color w:val="auto"/>
          <w:sz w:val="24"/>
          <w:lang w:val="en-US" w:eastAsia="zh-CN"/>
        </w:rPr>
        <w:t>，</w:t>
      </w:r>
      <w:r>
        <w:rPr>
          <w:rFonts w:hint="eastAsia"/>
          <w:color w:val="auto"/>
          <w:sz w:val="24"/>
          <w:lang w:val="en-US" w:eastAsia="zh-CN"/>
        </w:rPr>
        <w:t>且根据</w:t>
      </w:r>
      <w:r>
        <w:rPr>
          <w:rFonts w:hint="eastAsia" w:ascii="Times New Roman"/>
          <w:color w:val="auto"/>
          <w:sz w:val="24"/>
          <w:lang w:val="en-US" w:eastAsia="zh-CN"/>
        </w:rPr>
        <w:t>《四川省应急管理厅公告》（202</w:t>
      </w:r>
      <w:r>
        <w:rPr>
          <w:rFonts w:hint="eastAsia"/>
          <w:color w:val="auto"/>
          <w:sz w:val="24"/>
          <w:lang w:val="en-US" w:eastAsia="zh-CN"/>
        </w:rPr>
        <w:t>5</w:t>
      </w:r>
      <w:r>
        <w:rPr>
          <w:rFonts w:hint="eastAsia" w:ascii="Times New Roman"/>
          <w:color w:val="auto"/>
          <w:sz w:val="24"/>
          <w:lang w:val="en-US" w:eastAsia="zh-CN"/>
        </w:rPr>
        <w:t>年第</w:t>
      </w:r>
      <w:r>
        <w:rPr>
          <w:rFonts w:hint="eastAsia"/>
          <w:color w:val="auto"/>
          <w:sz w:val="24"/>
          <w:lang w:val="en-US" w:eastAsia="zh-CN"/>
        </w:rPr>
        <w:t>26</w:t>
      </w:r>
      <w:r>
        <w:rPr>
          <w:rFonts w:hint="eastAsia" w:ascii="Times New Roman"/>
          <w:color w:val="auto"/>
          <w:sz w:val="24"/>
          <w:lang w:val="en-US" w:eastAsia="zh-CN"/>
        </w:rPr>
        <w:t>号），</w:t>
      </w:r>
      <w:r>
        <w:rPr>
          <w:rFonts w:hint="eastAsia"/>
          <w:color w:val="auto"/>
          <w:sz w:val="24"/>
          <w:lang w:val="en-US" w:eastAsia="zh-CN"/>
        </w:rPr>
        <w:t>巴中曾口-金堂化工园区</w:t>
      </w:r>
      <w:r>
        <w:rPr>
          <w:rFonts w:hint="eastAsia" w:ascii="Times New Roman"/>
          <w:color w:val="auto"/>
          <w:sz w:val="24"/>
          <w:lang w:val="en-US" w:eastAsia="zh-CN"/>
        </w:rPr>
        <w:t>安全风险等级分类为较低安全风险等级（D级）</w:t>
      </w:r>
      <w:r>
        <w:rPr>
          <w:rFonts w:hint="eastAsia"/>
          <w:color w:val="auto"/>
          <w:sz w:val="24"/>
          <w:lang w:val="en-US" w:eastAsia="zh-CN"/>
        </w:rPr>
        <w:t>，</w:t>
      </w:r>
      <w:r>
        <w:rPr>
          <w:rFonts w:hint="eastAsia" w:ascii="Times New Roman"/>
          <w:color w:val="auto"/>
          <w:sz w:val="24"/>
          <w:lang w:val="en-US" w:eastAsia="zh-CN"/>
        </w:rPr>
        <w:t>符合四川省经济和信息化厅等6部门关于印发</w:t>
      </w:r>
      <w:r>
        <w:rPr>
          <w:rFonts w:hint="eastAsia" w:ascii="Times New Roman" w:hAnsi="Times New Roman"/>
          <w:color w:val="auto"/>
          <w:sz w:val="24"/>
          <w:szCs w:val="24"/>
          <w:lang w:val="en-US" w:eastAsia="zh-CN"/>
        </w:rPr>
        <w:t>《四川省化工生产建设项目入园指引（试行）》的通知中</w:t>
      </w:r>
      <w:r>
        <w:rPr>
          <w:rFonts w:hint="eastAsia"/>
          <w:color w:val="auto"/>
          <w:sz w:val="24"/>
          <w:szCs w:val="24"/>
          <w:lang w:val="en-US" w:eastAsia="zh-CN"/>
        </w:rPr>
        <w:t>“</w:t>
      </w:r>
      <w:r>
        <w:rPr>
          <w:rFonts w:hint="eastAsia" w:ascii="Times New Roman"/>
          <w:i/>
          <w:iCs/>
          <w:color w:val="auto"/>
          <w:sz w:val="24"/>
          <w:lang w:val="en-US" w:eastAsia="zh-CN"/>
        </w:rPr>
        <w:t>新建、改建、扩建化工生产建设项目必须进入一般或较低安全风险等级的化工园区</w:t>
      </w:r>
      <w:r>
        <w:rPr>
          <w:rFonts w:hint="eastAsia"/>
          <w:color w:val="auto"/>
          <w:sz w:val="24"/>
          <w:szCs w:val="24"/>
          <w:lang w:val="en-US" w:eastAsia="zh-CN"/>
        </w:rPr>
        <w:t>”</w:t>
      </w:r>
      <w:r>
        <w:rPr>
          <w:rFonts w:hint="eastAsia" w:ascii="Times New Roman" w:hAnsi="Times New Roman"/>
          <w:color w:val="auto"/>
          <w:sz w:val="24"/>
          <w:szCs w:val="24"/>
          <w:lang w:val="en-US" w:eastAsia="zh-CN"/>
        </w:rPr>
        <w:t>的规定</w:t>
      </w:r>
      <w:r>
        <w:rPr>
          <w:rFonts w:hint="eastAsia"/>
          <w:color w:val="auto"/>
          <w:sz w:val="24"/>
          <w:szCs w:val="24"/>
          <w:lang w:val="en-US" w:eastAsia="zh-CN"/>
        </w:rPr>
        <w:t>。</w:t>
      </w:r>
    </w:p>
    <w:p w14:paraId="672DD640">
      <w:pPr>
        <w:pStyle w:val="29"/>
        <w:ind w:left="0" w:leftChars="0" w:firstLine="482" w:firstLineChars="200"/>
        <w:rPr>
          <w:rFonts w:hint="default" w:ascii="Times New Roman" w:hAnsi="Times New Roman" w:cs="Times New Roman"/>
          <w:color w:val="auto"/>
        </w:rPr>
      </w:pPr>
      <w:r>
        <w:rPr>
          <w:rFonts w:hint="default" w:ascii="Times New Roman" w:hAnsi="Times New Roman" w:cs="Times New Roman"/>
          <w:color w:val="auto"/>
        </w:rPr>
        <w:t>6、</w:t>
      </w:r>
      <w:r>
        <w:rPr>
          <w:rFonts w:hint="default" w:ascii="Times New Roman" w:hAnsi="Times New Roman" w:eastAsia="宋体" w:cs="Times New Roman"/>
          <w:color w:val="auto"/>
          <w:sz w:val="24"/>
          <w:szCs w:val="24"/>
        </w:rPr>
        <w:t>与新污染物相关政策的符合性分析</w:t>
      </w:r>
    </w:p>
    <w:p w14:paraId="59E11AAE">
      <w:pPr>
        <w:spacing w:line="360" w:lineRule="auto"/>
        <w:ind w:left="0" w:leftChars="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国务院办公厅关于印发《新污染物治理行动方案》（国办发</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2022</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15</w:t>
      </w:r>
      <w:r>
        <w:rPr>
          <w:rFonts w:hint="default" w:ascii="Times New Roman" w:hAnsi="Times New Roman" w:eastAsia="宋体" w:cs="Times New Roman"/>
          <w:color w:val="auto"/>
          <w:sz w:val="24"/>
          <w:szCs w:val="24"/>
        </w:rPr>
        <w:t>号）的通知</w:t>
      </w:r>
      <w:r>
        <w:rPr>
          <w:rFonts w:hint="eastAsia" w:cs="Times New Roman"/>
          <w:color w:val="auto"/>
          <w:sz w:val="24"/>
          <w:szCs w:val="24"/>
          <w:lang w:val="en-US" w:eastAsia="zh-CN"/>
        </w:rPr>
        <w:t>中明确</w:t>
      </w:r>
      <w:r>
        <w:rPr>
          <w:rFonts w:hint="default" w:ascii="Times New Roman" w:hAnsi="Times New Roman" w:eastAsia="宋体" w:cs="Times New Roman"/>
          <w:color w:val="auto"/>
          <w:sz w:val="24"/>
          <w:szCs w:val="24"/>
        </w:rPr>
        <w:t>：</w:t>
      </w:r>
      <w:r>
        <w:rPr>
          <w:rFonts w:hint="default" w:ascii="Times New Roman" w:hAnsi="Times New Roman" w:eastAsia="宋体" w:cs="Times New Roman"/>
          <w:i/>
          <w:iCs/>
          <w:color w:val="auto"/>
          <w:sz w:val="24"/>
          <w:szCs w:val="24"/>
        </w:rPr>
        <w:t>1.7.动态发布重点管控新污染物清单。针对列入优先控制化学品名录的化学物质以及抗生素、微塑料等其他重点新污染物，制定</w:t>
      </w:r>
      <w:r>
        <w:rPr>
          <w:rFonts w:hint="eastAsia" w:cs="Times New Roman"/>
          <w:i/>
          <w:iCs/>
          <w:color w:val="auto"/>
          <w:sz w:val="24"/>
          <w:szCs w:val="24"/>
          <w:lang w:eastAsia="zh-CN"/>
        </w:rPr>
        <w:t>“</w:t>
      </w:r>
      <w:r>
        <w:rPr>
          <w:rFonts w:hint="default" w:ascii="Times New Roman" w:hAnsi="Times New Roman" w:eastAsia="宋体" w:cs="Times New Roman"/>
          <w:i/>
          <w:iCs/>
          <w:color w:val="auto"/>
          <w:sz w:val="24"/>
          <w:szCs w:val="24"/>
        </w:rPr>
        <w:t>一品一策</w:t>
      </w:r>
      <w:r>
        <w:rPr>
          <w:rFonts w:hint="eastAsia" w:cs="Times New Roman"/>
          <w:i/>
          <w:iCs/>
          <w:color w:val="auto"/>
          <w:sz w:val="24"/>
          <w:szCs w:val="24"/>
          <w:lang w:eastAsia="zh-CN"/>
        </w:rPr>
        <w:t>”</w:t>
      </w:r>
      <w:r>
        <w:rPr>
          <w:rFonts w:hint="default" w:ascii="Times New Roman" w:hAnsi="Times New Roman" w:eastAsia="宋体" w:cs="Times New Roman"/>
          <w:i/>
          <w:iCs/>
          <w:color w:val="auto"/>
          <w:sz w:val="24"/>
          <w:szCs w:val="24"/>
        </w:rPr>
        <w:t>管控措施，开展管控措施的技术可行性和经济社会影响评估，识别优先控制化学品的主要环境排放源，适时制定修订相关行业排放标准，动态更新有毒有害大气污染物名录、有毒有害水污染物名录、重点控制的土壤有毒有害物质名录。动态发布重点管控新污染物清单及其禁止、限制、限排等环境风险管控措施。2022年发布首批重点管控新污染物清单。9.严格实施淘汰或限用措施。按照重点管控新污染物清单要求，禁止、限制重点管控新污染物的生产、加工使用和进出口</w:t>
      </w:r>
      <w:r>
        <w:rPr>
          <w:rFonts w:hint="eastAsia" w:cs="Times New Roman"/>
          <w:i/>
          <w:iCs/>
          <w:color w:val="auto"/>
          <w:sz w:val="24"/>
          <w:szCs w:val="24"/>
          <w:lang w:val="en-US" w:eastAsia="zh-CN"/>
        </w:rPr>
        <w:t>......</w:t>
      </w:r>
      <w:r>
        <w:rPr>
          <w:rFonts w:hint="default" w:ascii="Times New Roman" w:hAnsi="Times New Roman" w:eastAsia="宋体" w:cs="Times New Roman"/>
          <w:i/>
          <w:iCs/>
          <w:color w:val="auto"/>
          <w:sz w:val="24"/>
          <w:szCs w:val="24"/>
        </w:rPr>
        <w:t>强化环境影响评价管理，严格涉新污染物建设项目准入管理</w:t>
      </w:r>
      <w:r>
        <w:rPr>
          <w:rFonts w:hint="eastAsia" w:cs="Times New Roman"/>
          <w:i/>
          <w:iCs/>
          <w:color w:val="auto"/>
          <w:sz w:val="24"/>
          <w:szCs w:val="24"/>
          <w:lang w:val="en-US" w:eastAsia="zh-CN"/>
        </w:rPr>
        <w:t>......</w:t>
      </w:r>
      <w:r>
        <w:rPr>
          <w:rFonts w:hint="default" w:ascii="Times New Roman" w:hAnsi="Times New Roman" w:eastAsia="宋体" w:cs="Times New Roman"/>
          <w:i/>
          <w:iCs/>
          <w:color w:val="auto"/>
          <w:sz w:val="24"/>
          <w:szCs w:val="24"/>
        </w:rPr>
        <w:t>将严格限制用途的化学品纳入《中国严格限制的有毒化学品名录》，强化进出口环境管理。依法严厉打击已淘汰持久性有机污染物的非法生产和加工使用。</w:t>
      </w:r>
      <w:r>
        <w:rPr>
          <w:rFonts w:hint="default" w:ascii="Times New Roman" w:hAnsi="Times New Roman" w:eastAsia="宋体" w:cs="Times New Roman"/>
          <w:color w:val="auto"/>
          <w:sz w:val="24"/>
          <w:szCs w:val="24"/>
        </w:rPr>
        <w:t xml:space="preserve"> </w:t>
      </w:r>
    </w:p>
    <w:p w14:paraId="5A10E779">
      <w:pPr>
        <w:spacing w:line="360" w:lineRule="auto"/>
        <w:ind w:left="0" w:leftChars="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《关于加强重点行业涉新污染物建设项目环境影响评价工作的意见》（环环评</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2025</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28</w:t>
      </w:r>
      <w:r>
        <w:rPr>
          <w:rFonts w:hint="default" w:ascii="Times New Roman" w:hAnsi="Times New Roman" w:eastAsia="宋体" w:cs="Times New Roman"/>
          <w:color w:val="auto"/>
          <w:sz w:val="24"/>
          <w:szCs w:val="24"/>
        </w:rPr>
        <w:t>号）</w:t>
      </w:r>
      <w:r>
        <w:rPr>
          <w:rFonts w:hint="eastAsia" w:ascii="Times New Roman" w:hAnsi="Times New Roman" w:eastAsia="宋体" w:cs="Times New Roman"/>
          <w:color w:val="auto"/>
          <w:sz w:val="24"/>
          <w:szCs w:val="24"/>
          <w:lang w:val="en-US" w:eastAsia="zh-CN"/>
        </w:rPr>
        <w:t>中明确</w:t>
      </w:r>
      <w:r>
        <w:rPr>
          <w:rFonts w:hint="default" w:ascii="Times New Roman" w:hAnsi="Times New Roman" w:eastAsia="宋体" w:cs="Times New Roman"/>
          <w:color w:val="auto"/>
          <w:sz w:val="24"/>
          <w:szCs w:val="24"/>
        </w:rPr>
        <w:t>：</w:t>
      </w:r>
      <w:r>
        <w:rPr>
          <w:rFonts w:hint="default" w:ascii="Times New Roman" w:hAnsi="Times New Roman" w:eastAsia="宋体" w:cs="Times New Roman"/>
          <w:i/>
          <w:iCs/>
          <w:color w:val="auto"/>
          <w:sz w:val="24"/>
          <w:szCs w:val="24"/>
        </w:rPr>
        <w:t>二、禁止审批不符合新污染物管控要求的建设项目。各级环评审批部门在受理和审批建设项目环评文件时，应落实重点管控新污染物清单、产业结构调整指导目录、《斯德哥尔摩公约</w:t>
      </w:r>
      <w:r>
        <w:rPr>
          <w:rFonts w:hint="default" w:ascii="Times New Roman" w:hAnsi="Times New Roman" w:cs="Times New Roman"/>
          <w:i/>
          <w:iCs/>
          <w:color w:val="auto"/>
          <w:sz w:val="24"/>
          <w:szCs w:val="24"/>
          <w:lang w:eastAsia="zh-CN"/>
        </w:rPr>
        <w:t>》、</w:t>
      </w:r>
      <w:r>
        <w:rPr>
          <w:rFonts w:hint="default" w:ascii="Times New Roman" w:hAnsi="Times New Roman" w:eastAsia="宋体" w:cs="Times New Roman"/>
          <w:i/>
          <w:iCs/>
          <w:color w:val="auto"/>
          <w:sz w:val="24"/>
          <w:szCs w:val="24"/>
        </w:rPr>
        <w:t>生态环境分区管控方案和项目所在园区规划环评等有关管控要求。对照不予审批环评的项目类别（见附表），严格审核建设项目原辅材料和产品，对于以禁止生产、加工使用的新污染物作为原辅料或产品的建设项目，依法不予审批。</w:t>
      </w:r>
    </w:p>
    <w:p w14:paraId="4F8A478C">
      <w:pPr>
        <w:spacing w:line="360" w:lineRule="auto"/>
        <w:ind w:left="0" w:leftChars="0" w:firstLine="480" w:firstLineChars="200"/>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四川省人民政府办公厅关于印发《四川省新污染物治理工作方案》的通知</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川办发</w:t>
      </w:r>
      <w:r>
        <w:rPr>
          <w:rFonts w:hint="eastAsia" w:cs="Times New Roman"/>
          <w:color w:val="auto"/>
          <w:sz w:val="24"/>
          <w:szCs w:val="24"/>
          <w:lang w:eastAsia="zh-CN"/>
        </w:rPr>
        <w:t>〔</w:t>
      </w:r>
      <w:r>
        <w:rPr>
          <w:rFonts w:hint="eastAsia" w:cs="Times New Roman"/>
          <w:color w:val="auto"/>
          <w:sz w:val="24"/>
          <w:szCs w:val="24"/>
          <w:lang w:val="en-US" w:eastAsia="zh-CN"/>
        </w:rPr>
        <w:t>2022</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77号</w:t>
      </w:r>
      <w:r>
        <w:rPr>
          <w:rFonts w:hint="eastAsia" w:cs="Times New Roman"/>
          <w:color w:val="auto"/>
          <w:sz w:val="24"/>
          <w:szCs w:val="24"/>
          <w:lang w:eastAsia="zh-CN"/>
        </w:rPr>
        <w:t>）</w:t>
      </w:r>
      <w:r>
        <w:rPr>
          <w:rFonts w:hint="eastAsia" w:cs="Times New Roman"/>
          <w:color w:val="auto"/>
          <w:sz w:val="24"/>
          <w:szCs w:val="24"/>
          <w:lang w:val="en-US" w:eastAsia="zh-CN"/>
        </w:rPr>
        <w:t>中明确：</w:t>
      </w:r>
      <w:r>
        <w:rPr>
          <w:rFonts w:hint="eastAsia" w:cs="Times New Roman"/>
          <w:i/>
          <w:iCs/>
          <w:color w:val="auto"/>
          <w:sz w:val="24"/>
          <w:szCs w:val="24"/>
          <w:lang w:val="en-US" w:eastAsia="zh-CN"/>
        </w:rPr>
        <w:t>强化新污染物风险管控。落实国家优先控制化学品及抗生素、微塑料等新污染物“一品一策”管控措施。识别优先控制化学品的主要环境排放源，适时制（修）订相关地方标准。落实《成渝地区双城经济圈生态环境保护规划》要求，因地制宜选取重点行业、典型工业园区开展新污染物川渝联合调查，制定并动态更新成渝地区重点管控新污染物补充清单和管控方案，对补充清单中的新污染物开展管控措施技术可行性和经济社会影响评估。严格落实国家重点管控新污染物生产、加工使用和进出口禁限工作要求。严格实施限制或淘汰措施。落实国家产业结构调整要求，对纳入《产业结构调整指导目录》淘汰类的工业化学品、农药、兽药、药品、化妆品等，未按期淘汰的，依法停止其产品登记或生产许可证核发。依法严厉打击已淘汰POPs的非法生产和加工使用。</w:t>
      </w:r>
    </w:p>
    <w:p w14:paraId="6EF18F98">
      <w:pPr>
        <w:spacing w:line="360" w:lineRule="auto"/>
        <w:ind w:left="0" w:leftChars="0" w:firstLine="480" w:firstLineChars="200"/>
        <w:rPr>
          <w:rFonts w:hint="default"/>
          <w:color w:val="auto"/>
          <w:sz w:val="24"/>
          <w:szCs w:val="24"/>
          <w:lang w:val="en-US" w:eastAsia="zh-CN"/>
        </w:rPr>
      </w:pPr>
      <w:r>
        <w:rPr>
          <w:rFonts w:hint="eastAsia"/>
          <w:bCs/>
          <w:color w:val="auto"/>
          <w:kern w:val="0"/>
          <w:sz w:val="24"/>
          <w:lang w:val="en-US" w:eastAsia="zh-CN"/>
        </w:rPr>
        <w:t>根据《产业结构调整指导目录（2024年本）》，项目不属于鼓励类、限制类、淘汰类，</w:t>
      </w:r>
      <w:r>
        <w:rPr>
          <w:rFonts w:hint="eastAsia"/>
          <w:color w:val="auto"/>
          <w:sz w:val="24"/>
          <w:szCs w:val="24"/>
          <w:lang w:val="en-US" w:eastAsia="zh-CN"/>
        </w:rPr>
        <w:t>为</w:t>
      </w:r>
      <w:r>
        <w:rPr>
          <w:rFonts w:hint="eastAsia"/>
          <w:bCs/>
          <w:color w:val="auto"/>
          <w:kern w:val="0"/>
          <w:sz w:val="24"/>
          <w:lang w:val="en-US" w:eastAsia="zh-CN"/>
        </w:rPr>
        <w:t>允许类；</w:t>
      </w:r>
      <w:r>
        <w:rPr>
          <w:rFonts w:hint="eastAsia"/>
          <w:color w:val="auto"/>
          <w:lang w:val="en-US" w:eastAsia="zh-CN"/>
        </w:rPr>
        <w:t>对照《有毒有害大气污染物名录（2018年）》、《有毒有害⽔污染物名录》第⼀批、第二批》、《重点管控新污染物清单（2023年版）》、《优先控制化学品名录（第一批、第二批）》、《关于持久性有机污染物的斯德哥尔摩公约（2009修订）》、《四川省优先评估化学物质清单（第一批）》，本项目生产使用的原辅材料不涉及上述文件中有毒有害大气污染物及新污染物</w:t>
      </w:r>
      <w:r>
        <w:rPr>
          <w:rFonts w:hint="eastAsia"/>
          <w:color w:val="auto"/>
          <w:highlight w:val="none"/>
          <w:lang w:val="en-US" w:eastAsia="zh-CN"/>
        </w:rPr>
        <w:t>。</w:t>
      </w:r>
    </w:p>
    <w:p w14:paraId="351CE1E4">
      <w:pPr>
        <w:pStyle w:val="29"/>
        <w:spacing w:line="360" w:lineRule="auto"/>
        <w:ind w:left="0" w:leftChars="0" w:firstLine="482" w:firstLineChars="200"/>
        <w:rPr>
          <w:rFonts w:hint="eastAsia" w:ascii="Times New Roman" w:hAnsi="Times New Roman" w:cs="Times New Roman"/>
          <w:color w:val="auto"/>
        </w:rPr>
      </w:pPr>
      <w:r>
        <w:rPr>
          <w:rFonts w:hint="eastAsia" w:cs="Times New Roman"/>
          <w:color w:val="auto"/>
          <w:lang w:val="en-US" w:eastAsia="zh-CN"/>
        </w:rPr>
        <w:t>7</w:t>
      </w:r>
      <w:r>
        <w:rPr>
          <w:rFonts w:hint="eastAsia" w:ascii="Times New Roman" w:hAnsi="Times New Roman" w:cs="Times New Roman"/>
          <w:color w:val="auto"/>
        </w:rPr>
        <w:t>、</w:t>
      </w:r>
      <w:r>
        <w:rPr>
          <w:rFonts w:hint="eastAsia" w:cs="Times New Roman"/>
          <w:color w:val="auto"/>
          <w:lang w:val="en-US" w:eastAsia="zh-CN"/>
        </w:rPr>
        <w:t>巴中</w:t>
      </w:r>
      <w:r>
        <w:rPr>
          <w:rFonts w:hint="eastAsia" w:ascii="Times New Roman" w:hAnsi="Times New Roman" w:cs="Times New Roman"/>
          <w:color w:val="auto"/>
        </w:rPr>
        <w:t>市生态环境分区管控符合性</w:t>
      </w:r>
    </w:p>
    <w:p w14:paraId="598EF6B1">
      <w:pPr>
        <w:autoSpaceDE w:val="0"/>
        <w:autoSpaceDN w:val="0"/>
        <w:adjustRightInd w:val="0"/>
        <w:snapToGrid w:val="0"/>
        <w:spacing w:line="360" w:lineRule="auto"/>
        <w:ind w:left="0" w:leftChars="0" w:firstLine="480" w:firstLineChars="200"/>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
        </w:rPr>
        <w:t>2021年12月27日，四川省生态环境厅办公室发布了《四川省生态环境厅办公室关于印发&lt;产业园区规划环评“三线一单”符合性分析技术要点（试行）&gt;和&lt;项目环评“三线一单”符合性分析技术要点（试行）&gt;的通知》（川环办函〔2021〕469号）</w:t>
      </w:r>
      <w:r>
        <w:rPr>
          <w:rFonts w:hint="default"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本次评价结合四川省政务服务网“生态环境分区管控符合性分析”系统及</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巴中市</w:t>
      </w:r>
      <w:r>
        <w:rPr>
          <w:rFonts w:hint="default" w:ascii="Times New Roman" w:hAnsi="Times New Roman" w:cs="Times New Roman"/>
          <w:color w:val="auto"/>
          <w:sz w:val="24"/>
          <w:szCs w:val="24"/>
          <w:lang w:val="en-US" w:eastAsia="zh-CN"/>
        </w:rPr>
        <w:t>生态环境保护委员会办公室关于加强生态环境分区管控的通知》（巴环委办</w:t>
      </w:r>
      <w:r>
        <w:rPr>
          <w:rFonts w:hint="default" w:ascii="Times New Roman" w:hAnsi="Times New Roman" w:cs="Times New Roman"/>
          <w:color w:val="auto"/>
          <w:sz w:val="24"/>
          <w:szCs w:val="24"/>
        </w:rPr>
        <w:t>〔202</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号</w:t>
      </w:r>
      <w:r>
        <w:rPr>
          <w:rFonts w:hint="default" w:ascii="Times New Roman" w:hAnsi="Times New Roman" w:cs="Times New Roman"/>
          <w:color w:val="auto"/>
          <w:sz w:val="24"/>
          <w:szCs w:val="24"/>
          <w:lang w:val="en-US" w:eastAsia="zh-CN"/>
        </w:rPr>
        <w:t>）进行生态环境分区管控符合性分析。</w:t>
      </w:r>
    </w:p>
    <w:p w14:paraId="27CBB7D0">
      <w:pPr>
        <w:pStyle w:val="26"/>
        <w:bidi w:val="0"/>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巴中市</w:t>
      </w:r>
      <w:r>
        <w:rPr>
          <w:rFonts w:hint="default" w:ascii="Times New Roman" w:hAnsi="Times New Roman" w:cs="Times New Roman"/>
          <w:color w:val="auto"/>
          <w:lang w:val="en-US" w:eastAsia="zh-CN"/>
        </w:rPr>
        <w:t>生态环境保护委员会办公室关于加强生态环境分区管控的通知》（巴环委办</w:t>
      </w:r>
      <w:r>
        <w:rPr>
          <w:rFonts w:hint="default" w:ascii="Times New Roman" w:hAnsi="Times New Roman" w:cs="Times New Roman"/>
          <w:color w:val="auto"/>
        </w:rPr>
        <w:t>〔202</w:t>
      </w: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号</w:t>
      </w:r>
      <w:r>
        <w:rPr>
          <w:rFonts w:hint="default" w:ascii="Times New Roman" w:hAnsi="Times New Roman" w:cs="Times New Roman"/>
          <w:color w:val="auto"/>
          <w:lang w:val="en-US" w:eastAsia="zh-CN"/>
        </w:rPr>
        <w:t>）指出</w:t>
      </w:r>
      <w:r>
        <w:rPr>
          <w:rFonts w:hint="default" w:ascii="Times New Roman" w:hAnsi="Times New Roman" w:cs="Times New Roman"/>
          <w:color w:val="auto"/>
        </w:rPr>
        <w:t>：为贯彻落实《中共中央</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rPr>
        <w:t>国务院关于全面加强生态环境保护</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rPr>
        <w:t>坚决打好污染防治攻坚战的意见》《生态环境部关于组织开展生态环境分区管控与国土空间规划衔接试点工作的通知》精神，按照国家“十四五”生态环境保护相关规划中关于生态保护红线、环境质量底线、资源利用上线的最新要求，充分衔接《巴中市国土空间总体规划</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2021-2035年</w:t>
      </w:r>
      <w:r>
        <w:rPr>
          <w:rFonts w:hint="default" w:ascii="Times New Roman" w:hAnsi="Times New Roman" w:cs="Times New Roman"/>
          <w:color w:val="auto"/>
          <w:lang w:eastAsia="zh-CN"/>
        </w:rPr>
        <w:t>）</w:t>
      </w:r>
      <w:r>
        <w:rPr>
          <w:rFonts w:hint="default" w:ascii="Times New Roman" w:hAnsi="Times New Roman" w:cs="Times New Roman"/>
          <w:color w:val="auto"/>
        </w:rPr>
        <w:t>》最新成果，将全市行政区域从生态环境保护角度划分为优先保护、重点管控和一般管控三类环境管控单元。</w:t>
      </w:r>
    </w:p>
    <w:p w14:paraId="5480DECE">
      <w:pPr>
        <w:pStyle w:val="26"/>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①优先保护单元。以生态环境保护为主的区域，全市划分优先保护单元13个，主要包括生态保护红线、自然保护地、饮用水水源保护区和重点生态环境敏感区、脆弱区等，以生态环境保护优先为原则，严格执行相关</w:t>
      </w:r>
      <w:r>
        <w:rPr>
          <w:rFonts w:hint="default" w:ascii="Times New Roman" w:hAnsi="Times New Roman" w:cs="Times New Roman"/>
          <w:color w:val="auto"/>
          <w:sz w:val="24"/>
          <w:szCs w:val="24"/>
          <w:lang w:eastAsia="zh-CN"/>
        </w:rPr>
        <w:t>法律法规</w:t>
      </w:r>
      <w:r>
        <w:rPr>
          <w:rFonts w:hint="default" w:ascii="Times New Roman" w:hAnsi="Times New Roman" w:cs="Times New Roman"/>
          <w:color w:val="auto"/>
          <w:sz w:val="24"/>
          <w:szCs w:val="24"/>
        </w:rPr>
        <w:t>要求，严守生态环境质量底线，确保生态环境功能不降低。</w:t>
      </w:r>
    </w:p>
    <w:p w14:paraId="4147FC77">
      <w:pPr>
        <w:pStyle w:val="26"/>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②重点管控单元。涉及水、大气、土壤</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自然资源等</w:t>
      </w:r>
      <w:r>
        <w:rPr>
          <w:rFonts w:hint="default" w:ascii="Times New Roman" w:hAnsi="Times New Roman" w:cs="Times New Roman"/>
          <w:color w:val="auto"/>
          <w:sz w:val="24"/>
          <w:szCs w:val="24"/>
        </w:rPr>
        <w:t>资源环境要素重点管控的区域，全市划分重点管控单元2</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个，主要包括人口密集的城镇规划区和产业集聚的工业园区（工业集聚区）等</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不断提升资源利用效率，</w:t>
      </w:r>
      <w:r>
        <w:rPr>
          <w:rFonts w:hint="default" w:ascii="Times New Roman" w:hAnsi="Times New Roman" w:cs="Times New Roman"/>
          <w:color w:val="auto"/>
          <w:sz w:val="24"/>
          <w:szCs w:val="24"/>
        </w:rPr>
        <w:t>有针对性地加强污染物排放控制和环境风险防控，</w:t>
      </w:r>
      <w:r>
        <w:rPr>
          <w:rFonts w:hint="default" w:ascii="Times New Roman" w:hAnsi="Times New Roman" w:cs="Times New Roman"/>
          <w:color w:val="auto"/>
          <w:sz w:val="24"/>
          <w:szCs w:val="24"/>
          <w:lang w:val="en-US" w:eastAsia="zh-CN"/>
        </w:rPr>
        <w:t>解决生态环境质量不达标</w:t>
      </w:r>
      <w:r>
        <w:rPr>
          <w:rFonts w:hint="default" w:ascii="Times New Roman" w:hAnsi="Times New Roman" w:cs="Times New Roman"/>
          <w:color w:val="auto"/>
          <w:sz w:val="24"/>
          <w:szCs w:val="24"/>
        </w:rPr>
        <w:t>、生态环境风险突出等问题，制定差别化的生态环境准入要求。</w:t>
      </w:r>
    </w:p>
    <w:p w14:paraId="318E7534">
      <w:pPr>
        <w:pStyle w:val="26"/>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③一般管控单元。除优先保护单元和重点管控单元之外的其他区域，全市共划分一般管控单元5个。执行区域生态环境保护的基本要求，重点加强农业、生活等领域污染治理。</w:t>
      </w:r>
    </w:p>
    <w:p w14:paraId="6F816584">
      <w:pPr>
        <w:pStyle w:val="26"/>
        <w:bidi w:val="0"/>
        <w:rPr>
          <w:b/>
          <w:bCs/>
          <w:color w:val="auto"/>
          <w:kern w:val="0"/>
          <w:sz w:val="24"/>
        </w:rPr>
      </w:pPr>
      <w:r>
        <w:rPr>
          <w:rFonts w:hint="eastAsia"/>
          <w:b/>
          <w:bCs/>
          <w:color w:val="auto"/>
          <w:kern w:val="0"/>
          <w:sz w:val="24"/>
        </w:rPr>
        <w:t>（1）</w:t>
      </w:r>
      <w:r>
        <w:rPr>
          <w:rFonts w:hint="eastAsia"/>
          <w:b/>
          <w:bCs/>
          <w:color w:val="auto"/>
          <w:kern w:val="0"/>
          <w:sz w:val="24"/>
          <w:lang w:val="en-US" w:eastAsia="zh-CN"/>
        </w:rPr>
        <w:t>生态</w:t>
      </w:r>
      <w:r>
        <w:rPr>
          <w:rFonts w:hint="eastAsia"/>
          <w:b/>
          <w:bCs/>
          <w:color w:val="auto"/>
          <w:kern w:val="0"/>
          <w:sz w:val="24"/>
        </w:rPr>
        <w:t>环境</w:t>
      </w:r>
      <w:r>
        <w:rPr>
          <w:rFonts w:hint="eastAsia"/>
          <w:b/>
          <w:bCs/>
          <w:color w:val="auto"/>
          <w:kern w:val="0"/>
          <w:sz w:val="24"/>
          <w:lang w:val="en-US" w:eastAsia="zh-CN"/>
        </w:rPr>
        <w:t>分区</w:t>
      </w:r>
      <w:r>
        <w:rPr>
          <w:rFonts w:hint="eastAsia"/>
          <w:b/>
          <w:bCs/>
          <w:color w:val="auto"/>
          <w:kern w:val="0"/>
          <w:sz w:val="24"/>
        </w:rPr>
        <w:t>管控</w:t>
      </w:r>
    </w:p>
    <w:p w14:paraId="1CD84989">
      <w:pPr>
        <w:ind w:left="0" w:leftChars="0" w:firstLine="480" w:firstLineChars="200"/>
        <w:rPr>
          <w:rFonts w:hint="eastAsia"/>
          <w:color w:val="auto"/>
          <w:sz w:val="24"/>
        </w:rPr>
      </w:pPr>
      <w:r>
        <w:rPr>
          <w:color w:val="auto"/>
          <w:sz w:val="24"/>
        </w:rPr>
        <w:t>根据四川政务服务网</w:t>
      </w:r>
      <w:r>
        <w:rPr>
          <w:rFonts w:hint="eastAsia"/>
          <w:color w:val="auto"/>
          <w:sz w:val="24"/>
          <w:lang w:eastAsia="zh-CN"/>
        </w:rPr>
        <w:t>“</w:t>
      </w:r>
      <w:r>
        <w:rPr>
          <w:rFonts w:hint="eastAsia"/>
          <w:color w:val="auto"/>
          <w:sz w:val="24"/>
          <w:lang w:val="en-US" w:eastAsia="zh-CN"/>
        </w:rPr>
        <w:t>生态环境分区管控</w:t>
      </w:r>
      <w:r>
        <w:rPr>
          <w:rFonts w:hint="eastAsia"/>
          <w:b w:val="0"/>
          <w:bCs w:val="0"/>
          <w:color w:val="auto"/>
          <w:kern w:val="0"/>
          <w:sz w:val="24"/>
          <w:lang w:val="en-US" w:eastAsia="zh-CN"/>
        </w:rPr>
        <w:t>智能应用</w:t>
      </w:r>
      <w:r>
        <w:rPr>
          <w:rFonts w:hint="eastAsia"/>
          <w:color w:val="auto"/>
          <w:sz w:val="24"/>
          <w:lang w:eastAsia="zh-CN"/>
        </w:rPr>
        <w:t>”</w:t>
      </w:r>
      <w:r>
        <w:rPr>
          <w:color w:val="auto"/>
          <w:sz w:val="24"/>
        </w:rPr>
        <w:t>查询结果，</w:t>
      </w:r>
      <w:r>
        <w:rPr>
          <w:rFonts w:hint="eastAsia"/>
          <w:color w:val="auto"/>
          <w:sz w:val="24"/>
        </w:rPr>
        <w:t>本</w:t>
      </w:r>
      <w:r>
        <w:rPr>
          <w:color w:val="auto"/>
          <w:sz w:val="24"/>
        </w:rPr>
        <w:t>项目共涉及</w:t>
      </w:r>
      <w:r>
        <w:rPr>
          <w:rFonts w:hint="eastAsia"/>
          <w:color w:val="auto"/>
          <w:sz w:val="24"/>
          <w:lang w:val="en-US" w:eastAsia="zh-CN"/>
        </w:rPr>
        <w:t>生态环境管控单元1个、环境要素管控分区5个</w:t>
      </w:r>
      <w:r>
        <w:rPr>
          <w:rFonts w:hint="eastAsia"/>
          <w:color w:val="auto"/>
          <w:sz w:val="24"/>
        </w:rPr>
        <w:t>，查询截图如下：</w:t>
      </w:r>
    </w:p>
    <w:p w14:paraId="11BEF873">
      <w:pPr>
        <w:ind w:left="0" w:leftChars="0" w:firstLine="0" w:firstLineChars="0"/>
        <w:jc w:val="center"/>
        <w:rPr>
          <w:color w:val="auto"/>
        </w:rPr>
      </w:pPr>
      <w:r>
        <w:rPr>
          <w:color w:val="auto"/>
        </w:rPr>
        <w:drawing>
          <wp:inline distT="0" distB="0" distL="114300" distR="114300">
            <wp:extent cx="5858510" cy="2736215"/>
            <wp:effectExtent l="0" t="0" r="8890" b="6985"/>
            <wp:docPr id="1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
                    <pic:cNvPicPr>
                      <a:picLocks noChangeAspect="1"/>
                    </pic:cNvPicPr>
                  </pic:nvPicPr>
                  <pic:blipFill>
                    <a:blip r:embed="rId16"/>
                    <a:stretch>
                      <a:fillRect/>
                    </a:stretch>
                  </pic:blipFill>
                  <pic:spPr>
                    <a:xfrm>
                      <a:off x="0" y="0"/>
                      <a:ext cx="5858510" cy="2736215"/>
                    </a:xfrm>
                    <a:prstGeom prst="rect">
                      <a:avLst/>
                    </a:prstGeom>
                    <a:noFill/>
                    <a:ln>
                      <a:noFill/>
                    </a:ln>
                  </pic:spPr>
                </pic:pic>
              </a:graphicData>
            </a:graphic>
          </wp:inline>
        </w:drawing>
      </w:r>
    </w:p>
    <w:p w14:paraId="7B1D152B">
      <w:pPr>
        <w:numPr>
          <w:ilvl w:val="0"/>
          <w:numId w:val="13"/>
        </w:numPr>
        <w:ind w:left="425" w:leftChars="0" w:hanging="425" w:firstLineChars="0"/>
        <w:jc w:val="center"/>
        <w:rPr>
          <w:color w:val="auto"/>
        </w:rPr>
      </w:pPr>
      <w:r>
        <w:rPr>
          <w:rFonts w:hint="default" w:ascii="Times New Roman" w:hAnsi="Times New Roman" w:eastAsia="黑体" w:cs="Times New Roman"/>
          <w:color w:val="auto"/>
          <w:kern w:val="0"/>
          <w:sz w:val="21"/>
          <w:szCs w:val="21"/>
          <w:lang w:val="en-US" w:eastAsia="zh-CN" w:bidi="ar-SA"/>
        </w:rPr>
        <w:t>环境管控单元查询截图</w:t>
      </w:r>
    </w:p>
    <w:p w14:paraId="551BC3AA">
      <w:pPr>
        <w:numPr>
          <w:ilvl w:val="0"/>
          <w:numId w:val="0"/>
        </w:numPr>
        <w:ind w:leftChars="0"/>
        <w:jc w:val="center"/>
        <w:rPr>
          <w:color w:val="auto"/>
        </w:rPr>
      </w:pPr>
      <w:r>
        <w:rPr>
          <w:color w:val="auto"/>
        </w:rPr>
        <w:drawing>
          <wp:inline distT="0" distB="0" distL="114300" distR="114300">
            <wp:extent cx="5805170" cy="2736215"/>
            <wp:effectExtent l="0" t="0" r="5080" b="6985"/>
            <wp:docPr id="1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
                    <pic:cNvPicPr>
                      <a:picLocks noChangeAspect="1"/>
                    </pic:cNvPicPr>
                  </pic:nvPicPr>
                  <pic:blipFill>
                    <a:blip r:embed="rId17"/>
                    <a:stretch>
                      <a:fillRect/>
                    </a:stretch>
                  </pic:blipFill>
                  <pic:spPr>
                    <a:xfrm>
                      <a:off x="0" y="0"/>
                      <a:ext cx="5805170" cy="2736215"/>
                    </a:xfrm>
                    <a:prstGeom prst="rect">
                      <a:avLst/>
                    </a:prstGeom>
                    <a:noFill/>
                    <a:ln>
                      <a:noFill/>
                    </a:ln>
                  </pic:spPr>
                </pic:pic>
              </a:graphicData>
            </a:graphic>
          </wp:inline>
        </w:drawing>
      </w:r>
    </w:p>
    <w:p w14:paraId="264A8151">
      <w:pPr>
        <w:numPr>
          <w:ilvl w:val="0"/>
          <w:numId w:val="13"/>
        </w:numPr>
        <w:ind w:left="425" w:leftChars="0" w:hanging="425" w:firstLineChars="0"/>
        <w:jc w:val="center"/>
        <w:rPr>
          <w:color w:val="auto"/>
        </w:rPr>
      </w:pPr>
      <w:r>
        <w:rPr>
          <w:rFonts w:hint="default" w:ascii="Times New Roman" w:hAnsi="Times New Roman" w:eastAsia="黑体" w:cs="Times New Roman"/>
          <w:color w:val="auto"/>
          <w:kern w:val="0"/>
          <w:sz w:val="21"/>
          <w:szCs w:val="21"/>
          <w:lang w:val="en-US" w:eastAsia="zh-CN" w:bidi="ar-SA"/>
        </w:rPr>
        <w:t>环境要素管控分区查询截图</w:t>
      </w:r>
    </w:p>
    <w:p w14:paraId="243B3872">
      <w:pPr>
        <w:numPr>
          <w:ilvl w:val="0"/>
          <w:numId w:val="0"/>
        </w:numPr>
        <w:ind w:leftChars="0"/>
        <w:jc w:val="center"/>
        <w:rPr>
          <w:rFonts w:hint="eastAsia" w:eastAsia="宋体"/>
          <w:color w:val="auto"/>
          <w:lang w:eastAsia="zh-CN"/>
        </w:rPr>
      </w:pPr>
      <w:r>
        <w:rPr>
          <w:rFonts w:hint="eastAsia" w:eastAsia="宋体"/>
          <w:color w:val="auto"/>
          <w:lang w:eastAsia="zh-CN"/>
        </w:rPr>
        <w:drawing>
          <wp:inline distT="0" distB="0" distL="114300" distR="114300">
            <wp:extent cx="5903595" cy="2494915"/>
            <wp:effectExtent l="0" t="0" r="1905" b="635"/>
            <wp:docPr id="154" name="图片 154" descr="地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地图(3)"/>
                    <pic:cNvPicPr>
                      <a:picLocks noChangeAspect="1"/>
                    </pic:cNvPicPr>
                  </pic:nvPicPr>
                  <pic:blipFill>
                    <a:blip r:embed="rId18"/>
                    <a:stretch>
                      <a:fillRect/>
                    </a:stretch>
                  </pic:blipFill>
                  <pic:spPr>
                    <a:xfrm>
                      <a:off x="0" y="0"/>
                      <a:ext cx="5903595" cy="2494915"/>
                    </a:xfrm>
                    <a:prstGeom prst="rect">
                      <a:avLst/>
                    </a:prstGeom>
                  </pic:spPr>
                </pic:pic>
              </a:graphicData>
            </a:graphic>
          </wp:inline>
        </w:drawing>
      </w:r>
    </w:p>
    <w:p w14:paraId="54A69BD6">
      <w:pPr>
        <w:numPr>
          <w:ilvl w:val="0"/>
          <w:numId w:val="13"/>
        </w:numPr>
        <w:ind w:left="425" w:leftChars="0" w:hanging="425" w:firstLineChars="0"/>
        <w:jc w:val="center"/>
        <w:rPr>
          <w:color w:val="auto"/>
        </w:rPr>
      </w:pPr>
      <w:r>
        <w:rPr>
          <w:rFonts w:hint="eastAsia" w:ascii="Times New Roman" w:hAnsi="Times New Roman" w:eastAsia="黑体" w:cs="Times New Roman"/>
          <w:color w:val="auto"/>
          <w:kern w:val="0"/>
          <w:sz w:val="21"/>
          <w:szCs w:val="21"/>
          <w:lang w:val="en-US" w:eastAsia="zh-CN" w:bidi="ar-SA"/>
        </w:rPr>
        <w:t>导出图片</w:t>
      </w:r>
    </w:p>
    <w:p w14:paraId="54AF6F82">
      <w:pPr>
        <w:spacing w:line="360" w:lineRule="auto"/>
        <w:ind w:left="0" w:leftChars="0" w:firstLine="480" w:firstLineChars="200"/>
        <w:rPr>
          <w:color w:val="auto"/>
          <w:sz w:val="24"/>
        </w:rPr>
      </w:pPr>
      <w:r>
        <w:rPr>
          <w:rFonts w:hint="eastAsia"/>
          <w:color w:val="auto"/>
          <w:sz w:val="24"/>
        </w:rPr>
        <w:t>本项目涉及的</w:t>
      </w:r>
      <w:r>
        <w:rPr>
          <w:rFonts w:hint="eastAsia"/>
          <w:color w:val="auto"/>
          <w:sz w:val="24"/>
          <w:lang w:val="en-US" w:eastAsia="zh-CN"/>
        </w:rPr>
        <w:t>生态</w:t>
      </w:r>
      <w:r>
        <w:rPr>
          <w:rFonts w:hint="eastAsia"/>
          <w:color w:val="auto"/>
          <w:sz w:val="24"/>
        </w:rPr>
        <w:t>环境管控单元</w:t>
      </w:r>
      <w:r>
        <w:rPr>
          <w:rFonts w:hint="eastAsia"/>
          <w:color w:val="auto"/>
          <w:sz w:val="24"/>
          <w:lang w:val="en-US" w:eastAsia="zh-CN"/>
        </w:rPr>
        <w:t>和环境要素管控分区</w:t>
      </w:r>
      <w:r>
        <w:rPr>
          <w:rFonts w:hint="eastAsia"/>
          <w:color w:val="auto"/>
          <w:sz w:val="24"/>
        </w:rPr>
        <w:t>见下表。</w:t>
      </w:r>
    </w:p>
    <w:p w14:paraId="1FBFFD12">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本项目涉及生态环境管控单元</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864"/>
        <w:gridCol w:w="2387"/>
        <w:gridCol w:w="1512"/>
        <w:gridCol w:w="2086"/>
      </w:tblGrid>
      <w:tr w14:paraId="062C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344" w:type="pct"/>
            <w:noWrap w:val="0"/>
            <w:vAlign w:val="center"/>
          </w:tcPr>
          <w:p w14:paraId="564F71A8">
            <w:pPr>
              <w:pStyle w:val="24"/>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序号</w:t>
            </w:r>
          </w:p>
        </w:tc>
        <w:tc>
          <w:tcPr>
            <w:tcW w:w="1506" w:type="pct"/>
            <w:noWrap w:val="0"/>
            <w:vAlign w:val="center"/>
          </w:tcPr>
          <w:p w14:paraId="4AD63D6A">
            <w:pPr>
              <w:pStyle w:val="24"/>
              <w:ind w:left="0" w:leftChars="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涉及环境管控单元名称</w:t>
            </w:r>
          </w:p>
        </w:tc>
        <w:tc>
          <w:tcPr>
            <w:tcW w:w="1255" w:type="pct"/>
            <w:noWrap w:val="0"/>
            <w:vAlign w:val="center"/>
          </w:tcPr>
          <w:p w14:paraId="28E11D29">
            <w:pPr>
              <w:pStyle w:val="24"/>
              <w:ind w:left="0" w:leftChars="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涉及环境管控单元编码</w:t>
            </w:r>
          </w:p>
        </w:tc>
        <w:tc>
          <w:tcPr>
            <w:tcW w:w="795" w:type="pct"/>
            <w:noWrap w:val="0"/>
            <w:vAlign w:val="center"/>
          </w:tcPr>
          <w:p w14:paraId="5485D6E8">
            <w:pPr>
              <w:pStyle w:val="24"/>
              <w:ind w:left="0" w:leftChars="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行政区划</w:t>
            </w:r>
          </w:p>
        </w:tc>
        <w:tc>
          <w:tcPr>
            <w:tcW w:w="1097" w:type="pct"/>
            <w:noWrap w:val="0"/>
            <w:vAlign w:val="center"/>
          </w:tcPr>
          <w:p w14:paraId="0D4054CD">
            <w:pPr>
              <w:pStyle w:val="24"/>
              <w:ind w:left="0" w:leftChars="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环境管控单元类型</w:t>
            </w:r>
          </w:p>
        </w:tc>
      </w:tr>
      <w:tr w14:paraId="3EFF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344" w:type="pct"/>
            <w:shd w:val="clear" w:color="auto" w:fill="auto"/>
            <w:noWrap w:val="0"/>
            <w:vAlign w:val="center"/>
          </w:tcPr>
          <w:p w14:paraId="324F036B">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1</w:t>
            </w:r>
          </w:p>
        </w:tc>
        <w:tc>
          <w:tcPr>
            <w:tcW w:w="1506" w:type="pct"/>
            <w:shd w:val="clear" w:color="auto" w:fill="auto"/>
            <w:noWrap w:val="0"/>
            <w:vAlign w:val="center"/>
          </w:tcPr>
          <w:p w14:paraId="77EF0023">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四川巴中经开区（核心区块、金堂区块）</w:t>
            </w:r>
          </w:p>
        </w:tc>
        <w:tc>
          <w:tcPr>
            <w:tcW w:w="1255" w:type="pct"/>
            <w:noWrap w:val="0"/>
            <w:vAlign w:val="center"/>
          </w:tcPr>
          <w:p w14:paraId="7699AF2B">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ZH51190220006</w:t>
            </w:r>
          </w:p>
        </w:tc>
        <w:tc>
          <w:tcPr>
            <w:tcW w:w="795" w:type="pct"/>
            <w:noWrap w:val="0"/>
            <w:vAlign w:val="center"/>
          </w:tcPr>
          <w:p w14:paraId="7FEA81E8">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巴中市巴州区</w:t>
            </w:r>
          </w:p>
        </w:tc>
        <w:tc>
          <w:tcPr>
            <w:tcW w:w="1097" w:type="pct"/>
            <w:noWrap w:val="0"/>
            <w:vAlign w:val="center"/>
          </w:tcPr>
          <w:p w14:paraId="673F82D2">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工业重点管控单元</w:t>
            </w:r>
          </w:p>
        </w:tc>
      </w:tr>
    </w:tbl>
    <w:p w14:paraId="6FEB0821">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本项目涉及环境要素管控分区</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2195"/>
        <w:gridCol w:w="1964"/>
        <w:gridCol w:w="1500"/>
        <w:gridCol w:w="1595"/>
        <w:gridCol w:w="1601"/>
      </w:tblGrid>
      <w:tr w14:paraId="374E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659" w:type="dxa"/>
            <w:noWrap w:val="0"/>
            <w:vAlign w:val="center"/>
          </w:tcPr>
          <w:p w14:paraId="2BF5F01A">
            <w:pPr>
              <w:pStyle w:val="24"/>
              <w:ind w:left="0" w:leftChars="0"/>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序号</w:t>
            </w:r>
          </w:p>
        </w:tc>
        <w:tc>
          <w:tcPr>
            <w:tcW w:w="2195" w:type="dxa"/>
            <w:noWrap w:val="0"/>
            <w:vAlign w:val="center"/>
          </w:tcPr>
          <w:p w14:paraId="5F23979E">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环境管控单元编码</w:t>
            </w:r>
          </w:p>
        </w:tc>
        <w:tc>
          <w:tcPr>
            <w:tcW w:w="1964" w:type="dxa"/>
            <w:noWrap w:val="0"/>
            <w:vAlign w:val="center"/>
          </w:tcPr>
          <w:p w14:paraId="22B4A84B">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环境管控单元名称</w:t>
            </w:r>
          </w:p>
        </w:tc>
        <w:tc>
          <w:tcPr>
            <w:tcW w:w="1500" w:type="dxa"/>
            <w:noWrap w:val="0"/>
            <w:vAlign w:val="center"/>
          </w:tcPr>
          <w:p w14:paraId="77A73F46">
            <w:pPr>
              <w:pStyle w:val="24"/>
              <w:rPr>
                <w:rFonts w:hint="eastAsia" w:ascii="Times New Roman" w:hAnsi="Times New Roman" w:eastAsia="宋体" w:cs="Times New Roman"/>
                <w:b/>
                <w:bCs/>
                <w:color w:val="auto"/>
                <w:highlight w:val="none"/>
                <w:lang w:eastAsia="zh-CN"/>
              </w:rPr>
            </w:pPr>
            <w:r>
              <w:rPr>
                <w:rFonts w:hint="eastAsia" w:cs="Times New Roman"/>
                <w:b/>
                <w:bCs/>
                <w:color w:val="auto"/>
                <w:highlight w:val="none"/>
                <w:lang w:val="en-US" w:eastAsia="zh-CN"/>
              </w:rPr>
              <w:t>行政区划</w:t>
            </w:r>
          </w:p>
        </w:tc>
        <w:tc>
          <w:tcPr>
            <w:tcW w:w="1595" w:type="dxa"/>
            <w:noWrap w:val="0"/>
            <w:vAlign w:val="center"/>
          </w:tcPr>
          <w:p w14:paraId="1B2583BA">
            <w:pPr>
              <w:pStyle w:val="24"/>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环境要素类型</w:t>
            </w:r>
          </w:p>
        </w:tc>
        <w:tc>
          <w:tcPr>
            <w:tcW w:w="1601" w:type="dxa"/>
            <w:noWrap w:val="0"/>
            <w:vAlign w:val="center"/>
          </w:tcPr>
          <w:p w14:paraId="4892A6D8">
            <w:pPr>
              <w:pStyle w:val="2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管控类型</w:t>
            </w:r>
          </w:p>
        </w:tc>
      </w:tr>
      <w:tr w14:paraId="07E2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659" w:type="dxa"/>
            <w:noWrap w:val="0"/>
            <w:vAlign w:val="center"/>
          </w:tcPr>
          <w:p w14:paraId="690C62D7">
            <w:pPr>
              <w:pStyle w:val="24"/>
              <w:ind w:left="0" w:leftChars="0"/>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1</w:t>
            </w:r>
          </w:p>
        </w:tc>
        <w:tc>
          <w:tcPr>
            <w:tcW w:w="2195" w:type="dxa"/>
            <w:noWrap w:val="0"/>
            <w:vAlign w:val="center"/>
          </w:tcPr>
          <w:p w14:paraId="0CE8BC36">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四川巴中经开区（核心区块、金堂区块）</w:t>
            </w:r>
          </w:p>
        </w:tc>
        <w:tc>
          <w:tcPr>
            <w:tcW w:w="1964" w:type="dxa"/>
            <w:noWrap w:val="0"/>
            <w:vAlign w:val="center"/>
          </w:tcPr>
          <w:p w14:paraId="59697985">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YS5119022310005</w:t>
            </w:r>
          </w:p>
        </w:tc>
        <w:tc>
          <w:tcPr>
            <w:tcW w:w="1500" w:type="dxa"/>
            <w:shd w:val="clear" w:color="auto" w:fill="auto"/>
            <w:noWrap w:val="0"/>
            <w:vAlign w:val="center"/>
          </w:tcPr>
          <w:p w14:paraId="567626AE">
            <w:pPr>
              <w:pStyle w:val="24"/>
              <w:ind w:left="0" w:leftChars="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巴中市巴州区</w:t>
            </w:r>
          </w:p>
        </w:tc>
        <w:tc>
          <w:tcPr>
            <w:tcW w:w="1595" w:type="dxa"/>
            <w:noWrap w:val="0"/>
            <w:vAlign w:val="center"/>
          </w:tcPr>
          <w:p w14:paraId="02152E3D">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大气</w:t>
            </w:r>
          </w:p>
        </w:tc>
        <w:tc>
          <w:tcPr>
            <w:tcW w:w="1601" w:type="dxa"/>
            <w:noWrap w:val="0"/>
            <w:vAlign w:val="center"/>
          </w:tcPr>
          <w:p w14:paraId="6C6ABEDC">
            <w:pPr>
              <w:pStyle w:val="24"/>
              <w:ind w:left="0" w:leftChars="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大气环境高排放重点管控区</w:t>
            </w:r>
          </w:p>
        </w:tc>
      </w:tr>
      <w:tr w14:paraId="0643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659" w:type="dxa"/>
            <w:noWrap w:val="0"/>
            <w:vAlign w:val="center"/>
          </w:tcPr>
          <w:p w14:paraId="52EF88B2">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2</w:t>
            </w:r>
          </w:p>
        </w:tc>
        <w:tc>
          <w:tcPr>
            <w:tcW w:w="2195" w:type="dxa"/>
            <w:noWrap w:val="0"/>
            <w:vAlign w:val="center"/>
          </w:tcPr>
          <w:p w14:paraId="54902716">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通江-通江县-纳溪口-控制单元</w:t>
            </w:r>
          </w:p>
        </w:tc>
        <w:tc>
          <w:tcPr>
            <w:tcW w:w="1964" w:type="dxa"/>
            <w:noWrap w:val="0"/>
            <w:vAlign w:val="center"/>
          </w:tcPr>
          <w:p w14:paraId="2B65E507">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YS5119212210002</w:t>
            </w:r>
          </w:p>
        </w:tc>
        <w:tc>
          <w:tcPr>
            <w:tcW w:w="1500" w:type="dxa"/>
            <w:shd w:val="clear" w:color="auto" w:fill="auto"/>
            <w:noWrap w:val="0"/>
            <w:vAlign w:val="center"/>
          </w:tcPr>
          <w:p w14:paraId="0AA7724B">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巴中市通江县</w:t>
            </w:r>
          </w:p>
        </w:tc>
        <w:tc>
          <w:tcPr>
            <w:tcW w:w="1595" w:type="dxa"/>
            <w:noWrap w:val="0"/>
            <w:vAlign w:val="center"/>
          </w:tcPr>
          <w:p w14:paraId="51103964">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水</w:t>
            </w:r>
          </w:p>
        </w:tc>
        <w:tc>
          <w:tcPr>
            <w:tcW w:w="1601" w:type="dxa"/>
            <w:noWrap w:val="0"/>
            <w:vAlign w:val="center"/>
          </w:tcPr>
          <w:p w14:paraId="7AD72681">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水环境工业污染重点管控区</w:t>
            </w:r>
          </w:p>
        </w:tc>
      </w:tr>
      <w:tr w14:paraId="5D67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659" w:type="dxa"/>
            <w:noWrap w:val="0"/>
            <w:vAlign w:val="center"/>
          </w:tcPr>
          <w:p w14:paraId="7F7A524B">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3</w:t>
            </w:r>
          </w:p>
        </w:tc>
        <w:tc>
          <w:tcPr>
            <w:tcW w:w="2195" w:type="dxa"/>
            <w:noWrap w:val="0"/>
            <w:vAlign w:val="center"/>
          </w:tcPr>
          <w:p w14:paraId="25500ADC">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通江县城镇开发边界</w:t>
            </w:r>
          </w:p>
        </w:tc>
        <w:tc>
          <w:tcPr>
            <w:tcW w:w="1964" w:type="dxa"/>
            <w:noWrap w:val="0"/>
            <w:vAlign w:val="center"/>
          </w:tcPr>
          <w:p w14:paraId="5C3944D1">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YS5119212530001</w:t>
            </w:r>
          </w:p>
        </w:tc>
        <w:tc>
          <w:tcPr>
            <w:tcW w:w="1500" w:type="dxa"/>
            <w:shd w:val="clear" w:color="auto" w:fill="auto"/>
            <w:noWrap w:val="0"/>
            <w:vAlign w:val="center"/>
          </w:tcPr>
          <w:p w14:paraId="0AD356FB">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巴中市通江县</w:t>
            </w:r>
          </w:p>
        </w:tc>
        <w:tc>
          <w:tcPr>
            <w:tcW w:w="1595" w:type="dxa"/>
            <w:noWrap w:val="0"/>
            <w:vAlign w:val="center"/>
          </w:tcPr>
          <w:p w14:paraId="0A695363">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自然资源</w:t>
            </w:r>
          </w:p>
        </w:tc>
        <w:tc>
          <w:tcPr>
            <w:tcW w:w="1601" w:type="dxa"/>
            <w:noWrap w:val="0"/>
            <w:vAlign w:val="center"/>
          </w:tcPr>
          <w:p w14:paraId="266ADE2A">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土地资源重点管控区</w:t>
            </w:r>
          </w:p>
        </w:tc>
      </w:tr>
      <w:tr w14:paraId="2DEB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659" w:type="dxa"/>
            <w:shd w:val="clear" w:color="auto" w:fill="auto"/>
            <w:noWrap w:val="0"/>
            <w:vAlign w:val="center"/>
          </w:tcPr>
          <w:p w14:paraId="6088C1D5">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4</w:t>
            </w:r>
          </w:p>
        </w:tc>
        <w:tc>
          <w:tcPr>
            <w:tcW w:w="2195" w:type="dxa"/>
            <w:shd w:val="clear" w:color="auto" w:fill="auto"/>
            <w:noWrap w:val="0"/>
            <w:vAlign w:val="center"/>
          </w:tcPr>
          <w:p w14:paraId="5CD18CFE">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通江县自然资源重点管控区</w:t>
            </w:r>
          </w:p>
        </w:tc>
        <w:tc>
          <w:tcPr>
            <w:tcW w:w="1964" w:type="dxa"/>
            <w:shd w:val="clear" w:color="auto" w:fill="auto"/>
            <w:noWrap w:val="0"/>
            <w:vAlign w:val="center"/>
          </w:tcPr>
          <w:p w14:paraId="68AC87B0">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YS5119212550001</w:t>
            </w:r>
          </w:p>
        </w:tc>
        <w:tc>
          <w:tcPr>
            <w:tcW w:w="1500" w:type="dxa"/>
            <w:shd w:val="clear" w:color="auto" w:fill="auto"/>
            <w:noWrap w:val="0"/>
            <w:vAlign w:val="center"/>
          </w:tcPr>
          <w:p w14:paraId="50107269">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巴中市通江县</w:t>
            </w:r>
          </w:p>
        </w:tc>
        <w:tc>
          <w:tcPr>
            <w:tcW w:w="1595" w:type="dxa"/>
            <w:shd w:val="clear" w:color="auto" w:fill="auto"/>
            <w:noWrap w:val="0"/>
            <w:vAlign w:val="center"/>
          </w:tcPr>
          <w:p w14:paraId="16642309">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自然资源</w:t>
            </w:r>
          </w:p>
        </w:tc>
        <w:tc>
          <w:tcPr>
            <w:tcW w:w="1601" w:type="dxa"/>
            <w:shd w:val="clear" w:color="auto" w:fill="auto"/>
            <w:noWrap w:val="0"/>
            <w:vAlign w:val="center"/>
          </w:tcPr>
          <w:p w14:paraId="22F17965">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自然资源重点管控区</w:t>
            </w:r>
          </w:p>
        </w:tc>
      </w:tr>
      <w:tr w14:paraId="5A81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659" w:type="dxa"/>
            <w:shd w:val="clear" w:color="auto" w:fill="auto"/>
            <w:noWrap w:val="0"/>
            <w:vAlign w:val="center"/>
          </w:tcPr>
          <w:p w14:paraId="6568B7FC">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5</w:t>
            </w:r>
          </w:p>
        </w:tc>
        <w:tc>
          <w:tcPr>
            <w:tcW w:w="2195" w:type="dxa"/>
            <w:shd w:val="clear" w:color="auto" w:fill="auto"/>
            <w:noWrap w:val="0"/>
            <w:vAlign w:val="center"/>
          </w:tcPr>
          <w:p w14:paraId="4383FDEE">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通江县其他区域</w:t>
            </w:r>
          </w:p>
        </w:tc>
        <w:tc>
          <w:tcPr>
            <w:tcW w:w="1964" w:type="dxa"/>
            <w:shd w:val="clear" w:color="auto" w:fill="auto"/>
            <w:noWrap w:val="0"/>
            <w:vAlign w:val="center"/>
          </w:tcPr>
          <w:p w14:paraId="420B424E">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YS5119213110001</w:t>
            </w:r>
          </w:p>
        </w:tc>
        <w:tc>
          <w:tcPr>
            <w:tcW w:w="1500" w:type="dxa"/>
            <w:shd w:val="clear" w:color="auto" w:fill="auto"/>
            <w:noWrap w:val="0"/>
            <w:vAlign w:val="center"/>
          </w:tcPr>
          <w:p w14:paraId="395F7FB4">
            <w:pPr>
              <w:pStyle w:val="24"/>
              <w:ind w:left="0" w:leftChars="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巴中市通江县</w:t>
            </w:r>
          </w:p>
        </w:tc>
        <w:tc>
          <w:tcPr>
            <w:tcW w:w="1595" w:type="dxa"/>
            <w:shd w:val="clear" w:color="auto" w:fill="auto"/>
            <w:noWrap w:val="0"/>
            <w:vAlign w:val="center"/>
          </w:tcPr>
          <w:p w14:paraId="2D233B19">
            <w:pPr>
              <w:pStyle w:val="24"/>
              <w:ind w:left="0" w:leftChars="0"/>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生态</w:t>
            </w:r>
          </w:p>
        </w:tc>
        <w:tc>
          <w:tcPr>
            <w:tcW w:w="1601" w:type="dxa"/>
            <w:shd w:val="clear" w:color="auto" w:fill="auto"/>
            <w:noWrap w:val="0"/>
            <w:vAlign w:val="center"/>
          </w:tcPr>
          <w:p w14:paraId="5C351F84">
            <w:pPr>
              <w:pStyle w:val="24"/>
              <w:ind w:left="0" w:leftChars="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一般管控区</w:t>
            </w:r>
          </w:p>
        </w:tc>
      </w:tr>
    </w:tbl>
    <w:p w14:paraId="2D276742">
      <w:pPr>
        <w:autoSpaceDE w:val="0"/>
        <w:autoSpaceDN w:val="0"/>
        <w:adjustRightInd w:val="0"/>
        <w:snapToGrid w:val="0"/>
        <w:spacing w:line="360" w:lineRule="auto"/>
        <w:ind w:left="0" w:leftChars="0" w:firstLine="482" w:firstLineChars="200"/>
        <w:rPr>
          <w:rFonts w:hint="eastAsia" w:eastAsia="宋体"/>
          <w:b/>
          <w:bCs/>
          <w:color w:val="auto"/>
          <w:kern w:val="0"/>
          <w:sz w:val="24"/>
          <w:lang w:eastAsia="zh-CN"/>
        </w:rPr>
      </w:pPr>
      <w:r>
        <w:rPr>
          <w:rFonts w:hint="eastAsia"/>
          <w:b/>
          <w:bCs/>
          <w:color w:val="auto"/>
          <w:kern w:val="0"/>
          <w:sz w:val="24"/>
        </w:rPr>
        <w:t>（</w:t>
      </w:r>
      <w:r>
        <w:rPr>
          <w:b/>
          <w:bCs/>
          <w:color w:val="auto"/>
          <w:kern w:val="0"/>
          <w:sz w:val="24"/>
        </w:rPr>
        <w:t>2</w:t>
      </w:r>
      <w:r>
        <w:rPr>
          <w:rFonts w:hint="eastAsia"/>
          <w:b/>
          <w:bCs/>
          <w:color w:val="auto"/>
          <w:kern w:val="0"/>
          <w:sz w:val="24"/>
        </w:rPr>
        <w:t>）</w:t>
      </w:r>
      <w:r>
        <w:rPr>
          <w:rFonts w:hint="eastAsia"/>
          <w:b/>
          <w:bCs/>
          <w:color w:val="auto"/>
          <w:kern w:val="0"/>
          <w:sz w:val="24"/>
          <w:lang w:val="en-US" w:eastAsia="zh-CN"/>
        </w:rPr>
        <w:t>管控要求</w:t>
      </w:r>
    </w:p>
    <w:p w14:paraId="5BA992E9">
      <w:pPr>
        <w:autoSpaceDE w:val="0"/>
        <w:autoSpaceDN w:val="0"/>
        <w:adjustRightInd w:val="0"/>
        <w:snapToGrid w:val="0"/>
        <w:spacing w:line="360" w:lineRule="auto"/>
        <w:ind w:left="0" w:leftChars="0" w:firstLine="480" w:firstLineChars="200"/>
        <w:rPr>
          <w:rFonts w:hint="eastAsia"/>
          <w:color w:val="auto"/>
          <w:sz w:val="24"/>
          <w:highlight w:val="none"/>
        </w:rPr>
      </w:pPr>
      <w:r>
        <w:rPr>
          <w:color w:val="auto"/>
          <w:sz w:val="24"/>
        </w:rPr>
        <w:t>根据四川政务服务网</w:t>
      </w:r>
      <w:r>
        <w:rPr>
          <w:rFonts w:hint="eastAsia"/>
          <w:color w:val="auto"/>
          <w:sz w:val="24"/>
          <w:lang w:eastAsia="zh-CN"/>
        </w:rPr>
        <w:t>“</w:t>
      </w:r>
      <w:r>
        <w:rPr>
          <w:rFonts w:hint="eastAsia"/>
          <w:color w:val="auto"/>
          <w:sz w:val="24"/>
          <w:lang w:val="en-US" w:eastAsia="zh-CN"/>
        </w:rPr>
        <w:t>生态环境分区管控</w:t>
      </w:r>
      <w:r>
        <w:rPr>
          <w:rFonts w:hint="eastAsia"/>
          <w:b w:val="0"/>
          <w:bCs w:val="0"/>
          <w:color w:val="auto"/>
          <w:kern w:val="0"/>
          <w:sz w:val="24"/>
          <w:lang w:val="en-US" w:eastAsia="zh-CN"/>
        </w:rPr>
        <w:t>智能应用</w:t>
      </w:r>
      <w:r>
        <w:rPr>
          <w:rFonts w:hint="eastAsia"/>
          <w:color w:val="auto"/>
          <w:sz w:val="24"/>
          <w:lang w:eastAsia="zh-CN"/>
        </w:rPr>
        <w:t>”</w:t>
      </w:r>
      <w:r>
        <w:rPr>
          <w:color w:val="auto"/>
          <w:sz w:val="24"/>
        </w:rPr>
        <w:t>查询结果，</w:t>
      </w:r>
      <w:r>
        <w:rPr>
          <w:rFonts w:hint="eastAsia" w:ascii="宋体" w:hAnsi="宋体"/>
          <w:color w:val="auto"/>
          <w:sz w:val="24"/>
          <w:highlight w:val="none"/>
        </w:rPr>
        <w:t>本项目与</w:t>
      </w:r>
      <w:r>
        <w:rPr>
          <w:rFonts w:hint="eastAsia" w:ascii="宋体" w:hAnsi="宋体"/>
          <w:color w:val="auto"/>
          <w:sz w:val="24"/>
          <w:highlight w:val="none"/>
          <w:lang w:val="en-US" w:eastAsia="zh-CN"/>
        </w:rPr>
        <w:t>管控要求</w:t>
      </w:r>
      <w:r>
        <w:rPr>
          <w:rFonts w:hint="eastAsia" w:ascii="宋体" w:hAnsi="宋体"/>
          <w:color w:val="auto"/>
          <w:sz w:val="24"/>
          <w:highlight w:val="none"/>
        </w:rPr>
        <w:t>单</w:t>
      </w:r>
      <w:r>
        <w:rPr>
          <w:rFonts w:hint="eastAsia"/>
          <w:color w:val="auto"/>
          <w:sz w:val="24"/>
          <w:highlight w:val="none"/>
        </w:rPr>
        <w:t>的符合性分析如下：</w:t>
      </w:r>
    </w:p>
    <w:p w14:paraId="6EEC345F">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本项目与所属经济区要求符合性分析</w:t>
      </w:r>
    </w:p>
    <w:tbl>
      <w:tblPr>
        <w:tblStyle w:val="20"/>
        <w:tblW w:w="4995"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 w:type="dxa"/>
          <w:bottom w:w="0" w:type="dxa"/>
          <w:right w:w="10" w:type="dxa"/>
        </w:tblCellMar>
      </w:tblPr>
      <w:tblGrid>
        <w:gridCol w:w="834"/>
        <w:gridCol w:w="827"/>
        <w:gridCol w:w="5118"/>
        <w:gridCol w:w="1868"/>
        <w:gridCol w:w="742"/>
      </w:tblGrid>
      <w:tr w14:paraId="480E4E9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44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8CBCD98">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经济区名称</w:t>
            </w:r>
          </w:p>
        </w:tc>
        <w:tc>
          <w:tcPr>
            <w:tcW w:w="44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0837162">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标题</w:t>
            </w:r>
          </w:p>
        </w:tc>
        <w:tc>
          <w:tcPr>
            <w:tcW w:w="272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866ACD">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内容</w:t>
            </w:r>
          </w:p>
        </w:tc>
        <w:tc>
          <w:tcPr>
            <w:tcW w:w="99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5D03ED9">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本项目情况</w:t>
            </w:r>
          </w:p>
        </w:tc>
        <w:tc>
          <w:tcPr>
            <w:tcW w:w="39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0AD0796">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符合性</w:t>
            </w:r>
          </w:p>
        </w:tc>
      </w:tr>
      <w:tr w14:paraId="4FC5851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444" w:type="pct"/>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E21A0E">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川东北经济区</w:t>
            </w:r>
          </w:p>
        </w:tc>
        <w:tc>
          <w:tcPr>
            <w:tcW w:w="44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7F4B59D">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区域特点</w:t>
            </w:r>
          </w:p>
        </w:tc>
        <w:tc>
          <w:tcPr>
            <w:tcW w:w="272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B6D8942">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南充、达州、广安、广元、巴中5市内大部分区域属于省级层面重点开发区，是一般管控单元的集中分布区域。该区域发展定位为东向北向出川综合交通枢纽和川渝陕甘结合部区域经济中心。</w:t>
            </w:r>
          </w:p>
        </w:tc>
        <w:tc>
          <w:tcPr>
            <w:tcW w:w="994" w:type="pct"/>
            <w:vMerge w:val="restart"/>
            <w:tcBorders>
              <w:top w:val="single" w:color="000000" w:sz="4" w:space="0"/>
              <w:left w:val="single" w:color="000000" w:sz="4" w:space="0"/>
              <w:right w:val="single" w:color="000000" w:sz="4" w:space="0"/>
            </w:tcBorders>
            <w:tcMar>
              <w:top w:w="50" w:type="dxa"/>
              <w:left w:w="50" w:type="dxa"/>
              <w:bottom w:w="50" w:type="dxa"/>
              <w:right w:w="50" w:type="dxa"/>
            </w:tcMar>
            <w:vAlign w:val="center"/>
          </w:tcPr>
          <w:p w14:paraId="52237EBD">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本项目位于巴中市；外排废水经预处理后进入下游污水处理厂进一步处理，污水收集处理率可达到100%；本项目设置“生产单元-企业-园区”的三级事故废水防范体系，不会对流域水环境造成影响；本项目工艺废气、质检废气等经收集处理后达标排放。</w:t>
            </w:r>
          </w:p>
        </w:tc>
        <w:tc>
          <w:tcPr>
            <w:tcW w:w="395" w:type="pct"/>
            <w:vMerge w:val="restart"/>
            <w:tcBorders>
              <w:top w:val="single" w:color="000000" w:sz="4" w:space="0"/>
              <w:left w:val="single" w:color="000000" w:sz="4" w:space="0"/>
              <w:right w:val="single" w:color="000000" w:sz="4" w:space="0"/>
            </w:tcBorders>
            <w:tcMar>
              <w:top w:w="50" w:type="dxa"/>
              <w:left w:w="50" w:type="dxa"/>
              <w:bottom w:w="50" w:type="dxa"/>
              <w:right w:w="50" w:type="dxa"/>
            </w:tcMar>
            <w:vAlign w:val="center"/>
          </w:tcPr>
          <w:p w14:paraId="64322C32">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符合</w:t>
            </w:r>
          </w:p>
        </w:tc>
      </w:tr>
      <w:tr w14:paraId="7EE96F9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444"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A02F60">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62AE80">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发展定位与目标</w:t>
            </w:r>
          </w:p>
        </w:tc>
        <w:tc>
          <w:tcPr>
            <w:tcW w:w="272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E171EA0">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994" w:type="pct"/>
            <w:vMerge w:val="continue"/>
            <w:tcBorders>
              <w:left w:val="single" w:color="000000" w:sz="4" w:space="0"/>
              <w:right w:val="single" w:color="000000" w:sz="4" w:space="0"/>
            </w:tcBorders>
            <w:tcMar>
              <w:top w:w="50" w:type="dxa"/>
              <w:left w:w="50" w:type="dxa"/>
              <w:bottom w:w="50" w:type="dxa"/>
              <w:right w:w="50" w:type="dxa"/>
            </w:tcMar>
            <w:vAlign w:val="center"/>
          </w:tcPr>
          <w:p w14:paraId="46FAE287">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95" w:type="pct"/>
            <w:vMerge w:val="continue"/>
            <w:tcBorders>
              <w:left w:val="single" w:color="000000" w:sz="4" w:space="0"/>
              <w:right w:val="single" w:color="000000" w:sz="4" w:space="0"/>
            </w:tcBorders>
            <w:tcMar>
              <w:top w:w="50" w:type="dxa"/>
              <w:left w:w="50" w:type="dxa"/>
              <w:bottom w:w="50" w:type="dxa"/>
              <w:right w:w="50" w:type="dxa"/>
            </w:tcMar>
            <w:vAlign w:val="center"/>
          </w:tcPr>
          <w:p w14:paraId="4C5A4115">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r>
      <w:tr w14:paraId="5270D8B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444"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E3E8B99">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4113E6">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区域突出生态环境问题</w:t>
            </w:r>
          </w:p>
        </w:tc>
        <w:tc>
          <w:tcPr>
            <w:tcW w:w="272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0753632">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1、小流域污染问题突出，嘉陵江及渠江部分支流部分河段水环境承载力不足，乡镇污水基础设施建设滞后；出川断面多，水质要求高，保护压力大。
2、区域嘉陵江流域存在输入性水环境风险问题。
3、达州、广安大气污染问题须重视。</w:t>
            </w:r>
          </w:p>
        </w:tc>
        <w:tc>
          <w:tcPr>
            <w:tcW w:w="994" w:type="pct"/>
            <w:vMerge w:val="continue"/>
            <w:tcBorders>
              <w:left w:val="single" w:color="000000" w:sz="4" w:space="0"/>
              <w:right w:val="single" w:color="000000" w:sz="4" w:space="0"/>
            </w:tcBorders>
            <w:tcMar>
              <w:top w:w="50" w:type="dxa"/>
              <w:left w:w="50" w:type="dxa"/>
              <w:bottom w:w="50" w:type="dxa"/>
              <w:right w:w="50" w:type="dxa"/>
            </w:tcMar>
            <w:vAlign w:val="center"/>
          </w:tcPr>
          <w:p w14:paraId="160B3C3E">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95" w:type="pct"/>
            <w:vMerge w:val="continue"/>
            <w:tcBorders>
              <w:left w:val="single" w:color="000000" w:sz="4" w:space="0"/>
              <w:right w:val="single" w:color="000000" w:sz="4" w:space="0"/>
            </w:tcBorders>
            <w:tcMar>
              <w:top w:w="50" w:type="dxa"/>
              <w:left w:w="50" w:type="dxa"/>
              <w:bottom w:w="50" w:type="dxa"/>
              <w:right w:w="50" w:type="dxa"/>
            </w:tcMar>
            <w:vAlign w:val="center"/>
          </w:tcPr>
          <w:p w14:paraId="2A4AD2A4">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r>
      <w:tr w14:paraId="5921FA8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444"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81A04C2">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8E445C">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总体管控要求</w:t>
            </w:r>
          </w:p>
        </w:tc>
        <w:tc>
          <w:tcPr>
            <w:tcW w:w="272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C5D2EED">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1、控制农村面源污染，提高污水收集处理率，加快乡镇污水处理基础设施建设。
2、建设流域水环境风险联防联控体系。
提高大气污染治理水平。</w:t>
            </w:r>
          </w:p>
        </w:tc>
        <w:tc>
          <w:tcPr>
            <w:tcW w:w="994" w:type="pct"/>
            <w:vMerge w:val="continue"/>
            <w:tcBorders>
              <w:left w:val="single" w:color="000000" w:sz="4" w:space="0"/>
              <w:bottom w:val="single" w:color="000000" w:sz="4" w:space="0"/>
              <w:right w:val="single" w:color="000000" w:sz="4" w:space="0"/>
            </w:tcBorders>
            <w:tcMar>
              <w:top w:w="50" w:type="dxa"/>
              <w:left w:w="50" w:type="dxa"/>
              <w:bottom w:w="50" w:type="dxa"/>
              <w:right w:w="50" w:type="dxa"/>
            </w:tcMar>
            <w:vAlign w:val="center"/>
          </w:tcPr>
          <w:p w14:paraId="3B6E8285">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95" w:type="pct"/>
            <w:vMerge w:val="continue"/>
            <w:tcBorders>
              <w:left w:val="single" w:color="000000" w:sz="4" w:space="0"/>
              <w:bottom w:val="single" w:color="000000" w:sz="4" w:space="0"/>
              <w:right w:val="single" w:color="000000" w:sz="4" w:space="0"/>
            </w:tcBorders>
            <w:tcMar>
              <w:top w:w="50" w:type="dxa"/>
              <w:left w:w="50" w:type="dxa"/>
              <w:bottom w:w="50" w:type="dxa"/>
              <w:right w:w="50" w:type="dxa"/>
            </w:tcMar>
            <w:vAlign w:val="center"/>
          </w:tcPr>
          <w:p w14:paraId="0BC4353D">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r>
    </w:tbl>
    <w:p w14:paraId="50EC82BA">
      <w:pPr>
        <w:pStyle w:val="41"/>
        <w:widowControl w:val="0"/>
        <w:numPr>
          <w:ilvl w:val="0"/>
          <w:numId w:val="0"/>
        </w:numPr>
        <w:tabs>
          <w:tab w:val="left" w:pos="420"/>
        </w:tabs>
        <w:adjustRightInd w:val="0"/>
        <w:spacing w:before="40" w:after="40" w:line="276" w:lineRule="auto"/>
        <w:jc w:val="center"/>
        <w:textAlignment w:val="baseline"/>
        <w:rPr>
          <w:rFonts w:hint="eastAsia" w:eastAsia="黑体"/>
          <w:color w:val="auto"/>
          <w:sz w:val="21"/>
          <w:szCs w:val="21"/>
          <w:lang w:val="en-US" w:eastAsia="zh-CN"/>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p>
    <w:p w14:paraId="4660F431">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本项目与巴中市市（州）普适性管控要求符合性分析</w:t>
      </w:r>
    </w:p>
    <w:tbl>
      <w:tblPr>
        <w:tblStyle w:val="20"/>
        <w:tblW w:w="4997"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 w:type="dxa"/>
          <w:bottom w:w="0" w:type="dxa"/>
          <w:right w:w="10" w:type="dxa"/>
        </w:tblCellMar>
      </w:tblPr>
      <w:tblGrid>
        <w:gridCol w:w="742"/>
        <w:gridCol w:w="971"/>
        <w:gridCol w:w="980"/>
        <w:gridCol w:w="946"/>
        <w:gridCol w:w="7376"/>
        <w:gridCol w:w="2565"/>
        <w:gridCol w:w="572"/>
      </w:tblGrid>
      <w:tr w14:paraId="7A3C607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62"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6E7F8CD">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市州</w:t>
            </w:r>
          </w:p>
        </w:tc>
        <w:tc>
          <w:tcPr>
            <w:tcW w:w="343"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6CE5ED">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涉及县区</w:t>
            </w:r>
          </w:p>
        </w:tc>
        <w:tc>
          <w:tcPr>
            <w:tcW w:w="346"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6692540">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区域名称</w:t>
            </w:r>
          </w:p>
        </w:tc>
        <w:tc>
          <w:tcPr>
            <w:tcW w:w="33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878F28">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管控类别</w:t>
            </w:r>
          </w:p>
        </w:tc>
        <w:tc>
          <w:tcPr>
            <w:tcW w:w="26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CA78FE">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管控要求</w:t>
            </w:r>
          </w:p>
        </w:tc>
        <w:tc>
          <w:tcPr>
            <w:tcW w:w="906"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098A0A">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本项目情况</w:t>
            </w:r>
          </w:p>
        </w:tc>
        <w:tc>
          <w:tcPr>
            <w:tcW w:w="202"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01BBE02">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符合性</w:t>
            </w:r>
          </w:p>
        </w:tc>
      </w:tr>
      <w:tr w14:paraId="3855FE5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62" w:type="pct"/>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ACBFF7">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巴中市</w:t>
            </w:r>
          </w:p>
        </w:tc>
        <w:tc>
          <w:tcPr>
            <w:tcW w:w="343" w:type="pct"/>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D1C97A8">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巴州区+恩阳区+通江县+南江县+平昌县</w:t>
            </w:r>
          </w:p>
        </w:tc>
        <w:tc>
          <w:tcPr>
            <w:tcW w:w="346" w:type="pct"/>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2F2776A">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巴州区+恩阳区+通江县+南江县+平昌县</w:t>
            </w:r>
          </w:p>
        </w:tc>
        <w:tc>
          <w:tcPr>
            <w:tcW w:w="33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09F79F">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空间布局约束</w:t>
            </w:r>
          </w:p>
        </w:tc>
        <w:tc>
          <w:tcPr>
            <w:tcW w:w="26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1A7DCA9">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【禁止开发建设活动的要求】</w:t>
            </w:r>
          </w:p>
          <w:p w14:paraId="79062A0A">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w:t>
            </w:r>
          </w:p>
          <w:p w14:paraId="152068B7">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-禁止在长江流域河湖管理范围内倾倒、填埋、堆放、弃置、处理固体废物。
</w:t>
            </w:r>
          </w:p>
          <w:p w14:paraId="38AA2E94">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-在禁燃区内禁止销售、燃用高污染燃料。禁燃区内禁止新建、扩建燃用高污染燃料的设施。
</w:t>
            </w:r>
          </w:p>
          <w:p w14:paraId="536827C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-未通过认定的化工园区，不得新建、改扩建化工项目（安全、环保、节能和智能化改造项目除外），按属地原则依法依规妥善做好未通过认定化工园区及园内企业的转型、关闭、处置及监管工作。</w:t>
            </w:r>
          </w:p>
          <w:p w14:paraId="0B2ABF0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【限制开发建设活动的要求】</w:t>
            </w:r>
          </w:p>
          <w:p w14:paraId="329290C2">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-继续化解过剩产能，严禁钢铁、水泥、电解铝、平板玻璃等行业新增产能，对确有必要新建的必须实施等量或减量置换。
</w:t>
            </w:r>
          </w:p>
          <w:p w14:paraId="5CC29706">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-严格执行《矿产资源开采</w:t>
            </w:r>
            <w:r>
              <w:rPr>
                <w:rStyle w:val="22"/>
                <w:rFonts w:hint="eastAsia" w:eastAsia="宋体" w:cs="Times New Roman"/>
                <w:color w:val="auto"/>
                <w:kern w:val="2"/>
                <w:sz w:val="21"/>
                <w:szCs w:val="21"/>
                <w:lang w:val="en-US" w:eastAsia="zh-CN" w:bidi="ar-SA"/>
              </w:rPr>
              <w:t>登记</w:t>
            </w:r>
            <w:r>
              <w:rPr>
                <w:rStyle w:val="22"/>
                <w:rFonts w:hint="default" w:ascii="Times New Roman" w:hAnsi="Times New Roman" w:eastAsia="宋体" w:cs="Times New Roman"/>
                <w:color w:val="auto"/>
                <w:kern w:val="2"/>
                <w:sz w:val="21"/>
                <w:szCs w:val="21"/>
                <w:lang w:val="en-US" w:eastAsia="zh-CN" w:bidi="ar-SA"/>
              </w:rPr>
              <w:t>管理办法》的相关规定。
</w:t>
            </w:r>
          </w:p>
          <w:p w14:paraId="1E62901C">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【允许开发建设活动的要求】</w:t>
            </w:r>
          </w:p>
          <w:p w14:paraId="13A6535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-现有属于园区禁止引入产业门类的企业，原则上限制发展，污染物排放只降不增，允许以提升安全、生态环境保护水平为目的的改建，引导企业结合产业升级等适时搬迁。</w:t>
            </w:r>
          </w:p>
          <w:p w14:paraId="11DC8B3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【不符合空间布局要求活动的退出要求】</w:t>
            </w:r>
          </w:p>
          <w:p w14:paraId="0F6E63BB">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w:t>
            </w:r>
          </w:p>
          <w:p w14:paraId="4911F6C8">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【其他空间布局约束要求】</w:t>
            </w:r>
          </w:p>
          <w:p w14:paraId="626EA5F5">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（1）为达2025年及2035年环境空气质量目标， 14个工业重点管控单元大气污染物允许排放量2025年为：PM</w:t>
            </w:r>
            <w:r>
              <w:rPr>
                <w:rStyle w:val="22"/>
                <w:rFonts w:hint="default" w:ascii="Times New Roman" w:hAnsi="Times New Roman" w:eastAsia="宋体" w:cs="Times New Roman"/>
                <w:color w:val="auto"/>
                <w:kern w:val="2"/>
                <w:sz w:val="21"/>
                <w:szCs w:val="21"/>
                <w:vertAlign w:val="subscript"/>
                <w:lang w:val="en-US" w:eastAsia="zh-CN" w:bidi="ar-SA"/>
              </w:rPr>
              <w:t>2.5</w:t>
            </w:r>
            <w:r>
              <w:rPr>
                <w:rStyle w:val="22"/>
                <w:rFonts w:hint="default" w:ascii="Times New Roman" w:hAnsi="Times New Roman" w:eastAsia="宋体" w:cs="Times New Roman"/>
                <w:color w:val="auto"/>
                <w:kern w:val="2"/>
                <w:sz w:val="21"/>
                <w:szCs w:val="21"/>
                <w:lang w:val="en-US" w:eastAsia="zh-CN" w:bidi="ar-SA"/>
              </w:rPr>
              <w:t>允许排放量4950吨、SO</w:t>
            </w:r>
            <w:r>
              <w:rPr>
                <w:rStyle w:val="22"/>
                <w:rFonts w:hint="default" w:ascii="Times New Roman" w:hAnsi="Times New Roman" w:eastAsia="宋体" w:cs="Times New Roman"/>
                <w:color w:val="auto"/>
                <w:kern w:val="2"/>
                <w:sz w:val="21"/>
                <w:szCs w:val="21"/>
                <w:vertAlign w:val="subscript"/>
                <w:lang w:val="en-US" w:eastAsia="zh-CN" w:bidi="ar-SA"/>
              </w:rPr>
              <w:t>2</w:t>
            </w:r>
            <w:r>
              <w:rPr>
                <w:rStyle w:val="22"/>
                <w:rFonts w:hint="default" w:ascii="Times New Roman" w:hAnsi="Times New Roman" w:eastAsia="宋体" w:cs="Times New Roman"/>
                <w:color w:val="auto"/>
                <w:kern w:val="2"/>
                <w:sz w:val="21"/>
                <w:szCs w:val="21"/>
                <w:lang w:val="en-US" w:eastAsia="zh-CN" w:bidi="ar-SA"/>
              </w:rPr>
              <w:t>允许排放量3502吨、NOx允许排放量8906吨、VOCs 允许排放量12506吨，2035年为：PM</w:t>
            </w:r>
            <w:r>
              <w:rPr>
                <w:rStyle w:val="22"/>
                <w:rFonts w:hint="default" w:ascii="Times New Roman" w:hAnsi="Times New Roman" w:eastAsia="宋体" w:cs="Times New Roman"/>
                <w:color w:val="auto"/>
                <w:kern w:val="2"/>
                <w:sz w:val="21"/>
                <w:szCs w:val="21"/>
                <w:vertAlign w:val="subscript"/>
                <w:lang w:val="en-US" w:eastAsia="zh-CN" w:bidi="ar-SA"/>
              </w:rPr>
              <w:t>2.5</w:t>
            </w:r>
            <w:r>
              <w:rPr>
                <w:rStyle w:val="22"/>
                <w:rFonts w:hint="default" w:ascii="Times New Roman" w:hAnsi="Times New Roman" w:eastAsia="宋体" w:cs="Times New Roman"/>
                <w:color w:val="auto"/>
                <w:kern w:val="2"/>
                <w:sz w:val="21"/>
                <w:szCs w:val="21"/>
                <w:lang w:val="en-US" w:eastAsia="zh-CN" w:bidi="ar-SA"/>
              </w:rPr>
              <w:t>允许排放量4595吨、SO</w:t>
            </w:r>
            <w:r>
              <w:rPr>
                <w:rStyle w:val="22"/>
                <w:rFonts w:hint="default" w:ascii="Times New Roman" w:hAnsi="Times New Roman" w:eastAsia="宋体" w:cs="Times New Roman"/>
                <w:color w:val="auto"/>
                <w:kern w:val="2"/>
                <w:sz w:val="21"/>
                <w:szCs w:val="21"/>
                <w:vertAlign w:val="subscript"/>
                <w:lang w:val="en-US" w:eastAsia="zh-CN" w:bidi="ar-SA"/>
              </w:rPr>
              <w:t>2</w:t>
            </w:r>
            <w:r>
              <w:rPr>
                <w:rStyle w:val="22"/>
                <w:rFonts w:hint="default" w:ascii="Times New Roman" w:hAnsi="Times New Roman" w:eastAsia="宋体" w:cs="Times New Roman"/>
                <w:color w:val="auto"/>
                <w:kern w:val="2"/>
                <w:sz w:val="21"/>
                <w:szCs w:val="21"/>
                <w:lang w:val="en-US" w:eastAsia="zh-CN" w:bidi="ar-SA"/>
              </w:rPr>
              <w:t>允许排放量3133吨、NOx允许排放量8656吨、VOCs 允许排放量12098吨。（2）为保证2025、2035年区域地表水控制断面达标，15个工业重点管控单元COD、氨氮、总磷允许排放量2025年控制在233465.09吨、2863.81吨、409.92吨以下，2035年控制在24638.35吨、3007.02吨、430.41吨以下。</w:t>
            </w:r>
          </w:p>
        </w:tc>
        <w:tc>
          <w:tcPr>
            <w:tcW w:w="906"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83DADC">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1、本项目距通江河（长江四级支流）2650m，不在长江干支流岸线一公里范围内；2、本项目各类固体废物去向明确，可得到资源化利用或无害化处置；3、本项目不使用高污染燃料；4、本项目位于四川巴中经济开发区金堂区块（巴中曾口-金堂化工园区）内，巴中曾口-金堂化工园区是经认定的化工园区；5、本项目不属于产能过剩行业；6、本项目颗粒物、VOCs、COD、氨氮等排放量较小，不会超过各污染物允许排放量。</w:t>
            </w:r>
          </w:p>
        </w:tc>
        <w:tc>
          <w:tcPr>
            <w:tcW w:w="202"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CC20901">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符合</w:t>
            </w:r>
          </w:p>
        </w:tc>
      </w:tr>
      <w:tr w14:paraId="5B5BC95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62"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EB4BED0">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43"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A1634CE">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46"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9AD55E">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3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7B7ED1">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污染物排放管控</w:t>
            </w:r>
          </w:p>
        </w:tc>
        <w:tc>
          <w:tcPr>
            <w:tcW w:w="26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A405921">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【现有源提标升级改造】</w:t>
            </w:r>
          </w:p>
          <w:p w14:paraId="7AB55E7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-污水收集处理率达100%。
</w:t>
            </w:r>
          </w:p>
          <w:p w14:paraId="7B6D0AE8">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-推进工业园区污水处理设施建设，确保园区工业废水达标排放。
</w:t>
            </w:r>
          </w:p>
          <w:p w14:paraId="5B3FBBCB">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完善园区及企业雨污分流系统，全面推进医药、化工等行业初期雨水收集处理，推动有条件的园区实施入园企业“一企一管、明管输送、实时监测”。加强企业废水预处理和排水管理，鼓励纳管企业与园区污水处理厂运营单位通过签订委托处理合同等方式协同处理废水。</w:t>
            </w:r>
          </w:p>
          <w:p w14:paraId="2E323EC5">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【新增源等量或倍量替代】</w:t>
            </w:r>
          </w:p>
          <w:p w14:paraId="53877A8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1.污染物排放绩效水平准入要求：
</w:t>
            </w:r>
          </w:p>
          <w:p w14:paraId="4F3135CF">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新、改、扩建涉及VOCs排放项目，从原辅材料和工艺过程大力推广使用低（无）VOCs含量的涂料、有机溶剂、胶黏剂、油墨等原辅材料，配套改进生产工艺。-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w:t>
            </w:r>
          </w:p>
          <w:p w14:paraId="7AC38F43">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-到2030年巴中中心城区污水处理率达到100%，工业废水排放达标率100%。
2.化工园区应按照分类收集，分质处理的要求，配备专业化工生产废水集中处理设施（独立建设或依托骨干企业）及专管或明管输送的配套管网，化工生产废水纳管率达到100%。入河排污口设置应符合相关规定。
</w:t>
            </w:r>
          </w:p>
          <w:p w14:paraId="4496289C">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3.重点行业建设项目应遵循重点重金属污染物排放“等量替代”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川省“十四五”重金属污染防控工作方案》；重点行业、重点重金属的界定参见《四川省“十四五”重金属污染防控工作方案》。
</w:t>
            </w:r>
          </w:p>
          <w:p w14:paraId="1B976B48">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p w14:paraId="2A43FA57">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【新增源排放标准限值】</w:t>
            </w:r>
          </w:p>
          <w:p w14:paraId="01C4B821">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强化大气污染区域联防联控措施，实施重污染天气应急管控。修订重污染天气应急预案，动态更新污染源排放清单，落实重点企业错峰生产、压产限产、工地停工等强制性措施，有效减缓重污染天气影响。</w:t>
            </w:r>
          </w:p>
          <w:p w14:paraId="02B09C96">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【污染物排放绩效水平准入要求】</w:t>
            </w:r>
          </w:p>
          <w:p w14:paraId="54AFE372">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-涉及有毒有害、易燃易爆物质新建、改扩建项目，严控准入要求。
</w:t>
            </w:r>
          </w:p>
          <w:p w14:paraId="12F5B16F">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
</w:t>
            </w:r>
          </w:p>
          <w:p w14:paraId="6CEBBDCB">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有色金属冶炼、石油加工、化工、焦化、电镀、制革等行业企业拆除生产设施设备、构筑物和污染治理设施，要事先制定残留污染物清理和安全处置方案，要严格按照有关规定实施安全处理处置，防范拆除活动污染土壤。
</w:t>
            </w:r>
          </w:p>
          <w:p w14:paraId="787B22E5">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-已污染地块，应当依法开展土壤污染状况调查、治理与修复，符合相关环境质量要求后，方可进入用地程序。</w:t>
            </w:r>
          </w:p>
          <w:p w14:paraId="3BCDCD2E">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【其他污染物排放管控要求】</w:t>
            </w:r>
          </w:p>
          <w:p w14:paraId="287B21B9">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-到2022年，万元国内生产总值用水量、万元工业增加值用水量较2015年分别降低30%和28%。
</w:t>
            </w:r>
          </w:p>
        </w:tc>
        <w:tc>
          <w:tcPr>
            <w:tcW w:w="906"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4CD5312">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1、本项目外排废水经预处理后进入下游污水处理厂进一步处理，污水收集处理率可达到100%；2、园区水处理厂目前正在进行设备安装，预计2026年8月建成投运，环评要求：在通江县秋锦山产业园区综合污水处理厂建成投运前，本项目不得投产。同时，建设单位应尽快与污水处理厂业主单位签订污水接纳协议，确保项目外排废水得到有效处理；3、本项目设有初期雨水池；4、本项目初期雨水、其余器皿三次后清洗废水、车间地面清洁废水、反冲洗废水、循环排污水、喷淋废水作为回用水用于高性能聚羧酸减水剂复配，不涉及生产废水排放，厂区内生产废水输送管道可视化架空设置；5、本项目不涉及重金属排放；6、本项目涉VOCs物料的所有过程均采用密闭设备，废气全部收集处理后达标排放；7、本项目硫酸储罐发生泄漏事故时，东北侧散户出现了毒性终点浓度-2值，在最不利气象条件下持续时间为15min；在最常见气象条件下持续时间为16min。此外，本次对暴露于有一氧化碳或二氧化硫气团下、无任何防护的人员进行了关心点概率分析，经计算，因一氧化碳或二氧化硫毒性而导致死亡的概率为0。环评要求：一旦发生事故，应立即启动应急预案，根据事故当天风向确定最大影响范围，及时对影响范围内人员发布警报，并组织厂区员工、附近群众在5min内按拟定逃生路线进行疏散撤离，同时确定应急监测点，组织应急监测，直至监测达标方才恢复正常生产、生活。</w:t>
            </w:r>
          </w:p>
        </w:tc>
        <w:tc>
          <w:tcPr>
            <w:tcW w:w="202"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EA8D878">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符合</w:t>
            </w:r>
          </w:p>
        </w:tc>
      </w:tr>
      <w:tr w14:paraId="7F2B4A0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62"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3E04019">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43"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97FD87F">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46"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CDAF366">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3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4E10CC7">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环境风险防控</w:t>
            </w:r>
          </w:p>
        </w:tc>
        <w:tc>
          <w:tcPr>
            <w:tcW w:w="26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A57DC16">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【严格管控类农用地管控要求】</w:t>
            </w:r>
          </w:p>
          <w:p w14:paraId="79C30C3A">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-巴中市2025年地下水开采控制控制量保持在1400万m</w:t>
            </w:r>
            <w:r>
              <w:rPr>
                <w:rStyle w:val="22"/>
                <w:rFonts w:hint="default" w:ascii="Times New Roman" w:hAnsi="Times New Roman" w:eastAsia="宋体" w:cs="Times New Roman"/>
                <w:color w:val="auto"/>
                <w:kern w:val="2"/>
                <w:sz w:val="21"/>
                <w:szCs w:val="21"/>
                <w:vertAlign w:val="superscript"/>
                <w:lang w:val="en-US" w:eastAsia="zh-CN" w:bidi="ar-SA"/>
              </w:rPr>
              <w:t>3</w:t>
            </w:r>
            <w:r>
              <w:rPr>
                <w:rStyle w:val="22"/>
                <w:rFonts w:hint="default" w:ascii="Times New Roman" w:hAnsi="Times New Roman" w:eastAsia="宋体" w:cs="Times New Roman"/>
                <w:color w:val="auto"/>
                <w:kern w:val="2"/>
                <w:sz w:val="21"/>
                <w:szCs w:val="21"/>
                <w:lang w:val="en-US" w:eastAsia="zh-CN" w:bidi="ar-SA"/>
              </w:rPr>
              <w:t>以内。
</w:t>
            </w:r>
          </w:p>
          <w:p w14:paraId="4F5CB840">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-地下水开采量控制在可开采量的允 许范围内，抑制用水过度增长。</w:t>
            </w:r>
          </w:p>
          <w:p w14:paraId="1D3F6FE8">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【安全利用类农用地管控要求】</w:t>
            </w:r>
          </w:p>
          <w:p w14:paraId="28F698A9">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-新、改扩建项目污染能耗指标满足《四川省省级生态工业园区指标》综合类生态工业园区要求。
</w:t>
            </w:r>
          </w:p>
          <w:p w14:paraId="79727B52">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-实施新建项目与煤炭消费总量控制挂钩机制，耗煤建设项目实行煤炭消耗等量减量替代。
</w:t>
            </w:r>
          </w:p>
          <w:p w14:paraId="76404399">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-提高煤炭利用效率和天然气利用占比，工业领域有序推进“煤改电”和有序推进“煤改气”。
</w:t>
            </w:r>
          </w:p>
          <w:p w14:paraId="435C147B">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-全面淘汰每小时10蒸吨以下的燃煤锅炉；在供气管网覆盖不到的其他地区，改用电、新能源或洁净煤。
</w:t>
            </w:r>
          </w:p>
          <w:p w14:paraId="1980D1C7">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p w14:paraId="2627B9EA">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【污染地块管控要求】</w:t>
            </w:r>
          </w:p>
          <w:p w14:paraId="30DBC350">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50BF9C2F">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【园区环境风险防控要求】</w:t>
            </w:r>
          </w:p>
          <w:p w14:paraId="76579577">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到2025年，巴中市万元工业增加值用水降低至22.4m</w:t>
            </w:r>
            <w:r>
              <w:rPr>
                <w:rStyle w:val="22"/>
                <w:rFonts w:hint="default" w:ascii="Times New Roman" w:hAnsi="Times New Roman" w:eastAsia="宋体" w:cs="Times New Roman"/>
                <w:color w:val="auto"/>
                <w:kern w:val="2"/>
                <w:sz w:val="21"/>
                <w:szCs w:val="21"/>
                <w:vertAlign w:val="superscript"/>
                <w:lang w:val="en-US" w:eastAsia="zh-CN" w:bidi="ar-SA"/>
              </w:rPr>
              <w:t>3</w:t>
            </w:r>
            <w:r>
              <w:rPr>
                <w:rStyle w:val="22"/>
                <w:rFonts w:hint="default" w:ascii="Times New Roman" w:hAnsi="Times New Roman" w:eastAsia="宋体" w:cs="Times New Roman"/>
                <w:color w:val="auto"/>
                <w:kern w:val="2"/>
                <w:sz w:val="21"/>
                <w:szCs w:val="21"/>
                <w:lang w:val="en-US" w:eastAsia="zh-CN" w:bidi="ar-SA"/>
              </w:rPr>
              <w:t>，工业用水重复利用率达到75.5%以上；到2030年，巴中市万元工业增加值用水量降低到17.1m</w:t>
            </w:r>
            <w:r>
              <w:rPr>
                <w:rStyle w:val="22"/>
                <w:rFonts w:hint="default" w:ascii="Times New Roman" w:hAnsi="Times New Roman" w:eastAsia="宋体" w:cs="Times New Roman"/>
                <w:color w:val="auto"/>
                <w:kern w:val="2"/>
                <w:sz w:val="21"/>
                <w:szCs w:val="21"/>
                <w:vertAlign w:val="superscript"/>
                <w:lang w:val="en-US" w:eastAsia="zh-CN" w:bidi="ar-SA"/>
              </w:rPr>
              <w:t>3</w:t>
            </w:r>
            <w:r>
              <w:rPr>
                <w:rStyle w:val="22"/>
                <w:rFonts w:hint="default" w:ascii="Times New Roman" w:hAnsi="Times New Roman" w:eastAsia="宋体" w:cs="Times New Roman"/>
                <w:color w:val="auto"/>
                <w:kern w:val="2"/>
                <w:sz w:val="21"/>
                <w:szCs w:val="21"/>
                <w:lang w:val="en-US" w:eastAsia="zh-CN" w:bidi="ar-SA"/>
              </w:rPr>
              <w:t>，工业用水重复利用率达到81.3%以上。
</w:t>
            </w:r>
          </w:p>
          <w:p w14:paraId="2A420A3A">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-新、改扩建项目污染水耗指标满足《四川省省级生态工业园区指标》综合类生态工业园区要求。
</w:t>
            </w:r>
          </w:p>
          <w:p w14:paraId="2BA9E99A">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鼓励引导新建、改建、扩建工业园区应当按照有关要求统筹建设工业废水集中处理和回用设施，适时推进企业间串联用水、分质用水、一水多用，实现水循环梯级优化利用和废水集中处理回用，创建节水型工业园区。
</w:t>
            </w:r>
          </w:p>
          <w:p w14:paraId="13E8B272">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r>
              <w:rPr>
                <w:rStyle w:val="22"/>
                <w:rFonts w:hint="eastAsia" w:ascii="Times New Roman" w:hAnsi="Times New Roman" w:eastAsia="宋体" w:cs="Times New Roman"/>
                <w:color w:val="auto"/>
                <w:kern w:val="2"/>
                <w:sz w:val="21"/>
                <w:szCs w:val="21"/>
                <w:lang w:val="en-US" w:eastAsia="zh-CN" w:bidi="ar-SA"/>
              </w:rPr>
              <w:t>。</w:t>
            </w:r>
          </w:p>
        </w:tc>
        <w:tc>
          <w:tcPr>
            <w:tcW w:w="906"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39EEA91">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1、本项目不涉及地下水开采；2、本项目综合能耗约0.007吨标煤/万元，满足</w:t>
            </w:r>
            <w:r>
              <w:rPr>
                <w:rStyle w:val="22"/>
                <w:rFonts w:hint="default" w:ascii="Times New Roman" w:hAnsi="Times New Roman" w:eastAsia="宋体" w:cs="Times New Roman"/>
                <w:color w:val="auto"/>
                <w:kern w:val="2"/>
                <w:sz w:val="21"/>
                <w:szCs w:val="21"/>
                <w:lang w:val="en-US" w:eastAsia="zh-CN" w:bidi="ar-SA"/>
              </w:rPr>
              <w:t>综合类生态工业园区要求</w:t>
            </w:r>
            <w:r>
              <w:rPr>
                <w:rStyle w:val="22"/>
                <w:rFonts w:hint="eastAsia" w:ascii="Times New Roman" w:hAnsi="Times New Roman" w:eastAsia="宋体" w:cs="Times New Roman"/>
                <w:color w:val="auto"/>
                <w:kern w:val="2"/>
                <w:sz w:val="21"/>
                <w:szCs w:val="21"/>
                <w:lang w:val="en-US" w:eastAsia="zh-CN" w:bidi="ar-SA"/>
              </w:rPr>
              <w:t>（≤0.7吨标煤/万元）；3、本项目不涉及锅炉；4、本项目不使用高污染燃料；5、本项目</w:t>
            </w:r>
            <w:r>
              <w:rPr>
                <w:rStyle w:val="22"/>
                <w:rFonts w:hint="default" w:ascii="Times New Roman" w:hAnsi="Times New Roman" w:eastAsia="宋体" w:cs="Times New Roman"/>
                <w:color w:val="auto"/>
                <w:kern w:val="2"/>
                <w:sz w:val="21"/>
                <w:szCs w:val="21"/>
                <w:lang w:val="en-US" w:eastAsia="zh-CN" w:bidi="ar-SA"/>
              </w:rPr>
              <w:t>万元工业增加值用水</w:t>
            </w:r>
            <w:r>
              <w:rPr>
                <w:rStyle w:val="22"/>
                <w:rFonts w:hint="eastAsia" w:ascii="Times New Roman" w:hAnsi="Times New Roman" w:eastAsia="宋体" w:cs="Times New Roman"/>
                <w:color w:val="auto"/>
                <w:kern w:val="2"/>
                <w:sz w:val="21"/>
                <w:szCs w:val="21"/>
                <w:lang w:val="en-US" w:eastAsia="zh-CN" w:bidi="ar-SA"/>
              </w:rPr>
              <w:t>为6.19</w:t>
            </w:r>
            <w:r>
              <w:rPr>
                <w:rStyle w:val="22"/>
                <w:rFonts w:hint="default" w:ascii="Times New Roman" w:hAnsi="Times New Roman" w:eastAsia="宋体" w:cs="Times New Roman"/>
                <w:color w:val="auto"/>
                <w:kern w:val="2"/>
                <w:sz w:val="21"/>
                <w:szCs w:val="21"/>
                <w:lang w:val="en-US" w:eastAsia="zh-CN" w:bidi="ar-SA"/>
              </w:rPr>
              <w:t>m</w:t>
            </w:r>
            <w:r>
              <w:rPr>
                <w:rStyle w:val="22"/>
                <w:rFonts w:hint="default" w:ascii="Times New Roman" w:hAnsi="Times New Roman" w:eastAsia="宋体" w:cs="Times New Roman"/>
                <w:color w:val="auto"/>
                <w:kern w:val="2"/>
                <w:sz w:val="21"/>
                <w:szCs w:val="21"/>
                <w:vertAlign w:val="superscript"/>
                <w:lang w:val="en-US" w:eastAsia="zh-CN" w:bidi="ar-SA"/>
              </w:rPr>
              <w:t>3</w:t>
            </w:r>
            <w:r>
              <w:rPr>
                <w:rStyle w:val="22"/>
                <w:rFonts w:hint="default" w:ascii="Times New Roman" w:hAnsi="Times New Roman" w:eastAsia="宋体" w:cs="Times New Roman"/>
                <w:color w:val="auto"/>
                <w:kern w:val="2"/>
                <w:sz w:val="21"/>
                <w:szCs w:val="21"/>
                <w:lang w:val="en-US" w:eastAsia="zh-CN" w:bidi="ar-SA"/>
              </w:rPr>
              <w:t>，</w:t>
            </w:r>
            <w:r>
              <w:rPr>
                <w:rStyle w:val="22"/>
                <w:rFonts w:hint="eastAsia" w:ascii="Times New Roman" w:hAnsi="Times New Roman" w:eastAsia="宋体" w:cs="Times New Roman"/>
                <w:color w:val="auto"/>
                <w:kern w:val="2"/>
                <w:sz w:val="21"/>
                <w:szCs w:val="21"/>
                <w:lang w:val="en-US" w:eastAsia="zh-CN" w:bidi="ar-SA"/>
              </w:rPr>
              <w:t>满足</w:t>
            </w:r>
            <w:r>
              <w:rPr>
                <w:rStyle w:val="22"/>
                <w:rFonts w:hint="default" w:ascii="Times New Roman" w:hAnsi="Times New Roman" w:eastAsia="宋体" w:cs="Times New Roman"/>
                <w:color w:val="auto"/>
                <w:kern w:val="2"/>
                <w:sz w:val="21"/>
                <w:szCs w:val="21"/>
                <w:lang w:val="en-US" w:eastAsia="zh-CN" w:bidi="ar-SA"/>
              </w:rPr>
              <w:t>综合类生态工业园区要求</w:t>
            </w:r>
            <w:r>
              <w:rPr>
                <w:rStyle w:val="22"/>
                <w:rFonts w:hint="eastAsia" w:ascii="Times New Roman" w:hAnsi="Times New Roman" w:eastAsia="宋体" w:cs="Times New Roman"/>
                <w:color w:val="auto"/>
                <w:kern w:val="2"/>
                <w:sz w:val="21"/>
                <w:szCs w:val="21"/>
                <w:lang w:val="en-US" w:eastAsia="zh-CN" w:bidi="ar-SA"/>
              </w:rPr>
              <w:t>（≤12吨/万元），</w:t>
            </w:r>
            <w:r>
              <w:rPr>
                <w:rStyle w:val="22"/>
                <w:rFonts w:hint="default" w:ascii="Times New Roman" w:hAnsi="Times New Roman" w:eastAsia="宋体" w:cs="Times New Roman"/>
                <w:color w:val="auto"/>
                <w:kern w:val="2"/>
                <w:sz w:val="21"/>
                <w:szCs w:val="21"/>
                <w:lang w:val="en-US" w:eastAsia="zh-CN" w:bidi="ar-SA"/>
              </w:rPr>
              <w:t>工业用水重复利用率达到</w:t>
            </w:r>
            <w:r>
              <w:rPr>
                <w:rStyle w:val="22"/>
                <w:rFonts w:hint="eastAsia" w:ascii="Times New Roman" w:hAnsi="Times New Roman" w:eastAsia="宋体" w:cs="Times New Roman"/>
                <w:color w:val="auto"/>
                <w:kern w:val="2"/>
                <w:sz w:val="21"/>
                <w:szCs w:val="21"/>
                <w:lang w:val="en-US" w:eastAsia="zh-CN" w:bidi="ar-SA"/>
              </w:rPr>
              <w:t>97</w:t>
            </w:r>
            <w:r>
              <w:rPr>
                <w:rStyle w:val="22"/>
                <w:rFonts w:hint="default" w:ascii="Times New Roman" w:hAnsi="Times New Roman" w:eastAsia="宋体" w:cs="Times New Roman"/>
                <w:color w:val="auto"/>
                <w:kern w:val="2"/>
                <w:sz w:val="21"/>
                <w:szCs w:val="21"/>
                <w:lang w:val="en-US" w:eastAsia="zh-CN" w:bidi="ar-SA"/>
              </w:rPr>
              <w:t>.5%</w:t>
            </w:r>
            <w:r>
              <w:rPr>
                <w:rStyle w:val="22"/>
                <w:rFonts w:hint="eastAsia" w:ascii="Times New Roman" w:hAnsi="Times New Roman" w:eastAsia="宋体" w:cs="Times New Roman"/>
                <w:color w:val="auto"/>
                <w:kern w:val="2"/>
                <w:sz w:val="21"/>
                <w:szCs w:val="21"/>
                <w:lang w:val="en-US" w:eastAsia="zh-CN" w:bidi="ar-SA"/>
              </w:rPr>
              <w:t>；6、本项目初期雨水、其余器皿三次后清洗废水、车间地面清洁废水、反冲洗废水、循环排污水、喷淋废水作为回用水用于高性能聚羧酸减水剂复配。</w:t>
            </w:r>
          </w:p>
        </w:tc>
        <w:tc>
          <w:tcPr>
            <w:tcW w:w="202"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CFA9C0">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符合</w:t>
            </w:r>
          </w:p>
        </w:tc>
      </w:tr>
      <w:tr w14:paraId="5A58CA6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62"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AAFA90">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43"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8AFEAE8">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46"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1D8BC2">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p>
        </w:tc>
        <w:tc>
          <w:tcPr>
            <w:tcW w:w="33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10A415">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default" w:ascii="Times New Roman" w:hAnsi="Times New Roman" w:eastAsia="宋体" w:cs="Times New Roman"/>
                <w:color w:val="auto"/>
                <w:kern w:val="2"/>
                <w:sz w:val="21"/>
                <w:szCs w:val="21"/>
                <w:lang w:val="en-US" w:eastAsia="zh-CN" w:bidi="ar-SA"/>
              </w:rPr>
              <w:t>资源开发利用效率要求</w:t>
            </w:r>
          </w:p>
        </w:tc>
        <w:tc>
          <w:tcPr>
            <w:tcW w:w="26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FBA0768">
            <w:pPr>
              <w:pStyle w:val="42"/>
              <w:widowControl/>
              <w:spacing w:line="240" w:lineRule="auto"/>
              <w:ind w:firstLine="0" w:firstLineChars="0"/>
              <w:jc w:val="left"/>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w:t>
            </w:r>
          </w:p>
        </w:tc>
        <w:tc>
          <w:tcPr>
            <w:tcW w:w="906"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AF32F1D">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w:t>
            </w:r>
          </w:p>
        </w:tc>
        <w:tc>
          <w:tcPr>
            <w:tcW w:w="202"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E094F84">
            <w:pPr>
              <w:pStyle w:val="42"/>
              <w:widowControl/>
              <w:spacing w:line="240" w:lineRule="auto"/>
              <w:ind w:firstLine="0" w:firstLineChars="0"/>
              <w:jc w:val="center"/>
              <w:rPr>
                <w:rStyle w:val="22"/>
                <w:rFonts w:hint="default" w:ascii="Times New Roman" w:hAnsi="Times New Roman" w:eastAsia="宋体" w:cs="Times New Roman"/>
                <w:color w:val="auto"/>
                <w:kern w:val="2"/>
                <w:sz w:val="21"/>
                <w:szCs w:val="21"/>
                <w:lang w:val="en-US" w:eastAsia="zh-CN" w:bidi="ar-SA"/>
              </w:rPr>
            </w:pPr>
            <w:r>
              <w:rPr>
                <w:rStyle w:val="22"/>
                <w:rFonts w:hint="eastAsia" w:ascii="Times New Roman" w:hAnsi="Times New Roman" w:eastAsia="宋体" w:cs="Times New Roman"/>
                <w:color w:val="auto"/>
                <w:kern w:val="2"/>
                <w:sz w:val="21"/>
                <w:szCs w:val="21"/>
                <w:lang w:val="en-US" w:eastAsia="zh-CN" w:bidi="ar-SA"/>
              </w:rPr>
              <w:t>/</w:t>
            </w:r>
          </w:p>
        </w:tc>
      </w:tr>
    </w:tbl>
    <w:p w14:paraId="50EED309">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本项目与巴州区县（市、区）普适性管控要求符合性分析</w:t>
      </w:r>
    </w:p>
    <w:tbl>
      <w:tblPr>
        <w:tblStyle w:val="20"/>
        <w:tblW w:w="4997"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 w:type="dxa"/>
          <w:bottom w:w="0" w:type="dxa"/>
          <w:right w:w="10" w:type="dxa"/>
        </w:tblCellMar>
      </w:tblPr>
      <w:tblGrid>
        <w:gridCol w:w="795"/>
        <w:gridCol w:w="900"/>
        <w:gridCol w:w="1965"/>
        <w:gridCol w:w="7354"/>
        <w:gridCol w:w="2577"/>
        <w:gridCol w:w="561"/>
      </w:tblGrid>
      <w:tr w14:paraId="1FFF48C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8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F8F841">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县区</w:t>
            </w:r>
          </w:p>
        </w:tc>
        <w:tc>
          <w:tcPr>
            <w:tcW w:w="31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32B71D4">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区域名称</w:t>
            </w:r>
          </w:p>
        </w:tc>
        <w:tc>
          <w:tcPr>
            <w:tcW w:w="69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B65891">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管控类别</w:t>
            </w:r>
          </w:p>
        </w:tc>
        <w:tc>
          <w:tcPr>
            <w:tcW w:w="2597"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82B36E">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单元特性管控要求</w:t>
            </w:r>
          </w:p>
        </w:tc>
        <w:tc>
          <w:tcPr>
            <w:tcW w:w="91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FD191E">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本项目情况</w:t>
            </w:r>
          </w:p>
        </w:tc>
        <w:tc>
          <w:tcPr>
            <w:tcW w:w="19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1C1FFF">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符合性</w:t>
            </w:r>
          </w:p>
        </w:tc>
      </w:tr>
      <w:tr w14:paraId="5EBC400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81" w:type="pct"/>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CFFB6C4">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巴州区</w:t>
            </w:r>
          </w:p>
        </w:tc>
        <w:tc>
          <w:tcPr>
            <w:tcW w:w="318" w:type="pct"/>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DDFB7B8">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巴州区</w:t>
            </w:r>
          </w:p>
        </w:tc>
        <w:tc>
          <w:tcPr>
            <w:tcW w:w="69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AB6230B">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空间布局约束</w:t>
            </w:r>
          </w:p>
        </w:tc>
        <w:tc>
          <w:tcPr>
            <w:tcW w:w="2597"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9E68E21">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【限制开发建设活动的要求】</w:t>
            </w:r>
          </w:p>
          <w:p w14:paraId="51E77086">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 xml:space="preserve"> </w:t>
            </w:r>
          </w:p>
          <w:p w14:paraId="01364106">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【不符合空间布局要求活动的退出要求】</w:t>
            </w:r>
          </w:p>
          <w:p w14:paraId="490C652B">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-加强流域水污染防治，推进流域水生态环境修复与治理；
</w:t>
            </w:r>
          </w:p>
          <w:p w14:paraId="2A5543EF">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-加强城市精细化管理，提升市民对环境的幸福感、获得感。</w:t>
            </w:r>
          </w:p>
        </w:tc>
        <w:tc>
          <w:tcPr>
            <w:tcW w:w="91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CC8942A">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本项目外排废水收集处理率达100%，经下游污水处理厂处理后达标排放。</w:t>
            </w:r>
          </w:p>
        </w:tc>
        <w:tc>
          <w:tcPr>
            <w:tcW w:w="19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2825A2">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符合</w:t>
            </w:r>
          </w:p>
        </w:tc>
      </w:tr>
      <w:tr w14:paraId="1F3A07E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81"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87501C9">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318"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6B1757B">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69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52F3949">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污染物排放管控</w:t>
            </w:r>
          </w:p>
        </w:tc>
        <w:tc>
          <w:tcPr>
            <w:tcW w:w="2597"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919007D">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【新增源等量或倍量替代】</w:t>
            </w:r>
          </w:p>
          <w:p w14:paraId="672B8D14">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-加强工业园区内和园区外企业污染排放监管，推进“散乱污”企业整治；
</w:t>
            </w:r>
          </w:p>
          <w:p w14:paraId="06EEF650">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-强化扬尘源、燃烧源和移动源等大气污染防治。</w:t>
            </w:r>
          </w:p>
          <w:p w14:paraId="017B069B">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【污染物排放绩效水平准入要求】</w:t>
            </w:r>
          </w:p>
          <w:p w14:paraId="65868689">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强化建筑垃圾、生活垃圾、餐厨垃圾综合利用和无害化处置及危险废物环境风险管控。</w:t>
            </w:r>
          </w:p>
        </w:tc>
        <w:tc>
          <w:tcPr>
            <w:tcW w:w="91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7DC2AA8">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1、本项目将严格落实各项污染防治措施，实现达标排放；2、本项目</w:t>
            </w:r>
            <w:r>
              <w:rPr>
                <w:rStyle w:val="22"/>
                <w:rFonts w:hint="eastAsia" w:ascii="Times New Roman" w:hAnsi="Times New Roman" w:eastAsia="宋体" w:cs="Times New Roman"/>
                <w:color w:val="auto"/>
                <w:kern w:val="2"/>
                <w:sz w:val="21"/>
                <w:szCs w:val="21"/>
                <w:lang w:val="en-US" w:eastAsia="zh-CN" w:bidi="ar-SA"/>
              </w:rPr>
              <w:t>各类固体废物去向明确，可得到资源化利用或无害化处置，</w:t>
            </w:r>
            <w:r>
              <w:rPr>
                <w:rStyle w:val="22"/>
                <w:rFonts w:hint="eastAsia" w:ascii="Times New Roman" w:hAnsi="Times New Roman" w:eastAsia="宋体" w:cs="Times New Roman"/>
                <w:b w:val="0"/>
                <w:bCs w:val="0"/>
                <w:color w:val="auto"/>
                <w:kern w:val="2"/>
                <w:sz w:val="21"/>
                <w:szCs w:val="21"/>
                <w:lang w:val="en-US" w:eastAsia="zh-CN" w:bidi="ar-SA"/>
              </w:rPr>
              <w:t>危险废物收集、暂存、转运等过程中采取防风、防雨、防渗等有效、可靠的防范措施。</w:t>
            </w:r>
          </w:p>
        </w:tc>
        <w:tc>
          <w:tcPr>
            <w:tcW w:w="19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B0A2A1">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符合</w:t>
            </w:r>
          </w:p>
        </w:tc>
      </w:tr>
      <w:tr w14:paraId="716FBEA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81"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14A1CFC">
            <w:pPr>
              <w:rPr>
                <w:b w:val="0"/>
                <w:bCs w:val="0"/>
                <w:color w:val="auto"/>
              </w:rPr>
            </w:pPr>
          </w:p>
        </w:tc>
        <w:tc>
          <w:tcPr>
            <w:tcW w:w="318"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C8443D1">
            <w:pPr>
              <w:rPr>
                <w:b w:val="0"/>
                <w:bCs w:val="0"/>
                <w:color w:val="auto"/>
              </w:rPr>
            </w:pPr>
          </w:p>
        </w:tc>
        <w:tc>
          <w:tcPr>
            <w:tcW w:w="69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59F4C9C">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环境风险防控</w:t>
            </w:r>
          </w:p>
        </w:tc>
        <w:tc>
          <w:tcPr>
            <w:tcW w:w="2597"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EB141D3">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c>
          <w:tcPr>
            <w:tcW w:w="910"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9B36273">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c>
          <w:tcPr>
            <w:tcW w:w="19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D7E655">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r>
      <w:tr w14:paraId="5DD1848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281"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F839B75">
            <w:pPr>
              <w:rPr>
                <w:b w:val="0"/>
                <w:bCs w:val="0"/>
                <w:color w:val="auto"/>
              </w:rPr>
            </w:pPr>
          </w:p>
        </w:tc>
        <w:tc>
          <w:tcPr>
            <w:tcW w:w="318" w:type="pct"/>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FF9411B">
            <w:pPr>
              <w:rPr>
                <w:b w:val="0"/>
                <w:bCs w:val="0"/>
                <w:color w:val="auto"/>
              </w:rPr>
            </w:pPr>
          </w:p>
        </w:tc>
        <w:tc>
          <w:tcPr>
            <w:tcW w:w="694"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77ADFAB">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资源开发利用效率要求</w:t>
            </w:r>
          </w:p>
        </w:tc>
        <w:tc>
          <w:tcPr>
            <w:tcW w:w="2597" w:type="pct"/>
            <w:tcBorders>
              <w:top w:val="single" w:color="000000" w:sz="4" w:space="0"/>
              <w:left w:val="single" w:color="000000" w:sz="4" w:space="0"/>
              <w:bottom w:val="single" w:color="000000" w:sz="4" w:space="0"/>
              <w:right w:val="single" w:color="000000" w:sz="4" w:space="0"/>
            </w:tcBorders>
            <w:shd w:val="clear" w:color="auto" w:fill="auto"/>
            <w:tcMar>
              <w:top w:w="50" w:type="dxa"/>
              <w:left w:w="50" w:type="dxa"/>
              <w:bottom w:w="50" w:type="dxa"/>
              <w:right w:w="50" w:type="dxa"/>
            </w:tcMar>
            <w:vAlign w:val="center"/>
          </w:tcPr>
          <w:p w14:paraId="7FC35D29">
            <w:pPr>
              <w:pStyle w:val="42"/>
              <w:widowControl/>
              <w:spacing w:line="240" w:lineRule="auto"/>
              <w:ind w:firstLine="0" w:firstLineChars="0"/>
              <w:jc w:val="left"/>
              <w:rPr>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c>
          <w:tcPr>
            <w:tcW w:w="910" w:type="pct"/>
            <w:tcBorders>
              <w:top w:val="single" w:color="000000" w:sz="4" w:space="0"/>
              <w:left w:val="single" w:color="000000" w:sz="4" w:space="0"/>
              <w:bottom w:val="single" w:color="000000" w:sz="4" w:space="0"/>
              <w:right w:val="single" w:color="000000" w:sz="4" w:space="0"/>
            </w:tcBorders>
            <w:shd w:val="clear" w:color="auto" w:fill="auto"/>
            <w:tcMar>
              <w:top w:w="50" w:type="dxa"/>
              <w:left w:w="50" w:type="dxa"/>
              <w:bottom w:w="50" w:type="dxa"/>
              <w:right w:w="50" w:type="dxa"/>
            </w:tcMar>
            <w:vAlign w:val="center"/>
          </w:tcPr>
          <w:p w14:paraId="4AF68AB4">
            <w:pPr>
              <w:pStyle w:val="42"/>
              <w:widowControl/>
              <w:spacing w:line="240" w:lineRule="auto"/>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c>
          <w:tcPr>
            <w:tcW w:w="198" w:type="pct"/>
            <w:tcBorders>
              <w:top w:val="single" w:color="000000" w:sz="4" w:space="0"/>
              <w:left w:val="single" w:color="000000" w:sz="4" w:space="0"/>
              <w:bottom w:val="single" w:color="000000" w:sz="4" w:space="0"/>
              <w:right w:val="single" w:color="000000" w:sz="4" w:space="0"/>
            </w:tcBorders>
            <w:shd w:val="clear" w:color="auto" w:fill="auto"/>
            <w:tcMar>
              <w:top w:w="50" w:type="dxa"/>
              <w:left w:w="50" w:type="dxa"/>
              <w:bottom w:w="50" w:type="dxa"/>
              <w:right w:w="50" w:type="dxa"/>
            </w:tcMar>
            <w:vAlign w:val="center"/>
          </w:tcPr>
          <w:p w14:paraId="6D864405">
            <w:pPr>
              <w:pStyle w:val="42"/>
              <w:widowControl/>
              <w:spacing w:line="240" w:lineRule="auto"/>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r>
    </w:tbl>
    <w:p w14:paraId="1E1E14B4">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本项目与环境管控单元准入清单符合性分析</w:t>
      </w:r>
    </w:p>
    <w:tbl>
      <w:tblPr>
        <w:tblStyle w:val="20"/>
        <w:tblW w:w="14155" w:type="dxa"/>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1129"/>
        <w:gridCol w:w="1800"/>
        <w:gridCol w:w="955"/>
        <w:gridCol w:w="1022"/>
        <w:gridCol w:w="805"/>
        <w:gridCol w:w="5318"/>
        <w:gridCol w:w="2550"/>
        <w:gridCol w:w="576"/>
      </w:tblGrid>
      <w:tr w14:paraId="5C7E639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DF32953">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环境管控单元编码</w:t>
            </w:r>
          </w:p>
        </w:tc>
        <w:tc>
          <w:tcPr>
            <w:tcW w:w="180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2B8B74">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环境管控单元名称</w:t>
            </w:r>
          </w:p>
        </w:tc>
        <w:tc>
          <w:tcPr>
            <w:tcW w:w="95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E7AC465">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管控单元类型</w:t>
            </w:r>
          </w:p>
        </w:tc>
        <w:tc>
          <w:tcPr>
            <w:tcW w:w="102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6AF7B4">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所属县区</w:t>
            </w:r>
          </w:p>
        </w:tc>
        <w:tc>
          <w:tcPr>
            <w:tcW w:w="8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1D9ABE5">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管控类别</w:t>
            </w:r>
          </w:p>
        </w:tc>
        <w:tc>
          <w:tcPr>
            <w:tcW w:w="531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8D4DC59">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default" w:ascii="Times New Roman" w:hAnsi="Times New Roman" w:eastAsia="宋体" w:cs="Times New Roman"/>
                <w:b/>
                <w:bCs/>
                <w:color w:val="auto"/>
                <w:kern w:val="2"/>
                <w:sz w:val="21"/>
                <w:szCs w:val="21"/>
                <w:lang w:val="en-US" w:eastAsia="zh-CN" w:bidi="ar-SA"/>
              </w:rPr>
              <w:t>单元特性管控要求</w:t>
            </w:r>
          </w:p>
        </w:tc>
        <w:tc>
          <w:tcPr>
            <w:tcW w:w="255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600E6C2">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本项目情况</w:t>
            </w:r>
          </w:p>
        </w:tc>
        <w:tc>
          <w:tcPr>
            <w:tcW w:w="57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7BB8725">
            <w:pPr>
              <w:pStyle w:val="42"/>
              <w:widowControl/>
              <w:spacing w:line="240" w:lineRule="auto"/>
              <w:ind w:firstLine="0" w:firstLineChars="0"/>
              <w:jc w:val="center"/>
              <w:rPr>
                <w:rStyle w:val="22"/>
                <w:rFonts w:hint="default" w:ascii="Times New Roman" w:hAnsi="Times New Roman" w:eastAsia="宋体" w:cs="Times New Roman"/>
                <w:b/>
                <w:bCs/>
                <w:color w:val="auto"/>
                <w:kern w:val="2"/>
                <w:sz w:val="21"/>
                <w:szCs w:val="21"/>
                <w:lang w:val="en-US" w:eastAsia="zh-CN" w:bidi="ar-SA"/>
              </w:rPr>
            </w:pPr>
            <w:r>
              <w:rPr>
                <w:rStyle w:val="22"/>
                <w:rFonts w:hint="eastAsia" w:ascii="Times New Roman" w:hAnsi="Times New Roman" w:eastAsia="宋体" w:cs="Times New Roman"/>
                <w:b/>
                <w:bCs/>
                <w:color w:val="auto"/>
                <w:kern w:val="2"/>
                <w:sz w:val="21"/>
                <w:szCs w:val="21"/>
                <w:lang w:val="en-US" w:eastAsia="zh-CN" w:bidi="ar-SA"/>
              </w:rPr>
              <w:t>符合性</w:t>
            </w:r>
          </w:p>
        </w:tc>
      </w:tr>
      <w:tr w14:paraId="19861BD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1129"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6E586C3">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ZH51190220006</w:t>
            </w:r>
          </w:p>
        </w:tc>
        <w:tc>
          <w:tcPr>
            <w:tcW w:w="180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B689EC">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四川巴中经济开发区（核心区块、金堂区块）</w:t>
            </w:r>
          </w:p>
        </w:tc>
        <w:tc>
          <w:tcPr>
            <w:tcW w:w="955"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0D85FE4">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重点管控单元</w:t>
            </w:r>
          </w:p>
        </w:tc>
        <w:tc>
          <w:tcPr>
            <w:tcW w:w="1022"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621C342">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巴中市巴州区</w:t>
            </w:r>
          </w:p>
        </w:tc>
        <w:tc>
          <w:tcPr>
            <w:tcW w:w="8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69913F2">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空间布局约束</w:t>
            </w:r>
          </w:p>
        </w:tc>
        <w:tc>
          <w:tcPr>
            <w:tcW w:w="531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8198F9E">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【禁止开发建设活动的要求】</w:t>
            </w:r>
          </w:p>
          <w:p w14:paraId="0E4D3879">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（1）禁止引入专业电镀；禁止引入排放含铅、汞、镉、铬、砷废水的项目。
（2）禁止引入化学原药制造发酵制药类项目。
（3）禁止引入黑色金属和有色金属冶炼类项目。
（4）禁止引入多晶硅制造、基础化学原料制造、农药、合成材料制造、炸药及火工和烟火产品制造类项目。
（5）禁止引入危化品仓储项目。
（6）禁止引入含焙烧和锻炼工序的非金属制品制造类项目。
（7）在禁燃区内禁止销售、燃用高污染燃料。禁燃区内禁止新建、扩建燃用高污染燃料的设施</w:t>
            </w:r>
            <w:r>
              <w:rPr>
                <w:rStyle w:val="22"/>
                <w:rFonts w:hint="eastAsia" w:ascii="Times New Roman" w:hAnsi="Times New Roman" w:eastAsia="宋体" w:cs="Times New Roman"/>
                <w:b w:val="0"/>
                <w:bCs w:val="0"/>
                <w:color w:val="auto"/>
                <w:kern w:val="2"/>
                <w:sz w:val="21"/>
                <w:szCs w:val="21"/>
                <w:lang w:val="en-US" w:eastAsia="zh-CN" w:bidi="ar-SA"/>
              </w:rPr>
              <w:t>。</w:t>
            </w:r>
            <w:r>
              <w:rPr>
                <w:rStyle w:val="22"/>
                <w:rFonts w:hint="default" w:ascii="Times New Roman" w:hAnsi="Times New Roman" w:eastAsia="宋体" w:cs="Times New Roman"/>
                <w:b w:val="0"/>
                <w:bCs w:val="0"/>
                <w:color w:val="auto"/>
                <w:kern w:val="2"/>
                <w:sz w:val="21"/>
                <w:szCs w:val="21"/>
                <w:lang w:val="en-US" w:eastAsia="zh-CN" w:bidi="ar-SA"/>
              </w:rPr>
              <w:t>
（8）其他执行工业重点管控单元总体准入要求。</w:t>
            </w:r>
          </w:p>
          <w:p w14:paraId="207ADD48">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【限制开发建设活动的要求】</w:t>
            </w:r>
          </w:p>
          <w:p w14:paraId="6830480A">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2CE74345">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【允许开发建设活动的要求】</w:t>
            </w:r>
          </w:p>
          <w:p w14:paraId="688D219F">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w:t>
            </w:r>
          </w:p>
          <w:p w14:paraId="5C26E861">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【不符合空间布局要求活动的退出要求】</w:t>
            </w:r>
          </w:p>
          <w:p w14:paraId="74D14B7F">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3AE61E46">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【其他空间布局约束要求】</w:t>
            </w:r>
          </w:p>
          <w:p w14:paraId="34A51AAC">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w:t>
            </w:r>
          </w:p>
        </w:tc>
        <w:tc>
          <w:tcPr>
            <w:tcW w:w="255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D648272">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本项目为“C2662 专项化学用品制造”，不涉及重金属废水排放，不属于禁止引入类项目，不使用高污染燃料。</w:t>
            </w:r>
          </w:p>
        </w:tc>
        <w:tc>
          <w:tcPr>
            <w:tcW w:w="57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8A0658">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符合</w:t>
            </w:r>
          </w:p>
        </w:tc>
      </w:tr>
      <w:tr w14:paraId="7BE6717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1129"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DA77EFC">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180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9DE9EC8">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955"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05503B">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1022"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E3C9AAC">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8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4E81609">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污染物排放管控</w:t>
            </w:r>
          </w:p>
        </w:tc>
        <w:tc>
          <w:tcPr>
            <w:tcW w:w="531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BC251BA">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【现有源提标升级改造】</w:t>
            </w:r>
          </w:p>
          <w:p w14:paraId="750E5A7F">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4A3E5E72">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【新增源等量或倍量替代】</w:t>
            </w:r>
          </w:p>
          <w:p w14:paraId="17EA70A4">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4CEFBA3D">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【新增源排放标准限值】</w:t>
            </w:r>
          </w:p>
          <w:p w14:paraId="5DAFE824">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21564773">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【污染物排放绩效水平准入要求】</w:t>
            </w:r>
          </w:p>
          <w:p w14:paraId="642772C5">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1）食品饮料重点行业项目新建应参考巴中市“三线一单”生态环境分区管控中食品饮料行业环境绩效准入门槛，对食品饮料产业中的白酒行业和肉制品加工行业执行GB27631-2011行业标准和《清洁生产评价指标体系 肉制品加工业》（DB11无T 1405-2017）二级标准，单位产品废水量≤14m</w:t>
            </w:r>
            <w:r>
              <w:rPr>
                <w:rStyle w:val="22"/>
                <w:rFonts w:hint="default" w:ascii="Times New Roman" w:hAnsi="Times New Roman" w:eastAsia="宋体" w:cs="Times New Roman"/>
                <w:b w:val="0"/>
                <w:bCs w:val="0"/>
                <w:color w:val="auto"/>
                <w:kern w:val="2"/>
                <w:sz w:val="21"/>
                <w:szCs w:val="21"/>
                <w:vertAlign w:val="superscript"/>
                <w:lang w:val="en-US" w:eastAsia="zh-CN" w:bidi="ar-SA"/>
              </w:rPr>
              <w:t>3</w:t>
            </w:r>
            <w:r>
              <w:rPr>
                <w:rStyle w:val="22"/>
                <w:rFonts w:hint="eastAsia" w:ascii="Times New Roman" w:hAnsi="Times New Roman" w:eastAsia="宋体" w:cs="Times New Roman"/>
                <w:b w:val="0"/>
                <w:bCs w:val="0"/>
                <w:color w:val="auto"/>
                <w:kern w:val="2"/>
                <w:sz w:val="21"/>
                <w:szCs w:val="21"/>
                <w:vertAlign w:val="baseline"/>
                <w:lang w:val="en-US" w:eastAsia="zh-CN" w:bidi="ar-SA"/>
              </w:rPr>
              <w:t>/</w:t>
            </w:r>
            <w:r>
              <w:rPr>
                <w:rStyle w:val="22"/>
                <w:rFonts w:hint="default" w:ascii="Times New Roman" w:hAnsi="Times New Roman" w:eastAsia="宋体" w:cs="Times New Roman"/>
                <w:b w:val="0"/>
                <w:bCs w:val="0"/>
                <w:color w:val="auto"/>
                <w:kern w:val="2"/>
                <w:sz w:val="21"/>
                <w:szCs w:val="21"/>
                <w:lang w:val="en-US" w:eastAsia="zh-CN" w:bidi="ar-SA"/>
              </w:rPr>
              <w:t>t，单位产品化学需氧量（CODCr）产生量≤16.1kg</w:t>
            </w:r>
            <w:r>
              <w:rPr>
                <w:rStyle w:val="22"/>
                <w:rFonts w:hint="eastAsia" w:ascii="Times New Roman" w:hAnsi="Times New Roman" w:eastAsia="宋体" w:cs="Times New Roman"/>
                <w:b w:val="0"/>
                <w:bCs w:val="0"/>
                <w:color w:val="auto"/>
                <w:kern w:val="2"/>
                <w:sz w:val="21"/>
                <w:szCs w:val="21"/>
                <w:vertAlign w:val="baseline"/>
                <w:lang w:val="en-US" w:eastAsia="zh-CN" w:bidi="ar-SA"/>
              </w:rPr>
              <w:t>/</w:t>
            </w:r>
            <w:r>
              <w:rPr>
                <w:rStyle w:val="22"/>
                <w:rFonts w:hint="default" w:ascii="Times New Roman" w:hAnsi="Times New Roman" w:eastAsia="宋体" w:cs="Times New Roman"/>
                <w:b w:val="0"/>
                <w:bCs w:val="0"/>
                <w:color w:val="auto"/>
                <w:kern w:val="2"/>
                <w:sz w:val="21"/>
                <w:szCs w:val="21"/>
                <w:lang w:val="en-US" w:eastAsia="zh-CN" w:bidi="ar-SA"/>
              </w:rPr>
              <w:t>t、单位产品氨氮（NH</w:t>
            </w:r>
            <w:r>
              <w:rPr>
                <w:rStyle w:val="22"/>
                <w:rFonts w:hint="default" w:ascii="Times New Roman" w:hAnsi="Times New Roman" w:eastAsia="宋体" w:cs="Times New Roman"/>
                <w:b w:val="0"/>
                <w:bCs w:val="0"/>
                <w:color w:val="auto"/>
                <w:kern w:val="2"/>
                <w:sz w:val="21"/>
                <w:szCs w:val="21"/>
                <w:vertAlign w:val="subscript"/>
                <w:lang w:val="en-US" w:eastAsia="zh-CN" w:bidi="ar-SA"/>
              </w:rPr>
              <w:t>3</w:t>
            </w:r>
            <w:r>
              <w:rPr>
                <w:rStyle w:val="22"/>
                <w:rFonts w:hint="default" w:ascii="Times New Roman" w:hAnsi="Times New Roman" w:eastAsia="宋体" w:cs="Times New Roman"/>
                <w:b w:val="0"/>
                <w:bCs w:val="0"/>
                <w:color w:val="auto"/>
                <w:kern w:val="2"/>
                <w:sz w:val="21"/>
                <w:szCs w:val="21"/>
                <w:lang w:val="en-US" w:eastAsia="zh-CN" w:bidi="ar-SA"/>
              </w:rPr>
              <w:t>-N）≤0.65kg</w:t>
            </w:r>
            <w:r>
              <w:rPr>
                <w:rStyle w:val="22"/>
                <w:rFonts w:hint="eastAsia" w:ascii="Times New Roman" w:hAnsi="Times New Roman" w:eastAsia="宋体" w:cs="Times New Roman"/>
                <w:b w:val="0"/>
                <w:bCs w:val="0"/>
                <w:color w:val="auto"/>
                <w:kern w:val="2"/>
                <w:sz w:val="21"/>
                <w:szCs w:val="21"/>
                <w:vertAlign w:val="baseline"/>
                <w:lang w:val="en-US" w:eastAsia="zh-CN" w:bidi="ar-SA"/>
              </w:rPr>
              <w:t>/</w:t>
            </w:r>
            <w:r>
              <w:rPr>
                <w:rStyle w:val="22"/>
                <w:rFonts w:hint="default" w:ascii="Times New Roman" w:hAnsi="Times New Roman" w:eastAsia="宋体" w:cs="Times New Roman"/>
                <w:b w:val="0"/>
                <w:bCs w:val="0"/>
                <w:color w:val="auto"/>
                <w:kern w:val="2"/>
                <w:sz w:val="21"/>
                <w:szCs w:val="21"/>
                <w:lang w:val="en-US" w:eastAsia="zh-CN" w:bidi="ar-SA"/>
              </w:rPr>
              <w:t>t
（2）入园企业排污强度无万元工业增加值不得大于“废水量：0.036m</w:t>
            </w:r>
            <w:r>
              <w:rPr>
                <w:rStyle w:val="22"/>
                <w:rFonts w:hint="default" w:ascii="Times New Roman" w:hAnsi="Times New Roman" w:eastAsia="宋体" w:cs="Times New Roman"/>
                <w:b w:val="0"/>
                <w:bCs w:val="0"/>
                <w:color w:val="auto"/>
                <w:kern w:val="2"/>
                <w:sz w:val="21"/>
                <w:szCs w:val="21"/>
                <w:vertAlign w:val="superscript"/>
                <w:lang w:val="en-US" w:eastAsia="zh-CN" w:bidi="ar-SA"/>
              </w:rPr>
              <w:t>3</w:t>
            </w:r>
            <w:r>
              <w:rPr>
                <w:rStyle w:val="22"/>
                <w:rFonts w:hint="default" w:ascii="Times New Roman" w:hAnsi="Times New Roman" w:eastAsia="宋体" w:cs="Times New Roman"/>
                <w:b w:val="0"/>
                <w:bCs w:val="0"/>
                <w:color w:val="auto"/>
                <w:kern w:val="2"/>
                <w:sz w:val="21"/>
                <w:szCs w:val="21"/>
                <w:lang w:val="en-US" w:eastAsia="zh-CN" w:bidi="ar-SA"/>
              </w:rPr>
              <w:t>无万元工业增加值、COD：0.018kg无万元工业增加值、NH</w:t>
            </w:r>
            <w:r>
              <w:rPr>
                <w:rStyle w:val="22"/>
                <w:rFonts w:hint="default" w:ascii="Times New Roman" w:hAnsi="Times New Roman" w:eastAsia="宋体" w:cs="Times New Roman"/>
                <w:b w:val="0"/>
                <w:bCs w:val="0"/>
                <w:color w:val="auto"/>
                <w:kern w:val="2"/>
                <w:sz w:val="21"/>
                <w:szCs w:val="21"/>
                <w:vertAlign w:val="subscript"/>
                <w:lang w:val="en-US" w:eastAsia="zh-CN" w:bidi="ar-SA"/>
              </w:rPr>
              <w:t>3</w:t>
            </w:r>
            <w:r>
              <w:rPr>
                <w:rStyle w:val="22"/>
                <w:rFonts w:hint="default" w:ascii="Times New Roman" w:hAnsi="Times New Roman" w:eastAsia="宋体" w:cs="Times New Roman"/>
                <w:b w:val="0"/>
                <w:bCs w:val="0"/>
                <w:color w:val="auto"/>
                <w:kern w:val="2"/>
                <w:sz w:val="21"/>
                <w:szCs w:val="21"/>
                <w:lang w:val="en-US" w:eastAsia="zh-CN" w:bidi="ar-SA"/>
              </w:rPr>
              <w:t>-N：0.0018kg</w:t>
            </w:r>
            <w:r>
              <w:rPr>
                <w:rStyle w:val="22"/>
                <w:rFonts w:hint="eastAsia" w:ascii="Times New Roman" w:hAnsi="Times New Roman" w:eastAsia="宋体" w:cs="Times New Roman"/>
                <w:b w:val="0"/>
                <w:bCs w:val="0"/>
                <w:color w:val="auto"/>
                <w:kern w:val="2"/>
                <w:sz w:val="21"/>
                <w:szCs w:val="21"/>
                <w:vertAlign w:val="baseline"/>
                <w:lang w:val="en-US" w:eastAsia="zh-CN" w:bidi="ar-SA"/>
              </w:rPr>
              <w:t>/</w:t>
            </w:r>
            <w:r>
              <w:rPr>
                <w:rStyle w:val="22"/>
                <w:rFonts w:hint="default" w:ascii="Times New Roman" w:hAnsi="Times New Roman" w:eastAsia="宋体" w:cs="Times New Roman"/>
                <w:b w:val="0"/>
                <w:bCs w:val="0"/>
                <w:color w:val="auto"/>
                <w:kern w:val="2"/>
                <w:sz w:val="21"/>
                <w:szCs w:val="21"/>
                <w:lang w:val="en-US" w:eastAsia="zh-CN" w:bidi="ar-SA"/>
              </w:rPr>
              <w:t>万元工业增加值、TP：0.00018kg</w:t>
            </w:r>
            <w:r>
              <w:rPr>
                <w:rStyle w:val="22"/>
                <w:rFonts w:hint="eastAsia" w:ascii="Times New Roman" w:hAnsi="Times New Roman" w:eastAsia="宋体" w:cs="Times New Roman"/>
                <w:b w:val="0"/>
                <w:bCs w:val="0"/>
                <w:color w:val="auto"/>
                <w:kern w:val="2"/>
                <w:sz w:val="21"/>
                <w:szCs w:val="21"/>
                <w:vertAlign w:val="baseline"/>
                <w:lang w:val="en-US" w:eastAsia="zh-CN" w:bidi="ar-SA"/>
              </w:rPr>
              <w:t>/</w:t>
            </w:r>
            <w:r>
              <w:rPr>
                <w:rStyle w:val="22"/>
                <w:rFonts w:hint="default" w:ascii="Times New Roman" w:hAnsi="Times New Roman" w:eastAsia="宋体" w:cs="Times New Roman"/>
                <w:b w:val="0"/>
                <w:bCs w:val="0"/>
                <w:color w:val="auto"/>
                <w:kern w:val="2"/>
                <w:sz w:val="21"/>
                <w:szCs w:val="21"/>
                <w:lang w:val="en-US" w:eastAsia="zh-CN" w:bidi="ar-SA"/>
              </w:rPr>
              <w:t>万元工业增加值”。 
（3）执行工业重点管控单元总体准入要求。</w:t>
            </w:r>
          </w:p>
          <w:p w14:paraId="198EC75C">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【其他污染物排放管控要求】</w:t>
            </w:r>
          </w:p>
          <w:p w14:paraId="06ADF363">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w:t>
            </w:r>
          </w:p>
        </w:tc>
        <w:tc>
          <w:tcPr>
            <w:tcW w:w="255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BFD871B">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c>
          <w:tcPr>
            <w:tcW w:w="57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854B2C3">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r>
      <w:tr w14:paraId="3C6452F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1129"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1C1DFB4">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180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DEB0E98">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955"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3599DD7">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1022"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D6DC818">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8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19881A">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环境风险防控</w:t>
            </w:r>
          </w:p>
        </w:tc>
        <w:tc>
          <w:tcPr>
            <w:tcW w:w="531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E65FC49">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【严格管控类农用地管控要求】</w:t>
            </w:r>
          </w:p>
          <w:p w14:paraId="3B5A48E5">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3B237593">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【安全利用类农用地管控要求】</w:t>
            </w:r>
          </w:p>
          <w:p w14:paraId="2831F1E8">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7CCDB164">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【污染地块管控要求】</w:t>
            </w:r>
          </w:p>
          <w:p w14:paraId="01204BC7">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6D1CB65C">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【园区环境风险防控要求】</w:t>
            </w:r>
          </w:p>
          <w:p w14:paraId="1D9031A3">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1）园区与城区和居住区接壤的地块，禁止引入环境风险潜势大于III级及以上的项目。（2）金堂区块应考虑环境风险的区域联合防控，建立污染源头、过程处理和最终排放的“三级防控”机制。高度重视园区环境安全工作，构建“企业-园区-流域”三级防控体系，实现“事故废水不出涉事企业、不出园区管网、不进园区周边水系”的风险防控目标。
（3）其余执行工业重点管控单元总体准入要求。</w:t>
            </w:r>
          </w:p>
          <w:p w14:paraId="212B2620">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【企业环境风险防控要求】</w:t>
            </w:r>
          </w:p>
          <w:p w14:paraId="6562F985">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296E6727">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【其他环境风险防控要求】</w:t>
            </w:r>
          </w:p>
          <w:p w14:paraId="63F471FD">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w:t>
            </w:r>
          </w:p>
        </w:tc>
        <w:tc>
          <w:tcPr>
            <w:tcW w:w="255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2C6C07F">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1、本项目距最近的城区通江县城约3.2km，距最近的居住区金堂村约1.7km，项目所在地不属于与</w:t>
            </w:r>
            <w:r>
              <w:rPr>
                <w:rStyle w:val="22"/>
                <w:rFonts w:hint="default" w:ascii="Times New Roman" w:hAnsi="Times New Roman" w:eastAsia="宋体" w:cs="Times New Roman"/>
                <w:b w:val="0"/>
                <w:bCs w:val="0"/>
                <w:color w:val="auto"/>
                <w:kern w:val="2"/>
                <w:sz w:val="21"/>
                <w:szCs w:val="21"/>
                <w:lang w:val="en-US" w:eastAsia="zh-CN" w:bidi="ar-SA"/>
              </w:rPr>
              <w:t>城区和居住区接壤的地块</w:t>
            </w:r>
            <w:r>
              <w:rPr>
                <w:rStyle w:val="22"/>
                <w:rFonts w:hint="eastAsia" w:ascii="Times New Roman" w:hAnsi="Times New Roman" w:eastAsia="宋体" w:cs="Times New Roman"/>
                <w:b w:val="0"/>
                <w:bCs w:val="0"/>
                <w:color w:val="auto"/>
                <w:kern w:val="2"/>
                <w:sz w:val="21"/>
                <w:szCs w:val="21"/>
                <w:lang w:val="en-US" w:eastAsia="zh-CN" w:bidi="ar-SA"/>
              </w:rPr>
              <w:t>；2、本项目设置“生产单元-企业-园区”的三级事故废水防范体系，厂区设围堰、事故应急池，园区污水处理厂设事故应急池，可确保事故废水得到有效收集。</w:t>
            </w:r>
          </w:p>
        </w:tc>
        <w:tc>
          <w:tcPr>
            <w:tcW w:w="57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51F4423">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符合</w:t>
            </w:r>
          </w:p>
        </w:tc>
      </w:tr>
      <w:tr w14:paraId="702AAEE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c>
          <w:tcPr>
            <w:tcW w:w="1129"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9ADFAAA">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180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51BE17D">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955"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6D6D767">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1022"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0B667F6">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p>
        </w:tc>
        <w:tc>
          <w:tcPr>
            <w:tcW w:w="8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2AD4661">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资源开发利用效率要求</w:t>
            </w:r>
          </w:p>
        </w:tc>
        <w:tc>
          <w:tcPr>
            <w:tcW w:w="531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D28BD9C">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【水资源利用效率要求】</w:t>
            </w:r>
          </w:p>
          <w:p w14:paraId="17CF29A9">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3366586E">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【地下水开采要求】</w:t>
            </w:r>
          </w:p>
          <w:p w14:paraId="2F2A819A">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35C03F95">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【能源利用效率要求】</w:t>
            </w:r>
          </w:p>
          <w:p w14:paraId="42E482DA">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执行工业重点管控单元普适性管控要求。</w:t>
            </w:r>
          </w:p>
          <w:p w14:paraId="7EC3EB67">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【其他资源利用效率要求】</w:t>
            </w:r>
          </w:p>
          <w:p w14:paraId="5ECDA126">
            <w:pPr>
              <w:pStyle w:val="42"/>
              <w:widowControl/>
              <w:spacing w:line="240" w:lineRule="auto"/>
              <w:ind w:firstLine="0" w:firstLineChars="0"/>
              <w:jc w:val="left"/>
              <w:rPr>
                <w:rStyle w:val="22"/>
                <w:rFonts w:hint="default" w:ascii="Times New Roman" w:hAnsi="Times New Roman" w:eastAsia="宋体" w:cs="Times New Roman"/>
                <w:b w:val="0"/>
                <w:bCs w:val="0"/>
                <w:color w:val="auto"/>
                <w:kern w:val="2"/>
                <w:sz w:val="21"/>
                <w:szCs w:val="21"/>
                <w:lang w:val="en-US" w:eastAsia="zh-CN" w:bidi="ar-SA"/>
              </w:rPr>
            </w:pPr>
            <w:r>
              <w:rPr>
                <w:rStyle w:val="22"/>
                <w:rFonts w:hint="default" w:ascii="Times New Roman" w:hAnsi="Times New Roman" w:eastAsia="宋体" w:cs="Times New Roman"/>
                <w:b w:val="0"/>
                <w:bCs w:val="0"/>
                <w:color w:val="auto"/>
                <w:kern w:val="2"/>
                <w:sz w:val="21"/>
                <w:szCs w:val="21"/>
                <w:lang w:val="en-US" w:eastAsia="zh-CN" w:bidi="ar-SA"/>
              </w:rPr>
              <w:t>△</w:t>
            </w:r>
          </w:p>
        </w:tc>
        <w:tc>
          <w:tcPr>
            <w:tcW w:w="255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DAB7C1">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c>
          <w:tcPr>
            <w:tcW w:w="57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481F0DF">
            <w:pPr>
              <w:pStyle w:val="42"/>
              <w:widowControl/>
              <w:spacing w:line="240" w:lineRule="auto"/>
              <w:ind w:firstLine="0" w:firstLineChars="0"/>
              <w:jc w:val="center"/>
              <w:rPr>
                <w:rStyle w:val="22"/>
                <w:rFonts w:hint="default" w:ascii="Times New Roman" w:hAnsi="Times New Roman" w:eastAsia="宋体" w:cs="Times New Roman"/>
                <w:b w:val="0"/>
                <w:bCs w:val="0"/>
                <w:color w:val="auto"/>
                <w:kern w:val="2"/>
                <w:sz w:val="21"/>
                <w:szCs w:val="21"/>
                <w:lang w:val="en-US" w:eastAsia="zh-CN" w:bidi="ar-SA"/>
              </w:rPr>
            </w:pPr>
            <w:r>
              <w:rPr>
                <w:rStyle w:val="22"/>
                <w:rFonts w:hint="eastAsia" w:ascii="Times New Roman" w:hAnsi="Times New Roman" w:eastAsia="宋体" w:cs="Times New Roman"/>
                <w:b w:val="0"/>
                <w:bCs w:val="0"/>
                <w:color w:val="auto"/>
                <w:kern w:val="2"/>
                <w:sz w:val="21"/>
                <w:szCs w:val="21"/>
                <w:lang w:val="en-US" w:eastAsia="zh-CN" w:bidi="ar-SA"/>
              </w:rPr>
              <w:t>/</w:t>
            </w:r>
          </w:p>
        </w:tc>
      </w:tr>
    </w:tbl>
    <w:p w14:paraId="16DB7748">
      <w:pPr>
        <w:autoSpaceDE w:val="0"/>
        <w:autoSpaceDN w:val="0"/>
        <w:adjustRightInd w:val="0"/>
        <w:snapToGrid w:val="0"/>
        <w:spacing w:line="360" w:lineRule="auto"/>
        <w:ind w:left="0" w:leftChars="0" w:firstLine="480" w:firstLineChars="200"/>
        <w:rPr>
          <w:rFonts w:hint="eastAsia"/>
          <w:color w:val="auto"/>
          <w:sz w:val="24"/>
          <w:highlight w:val="none"/>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eastAsia" w:ascii="Times New Roman" w:hAnsi="Times New Roman" w:cs="Times New Roman"/>
          <w:color w:val="auto"/>
          <w:sz w:val="24"/>
          <w:szCs w:val="24"/>
          <w:lang w:val="en-US" w:eastAsia="zh-CN"/>
        </w:rPr>
        <w:t>根据上述分析</w:t>
      </w:r>
      <w:r>
        <w:rPr>
          <w:rFonts w:ascii="Times New Roman" w:hAnsi="Times New Roman" w:cs="Times New Roman"/>
          <w:color w:val="auto"/>
          <w:sz w:val="24"/>
          <w:szCs w:val="24"/>
        </w:rPr>
        <w:t>，本项目符合</w:t>
      </w:r>
      <w:r>
        <w:rPr>
          <w:rFonts w:hint="eastAsia"/>
          <w:color w:val="auto"/>
          <w:sz w:val="24"/>
          <w:lang w:val="en-US" w:eastAsia="zh-CN"/>
        </w:rPr>
        <w:t>巴中市生态环境分区管控</w:t>
      </w:r>
      <w:r>
        <w:rPr>
          <w:rFonts w:hint="eastAsia"/>
          <w:color w:val="auto"/>
          <w:sz w:val="24"/>
        </w:rPr>
        <w:t>相关要求</w:t>
      </w:r>
      <w:r>
        <w:rPr>
          <w:rFonts w:hint="eastAsia" w:ascii="Times New Roman" w:hAnsi="Times New Roman" w:cs="Times New Roman"/>
          <w:color w:val="auto"/>
          <w:sz w:val="24"/>
          <w:szCs w:val="24"/>
        </w:rPr>
        <w:t>。</w:t>
      </w:r>
    </w:p>
    <w:p w14:paraId="6EC91459">
      <w:pPr>
        <w:pStyle w:val="29"/>
        <w:ind w:left="0" w:leftChars="0" w:firstLine="482" w:firstLineChars="200"/>
        <w:rPr>
          <w:rFonts w:eastAsia="黑体"/>
          <w:color w:val="auto"/>
        </w:rPr>
      </w:pPr>
      <w:r>
        <w:rPr>
          <w:rFonts w:hint="eastAsia"/>
          <w:color w:val="auto"/>
          <w:lang w:val="en-US" w:eastAsia="zh-CN"/>
        </w:rPr>
        <w:t>8</w:t>
      </w:r>
      <w:r>
        <w:rPr>
          <w:rFonts w:hint="eastAsia"/>
          <w:color w:val="auto"/>
        </w:rPr>
        <w:t>、</w:t>
      </w:r>
      <w:r>
        <w:rPr>
          <w:color w:val="auto"/>
        </w:rPr>
        <w:t>与</w:t>
      </w:r>
      <w:r>
        <w:rPr>
          <w:rFonts w:hint="default" w:ascii="Times New Roman"/>
          <w:color w:val="auto"/>
          <w:sz w:val="24"/>
          <w:szCs w:val="24"/>
          <w:lang w:eastAsia="zh-CN"/>
        </w:rPr>
        <w:t>《四川省</w:t>
      </w:r>
      <w:r>
        <w:rPr>
          <w:rFonts w:hint="eastAsia"/>
          <w:color w:val="auto"/>
          <w:sz w:val="24"/>
          <w:szCs w:val="24"/>
          <w:lang w:eastAsia="zh-CN"/>
        </w:rPr>
        <w:t>“</w:t>
      </w:r>
      <w:r>
        <w:rPr>
          <w:rFonts w:hint="default" w:ascii="Times New Roman"/>
          <w:color w:val="auto"/>
          <w:sz w:val="24"/>
          <w:szCs w:val="24"/>
          <w:lang w:eastAsia="zh-CN"/>
        </w:rPr>
        <w:t>十四五</w:t>
      </w:r>
      <w:r>
        <w:rPr>
          <w:rFonts w:hint="eastAsia"/>
          <w:color w:val="auto"/>
          <w:sz w:val="24"/>
          <w:szCs w:val="24"/>
          <w:lang w:eastAsia="zh-CN"/>
        </w:rPr>
        <w:t>”</w:t>
      </w:r>
      <w:r>
        <w:rPr>
          <w:rFonts w:hint="default" w:ascii="Times New Roman"/>
          <w:color w:val="auto"/>
          <w:sz w:val="24"/>
          <w:szCs w:val="24"/>
          <w:lang w:eastAsia="zh-CN"/>
        </w:rPr>
        <w:t>生态环境保护规划》</w:t>
      </w:r>
      <w:r>
        <w:rPr>
          <w:rFonts w:hint="eastAsia"/>
          <w:color w:val="auto"/>
          <w:sz w:val="24"/>
          <w:szCs w:val="24"/>
          <w:lang w:eastAsia="zh-CN"/>
        </w:rPr>
        <w:t>、</w:t>
      </w:r>
      <w:r>
        <w:rPr>
          <w:rFonts w:ascii="宋体" w:hAnsi="宋体" w:eastAsia="宋体" w:cs="宋体"/>
          <w:color w:val="auto"/>
          <w:sz w:val="24"/>
          <w:szCs w:val="24"/>
        </w:rPr>
        <w:t>《</w:t>
      </w:r>
      <w:r>
        <w:rPr>
          <w:rFonts w:hint="eastAsia" w:ascii="宋体" w:hAnsi="宋体" w:cs="宋体"/>
          <w:color w:val="auto"/>
          <w:sz w:val="24"/>
          <w:szCs w:val="24"/>
          <w:lang w:val="en-US" w:eastAsia="zh-CN"/>
        </w:rPr>
        <w:t>巴中</w:t>
      </w:r>
      <w:r>
        <w:rPr>
          <w:rFonts w:ascii="宋体" w:hAnsi="宋体" w:eastAsia="宋体" w:cs="宋体"/>
          <w:color w:val="auto"/>
          <w:sz w:val="24"/>
          <w:szCs w:val="24"/>
        </w:rPr>
        <w:t>市</w:t>
      </w:r>
      <w:r>
        <w:rPr>
          <w:rFonts w:hint="eastAsia" w:ascii="宋体" w:hAnsi="宋体" w:cs="宋体"/>
          <w:color w:val="auto"/>
          <w:sz w:val="24"/>
          <w:szCs w:val="24"/>
          <w:lang w:eastAsia="zh-CN"/>
        </w:rPr>
        <w:t>“</w:t>
      </w:r>
      <w:r>
        <w:rPr>
          <w:rFonts w:ascii="宋体" w:hAnsi="宋体" w:eastAsia="宋体" w:cs="宋体"/>
          <w:color w:val="auto"/>
          <w:sz w:val="24"/>
          <w:szCs w:val="24"/>
        </w:rPr>
        <w:t>十四五</w:t>
      </w:r>
      <w:r>
        <w:rPr>
          <w:rFonts w:hint="eastAsia" w:ascii="宋体" w:hAnsi="宋体" w:cs="宋体"/>
          <w:color w:val="auto"/>
          <w:sz w:val="24"/>
          <w:szCs w:val="24"/>
          <w:lang w:eastAsia="zh-CN"/>
        </w:rPr>
        <w:t>”</w:t>
      </w:r>
      <w:r>
        <w:rPr>
          <w:rFonts w:ascii="宋体" w:hAnsi="宋体" w:eastAsia="宋体" w:cs="宋体"/>
          <w:color w:val="auto"/>
          <w:sz w:val="24"/>
          <w:szCs w:val="24"/>
        </w:rPr>
        <w:t>生态环境保护规划》</w:t>
      </w:r>
      <w:r>
        <w:rPr>
          <w:rFonts w:hint="eastAsia" w:ascii="宋体" w:hAnsi="宋体" w:cs="宋体"/>
          <w:color w:val="auto"/>
          <w:sz w:val="24"/>
          <w:szCs w:val="24"/>
          <w:lang w:val="en-US" w:eastAsia="zh-CN"/>
        </w:rPr>
        <w:t>符</w:t>
      </w:r>
      <w:r>
        <w:rPr>
          <w:rFonts w:hint="eastAsia"/>
          <w:color w:val="auto"/>
        </w:rPr>
        <w:t>合性</w:t>
      </w:r>
    </w:p>
    <w:p w14:paraId="6DBEA33C">
      <w:pPr>
        <w:spacing w:line="360" w:lineRule="auto"/>
        <w:ind w:left="0" w:leftChars="0" w:firstLine="480" w:firstLineChars="200"/>
        <w:rPr>
          <w:rFonts w:hint="eastAsia" w:ascii="Times New Roman"/>
          <w:color w:val="auto"/>
          <w:sz w:val="24"/>
          <w:szCs w:val="24"/>
          <w:lang w:eastAsia="zh-CN"/>
        </w:rPr>
      </w:pPr>
      <w:r>
        <w:rPr>
          <w:rFonts w:hint="eastAsia" w:ascii="Times New Roman" w:hAnsi="Times New Roman" w:cs="Times New Roman"/>
          <w:color w:val="auto"/>
          <w:sz w:val="24"/>
          <w:szCs w:val="24"/>
          <w:lang w:val="en-US" w:eastAsia="zh-CN"/>
        </w:rPr>
        <w:t>根据</w:t>
      </w:r>
      <w:r>
        <w:rPr>
          <w:rFonts w:hint="default" w:ascii="Times New Roman"/>
          <w:color w:val="auto"/>
          <w:sz w:val="24"/>
          <w:szCs w:val="24"/>
          <w:lang w:eastAsia="zh-CN"/>
        </w:rPr>
        <w:t>《四川省</w:t>
      </w:r>
      <w:r>
        <w:rPr>
          <w:rFonts w:hint="eastAsia"/>
          <w:color w:val="auto"/>
          <w:sz w:val="24"/>
          <w:szCs w:val="24"/>
          <w:lang w:eastAsia="zh-CN"/>
        </w:rPr>
        <w:t>“</w:t>
      </w:r>
      <w:r>
        <w:rPr>
          <w:rFonts w:hint="default" w:ascii="Times New Roman"/>
          <w:color w:val="auto"/>
          <w:sz w:val="24"/>
          <w:szCs w:val="24"/>
          <w:lang w:eastAsia="zh-CN"/>
        </w:rPr>
        <w:t>十四五</w:t>
      </w:r>
      <w:r>
        <w:rPr>
          <w:rFonts w:hint="eastAsia"/>
          <w:color w:val="auto"/>
          <w:sz w:val="24"/>
          <w:szCs w:val="24"/>
          <w:lang w:eastAsia="zh-CN"/>
        </w:rPr>
        <w:t>”</w:t>
      </w:r>
      <w:r>
        <w:rPr>
          <w:rFonts w:hint="default" w:ascii="Times New Roman"/>
          <w:color w:val="auto"/>
          <w:sz w:val="24"/>
          <w:szCs w:val="24"/>
          <w:lang w:eastAsia="zh-CN"/>
        </w:rPr>
        <w:t>生态环境保护规划》</w:t>
      </w:r>
      <w:r>
        <w:rPr>
          <w:rFonts w:hint="eastAsia" w:ascii="Times New Roman"/>
          <w:color w:val="auto"/>
          <w:sz w:val="24"/>
          <w:szCs w:val="24"/>
          <w:lang w:eastAsia="zh-CN"/>
        </w:rPr>
        <w:t>：</w:t>
      </w:r>
      <w:r>
        <w:rPr>
          <w:rFonts w:ascii="宋体" w:hAnsi="宋体" w:eastAsia="宋体" w:cs="宋体"/>
          <w:i/>
          <w:iCs/>
          <w:color w:val="auto"/>
          <w:sz w:val="24"/>
          <w:szCs w:val="24"/>
        </w:rPr>
        <w:t>深</w:t>
      </w:r>
      <w:r>
        <w:rPr>
          <w:rFonts w:hint="default" w:ascii="Times New Roman" w:hAnsi="Times New Roman" w:cs="Times New Roman"/>
          <w:i/>
          <w:iCs/>
          <w:color w:val="auto"/>
          <w:sz w:val="24"/>
          <w:szCs w:val="24"/>
        </w:rPr>
        <w:t>化工业源污染防治。 强化重点行业污染治理。加快火电、钢铁、水泥、焦化及燃煤工业锅炉超低排放改造。推进平板玻璃、陶瓷、铁合金、有色等重点行业深度治理。深化工业炉窑大气污染综合治理</w:t>
      </w:r>
      <w:r>
        <w:rPr>
          <w:rFonts w:hint="eastAsia" w:ascii="Times New Roman" w:hAnsi="Times New Roman" w:cs="Times New Roman"/>
          <w:i/>
          <w:iCs/>
          <w:color w:val="auto"/>
          <w:sz w:val="24"/>
          <w:szCs w:val="24"/>
          <w:lang w:eastAsia="zh-CN"/>
        </w:rPr>
        <w:t>，</w:t>
      </w:r>
      <w:r>
        <w:rPr>
          <w:rFonts w:hint="default" w:ascii="Times New Roman" w:hAnsi="Times New Roman" w:cs="Times New Roman"/>
          <w:i/>
          <w:iCs/>
          <w:color w:val="auto"/>
          <w:sz w:val="24"/>
          <w:szCs w:val="24"/>
        </w:rPr>
        <w:t>基本完成使用高污染燃料的燃料类工业炉窑清洁能源替代。全面淘汰</w:t>
      </w:r>
      <w:r>
        <w:rPr>
          <w:rFonts w:hint="eastAsia" w:ascii="Times New Roman" w:hAnsi="Times New Roman" w:cs="Times New Roman"/>
          <w:i/>
          <w:iCs/>
          <w:color w:val="auto"/>
          <w:sz w:val="24"/>
          <w:szCs w:val="24"/>
          <w:lang w:val="en-US" w:eastAsia="zh-CN"/>
        </w:rPr>
        <w:t>10</w:t>
      </w:r>
      <w:r>
        <w:rPr>
          <w:rFonts w:hint="default" w:ascii="Times New Roman" w:hAnsi="Times New Roman" w:cs="Times New Roman"/>
          <w:i/>
          <w:iCs/>
          <w:color w:val="auto"/>
          <w:sz w:val="24"/>
          <w:szCs w:val="24"/>
        </w:rPr>
        <w:t>蒸吨/小时及以下燃煤锅炉，县级及以上城市建成区原则上不再新建</w:t>
      </w:r>
      <w:r>
        <w:rPr>
          <w:rFonts w:hint="eastAsia" w:ascii="Times New Roman" w:hAnsi="Times New Roman" w:cs="Times New Roman"/>
          <w:i/>
          <w:iCs/>
          <w:color w:val="auto"/>
          <w:sz w:val="24"/>
          <w:szCs w:val="24"/>
          <w:lang w:val="en-US" w:eastAsia="zh-CN"/>
        </w:rPr>
        <w:t>35</w:t>
      </w:r>
      <w:r>
        <w:rPr>
          <w:rFonts w:hint="default" w:ascii="Times New Roman" w:hAnsi="Times New Roman" w:cs="Times New Roman"/>
          <w:i/>
          <w:iCs/>
          <w:color w:val="auto"/>
          <w:sz w:val="24"/>
          <w:szCs w:val="24"/>
        </w:rPr>
        <w:t>蒸吨/小时以下的燃煤锅炉，</w:t>
      </w:r>
      <w:r>
        <w:rPr>
          <w:rFonts w:hint="eastAsia" w:ascii="Times New Roman" w:hAnsi="Times New Roman" w:cs="Times New Roman"/>
          <w:i/>
          <w:iCs/>
          <w:color w:val="auto"/>
          <w:sz w:val="24"/>
          <w:szCs w:val="24"/>
          <w:lang w:val="en-US" w:eastAsia="zh-CN"/>
        </w:rPr>
        <w:t>65</w:t>
      </w:r>
      <w:r>
        <w:rPr>
          <w:rFonts w:hint="default" w:ascii="Times New Roman" w:hAnsi="Times New Roman" w:cs="Times New Roman"/>
          <w:i/>
          <w:iCs/>
          <w:color w:val="auto"/>
          <w:sz w:val="24"/>
          <w:szCs w:val="24"/>
        </w:rPr>
        <w:t>蒸吨/小时及以上燃煤锅炉（含电力）全面实现超低排放改造，加快推进燃气锅炉低氮燃烧改造。</w:t>
      </w:r>
      <w:r>
        <w:rPr>
          <w:rFonts w:hint="eastAsia" w:ascii="Times New Roman" w:hAnsi="Times New Roman" w:cs="Times New Roman"/>
          <w:i/>
          <w:iCs/>
          <w:color w:val="auto"/>
          <w:sz w:val="24"/>
          <w:szCs w:val="24"/>
          <w:lang w:val="en-US" w:eastAsia="zh-CN"/>
        </w:rPr>
        <w:t>......</w:t>
      </w:r>
      <w:r>
        <w:rPr>
          <w:rFonts w:hint="default" w:ascii="Times New Roman" w:hAnsi="Times New Roman" w:cs="Times New Roman"/>
          <w:i/>
          <w:iCs/>
          <w:color w:val="auto"/>
          <w:sz w:val="24"/>
          <w:szCs w:val="24"/>
        </w:rPr>
        <w:t>强化工业污水综合整治。深入实施工业企业污水处理设施升级改造，重点开展电子信息、造纸、印染、化工、酿造等行业废水专项治理，全面实现工业废水达标排放。</w:t>
      </w:r>
      <w:r>
        <w:rPr>
          <w:rFonts w:hint="eastAsia" w:ascii="Times New Roman" w:hAnsi="Times New Roman" w:cs="Times New Roman"/>
          <w:i/>
          <w:iCs/>
          <w:color w:val="auto"/>
          <w:sz w:val="24"/>
          <w:szCs w:val="24"/>
          <w:lang w:val="en-US" w:eastAsia="zh-CN"/>
        </w:rPr>
        <w:t>........强化重金属污染防控。严格涉重金属企业和园区环境准入管理，新（改、扩）建涉重金属重点行业建设项目实施等量替代或减量替代。</w:t>
      </w:r>
    </w:p>
    <w:p w14:paraId="7A6F6337">
      <w:pPr>
        <w:spacing w:line="360" w:lineRule="auto"/>
        <w:ind w:left="0" w:leftChars="0" w:firstLine="480" w:firstLineChars="200"/>
        <w:rPr>
          <w:rFonts w:hint="eastAsia" w:ascii="宋体" w:hAnsi="宋体" w:cs="宋体"/>
          <w:i/>
          <w:iCs/>
          <w:color w:val="auto"/>
          <w:sz w:val="24"/>
          <w:szCs w:val="24"/>
          <w:lang w:val="en-US" w:eastAsia="zh-CN"/>
        </w:rPr>
      </w:pPr>
      <w:r>
        <w:rPr>
          <w:rFonts w:hint="eastAsia" w:ascii="宋体" w:hAnsi="宋体" w:cs="宋体"/>
          <w:color w:val="auto"/>
          <w:sz w:val="24"/>
          <w:szCs w:val="24"/>
          <w:lang w:val="en-US" w:eastAsia="zh-CN"/>
        </w:rPr>
        <w:t>根据《巴中市“十四五”生态环境保护规划》：</w:t>
      </w:r>
      <w:r>
        <w:rPr>
          <w:rFonts w:hint="eastAsia" w:ascii="宋体" w:hAnsi="宋体" w:cs="宋体"/>
          <w:i/>
          <w:iCs/>
          <w:color w:val="auto"/>
          <w:sz w:val="24"/>
          <w:szCs w:val="24"/>
          <w:lang w:val="en-US" w:eastAsia="zh-CN"/>
        </w:rPr>
        <w:t>强化工业企业监督管理。加强工业园区基础设施建设，强化工业企业污水处理设施监督管理，严格工业企业废水排放标准，以排污许可为核心，持续开展工业企业污染源监督、检查......进一步加强重金属污染防治。严格控制涉重金属产业新增产能的快速增长，严格涉重金属行业企业环境准入管理，新(改、扩）建涉重金属重点行业建设项目实施“等量替代”或“减量替代”......确保危险废物安全处理处置。强化危险废物日常监管，落实危险废物申报登记和管理计划备案制度，建立危险废物管理台账，完善危险废物产生单位内部管理制度......加强行业、园区、企业风险防范管控。健全环境安全隐患治理制度，落实涉危、涉重、有毒有害物质等重点行业，工业园区、饮用水水源地、尾矿库等重点领域环境风险防控措施，建立环境安全隐患动态清单。落实相关企业环境风险防范主体责任。防范化解重特大突发环境事件风险，提高企业污染隐患和环境风险防范意识，督促企业健全环境应急体系和环境风险防范措施，定期开展环境应急演练，提高环境污染事故应急反应能力。建立重点环境风险企业清单，对沿河重点企业深入开展突发环境事件风险企业信息登记和信息公开，督促企业完善环境安全管理制度和环境应急设施。</w:t>
      </w:r>
    </w:p>
    <w:p w14:paraId="3C60ABA3">
      <w:pPr>
        <w:spacing w:line="360" w:lineRule="auto"/>
        <w:ind w:left="0" w:leftChars="0" w:firstLine="480" w:firstLineChars="200"/>
        <w:rPr>
          <w:rFonts w:hint="eastAsia" w:ascii="Times New Roman" w:hAnsi="Times New Roman" w:cs="Times New Roman"/>
          <w:color w:val="auto"/>
          <w:sz w:val="24"/>
          <w:szCs w:val="24"/>
          <w:lang w:eastAsia="zh-CN"/>
        </w:rPr>
      </w:pPr>
      <w:r>
        <w:rPr>
          <w:rFonts w:hint="eastAsia" w:ascii="Times New Roman"/>
          <w:color w:val="auto"/>
          <w:sz w:val="24"/>
          <w:szCs w:val="24"/>
          <w:lang w:val="en-US" w:eastAsia="zh-CN"/>
        </w:rPr>
        <w:t>本项目采用电蒸汽发生器，不涉及锅炉；本项目不涉及镉（Cd）、汞（Hg）、砷（As）、铅（Pb）、铬（Cr）五类重金属排放，且严格采取分区防渗措施；</w:t>
      </w:r>
      <w:r>
        <w:rPr>
          <w:rFonts w:hint="eastAsia" w:cs="Times New Roman"/>
          <w:b w:val="0"/>
          <w:bCs w:val="0"/>
          <w:color w:val="auto"/>
          <w:highlight w:val="none"/>
          <w:lang w:val="en-US" w:eastAsia="zh-CN"/>
        </w:rPr>
        <w:t>本项目外排废水为生活污水，经预处理达标后，依托通江县秋锦山产业园区综合污水处理厂进一步处理；本</w:t>
      </w:r>
      <w:r>
        <w:rPr>
          <w:rFonts w:hint="default" w:ascii="Times New Roman" w:hAnsi="Times New Roman" w:eastAsia="宋体" w:cs="Times New Roman"/>
          <w:color w:val="auto"/>
          <w:szCs w:val="24"/>
          <w:highlight w:val="none"/>
        </w:rPr>
        <w:t>项目存在一定风险，风险事故会对周围环境造成一定程度的影响，企业</w:t>
      </w:r>
      <w:r>
        <w:rPr>
          <w:rFonts w:hint="eastAsia" w:ascii="Times New Roman" w:hAnsi="Times New Roman" w:eastAsia="宋体" w:cs="Times New Roman"/>
          <w:color w:val="auto"/>
          <w:szCs w:val="24"/>
          <w:highlight w:val="none"/>
          <w:lang w:val="en-US" w:eastAsia="zh-CN"/>
        </w:rPr>
        <w:t>将通过</w:t>
      </w:r>
      <w:r>
        <w:rPr>
          <w:rFonts w:hint="default" w:ascii="Times New Roman" w:hAnsi="Times New Roman" w:eastAsia="宋体" w:cs="Times New Roman"/>
          <w:color w:val="auto"/>
          <w:szCs w:val="24"/>
          <w:highlight w:val="none"/>
        </w:rPr>
        <w:t>加强管理，采取必要的风险事故防范措施，杜绝有毒有害物</w:t>
      </w:r>
      <w:r>
        <w:rPr>
          <w:rFonts w:hint="default" w:ascii="Times New Roman" w:hAnsi="Times New Roman" w:cs="Times New Roman"/>
          <w:color w:val="auto"/>
          <w:highlight w:val="none"/>
        </w:rPr>
        <w:t>质泄漏及燃爆事故发生</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并将编制环境风险应急预案，</w:t>
      </w:r>
      <w:r>
        <w:rPr>
          <w:rFonts w:hint="default" w:ascii="Times New Roman" w:hAnsi="Times New Roman" w:cs="Times New Roman"/>
          <w:color w:val="auto"/>
          <w:highlight w:val="none"/>
        </w:rPr>
        <w:t>定期组织应急事故演练</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同时若一旦发生事故，则应立即启动应急预案，判断风向、及时对下风向的敏感点发布警报，并组织附近群众在短时间内进行疏散</w:t>
      </w:r>
      <w:r>
        <w:rPr>
          <w:rFonts w:hint="eastAsia"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撤离，通过采取严密的风险防范措施，项目环境分析处于可接受水平</w:t>
      </w:r>
      <w:r>
        <w:rPr>
          <w:rFonts w:hint="eastAsia" w:ascii="Times New Roman" w:hAnsi="Times New Roman" w:cs="Times New Roman"/>
          <w:color w:val="auto"/>
          <w:highlight w:val="none"/>
          <w:lang w:eastAsia="zh-CN"/>
        </w:rPr>
        <w:t>。</w:t>
      </w:r>
      <w:r>
        <w:rPr>
          <w:rFonts w:ascii="Times New Roman" w:hAnsi="Times New Roman" w:cs="Times New Roman"/>
          <w:color w:val="auto"/>
          <w:sz w:val="24"/>
          <w:szCs w:val="24"/>
        </w:rPr>
        <w:t>本项目符合</w:t>
      </w:r>
      <w:r>
        <w:rPr>
          <w:rFonts w:hint="default" w:ascii="Times New Roman"/>
          <w:color w:val="auto"/>
          <w:sz w:val="24"/>
          <w:szCs w:val="24"/>
          <w:lang w:eastAsia="zh-CN"/>
        </w:rPr>
        <w:t>《四川省</w:t>
      </w:r>
      <w:r>
        <w:rPr>
          <w:rFonts w:hint="eastAsia"/>
          <w:color w:val="auto"/>
          <w:sz w:val="24"/>
          <w:szCs w:val="24"/>
          <w:lang w:eastAsia="zh-CN"/>
        </w:rPr>
        <w:t>“</w:t>
      </w:r>
      <w:r>
        <w:rPr>
          <w:rFonts w:hint="default" w:ascii="Times New Roman"/>
          <w:color w:val="auto"/>
          <w:sz w:val="24"/>
          <w:szCs w:val="24"/>
          <w:lang w:eastAsia="zh-CN"/>
        </w:rPr>
        <w:t>十四五</w:t>
      </w:r>
      <w:r>
        <w:rPr>
          <w:rFonts w:hint="eastAsia"/>
          <w:color w:val="auto"/>
          <w:sz w:val="24"/>
          <w:szCs w:val="24"/>
          <w:lang w:eastAsia="zh-CN"/>
        </w:rPr>
        <w:t>”</w:t>
      </w:r>
      <w:r>
        <w:rPr>
          <w:rFonts w:hint="default" w:ascii="Times New Roman"/>
          <w:color w:val="auto"/>
          <w:sz w:val="24"/>
          <w:szCs w:val="24"/>
          <w:lang w:eastAsia="zh-CN"/>
        </w:rPr>
        <w:t>生态环境保护规划》</w:t>
      </w:r>
      <w:r>
        <w:rPr>
          <w:rFonts w:hint="eastAsia"/>
          <w:color w:val="auto"/>
          <w:sz w:val="24"/>
          <w:szCs w:val="24"/>
          <w:lang w:eastAsia="zh-CN"/>
        </w:rPr>
        <w:t>、</w:t>
      </w:r>
      <w:r>
        <w:rPr>
          <w:rFonts w:ascii="宋体" w:hAnsi="宋体" w:eastAsia="宋体" w:cs="宋体"/>
          <w:color w:val="auto"/>
          <w:sz w:val="24"/>
          <w:szCs w:val="24"/>
        </w:rPr>
        <w:t>《</w:t>
      </w:r>
      <w:r>
        <w:rPr>
          <w:rFonts w:hint="eastAsia" w:ascii="宋体" w:hAnsi="宋体" w:eastAsia="宋体" w:cs="宋体"/>
          <w:color w:val="auto"/>
          <w:sz w:val="24"/>
          <w:szCs w:val="24"/>
          <w:lang w:val="en-US" w:eastAsia="zh-CN"/>
        </w:rPr>
        <w:t>巴中</w:t>
      </w:r>
      <w:r>
        <w:rPr>
          <w:rFonts w:ascii="宋体" w:hAnsi="宋体" w:eastAsia="宋体" w:cs="宋体"/>
          <w:color w:val="auto"/>
          <w:sz w:val="24"/>
          <w:szCs w:val="24"/>
        </w:rPr>
        <w:t>市</w:t>
      </w:r>
      <w:r>
        <w:rPr>
          <w:rFonts w:hint="eastAsia" w:ascii="宋体" w:hAnsi="宋体" w:cs="宋体"/>
          <w:color w:val="auto"/>
          <w:sz w:val="24"/>
          <w:szCs w:val="24"/>
          <w:lang w:eastAsia="zh-CN"/>
        </w:rPr>
        <w:t>“</w:t>
      </w:r>
      <w:r>
        <w:rPr>
          <w:rFonts w:ascii="宋体" w:hAnsi="宋体" w:eastAsia="宋体" w:cs="宋体"/>
          <w:color w:val="auto"/>
          <w:sz w:val="24"/>
          <w:szCs w:val="24"/>
        </w:rPr>
        <w:t>十四五</w:t>
      </w:r>
      <w:r>
        <w:rPr>
          <w:rFonts w:hint="eastAsia" w:ascii="宋体" w:hAnsi="宋体" w:cs="宋体"/>
          <w:color w:val="auto"/>
          <w:sz w:val="24"/>
          <w:szCs w:val="24"/>
          <w:lang w:eastAsia="zh-CN"/>
        </w:rPr>
        <w:t>”</w:t>
      </w:r>
      <w:r>
        <w:rPr>
          <w:rFonts w:ascii="宋体" w:hAnsi="宋体" w:eastAsia="宋体" w:cs="宋体"/>
          <w:color w:val="auto"/>
          <w:sz w:val="24"/>
          <w:szCs w:val="24"/>
        </w:rPr>
        <w:t>生态环境保护规划》</w:t>
      </w:r>
      <w:r>
        <w:rPr>
          <w:rFonts w:hint="eastAsia" w:ascii="Times New Roman" w:hAnsi="Times New Roman" w:cs="Times New Roman"/>
          <w:color w:val="auto"/>
          <w:sz w:val="24"/>
          <w:szCs w:val="24"/>
        </w:rPr>
        <w:t>中相关要求</w:t>
      </w:r>
      <w:r>
        <w:rPr>
          <w:rFonts w:hint="eastAsia" w:ascii="Times New Roman" w:hAnsi="Times New Roman" w:cs="Times New Roman"/>
          <w:color w:val="auto"/>
          <w:sz w:val="24"/>
          <w:szCs w:val="24"/>
          <w:lang w:eastAsia="zh-CN"/>
        </w:rPr>
        <w:t>。</w:t>
      </w:r>
    </w:p>
    <w:p w14:paraId="1187DBC2">
      <w:pPr>
        <w:pStyle w:val="29"/>
        <w:ind w:left="0" w:leftChars="0" w:firstLine="482" w:firstLineChars="200"/>
        <w:rPr>
          <w:rFonts w:eastAsia="黑体"/>
          <w:color w:val="auto"/>
        </w:rPr>
      </w:pPr>
      <w:r>
        <w:rPr>
          <w:rFonts w:hint="eastAsia"/>
          <w:color w:val="auto"/>
          <w:lang w:val="en-US" w:eastAsia="zh-CN"/>
        </w:rPr>
        <w:t>9</w:t>
      </w:r>
      <w:r>
        <w:rPr>
          <w:rFonts w:hint="eastAsia"/>
          <w:color w:val="auto"/>
        </w:rPr>
        <w:t>、</w:t>
      </w:r>
      <w:r>
        <w:rPr>
          <w:color w:val="auto"/>
        </w:rPr>
        <w:t>与《</w:t>
      </w:r>
      <w:r>
        <w:rPr>
          <w:rFonts w:hint="eastAsia"/>
          <w:color w:val="auto"/>
        </w:rPr>
        <w:t>中华人民共和国长江保护法</w:t>
      </w:r>
      <w:r>
        <w:rPr>
          <w:color w:val="auto"/>
        </w:rPr>
        <w:t>》</w:t>
      </w:r>
      <w:r>
        <w:rPr>
          <w:rFonts w:hint="eastAsia"/>
          <w:color w:val="auto"/>
        </w:rPr>
        <w:t>、</w:t>
      </w:r>
      <w:r>
        <w:rPr>
          <w:rFonts w:hint="eastAsia" w:ascii="Times New Roman"/>
          <w:color w:val="auto"/>
          <w:sz w:val="24"/>
          <w:szCs w:val="24"/>
          <w:lang w:val="en-US" w:eastAsia="zh-CN"/>
        </w:rPr>
        <w:t>《长江经济带发展负面清单指南（试行，2022年版）》、《四川省、重庆市长江经济带发展负面清单实施细则（试行，2022 年版）》</w:t>
      </w:r>
      <w:r>
        <w:rPr>
          <w:rFonts w:hint="eastAsia"/>
          <w:color w:val="auto"/>
        </w:rPr>
        <w:t>符合性</w:t>
      </w:r>
    </w:p>
    <w:p w14:paraId="000C1780">
      <w:pPr>
        <w:pStyle w:val="41"/>
        <w:numPr>
          <w:ilvl w:val="0"/>
          <w:numId w:val="0"/>
        </w:numPr>
        <w:spacing w:line="360" w:lineRule="auto"/>
        <w:ind w:leftChars="0" w:firstLine="480" w:firstLineChars="200"/>
        <w:jc w:val="both"/>
        <w:rPr>
          <w:rFonts w:hint="eastAsia" w:eastAsia="黑体"/>
          <w:color w:val="auto"/>
          <w:sz w:val="21"/>
          <w:szCs w:val="21"/>
          <w:lang w:val="en-US" w:eastAsia="zh-CN"/>
        </w:rPr>
      </w:pPr>
      <w:r>
        <w:rPr>
          <w:rFonts w:hint="eastAsia" w:ascii="Times New Roman" w:hAnsi="Times New Roman" w:eastAsia="宋体" w:cs="Times New Roman"/>
          <w:color w:val="auto"/>
          <w:kern w:val="2"/>
          <w:sz w:val="24"/>
          <w:szCs w:val="24"/>
          <w:lang w:val="en-US" w:eastAsia="zh-CN" w:bidi="ar-SA"/>
        </w:rPr>
        <w:t>本项目与《中华人民共和国长江保护法》、《长江经济带发展负面清单指南（试行，2022年版）》（长江办〔2022〕7号）、《四川省、重庆市长江经济带发展负面清单实施细则（试行，2022 年版）》（川长江办〔2022〕17号）符合性分析见下表。</w:t>
      </w:r>
      <w:r>
        <w:rPr>
          <w:rFonts w:hint="eastAsia" w:eastAsia="黑体"/>
          <w:color w:val="auto"/>
          <w:sz w:val="21"/>
          <w:szCs w:val="21"/>
          <w:lang w:val="en-US" w:eastAsia="zh-CN"/>
        </w:rPr>
        <w:t xml:space="preserve"> </w:t>
      </w:r>
    </w:p>
    <w:p w14:paraId="04A1687E">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 xml:space="preserve"> 本项目与《中华人民共和国长江保护法》、《长江经济带发展负面清单指南（试行，2022年版）》、《四川省、重庆市长江经济带发展负面清单实施细则（试行，2022 年版）》符合性分析</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4658"/>
        <w:gridCol w:w="2482"/>
        <w:gridCol w:w="942"/>
      </w:tblGrid>
      <w:tr w14:paraId="2346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noWrap w:val="0"/>
            <w:vAlign w:val="center"/>
          </w:tcPr>
          <w:p w14:paraId="12A07E66">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法规、规范</w:t>
            </w:r>
          </w:p>
        </w:tc>
        <w:tc>
          <w:tcPr>
            <w:tcW w:w="2447" w:type="pct"/>
            <w:noWrap w:val="0"/>
            <w:vAlign w:val="center"/>
          </w:tcPr>
          <w:p w14:paraId="54C6F5A3">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相关要求</w:t>
            </w:r>
          </w:p>
        </w:tc>
        <w:tc>
          <w:tcPr>
            <w:tcW w:w="1304" w:type="pct"/>
            <w:noWrap w:val="0"/>
            <w:vAlign w:val="center"/>
          </w:tcPr>
          <w:p w14:paraId="561D4948">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rPr>
              <w:t>本项目</w:t>
            </w:r>
            <w:r>
              <w:rPr>
                <w:rFonts w:hint="eastAsia" w:cs="Times New Roman"/>
                <w:b/>
                <w:bCs/>
                <w:color w:val="auto"/>
                <w:highlight w:val="none"/>
                <w:lang w:val="en-US" w:eastAsia="zh-CN"/>
              </w:rPr>
              <w:t>情况</w:t>
            </w:r>
          </w:p>
        </w:tc>
        <w:tc>
          <w:tcPr>
            <w:tcW w:w="495" w:type="pct"/>
            <w:noWrap w:val="0"/>
            <w:vAlign w:val="center"/>
          </w:tcPr>
          <w:p w14:paraId="2AC05455">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符合性</w:t>
            </w:r>
          </w:p>
        </w:tc>
      </w:tr>
      <w:tr w14:paraId="462A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52" w:type="pct"/>
            <w:vMerge w:val="restart"/>
            <w:noWrap w:val="0"/>
            <w:vAlign w:val="center"/>
          </w:tcPr>
          <w:p w14:paraId="3D7E712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《中华人民共和国长江保护法》</w:t>
            </w:r>
          </w:p>
        </w:tc>
        <w:tc>
          <w:tcPr>
            <w:tcW w:w="2447" w:type="pct"/>
            <w:noWrap w:val="0"/>
            <w:vAlign w:val="center"/>
          </w:tcPr>
          <w:p w14:paraId="0BD818BD">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禁止在长江干支流岸线一公里范围内新建、扩建化工园区和化工项目。</w:t>
            </w:r>
          </w:p>
        </w:tc>
        <w:tc>
          <w:tcPr>
            <w:tcW w:w="1304" w:type="pct"/>
            <w:noWrap w:val="0"/>
            <w:vAlign w:val="center"/>
          </w:tcPr>
          <w:p w14:paraId="2DFFEE93">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本项目距通江河（长江四级支流）2650m，不在长江干支流岸线一公里范围内</w:t>
            </w:r>
            <w:r>
              <w:rPr>
                <w:rFonts w:hint="eastAsia" w:ascii="Times New Roman" w:hAnsi="Times New Roman" w:eastAsia="宋体" w:cs="Times New Roman"/>
                <w:b w:val="0"/>
                <w:bCs w:val="0"/>
                <w:color w:val="auto"/>
                <w:highlight w:val="none"/>
              </w:rPr>
              <w:t>。</w:t>
            </w:r>
          </w:p>
        </w:tc>
        <w:tc>
          <w:tcPr>
            <w:tcW w:w="495" w:type="pct"/>
            <w:vMerge w:val="restart"/>
            <w:noWrap w:val="0"/>
            <w:vAlign w:val="center"/>
          </w:tcPr>
          <w:p w14:paraId="7C74E22E">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符合</w:t>
            </w:r>
          </w:p>
        </w:tc>
      </w:tr>
      <w:tr w14:paraId="3B50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52" w:type="pct"/>
            <w:vMerge w:val="continue"/>
            <w:noWrap w:val="0"/>
            <w:vAlign w:val="center"/>
          </w:tcPr>
          <w:p w14:paraId="2FD62624">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58A0A87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禁止在长江干流岸线三公里范围内和重要支流岸线一公里范围内新建、改建、扩建尾矿库；但是以提升安全、生态环境保护水平为目的的改建除外。</w:t>
            </w:r>
          </w:p>
        </w:tc>
        <w:tc>
          <w:tcPr>
            <w:tcW w:w="1304" w:type="pct"/>
            <w:noWrap w:val="0"/>
            <w:vAlign w:val="center"/>
          </w:tcPr>
          <w:p w14:paraId="7D61E302">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不属于上述企业。</w:t>
            </w:r>
          </w:p>
        </w:tc>
        <w:tc>
          <w:tcPr>
            <w:tcW w:w="495" w:type="pct"/>
            <w:vMerge w:val="continue"/>
            <w:noWrap w:val="0"/>
            <w:vAlign w:val="center"/>
          </w:tcPr>
          <w:p w14:paraId="0887EA6E">
            <w:pPr>
              <w:jc w:val="center"/>
              <w:rPr>
                <w:color w:val="auto"/>
                <w:sz w:val="21"/>
                <w:szCs w:val="21"/>
              </w:rPr>
            </w:pPr>
          </w:p>
        </w:tc>
      </w:tr>
      <w:tr w14:paraId="2829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52" w:type="pct"/>
            <w:vMerge w:val="continue"/>
            <w:noWrap w:val="0"/>
            <w:vAlign w:val="center"/>
          </w:tcPr>
          <w:p w14:paraId="139FCF36">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35C4017E">
            <w:pPr>
              <w:pStyle w:val="24"/>
              <w:jc w:val="both"/>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磷矿开采加工、磷肥和含磷农药制造等企业，应当按照排污许可要求，采取有效措施控制总磷排放浓度和排放总量；对排污口和周边环境进行总磷监测，依法公开监测信息。</w:t>
            </w:r>
          </w:p>
        </w:tc>
        <w:tc>
          <w:tcPr>
            <w:tcW w:w="1304" w:type="pct"/>
            <w:noWrap w:val="0"/>
            <w:vAlign w:val="center"/>
          </w:tcPr>
          <w:p w14:paraId="77D70E9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不属于上述企</w:t>
            </w:r>
            <w:bookmarkStart w:id="341" w:name="_GoBack"/>
            <w:bookmarkEnd w:id="341"/>
            <w:r>
              <w:rPr>
                <w:rFonts w:hint="eastAsia" w:ascii="Times New Roman" w:hAnsi="Times New Roman" w:eastAsia="宋体" w:cs="Times New Roman"/>
                <w:b w:val="0"/>
                <w:bCs w:val="0"/>
                <w:color w:val="auto"/>
                <w:highlight w:val="none"/>
              </w:rPr>
              <w:t>业。</w:t>
            </w:r>
          </w:p>
        </w:tc>
        <w:tc>
          <w:tcPr>
            <w:tcW w:w="495" w:type="pct"/>
            <w:vMerge w:val="continue"/>
            <w:noWrap w:val="0"/>
            <w:vAlign w:val="center"/>
          </w:tcPr>
          <w:p w14:paraId="66290052">
            <w:pPr>
              <w:jc w:val="center"/>
              <w:rPr>
                <w:color w:val="auto"/>
                <w:sz w:val="21"/>
                <w:szCs w:val="21"/>
              </w:rPr>
            </w:pPr>
          </w:p>
        </w:tc>
      </w:tr>
      <w:tr w14:paraId="6C45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7F52166B">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04DFC6E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禁止在长江流域河湖管理范围内倾倒、填埋、堆放、弃置、处理固体废物。</w:t>
            </w:r>
          </w:p>
        </w:tc>
        <w:tc>
          <w:tcPr>
            <w:tcW w:w="1304" w:type="pct"/>
            <w:noWrap w:val="0"/>
            <w:vAlign w:val="center"/>
          </w:tcPr>
          <w:p w14:paraId="4FE4951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项目不涉及随意倾倒、填埋、堆放、弃置、处理固体废物。</w:t>
            </w:r>
          </w:p>
        </w:tc>
        <w:tc>
          <w:tcPr>
            <w:tcW w:w="495" w:type="pct"/>
            <w:vMerge w:val="continue"/>
            <w:noWrap w:val="0"/>
            <w:vAlign w:val="center"/>
          </w:tcPr>
          <w:p w14:paraId="050B7DE0">
            <w:pPr>
              <w:jc w:val="center"/>
              <w:rPr>
                <w:color w:val="auto"/>
                <w:sz w:val="21"/>
                <w:szCs w:val="21"/>
              </w:rPr>
            </w:pPr>
          </w:p>
        </w:tc>
      </w:tr>
      <w:tr w14:paraId="680C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restart"/>
            <w:noWrap w:val="0"/>
            <w:vAlign w:val="center"/>
          </w:tcPr>
          <w:p w14:paraId="6C07051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《长江经济带发展负面清单指南（试行，2022年版）》（长江办</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2022</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7号）</w:t>
            </w:r>
          </w:p>
        </w:tc>
        <w:tc>
          <w:tcPr>
            <w:tcW w:w="2447" w:type="pct"/>
            <w:noWrap w:val="0"/>
            <w:vAlign w:val="center"/>
          </w:tcPr>
          <w:p w14:paraId="492B0C4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1.禁止建设不符合全国和省级港口布局规划以及港口总体规划的码头项目， 禁止建设不符合《长江</w:t>
            </w:r>
            <w:r>
              <w:rPr>
                <w:rFonts w:hint="eastAsia" w:cs="Times New Roman"/>
                <w:b w:val="0"/>
                <w:bCs w:val="0"/>
                <w:color w:val="auto"/>
                <w:highlight w:val="none"/>
                <w:lang w:val="en-US" w:eastAsia="zh-CN"/>
              </w:rPr>
              <w:t>干</w:t>
            </w:r>
            <w:r>
              <w:rPr>
                <w:rFonts w:hint="eastAsia" w:ascii="Times New Roman" w:hAnsi="Times New Roman" w:eastAsia="宋体" w:cs="Times New Roman"/>
                <w:b w:val="0"/>
                <w:bCs w:val="0"/>
                <w:color w:val="auto"/>
                <w:highlight w:val="none"/>
              </w:rPr>
              <w:t>线过江通道布局规划》的过长江通道项目。</w:t>
            </w:r>
          </w:p>
        </w:tc>
        <w:tc>
          <w:tcPr>
            <w:tcW w:w="1304" w:type="pct"/>
            <w:noWrap w:val="0"/>
            <w:vAlign w:val="center"/>
          </w:tcPr>
          <w:p w14:paraId="5613190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不属于上述项目。</w:t>
            </w:r>
          </w:p>
        </w:tc>
        <w:tc>
          <w:tcPr>
            <w:tcW w:w="495" w:type="pct"/>
            <w:vMerge w:val="continue"/>
            <w:noWrap w:val="0"/>
            <w:vAlign w:val="center"/>
          </w:tcPr>
          <w:p w14:paraId="0934245D">
            <w:pPr>
              <w:jc w:val="center"/>
              <w:rPr>
                <w:color w:val="auto"/>
                <w:sz w:val="21"/>
                <w:szCs w:val="21"/>
              </w:rPr>
            </w:pPr>
          </w:p>
        </w:tc>
      </w:tr>
      <w:tr w14:paraId="1F08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409EC865">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1F8FD49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2.禁止在自然保护区核心区、缓冲区的岸线和河段范围内投资建设旅游和生产经营项目。禁止在风景名胜区核心景区的岸线和河段范围内投资建设与风景名胜资源保护无关的项目。</w:t>
            </w:r>
          </w:p>
        </w:tc>
        <w:tc>
          <w:tcPr>
            <w:tcW w:w="1304" w:type="pct"/>
            <w:noWrap w:val="0"/>
            <w:vAlign w:val="center"/>
          </w:tcPr>
          <w:p w14:paraId="1F35500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不涉及</w:t>
            </w:r>
            <w:r>
              <w:rPr>
                <w:rFonts w:hint="eastAsia" w:ascii="Times New Roman" w:hAnsi="Times New Roman" w:eastAsia="宋体" w:cs="Times New Roman"/>
                <w:b w:val="0"/>
                <w:bCs w:val="0"/>
                <w:color w:val="auto"/>
                <w:highlight w:val="none"/>
                <w:lang w:val="en-US" w:eastAsia="zh-CN"/>
              </w:rPr>
              <w:t>上述区域</w:t>
            </w:r>
            <w:r>
              <w:rPr>
                <w:rFonts w:hint="eastAsia" w:ascii="Times New Roman" w:hAnsi="Times New Roman" w:eastAsia="宋体" w:cs="Times New Roman"/>
                <w:b w:val="0"/>
                <w:bCs w:val="0"/>
                <w:color w:val="auto"/>
                <w:highlight w:val="none"/>
              </w:rPr>
              <w:t>。</w:t>
            </w:r>
          </w:p>
        </w:tc>
        <w:tc>
          <w:tcPr>
            <w:tcW w:w="495" w:type="pct"/>
            <w:vMerge w:val="continue"/>
            <w:noWrap w:val="0"/>
            <w:vAlign w:val="center"/>
          </w:tcPr>
          <w:p w14:paraId="325B43C9">
            <w:pPr>
              <w:jc w:val="center"/>
              <w:rPr>
                <w:color w:val="auto"/>
                <w:sz w:val="21"/>
                <w:szCs w:val="21"/>
              </w:rPr>
            </w:pPr>
          </w:p>
        </w:tc>
      </w:tr>
      <w:tr w14:paraId="379B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03D179B3">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3CECE75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3.禁止在饮用水水源一级保护区的岸线和河段范围内新建、改建、扩建与供水设施和保护水源无关的项目， 以及网箱养殖、畜禽养殖、旅游等可能污染饮用水水体的投资建设项目。禁止在饮用水水源二级保护区的岸线和河段范围内新建、 改建、扩建排放污染物的投资建设项目。</w:t>
            </w:r>
          </w:p>
        </w:tc>
        <w:tc>
          <w:tcPr>
            <w:tcW w:w="1304" w:type="pct"/>
            <w:noWrap w:val="0"/>
            <w:vAlign w:val="center"/>
          </w:tcPr>
          <w:p w14:paraId="4D8EDF0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不涉及饮用水水源保护区。</w:t>
            </w:r>
          </w:p>
        </w:tc>
        <w:tc>
          <w:tcPr>
            <w:tcW w:w="495" w:type="pct"/>
            <w:vMerge w:val="continue"/>
            <w:noWrap w:val="0"/>
            <w:vAlign w:val="center"/>
          </w:tcPr>
          <w:p w14:paraId="351123EE">
            <w:pPr>
              <w:jc w:val="center"/>
              <w:rPr>
                <w:color w:val="auto"/>
                <w:sz w:val="21"/>
                <w:szCs w:val="21"/>
              </w:rPr>
            </w:pPr>
          </w:p>
        </w:tc>
      </w:tr>
      <w:tr w14:paraId="2147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69211483">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127AAAB9">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4.禁止在水产种质资源保护区的岸线和河段范围内新建围湖造田、 围海造地或围填海等投资建设项目。禁止在国家湿地公园的岸线和河段范围内挖沙、采矿， 以及任何不符合主体功能定位的投资建设项目。</w:t>
            </w:r>
          </w:p>
        </w:tc>
        <w:tc>
          <w:tcPr>
            <w:tcW w:w="1304" w:type="pct"/>
            <w:noWrap w:val="0"/>
            <w:vAlign w:val="center"/>
          </w:tcPr>
          <w:p w14:paraId="1B44B25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不涉及水产种质资源保护区和国家湿地公园。</w:t>
            </w:r>
          </w:p>
        </w:tc>
        <w:tc>
          <w:tcPr>
            <w:tcW w:w="495" w:type="pct"/>
            <w:vMerge w:val="continue"/>
            <w:noWrap w:val="0"/>
            <w:vAlign w:val="center"/>
          </w:tcPr>
          <w:p w14:paraId="709FD1CC">
            <w:pPr>
              <w:jc w:val="center"/>
              <w:rPr>
                <w:color w:val="auto"/>
                <w:sz w:val="21"/>
                <w:szCs w:val="21"/>
              </w:rPr>
            </w:pPr>
          </w:p>
        </w:tc>
      </w:tr>
      <w:tr w14:paraId="39D9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78E7DBFE">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7EC93C0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5.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304" w:type="pct"/>
            <w:noWrap w:val="0"/>
            <w:vAlign w:val="center"/>
          </w:tcPr>
          <w:p w14:paraId="46FC4B7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不涉及长江流域河湖岸线，不在《长江岸线保护和开发利用总体规划》划定的岸线保护区和保留区内，不在《全国重要江河湖泊水功能区划》划定的河段及湖泊保护区、保留区内。</w:t>
            </w:r>
          </w:p>
        </w:tc>
        <w:tc>
          <w:tcPr>
            <w:tcW w:w="495" w:type="pct"/>
            <w:vMerge w:val="continue"/>
            <w:noWrap w:val="0"/>
            <w:vAlign w:val="center"/>
          </w:tcPr>
          <w:p w14:paraId="16C0F8F1">
            <w:pPr>
              <w:jc w:val="center"/>
              <w:rPr>
                <w:color w:val="auto"/>
                <w:sz w:val="21"/>
                <w:szCs w:val="21"/>
              </w:rPr>
            </w:pPr>
          </w:p>
        </w:tc>
      </w:tr>
      <w:tr w14:paraId="5DE7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59F16591">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2A08295D">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6.禁止未经许可在长江</w:t>
            </w:r>
            <w:r>
              <w:rPr>
                <w:rFonts w:hint="eastAsia" w:ascii="Times New Roman" w:hAnsi="Times New Roman" w:eastAsia="宋体" w:cs="Times New Roman"/>
                <w:b w:val="0"/>
                <w:bCs w:val="0"/>
                <w:color w:val="auto"/>
                <w:highlight w:val="none"/>
                <w:lang w:val="en-US" w:eastAsia="zh-CN"/>
              </w:rPr>
              <w:t>干</w:t>
            </w:r>
            <w:r>
              <w:rPr>
                <w:rFonts w:hint="eastAsia" w:ascii="Times New Roman" w:hAnsi="Times New Roman" w:eastAsia="宋体" w:cs="Times New Roman"/>
                <w:b w:val="0"/>
                <w:bCs w:val="0"/>
                <w:color w:val="auto"/>
                <w:highlight w:val="none"/>
              </w:rPr>
              <w:t>支流及湖泊新设、改设或扩大排污口。</w:t>
            </w:r>
          </w:p>
        </w:tc>
        <w:tc>
          <w:tcPr>
            <w:tcW w:w="1304" w:type="pct"/>
            <w:noWrap w:val="0"/>
            <w:vAlign w:val="center"/>
          </w:tcPr>
          <w:p w14:paraId="650C6130">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不涉及设置入河排污口。</w:t>
            </w:r>
          </w:p>
        </w:tc>
        <w:tc>
          <w:tcPr>
            <w:tcW w:w="495" w:type="pct"/>
            <w:vMerge w:val="continue"/>
            <w:noWrap w:val="0"/>
            <w:vAlign w:val="center"/>
          </w:tcPr>
          <w:p w14:paraId="06B47AD7">
            <w:pPr>
              <w:jc w:val="center"/>
              <w:rPr>
                <w:color w:val="auto"/>
                <w:sz w:val="21"/>
                <w:szCs w:val="21"/>
              </w:rPr>
            </w:pPr>
          </w:p>
        </w:tc>
      </w:tr>
      <w:tr w14:paraId="5D7E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6F9850A5">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6C334C9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7.禁止在</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一江一口两湖七河</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和332个水生生物保护区开展生产性捕捞。</w:t>
            </w:r>
          </w:p>
        </w:tc>
        <w:tc>
          <w:tcPr>
            <w:tcW w:w="1304" w:type="pct"/>
            <w:noWrap w:val="0"/>
            <w:vAlign w:val="center"/>
          </w:tcPr>
          <w:p w14:paraId="6C9DEF78">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不涉及</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一江一口两湖七河</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和332个水生生物保护区。</w:t>
            </w:r>
          </w:p>
        </w:tc>
        <w:tc>
          <w:tcPr>
            <w:tcW w:w="495" w:type="pct"/>
            <w:vMerge w:val="continue"/>
            <w:noWrap w:val="0"/>
            <w:vAlign w:val="center"/>
          </w:tcPr>
          <w:p w14:paraId="4EB53FEE">
            <w:pPr>
              <w:jc w:val="center"/>
              <w:rPr>
                <w:color w:val="auto"/>
                <w:sz w:val="21"/>
                <w:szCs w:val="21"/>
              </w:rPr>
            </w:pPr>
          </w:p>
        </w:tc>
      </w:tr>
      <w:tr w14:paraId="0FC8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23B678D0">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310780B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8.禁止在长江干支流、重要湖泊岸线一公里范围内新建、扩建化工园区和化工项目。禁止在长江干流岸线三公里范围内和重要支流岸线一公里范围内新建、改建、扩建尾矿库、冶炼渣库和磷石膏库， 以提升安全、生态环境保护水平为目的的改建除外。</w:t>
            </w:r>
          </w:p>
        </w:tc>
        <w:tc>
          <w:tcPr>
            <w:tcW w:w="1304" w:type="pct"/>
            <w:noWrap w:val="0"/>
            <w:vAlign w:val="center"/>
          </w:tcPr>
          <w:p w14:paraId="24DF7BC2">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本项目距通江河（长江四级支流）2650m，不在长江干支流岸线一公里范围内</w:t>
            </w:r>
            <w:r>
              <w:rPr>
                <w:rStyle w:val="22"/>
                <w:rFonts w:hint="eastAsia" w:eastAsia="宋体" w:cs="Times New Roman"/>
                <w:color w:val="auto"/>
                <w:kern w:val="2"/>
                <w:sz w:val="21"/>
                <w:szCs w:val="21"/>
                <w:lang w:val="en-US" w:eastAsia="zh-CN" w:bidi="ar-SA"/>
              </w:rPr>
              <w:t>；</w:t>
            </w:r>
            <w:r>
              <w:rPr>
                <w:rFonts w:hint="eastAsia" w:ascii="Times New Roman" w:hAnsi="Times New Roman" w:eastAsia="宋体" w:cs="Times New Roman"/>
                <w:b w:val="0"/>
                <w:bCs w:val="0"/>
                <w:color w:val="auto"/>
                <w:highlight w:val="none"/>
                <w:lang w:val="en-US" w:eastAsia="zh-CN"/>
              </w:rPr>
              <w:t>不属于</w:t>
            </w:r>
            <w:r>
              <w:rPr>
                <w:rFonts w:hint="eastAsia" w:ascii="Times New Roman" w:hAnsi="Times New Roman" w:eastAsia="宋体" w:cs="Times New Roman"/>
                <w:b w:val="0"/>
                <w:bCs w:val="0"/>
                <w:color w:val="auto"/>
                <w:highlight w:val="none"/>
              </w:rPr>
              <w:t>尾矿库、冶炼渣库和磷石膏库。</w:t>
            </w:r>
          </w:p>
        </w:tc>
        <w:tc>
          <w:tcPr>
            <w:tcW w:w="495" w:type="pct"/>
            <w:vMerge w:val="continue"/>
            <w:noWrap w:val="0"/>
            <w:vAlign w:val="center"/>
          </w:tcPr>
          <w:p w14:paraId="5C0A4145">
            <w:pPr>
              <w:jc w:val="center"/>
              <w:rPr>
                <w:color w:val="auto"/>
                <w:sz w:val="21"/>
                <w:szCs w:val="21"/>
              </w:rPr>
            </w:pPr>
          </w:p>
        </w:tc>
      </w:tr>
      <w:tr w14:paraId="030A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4DCAA7D3">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1C069B8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9.禁止在合规</w:t>
            </w:r>
            <w:r>
              <w:rPr>
                <w:rFonts w:hint="eastAsia" w:cs="Times New Roman"/>
                <w:b w:val="0"/>
                <w:bCs w:val="0"/>
                <w:color w:val="auto"/>
                <w:highlight w:val="none"/>
                <w:lang w:val="en-US" w:eastAsia="zh-CN"/>
              </w:rPr>
              <w:t>园</w:t>
            </w:r>
            <w:r>
              <w:rPr>
                <w:rFonts w:hint="eastAsia" w:ascii="Times New Roman" w:hAnsi="Times New Roman" w:eastAsia="宋体" w:cs="Times New Roman"/>
                <w:b w:val="0"/>
                <w:bCs w:val="0"/>
                <w:color w:val="auto"/>
                <w:highlight w:val="none"/>
              </w:rPr>
              <w:t>区外新建、扩建钢铁、石化、化工、焦化、建材、有色、制浆造纸等高污染项目。</w:t>
            </w:r>
          </w:p>
        </w:tc>
        <w:tc>
          <w:tcPr>
            <w:tcW w:w="1304" w:type="pct"/>
            <w:noWrap w:val="0"/>
            <w:vAlign w:val="center"/>
          </w:tcPr>
          <w:p w14:paraId="4EB2B67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本项目</w:t>
            </w:r>
            <w:r>
              <w:rPr>
                <w:rFonts w:hint="eastAsia" w:cs="Times New Roman"/>
                <w:b w:val="0"/>
                <w:bCs w:val="0"/>
                <w:color w:val="auto"/>
                <w:highlight w:val="none"/>
                <w:lang w:val="en-US" w:eastAsia="zh-CN"/>
              </w:rPr>
              <w:t>位于合规园区内，且</w:t>
            </w:r>
            <w:r>
              <w:rPr>
                <w:rFonts w:hint="eastAsia" w:ascii="Times New Roman" w:hAnsi="Times New Roman" w:eastAsia="宋体" w:cs="Times New Roman"/>
                <w:b w:val="0"/>
                <w:bCs w:val="0"/>
                <w:color w:val="auto"/>
                <w:highlight w:val="none"/>
                <w:lang w:val="en-US" w:eastAsia="zh-CN"/>
              </w:rPr>
              <w:t>不属于《环境保护综合名录（2021年版）》中高污染、高环境风险产品</w:t>
            </w:r>
            <w:r>
              <w:rPr>
                <w:rFonts w:hint="eastAsia" w:ascii="Times New Roman" w:hAnsi="Times New Roman" w:eastAsia="宋体" w:cs="Times New Roman"/>
                <w:b w:val="0"/>
                <w:bCs w:val="0"/>
                <w:color w:val="auto"/>
                <w:highlight w:val="none"/>
              </w:rPr>
              <w:t>。</w:t>
            </w:r>
          </w:p>
        </w:tc>
        <w:tc>
          <w:tcPr>
            <w:tcW w:w="495" w:type="pct"/>
            <w:vMerge w:val="continue"/>
            <w:noWrap w:val="0"/>
            <w:vAlign w:val="center"/>
          </w:tcPr>
          <w:p w14:paraId="09F0813C">
            <w:pPr>
              <w:jc w:val="center"/>
              <w:rPr>
                <w:color w:val="auto"/>
                <w:sz w:val="21"/>
                <w:szCs w:val="21"/>
              </w:rPr>
            </w:pPr>
          </w:p>
        </w:tc>
      </w:tr>
      <w:tr w14:paraId="7C3D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65EAC45E">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5F96064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10.禁止新建、扩建不符合国家石化、现代煤化工等产业布局规划的项目。</w:t>
            </w:r>
          </w:p>
        </w:tc>
        <w:tc>
          <w:tcPr>
            <w:tcW w:w="1304" w:type="pct"/>
            <w:noWrap w:val="0"/>
            <w:vAlign w:val="center"/>
          </w:tcPr>
          <w:p w14:paraId="0D49DDF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不属于上述项目。</w:t>
            </w:r>
          </w:p>
        </w:tc>
        <w:tc>
          <w:tcPr>
            <w:tcW w:w="495" w:type="pct"/>
            <w:vMerge w:val="continue"/>
            <w:noWrap w:val="0"/>
            <w:vAlign w:val="center"/>
          </w:tcPr>
          <w:p w14:paraId="632F1B46">
            <w:pPr>
              <w:jc w:val="center"/>
              <w:rPr>
                <w:color w:val="auto"/>
                <w:sz w:val="21"/>
                <w:szCs w:val="21"/>
              </w:rPr>
            </w:pPr>
          </w:p>
        </w:tc>
      </w:tr>
      <w:tr w14:paraId="21F3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33199472">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5C5E9D3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11.禁止新建、扩建法律法规和相关政策明令禁止的落后产能项目。禁止新建、扩建不符合国家产能置换要求的严重过剩产能行业的项目。禁止新建、扩建不符合要求的高耗能高排放项目。</w:t>
            </w:r>
          </w:p>
        </w:tc>
        <w:tc>
          <w:tcPr>
            <w:tcW w:w="1304" w:type="pct"/>
            <w:noWrap w:val="0"/>
            <w:vAlign w:val="center"/>
          </w:tcPr>
          <w:p w14:paraId="1456417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不属于上述项目。</w:t>
            </w:r>
          </w:p>
        </w:tc>
        <w:tc>
          <w:tcPr>
            <w:tcW w:w="495" w:type="pct"/>
            <w:vMerge w:val="continue"/>
            <w:noWrap w:val="0"/>
            <w:vAlign w:val="center"/>
          </w:tcPr>
          <w:p w14:paraId="48DB5CDC">
            <w:pPr>
              <w:jc w:val="center"/>
              <w:rPr>
                <w:color w:val="auto"/>
                <w:sz w:val="21"/>
                <w:szCs w:val="21"/>
              </w:rPr>
            </w:pPr>
          </w:p>
        </w:tc>
      </w:tr>
      <w:tr w14:paraId="3EFC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752" w:type="pct"/>
            <w:vMerge w:val="continue"/>
            <w:noWrap w:val="0"/>
            <w:vAlign w:val="center"/>
          </w:tcPr>
          <w:p w14:paraId="33C4AD73">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35D9CA40">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12.法律法规及相关政策文件有更加严格规定的从其规定。</w:t>
            </w:r>
          </w:p>
        </w:tc>
        <w:tc>
          <w:tcPr>
            <w:tcW w:w="1304" w:type="pct"/>
            <w:noWrap w:val="0"/>
            <w:vAlign w:val="center"/>
          </w:tcPr>
          <w:p w14:paraId="3A39409F">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w:t>
            </w:r>
          </w:p>
        </w:tc>
        <w:tc>
          <w:tcPr>
            <w:tcW w:w="495" w:type="pct"/>
            <w:vMerge w:val="continue"/>
            <w:noWrap w:val="0"/>
            <w:vAlign w:val="center"/>
          </w:tcPr>
          <w:p w14:paraId="2F103C15">
            <w:pPr>
              <w:jc w:val="center"/>
              <w:rPr>
                <w:color w:val="auto"/>
                <w:sz w:val="21"/>
                <w:szCs w:val="21"/>
              </w:rPr>
            </w:pPr>
          </w:p>
        </w:tc>
      </w:tr>
      <w:tr w14:paraId="0FDE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restart"/>
            <w:noWrap w:val="0"/>
            <w:vAlign w:val="center"/>
          </w:tcPr>
          <w:p w14:paraId="1856DE4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《四川省、重庆市长江经济带发展负面清单实施细则（试行，2022年版）》</w:t>
            </w:r>
          </w:p>
        </w:tc>
        <w:tc>
          <w:tcPr>
            <w:tcW w:w="2447" w:type="pct"/>
            <w:noWrap w:val="0"/>
            <w:vAlign w:val="center"/>
          </w:tcPr>
          <w:p w14:paraId="4DD090A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禁止在长江干支流、重要湖泊岸线一公里范围内新建、扩建化工园区和化工项目。</w:t>
            </w:r>
          </w:p>
        </w:tc>
        <w:tc>
          <w:tcPr>
            <w:tcW w:w="1304" w:type="pct"/>
            <w:noWrap w:val="0"/>
            <w:vAlign w:val="center"/>
          </w:tcPr>
          <w:p w14:paraId="4359FBC8">
            <w:pPr>
              <w:pStyle w:val="24"/>
              <w:rPr>
                <w:rFonts w:hint="eastAsia"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本项目距通江河（长江四级支流）2650m，不在长江干支流岸线一公里范围内</w:t>
            </w:r>
            <w:r>
              <w:rPr>
                <w:rFonts w:hint="eastAsia" w:ascii="Times New Roman" w:hAnsi="Times New Roman" w:eastAsia="宋体" w:cs="Times New Roman"/>
                <w:b w:val="0"/>
                <w:bCs w:val="0"/>
                <w:color w:val="auto"/>
                <w:highlight w:val="none"/>
              </w:rPr>
              <w:t>。</w:t>
            </w:r>
          </w:p>
        </w:tc>
        <w:tc>
          <w:tcPr>
            <w:tcW w:w="495" w:type="pct"/>
            <w:vMerge w:val="continue"/>
            <w:noWrap w:val="0"/>
            <w:vAlign w:val="center"/>
          </w:tcPr>
          <w:p w14:paraId="1D071733">
            <w:pPr>
              <w:jc w:val="center"/>
              <w:rPr>
                <w:color w:val="auto"/>
                <w:sz w:val="21"/>
                <w:szCs w:val="21"/>
              </w:rPr>
            </w:pPr>
          </w:p>
        </w:tc>
      </w:tr>
      <w:tr w14:paraId="368C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continue"/>
            <w:noWrap w:val="0"/>
            <w:vAlign w:val="center"/>
          </w:tcPr>
          <w:p w14:paraId="6F2091CF">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6FA58DB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禁止在合规园区外新建、扩建钢铁、石化、化工、焦化、建材、有色、制浆造纸等高污染项目。</w:t>
            </w:r>
          </w:p>
        </w:tc>
        <w:tc>
          <w:tcPr>
            <w:tcW w:w="1304" w:type="pct"/>
            <w:noWrap w:val="0"/>
            <w:vAlign w:val="center"/>
          </w:tcPr>
          <w:p w14:paraId="3EBDE277">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本项目</w:t>
            </w:r>
            <w:r>
              <w:rPr>
                <w:rFonts w:hint="eastAsia" w:cs="Times New Roman"/>
                <w:b w:val="0"/>
                <w:bCs w:val="0"/>
                <w:color w:val="auto"/>
                <w:highlight w:val="none"/>
                <w:lang w:val="en-US" w:eastAsia="zh-CN"/>
              </w:rPr>
              <w:t>位于合规园区内，且</w:t>
            </w:r>
            <w:r>
              <w:rPr>
                <w:rFonts w:hint="eastAsia" w:ascii="Times New Roman" w:hAnsi="Times New Roman" w:eastAsia="宋体" w:cs="Times New Roman"/>
                <w:b w:val="0"/>
                <w:bCs w:val="0"/>
                <w:color w:val="auto"/>
                <w:highlight w:val="none"/>
                <w:lang w:val="en-US" w:eastAsia="zh-CN"/>
              </w:rPr>
              <w:t>不属于《环境保护综合名录（2021年版）》中高污染、高环境风险产品</w:t>
            </w:r>
            <w:r>
              <w:rPr>
                <w:rFonts w:hint="eastAsia" w:ascii="Times New Roman" w:hAnsi="Times New Roman" w:eastAsia="宋体" w:cs="Times New Roman"/>
                <w:b w:val="0"/>
                <w:bCs w:val="0"/>
                <w:color w:val="auto"/>
                <w:highlight w:val="none"/>
              </w:rPr>
              <w:t>。</w:t>
            </w:r>
          </w:p>
        </w:tc>
        <w:tc>
          <w:tcPr>
            <w:tcW w:w="495" w:type="pct"/>
            <w:vMerge w:val="continue"/>
            <w:noWrap w:val="0"/>
            <w:vAlign w:val="center"/>
          </w:tcPr>
          <w:p w14:paraId="3E9973BB">
            <w:pPr>
              <w:jc w:val="center"/>
              <w:rPr>
                <w:color w:val="auto"/>
                <w:sz w:val="21"/>
                <w:szCs w:val="21"/>
              </w:rPr>
            </w:pPr>
          </w:p>
        </w:tc>
      </w:tr>
      <w:tr w14:paraId="0FFA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continue"/>
            <w:noWrap w:val="0"/>
            <w:vAlign w:val="center"/>
          </w:tcPr>
          <w:p w14:paraId="462BCBB9">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36EA43B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新建、扩建法律法规和相关政策明令禁止的落后产能项目。对《产业结构调整指导目录》中淘汰类项目，禁止投资；限制类的新建项目，禁止投资，对属于限制类的现有生产能力，允许企业在一定期限内采取措施改造升级。</w:t>
            </w:r>
          </w:p>
        </w:tc>
        <w:tc>
          <w:tcPr>
            <w:tcW w:w="1304" w:type="pct"/>
            <w:noWrap w:val="0"/>
            <w:vAlign w:val="center"/>
          </w:tcPr>
          <w:p w14:paraId="07A6E1B6">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项目不属于落后产能项目，且不属于《产业结构调整指导目录》中淘汰类、限制类项目。</w:t>
            </w:r>
          </w:p>
        </w:tc>
        <w:tc>
          <w:tcPr>
            <w:tcW w:w="495" w:type="pct"/>
            <w:vMerge w:val="continue"/>
            <w:noWrap w:val="0"/>
            <w:vAlign w:val="center"/>
          </w:tcPr>
          <w:p w14:paraId="6800BF05">
            <w:pPr>
              <w:jc w:val="center"/>
              <w:rPr>
                <w:color w:val="auto"/>
                <w:sz w:val="21"/>
                <w:szCs w:val="21"/>
              </w:rPr>
            </w:pPr>
          </w:p>
        </w:tc>
      </w:tr>
      <w:tr w14:paraId="55B0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continue"/>
            <w:noWrap w:val="0"/>
            <w:vAlign w:val="center"/>
          </w:tcPr>
          <w:p w14:paraId="43BFF414">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555E625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禁止新建、扩建不符合国家产能置换要求的严重过剩产能行业的项目。对于不符合国家产能置换要求的严重过剩产能行业，不得以其他任何名义、任何方式备案新增产能项目。</w:t>
            </w:r>
          </w:p>
        </w:tc>
        <w:tc>
          <w:tcPr>
            <w:tcW w:w="1304" w:type="pct"/>
            <w:noWrap w:val="0"/>
            <w:vAlign w:val="center"/>
          </w:tcPr>
          <w:p w14:paraId="7D627284">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lang w:val="en-US" w:eastAsia="zh-CN"/>
              </w:rPr>
              <w:t>本</w:t>
            </w:r>
            <w:r>
              <w:rPr>
                <w:rFonts w:hint="eastAsia" w:ascii="Times New Roman" w:hAnsi="Times New Roman" w:eastAsia="宋体" w:cs="Times New Roman"/>
                <w:b w:val="0"/>
                <w:bCs w:val="0"/>
                <w:color w:val="auto"/>
                <w:highlight w:val="none"/>
              </w:rPr>
              <w:t>项目不属于严重过剩产能行业的项目。</w:t>
            </w:r>
          </w:p>
        </w:tc>
        <w:tc>
          <w:tcPr>
            <w:tcW w:w="495" w:type="pct"/>
            <w:vMerge w:val="continue"/>
            <w:noWrap w:val="0"/>
            <w:vAlign w:val="center"/>
          </w:tcPr>
          <w:p w14:paraId="5E4DCF38">
            <w:pPr>
              <w:jc w:val="center"/>
              <w:rPr>
                <w:color w:val="auto"/>
                <w:sz w:val="21"/>
                <w:szCs w:val="21"/>
              </w:rPr>
            </w:pPr>
          </w:p>
        </w:tc>
      </w:tr>
      <w:tr w14:paraId="4B7F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continue"/>
            <w:noWrap w:val="0"/>
            <w:vAlign w:val="center"/>
          </w:tcPr>
          <w:p w14:paraId="7ACB5B8E">
            <w:pPr>
              <w:pStyle w:val="24"/>
              <w:rPr>
                <w:rFonts w:hint="eastAsia" w:ascii="Times New Roman" w:hAnsi="Times New Roman" w:eastAsia="宋体" w:cs="Times New Roman"/>
                <w:b w:val="0"/>
                <w:bCs w:val="0"/>
                <w:color w:val="auto"/>
                <w:highlight w:val="none"/>
              </w:rPr>
            </w:pPr>
          </w:p>
        </w:tc>
        <w:tc>
          <w:tcPr>
            <w:tcW w:w="2447" w:type="pct"/>
            <w:noWrap w:val="0"/>
            <w:vAlign w:val="center"/>
          </w:tcPr>
          <w:p w14:paraId="0114E7F5">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禁止新建、扩建不符合要求的高能耗、高排放、低水平项目。</w:t>
            </w:r>
          </w:p>
        </w:tc>
        <w:tc>
          <w:tcPr>
            <w:tcW w:w="1304" w:type="pct"/>
            <w:noWrap w:val="0"/>
            <w:vAlign w:val="center"/>
          </w:tcPr>
          <w:p w14:paraId="31CD8A2E">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不属于上述企业。</w:t>
            </w:r>
          </w:p>
        </w:tc>
        <w:tc>
          <w:tcPr>
            <w:tcW w:w="495" w:type="pct"/>
            <w:vMerge w:val="continue"/>
            <w:noWrap w:val="0"/>
            <w:vAlign w:val="center"/>
          </w:tcPr>
          <w:p w14:paraId="7D6110FA">
            <w:pPr>
              <w:jc w:val="center"/>
              <w:rPr>
                <w:color w:val="auto"/>
                <w:sz w:val="21"/>
                <w:szCs w:val="21"/>
              </w:rPr>
            </w:pPr>
          </w:p>
        </w:tc>
      </w:tr>
    </w:tbl>
    <w:p w14:paraId="08657375">
      <w:pPr>
        <w:adjustRightInd w:val="0"/>
        <w:spacing w:line="360" w:lineRule="auto"/>
        <w:ind w:left="0" w:leftChars="0" w:firstLine="480" w:firstLineChars="200"/>
        <w:textAlignment w:val="baseline"/>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根据上述分析，本项目符合《中华人民共和国长江保护法》、</w:t>
      </w:r>
      <w:r>
        <w:rPr>
          <w:rFonts w:hint="eastAsia" w:ascii="Times New Roman" w:hAnsi="Times New Roman" w:cs="Times New Roman"/>
          <w:color w:val="auto"/>
          <w:sz w:val="24"/>
          <w:szCs w:val="24"/>
          <w:lang w:val="en-US" w:eastAsia="zh-CN"/>
        </w:rPr>
        <w:t>《长江经济带发展负面清单指南（试行，2022年版）》、《四川省、重庆市长江经济带发展负面清单实施细则（试行，2022 年版）》</w:t>
      </w:r>
      <w:r>
        <w:rPr>
          <w:rFonts w:hint="eastAsia" w:ascii="Times New Roman" w:hAnsi="Times New Roman" w:cs="Times New Roman"/>
          <w:color w:val="auto"/>
          <w:sz w:val="24"/>
          <w:szCs w:val="24"/>
        </w:rPr>
        <w:t>的相关要求。</w:t>
      </w:r>
    </w:p>
    <w:p w14:paraId="6CDFE606">
      <w:pPr>
        <w:pStyle w:val="29"/>
        <w:ind w:left="0" w:leftChars="0" w:firstLine="482" w:firstLineChars="200"/>
        <w:rPr>
          <w:rFonts w:eastAsia="黑体"/>
          <w:color w:val="auto"/>
        </w:rPr>
      </w:pPr>
      <w:r>
        <w:rPr>
          <w:rFonts w:hint="eastAsia"/>
          <w:color w:val="auto"/>
          <w:lang w:val="en-US" w:eastAsia="zh-CN"/>
        </w:rPr>
        <w:t>10</w:t>
      </w:r>
      <w:r>
        <w:rPr>
          <w:rFonts w:hint="eastAsia"/>
          <w:color w:val="auto"/>
        </w:rPr>
        <w:t>、</w:t>
      </w:r>
      <w:r>
        <w:rPr>
          <w:color w:val="auto"/>
        </w:rPr>
        <w:t>与《</w:t>
      </w:r>
      <w:r>
        <w:rPr>
          <w:rFonts w:hint="default"/>
          <w:color w:val="auto"/>
          <w:lang w:val="en-US" w:eastAsia="zh-CN"/>
        </w:rPr>
        <w:t>四川省嘉陵江流域生态环境保护条例</w:t>
      </w:r>
      <w:r>
        <w:rPr>
          <w:color w:val="auto"/>
        </w:rPr>
        <w:t>》</w:t>
      </w:r>
      <w:r>
        <w:rPr>
          <w:rFonts w:hint="eastAsia"/>
          <w:color w:val="auto"/>
        </w:rPr>
        <w:t>符合性</w:t>
      </w:r>
    </w:p>
    <w:p w14:paraId="178593C0">
      <w:pPr>
        <w:pStyle w:val="41"/>
        <w:numPr>
          <w:ilvl w:val="0"/>
          <w:numId w:val="0"/>
        </w:numPr>
        <w:spacing w:line="360" w:lineRule="auto"/>
        <w:ind w:leftChars="0" w:firstLine="480" w:firstLineChars="200"/>
        <w:jc w:val="both"/>
        <w:rPr>
          <w:rFonts w:hint="eastAsia" w:eastAsia="黑体"/>
          <w:color w:val="auto"/>
          <w:sz w:val="21"/>
          <w:szCs w:val="21"/>
          <w:lang w:val="en-US" w:eastAsia="zh-CN"/>
        </w:rPr>
      </w:pPr>
      <w:r>
        <w:rPr>
          <w:rFonts w:hint="eastAsia" w:ascii="Times New Roman" w:hAnsi="Times New Roman" w:eastAsia="宋体" w:cs="Times New Roman"/>
          <w:color w:val="auto"/>
          <w:kern w:val="2"/>
          <w:sz w:val="24"/>
          <w:szCs w:val="24"/>
          <w:lang w:val="en-US" w:eastAsia="zh-CN" w:bidi="ar-SA"/>
        </w:rPr>
        <w:t>本项目与</w:t>
      </w:r>
      <w:r>
        <w:rPr>
          <w:color w:val="auto"/>
        </w:rPr>
        <w:t>《</w:t>
      </w:r>
      <w:r>
        <w:rPr>
          <w:rFonts w:hint="default"/>
          <w:color w:val="auto"/>
          <w:lang w:val="en-US" w:eastAsia="zh-CN"/>
        </w:rPr>
        <w:t>四川省嘉陵江流域生态环境保护条例</w:t>
      </w:r>
      <w:r>
        <w:rPr>
          <w:color w:val="auto"/>
        </w:rPr>
        <w:t>》</w:t>
      </w:r>
      <w:r>
        <w:rPr>
          <w:rFonts w:hint="eastAsia" w:ascii="Times New Roman" w:hAnsi="Times New Roman" w:eastAsia="宋体" w:cs="Times New Roman"/>
          <w:color w:val="auto"/>
          <w:kern w:val="2"/>
          <w:sz w:val="24"/>
          <w:szCs w:val="24"/>
          <w:lang w:val="en-US" w:eastAsia="zh-CN" w:bidi="ar-SA"/>
        </w:rPr>
        <w:t>符合性分析见下表。</w:t>
      </w:r>
      <w:r>
        <w:rPr>
          <w:rFonts w:hint="eastAsia" w:eastAsia="黑体"/>
          <w:color w:val="auto"/>
          <w:sz w:val="21"/>
          <w:szCs w:val="21"/>
          <w:lang w:val="en-US" w:eastAsia="zh-CN"/>
        </w:rPr>
        <w:t xml:space="preserve"> </w:t>
      </w:r>
    </w:p>
    <w:p w14:paraId="49110123">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 xml:space="preserve"> 本项目与</w:t>
      </w:r>
      <w:r>
        <w:rPr>
          <w:color w:val="auto"/>
        </w:rPr>
        <w:t>《</w:t>
      </w:r>
      <w:r>
        <w:rPr>
          <w:rFonts w:hint="default"/>
          <w:color w:val="auto"/>
          <w:lang w:val="en-US" w:eastAsia="zh-CN"/>
        </w:rPr>
        <w:t>四川省嘉陵江流域生态环境保护条例</w:t>
      </w:r>
      <w:r>
        <w:rPr>
          <w:color w:val="auto"/>
        </w:rPr>
        <w:t>》</w:t>
      </w:r>
      <w:r>
        <w:rPr>
          <w:rFonts w:hint="eastAsia" w:eastAsia="黑体"/>
          <w:color w:val="auto"/>
          <w:sz w:val="21"/>
          <w:szCs w:val="21"/>
          <w:lang w:val="en-US" w:eastAsia="zh-CN"/>
        </w:rPr>
        <w:t>符合性分析</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4965"/>
        <w:gridCol w:w="2331"/>
        <w:gridCol w:w="714"/>
      </w:tblGrid>
      <w:tr w14:paraId="49A3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vAlign w:val="center"/>
          </w:tcPr>
          <w:p w14:paraId="1BB727CD">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名称</w:t>
            </w:r>
          </w:p>
        </w:tc>
        <w:tc>
          <w:tcPr>
            <w:tcW w:w="2609" w:type="pct"/>
            <w:vAlign w:val="center"/>
          </w:tcPr>
          <w:p w14:paraId="529BA4EF">
            <w:pPr>
              <w:pStyle w:val="24"/>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相关要求</w:t>
            </w:r>
          </w:p>
        </w:tc>
        <w:tc>
          <w:tcPr>
            <w:tcW w:w="1225" w:type="pct"/>
            <w:vAlign w:val="center"/>
          </w:tcPr>
          <w:p w14:paraId="723544AF">
            <w:pPr>
              <w:pStyle w:val="24"/>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w:t>
            </w:r>
            <w:r>
              <w:rPr>
                <w:rFonts w:hint="eastAsia" w:cs="Times New Roman"/>
                <w:b/>
                <w:bCs/>
                <w:color w:val="auto"/>
                <w:highlight w:val="none"/>
                <w:lang w:val="en-US" w:eastAsia="zh-CN"/>
              </w:rPr>
              <w:t>情况</w:t>
            </w:r>
          </w:p>
        </w:tc>
        <w:tc>
          <w:tcPr>
            <w:tcW w:w="375" w:type="pct"/>
            <w:vAlign w:val="center"/>
          </w:tcPr>
          <w:p w14:paraId="65A84666">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符合性</w:t>
            </w:r>
          </w:p>
        </w:tc>
      </w:tr>
      <w:tr w14:paraId="1CB4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restart"/>
            <w:vAlign w:val="center"/>
          </w:tcPr>
          <w:p w14:paraId="55D7EDB4">
            <w:pPr>
              <w:pStyle w:val="24"/>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lang w:val="en-US" w:eastAsia="zh-CN"/>
              </w:rPr>
              <w:t>《四川省嘉陵江流域生态环境保护条例》</w:t>
            </w:r>
          </w:p>
        </w:tc>
        <w:tc>
          <w:tcPr>
            <w:tcW w:w="2609" w:type="pct"/>
            <w:vAlign w:val="center"/>
          </w:tcPr>
          <w:p w14:paraId="4DB46E62">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禁止在嘉陵江干支流岸线一公里范围内新建、扩建化工园区和化工项目。</w:t>
            </w:r>
          </w:p>
        </w:tc>
        <w:tc>
          <w:tcPr>
            <w:tcW w:w="1225" w:type="pct"/>
            <w:vMerge w:val="restart"/>
            <w:vAlign w:val="center"/>
          </w:tcPr>
          <w:p w14:paraId="52B8DBC9">
            <w:pPr>
              <w:pStyle w:val="24"/>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本项目距通江河（嘉陵江三级支流）2650m，不在</w:t>
            </w:r>
            <w:r>
              <w:rPr>
                <w:rFonts w:hint="eastAsia" w:ascii="Times New Roman" w:hAnsi="Times New Roman" w:eastAsia="宋体" w:cs="Times New Roman"/>
                <w:b w:val="0"/>
                <w:bCs w:val="0"/>
                <w:color w:val="auto"/>
                <w:highlight w:val="none"/>
              </w:rPr>
              <w:t>嘉陵江干支流岸线一公里范围内</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本项目将按照相关规定申请排污许可证，依法排污；本项目不涉及重金属</w:t>
            </w:r>
            <w:r>
              <w:rPr>
                <w:rFonts w:hint="eastAsia" w:ascii="Times New Roman" w:hAnsi="Times New Roman" w:eastAsia="宋体" w:cs="Times New Roman"/>
                <w:b w:val="0"/>
                <w:bCs w:val="0"/>
                <w:color w:val="auto"/>
                <w:highlight w:val="none"/>
              </w:rPr>
              <w:t>或者其他有毒有害物质含量超标的污水、污泥</w:t>
            </w:r>
            <w:r>
              <w:rPr>
                <w:rFonts w:hint="eastAsia" w:ascii="Times New Roman" w:hAnsi="Times New Roman" w:eastAsia="宋体" w:cs="Times New Roman"/>
                <w:b w:val="0"/>
                <w:bCs w:val="0"/>
                <w:color w:val="auto"/>
                <w:highlight w:val="none"/>
                <w:lang w:val="en-US" w:eastAsia="zh-CN"/>
              </w:rPr>
              <w:t>排放；本项目为化工项目，位于合规园区四川巴中经济开发区金堂区块（巴中曾口-金堂化工园区）内；本项目外排废水经预处理后可达到下游污水处理厂接纳标准；本项目按照HJ610-2016采取分区防渗措施；本项目化学品采用公路运输。</w:t>
            </w:r>
          </w:p>
        </w:tc>
        <w:tc>
          <w:tcPr>
            <w:tcW w:w="375" w:type="pct"/>
            <w:vMerge w:val="restart"/>
            <w:vAlign w:val="center"/>
          </w:tcPr>
          <w:p w14:paraId="7D44BD7A">
            <w:pPr>
              <w:pStyle w:val="24"/>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符合</w:t>
            </w:r>
          </w:p>
        </w:tc>
      </w:tr>
      <w:tr w14:paraId="7C9A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continue"/>
            <w:vAlign w:val="center"/>
          </w:tcPr>
          <w:p w14:paraId="5E4A8157">
            <w:pPr>
              <w:pStyle w:val="24"/>
              <w:rPr>
                <w:rFonts w:hint="default" w:ascii="Times New Roman" w:hAnsi="Times New Roman" w:eastAsia="宋体" w:cs="Times New Roman"/>
                <w:b w:val="0"/>
                <w:bCs w:val="0"/>
                <w:color w:val="auto"/>
                <w:highlight w:val="none"/>
                <w:lang w:val="en-US" w:eastAsia="zh-CN"/>
              </w:rPr>
            </w:pPr>
          </w:p>
        </w:tc>
        <w:tc>
          <w:tcPr>
            <w:tcW w:w="2609" w:type="pct"/>
            <w:vAlign w:val="center"/>
          </w:tcPr>
          <w:p w14:paraId="57AB8482">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按照国家规定实行排污许可管理的企业事业单位和其他生产经营者，应当依法向设区的市级以上地方人民政府生态环境主管部门申请取得排污许可证，按照排污许可证的规定排放污染物；禁止未取得排污许可证或者违反排污许可证的规定排放污染物。</w:t>
            </w:r>
          </w:p>
        </w:tc>
        <w:tc>
          <w:tcPr>
            <w:tcW w:w="1225" w:type="pct"/>
            <w:vMerge w:val="continue"/>
            <w:vAlign w:val="center"/>
          </w:tcPr>
          <w:p w14:paraId="06A5281D">
            <w:pPr>
              <w:pStyle w:val="24"/>
              <w:rPr>
                <w:rFonts w:hint="eastAsia" w:ascii="Times New Roman" w:hAnsi="Times New Roman" w:eastAsia="宋体" w:cs="Times New Roman"/>
                <w:b w:val="0"/>
                <w:bCs w:val="0"/>
                <w:color w:val="auto"/>
                <w:highlight w:val="none"/>
                <w:lang w:val="en-US" w:eastAsia="zh-CN"/>
              </w:rPr>
            </w:pPr>
          </w:p>
        </w:tc>
        <w:tc>
          <w:tcPr>
            <w:tcW w:w="375" w:type="pct"/>
            <w:vMerge w:val="continue"/>
            <w:vAlign w:val="center"/>
          </w:tcPr>
          <w:p w14:paraId="14F83530">
            <w:pPr>
              <w:jc w:val="center"/>
              <w:rPr>
                <w:rFonts w:ascii="Times New Roman" w:hAnsi="Times New Roman"/>
                <w:color w:val="auto"/>
                <w:szCs w:val="21"/>
              </w:rPr>
            </w:pPr>
          </w:p>
        </w:tc>
      </w:tr>
      <w:tr w14:paraId="1E87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continue"/>
            <w:vAlign w:val="center"/>
          </w:tcPr>
          <w:p w14:paraId="5759BF44">
            <w:pPr>
              <w:pStyle w:val="24"/>
              <w:rPr>
                <w:color w:val="auto"/>
              </w:rPr>
            </w:pPr>
          </w:p>
        </w:tc>
        <w:tc>
          <w:tcPr>
            <w:tcW w:w="2609" w:type="pct"/>
            <w:vAlign w:val="center"/>
          </w:tcPr>
          <w:p w14:paraId="7C8B51B3">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禁止向农用地排放重金属或者其他有毒有害物质含量超标的污水、污泥，以及可能造成土壤污染的清淤底泥、尾矿、矿渣等。</w:t>
            </w:r>
          </w:p>
        </w:tc>
        <w:tc>
          <w:tcPr>
            <w:tcW w:w="1225" w:type="pct"/>
            <w:vMerge w:val="continue"/>
            <w:vAlign w:val="center"/>
          </w:tcPr>
          <w:p w14:paraId="60A31324">
            <w:pPr>
              <w:pStyle w:val="24"/>
              <w:rPr>
                <w:rFonts w:hint="eastAsia" w:ascii="Times New Roman" w:hAnsi="Times New Roman" w:eastAsia="宋体" w:cs="Times New Roman"/>
                <w:b w:val="0"/>
                <w:bCs w:val="0"/>
                <w:color w:val="auto"/>
                <w:highlight w:val="none"/>
              </w:rPr>
            </w:pPr>
          </w:p>
        </w:tc>
        <w:tc>
          <w:tcPr>
            <w:tcW w:w="375" w:type="pct"/>
            <w:vMerge w:val="continue"/>
            <w:vAlign w:val="center"/>
          </w:tcPr>
          <w:p w14:paraId="7EDB3C83">
            <w:pPr>
              <w:pStyle w:val="24"/>
              <w:rPr>
                <w:rFonts w:hint="eastAsia" w:ascii="Times New Roman" w:hAnsi="Times New Roman" w:eastAsia="宋体" w:cs="Times New Roman"/>
                <w:b w:val="0"/>
                <w:bCs w:val="0"/>
                <w:color w:val="auto"/>
                <w:highlight w:val="none"/>
              </w:rPr>
            </w:pPr>
          </w:p>
        </w:tc>
      </w:tr>
      <w:tr w14:paraId="5C70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continue"/>
            <w:vAlign w:val="center"/>
          </w:tcPr>
          <w:p w14:paraId="6DC062C3">
            <w:pPr>
              <w:pStyle w:val="24"/>
              <w:rPr>
                <w:color w:val="auto"/>
              </w:rPr>
            </w:pPr>
          </w:p>
        </w:tc>
        <w:tc>
          <w:tcPr>
            <w:tcW w:w="2609" w:type="pct"/>
            <w:vAlign w:val="center"/>
          </w:tcPr>
          <w:p w14:paraId="40853BED">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禁止在合规园区外新建、扩建钢铁、石化化工、焦化、建材、有色金属等高污染项目。</w:t>
            </w:r>
          </w:p>
        </w:tc>
        <w:tc>
          <w:tcPr>
            <w:tcW w:w="1225" w:type="pct"/>
            <w:vMerge w:val="continue"/>
            <w:vAlign w:val="center"/>
          </w:tcPr>
          <w:p w14:paraId="5E3F9294">
            <w:pPr>
              <w:pStyle w:val="24"/>
              <w:rPr>
                <w:rFonts w:hint="eastAsia" w:ascii="Times New Roman" w:hAnsi="Times New Roman" w:eastAsia="宋体" w:cs="Times New Roman"/>
                <w:b w:val="0"/>
                <w:bCs w:val="0"/>
                <w:color w:val="auto"/>
                <w:highlight w:val="none"/>
              </w:rPr>
            </w:pPr>
          </w:p>
        </w:tc>
        <w:tc>
          <w:tcPr>
            <w:tcW w:w="375" w:type="pct"/>
            <w:vMerge w:val="continue"/>
            <w:vAlign w:val="center"/>
          </w:tcPr>
          <w:p w14:paraId="37E3A7F7">
            <w:pPr>
              <w:pStyle w:val="24"/>
              <w:rPr>
                <w:rFonts w:hint="eastAsia" w:ascii="Times New Roman" w:hAnsi="Times New Roman" w:eastAsia="宋体" w:cs="Times New Roman"/>
                <w:b w:val="0"/>
                <w:bCs w:val="0"/>
                <w:color w:val="auto"/>
                <w:highlight w:val="none"/>
              </w:rPr>
            </w:pPr>
          </w:p>
        </w:tc>
      </w:tr>
      <w:tr w14:paraId="01B7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continue"/>
            <w:vAlign w:val="center"/>
          </w:tcPr>
          <w:p w14:paraId="56DC2BAD">
            <w:pPr>
              <w:pStyle w:val="24"/>
              <w:rPr>
                <w:rFonts w:hint="eastAsia" w:ascii="Times New Roman" w:hAnsi="Times New Roman" w:eastAsia="宋体" w:cs="Times New Roman"/>
                <w:b w:val="0"/>
                <w:bCs w:val="0"/>
                <w:color w:val="auto"/>
                <w:highlight w:val="none"/>
              </w:rPr>
            </w:pPr>
          </w:p>
        </w:tc>
        <w:tc>
          <w:tcPr>
            <w:tcW w:w="2609" w:type="pct"/>
            <w:vAlign w:val="center"/>
          </w:tcPr>
          <w:p w14:paraId="5B5D763A">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排污单位对污水进行预处理后向污水集中处理设施排放的，应当符合污水集中处理设施的接纳标准。</w:t>
            </w:r>
          </w:p>
        </w:tc>
        <w:tc>
          <w:tcPr>
            <w:tcW w:w="1225" w:type="pct"/>
            <w:vMerge w:val="continue"/>
            <w:vAlign w:val="center"/>
          </w:tcPr>
          <w:p w14:paraId="67A976C3">
            <w:pPr>
              <w:pStyle w:val="24"/>
              <w:rPr>
                <w:rFonts w:hint="eastAsia" w:ascii="Times New Roman" w:hAnsi="Times New Roman" w:eastAsia="宋体" w:cs="Times New Roman"/>
                <w:b w:val="0"/>
                <w:bCs w:val="0"/>
                <w:color w:val="auto"/>
                <w:highlight w:val="none"/>
              </w:rPr>
            </w:pPr>
          </w:p>
        </w:tc>
        <w:tc>
          <w:tcPr>
            <w:tcW w:w="375" w:type="pct"/>
            <w:vMerge w:val="continue"/>
            <w:vAlign w:val="center"/>
          </w:tcPr>
          <w:p w14:paraId="5C9D43BB">
            <w:pPr>
              <w:pStyle w:val="24"/>
              <w:rPr>
                <w:rFonts w:hint="eastAsia" w:ascii="Times New Roman" w:hAnsi="Times New Roman" w:eastAsia="宋体" w:cs="Times New Roman"/>
                <w:b w:val="0"/>
                <w:bCs w:val="0"/>
                <w:color w:val="auto"/>
                <w:highlight w:val="none"/>
              </w:rPr>
            </w:pPr>
          </w:p>
        </w:tc>
      </w:tr>
      <w:tr w14:paraId="46BD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continue"/>
            <w:vAlign w:val="center"/>
          </w:tcPr>
          <w:p w14:paraId="52A237FD">
            <w:pPr>
              <w:pStyle w:val="24"/>
              <w:rPr>
                <w:rFonts w:hint="eastAsia" w:ascii="Times New Roman" w:hAnsi="Times New Roman" w:eastAsia="宋体" w:cs="Times New Roman"/>
                <w:b w:val="0"/>
                <w:bCs w:val="0"/>
                <w:color w:val="auto"/>
                <w:highlight w:val="none"/>
              </w:rPr>
            </w:pPr>
          </w:p>
        </w:tc>
        <w:tc>
          <w:tcPr>
            <w:tcW w:w="2609" w:type="pct"/>
            <w:vAlign w:val="center"/>
          </w:tcPr>
          <w:p w14:paraId="02CF800D">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化学品生产企业以及工业集聚区、矿山开采区、尾矿库、危险废物处置场、垃圾填埋场等运营、管理单位，应当采取防渗漏、防垮塌等措施，并建设地下水水质监测井进行监测，防止地下水污染。</w:t>
            </w:r>
          </w:p>
        </w:tc>
        <w:tc>
          <w:tcPr>
            <w:tcW w:w="1225" w:type="pct"/>
            <w:vMerge w:val="continue"/>
            <w:vAlign w:val="center"/>
          </w:tcPr>
          <w:p w14:paraId="18CDFC93">
            <w:pPr>
              <w:pStyle w:val="24"/>
              <w:rPr>
                <w:rFonts w:hint="eastAsia" w:ascii="Times New Roman" w:hAnsi="Times New Roman" w:eastAsia="宋体" w:cs="Times New Roman"/>
                <w:b w:val="0"/>
                <w:bCs w:val="0"/>
                <w:color w:val="auto"/>
                <w:highlight w:val="none"/>
              </w:rPr>
            </w:pPr>
          </w:p>
        </w:tc>
        <w:tc>
          <w:tcPr>
            <w:tcW w:w="375" w:type="pct"/>
            <w:vMerge w:val="continue"/>
            <w:vAlign w:val="center"/>
          </w:tcPr>
          <w:p w14:paraId="4FB707D4">
            <w:pPr>
              <w:pStyle w:val="24"/>
              <w:rPr>
                <w:rFonts w:hint="eastAsia" w:ascii="Times New Roman" w:hAnsi="Times New Roman" w:eastAsia="宋体" w:cs="Times New Roman"/>
                <w:b w:val="0"/>
                <w:bCs w:val="0"/>
                <w:color w:val="auto"/>
                <w:highlight w:val="none"/>
              </w:rPr>
            </w:pPr>
          </w:p>
        </w:tc>
      </w:tr>
      <w:tr w14:paraId="7975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90" w:type="pct"/>
            <w:vMerge w:val="continue"/>
            <w:vAlign w:val="center"/>
          </w:tcPr>
          <w:p w14:paraId="5B33428E">
            <w:pPr>
              <w:pStyle w:val="24"/>
              <w:rPr>
                <w:rFonts w:hint="eastAsia" w:ascii="Times New Roman" w:hAnsi="Times New Roman" w:eastAsia="宋体" w:cs="Times New Roman"/>
                <w:b w:val="0"/>
                <w:bCs w:val="0"/>
                <w:color w:val="auto"/>
                <w:highlight w:val="none"/>
              </w:rPr>
            </w:pPr>
          </w:p>
        </w:tc>
        <w:tc>
          <w:tcPr>
            <w:tcW w:w="2609" w:type="pct"/>
            <w:vAlign w:val="center"/>
          </w:tcPr>
          <w:p w14:paraId="4F72423C">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禁止在嘉陵江流域水上运输剧毒化学品和国家规定禁止通过内河运输的其他危险化学品。</w:t>
            </w:r>
          </w:p>
        </w:tc>
        <w:tc>
          <w:tcPr>
            <w:tcW w:w="1225" w:type="pct"/>
            <w:vMerge w:val="continue"/>
            <w:vAlign w:val="center"/>
          </w:tcPr>
          <w:p w14:paraId="69D89E2C">
            <w:pPr>
              <w:pStyle w:val="24"/>
              <w:rPr>
                <w:rFonts w:hint="eastAsia" w:ascii="Times New Roman" w:hAnsi="Times New Roman" w:eastAsia="宋体" w:cs="Times New Roman"/>
                <w:b w:val="0"/>
                <w:bCs w:val="0"/>
                <w:color w:val="auto"/>
                <w:highlight w:val="none"/>
              </w:rPr>
            </w:pPr>
          </w:p>
        </w:tc>
        <w:tc>
          <w:tcPr>
            <w:tcW w:w="375" w:type="pct"/>
            <w:vMerge w:val="continue"/>
            <w:vAlign w:val="center"/>
          </w:tcPr>
          <w:p w14:paraId="194A3C50">
            <w:pPr>
              <w:pStyle w:val="24"/>
              <w:rPr>
                <w:rFonts w:hint="eastAsia" w:ascii="Times New Roman" w:hAnsi="Times New Roman" w:eastAsia="宋体" w:cs="Times New Roman"/>
                <w:b w:val="0"/>
                <w:bCs w:val="0"/>
                <w:color w:val="auto"/>
                <w:highlight w:val="none"/>
              </w:rPr>
            </w:pPr>
          </w:p>
        </w:tc>
      </w:tr>
    </w:tbl>
    <w:p w14:paraId="53A65B00">
      <w:pPr>
        <w:adjustRightInd w:val="0"/>
        <w:spacing w:line="360" w:lineRule="auto"/>
        <w:ind w:left="0" w:leftChars="0" w:firstLine="480" w:firstLineChars="200"/>
        <w:textAlignment w:val="baseline"/>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根据上述分析，本项目符合</w:t>
      </w:r>
      <w:r>
        <w:rPr>
          <w:color w:val="auto"/>
        </w:rPr>
        <w:t>《</w:t>
      </w:r>
      <w:r>
        <w:rPr>
          <w:rFonts w:hint="default"/>
          <w:color w:val="auto"/>
          <w:lang w:val="en-US" w:eastAsia="zh-CN"/>
        </w:rPr>
        <w:t>四川省嘉陵江流域生态环境保护条例</w:t>
      </w:r>
      <w:r>
        <w:rPr>
          <w:color w:val="auto"/>
        </w:rPr>
        <w:t>》</w:t>
      </w:r>
      <w:r>
        <w:rPr>
          <w:rFonts w:hint="eastAsia" w:ascii="Times New Roman" w:hAnsi="Times New Roman" w:cs="Times New Roman"/>
          <w:color w:val="auto"/>
          <w:sz w:val="24"/>
          <w:szCs w:val="24"/>
        </w:rPr>
        <w:t>的相关要求。</w:t>
      </w:r>
    </w:p>
    <w:p w14:paraId="29552BF7">
      <w:pPr>
        <w:pStyle w:val="29"/>
        <w:ind w:left="0" w:leftChars="0" w:firstLine="482" w:firstLineChars="200"/>
        <w:rPr>
          <w:rFonts w:hint="default" w:eastAsia="宋体"/>
          <w:color w:val="auto"/>
          <w:lang w:val="en-US" w:eastAsia="zh-CN"/>
        </w:rPr>
      </w:pPr>
      <w:r>
        <w:rPr>
          <w:rFonts w:hint="eastAsia"/>
          <w:color w:val="auto"/>
          <w:lang w:val="en-US" w:eastAsia="zh-CN"/>
        </w:rPr>
        <w:t>11</w:t>
      </w:r>
      <w:r>
        <w:rPr>
          <w:rFonts w:hint="eastAsia" w:eastAsia="宋体"/>
          <w:color w:val="auto"/>
          <w:lang w:val="en-US" w:eastAsia="zh-CN"/>
        </w:rPr>
        <w:t>、与《关于加强高耗能、高排放建设项目生态环境源头防控的指导意见》符合性</w:t>
      </w:r>
    </w:p>
    <w:p w14:paraId="65DA9C7D">
      <w:pPr>
        <w:adjustRightInd w:val="0"/>
        <w:spacing w:line="360" w:lineRule="auto"/>
        <w:ind w:left="0" w:leftChars="0" w:firstLine="480" w:firstLineChars="200"/>
        <w:textAlignment w:val="baseline"/>
        <w:rPr>
          <w:rFonts w:hint="eastAsia" w:ascii="Times New Roman" w:hAnsi="Times New Roman" w:cs="Times New Roman"/>
          <w:color w:val="auto"/>
          <w:sz w:val="24"/>
          <w:szCs w:val="24"/>
        </w:rPr>
      </w:pPr>
      <w:r>
        <w:rPr>
          <w:rFonts w:ascii="Times New Roman" w:hAnsi="Times New Roman" w:cs="Times New Roman"/>
          <w:color w:val="auto"/>
          <w:sz w:val="24"/>
          <w:szCs w:val="24"/>
        </w:rPr>
        <w:t>本项目</w:t>
      </w:r>
      <w:r>
        <w:rPr>
          <w:rFonts w:hint="eastAsia" w:ascii="Times New Roman" w:hAnsi="Times New Roman" w:cs="Times New Roman"/>
          <w:color w:val="auto"/>
          <w:sz w:val="24"/>
          <w:szCs w:val="24"/>
        </w:rPr>
        <w:t>与</w:t>
      </w:r>
      <w:r>
        <w:rPr>
          <w:rFonts w:hint="eastAsia" w:eastAsia="宋体"/>
          <w:color w:val="auto"/>
          <w:lang w:val="en-US" w:eastAsia="zh-CN"/>
        </w:rPr>
        <w:t>《关于加强高耗能、高排放建设项目生态环境源头防控的指导意见》（环环评〔2021〕45号）</w:t>
      </w:r>
      <w:r>
        <w:rPr>
          <w:rFonts w:hint="eastAsia" w:ascii="Times New Roman" w:hAnsi="Times New Roman" w:cs="Times New Roman"/>
          <w:color w:val="auto"/>
          <w:sz w:val="24"/>
          <w:szCs w:val="24"/>
        </w:rPr>
        <w:t>符合性分析见</w:t>
      </w:r>
      <w:r>
        <w:rPr>
          <w:rFonts w:hint="eastAsia" w:cs="Times New Roman"/>
          <w:color w:val="auto"/>
          <w:sz w:val="24"/>
          <w:szCs w:val="24"/>
          <w:lang w:val="en-US" w:eastAsia="zh-CN"/>
        </w:rPr>
        <w:t>下</w:t>
      </w:r>
      <w:r>
        <w:rPr>
          <w:rFonts w:hint="eastAsia" w:ascii="Times New Roman" w:hAnsi="Times New Roman" w:cs="Times New Roman"/>
          <w:color w:val="auto"/>
          <w:sz w:val="24"/>
          <w:szCs w:val="24"/>
        </w:rPr>
        <w:t>表。</w:t>
      </w:r>
    </w:p>
    <w:p w14:paraId="1DF585D7">
      <w:pPr>
        <w:pStyle w:val="41"/>
        <w:numPr>
          <w:ilvl w:val="0"/>
          <w:numId w:val="12"/>
        </w:numPr>
        <w:spacing w:line="276" w:lineRule="auto"/>
        <w:ind w:left="425" w:leftChars="0" w:hanging="425" w:firstLineChars="0"/>
        <w:jc w:val="center"/>
        <w:rPr>
          <w:rFonts w:hint="eastAsia" w:eastAsia="黑体"/>
          <w:color w:val="auto"/>
          <w:sz w:val="21"/>
          <w:szCs w:val="21"/>
          <w:lang w:val="en-US" w:eastAsia="zh-CN"/>
        </w:rPr>
      </w:pPr>
      <w:r>
        <w:rPr>
          <w:rFonts w:hint="eastAsia" w:eastAsia="黑体"/>
          <w:color w:val="auto"/>
          <w:sz w:val="21"/>
          <w:szCs w:val="21"/>
          <w:lang w:val="en-US" w:eastAsia="zh-CN"/>
        </w:rPr>
        <w:t>本项目与《关于加强高耗能、高排放建设项目生态环境源头防控的指导意见》符合性分析</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4431"/>
        <w:gridCol w:w="2539"/>
        <w:gridCol w:w="1113"/>
      </w:tblGrid>
      <w:tr w14:paraId="57DE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noWrap w:val="0"/>
            <w:vAlign w:val="center"/>
          </w:tcPr>
          <w:p w14:paraId="18F67322">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法规、规范</w:t>
            </w:r>
          </w:p>
        </w:tc>
        <w:tc>
          <w:tcPr>
            <w:tcW w:w="2328" w:type="pct"/>
            <w:noWrap w:val="0"/>
            <w:vAlign w:val="center"/>
          </w:tcPr>
          <w:p w14:paraId="1FA554C8">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相关要求</w:t>
            </w:r>
          </w:p>
        </w:tc>
        <w:tc>
          <w:tcPr>
            <w:tcW w:w="1334" w:type="pct"/>
            <w:noWrap w:val="0"/>
            <w:vAlign w:val="center"/>
          </w:tcPr>
          <w:p w14:paraId="02504B16">
            <w:pPr>
              <w:pStyle w:val="24"/>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rPr>
              <w:t>本项目</w:t>
            </w:r>
            <w:r>
              <w:rPr>
                <w:rFonts w:hint="eastAsia" w:cs="Times New Roman"/>
                <w:b/>
                <w:bCs/>
                <w:color w:val="auto"/>
                <w:highlight w:val="none"/>
                <w:lang w:val="en-US" w:eastAsia="zh-CN"/>
              </w:rPr>
              <w:t>情况</w:t>
            </w:r>
          </w:p>
        </w:tc>
        <w:tc>
          <w:tcPr>
            <w:tcW w:w="585" w:type="pct"/>
            <w:noWrap w:val="0"/>
            <w:vAlign w:val="center"/>
          </w:tcPr>
          <w:p w14:paraId="10F07780">
            <w:pPr>
              <w:pStyle w:val="24"/>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符合性</w:t>
            </w:r>
          </w:p>
        </w:tc>
      </w:tr>
      <w:tr w14:paraId="583E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52" w:type="pct"/>
            <w:noWrap w:val="0"/>
            <w:vAlign w:val="center"/>
          </w:tcPr>
          <w:p w14:paraId="63366CC5">
            <w:pPr>
              <w:pStyle w:val="24"/>
              <w:rPr>
                <w:rFonts w:hint="eastAsia" w:ascii="Times New Roman" w:hAnsi="Times New Roman" w:eastAsia="宋体" w:cs="Times New Roman"/>
                <w:b w:val="0"/>
                <w:bCs w:val="0"/>
                <w:color w:val="auto"/>
                <w:highlight w:val="none"/>
              </w:rPr>
            </w:pPr>
            <w:r>
              <w:rPr>
                <w:rFonts w:hint="eastAsia" w:eastAsia="宋体"/>
                <w:color w:val="auto"/>
                <w:lang w:val="en-US" w:eastAsia="zh-CN"/>
              </w:rPr>
              <w:t>《关于加强高耗能、高排放建设项目生态环境源头防控的指导意见》</w:t>
            </w:r>
          </w:p>
        </w:tc>
        <w:tc>
          <w:tcPr>
            <w:tcW w:w="2328" w:type="pct"/>
            <w:noWrap w:val="0"/>
            <w:vAlign w:val="center"/>
          </w:tcPr>
          <w:p w14:paraId="7273C251">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严把建设项目环境准入关。新建、改建、扩建</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两高</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项目须符合生态环境保护法律法规和相关法定规划，满足重点污染物排放总量控制、碳排放达峰目标、生态环境准入清单、相关规划环评和相应行业建设项目环境准入条件、环评文件审批原则要求。石化、现代煤化工项目应纳入国家产业规划。新建、扩建石化、化工、焦化、有色金属冶炼、平板玻璃项目应布设在依法合规设立并经规划环评的产业园区。各级生态环境部门和行政审批部门要严格把关，对于不符合相关法律法规的，依法不予审批。</w:t>
            </w:r>
          </w:p>
        </w:tc>
        <w:tc>
          <w:tcPr>
            <w:tcW w:w="1334" w:type="pct"/>
            <w:noWrap w:val="0"/>
            <w:vAlign w:val="center"/>
          </w:tcPr>
          <w:p w14:paraId="715B9ED9">
            <w:pPr>
              <w:pStyle w:val="24"/>
              <w:rPr>
                <w:rFonts w:hint="eastAsia" w:ascii="Times New Roman" w:hAnsi="Times New Roman" w:eastAsia="宋体" w:cs="Times New Roman"/>
                <w:b w:val="0"/>
                <w:bCs w:val="0"/>
                <w:color w:val="auto"/>
                <w:highlight w:val="none"/>
                <w:lang w:val="en-US" w:eastAsia="zh-CN"/>
              </w:rPr>
            </w:pPr>
            <w:r>
              <w:rPr>
                <w:rFonts w:hint="eastAsia" w:eastAsia="宋体" w:cs="Times New Roman"/>
                <w:b w:val="0"/>
                <w:bCs w:val="0"/>
                <w:color w:val="auto"/>
                <w:highlight w:val="none"/>
                <w:lang w:val="en-US" w:eastAsia="zh-CN"/>
              </w:rPr>
              <w:t>根据四川省发展和改革委员会 四川省经济和信息化厅关于印发《四川省</w:t>
            </w:r>
            <w:r>
              <w:rPr>
                <w:rFonts w:hint="eastAsia" w:cs="Times New Roman"/>
                <w:b w:val="0"/>
                <w:bCs w:val="0"/>
                <w:color w:val="auto"/>
                <w:highlight w:val="none"/>
                <w:lang w:val="en-US" w:eastAsia="zh-CN"/>
              </w:rPr>
              <w:t>“</w:t>
            </w:r>
            <w:r>
              <w:rPr>
                <w:rFonts w:hint="eastAsia" w:eastAsia="宋体" w:cs="Times New Roman"/>
                <w:b w:val="0"/>
                <w:bCs w:val="0"/>
                <w:color w:val="auto"/>
                <w:highlight w:val="none"/>
                <w:lang w:val="en-US" w:eastAsia="zh-CN"/>
              </w:rPr>
              <w:t>两高</w:t>
            </w:r>
            <w:r>
              <w:rPr>
                <w:rFonts w:hint="eastAsia" w:cs="Times New Roman"/>
                <w:b w:val="0"/>
                <w:bCs w:val="0"/>
                <w:color w:val="auto"/>
                <w:highlight w:val="none"/>
                <w:lang w:val="en-US" w:eastAsia="zh-CN"/>
              </w:rPr>
              <w:t>”</w:t>
            </w:r>
            <w:r>
              <w:rPr>
                <w:rFonts w:hint="eastAsia" w:eastAsia="宋体" w:cs="Times New Roman"/>
                <w:b w:val="0"/>
                <w:bCs w:val="0"/>
                <w:color w:val="auto"/>
                <w:highlight w:val="none"/>
                <w:lang w:val="en-US" w:eastAsia="zh-CN"/>
              </w:rPr>
              <w:t>项目管理目录（试行）》的通知（川发改环资函〔2024〕259号），本项目不属于纳入</w:t>
            </w:r>
            <w:r>
              <w:rPr>
                <w:rFonts w:hint="eastAsia" w:cs="Times New Roman"/>
                <w:b w:val="0"/>
                <w:bCs w:val="0"/>
                <w:color w:val="auto"/>
                <w:highlight w:val="none"/>
                <w:lang w:val="en-US" w:eastAsia="zh-CN"/>
              </w:rPr>
              <w:t>“</w:t>
            </w:r>
            <w:r>
              <w:rPr>
                <w:rFonts w:hint="eastAsia" w:eastAsia="宋体" w:cs="Times New Roman"/>
                <w:b w:val="0"/>
                <w:bCs w:val="0"/>
                <w:color w:val="auto"/>
                <w:highlight w:val="none"/>
                <w:lang w:val="en-US" w:eastAsia="zh-CN"/>
              </w:rPr>
              <w:t>两高</w:t>
            </w:r>
            <w:r>
              <w:rPr>
                <w:rFonts w:hint="eastAsia" w:cs="Times New Roman"/>
                <w:b w:val="0"/>
                <w:bCs w:val="0"/>
                <w:color w:val="auto"/>
                <w:highlight w:val="none"/>
                <w:lang w:val="en-US" w:eastAsia="zh-CN"/>
              </w:rPr>
              <w:t>”</w:t>
            </w:r>
            <w:r>
              <w:rPr>
                <w:rFonts w:hint="eastAsia" w:eastAsia="宋体" w:cs="Times New Roman"/>
                <w:b w:val="0"/>
                <w:bCs w:val="0"/>
                <w:color w:val="auto"/>
                <w:highlight w:val="none"/>
                <w:lang w:val="en-US" w:eastAsia="zh-CN"/>
              </w:rPr>
              <w:t>管理范围的产品或工艺（工序），且本项目选址于</w:t>
            </w:r>
            <w:r>
              <w:rPr>
                <w:rFonts w:hint="eastAsia" w:cs="Times New Roman"/>
                <w:b w:val="0"/>
                <w:bCs w:val="0"/>
                <w:color w:val="auto"/>
                <w:highlight w:val="none"/>
                <w:lang w:val="en-US" w:eastAsia="zh-CN"/>
              </w:rPr>
              <w:t>合规设立并</w:t>
            </w:r>
            <w:r>
              <w:rPr>
                <w:rFonts w:hint="eastAsia" w:ascii="Times New Roman" w:hAnsi="Times New Roman" w:eastAsia="宋体" w:cs="Times New Roman"/>
                <w:b w:val="0"/>
                <w:bCs w:val="0"/>
                <w:color w:val="auto"/>
                <w:highlight w:val="none"/>
              </w:rPr>
              <w:t>经规划环评的产业园区</w:t>
            </w:r>
            <w:r>
              <w:rPr>
                <w:rFonts w:hint="eastAsia" w:eastAsia="宋体" w:cs="Times New Roman"/>
                <w:b w:val="0"/>
                <w:bCs w:val="0"/>
                <w:color w:val="auto"/>
                <w:highlight w:val="none"/>
                <w:lang w:eastAsia="zh-CN"/>
              </w:rPr>
              <w:t>。</w:t>
            </w:r>
          </w:p>
        </w:tc>
        <w:tc>
          <w:tcPr>
            <w:tcW w:w="585" w:type="pct"/>
            <w:noWrap w:val="0"/>
            <w:vAlign w:val="center"/>
          </w:tcPr>
          <w:p w14:paraId="5747FF7B">
            <w:pPr>
              <w:pStyle w:val="24"/>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符合</w:t>
            </w:r>
          </w:p>
        </w:tc>
      </w:tr>
    </w:tbl>
    <w:p w14:paraId="3E679218">
      <w:pPr>
        <w:adjustRightInd w:val="0"/>
        <w:spacing w:line="360" w:lineRule="auto"/>
        <w:ind w:left="0" w:leftChars="0" w:firstLine="480" w:firstLineChars="200"/>
        <w:textAlignment w:val="baseline"/>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根据上述分析，本项目符合</w:t>
      </w:r>
      <w:r>
        <w:rPr>
          <w:rFonts w:hint="eastAsia" w:ascii="Times New Roman" w:hAnsi="Times New Roman" w:cs="Times New Roman"/>
          <w:color w:val="auto"/>
          <w:sz w:val="24"/>
          <w:szCs w:val="24"/>
          <w:lang w:val="en-US" w:eastAsia="zh-CN"/>
        </w:rPr>
        <w:t>《关于加强高耗能、高排放建设项目生态环境源头防控的指导意见》</w:t>
      </w:r>
      <w:r>
        <w:rPr>
          <w:rFonts w:hint="eastAsia" w:ascii="Times New Roman" w:hAnsi="Times New Roman" w:cs="Times New Roman"/>
          <w:color w:val="auto"/>
          <w:sz w:val="24"/>
          <w:szCs w:val="24"/>
        </w:rPr>
        <w:t>的相关要求。</w:t>
      </w:r>
    </w:p>
    <w:p w14:paraId="53C0C4ED">
      <w:pPr>
        <w:pStyle w:val="40"/>
        <w:tabs>
          <w:tab w:val="center" w:pos="4654"/>
        </w:tabs>
        <w:ind w:left="0" w:leftChars="0" w:firstLine="0" w:firstLineChars="0"/>
        <w:rPr>
          <w:rFonts w:ascii="Times New Roman" w:hAnsi="Times New Roman"/>
          <w:color w:val="auto"/>
        </w:rPr>
      </w:pPr>
      <w:bookmarkStart w:id="41" w:name="_Toc25231"/>
      <w:r>
        <w:rPr>
          <w:rFonts w:ascii="Times New Roman" w:hAnsi="Times New Roman"/>
          <w:color w:val="auto"/>
        </w:rPr>
        <w:t>2</w:t>
      </w: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w:t>
      </w:r>
      <w:r>
        <w:rPr>
          <w:rFonts w:ascii="Times New Roman" w:hAnsi="Times New Roman"/>
          <w:color w:val="auto"/>
        </w:rPr>
        <w:t>3 环境功能区划</w:t>
      </w:r>
      <w:bookmarkEnd w:id="41"/>
    </w:p>
    <w:p w14:paraId="5922BACD">
      <w:pPr>
        <w:pStyle w:val="29"/>
        <w:ind w:left="0" w:leftChars="0" w:firstLine="482" w:firstLineChars="200"/>
        <w:rPr>
          <w:color w:val="auto"/>
        </w:rPr>
      </w:pPr>
      <w:r>
        <w:rPr>
          <w:rFonts w:hint="eastAsia"/>
          <w:color w:val="auto"/>
        </w:rPr>
        <w:t>1、环境空气</w:t>
      </w:r>
    </w:p>
    <w:p w14:paraId="4909C7CD">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根据</w:t>
      </w:r>
      <w:r>
        <w:rPr>
          <w:rFonts w:hint="eastAsia"/>
          <w:color w:val="auto"/>
          <w:sz w:val="24"/>
          <w:szCs w:val="32"/>
        </w:rPr>
        <w:t>《</w:t>
      </w:r>
      <w:r>
        <w:rPr>
          <w:rFonts w:hint="default"/>
          <w:color w:val="auto"/>
          <w:lang w:val="en-US" w:eastAsia="zh-CN"/>
        </w:rPr>
        <w:t>四川巴中经济开发区规划修编</w:t>
      </w:r>
      <w:r>
        <w:rPr>
          <w:rFonts w:hint="eastAsia"/>
          <w:color w:val="auto"/>
          <w:sz w:val="24"/>
          <w:szCs w:val="32"/>
        </w:rPr>
        <w:t>环境影响报告书》</w:t>
      </w:r>
      <w:r>
        <w:rPr>
          <w:rFonts w:hint="eastAsia" w:ascii="Times New Roman" w:hAnsi="Times New Roman"/>
          <w:color w:val="auto"/>
          <w:sz w:val="24"/>
          <w:szCs w:val="24"/>
        </w:rPr>
        <w:t>，</w:t>
      </w:r>
      <w:r>
        <w:rPr>
          <w:rFonts w:ascii="Times New Roman" w:hAnsi="Times New Roman"/>
          <w:color w:val="auto"/>
          <w:sz w:val="24"/>
          <w:szCs w:val="24"/>
        </w:rPr>
        <w:t>项目区属《环境空气质量标准》（</w:t>
      </w:r>
      <w:r>
        <w:rPr>
          <w:rFonts w:hint="eastAsia"/>
          <w:color w:val="auto"/>
          <w:sz w:val="24"/>
          <w:szCs w:val="24"/>
          <w:lang w:eastAsia="zh-CN"/>
        </w:rPr>
        <w:t>GB3095-2026</w:t>
      </w:r>
      <w:r>
        <w:rPr>
          <w:rFonts w:ascii="Times New Roman" w:hAnsi="Times New Roman"/>
          <w:color w:val="auto"/>
          <w:sz w:val="24"/>
          <w:szCs w:val="24"/>
        </w:rPr>
        <w:t>）二类区。</w:t>
      </w:r>
    </w:p>
    <w:p w14:paraId="3F89C48E">
      <w:pPr>
        <w:pStyle w:val="29"/>
        <w:ind w:left="0" w:leftChars="0" w:firstLine="482" w:firstLineChars="200"/>
        <w:rPr>
          <w:color w:val="auto"/>
        </w:rPr>
      </w:pPr>
      <w:r>
        <w:rPr>
          <w:color w:val="auto"/>
        </w:rPr>
        <w:t>2</w:t>
      </w:r>
      <w:r>
        <w:rPr>
          <w:rFonts w:hint="eastAsia"/>
          <w:color w:val="auto"/>
        </w:rPr>
        <w:t>、地表水环境</w:t>
      </w:r>
    </w:p>
    <w:p w14:paraId="15BC2BAA">
      <w:pPr>
        <w:spacing w:line="360" w:lineRule="auto"/>
        <w:ind w:left="0" w:leftChars="0" w:firstLine="480" w:firstLineChars="200"/>
        <w:rPr>
          <w:rFonts w:ascii="Times New Roman" w:hAnsi="Times New Roman"/>
          <w:color w:val="auto"/>
          <w:sz w:val="24"/>
          <w:szCs w:val="24"/>
        </w:rPr>
      </w:pPr>
      <w:r>
        <w:rPr>
          <w:rFonts w:hint="eastAsia" w:cs="Times New Roman"/>
          <w:color w:val="auto"/>
          <w:highlight w:val="none"/>
          <w:lang w:val="en-US" w:eastAsia="zh-CN"/>
        </w:rPr>
        <w:t>本项目西侧龙潭沟为季节性溪沟，多季节干涸，且有山体阻隔。区域地表水体主要为通江河，</w:t>
      </w:r>
      <w:r>
        <w:rPr>
          <w:rFonts w:ascii="Times New Roman" w:hAnsi="Times New Roman"/>
          <w:color w:val="auto"/>
          <w:sz w:val="24"/>
          <w:szCs w:val="24"/>
        </w:rPr>
        <w:t>根据</w:t>
      </w:r>
      <w:r>
        <w:rPr>
          <w:rFonts w:hint="eastAsia"/>
          <w:color w:val="auto"/>
          <w:sz w:val="24"/>
          <w:szCs w:val="32"/>
        </w:rPr>
        <w:t>《</w:t>
      </w:r>
      <w:r>
        <w:rPr>
          <w:rFonts w:hint="default"/>
          <w:color w:val="auto"/>
          <w:lang w:val="en-US" w:eastAsia="zh-CN"/>
        </w:rPr>
        <w:t>四川巴中经济开发区规划修编</w:t>
      </w:r>
      <w:r>
        <w:rPr>
          <w:rFonts w:hint="eastAsia"/>
          <w:color w:val="auto"/>
          <w:sz w:val="24"/>
          <w:szCs w:val="32"/>
        </w:rPr>
        <w:t>环境影响报告书》</w:t>
      </w:r>
      <w:r>
        <w:rPr>
          <w:rFonts w:hint="eastAsia" w:ascii="Times New Roman" w:hAnsi="Times New Roman"/>
          <w:color w:val="auto"/>
          <w:sz w:val="24"/>
          <w:szCs w:val="24"/>
        </w:rPr>
        <w:t>，</w:t>
      </w:r>
      <w:r>
        <w:rPr>
          <w:rFonts w:hint="eastAsia" w:cs="Times New Roman"/>
          <w:color w:val="auto"/>
          <w:highlight w:val="none"/>
          <w:lang w:val="en-US" w:eastAsia="zh-CN"/>
        </w:rPr>
        <w:t>通江河（诺江镇- 广纳镇段）水体功能为城镇及工业用水，</w:t>
      </w:r>
      <w:r>
        <w:rPr>
          <w:rFonts w:hint="eastAsia" w:ascii="Times New Roman" w:hAnsi="Times New Roman"/>
          <w:color w:val="auto"/>
          <w:sz w:val="24"/>
          <w:szCs w:val="24"/>
        </w:rPr>
        <w:t>属《地表水环境质量标准》（GB3838-2002）Ⅲ</w:t>
      </w:r>
      <w:r>
        <w:rPr>
          <w:rFonts w:ascii="Times New Roman" w:hAnsi="Times New Roman"/>
          <w:color w:val="auto"/>
          <w:sz w:val="24"/>
          <w:szCs w:val="24"/>
        </w:rPr>
        <w:t>类</w:t>
      </w:r>
      <w:r>
        <w:rPr>
          <w:rFonts w:hint="eastAsia" w:ascii="Times New Roman" w:hAnsi="Times New Roman"/>
          <w:color w:val="auto"/>
          <w:sz w:val="24"/>
          <w:szCs w:val="24"/>
        </w:rPr>
        <w:t>水域。</w:t>
      </w:r>
      <w:r>
        <w:rPr>
          <w:rFonts w:hint="eastAsia"/>
          <w:color w:val="auto"/>
          <w:sz w:val="24"/>
          <w:szCs w:val="24"/>
          <w:lang w:val="en-US" w:eastAsia="zh-CN"/>
        </w:rPr>
        <w:t>同时，</w:t>
      </w:r>
      <w:r>
        <w:rPr>
          <w:rFonts w:hint="eastAsia" w:ascii="Times New Roman" w:hAnsi="Times New Roman" w:cs="Times New Roman"/>
          <w:color w:val="auto"/>
          <w:sz w:val="24"/>
          <w:szCs w:val="24"/>
          <w:lang w:val="en-US" w:eastAsia="zh-CN"/>
        </w:rPr>
        <w:t>根据《四川省生态环境厅办公室关于印发&lt;2023年四川省水生态环境保护工作要点&gt;的通知》（川环办函〔2023〕60号），纳溪口国控断面按照Ⅱ类水域标准考核。</w:t>
      </w:r>
    </w:p>
    <w:p w14:paraId="09E89C32">
      <w:pPr>
        <w:pStyle w:val="29"/>
        <w:ind w:left="0" w:leftChars="0" w:firstLine="482" w:firstLineChars="200"/>
        <w:rPr>
          <w:b w:val="0"/>
          <w:color w:val="auto"/>
        </w:rPr>
      </w:pPr>
      <w:r>
        <w:rPr>
          <w:color w:val="auto"/>
        </w:rPr>
        <w:t>3</w:t>
      </w:r>
      <w:r>
        <w:rPr>
          <w:rFonts w:hint="eastAsia"/>
          <w:color w:val="auto"/>
        </w:rPr>
        <w:t>、地下水环境</w:t>
      </w:r>
    </w:p>
    <w:p w14:paraId="2DAAC69E">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根据</w:t>
      </w:r>
      <w:r>
        <w:rPr>
          <w:rFonts w:hint="eastAsia"/>
          <w:color w:val="auto"/>
          <w:sz w:val="24"/>
          <w:szCs w:val="32"/>
        </w:rPr>
        <w:t>《</w:t>
      </w:r>
      <w:r>
        <w:rPr>
          <w:rFonts w:hint="default"/>
          <w:color w:val="auto"/>
          <w:lang w:val="en-US" w:eastAsia="zh-CN"/>
        </w:rPr>
        <w:t>四川巴中经济开发区规划修编</w:t>
      </w:r>
      <w:r>
        <w:rPr>
          <w:rFonts w:hint="eastAsia"/>
          <w:color w:val="auto"/>
          <w:sz w:val="24"/>
          <w:szCs w:val="32"/>
        </w:rPr>
        <w:t>环境影响报告书》</w:t>
      </w:r>
      <w:r>
        <w:rPr>
          <w:rFonts w:hint="eastAsia" w:ascii="Times New Roman" w:hAnsi="Times New Roman"/>
          <w:color w:val="auto"/>
          <w:sz w:val="24"/>
          <w:szCs w:val="24"/>
        </w:rPr>
        <w:t>，区域地下水属《地下水质量标准》（GB/T14848-2017）Ⅲ</w:t>
      </w:r>
      <w:r>
        <w:rPr>
          <w:rFonts w:ascii="Times New Roman" w:hAnsi="Times New Roman"/>
          <w:color w:val="auto"/>
          <w:sz w:val="24"/>
          <w:szCs w:val="24"/>
        </w:rPr>
        <w:t>类</w:t>
      </w:r>
      <w:r>
        <w:rPr>
          <w:rFonts w:hint="eastAsia" w:ascii="Times New Roman" w:hAnsi="Times New Roman"/>
          <w:color w:val="auto"/>
          <w:sz w:val="24"/>
          <w:szCs w:val="24"/>
        </w:rPr>
        <w:t>。</w:t>
      </w:r>
    </w:p>
    <w:p w14:paraId="61AC630E">
      <w:pPr>
        <w:pStyle w:val="29"/>
        <w:ind w:left="0" w:leftChars="0" w:firstLine="482" w:firstLineChars="200"/>
        <w:rPr>
          <w:color w:val="auto"/>
        </w:rPr>
      </w:pPr>
      <w:r>
        <w:rPr>
          <w:color w:val="auto"/>
        </w:rPr>
        <w:t>4</w:t>
      </w:r>
      <w:r>
        <w:rPr>
          <w:rFonts w:hint="eastAsia"/>
          <w:color w:val="auto"/>
        </w:rPr>
        <w:t>、声环境</w:t>
      </w:r>
    </w:p>
    <w:p w14:paraId="6E5E6381">
      <w:pPr>
        <w:spacing w:line="360" w:lineRule="auto"/>
        <w:ind w:left="0" w:leftChars="0" w:firstLine="480" w:firstLineChars="200"/>
        <w:rPr>
          <w:rFonts w:cstheme="minorHAnsi"/>
          <w:color w:val="auto"/>
          <w:sz w:val="24"/>
          <w:szCs w:val="24"/>
        </w:rPr>
      </w:pPr>
      <w:r>
        <w:rPr>
          <w:rFonts w:ascii="Times New Roman" w:hAnsi="Times New Roman"/>
          <w:color w:val="auto"/>
          <w:sz w:val="24"/>
          <w:szCs w:val="24"/>
        </w:rPr>
        <w:t>根据</w:t>
      </w:r>
      <w:r>
        <w:rPr>
          <w:rFonts w:hint="eastAsia"/>
          <w:color w:val="auto"/>
          <w:sz w:val="24"/>
          <w:szCs w:val="32"/>
        </w:rPr>
        <w:t>《</w:t>
      </w:r>
      <w:r>
        <w:rPr>
          <w:rFonts w:hint="default"/>
          <w:color w:val="auto"/>
          <w:lang w:val="en-US" w:eastAsia="zh-CN"/>
        </w:rPr>
        <w:t>四川巴中经济开发区规划修编</w:t>
      </w:r>
      <w:r>
        <w:rPr>
          <w:rFonts w:hint="eastAsia"/>
          <w:color w:val="auto"/>
          <w:sz w:val="24"/>
          <w:szCs w:val="32"/>
        </w:rPr>
        <w:t>环境影响报告书》</w:t>
      </w:r>
      <w:r>
        <w:rPr>
          <w:rFonts w:hint="eastAsia" w:ascii="Times New Roman" w:hAnsi="Times New Roman"/>
          <w:color w:val="auto"/>
          <w:sz w:val="24"/>
          <w:szCs w:val="24"/>
        </w:rPr>
        <w:t>，</w:t>
      </w:r>
      <w:r>
        <w:rPr>
          <w:rFonts w:hint="eastAsia"/>
          <w:color w:val="auto"/>
          <w:sz w:val="24"/>
          <w:szCs w:val="24"/>
          <w:lang w:val="en-US" w:eastAsia="zh-CN"/>
        </w:rPr>
        <w:t>区域工业区</w:t>
      </w:r>
      <w:r>
        <w:rPr>
          <w:rFonts w:hint="eastAsia" w:ascii="Times New Roman" w:hAnsi="Times New Roman"/>
          <w:color w:val="auto"/>
          <w:sz w:val="24"/>
          <w:szCs w:val="24"/>
        </w:rPr>
        <w:t>属</w:t>
      </w:r>
      <w:r>
        <w:rPr>
          <w:rFonts w:ascii="Times New Roman" w:hAnsi="Times New Roman"/>
          <w:color w:val="auto"/>
          <w:sz w:val="24"/>
          <w:szCs w:val="24"/>
        </w:rPr>
        <w:t>《声环境质量标准》（GB3096-2008）3类</w:t>
      </w:r>
      <w:r>
        <w:rPr>
          <w:rFonts w:hint="eastAsia" w:ascii="Times New Roman" w:hAnsi="Times New Roman"/>
          <w:color w:val="auto"/>
          <w:sz w:val="24"/>
          <w:szCs w:val="24"/>
        </w:rPr>
        <w:t>声环境功能区</w:t>
      </w:r>
      <w:r>
        <w:rPr>
          <w:rFonts w:hint="eastAsia"/>
          <w:color w:val="auto"/>
          <w:sz w:val="24"/>
          <w:szCs w:val="24"/>
          <w:lang w:eastAsia="zh-CN"/>
        </w:rPr>
        <w:t>、</w:t>
      </w:r>
      <w:r>
        <w:rPr>
          <w:rFonts w:hint="eastAsia"/>
          <w:color w:val="auto"/>
          <w:sz w:val="24"/>
          <w:szCs w:val="24"/>
          <w:lang w:val="en-US" w:eastAsia="zh-CN"/>
        </w:rPr>
        <w:t>居民区</w:t>
      </w:r>
      <w:r>
        <w:rPr>
          <w:rFonts w:hint="eastAsia" w:ascii="Times New Roman" w:hAnsi="Times New Roman"/>
          <w:color w:val="auto"/>
          <w:sz w:val="24"/>
          <w:szCs w:val="24"/>
        </w:rPr>
        <w:t>属</w:t>
      </w:r>
      <w:r>
        <w:rPr>
          <w:rFonts w:ascii="Times New Roman" w:hAnsi="Times New Roman"/>
          <w:color w:val="auto"/>
          <w:sz w:val="24"/>
          <w:szCs w:val="24"/>
        </w:rPr>
        <w:t>《声环境质量标准》（GB3096-2008）</w:t>
      </w:r>
      <w:r>
        <w:rPr>
          <w:rFonts w:hint="eastAsia" w:ascii="Times New Roman" w:hAnsi="Times New Roman"/>
          <w:color w:val="auto"/>
          <w:sz w:val="24"/>
          <w:szCs w:val="24"/>
          <w:lang w:val="en-US" w:eastAsia="zh-CN"/>
        </w:rPr>
        <w:t>2</w:t>
      </w:r>
      <w:r>
        <w:rPr>
          <w:rFonts w:ascii="Times New Roman" w:hAnsi="Times New Roman"/>
          <w:color w:val="auto"/>
          <w:sz w:val="24"/>
          <w:szCs w:val="24"/>
        </w:rPr>
        <w:t>类</w:t>
      </w:r>
      <w:r>
        <w:rPr>
          <w:rFonts w:hint="eastAsia" w:ascii="Times New Roman" w:hAnsi="Times New Roman"/>
          <w:color w:val="auto"/>
          <w:sz w:val="24"/>
          <w:szCs w:val="24"/>
        </w:rPr>
        <w:t>声环境功能区</w:t>
      </w:r>
      <w:r>
        <w:rPr>
          <w:rFonts w:ascii="Times New Roman" w:hAnsi="Times New Roman" w:cs="Times New Roman"/>
          <w:color w:val="auto"/>
          <w:sz w:val="24"/>
          <w:szCs w:val="24"/>
        </w:rPr>
        <w:t>。</w:t>
      </w:r>
    </w:p>
    <w:p w14:paraId="5BFC1202">
      <w:pPr>
        <w:pStyle w:val="29"/>
        <w:ind w:left="0" w:leftChars="0" w:firstLine="482" w:firstLineChars="200"/>
        <w:rPr>
          <w:color w:val="auto"/>
        </w:rPr>
      </w:pPr>
      <w:r>
        <w:rPr>
          <w:color w:val="auto"/>
        </w:rPr>
        <w:t>5</w:t>
      </w:r>
      <w:r>
        <w:rPr>
          <w:rFonts w:hint="eastAsia"/>
          <w:color w:val="auto"/>
        </w:rPr>
        <w:t>、土壤环境</w:t>
      </w:r>
    </w:p>
    <w:p w14:paraId="10E6EBB2">
      <w:pPr>
        <w:spacing w:line="360" w:lineRule="auto"/>
        <w:ind w:left="0" w:leftChars="0" w:firstLine="480" w:firstLineChars="200"/>
        <w:rPr>
          <w:rFonts w:hint="eastAsia" w:ascii="Times New Roman" w:hAnsi="Times New Roman"/>
          <w:color w:val="auto"/>
          <w:sz w:val="24"/>
          <w:szCs w:val="24"/>
        </w:rPr>
      </w:pPr>
      <w:r>
        <w:rPr>
          <w:rFonts w:ascii="Times New Roman" w:hAnsi="Times New Roman"/>
          <w:color w:val="auto"/>
          <w:sz w:val="24"/>
          <w:szCs w:val="24"/>
        </w:rPr>
        <w:t>根据</w:t>
      </w:r>
      <w:r>
        <w:rPr>
          <w:rFonts w:hint="eastAsia" w:ascii="Times New Roman" w:hAnsi="Times New Roman"/>
          <w:color w:val="auto"/>
          <w:sz w:val="24"/>
          <w:szCs w:val="24"/>
        </w:rPr>
        <w:t>《土壤环境质量 建设用地土壤污染风险管控标准（试行）》（GB36600-2018）和《土壤环境质量 农用地土壤污染风险管控标准（试行）》（GB</w:t>
      </w:r>
      <w:r>
        <w:rPr>
          <w:rFonts w:ascii="Times New Roman" w:hAnsi="Times New Roman"/>
          <w:color w:val="auto"/>
          <w:sz w:val="24"/>
          <w:szCs w:val="24"/>
        </w:rPr>
        <w:t>15618-</w:t>
      </w:r>
      <w:r>
        <w:rPr>
          <w:rFonts w:hint="eastAsia" w:ascii="Times New Roman" w:hAnsi="Times New Roman"/>
          <w:color w:val="auto"/>
          <w:sz w:val="24"/>
          <w:szCs w:val="24"/>
        </w:rPr>
        <w:t>2018），</w:t>
      </w:r>
      <w:r>
        <w:rPr>
          <w:rFonts w:ascii="Times New Roman" w:hAnsi="Times New Roman"/>
          <w:color w:val="auto"/>
          <w:sz w:val="24"/>
          <w:szCs w:val="24"/>
        </w:rPr>
        <w:t>区域</w:t>
      </w:r>
      <w:r>
        <w:rPr>
          <w:rFonts w:hint="eastAsia" w:ascii="Times New Roman" w:hAnsi="Times New Roman"/>
          <w:color w:val="auto"/>
          <w:sz w:val="24"/>
          <w:szCs w:val="24"/>
        </w:rPr>
        <w:t>涉及建设用地中</w:t>
      </w:r>
      <w:r>
        <w:rPr>
          <w:rFonts w:ascii="Times New Roman" w:hAnsi="Times New Roman"/>
          <w:color w:val="auto"/>
          <w:sz w:val="24"/>
          <w:szCs w:val="24"/>
        </w:rPr>
        <w:t>第二类用地</w:t>
      </w:r>
      <w:r>
        <w:rPr>
          <w:rFonts w:hint="eastAsia" w:ascii="Times New Roman" w:hAnsi="Times New Roman"/>
          <w:color w:val="auto"/>
          <w:sz w:val="24"/>
          <w:szCs w:val="24"/>
        </w:rPr>
        <w:t>和农用地。</w:t>
      </w:r>
    </w:p>
    <w:p w14:paraId="4A4E9710">
      <w:pPr>
        <w:pStyle w:val="29"/>
        <w:ind w:left="0" w:leftChars="0" w:firstLine="482" w:firstLineChars="200"/>
        <w:rPr>
          <w:rFonts w:hint="default" w:eastAsia="宋体"/>
          <w:color w:val="auto"/>
        </w:rPr>
      </w:pPr>
      <w:r>
        <w:rPr>
          <w:rFonts w:hint="eastAsia" w:eastAsia="宋体"/>
          <w:color w:val="auto"/>
          <w:lang w:val="en-US" w:eastAsia="zh-CN"/>
        </w:rPr>
        <w:t>6、</w:t>
      </w:r>
      <w:r>
        <w:rPr>
          <w:rFonts w:hint="default" w:eastAsia="宋体"/>
          <w:color w:val="auto"/>
        </w:rPr>
        <w:t>生态环境</w:t>
      </w:r>
    </w:p>
    <w:p w14:paraId="468E3B74">
      <w:pPr>
        <w:pStyle w:val="26"/>
        <w:ind w:firstLine="480"/>
        <w:rPr>
          <w:rFonts w:hint="default" w:ascii="Times New Roman" w:hAnsi="Times New Roman" w:cs="Times New Roman"/>
          <w:color w:val="auto"/>
          <w:highlight w:val="none"/>
        </w:rPr>
      </w:pPr>
      <w:r>
        <w:rPr>
          <w:rFonts w:ascii="Times New Roman" w:hAnsi="Times New Roman"/>
          <w:color w:val="auto"/>
          <w:sz w:val="24"/>
          <w:szCs w:val="24"/>
        </w:rPr>
        <w:t>根据</w:t>
      </w:r>
      <w:r>
        <w:rPr>
          <w:rFonts w:hint="eastAsia"/>
          <w:color w:val="auto"/>
          <w:sz w:val="24"/>
          <w:szCs w:val="32"/>
        </w:rPr>
        <w:t>《</w:t>
      </w:r>
      <w:r>
        <w:rPr>
          <w:rFonts w:hint="default"/>
          <w:color w:val="auto"/>
          <w:lang w:val="en-US" w:eastAsia="zh-CN"/>
        </w:rPr>
        <w:t>四川巴中经济开发区规划修编</w:t>
      </w:r>
      <w:r>
        <w:rPr>
          <w:rFonts w:hint="eastAsia"/>
          <w:color w:val="auto"/>
          <w:sz w:val="24"/>
          <w:szCs w:val="32"/>
        </w:rPr>
        <w:t>环境影响报告书》</w:t>
      </w:r>
      <w:r>
        <w:rPr>
          <w:rFonts w:hint="eastAsia" w:ascii="Times New Roman" w:hAnsi="Times New Roman"/>
          <w:color w:val="auto"/>
          <w:sz w:val="24"/>
          <w:szCs w:val="24"/>
        </w:rPr>
        <w:t>，</w:t>
      </w:r>
      <w:r>
        <w:rPr>
          <w:rFonts w:hint="eastAsia"/>
          <w:color w:val="auto"/>
          <w:sz w:val="24"/>
          <w:szCs w:val="24"/>
          <w:lang w:val="en-US" w:eastAsia="zh-CN"/>
        </w:rPr>
        <w:t>区域不涉及自然保护区、风景名胜区、通江特有鱼类国家级水产种质资源保护区等生态敏感区</w:t>
      </w:r>
      <w:r>
        <w:rPr>
          <w:rFonts w:hint="eastAsia" w:ascii="Times New Roman" w:hAnsi="Times New Roman" w:cs="Times New Roman"/>
          <w:color w:val="auto"/>
          <w:highlight w:val="none"/>
          <w:lang w:val="en-US" w:eastAsia="zh-CN"/>
        </w:rPr>
        <w:t>。</w:t>
      </w:r>
    </w:p>
    <w:p w14:paraId="05EBFFE8">
      <w:pPr>
        <w:pStyle w:val="39"/>
        <w:ind w:left="0" w:leftChars="0" w:firstLine="0" w:firstLineChars="0"/>
        <w:rPr>
          <w:rFonts w:ascii="Times New Roman" w:hAnsi="Times New Roman"/>
          <w:color w:val="auto"/>
        </w:rPr>
      </w:pPr>
      <w:bookmarkStart w:id="42" w:name="_Toc28136"/>
      <w:bookmarkStart w:id="43" w:name="_Toc429604881"/>
      <w:bookmarkStart w:id="44" w:name="_Toc7013"/>
      <w:bookmarkStart w:id="45" w:name="_Toc461524910"/>
      <w:bookmarkStart w:id="46" w:name="_Toc453947120"/>
      <w:r>
        <w:rPr>
          <w:rFonts w:ascii="Times New Roman" w:hAnsi="Times New Roman"/>
          <w:color w:val="auto"/>
        </w:rPr>
        <w:t>2.6 污染控制及环境保护目标</w:t>
      </w:r>
      <w:bookmarkEnd w:id="42"/>
      <w:bookmarkEnd w:id="43"/>
      <w:bookmarkEnd w:id="44"/>
      <w:bookmarkEnd w:id="45"/>
      <w:bookmarkEnd w:id="46"/>
    </w:p>
    <w:p w14:paraId="1B05D5C4">
      <w:pPr>
        <w:pStyle w:val="40"/>
        <w:ind w:left="0" w:leftChars="0" w:firstLine="0" w:firstLineChars="0"/>
        <w:rPr>
          <w:rFonts w:ascii="Times New Roman" w:hAnsi="Times New Roman"/>
          <w:color w:val="auto"/>
        </w:rPr>
      </w:pPr>
      <w:bookmarkStart w:id="47" w:name="_Toc21662"/>
      <w:r>
        <w:rPr>
          <w:rFonts w:ascii="Times New Roman" w:hAnsi="Times New Roman"/>
          <w:color w:val="auto"/>
        </w:rPr>
        <w:t>2.6.1 污染控制目标</w:t>
      </w:r>
      <w:bookmarkEnd w:id="47"/>
    </w:p>
    <w:p w14:paraId="2E297AC1">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按照</w:t>
      </w:r>
      <w:r>
        <w:rPr>
          <w:rFonts w:hint="eastAsia"/>
          <w:color w:val="auto"/>
          <w:sz w:val="24"/>
          <w:szCs w:val="24"/>
          <w:lang w:eastAsia="zh-CN"/>
        </w:rPr>
        <w:t>“</w:t>
      </w:r>
      <w:r>
        <w:rPr>
          <w:rFonts w:hint="eastAsia"/>
          <w:color w:val="auto"/>
          <w:sz w:val="24"/>
          <w:szCs w:val="24"/>
        </w:rPr>
        <w:t>清洁生产</w:t>
      </w:r>
      <w:r>
        <w:rPr>
          <w:rFonts w:hint="eastAsia"/>
          <w:color w:val="auto"/>
          <w:sz w:val="24"/>
          <w:szCs w:val="24"/>
          <w:lang w:eastAsia="zh-CN"/>
        </w:rPr>
        <w:t>”</w:t>
      </w:r>
      <w:r>
        <w:rPr>
          <w:rFonts w:hint="eastAsia"/>
          <w:color w:val="auto"/>
          <w:sz w:val="24"/>
          <w:szCs w:val="24"/>
        </w:rPr>
        <w:t>、</w:t>
      </w:r>
      <w:r>
        <w:rPr>
          <w:rFonts w:hint="eastAsia"/>
          <w:color w:val="auto"/>
          <w:sz w:val="24"/>
          <w:szCs w:val="24"/>
          <w:lang w:eastAsia="zh-CN"/>
        </w:rPr>
        <w:t>“</w:t>
      </w:r>
      <w:r>
        <w:rPr>
          <w:rFonts w:hint="eastAsia"/>
          <w:color w:val="auto"/>
          <w:sz w:val="24"/>
          <w:szCs w:val="24"/>
        </w:rPr>
        <w:t>达标排放</w:t>
      </w:r>
      <w:r>
        <w:rPr>
          <w:rFonts w:hint="eastAsia"/>
          <w:color w:val="auto"/>
          <w:sz w:val="24"/>
          <w:szCs w:val="24"/>
          <w:lang w:eastAsia="zh-CN"/>
        </w:rPr>
        <w:t>”</w:t>
      </w:r>
      <w:r>
        <w:rPr>
          <w:rFonts w:hint="eastAsia"/>
          <w:color w:val="auto"/>
          <w:sz w:val="24"/>
          <w:szCs w:val="24"/>
        </w:rPr>
        <w:t>和</w:t>
      </w:r>
      <w:r>
        <w:rPr>
          <w:rFonts w:hint="eastAsia"/>
          <w:color w:val="auto"/>
          <w:sz w:val="24"/>
          <w:szCs w:val="24"/>
          <w:lang w:eastAsia="zh-CN"/>
        </w:rPr>
        <w:t>“</w:t>
      </w:r>
      <w:r>
        <w:rPr>
          <w:rFonts w:hint="eastAsia"/>
          <w:color w:val="auto"/>
          <w:sz w:val="24"/>
          <w:szCs w:val="24"/>
        </w:rPr>
        <w:t>总量控制</w:t>
      </w:r>
      <w:r>
        <w:rPr>
          <w:rFonts w:hint="eastAsia"/>
          <w:color w:val="auto"/>
          <w:sz w:val="24"/>
          <w:szCs w:val="24"/>
          <w:lang w:eastAsia="zh-CN"/>
        </w:rPr>
        <w:t>”</w:t>
      </w:r>
      <w:r>
        <w:rPr>
          <w:rFonts w:hint="eastAsia" w:ascii="Times New Roman" w:hAnsi="Times New Roman"/>
          <w:color w:val="auto"/>
          <w:sz w:val="24"/>
          <w:szCs w:val="24"/>
        </w:rPr>
        <w:t>的原则，严格控制各种污染物的产生与排放，减少建设项目对厂址及周围环境的影响，达到保护环境的目的。污染控制的目标主要包括以下几点：</w:t>
      </w:r>
    </w:p>
    <w:p w14:paraId="6B4048D5">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①</w:t>
      </w:r>
      <w:r>
        <w:rPr>
          <w:rFonts w:ascii="Times New Roman" w:hAnsi="Times New Roman"/>
          <w:color w:val="auto"/>
          <w:sz w:val="24"/>
          <w:szCs w:val="24"/>
        </w:rPr>
        <w:t>控制废气、废水、噪声、固废对区域环境的影响是项目首要目标，尽可能控制和减轻由于项目建设对区域环境的影响。</w:t>
      </w:r>
    </w:p>
    <w:p w14:paraId="53F9D6B2">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②</w:t>
      </w:r>
      <w:r>
        <w:rPr>
          <w:rFonts w:ascii="Times New Roman" w:hAnsi="Times New Roman"/>
          <w:color w:val="auto"/>
          <w:sz w:val="24"/>
          <w:szCs w:val="24"/>
        </w:rPr>
        <w:t>使因项目建设导致的社会、经济、环境影响能得到妥善解决，区域环境质量达到规定的标准要求。</w:t>
      </w:r>
    </w:p>
    <w:p w14:paraId="48976A34">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③</w:t>
      </w:r>
      <w:r>
        <w:rPr>
          <w:rFonts w:ascii="Times New Roman" w:hAnsi="Times New Roman"/>
          <w:color w:val="auto"/>
          <w:sz w:val="24"/>
          <w:szCs w:val="24"/>
        </w:rPr>
        <w:t>确保各类污染物达标排放，对各类污染物的处理结果能满足国家有关法律法规的要求，不因项目的建设而降低评价区域环境质量功能。</w:t>
      </w:r>
    </w:p>
    <w:p w14:paraId="75E85A37">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④</w:t>
      </w:r>
      <w:r>
        <w:rPr>
          <w:rFonts w:ascii="Times New Roman" w:hAnsi="Times New Roman"/>
          <w:color w:val="auto"/>
          <w:sz w:val="24"/>
          <w:szCs w:val="24"/>
        </w:rPr>
        <w:t>控制可预测突发性事件或事故（一般不包括人为破坏及自然灾害）引起有害物质泄漏，或环保处理设施等事故状态，所造成的环境影响和损害降到最低程度。</w:t>
      </w:r>
    </w:p>
    <w:p w14:paraId="2BF14326">
      <w:pPr>
        <w:pStyle w:val="40"/>
        <w:ind w:left="0" w:leftChars="0" w:firstLine="0" w:firstLineChars="0"/>
        <w:rPr>
          <w:rFonts w:ascii="Times New Roman" w:hAnsi="Times New Roman"/>
          <w:color w:val="auto"/>
        </w:rPr>
      </w:pPr>
      <w:bookmarkStart w:id="48" w:name="_Toc12328"/>
      <w:r>
        <w:rPr>
          <w:rFonts w:ascii="Times New Roman" w:hAnsi="Times New Roman"/>
          <w:color w:val="auto"/>
        </w:rPr>
        <w:t>2.6.2 环境保护目标</w:t>
      </w:r>
      <w:bookmarkEnd w:id="48"/>
    </w:p>
    <w:p w14:paraId="1D7BB2EA">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本项目的建设应确保不造成区域环境质量类别改变，主要</w:t>
      </w:r>
      <w:r>
        <w:rPr>
          <w:rFonts w:ascii="Times New Roman" w:hAnsi="Times New Roman"/>
          <w:color w:val="auto"/>
          <w:sz w:val="24"/>
          <w:szCs w:val="24"/>
        </w:rPr>
        <w:t>环境保护目标如下：</w:t>
      </w:r>
    </w:p>
    <w:p w14:paraId="6CA1F4DD">
      <w:pPr>
        <w:spacing w:line="360" w:lineRule="auto"/>
        <w:ind w:left="0" w:leftChars="0" w:firstLine="482" w:firstLineChars="200"/>
        <w:rPr>
          <w:rFonts w:ascii="Times New Roman" w:hAnsi="Times New Roman"/>
          <w:color w:val="auto"/>
          <w:sz w:val="24"/>
          <w:szCs w:val="24"/>
        </w:rPr>
      </w:pPr>
      <w:r>
        <w:rPr>
          <w:rFonts w:hint="eastAsia" w:ascii="Times New Roman" w:hAnsi="Times New Roman"/>
          <w:b/>
          <w:color w:val="auto"/>
          <w:sz w:val="24"/>
          <w:szCs w:val="24"/>
        </w:rPr>
        <w:t>环境</w:t>
      </w:r>
      <w:r>
        <w:rPr>
          <w:rFonts w:ascii="Times New Roman" w:hAnsi="Times New Roman"/>
          <w:b/>
          <w:color w:val="auto"/>
          <w:sz w:val="24"/>
          <w:szCs w:val="24"/>
        </w:rPr>
        <w:t>空气</w:t>
      </w:r>
      <w:r>
        <w:rPr>
          <w:rFonts w:ascii="Times New Roman" w:hAnsi="Times New Roman"/>
          <w:color w:val="auto"/>
          <w:sz w:val="24"/>
          <w:szCs w:val="24"/>
        </w:rPr>
        <w:t>：主要保护目标为评价范围内大气环境，应符合《环境空气质量标准》（</w:t>
      </w:r>
      <w:r>
        <w:rPr>
          <w:rFonts w:hint="eastAsia"/>
          <w:color w:val="auto"/>
          <w:sz w:val="24"/>
          <w:szCs w:val="24"/>
          <w:lang w:eastAsia="zh-CN"/>
        </w:rPr>
        <w:t>GB3095-2026</w:t>
      </w:r>
      <w:r>
        <w:rPr>
          <w:rFonts w:ascii="Times New Roman" w:hAnsi="Times New Roman"/>
          <w:color w:val="auto"/>
          <w:sz w:val="24"/>
          <w:szCs w:val="24"/>
        </w:rPr>
        <w:t>）二级标准。</w:t>
      </w:r>
    </w:p>
    <w:p w14:paraId="6631D152">
      <w:pPr>
        <w:spacing w:line="360" w:lineRule="auto"/>
        <w:ind w:left="0" w:leftChars="0" w:firstLine="482" w:firstLineChars="200"/>
        <w:rPr>
          <w:rFonts w:ascii="Times New Roman" w:hAnsi="Times New Roman"/>
          <w:color w:val="auto"/>
          <w:sz w:val="24"/>
          <w:szCs w:val="24"/>
        </w:rPr>
      </w:pPr>
      <w:r>
        <w:rPr>
          <w:rFonts w:ascii="Times New Roman" w:hAnsi="Times New Roman"/>
          <w:b/>
          <w:color w:val="auto"/>
          <w:sz w:val="24"/>
          <w:szCs w:val="24"/>
        </w:rPr>
        <w:t>地表水环境</w:t>
      </w:r>
      <w:r>
        <w:rPr>
          <w:rFonts w:ascii="Times New Roman" w:hAnsi="Times New Roman"/>
          <w:color w:val="auto"/>
          <w:sz w:val="24"/>
          <w:szCs w:val="24"/>
        </w:rPr>
        <w:t>：主要保护目标为</w:t>
      </w:r>
      <w:r>
        <w:rPr>
          <w:rFonts w:hint="eastAsia" w:ascii="Times New Roman" w:hAnsi="Times New Roman"/>
          <w:color w:val="auto"/>
          <w:sz w:val="24"/>
          <w:szCs w:val="24"/>
        </w:rPr>
        <w:t>纳污</w:t>
      </w:r>
      <w:r>
        <w:rPr>
          <w:rFonts w:ascii="Times New Roman" w:hAnsi="Times New Roman"/>
          <w:color w:val="auto"/>
          <w:sz w:val="24"/>
          <w:szCs w:val="24"/>
        </w:rPr>
        <w:t>水体，应符合《地表水环境质量标准》（GB3838-2002）</w:t>
      </w:r>
      <w:r>
        <w:rPr>
          <w:rFonts w:hint="eastAsia" w:ascii="Times New Roman" w:hAnsi="Times New Roman"/>
          <w:color w:val="auto"/>
          <w:sz w:val="24"/>
          <w:szCs w:val="24"/>
        </w:rPr>
        <w:t>Ⅲ</w:t>
      </w:r>
      <w:r>
        <w:rPr>
          <w:rFonts w:ascii="Times New Roman" w:hAnsi="Times New Roman"/>
          <w:color w:val="auto"/>
          <w:sz w:val="24"/>
          <w:szCs w:val="24"/>
        </w:rPr>
        <w:t>类标准</w:t>
      </w:r>
      <w:r>
        <w:rPr>
          <w:rFonts w:hint="eastAsia"/>
          <w:color w:val="auto"/>
          <w:sz w:val="24"/>
          <w:szCs w:val="24"/>
          <w:lang w:eastAsia="zh-CN"/>
        </w:rPr>
        <w:t>，</w:t>
      </w:r>
      <w:r>
        <w:rPr>
          <w:rFonts w:hint="eastAsia"/>
          <w:color w:val="auto"/>
          <w:sz w:val="24"/>
          <w:szCs w:val="24"/>
          <w:lang w:val="en-US" w:eastAsia="zh-CN"/>
        </w:rPr>
        <w:t>其中</w:t>
      </w:r>
      <w:r>
        <w:rPr>
          <w:rFonts w:hint="eastAsia" w:ascii="Times New Roman" w:hAnsi="Times New Roman" w:cs="Times New Roman"/>
          <w:color w:val="auto"/>
          <w:sz w:val="24"/>
          <w:szCs w:val="24"/>
          <w:lang w:val="en-US" w:eastAsia="zh-CN"/>
        </w:rPr>
        <w:t>纳溪口国控断面</w:t>
      </w:r>
      <w:r>
        <w:rPr>
          <w:rFonts w:ascii="Times New Roman" w:hAnsi="Times New Roman"/>
          <w:color w:val="auto"/>
          <w:sz w:val="24"/>
          <w:szCs w:val="24"/>
        </w:rPr>
        <w:t>应符合《地表水环境质量标准》（GB3838-2002）</w:t>
      </w:r>
      <w:r>
        <w:rPr>
          <w:rFonts w:hint="eastAsia" w:ascii="Times New Roman" w:hAnsi="Times New Roman" w:cs="Times New Roman"/>
          <w:color w:val="auto"/>
          <w:sz w:val="24"/>
          <w:szCs w:val="24"/>
          <w:lang w:val="en-US" w:eastAsia="zh-CN"/>
        </w:rPr>
        <w:t>Ⅱ</w:t>
      </w:r>
      <w:r>
        <w:rPr>
          <w:rFonts w:ascii="Times New Roman" w:hAnsi="Times New Roman"/>
          <w:color w:val="auto"/>
          <w:sz w:val="24"/>
          <w:szCs w:val="24"/>
        </w:rPr>
        <w:t>类标准。</w:t>
      </w:r>
    </w:p>
    <w:p w14:paraId="40FFFCC1">
      <w:pPr>
        <w:spacing w:line="360" w:lineRule="auto"/>
        <w:ind w:left="0" w:leftChars="0" w:firstLine="482" w:firstLineChars="200"/>
        <w:rPr>
          <w:rFonts w:ascii="Times New Roman" w:hAnsi="Times New Roman"/>
          <w:color w:val="auto"/>
          <w:sz w:val="24"/>
          <w:szCs w:val="24"/>
        </w:rPr>
      </w:pPr>
      <w:r>
        <w:rPr>
          <w:rFonts w:hint="eastAsia" w:ascii="Times New Roman" w:hAnsi="Times New Roman"/>
          <w:b/>
          <w:color w:val="auto"/>
          <w:sz w:val="24"/>
          <w:szCs w:val="24"/>
        </w:rPr>
        <w:t>地下水环境</w:t>
      </w:r>
      <w:r>
        <w:rPr>
          <w:rFonts w:ascii="Times New Roman" w:hAnsi="Times New Roman"/>
          <w:color w:val="auto"/>
          <w:sz w:val="24"/>
          <w:szCs w:val="24"/>
        </w:rPr>
        <w:t>：主要保护目标为</w:t>
      </w:r>
      <w:r>
        <w:rPr>
          <w:rFonts w:hint="eastAsia" w:ascii="Times New Roman" w:hAnsi="Times New Roman"/>
          <w:color w:val="auto"/>
          <w:sz w:val="24"/>
          <w:szCs w:val="24"/>
        </w:rPr>
        <w:t>评价</w:t>
      </w:r>
      <w:r>
        <w:rPr>
          <w:rFonts w:ascii="Times New Roman" w:hAnsi="Times New Roman"/>
          <w:color w:val="auto"/>
          <w:sz w:val="24"/>
          <w:szCs w:val="24"/>
        </w:rPr>
        <w:t>范围内地下水</w:t>
      </w:r>
      <w:r>
        <w:rPr>
          <w:rFonts w:hint="eastAsia" w:ascii="Times New Roman" w:hAnsi="Times New Roman"/>
          <w:color w:val="auto"/>
          <w:sz w:val="24"/>
          <w:szCs w:val="24"/>
        </w:rPr>
        <w:t>环境</w:t>
      </w:r>
      <w:r>
        <w:rPr>
          <w:rFonts w:ascii="Times New Roman" w:hAnsi="Times New Roman"/>
          <w:color w:val="auto"/>
          <w:sz w:val="24"/>
          <w:szCs w:val="24"/>
        </w:rPr>
        <w:t>，</w:t>
      </w:r>
      <w:r>
        <w:rPr>
          <w:rFonts w:hint="eastAsia" w:ascii="Times New Roman" w:hAnsi="Times New Roman"/>
          <w:color w:val="auto"/>
          <w:sz w:val="24"/>
          <w:szCs w:val="24"/>
        </w:rPr>
        <w:t>应符合《地下水质量标准》（GB/T14848-2017）Ⅲ类标准。</w:t>
      </w:r>
    </w:p>
    <w:p w14:paraId="54DB677D">
      <w:pPr>
        <w:spacing w:line="360" w:lineRule="auto"/>
        <w:ind w:left="0" w:leftChars="0" w:firstLine="482" w:firstLineChars="200"/>
        <w:rPr>
          <w:rFonts w:ascii="Times New Roman" w:hAnsi="Times New Roman"/>
          <w:color w:val="auto"/>
          <w:sz w:val="24"/>
          <w:szCs w:val="24"/>
        </w:rPr>
      </w:pPr>
      <w:r>
        <w:rPr>
          <w:rFonts w:ascii="Times New Roman" w:hAnsi="Times New Roman"/>
          <w:b/>
          <w:color w:val="auto"/>
          <w:sz w:val="24"/>
          <w:szCs w:val="24"/>
        </w:rPr>
        <w:t>声环境</w:t>
      </w:r>
      <w:r>
        <w:rPr>
          <w:rFonts w:ascii="Times New Roman" w:hAnsi="Times New Roman"/>
          <w:color w:val="auto"/>
          <w:sz w:val="24"/>
          <w:szCs w:val="24"/>
        </w:rPr>
        <w:t>：主要保护目标为</w:t>
      </w:r>
      <w:r>
        <w:rPr>
          <w:rFonts w:hint="eastAsia" w:ascii="Times New Roman" w:hAnsi="Times New Roman"/>
          <w:color w:val="auto"/>
          <w:sz w:val="24"/>
          <w:szCs w:val="24"/>
        </w:rPr>
        <w:t>厂界</w:t>
      </w:r>
      <w:r>
        <w:rPr>
          <w:rFonts w:ascii="Times New Roman" w:hAnsi="Times New Roman"/>
          <w:color w:val="auto"/>
          <w:sz w:val="24"/>
          <w:szCs w:val="24"/>
        </w:rPr>
        <w:t>四周200m范围内声环境，</w:t>
      </w:r>
      <w:r>
        <w:rPr>
          <w:rFonts w:hint="eastAsia"/>
          <w:color w:val="auto"/>
          <w:sz w:val="24"/>
          <w:szCs w:val="24"/>
          <w:lang w:val="en-US" w:eastAsia="zh-CN"/>
        </w:rPr>
        <w:t>其中金堂区块内</w:t>
      </w:r>
      <w:r>
        <w:rPr>
          <w:rFonts w:ascii="Times New Roman" w:hAnsi="Times New Roman"/>
          <w:color w:val="auto"/>
          <w:sz w:val="24"/>
          <w:szCs w:val="24"/>
        </w:rPr>
        <w:t>应符合《声环境质量标准》（GB3096-2008）</w:t>
      </w:r>
      <w:r>
        <w:rPr>
          <w:rFonts w:hint="eastAsia" w:ascii="Times New Roman" w:hAnsi="Times New Roman"/>
          <w:color w:val="auto"/>
          <w:sz w:val="24"/>
          <w:szCs w:val="24"/>
        </w:rPr>
        <w:t>3类</w:t>
      </w:r>
      <w:r>
        <w:rPr>
          <w:rFonts w:ascii="Times New Roman" w:hAnsi="Times New Roman"/>
          <w:color w:val="auto"/>
          <w:sz w:val="24"/>
          <w:szCs w:val="24"/>
        </w:rPr>
        <w:t>标准</w:t>
      </w:r>
      <w:r>
        <w:rPr>
          <w:rFonts w:hint="eastAsia"/>
          <w:color w:val="auto"/>
          <w:sz w:val="24"/>
          <w:szCs w:val="24"/>
          <w:lang w:eastAsia="zh-CN"/>
        </w:rPr>
        <w:t>，</w:t>
      </w:r>
      <w:r>
        <w:rPr>
          <w:rFonts w:hint="eastAsia"/>
          <w:color w:val="auto"/>
          <w:sz w:val="24"/>
          <w:szCs w:val="24"/>
          <w:lang w:val="en-US" w:eastAsia="zh-CN"/>
        </w:rPr>
        <w:t>其他区域</w:t>
      </w:r>
      <w:r>
        <w:rPr>
          <w:rFonts w:ascii="Times New Roman" w:hAnsi="Times New Roman"/>
          <w:color w:val="auto"/>
          <w:sz w:val="24"/>
          <w:szCs w:val="24"/>
        </w:rPr>
        <w:t>应符合《声环境质量标准》（GB3096-2008）</w:t>
      </w:r>
      <w:r>
        <w:rPr>
          <w:rFonts w:hint="eastAsia" w:ascii="Times New Roman" w:hAnsi="Times New Roman"/>
          <w:color w:val="auto"/>
          <w:sz w:val="24"/>
          <w:szCs w:val="24"/>
          <w:lang w:val="en-US" w:eastAsia="zh-CN"/>
        </w:rPr>
        <w:t>2</w:t>
      </w:r>
      <w:r>
        <w:rPr>
          <w:rFonts w:hint="eastAsia" w:ascii="Times New Roman" w:hAnsi="Times New Roman"/>
          <w:color w:val="auto"/>
          <w:sz w:val="24"/>
          <w:szCs w:val="24"/>
        </w:rPr>
        <w:t>类</w:t>
      </w:r>
      <w:r>
        <w:rPr>
          <w:rFonts w:ascii="Times New Roman" w:hAnsi="Times New Roman"/>
          <w:color w:val="auto"/>
          <w:sz w:val="24"/>
          <w:szCs w:val="24"/>
        </w:rPr>
        <w:t>标准。</w:t>
      </w:r>
    </w:p>
    <w:p w14:paraId="463302E1">
      <w:pPr>
        <w:spacing w:line="360" w:lineRule="auto"/>
        <w:ind w:left="0" w:leftChars="0" w:firstLine="482" w:firstLineChars="200"/>
        <w:rPr>
          <w:rFonts w:ascii="Times New Roman" w:hAnsi="Times New Roman"/>
          <w:color w:val="auto"/>
          <w:sz w:val="24"/>
          <w:szCs w:val="24"/>
        </w:rPr>
      </w:pPr>
      <w:r>
        <w:rPr>
          <w:rFonts w:hint="eastAsia" w:ascii="Times New Roman" w:hAnsi="Times New Roman"/>
          <w:b/>
          <w:color w:val="auto"/>
          <w:sz w:val="24"/>
          <w:szCs w:val="24"/>
        </w:rPr>
        <w:t>土壤</w:t>
      </w:r>
      <w:r>
        <w:rPr>
          <w:rFonts w:ascii="Times New Roman" w:hAnsi="Times New Roman"/>
          <w:b/>
          <w:color w:val="auto"/>
          <w:sz w:val="24"/>
          <w:szCs w:val="24"/>
        </w:rPr>
        <w:t>环境</w:t>
      </w:r>
      <w:r>
        <w:rPr>
          <w:rFonts w:ascii="Times New Roman" w:hAnsi="Times New Roman"/>
          <w:color w:val="auto"/>
          <w:sz w:val="24"/>
          <w:szCs w:val="24"/>
        </w:rPr>
        <w:t>：主要保护目标为</w:t>
      </w:r>
      <w:r>
        <w:rPr>
          <w:rFonts w:hint="eastAsia" w:ascii="Times New Roman" w:hAnsi="Times New Roman"/>
          <w:color w:val="auto"/>
          <w:sz w:val="24"/>
          <w:szCs w:val="24"/>
        </w:rPr>
        <w:t>评价</w:t>
      </w:r>
      <w:r>
        <w:rPr>
          <w:rFonts w:ascii="Times New Roman" w:hAnsi="Times New Roman"/>
          <w:color w:val="auto"/>
          <w:sz w:val="24"/>
          <w:szCs w:val="24"/>
        </w:rPr>
        <w:t>范围内</w:t>
      </w:r>
      <w:r>
        <w:rPr>
          <w:rFonts w:hint="eastAsia" w:ascii="Times New Roman" w:hAnsi="Times New Roman"/>
          <w:color w:val="auto"/>
          <w:sz w:val="24"/>
          <w:szCs w:val="24"/>
        </w:rPr>
        <w:t>土壤环境</w:t>
      </w:r>
      <w:r>
        <w:rPr>
          <w:rFonts w:ascii="Times New Roman" w:hAnsi="Times New Roman"/>
          <w:color w:val="auto"/>
          <w:sz w:val="24"/>
          <w:szCs w:val="24"/>
        </w:rPr>
        <w:t>，</w:t>
      </w:r>
      <w:r>
        <w:rPr>
          <w:rFonts w:hint="eastAsia" w:ascii="Times New Roman" w:hAnsi="Times New Roman"/>
          <w:color w:val="auto"/>
          <w:sz w:val="24"/>
          <w:szCs w:val="24"/>
        </w:rPr>
        <w:t>应符合《土壤环境质量 建设用地土壤污染风险管控标准（试行）》（GB36600-2018）</w:t>
      </w:r>
      <w:r>
        <w:rPr>
          <w:rFonts w:hint="eastAsia"/>
          <w:color w:val="auto"/>
          <w:sz w:val="24"/>
          <w:szCs w:val="24"/>
          <w:lang w:val="en-US" w:eastAsia="zh-CN"/>
        </w:rPr>
        <w:t>和</w:t>
      </w:r>
      <w:r>
        <w:rPr>
          <w:rFonts w:hint="eastAsia" w:cstheme="minorHAnsi"/>
          <w:color w:val="auto"/>
          <w:sz w:val="24"/>
          <w:szCs w:val="24"/>
          <w:lang w:val="en-US" w:eastAsia="zh-CN"/>
        </w:rPr>
        <w:t>《四川省建设用地土壤污染风险管控标准》（DB51/2978-2023）</w:t>
      </w:r>
      <w:r>
        <w:rPr>
          <w:rFonts w:hint="eastAsia" w:ascii="Times New Roman" w:hAnsi="Times New Roman"/>
          <w:color w:val="auto"/>
          <w:sz w:val="24"/>
          <w:szCs w:val="24"/>
        </w:rPr>
        <w:t>第二类用地土壤污染风险筛选值或《土壤环境质量 农用地土壤污染风险管控标准（试行）》（GB15618-2018）农用地土壤污染风险筛选值。</w:t>
      </w:r>
    </w:p>
    <w:p w14:paraId="24B79509">
      <w:pPr>
        <w:spacing w:line="360" w:lineRule="auto"/>
        <w:ind w:left="0" w:leftChars="0"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rPr>
        <w:t>本项目主要环境保护目标见</w:t>
      </w:r>
      <w:r>
        <w:rPr>
          <w:rFonts w:hint="eastAsia"/>
          <w:color w:val="auto"/>
          <w:sz w:val="24"/>
          <w:szCs w:val="24"/>
          <w:lang w:val="en-US" w:eastAsia="zh-CN"/>
        </w:rPr>
        <w:t>下表</w:t>
      </w:r>
      <w:r>
        <w:rPr>
          <w:rFonts w:hint="eastAsia" w:ascii="Times New Roman" w:hAnsi="Times New Roman"/>
          <w:color w:val="auto"/>
          <w:sz w:val="24"/>
          <w:szCs w:val="24"/>
          <w:lang w:eastAsia="zh-CN"/>
        </w:rPr>
        <w:t>。</w:t>
      </w:r>
    </w:p>
    <w:p w14:paraId="08A36946">
      <w:pPr>
        <w:numPr>
          <w:ilvl w:val="0"/>
          <w:numId w:val="14"/>
        </w:numPr>
        <w:spacing w:line="360" w:lineRule="auto"/>
        <w:ind w:left="425" w:leftChars="0" w:hanging="425" w:firstLineChars="0"/>
        <w:jc w:val="center"/>
        <w:rPr>
          <w:rFonts w:ascii="黑体" w:hAnsi="黑体" w:eastAsia="黑体" w:cs="Times New Roman"/>
          <w:color w:val="auto"/>
          <w:szCs w:val="21"/>
        </w:rPr>
      </w:pPr>
      <w:r>
        <w:rPr>
          <w:rFonts w:ascii="黑体" w:hAnsi="黑体" w:eastAsia="黑体" w:cs="Times New Roman"/>
          <w:color w:val="auto"/>
          <w:sz w:val="21"/>
          <w:szCs w:val="21"/>
        </w:rPr>
        <w:t>主要环境保护目标</w:t>
      </w:r>
    </w:p>
    <w:tbl>
      <w:tblPr>
        <w:tblStyle w:val="21"/>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215"/>
        <w:gridCol w:w="641"/>
        <w:gridCol w:w="941"/>
        <w:gridCol w:w="2223"/>
        <w:gridCol w:w="1254"/>
        <w:gridCol w:w="723"/>
        <w:gridCol w:w="1798"/>
      </w:tblGrid>
      <w:tr w14:paraId="6F15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2DE1EC93">
            <w:pPr>
              <w:pStyle w:val="24"/>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类别</w:t>
            </w:r>
          </w:p>
        </w:tc>
        <w:tc>
          <w:tcPr>
            <w:tcW w:w="639" w:type="pct"/>
            <w:vAlign w:val="center"/>
          </w:tcPr>
          <w:p w14:paraId="3FFB090B">
            <w:pPr>
              <w:pStyle w:val="24"/>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保护对象</w:t>
            </w:r>
          </w:p>
        </w:tc>
        <w:tc>
          <w:tcPr>
            <w:tcW w:w="337" w:type="pct"/>
            <w:vAlign w:val="center"/>
          </w:tcPr>
          <w:p w14:paraId="49DB5999">
            <w:pPr>
              <w:pStyle w:val="24"/>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方位</w:t>
            </w:r>
          </w:p>
        </w:tc>
        <w:tc>
          <w:tcPr>
            <w:tcW w:w="495" w:type="pct"/>
            <w:vAlign w:val="center"/>
          </w:tcPr>
          <w:p w14:paraId="11F1F14A">
            <w:pPr>
              <w:pStyle w:val="24"/>
              <w:rPr>
                <w:rFonts w:hint="eastAsia" w:ascii="Times New Roman" w:hAnsi="Times New Roman" w:eastAsia="宋体" w:cs="Times New Roman"/>
                <w:b/>
                <w:bCs/>
                <w:color w:val="auto"/>
                <w:sz w:val="21"/>
                <w:szCs w:val="21"/>
                <w:highlight w:val="none"/>
                <w:lang w:eastAsia="zh-CN"/>
              </w:rPr>
            </w:pPr>
            <w:r>
              <w:rPr>
                <w:rFonts w:hint="eastAsia" w:ascii="Times New Roman" w:hAnsi="Times New Roman" w:eastAsia="宋体" w:cs="Times New Roman"/>
                <w:b/>
                <w:bCs/>
                <w:color w:val="auto"/>
                <w:sz w:val="21"/>
                <w:szCs w:val="21"/>
                <w:highlight w:val="none"/>
              </w:rPr>
              <w:t>距离</w:t>
            </w:r>
          </w:p>
        </w:tc>
        <w:tc>
          <w:tcPr>
            <w:tcW w:w="1169" w:type="pct"/>
            <w:vAlign w:val="center"/>
          </w:tcPr>
          <w:p w14:paraId="3120B036">
            <w:pPr>
              <w:pStyle w:val="24"/>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经纬度</w:t>
            </w:r>
          </w:p>
        </w:tc>
        <w:tc>
          <w:tcPr>
            <w:tcW w:w="659" w:type="pct"/>
            <w:vAlign w:val="center"/>
          </w:tcPr>
          <w:p w14:paraId="306FE740">
            <w:pPr>
              <w:pStyle w:val="24"/>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规模</w:t>
            </w:r>
          </w:p>
        </w:tc>
        <w:tc>
          <w:tcPr>
            <w:tcW w:w="380" w:type="pct"/>
            <w:vAlign w:val="center"/>
          </w:tcPr>
          <w:p w14:paraId="104C3F22">
            <w:pPr>
              <w:pStyle w:val="24"/>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性质</w:t>
            </w:r>
          </w:p>
        </w:tc>
        <w:tc>
          <w:tcPr>
            <w:tcW w:w="946" w:type="pct"/>
            <w:vAlign w:val="center"/>
          </w:tcPr>
          <w:p w14:paraId="6B8C8E9C">
            <w:pPr>
              <w:pStyle w:val="24"/>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保护级别</w:t>
            </w:r>
          </w:p>
        </w:tc>
      </w:tr>
      <w:tr w14:paraId="6A78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restart"/>
            <w:vAlign w:val="center"/>
          </w:tcPr>
          <w:p w14:paraId="6EEABF67">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大气</w:t>
            </w:r>
          </w:p>
          <w:p w14:paraId="63E3F751">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环境</w:t>
            </w:r>
          </w:p>
        </w:tc>
        <w:tc>
          <w:tcPr>
            <w:tcW w:w="639" w:type="pct"/>
            <w:vAlign w:val="center"/>
          </w:tcPr>
          <w:p w14:paraId="53D22A15">
            <w:pPr>
              <w:pStyle w:val="24"/>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东北侧散户*</w:t>
            </w:r>
          </w:p>
        </w:tc>
        <w:tc>
          <w:tcPr>
            <w:tcW w:w="337" w:type="pct"/>
            <w:shd w:val="clear" w:color="auto" w:fill="auto"/>
            <w:vAlign w:val="center"/>
          </w:tcPr>
          <w:p w14:paraId="530D1D73">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东北</w:t>
            </w:r>
          </w:p>
        </w:tc>
        <w:tc>
          <w:tcPr>
            <w:tcW w:w="495" w:type="pct"/>
            <w:shd w:val="clear" w:color="auto" w:fill="auto"/>
            <w:vAlign w:val="center"/>
          </w:tcPr>
          <w:p w14:paraId="46E70CB0">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66</w:t>
            </w:r>
            <w:r>
              <w:rPr>
                <w:rFonts w:hint="eastAsia" w:cs="Times New Roman"/>
                <w:b w:val="0"/>
                <w:bCs w:val="0"/>
                <w:color w:val="auto"/>
                <w:sz w:val="21"/>
                <w:szCs w:val="21"/>
                <w:highlight w:val="none"/>
                <w:lang w:val="en-US" w:eastAsia="zh-CN"/>
              </w:rPr>
              <w:t>m</w:t>
            </w:r>
          </w:p>
        </w:tc>
        <w:tc>
          <w:tcPr>
            <w:tcW w:w="1169" w:type="pct"/>
            <w:shd w:val="clear" w:color="auto" w:fill="auto"/>
            <w:vAlign w:val="center"/>
          </w:tcPr>
          <w:p w14:paraId="516EBB88">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107.232067,31.880170</w:t>
            </w:r>
          </w:p>
        </w:tc>
        <w:tc>
          <w:tcPr>
            <w:tcW w:w="659" w:type="pct"/>
            <w:shd w:val="clear" w:color="auto" w:fill="auto"/>
            <w:vAlign w:val="center"/>
          </w:tcPr>
          <w:p w14:paraId="0B43F359">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约60人</w:t>
            </w:r>
          </w:p>
        </w:tc>
        <w:tc>
          <w:tcPr>
            <w:tcW w:w="380" w:type="pct"/>
            <w:shd w:val="clear" w:color="auto" w:fill="auto"/>
            <w:vAlign w:val="center"/>
          </w:tcPr>
          <w:p w14:paraId="044AAB5A">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居住</w:t>
            </w:r>
          </w:p>
        </w:tc>
        <w:tc>
          <w:tcPr>
            <w:tcW w:w="946" w:type="pct"/>
            <w:vMerge w:val="restart"/>
            <w:vAlign w:val="center"/>
          </w:tcPr>
          <w:p w14:paraId="0600059C">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《环境空气质量标准》</w:t>
            </w:r>
          </w:p>
          <w:p w14:paraId="69C421FB">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w:t>
            </w:r>
            <w:r>
              <w:rPr>
                <w:rFonts w:hint="eastAsia" w:cs="Times New Roman"/>
                <w:b w:val="0"/>
                <w:bCs w:val="0"/>
                <w:color w:val="auto"/>
                <w:sz w:val="21"/>
                <w:szCs w:val="21"/>
                <w:highlight w:val="none"/>
                <w:lang w:eastAsia="zh-CN"/>
              </w:rPr>
              <w:t>GB3095-2026</w:t>
            </w:r>
            <w:r>
              <w:rPr>
                <w:rFonts w:hint="eastAsia" w:ascii="Times New Roman" w:hAnsi="Times New Roman" w:eastAsia="宋体" w:cs="Times New Roman"/>
                <w:b w:val="0"/>
                <w:bCs w:val="0"/>
                <w:color w:val="auto"/>
                <w:sz w:val="21"/>
                <w:szCs w:val="21"/>
                <w:highlight w:val="none"/>
              </w:rPr>
              <w:t>）二级标准</w:t>
            </w:r>
          </w:p>
        </w:tc>
      </w:tr>
      <w:tr w14:paraId="2FAA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208B0608">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688644CC">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金堂村</w:t>
            </w:r>
            <w:r>
              <w:rPr>
                <w:rFonts w:hint="eastAsia" w:cs="Times New Roman"/>
                <w:b w:val="0"/>
                <w:bCs w:val="0"/>
                <w:color w:val="auto"/>
                <w:sz w:val="21"/>
                <w:szCs w:val="21"/>
                <w:highlight w:val="none"/>
                <w:lang w:val="en-US" w:eastAsia="zh-CN"/>
              </w:rPr>
              <w:t>*</w:t>
            </w:r>
          </w:p>
        </w:tc>
        <w:tc>
          <w:tcPr>
            <w:tcW w:w="337" w:type="pct"/>
            <w:shd w:val="clear" w:color="auto" w:fill="auto"/>
            <w:vAlign w:val="center"/>
          </w:tcPr>
          <w:p w14:paraId="63CE7BEE">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东南</w:t>
            </w:r>
          </w:p>
        </w:tc>
        <w:tc>
          <w:tcPr>
            <w:tcW w:w="495" w:type="pct"/>
            <w:shd w:val="clear" w:color="auto" w:fill="auto"/>
            <w:vAlign w:val="center"/>
          </w:tcPr>
          <w:p w14:paraId="625CA6D6">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1.7km</w:t>
            </w:r>
          </w:p>
        </w:tc>
        <w:tc>
          <w:tcPr>
            <w:tcW w:w="1169" w:type="pct"/>
            <w:shd w:val="clear" w:color="auto" w:fill="auto"/>
            <w:vAlign w:val="center"/>
          </w:tcPr>
          <w:p w14:paraId="77C1C48A">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107.235082,31.863593</w:t>
            </w:r>
          </w:p>
        </w:tc>
        <w:tc>
          <w:tcPr>
            <w:tcW w:w="659" w:type="pct"/>
            <w:shd w:val="clear" w:color="auto" w:fill="auto"/>
            <w:vAlign w:val="center"/>
          </w:tcPr>
          <w:p w14:paraId="3B3385B5">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w:t>
            </w:r>
            <w:r>
              <w:rPr>
                <w:rFonts w:hint="eastAsia" w:cs="Times New Roman"/>
                <w:b w:val="0"/>
                <w:bCs w:val="0"/>
                <w:color w:val="auto"/>
                <w:highlight w:val="none"/>
                <w:lang w:val="en-US" w:eastAsia="zh-CN"/>
              </w:rPr>
              <w:t>5</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0057989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居住</w:t>
            </w:r>
          </w:p>
        </w:tc>
        <w:tc>
          <w:tcPr>
            <w:tcW w:w="946" w:type="pct"/>
            <w:vMerge w:val="continue"/>
            <w:vAlign w:val="center"/>
          </w:tcPr>
          <w:p w14:paraId="655BB43D">
            <w:pPr>
              <w:pStyle w:val="24"/>
              <w:rPr>
                <w:rFonts w:hint="eastAsia" w:ascii="Times New Roman" w:hAnsi="Times New Roman" w:eastAsia="宋体" w:cs="Times New Roman"/>
                <w:b w:val="0"/>
                <w:bCs w:val="0"/>
                <w:color w:val="auto"/>
                <w:sz w:val="21"/>
                <w:szCs w:val="21"/>
                <w:highlight w:val="none"/>
              </w:rPr>
            </w:pPr>
          </w:p>
        </w:tc>
      </w:tr>
      <w:tr w14:paraId="4E45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4C399DC6">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6308ABDD">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檬子垭村</w:t>
            </w:r>
          </w:p>
        </w:tc>
        <w:tc>
          <w:tcPr>
            <w:tcW w:w="337" w:type="pct"/>
            <w:shd w:val="clear" w:color="auto" w:fill="auto"/>
            <w:vAlign w:val="center"/>
          </w:tcPr>
          <w:p w14:paraId="42DF1C9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东南</w:t>
            </w:r>
          </w:p>
        </w:tc>
        <w:tc>
          <w:tcPr>
            <w:tcW w:w="495" w:type="pct"/>
            <w:shd w:val="clear" w:color="auto" w:fill="auto"/>
            <w:vAlign w:val="center"/>
          </w:tcPr>
          <w:p w14:paraId="5BB517C5">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4.12km</w:t>
            </w:r>
          </w:p>
        </w:tc>
        <w:tc>
          <w:tcPr>
            <w:tcW w:w="1169" w:type="pct"/>
            <w:shd w:val="clear" w:color="auto" w:fill="auto"/>
            <w:vAlign w:val="center"/>
          </w:tcPr>
          <w:p w14:paraId="498D052C">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107.252892,31.845751</w:t>
            </w:r>
          </w:p>
        </w:tc>
        <w:tc>
          <w:tcPr>
            <w:tcW w:w="659" w:type="pct"/>
            <w:shd w:val="clear" w:color="auto" w:fill="auto"/>
            <w:vAlign w:val="center"/>
          </w:tcPr>
          <w:p w14:paraId="41192FC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2200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7C02EB1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居住</w:t>
            </w:r>
          </w:p>
        </w:tc>
        <w:tc>
          <w:tcPr>
            <w:tcW w:w="946" w:type="pct"/>
            <w:vMerge w:val="continue"/>
            <w:vAlign w:val="center"/>
          </w:tcPr>
          <w:p w14:paraId="0C27A24C">
            <w:pPr>
              <w:pStyle w:val="24"/>
              <w:rPr>
                <w:rFonts w:hint="eastAsia" w:ascii="Times New Roman" w:hAnsi="Times New Roman" w:eastAsia="宋体" w:cs="Times New Roman"/>
                <w:b w:val="0"/>
                <w:bCs w:val="0"/>
                <w:color w:val="auto"/>
                <w:sz w:val="21"/>
                <w:szCs w:val="21"/>
                <w:highlight w:val="none"/>
              </w:rPr>
            </w:pPr>
          </w:p>
        </w:tc>
      </w:tr>
      <w:tr w14:paraId="3536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57F497A3">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4F3B6A0E">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火峰村</w:t>
            </w:r>
          </w:p>
        </w:tc>
        <w:tc>
          <w:tcPr>
            <w:tcW w:w="337" w:type="pct"/>
            <w:shd w:val="clear" w:color="auto" w:fill="auto"/>
            <w:vAlign w:val="center"/>
          </w:tcPr>
          <w:p w14:paraId="1CD9BBB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南</w:t>
            </w:r>
          </w:p>
        </w:tc>
        <w:tc>
          <w:tcPr>
            <w:tcW w:w="495" w:type="pct"/>
            <w:shd w:val="clear" w:color="auto" w:fill="auto"/>
            <w:vAlign w:val="center"/>
          </w:tcPr>
          <w:p w14:paraId="7610AC4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3.82km</w:t>
            </w:r>
          </w:p>
        </w:tc>
        <w:tc>
          <w:tcPr>
            <w:tcW w:w="1169" w:type="pct"/>
            <w:shd w:val="clear" w:color="auto" w:fill="auto"/>
            <w:vAlign w:val="center"/>
          </w:tcPr>
          <w:p w14:paraId="5B0918BA">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107.226971,31.844635</w:t>
            </w:r>
          </w:p>
        </w:tc>
        <w:tc>
          <w:tcPr>
            <w:tcW w:w="659" w:type="pct"/>
            <w:shd w:val="clear" w:color="auto" w:fill="auto"/>
            <w:vAlign w:val="center"/>
          </w:tcPr>
          <w:p w14:paraId="7E671640">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3297E5A7">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居住</w:t>
            </w:r>
          </w:p>
        </w:tc>
        <w:tc>
          <w:tcPr>
            <w:tcW w:w="946" w:type="pct"/>
            <w:vMerge w:val="continue"/>
            <w:vAlign w:val="center"/>
          </w:tcPr>
          <w:p w14:paraId="706A6869">
            <w:pPr>
              <w:pStyle w:val="24"/>
              <w:rPr>
                <w:rFonts w:hint="eastAsia" w:ascii="Times New Roman" w:hAnsi="Times New Roman" w:eastAsia="宋体" w:cs="Times New Roman"/>
                <w:b w:val="0"/>
                <w:bCs w:val="0"/>
                <w:color w:val="auto"/>
                <w:sz w:val="21"/>
                <w:szCs w:val="21"/>
                <w:highlight w:val="none"/>
              </w:rPr>
            </w:pPr>
          </w:p>
        </w:tc>
      </w:tr>
      <w:tr w14:paraId="27DF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65B69843">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1C6EF3AD">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亮垭村</w:t>
            </w:r>
            <w:r>
              <w:rPr>
                <w:rFonts w:hint="eastAsia" w:cs="Times New Roman"/>
                <w:b w:val="0"/>
                <w:bCs w:val="0"/>
                <w:color w:val="auto"/>
                <w:sz w:val="21"/>
                <w:szCs w:val="21"/>
                <w:highlight w:val="none"/>
                <w:lang w:val="en-US" w:eastAsia="zh-CN"/>
              </w:rPr>
              <w:t>*</w:t>
            </w:r>
          </w:p>
        </w:tc>
        <w:tc>
          <w:tcPr>
            <w:tcW w:w="337" w:type="pct"/>
            <w:shd w:val="clear" w:color="auto" w:fill="auto"/>
            <w:vAlign w:val="center"/>
          </w:tcPr>
          <w:p w14:paraId="4D76D8B6">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西南</w:t>
            </w:r>
          </w:p>
        </w:tc>
        <w:tc>
          <w:tcPr>
            <w:tcW w:w="495" w:type="pct"/>
            <w:shd w:val="clear" w:color="auto" w:fill="auto"/>
            <w:vAlign w:val="center"/>
          </w:tcPr>
          <w:p w14:paraId="2E2DD6F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2.3km</w:t>
            </w:r>
          </w:p>
        </w:tc>
        <w:tc>
          <w:tcPr>
            <w:tcW w:w="1169" w:type="pct"/>
            <w:shd w:val="clear" w:color="auto" w:fill="auto"/>
            <w:vAlign w:val="center"/>
          </w:tcPr>
          <w:p w14:paraId="56920FFC">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107.211350,31.867230</w:t>
            </w:r>
          </w:p>
        </w:tc>
        <w:tc>
          <w:tcPr>
            <w:tcW w:w="659" w:type="pct"/>
            <w:shd w:val="clear" w:color="auto" w:fill="auto"/>
            <w:vAlign w:val="center"/>
          </w:tcPr>
          <w:p w14:paraId="54FB863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w:t>
            </w:r>
            <w:r>
              <w:rPr>
                <w:rFonts w:hint="eastAsia" w:cs="Times New Roman"/>
                <w:b w:val="0"/>
                <w:bCs w:val="0"/>
                <w:color w:val="auto"/>
                <w:highlight w:val="none"/>
                <w:lang w:val="en-US" w:eastAsia="zh-CN"/>
              </w:rPr>
              <w:t>5</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2C61105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居住</w:t>
            </w:r>
          </w:p>
        </w:tc>
        <w:tc>
          <w:tcPr>
            <w:tcW w:w="946" w:type="pct"/>
            <w:vMerge w:val="continue"/>
            <w:vAlign w:val="center"/>
          </w:tcPr>
          <w:p w14:paraId="4F6AA7E6">
            <w:pPr>
              <w:pStyle w:val="24"/>
              <w:rPr>
                <w:rFonts w:hint="eastAsia" w:ascii="Times New Roman" w:hAnsi="Times New Roman" w:eastAsia="宋体" w:cs="Times New Roman"/>
                <w:b w:val="0"/>
                <w:bCs w:val="0"/>
                <w:color w:val="auto"/>
                <w:sz w:val="21"/>
                <w:szCs w:val="21"/>
                <w:highlight w:val="none"/>
              </w:rPr>
            </w:pPr>
          </w:p>
        </w:tc>
      </w:tr>
      <w:tr w14:paraId="1CD1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5598CB13">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6826BA80">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新桥村小学</w:t>
            </w:r>
          </w:p>
        </w:tc>
        <w:tc>
          <w:tcPr>
            <w:tcW w:w="337" w:type="pct"/>
            <w:shd w:val="clear" w:color="auto" w:fill="auto"/>
            <w:vAlign w:val="center"/>
          </w:tcPr>
          <w:p w14:paraId="466B7E10">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西南</w:t>
            </w:r>
          </w:p>
        </w:tc>
        <w:tc>
          <w:tcPr>
            <w:tcW w:w="495" w:type="pct"/>
            <w:shd w:val="clear" w:color="auto" w:fill="auto"/>
            <w:vAlign w:val="center"/>
          </w:tcPr>
          <w:p w14:paraId="6BF2080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3.87km</w:t>
            </w:r>
          </w:p>
        </w:tc>
        <w:tc>
          <w:tcPr>
            <w:tcW w:w="1169" w:type="pct"/>
            <w:shd w:val="clear" w:color="auto" w:fill="auto"/>
            <w:vAlign w:val="center"/>
          </w:tcPr>
          <w:p w14:paraId="57706D13">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107.209547,31.850128</w:t>
            </w:r>
          </w:p>
        </w:tc>
        <w:tc>
          <w:tcPr>
            <w:tcW w:w="659" w:type="pct"/>
            <w:shd w:val="clear" w:color="auto" w:fill="auto"/>
            <w:vAlign w:val="center"/>
          </w:tcPr>
          <w:p w14:paraId="2C42640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150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79C99F5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学校</w:t>
            </w:r>
          </w:p>
        </w:tc>
        <w:tc>
          <w:tcPr>
            <w:tcW w:w="946" w:type="pct"/>
            <w:vMerge w:val="continue"/>
            <w:vAlign w:val="center"/>
          </w:tcPr>
          <w:p w14:paraId="311AA35C">
            <w:pPr>
              <w:pStyle w:val="24"/>
              <w:rPr>
                <w:rFonts w:hint="eastAsia" w:ascii="Times New Roman" w:hAnsi="Times New Roman" w:eastAsia="宋体" w:cs="Times New Roman"/>
                <w:b w:val="0"/>
                <w:bCs w:val="0"/>
                <w:color w:val="auto"/>
                <w:sz w:val="21"/>
                <w:szCs w:val="21"/>
                <w:highlight w:val="none"/>
              </w:rPr>
            </w:pPr>
          </w:p>
        </w:tc>
      </w:tr>
      <w:tr w14:paraId="5D9F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6EBA69FD">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53003CBD">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大铁山村</w:t>
            </w:r>
          </w:p>
        </w:tc>
        <w:tc>
          <w:tcPr>
            <w:tcW w:w="337" w:type="pct"/>
            <w:shd w:val="clear" w:color="auto" w:fill="auto"/>
            <w:vAlign w:val="center"/>
          </w:tcPr>
          <w:p w14:paraId="3FA86E98">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西南</w:t>
            </w:r>
          </w:p>
        </w:tc>
        <w:tc>
          <w:tcPr>
            <w:tcW w:w="495" w:type="pct"/>
            <w:shd w:val="clear" w:color="auto" w:fill="auto"/>
            <w:vAlign w:val="center"/>
          </w:tcPr>
          <w:p w14:paraId="3CB9205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4.35km</w:t>
            </w:r>
          </w:p>
        </w:tc>
        <w:tc>
          <w:tcPr>
            <w:tcW w:w="1169" w:type="pct"/>
            <w:shd w:val="clear" w:color="auto" w:fill="auto"/>
            <w:vAlign w:val="center"/>
          </w:tcPr>
          <w:p w14:paraId="364C71AB">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107.190750,31.855535</w:t>
            </w:r>
          </w:p>
        </w:tc>
        <w:tc>
          <w:tcPr>
            <w:tcW w:w="659" w:type="pct"/>
            <w:shd w:val="clear" w:color="auto" w:fill="auto"/>
            <w:vAlign w:val="center"/>
          </w:tcPr>
          <w:p w14:paraId="6F6FF022">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30</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42FBCF1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居住</w:t>
            </w:r>
          </w:p>
        </w:tc>
        <w:tc>
          <w:tcPr>
            <w:tcW w:w="946" w:type="pct"/>
            <w:vMerge w:val="continue"/>
            <w:vAlign w:val="center"/>
          </w:tcPr>
          <w:p w14:paraId="389E8EB3">
            <w:pPr>
              <w:pStyle w:val="24"/>
              <w:rPr>
                <w:rFonts w:hint="eastAsia" w:ascii="Times New Roman" w:hAnsi="Times New Roman" w:eastAsia="宋体" w:cs="Times New Roman"/>
                <w:b w:val="0"/>
                <w:bCs w:val="0"/>
                <w:color w:val="auto"/>
                <w:sz w:val="21"/>
                <w:szCs w:val="21"/>
                <w:highlight w:val="none"/>
              </w:rPr>
            </w:pPr>
          </w:p>
        </w:tc>
      </w:tr>
      <w:tr w14:paraId="27B5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771F8E4A">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527A2B47">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马岭村</w:t>
            </w:r>
          </w:p>
        </w:tc>
        <w:tc>
          <w:tcPr>
            <w:tcW w:w="337" w:type="pct"/>
            <w:shd w:val="clear" w:color="auto" w:fill="auto"/>
            <w:vAlign w:val="center"/>
          </w:tcPr>
          <w:p w14:paraId="7B8333A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w:t>
            </w:r>
          </w:p>
        </w:tc>
        <w:tc>
          <w:tcPr>
            <w:tcW w:w="495" w:type="pct"/>
            <w:shd w:val="clear" w:color="auto" w:fill="auto"/>
            <w:vAlign w:val="center"/>
          </w:tcPr>
          <w:p w14:paraId="652A73E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4km</w:t>
            </w:r>
          </w:p>
        </w:tc>
        <w:tc>
          <w:tcPr>
            <w:tcW w:w="1169" w:type="pct"/>
            <w:shd w:val="clear" w:color="auto" w:fill="auto"/>
            <w:vAlign w:val="center"/>
          </w:tcPr>
          <w:p w14:paraId="4BAE679C">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107.185257,31.877422</w:t>
            </w:r>
          </w:p>
        </w:tc>
        <w:tc>
          <w:tcPr>
            <w:tcW w:w="659" w:type="pct"/>
            <w:shd w:val="clear" w:color="auto" w:fill="auto"/>
            <w:vAlign w:val="center"/>
          </w:tcPr>
          <w:p w14:paraId="17467A03">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25</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123433B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居住</w:t>
            </w:r>
          </w:p>
        </w:tc>
        <w:tc>
          <w:tcPr>
            <w:tcW w:w="946" w:type="pct"/>
            <w:vMerge w:val="continue"/>
            <w:vAlign w:val="center"/>
          </w:tcPr>
          <w:p w14:paraId="2AC0C359">
            <w:pPr>
              <w:pStyle w:val="24"/>
              <w:rPr>
                <w:rFonts w:hint="eastAsia" w:ascii="Times New Roman" w:hAnsi="Times New Roman" w:eastAsia="宋体" w:cs="Times New Roman"/>
                <w:b w:val="0"/>
                <w:bCs w:val="0"/>
                <w:color w:val="auto"/>
                <w:sz w:val="21"/>
                <w:szCs w:val="21"/>
                <w:highlight w:val="none"/>
              </w:rPr>
            </w:pPr>
          </w:p>
        </w:tc>
      </w:tr>
      <w:tr w14:paraId="7A00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03E95A29">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1CD4FD0D">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秋锦山村</w:t>
            </w:r>
            <w:r>
              <w:rPr>
                <w:rFonts w:hint="eastAsia" w:cs="Times New Roman"/>
                <w:b w:val="0"/>
                <w:bCs w:val="0"/>
                <w:color w:val="auto"/>
                <w:sz w:val="21"/>
                <w:szCs w:val="21"/>
                <w:highlight w:val="none"/>
                <w:lang w:val="en-US" w:eastAsia="zh-CN"/>
              </w:rPr>
              <w:t>*</w:t>
            </w:r>
          </w:p>
        </w:tc>
        <w:tc>
          <w:tcPr>
            <w:tcW w:w="337" w:type="pct"/>
            <w:shd w:val="clear" w:color="auto" w:fill="auto"/>
            <w:vAlign w:val="center"/>
          </w:tcPr>
          <w:p w14:paraId="354A5095">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7DDC754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2.1km</w:t>
            </w:r>
          </w:p>
        </w:tc>
        <w:tc>
          <w:tcPr>
            <w:tcW w:w="1169" w:type="pct"/>
            <w:shd w:val="clear" w:color="auto" w:fill="auto"/>
            <w:vAlign w:val="center"/>
          </w:tcPr>
          <w:p w14:paraId="5FF3497B">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107.246755,31.894009</w:t>
            </w:r>
          </w:p>
        </w:tc>
        <w:tc>
          <w:tcPr>
            <w:tcW w:w="659" w:type="pct"/>
            <w:shd w:val="clear" w:color="auto" w:fill="auto"/>
            <w:vAlign w:val="center"/>
          </w:tcPr>
          <w:p w14:paraId="762B84CC">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39</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4C9EAC64">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居住</w:t>
            </w:r>
          </w:p>
        </w:tc>
        <w:tc>
          <w:tcPr>
            <w:tcW w:w="946" w:type="pct"/>
            <w:vMerge w:val="continue"/>
            <w:vAlign w:val="center"/>
          </w:tcPr>
          <w:p w14:paraId="4BC9C90E">
            <w:pPr>
              <w:pStyle w:val="24"/>
              <w:rPr>
                <w:rFonts w:hint="eastAsia" w:ascii="Times New Roman" w:hAnsi="Times New Roman" w:eastAsia="宋体" w:cs="Times New Roman"/>
                <w:b w:val="0"/>
                <w:bCs w:val="0"/>
                <w:color w:val="auto"/>
                <w:sz w:val="21"/>
                <w:szCs w:val="21"/>
                <w:highlight w:val="none"/>
              </w:rPr>
            </w:pPr>
          </w:p>
        </w:tc>
      </w:tr>
      <w:tr w14:paraId="599C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4903FF19">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58FA685B">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春在镇</w:t>
            </w:r>
            <w:r>
              <w:rPr>
                <w:rFonts w:hint="eastAsia" w:cs="Times New Roman"/>
                <w:b w:val="0"/>
                <w:bCs w:val="0"/>
                <w:color w:val="auto"/>
                <w:sz w:val="21"/>
                <w:szCs w:val="21"/>
                <w:highlight w:val="none"/>
                <w:lang w:val="en-US" w:eastAsia="zh-CN"/>
              </w:rPr>
              <w:t>*</w:t>
            </w:r>
          </w:p>
        </w:tc>
        <w:tc>
          <w:tcPr>
            <w:tcW w:w="337" w:type="pct"/>
            <w:shd w:val="clear" w:color="auto" w:fill="auto"/>
            <w:vAlign w:val="center"/>
          </w:tcPr>
          <w:p w14:paraId="531F5B0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w:t>
            </w:r>
          </w:p>
        </w:tc>
        <w:tc>
          <w:tcPr>
            <w:tcW w:w="495" w:type="pct"/>
            <w:shd w:val="clear" w:color="auto" w:fill="auto"/>
            <w:vAlign w:val="center"/>
          </w:tcPr>
          <w:p w14:paraId="01850A5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2.3km</w:t>
            </w:r>
          </w:p>
        </w:tc>
        <w:tc>
          <w:tcPr>
            <w:tcW w:w="1169" w:type="pct"/>
            <w:shd w:val="clear" w:color="auto" w:fill="auto"/>
            <w:vAlign w:val="center"/>
          </w:tcPr>
          <w:p w14:paraId="609401A8">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107.256110,31.880619</w:t>
            </w:r>
          </w:p>
        </w:tc>
        <w:tc>
          <w:tcPr>
            <w:tcW w:w="659" w:type="pct"/>
            <w:shd w:val="clear" w:color="auto" w:fill="auto"/>
            <w:vAlign w:val="center"/>
          </w:tcPr>
          <w:p w14:paraId="35BE269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w:t>
            </w:r>
            <w:r>
              <w:rPr>
                <w:rFonts w:hint="eastAsia" w:cs="Times New Roman"/>
                <w:b w:val="0"/>
                <w:bCs w:val="0"/>
                <w:color w:val="auto"/>
                <w:highlight w:val="none"/>
                <w:lang w:val="en-US" w:eastAsia="zh-CN"/>
              </w:rPr>
              <w:t>5</w:t>
            </w:r>
            <w:r>
              <w:rPr>
                <w:rFonts w:hint="default" w:ascii="Times New Roman" w:hAnsi="Times New Roman" w:cs="Times New Roman"/>
                <w:b w:val="0"/>
                <w:bCs w:val="0"/>
                <w:color w:val="auto"/>
                <w:highlight w:val="none"/>
                <w:lang w:val="en-US" w:eastAsia="zh-CN"/>
              </w:rPr>
              <w:t>00人</w:t>
            </w:r>
          </w:p>
        </w:tc>
        <w:tc>
          <w:tcPr>
            <w:tcW w:w="380" w:type="pct"/>
            <w:shd w:val="clear" w:color="auto" w:fill="auto"/>
            <w:vAlign w:val="center"/>
          </w:tcPr>
          <w:p w14:paraId="0A8D85C7">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居住</w:t>
            </w:r>
          </w:p>
        </w:tc>
        <w:tc>
          <w:tcPr>
            <w:tcW w:w="946" w:type="pct"/>
            <w:vMerge w:val="continue"/>
            <w:vAlign w:val="center"/>
          </w:tcPr>
          <w:p w14:paraId="2ECBC264">
            <w:pPr>
              <w:pStyle w:val="24"/>
              <w:rPr>
                <w:rFonts w:hint="eastAsia" w:ascii="Times New Roman" w:hAnsi="Times New Roman" w:eastAsia="宋体" w:cs="Times New Roman"/>
                <w:b w:val="0"/>
                <w:bCs w:val="0"/>
                <w:color w:val="auto"/>
                <w:sz w:val="21"/>
                <w:szCs w:val="21"/>
                <w:highlight w:val="none"/>
              </w:rPr>
            </w:pPr>
          </w:p>
        </w:tc>
      </w:tr>
      <w:tr w14:paraId="5271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2A11D15D">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019BEC7E">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通江县思源实验学校</w:t>
            </w:r>
          </w:p>
        </w:tc>
        <w:tc>
          <w:tcPr>
            <w:tcW w:w="337" w:type="pct"/>
            <w:shd w:val="clear" w:color="auto" w:fill="auto"/>
            <w:vAlign w:val="center"/>
          </w:tcPr>
          <w:p w14:paraId="343EC708">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w:t>
            </w:r>
          </w:p>
        </w:tc>
        <w:tc>
          <w:tcPr>
            <w:tcW w:w="495" w:type="pct"/>
            <w:shd w:val="clear" w:color="auto" w:fill="auto"/>
            <w:vAlign w:val="center"/>
          </w:tcPr>
          <w:p w14:paraId="60D04C8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2.83km</w:t>
            </w:r>
          </w:p>
        </w:tc>
        <w:tc>
          <w:tcPr>
            <w:tcW w:w="1169" w:type="pct"/>
            <w:shd w:val="clear" w:color="auto" w:fill="auto"/>
            <w:vAlign w:val="center"/>
          </w:tcPr>
          <w:p w14:paraId="3EBF7DB6">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107.261904,31.875448</w:t>
            </w:r>
          </w:p>
        </w:tc>
        <w:tc>
          <w:tcPr>
            <w:tcW w:w="659" w:type="pct"/>
            <w:shd w:val="clear" w:color="auto" w:fill="auto"/>
            <w:vAlign w:val="center"/>
          </w:tcPr>
          <w:p w14:paraId="20CACB6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5564EC01">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学校</w:t>
            </w:r>
          </w:p>
        </w:tc>
        <w:tc>
          <w:tcPr>
            <w:tcW w:w="946" w:type="pct"/>
            <w:vMerge w:val="continue"/>
            <w:vAlign w:val="center"/>
          </w:tcPr>
          <w:p w14:paraId="195796F2">
            <w:pPr>
              <w:pStyle w:val="24"/>
              <w:rPr>
                <w:rFonts w:hint="eastAsia" w:ascii="Times New Roman" w:hAnsi="Times New Roman" w:eastAsia="宋体" w:cs="Times New Roman"/>
                <w:b w:val="0"/>
                <w:bCs w:val="0"/>
                <w:color w:val="auto"/>
                <w:sz w:val="21"/>
                <w:szCs w:val="21"/>
                <w:highlight w:val="none"/>
              </w:rPr>
            </w:pPr>
          </w:p>
        </w:tc>
      </w:tr>
      <w:tr w14:paraId="75E8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675FADE1">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5E8C48B8">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通江县第五小学</w:t>
            </w:r>
          </w:p>
        </w:tc>
        <w:tc>
          <w:tcPr>
            <w:tcW w:w="337" w:type="pct"/>
            <w:shd w:val="clear" w:color="auto" w:fill="auto"/>
            <w:vAlign w:val="center"/>
          </w:tcPr>
          <w:p w14:paraId="6C733BA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50F4F5E1">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3.83km</w:t>
            </w:r>
          </w:p>
        </w:tc>
        <w:tc>
          <w:tcPr>
            <w:tcW w:w="1169" w:type="pct"/>
            <w:shd w:val="clear" w:color="auto" w:fill="auto"/>
            <w:vAlign w:val="center"/>
          </w:tcPr>
          <w:p w14:paraId="16362CE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107.256690,31.906969</w:t>
            </w:r>
          </w:p>
        </w:tc>
        <w:tc>
          <w:tcPr>
            <w:tcW w:w="659" w:type="pct"/>
            <w:shd w:val="clear" w:color="auto" w:fill="auto"/>
            <w:vAlign w:val="center"/>
          </w:tcPr>
          <w:p w14:paraId="04ECD35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71DFDEC2">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学校</w:t>
            </w:r>
          </w:p>
        </w:tc>
        <w:tc>
          <w:tcPr>
            <w:tcW w:w="946" w:type="pct"/>
            <w:vMerge w:val="continue"/>
            <w:vAlign w:val="center"/>
          </w:tcPr>
          <w:p w14:paraId="2F7F241A">
            <w:pPr>
              <w:pStyle w:val="24"/>
              <w:rPr>
                <w:rFonts w:hint="eastAsia" w:ascii="Times New Roman" w:hAnsi="Times New Roman" w:eastAsia="宋体" w:cs="Times New Roman"/>
                <w:b w:val="0"/>
                <w:bCs w:val="0"/>
                <w:color w:val="auto"/>
                <w:sz w:val="21"/>
                <w:szCs w:val="21"/>
                <w:highlight w:val="none"/>
              </w:rPr>
            </w:pPr>
          </w:p>
        </w:tc>
      </w:tr>
      <w:tr w14:paraId="67EF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7AABDA82">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1E0B1272">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通江县中医医院</w:t>
            </w:r>
          </w:p>
        </w:tc>
        <w:tc>
          <w:tcPr>
            <w:tcW w:w="337" w:type="pct"/>
            <w:shd w:val="clear" w:color="auto" w:fill="auto"/>
            <w:vAlign w:val="center"/>
          </w:tcPr>
          <w:p w14:paraId="1B725877">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1BB1EC6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3.85km</w:t>
            </w:r>
          </w:p>
        </w:tc>
        <w:tc>
          <w:tcPr>
            <w:tcW w:w="1169" w:type="pct"/>
            <w:shd w:val="clear" w:color="auto" w:fill="auto"/>
            <w:vAlign w:val="center"/>
          </w:tcPr>
          <w:p w14:paraId="5662808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107.255166,31.907999</w:t>
            </w:r>
          </w:p>
        </w:tc>
        <w:tc>
          <w:tcPr>
            <w:tcW w:w="659" w:type="pct"/>
            <w:shd w:val="clear" w:color="auto" w:fill="auto"/>
            <w:vAlign w:val="center"/>
          </w:tcPr>
          <w:p w14:paraId="1B29C65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600</w:t>
            </w:r>
            <w:r>
              <w:rPr>
                <w:rFonts w:hint="default" w:ascii="Times New Roman" w:hAnsi="Times New Roman" w:cs="Times New Roman"/>
                <w:b w:val="0"/>
                <w:bCs w:val="0"/>
                <w:color w:val="auto"/>
                <w:highlight w:val="none"/>
                <w:lang w:val="en-US" w:eastAsia="zh-CN"/>
              </w:rPr>
              <w:t>张床位</w:t>
            </w:r>
          </w:p>
        </w:tc>
        <w:tc>
          <w:tcPr>
            <w:tcW w:w="380" w:type="pct"/>
            <w:shd w:val="clear" w:color="auto" w:fill="auto"/>
            <w:vAlign w:val="center"/>
          </w:tcPr>
          <w:p w14:paraId="512AE28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医院</w:t>
            </w:r>
          </w:p>
        </w:tc>
        <w:tc>
          <w:tcPr>
            <w:tcW w:w="946" w:type="pct"/>
            <w:vMerge w:val="continue"/>
            <w:vAlign w:val="center"/>
          </w:tcPr>
          <w:p w14:paraId="32CB0FF8">
            <w:pPr>
              <w:pStyle w:val="24"/>
              <w:rPr>
                <w:rFonts w:hint="eastAsia" w:ascii="Times New Roman" w:hAnsi="Times New Roman" w:eastAsia="宋体" w:cs="Times New Roman"/>
                <w:b w:val="0"/>
                <w:bCs w:val="0"/>
                <w:color w:val="auto"/>
                <w:sz w:val="21"/>
                <w:szCs w:val="21"/>
                <w:highlight w:val="none"/>
              </w:rPr>
            </w:pPr>
          </w:p>
        </w:tc>
      </w:tr>
      <w:tr w14:paraId="43B5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261A5DD2">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119F93BC">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通江县第三小学</w:t>
            </w:r>
          </w:p>
        </w:tc>
        <w:tc>
          <w:tcPr>
            <w:tcW w:w="337" w:type="pct"/>
            <w:shd w:val="clear" w:color="auto" w:fill="auto"/>
            <w:vAlign w:val="center"/>
          </w:tcPr>
          <w:p w14:paraId="3B65FA5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5A40365E">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4.37km</w:t>
            </w:r>
          </w:p>
        </w:tc>
        <w:tc>
          <w:tcPr>
            <w:tcW w:w="1169" w:type="pct"/>
            <w:shd w:val="clear" w:color="auto" w:fill="auto"/>
            <w:vAlign w:val="center"/>
          </w:tcPr>
          <w:p w14:paraId="33AC746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107.251990,31.914995</w:t>
            </w:r>
          </w:p>
        </w:tc>
        <w:tc>
          <w:tcPr>
            <w:tcW w:w="659" w:type="pct"/>
            <w:shd w:val="clear" w:color="auto" w:fill="auto"/>
            <w:vAlign w:val="center"/>
          </w:tcPr>
          <w:p w14:paraId="45B9304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74BC1837">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学校</w:t>
            </w:r>
          </w:p>
        </w:tc>
        <w:tc>
          <w:tcPr>
            <w:tcW w:w="946" w:type="pct"/>
            <w:vMerge w:val="continue"/>
            <w:vAlign w:val="center"/>
          </w:tcPr>
          <w:p w14:paraId="65C69220">
            <w:pPr>
              <w:pStyle w:val="24"/>
              <w:rPr>
                <w:rFonts w:hint="eastAsia" w:ascii="Times New Roman" w:hAnsi="Times New Roman" w:eastAsia="宋体" w:cs="Times New Roman"/>
                <w:b w:val="0"/>
                <w:bCs w:val="0"/>
                <w:color w:val="auto"/>
                <w:sz w:val="21"/>
                <w:szCs w:val="21"/>
                <w:highlight w:val="none"/>
              </w:rPr>
            </w:pPr>
          </w:p>
        </w:tc>
      </w:tr>
      <w:tr w14:paraId="19F7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0CEB9909">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2A9A6528">
            <w:pPr>
              <w:pStyle w:val="24"/>
              <w:ind w:left="0" w:leftChars="0"/>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通江县实验小学</w:t>
            </w:r>
          </w:p>
        </w:tc>
        <w:tc>
          <w:tcPr>
            <w:tcW w:w="337" w:type="pct"/>
            <w:shd w:val="clear" w:color="auto" w:fill="auto"/>
            <w:vAlign w:val="center"/>
          </w:tcPr>
          <w:p w14:paraId="0F8BD15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5FC9812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3.93km</w:t>
            </w:r>
          </w:p>
        </w:tc>
        <w:tc>
          <w:tcPr>
            <w:tcW w:w="1169" w:type="pct"/>
            <w:shd w:val="clear" w:color="auto" w:fill="auto"/>
            <w:vAlign w:val="center"/>
          </w:tcPr>
          <w:p w14:paraId="63E2ADD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107.243450,31.913707</w:t>
            </w:r>
          </w:p>
        </w:tc>
        <w:tc>
          <w:tcPr>
            <w:tcW w:w="659" w:type="pct"/>
            <w:shd w:val="clear" w:color="auto" w:fill="auto"/>
            <w:vAlign w:val="center"/>
          </w:tcPr>
          <w:p w14:paraId="01ECF79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1A4AE85B">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学校</w:t>
            </w:r>
          </w:p>
        </w:tc>
        <w:tc>
          <w:tcPr>
            <w:tcW w:w="946" w:type="pct"/>
            <w:vMerge w:val="continue"/>
            <w:vAlign w:val="center"/>
          </w:tcPr>
          <w:p w14:paraId="085329AF">
            <w:pPr>
              <w:pStyle w:val="24"/>
              <w:rPr>
                <w:rFonts w:hint="eastAsia" w:ascii="Times New Roman" w:hAnsi="Times New Roman" w:eastAsia="宋体" w:cs="Times New Roman"/>
                <w:b w:val="0"/>
                <w:bCs w:val="0"/>
                <w:color w:val="auto"/>
                <w:sz w:val="21"/>
                <w:szCs w:val="21"/>
                <w:highlight w:val="none"/>
              </w:rPr>
            </w:pPr>
          </w:p>
        </w:tc>
      </w:tr>
      <w:tr w14:paraId="1575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68EE451E">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352C8CC1">
            <w:pPr>
              <w:pStyle w:val="24"/>
              <w:ind w:left="0" w:left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通江县实验中学</w:t>
            </w:r>
          </w:p>
        </w:tc>
        <w:tc>
          <w:tcPr>
            <w:tcW w:w="337" w:type="pct"/>
            <w:shd w:val="clear" w:color="auto" w:fill="auto"/>
            <w:vAlign w:val="center"/>
          </w:tcPr>
          <w:p w14:paraId="4E601AD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1EFCC95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4.46km</w:t>
            </w:r>
          </w:p>
        </w:tc>
        <w:tc>
          <w:tcPr>
            <w:tcW w:w="1169" w:type="pct"/>
            <w:shd w:val="clear" w:color="auto" w:fill="auto"/>
            <w:vAlign w:val="center"/>
          </w:tcPr>
          <w:p w14:paraId="7815EE8D">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107.246497,31.917806</w:t>
            </w:r>
          </w:p>
        </w:tc>
        <w:tc>
          <w:tcPr>
            <w:tcW w:w="659" w:type="pct"/>
            <w:shd w:val="clear" w:color="auto" w:fill="auto"/>
            <w:vAlign w:val="center"/>
          </w:tcPr>
          <w:p w14:paraId="074EB6A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22807DEE">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学校</w:t>
            </w:r>
          </w:p>
        </w:tc>
        <w:tc>
          <w:tcPr>
            <w:tcW w:w="946" w:type="pct"/>
            <w:vMerge w:val="continue"/>
            <w:vAlign w:val="center"/>
          </w:tcPr>
          <w:p w14:paraId="5640930D">
            <w:pPr>
              <w:pStyle w:val="24"/>
              <w:rPr>
                <w:rFonts w:hint="eastAsia" w:ascii="Times New Roman" w:hAnsi="Times New Roman" w:eastAsia="宋体" w:cs="Times New Roman"/>
                <w:b w:val="0"/>
                <w:bCs w:val="0"/>
                <w:color w:val="auto"/>
                <w:sz w:val="21"/>
                <w:szCs w:val="21"/>
                <w:highlight w:val="none"/>
              </w:rPr>
            </w:pPr>
          </w:p>
        </w:tc>
      </w:tr>
      <w:tr w14:paraId="595B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2499D458">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484C3B61">
            <w:pPr>
              <w:pStyle w:val="24"/>
              <w:ind w:left="0" w:leftChars="0"/>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lang w:val="en-US" w:eastAsia="zh-CN" w:bidi="ar-SA"/>
              </w:rPr>
              <w:t>通江县城</w:t>
            </w:r>
            <w:r>
              <w:rPr>
                <w:rFonts w:hint="eastAsia" w:cs="Times New Roman"/>
                <w:b w:val="0"/>
                <w:bCs w:val="0"/>
                <w:color w:val="auto"/>
                <w:sz w:val="21"/>
                <w:szCs w:val="21"/>
                <w:highlight w:val="none"/>
                <w:lang w:val="en-US" w:eastAsia="zh-CN"/>
              </w:rPr>
              <w:t>*</w:t>
            </w:r>
          </w:p>
        </w:tc>
        <w:tc>
          <w:tcPr>
            <w:tcW w:w="337" w:type="pct"/>
            <w:shd w:val="clear" w:color="auto" w:fill="auto"/>
            <w:vAlign w:val="center"/>
          </w:tcPr>
          <w:p w14:paraId="02D81AA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北</w:t>
            </w:r>
          </w:p>
        </w:tc>
        <w:tc>
          <w:tcPr>
            <w:tcW w:w="495" w:type="pct"/>
            <w:shd w:val="clear" w:color="auto" w:fill="auto"/>
            <w:vAlign w:val="center"/>
          </w:tcPr>
          <w:p w14:paraId="0674F0F4">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3.2km</w:t>
            </w:r>
          </w:p>
        </w:tc>
        <w:tc>
          <w:tcPr>
            <w:tcW w:w="1169" w:type="pct"/>
            <w:shd w:val="clear" w:color="auto" w:fill="auto"/>
            <w:vAlign w:val="center"/>
          </w:tcPr>
          <w:p w14:paraId="786CBEB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107.255552,31.899910</w:t>
            </w:r>
          </w:p>
        </w:tc>
        <w:tc>
          <w:tcPr>
            <w:tcW w:w="659" w:type="pct"/>
            <w:shd w:val="clear" w:color="auto" w:fill="auto"/>
            <w:vAlign w:val="center"/>
          </w:tcPr>
          <w:p w14:paraId="17BB8074">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约13万人</w:t>
            </w:r>
          </w:p>
        </w:tc>
        <w:tc>
          <w:tcPr>
            <w:tcW w:w="380" w:type="pct"/>
            <w:shd w:val="clear" w:color="auto" w:fill="auto"/>
            <w:vAlign w:val="center"/>
          </w:tcPr>
          <w:p w14:paraId="240A590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居住</w:t>
            </w:r>
          </w:p>
        </w:tc>
        <w:tc>
          <w:tcPr>
            <w:tcW w:w="946" w:type="pct"/>
            <w:vMerge w:val="continue"/>
            <w:vAlign w:val="center"/>
          </w:tcPr>
          <w:p w14:paraId="29C00E71">
            <w:pPr>
              <w:pStyle w:val="24"/>
              <w:rPr>
                <w:rFonts w:hint="eastAsia" w:ascii="Times New Roman" w:hAnsi="Times New Roman" w:eastAsia="宋体" w:cs="Times New Roman"/>
                <w:b w:val="0"/>
                <w:bCs w:val="0"/>
                <w:color w:val="auto"/>
                <w:sz w:val="21"/>
                <w:szCs w:val="21"/>
                <w:highlight w:val="none"/>
              </w:rPr>
            </w:pPr>
          </w:p>
        </w:tc>
      </w:tr>
      <w:tr w14:paraId="1104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06231E0C">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721E038D">
            <w:pPr>
              <w:pStyle w:val="24"/>
              <w:ind w:left="0" w:leftChars="0"/>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通江县妇幼保健院</w:t>
            </w:r>
          </w:p>
        </w:tc>
        <w:tc>
          <w:tcPr>
            <w:tcW w:w="337" w:type="pct"/>
            <w:shd w:val="clear" w:color="auto" w:fill="auto"/>
            <w:vAlign w:val="center"/>
          </w:tcPr>
          <w:p w14:paraId="4572E006">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0C4BBEC4">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4.39km</w:t>
            </w:r>
          </w:p>
        </w:tc>
        <w:tc>
          <w:tcPr>
            <w:tcW w:w="1169" w:type="pct"/>
            <w:shd w:val="clear" w:color="auto" w:fill="auto"/>
            <w:vAlign w:val="center"/>
          </w:tcPr>
          <w:p w14:paraId="560EC742">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107.244351,31.917698</w:t>
            </w:r>
          </w:p>
        </w:tc>
        <w:tc>
          <w:tcPr>
            <w:tcW w:w="659" w:type="pct"/>
            <w:shd w:val="clear" w:color="auto" w:fill="auto"/>
            <w:vAlign w:val="center"/>
          </w:tcPr>
          <w:p w14:paraId="2722F431">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160张床位</w:t>
            </w:r>
          </w:p>
        </w:tc>
        <w:tc>
          <w:tcPr>
            <w:tcW w:w="380" w:type="pct"/>
            <w:shd w:val="clear" w:color="auto" w:fill="auto"/>
            <w:vAlign w:val="center"/>
          </w:tcPr>
          <w:p w14:paraId="4CE3D1EE">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医院</w:t>
            </w:r>
          </w:p>
        </w:tc>
        <w:tc>
          <w:tcPr>
            <w:tcW w:w="946" w:type="pct"/>
            <w:vMerge w:val="continue"/>
            <w:vAlign w:val="center"/>
          </w:tcPr>
          <w:p w14:paraId="0A514C7E">
            <w:pPr>
              <w:pStyle w:val="24"/>
              <w:rPr>
                <w:rFonts w:hint="eastAsia" w:ascii="Times New Roman" w:hAnsi="Times New Roman" w:eastAsia="宋体" w:cs="Times New Roman"/>
                <w:b w:val="0"/>
                <w:bCs w:val="0"/>
                <w:color w:val="auto"/>
                <w:sz w:val="21"/>
                <w:szCs w:val="21"/>
                <w:highlight w:val="none"/>
              </w:rPr>
            </w:pPr>
          </w:p>
        </w:tc>
      </w:tr>
      <w:tr w14:paraId="4B18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72FAF8A3">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3C91FBA0">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通江县第二小学</w:t>
            </w:r>
          </w:p>
        </w:tc>
        <w:tc>
          <w:tcPr>
            <w:tcW w:w="337" w:type="pct"/>
            <w:shd w:val="clear" w:color="auto" w:fill="auto"/>
            <w:vAlign w:val="center"/>
          </w:tcPr>
          <w:p w14:paraId="21F1FC6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w:t>
            </w:r>
          </w:p>
        </w:tc>
        <w:tc>
          <w:tcPr>
            <w:tcW w:w="495" w:type="pct"/>
            <w:shd w:val="clear" w:color="auto" w:fill="auto"/>
            <w:vAlign w:val="center"/>
          </w:tcPr>
          <w:p w14:paraId="4C571F1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4.38km</w:t>
            </w:r>
          </w:p>
        </w:tc>
        <w:tc>
          <w:tcPr>
            <w:tcW w:w="1169" w:type="pct"/>
            <w:shd w:val="clear" w:color="auto" w:fill="auto"/>
            <w:vAlign w:val="center"/>
          </w:tcPr>
          <w:p w14:paraId="0D77A8D6">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107.237828,31.918814</w:t>
            </w:r>
          </w:p>
        </w:tc>
        <w:tc>
          <w:tcPr>
            <w:tcW w:w="659" w:type="pct"/>
            <w:shd w:val="clear" w:color="auto" w:fill="auto"/>
            <w:vAlign w:val="center"/>
          </w:tcPr>
          <w:p w14:paraId="65CF0B73">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约2000人</w:t>
            </w:r>
          </w:p>
        </w:tc>
        <w:tc>
          <w:tcPr>
            <w:tcW w:w="380" w:type="pct"/>
            <w:shd w:val="clear" w:color="auto" w:fill="auto"/>
            <w:vAlign w:val="center"/>
          </w:tcPr>
          <w:p w14:paraId="21AE973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学校</w:t>
            </w:r>
          </w:p>
        </w:tc>
        <w:tc>
          <w:tcPr>
            <w:tcW w:w="946" w:type="pct"/>
            <w:vMerge w:val="continue"/>
            <w:vAlign w:val="center"/>
          </w:tcPr>
          <w:p w14:paraId="4A1343D0">
            <w:pPr>
              <w:pStyle w:val="24"/>
              <w:rPr>
                <w:rFonts w:hint="eastAsia" w:ascii="Times New Roman" w:hAnsi="Times New Roman" w:eastAsia="宋体" w:cs="Times New Roman"/>
                <w:b w:val="0"/>
                <w:bCs w:val="0"/>
                <w:color w:val="auto"/>
                <w:sz w:val="21"/>
                <w:szCs w:val="21"/>
                <w:highlight w:val="none"/>
              </w:rPr>
            </w:pPr>
          </w:p>
        </w:tc>
      </w:tr>
      <w:tr w14:paraId="172C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413534CF">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3F698CB0">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诺江镇苗南小学</w:t>
            </w:r>
          </w:p>
        </w:tc>
        <w:tc>
          <w:tcPr>
            <w:tcW w:w="337" w:type="pct"/>
            <w:shd w:val="clear" w:color="auto" w:fill="auto"/>
            <w:vAlign w:val="center"/>
          </w:tcPr>
          <w:p w14:paraId="7C0C24E1">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西北</w:t>
            </w:r>
          </w:p>
        </w:tc>
        <w:tc>
          <w:tcPr>
            <w:tcW w:w="495" w:type="pct"/>
            <w:shd w:val="clear" w:color="auto" w:fill="auto"/>
            <w:vAlign w:val="center"/>
          </w:tcPr>
          <w:p w14:paraId="064EB33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3.83km</w:t>
            </w:r>
          </w:p>
        </w:tc>
        <w:tc>
          <w:tcPr>
            <w:tcW w:w="1169" w:type="pct"/>
            <w:shd w:val="clear" w:color="auto" w:fill="auto"/>
            <w:vAlign w:val="center"/>
          </w:tcPr>
          <w:p w14:paraId="2B610D1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107.199934,31.901176</w:t>
            </w:r>
          </w:p>
        </w:tc>
        <w:tc>
          <w:tcPr>
            <w:tcW w:w="659" w:type="pct"/>
            <w:shd w:val="clear" w:color="auto" w:fill="auto"/>
            <w:vAlign w:val="center"/>
          </w:tcPr>
          <w:p w14:paraId="693F98C3">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13382046">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学校</w:t>
            </w:r>
          </w:p>
        </w:tc>
        <w:tc>
          <w:tcPr>
            <w:tcW w:w="946" w:type="pct"/>
            <w:vMerge w:val="continue"/>
            <w:vAlign w:val="center"/>
          </w:tcPr>
          <w:p w14:paraId="5275337E">
            <w:pPr>
              <w:pStyle w:val="24"/>
              <w:rPr>
                <w:rFonts w:hint="eastAsia" w:ascii="Times New Roman" w:hAnsi="Times New Roman" w:eastAsia="宋体" w:cs="Times New Roman"/>
                <w:b w:val="0"/>
                <w:bCs w:val="0"/>
                <w:color w:val="auto"/>
                <w:sz w:val="21"/>
                <w:szCs w:val="21"/>
                <w:highlight w:val="none"/>
              </w:rPr>
            </w:pPr>
          </w:p>
        </w:tc>
      </w:tr>
      <w:tr w14:paraId="3661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2F5BF455">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7762B25A">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通江县第六小学</w:t>
            </w:r>
          </w:p>
        </w:tc>
        <w:tc>
          <w:tcPr>
            <w:tcW w:w="337" w:type="pct"/>
            <w:shd w:val="clear" w:color="auto" w:fill="auto"/>
            <w:vAlign w:val="center"/>
          </w:tcPr>
          <w:p w14:paraId="688D775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西北</w:t>
            </w:r>
          </w:p>
        </w:tc>
        <w:tc>
          <w:tcPr>
            <w:tcW w:w="495" w:type="pct"/>
            <w:shd w:val="clear" w:color="auto" w:fill="auto"/>
            <w:vAlign w:val="center"/>
          </w:tcPr>
          <w:p w14:paraId="37AA7929">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5km</w:t>
            </w:r>
          </w:p>
        </w:tc>
        <w:tc>
          <w:tcPr>
            <w:tcW w:w="1169" w:type="pct"/>
            <w:shd w:val="clear" w:color="auto" w:fill="auto"/>
            <w:vAlign w:val="center"/>
          </w:tcPr>
          <w:p w14:paraId="20A96DBA">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107.211135,31.921647</w:t>
            </w:r>
          </w:p>
        </w:tc>
        <w:tc>
          <w:tcPr>
            <w:tcW w:w="659" w:type="pct"/>
            <w:shd w:val="clear" w:color="auto" w:fill="auto"/>
            <w:vAlign w:val="center"/>
          </w:tcPr>
          <w:p w14:paraId="46CBFA2F">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c>
          <w:tcPr>
            <w:tcW w:w="380" w:type="pct"/>
            <w:shd w:val="clear" w:color="auto" w:fill="auto"/>
            <w:vAlign w:val="center"/>
          </w:tcPr>
          <w:p w14:paraId="01D3B1BD">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学校</w:t>
            </w:r>
          </w:p>
        </w:tc>
        <w:tc>
          <w:tcPr>
            <w:tcW w:w="946" w:type="pct"/>
            <w:vMerge w:val="continue"/>
            <w:vAlign w:val="center"/>
          </w:tcPr>
          <w:p w14:paraId="79B5B7E4">
            <w:pPr>
              <w:pStyle w:val="24"/>
              <w:rPr>
                <w:rFonts w:hint="eastAsia" w:ascii="Times New Roman" w:hAnsi="Times New Roman" w:eastAsia="宋体" w:cs="Times New Roman"/>
                <w:b w:val="0"/>
                <w:bCs w:val="0"/>
                <w:color w:val="auto"/>
                <w:sz w:val="21"/>
                <w:szCs w:val="21"/>
                <w:highlight w:val="none"/>
              </w:rPr>
            </w:pPr>
          </w:p>
        </w:tc>
      </w:tr>
      <w:tr w14:paraId="40A7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372" w:type="pct"/>
            <w:vMerge w:val="continue"/>
            <w:vAlign w:val="center"/>
          </w:tcPr>
          <w:p w14:paraId="14F45F24">
            <w:pPr>
              <w:pStyle w:val="24"/>
              <w:rPr>
                <w:rFonts w:hint="eastAsia" w:ascii="Times New Roman" w:hAnsi="Times New Roman" w:eastAsia="宋体" w:cs="Times New Roman"/>
                <w:b w:val="0"/>
                <w:bCs w:val="0"/>
                <w:color w:val="auto"/>
                <w:sz w:val="21"/>
                <w:szCs w:val="21"/>
                <w:highlight w:val="none"/>
              </w:rPr>
            </w:pPr>
          </w:p>
        </w:tc>
        <w:tc>
          <w:tcPr>
            <w:tcW w:w="639" w:type="pct"/>
            <w:shd w:val="clear" w:color="auto" w:fill="auto"/>
            <w:vAlign w:val="center"/>
          </w:tcPr>
          <w:p w14:paraId="25908336">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通江新区医院</w:t>
            </w:r>
          </w:p>
        </w:tc>
        <w:tc>
          <w:tcPr>
            <w:tcW w:w="337" w:type="pct"/>
            <w:shd w:val="clear" w:color="auto" w:fill="auto"/>
            <w:vAlign w:val="center"/>
          </w:tcPr>
          <w:p w14:paraId="25525845">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西北</w:t>
            </w:r>
          </w:p>
        </w:tc>
        <w:tc>
          <w:tcPr>
            <w:tcW w:w="495" w:type="pct"/>
            <w:shd w:val="clear" w:color="auto" w:fill="auto"/>
            <w:vAlign w:val="center"/>
          </w:tcPr>
          <w:p w14:paraId="28E11FB0">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4.99km</w:t>
            </w:r>
          </w:p>
        </w:tc>
        <w:tc>
          <w:tcPr>
            <w:tcW w:w="1169" w:type="pct"/>
            <w:shd w:val="clear" w:color="auto" w:fill="auto"/>
            <w:vAlign w:val="center"/>
          </w:tcPr>
          <w:p w14:paraId="08F4646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107.203367,31.917441</w:t>
            </w:r>
          </w:p>
        </w:tc>
        <w:tc>
          <w:tcPr>
            <w:tcW w:w="659" w:type="pct"/>
            <w:shd w:val="clear" w:color="auto" w:fill="auto"/>
            <w:vAlign w:val="center"/>
          </w:tcPr>
          <w:p w14:paraId="0C8A5C46">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450张床位</w:t>
            </w:r>
          </w:p>
        </w:tc>
        <w:tc>
          <w:tcPr>
            <w:tcW w:w="380" w:type="pct"/>
            <w:shd w:val="clear" w:color="auto" w:fill="auto"/>
            <w:vAlign w:val="center"/>
          </w:tcPr>
          <w:p w14:paraId="1480318C">
            <w:pPr>
              <w:pStyle w:val="24"/>
              <w:ind w:left="0" w:leftChars="0"/>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医院</w:t>
            </w:r>
          </w:p>
        </w:tc>
        <w:tc>
          <w:tcPr>
            <w:tcW w:w="946" w:type="pct"/>
            <w:vMerge w:val="continue"/>
            <w:vAlign w:val="center"/>
          </w:tcPr>
          <w:p w14:paraId="411616A8">
            <w:pPr>
              <w:pStyle w:val="24"/>
              <w:rPr>
                <w:rFonts w:hint="eastAsia" w:ascii="Times New Roman" w:hAnsi="Times New Roman" w:eastAsia="宋体" w:cs="Times New Roman"/>
                <w:b w:val="0"/>
                <w:bCs w:val="0"/>
                <w:color w:val="auto"/>
                <w:sz w:val="21"/>
                <w:szCs w:val="21"/>
                <w:highlight w:val="none"/>
              </w:rPr>
            </w:pPr>
          </w:p>
        </w:tc>
      </w:tr>
      <w:tr w14:paraId="38A8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372" w:type="pct"/>
            <w:vMerge w:val="restart"/>
            <w:vAlign w:val="center"/>
          </w:tcPr>
          <w:p w14:paraId="3426F8B7">
            <w:pPr>
              <w:pStyle w:val="24"/>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声环境</w:t>
            </w:r>
          </w:p>
        </w:tc>
        <w:tc>
          <w:tcPr>
            <w:tcW w:w="3301" w:type="pct"/>
            <w:gridSpan w:val="5"/>
            <w:vAlign w:val="center"/>
          </w:tcPr>
          <w:p w14:paraId="3F1F48E9">
            <w:pPr>
              <w:pStyle w:val="24"/>
              <w:rPr>
                <w:rFonts w:hint="default" w:ascii="Times New Roman" w:hAnsi="Times New Roman" w:eastAsia="宋体" w:cs="Times New Roman"/>
                <w:b w:val="0"/>
                <w:bCs w:val="0"/>
                <w:color w:val="auto"/>
                <w:sz w:val="21"/>
                <w:szCs w:val="21"/>
                <w:highlight w:val="none"/>
                <w:lang w:val="en-US"/>
              </w:rPr>
            </w:pPr>
            <w:r>
              <w:rPr>
                <w:rFonts w:hint="eastAsia" w:ascii="Times New Roman" w:hAnsi="Times New Roman" w:eastAsia="宋体" w:cs="Times New Roman"/>
                <w:b w:val="0"/>
                <w:bCs w:val="0"/>
                <w:color w:val="auto"/>
                <w:sz w:val="21"/>
                <w:szCs w:val="21"/>
                <w:highlight w:val="none"/>
              </w:rPr>
              <w:t>厂界200m范围</w:t>
            </w:r>
            <w:r>
              <w:rPr>
                <w:rFonts w:hint="eastAsia" w:ascii="Times New Roman" w:hAnsi="Times New Roman" w:eastAsia="宋体" w:cs="Times New Roman"/>
                <w:b w:val="0"/>
                <w:bCs w:val="0"/>
                <w:color w:val="auto"/>
                <w:sz w:val="21"/>
                <w:szCs w:val="21"/>
                <w:highlight w:val="none"/>
                <w:lang w:val="en-US" w:eastAsia="zh-CN"/>
              </w:rPr>
              <w:t>内</w:t>
            </w:r>
            <w:r>
              <w:rPr>
                <w:rFonts w:hint="eastAsia" w:cs="Times New Roman"/>
                <w:b w:val="0"/>
                <w:bCs w:val="0"/>
                <w:color w:val="auto"/>
                <w:sz w:val="21"/>
                <w:szCs w:val="21"/>
                <w:highlight w:val="none"/>
                <w:lang w:val="en-US" w:eastAsia="zh-CN"/>
              </w:rPr>
              <w:t>-金堂区块</w:t>
            </w:r>
          </w:p>
        </w:tc>
        <w:tc>
          <w:tcPr>
            <w:tcW w:w="380" w:type="pct"/>
            <w:vAlign w:val="center"/>
          </w:tcPr>
          <w:p w14:paraId="6DEF28E0">
            <w:pPr>
              <w:pStyle w:val="24"/>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rPr>
              <w:t>工业</w:t>
            </w:r>
            <w:r>
              <w:rPr>
                <w:rFonts w:hint="eastAsia" w:cs="Times New Roman"/>
                <w:b w:val="0"/>
                <w:bCs w:val="0"/>
                <w:color w:val="auto"/>
                <w:sz w:val="21"/>
                <w:szCs w:val="21"/>
                <w:highlight w:val="none"/>
                <w:lang w:val="en-US" w:eastAsia="zh-CN"/>
              </w:rPr>
              <w:t>园区</w:t>
            </w:r>
          </w:p>
        </w:tc>
        <w:tc>
          <w:tcPr>
            <w:tcW w:w="946" w:type="pct"/>
            <w:vAlign w:val="center"/>
          </w:tcPr>
          <w:p w14:paraId="45E3C817">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《声环境质量标准》（GB3096-2008）3类标准</w:t>
            </w:r>
          </w:p>
        </w:tc>
      </w:tr>
      <w:tr w14:paraId="25DA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372" w:type="pct"/>
            <w:vMerge w:val="continue"/>
            <w:vAlign w:val="center"/>
          </w:tcPr>
          <w:p w14:paraId="7D866E58">
            <w:pPr>
              <w:pStyle w:val="24"/>
              <w:rPr>
                <w:rFonts w:hint="eastAsia" w:ascii="Times New Roman" w:hAnsi="Times New Roman" w:eastAsia="宋体" w:cs="Times New Roman"/>
                <w:b w:val="0"/>
                <w:bCs w:val="0"/>
                <w:color w:val="auto"/>
                <w:sz w:val="21"/>
                <w:szCs w:val="21"/>
                <w:highlight w:val="none"/>
                <w:lang w:val="en-US" w:eastAsia="zh-CN"/>
              </w:rPr>
            </w:pPr>
          </w:p>
        </w:tc>
        <w:tc>
          <w:tcPr>
            <w:tcW w:w="3301" w:type="pct"/>
            <w:gridSpan w:val="5"/>
            <w:vAlign w:val="center"/>
          </w:tcPr>
          <w:p w14:paraId="72B6641F">
            <w:pPr>
              <w:pStyle w:val="24"/>
              <w:rPr>
                <w:rFonts w:hint="default" w:ascii="Times New Roman" w:hAnsi="Times New Roman" w:eastAsia="宋体" w:cs="Times New Roman"/>
                <w:b w:val="0"/>
                <w:bCs w:val="0"/>
                <w:color w:val="auto"/>
                <w:sz w:val="21"/>
                <w:szCs w:val="21"/>
                <w:highlight w:val="none"/>
                <w:lang w:val="en-US"/>
              </w:rPr>
            </w:pPr>
            <w:r>
              <w:rPr>
                <w:rFonts w:hint="eastAsia" w:ascii="Times New Roman" w:hAnsi="Times New Roman" w:eastAsia="宋体" w:cs="Times New Roman"/>
                <w:b w:val="0"/>
                <w:bCs w:val="0"/>
                <w:color w:val="auto"/>
                <w:sz w:val="21"/>
                <w:szCs w:val="21"/>
                <w:highlight w:val="none"/>
              </w:rPr>
              <w:t>厂界200m范围</w:t>
            </w:r>
            <w:r>
              <w:rPr>
                <w:rFonts w:hint="eastAsia" w:ascii="Times New Roman" w:hAnsi="Times New Roman" w:eastAsia="宋体" w:cs="Times New Roman"/>
                <w:b w:val="0"/>
                <w:bCs w:val="0"/>
                <w:color w:val="auto"/>
                <w:sz w:val="21"/>
                <w:szCs w:val="21"/>
                <w:highlight w:val="none"/>
                <w:lang w:val="en-US" w:eastAsia="zh-CN"/>
              </w:rPr>
              <w:t>内</w:t>
            </w:r>
            <w:r>
              <w:rPr>
                <w:rFonts w:hint="eastAsia" w:cs="Times New Roman"/>
                <w:b w:val="0"/>
                <w:bCs w:val="0"/>
                <w:color w:val="auto"/>
                <w:sz w:val="21"/>
                <w:szCs w:val="21"/>
                <w:highlight w:val="none"/>
                <w:lang w:val="en-US" w:eastAsia="zh-CN"/>
              </w:rPr>
              <w:t>-其他区域</w:t>
            </w:r>
          </w:p>
        </w:tc>
        <w:tc>
          <w:tcPr>
            <w:tcW w:w="380" w:type="pct"/>
            <w:vAlign w:val="center"/>
          </w:tcPr>
          <w:p w14:paraId="1483AA56">
            <w:pPr>
              <w:pStyle w:val="24"/>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农村</w:t>
            </w:r>
          </w:p>
        </w:tc>
        <w:tc>
          <w:tcPr>
            <w:tcW w:w="946" w:type="pct"/>
            <w:vAlign w:val="center"/>
          </w:tcPr>
          <w:p w14:paraId="0DE7D1E8">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《声环境质量标准》（GB3096-2008）</w:t>
            </w:r>
            <w:r>
              <w:rPr>
                <w:rFonts w:hint="eastAsia" w:ascii="Times New Roman" w:hAnsi="Times New Roman" w:eastAsia="宋体" w:cs="Times New Roman"/>
                <w:b w:val="0"/>
                <w:bCs w:val="0"/>
                <w:color w:val="auto"/>
                <w:sz w:val="21"/>
                <w:szCs w:val="21"/>
                <w:highlight w:val="none"/>
                <w:lang w:val="en-US" w:eastAsia="zh-CN"/>
              </w:rPr>
              <w:t>2</w:t>
            </w:r>
            <w:r>
              <w:rPr>
                <w:rFonts w:hint="eastAsia" w:ascii="Times New Roman" w:hAnsi="Times New Roman" w:eastAsia="宋体" w:cs="Times New Roman"/>
                <w:b w:val="0"/>
                <w:bCs w:val="0"/>
                <w:color w:val="auto"/>
                <w:sz w:val="21"/>
                <w:szCs w:val="21"/>
                <w:highlight w:val="none"/>
              </w:rPr>
              <w:t>类标准</w:t>
            </w:r>
          </w:p>
        </w:tc>
      </w:tr>
      <w:tr w14:paraId="4809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72" w:type="pct"/>
            <w:vAlign w:val="center"/>
          </w:tcPr>
          <w:p w14:paraId="49744AE1">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地表水环境</w:t>
            </w:r>
          </w:p>
        </w:tc>
        <w:tc>
          <w:tcPr>
            <w:tcW w:w="639" w:type="pct"/>
            <w:vAlign w:val="center"/>
          </w:tcPr>
          <w:p w14:paraId="4DE76527">
            <w:pPr>
              <w:pStyle w:val="24"/>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通江河*</w:t>
            </w:r>
          </w:p>
        </w:tc>
        <w:tc>
          <w:tcPr>
            <w:tcW w:w="337" w:type="pct"/>
            <w:vAlign w:val="center"/>
          </w:tcPr>
          <w:p w14:paraId="072C57F0">
            <w:pPr>
              <w:pStyle w:val="24"/>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南</w:t>
            </w:r>
          </w:p>
        </w:tc>
        <w:tc>
          <w:tcPr>
            <w:tcW w:w="495" w:type="pct"/>
            <w:vAlign w:val="center"/>
          </w:tcPr>
          <w:p w14:paraId="3CA673BF">
            <w:pPr>
              <w:pStyle w:val="24"/>
              <w:rPr>
                <w:rFonts w:hint="default" w:ascii="Times New Roman" w:hAnsi="Times New Roman" w:eastAsia="宋体" w:cs="Times New Roman"/>
                <w:b w:val="0"/>
                <w:bCs w:val="0"/>
                <w:color w:val="auto"/>
                <w:sz w:val="21"/>
                <w:szCs w:val="21"/>
                <w:highlight w:val="none"/>
                <w:lang w:val="en-US"/>
              </w:rPr>
            </w:pPr>
            <w:r>
              <w:rPr>
                <w:rFonts w:hint="eastAsia" w:cs="Times New Roman"/>
                <w:b w:val="0"/>
                <w:bCs w:val="0"/>
                <w:color w:val="auto"/>
                <w:sz w:val="21"/>
                <w:szCs w:val="21"/>
                <w:highlight w:val="none"/>
                <w:lang w:val="en-US" w:eastAsia="zh-CN"/>
              </w:rPr>
              <w:t>2650m</w:t>
            </w:r>
          </w:p>
        </w:tc>
        <w:tc>
          <w:tcPr>
            <w:tcW w:w="1169" w:type="pct"/>
            <w:vAlign w:val="center"/>
          </w:tcPr>
          <w:p w14:paraId="0B9524CB">
            <w:pPr>
              <w:pStyle w:val="24"/>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1040" w:type="pct"/>
            <w:gridSpan w:val="2"/>
            <w:vAlign w:val="center"/>
          </w:tcPr>
          <w:p w14:paraId="159A4F40">
            <w:pPr>
              <w:pStyle w:val="24"/>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城镇及工业用水</w:t>
            </w:r>
          </w:p>
        </w:tc>
        <w:tc>
          <w:tcPr>
            <w:tcW w:w="946" w:type="pct"/>
            <w:vAlign w:val="center"/>
          </w:tcPr>
          <w:p w14:paraId="3C2DAB61">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《地表水环境质量标准》（GB3838-2002）Ⅲ类标准</w:t>
            </w:r>
          </w:p>
        </w:tc>
      </w:tr>
      <w:tr w14:paraId="5E16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72" w:type="pct"/>
            <w:vMerge w:val="restart"/>
            <w:vAlign w:val="center"/>
          </w:tcPr>
          <w:p w14:paraId="43824207">
            <w:pPr>
              <w:pStyle w:val="24"/>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地下水环境</w:t>
            </w:r>
          </w:p>
        </w:tc>
        <w:tc>
          <w:tcPr>
            <w:tcW w:w="639" w:type="pct"/>
            <w:vAlign w:val="center"/>
          </w:tcPr>
          <w:p w14:paraId="50BA98BD">
            <w:pPr>
              <w:pStyle w:val="24"/>
              <w:ind w:left="0" w:leftChars="0"/>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金堂村分散式水井*</w:t>
            </w:r>
          </w:p>
        </w:tc>
        <w:tc>
          <w:tcPr>
            <w:tcW w:w="337" w:type="pct"/>
            <w:vAlign w:val="center"/>
          </w:tcPr>
          <w:p w14:paraId="006314D6">
            <w:pPr>
              <w:pStyle w:val="24"/>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东南</w:t>
            </w:r>
          </w:p>
        </w:tc>
        <w:tc>
          <w:tcPr>
            <w:tcW w:w="495" w:type="pct"/>
            <w:vAlign w:val="center"/>
          </w:tcPr>
          <w:p w14:paraId="677D16A0">
            <w:pPr>
              <w:pStyle w:val="24"/>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1.7km</w:t>
            </w:r>
          </w:p>
        </w:tc>
        <w:tc>
          <w:tcPr>
            <w:tcW w:w="1169" w:type="pct"/>
            <w:shd w:val="clear" w:color="auto" w:fill="auto"/>
            <w:vAlign w:val="center"/>
          </w:tcPr>
          <w:p w14:paraId="62207A03">
            <w:pPr>
              <w:pStyle w:val="24"/>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40" w:type="pct"/>
            <w:gridSpan w:val="2"/>
            <w:vMerge w:val="restart"/>
            <w:shd w:val="clear" w:color="auto" w:fill="auto"/>
            <w:vAlign w:val="center"/>
          </w:tcPr>
          <w:p w14:paraId="22C34DAD">
            <w:pPr>
              <w:pStyle w:val="24"/>
              <w:ind w:left="0" w:leftChars="0"/>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rPr>
              <w:t>第四系松散岩类孔隙水</w:t>
            </w:r>
            <w:r>
              <w:rPr>
                <w:rFonts w:hint="eastAsia" w:ascii="Times New Roman" w:hAnsi="Times New Roman" w:cs="Times New Roman"/>
                <w:color w:val="auto"/>
                <w:lang w:val="en-US" w:eastAsia="zh-CN"/>
              </w:rPr>
              <w:t>和</w:t>
            </w: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r>
              <w:rPr>
                <w:rFonts w:hint="eastAsia"/>
                <w:color w:val="auto"/>
                <w:szCs w:val="20"/>
                <w:highlight w:val="none"/>
                <w:lang w:val="en-US" w:eastAsia="zh-CN"/>
              </w:rPr>
              <w:t>基岩裂隙水</w:t>
            </w:r>
          </w:p>
        </w:tc>
        <w:tc>
          <w:tcPr>
            <w:tcW w:w="946" w:type="pct"/>
            <w:vMerge w:val="restart"/>
            <w:vAlign w:val="center"/>
          </w:tcPr>
          <w:p w14:paraId="666B307B">
            <w:pPr>
              <w:pStyle w:val="24"/>
              <w:ind w:left="0" w:leftChars="0"/>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《地下水质量标准》（GB/T14848-2017）Ⅲ类标准</w:t>
            </w:r>
          </w:p>
        </w:tc>
      </w:tr>
      <w:tr w14:paraId="6CE7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72" w:type="pct"/>
            <w:vMerge w:val="continue"/>
            <w:vAlign w:val="center"/>
          </w:tcPr>
          <w:p w14:paraId="7C712111">
            <w:pPr>
              <w:pStyle w:val="24"/>
              <w:rPr>
                <w:rFonts w:hint="eastAsia" w:ascii="Times New Roman" w:hAnsi="Times New Roman" w:eastAsia="宋体" w:cs="Times New Roman"/>
                <w:b w:val="0"/>
                <w:bCs w:val="0"/>
                <w:color w:val="auto"/>
                <w:sz w:val="21"/>
                <w:szCs w:val="21"/>
                <w:highlight w:val="none"/>
              </w:rPr>
            </w:pPr>
          </w:p>
        </w:tc>
        <w:tc>
          <w:tcPr>
            <w:tcW w:w="639" w:type="pct"/>
            <w:vAlign w:val="center"/>
          </w:tcPr>
          <w:p w14:paraId="7D32EABE">
            <w:pPr>
              <w:pStyle w:val="24"/>
              <w:ind w:left="0" w:leftChars="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秋锦山村分散式水井*</w:t>
            </w:r>
          </w:p>
        </w:tc>
        <w:tc>
          <w:tcPr>
            <w:tcW w:w="337" w:type="pct"/>
            <w:vAlign w:val="center"/>
          </w:tcPr>
          <w:p w14:paraId="773D3094">
            <w:pPr>
              <w:pStyle w:val="24"/>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w:t>
            </w:r>
          </w:p>
        </w:tc>
        <w:tc>
          <w:tcPr>
            <w:tcW w:w="495" w:type="pct"/>
            <w:vAlign w:val="center"/>
          </w:tcPr>
          <w:p w14:paraId="11A02DF8">
            <w:pPr>
              <w:pStyle w:val="24"/>
              <w:rPr>
                <w:rFonts w:hint="default" w:cs="Times New Roman"/>
                <w:b w:val="0"/>
                <w:bCs w:val="0"/>
                <w:color w:val="auto"/>
                <w:sz w:val="21"/>
                <w:szCs w:val="21"/>
                <w:highlight w:val="none"/>
                <w:lang w:val="en-US" w:eastAsia="zh-CN"/>
              </w:rPr>
            </w:pPr>
            <w:r>
              <w:rPr>
                <w:rFonts w:hint="eastAsia" w:cs="Times New Roman"/>
                <w:b w:val="0"/>
                <w:bCs w:val="0"/>
                <w:color w:val="auto"/>
                <w:kern w:val="2"/>
                <w:sz w:val="21"/>
                <w:szCs w:val="24"/>
                <w:highlight w:val="none"/>
                <w:lang w:val="en-US" w:eastAsia="zh-CN" w:bidi="ar-SA"/>
              </w:rPr>
              <w:t>1.2km</w:t>
            </w:r>
          </w:p>
        </w:tc>
        <w:tc>
          <w:tcPr>
            <w:tcW w:w="1169" w:type="pct"/>
            <w:shd w:val="clear" w:color="auto" w:fill="auto"/>
            <w:vAlign w:val="center"/>
          </w:tcPr>
          <w:p w14:paraId="6EAE2AF8">
            <w:pPr>
              <w:pStyle w:val="24"/>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40" w:type="pct"/>
            <w:gridSpan w:val="2"/>
            <w:vMerge w:val="continue"/>
            <w:shd w:val="clear" w:color="auto" w:fill="auto"/>
            <w:vAlign w:val="center"/>
          </w:tcPr>
          <w:p w14:paraId="3F3A944A">
            <w:pPr>
              <w:pStyle w:val="24"/>
              <w:rPr>
                <w:rFonts w:hint="eastAsia" w:ascii="Times New Roman" w:hAnsi="Times New Roman" w:eastAsia="宋体" w:cs="Times New Roman"/>
                <w:b w:val="0"/>
                <w:bCs w:val="0"/>
                <w:color w:val="auto"/>
                <w:sz w:val="21"/>
                <w:szCs w:val="21"/>
                <w:highlight w:val="none"/>
                <w:lang w:val="en-US" w:eastAsia="zh-CN"/>
              </w:rPr>
            </w:pPr>
          </w:p>
        </w:tc>
        <w:tc>
          <w:tcPr>
            <w:tcW w:w="946" w:type="pct"/>
            <w:vMerge w:val="continue"/>
            <w:vAlign w:val="center"/>
          </w:tcPr>
          <w:p w14:paraId="77332DEF">
            <w:pPr>
              <w:pStyle w:val="24"/>
              <w:rPr>
                <w:rFonts w:hint="eastAsia" w:ascii="Times New Roman" w:hAnsi="Times New Roman" w:eastAsia="宋体" w:cs="Times New Roman"/>
                <w:b w:val="0"/>
                <w:bCs w:val="0"/>
                <w:color w:val="auto"/>
                <w:sz w:val="21"/>
                <w:szCs w:val="21"/>
                <w:highlight w:val="none"/>
              </w:rPr>
            </w:pPr>
          </w:p>
        </w:tc>
      </w:tr>
      <w:tr w14:paraId="0021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72" w:type="pct"/>
            <w:vMerge w:val="continue"/>
            <w:vAlign w:val="center"/>
          </w:tcPr>
          <w:p w14:paraId="1B50BC16">
            <w:pPr>
              <w:pStyle w:val="24"/>
              <w:rPr>
                <w:rFonts w:hint="eastAsia" w:ascii="Times New Roman" w:hAnsi="Times New Roman" w:eastAsia="宋体" w:cs="Times New Roman"/>
                <w:b w:val="0"/>
                <w:bCs w:val="0"/>
                <w:color w:val="auto"/>
                <w:sz w:val="21"/>
                <w:szCs w:val="21"/>
                <w:highlight w:val="none"/>
                <w:lang w:val="en-US" w:eastAsia="zh-CN"/>
              </w:rPr>
            </w:pPr>
          </w:p>
        </w:tc>
        <w:tc>
          <w:tcPr>
            <w:tcW w:w="2641" w:type="pct"/>
            <w:gridSpan w:val="4"/>
            <w:vAlign w:val="center"/>
          </w:tcPr>
          <w:p w14:paraId="3A330804">
            <w:pPr>
              <w:pStyle w:val="24"/>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color w:val="auto"/>
                <w:sz w:val="21"/>
                <w:szCs w:val="21"/>
                <w:highlight w:val="none"/>
                <w:lang w:val="en-US" w:eastAsia="zh-CN"/>
              </w:rPr>
              <w:t>西侧420m处以龙潭沟为界、北侧2550m处以麻石口-杜家院一带分水岭为界、东侧1240m处以杜家院-团梁包一带分水岭为界，南侧2800m处以通江河为界</w:t>
            </w:r>
            <w:r>
              <w:rPr>
                <w:rFonts w:hint="eastAsia" w:ascii="Times New Roman" w:hAnsi="Times New Roman"/>
                <w:color w:val="auto"/>
                <w:sz w:val="21"/>
                <w:szCs w:val="21"/>
                <w:highlight w:val="none"/>
                <w:lang w:val="en-US" w:eastAsia="zh-CN"/>
              </w:rPr>
              <w:t>。</w:t>
            </w:r>
            <w:r>
              <w:rPr>
                <w:rFonts w:hint="default" w:ascii="Times New Roman" w:hAnsi="Times New Roman" w:cs="Times New Roman"/>
                <w:color w:val="auto"/>
                <w:sz w:val="21"/>
                <w:szCs w:val="21"/>
                <w:highlight w:val="none"/>
                <w:u w:val="none"/>
                <w:lang w:val="en-US" w:eastAsia="zh-CN"/>
              </w:rPr>
              <w:t>据测算，地下水环境影响</w:t>
            </w:r>
            <w:r>
              <w:rPr>
                <w:rFonts w:hint="default" w:ascii="Times New Roman" w:hAnsi="Times New Roman" w:cs="Times New Roman"/>
                <w:color w:val="auto"/>
                <w:sz w:val="21"/>
                <w:szCs w:val="21"/>
                <w:highlight w:val="none"/>
                <w:u w:val="none"/>
              </w:rPr>
              <w:t>评价范围面积</w:t>
            </w:r>
            <w:r>
              <w:rPr>
                <w:rFonts w:hint="eastAsia" w:cs="Times New Roman"/>
                <w:color w:val="auto"/>
                <w:sz w:val="21"/>
                <w:szCs w:val="21"/>
                <w:highlight w:val="none"/>
                <w:u w:val="none"/>
                <w:lang w:val="en-US" w:eastAsia="zh-CN"/>
              </w:rPr>
              <w:t>8.63km</w:t>
            </w:r>
            <w:r>
              <w:rPr>
                <w:rFonts w:hint="default" w:ascii="Times New Roman" w:hAnsi="Times New Roman" w:cs="Times New Roman"/>
                <w:color w:val="auto"/>
                <w:sz w:val="21"/>
                <w:szCs w:val="21"/>
                <w:highlight w:val="none"/>
                <w:u w:val="none"/>
                <w:vertAlign w:val="superscript"/>
              </w:rPr>
              <w:t>2</w:t>
            </w:r>
            <w:r>
              <w:rPr>
                <w:rFonts w:hint="eastAsia" w:cs="Times New Roman"/>
                <w:color w:val="auto"/>
                <w:sz w:val="21"/>
                <w:szCs w:val="21"/>
                <w:highlight w:val="none"/>
                <w:u w:val="none"/>
                <w:vertAlign w:val="baseline"/>
                <w:lang w:val="en-US" w:eastAsia="zh-CN"/>
              </w:rPr>
              <w:t>内</w:t>
            </w:r>
            <w:r>
              <w:rPr>
                <w:rFonts w:hint="eastAsia" w:ascii="Times New Roman" w:hAnsi="Times New Roman" w:eastAsia="宋体" w:cs="Times New Roman"/>
                <w:b w:val="0"/>
                <w:bCs w:val="0"/>
                <w:color w:val="auto"/>
                <w:sz w:val="21"/>
                <w:szCs w:val="21"/>
                <w:highlight w:val="none"/>
              </w:rPr>
              <w:t>地下水潜水含水层</w:t>
            </w:r>
            <w:r>
              <w:rPr>
                <w:rFonts w:hint="eastAsia" w:cs="Times New Roman"/>
                <w:b w:val="0"/>
                <w:bCs w:val="0"/>
                <w:color w:val="auto"/>
                <w:sz w:val="21"/>
                <w:szCs w:val="21"/>
                <w:highlight w:val="none"/>
                <w:lang w:val="en-US" w:eastAsia="zh-CN"/>
              </w:rPr>
              <w:t>*</w:t>
            </w:r>
          </w:p>
        </w:tc>
        <w:tc>
          <w:tcPr>
            <w:tcW w:w="1040" w:type="pct"/>
            <w:gridSpan w:val="2"/>
            <w:vMerge w:val="continue"/>
            <w:shd w:val="clear" w:color="auto" w:fill="auto"/>
            <w:vAlign w:val="center"/>
          </w:tcPr>
          <w:p w14:paraId="7860DE5D">
            <w:pPr>
              <w:pStyle w:val="24"/>
              <w:ind w:left="0" w:leftChars="0"/>
              <w:rPr>
                <w:rFonts w:hint="eastAsia" w:ascii="Times New Roman" w:hAnsi="Times New Roman" w:eastAsia="宋体" w:cs="Times New Roman"/>
                <w:b w:val="0"/>
                <w:bCs w:val="0"/>
                <w:color w:val="auto"/>
                <w:sz w:val="21"/>
                <w:szCs w:val="21"/>
                <w:highlight w:val="none"/>
                <w:lang w:val="en-US" w:eastAsia="zh-CN"/>
              </w:rPr>
            </w:pPr>
          </w:p>
        </w:tc>
        <w:tc>
          <w:tcPr>
            <w:tcW w:w="946" w:type="pct"/>
            <w:vMerge w:val="continue"/>
            <w:vAlign w:val="center"/>
          </w:tcPr>
          <w:p w14:paraId="558C8291">
            <w:pPr>
              <w:pStyle w:val="24"/>
              <w:ind w:left="0" w:leftChars="0"/>
              <w:rPr>
                <w:rFonts w:hint="eastAsia" w:ascii="Times New Roman" w:hAnsi="Times New Roman" w:eastAsia="宋体" w:cs="Times New Roman"/>
                <w:b w:val="0"/>
                <w:bCs w:val="0"/>
                <w:color w:val="auto"/>
                <w:sz w:val="21"/>
                <w:szCs w:val="21"/>
                <w:highlight w:val="none"/>
              </w:rPr>
            </w:pPr>
          </w:p>
        </w:tc>
      </w:tr>
      <w:tr w14:paraId="33D8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372" w:type="pct"/>
            <w:vMerge w:val="restart"/>
            <w:vAlign w:val="center"/>
          </w:tcPr>
          <w:p w14:paraId="12E5D0D8">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土壤</w:t>
            </w:r>
          </w:p>
          <w:p w14:paraId="7B9F6009">
            <w:pPr>
              <w:pStyle w:val="24"/>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环境</w:t>
            </w:r>
          </w:p>
        </w:tc>
        <w:tc>
          <w:tcPr>
            <w:tcW w:w="2641" w:type="pct"/>
            <w:gridSpan w:val="4"/>
            <w:vAlign w:val="center"/>
          </w:tcPr>
          <w:p w14:paraId="7F5EC209">
            <w:pPr>
              <w:pStyle w:val="24"/>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厂界外1km范围内-</w:t>
            </w:r>
            <w:r>
              <w:rPr>
                <w:rFonts w:hint="eastAsia" w:cs="Times New Roman"/>
                <w:b w:val="0"/>
                <w:bCs w:val="0"/>
                <w:color w:val="auto"/>
                <w:sz w:val="21"/>
                <w:szCs w:val="21"/>
                <w:highlight w:val="none"/>
                <w:lang w:val="en-US" w:eastAsia="zh-CN"/>
              </w:rPr>
              <w:t>金堂区块</w:t>
            </w:r>
          </w:p>
        </w:tc>
        <w:tc>
          <w:tcPr>
            <w:tcW w:w="1040" w:type="pct"/>
            <w:gridSpan w:val="2"/>
            <w:shd w:val="clear" w:color="auto" w:fill="auto"/>
            <w:vAlign w:val="center"/>
          </w:tcPr>
          <w:p w14:paraId="3099BFFB">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建设用地</w:t>
            </w:r>
          </w:p>
        </w:tc>
        <w:tc>
          <w:tcPr>
            <w:tcW w:w="946" w:type="pct"/>
            <w:shd w:val="clear" w:color="auto" w:fill="auto"/>
            <w:vAlign w:val="center"/>
          </w:tcPr>
          <w:p w14:paraId="6B2009A6">
            <w:pPr>
              <w:pStyle w:val="24"/>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rPr>
              <w:t>《土壤环境质量 建设用地土壤污染风险管控标准（试行）》（GB36600-2018）</w:t>
            </w:r>
            <w:r>
              <w:rPr>
                <w:rFonts w:hint="eastAsia" w:ascii="Times New Roman" w:hAnsi="Times New Roman" w:eastAsia="宋体" w:cs="Times New Roman"/>
                <w:b w:val="0"/>
                <w:bCs w:val="0"/>
                <w:color w:val="auto"/>
                <w:sz w:val="21"/>
                <w:szCs w:val="21"/>
                <w:highlight w:val="none"/>
                <w:lang w:eastAsia="zh-CN"/>
              </w:rPr>
              <w:t>、</w:t>
            </w:r>
            <w:r>
              <w:rPr>
                <w:rFonts w:hint="eastAsia" w:ascii="Times New Roman" w:hAnsi="Times New Roman" w:eastAsia="宋体" w:cs="Times New Roman"/>
                <w:b w:val="0"/>
                <w:bCs w:val="0"/>
                <w:color w:val="auto"/>
                <w:sz w:val="21"/>
                <w:szCs w:val="21"/>
                <w:highlight w:val="none"/>
                <w:lang w:val="en-US" w:eastAsia="zh-CN"/>
              </w:rPr>
              <w:t>《四川省建设用地土壤污染风险管控标准》（DB51/2978-2023）</w:t>
            </w:r>
            <w:r>
              <w:rPr>
                <w:rFonts w:hint="eastAsia" w:ascii="Times New Roman" w:hAnsi="Times New Roman" w:eastAsia="宋体" w:cs="Times New Roman"/>
                <w:b w:val="0"/>
                <w:bCs w:val="0"/>
                <w:color w:val="auto"/>
                <w:sz w:val="21"/>
                <w:szCs w:val="21"/>
                <w:highlight w:val="none"/>
              </w:rPr>
              <w:t>第</w:t>
            </w:r>
            <w:r>
              <w:rPr>
                <w:rFonts w:hint="eastAsia" w:ascii="Times New Roman" w:hAnsi="Times New Roman" w:eastAsia="宋体" w:cs="Times New Roman"/>
                <w:b w:val="0"/>
                <w:bCs w:val="0"/>
                <w:color w:val="auto"/>
                <w:sz w:val="21"/>
                <w:szCs w:val="21"/>
                <w:highlight w:val="none"/>
                <w:lang w:val="en-US" w:eastAsia="zh-CN"/>
              </w:rPr>
              <w:t>二</w:t>
            </w:r>
            <w:r>
              <w:rPr>
                <w:rFonts w:hint="eastAsia" w:ascii="Times New Roman" w:hAnsi="Times New Roman" w:eastAsia="宋体" w:cs="Times New Roman"/>
                <w:b w:val="0"/>
                <w:bCs w:val="0"/>
                <w:color w:val="auto"/>
                <w:sz w:val="21"/>
                <w:szCs w:val="21"/>
                <w:highlight w:val="none"/>
              </w:rPr>
              <w:t>类用地土壤污染风险筛选值</w:t>
            </w:r>
          </w:p>
        </w:tc>
      </w:tr>
      <w:tr w14:paraId="7012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372" w:type="pct"/>
            <w:vMerge w:val="continue"/>
            <w:vAlign w:val="center"/>
          </w:tcPr>
          <w:p w14:paraId="55328EEA">
            <w:pPr>
              <w:pStyle w:val="24"/>
              <w:rPr>
                <w:rFonts w:hint="eastAsia" w:ascii="Times New Roman" w:hAnsi="Times New Roman" w:eastAsia="宋体" w:cs="Times New Roman"/>
                <w:b w:val="0"/>
                <w:bCs w:val="0"/>
                <w:color w:val="auto"/>
                <w:sz w:val="21"/>
                <w:szCs w:val="21"/>
                <w:highlight w:val="none"/>
              </w:rPr>
            </w:pPr>
            <w:bookmarkStart w:id="49" w:name="_Toc409512636"/>
            <w:bookmarkStart w:id="50" w:name="_Toc12473"/>
            <w:bookmarkStart w:id="51" w:name="_Toc446770389"/>
            <w:bookmarkStart w:id="52" w:name="_Toc461524912"/>
          </w:p>
        </w:tc>
        <w:tc>
          <w:tcPr>
            <w:tcW w:w="2641" w:type="pct"/>
            <w:gridSpan w:val="4"/>
            <w:vAlign w:val="center"/>
          </w:tcPr>
          <w:p w14:paraId="024B8FAF">
            <w:pPr>
              <w:pStyle w:val="24"/>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厂界外1km范围内-</w:t>
            </w:r>
            <w:r>
              <w:rPr>
                <w:rFonts w:hint="eastAsia" w:ascii="Times New Roman" w:hAnsi="Times New Roman" w:cs="Times New Roman"/>
                <w:color w:val="auto"/>
                <w:sz w:val="21"/>
                <w:szCs w:val="21"/>
                <w:highlight w:val="none"/>
                <w:u w:val="none"/>
                <w:lang w:val="en-US" w:eastAsia="zh-CN"/>
              </w:rPr>
              <w:t>其他区域</w:t>
            </w:r>
          </w:p>
        </w:tc>
        <w:tc>
          <w:tcPr>
            <w:tcW w:w="1040" w:type="pct"/>
            <w:gridSpan w:val="2"/>
            <w:vAlign w:val="center"/>
          </w:tcPr>
          <w:p w14:paraId="7EF4982E">
            <w:pPr>
              <w:pStyle w:val="24"/>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农用地</w:t>
            </w:r>
          </w:p>
        </w:tc>
        <w:tc>
          <w:tcPr>
            <w:tcW w:w="946" w:type="pct"/>
            <w:vAlign w:val="center"/>
          </w:tcPr>
          <w:p w14:paraId="67ADB561">
            <w:pPr>
              <w:pStyle w:val="24"/>
              <w:ind w:left="0" w:leftChars="0"/>
              <w:rPr>
                <w:rFonts w:hint="eastAsia"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《土壤环境质量</w:t>
            </w:r>
            <w:r>
              <w:rPr>
                <w:rFonts w:hint="eastAsia" w:ascii="Times New Roman" w:hAnsi="Times New Roman" w:eastAsia="宋体" w:cs="Times New Roman"/>
                <w:b w:val="0"/>
                <w:bCs w:val="0"/>
                <w:color w:val="auto"/>
                <w:sz w:val="21"/>
                <w:szCs w:val="21"/>
                <w:highlight w:val="none"/>
                <w:lang w:val="en-US" w:eastAsia="zh-CN"/>
              </w:rPr>
              <w:t xml:space="preserve"> 农用地</w:t>
            </w:r>
            <w:r>
              <w:rPr>
                <w:rFonts w:hint="eastAsia" w:ascii="Times New Roman" w:hAnsi="Times New Roman" w:eastAsia="宋体" w:cs="Times New Roman"/>
                <w:b w:val="0"/>
                <w:bCs w:val="0"/>
                <w:color w:val="auto"/>
                <w:sz w:val="21"/>
                <w:szCs w:val="21"/>
                <w:highlight w:val="none"/>
              </w:rPr>
              <w:t>土壤污染风险管控标准（试行）》（GB</w:t>
            </w:r>
            <w:r>
              <w:rPr>
                <w:rFonts w:hint="eastAsia" w:ascii="Times New Roman" w:hAnsi="Times New Roman" w:eastAsia="宋体" w:cs="Times New Roman"/>
                <w:b w:val="0"/>
                <w:bCs w:val="0"/>
                <w:color w:val="auto"/>
                <w:sz w:val="21"/>
                <w:szCs w:val="21"/>
                <w:highlight w:val="none"/>
                <w:lang w:val="en-US" w:eastAsia="zh-CN"/>
              </w:rPr>
              <w:t>15618</w:t>
            </w:r>
            <w:r>
              <w:rPr>
                <w:rFonts w:hint="eastAsia" w:ascii="Times New Roman" w:hAnsi="Times New Roman" w:eastAsia="宋体" w:cs="Times New Roman"/>
                <w:b w:val="0"/>
                <w:bCs w:val="0"/>
                <w:color w:val="auto"/>
                <w:sz w:val="21"/>
                <w:szCs w:val="21"/>
                <w:highlight w:val="none"/>
              </w:rPr>
              <w:t>0-2018）</w:t>
            </w:r>
            <w:r>
              <w:rPr>
                <w:rFonts w:hint="eastAsia" w:ascii="Times New Roman" w:hAnsi="Times New Roman" w:eastAsia="宋体" w:cs="Times New Roman"/>
                <w:b w:val="0"/>
                <w:bCs w:val="0"/>
                <w:color w:val="auto"/>
                <w:sz w:val="21"/>
                <w:szCs w:val="21"/>
                <w:highlight w:val="none"/>
                <w:lang w:val="en-US" w:eastAsia="zh-CN"/>
              </w:rPr>
              <w:t>农用地</w:t>
            </w:r>
            <w:r>
              <w:rPr>
                <w:rFonts w:hint="eastAsia" w:ascii="Times New Roman" w:hAnsi="Times New Roman" w:eastAsia="宋体" w:cs="Times New Roman"/>
                <w:b w:val="0"/>
                <w:bCs w:val="0"/>
                <w:color w:val="auto"/>
                <w:sz w:val="21"/>
                <w:szCs w:val="21"/>
                <w:highlight w:val="none"/>
              </w:rPr>
              <w:t>土壤污染风险筛选值</w:t>
            </w:r>
          </w:p>
        </w:tc>
      </w:tr>
      <w:tr w14:paraId="420C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5000" w:type="pct"/>
            <w:gridSpan w:val="8"/>
            <w:vAlign w:val="center"/>
          </w:tcPr>
          <w:p w14:paraId="5E75EDFF">
            <w:pPr>
              <w:pStyle w:val="24"/>
              <w:jc w:val="both"/>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注：带“*”为各要素及环境风险敏感保护目标。</w:t>
            </w:r>
          </w:p>
        </w:tc>
      </w:tr>
      <w:bookmarkEnd w:id="49"/>
      <w:bookmarkEnd w:id="50"/>
      <w:bookmarkEnd w:id="51"/>
      <w:bookmarkEnd w:id="52"/>
    </w:tbl>
    <w:p w14:paraId="6AFBA900">
      <w:pPr>
        <w:pStyle w:val="39"/>
        <w:ind w:left="0" w:leftChars="0" w:firstLine="0" w:firstLineChars="0"/>
        <w:rPr>
          <w:rFonts w:ascii="Times New Roman" w:hAnsi="Times New Roman"/>
          <w:color w:val="auto"/>
        </w:rPr>
      </w:pPr>
      <w:bookmarkStart w:id="53" w:name="_Toc27717"/>
      <w:r>
        <w:rPr>
          <w:rFonts w:ascii="Times New Roman" w:hAnsi="Times New Roman"/>
          <w:color w:val="auto"/>
        </w:rPr>
        <w:t xml:space="preserve">2.7 </w:t>
      </w:r>
      <w:r>
        <w:rPr>
          <w:rFonts w:hint="eastAsia" w:ascii="Times New Roman" w:hAnsi="Times New Roman"/>
          <w:color w:val="auto"/>
        </w:rPr>
        <w:t>评价工作等级和评价范围</w:t>
      </w:r>
      <w:bookmarkEnd w:id="53"/>
    </w:p>
    <w:p w14:paraId="01F86324">
      <w:pPr>
        <w:pStyle w:val="40"/>
        <w:ind w:left="0" w:leftChars="0" w:firstLine="0" w:firstLineChars="0"/>
        <w:rPr>
          <w:rFonts w:ascii="Times New Roman" w:hAnsi="Times New Roman"/>
          <w:color w:val="auto"/>
        </w:rPr>
      </w:pPr>
      <w:bookmarkStart w:id="54" w:name="_Toc28393"/>
      <w:r>
        <w:rPr>
          <w:rFonts w:ascii="Times New Roman" w:hAnsi="Times New Roman"/>
          <w:color w:val="auto"/>
        </w:rPr>
        <w:t xml:space="preserve">2.7.1 </w:t>
      </w:r>
      <w:r>
        <w:rPr>
          <w:rFonts w:hint="eastAsia" w:ascii="Times New Roman" w:hAnsi="Times New Roman"/>
          <w:color w:val="auto"/>
        </w:rPr>
        <w:t>评价工作等级</w:t>
      </w:r>
      <w:bookmarkEnd w:id="54"/>
    </w:p>
    <w:p w14:paraId="59A08B5F">
      <w:pPr>
        <w:pStyle w:val="29"/>
        <w:ind w:left="0" w:leftChars="0" w:firstLine="482" w:firstLineChars="200"/>
        <w:rPr>
          <w:color w:val="auto"/>
        </w:rPr>
      </w:pPr>
      <w:r>
        <w:rPr>
          <w:rFonts w:hint="eastAsia"/>
          <w:color w:val="auto"/>
        </w:rPr>
        <w:t>1、大气</w:t>
      </w:r>
      <w:r>
        <w:rPr>
          <w:color w:val="auto"/>
        </w:rPr>
        <w:t>环境</w:t>
      </w:r>
    </w:p>
    <w:p w14:paraId="05F363B5">
      <w:pPr>
        <w:spacing w:line="360" w:lineRule="auto"/>
        <w:ind w:left="0" w:leftChars="0" w:firstLine="480" w:firstLineChars="200"/>
        <w:rPr>
          <w:rFonts w:ascii="Times New Roman" w:hAnsi="Times New Roman" w:cs="宋体"/>
          <w:color w:val="auto"/>
          <w:sz w:val="24"/>
          <w:szCs w:val="24"/>
        </w:rPr>
      </w:pPr>
      <w:r>
        <w:rPr>
          <w:rFonts w:hint="eastAsia" w:ascii="Times New Roman" w:hAnsi="Times New Roman" w:cs="宋体"/>
          <w:color w:val="auto"/>
          <w:sz w:val="24"/>
          <w:szCs w:val="24"/>
        </w:rPr>
        <w:t>本次环评选择项目污染源正常排放的主要污染物及参数，采用《环境影响评价技术导则 大气环境》（HJ2.2-2018）附录A推荐模型中估算模型分别计算项目污染源的最大环境影响，然后按评价工作分级判据进行分级。根据项目污染源初步调查结果，选择项目污染源正常排放的</w:t>
      </w:r>
      <w:r>
        <w:rPr>
          <w:rFonts w:hint="eastAsia" w:ascii="Times New Roman" w:hAnsi="Times New Roman"/>
          <w:color w:val="auto"/>
          <w:sz w:val="24"/>
          <w:szCs w:val="24"/>
          <w:lang w:val="en-US" w:eastAsia="zh-CN"/>
        </w:rPr>
        <w:t>颗粒物</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氟化物、氯化物、硫酸、TVOC</w:t>
      </w:r>
      <w:r>
        <w:rPr>
          <w:rFonts w:hint="eastAsia" w:ascii="Times New Roman" w:hAnsi="Times New Roman" w:cs="宋体"/>
          <w:color w:val="auto"/>
          <w:sz w:val="24"/>
          <w:szCs w:val="24"/>
        </w:rPr>
        <w:t>为主要污染物，分别计算主要污染物的最大地面空气质量浓度占标率</w:t>
      </w:r>
      <w:r>
        <w:rPr>
          <w:rFonts w:hint="eastAsia" w:ascii="Times New Roman" w:hAnsi="Times New Roman" w:cs="宋体"/>
          <w:i/>
          <w:color w:val="auto"/>
          <w:sz w:val="24"/>
          <w:szCs w:val="24"/>
        </w:rPr>
        <w:t>P</w:t>
      </w:r>
      <w:r>
        <w:rPr>
          <w:rFonts w:hint="eastAsia" w:ascii="Times New Roman" w:hAnsi="Times New Roman" w:cs="宋体"/>
          <w:i/>
          <w:color w:val="auto"/>
          <w:sz w:val="24"/>
          <w:szCs w:val="24"/>
          <w:vertAlign w:val="subscript"/>
        </w:rPr>
        <w:t>i</w:t>
      </w:r>
      <w:r>
        <w:rPr>
          <w:rFonts w:hint="eastAsia" w:ascii="Times New Roman" w:hAnsi="Times New Roman" w:cs="宋体"/>
          <w:color w:val="auto"/>
          <w:sz w:val="24"/>
          <w:szCs w:val="24"/>
        </w:rPr>
        <w:t>（第</w:t>
      </w:r>
      <w:r>
        <w:rPr>
          <w:rFonts w:hint="eastAsia" w:ascii="Times New Roman" w:hAnsi="Times New Roman" w:cs="宋体"/>
          <w:i/>
          <w:color w:val="auto"/>
          <w:sz w:val="24"/>
          <w:szCs w:val="24"/>
        </w:rPr>
        <w:t>i</w:t>
      </w:r>
      <w:r>
        <w:rPr>
          <w:rFonts w:hint="eastAsia" w:ascii="Times New Roman" w:hAnsi="Times New Roman" w:cs="宋体"/>
          <w:color w:val="auto"/>
          <w:sz w:val="24"/>
          <w:szCs w:val="24"/>
        </w:rPr>
        <w:t>个污染物）及第</w:t>
      </w:r>
      <w:r>
        <w:rPr>
          <w:rFonts w:hint="eastAsia" w:ascii="Times New Roman" w:hAnsi="Times New Roman" w:cs="宋体"/>
          <w:i/>
          <w:color w:val="auto"/>
          <w:sz w:val="24"/>
          <w:szCs w:val="24"/>
        </w:rPr>
        <w:t>i</w:t>
      </w:r>
      <w:r>
        <w:rPr>
          <w:rFonts w:hint="eastAsia" w:ascii="Times New Roman" w:hAnsi="Times New Roman" w:cs="宋体"/>
          <w:color w:val="auto"/>
          <w:sz w:val="24"/>
          <w:szCs w:val="24"/>
        </w:rPr>
        <w:t>个污染物的地面空气质量浓度达到标准值的10%时所对应的最远距离</w:t>
      </w:r>
      <w:r>
        <w:rPr>
          <w:rFonts w:hint="eastAsia" w:ascii="Times New Roman" w:hAnsi="Times New Roman" w:cs="宋体"/>
          <w:i/>
          <w:color w:val="auto"/>
          <w:sz w:val="24"/>
          <w:szCs w:val="24"/>
        </w:rPr>
        <w:t>D</w:t>
      </w:r>
      <w:r>
        <w:rPr>
          <w:rFonts w:hint="eastAsia" w:ascii="Times New Roman" w:hAnsi="Times New Roman" w:cs="宋体"/>
          <w:color w:val="auto"/>
          <w:sz w:val="24"/>
          <w:szCs w:val="24"/>
          <w:vertAlign w:val="subscript"/>
        </w:rPr>
        <w:t>10%</w:t>
      </w:r>
      <w:r>
        <w:rPr>
          <w:rFonts w:hint="eastAsia" w:ascii="Times New Roman" w:hAnsi="Times New Roman" w:cs="宋体"/>
          <w:color w:val="auto"/>
          <w:sz w:val="24"/>
          <w:szCs w:val="24"/>
        </w:rPr>
        <w:t>。其中</w:t>
      </w:r>
      <w:r>
        <w:rPr>
          <w:rFonts w:hint="eastAsia" w:ascii="Times New Roman" w:hAnsi="Times New Roman" w:cs="宋体"/>
          <w:i/>
          <w:color w:val="auto"/>
          <w:sz w:val="24"/>
          <w:szCs w:val="24"/>
        </w:rPr>
        <w:t>P</w:t>
      </w:r>
      <w:r>
        <w:rPr>
          <w:rFonts w:hint="eastAsia" w:ascii="Times New Roman" w:hAnsi="Times New Roman" w:cs="宋体"/>
          <w:i/>
          <w:color w:val="auto"/>
          <w:sz w:val="24"/>
          <w:szCs w:val="24"/>
          <w:vertAlign w:val="subscript"/>
        </w:rPr>
        <w:t>i</w:t>
      </w:r>
      <w:r>
        <w:rPr>
          <w:rFonts w:hint="eastAsia" w:ascii="Times New Roman" w:hAnsi="Times New Roman" w:cs="宋体"/>
          <w:color w:val="auto"/>
          <w:sz w:val="24"/>
          <w:szCs w:val="24"/>
        </w:rPr>
        <w:t>定义为：</w:t>
      </w:r>
    </w:p>
    <w:p w14:paraId="0E31E854">
      <w:pPr>
        <w:spacing w:line="360" w:lineRule="auto"/>
        <w:ind w:firstLine="480" w:firstLineChars="200"/>
        <w:jc w:val="center"/>
        <w:rPr>
          <w:rFonts w:ascii="Times New Roman" w:hAnsi="Times New Roman"/>
          <w:color w:val="auto"/>
          <w:sz w:val="24"/>
          <w:szCs w:val="24"/>
        </w:rPr>
      </w:pPr>
      <w:r>
        <w:rPr>
          <w:rFonts w:ascii="Times New Roman" w:hAnsi="Times New Roman"/>
          <w:color w:val="auto"/>
          <w:position w:val="-30"/>
          <w:sz w:val="24"/>
          <w:szCs w:val="24"/>
        </w:rPr>
        <w:object>
          <v:shape id="_x0000_i1026" o:spt="75" type="#_x0000_t75" style="height:28.5pt;width:64.5pt;" o:ole="t" filled="f" o:preferrelative="t" stroked="f" coordsize="21600,21600">
            <v:path/>
            <v:fill on="f" focussize="0,0"/>
            <v:stroke on="f" joinstyle="miter"/>
            <v:imagedata r:id="rId20" o:title=""/>
            <o:lock v:ext="edit" aspectratio="t"/>
            <w10:wrap type="none"/>
            <w10:anchorlock/>
          </v:shape>
          <o:OLEObject Type="Embed" ProgID="Msxml2.SAXXMLReader.5.0" ShapeID="_x0000_i1026" DrawAspect="Content" ObjectID="_1468075726" r:id="rId19">
            <o:LockedField>false</o:LockedField>
          </o:OLEObject>
        </w:object>
      </w:r>
    </w:p>
    <w:p w14:paraId="2AF0E83B">
      <w:pPr>
        <w:spacing w:line="360" w:lineRule="auto"/>
        <w:ind w:left="0" w:leftChars="0" w:firstLine="480" w:firstLineChars="200"/>
        <w:rPr>
          <w:rFonts w:ascii="Times New Roman" w:hAnsi="Times New Roman"/>
          <w:color w:val="auto"/>
          <w:sz w:val="24"/>
          <w:szCs w:val="24"/>
        </w:rPr>
      </w:pPr>
      <w:r>
        <w:rPr>
          <w:rFonts w:hint="eastAsia" w:ascii="Times New Roman" w:hAnsi="Times New Roman" w:cs="宋体"/>
          <w:color w:val="auto"/>
          <w:sz w:val="24"/>
          <w:szCs w:val="24"/>
        </w:rPr>
        <w:t>式中，</w:t>
      </w:r>
      <w:r>
        <w:rPr>
          <w:rFonts w:ascii="Times New Roman" w:hAnsi="Times New Roman"/>
          <w:i/>
          <w:iCs/>
          <w:color w:val="auto"/>
          <w:sz w:val="24"/>
          <w:szCs w:val="24"/>
        </w:rPr>
        <w:t>P</w:t>
      </w:r>
      <w:r>
        <w:rPr>
          <w:rFonts w:ascii="Times New Roman" w:hAnsi="Times New Roman"/>
          <w:i/>
          <w:iCs/>
          <w:color w:val="auto"/>
          <w:sz w:val="24"/>
          <w:szCs w:val="24"/>
          <w:vertAlign w:val="subscript"/>
        </w:rPr>
        <w:t>i</w:t>
      </w:r>
      <w:r>
        <w:rPr>
          <w:rFonts w:ascii="Times New Roman" w:hAnsi="Times New Roman"/>
          <w:color w:val="auto"/>
          <w:sz w:val="24"/>
          <w:szCs w:val="24"/>
        </w:rPr>
        <w:t>——</w:t>
      </w:r>
      <w:r>
        <w:rPr>
          <w:rFonts w:hint="eastAsia" w:ascii="Times New Roman" w:hAnsi="Times New Roman" w:cs="宋体"/>
          <w:color w:val="auto"/>
          <w:sz w:val="24"/>
          <w:szCs w:val="24"/>
        </w:rPr>
        <w:t>第</w:t>
      </w:r>
      <w:r>
        <w:rPr>
          <w:rFonts w:ascii="Times New Roman" w:hAnsi="Times New Roman"/>
          <w:i/>
          <w:iCs/>
          <w:color w:val="auto"/>
          <w:sz w:val="24"/>
          <w:szCs w:val="24"/>
        </w:rPr>
        <w:t>i</w:t>
      </w:r>
      <w:r>
        <w:rPr>
          <w:rFonts w:hint="eastAsia" w:ascii="Times New Roman" w:hAnsi="Times New Roman" w:cs="宋体"/>
          <w:color w:val="auto"/>
          <w:sz w:val="24"/>
          <w:szCs w:val="24"/>
        </w:rPr>
        <w:t>个污染物的最大地面空气质量浓度占标率，</w:t>
      </w:r>
      <w:r>
        <w:rPr>
          <w:rFonts w:ascii="Times New Roman" w:hAnsi="Times New Roman"/>
          <w:color w:val="auto"/>
          <w:sz w:val="24"/>
          <w:szCs w:val="24"/>
        </w:rPr>
        <w:t>%</w:t>
      </w:r>
      <w:r>
        <w:rPr>
          <w:rFonts w:hint="eastAsia" w:ascii="Times New Roman" w:hAnsi="Times New Roman" w:cs="宋体"/>
          <w:color w:val="auto"/>
          <w:sz w:val="24"/>
          <w:szCs w:val="24"/>
        </w:rPr>
        <w:t>；</w:t>
      </w:r>
    </w:p>
    <w:p w14:paraId="51357445">
      <w:pPr>
        <w:spacing w:line="360" w:lineRule="auto"/>
        <w:ind w:firstLine="480" w:firstLineChars="200"/>
        <w:rPr>
          <w:rFonts w:ascii="Times New Roman" w:hAnsi="Times New Roman"/>
          <w:color w:val="auto"/>
          <w:sz w:val="24"/>
          <w:szCs w:val="24"/>
        </w:rPr>
      </w:pPr>
      <w:r>
        <w:rPr>
          <w:rFonts w:ascii="Times New Roman" w:hAnsi="Times New Roman"/>
          <w:i/>
          <w:iCs/>
          <w:color w:val="auto"/>
          <w:sz w:val="24"/>
          <w:szCs w:val="24"/>
        </w:rPr>
        <w:t>C</w:t>
      </w:r>
      <w:r>
        <w:rPr>
          <w:rFonts w:ascii="Times New Roman" w:hAnsi="Times New Roman"/>
          <w:i/>
          <w:iCs/>
          <w:color w:val="auto"/>
          <w:sz w:val="24"/>
          <w:szCs w:val="24"/>
          <w:vertAlign w:val="subscript"/>
        </w:rPr>
        <w:t>i</w:t>
      </w:r>
      <w:r>
        <w:rPr>
          <w:rFonts w:ascii="Times New Roman" w:hAnsi="Times New Roman"/>
          <w:color w:val="auto"/>
          <w:sz w:val="24"/>
          <w:szCs w:val="24"/>
        </w:rPr>
        <w:t>——</w:t>
      </w:r>
      <w:r>
        <w:rPr>
          <w:rFonts w:hint="eastAsia" w:ascii="Times New Roman" w:hAnsi="Times New Roman" w:cs="宋体"/>
          <w:color w:val="auto"/>
          <w:sz w:val="24"/>
          <w:szCs w:val="24"/>
        </w:rPr>
        <w:t>采用估算模型计算出的第</w:t>
      </w:r>
      <w:r>
        <w:rPr>
          <w:rFonts w:ascii="Times New Roman" w:hAnsi="Times New Roman"/>
          <w:i/>
          <w:iCs/>
          <w:color w:val="auto"/>
          <w:sz w:val="24"/>
          <w:szCs w:val="24"/>
        </w:rPr>
        <w:t>i</w:t>
      </w:r>
      <w:r>
        <w:rPr>
          <w:rFonts w:hint="eastAsia" w:ascii="Times New Roman" w:hAnsi="Times New Roman" w:cs="宋体"/>
          <w:color w:val="auto"/>
          <w:sz w:val="24"/>
          <w:szCs w:val="24"/>
        </w:rPr>
        <w:t>个污染物的最大1h地面空气质量浓度，</w:t>
      </w:r>
      <w:r>
        <w:rPr>
          <w:rFonts w:ascii="Times New Roman" w:hAnsi="Times New Roman"/>
          <w:color w:val="auto"/>
          <w:sz w:val="24"/>
          <w:szCs w:val="24"/>
        </w:rPr>
        <w:t>mg/m</w:t>
      </w:r>
      <w:r>
        <w:rPr>
          <w:rFonts w:ascii="Times New Roman" w:hAnsi="Times New Roman"/>
          <w:color w:val="auto"/>
          <w:sz w:val="24"/>
          <w:szCs w:val="24"/>
          <w:vertAlign w:val="superscript"/>
        </w:rPr>
        <w:t>3</w:t>
      </w:r>
      <w:r>
        <w:rPr>
          <w:rFonts w:hint="eastAsia" w:ascii="Times New Roman" w:hAnsi="Times New Roman" w:cs="宋体"/>
          <w:color w:val="auto"/>
          <w:sz w:val="24"/>
          <w:szCs w:val="24"/>
        </w:rPr>
        <w:t>；</w:t>
      </w:r>
    </w:p>
    <w:p w14:paraId="1D529FA5">
      <w:pPr>
        <w:spacing w:line="360" w:lineRule="auto"/>
        <w:ind w:left="0" w:leftChars="0" w:firstLine="960" w:firstLineChars="400"/>
        <w:rPr>
          <w:rFonts w:ascii="Times New Roman" w:hAnsi="Times New Roman"/>
          <w:color w:val="auto"/>
          <w:sz w:val="24"/>
          <w:szCs w:val="24"/>
        </w:rPr>
      </w:pPr>
      <w:r>
        <w:rPr>
          <w:rFonts w:ascii="Times New Roman" w:hAnsi="Times New Roman"/>
          <w:i/>
          <w:iCs/>
          <w:color w:val="auto"/>
          <w:sz w:val="24"/>
          <w:szCs w:val="24"/>
        </w:rPr>
        <w:t>C</w:t>
      </w:r>
      <w:r>
        <w:rPr>
          <w:rFonts w:ascii="Times New Roman" w:hAnsi="Times New Roman"/>
          <w:i/>
          <w:iCs/>
          <w:color w:val="auto"/>
          <w:sz w:val="24"/>
          <w:szCs w:val="24"/>
          <w:vertAlign w:val="subscript"/>
        </w:rPr>
        <w:t>0i</w:t>
      </w:r>
      <w:r>
        <w:rPr>
          <w:rFonts w:ascii="Times New Roman" w:hAnsi="Times New Roman"/>
          <w:color w:val="auto"/>
          <w:sz w:val="24"/>
          <w:szCs w:val="24"/>
        </w:rPr>
        <w:t>——</w:t>
      </w:r>
      <w:r>
        <w:rPr>
          <w:rFonts w:hint="eastAsia" w:ascii="Times New Roman" w:hAnsi="Times New Roman" w:cs="宋体"/>
          <w:color w:val="auto"/>
          <w:sz w:val="24"/>
          <w:szCs w:val="24"/>
        </w:rPr>
        <w:t>第</w:t>
      </w:r>
      <w:r>
        <w:rPr>
          <w:rFonts w:ascii="Times New Roman" w:hAnsi="Times New Roman"/>
          <w:i/>
          <w:iCs/>
          <w:color w:val="auto"/>
          <w:sz w:val="24"/>
          <w:szCs w:val="24"/>
        </w:rPr>
        <w:t>i</w:t>
      </w:r>
      <w:r>
        <w:rPr>
          <w:rFonts w:hint="eastAsia" w:ascii="Times New Roman" w:hAnsi="Times New Roman" w:cs="宋体"/>
          <w:color w:val="auto"/>
          <w:sz w:val="24"/>
          <w:szCs w:val="24"/>
        </w:rPr>
        <w:t>个污染物的环境空气质量浓度标准，</w:t>
      </w:r>
      <w:r>
        <w:rPr>
          <w:rFonts w:ascii="Times New Roman" w:hAnsi="Times New Roman"/>
          <w:color w:val="auto"/>
          <w:sz w:val="24"/>
          <w:szCs w:val="24"/>
        </w:rPr>
        <w:t>mg/m</w:t>
      </w:r>
      <w:r>
        <w:rPr>
          <w:rFonts w:ascii="Times New Roman" w:hAnsi="Times New Roman"/>
          <w:color w:val="auto"/>
          <w:sz w:val="24"/>
          <w:szCs w:val="24"/>
          <w:vertAlign w:val="superscript"/>
        </w:rPr>
        <w:t>3</w:t>
      </w:r>
      <w:r>
        <w:rPr>
          <w:rFonts w:hint="eastAsia" w:ascii="Times New Roman" w:hAnsi="Times New Roman" w:cs="宋体"/>
          <w:color w:val="auto"/>
          <w:sz w:val="24"/>
          <w:szCs w:val="24"/>
        </w:rPr>
        <w:t>。一般取GB3095中1h平均质量浓度的二级浓度限值；对该标准中未包含的污染物，可参照附录D中的浓度限值；对仅有8h平均质量浓度限值、日平均质量浓度限值或年平均质量浓度限值的，可分别按2倍、3倍、6倍折算为1h平均质量浓度限值</w:t>
      </w:r>
      <w:r>
        <w:rPr>
          <w:rFonts w:hint="eastAsia" w:ascii="Times New Roman" w:hAnsi="Times New Roman"/>
          <w:color w:val="auto"/>
          <w:sz w:val="24"/>
          <w:szCs w:val="24"/>
        </w:rPr>
        <w:t>。大气环境影响</w:t>
      </w:r>
      <w:r>
        <w:rPr>
          <w:rFonts w:ascii="Times New Roman" w:hAnsi="Times New Roman"/>
          <w:color w:val="auto"/>
          <w:sz w:val="24"/>
          <w:szCs w:val="24"/>
        </w:rPr>
        <w:t>评价等级按下表</w:t>
      </w:r>
      <w:r>
        <w:rPr>
          <w:rFonts w:hint="eastAsia" w:ascii="Times New Roman" w:hAnsi="Times New Roman"/>
          <w:color w:val="auto"/>
          <w:sz w:val="24"/>
          <w:szCs w:val="24"/>
        </w:rPr>
        <w:t>的分级判据进行划分。</w:t>
      </w:r>
    </w:p>
    <w:p w14:paraId="3764E359">
      <w:pPr>
        <w:numPr>
          <w:ilvl w:val="0"/>
          <w:numId w:val="15"/>
        </w:numPr>
        <w:spacing w:line="360" w:lineRule="auto"/>
        <w:ind w:left="425" w:leftChars="0" w:hanging="425" w:firstLineChars="0"/>
        <w:jc w:val="center"/>
        <w:rPr>
          <w:rFonts w:ascii="Times New Roman" w:hAnsi="Times New Roman" w:eastAsia="黑体"/>
          <w:color w:val="auto"/>
          <w:szCs w:val="21"/>
        </w:rPr>
      </w:pPr>
      <w:r>
        <w:rPr>
          <w:rFonts w:hint="eastAsia" w:ascii="Times New Roman" w:hAnsi="Times New Roman" w:eastAsia="黑体"/>
          <w:color w:val="auto"/>
          <w:sz w:val="21"/>
          <w:szCs w:val="21"/>
        </w:rPr>
        <w:t>气环境影响评价等级判别</w:t>
      </w:r>
      <w:r>
        <w:rPr>
          <w:rFonts w:ascii="Times New Roman" w:hAnsi="Times New Roman" w:eastAsia="黑体"/>
          <w:color w:val="auto"/>
          <w:sz w:val="21"/>
          <w:szCs w:val="21"/>
        </w:rPr>
        <w:t>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6560"/>
      </w:tblGrid>
      <w:tr w14:paraId="5CF9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52" w:type="pct"/>
            <w:shd w:val="clear" w:color="auto" w:fill="auto"/>
            <w:vAlign w:val="center"/>
          </w:tcPr>
          <w:p w14:paraId="3973B77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评价工作等级</w:t>
            </w:r>
          </w:p>
        </w:tc>
        <w:tc>
          <w:tcPr>
            <w:tcW w:w="3447" w:type="pct"/>
            <w:shd w:val="clear" w:color="auto" w:fill="auto"/>
            <w:vAlign w:val="center"/>
          </w:tcPr>
          <w:p w14:paraId="4E28B81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评价工作分级判据</w:t>
            </w:r>
          </w:p>
        </w:tc>
      </w:tr>
      <w:tr w14:paraId="030E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pct"/>
            <w:shd w:val="clear" w:color="auto" w:fill="auto"/>
            <w:vAlign w:val="center"/>
          </w:tcPr>
          <w:p w14:paraId="566AEAD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3447" w:type="pct"/>
            <w:shd w:val="clear" w:color="auto" w:fill="auto"/>
            <w:vAlign w:val="center"/>
          </w:tcPr>
          <w:p w14:paraId="4EAB3DA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Pmax ≥ 10%</w:t>
            </w:r>
          </w:p>
        </w:tc>
      </w:tr>
      <w:tr w14:paraId="5B11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pct"/>
            <w:shd w:val="clear" w:color="auto" w:fill="auto"/>
            <w:vAlign w:val="center"/>
          </w:tcPr>
          <w:p w14:paraId="6E7C2FA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3447" w:type="pct"/>
            <w:shd w:val="clear" w:color="auto" w:fill="auto"/>
            <w:vAlign w:val="center"/>
          </w:tcPr>
          <w:p w14:paraId="2360D18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1%≤Pmax&lt;10%</w:t>
            </w:r>
          </w:p>
        </w:tc>
      </w:tr>
      <w:tr w14:paraId="2076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pct"/>
            <w:shd w:val="clear" w:color="auto" w:fill="auto"/>
            <w:vAlign w:val="center"/>
          </w:tcPr>
          <w:p w14:paraId="11AEF15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3447" w:type="pct"/>
            <w:shd w:val="clear" w:color="auto" w:fill="auto"/>
            <w:vAlign w:val="center"/>
          </w:tcPr>
          <w:p w14:paraId="5B61EDC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Pmax &lt; 1%</w:t>
            </w:r>
          </w:p>
        </w:tc>
      </w:tr>
    </w:tbl>
    <w:p w14:paraId="09E233AF">
      <w:pPr>
        <w:tabs>
          <w:tab w:val="left" w:pos="952"/>
        </w:tabs>
        <w:ind w:left="0" w:leftChars="0" w:firstLine="480" w:firstLineChars="200"/>
        <w:rPr>
          <w:rFonts w:cs="Times New Roman"/>
          <w:color w:val="auto"/>
        </w:rPr>
      </w:pPr>
      <w:r>
        <w:rPr>
          <w:rFonts w:cs="Times New Roman"/>
          <w:color w:val="auto"/>
        </w:rPr>
        <w:t>本次大气环境影响评价因子和评价标准见下表：</w:t>
      </w:r>
    </w:p>
    <w:p w14:paraId="4A0532DD">
      <w:pPr>
        <w:numPr>
          <w:ilvl w:val="0"/>
          <w:numId w:val="15"/>
        </w:numPr>
        <w:spacing w:line="360" w:lineRule="auto"/>
        <w:ind w:left="425" w:leftChars="0" w:hanging="425" w:firstLineChars="0"/>
        <w:jc w:val="center"/>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评价因子和评价标准表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422"/>
        <w:gridCol w:w="1422"/>
        <w:gridCol w:w="1424"/>
        <w:gridCol w:w="3818"/>
      </w:tblGrid>
      <w:tr w14:paraId="3A7E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noWrap w:val="0"/>
            <w:vAlign w:val="center"/>
          </w:tcPr>
          <w:p w14:paraId="12C4ADD8">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评价因子</w:t>
            </w:r>
          </w:p>
        </w:tc>
        <w:tc>
          <w:tcPr>
            <w:tcW w:w="748" w:type="pct"/>
            <w:noWrap w:val="0"/>
            <w:vAlign w:val="center"/>
          </w:tcPr>
          <w:p w14:paraId="205B598D">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功能区</w:t>
            </w:r>
          </w:p>
        </w:tc>
        <w:tc>
          <w:tcPr>
            <w:tcW w:w="748" w:type="pct"/>
            <w:noWrap w:val="0"/>
            <w:vAlign w:val="center"/>
          </w:tcPr>
          <w:p w14:paraId="1298C6DF">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平均时段</w:t>
            </w:r>
          </w:p>
        </w:tc>
        <w:tc>
          <w:tcPr>
            <w:tcW w:w="749" w:type="pct"/>
            <w:noWrap w:val="0"/>
            <w:vAlign w:val="center"/>
          </w:tcPr>
          <w:p w14:paraId="63107F97">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标准值（mg/m</w:t>
            </w:r>
            <w:r>
              <w:rPr>
                <w:rFonts w:hint="eastAsia" w:ascii="Times New Roman" w:hAnsi="Times New Roman" w:eastAsia="宋体" w:cs="Courier New"/>
                <w:b/>
                <w:bCs/>
                <w:color w:val="auto"/>
                <w:sz w:val="21"/>
                <w:szCs w:val="21"/>
                <w:highlight w:val="none"/>
                <w:vertAlign w:val="superscript"/>
                <w:lang w:val="en-US" w:eastAsia="zh-CN"/>
              </w:rPr>
              <w:t>3</w:t>
            </w:r>
            <w:r>
              <w:rPr>
                <w:rFonts w:hint="eastAsia" w:ascii="Times New Roman" w:hAnsi="Times New Roman" w:eastAsia="宋体" w:cs="Courier New"/>
                <w:b/>
                <w:bCs/>
                <w:color w:val="auto"/>
                <w:sz w:val="21"/>
                <w:szCs w:val="21"/>
                <w:highlight w:val="none"/>
                <w:lang w:val="en-US" w:eastAsia="zh-CN"/>
              </w:rPr>
              <w:t>）</w:t>
            </w:r>
          </w:p>
        </w:tc>
        <w:tc>
          <w:tcPr>
            <w:tcW w:w="2008" w:type="pct"/>
            <w:noWrap w:val="0"/>
            <w:vAlign w:val="center"/>
          </w:tcPr>
          <w:p w14:paraId="74B2477D">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标准来源</w:t>
            </w:r>
          </w:p>
        </w:tc>
      </w:tr>
      <w:tr w14:paraId="6AE1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5" w:type="pct"/>
            <w:noWrap w:val="0"/>
            <w:vAlign w:val="center"/>
          </w:tcPr>
          <w:p w14:paraId="02F0B16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ascii="Times New Roman" w:hAnsi="Times New Roman"/>
                <w:color w:val="auto"/>
                <w:sz w:val="21"/>
                <w:szCs w:val="21"/>
              </w:rPr>
              <w:t>PM</w:t>
            </w:r>
            <w:r>
              <w:rPr>
                <w:rFonts w:ascii="Times New Roman" w:hAnsi="Times New Roman"/>
                <w:color w:val="auto"/>
                <w:sz w:val="21"/>
                <w:szCs w:val="21"/>
                <w:vertAlign w:val="subscript"/>
              </w:rPr>
              <w:t>10</w:t>
            </w:r>
          </w:p>
        </w:tc>
        <w:tc>
          <w:tcPr>
            <w:tcW w:w="748" w:type="pct"/>
            <w:shd w:val="clear" w:color="auto" w:fill="auto"/>
            <w:noWrap w:val="0"/>
            <w:vAlign w:val="center"/>
          </w:tcPr>
          <w:p w14:paraId="3BE3A2C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noWrap w:val="0"/>
            <w:vAlign w:val="center"/>
          </w:tcPr>
          <w:p w14:paraId="52A6D7F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1小时均值</w:t>
            </w:r>
          </w:p>
        </w:tc>
        <w:tc>
          <w:tcPr>
            <w:tcW w:w="749" w:type="pct"/>
            <w:noWrap w:val="0"/>
            <w:vAlign w:val="center"/>
          </w:tcPr>
          <w:p w14:paraId="361BF8A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0.</w:t>
            </w:r>
            <w:r>
              <w:rPr>
                <w:rFonts w:hint="eastAsia" w:cs="Courier New"/>
                <w:b w:val="0"/>
                <w:bCs w:val="0"/>
                <w:color w:val="auto"/>
                <w:sz w:val="21"/>
                <w:szCs w:val="21"/>
                <w:highlight w:val="none"/>
                <w:lang w:val="en-US" w:eastAsia="zh-CN"/>
              </w:rPr>
              <w:t>36</w:t>
            </w:r>
            <w:r>
              <w:rPr>
                <w:rFonts w:hint="eastAsia" w:eastAsia="宋体" w:cs="Courier New"/>
                <w:b w:val="0"/>
                <w:bCs w:val="0"/>
                <w:color w:val="auto"/>
                <w:sz w:val="21"/>
                <w:szCs w:val="21"/>
                <w:highlight w:val="none"/>
                <w:lang w:val="en-US" w:eastAsia="zh-CN"/>
              </w:rPr>
              <w:t>0</w:t>
            </w:r>
          </w:p>
        </w:tc>
        <w:tc>
          <w:tcPr>
            <w:tcW w:w="2008" w:type="pct"/>
            <w:vMerge w:val="restart"/>
            <w:noWrap w:val="0"/>
            <w:vAlign w:val="center"/>
          </w:tcPr>
          <w:p w14:paraId="768C007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color w:val="auto"/>
                <w:szCs w:val="24"/>
              </w:rPr>
              <w:t>《环境空气质量标准》（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表1中过渡阶段</w:t>
            </w:r>
            <w:r>
              <w:rPr>
                <w:color w:val="auto"/>
                <w:szCs w:val="24"/>
              </w:rPr>
              <w:t>二级标准</w:t>
            </w:r>
          </w:p>
        </w:tc>
      </w:tr>
      <w:tr w14:paraId="2D6F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noWrap w:val="0"/>
            <w:vAlign w:val="center"/>
          </w:tcPr>
          <w:p w14:paraId="2A1E8C7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ascii="Times New Roman" w:hAnsi="Times New Roman"/>
                <w:color w:val="auto"/>
                <w:sz w:val="21"/>
                <w:szCs w:val="21"/>
              </w:rPr>
              <w:t>PM</w:t>
            </w:r>
            <w:r>
              <w:rPr>
                <w:rFonts w:ascii="Times New Roman" w:hAnsi="Times New Roman"/>
                <w:color w:val="auto"/>
                <w:sz w:val="21"/>
                <w:szCs w:val="21"/>
                <w:vertAlign w:val="subscript"/>
              </w:rPr>
              <w:t>2.5</w:t>
            </w:r>
          </w:p>
        </w:tc>
        <w:tc>
          <w:tcPr>
            <w:tcW w:w="748" w:type="pct"/>
            <w:shd w:val="clear" w:color="auto" w:fill="auto"/>
            <w:noWrap w:val="0"/>
            <w:vAlign w:val="center"/>
          </w:tcPr>
          <w:p w14:paraId="1A26BA4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noWrap w:val="0"/>
            <w:vAlign w:val="center"/>
          </w:tcPr>
          <w:p w14:paraId="0FF673E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1小时均值</w:t>
            </w:r>
          </w:p>
        </w:tc>
        <w:tc>
          <w:tcPr>
            <w:tcW w:w="749" w:type="pct"/>
            <w:noWrap w:val="0"/>
            <w:vAlign w:val="center"/>
          </w:tcPr>
          <w:p w14:paraId="3D5BAE5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0.</w:t>
            </w:r>
            <w:r>
              <w:rPr>
                <w:rFonts w:hint="eastAsia" w:cs="Courier New"/>
                <w:b w:val="0"/>
                <w:bCs w:val="0"/>
                <w:color w:val="auto"/>
                <w:sz w:val="21"/>
                <w:szCs w:val="21"/>
                <w:highlight w:val="none"/>
                <w:lang w:val="en-US" w:eastAsia="zh-CN"/>
              </w:rPr>
              <w:t>180</w:t>
            </w:r>
          </w:p>
        </w:tc>
        <w:tc>
          <w:tcPr>
            <w:tcW w:w="2008" w:type="pct"/>
            <w:vMerge w:val="continue"/>
            <w:noWrap w:val="0"/>
            <w:vAlign w:val="center"/>
          </w:tcPr>
          <w:p w14:paraId="11F0A70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r>
      <w:tr w14:paraId="12CD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noWrap w:val="0"/>
            <w:vAlign w:val="center"/>
          </w:tcPr>
          <w:p w14:paraId="1B14236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olor w:val="auto"/>
                <w:sz w:val="21"/>
                <w:szCs w:val="21"/>
              </w:rPr>
              <w:t>TSP</w:t>
            </w:r>
          </w:p>
        </w:tc>
        <w:tc>
          <w:tcPr>
            <w:tcW w:w="748" w:type="pct"/>
            <w:shd w:val="clear" w:color="auto" w:fill="auto"/>
            <w:noWrap w:val="0"/>
            <w:vAlign w:val="center"/>
          </w:tcPr>
          <w:p w14:paraId="034D940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noWrap w:val="0"/>
            <w:vAlign w:val="center"/>
          </w:tcPr>
          <w:p w14:paraId="2D5F240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1小时均值</w:t>
            </w:r>
          </w:p>
        </w:tc>
        <w:tc>
          <w:tcPr>
            <w:tcW w:w="749" w:type="pct"/>
            <w:noWrap w:val="0"/>
            <w:vAlign w:val="center"/>
          </w:tcPr>
          <w:p w14:paraId="58578E8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0.900</w:t>
            </w:r>
          </w:p>
        </w:tc>
        <w:tc>
          <w:tcPr>
            <w:tcW w:w="2008" w:type="pct"/>
            <w:noWrap w:val="0"/>
            <w:vAlign w:val="center"/>
          </w:tcPr>
          <w:p w14:paraId="0B82638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color w:val="auto"/>
                <w:szCs w:val="24"/>
              </w:rPr>
              <w:t>《环境空气质量标准》（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表2中</w:t>
            </w:r>
            <w:r>
              <w:rPr>
                <w:color w:val="auto"/>
                <w:szCs w:val="24"/>
              </w:rPr>
              <w:t>二级标准</w:t>
            </w:r>
          </w:p>
        </w:tc>
      </w:tr>
      <w:tr w14:paraId="0176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noWrap w:val="0"/>
            <w:vAlign w:val="center"/>
          </w:tcPr>
          <w:p w14:paraId="7C5173BC">
            <w:pPr>
              <w:pStyle w:val="24"/>
              <w:bidi w:val="0"/>
              <w:ind w:left="0" w:leftChars="0"/>
              <w:rPr>
                <w:rFonts w:hint="eastAsia"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氟化物</w:t>
            </w:r>
          </w:p>
        </w:tc>
        <w:tc>
          <w:tcPr>
            <w:tcW w:w="748" w:type="pct"/>
            <w:shd w:val="clear" w:color="auto" w:fill="auto"/>
            <w:noWrap w:val="0"/>
            <w:vAlign w:val="center"/>
          </w:tcPr>
          <w:p w14:paraId="5AB12F5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noWrap w:val="0"/>
            <w:vAlign w:val="center"/>
          </w:tcPr>
          <w:p w14:paraId="53CCC76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1小时均值</w:t>
            </w:r>
          </w:p>
        </w:tc>
        <w:tc>
          <w:tcPr>
            <w:tcW w:w="749" w:type="pct"/>
            <w:noWrap w:val="0"/>
            <w:vAlign w:val="center"/>
          </w:tcPr>
          <w:p w14:paraId="22247C6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0.020</w:t>
            </w:r>
          </w:p>
        </w:tc>
        <w:tc>
          <w:tcPr>
            <w:tcW w:w="2008" w:type="pct"/>
            <w:noWrap w:val="0"/>
            <w:vAlign w:val="center"/>
          </w:tcPr>
          <w:p w14:paraId="25C9C69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《环境空气质量标准》（GB3095-2026）附录A中浓度限值</w:t>
            </w:r>
          </w:p>
        </w:tc>
      </w:tr>
      <w:tr w14:paraId="1513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noWrap w:val="0"/>
            <w:vAlign w:val="center"/>
          </w:tcPr>
          <w:p w14:paraId="1AA40390">
            <w:pPr>
              <w:pStyle w:val="24"/>
              <w:bidi w:val="0"/>
              <w:ind w:left="0" w:leftChars="0"/>
              <w:rPr>
                <w:rFonts w:hint="default" w:ascii="Times New Roman" w:hAnsi="Times New Roman" w:eastAsia="宋体"/>
                <w:color w:val="auto"/>
                <w:sz w:val="21"/>
                <w:szCs w:val="21"/>
                <w:lang w:val="en-US" w:eastAsia="zh-CN"/>
              </w:rPr>
            </w:pPr>
            <w:r>
              <w:rPr>
                <w:rFonts w:hint="eastAsia"/>
                <w:color w:val="auto"/>
                <w:sz w:val="21"/>
                <w:szCs w:val="21"/>
                <w:lang w:val="en-US" w:eastAsia="zh-CN"/>
              </w:rPr>
              <w:t>氯化物</w:t>
            </w:r>
          </w:p>
        </w:tc>
        <w:tc>
          <w:tcPr>
            <w:tcW w:w="748" w:type="pct"/>
            <w:shd w:val="clear" w:color="auto" w:fill="auto"/>
            <w:noWrap w:val="0"/>
            <w:vAlign w:val="center"/>
          </w:tcPr>
          <w:p w14:paraId="3DD6285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shd w:val="clear" w:color="auto" w:fill="auto"/>
            <w:noWrap w:val="0"/>
            <w:vAlign w:val="center"/>
          </w:tcPr>
          <w:p w14:paraId="75BCECF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1小时均值</w:t>
            </w:r>
          </w:p>
        </w:tc>
        <w:tc>
          <w:tcPr>
            <w:tcW w:w="749" w:type="pct"/>
            <w:noWrap w:val="0"/>
            <w:vAlign w:val="center"/>
          </w:tcPr>
          <w:p w14:paraId="534C2DA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0.050</w:t>
            </w:r>
          </w:p>
        </w:tc>
        <w:tc>
          <w:tcPr>
            <w:tcW w:w="2008" w:type="pct"/>
            <w:vMerge w:val="restart"/>
            <w:noWrap w:val="0"/>
            <w:vAlign w:val="center"/>
          </w:tcPr>
          <w:p w14:paraId="359DCC3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《环境影响评价技术导则 大气环境》（HJ 2.2-2018）附录D</w:t>
            </w:r>
          </w:p>
        </w:tc>
      </w:tr>
      <w:tr w14:paraId="31AB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shd w:val="clear" w:color="auto" w:fill="auto"/>
            <w:noWrap w:val="0"/>
            <w:vAlign w:val="center"/>
          </w:tcPr>
          <w:p w14:paraId="64B511D1">
            <w:pPr>
              <w:pStyle w:val="24"/>
              <w:bidi w:val="0"/>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color w:val="auto"/>
                <w:sz w:val="21"/>
                <w:szCs w:val="21"/>
                <w:lang w:val="en-US" w:eastAsia="zh-CN"/>
              </w:rPr>
              <w:t>硫酸</w:t>
            </w:r>
          </w:p>
        </w:tc>
        <w:tc>
          <w:tcPr>
            <w:tcW w:w="748" w:type="pct"/>
            <w:shd w:val="clear" w:color="auto" w:fill="auto"/>
            <w:noWrap w:val="0"/>
            <w:vAlign w:val="center"/>
          </w:tcPr>
          <w:p w14:paraId="6A043E7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shd w:val="clear" w:color="auto" w:fill="auto"/>
            <w:noWrap w:val="0"/>
            <w:vAlign w:val="center"/>
          </w:tcPr>
          <w:p w14:paraId="7D0D4EA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1小时均值</w:t>
            </w:r>
          </w:p>
        </w:tc>
        <w:tc>
          <w:tcPr>
            <w:tcW w:w="749" w:type="pct"/>
            <w:shd w:val="clear" w:color="auto" w:fill="auto"/>
            <w:noWrap w:val="0"/>
            <w:vAlign w:val="center"/>
          </w:tcPr>
          <w:p w14:paraId="07C82AF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eastAsia="宋体" w:cs="Courier New"/>
                <w:b w:val="0"/>
                <w:bCs w:val="0"/>
                <w:color w:val="auto"/>
                <w:sz w:val="21"/>
                <w:szCs w:val="21"/>
                <w:highlight w:val="none"/>
                <w:lang w:val="en-US" w:eastAsia="zh-CN"/>
              </w:rPr>
              <w:t>0.300</w:t>
            </w:r>
          </w:p>
        </w:tc>
        <w:tc>
          <w:tcPr>
            <w:tcW w:w="2008" w:type="pct"/>
            <w:vMerge w:val="continue"/>
            <w:noWrap w:val="0"/>
            <w:vAlign w:val="center"/>
          </w:tcPr>
          <w:p w14:paraId="47BF76C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r>
      <w:tr w14:paraId="4707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noWrap w:val="0"/>
            <w:vAlign w:val="center"/>
          </w:tcPr>
          <w:p w14:paraId="19D1F01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TVOC</w:t>
            </w:r>
          </w:p>
        </w:tc>
        <w:tc>
          <w:tcPr>
            <w:tcW w:w="748" w:type="pct"/>
            <w:noWrap w:val="0"/>
            <w:vAlign w:val="center"/>
          </w:tcPr>
          <w:p w14:paraId="50FC009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二类区</w:t>
            </w:r>
          </w:p>
        </w:tc>
        <w:tc>
          <w:tcPr>
            <w:tcW w:w="748" w:type="pct"/>
            <w:noWrap w:val="0"/>
            <w:vAlign w:val="center"/>
          </w:tcPr>
          <w:p w14:paraId="6A98EB7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1</w:t>
            </w:r>
            <w:r>
              <w:rPr>
                <w:rFonts w:hint="eastAsia" w:ascii="Times New Roman" w:hAnsi="Times New Roman" w:eastAsia="宋体" w:cs="Courier New"/>
                <w:b w:val="0"/>
                <w:bCs w:val="0"/>
                <w:color w:val="auto"/>
                <w:sz w:val="21"/>
                <w:szCs w:val="21"/>
                <w:highlight w:val="none"/>
                <w:lang w:val="en-US" w:eastAsia="zh-CN"/>
              </w:rPr>
              <w:t>小时均值</w:t>
            </w:r>
          </w:p>
        </w:tc>
        <w:tc>
          <w:tcPr>
            <w:tcW w:w="749" w:type="pct"/>
            <w:noWrap w:val="0"/>
            <w:vAlign w:val="center"/>
          </w:tcPr>
          <w:p w14:paraId="186787A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1.2</w:t>
            </w:r>
            <w:r>
              <w:rPr>
                <w:rFonts w:hint="eastAsia" w:ascii="Times New Roman" w:hAnsi="Times New Roman" w:eastAsia="宋体" w:cs="Courier New"/>
                <w:b w:val="0"/>
                <w:bCs w:val="0"/>
                <w:color w:val="auto"/>
                <w:sz w:val="21"/>
                <w:szCs w:val="21"/>
                <w:highlight w:val="none"/>
                <w:lang w:val="en-US" w:eastAsia="zh-CN"/>
              </w:rPr>
              <w:t>00</w:t>
            </w:r>
          </w:p>
        </w:tc>
        <w:tc>
          <w:tcPr>
            <w:tcW w:w="2008" w:type="pct"/>
            <w:vMerge w:val="continue"/>
            <w:noWrap w:val="0"/>
            <w:vAlign w:val="center"/>
          </w:tcPr>
          <w:p w14:paraId="088B758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r>
    </w:tbl>
    <w:p w14:paraId="6E55288C">
      <w:pPr>
        <w:pStyle w:val="26"/>
        <w:ind w:firstLine="480"/>
        <w:rPr>
          <w:color w:val="auto"/>
        </w:rPr>
      </w:pPr>
      <w:r>
        <w:rPr>
          <w:color w:val="auto"/>
        </w:rPr>
        <w:t>本次环评采用《环境影响评价技术导则 大气环境》（HJ2.2-2018）推荐模式的AERSCREEN模式计算项目污染源的最大环境影响，该模式是基于AERMOD内核算法开发的单源估算模型，本次估算模型选用参数见下表：</w:t>
      </w:r>
    </w:p>
    <w:p w14:paraId="600E7DEA">
      <w:pPr>
        <w:numPr>
          <w:ilvl w:val="0"/>
          <w:numId w:val="15"/>
        </w:numPr>
        <w:spacing w:line="360" w:lineRule="auto"/>
        <w:ind w:left="425" w:leftChars="0" w:hanging="425" w:firstLineChars="0"/>
        <w:jc w:val="center"/>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算模式参数表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3271"/>
        <w:gridCol w:w="4291"/>
      </w:tblGrid>
      <w:tr w14:paraId="2E58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pct"/>
            <w:gridSpan w:val="2"/>
            <w:tcBorders>
              <w:tl2br w:val="nil"/>
              <w:tr2bl w:val="nil"/>
            </w:tcBorders>
            <w:noWrap w:val="0"/>
            <w:vAlign w:val="center"/>
          </w:tcPr>
          <w:p w14:paraId="30E35102">
            <w:pPr>
              <w:pStyle w:val="24"/>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参数</w:t>
            </w:r>
          </w:p>
        </w:tc>
        <w:tc>
          <w:tcPr>
            <w:tcW w:w="2254" w:type="pct"/>
            <w:tcBorders>
              <w:tl2br w:val="nil"/>
              <w:tr2bl w:val="nil"/>
            </w:tcBorders>
            <w:noWrap w:val="0"/>
            <w:vAlign w:val="center"/>
          </w:tcPr>
          <w:p w14:paraId="14B6DF1C">
            <w:pPr>
              <w:pStyle w:val="24"/>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取值</w:t>
            </w:r>
          </w:p>
        </w:tc>
      </w:tr>
      <w:tr w14:paraId="5399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restart"/>
            <w:tcBorders>
              <w:tl2br w:val="nil"/>
              <w:tr2bl w:val="nil"/>
            </w:tcBorders>
            <w:noWrap w:val="0"/>
            <w:vAlign w:val="center"/>
          </w:tcPr>
          <w:p w14:paraId="6E0A8824">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城市农村/选项</w:t>
            </w:r>
          </w:p>
        </w:tc>
        <w:tc>
          <w:tcPr>
            <w:tcW w:w="1718" w:type="pct"/>
            <w:tcBorders>
              <w:tl2br w:val="nil"/>
              <w:tr2bl w:val="nil"/>
            </w:tcBorders>
            <w:noWrap w:val="0"/>
            <w:vAlign w:val="center"/>
          </w:tcPr>
          <w:p w14:paraId="54D913E7">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城市/农村</w:t>
            </w:r>
          </w:p>
        </w:tc>
        <w:tc>
          <w:tcPr>
            <w:tcW w:w="2254" w:type="pct"/>
            <w:tcBorders>
              <w:tl2br w:val="nil"/>
              <w:tr2bl w:val="nil"/>
            </w:tcBorders>
            <w:noWrap w:val="0"/>
            <w:vAlign w:val="center"/>
          </w:tcPr>
          <w:p w14:paraId="24E3AEF3">
            <w:pPr>
              <w:pStyle w:val="24"/>
              <w:jc w:val="center"/>
              <w:rPr>
                <w:rFonts w:hint="eastAsia" w:ascii="Times New Roman" w:hAnsi="Times New Roman" w:eastAsia="宋体" w:cs="Times New Roman"/>
                <w:b w:val="0"/>
                <w:color w:val="auto"/>
                <w:highlight w:val="none"/>
                <w:lang w:val="en-US" w:eastAsia="zh-CN"/>
              </w:rPr>
            </w:pPr>
            <w:r>
              <w:rPr>
                <w:rFonts w:hint="eastAsia" w:eastAsia="宋体" w:cs="Times New Roman"/>
                <w:b w:val="0"/>
                <w:color w:val="auto"/>
                <w:highlight w:val="none"/>
                <w:lang w:val="en-US" w:eastAsia="zh-CN"/>
              </w:rPr>
              <w:t>农村</w:t>
            </w:r>
          </w:p>
        </w:tc>
      </w:tr>
      <w:tr w14:paraId="556F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continue"/>
            <w:tcBorders>
              <w:tl2br w:val="nil"/>
              <w:tr2bl w:val="nil"/>
            </w:tcBorders>
            <w:noWrap w:val="0"/>
            <w:vAlign w:val="center"/>
          </w:tcPr>
          <w:p w14:paraId="2D025860">
            <w:pPr>
              <w:pStyle w:val="24"/>
              <w:jc w:val="center"/>
              <w:rPr>
                <w:rFonts w:hint="default" w:ascii="Times New Roman" w:hAnsi="Times New Roman" w:eastAsia="宋体" w:cs="Times New Roman"/>
                <w:b w:val="0"/>
                <w:color w:val="auto"/>
                <w:highlight w:val="none"/>
              </w:rPr>
            </w:pPr>
          </w:p>
        </w:tc>
        <w:tc>
          <w:tcPr>
            <w:tcW w:w="1718" w:type="pct"/>
            <w:tcBorders>
              <w:tl2br w:val="nil"/>
              <w:tr2bl w:val="nil"/>
            </w:tcBorders>
            <w:noWrap w:val="0"/>
            <w:vAlign w:val="center"/>
          </w:tcPr>
          <w:p w14:paraId="62F59CCC">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人口数（城市选项时）</w:t>
            </w:r>
          </w:p>
        </w:tc>
        <w:tc>
          <w:tcPr>
            <w:tcW w:w="2254" w:type="pct"/>
            <w:tcBorders>
              <w:tl2br w:val="nil"/>
              <w:tr2bl w:val="nil"/>
            </w:tcBorders>
            <w:noWrap w:val="0"/>
            <w:vAlign w:val="center"/>
          </w:tcPr>
          <w:p w14:paraId="38A837EA">
            <w:pPr>
              <w:pStyle w:val="24"/>
              <w:jc w:val="center"/>
              <w:rPr>
                <w:rFonts w:hint="eastAsia" w:ascii="Times New Roman" w:hAnsi="Times New Roman" w:eastAsia="宋体" w:cs="Times New Roman"/>
                <w:b w:val="0"/>
                <w:color w:val="auto"/>
                <w:highlight w:val="none"/>
                <w:lang w:eastAsia="zh-CN"/>
              </w:rPr>
            </w:pPr>
            <w:r>
              <w:rPr>
                <w:rFonts w:hint="eastAsia" w:eastAsia="宋体" w:cs="Times New Roman"/>
                <w:b w:val="0"/>
                <w:color w:val="auto"/>
                <w:highlight w:val="none"/>
                <w:lang w:val="en-US" w:eastAsia="zh-CN"/>
              </w:rPr>
              <w:t>/</w:t>
            </w:r>
          </w:p>
        </w:tc>
      </w:tr>
      <w:tr w14:paraId="1085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pct"/>
            <w:gridSpan w:val="2"/>
            <w:tcBorders>
              <w:tl2br w:val="nil"/>
              <w:tr2bl w:val="nil"/>
            </w:tcBorders>
            <w:noWrap w:val="0"/>
            <w:vAlign w:val="center"/>
          </w:tcPr>
          <w:p w14:paraId="554E673C">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最高环境温度</w:t>
            </w:r>
          </w:p>
        </w:tc>
        <w:tc>
          <w:tcPr>
            <w:tcW w:w="2254" w:type="pct"/>
            <w:tcBorders>
              <w:tl2br w:val="nil"/>
              <w:tr2bl w:val="nil"/>
            </w:tcBorders>
            <w:noWrap w:val="0"/>
            <w:vAlign w:val="center"/>
          </w:tcPr>
          <w:p w14:paraId="5EDF4A0E">
            <w:pPr>
              <w:pStyle w:val="24"/>
              <w:jc w:val="center"/>
              <w:rPr>
                <w:rFonts w:hint="default" w:ascii="Times New Roman" w:hAnsi="Times New Roman" w:eastAsia="宋体" w:cs="Times New Roman"/>
                <w:b w:val="0"/>
                <w:color w:val="auto"/>
                <w:highlight w:val="none"/>
              </w:rPr>
            </w:pPr>
            <w:r>
              <w:rPr>
                <w:rFonts w:hint="eastAsia" w:cs="Times New Roman"/>
                <w:b w:val="0"/>
                <w:color w:val="auto"/>
                <w:highlight w:val="none"/>
                <w:lang w:val="en-US" w:eastAsia="zh-CN"/>
              </w:rPr>
              <w:t>41.1</w:t>
            </w:r>
            <w:r>
              <w:rPr>
                <w:rFonts w:hint="default" w:ascii="Times New Roman" w:hAnsi="Times New Roman" w:eastAsia="宋体" w:cs="Times New Roman"/>
                <w:b w:val="0"/>
                <w:color w:val="auto"/>
                <w:highlight w:val="none"/>
              </w:rPr>
              <w:t>°C</w:t>
            </w:r>
          </w:p>
        </w:tc>
      </w:tr>
      <w:tr w14:paraId="4D33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pct"/>
            <w:gridSpan w:val="2"/>
            <w:tcBorders>
              <w:tl2br w:val="nil"/>
              <w:tr2bl w:val="nil"/>
            </w:tcBorders>
            <w:noWrap w:val="0"/>
            <w:vAlign w:val="center"/>
          </w:tcPr>
          <w:p w14:paraId="657AFEF4">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最低环境温度</w:t>
            </w:r>
          </w:p>
        </w:tc>
        <w:tc>
          <w:tcPr>
            <w:tcW w:w="2254" w:type="pct"/>
            <w:tcBorders>
              <w:tl2br w:val="nil"/>
              <w:tr2bl w:val="nil"/>
            </w:tcBorders>
            <w:noWrap w:val="0"/>
            <w:vAlign w:val="center"/>
          </w:tcPr>
          <w:p w14:paraId="406F82C7">
            <w:pPr>
              <w:pStyle w:val="24"/>
              <w:jc w:val="center"/>
              <w:rPr>
                <w:rFonts w:hint="default" w:ascii="Times New Roman" w:hAnsi="Times New Roman" w:eastAsia="宋体" w:cs="Times New Roman"/>
                <w:b w:val="0"/>
                <w:color w:val="auto"/>
                <w:highlight w:val="none"/>
              </w:rPr>
            </w:pPr>
            <w:r>
              <w:rPr>
                <w:rFonts w:hint="eastAsia" w:eastAsia="宋体" w:cs="Times New Roman"/>
                <w:b w:val="0"/>
                <w:color w:val="auto"/>
                <w:highlight w:val="none"/>
                <w:lang w:val="en-US" w:eastAsia="zh-CN"/>
              </w:rPr>
              <w:t>-</w:t>
            </w:r>
            <w:r>
              <w:rPr>
                <w:rFonts w:hint="eastAsia" w:cs="Times New Roman"/>
                <w:b w:val="0"/>
                <w:color w:val="auto"/>
                <w:highlight w:val="none"/>
                <w:lang w:val="en-US" w:eastAsia="zh-CN"/>
              </w:rPr>
              <w:t>7.2</w:t>
            </w:r>
            <w:r>
              <w:rPr>
                <w:rFonts w:hint="default" w:ascii="Times New Roman" w:hAnsi="Times New Roman" w:eastAsia="宋体" w:cs="Times New Roman"/>
                <w:b w:val="0"/>
                <w:color w:val="auto"/>
                <w:highlight w:val="none"/>
              </w:rPr>
              <w:t>C</w:t>
            </w:r>
          </w:p>
        </w:tc>
      </w:tr>
      <w:tr w14:paraId="1549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pct"/>
            <w:gridSpan w:val="2"/>
            <w:tcBorders>
              <w:tl2br w:val="nil"/>
              <w:tr2bl w:val="nil"/>
            </w:tcBorders>
            <w:noWrap w:val="0"/>
            <w:vAlign w:val="center"/>
          </w:tcPr>
          <w:p w14:paraId="06CEA212">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土地利用类型</w:t>
            </w:r>
          </w:p>
        </w:tc>
        <w:tc>
          <w:tcPr>
            <w:tcW w:w="2254" w:type="pct"/>
            <w:tcBorders>
              <w:tl2br w:val="nil"/>
              <w:tr2bl w:val="nil"/>
            </w:tcBorders>
            <w:noWrap w:val="0"/>
            <w:vAlign w:val="center"/>
          </w:tcPr>
          <w:p w14:paraId="7C38CD9B">
            <w:pPr>
              <w:pStyle w:val="24"/>
              <w:jc w:val="center"/>
              <w:rPr>
                <w:rFonts w:hint="default" w:ascii="Times New Roman" w:hAnsi="Times New Roman" w:eastAsia="宋体" w:cs="Times New Roman"/>
                <w:b w:val="0"/>
                <w:color w:val="auto"/>
                <w:highlight w:val="none"/>
                <w:lang w:val="en-US" w:eastAsia="zh-CN"/>
              </w:rPr>
            </w:pPr>
            <w:r>
              <w:rPr>
                <w:rFonts w:hint="eastAsia" w:eastAsia="宋体" w:cs="Times New Roman"/>
                <w:b w:val="0"/>
                <w:color w:val="auto"/>
                <w:highlight w:val="none"/>
                <w:lang w:val="en-US" w:eastAsia="zh-CN"/>
              </w:rPr>
              <w:t>农作地</w:t>
            </w:r>
          </w:p>
        </w:tc>
      </w:tr>
      <w:tr w14:paraId="5AE5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pct"/>
            <w:gridSpan w:val="2"/>
            <w:tcBorders>
              <w:tl2br w:val="nil"/>
              <w:tr2bl w:val="nil"/>
            </w:tcBorders>
            <w:noWrap w:val="0"/>
            <w:vAlign w:val="center"/>
          </w:tcPr>
          <w:p w14:paraId="3DD9500A">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区域湿度条件</w:t>
            </w:r>
          </w:p>
        </w:tc>
        <w:tc>
          <w:tcPr>
            <w:tcW w:w="2254" w:type="pct"/>
            <w:tcBorders>
              <w:tl2br w:val="nil"/>
              <w:tr2bl w:val="nil"/>
            </w:tcBorders>
            <w:noWrap w:val="0"/>
            <w:vAlign w:val="center"/>
          </w:tcPr>
          <w:p w14:paraId="2C28CBCA">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湿润</w:t>
            </w:r>
          </w:p>
        </w:tc>
      </w:tr>
      <w:tr w14:paraId="5FAF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restart"/>
            <w:tcBorders>
              <w:tl2br w:val="nil"/>
              <w:tr2bl w:val="nil"/>
            </w:tcBorders>
            <w:noWrap w:val="0"/>
            <w:vAlign w:val="center"/>
          </w:tcPr>
          <w:p w14:paraId="34B37BDA">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是否考虑地形</w:t>
            </w:r>
          </w:p>
        </w:tc>
        <w:tc>
          <w:tcPr>
            <w:tcW w:w="1718" w:type="pct"/>
            <w:tcBorders>
              <w:tl2br w:val="nil"/>
              <w:tr2bl w:val="nil"/>
            </w:tcBorders>
            <w:noWrap w:val="0"/>
            <w:vAlign w:val="center"/>
          </w:tcPr>
          <w:p w14:paraId="29FEA2AC">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考虑地形</w:t>
            </w:r>
          </w:p>
        </w:tc>
        <w:tc>
          <w:tcPr>
            <w:tcW w:w="2254" w:type="pct"/>
            <w:tcBorders>
              <w:tl2br w:val="nil"/>
              <w:tr2bl w:val="nil"/>
            </w:tcBorders>
            <w:noWrap w:val="0"/>
            <w:vAlign w:val="center"/>
          </w:tcPr>
          <w:p w14:paraId="2C525E69">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sym w:font="Wingdings 2" w:char="F052"/>
            </w:r>
            <w:r>
              <w:rPr>
                <w:rFonts w:hint="default" w:ascii="Times New Roman" w:hAnsi="Times New Roman" w:eastAsia="宋体" w:cs="Times New Roman"/>
                <w:b w:val="0"/>
                <w:color w:val="auto"/>
                <w:highlight w:val="none"/>
              </w:rPr>
              <w:t>是      □否</w:t>
            </w:r>
          </w:p>
        </w:tc>
      </w:tr>
      <w:tr w14:paraId="031F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continue"/>
            <w:tcBorders>
              <w:tl2br w:val="nil"/>
              <w:tr2bl w:val="nil"/>
            </w:tcBorders>
            <w:noWrap w:val="0"/>
            <w:vAlign w:val="center"/>
          </w:tcPr>
          <w:p w14:paraId="36E04B22">
            <w:pPr>
              <w:pStyle w:val="24"/>
              <w:jc w:val="center"/>
              <w:rPr>
                <w:rFonts w:hint="default" w:ascii="Times New Roman" w:hAnsi="Times New Roman" w:eastAsia="宋体" w:cs="Times New Roman"/>
                <w:b w:val="0"/>
                <w:color w:val="auto"/>
                <w:highlight w:val="none"/>
              </w:rPr>
            </w:pPr>
          </w:p>
        </w:tc>
        <w:tc>
          <w:tcPr>
            <w:tcW w:w="1718" w:type="pct"/>
            <w:tcBorders>
              <w:tl2br w:val="nil"/>
              <w:tr2bl w:val="nil"/>
            </w:tcBorders>
            <w:noWrap w:val="0"/>
            <w:vAlign w:val="center"/>
          </w:tcPr>
          <w:p w14:paraId="39696CF1">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地形数据分辨率/m</w:t>
            </w:r>
          </w:p>
        </w:tc>
        <w:tc>
          <w:tcPr>
            <w:tcW w:w="2254" w:type="pct"/>
            <w:tcBorders>
              <w:tl2br w:val="nil"/>
              <w:tr2bl w:val="nil"/>
            </w:tcBorders>
            <w:noWrap w:val="0"/>
            <w:vAlign w:val="center"/>
          </w:tcPr>
          <w:p w14:paraId="55FEC859">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90</w:t>
            </w:r>
          </w:p>
        </w:tc>
      </w:tr>
      <w:tr w14:paraId="5375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restart"/>
            <w:tcBorders>
              <w:tl2br w:val="nil"/>
              <w:tr2bl w:val="nil"/>
            </w:tcBorders>
            <w:noWrap w:val="0"/>
            <w:vAlign w:val="center"/>
          </w:tcPr>
          <w:p w14:paraId="1B838ABC">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是否考虑海岸线</w:t>
            </w:r>
          </w:p>
          <w:p w14:paraId="468E5555">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熏烟</w:t>
            </w:r>
          </w:p>
        </w:tc>
        <w:tc>
          <w:tcPr>
            <w:tcW w:w="1718" w:type="pct"/>
            <w:tcBorders>
              <w:tl2br w:val="nil"/>
              <w:tr2bl w:val="nil"/>
            </w:tcBorders>
            <w:noWrap w:val="0"/>
            <w:vAlign w:val="center"/>
          </w:tcPr>
          <w:p w14:paraId="551863C5">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考虑海岸线熏烟</w:t>
            </w:r>
          </w:p>
        </w:tc>
        <w:tc>
          <w:tcPr>
            <w:tcW w:w="2254" w:type="pct"/>
            <w:tcBorders>
              <w:tl2br w:val="nil"/>
              <w:tr2bl w:val="nil"/>
            </w:tcBorders>
            <w:noWrap w:val="0"/>
            <w:vAlign w:val="center"/>
          </w:tcPr>
          <w:p w14:paraId="61DDC5FE">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 xml:space="preserve">□是      </w:t>
            </w:r>
            <w:r>
              <w:rPr>
                <w:rFonts w:hint="default" w:ascii="Times New Roman" w:hAnsi="Times New Roman" w:eastAsia="宋体" w:cs="Times New Roman"/>
                <w:b w:val="0"/>
                <w:color w:val="auto"/>
                <w:highlight w:val="none"/>
              </w:rPr>
              <w:sym w:font="Wingdings 2" w:char="F052"/>
            </w:r>
            <w:r>
              <w:rPr>
                <w:rFonts w:hint="default" w:ascii="Times New Roman" w:hAnsi="Times New Roman" w:eastAsia="宋体" w:cs="Times New Roman"/>
                <w:b w:val="0"/>
                <w:color w:val="auto"/>
                <w:highlight w:val="none"/>
              </w:rPr>
              <w:t>否</w:t>
            </w:r>
          </w:p>
        </w:tc>
      </w:tr>
      <w:tr w14:paraId="6D8F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continue"/>
            <w:tcBorders>
              <w:tl2br w:val="nil"/>
              <w:tr2bl w:val="nil"/>
            </w:tcBorders>
            <w:noWrap w:val="0"/>
            <w:vAlign w:val="center"/>
          </w:tcPr>
          <w:p w14:paraId="24CE0D57">
            <w:pPr>
              <w:pStyle w:val="24"/>
              <w:jc w:val="center"/>
              <w:rPr>
                <w:rFonts w:hint="default" w:ascii="Times New Roman" w:hAnsi="Times New Roman" w:eastAsia="宋体" w:cs="Times New Roman"/>
                <w:b w:val="0"/>
                <w:color w:val="auto"/>
                <w:highlight w:val="none"/>
              </w:rPr>
            </w:pPr>
          </w:p>
        </w:tc>
        <w:tc>
          <w:tcPr>
            <w:tcW w:w="1718" w:type="pct"/>
            <w:tcBorders>
              <w:tl2br w:val="nil"/>
              <w:tr2bl w:val="nil"/>
            </w:tcBorders>
            <w:noWrap w:val="0"/>
            <w:vAlign w:val="center"/>
          </w:tcPr>
          <w:p w14:paraId="365D8F90">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海岸线距离/km</w:t>
            </w:r>
          </w:p>
        </w:tc>
        <w:tc>
          <w:tcPr>
            <w:tcW w:w="2254" w:type="pct"/>
            <w:tcBorders>
              <w:tl2br w:val="nil"/>
              <w:tr2bl w:val="nil"/>
            </w:tcBorders>
            <w:noWrap w:val="0"/>
            <w:vAlign w:val="center"/>
          </w:tcPr>
          <w:p w14:paraId="21973BA4">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w:t>
            </w:r>
          </w:p>
        </w:tc>
      </w:tr>
      <w:tr w14:paraId="1C8C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pct"/>
            <w:vMerge w:val="continue"/>
            <w:tcBorders>
              <w:tl2br w:val="nil"/>
              <w:tr2bl w:val="nil"/>
            </w:tcBorders>
            <w:noWrap w:val="0"/>
            <w:vAlign w:val="center"/>
          </w:tcPr>
          <w:p w14:paraId="6DD3ED9B">
            <w:pPr>
              <w:pStyle w:val="24"/>
              <w:jc w:val="center"/>
              <w:rPr>
                <w:rFonts w:hint="default" w:ascii="Times New Roman" w:hAnsi="Times New Roman" w:eastAsia="宋体" w:cs="Times New Roman"/>
                <w:b w:val="0"/>
                <w:color w:val="auto"/>
                <w:highlight w:val="none"/>
              </w:rPr>
            </w:pPr>
          </w:p>
        </w:tc>
        <w:tc>
          <w:tcPr>
            <w:tcW w:w="1718" w:type="pct"/>
            <w:tcBorders>
              <w:tl2br w:val="nil"/>
              <w:tr2bl w:val="nil"/>
            </w:tcBorders>
            <w:noWrap w:val="0"/>
            <w:vAlign w:val="center"/>
          </w:tcPr>
          <w:p w14:paraId="6D757912">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海岸线方向/o</w:t>
            </w:r>
          </w:p>
        </w:tc>
        <w:tc>
          <w:tcPr>
            <w:tcW w:w="2254" w:type="pct"/>
            <w:tcBorders>
              <w:tl2br w:val="nil"/>
              <w:tr2bl w:val="nil"/>
            </w:tcBorders>
            <w:noWrap w:val="0"/>
            <w:vAlign w:val="center"/>
          </w:tcPr>
          <w:p w14:paraId="3A52986F">
            <w:pPr>
              <w:pStyle w:val="24"/>
              <w:jc w:val="center"/>
              <w:rPr>
                <w:rFonts w:hint="default" w:ascii="Times New Roman" w:hAnsi="Times New Roman" w:eastAsia="宋体" w:cs="Times New Roman"/>
                <w:b w:val="0"/>
                <w:color w:val="auto"/>
                <w:highlight w:val="none"/>
              </w:rPr>
            </w:pPr>
            <w:r>
              <w:rPr>
                <w:rFonts w:hint="default" w:ascii="Times New Roman" w:hAnsi="Times New Roman" w:eastAsia="宋体" w:cs="Times New Roman"/>
                <w:b w:val="0"/>
                <w:color w:val="auto"/>
                <w:highlight w:val="none"/>
              </w:rPr>
              <w:t>/</w:t>
            </w:r>
          </w:p>
        </w:tc>
      </w:tr>
      <w:tr w14:paraId="2225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3"/>
            <w:tcBorders>
              <w:tl2br w:val="nil"/>
              <w:tr2bl w:val="nil"/>
            </w:tcBorders>
            <w:noWrap w:val="0"/>
            <w:vAlign w:val="center"/>
          </w:tcPr>
          <w:p w14:paraId="0B19DB0D">
            <w:pPr>
              <w:pStyle w:val="24"/>
              <w:jc w:val="left"/>
              <w:rPr>
                <w:rFonts w:hint="default" w:ascii="Times New Roman" w:hAnsi="Times New Roman" w:eastAsia="宋体" w:cs="Times New Roman"/>
                <w:b w:val="0"/>
                <w:color w:val="auto"/>
                <w:highlight w:val="none"/>
              </w:rPr>
            </w:pPr>
            <w:r>
              <w:rPr>
                <w:rFonts w:hint="eastAsia" w:cs="Courier New"/>
                <w:b w:val="0"/>
                <w:bCs w:val="0"/>
                <w:color w:val="auto"/>
                <w:sz w:val="21"/>
                <w:szCs w:val="21"/>
                <w:highlight w:val="none"/>
                <w:lang w:val="en-US" w:eastAsia="zh-CN"/>
              </w:rPr>
              <w:t>注：根据《环境影响评价技术导则 大气环境》（HJ2.2-2018）中</w:t>
            </w:r>
            <w:r>
              <w:rPr>
                <w:rFonts w:hint="eastAsia" w:ascii="宋体" w:hAnsi="宋体" w:cs="宋体"/>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B6.1城市/农村选项 当项目周边3km半径范围内一半以上面积属于城市建成区或者规划区时，选择城市，否则选择农村。</w:t>
            </w:r>
            <w:r>
              <w:rPr>
                <w:rFonts w:hint="eastAsia" w:ascii="宋体" w:hAnsi="宋体" w:cs="宋体"/>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，本项目周边3km半径范围内一半以上面积均不属于城镇建设用地，因此，土地利用类型选择</w:t>
            </w:r>
            <w:r>
              <w:rPr>
                <w:rFonts w:hint="eastAsia" w:ascii="宋体" w:hAnsi="宋体" w:cs="宋体"/>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农村</w:t>
            </w:r>
            <w:r>
              <w:rPr>
                <w:rFonts w:hint="eastAsia" w:ascii="宋体" w:hAnsi="宋体" w:cs="宋体"/>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；根据《中国干湿分区示意图》，本项目所在区域为湿润区。</w:t>
            </w:r>
          </w:p>
        </w:tc>
      </w:tr>
    </w:tbl>
    <w:p w14:paraId="3DCD97B8">
      <w:pPr>
        <w:pStyle w:val="24"/>
        <w:bidi w:val="0"/>
        <w:rPr>
          <w:color w:val="auto"/>
        </w:rPr>
      </w:pPr>
      <w:r>
        <w:rPr>
          <w:color w:val="auto"/>
        </w:rPr>
        <w:drawing>
          <wp:inline distT="0" distB="0" distL="114300" distR="114300">
            <wp:extent cx="4059555" cy="3394710"/>
            <wp:effectExtent l="0" t="0" r="17145" b="15240"/>
            <wp:docPr id="155"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6" descr="IMG_256"/>
                    <pic:cNvPicPr>
                      <a:picLocks noChangeAspect="1"/>
                    </pic:cNvPicPr>
                  </pic:nvPicPr>
                  <pic:blipFill>
                    <a:blip r:embed="rId21"/>
                    <a:stretch>
                      <a:fillRect/>
                    </a:stretch>
                  </pic:blipFill>
                  <pic:spPr>
                    <a:xfrm>
                      <a:off x="0" y="0"/>
                      <a:ext cx="4059555" cy="3394710"/>
                    </a:xfrm>
                    <a:prstGeom prst="rect">
                      <a:avLst/>
                    </a:prstGeom>
                    <a:noFill/>
                    <a:ln>
                      <a:noFill/>
                    </a:ln>
                  </pic:spPr>
                </pic:pic>
              </a:graphicData>
            </a:graphic>
          </wp:inline>
        </w:drawing>
      </w:r>
    </w:p>
    <w:p w14:paraId="39F6E6C2">
      <w:pPr>
        <w:pStyle w:val="43"/>
        <w:numPr>
          <w:ilvl w:val="0"/>
          <w:numId w:val="16"/>
        </w:numPr>
        <w:bidi w:val="0"/>
        <w:ind w:left="425" w:leftChars="0" w:hanging="425"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中国干湿分区示意图</w:t>
      </w:r>
    </w:p>
    <w:p w14:paraId="5B3AD2DF">
      <w:pPr>
        <w:pStyle w:val="26"/>
        <w:ind w:firstLine="480"/>
        <w:rPr>
          <w:rFonts w:hint="default" w:ascii="Times New Roman" w:hAnsi="Times New Roman" w:cs="Times New Roman"/>
          <w:color w:val="auto"/>
          <w:highlight w:val="none"/>
        </w:rPr>
      </w:pPr>
      <w:r>
        <w:rPr>
          <w:rFonts w:hint="default" w:ascii="Times New Roman" w:hAnsi="Times New Roman" w:cs="Times New Roman"/>
          <w:bCs/>
          <w:color w:val="auto"/>
          <w:highlight w:val="none"/>
        </w:rPr>
        <w:t>经估算模式预测，</w:t>
      </w:r>
      <w:r>
        <w:rPr>
          <w:rFonts w:hint="default" w:ascii="Times New Roman" w:hAnsi="Times New Roman" w:cs="Times New Roman"/>
          <w:color w:val="auto"/>
          <w:highlight w:val="none"/>
        </w:rPr>
        <w:t>本项目正常工况下主要大气污染物最大地面空气质量占标率</w:t>
      </w:r>
      <w:r>
        <w:rPr>
          <w:rFonts w:hint="default" w:ascii="Times New Roman" w:hAnsi="Times New Roman" w:cs="Times New Roman"/>
          <w:i/>
          <w:color w:val="auto"/>
          <w:highlight w:val="none"/>
        </w:rPr>
        <w:t>P</w:t>
      </w:r>
      <w:r>
        <w:rPr>
          <w:rFonts w:hint="default" w:ascii="Times New Roman" w:hAnsi="Times New Roman" w:cs="Times New Roman"/>
          <w:color w:val="auto"/>
          <w:highlight w:val="none"/>
          <w:vertAlign w:val="subscript"/>
        </w:rPr>
        <w:t>max</w:t>
      </w:r>
      <w:r>
        <w:rPr>
          <w:rFonts w:hint="default" w:ascii="Times New Roman" w:hAnsi="Times New Roman" w:cs="Times New Roman"/>
          <w:color w:val="auto"/>
          <w:highlight w:val="none"/>
        </w:rPr>
        <w:t>见下表。</w:t>
      </w:r>
    </w:p>
    <w:p w14:paraId="5E32D78E">
      <w:pPr>
        <w:numPr>
          <w:ilvl w:val="0"/>
          <w:numId w:val="15"/>
        </w:numPr>
        <w:spacing w:line="360" w:lineRule="auto"/>
        <w:ind w:left="425" w:leftChars="0" w:hanging="425" w:firstLineChars="0"/>
        <w:jc w:val="center"/>
        <w:rPr>
          <w:rFonts w:hint="default"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 xml:space="preserve"> </w:t>
      </w:r>
      <w:r>
        <w:rPr>
          <w:rFonts w:hint="default" w:ascii="Times New Roman" w:hAnsi="Times New Roman" w:eastAsia="黑体" w:cs="Times New Roman"/>
          <w:color w:val="auto"/>
          <w:sz w:val="21"/>
          <w:szCs w:val="21"/>
          <w:lang w:val="en-US" w:eastAsia="zh-CN"/>
        </w:rPr>
        <w:t>大气污染物最大地面空气质量占标率</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1747"/>
        <w:gridCol w:w="1266"/>
        <w:gridCol w:w="1550"/>
        <w:gridCol w:w="1510"/>
        <w:gridCol w:w="1059"/>
        <w:gridCol w:w="1133"/>
      </w:tblGrid>
      <w:tr w14:paraId="1DB3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noWrap w:val="0"/>
            <w:vAlign w:val="center"/>
          </w:tcPr>
          <w:p w14:paraId="6B93C4C2">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编号</w:t>
            </w:r>
          </w:p>
        </w:tc>
        <w:tc>
          <w:tcPr>
            <w:tcW w:w="919" w:type="pct"/>
            <w:noWrap w:val="0"/>
            <w:vAlign w:val="center"/>
          </w:tcPr>
          <w:p w14:paraId="7F1F9B61">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污染源</w:t>
            </w:r>
          </w:p>
        </w:tc>
        <w:tc>
          <w:tcPr>
            <w:tcW w:w="666" w:type="pct"/>
            <w:noWrap w:val="0"/>
            <w:vAlign w:val="center"/>
          </w:tcPr>
          <w:p w14:paraId="78107243">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tc>
        <w:tc>
          <w:tcPr>
            <w:tcW w:w="815" w:type="pct"/>
            <w:noWrap w:val="0"/>
            <w:vAlign w:val="center"/>
          </w:tcPr>
          <w:p w14:paraId="6F4DBDB7">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下风向最大质量浓度距离（m）</w:t>
            </w:r>
          </w:p>
        </w:tc>
        <w:tc>
          <w:tcPr>
            <w:tcW w:w="794" w:type="pct"/>
            <w:noWrap w:val="0"/>
            <w:vAlign w:val="center"/>
          </w:tcPr>
          <w:p w14:paraId="7DFD4BEC">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下风向最大质量浓度Ci（mg/m</w:t>
            </w:r>
            <w:r>
              <w:rPr>
                <w:rFonts w:hint="eastAsia" w:ascii="Times New Roman" w:hAnsi="Times New Roman" w:eastAsia="宋体" w:cs="Courier New"/>
                <w:b/>
                <w:bCs/>
                <w:color w:val="auto"/>
                <w:sz w:val="21"/>
                <w:szCs w:val="21"/>
                <w:highlight w:val="none"/>
                <w:vertAlign w:val="superscript"/>
                <w:lang w:val="en-US" w:eastAsia="zh-CN"/>
              </w:rPr>
              <w:t>3</w:t>
            </w:r>
            <w:r>
              <w:rPr>
                <w:rFonts w:hint="eastAsia" w:ascii="Times New Roman" w:hAnsi="Times New Roman" w:eastAsia="宋体" w:cs="Courier New"/>
                <w:b/>
                <w:bCs/>
                <w:color w:val="auto"/>
                <w:sz w:val="21"/>
                <w:szCs w:val="21"/>
                <w:highlight w:val="none"/>
                <w:lang w:val="en-US" w:eastAsia="zh-CN"/>
              </w:rPr>
              <w:t>）</w:t>
            </w:r>
          </w:p>
        </w:tc>
        <w:tc>
          <w:tcPr>
            <w:tcW w:w="557" w:type="pct"/>
            <w:noWrap w:val="0"/>
            <w:vAlign w:val="center"/>
          </w:tcPr>
          <w:p w14:paraId="3678FCA5">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浓度占标率Pi/%</w:t>
            </w:r>
          </w:p>
        </w:tc>
        <w:tc>
          <w:tcPr>
            <w:tcW w:w="596" w:type="pct"/>
            <w:noWrap w:val="0"/>
            <w:vAlign w:val="center"/>
          </w:tcPr>
          <w:p w14:paraId="24D36719">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D10%最远距离（m）</w:t>
            </w:r>
          </w:p>
        </w:tc>
      </w:tr>
      <w:tr w14:paraId="727C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651" w:type="pct"/>
            <w:vMerge w:val="restart"/>
            <w:shd w:val="clear" w:color="auto" w:fill="auto"/>
            <w:noWrap w:val="0"/>
            <w:vAlign w:val="center"/>
          </w:tcPr>
          <w:p w14:paraId="34ED209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eastAsia="宋体" w:cs="Courier New"/>
                <w:b w:val="0"/>
                <w:bCs w:val="0"/>
                <w:color w:val="auto"/>
                <w:sz w:val="21"/>
                <w:szCs w:val="21"/>
                <w:highlight w:val="none"/>
                <w:lang w:val="en-US" w:eastAsia="zh-CN"/>
              </w:rPr>
              <w:t>DA001</w:t>
            </w:r>
          </w:p>
        </w:tc>
        <w:tc>
          <w:tcPr>
            <w:tcW w:w="919" w:type="pct"/>
            <w:vMerge w:val="restart"/>
            <w:shd w:val="clear" w:color="auto" w:fill="auto"/>
            <w:noWrap w:val="0"/>
            <w:vAlign w:val="center"/>
          </w:tcPr>
          <w:p w14:paraId="428406D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工艺废气排气筒</w:t>
            </w:r>
          </w:p>
        </w:tc>
        <w:tc>
          <w:tcPr>
            <w:tcW w:w="666" w:type="pct"/>
            <w:shd w:val="clear" w:color="auto" w:fill="auto"/>
            <w:noWrap w:val="0"/>
            <w:vAlign w:val="center"/>
          </w:tcPr>
          <w:p w14:paraId="5470F67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PM</w:t>
            </w:r>
            <w:r>
              <w:rPr>
                <w:rFonts w:hint="eastAsia" w:cs="Times New Roman"/>
                <w:b w:val="0"/>
                <w:bCs w:val="0"/>
                <w:color w:val="auto"/>
                <w:sz w:val="21"/>
                <w:szCs w:val="21"/>
                <w:highlight w:val="none"/>
                <w:vertAlign w:val="subscript"/>
                <w:lang w:val="en-US" w:eastAsia="zh-CN"/>
              </w:rPr>
              <w:t>10</w:t>
            </w:r>
          </w:p>
        </w:tc>
        <w:tc>
          <w:tcPr>
            <w:tcW w:w="815" w:type="pct"/>
            <w:vMerge w:val="restart"/>
            <w:noWrap w:val="0"/>
            <w:vAlign w:val="center"/>
          </w:tcPr>
          <w:p w14:paraId="546ACE2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102</w:t>
            </w:r>
          </w:p>
        </w:tc>
        <w:tc>
          <w:tcPr>
            <w:tcW w:w="794" w:type="pct"/>
            <w:noWrap w:val="0"/>
            <w:vAlign w:val="center"/>
          </w:tcPr>
          <w:p w14:paraId="09B8493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2.16E-02</w:t>
            </w:r>
          </w:p>
        </w:tc>
        <w:tc>
          <w:tcPr>
            <w:tcW w:w="557" w:type="pct"/>
            <w:shd w:val="clear" w:color="auto" w:fill="auto"/>
            <w:noWrap w:val="0"/>
            <w:vAlign w:val="center"/>
          </w:tcPr>
          <w:p w14:paraId="4454BD8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kern w:val="2"/>
                <w:sz w:val="21"/>
                <w:szCs w:val="21"/>
                <w:highlight w:val="none"/>
                <w:lang w:val="en-US" w:eastAsia="zh-CN" w:bidi="ar-SA"/>
              </w:rPr>
              <w:t>5.99</w:t>
            </w:r>
          </w:p>
        </w:tc>
        <w:tc>
          <w:tcPr>
            <w:tcW w:w="596" w:type="pct"/>
            <w:noWrap w:val="0"/>
            <w:vAlign w:val="center"/>
          </w:tcPr>
          <w:p w14:paraId="7DAE6F6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2815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651" w:type="pct"/>
            <w:vMerge w:val="continue"/>
            <w:shd w:val="clear" w:color="auto" w:fill="auto"/>
            <w:noWrap w:val="0"/>
            <w:vAlign w:val="center"/>
          </w:tcPr>
          <w:p w14:paraId="390C8FEE">
            <w:pPr>
              <w:pStyle w:val="24"/>
              <w:bidi w:val="0"/>
              <w:ind w:left="0" w:leftChars="0"/>
              <w:rPr>
                <w:color w:val="auto"/>
              </w:rPr>
            </w:pPr>
          </w:p>
        </w:tc>
        <w:tc>
          <w:tcPr>
            <w:tcW w:w="919" w:type="pct"/>
            <w:vMerge w:val="continue"/>
            <w:shd w:val="clear" w:color="auto" w:fill="auto"/>
            <w:noWrap w:val="0"/>
            <w:vAlign w:val="center"/>
          </w:tcPr>
          <w:p w14:paraId="757AA7D8">
            <w:pPr>
              <w:pStyle w:val="24"/>
              <w:bidi w:val="0"/>
              <w:ind w:left="0" w:leftChars="0"/>
              <w:rPr>
                <w:color w:val="auto"/>
              </w:rPr>
            </w:pPr>
          </w:p>
        </w:tc>
        <w:tc>
          <w:tcPr>
            <w:tcW w:w="666" w:type="pct"/>
            <w:shd w:val="clear" w:color="auto" w:fill="auto"/>
            <w:noWrap w:val="0"/>
            <w:vAlign w:val="center"/>
          </w:tcPr>
          <w:p w14:paraId="16ACA9AD">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PM</w:t>
            </w:r>
            <w:r>
              <w:rPr>
                <w:rFonts w:hint="eastAsia" w:ascii="Times New Roman" w:hAnsi="Times New Roman" w:eastAsia="宋体" w:cs="Times New Roman"/>
                <w:b w:val="0"/>
                <w:bCs w:val="0"/>
                <w:color w:val="auto"/>
                <w:sz w:val="21"/>
                <w:szCs w:val="21"/>
                <w:highlight w:val="none"/>
                <w:vertAlign w:val="subscript"/>
                <w:lang w:val="en-US" w:eastAsia="zh-CN"/>
              </w:rPr>
              <w:t>2.5</w:t>
            </w:r>
          </w:p>
        </w:tc>
        <w:tc>
          <w:tcPr>
            <w:tcW w:w="815" w:type="pct"/>
            <w:vMerge w:val="continue"/>
            <w:noWrap w:val="0"/>
            <w:vAlign w:val="center"/>
          </w:tcPr>
          <w:p w14:paraId="5D0A8ABF">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0F66FB8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1.08E-02</w:t>
            </w:r>
          </w:p>
        </w:tc>
        <w:tc>
          <w:tcPr>
            <w:tcW w:w="557" w:type="pct"/>
            <w:shd w:val="clear" w:color="auto" w:fill="auto"/>
            <w:noWrap w:val="0"/>
            <w:vAlign w:val="center"/>
          </w:tcPr>
          <w:p w14:paraId="6B2F2CEF">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5.99</w:t>
            </w:r>
          </w:p>
        </w:tc>
        <w:tc>
          <w:tcPr>
            <w:tcW w:w="596" w:type="pct"/>
            <w:noWrap w:val="0"/>
            <w:vAlign w:val="center"/>
          </w:tcPr>
          <w:p w14:paraId="62FC4B5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25B0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continue"/>
            <w:noWrap w:val="0"/>
            <w:vAlign w:val="center"/>
          </w:tcPr>
          <w:p w14:paraId="3C26EE70">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919" w:type="pct"/>
            <w:vMerge w:val="continue"/>
            <w:noWrap w:val="0"/>
            <w:vAlign w:val="center"/>
          </w:tcPr>
          <w:p w14:paraId="2C0C7334">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666" w:type="pct"/>
            <w:shd w:val="clear" w:color="auto" w:fill="auto"/>
            <w:noWrap w:val="0"/>
            <w:vAlign w:val="center"/>
          </w:tcPr>
          <w:p w14:paraId="2C0D39F2">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硫酸雾</w:t>
            </w:r>
          </w:p>
        </w:tc>
        <w:tc>
          <w:tcPr>
            <w:tcW w:w="815" w:type="pct"/>
            <w:vMerge w:val="continue"/>
            <w:noWrap w:val="0"/>
            <w:vAlign w:val="center"/>
          </w:tcPr>
          <w:p w14:paraId="797064C5">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0BDE91D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2.16E-02</w:t>
            </w:r>
          </w:p>
        </w:tc>
        <w:tc>
          <w:tcPr>
            <w:tcW w:w="557" w:type="pct"/>
            <w:noWrap w:val="0"/>
            <w:vAlign w:val="center"/>
          </w:tcPr>
          <w:p w14:paraId="48426A1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7.19</w:t>
            </w:r>
          </w:p>
        </w:tc>
        <w:tc>
          <w:tcPr>
            <w:tcW w:w="596" w:type="pct"/>
            <w:noWrap w:val="0"/>
            <w:vAlign w:val="center"/>
          </w:tcPr>
          <w:p w14:paraId="2A20F1E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41C7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continue"/>
            <w:noWrap w:val="0"/>
            <w:vAlign w:val="center"/>
          </w:tcPr>
          <w:p w14:paraId="0A988E1F">
            <w:pPr>
              <w:pStyle w:val="24"/>
              <w:bidi w:val="0"/>
              <w:ind w:left="0" w:leftChars="0"/>
              <w:rPr>
                <w:rFonts w:hint="eastAsia" w:eastAsia="宋体" w:cs="Courier New"/>
                <w:b w:val="0"/>
                <w:bCs w:val="0"/>
                <w:color w:val="auto"/>
                <w:sz w:val="21"/>
                <w:szCs w:val="21"/>
                <w:highlight w:val="none"/>
                <w:lang w:val="en-US" w:eastAsia="zh-CN"/>
              </w:rPr>
            </w:pPr>
          </w:p>
        </w:tc>
        <w:tc>
          <w:tcPr>
            <w:tcW w:w="919" w:type="pct"/>
            <w:vMerge w:val="continue"/>
            <w:noWrap w:val="0"/>
            <w:vAlign w:val="center"/>
          </w:tcPr>
          <w:p w14:paraId="3B5BC33A">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666" w:type="pct"/>
            <w:shd w:val="clear" w:color="auto" w:fill="auto"/>
            <w:noWrap w:val="0"/>
            <w:vAlign w:val="center"/>
          </w:tcPr>
          <w:p w14:paraId="00D9CCD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815" w:type="pct"/>
            <w:vMerge w:val="continue"/>
            <w:noWrap w:val="0"/>
            <w:vAlign w:val="center"/>
          </w:tcPr>
          <w:p w14:paraId="5ED3D457">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3EE265E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4.37E-02</w:t>
            </w:r>
          </w:p>
        </w:tc>
        <w:tc>
          <w:tcPr>
            <w:tcW w:w="557" w:type="pct"/>
            <w:noWrap w:val="0"/>
            <w:vAlign w:val="center"/>
          </w:tcPr>
          <w:p w14:paraId="27A02A2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218.43</w:t>
            </w:r>
          </w:p>
        </w:tc>
        <w:tc>
          <w:tcPr>
            <w:tcW w:w="596" w:type="pct"/>
            <w:noWrap w:val="0"/>
            <w:vAlign w:val="center"/>
          </w:tcPr>
          <w:p w14:paraId="4AC189C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1050</w:t>
            </w:r>
          </w:p>
        </w:tc>
      </w:tr>
      <w:tr w14:paraId="4BDA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continue"/>
            <w:noWrap w:val="0"/>
            <w:vAlign w:val="center"/>
          </w:tcPr>
          <w:p w14:paraId="5E97B90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919" w:type="pct"/>
            <w:vMerge w:val="continue"/>
            <w:noWrap w:val="0"/>
            <w:vAlign w:val="center"/>
          </w:tcPr>
          <w:p w14:paraId="555C686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666" w:type="pct"/>
            <w:shd w:val="clear" w:color="auto" w:fill="auto"/>
            <w:noWrap w:val="0"/>
            <w:vAlign w:val="center"/>
          </w:tcPr>
          <w:p w14:paraId="33A86F8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TVOC</w:t>
            </w:r>
          </w:p>
        </w:tc>
        <w:tc>
          <w:tcPr>
            <w:tcW w:w="815" w:type="pct"/>
            <w:vMerge w:val="continue"/>
            <w:noWrap w:val="0"/>
            <w:vAlign w:val="center"/>
          </w:tcPr>
          <w:p w14:paraId="57D82EB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5D9729E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9.49E-02</w:t>
            </w:r>
          </w:p>
        </w:tc>
        <w:tc>
          <w:tcPr>
            <w:tcW w:w="557" w:type="pct"/>
            <w:noWrap w:val="0"/>
            <w:vAlign w:val="center"/>
          </w:tcPr>
          <w:p w14:paraId="1BCDCD9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7.91</w:t>
            </w:r>
          </w:p>
        </w:tc>
        <w:tc>
          <w:tcPr>
            <w:tcW w:w="596" w:type="pct"/>
            <w:noWrap w:val="0"/>
            <w:vAlign w:val="center"/>
          </w:tcPr>
          <w:p w14:paraId="28AAB68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3AA4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restart"/>
            <w:noWrap w:val="0"/>
            <w:vAlign w:val="center"/>
          </w:tcPr>
          <w:p w14:paraId="4E7D7C1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DA00</w:t>
            </w:r>
            <w:r>
              <w:rPr>
                <w:rFonts w:hint="eastAsia" w:cs="Courier New"/>
                <w:b w:val="0"/>
                <w:bCs w:val="0"/>
                <w:color w:val="auto"/>
                <w:sz w:val="21"/>
                <w:szCs w:val="21"/>
                <w:highlight w:val="none"/>
                <w:lang w:val="en-US" w:eastAsia="zh-CN"/>
              </w:rPr>
              <w:t>2</w:t>
            </w:r>
          </w:p>
        </w:tc>
        <w:tc>
          <w:tcPr>
            <w:tcW w:w="919" w:type="pct"/>
            <w:vMerge w:val="restart"/>
            <w:noWrap w:val="0"/>
            <w:vAlign w:val="center"/>
          </w:tcPr>
          <w:p w14:paraId="0BF4F96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质检废气排气筒</w:t>
            </w:r>
          </w:p>
        </w:tc>
        <w:tc>
          <w:tcPr>
            <w:tcW w:w="666" w:type="pct"/>
            <w:shd w:val="clear" w:color="auto" w:fill="auto"/>
            <w:noWrap w:val="0"/>
            <w:vAlign w:val="center"/>
          </w:tcPr>
          <w:p w14:paraId="183A43C6">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氯化氢</w:t>
            </w:r>
          </w:p>
        </w:tc>
        <w:tc>
          <w:tcPr>
            <w:tcW w:w="815" w:type="pct"/>
            <w:vMerge w:val="restart"/>
            <w:noWrap w:val="0"/>
            <w:vAlign w:val="center"/>
          </w:tcPr>
          <w:p w14:paraId="5E2D28F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102</w:t>
            </w:r>
          </w:p>
        </w:tc>
        <w:tc>
          <w:tcPr>
            <w:tcW w:w="794" w:type="pct"/>
            <w:noWrap w:val="0"/>
            <w:vAlign w:val="center"/>
          </w:tcPr>
          <w:p w14:paraId="7411A6C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2.06E-06</w:t>
            </w:r>
          </w:p>
        </w:tc>
        <w:tc>
          <w:tcPr>
            <w:tcW w:w="557" w:type="pct"/>
            <w:noWrap w:val="0"/>
            <w:vAlign w:val="center"/>
          </w:tcPr>
          <w:p w14:paraId="5BD4299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596" w:type="pct"/>
            <w:noWrap w:val="0"/>
            <w:vAlign w:val="center"/>
          </w:tcPr>
          <w:p w14:paraId="66C12DF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2468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1" w:type="pct"/>
            <w:vMerge w:val="continue"/>
            <w:noWrap w:val="0"/>
            <w:vAlign w:val="center"/>
          </w:tcPr>
          <w:p w14:paraId="1BB65B5F">
            <w:pPr>
              <w:pStyle w:val="24"/>
              <w:bidi w:val="0"/>
              <w:ind w:left="0" w:leftChars="0"/>
              <w:rPr>
                <w:rFonts w:hint="eastAsia" w:eastAsia="宋体" w:cs="Courier New"/>
                <w:b w:val="0"/>
                <w:bCs w:val="0"/>
                <w:color w:val="auto"/>
                <w:sz w:val="21"/>
                <w:szCs w:val="21"/>
                <w:highlight w:val="none"/>
                <w:lang w:val="en-US" w:eastAsia="zh-CN"/>
              </w:rPr>
            </w:pPr>
          </w:p>
        </w:tc>
        <w:tc>
          <w:tcPr>
            <w:tcW w:w="919" w:type="pct"/>
            <w:vMerge w:val="continue"/>
            <w:noWrap w:val="0"/>
            <w:vAlign w:val="center"/>
          </w:tcPr>
          <w:p w14:paraId="3346A0DA">
            <w:pPr>
              <w:pStyle w:val="24"/>
              <w:bidi w:val="0"/>
              <w:ind w:left="0" w:leftChars="0"/>
              <w:rPr>
                <w:rFonts w:hint="eastAsia" w:eastAsia="宋体" w:cs="Courier New"/>
                <w:b w:val="0"/>
                <w:bCs w:val="0"/>
                <w:color w:val="auto"/>
                <w:sz w:val="21"/>
                <w:szCs w:val="21"/>
                <w:highlight w:val="none"/>
                <w:lang w:val="en-US" w:eastAsia="zh-CN"/>
              </w:rPr>
            </w:pPr>
          </w:p>
        </w:tc>
        <w:tc>
          <w:tcPr>
            <w:tcW w:w="666" w:type="pct"/>
            <w:shd w:val="clear" w:color="auto" w:fill="auto"/>
            <w:noWrap w:val="0"/>
            <w:vAlign w:val="center"/>
          </w:tcPr>
          <w:p w14:paraId="3FD49360">
            <w:pPr>
              <w:pStyle w:val="24"/>
              <w:bidi w:val="0"/>
              <w:ind w:left="0" w:leftChars="0"/>
              <w:rPr>
                <w:rFonts w:hint="eastAsia" w:ascii="Times New Roman" w:hAnsi="Times New Roman"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815" w:type="pct"/>
            <w:vMerge w:val="continue"/>
            <w:noWrap w:val="0"/>
            <w:vAlign w:val="center"/>
          </w:tcPr>
          <w:p w14:paraId="32E4FC16">
            <w:pPr>
              <w:pStyle w:val="24"/>
              <w:bidi w:val="0"/>
              <w:ind w:left="0" w:leftChars="0"/>
              <w:rPr>
                <w:rFonts w:hint="eastAsia" w:cs="Courier New"/>
                <w:b w:val="0"/>
                <w:bCs w:val="0"/>
                <w:color w:val="auto"/>
                <w:sz w:val="21"/>
                <w:szCs w:val="21"/>
                <w:highlight w:val="none"/>
                <w:lang w:val="en-US" w:eastAsia="zh-CN"/>
              </w:rPr>
            </w:pPr>
          </w:p>
        </w:tc>
        <w:tc>
          <w:tcPr>
            <w:tcW w:w="794" w:type="pct"/>
            <w:shd w:val="clear" w:color="auto" w:fill="auto"/>
            <w:noWrap w:val="0"/>
            <w:vAlign w:val="center"/>
          </w:tcPr>
          <w:p w14:paraId="5B1C841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3.45E-07</w:t>
            </w:r>
          </w:p>
        </w:tc>
        <w:tc>
          <w:tcPr>
            <w:tcW w:w="557" w:type="pct"/>
            <w:shd w:val="clear" w:color="auto" w:fill="auto"/>
            <w:noWrap w:val="0"/>
            <w:vAlign w:val="center"/>
          </w:tcPr>
          <w:p w14:paraId="37836148">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w:t>
            </w:r>
          </w:p>
        </w:tc>
        <w:tc>
          <w:tcPr>
            <w:tcW w:w="1133" w:type="dxa"/>
            <w:noWrap w:val="0"/>
            <w:vAlign w:val="center"/>
          </w:tcPr>
          <w:p w14:paraId="43EB40A3">
            <w:pPr>
              <w:pStyle w:val="24"/>
              <w:bidi w:val="0"/>
              <w:ind w:left="0" w:leftChars="0"/>
              <w:rPr>
                <w:rFonts w:hint="eastAsia"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55E7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pct"/>
            <w:vMerge w:val="continue"/>
            <w:noWrap w:val="0"/>
            <w:vAlign w:val="center"/>
          </w:tcPr>
          <w:p w14:paraId="5816B414">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919" w:type="pct"/>
            <w:vMerge w:val="continue"/>
            <w:noWrap w:val="0"/>
            <w:vAlign w:val="center"/>
          </w:tcPr>
          <w:p w14:paraId="66B3B44D">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666" w:type="pct"/>
            <w:noWrap w:val="0"/>
            <w:vAlign w:val="center"/>
          </w:tcPr>
          <w:p w14:paraId="4632176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815" w:type="pct"/>
            <w:vMerge w:val="continue"/>
            <w:noWrap w:val="0"/>
            <w:vAlign w:val="center"/>
          </w:tcPr>
          <w:p w14:paraId="6BACDA98">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71DF5F8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2.16E-04</w:t>
            </w:r>
          </w:p>
        </w:tc>
        <w:tc>
          <w:tcPr>
            <w:tcW w:w="557" w:type="pct"/>
            <w:noWrap w:val="0"/>
            <w:vAlign w:val="center"/>
          </w:tcPr>
          <w:p w14:paraId="5241E6C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1.08</w:t>
            </w:r>
          </w:p>
        </w:tc>
        <w:tc>
          <w:tcPr>
            <w:tcW w:w="1133" w:type="dxa"/>
            <w:noWrap w:val="0"/>
            <w:vAlign w:val="center"/>
          </w:tcPr>
          <w:p w14:paraId="19FC155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41C4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570" w:type="pct"/>
            <w:gridSpan w:val="2"/>
            <w:vMerge w:val="restart"/>
            <w:noWrap w:val="0"/>
            <w:vAlign w:val="center"/>
          </w:tcPr>
          <w:p w14:paraId="69C4E3F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生产车间</w:t>
            </w:r>
          </w:p>
        </w:tc>
        <w:tc>
          <w:tcPr>
            <w:tcW w:w="666" w:type="pct"/>
            <w:noWrap w:val="0"/>
            <w:vAlign w:val="center"/>
          </w:tcPr>
          <w:p w14:paraId="7EA143E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TSP</w:t>
            </w:r>
          </w:p>
        </w:tc>
        <w:tc>
          <w:tcPr>
            <w:tcW w:w="815" w:type="pct"/>
            <w:vMerge w:val="restart"/>
            <w:noWrap w:val="0"/>
            <w:vAlign w:val="center"/>
          </w:tcPr>
          <w:p w14:paraId="1A63D95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78</w:t>
            </w:r>
          </w:p>
        </w:tc>
        <w:tc>
          <w:tcPr>
            <w:tcW w:w="794" w:type="pct"/>
            <w:noWrap w:val="0"/>
            <w:vAlign w:val="center"/>
          </w:tcPr>
          <w:p w14:paraId="4E92497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7.13E-03</w:t>
            </w:r>
          </w:p>
        </w:tc>
        <w:tc>
          <w:tcPr>
            <w:tcW w:w="557" w:type="pct"/>
            <w:noWrap w:val="0"/>
            <w:vAlign w:val="center"/>
          </w:tcPr>
          <w:p w14:paraId="4F87F17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0.79</w:t>
            </w:r>
          </w:p>
        </w:tc>
        <w:tc>
          <w:tcPr>
            <w:tcW w:w="1133" w:type="dxa"/>
            <w:noWrap w:val="0"/>
            <w:vAlign w:val="center"/>
          </w:tcPr>
          <w:p w14:paraId="0AFF471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4956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570" w:type="pct"/>
            <w:gridSpan w:val="2"/>
            <w:vMerge w:val="continue"/>
            <w:noWrap w:val="0"/>
            <w:vAlign w:val="center"/>
          </w:tcPr>
          <w:p w14:paraId="15E1BCE9">
            <w:pPr>
              <w:pStyle w:val="24"/>
              <w:bidi w:val="0"/>
              <w:ind w:left="0" w:leftChars="0"/>
              <w:rPr>
                <w:rFonts w:hint="eastAsia" w:eastAsia="宋体" w:cs="Courier New"/>
                <w:b w:val="0"/>
                <w:bCs w:val="0"/>
                <w:color w:val="auto"/>
                <w:sz w:val="21"/>
                <w:szCs w:val="21"/>
                <w:highlight w:val="none"/>
                <w:lang w:val="en-US" w:eastAsia="zh-CN"/>
              </w:rPr>
            </w:pPr>
          </w:p>
        </w:tc>
        <w:tc>
          <w:tcPr>
            <w:tcW w:w="666" w:type="pct"/>
            <w:noWrap w:val="0"/>
            <w:vAlign w:val="center"/>
          </w:tcPr>
          <w:p w14:paraId="4609645A">
            <w:pPr>
              <w:pStyle w:val="24"/>
              <w:bidi w:val="0"/>
              <w:ind w:left="0" w:leftChars="0"/>
              <w:jc w:val="center"/>
              <w:rPr>
                <w:rFonts w:hint="eastAsia"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815" w:type="pct"/>
            <w:vMerge w:val="continue"/>
            <w:noWrap w:val="0"/>
            <w:vAlign w:val="center"/>
          </w:tcPr>
          <w:p w14:paraId="2E0BB771">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1FE54A8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5.71E-04</w:t>
            </w:r>
          </w:p>
        </w:tc>
        <w:tc>
          <w:tcPr>
            <w:tcW w:w="557" w:type="pct"/>
            <w:noWrap w:val="0"/>
            <w:vAlign w:val="center"/>
          </w:tcPr>
          <w:p w14:paraId="6B4E97E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0.19</w:t>
            </w:r>
          </w:p>
        </w:tc>
        <w:tc>
          <w:tcPr>
            <w:tcW w:w="1133" w:type="dxa"/>
            <w:noWrap w:val="0"/>
            <w:vAlign w:val="center"/>
          </w:tcPr>
          <w:p w14:paraId="68DE87C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364B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570" w:type="pct"/>
            <w:gridSpan w:val="2"/>
            <w:vMerge w:val="continue"/>
            <w:noWrap w:val="0"/>
            <w:vAlign w:val="center"/>
          </w:tcPr>
          <w:p w14:paraId="17650C41">
            <w:pPr>
              <w:pStyle w:val="24"/>
              <w:bidi w:val="0"/>
              <w:ind w:left="0" w:leftChars="0"/>
              <w:rPr>
                <w:rFonts w:hint="eastAsia" w:eastAsia="宋体" w:cs="Courier New"/>
                <w:b w:val="0"/>
                <w:bCs w:val="0"/>
                <w:color w:val="auto"/>
                <w:sz w:val="21"/>
                <w:szCs w:val="21"/>
                <w:highlight w:val="none"/>
                <w:lang w:val="en-US" w:eastAsia="zh-CN"/>
              </w:rPr>
            </w:pPr>
          </w:p>
        </w:tc>
        <w:tc>
          <w:tcPr>
            <w:tcW w:w="666" w:type="pct"/>
            <w:noWrap w:val="0"/>
            <w:vAlign w:val="center"/>
          </w:tcPr>
          <w:p w14:paraId="1CB8E37F">
            <w:pPr>
              <w:pStyle w:val="24"/>
              <w:bidi w:val="0"/>
              <w:ind w:left="0" w:leftChars="0"/>
              <w:jc w:val="center"/>
              <w:rPr>
                <w:rFonts w:hint="eastAsia" w:eastAsia="宋体" w:cs="Courier New"/>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815" w:type="pct"/>
            <w:vMerge w:val="continue"/>
            <w:noWrap w:val="0"/>
            <w:vAlign w:val="center"/>
          </w:tcPr>
          <w:p w14:paraId="3226C52A">
            <w:pPr>
              <w:pStyle w:val="24"/>
              <w:bidi w:val="0"/>
              <w:ind w:left="0" w:leftChars="0"/>
              <w:rPr>
                <w:rFonts w:hint="default"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44FABA8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1.43E-03</w:t>
            </w:r>
          </w:p>
        </w:tc>
        <w:tc>
          <w:tcPr>
            <w:tcW w:w="557" w:type="pct"/>
            <w:noWrap w:val="0"/>
            <w:vAlign w:val="center"/>
          </w:tcPr>
          <w:p w14:paraId="0271290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7.13</w:t>
            </w:r>
          </w:p>
        </w:tc>
        <w:tc>
          <w:tcPr>
            <w:tcW w:w="1133" w:type="dxa"/>
            <w:noWrap w:val="0"/>
            <w:vAlign w:val="center"/>
          </w:tcPr>
          <w:p w14:paraId="47337627">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0A52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570" w:type="pct"/>
            <w:gridSpan w:val="2"/>
            <w:vMerge w:val="continue"/>
            <w:noWrap w:val="0"/>
            <w:vAlign w:val="center"/>
          </w:tcPr>
          <w:p w14:paraId="37A499B0">
            <w:pPr>
              <w:pStyle w:val="24"/>
              <w:bidi w:val="0"/>
              <w:ind w:left="0" w:leftChars="0"/>
              <w:rPr>
                <w:color w:val="auto"/>
              </w:rPr>
            </w:pPr>
          </w:p>
        </w:tc>
        <w:tc>
          <w:tcPr>
            <w:tcW w:w="666" w:type="pct"/>
            <w:noWrap w:val="0"/>
            <w:vAlign w:val="center"/>
          </w:tcPr>
          <w:p w14:paraId="6798C055">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TVOC</w:t>
            </w:r>
          </w:p>
        </w:tc>
        <w:tc>
          <w:tcPr>
            <w:tcW w:w="815" w:type="pct"/>
            <w:vMerge w:val="continue"/>
            <w:noWrap w:val="0"/>
            <w:vAlign w:val="center"/>
          </w:tcPr>
          <w:p w14:paraId="0A360D7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794" w:type="pct"/>
            <w:noWrap w:val="0"/>
            <w:vAlign w:val="center"/>
          </w:tcPr>
          <w:p w14:paraId="3C0AEC7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4.21E-03</w:t>
            </w:r>
          </w:p>
        </w:tc>
        <w:tc>
          <w:tcPr>
            <w:tcW w:w="557" w:type="pct"/>
            <w:noWrap w:val="0"/>
            <w:vAlign w:val="center"/>
          </w:tcPr>
          <w:p w14:paraId="244F5DA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0.35</w:t>
            </w:r>
          </w:p>
        </w:tc>
        <w:tc>
          <w:tcPr>
            <w:tcW w:w="1133" w:type="dxa"/>
            <w:noWrap w:val="0"/>
            <w:vAlign w:val="center"/>
          </w:tcPr>
          <w:p w14:paraId="5B43416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17DF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570" w:type="pct"/>
            <w:gridSpan w:val="2"/>
            <w:vMerge w:val="restart"/>
            <w:noWrap w:val="0"/>
            <w:vAlign w:val="center"/>
          </w:tcPr>
          <w:p w14:paraId="0484F96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1#罐区</w:t>
            </w:r>
          </w:p>
        </w:tc>
        <w:tc>
          <w:tcPr>
            <w:tcW w:w="666" w:type="pct"/>
            <w:noWrap w:val="0"/>
            <w:vAlign w:val="center"/>
          </w:tcPr>
          <w:p w14:paraId="68EC1B46">
            <w:pPr>
              <w:pStyle w:val="24"/>
              <w:bidi w:val="0"/>
              <w:ind w:left="0" w:leftChars="0"/>
              <w:jc w:val="center"/>
              <w:rPr>
                <w:rFonts w:hint="eastAsia"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815" w:type="pct"/>
            <w:vMerge w:val="restart"/>
            <w:noWrap w:val="0"/>
            <w:vAlign w:val="center"/>
          </w:tcPr>
          <w:p w14:paraId="7D9BA15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10</w:t>
            </w:r>
          </w:p>
        </w:tc>
        <w:tc>
          <w:tcPr>
            <w:tcW w:w="794" w:type="pct"/>
            <w:noWrap w:val="0"/>
            <w:vAlign w:val="center"/>
          </w:tcPr>
          <w:p w14:paraId="6778764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5.50E-03</w:t>
            </w:r>
          </w:p>
        </w:tc>
        <w:tc>
          <w:tcPr>
            <w:tcW w:w="557" w:type="pct"/>
            <w:noWrap w:val="0"/>
            <w:vAlign w:val="center"/>
          </w:tcPr>
          <w:p w14:paraId="5FFBF9E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1.83</w:t>
            </w:r>
          </w:p>
        </w:tc>
        <w:tc>
          <w:tcPr>
            <w:tcW w:w="1133" w:type="dxa"/>
            <w:noWrap w:val="0"/>
            <w:vAlign w:val="center"/>
          </w:tcPr>
          <w:p w14:paraId="61CC6DC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6348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570" w:type="pct"/>
            <w:gridSpan w:val="2"/>
            <w:vMerge w:val="continue"/>
            <w:noWrap w:val="0"/>
            <w:vAlign w:val="center"/>
          </w:tcPr>
          <w:p w14:paraId="5FC9C8FF">
            <w:pPr>
              <w:pStyle w:val="24"/>
              <w:bidi w:val="0"/>
              <w:ind w:left="0" w:leftChars="0"/>
              <w:rPr>
                <w:color w:val="auto"/>
              </w:rPr>
            </w:pPr>
          </w:p>
        </w:tc>
        <w:tc>
          <w:tcPr>
            <w:tcW w:w="666" w:type="pct"/>
            <w:noWrap w:val="0"/>
            <w:vAlign w:val="center"/>
          </w:tcPr>
          <w:p w14:paraId="0D97A04F">
            <w:pPr>
              <w:pStyle w:val="24"/>
              <w:bidi w:val="0"/>
              <w:ind w:left="0" w:leftChars="0"/>
              <w:jc w:val="center"/>
              <w:rPr>
                <w:rFonts w:hint="eastAsia" w:eastAsia="宋体" w:cs="Courier New"/>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815" w:type="pct"/>
            <w:vMerge w:val="continue"/>
            <w:noWrap w:val="0"/>
            <w:vAlign w:val="center"/>
          </w:tcPr>
          <w:p w14:paraId="0AD6C6BE">
            <w:pPr>
              <w:pStyle w:val="24"/>
              <w:bidi w:val="0"/>
              <w:ind w:left="0" w:leftChars="0"/>
              <w:rPr>
                <w:rFonts w:hint="eastAsia" w:eastAsia="宋体" w:cs="Courier New"/>
                <w:b w:val="0"/>
                <w:bCs w:val="0"/>
                <w:color w:val="auto"/>
                <w:sz w:val="21"/>
                <w:szCs w:val="21"/>
                <w:highlight w:val="none"/>
                <w:lang w:val="en-US" w:eastAsia="zh-CN"/>
              </w:rPr>
            </w:pPr>
          </w:p>
        </w:tc>
        <w:tc>
          <w:tcPr>
            <w:tcW w:w="794" w:type="pct"/>
            <w:noWrap w:val="0"/>
            <w:vAlign w:val="center"/>
          </w:tcPr>
          <w:p w14:paraId="4D43AB4D">
            <w:pPr>
              <w:pStyle w:val="24"/>
              <w:bidi w:val="0"/>
              <w:ind w:left="0" w:leftChars="0"/>
              <w:rPr>
                <w:rFonts w:hint="eastAsia"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9.73E-03</w:t>
            </w:r>
          </w:p>
        </w:tc>
        <w:tc>
          <w:tcPr>
            <w:tcW w:w="557" w:type="pct"/>
            <w:noWrap w:val="0"/>
            <w:vAlign w:val="center"/>
          </w:tcPr>
          <w:p w14:paraId="4515D55E">
            <w:pPr>
              <w:pStyle w:val="24"/>
              <w:bidi w:val="0"/>
              <w:ind w:left="0" w:leftChars="0"/>
              <w:rPr>
                <w:rFonts w:hint="default"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48.67</w:t>
            </w:r>
          </w:p>
        </w:tc>
        <w:tc>
          <w:tcPr>
            <w:tcW w:w="596" w:type="pct"/>
            <w:noWrap w:val="0"/>
            <w:vAlign w:val="center"/>
          </w:tcPr>
          <w:p w14:paraId="2E6E7D1C">
            <w:pPr>
              <w:pStyle w:val="24"/>
              <w:bidi w:val="0"/>
              <w:ind w:left="0" w:leftChars="0"/>
              <w:rPr>
                <w:rFonts w:hint="default"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300</w:t>
            </w:r>
          </w:p>
        </w:tc>
      </w:tr>
      <w:tr w14:paraId="5A21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gridSpan w:val="2"/>
            <w:noWrap w:val="0"/>
            <w:vAlign w:val="center"/>
          </w:tcPr>
          <w:p w14:paraId="60A54AE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2#罐区</w:t>
            </w:r>
          </w:p>
        </w:tc>
        <w:tc>
          <w:tcPr>
            <w:tcW w:w="666" w:type="pct"/>
            <w:shd w:val="clear" w:color="auto" w:fill="auto"/>
            <w:noWrap w:val="0"/>
            <w:vAlign w:val="center"/>
          </w:tcPr>
          <w:p w14:paraId="102DF8E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TVOC</w:t>
            </w:r>
          </w:p>
        </w:tc>
        <w:tc>
          <w:tcPr>
            <w:tcW w:w="815" w:type="pct"/>
            <w:noWrap w:val="0"/>
            <w:vAlign w:val="center"/>
          </w:tcPr>
          <w:p w14:paraId="715F35E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21</w:t>
            </w:r>
          </w:p>
        </w:tc>
        <w:tc>
          <w:tcPr>
            <w:tcW w:w="794" w:type="pct"/>
            <w:noWrap w:val="0"/>
            <w:vAlign w:val="center"/>
          </w:tcPr>
          <w:p w14:paraId="6588B11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5.13E-03</w:t>
            </w:r>
          </w:p>
        </w:tc>
        <w:tc>
          <w:tcPr>
            <w:tcW w:w="557" w:type="pct"/>
            <w:noWrap w:val="0"/>
            <w:vAlign w:val="center"/>
          </w:tcPr>
          <w:p w14:paraId="628D3B0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0.43</w:t>
            </w:r>
          </w:p>
        </w:tc>
        <w:tc>
          <w:tcPr>
            <w:tcW w:w="1133" w:type="dxa"/>
            <w:noWrap w:val="0"/>
            <w:vAlign w:val="center"/>
          </w:tcPr>
          <w:p w14:paraId="4D6F50D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3534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gridSpan w:val="2"/>
            <w:vMerge w:val="restart"/>
            <w:vAlign w:val="center"/>
          </w:tcPr>
          <w:p w14:paraId="22050CE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质检室</w:t>
            </w:r>
          </w:p>
        </w:tc>
        <w:tc>
          <w:tcPr>
            <w:tcW w:w="1266" w:type="dxa"/>
            <w:shd w:val="clear" w:color="auto" w:fill="auto"/>
            <w:vAlign w:val="center"/>
          </w:tcPr>
          <w:p w14:paraId="19B2CD45">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氯化氢</w:t>
            </w:r>
          </w:p>
        </w:tc>
        <w:tc>
          <w:tcPr>
            <w:tcW w:w="815" w:type="pct"/>
            <w:vMerge w:val="restart"/>
            <w:vAlign w:val="center"/>
          </w:tcPr>
          <w:p w14:paraId="62EE42B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11</w:t>
            </w:r>
          </w:p>
        </w:tc>
        <w:tc>
          <w:tcPr>
            <w:tcW w:w="0" w:type="auto"/>
            <w:vAlign w:val="center"/>
          </w:tcPr>
          <w:p w14:paraId="27EEDE3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7.05E-06</w:t>
            </w:r>
          </w:p>
        </w:tc>
        <w:tc>
          <w:tcPr>
            <w:tcW w:w="0" w:type="auto"/>
            <w:vAlign w:val="center"/>
          </w:tcPr>
          <w:p w14:paraId="04FC8B0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0.01</w:t>
            </w:r>
          </w:p>
        </w:tc>
        <w:tc>
          <w:tcPr>
            <w:tcW w:w="1133" w:type="dxa"/>
            <w:vAlign w:val="center"/>
          </w:tcPr>
          <w:p w14:paraId="343A7E1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4E85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gridSpan w:val="2"/>
            <w:vMerge w:val="continue"/>
            <w:vAlign w:val="center"/>
          </w:tcPr>
          <w:p w14:paraId="0426D1B8">
            <w:pPr>
              <w:pStyle w:val="24"/>
              <w:bidi w:val="0"/>
              <w:ind w:left="0" w:leftChars="0"/>
              <w:rPr>
                <w:rFonts w:hint="eastAsia" w:eastAsia="宋体" w:cs="Courier New"/>
                <w:b w:val="0"/>
                <w:bCs w:val="0"/>
                <w:color w:val="auto"/>
                <w:sz w:val="21"/>
                <w:szCs w:val="21"/>
                <w:highlight w:val="none"/>
                <w:lang w:val="en-US" w:eastAsia="zh-CN"/>
              </w:rPr>
            </w:pPr>
          </w:p>
        </w:tc>
        <w:tc>
          <w:tcPr>
            <w:tcW w:w="1266" w:type="dxa"/>
            <w:shd w:val="clear" w:color="auto" w:fill="auto"/>
            <w:vAlign w:val="center"/>
          </w:tcPr>
          <w:p w14:paraId="4E07EB1E">
            <w:pPr>
              <w:pStyle w:val="24"/>
              <w:bidi w:val="0"/>
              <w:ind w:left="0" w:leftChars="0"/>
              <w:jc w:val="center"/>
              <w:rPr>
                <w:rFonts w:hint="eastAsia"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硫酸雾</w:t>
            </w:r>
          </w:p>
        </w:tc>
        <w:tc>
          <w:tcPr>
            <w:tcW w:w="815" w:type="pct"/>
            <w:vMerge w:val="continue"/>
            <w:vAlign w:val="center"/>
          </w:tcPr>
          <w:p w14:paraId="3FFAF0C9">
            <w:pPr>
              <w:pStyle w:val="24"/>
              <w:bidi w:val="0"/>
              <w:ind w:left="0" w:leftChars="0"/>
              <w:rPr>
                <w:rFonts w:hint="eastAsia" w:eastAsia="宋体" w:cs="Courier New"/>
                <w:b w:val="0"/>
                <w:bCs w:val="0"/>
                <w:color w:val="auto"/>
                <w:sz w:val="21"/>
                <w:szCs w:val="21"/>
                <w:highlight w:val="none"/>
                <w:lang w:val="en-US" w:eastAsia="zh-CN"/>
              </w:rPr>
            </w:pPr>
          </w:p>
        </w:tc>
        <w:tc>
          <w:tcPr>
            <w:tcW w:w="0" w:type="auto"/>
            <w:vAlign w:val="center"/>
          </w:tcPr>
          <w:p w14:paraId="5AB85F5D">
            <w:pPr>
              <w:pStyle w:val="24"/>
              <w:bidi w:val="0"/>
              <w:ind w:left="0" w:leftChars="0"/>
              <w:rPr>
                <w:rFonts w:hint="default" w:cs="Courier New"/>
                <w:b w:val="0"/>
                <w:bCs w:val="0"/>
                <w:color w:val="auto"/>
                <w:sz w:val="21"/>
                <w:szCs w:val="21"/>
                <w:highlight w:val="none"/>
                <w:lang w:val="en-US" w:eastAsia="zh-CN"/>
              </w:rPr>
            </w:pPr>
            <w:r>
              <w:rPr>
                <w:rFonts w:hint="default" w:cs="Courier New"/>
                <w:b w:val="0"/>
                <w:bCs w:val="0"/>
                <w:color w:val="auto"/>
                <w:sz w:val="21"/>
                <w:szCs w:val="21"/>
                <w:highlight w:val="none"/>
                <w:lang w:val="en-US" w:eastAsia="zh-CN"/>
              </w:rPr>
              <w:t>1.19E-06</w:t>
            </w:r>
          </w:p>
        </w:tc>
        <w:tc>
          <w:tcPr>
            <w:tcW w:w="0" w:type="auto"/>
            <w:vAlign w:val="center"/>
          </w:tcPr>
          <w:p w14:paraId="46B03FD9">
            <w:pPr>
              <w:pStyle w:val="24"/>
              <w:bidi w:val="0"/>
              <w:ind w:left="0" w:leftChars="0"/>
              <w:rPr>
                <w:rFonts w:hint="default"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133" w:type="dxa"/>
            <w:vAlign w:val="center"/>
          </w:tcPr>
          <w:p w14:paraId="51EE8ABA">
            <w:pPr>
              <w:pStyle w:val="24"/>
              <w:bidi w:val="0"/>
              <w:ind w:left="0" w:leftChars="0"/>
              <w:rPr>
                <w:rFonts w:hint="default"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r w14:paraId="482A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gridSpan w:val="2"/>
            <w:vMerge w:val="continue"/>
            <w:vAlign w:val="center"/>
          </w:tcPr>
          <w:p w14:paraId="1AB78D7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266" w:type="dxa"/>
            <w:shd w:val="clear" w:color="auto" w:fill="auto"/>
            <w:vAlign w:val="center"/>
          </w:tcPr>
          <w:p w14:paraId="28FA2F82">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815" w:type="pct"/>
            <w:vMerge w:val="continue"/>
            <w:vAlign w:val="center"/>
          </w:tcPr>
          <w:p w14:paraId="4E80B25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0" w:type="auto"/>
            <w:vAlign w:val="center"/>
          </w:tcPr>
          <w:p w14:paraId="67EC0D3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7.41E-04</w:t>
            </w:r>
          </w:p>
        </w:tc>
        <w:tc>
          <w:tcPr>
            <w:tcW w:w="0" w:type="auto"/>
            <w:vAlign w:val="center"/>
          </w:tcPr>
          <w:p w14:paraId="135B242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3.70</w:t>
            </w:r>
          </w:p>
        </w:tc>
        <w:tc>
          <w:tcPr>
            <w:tcW w:w="1133" w:type="dxa"/>
            <w:vAlign w:val="center"/>
          </w:tcPr>
          <w:p w14:paraId="2658251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eastAsia="宋体" w:cs="Courier New"/>
                <w:b w:val="0"/>
                <w:bCs w:val="0"/>
                <w:color w:val="auto"/>
                <w:sz w:val="21"/>
                <w:szCs w:val="21"/>
                <w:highlight w:val="none"/>
                <w:lang w:val="en-US" w:eastAsia="zh-CN"/>
              </w:rPr>
              <w:t>/</w:t>
            </w:r>
          </w:p>
        </w:tc>
      </w:tr>
    </w:tbl>
    <w:p w14:paraId="214FD5AA">
      <w:pPr>
        <w:spacing w:line="360" w:lineRule="auto"/>
        <w:ind w:left="0" w:leftChars="0" w:firstLine="480" w:firstLineChars="200"/>
        <w:rPr>
          <w:rFonts w:hint="eastAsia" w:ascii="Times New Roman" w:hAnsi="Times New Roman"/>
          <w:color w:val="auto"/>
          <w:sz w:val="24"/>
        </w:rPr>
      </w:pPr>
      <w:r>
        <w:rPr>
          <w:rFonts w:hint="default" w:ascii="Times New Roman" w:hAnsi="Times New Roman" w:cs="Times New Roman"/>
          <w:color w:val="auto"/>
          <w:highlight w:val="none"/>
        </w:rPr>
        <w:t>由上表可知，运营期最大地面空气质量浓度占标率</w:t>
      </w:r>
      <w:r>
        <w:rPr>
          <w:rFonts w:hint="default" w:ascii="Times New Roman" w:hAnsi="Times New Roman" w:cs="Times New Roman"/>
          <w:i/>
          <w:color w:val="auto"/>
          <w:highlight w:val="none"/>
        </w:rPr>
        <w:t>P</w:t>
      </w:r>
      <w:r>
        <w:rPr>
          <w:rFonts w:hint="default" w:ascii="Times New Roman" w:hAnsi="Times New Roman" w:cs="Times New Roman"/>
          <w:color w:val="auto"/>
          <w:highlight w:val="none"/>
          <w:vertAlign w:val="subscript"/>
        </w:rPr>
        <w:t>max</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218.43</w:t>
      </w:r>
      <w:r>
        <w:rPr>
          <w:rFonts w:hint="eastAsia" w:cs="Times New Roman"/>
          <w:color w:val="auto"/>
          <w:highlight w:val="none"/>
          <w:lang w:val="en-US" w:eastAsia="zh-CN"/>
        </w:rPr>
        <w:t>%</w:t>
      </w:r>
      <w:r>
        <w:rPr>
          <w:rFonts w:hint="default" w:ascii="Times New Roman" w:hAnsi="Times New Roman" w:cs="Times New Roman"/>
          <w:color w:val="auto"/>
          <w:highlight w:val="none"/>
        </w:rPr>
        <w:t>，根据《环境影响评价技术导则 大气环境》（HJ2.2-2018）分级判据，</w:t>
      </w:r>
      <w:r>
        <w:rPr>
          <w:rFonts w:hint="default" w:ascii="Times New Roman" w:hAnsi="Times New Roman" w:cs="Times New Roman"/>
          <w:b/>
          <w:color w:val="auto"/>
          <w:highlight w:val="none"/>
        </w:rPr>
        <w:t>本次大气环境影响评价工作等级为</w:t>
      </w:r>
      <w:r>
        <w:rPr>
          <w:rFonts w:hint="eastAsia" w:cs="Times New Roman"/>
          <w:b/>
          <w:color w:val="auto"/>
          <w:highlight w:val="none"/>
          <w:lang w:val="en-US" w:eastAsia="zh-CN"/>
        </w:rPr>
        <w:t>一</w:t>
      </w:r>
      <w:r>
        <w:rPr>
          <w:rFonts w:hint="default" w:ascii="Times New Roman" w:hAnsi="Times New Roman" w:cs="Times New Roman"/>
          <w:b/>
          <w:color w:val="auto"/>
          <w:highlight w:val="none"/>
        </w:rPr>
        <w:t>级。</w:t>
      </w:r>
    </w:p>
    <w:p w14:paraId="206ADE15">
      <w:pPr>
        <w:pStyle w:val="29"/>
        <w:ind w:left="0" w:leftChars="0" w:firstLine="482" w:firstLineChars="200"/>
        <w:rPr>
          <w:color w:val="auto"/>
        </w:rPr>
      </w:pPr>
      <w:r>
        <w:rPr>
          <w:rFonts w:hint="eastAsia"/>
          <w:color w:val="auto"/>
        </w:rPr>
        <w:t>2、地表水环境</w:t>
      </w:r>
    </w:p>
    <w:p w14:paraId="666EC39F">
      <w:pPr>
        <w:spacing w:line="360" w:lineRule="auto"/>
        <w:ind w:left="0" w:leftChars="0" w:firstLine="480" w:firstLineChars="200"/>
        <w:rPr>
          <w:rFonts w:hint="eastAsia"/>
          <w:color w:val="auto"/>
          <w:highlight w:val="none"/>
          <w:lang w:val="en-US" w:eastAsia="zh-CN"/>
        </w:rPr>
      </w:pPr>
      <w:r>
        <w:rPr>
          <w:rFonts w:hint="eastAsia" w:ascii="Times New Roman" w:hAnsi="Times New Roman"/>
          <w:color w:val="auto"/>
          <w:sz w:val="24"/>
          <w:szCs w:val="24"/>
        </w:rPr>
        <w:t>本项目属水污染影响型建设项目，</w:t>
      </w:r>
      <w:r>
        <w:rPr>
          <w:rFonts w:hint="eastAsia"/>
          <w:color w:val="auto"/>
          <w:sz w:val="24"/>
          <w:szCs w:val="24"/>
          <w:lang w:val="en-US" w:eastAsia="zh-CN"/>
        </w:rPr>
        <w:t>运营期外排废水</w:t>
      </w:r>
      <w:r>
        <w:rPr>
          <w:rFonts w:hint="eastAsia" w:ascii="Times New Roman" w:hAnsi="Times New Roman" w:eastAsia="宋体" w:cs="Times New Roman"/>
          <w:color w:val="auto"/>
          <w:sz w:val="24"/>
          <w:szCs w:val="24"/>
          <w:lang w:val="en-US" w:eastAsia="zh-CN"/>
        </w:rPr>
        <w:t>经预处理池</w:t>
      </w:r>
      <w:r>
        <w:rPr>
          <w:rFonts w:hint="eastAsia" w:cs="Times New Roman"/>
          <w:color w:val="auto"/>
          <w:sz w:val="24"/>
          <w:szCs w:val="24"/>
          <w:lang w:val="en-US" w:eastAsia="zh-CN"/>
        </w:rPr>
        <w:t>处理应达到</w:t>
      </w:r>
      <w:r>
        <w:rPr>
          <w:rFonts w:hint="eastAsia"/>
          <w:color w:val="auto"/>
          <w:sz w:val="24"/>
          <w:lang w:val="en-US" w:eastAsia="zh-CN"/>
        </w:rPr>
        <w:t>《四川省化工园区水污染物排放标准》（DB51/3202-2024）表1中间接排放标准后</w:t>
      </w:r>
      <w:r>
        <w:rPr>
          <w:rFonts w:hint="eastAsia"/>
          <w:color w:val="auto"/>
          <w:highlight w:val="none"/>
          <w:lang w:val="en-US" w:eastAsia="zh-CN"/>
        </w:rPr>
        <w:t>通过园区污水管网排入通江县秋锦山产业园区综合污水处理厂进一步处理。</w:t>
      </w:r>
    </w:p>
    <w:p w14:paraId="080FB5C2">
      <w:pPr>
        <w:spacing w:line="360" w:lineRule="auto"/>
        <w:ind w:left="0" w:leftChars="0" w:firstLine="480" w:firstLineChars="200"/>
        <w:rPr>
          <w:rFonts w:cstheme="minorHAnsi"/>
          <w:color w:val="auto"/>
          <w:sz w:val="24"/>
          <w:szCs w:val="24"/>
        </w:rPr>
      </w:pPr>
      <w:r>
        <w:rPr>
          <w:rFonts w:cstheme="minorHAnsi"/>
          <w:color w:val="auto"/>
          <w:sz w:val="24"/>
          <w:szCs w:val="24"/>
        </w:rPr>
        <w:t>根据《环境影响评价技术导则 地表水环境》（HJ2.3-2018），水污染物影响型建设项目评价等级判定表见下表。</w:t>
      </w:r>
    </w:p>
    <w:p w14:paraId="674FA722">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水污染影响型建设项目评价等级判别表</w:t>
      </w:r>
    </w:p>
    <w:tbl>
      <w:tblPr>
        <w:tblStyle w:val="20"/>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3168"/>
        <w:gridCol w:w="3172"/>
        <w:gridCol w:w="3174"/>
      </w:tblGrid>
      <w:tr w14:paraId="65FB8F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665" w:type="pct"/>
            <w:vMerge w:val="restart"/>
            <w:vAlign w:val="center"/>
          </w:tcPr>
          <w:p w14:paraId="490A6527">
            <w:pPr>
              <w:pStyle w:val="24"/>
              <w:rPr>
                <w:rFonts w:eastAsia="宋体"/>
                <w:b/>
                <w:bCs/>
                <w:color w:val="auto"/>
              </w:rPr>
            </w:pPr>
            <w:r>
              <w:rPr>
                <w:rFonts w:eastAsia="宋体"/>
                <w:b/>
                <w:bCs/>
                <w:color w:val="auto"/>
              </w:rPr>
              <w:t>评价等级</w:t>
            </w:r>
          </w:p>
        </w:tc>
        <w:tc>
          <w:tcPr>
            <w:tcW w:w="3334" w:type="pct"/>
            <w:gridSpan w:val="2"/>
          </w:tcPr>
          <w:p w14:paraId="0BCFF045">
            <w:pPr>
              <w:pStyle w:val="24"/>
              <w:rPr>
                <w:rFonts w:eastAsia="宋体"/>
                <w:b/>
                <w:bCs/>
                <w:color w:val="auto"/>
              </w:rPr>
            </w:pPr>
            <w:r>
              <w:rPr>
                <w:rFonts w:eastAsia="宋体"/>
                <w:b/>
                <w:bCs/>
                <w:color w:val="auto"/>
              </w:rPr>
              <w:t>判定依据</w:t>
            </w:r>
          </w:p>
        </w:tc>
      </w:tr>
      <w:tr w14:paraId="36876B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665" w:type="pct"/>
            <w:vMerge w:val="continue"/>
          </w:tcPr>
          <w:p w14:paraId="6014268E">
            <w:pPr>
              <w:pStyle w:val="24"/>
              <w:rPr>
                <w:rFonts w:eastAsia="宋体"/>
                <w:b/>
                <w:bCs/>
                <w:color w:val="auto"/>
              </w:rPr>
            </w:pPr>
          </w:p>
        </w:tc>
        <w:tc>
          <w:tcPr>
            <w:tcW w:w="1667" w:type="pct"/>
            <w:vAlign w:val="center"/>
          </w:tcPr>
          <w:p w14:paraId="1B4A163A">
            <w:pPr>
              <w:pStyle w:val="24"/>
              <w:rPr>
                <w:rFonts w:eastAsia="宋体"/>
                <w:b/>
                <w:bCs/>
                <w:color w:val="auto"/>
              </w:rPr>
            </w:pPr>
            <w:r>
              <w:rPr>
                <w:rFonts w:eastAsia="宋体"/>
                <w:b/>
                <w:bCs/>
                <w:color w:val="auto"/>
              </w:rPr>
              <w:t>排放方式</w:t>
            </w:r>
          </w:p>
        </w:tc>
        <w:tc>
          <w:tcPr>
            <w:tcW w:w="1667" w:type="pct"/>
          </w:tcPr>
          <w:p w14:paraId="45A9C285">
            <w:pPr>
              <w:pStyle w:val="24"/>
              <w:rPr>
                <w:rFonts w:eastAsia="宋体"/>
                <w:b/>
                <w:bCs/>
                <w:color w:val="auto"/>
              </w:rPr>
            </w:pPr>
            <w:r>
              <w:rPr>
                <w:rFonts w:eastAsia="宋体"/>
                <w:b/>
                <w:bCs/>
                <w:color w:val="auto"/>
              </w:rPr>
              <w:t>废水排放量Q/（m</w:t>
            </w:r>
            <w:r>
              <w:rPr>
                <w:rFonts w:eastAsia="宋体"/>
                <w:b/>
                <w:bCs/>
                <w:color w:val="auto"/>
                <w:vertAlign w:val="superscript"/>
              </w:rPr>
              <w:t>3</w:t>
            </w:r>
            <w:r>
              <w:rPr>
                <w:rFonts w:eastAsia="宋体"/>
                <w:b/>
                <w:bCs/>
                <w:color w:val="auto"/>
              </w:rPr>
              <w:t>/d）;</w:t>
            </w:r>
          </w:p>
          <w:p w14:paraId="6DD1DE5D">
            <w:pPr>
              <w:pStyle w:val="24"/>
              <w:rPr>
                <w:rFonts w:eastAsia="宋体"/>
                <w:b/>
                <w:bCs/>
                <w:color w:val="auto"/>
              </w:rPr>
            </w:pPr>
            <w:r>
              <w:rPr>
                <w:rFonts w:eastAsia="宋体"/>
                <w:b/>
                <w:bCs/>
                <w:color w:val="auto"/>
              </w:rPr>
              <w:t>水污染物当量数W/（无量纲）</w:t>
            </w:r>
          </w:p>
        </w:tc>
      </w:tr>
      <w:tr w14:paraId="61BCC7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665" w:type="pct"/>
          </w:tcPr>
          <w:p w14:paraId="74176D72">
            <w:pPr>
              <w:pStyle w:val="24"/>
              <w:rPr>
                <w:rFonts w:eastAsia="宋体"/>
                <w:color w:val="auto"/>
              </w:rPr>
            </w:pPr>
            <w:r>
              <w:rPr>
                <w:rFonts w:eastAsia="宋体"/>
                <w:color w:val="auto"/>
              </w:rPr>
              <w:t>一级</w:t>
            </w:r>
          </w:p>
        </w:tc>
        <w:tc>
          <w:tcPr>
            <w:tcW w:w="1667" w:type="pct"/>
          </w:tcPr>
          <w:p w14:paraId="20A5A529">
            <w:pPr>
              <w:pStyle w:val="24"/>
              <w:rPr>
                <w:rFonts w:eastAsia="宋体"/>
                <w:color w:val="auto"/>
              </w:rPr>
            </w:pPr>
            <w:r>
              <w:rPr>
                <w:rFonts w:eastAsia="宋体"/>
                <w:color w:val="auto"/>
              </w:rPr>
              <w:t>直接排放</w:t>
            </w:r>
          </w:p>
        </w:tc>
        <w:tc>
          <w:tcPr>
            <w:tcW w:w="1667" w:type="pct"/>
          </w:tcPr>
          <w:p w14:paraId="2F0444F4">
            <w:pPr>
              <w:pStyle w:val="24"/>
              <w:rPr>
                <w:rFonts w:eastAsia="宋体"/>
                <w:color w:val="auto"/>
              </w:rPr>
            </w:pPr>
            <w:r>
              <w:rPr>
                <w:rFonts w:eastAsia="宋体"/>
                <w:color w:val="auto"/>
              </w:rPr>
              <w:t>Q≥20000或W≥600000</w:t>
            </w:r>
          </w:p>
        </w:tc>
      </w:tr>
      <w:tr w14:paraId="7656E4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665" w:type="pct"/>
          </w:tcPr>
          <w:p w14:paraId="73F27C81">
            <w:pPr>
              <w:pStyle w:val="24"/>
              <w:rPr>
                <w:rFonts w:eastAsia="宋体"/>
                <w:color w:val="auto"/>
              </w:rPr>
            </w:pPr>
            <w:r>
              <w:rPr>
                <w:rFonts w:eastAsia="宋体"/>
                <w:color w:val="auto"/>
              </w:rPr>
              <w:t>二级</w:t>
            </w:r>
          </w:p>
        </w:tc>
        <w:tc>
          <w:tcPr>
            <w:tcW w:w="1667" w:type="pct"/>
          </w:tcPr>
          <w:p w14:paraId="6D32313B">
            <w:pPr>
              <w:pStyle w:val="24"/>
              <w:rPr>
                <w:rFonts w:eastAsia="宋体"/>
                <w:color w:val="auto"/>
              </w:rPr>
            </w:pPr>
            <w:r>
              <w:rPr>
                <w:rFonts w:eastAsia="宋体"/>
                <w:color w:val="auto"/>
              </w:rPr>
              <w:t>直接排放</w:t>
            </w:r>
          </w:p>
        </w:tc>
        <w:tc>
          <w:tcPr>
            <w:tcW w:w="1667" w:type="pct"/>
          </w:tcPr>
          <w:p w14:paraId="7A77EF8C">
            <w:pPr>
              <w:pStyle w:val="24"/>
              <w:rPr>
                <w:rFonts w:eastAsia="宋体"/>
                <w:color w:val="auto"/>
              </w:rPr>
            </w:pPr>
            <w:r>
              <w:rPr>
                <w:rFonts w:eastAsia="宋体"/>
                <w:color w:val="auto"/>
              </w:rPr>
              <w:t>其他</w:t>
            </w:r>
          </w:p>
        </w:tc>
      </w:tr>
      <w:tr w14:paraId="52F3F7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665" w:type="pct"/>
          </w:tcPr>
          <w:p w14:paraId="0335C957">
            <w:pPr>
              <w:pStyle w:val="24"/>
              <w:rPr>
                <w:rFonts w:eastAsia="宋体"/>
                <w:color w:val="auto"/>
              </w:rPr>
            </w:pPr>
            <w:r>
              <w:rPr>
                <w:rFonts w:eastAsia="宋体"/>
                <w:color w:val="auto"/>
              </w:rPr>
              <w:t>三级A</w:t>
            </w:r>
          </w:p>
        </w:tc>
        <w:tc>
          <w:tcPr>
            <w:tcW w:w="1667" w:type="pct"/>
          </w:tcPr>
          <w:p w14:paraId="1AE17FD6">
            <w:pPr>
              <w:pStyle w:val="24"/>
              <w:rPr>
                <w:rFonts w:eastAsia="宋体"/>
                <w:color w:val="auto"/>
              </w:rPr>
            </w:pPr>
            <w:r>
              <w:rPr>
                <w:rFonts w:eastAsia="宋体"/>
                <w:color w:val="auto"/>
              </w:rPr>
              <w:t>直接排放</w:t>
            </w:r>
          </w:p>
        </w:tc>
        <w:tc>
          <w:tcPr>
            <w:tcW w:w="1667" w:type="pct"/>
          </w:tcPr>
          <w:p w14:paraId="5F6068BB">
            <w:pPr>
              <w:pStyle w:val="24"/>
              <w:rPr>
                <w:rFonts w:eastAsia="宋体"/>
                <w:color w:val="auto"/>
              </w:rPr>
            </w:pPr>
            <w:r>
              <w:rPr>
                <w:rFonts w:eastAsia="宋体"/>
                <w:color w:val="auto"/>
              </w:rPr>
              <w:t>Q＜200且W＜6000</w:t>
            </w:r>
          </w:p>
        </w:tc>
      </w:tr>
      <w:tr w14:paraId="7EAF36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665" w:type="pct"/>
          </w:tcPr>
          <w:p w14:paraId="5AD8AA0F">
            <w:pPr>
              <w:pStyle w:val="24"/>
              <w:rPr>
                <w:rFonts w:eastAsia="宋体"/>
                <w:color w:val="auto"/>
              </w:rPr>
            </w:pPr>
            <w:r>
              <w:rPr>
                <w:rFonts w:eastAsia="宋体"/>
                <w:color w:val="auto"/>
              </w:rPr>
              <w:t>三级B</w:t>
            </w:r>
          </w:p>
        </w:tc>
        <w:tc>
          <w:tcPr>
            <w:tcW w:w="1667" w:type="pct"/>
          </w:tcPr>
          <w:p w14:paraId="3169870A">
            <w:pPr>
              <w:pStyle w:val="24"/>
              <w:rPr>
                <w:rFonts w:eastAsia="宋体"/>
                <w:color w:val="auto"/>
              </w:rPr>
            </w:pPr>
            <w:r>
              <w:rPr>
                <w:rFonts w:eastAsia="宋体"/>
                <w:color w:val="auto"/>
              </w:rPr>
              <w:t>间接排放</w:t>
            </w:r>
          </w:p>
        </w:tc>
        <w:tc>
          <w:tcPr>
            <w:tcW w:w="1667" w:type="pct"/>
          </w:tcPr>
          <w:p w14:paraId="058F8FFE">
            <w:pPr>
              <w:pStyle w:val="24"/>
              <w:rPr>
                <w:rFonts w:eastAsia="宋体"/>
                <w:color w:val="auto"/>
              </w:rPr>
            </w:pPr>
            <w:r>
              <w:rPr>
                <w:rFonts w:eastAsia="宋体"/>
                <w:color w:val="auto"/>
              </w:rPr>
              <w:t>—</w:t>
            </w:r>
          </w:p>
        </w:tc>
      </w:tr>
      <w:tr w14:paraId="0209BF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000" w:type="pct"/>
            <w:gridSpan w:val="3"/>
          </w:tcPr>
          <w:p w14:paraId="3A838FCD">
            <w:pPr>
              <w:pStyle w:val="24"/>
              <w:jc w:val="both"/>
              <w:rPr>
                <w:rFonts w:eastAsia="宋体"/>
                <w:color w:val="auto"/>
              </w:rPr>
            </w:pPr>
            <w:r>
              <w:rPr>
                <w:rFonts w:eastAsia="宋体"/>
                <w:color w:val="auto"/>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238267CC">
            <w:pPr>
              <w:pStyle w:val="24"/>
              <w:jc w:val="both"/>
              <w:rPr>
                <w:rFonts w:eastAsia="宋体"/>
                <w:color w:val="auto"/>
              </w:rPr>
            </w:pPr>
            <w:r>
              <w:rPr>
                <w:rFonts w:eastAsia="宋体"/>
                <w:color w:val="auto"/>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031D9721">
            <w:pPr>
              <w:pStyle w:val="24"/>
              <w:jc w:val="both"/>
              <w:rPr>
                <w:rFonts w:eastAsia="宋体"/>
                <w:color w:val="auto"/>
              </w:rPr>
            </w:pPr>
            <w:r>
              <w:rPr>
                <w:rFonts w:eastAsia="宋体"/>
                <w:color w:val="auto"/>
              </w:rPr>
              <w:t>注3：厂区存在堆积物（露天堆放的原料、燃料、废渣等以及垃圾堆放场）、降尘污染的，应将初期雨污水纳入废水排放量，相应的主要污染物纳入水污染当量计算。</w:t>
            </w:r>
          </w:p>
          <w:p w14:paraId="7EB9D5F6">
            <w:pPr>
              <w:pStyle w:val="24"/>
              <w:jc w:val="both"/>
              <w:rPr>
                <w:rFonts w:eastAsia="宋体"/>
                <w:color w:val="auto"/>
              </w:rPr>
            </w:pPr>
            <w:r>
              <w:rPr>
                <w:rFonts w:eastAsia="宋体"/>
                <w:color w:val="auto"/>
              </w:rPr>
              <w:t>注4：建设项目直接排放第一类污染物的，其评价等级为一级；建设项目直接排放的污染物为受纳水体超标因子的，评价等级不低于二级。</w:t>
            </w:r>
          </w:p>
          <w:p w14:paraId="476AD486">
            <w:pPr>
              <w:pStyle w:val="24"/>
              <w:jc w:val="both"/>
              <w:rPr>
                <w:rFonts w:eastAsia="宋体"/>
                <w:color w:val="auto"/>
              </w:rPr>
            </w:pPr>
            <w:r>
              <w:rPr>
                <w:rFonts w:eastAsia="宋体"/>
                <w:color w:val="auto"/>
              </w:rPr>
              <w:t>注5：直接排放受纳水体影响范围涉及饮用水水源保护区、饮用水取水口、重点保护与珍稀水生生物的栖息地、重要水生生物的自然产卵场等保护目标时，评价等级不低于二级。</w:t>
            </w:r>
          </w:p>
          <w:p w14:paraId="1066449F">
            <w:pPr>
              <w:pStyle w:val="24"/>
              <w:jc w:val="both"/>
              <w:rPr>
                <w:rFonts w:eastAsia="宋体"/>
                <w:color w:val="auto"/>
              </w:rPr>
            </w:pPr>
            <w:r>
              <w:rPr>
                <w:rFonts w:eastAsia="宋体"/>
                <w:color w:val="auto"/>
              </w:rPr>
              <w:t>注6：建设项目向河流、湖库排放温排水引起受纳水体水温变化超过水环境质量标准要求，且评价范围有水温敏感目标时，评价等级为一级。</w:t>
            </w:r>
          </w:p>
          <w:p w14:paraId="4CD9347F">
            <w:pPr>
              <w:pStyle w:val="24"/>
              <w:jc w:val="both"/>
              <w:rPr>
                <w:rFonts w:eastAsia="宋体"/>
                <w:color w:val="auto"/>
              </w:rPr>
            </w:pPr>
            <w:r>
              <w:rPr>
                <w:rFonts w:eastAsia="宋体"/>
                <w:color w:val="auto"/>
              </w:rPr>
              <w:t>注7：建设项目利用海水作为调节温度介质，排水量≥500万m</w:t>
            </w:r>
            <w:r>
              <w:rPr>
                <w:rFonts w:eastAsia="宋体"/>
                <w:color w:val="auto"/>
                <w:vertAlign w:val="superscript"/>
              </w:rPr>
              <w:t>3</w:t>
            </w:r>
            <w:r>
              <w:rPr>
                <w:rFonts w:eastAsia="宋体"/>
                <w:color w:val="auto"/>
              </w:rPr>
              <w:t>/d，评价等级为一级；排水量＜500万m</w:t>
            </w:r>
            <w:r>
              <w:rPr>
                <w:rFonts w:eastAsia="宋体"/>
                <w:color w:val="auto"/>
                <w:vertAlign w:val="superscript"/>
              </w:rPr>
              <w:t>3</w:t>
            </w:r>
            <w:r>
              <w:rPr>
                <w:rFonts w:eastAsia="宋体"/>
                <w:color w:val="auto"/>
              </w:rPr>
              <w:t>/d，评价等级为二级。</w:t>
            </w:r>
          </w:p>
          <w:p w14:paraId="64748165">
            <w:pPr>
              <w:pStyle w:val="24"/>
              <w:jc w:val="both"/>
              <w:rPr>
                <w:rFonts w:eastAsia="宋体"/>
                <w:color w:val="auto"/>
              </w:rPr>
            </w:pPr>
            <w:r>
              <w:rPr>
                <w:rFonts w:eastAsia="宋体"/>
                <w:color w:val="auto"/>
              </w:rPr>
              <w:t>注8：仅涉及清净下水排放的，如其排放水质满足受纳水体水环境质量标准要求的，评价等级为三级A。</w:t>
            </w:r>
          </w:p>
          <w:p w14:paraId="6E6EC1EB">
            <w:pPr>
              <w:pStyle w:val="24"/>
              <w:jc w:val="both"/>
              <w:rPr>
                <w:rFonts w:eastAsia="宋体"/>
                <w:color w:val="auto"/>
              </w:rPr>
            </w:pPr>
            <w:r>
              <w:rPr>
                <w:rFonts w:eastAsia="宋体"/>
                <w:color w:val="auto"/>
              </w:rPr>
              <w:t>注9：依托现有排放口，且对外环境未新增排放污染物的直接排放建设项目，评价等级参照间接排放，定为三级B。</w:t>
            </w:r>
          </w:p>
          <w:p w14:paraId="1D7C53BF">
            <w:pPr>
              <w:pStyle w:val="24"/>
              <w:jc w:val="both"/>
              <w:rPr>
                <w:rFonts w:eastAsia="宋体"/>
                <w:color w:val="auto"/>
              </w:rPr>
            </w:pPr>
            <w:r>
              <w:rPr>
                <w:rFonts w:eastAsia="宋体"/>
                <w:color w:val="auto"/>
              </w:rPr>
              <w:t>注10：建设项目生产工艺中有废水产生，但作为回水利用，不排放到外环境的，按三级B评价。</w:t>
            </w:r>
          </w:p>
        </w:tc>
      </w:tr>
    </w:tbl>
    <w:p w14:paraId="30E00DE0">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根据《环境影响评价技术导则 地表水环境》（HJ/T2.3-</w:t>
      </w:r>
      <w:r>
        <w:rPr>
          <w:rFonts w:ascii="Times New Roman" w:hAnsi="Times New Roman"/>
          <w:color w:val="auto"/>
          <w:sz w:val="24"/>
          <w:szCs w:val="24"/>
        </w:rPr>
        <w:t>2018</w:t>
      </w:r>
      <w:r>
        <w:rPr>
          <w:rFonts w:hint="eastAsia" w:ascii="Times New Roman" w:hAnsi="Times New Roman"/>
          <w:color w:val="auto"/>
          <w:sz w:val="24"/>
          <w:szCs w:val="24"/>
        </w:rPr>
        <w:t>）中评价等级判定依据，本项目废水排放方式为间接排放，</w:t>
      </w:r>
      <w:r>
        <w:rPr>
          <w:rFonts w:hint="eastAsia" w:ascii="Times New Roman" w:hAnsi="Times New Roman"/>
          <w:b/>
          <w:color w:val="auto"/>
          <w:sz w:val="24"/>
          <w:szCs w:val="24"/>
        </w:rPr>
        <w:t>本次地表水环境影响评价等级为三级B。</w:t>
      </w:r>
    </w:p>
    <w:p w14:paraId="3EB115DC">
      <w:pPr>
        <w:pStyle w:val="29"/>
        <w:ind w:left="0" w:leftChars="0" w:firstLine="482" w:firstLineChars="200"/>
        <w:rPr>
          <w:color w:val="auto"/>
        </w:rPr>
      </w:pPr>
      <w:r>
        <w:rPr>
          <w:color w:val="auto"/>
        </w:rPr>
        <w:t>3</w:t>
      </w:r>
      <w:r>
        <w:rPr>
          <w:rFonts w:hint="eastAsia"/>
          <w:color w:val="auto"/>
        </w:rPr>
        <w:t>、地下水环境</w:t>
      </w:r>
    </w:p>
    <w:p w14:paraId="147788EA">
      <w:pPr>
        <w:spacing w:line="360" w:lineRule="auto"/>
        <w:ind w:left="0" w:leftChars="0" w:firstLine="480" w:firstLineChars="200"/>
        <w:rPr>
          <w:rFonts w:cs="宋体"/>
          <w:color w:val="auto"/>
          <w:sz w:val="24"/>
          <w:szCs w:val="24"/>
        </w:rPr>
      </w:pPr>
      <w:r>
        <w:rPr>
          <w:rFonts w:cs="宋体"/>
          <w:color w:val="auto"/>
          <w:sz w:val="24"/>
          <w:szCs w:val="24"/>
        </w:rPr>
        <w:t>根据建设项目对地下水环境影响的程度，结合《建设项目环境影响评价分类管理名录》，</w:t>
      </w:r>
      <w:r>
        <w:rPr>
          <w:rFonts w:hint="eastAsia" w:cs="宋体"/>
          <w:color w:val="auto"/>
          <w:sz w:val="24"/>
          <w:szCs w:val="24"/>
        </w:rPr>
        <w:t>将建设项目分为四类，其中：I类、II类、I</w:t>
      </w:r>
      <w:r>
        <w:rPr>
          <w:rFonts w:cs="宋体"/>
          <w:color w:val="auto"/>
          <w:sz w:val="24"/>
          <w:szCs w:val="24"/>
        </w:rPr>
        <w:t>II</w:t>
      </w:r>
      <w:r>
        <w:rPr>
          <w:rFonts w:hint="eastAsia" w:cs="宋体"/>
          <w:color w:val="auto"/>
          <w:sz w:val="24"/>
          <w:szCs w:val="24"/>
        </w:rPr>
        <w:t>类建设项目应按HJ610-2016要求开展地下水环境影响评价，I</w:t>
      </w:r>
      <w:r>
        <w:rPr>
          <w:rFonts w:cs="宋体"/>
          <w:color w:val="auto"/>
          <w:sz w:val="24"/>
          <w:szCs w:val="24"/>
        </w:rPr>
        <w:t>V</w:t>
      </w:r>
      <w:r>
        <w:rPr>
          <w:rFonts w:hint="eastAsia" w:cs="宋体"/>
          <w:color w:val="auto"/>
          <w:sz w:val="24"/>
          <w:szCs w:val="24"/>
        </w:rPr>
        <w:t>类建设项目不开展地下水环境影响评价。</w:t>
      </w:r>
    </w:p>
    <w:p w14:paraId="4C4C3785">
      <w:pPr>
        <w:spacing w:line="360" w:lineRule="auto"/>
        <w:ind w:left="0" w:leftChars="0" w:firstLine="480" w:firstLineChars="200"/>
        <w:rPr>
          <w:rFonts w:cstheme="minorHAnsi"/>
          <w:color w:val="auto"/>
          <w:sz w:val="24"/>
          <w:szCs w:val="24"/>
        </w:rPr>
      </w:pPr>
      <w:r>
        <w:rPr>
          <w:rFonts w:hint="eastAsia"/>
          <w:bCs/>
          <w:color w:val="auto"/>
          <w:kern w:val="0"/>
          <w:sz w:val="24"/>
          <w:lang w:val="en-US" w:eastAsia="zh-CN"/>
        </w:rPr>
        <w:t>本项目为混凝土添加剂生产，属于《国民经济行业分类》（GB/T4754-2017）中“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hint="eastAsia"/>
          <w:bCs/>
          <w:color w:val="auto"/>
          <w:kern w:val="0"/>
          <w:sz w:val="24"/>
          <w:highlight w:val="none"/>
          <w:lang w:val="en-US" w:eastAsia="zh-CN"/>
        </w:rPr>
        <w:t>通过查阅</w:t>
      </w:r>
      <w:r>
        <w:rPr>
          <w:rFonts w:hint="eastAsia" w:cs="宋体"/>
          <w:color w:val="auto"/>
          <w:sz w:val="24"/>
          <w:szCs w:val="24"/>
          <w:highlight w:val="none"/>
        </w:rPr>
        <w:t>《环境影响评价技术导则 地下水环境》（HJ610-2016）中附录A</w:t>
      </w:r>
      <w:r>
        <w:rPr>
          <w:rFonts w:cs="宋体"/>
          <w:color w:val="auto"/>
          <w:sz w:val="24"/>
          <w:szCs w:val="24"/>
          <w:highlight w:val="none"/>
        </w:rPr>
        <w:t xml:space="preserve"> 地下水环境影响评价行业分类表</w:t>
      </w:r>
      <w:r>
        <w:rPr>
          <w:rFonts w:hint="eastAsia" w:cs="宋体"/>
          <w:color w:val="auto"/>
          <w:sz w:val="24"/>
          <w:szCs w:val="24"/>
          <w:highlight w:val="none"/>
        </w:rPr>
        <w:t>，本项目</w:t>
      </w:r>
      <w:r>
        <w:rPr>
          <w:rFonts w:hint="eastAsia" w:cs="宋体"/>
          <w:color w:val="auto"/>
          <w:sz w:val="24"/>
          <w:szCs w:val="24"/>
          <w:highlight w:val="none"/>
          <w:lang w:val="en-US" w:eastAsia="zh-CN"/>
        </w:rPr>
        <w:t>属于“</w:t>
      </w:r>
      <w:r>
        <w:rPr>
          <w:rFonts w:hint="eastAsia" w:ascii="Times New Roman" w:hAnsi="Times New Roman"/>
          <w:i/>
          <w:iCs/>
          <w:color w:val="auto"/>
          <w:sz w:val="24"/>
          <w:szCs w:val="24"/>
          <w:highlight w:val="none"/>
          <w:lang w:val="en-US" w:eastAsia="zh-CN"/>
        </w:rPr>
        <w:t>L 石化、化工</w:t>
      </w:r>
      <w:r>
        <w:rPr>
          <w:rFonts w:hint="eastAsia" w:cs="宋体"/>
          <w:color w:val="auto"/>
          <w:sz w:val="24"/>
          <w:szCs w:val="24"/>
          <w:highlight w:val="none"/>
          <w:lang w:val="en-US" w:eastAsia="zh-CN"/>
        </w:rPr>
        <w:t>”行业中的“</w:t>
      </w:r>
      <w:r>
        <w:rPr>
          <w:rFonts w:hint="eastAsia" w:cs="宋体"/>
          <w:i/>
          <w:iCs/>
          <w:color w:val="auto"/>
          <w:sz w:val="24"/>
          <w:szCs w:val="24"/>
          <w:highlight w:val="none"/>
          <w:lang w:val="en-US" w:eastAsia="zh-CN"/>
        </w:rPr>
        <w:t>85、基本化学原料制造；化学肥料制造；农药制造；涂料、染料、颜料、油墨及其类似产品制造；合成材料制造；</w:t>
      </w:r>
      <w:r>
        <w:rPr>
          <w:rFonts w:hint="eastAsia" w:cs="宋体"/>
          <w:b/>
          <w:bCs/>
          <w:i/>
          <w:iCs/>
          <w:color w:val="auto"/>
          <w:sz w:val="24"/>
          <w:szCs w:val="24"/>
          <w:highlight w:val="none"/>
          <w:lang w:val="en-US" w:eastAsia="zh-CN"/>
        </w:rPr>
        <w:t>专用化学品制造</w:t>
      </w:r>
      <w:r>
        <w:rPr>
          <w:rFonts w:hint="eastAsia" w:cs="宋体"/>
          <w:i/>
          <w:iCs/>
          <w:color w:val="auto"/>
          <w:sz w:val="24"/>
          <w:szCs w:val="24"/>
          <w:highlight w:val="none"/>
          <w:lang w:val="en-US" w:eastAsia="zh-CN"/>
        </w:rPr>
        <w:t>；炸药、火工及焰火产品制造；饲料添加剂、食品添加剂及水处理剂等制造</w:t>
      </w:r>
      <w:r>
        <w:rPr>
          <w:rFonts w:hint="eastAsia" w:cs="宋体"/>
          <w:color w:val="auto"/>
          <w:sz w:val="24"/>
          <w:szCs w:val="24"/>
          <w:highlight w:val="none"/>
          <w:lang w:val="en-US" w:eastAsia="zh-CN"/>
        </w:rPr>
        <w:t>”，为Ⅰ</w:t>
      </w:r>
      <w:r>
        <w:rPr>
          <w:rFonts w:cs="宋体"/>
          <w:color w:val="auto"/>
          <w:sz w:val="24"/>
          <w:szCs w:val="24"/>
          <w:highlight w:val="none"/>
        </w:rPr>
        <w:t>类项目</w:t>
      </w:r>
      <w:r>
        <w:rPr>
          <w:rFonts w:hint="eastAsia" w:cs="宋体"/>
          <w:color w:val="auto"/>
          <w:sz w:val="24"/>
          <w:szCs w:val="24"/>
          <w:highlight w:val="none"/>
          <w:lang w:eastAsia="zh-CN"/>
        </w:rPr>
        <w:t>。</w:t>
      </w:r>
      <w:r>
        <w:rPr>
          <w:rFonts w:cs="宋体"/>
          <w:color w:val="auto"/>
          <w:sz w:val="24"/>
          <w:szCs w:val="24"/>
          <w:highlight w:val="none"/>
        </w:rPr>
        <w:t>根据调查</w:t>
      </w:r>
      <w:r>
        <w:rPr>
          <w:rFonts w:hint="eastAsia" w:cs="宋体"/>
          <w:color w:val="auto"/>
          <w:sz w:val="24"/>
          <w:szCs w:val="24"/>
          <w:highlight w:val="none"/>
        </w:rPr>
        <w:t>，本项目</w:t>
      </w:r>
      <w:r>
        <w:rPr>
          <w:rFonts w:hint="eastAsia" w:cs="宋体"/>
          <w:color w:val="auto"/>
          <w:sz w:val="24"/>
          <w:szCs w:val="24"/>
          <w:highlight w:val="none"/>
          <w:lang w:val="en-US" w:eastAsia="zh-CN"/>
        </w:rPr>
        <w:t>地下水环境影响评价范围内</w:t>
      </w:r>
      <w:r>
        <w:rPr>
          <w:rFonts w:hint="eastAsia" w:cs="Times New Roman"/>
          <w:b w:val="0"/>
          <w:bCs w:val="0"/>
          <w:i w:val="0"/>
          <w:iCs w:val="0"/>
          <w:color w:val="auto"/>
          <w:highlight w:val="none"/>
          <w:lang w:val="en-US" w:eastAsia="zh-CN"/>
        </w:rPr>
        <w:t>农村现存部分分散式水井，因此地下水环境敏感程度为较</w:t>
      </w:r>
      <w:r>
        <w:rPr>
          <w:rFonts w:cstheme="minorHAnsi"/>
          <w:color w:val="auto"/>
          <w:sz w:val="24"/>
          <w:szCs w:val="24"/>
          <w:highlight w:val="none"/>
        </w:rPr>
        <w:t>敏感</w:t>
      </w:r>
      <w:r>
        <w:rPr>
          <w:rFonts w:hint="eastAsia" w:cstheme="minorHAnsi"/>
          <w:color w:val="auto"/>
          <w:sz w:val="24"/>
          <w:szCs w:val="24"/>
          <w:highlight w:val="none"/>
        </w:rPr>
        <w:t>。</w:t>
      </w:r>
    </w:p>
    <w:p w14:paraId="415638DD">
      <w:pPr>
        <w:spacing w:line="360" w:lineRule="auto"/>
        <w:ind w:left="0" w:leftChars="0" w:firstLine="480" w:firstLineChars="200"/>
        <w:rPr>
          <w:rFonts w:cstheme="minorHAnsi"/>
          <w:color w:val="auto"/>
          <w:sz w:val="24"/>
          <w:szCs w:val="24"/>
        </w:rPr>
      </w:pPr>
      <w:r>
        <w:rPr>
          <w:rFonts w:cstheme="minorHAnsi"/>
          <w:color w:val="auto"/>
          <w:sz w:val="24"/>
          <w:szCs w:val="24"/>
        </w:rPr>
        <w:t>根据《环境影响评价技术导则 地下水环境》（HJ610-2016），地下水环境影响评价等级判定表见下表。</w:t>
      </w:r>
    </w:p>
    <w:p w14:paraId="694ACC60">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mc:AlternateContent>
          <mc:Choice Requires="wps">
            <w:drawing>
              <wp:anchor distT="0" distB="0" distL="114300" distR="114300" simplePos="0" relativeHeight="251662336" behindDoc="0" locked="0" layoutInCell="1" allowOverlap="1">
                <wp:simplePos x="0" y="0"/>
                <wp:positionH relativeFrom="margin">
                  <wp:posOffset>9525</wp:posOffset>
                </wp:positionH>
                <wp:positionV relativeFrom="paragraph">
                  <wp:posOffset>310515</wp:posOffset>
                </wp:positionV>
                <wp:extent cx="1428750" cy="390525"/>
                <wp:effectExtent l="1270" t="4445" r="17780" b="5080"/>
                <wp:wrapNone/>
                <wp:docPr id="156"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1428750" cy="390525"/>
                        </a:xfrm>
                        <a:prstGeom prst="straightConnector1">
                          <a:avLst/>
                        </a:prstGeom>
                        <a:noFill/>
                        <a:ln w="9525">
                          <a:solidFill>
                            <a:srgbClr val="000000"/>
                          </a:solidFill>
                          <a:round/>
                        </a:ln>
                      </wps:spPr>
                      <wps:bodyPr/>
                    </wps:wsp>
                  </a:graphicData>
                </a:graphic>
              </wp:anchor>
            </w:drawing>
          </mc:Choice>
          <mc:Fallback>
            <w:pict>
              <v:shape id="直接箭头连接符 3" o:spid="_x0000_s1026" o:spt="32" type="#_x0000_t32" style="position:absolute;left:0pt;margin-left:0.75pt;margin-top:24.45pt;height:30.75pt;width:112.5pt;mso-position-horizontal-relative:margin;z-index:251662336;mso-width-relative:page;mso-height-relative:page;" filled="f" stroked="t" coordsize="21600,21600" o:gfxdata="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DVmy81QAAAAgBAAAPAAAAAAAAAAEAIAAAACIAAABkcnMvZG93bnJldi54bWxQ&#10;SwECFAAUAAAACACHTuJAsJlnLvoBAADFAwAADgAAAAAAAAABACAAAAAk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Times New Roman"/>
          <w:color w:val="auto"/>
          <w:sz w:val="21"/>
          <w:szCs w:val="21"/>
          <w:lang w:val="en-US" w:eastAsia="zh-CN"/>
        </w:rPr>
        <w:t>地下水评价工作等级分级表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8"/>
        <w:gridCol w:w="2378"/>
        <w:gridCol w:w="2379"/>
        <w:gridCol w:w="2379"/>
      </w:tblGrid>
      <w:tr w14:paraId="0364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50" w:type="pct"/>
            <w:shd w:val="clear" w:color="auto" w:fill="auto"/>
            <w:vAlign w:val="center"/>
          </w:tcPr>
          <w:p w14:paraId="28633E4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 xml:space="preserve">           项目类别</w:t>
            </w:r>
          </w:p>
          <w:p w14:paraId="4AA7506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环境敏感程度</w:t>
            </w:r>
          </w:p>
        </w:tc>
        <w:tc>
          <w:tcPr>
            <w:tcW w:w="1250" w:type="pct"/>
            <w:vAlign w:val="center"/>
          </w:tcPr>
          <w:p w14:paraId="42A411B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I类项目</w:t>
            </w:r>
          </w:p>
        </w:tc>
        <w:tc>
          <w:tcPr>
            <w:tcW w:w="1250" w:type="pct"/>
            <w:vAlign w:val="center"/>
          </w:tcPr>
          <w:p w14:paraId="0129A5E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II类项目</w:t>
            </w:r>
          </w:p>
        </w:tc>
        <w:tc>
          <w:tcPr>
            <w:tcW w:w="1250" w:type="pct"/>
            <w:vAlign w:val="center"/>
          </w:tcPr>
          <w:p w14:paraId="0E2C2D3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III类项目</w:t>
            </w:r>
          </w:p>
        </w:tc>
      </w:tr>
      <w:tr w14:paraId="55B3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2515816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敏感</w:t>
            </w:r>
          </w:p>
        </w:tc>
        <w:tc>
          <w:tcPr>
            <w:tcW w:w="1250" w:type="pct"/>
            <w:vAlign w:val="center"/>
          </w:tcPr>
          <w:p w14:paraId="147C110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w:t>
            </w:r>
          </w:p>
        </w:tc>
        <w:tc>
          <w:tcPr>
            <w:tcW w:w="1250" w:type="pct"/>
            <w:vAlign w:val="center"/>
          </w:tcPr>
          <w:p w14:paraId="28F1D30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w:t>
            </w:r>
          </w:p>
        </w:tc>
        <w:tc>
          <w:tcPr>
            <w:tcW w:w="1250" w:type="pct"/>
            <w:vAlign w:val="center"/>
          </w:tcPr>
          <w:p w14:paraId="318BF34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w:t>
            </w:r>
          </w:p>
        </w:tc>
      </w:tr>
      <w:tr w14:paraId="34D6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2694932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较敏感</w:t>
            </w:r>
          </w:p>
        </w:tc>
        <w:tc>
          <w:tcPr>
            <w:tcW w:w="1250" w:type="pct"/>
            <w:shd w:val="clear" w:color="auto" w:fill="auto"/>
            <w:vAlign w:val="center"/>
          </w:tcPr>
          <w:p w14:paraId="3081934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w:t>
            </w:r>
            <w:r>
              <w:rPr>
                <w:rFonts w:hint="eastAsia" w:cs="Courier New"/>
                <w:b w:val="0"/>
                <w:bCs w:val="0"/>
                <w:color w:val="auto"/>
                <w:highlight w:val="none"/>
                <w:lang w:val="en-US" w:eastAsia="zh-CN"/>
              </w:rPr>
              <w:t>（√）</w:t>
            </w:r>
          </w:p>
        </w:tc>
        <w:tc>
          <w:tcPr>
            <w:tcW w:w="1250" w:type="pct"/>
            <w:shd w:val="clear" w:color="auto" w:fill="auto"/>
            <w:vAlign w:val="center"/>
          </w:tcPr>
          <w:p w14:paraId="3C38BB1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w:t>
            </w:r>
          </w:p>
        </w:tc>
        <w:tc>
          <w:tcPr>
            <w:tcW w:w="1250" w:type="pct"/>
            <w:shd w:val="clear" w:color="auto" w:fill="auto"/>
            <w:vAlign w:val="center"/>
          </w:tcPr>
          <w:p w14:paraId="47693A1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w:t>
            </w:r>
          </w:p>
        </w:tc>
      </w:tr>
      <w:tr w14:paraId="613C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243E569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不敏感</w:t>
            </w:r>
          </w:p>
        </w:tc>
        <w:tc>
          <w:tcPr>
            <w:tcW w:w="1250" w:type="pct"/>
            <w:shd w:val="clear" w:color="auto" w:fill="auto"/>
            <w:vAlign w:val="center"/>
          </w:tcPr>
          <w:p w14:paraId="639FCA5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w:t>
            </w:r>
          </w:p>
        </w:tc>
        <w:tc>
          <w:tcPr>
            <w:tcW w:w="1250" w:type="pct"/>
            <w:shd w:val="clear" w:color="auto" w:fill="auto"/>
            <w:vAlign w:val="center"/>
          </w:tcPr>
          <w:p w14:paraId="71DB10A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w:t>
            </w:r>
          </w:p>
        </w:tc>
        <w:tc>
          <w:tcPr>
            <w:tcW w:w="1250" w:type="pct"/>
            <w:shd w:val="clear" w:color="auto" w:fill="auto"/>
            <w:vAlign w:val="center"/>
          </w:tcPr>
          <w:p w14:paraId="03016D0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w:t>
            </w:r>
          </w:p>
        </w:tc>
      </w:tr>
    </w:tbl>
    <w:p w14:paraId="6117A5DF">
      <w:pPr>
        <w:spacing w:line="360" w:lineRule="auto"/>
        <w:ind w:left="0" w:leftChars="0" w:firstLine="480" w:firstLineChars="200"/>
        <w:rPr>
          <w:rFonts w:cs="宋体"/>
          <w:color w:val="auto"/>
          <w:sz w:val="24"/>
          <w:szCs w:val="24"/>
        </w:rPr>
      </w:pPr>
      <w:r>
        <w:rPr>
          <w:rFonts w:cstheme="minorHAnsi"/>
          <w:color w:val="auto"/>
          <w:sz w:val="24"/>
          <w:szCs w:val="24"/>
        </w:rPr>
        <w:t>根据《环境影响评价技术导则 地下水环境》（HJ610-2016）中评价工作等级划分依据，</w:t>
      </w:r>
      <w:r>
        <w:rPr>
          <w:rFonts w:cstheme="minorHAnsi"/>
          <w:b/>
          <w:color w:val="auto"/>
          <w:sz w:val="24"/>
          <w:szCs w:val="24"/>
        </w:rPr>
        <w:t>本项目地下水环境影响评价等级为</w:t>
      </w:r>
      <w:r>
        <w:rPr>
          <w:rFonts w:hint="eastAsia" w:cstheme="minorHAnsi"/>
          <w:b/>
          <w:color w:val="auto"/>
          <w:sz w:val="24"/>
          <w:szCs w:val="24"/>
          <w:lang w:val="en-US" w:eastAsia="zh-CN"/>
        </w:rPr>
        <w:t>一</w:t>
      </w:r>
      <w:r>
        <w:rPr>
          <w:rFonts w:cstheme="minorHAnsi"/>
          <w:b/>
          <w:color w:val="auto"/>
          <w:sz w:val="24"/>
          <w:szCs w:val="24"/>
        </w:rPr>
        <w:t>级。</w:t>
      </w:r>
    </w:p>
    <w:p w14:paraId="43B81DCC">
      <w:pPr>
        <w:pStyle w:val="29"/>
        <w:ind w:left="0" w:leftChars="0" w:firstLine="482" w:firstLineChars="200"/>
        <w:rPr>
          <w:color w:val="auto"/>
        </w:rPr>
      </w:pPr>
      <w:r>
        <w:rPr>
          <w:color w:val="auto"/>
        </w:rPr>
        <w:t>4</w:t>
      </w:r>
      <w:r>
        <w:rPr>
          <w:rFonts w:hint="eastAsia"/>
          <w:color w:val="auto"/>
        </w:rPr>
        <w:t>、声环境</w:t>
      </w:r>
    </w:p>
    <w:p w14:paraId="10614F5D">
      <w:pPr>
        <w:spacing w:line="360" w:lineRule="auto"/>
        <w:ind w:left="0" w:leftChars="0" w:firstLine="480" w:firstLineChars="200"/>
        <w:rPr>
          <w:rFonts w:cs="宋体"/>
          <w:color w:val="auto"/>
          <w:sz w:val="24"/>
          <w:szCs w:val="24"/>
        </w:rPr>
      </w:pPr>
      <w:r>
        <w:rPr>
          <w:rFonts w:hint="eastAsia" w:cs="宋体"/>
          <w:color w:val="auto"/>
          <w:sz w:val="24"/>
          <w:szCs w:val="24"/>
        </w:rPr>
        <w:t>本项目</w:t>
      </w:r>
      <w:r>
        <w:rPr>
          <w:rFonts w:hint="eastAsia" w:cs="宋体"/>
          <w:color w:val="auto"/>
          <w:sz w:val="24"/>
          <w:szCs w:val="24"/>
          <w:lang w:val="en-US" w:eastAsia="zh-CN"/>
        </w:rPr>
        <w:t>所处声环境功能区为</w:t>
      </w:r>
      <w:r>
        <w:rPr>
          <w:rFonts w:hint="eastAsia" w:cs="宋体"/>
          <w:color w:val="auto"/>
          <w:sz w:val="24"/>
          <w:szCs w:val="24"/>
        </w:rPr>
        <w:t>3类声环境功能区</w:t>
      </w:r>
      <w:r>
        <w:rPr>
          <w:rFonts w:hint="eastAsia" w:cs="宋体"/>
          <w:color w:val="auto"/>
          <w:sz w:val="24"/>
          <w:szCs w:val="24"/>
          <w:lang w:eastAsia="zh-CN"/>
        </w:rPr>
        <w:t>；</w:t>
      </w:r>
      <w:r>
        <w:rPr>
          <w:rFonts w:hint="eastAsia" w:cs="宋体"/>
          <w:color w:val="auto"/>
          <w:sz w:val="24"/>
          <w:szCs w:val="24"/>
          <w:lang w:val="en-US" w:eastAsia="zh-CN"/>
        </w:rPr>
        <w:t>根据后文预测，评价范围内声环境保护目标噪声级增量为0；且项目建设前后，受影响人口数量变化不大。</w:t>
      </w:r>
      <w:r>
        <w:rPr>
          <w:rFonts w:cstheme="minorHAnsi"/>
          <w:color w:val="auto"/>
          <w:sz w:val="24"/>
          <w:szCs w:val="24"/>
        </w:rPr>
        <w:t>根据</w:t>
      </w:r>
      <w:r>
        <w:rPr>
          <w:rFonts w:hint="eastAsia" w:cstheme="minorHAnsi"/>
          <w:color w:val="auto"/>
          <w:sz w:val="24"/>
          <w:szCs w:val="24"/>
          <w:lang w:eastAsia="zh-CN"/>
        </w:rPr>
        <w:t>《环境影响评价技术导则 声环境》（HJ2.4-2021）</w:t>
      </w:r>
      <w:r>
        <w:rPr>
          <w:rFonts w:cstheme="minorHAnsi"/>
          <w:color w:val="auto"/>
          <w:sz w:val="24"/>
          <w:szCs w:val="24"/>
        </w:rPr>
        <w:t>中评价工作等级划分依据</w:t>
      </w:r>
      <w:r>
        <w:rPr>
          <w:rFonts w:hint="eastAsia" w:cstheme="minorHAnsi"/>
          <w:color w:val="auto"/>
          <w:sz w:val="24"/>
          <w:szCs w:val="24"/>
          <w:lang w:eastAsia="zh-CN"/>
        </w:rPr>
        <w:t>“</w:t>
      </w:r>
      <w:r>
        <w:rPr>
          <w:rFonts w:hint="eastAsia" w:cstheme="minorHAnsi"/>
          <w:i/>
          <w:iCs/>
          <w:color w:val="auto"/>
          <w:sz w:val="24"/>
          <w:szCs w:val="24"/>
        </w:rPr>
        <w:t>建设项目所处的声环境功能区为GB3096规定的3类、4类地区，或建设项目建设前后评价范围内声环境保护目标噪声级增量在3dB（A）以下（不含3dB（A）），且受影响人口数量变化不大时，按三级评价</w:t>
      </w:r>
      <w:r>
        <w:rPr>
          <w:rFonts w:hint="eastAsia" w:cstheme="minorHAnsi"/>
          <w:i/>
          <w:iCs/>
          <w:color w:val="auto"/>
          <w:sz w:val="24"/>
          <w:szCs w:val="24"/>
          <w:lang w:eastAsia="zh-CN"/>
        </w:rPr>
        <w:t>。</w:t>
      </w:r>
      <w:r>
        <w:rPr>
          <w:rFonts w:hint="eastAsia" w:cstheme="minorHAnsi"/>
          <w:color w:val="auto"/>
          <w:sz w:val="24"/>
          <w:szCs w:val="24"/>
          <w:lang w:eastAsia="zh-CN"/>
        </w:rPr>
        <w:t>”</w:t>
      </w:r>
      <w:r>
        <w:rPr>
          <w:rFonts w:cstheme="minorHAnsi"/>
          <w:color w:val="auto"/>
          <w:sz w:val="24"/>
          <w:szCs w:val="24"/>
        </w:rPr>
        <w:t>，</w:t>
      </w:r>
      <w:r>
        <w:rPr>
          <w:rFonts w:cstheme="minorHAnsi"/>
          <w:b/>
          <w:color w:val="auto"/>
          <w:sz w:val="24"/>
          <w:szCs w:val="24"/>
        </w:rPr>
        <w:t>本项目声环境影响评价等级为</w:t>
      </w:r>
      <w:r>
        <w:rPr>
          <w:rFonts w:hint="eastAsia" w:cstheme="minorHAnsi"/>
          <w:b/>
          <w:color w:val="auto"/>
          <w:sz w:val="24"/>
          <w:szCs w:val="24"/>
          <w:lang w:val="en-US" w:eastAsia="zh-CN"/>
        </w:rPr>
        <w:t>三</w:t>
      </w:r>
      <w:r>
        <w:rPr>
          <w:rFonts w:cstheme="minorHAnsi"/>
          <w:b/>
          <w:color w:val="auto"/>
          <w:sz w:val="24"/>
          <w:szCs w:val="24"/>
        </w:rPr>
        <w:t>级</w:t>
      </w:r>
      <w:r>
        <w:rPr>
          <w:rFonts w:cstheme="minorHAnsi"/>
          <w:b/>
          <w:color w:val="auto"/>
          <w:sz w:val="24"/>
        </w:rPr>
        <w:t>。</w:t>
      </w:r>
    </w:p>
    <w:p w14:paraId="6DDAFAD9">
      <w:pPr>
        <w:pStyle w:val="29"/>
        <w:ind w:left="0" w:leftChars="0" w:firstLine="482" w:firstLineChars="200"/>
        <w:rPr>
          <w:color w:val="auto"/>
        </w:rPr>
      </w:pPr>
      <w:r>
        <w:rPr>
          <w:color w:val="auto"/>
        </w:rPr>
        <w:t>5</w:t>
      </w:r>
      <w:r>
        <w:rPr>
          <w:rFonts w:hint="eastAsia"/>
          <w:color w:val="auto"/>
        </w:rPr>
        <w:t>、土壤环境</w:t>
      </w:r>
    </w:p>
    <w:p w14:paraId="0EE5FB57">
      <w:pPr>
        <w:spacing w:line="360" w:lineRule="auto"/>
        <w:ind w:left="0" w:leftChars="0" w:firstLine="480" w:firstLineChars="200"/>
        <w:rPr>
          <w:rFonts w:cs="宋体"/>
          <w:color w:val="auto"/>
          <w:sz w:val="24"/>
          <w:szCs w:val="24"/>
        </w:rPr>
      </w:pPr>
      <w:r>
        <w:rPr>
          <w:rFonts w:cs="宋体"/>
          <w:color w:val="auto"/>
          <w:sz w:val="24"/>
          <w:szCs w:val="24"/>
        </w:rPr>
        <w:t>根据</w:t>
      </w:r>
      <w:r>
        <w:rPr>
          <w:rFonts w:hint="eastAsia" w:cs="宋体"/>
          <w:color w:val="auto"/>
          <w:sz w:val="24"/>
          <w:szCs w:val="24"/>
        </w:rPr>
        <w:t>行业</w:t>
      </w:r>
      <w:r>
        <w:rPr>
          <w:rFonts w:cs="宋体"/>
          <w:color w:val="auto"/>
          <w:sz w:val="24"/>
          <w:szCs w:val="24"/>
        </w:rPr>
        <w:t>特征</w:t>
      </w:r>
      <w:r>
        <w:rPr>
          <w:rFonts w:hint="eastAsia" w:cs="宋体"/>
          <w:color w:val="auto"/>
          <w:sz w:val="24"/>
          <w:szCs w:val="24"/>
        </w:rPr>
        <w:t>、</w:t>
      </w:r>
      <w:r>
        <w:rPr>
          <w:rFonts w:cs="宋体"/>
          <w:color w:val="auto"/>
          <w:sz w:val="24"/>
          <w:szCs w:val="24"/>
        </w:rPr>
        <w:t>工艺特点或规模大小等将建设项目类别分为I类</w:t>
      </w:r>
      <w:r>
        <w:rPr>
          <w:rFonts w:hint="eastAsia" w:cs="宋体"/>
          <w:color w:val="auto"/>
          <w:sz w:val="24"/>
          <w:szCs w:val="24"/>
        </w:rPr>
        <w:t>、</w:t>
      </w:r>
      <w:r>
        <w:rPr>
          <w:rFonts w:cs="宋体"/>
          <w:color w:val="auto"/>
          <w:sz w:val="24"/>
          <w:szCs w:val="24"/>
        </w:rPr>
        <w:t>II类</w:t>
      </w:r>
      <w:r>
        <w:rPr>
          <w:rFonts w:hint="eastAsia" w:cs="宋体"/>
          <w:color w:val="auto"/>
          <w:sz w:val="24"/>
          <w:szCs w:val="24"/>
        </w:rPr>
        <w:t>、</w:t>
      </w:r>
      <w:r>
        <w:rPr>
          <w:rFonts w:cs="宋体"/>
          <w:color w:val="auto"/>
          <w:sz w:val="24"/>
          <w:szCs w:val="24"/>
        </w:rPr>
        <w:t>III类</w:t>
      </w:r>
      <w:r>
        <w:rPr>
          <w:rFonts w:hint="eastAsia" w:cs="宋体"/>
          <w:color w:val="auto"/>
          <w:sz w:val="24"/>
          <w:szCs w:val="24"/>
        </w:rPr>
        <w:t>、</w:t>
      </w:r>
      <w:r>
        <w:rPr>
          <w:rFonts w:cs="宋体"/>
          <w:color w:val="auto"/>
          <w:sz w:val="24"/>
          <w:szCs w:val="24"/>
        </w:rPr>
        <w:t>III类</w:t>
      </w:r>
      <w:r>
        <w:rPr>
          <w:rFonts w:hint="eastAsia" w:cs="宋体"/>
          <w:color w:val="auto"/>
          <w:sz w:val="24"/>
          <w:szCs w:val="24"/>
        </w:rPr>
        <w:t>，其中：III类建设项目可不开展土壤环境影响评价；自身为敏感目标的建设项目，可根据需要仅对土壤环境现状进行调查。</w:t>
      </w:r>
    </w:p>
    <w:p w14:paraId="6B93D848">
      <w:pPr>
        <w:spacing w:line="360" w:lineRule="auto"/>
        <w:ind w:left="0" w:leftChars="0" w:firstLine="480" w:firstLineChars="200"/>
        <w:rPr>
          <w:rFonts w:cstheme="minorHAnsi"/>
          <w:bCs/>
          <w:color w:val="auto"/>
          <w:sz w:val="24"/>
          <w:szCs w:val="24"/>
        </w:rPr>
      </w:pPr>
      <w:r>
        <w:rPr>
          <w:rFonts w:hint="eastAsia"/>
          <w:bCs/>
          <w:color w:val="auto"/>
          <w:kern w:val="0"/>
          <w:sz w:val="24"/>
          <w:lang w:val="en-US" w:eastAsia="zh-CN"/>
        </w:rPr>
        <w:t>本项目为混凝土添加剂生产，属于《国民经济行业分类》（GB/T4754-2017）中“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hint="default" w:ascii="Times New Roman" w:hAnsi="Times New Roman" w:cs="Times New Roman"/>
          <w:color w:val="auto"/>
          <w:highlight w:val="none"/>
        </w:rPr>
        <w:t>根据《环境影响评价技术导则</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土壤环境（试行）》（HJ964-2018）附录A</w:t>
      </w:r>
      <w:r>
        <w:rPr>
          <w:rFonts w:hint="eastAsia" w:cs="Times New Roman"/>
          <w:color w:val="auto"/>
          <w:highlight w:val="none"/>
          <w:lang w:val="en-US" w:eastAsia="zh-CN"/>
        </w:rPr>
        <w:t>中“</w:t>
      </w:r>
      <w:r>
        <w:rPr>
          <w:rFonts w:hint="eastAsia" w:cs="Times New Roman"/>
          <w:i/>
          <w:iCs/>
          <w:color w:val="auto"/>
          <w:highlight w:val="none"/>
          <w:lang w:val="en-US" w:eastAsia="zh-CN"/>
        </w:rPr>
        <w:t>制造业/石油、化工</w:t>
      </w:r>
      <w:r>
        <w:rPr>
          <w:rFonts w:hint="eastAsia" w:cs="Times New Roman"/>
          <w:color w:val="auto"/>
          <w:highlight w:val="none"/>
          <w:lang w:val="en-US" w:eastAsia="zh-CN"/>
        </w:rPr>
        <w:t>”行业中的</w:t>
      </w:r>
      <w:r>
        <w:rPr>
          <w:rFonts w:hint="eastAsia" w:ascii="宋体" w:hAnsi="宋体" w:eastAsia="宋体" w:cs="宋体"/>
          <w:color w:val="auto"/>
          <w:highlight w:val="none"/>
        </w:rPr>
        <w:t>“</w:t>
      </w:r>
      <w:r>
        <w:rPr>
          <w:rFonts w:hint="eastAsia" w:ascii="宋体" w:hAnsi="宋体" w:cs="宋体"/>
          <w:i/>
          <w:iCs/>
          <w:color w:val="auto"/>
          <w:highlight w:val="none"/>
          <w:lang w:val="en-US" w:eastAsia="zh-CN"/>
        </w:rPr>
        <w:t>化学原料和化学制品制造</w:t>
      </w:r>
      <w:r>
        <w:rPr>
          <w:rFonts w:hint="eastAsia" w:ascii="宋体" w:hAnsi="宋体" w:eastAsia="宋体" w:cs="宋体"/>
          <w:color w:val="auto"/>
          <w:highlight w:val="none"/>
        </w:rPr>
        <w:t>”</w:t>
      </w:r>
      <w:r>
        <w:rPr>
          <w:rFonts w:hint="eastAsia" w:ascii="宋体" w:hAnsi="宋体" w:cs="宋体"/>
          <w:color w:val="auto"/>
          <w:highlight w:val="none"/>
          <w:lang w:val="en-US" w:eastAsia="zh-CN"/>
        </w:rPr>
        <w:t>，本项目属</w:t>
      </w:r>
      <w:r>
        <w:rPr>
          <w:rFonts w:hint="default" w:ascii="Times New Roman" w:hAnsi="Times New Roman" w:cs="Times New Roman"/>
          <w:color w:val="auto"/>
          <w:highlight w:val="none"/>
        </w:rPr>
        <w:t>I</w:t>
      </w:r>
      <w:r>
        <w:rPr>
          <w:rFonts w:hint="eastAsia" w:ascii="Times New Roman" w:hAnsi="Times New Roman" w:cs="Times New Roman"/>
          <w:color w:val="auto"/>
          <w:highlight w:val="none"/>
          <w:lang w:eastAsia="zh-CN"/>
        </w:rPr>
        <w:t>类</w:t>
      </w:r>
      <w:r>
        <w:rPr>
          <w:rFonts w:hint="default" w:ascii="Times New Roman" w:hAnsi="Times New Roman" w:cs="Times New Roman"/>
          <w:color w:val="auto"/>
          <w:highlight w:val="none"/>
        </w:rPr>
        <w:t>建设项目</w:t>
      </w:r>
      <w:r>
        <w:rPr>
          <w:rFonts w:cstheme="minorHAnsi"/>
          <w:color w:val="auto"/>
          <w:sz w:val="24"/>
          <w:szCs w:val="24"/>
        </w:rPr>
        <w:t>；本项目</w:t>
      </w:r>
      <w:r>
        <w:rPr>
          <w:rFonts w:hint="eastAsia" w:cstheme="minorHAnsi"/>
          <w:color w:val="auto"/>
          <w:sz w:val="24"/>
          <w:szCs w:val="24"/>
          <w:lang w:val="en-US" w:eastAsia="zh-CN"/>
        </w:rPr>
        <w:t>占地面积</w:t>
      </w:r>
      <w:r>
        <w:rPr>
          <w:rFonts w:hint="eastAsia"/>
          <w:color w:val="auto"/>
          <w:lang w:val="en-US" w:eastAsia="zh-CN"/>
        </w:rPr>
        <w:t>17171.05m</w:t>
      </w:r>
      <w:r>
        <w:rPr>
          <w:rFonts w:hint="eastAsia"/>
          <w:color w:val="auto"/>
          <w:vertAlign w:val="superscript"/>
          <w:lang w:val="en-US" w:eastAsia="zh-CN"/>
        </w:rPr>
        <w:t>2</w:t>
      </w:r>
      <w:r>
        <w:rPr>
          <w:rFonts w:hint="eastAsia" w:ascii="Times New Roman"/>
          <w:color w:val="auto"/>
          <w:sz w:val="24"/>
          <w:vertAlign w:val="baseline"/>
          <w:lang w:val="en-US" w:eastAsia="zh-CN"/>
        </w:rPr>
        <w:t>（</w:t>
      </w:r>
      <w:r>
        <w:rPr>
          <w:rFonts w:hint="eastAsia"/>
          <w:color w:val="auto"/>
          <w:sz w:val="24"/>
          <w:vertAlign w:val="baseline"/>
          <w:lang w:val="en-US" w:eastAsia="zh-CN"/>
        </w:rPr>
        <w:t>1.72</w:t>
      </w:r>
      <w:r>
        <w:rPr>
          <w:rFonts w:hint="eastAsia" w:ascii="Times New Roman"/>
          <w:color w:val="auto"/>
          <w:sz w:val="24"/>
          <w:vertAlign w:val="baseline"/>
          <w:lang w:val="en-US" w:eastAsia="zh-CN"/>
        </w:rPr>
        <w:t>hm</w:t>
      </w:r>
      <w:r>
        <w:rPr>
          <w:rFonts w:hint="eastAsia" w:ascii="Times New Roman"/>
          <w:color w:val="auto"/>
          <w:sz w:val="24"/>
          <w:vertAlign w:val="superscript"/>
          <w:lang w:val="en-US" w:eastAsia="zh-CN"/>
        </w:rPr>
        <w:t>2</w:t>
      </w:r>
      <w:r>
        <w:rPr>
          <w:rFonts w:hint="eastAsia" w:ascii="Times New Roman"/>
          <w:color w:val="auto"/>
          <w:sz w:val="24"/>
          <w:vertAlign w:val="baseline"/>
          <w:lang w:val="en-US" w:eastAsia="zh-CN"/>
        </w:rPr>
        <w:t>），</w:t>
      </w:r>
      <w:r>
        <w:rPr>
          <w:rFonts w:cstheme="minorHAnsi"/>
          <w:color w:val="auto"/>
          <w:sz w:val="24"/>
        </w:rPr>
        <w:t>占地规模为</w:t>
      </w:r>
      <w:r>
        <w:rPr>
          <w:rFonts w:hint="eastAsia" w:cstheme="minorHAnsi"/>
          <w:color w:val="auto"/>
          <w:sz w:val="24"/>
          <w:lang w:val="en-US" w:eastAsia="zh-CN"/>
        </w:rPr>
        <w:t>小</w:t>
      </w:r>
      <w:r>
        <w:rPr>
          <w:rFonts w:cstheme="minorHAnsi"/>
          <w:color w:val="auto"/>
          <w:sz w:val="24"/>
        </w:rPr>
        <w:t>型；根据调查，项目周边1km范围内涉及</w:t>
      </w:r>
      <w:r>
        <w:rPr>
          <w:rFonts w:hint="eastAsia" w:cstheme="minorHAnsi"/>
          <w:color w:val="auto"/>
          <w:sz w:val="24"/>
        </w:rPr>
        <w:t>耕地</w:t>
      </w:r>
      <w:r>
        <w:rPr>
          <w:rFonts w:cstheme="minorHAnsi"/>
          <w:color w:val="auto"/>
          <w:sz w:val="24"/>
        </w:rPr>
        <w:t>，土壤环境敏感程度为敏感</w:t>
      </w:r>
      <w:r>
        <w:rPr>
          <w:rFonts w:cstheme="minorHAnsi"/>
          <w:bCs/>
          <w:color w:val="auto"/>
          <w:sz w:val="24"/>
          <w:szCs w:val="24"/>
        </w:rPr>
        <w:t>。</w:t>
      </w:r>
    </w:p>
    <w:p w14:paraId="02649E2A">
      <w:pPr>
        <w:spacing w:line="360" w:lineRule="auto"/>
        <w:ind w:left="0" w:leftChars="0" w:firstLine="480" w:firstLineChars="200"/>
        <w:rPr>
          <w:rFonts w:cstheme="minorHAnsi"/>
          <w:color w:val="auto"/>
          <w:sz w:val="24"/>
          <w:szCs w:val="24"/>
        </w:rPr>
      </w:pPr>
      <w:r>
        <w:rPr>
          <w:rFonts w:cstheme="minorHAnsi"/>
          <w:color w:val="auto"/>
          <w:sz w:val="24"/>
          <w:szCs w:val="24"/>
        </w:rPr>
        <w:t>根据</w:t>
      </w:r>
      <w:r>
        <w:rPr>
          <w:rFonts w:cstheme="minorHAnsi"/>
          <w:bCs/>
          <w:color w:val="auto"/>
          <w:sz w:val="24"/>
          <w:szCs w:val="24"/>
        </w:rPr>
        <w:t>《环境影响评价技术导则 土壤环境（试行）》（HJ964-2018）</w:t>
      </w:r>
      <w:r>
        <w:rPr>
          <w:rFonts w:cstheme="minorHAnsi"/>
          <w:color w:val="auto"/>
          <w:sz w:val="24"/>
          <w:szCs w:val="24"/>
        </w:rPr>
        <w:t>，土壤环境影响评价等级判定表见下表。</w:t>
      </w:r>
    </w:p>
    <w:p w14:paraId="5A600B08">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mc:AlternateContent>
          <mc:Choice Requires="wps">
            <w:drawing>
              <wp:anchor distT="0" distB="0" distL="114300" distR="114300" simplePos="0" relativeHeight="251663360" behindDoc="0" locked="0" layoutInCell="1" allowOverlap="1">
                <wp:simplePos x="0" y="0"/>
                <wp:positionH relativeFrom="margin">
                  <wp:posOffset>-69850</wp:posOffset>
                </wp:positionH>
                <wp:positionV relativeFrom="paragraph">
                  <wp:posOffset>603885</wp:posOffset>
                </wp:positionV>
                <wp:extent cx="1528445" cy="303530"/>
                <wp:effectExtent l="1270" t="6350" r="13335" b="13970"/>
                <wp:wrapNone/>
                <wp:docPr id="157" name="直接连接符 4"/>
                <wp:cNvGraphicFramePr/>
                <a:graphic xmlns:a="http://schemas.openxmlformats.org/drawingml/2006/main">
                  <a:graphicData uri="http://schemas.microsoft.com/office/word/2010/wordprocessingShape">
                    <wps:wsp>
                      <wps:cNvCnPr/>
                      <wps:spPr>
                        <a:xfrm>
                          <a:off x="0" y="0"/>
                          <a:ext cx="1528445" cy="303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4" o:spid="_x0000_s1026" o:spt="20" style="position:absolute;left:0pt;margin-left:-5.5pt;margin-top:47.55pt;height:23.9pt;width:120.35pt;mso-position-horizontal-relative:margin;z-index:251663360;mso-width-relative:page;mso-height-relative:page;" filled="f" stroked="t" coordsize="21600,21600" o:gfxdata="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jo3/raAAAACgEAAA8AAAAAAAAAAQAgAAAAIgAAAGRycy9kb3ducmV2LnhtbFBLAQIUABQAAAAI&#10;AIdO4kDSVlE+6wEAALkDAAAOAAAAAAAAAAEAIAAAACkBAABkcnMvZTJvRG9jLnhtbFBLBQYAAAAA&#10;BgAGAFkBAACGBQAAAAA=&#10;">
                <v:fill on="f" focussize="0,0"/>
                <v:stroke weight="1pt" color="#000000 [3213]" miterlimit="8" joinstyle="miter"/>
                <v:imagedata o:title=""/>
                <o:lock v:ext="edit" aspectratio="f"/>
              </v:line>
            </w:pict>
          </mc:Fallback>
        </mc:AlternateContent>
      </w:r>
      <w:r>
        <w:rPr>
          <w:rFonts w:hint="eastAsia" w:ascii="Times New Roman" w:hAnsi="Times New Roman" w:eastAsia="黑体" w:cs="Times New Roman"/>
          <w:color w:val="auto"/>
          <w:sz w:val="21"/>
          <w:szCs w:val="21"/>
          <w:lang w:val="en-US" w:eastAsia="zh-CN"/>
        </w:rPr>
        <w:t>土壤污染影响型评价工作等级划分表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787"/>
        <w:gridCol w:w="787"/>
        <w:gridCol w:w="846"/>
        <w:gridCol w:w="787"/>
        <w:gridCol w:w="787"/>
        <w:gridCol w:w="789"/>
        <w:gridCol w:w="786"/>
        <w:gridCol w:w="787"/>
        <w:gridCol w:w="785"/>
      </w:tblGrid>
      <w:tr w14:paraId="4030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50" w:type="pct"/>
            <w:vMerge w:val="restart"/>
            <w:shd w:val="clear" w:color="auto" w:fill="auto"/>
            <w:vAlign w:val="center"/>
          </w:tcPr>
          <w:p w14:paraId="430DE18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mc:AlternateContent>
                <mc:Choice Requires="wps">
                  <w:drawing>
                    <wp:anchor distT="0" distB="0" distL="114300" distR="114300" simplePos="0" relativeHeight="251664384" behindDoc="0" locked="0" layoutInCell="1" allowOverlap="1">
                      <wp:simplePos x="0" y="0"/>
                      <wp:positionH relativeFrom="column">
                        <wp:posOffset>575945</wp:posOffset>
                      </wp:positionH>
                      <wp:positionV relativeFrom="paragraph">
                        <wp:posOffset>6985</wp:posOffset>
                      </wp:positionV>
                      <wp:extent cx="863600" cy="586105"/>
                      <wp:effectExtent l="3810" t="5080" r="8890" b="18415"/>
                      <wp:wrapNone/>
                      <wp:docPr id="158" name="直接连接符 5"/>
                      <wp:cNvGraphicFramePr/>
                      <a:graphic xmlns:a="http://schemas.openxmlformats.org/drawingml/2006/main">
                        <a:graphicData uri="http://schemas.microsoft.com/office/word/2010/wordprocessingShape">
                          <wps:wsp>
                            <wps:cNvCnPr/>
                            <wps:spPr>
                              <a:xfrm>
                                <a:off x="0" y="0"/>
                                <a:ext cx="863600" cy="5861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 o:spid="_x0000_s1026" o:spt="20" style="position:absolute;left:0pt;margin-left:45.35pt;margin-top:0.55pt;height:46.15pt;width:68pt;z-index:251664384;mso-width-relative:page;mso-height-relative:page;" filled="f" stroked="t" coordsize="21600,21600" o:gfxdata="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AR2dbVAAAA&#10;BwEAAA8AAAAAAAAAAQAgAAAAIgAAAGRycy9kb3ducmV2LnhtbFBLAQIUABQAAAAIAIdO4kBSEuPu&#10;5wEAALgDAAAOAAAAAAAAAAEAIAAAACQBAABkcnMvZTJvRG9jLnhtbFBLBQYAAAAABgAGAFkBAAB9&#10;BQAAAAA=&#10;">
                      <v:fill on="f" focussize="0,0"/>
                      <v:stroke weight="1pt" color="#000000 [3213]" miterlimit="8" joinstyle="miter"/>
                      <v:imagedata o:title=""/>
                      <o:lock v:ext="edit" aspectratio="f"/>
                    </v:line>
                  </w:pict>
                </mc:Fallback>
              </mc:AlternateContent>
            </w:r>
            <w:r>
              <w:rPr>
                <w:rFonts w:hint="eastAsia" w:ascii="Times New Roman" w:hAnsi="Times New Roman" w:eastAsia="宋体" w:cs="Courier New"/>
                <w:b/>
                <w:bCs/>
                <w:color w:val="auto"/>
                <w:highlight w:val="none"/>
                <w:lang w:val="en-US" w:eastAsia="zh-CN"/>
              </w:rPr>
              <w:t xml:space="preserve">           占地规模</w:t>
            </w:r>
          </w:p>
          <w:p w14:paraId="113525E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评价工作等级</w:t>
            </w:r>
          </w:p>
          <w:p w14:paraId="4836E732">
            <w:pPr>
              <w:pStyle w:val="24"/>
              <w:bidi w:val="0"/>
              <w:jc w:val="both"/>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敏感程度</w:t>
            </w:r>
          </w:p>
        </w:tc>
        <w:tc>
          <w:tcPr>
            <w:tcW w:w="1251" w:type="pct"/>
            <w:gridSpan w:val="3"/>
            <w:vAlign w:val="center"/>
          </w:tcPr>
          <w:p w14:paraId="5CC99B5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I类</w:t>
            </w:r>
          </w:p>
        </w:tc>
        <w:tc>
          <w:tcPr>
            <w:tcW w:w="1252" w:type="pct"/>
            <w:gridSpan w:val="3"/>
            <w:vAlign w:val="center"/>
          </w:tcPr>
          <w:p w14:paraId="3DD5FC8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II类</w:t>
            </w:r>
          </w:p>
        </w:tc>
        <w:tc>
          <w:tcPr>
            <w:tcW w:w="1247" w:type="pct"/>
            <w:gridSpan w:val="3"/>
            <w:vAlign w:val="center"/>
          </w:tcPr>
          <w:p w14:paraId="63B0124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III类</w:t>
            </w:r>
          </w:p>
        </w:tc>
      </w:tr>
      <w:tr w14:paraId="1DBF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50" w:type="pct"/>
            <w:vMerge w:val="continue"/>
            <w:shd w:val="clear" w:color="auto" w:fill="auto"/>
            <w:vAlign w:val="center"/>
          </w:tcPr>
          <w:p w14:paraId="046BAC30">
            <w:pPr>
              <w:pStyle w:val="24"/>
              <w:bidi w:val="0"/>
              <w:rPr>
                <w:rFonts w:hint="eastAsia" w:ascii="Times New Roman" w:hAnsi="Times New Roman" w:eastAsia="宋体" w:cs="Courier New"/>
                <w:b/>
                <w:bCs/>
                <w:color w:val="auto"/>
                <w:highlight w:val="none"/>
                <w:lang w:val="en-US" w:eastAsia="zh-CN"/>
              </w:rPr>
            </w:pPr>
          </w:p>
        </w:tc>
        <w:tc>
          <w:tcPr>
            <w:tcW w:w="417" w:type="pct"/>
            <w:vAlign w:val="center"/>
          </w:tcPr>
          <w:p w14:paraId="09AF653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大</w:t>
            </w:r>
          </w:p>
        </w:tc>
        <w:tc>
          <w:tcPr>
            <w:tcW w:w="417" w:type="pct"/>
            <w:vAlign w:val="center"/>
          </w:tcPr>
          <w:p w14:paraId="45225D8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中</w:t>
            </w:r>
          </w:p>
        </w:tc>
        <w:tc>
          <w:tcPr>
            <w:tcW w:w="417" w:type="pct"/>
            <w:vAlign w:val="center"/>
          </w:tcPr>
          <w:p w14:paraId="591E5C8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小</w:t>
            </w:r>
          </w:p>
        </w:tc>
        <w:tc>
          <w:tcPr>
            <w:tcW w:w="417" w:type="pct"/>
            <w:vAlign w:val="center"/>
          </w:tcPr>
          <w:p w14:paraId="37FC44B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大</w:t>
            </w:r>
          </w:p>
        </w:tc>
        <w:tc>
          <w:tcPr>
            <w:tcW w:w="417" w:type="pct"/>
            <w:vAlign w:val="center"/>
          </w:tcPr>
          <w:p w14:paraId="7B1E0B9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中</w:t>
            </w:r>
          </w:p>
        </w:tc>
        <w:tc>
          <w:tcPr>
            <w:tcW w:w="418" w:type="pct"/>
            <w:vAlign w:val="center"/>
          </w:tcPr>
          <w:p w14:paraId="31CD3BC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小</w:t>
            </w:r>
          </w:p>
        </w:tc>
        <w:tc>
          <w:tcPr>
            <w:tcW w:w="416" w:type="pct"/>
            <w:vAlign w:val="center"/>
          </w:tcPr>
          <w:p w14:paraId="3BE63D7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大</w:t>
            </w:r>
          </w:p>
        </w:tc>
        <w:tc>
          <w:tcPr>
            <w:tcW w:w="416" w:type="pct"/>
            <w:vAlign w:val="center"/>
          </w:tcPr>
          <w:p w14:paraId="3B579A7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中</w:t>
            </w:r>
          </w:p>
        </w:tc>
        <w:tc>
          <w:tcPr>
            <w:tcW w:w="415" w:type="pct"/>
            <w:vAlign w:val="center"/>
          </w:tcPr>
          <w:p w14:paraId="584CB62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小</w:t>
            </w:r>
          </w:p>
        </w:tc>
      </w:tr>
      <w:tr w14:paraId="5FDA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63ECED1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敏感</w:t>
            </w:r>
          </w:p>
        </w:tc>
        <w:tc>
          <w:tcPr>
            <w:tcW w:w="417" w:type="pct"/>
            <w:shd w:val="clear" w:color="auto" w:fill="auto"/>
            <w:vAlign w:val="center"/>
          </w:tcPr>
          <w:p w14:paraId="3DE2EAA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417" w:type="pct"/>
            <w:shd w:val="clear" w:color="auto" w:fill="auto"/>
            <w:vAlign w:val="center"/>
          </w:tcPr>
          <w:p w14:paraId="3C8E7BD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417" w:type="pct"/>
            <w:vAlign w:val="center"/>
          </w:tcPr>
          <w:p w14:paraId="307F2C6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r>
              <w:rPr>
                <w:rFonts w:hint="eastAsia" w:cs="Courier New"/>
                <w:b w:val="0"/>
                <w:bCs w:val="0"/>
                <w:color w:val="auto"/>
                <w:highlight w:val="none"/>
                <w:lang w:val="en-US" w:eastAsia="zh-CN"/>
              </w:rPr>
              <w:t>（√）</w:t>
            </w:r>
          </w:p>
        </w:tc>
        <w:tc>
          <w:tcPr>
            <w:tcW w:w="417" w:type="pct"/>
            <w:vAlign w:val="center"/>
          </w:tcPr>
          <w:p w14:paraId="7AC97DB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7" w:type="pct"/>
            <w:vAlign w:val="center"/>
          </w:tcPr>
          <w:p w14:paraId="02ABBA7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8" w:type="pct"/>
            <w:vAlign w:val="center"/>
          </w:tcPr>
          <w:p w14:paraId="2DBCE94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6" w:type="pct"/>
            <w:vAlign w:val="center"/>
          </w:tcPr>
          <w:p w14:paraId="12EB2E1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6" w:type="pct"/>
            <w:vAlign w:val="center"/>
          </w:tcPr>
          <w:p w14:paraId="673C849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5" w:type="pct"/>
            <w:vAlign w:val="center"/>
          </w:tcPr>
          <w:p w14:paraId="0D2A858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r>
      <w:tr w14:paraId="304C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619B41A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较敏感</w:t>
            </w:r>
          </w:p>
        </w:tc>
        <w:tc>
          <w:tcPr>
            <w:tcW w:w="417" w:type="pct"/>
            <w:shd w:val="clear" w:color="auto" w:fill="auto"/>
            <w:vAlign w:val="center"/>
          </w:tcPr>
          <w:p w14:paraId="01D099A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417" w:type="pct"/>
            <w:shd w:val="clear" w:color="auto" w:fill="auto"/>
            <w:vAlign w:val="center"/>
          </w:tcPr>
          <w:p w14:paraId="7F23F02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417" w:type="pct"/>
            <w:shd w:val="clear" w:color="auto" w:fill="auto"/>
            <w:vAlign w:val="center"/>
          </w:tcPr>
          <w:p w14:paraId="4229244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7" w:type="pct"/>
            <w:shd w:val="clear" w:color="auto" w:fill="auto"/>
            <w:vAlign w:val="center"/>
          </w:tcPr>
          <w:p w14:paraId="78E28D5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7" w:type="pct"/>
            <w:shd w:val="clear" w:color="auto" w:fill="auto"/>
            <w:vAlign w:val="center"/>
          </w:tcPr>
          <w:p w14:paraId="7CC1EEE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8" w:type="pct"/>
            <w:shd w:val="clear" w:color="auto" w:fill="auto"/>
            <w:vAlign w:val="center"/>
          </w:tcPr>
          <w:p w14:paraId="6756A2C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6" w:type="pct"/>
            <w:shd w:val="clear" w:color="auto" w:fill="auto"/>
            <w:vAlign w:val="center"/>
          </w:tcPr>
          <w:p w14:paraId="38C189D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6" w:type="pct"/>
            <w:shd w:val="clear" w:color="auto" w:fill="auto"/>
            <w:vAlign w:val="center"/>
          </w:tcPr>
          <w:p w14:paraId="710DCB5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5" w:type="pct"/>
            <w:shd w:val="clear" w:color="auto" w:fill="auto"/>
            <w:vAlign w:val="center"/>
          </w:tcPr>
          <w:p w14:paraId="66C6999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4DD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5A66AD2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不敏感</w:t>
            </w:r>
          </w:p>
        </w:tc>
        <w:tc>
          <w:tcPr>
            <w:tcW w:w="417" w:type="pct"/>
            <w:shd w:val="clear" w:color="auto" w:fill="auto"/>
            <w:vAlign w:val="center"/>
          </w:tcPr>
          <w:p w14:paraId="3A0A0B5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417" w:type="pct"/>
            <w:shd w:val="clear" w:color="auto" w:fill="auto"/>
            <w:vAlign w:val="center"/>
          </w:tcPr>
          <w:p w14:paraId="7541E0C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7" w:type="pct"/>
            <w:shd w:val="clear" w:color="auto" w:fill="auto"/>
            <w:vAlign w:val="center"/>
          </w:tcPr>
          <w:p w14:paraId="3D9B983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7" w:type="pct"/>
            <w:shd w:val="clear" w:color="auto" w:fill="auto"/>
            <w:vAlign w:val="center"/>
          </w:tcPr>
          <w:p w14:paraId="21F053C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417" w:type="pct"/>
            <w:shd w:val="clear" w:color="auto" w:fill="auto"/>
            <w:vAlign w:val="center"/>
          </w:tcPr>
          <w:p w14:paraId="7935459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8" w:type="pct"/>
            <w:shd w:val="clear" w:color="auto" w:fill="auto"/>
            <w:vAlign w:val="center"/>
          </w:tcPr>
          <w:p w14:paraId="527AD20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6" w:type="pct"/>
            <w:shd w:val="clear" w:color="auto" w:fill="auto"/>
            <w:vAlign w:val="center"/>
          </w:tcPr>
          <w:p w14:paraId="57A08FC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416" w:type="pct"/>
            <w:shd w:val="clear" w:color="auto" w:fill="auto"/>
            <w:vAlign w:val="center"/>
          </w:tcPr>
          <w:p w14:paraId="61BAA42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15" w:type="pct"/>
            <w:shd w:val="clear" w:color="auto" w:fill="auto"/>
            <w:vAlign w:val="center"/>
          </w:tcPr>
          <w:p w14:paraId="6ED3EF9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327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shd w:val="clear" w:color="auto" w:fill="auto"/>
            <w:vAlign w:val="center"/>
          </w:tcPr>
          <w:p w14:paraId="7D471B61">
            <w:pPr>
              <w:pStyle w:val="24"/>
              <w:bidi w:val="0"/>
              <w:jc w:val="both"/>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注：</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表示可不开展土壤环境影响评价工作。</w:t>
            </w:r>
          </w:p>
        </w:tc>
      </w:tr>
    </w:tbl>
    <w:p w14:paraId="04E13F3C">
      <w:pPr>
        <w:spacing w:line="360" w:lineRule="auto"/>
        <w:ind w:left="0" w:leftChars="0" w:firstLine="480" w:firstLineChars="200"/>
        <w:rPr>
          <w:rFonts w:cs="宋体"/>
          <w:color w:val="auto"/>
          <w:sz w:val="24"/>
          <w:szCs w:val="24"/>
        </w:rPr>
      </w:pPr>
      <w:r>
        <w:rPr>
          <w:rFonts w:cstheme="minorHAnsi"/>
          <w:color w:val="auto"/>
          <w:sz w:val="24"/>
          <w:szCs w:val="24"/>
        </w:rPr>
        <w:t>根据</w:t>
      </w:r>
      <w:r>
        <w:rPr>
          <w:rFonts w:cstheme="minorHAnsi"/>
          <w:bCs/>
          <w:color w:val="auto"/>
          <w:sz w:val="24"/>
          <w:szCs w:val="24"/>
        </w:rPr>
        <w:t>《环境影响评价技术导则 土壤环境（试行）》（HJ964-2018）</w:t>
      </w:r>
      <w:r>
        <w:rPr>
          <w:rFonts w:cstheme="minorHAnsi"/>
          <w:color w:val="auto"/>
          <w:sz w:val="24"/>
          <w:szCs w:val="24"/>
        </w:rPr>
        <w:t>中评价工作等级划分依据，</w:t>
      </w:r>
      <w:r>
        <w:rPr>
          <w:rFonts w:cstheme="minorHAnsi"/>
          <w:b/>
          <w:color w:val="auto"/>
          <w:sz w:val="24"/>
          <w:szCs w:val="24"/>
        </w:rPr>
        <w:t>本项目土壤环境影响评价等级为</w:t>
      </w:r>
      <w:r>
        <w:rPr>
          <w:rFonts w:hint="eastAsia" w:cstheme="minorHAnsi"/>
          <w:b/>
          <w:color w:val="auto"/>
          <w:sz w:val="24"/>
          <w:szCs w:val="24"/>
        </w:rPr>
        <w:t>一</w:t>
      </w:r>
      <w:r>
        <w:rPr>
          <w:rFonts w:cstheme="minorHAnsi"/>
          <w:b/>
          <w:color w:val="auto"/>
          <w:sz w:val="24"/>
          <w:szCs w:val="24"/>
        </w:rPr>
        <w:t>级。</w:t>
      </w:r>
    </w:p>
    <w:p w14:paraId="4DC1183A">
      <w:pPr>
        <w:pStyle w:val="29"/>
        <w:ind w:left="0" w:leftChars="0" w:firstLine="482" w:firstLineChars="200"/>
        <w:rPr>
          <w:color w:val="auto"/>
        </w:rPr>
      </w:pPr>
      <w:r>
        <w:rPr>
          <w:color w:val="auto"/>
        </w:rPr>
        <w:t>6</w:t>
      </w:r>
      <w:r>
        <w:rPr>
          <w:rFonts w:hint="eastAsia"/>
          <w:color w:val="auto"/>
        </w:rPr>
        <w:t>、生态环境</w:t>
      </w:r>
    </w:p>
    <w:p w14:paraId="0BCC15AD">
      <w:pPr>
        <w:snapToGrid w:val="0"/>
        <w:spacing w:line="360" w:lineRule="auto"/>
        <w:ind w:left="0" w:leftChars="0" w:firstLine="480" w:firstLineChars="200"/>
        <w:rPr>
          <w:rFonts w:cstheme="minorHAnsi"/>
          <w:color w:val="auto"/>
          <w:sz w:val="24"/>
        </w:rPr>
      </w:pPr>
      <w:r>
        <w:rPr>
          <w:rFonts w:cstheme="minorHAnsi"/>
          <w:color w:val="auto"/>
          <w:sz w:val="24"/>
          <w:szCs w:val="24"/>
        </w:rPr>
        <w:t>根据</w:t>
      </w:r>
      <w:r>
        <w:rPr>
          <w:rFonts w:hint="eastAsia" w:cstheme="minorHAnsi"/>
          <w:color w:val="auto"/>
          <w:sz w:val="24"/>
          <w:szCs w:val="24"/>
          <w:lang w:eastAsia="zh-CN"/>
        </w:rPr>
        <w:t>《环境影响评价技术导则 生态影响》（HJ19-2022）</w:t>
      </w:r>
      <w:r>
        <w:rPr>
          <w:rFonts w:cstheme="minorHAnsi"/>
          <w:color w:val="auto"/>
          <w:sz w:val="24"/>
          <w:szCs w:val="24"/>
        </w:rPr>
        <w:t>中评价工作等级划分依据</w:t>
      </w:r>
      <w:r>
        <w:rPr>
          <w:rFonts w:hint="eastAsia" w:cstheme="minorHAnsi"/>
          <w:color w:val="auto"/>
          <w:sz w:val="24"/>
          <w:szCs w:val="24"/>
          <w:lang w:eastAsia="zh-CN"/>
        </w:rPr>
        <w:t>“</w:t>
      </w:r>
      <w:r>
        <w:rPr>
          <w:rFonts w:hint="eastAsia" w:cstheme="minorHAnsi"/>
          <w:i/>
          <w:iCs/>
          <w:color w:val="auto"/>
          <w:sz w:val="24"/>
          <w:szCs w:val="24"/>
          <w:lang w:val="en-US" w:eastAsia="zh-CN"/>
        </w:rPr>
        <w:t>位于已批准规划环评的产业园区内且符合规划环评要求、不涉及生态敏感区的污染影响类建设项目，可不确定评价等级，直接进行生态影响简单分析。</w:t>
      </w:r>
      <w:r>
        <w:rPr>
          <w:rFonts w:hint="eastAsia" w:cstheme="minorHAnsi"/>
          <w:color w:val="auto"/>
          <w:sz w:val="24"/>
          <w:szCs w:val="24"/>
          <w:lang w:eastAsia="zh-CN"/>
        </w:rPr>
        <w:t>”</w:t>
      </w:r>
      <w:r>
        <w:rPr>
          <w:rFonts w:cstheme="minorHAnsi"/>
          <w:color w:val="auto"/>
          <w:sz w:val="24"/>
          <w:szCs w:val="24"/>
        </w:rPr>
        <w:t>，</w:t>
      </w:r>
      <w:r>
        <w:rPr>
          <w:rFonts w:hint="eastAsia" w:cstheme="minorHAnsi"/>
          <w:color w:val="auto"/>
          <w:sz w:val="24"/>
          <w:szCs w:val="24"/>
          <w:lang w:val="en-US" w:eastAsia="zh-CN"/>
        </w:rPr>
        <w:t>本项目位于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lang w:val="en-US" w:eastAsia="zh-CN"/>
        </w:rPr>
        <w:t>，园区已取得</w:t>
      </w:r>
      <w:r>
        <w:rPr>
          <w:rFonts w:hint="eastAsia"/>
          <w:color w:val="auto"/>
          <w:sz w:val="24"/>
          <w:szCs w:val="24"/>
          <w:lang w:val="en-US" w:eastAsia="zh-CN"/>
        </w:rPr>
        <w:t>规划环评审查意见，且本项目不涉及</w:t>
      </w:r>
      <w:r>
        <w:rPr>
          <w:rFonts w:hint="eastAsia" w:cstheme="minorHAnsi"/>
          <w:color w:val="auto"/>
          <w:sz w:val="24"/>
          <w:szCs w:val="24"/>
          <w:lang w:val="en-US" w:eastAsia="zh-CN"/>
        </w:rPr>
        <w:t>生态敏感区，因此，</w:t>
      </w:r>
      <w:r>
        <w:rPr>
          <w:rFonts w:cstheme="minorHAnsi"/>
          <w:b/>
          <w:color w:val="auto"/>
          <w:sz w:val="24"/>
          <w:szCs w:val="24"/>
        </w:rPr>
        <w:t>本项目</w:t>
      </w:r>
      <w:r>
        <w:rPr>
          <w:rFonts w:hint="eastAsia" w:cstheme="minorHAnsi"/>
          <w:b/>
          <w:color w:val="auto"/>
          <w:sz w:val="24"/>
          <w:szCs w:val="24"/>
          <w:lang w:val="en-US" w:eastAsia="zh-CN"/>
        </w:rPr>
        <w:t>进行生态影响简单分析</w:t>
      </w:r>
      <w:r>
        <w:rPr>
          <w:rFonts w:cstheme="minorHAnsi"/>
          <w:b/>
          <w:bCs/>
          <w:color w:val="auto"/>
          <w:sz w:val="24"/>
        </w:rPr>
        <w:t>。</w:t>
      </w:r>
    </w:p>
    <w:p w14:paraId="64D4BE05">
      <w:pPr>
        <w:pStyle w:val="29"/>
        <w:ind w:left="0" w:leftChars="0" w:firstLine="482" w:firstLineChars="200"/>
        <w:rPr>
          <w:color w:val="auto"/>
        </w:rPr>
      </w:pPr>
      <w:r>
        <w:rPr>
          <w:color w:val="auto"/>
        </w:rPr>
        <w:t>7</w:t>
      </w:r>
      <w:r>
        <w:rPr>
          <w:rFonts w:hint="eastAsia"/>
          <w:color w:val="auto"/>
        </w:rPr>
        <w:t>、环境</w:t>
      </w:r>
      <w:r>
        <w:rPr>
          <w:color w:val="auto"/>
        </w:rPr>
        <w:t>风险</w:t>
      </w:r>
    </w:p>
    <w:p w14:paraId="3657956A">
      <w:pPr>
        <w:spacing w:line="360" w:lineRule="auto"/>
        <w:ind w:left="0" w:leftChars="0" w:firstLine="480" w:firstLineChars="200"/>
        <w:rPr>
          <w:rFonts w:ascii="Times New Roman" w:hAnsi="Times New Roman" w:cs="宋体"/>
          <w:color w:val="auto"/>
          <w:sz w:val="24"/>
          <w:szCs w:val="24"/>
        </w:rPr>
      </w:pPr>
      <w:r>
        <w:rPr>
          <w:rFonts w:ascii="Times New Roman" w:hAnsi="Times New Roman"/>
          <w:color w:val="auto"/>
          <w:sz w:val="24"/>
          <w:szCs w:val="24"/>
        </w:rPr>
        <w:t>根据建设项目涉及的物质及工艺系统危险性和所在地的环境敏感性确定环境风险潜势</w:t>
      </w:r>
      <w:r>
        <w:rPr>
          <w:rFonts w:hint="eastAsia" w:ascii="Times New Roman" w:hAnsi="Times New Roman" w:cs="宋体"/>
          <w:color w:val="auto"/>
          <w:sz w:val="24"/>
          <w:szCs w:val="24"/>
        </w:rPr>
        <w:t>，按照</w:t>
      </w:r>
      <w:r>
        <w:rPr>
          <w:rFonts w:hint="eastAsia" w:ascii="Times New Roman" w:hAnsi="Times New Roman"/>
          <w:color w:val="auto"/>
          <w:sz w:val="24"/>
          <w:szCs w:val="24"/>
        </w:rPr>
        <w:t>《建设项目环境风险评价技术导则》（HJ169-2018）中评价工作</w:t>
      </w:r>
      <w:r>
        <w:rPr>
          <w:rFonts w:ascii="Times New Roman" w:hAnsi="Times New Roman"/>
          <w:color w:val="auto"/>
          <w:sz w:val="24"/>
          <w:szCs w:val="24"/>
        </w:rPr>
        <w:t>级别划分依据</w:t>
      </w:r>
      <w:r>
        <w:rPr>
          <w:rFonts w:hint="eastAsia" w:ascii="Times New Roman" w:hAnsi="Times New Roman" w:cs="宋体"/>
          <w:color w:val="auto"/>
          <w:sz w:val="24"/>
          <w:szCs w:val="24"/>
        </w:rPr>
        <w:t>来确定环境风险评价等级。</w:t>
      </w:r>
    </w:p>
    <w:p w14:paraId="10558A80">
      <w:pPr>
        <w:spacing w:line="360" w:lineRule="auto"/>
        <w:ind w:left="0" w:leftChars="0" w:firstLine="482" w:firstLineChars="200"/>
        <w:rPr>
          <w:rFonts w:cstheme="minorHAnsi"/>
          <w:b/>
          <w:color w:val="auto"/>
          <w:sz w:val="24"/>
          <w:szCs w:val="24"/>
        </w:rPr>
      </w:pPr>
      <w:r>
        <w:rPr>
          <w:rFonts w:cstheme="minorHAnsi"/>
          <w:b/>
          <w:color w:val="auto"/>
          <w:sz w:val="24"/>
          <w:szCs w:val="24"/>
        </w:rPr>
        <w:t>（1）风险调查</w:t>
      </w:r>
    </w:p>
    <w:p w14:paraId="76E6218B">
      <w:pPr>
        <w:spacing w:line="360" w:lineRule="auto"/>
        <w:ind w:left="0" w:leftChars="0" w:firstLine="480" w:firstLineChars="200"/>
        <w:rPr>
          <w:rFonts w:cstheme="minorHAnsi"/>
          <w:color w:val="auto"/>
          <w:sz w:val="24"/>
          <w:szCs w:val="24"/>
        </w:rPr>
      </w:pPr>
      <w:r>
        <w:rPr>
          <w:rFonts w:cstheme="minorHAnsi"/>
          <w:color w:val="auto"/>
          <w:sz w:val="24"/>
          <w:szCs w:val="24"/>
        </w:rPr>
        <w:t>根据调查，本项目主要危险物质储存情况</w:t>
      </w:r>
      <w:r>
        <w:rPr>
          <w:rFonts w:hint="eastAsia" w:cstheme="minorHAnsi"/>
          <w:color w:val="auto"/>
          <w:sz w:val="24"/>
          <w:szCs w:val="24"/>
          <w:lang w:val="en-US" w:eastAsia="zh-CN"/>
        </w:rPr>
        <w:t>及危险特性</w:t>
      </w:r>
      <w:r>
        <w:rPr>
          <w:rFonts w:cstheme="minorHAnsi"/>
          <w:color w:val="auto"/>
          <w:sz w:val="24"/>
          <w:szCs w:val="24"/>
        </w:rPr>
        <w:t>见</w:t>
      </w:r>
      <w:r>
        <w:rPr>
          <w:rFonts w:hint="eastAsia"/>
          <w:color w:val="auto"/>
          <w:highlight w:val="none"/>
          <w:lang w:val="en-US" w:eastAsia="zh-CN"/>
        </w:rPr>
        <w:t>下表</w:t>
      </w:r>
      <w:r>
        <w:rPr>
          <w:rFonts w:cstheme="minorHAnsi"/>
          <w:color w:val="auto"/>
          <w:sz w:val="24"/>
          <w:szCs w:val="24"/>
        </w:rPr>
        <w:t>。</w:t>
      </w:r>
    </w:p>
    <w:p w14:paraId="32CE24A2">
      <w:pPr>
        <w:pStyle w:val="26"/>
        <w:bidi w:val="0"/>
        <w:rPr>
          <w:rFonts w:hint="default"/>
          <w:color w:val="auto"/>
          <w:highlight w:val="none"/>
          <w:lang w:val="en-US" w:eastAsia="zh-CN"/>
        </w:rPr>
      </w:pPr>
      <w:r>
        <w:rPr>
          <w:rFonts w:hint="eastAsia"/>
          <w:color w:val="auto"/>
          <w:highlight w:val="none"/>
          <w:lang w:val="en-US" w:eastAsia="zh-CN"/>
        </w:rPr>
        <w:t>略。</w:t>
      </w:r>
    </w:p>
    <w:p w14:paraId="08B66972">
      <w:pPr>
        <w:spacing w:line="360" w:lineRule="auto"/>
        <w:ind w:left="0" w:leftChars="0" w:firstLine="482" w:firstLineChars="200"/>
        <w:rPr>
          <w:rFonts w:cstheme="minorHAnsi"/>
          <w:b/>
          <w:color w:val="auto"/>
          <w:sz w:val="24"/>
          <w:szCs w:val="24"/>
        </w:rPr>
      </w:pPr>
      <w:r>
        <w:rPr>
          <w:rFonts w:cstheme="minorHAnsi"/>
          <w:b/>
          <w:color w:val="auto"/>
          <w:sz w:val="24"/>
          <w:szCs w:val="24"/>
        </w:rPr>
        <w:t>（2）风险潜势初判</w:t>
      </w:r>
    </w:p>
    <w:p w14:paraId="2304CCC6">
      <w:pPr>
        <w:spacing w:line="360" w:lineRule="auto"/>
        <w:ind w:left="0" w:leftChars="0" w:firstLine="480" w:firstLineChars="200"/>
        <w:rPr>
          <w:rFonts w:cstheme="minorHAnsi"/>
          <w:color w:val="auto"/>
          <w:sz w:val="24"/>
        </w:rPr>
      </w:pPr>
      <w:r>
        <w:rPr>
          <w:rFonts w:cstheme="minorHAnsi"/>
          <w:color w:val="auto"/>
          <w:sz w:val="24"/>
        </w:rPr>
        <w:t>建设项目环境风险潜势划分为I、II、III、IV/IV+级，根据建设项目涉及的物质及工艺系统危险性和所在地的环境敏感性确定环境风险潜势，结合事故情形下环境影响途径，按照《建设项目环境风险评价技术导则》（HJ169-2018）表2进行确定。</w:t>
      </w:r>
    </w:p>
    <w:p w14:paraId="130224ED">
      <w:pPr>
        <w:spacing w:line="360" w:lineRule="auto"/>
        <w:ind w:left="0" w:leftChars="0" w:firstLine="482" w:firstLineChars="200"/>
        <w:rPr>
          <w:rFonts w:ascii="Times New Roman" w:hAnsi="Times New Roman" w:cs="Times New Roman"/>
          <w:b/>
          <w:color w:val="auto"/>
          <w:sz w:val="24"/>
        </w:rPr>
      </w:pPr>
      <w:r>
        <w:rPr>
          <w:rFonts w:hint="eastAsia" w:cstheme="minorHAnsi"/>
          <w:b/>
          <w:bCs/>
          <w:color w:val="auto"/>
          <w:sz w:val="24"/>
          <w:lang w:val="en-US" w:eastAsia="zh-CN"/>
        </w:rPr>
        <w:t>1）</w:t>
      </w:r>
      <w:r>
        <w:rPr>
          <w:rFonts w:ascii="Times New Roman" w:hAnsi="Times New Roman" w:cs="Times New Roman"/>
          <w:b/>
          <w:color w:val="auto"/>
          <w:sz w:val="24"/>
        </w:rPr>
        <w:t>P的分级确定</w:t>
      </w:r>
    </w:p>
    <w:p w14:paraId="2709339A">
      <w:pPr>
        <w:pStyle w:val="26"/>
        <w:bidi w:val="0"/>
        <w:rPr>
          <w:rFonts w:hint="default" w:ascii="Times New Roman" w:hAnsi="Times New Roman" w:cs="Times New Roman"/>
          <w:color w:val="auto"/>
          <w:highlight w:val="none"/>
        </w:rPr>
      </w:pPr>
      <w:r>
        <w:rPr>
          <w:rFonts w:ascii="Times New Roman" w:hAnsi="Times New Roman" w:eastAsia="宋体" w:cstheme="minorHAnsi"/>
          <w:color w:val="auto"/>
          <w:sz w:val="24"/>
        </w:rPr>
        <w:t>根据</w:t>
      </w:r>
      <w:r>
        <w:rPr>
          <w:rFonts w:hint="eastAsia" w:cstheme="minorHAnsi"/>
          <w:color w:val="auto"/>
          <w:sz w:val="24"/>
          <w:lang w:val="en-US" w:eastAsia="zh-CN"/>
        </w:rPr>
        <w:t>6.3.2</w:t>
      </w:r>
      <w:r>
        <w:rPr>
          <w:rFonts w:hint="eastAsia"/>
          <w:color w:val="auto"/>
          <w:highlight w:val="none"/>
          <w:lang w:val="en-US" w:eastAsia="zh-CN"/>
        </w:rPr>
        <w:t>判定结果，</w:t>
      </w:r>
      <w:r>
        <w:rPr>
          <w:rFonts w:ascii="Times New Roman" w:hAnsi="Times New Roman" w:eastAsia="宋体" w:cstheme="minorHAnsi"/>
          <w:color w:val="auto"/>
          <w:sz w:val="24"/>
        </w:rPr>
        <w:t>本项目危险物质数量与临界量比值</w:t>
      </w:r>
      <w:r>
        <w:rPr>
          <w:rFonts w:hint="eastAsia" w:ascii="Times New Roman" w:hAnsi="Times New Roman" w:eastAsia="宋体" w:cstheme="minorHAnsi"/>
          <w:color w:val="auto"/>
          <w:sz w:val="24"/>
          <w:lang w:val="en-US" w:eastAsia="zh-CN"/>
        </w:rPr>
        <w:t>Q值</w:t>
      </w:r>
      <w:r>
        <w:rPr>
          <w:rFonts w:hint="default" w:ascii="Times New Roman" w:hAnsi="Times New Roman" w:eastAsia="宋体" w:cstheme="minorHAnsi"/>
          <w:color w:val="auto"/>
          <w:sz w:val="24"/>
          <w:lang w:val="en-US" w:eastAsia="zh-CN"/>
        </w:rPr>
        <w:t>为17.98，</w:t>
      </w:r>
      <w:r>
        <w:rPr>
          <w:rFonts w:hint="default" w:ascii="Times New Roman" w:hAnsi="Times New Roman" w:eastAsia="宋体" w:cstheme="minorHAnsi"/>
          <w:color w:val="auto"/>
          <w:sz w:val="24"/>
        </w:rPr>
        <w:t>10≤Q&lt;100</w:t>
      </w:r>
      <w:r>
        <w:rPr>
          <w:rFonts w:hint="eastAsia" w:cstheme="minorHAnsi"/>
          <w:color w:val="auto"/>
          <w:sz w:val="24"/>
          <w:lang w:eastAsia="zh-CN"/>
        </w:rPr>
        <w:t>。</w:t>
      </w:r>
      <w:r>
        <w:rPr>
          <w:rFonts w:hint="default" w:ascii="Times New Roman" w:hAnsi="Times New Roman" w:cs="Times New Roman"/>
          <w:color w:val="auto"/>
          <w:highlight w:val="none"/>
          <w:lang w:val="en-US" w:eastAsia="zh-CN"/>
        </w:rPr>
        <w:t>项目属于化工项目，聚羧酸减水剂母液</w:t>
      </w:r>
      <w:r>
        <w:rPr>
          <w:rFonts w:hint="eastAsia" w:cs="Times New Roman"/>
          <w:color w:val="auto"/>
          <w:highlight w:val="none"/>
          <w:lang w:val="en-US" w:eastAsia="zh-CN"/>
        </w:rPr>
        <w:t>生产过程中涉及聚合工艺、无碱速凝剂生产过程中涉及氟化工艺；生产过程为常压，工艺温度最高位120 ℃，不属于高温工艺；</w:t>
      </w:r>
      <w:r>
        <w:rPr>
          <w:rFonts w:hint="default" w:ascii="Times New Roman" w:hAnsi="Times New Roman" w:cs="Times New Roman"/>
          <w:color w:val="auto"/>
          <w:highlight w:val="none"/>
          <w:lang w:val="en-US" w:eastAsia="zh-CN"/>
        </w:rPr>
        <w:t>厂区设3个罐区</w:t>
      </w:r>
      <w:r>
        <w:rPr>
          <w:rFonts w:hint="eastAsia" w:cs="Times New Roman"/>
          <w:color w:val="auto"/>
          <w:highlight w:val="none"/>
          <w:lang w:val="en-US" w:eastAsia="zh-CN"/>
        </w:rPr>
        <w:t>。因此，</w:t>
      </w:r>
      <w:r>
        <w:rPr>
          <w:rFonts w:hint="default" w:ascii="Times New Roman" w:hAnsi="Times New Roman" w:cs="Times New Roman"/>
          <w:color w:val="auto"/>
          <w:highlight w:val="none"/>
        </w:rPr>
        <w:t>行业及生产工艺（M）为</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，属于M</w:t>
      </w:r>
      <w:r>
        <w:rPr>
          <w:rFonts w:hint="eastAsia" w:cs="Times New Roman"/>
          <w:color w:val="auto"/>
          <w:highlight w:val="none"/>
          <w:lang w:val="en-US" w:eastAsia="zh-CN"/>
        </w:rPr>
        <w:t>1</w:t>
      </w:r>
      <w:r>
        <w:rPr>
          <w:rFonts w:hint="default" w:ascii="Times New Roman" w:hAnsi="Times New Roman" w:cs="Times New Roman"/>
          <w:color w:val="auto"/>
          <w:highlight w:val="none"/>
        </w:rPr>
        <w:t>。</w:t>
      </w:r>
    </w:p>
    <w:p w14:paraId="0018DA34">
      <w:pPr>
        <w:pStyle w:val="26"/>
        <w:bidi w:val="0"/>
        <w:rPr>
          <w:rFonts w:ascii="Times New Roman" w:hAnsi="Times New Roman" w:cs="Times New Roman"/>
          <w:color w:val="auto"/>
          <w:sz w:val="24"/>
        </w:rPr>
      </w:pPr>
      <w:r>
        <w:rPr>
          <w:rFonts w:hint="eastAsia" w:ascii="Times New Roman" w:hAnsi="Times New Roman" w:cs="Times New Roman"/>
          <w:color w:val="auto"/>
          <w:highlight w:val="none"/>
          <w:lang w:val="en-US" w:eastAsia="zh-CN"/>
        </w:rPr>
        <w:t>据此</w:t>
      </w:r>
      <w:r>
        <w:rPr>
          <w:rFonts w:hint="default" w:ascii="Times New Roman" w:hAnsi="Times New Roman" w:cs="Times New Roman"/>
          <w:bCs/>
          <w:color w:val="auto"/>
          <w:sz w:val="24"/>
          <w:highlight w:val="none"/>
        </w:rPr>
        <w:t>，本</w:t>
      </w:r>
      <w:r>
        <w:rPr>
          <w:rFonts w:hint="default" w:ascii="Times New Roman" w:hAnsi="Times New Roman" w:cs="Times New Roman"/>
          <w:bCs/>
          <w:color w:val="auto"/>
          <w:sz w:val="24"/>
          <w:szCs w:val="24"/>
          <w:highlight w:val="none"/>
        </w:rPr>
        <w:t>项目危险物质及工艺系统危险性等级为P</w:t>
      </w:r>
      <w:r>
        <w:rPr>
          <w:rFonts w:hint="eastAsia"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w:t>
      </w:r>
    </w:p>
    <w:p w14:paraId="68C4F583">
      <w:pPr>
        <w:spacing w:line="360" w:lineRule="auto"/>
        <w:ind w:left="0" w:leftChars="0" w:firstLine="482" w:firstLineChars="200"/>
        <w:rPr>
          <w:rFonts w:ascii="Times New Roman" w:hAnsi="Times New Roman" w:cs="Times New Roman"/>
          <w:b/>
          <w:color w:val="auto"/>
          <w:sz w:val="24"/>
        </w:rPr>
      </w:pPr>
      <w:r>
        <w:rPr>
          <w:rFonts w:ascii="Times New Roman" w:hAnsi="Times New Roman" w:cs="Times New Roman"/>
          <w:b/>
          <w:color w:val="auto"/>
          <w:sz w:val="24"/>
        </w:rPr>
        <w:t>2）E的分级确定</w:t>
      </w:r>
    </w:p>
    <w:p w14:paraId="30B96DA6">
      <w:pPr>
        <w:spacing w:line="360" w:lineRule="auto"/>
        <w:ind w:left="0" w:leftChars="0" w:firstLine="480" w:firstLineChars="200"/>
        <w:rPr>
          <w:rFonts w:hint="default" w:cs="Times New Roman"/>
          <w:b/>
          <w:bCs/>
          <w:color w:val="auto"/>
          <w:sz w:val="24"/>
          <w:lang w:val="en-US" w:eastAsia="zh-CN"/>
        </w:rPr>
      </w:pPr>
      <w:r>
        <w:rPr>
          <w:rFonts w:hint="eastAsia" w:cs="Times New Roman"/>
          <w:color w:val="auto"/>
          <w:sz w:val="24"/>
          <w:lang w:val="en-US" w:eastAsia="zh-CN"/>
        </w:rPr>
        <w:t>根据6.3.1</w:t>
      </w:r>
      <w:r>
        <w:rPr>
          <w:rFonts w:hint="eastAsia"/>
          <w:color w:val="auto"/>
          <w:highlight w:val="none"/>
          <w:lang w:val="en-US" w:eastAsia="zh-CN"/>
        </w:rPr>
        <w:t>判定结果，本项目环境敏感程度（E）的确定如下：</w:t>
      </w:r>
    </w:p>
    <w:p w14:paraId="7D54DD11">
      <w:pPr>
        <w:spacing w:line="360" w:lineRule="auto"/>
        <w:ind w:left="0" w:leftChars="0" w:firstLine="482" w:firstLineChars="200"/>
        <w:rPr>
          <w:rFonts w:hint="eastAsia"/>
          <w:color w:val="auto"/>
          <w:highlight w:val="none"/>
          <w:lang w:val="en-US" w:eastAsia="zh-CN"/>
        </w:rPr>
      </w:pPr>
      <w:r>
        <w:rPr>
          <w:rFonts w:hint="eastAsia" w:cs="Times New Roman"/>
          <w:b/>
          <w:bCs/>
          <w:color w:val="auto"/>
          <w:sz w:val="24"/>
          <w:lang w:val="en-US" w:eastAsia="zh-CN"/>
        </w:rPr>
        <w:t>大气环境：</w:t>
      </w:r>
      <w:r>
        <w:rPr>
          <w:rFonts w:hint="default"/>
          <w:color w:val="auto"/>
          <w:highlight w:val="none"/>
          <w:lang w:val="en-US" w:eastAsia="zh-CN"/>
        </w:rPr>
        <w:t>本项目周边5km范围内居民区、医疗卫生、文化教育、科研行政办公等机构总人数大于5万人，大气环境敏感程度为环境高度敏感区（E1）</w:t>
      </w:r>
      <w:r>
        <w:rPr>
          <w:rFonts w:hint="eastAsia"/>
          <w:color w:val="auto"/>
          <w:highlight w:val="none"/>
          <w:lang w:val="en-US" w:eastAsia="zh-CN"/>
        </w:rPr>
        <w:t>。</w:t>
      </w:r>
    </w:p>
    <w:p w14:paraId="7638EDDD">
      <w:pPr>
        <w:spacing w:line="360" w:lineRule="auto"/>
        <w:ind w:left="0" w:leftChars="0" w:firstLine="482" w:firstLineChars="200"/>
        <w:rPr>
          <w:rFonts w:hint="default" w:ascii="Times New Roman" w:hAnsi="Times New Roman" w:eastAsia="宋体" w:cs="Times New Roman"/>
          <w:color w:val="auto"/>
          <w:sz w:val="24"/>
          <w:lang w:val="en-US" w:eastAsia="zh-CN"/>
        </w:rPr>
      </w:pPr>
      <w:r>
        <w:rPr>
          <w:rFonts w:hint="eastAsia"/>
          <w:b/>
          <w:bCs/>
          <w:color w:val="auto"/>
          <w:highlight w:val="none"/>
          <w:lang w:val="en-US" w:eastAsia="zh-CN"/>
        </w:rPr>
        <w:t>地表水环境：</w:t>
      </w:r>
      <w:r>
        <w:rPr>
          <w:rFonts w:hint="eastAsia"/>
          <w:b w:val="0"/>
          <w:bCs w:val="0"/>
          <w:color w:val="auto"/>
          <w:highlight w:val="none"/>
          <w:lang w:val="en-US" w:eastAsia="zh-CN"/>
        </w:rPr>
        <w:t>本项目周边地表水体龙潭沟和通江河水域环境功能为Ⅲ类</w:t>
      </w:r>
      <w:r>
        <w:rPr>
          <w:rFonts w:hint="eastAsia"/>
          <w:color w:val="auto"/>
          <w:highlight w:val="none"/>
          <w:lang w:val="en-US" w:eastAsia="zh-CN"/>
        </w:rPr>
        <w:t>（较敏感F2）；涉及的危险物质主要存储于罐区、仓库、危废暂存间等，罐区设围堰，仓库和危废暂存间设地漏和集水池，发生事故时，能保证泄漏化学品得到有效收集，不会进入地表水环境，且下游10km范围内无上述类型1和类型2包括的敏感保护目标，敏感保护目标为S3。因此，本项目地表水</w:t>
      </w:r>
      <w:r>
        <w:rPr>
          <w:rFonts w:hint="eastAsia" w:eastAsia="宋体" w:cs="Times New Roman"/>
          <w:b w:val="0"/>
          <w:bCs w:val="0"/>
          <w:color w:val="auto"/>
          <w:highlight w:val="none"/>
          <w:lang w:val="en-US" w:eastAsia="zh-CN"/>
        </w:rPr>
        <w:t>环境敏感程度为环境中度敏感区（E2）</w:t>
      </w:r>
      <w:r>
        <w:rPr>
          <w:rFonts w:hint="eastAsia"/>
          <w:color w:val="auto"/>
          <w:highlight w:val="none"/>
          <w:lang w:val="en-US" w:eastAsia="zh-CN"/>
        </w:rPr>
        <w:t>。</w:t>
      </w:r>
    </w:p>
    <w:p w14:paraId="4BD5F055">
      <w:pPr>
        <w:spacing w:line="360" w:lineRule="auto"/>
        <w:ind w:left="0" w:leftChars="0" w:firstLine="482" w:firstLineChars="200"/>
        <w:rPr>
          <w:rFonts w:hint="eastAsia" w:ascii="Times New Roman" w:hAnsi="Times New Roman" w:eastAsia="宋体" w:cs="Times New Roman"/>
          <w:color w:val="auto"/>
          <w:sz w:val="24"/>
          <w:lang w:val="en-US" w:eastAsia="zh-CN"/>
        </w:rPr>
      </w:pPr>
      <w:r>
        <w:rPr>
          <w:rFonts w:hint="eastAsia" w:cs="Times New Roman"/>
          <w:b/>
          <w:bCs/>
          <w:color w:val="auto"/>
          <w:sz w:val="24"/>
          <w:lang w:val="en-US" w:eastAsia="zh-CN"/>
        </w:rPr>
        <w:t>地下水环境：</w:t>
      </w:r>
      <w:r>
        <w:rPr>
          <w:rFonts w:hint="eastAsia"/>
          <w:color w:val="auto"/>
          <w:highlight w:val="none"/>
          <w:lang w:val="en-US" w:eastAsia="zh-CN"/>
        </w:rPr>
        <w:t>本项目地下水环境影响评价范围内涉及分散式水井（较敏感G2）；根据项目区水文地质试验结果，包气带</w:t>
      </w:r>
      <w:r>
        <w:rPr>
          <w:rFonts w:hint="eastAsia"/>
          <w:color w:val="auto"/>
          <w:highlight w:val="none"/>
        </w:rPr>
        <w:t>防污性能分级为D</w:t>
      </w:r>
      <w:r>
        <w:rPr>
          <w:rFonts w:hint="eastAsia"/>
          <w:color w:val="auto"/>
          <w:highlight w:val="none"/>
          <w:lang w:val="en-US" w:eastAsia="zh-CN"/>
        </w:rPr>
        <w:t>1。因此，本</w:t>
      </w:r>
      <w:r>
        <w:rPr>
          <w:rFonts w:hint="eastAsia"/>
          <w:color w:val="auto"/>
          <w:highlight w:val="none"/>
        </w:rPr>
        <w:t>项目地下水环境敏感程度为环</w:t>
      </w:r>
      <w:r>
        <w:rPr>
          <w:rFonts w:hint="eastAsia" w:ascii="宋体" w:hAnsi="宋体" w:eastAsia="宋体"/>
          <w:color w:val="auto"/>
          <w:sz w:val="24"/>
          <w:szCs w:val="24"/>
          <w:highlight w:val="none"/>
        </w:rPr>
        <w:t>境</w:t>
      </w:r>
      <w:r>
        <w:rPr>
          <w:rFonts w:hint="eastAsia" w:ascii="宋体" w:hAnsi="宋体"/>
          <w:color w:val="auto"/>
          <w:sz w:val="24"/>
          <w:szCs w:val="24"/>
          <w:highlight w:val="none"/>
          <w:lang w:val="en-US" w:eastAsia="zh-CN"/>
        </w:rPr>
        <w:t>高度</w:t>
      </w:r>
      <w:r>
        <w:rPr>
          <w:rFonts w:hint="eastAsia" w:ascii="宋体" w:hAnsi="宋体" w:eastAsia="宋体"/>
          <w:color w:val="auto"/>
          <w:sz w:val="24"/>
          <w:szCs w:val="24"/>
          <w:highlight w:val="none"/>
        </w:rPr>
        <w:t>敏感区（</w:t>
      </w:r>
      <w:r>
        <w:rPr>
          <w:rFonts w:hint="eastAsia" w:ascii="TimesNewRomanPSMT" w:hAnsi="TimesNewRomanPSMT" w:eastAsia="TimesNewRomanPSMT"/>
          <w:color w:val="auto"/>
          <w:sz w:val="24"/>
          <w:szCs w:val="24"/>
          <w:highlight w:val="none"/>
        </w:rPr>
        <w:t>E</w:t>
      </w:r>
      <w:r>
        <w:rPr>
          <w:rFonts w:hint="eastAsia" w:ascii="TimesNewRomanPSMT" w:hAnsi="TimesNewRomanPSMT"/>
          <w:color w:val="auto"/>
          <w:sz w:val="24"/>
          <w:szCs w:val="24"/>
          <w:highlight w:val="none"/>
          <w:lang w:val="en-US" w:eastAsia="zh-CN"/>
        </w:rPr>
        <w:t>1</w:t>
      </w:r>
      <w:r>
        <w:rPr>
          <w:rFonts w:hint="eastAsia" w:ascii="宋体" w:hAnsi="宋体" w:eastAsia="宋体"/>
          <w:color w:val="auto"/>
          <w:sz w:val="24"/>
          <w:szCs w:val="24"/>
          <w:highlight w:val="none"/>
        </w:rPr>
        <w:t>）</w:t>
      </w:r>
      <w:r>
        <w:rPr>
          <w:rFonts w:hint="eastAsia" w:ascii="宋体" w:hAnsi="宋体"/>
          <w:color w:val="auto"/>
          <w:sz w:val="24"/>
          <w:szCs w:val="24"/>
          <w:highlight w:val="none"/>
          <w:lang w:eastAsia="zh-CN"/>
        </w:rPr>
        <w:t>。</w:t>
      </w:r>
    </w:p>
    <w:p w14:paraId="4A41B036">
      <w:pPr>
        <w:spacing w:line="360" w:lineRule="auto"/>
        <w:ind w:left="0" w:leftChars="0" w:firstLine="482" w:firstLineChars="200"/>
        <w:rPr>
          <w:rFonts w:ascii="Times New Roman" w:hAnsi="Times New Roman" w:cs="Times New Roman"/>
          <w:b/>
          <w:color w:val="auto"/>
          <w:sz w:val="24"/>
          <w:szCs w:val="24"/>
        </w:rPr>
      </w:pPr>
      <w:r>
        <w:rPr>
          <w:rFonts w:ascii="Times New Roman" w:hAnsi="Times New Roman" w:cs="Times New Roman"/>
          <w:b/>
          <w:color w:val="auto"/>
          <w:sz w:val="24"/>
          <w:szCs w:val="24"/>
        </w:rPr>
        <w:t>3）环境风险潜势划分</w:t>
      </w:r>
    </w:p>
    <w:p w14:paraId="13707868">
      <w:pPr>
        <w:spacing w:line="360" w:lineRule="auto"/>
        <w:ind w:left="0" w:leftChars="0" w:firstLine="480" w:firstLineChars="200"/>
        <w:rPr>
          <w:rFonts w:ascii="Times New Roman" w:hAnsi="Times New Roman" w:cs="Times New Roman"/>
          <w:color w:val="auto"/>
          <w:sz w:val="24"/>
        </w:rPr>
      </w:pPr>
      <w:r>
        <w:rPr>
          <w:rFonts w:ascii="Times New Roman" w:hAnsi="Times New Roman" w:cs="Times New Roman"/>
          <w:color w:val="auto"/>
          <w:sz w:val="24"/>
        </w:rPr>
        <w:t>根据前文分析，</w:t>
      </w:r>
      <w:r>
        <w:rPr>
          <w:rFonts w:ascii="Times New Roman" w:hAnsi="Times New Roman" w:cs="Times New Roman"/>
          <w:bCs/>
          <w:color w:val="auto"/>
          <w:sz w:val="24"/>
        </w:rPr>
        <w:t>本</w:t>
      </w:r>
      <w:r>
        <w:rPr>
          <w:rFonts w:ascii="Times New Roman" w:hAnsi="Times New Roman" w:cs="Times New Roman"/>
          <w:bCs/>
          <w:color w:val="auto"/>
          <w:sz w:val="24"/>
          <w:szCs w:val="24"/>
        </w:rPr>
        <w:t>项目危险物质及工艺系统危险性等级为P</w:t>
      </w:r>
      <w:r>
        <w:rPr>
          <w:rFonts w:hint="eastAsia" w:ascii="Times New Roman" w:hAnsi="Times New Roman" w:cs="Times New Roman"/>
          <w:bCs/>
          <w:color w:val="auto"/>
          <w:sz w:val="24"/>
          <w:szCs w:val="24"/>
          <w:lang w:val="en-US" w:eastAsia="zh-CN"/>
        </w:rPr>
        <w:t>2</w:t>
      </w:r>
      <w:r>
        <w:rPr>
          <w:rFonts w:ascii="Times New Roman" w:hAnsi="Times New Roman" w:cs="Times New Roman"/>
          <w:bCs/>
          <w:color w:val="auto"/>
          <w:sz w:val="24"/>
          <w:szCs w:val="24"/>
        </w:rPr>
        <w:t>；</w:t>
      </w:r>
      <w:r>
        <w:rPr>
          <w:rFonts w:ascii="Times New Roman" w:hAnsi="Times New Roman" w:cs="Times New Roman"/>
          <w:color w:val="auto"/>
          <w:sz w:val="24"/>
        </w:rPr>
        <w:t>大气</w:t>
      </w:r>
      <w:r>
        <w:rPr>
          <w:rFonts w:hint="eastAsia" w:ascii="Times New Roman" w:hAnsi="Times New Roman" w:cs="Times New Roman"/>
          <w:color w:val="auto"/>
          <w:sz w:val="24"/>
          <w:lang w:val="en-US" w:eastAsia="zh-CN"/>
        </w:rPr>
        <w:t>和</w:t>
      </w:r>
      <w:r>
        <w:rPr>
          <w:rFonts w:ascii="Times New Roman" w:hAnsi="Times New Roman" w:cs="Times New Roman"/>
          <w:color w:val="auto"/>
          <w:sz w:val="24"/>
        </w:rPr>
        <w:t>地下水环境敏感程度等级</w:t>
      </w:r>
      <w:r>
        <w:rPr>
          <w:rFonts w:hint="eastAsia" w:ascii="Times New Roman" w:hAnsi="Times New Roman" w:cs="Times New Roman"/>
          <w:color w:val="auto"/>
          <w:sz w:val="24"/>
          <w:lang w:val="en-US" w:eastAsia="zh-CN"/>
        </w:rPr>
        <w:t>为E1</w:t>
      </w:r>
      <w:r>
        <w:rPr>
          <w:rFonts w:ascii="Times New Roman" w:hAnsi="Times New Roman" w:cs="Times New Roman"/>
          <w:color w:val="auto"/>
          <w:sz w:val="24"/>
        </w:rPr>
        <w:t>、地表水环境敏感程度等级为E2。按照《建设项目环境风险评价技术导则》（HJ169-2018）表2确定</w:t>
      </w:r>
      <w:r>
        <w:rPr>
          <w:rFonts w:ascii="Times New Roman" w:hAnsi="Times New Roman" w:cs="Times New Roman"/>
          <w:color w:val="auto"/>
          <w:sz w:val="24"/>
          <w:szCs w:val="24"/>
        </w:rPr>
        <w:t>环境风险潜势</w:t>
      </w:r>
      <w:r>
        <w:rPr>
          <w:rFonts w:ascii="Times New Roman" w:hAnsi="Times New Roman" w:cs="Times New Roman"/>
          <w:color w:val="auto"/>
          <w:sz w:val="24"/>
        </w:rPr>
        <w:t>。</w:t>
      </w:r>
    </w:p>
    <w:p w14:paraId="057921B0">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建设项目环境风险潜势划分</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460"/>
        <w:gridCol w:w="1888"/>
        <w:gridCol w:w="1741"/>
        <w:gridCol w:w="1741"/>
        <w:gridCol w:w="1684"/>
      </w:tblGrid>
      <w:tr w14:paraId="4C5926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Merge w:val="restart"/>
            <w:vAlign w:val="center"/>
          </w:tcPr>
          <w:p w14:paraId="5AAF66B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环境敏感程度（E）</w:t>
            </w:r>
          </w:p>
        </w:tc>
        <w:tc>
          <w:tcPr>
            <w:tcW w:w="3707" w:type="pct"/>
            <w:gridSpan w:val="4"/>
            <w:vAlign w:val="center"/>
          </w:tcPr>
          <w:p w14:paraId="3E11485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危险物质及工艺系统危险性（P）</w:t>
            </w:r>
          </w:p>
        </w:tc>
      </w:tr>
      <w:tr w14:paraId="5C04FE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Merge w:val="continue"/>
            <w:vAlign w:val="center"/>
          </w:tcPr>
          <w:p w14:paraId="7C7BCF67">
            <w:pPr>
              <w:pStyle w:val="24"/>
              <w:bidi w:val="0"/>
              <w:rPr>
                <w:rFonts w:hint="eastAsia" w:ascii="Times New Roman" w:hAnsi="Times New Roman" w:eastAsia="宋体" w:cs="Courier New"/>
                <w:b/>
                <w:bCs/>
                <w:color w:val="auto"/>
                <w:highlight w:val="none"/>
                <w:lang w:val="en-US" w:eastAsia="zh-CN"/>
              </w:rPr>
            </w:pPr>
          </w:p>
        </w:tc>
        <w:tc>
          <w:tcPr>
            <w:tcW w:w="992" w:type="pct"/>
            <w:vAlign w:val="center"/>
          </w:tcPr>
          <w:p w14:paraId="2442B37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极高危害（P1）</w:t>
            </w:r>
          </w:p>
        </w:tc>
        <w:tc>
          <w:tcPr>
            <w:tcW w:w="915" w:type="pct"/>
            <w:vAlign w:val="center"/>
          </w:tcPr>
          <w:p w14:paraId="42BD935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高度危害（P2）</w:t>
            </w:r>
          </w:p>
        </w:tc>
        <w:tc>
          <w:tcPr>
            <w:tcW w:w="915" w:type="pct"/>
            <w:vAlign w:val="center"/>
          </w:tcPr>
          <w:p w14:paraId="2CAC292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中度危害（P3）</w:t>
            </w:r>
          </w:p>
        </w:tc>
        <w:tc>
          <w:tcPr>
            <w:tcW w:w="885" w:type="pct"/>
            <w:vAlign w:val="center"/>
          </w:tcPr>
          <w:p w14:paraId="1645464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轻度危害（P4）</w:t>
            </w:r>
          </w:p>
        </w:tc>
      </w:tr>
      <w:tr w14:paraId="0018F4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Align w:val="center"/>
          </w:tcPr>
          <w:p w14:paraId="6F633C8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环境高度敏感区（E1）</w:t>
            </w:r>
          </w:p>
        </w:tc>
        <w:tc>
          <w:tcPr>
            <w:tcW w:w="992" w:type="pct"/>
            <w:vAlign w:val="center"/>
          </w:tcPr>
          <w:p w14:paraId="0B3E34B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IV+</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p>
        </w:tc>
        <w:tc>
          <w:tcPr>
            <w:tcW w:w="915" w:type="pct"/>
            <w:vAlign w:val="center"/>
          </w:tcPr>
          <w:p w14:paraId="489DFE5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IV</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p>
        </w:tc>
        <w:tc>
          <w:tcPr>
            <w:tcW w:w="915" w:type="pct"/>
            <w:vAlign w:val="center"/>
          </w:tcPr>
          <w:p w14:paraId="0C68E58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III</w:t>
            </w:r>
          </w:p>
        </w:tc>
        <w:tc>
          <w:tcPr>
            <w:tcW w:w="885" w:type="pct"/>
            <w:vAlign w:val="center"/>
          </w:tcPr>
          <w:p w14:paraId="3D1AC49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III</w:t>
            </w:r>
          </w:p>
        </w:tc>
      </w:tr>
      <w:tr w14:paraId="0E6360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Align w:val="center"/>
          </w:tcPr>
          <w:p w14:paraId="7717AAF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环境中度敏感区（E2）</w:t>
            </w:r>
          </w:p>
        </w:tc>
        <w:tc>
          <w:tcPr>
            <w:tcW w:w="992" w:type="pct"/>
            <w:vAlign w:val="center"/>
          </w:tcPr>
          <w:p w14:paraId="47ABD10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IV</w:t>
            </w:r>
          </w:p>
        </w:tc>
        <w:tc>
          <w:tcPr>
            <w:tcW w:w="915" w:type="pct"/>
            <w:vAlign w:val="center"/>
          </w:tcPr>
          <w:p w14:paraId="1A48C95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III</w:t>
            </w:r>
          </w:p>
        </w:tc>
        <w:tc>
          <w:tcPr>
            <w:tcW w:w="915" w:type="pct"/>
            <w:vAlign w:val="center"/>
          </w:tcPr>
          <w:p w14:paraId="6694569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III</w:t>
            </w:r>
          </w:p>
        </w:tc>
        <w:tc>
          <w:tcPr>
            <w:tcW w:w="885" w:type="pct"/>
            <w:vAlign w:val="center"/>
          </w:tcPr>
          <w:p w14:paraId="7D2B531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w:t>
            </w:r>
          </w:p>
        </w:tc>
      </w:tr>
      <w:tr w14:paraId="739B0C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Align w:val="center"/>
          </w:tcPr>
          <w:p w14:paraId="6CB6D54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环境低度敏感区（E3）</w:t>
            </w:r>
          </w:p>
        </w:tc>
        <w:tc>
          <w:tcPr>
            <w:tcW w:w="992" w:type="pct"/>
            <w:vAlign w:val="center"/>
          </w:tcPr>
          <w:p w14:paraId="023B8B3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III</w:t>
            </w:r>
          </w:p>
        </w:tc>
        <w:tc>
          <w:tcPr>
            <w:tcW w:w="915" w:type="pct"/>
            <w:vAlign w:val="center"/>
          </w:tcPr>
          <w:p w14:paraId="644AD16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III</w:t>
            </w:r>
          </w:p>
        </w:tc>
        <w:tc>
          <w:tcPr>
            <w:tcW w:w="915" w:type="pct"/>
            <w:vAlign w:val="center"/>
          </w:tcPr>
          <w:p w14:paraId="5EC311B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II</w:t>
            </w:r>
          </w:p>
        </w:tc>
        <w:tc>
          <w:tcPr>
            <w:tcW w:w="885" w:type="pct"/>
            <w:vAlign w:val="center"/>
          </w:tcPr>
          <w:p w14:paraId="646A2A9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I</w:t>
            </w:r>
          </w:p>
        </w:tc>
      </w:tr>
      <w:tr w14:paraId="75A6E0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vAlign w:val="center"/>
          </w:tcPr>
          <w:p w14:paraId="015AE2E2">
            <w:pPr>
              <w:pStyle w:val="24"/>
              <w:bidi w:val="0"/>
              <w:jc w:val="both"/>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注：IV+为极高环境风险。</w:t>
            </w:r>
          </w:p>
        </w:tc>
      </w:tr>
    </w:tbl>
    <w:p w14:paraId="3B95D287">
      <w:pPr>
        <w:spacing w:line="360" w:lineRule="auto"/>
        <w:ind w:left="0" w:leftChars="0" w:firstLine="480" w:firstLineChars="200"/>
        <w:rPr>
          <w:rFonts w:hint="eastAsia" w:eastAsiaTheme="minorEastAsia" w:cstheme="minorHAnsi"/>
          <w:b/>
          <w:color w:val="auto"/>
          <w:sz w:val="24"/>
          <w:lang w:eastAsia="zh-CN"/>
        </w:rPr>
      </w:pPr>
      <w:r>
        <w:rPr>
          <w:rFonts w:ascii="Times New Roman" w:hAnsi="Times New Roman" w:cs="Times New Roman"/>
          <w:color w:val="auto"/>
          <w:sz w:val="24"/>
          <w:szCs w:val="24"/>
        </w:rPr>
        <w:t>由上表可知，本项目</w:t>
      </w: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highlight w:val="none"/>
        </w:rPr>
        <w:t>大气</w:t>
      </w:r>
      <w:r>
        <w:rPr>
          <w:rFonts w:hint="default" w:ascii="Times New Roman" w:hAnsi="Times New Roman" w:cs="Times New Roman"/>
          <w:color w:val="auto"/>
          <w:sz w:val="24"/>
          <w:highlight w:val="none"/>
          <w:lang w:val="en-US" w:eastAsia="zh-CN"/>
        </w:rPr>
        <w:t>和地下水</w:t>
      </w:r>
      <w:r>
        <w:rPr>
          <w:rFonts w:hint="default" w:ascii="Times New Roman" w:hAnsi="Times New Roman" w:cs="Times New Roman"/>
          <w:color w:val="auto"/>
          <w:sz w:val="24"/>
          <w:highlight w:val="none"/>
        </w:rPr>
        <w:t>环境风险潜势为</w:t>
      </w:r>
      <w:r>
        <w:rPr>
          <w:rFonts w:hint="default" w:ascii="Times New Roman" w:hAnsi="Times New Roman" w:cs="Times New Roman"/>
          <w:color w:val="auto"/>
          <w:highlight w:val="none"/>
        </w:rPr>
        <w:t>IV+</w:t>
      </w:r>
      <w:r>
        <w:rPr>
          <w:rFonts w:hint="default" w:ascii="Times New Roman" w:hAnsi="Times New Roman" w:cs="Times New Roman"/>
          <w:color w:val="auto"/>
          <w:sz w:val="24"/>
          <w:highlight w:val="none"/>
        </w:rPr>
        <w:t>、地表水环境风险潜势为IV</w:t>
      </w:r>
      <w:r>
        <w:rPr>
          <w:rFonts w:hint="eastAsia" w:cstheme="minorHAnsi"/>
          <w:color w:val="auto"/>
          <w:sz w:val="24"/>
          <w:lang w:eastAsia="zh-CN"/>
        </w:rPr>
        <w:t>。</w:t>
      </w:r>
    </w:p>
    <w:p w14:paraId="29880660">
      <w:pPr>
        <w:spacing w:line="360" w:lineRule="auto"/>
        <w:ind w:left="0" w:leftChars="0" w:firstLine="482" w:firstLineChars="200"/>
        <w:rPr>
          <w:rFonts w:cstheme="minorHAnsi"/>
          <w:b/>
          <w:color w:val="auto"/>
          <w:sz w:val="24"/>
        </w:rPr>
      </w:pPr>
      <w:r>
        <w:rPr>
          <w:rFonts w:cstheme="minorHAnsi"/>
          <w:b/>
          <w:color w:val="auto"/>
          <w:sz w:val="24"/>
        </w:rPr>
        <w:t>（3）评价等级</w:t>
      </w:r>
    </w:p>
    <w:p w14:paraId="46E80871">
      <w:pPr>
        <w:spacing w:line="360" w:lineRule="auto"/>
        <w:ind w:left="0" w:leftChars="0" w:firstLine="480" w:firstLineChars="200"/>
        <w:rPr>
          <w:rFonts w:cstheme="minorHAnsi"/>
          <w:color w:val="auto"/>
          <w:sz w:val="24"/>
        </w:rPr>
      </w:pPr>
      <w:r>
        <w:rPr>
          <w:rFonts w:cstheme="minorHAnsi"/>
          <w:color w:val="auto"/>
          <w:sz w:val="24"/>
        </w:rPr>
        <w:t>根据《建设项目环境风险评价技术导则》（HJ169-2018）中评价工作等级划分：环境风险评价工作等级划分为一级、二级、三級，根据建设项目涉及的物质及工艺系统危险性和所在地的环境敏感性确定环境风险潜势，按照下表确定评价工作等级。风险潜势为</w:t>
      </w:r>
      <w:r>
        <w:rPr>
          <w:rFonts w:hint="eastAsia" w:ascii="宋体" w:hAnsi="宋体" w:cs="宋体"/>
          <w:color w:val="auto"/>
          <w:sz w:val="24"/>
        </w:rPr>
        <w:t>Ⅳ</w:t>
      </w:r>
      <w:r>
        <w:rPr>
          <w:rFonts w:cstheme="minorHAnsi"/>
          <w:color w:val="auto"/>
          <w:sz w:val="24"/>
        </w:rPr>
        <w:t>及以上，进行一级评价：风险潜势为III，进行二级评价：风险潜势为II，进行三级评价：风险潜势为I，可开展简单分析。</w:t>
      </w:r>
    </w:p>
    <w:p w14:paraId="008D1D85">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评价工作等级划分</w:t>
      </w:r>
    </w:p>
    <w:tbl>
      <w:tblPr>
        <w:tblStyle w:val="20"/>
        <w:tblW w:w="9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1905"/>
        <w:gridCol w:w="1905"/>
        <w:gridCol w:w="1905"/>
        <w:gridCol w:w="1905"/>
      </w:tblGrid>
      <w:tr w14:paraId="20B11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05" w:type="dxa"/>
            <w:tcBorders>
              <w:top w:val="single" w:color="auto" w:sz="4" w:space="0"/>
              <w:left w:val="single" w:color="auto" w:sz="4" w:space="0"/>
              <w:tl2br w:val="nil"/>
              <w:tr2bl w:val="nil"/>
            </w:tcBorders>
            <w:vAlign w:val="center"/>
          </w:tcPr>
          <w:p w14:paraId="17A11DEF">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环境风险潜势</w:t>
            </w:r>
          </w:p>
        </w:tc>
        <w:tc>
          <w:tcPr>
            <w:tcW w:w="1905" w:type="dxa"/>
            <w:tcBorders>
              <w:top w:val="single" w:color="auto" w:sz="4" w:space="0"/>
              <w:tl2br w:val="nil"/>
              <w:tr2bl w:val="nil"/>
            </w:tcBorders>
            <w:vAlign w:val="center"/>
          </w:tcPr>
          <w:p w14:paraId="78D95CE2">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IV、IV</w:t>
            </w:r>
            <w:r>
              <w:rPr>
                <w:rFonts w:hint="default" w:ascii="Times New Roman" w:hAnsi="Times New Roman" w:cs="Times New Roman"/>
                <w:b/>
                <w:bCs/>
                <w:color w:val="auto"/>
                <w:vertAlign w:val="superscript"/>
              </w:rPr>
              <w:t>+</w:t>
            </w:r>
          </w:p>
        </w:tc>
        <w:tc>
          <w:tcPr>
            <w:tcW w:w="1905" w:type="dxa"/>
            <w:tcBorders>
              <w:top w:val="single" w:color="auto" w:sz="4" w:space="0"/>
              <w:tl2br w:val="nil"/>
              <w:tr2bl w:val="nil"/>
            </w:tcBorders>
            <w:vAlign w:val="center"/>
          </w:tcPr>
          <w:p w14:paraId="4E327E79">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III</w:t>
            </w:r>
          </w:p>
        </w:tc>
        <w:tc>
          <w:tcPr>
            <w:tcW w:w="1905" w:type="dxa"/>
            <w:tcBorders>
              <w:top w:val="single" w:color="auto" w:sz="4" w:space="0"/>
              <w:tl2br w:val="nil"/>
              <w:tr2bl w:val="nil"/>
            </w:tcBorders>
            <w:vAlign w:val="center"/>
          </w:tcPr>
          <w:p w14:paraId="5B094F64">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II</w:t>
            </w:r>
          </w:p>
        </w:tc>
        <w:tc>
          <w:tcPr>
            <w:tcW w:w="1905" w:type="dxa"/>
            <w:tcBorders>
              <w:top w:val="single" w:color="auto" w:sz="4" w:space="0"/>
              <w:right w:val="single" w:color="auto" w:sz="4" w:space="0"/>
              <w:tl2br w:val="nil"/>
              <w:tr2bl w:val="nil"/>
            </w:tcBorders>
            <w:vAlign w:val="center"/>
          </w:tcPr>
          <w:p w14:paraId="20FD2585">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I</w:t>
            </w:r>
          </w:p>
        </w:tc>
      </w:tr>
      <w:tr w14:paraId="1D54EB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05" w:type="dxa"/>
            <w:tcBorders>
              <w:left w:val="single" w:color="auto" w:sz="4" w:space="0"/>
              <w:tl2br w:val="nil"/>
              <w:tr2bl w:val="nil"/>
            </w:tcBorders>
            <w:vAlign w:val="center"/>
          </w:tcPr>
          <w:p w14:paraId="347D1737">
            <w:pPr>
              <w:pStyle w:val="24"/>
              <w:rPr>
                <w:rFonts w:hint="default" w:ascii="Times New Roman" w:hAnsi="Times New Roman" w:cs="Times New Roman"/>
                <w:color w:val="auto"/>
              </w:rPr>
            </w:pPr>
            <w:r>
              <w:rPr>
                <w:rFonts w:hint="default" w:ascii="Times New Roman" w:hAnsi="Times New Roman" w:eastAsia="宋体" w:cs="Times New Roman"/>
                <w:color w:val="auto"/>
              </w:rPr>
              <w:t>评价工作等级</w:t>
            </w:r>
          </w:p>
        </w:tc>
        <w:tc>
          <w:tcPr>
            <w:tcW w:w="1905" w:type="dxa"/>
            <w:tcBorders>
              <w:tl2br w:val="nil"/>
              <w:tr2bl w:val="nil"/>
            </w:tcBorders>
            <w:vAlign w:val="center"/>
          </w:tcPr>
          <w:p w14:paraId="1DD08475">
            <w:pPr>
              <w:pStyle w:val="24"/>
              <w:rPr>
                <w:rFonts w:hint="default" w:ascii="Times New Roman" w:hAnsi="Times New Roman" w:cs="Times New Roman"/>
                <w:color w:val="auto"/>
              </w:rPr>
            </w:pPr>
            <w:r>
              <w:rPr>
                <w:rFonts w:hint="default" w:ascii="Times New Roman" w:hAnsi="Times New Roman" w:eastAsia="宋体" w:cs="Times New Roman"/>
                <w:color w:val="auto"/>
              </w:rPr>
              <w:t>一</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p>
        </w:tc>
        <w:tc>
          <w:tcPr>
            <w:tcW w:w="1905" w:type="dxa"/>
            <w:tcBorders>
              <w:tl2br w:val="nil"/>
              <w:tr2bl w:val="nil"/>
            </w:tcBorders>
            <w:vAlign w:val="center"/>
          </w:tcPr>
          <w:p w14:paraId="2E938FE9">
            <w:pPr>
              <w:pStyle w:val="24"/>
              <w:rPr>
                <w:rFonts w:hint="default" w:ascii="Times New Roman" w:hAnsi="Times New Roman" w:cs="Times New Roman"/>
                <w:color w:val="auto"/>
              </w:rPr>
            </w:pPr>
            <w:r>
              <w:rPr>
                <w:rFonts w:hint="default" w:ascii="Times New Roman" w:hAnsi="Times New Roman" w:eastAsia="宋体" w:cs="Times New Roman"/>
                <w:color w:val="auto"/>
              </w:rPr>
              <w:t>二</w:t>
            </w:r>
          </w:p>
        </w:tc>
        <w:tc>
          <w:tcPr>
            <w:tcW w:w="1905" w:type="dxa"/>
            <w:tcBorders>
              <w:tl2br w:val="nil"/>
              <w:tr2bl w:val="nil"/>
            </w:tcBorders>
            <w:vAlign w:val="center"/>
          </w:tcPr>
          <w:p w14:paraId="11912F30">
            <w:pPr>
              <w:pStyle w:val="24"/>
              <w:rPr>
                <w:rFonts w:hint="default" w:ascii="Times New Roman" w:hAnsi="Times New Roman" w:cs="Times New Roman"/>
                <w:color w:val="auto"/>
              </w:rPr>
            </w:pPr>
            <w:r>
              <w:rPr>
                <w:rFonts w:hint="default" w:ascii="Times New Roman" w:hAnsi="Times New Roman" w:eastAsia="宋体" w:cs="Times New Roman"/>
                <w:color w:val="auto"/>
              </w:rPr>
              <w:t>三</w:t>
            </w:r>
          </w:p>
        </w:tc>
        <w:tc>
          <w:tcPr>
            <w:tcW w:w="1905" w:type="dxa"/>
            <w:tcBorders>
              <w:right w:val="single" w:color="auto" w:sz="4" w:space="0"/>
              <w:tl2br w:val="nil"/>
              <w:tr2bl w:val="nil"/>
            </w:tcBorders>
            <w:vAlign w:val="center"/>
          </w:tcPr>
          <w:p w14:paraId="5EAFFF39">
            <w:pPr>
              <w:pStyle w:val="24"/>
              <w:rPr>
                <w:rFonts w:hint="default" w:ascii="Times New Roman" w:hAnsi="Times New Roman" w:cs="Times New Roman"/>
                <w:color w:val="auto"/>
              </w:rPr>
            </w:pPr>
            <w:r>
              <w:rPr>
                <w:rFonts w:hint="default" w:ascii="Times New Roman" w:hAnsi="Times New Roman" w:eastAsia="宋体" w:cs="Times New Roman"/>
                <w:color w:val="auto"/>
              </w:rPr>
              <w:t>简单分析</w:t>
            </w:r>
            <w:r>
              <w:rPr>
                <w:rFonts w:hint="default" w:ascii="Times New Roman" w:hAnsi="Times New Roman" w:cs="Times New Roman"/>
                <w:color w:val="auto"/>
              </w:rPr>
              <w:t>*</w:t>
            </w:r>
          </w:p>
        </w:tc>
      </w:tr>
      <w:tr w14:paraId="7A1E3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9525" w:type="dxa"/>
            <w:gridSpan w:val="5"/>
            <w:tcBorders>
              <w:left w:val="single" w:color="auto" w:sz="4" w:space="0"/>
              <w:bottom w:val="single" w:color="auto" w:sz="4" w:space="0"/>
              <w:right w:val="single" w:color="auto" w:sz="4" w:space="0"/>
              <w:tl2br w:val="nil"/>
              <w:tr2bl w:val="nil"/>
            </w:tcBorders>
            <w:vAlign w:val="center"/>
          </w:tcPr>
          <w:p w14:paraId="2D41D8A4">
            <w:pPr>
              <w:pStyle w:val="24"/>
              <w:jc w:val="both"/>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eastAsia="宋体" w:cs="Times New Roman"/>
                <w:color w:val="auto"/>
              </w:rPr>
              <w:t>是相对于详细评价工作内容而言，在描述危险物质、环境影响途径、环境危害后果、风险防范措施等方面给出定性的说明。</w:t>
            </w:r>
          </w:p>
        </w:tc>
      </w:tr>
    </w:tbl>
    <w:p w14:paraId="68AAF71D">
      <w:pPr>
        <w:spacing w:line="360" w:lineRule="auto"/>
        <w:ind w:left="0" w:leftChars="0" w:firstLine="480" w:firstLineChars="200"/>
        <w:rPr>
          <w:rFonts w:ascii="Times New Roman" w:hAnsi="Times New Roman" w:cs="宋体"/>
          <w:color w:val="auto"/>
          <w:sz w:val="24"/>
          <w:szCs w:val="24"/>
        </w:rPr>
      </w:pPr>
      <w:r>
        <w:rPr>
          <w:rFonts w:cstheme="minorHAnsi"/>
          <w:color w:val="auto"/>
          <w:sz w:val="24"/>
        </w:rPr>
        <w:t>根据前文分析，</w:t>
      </w:r>
      <w:r>
        <w:rPr>
          <w:rFonts w:hint="default" w:cstheme="minorHAnsi"/>
          <w:b/>
          <w:bCs/>
          <w:color w:val="auto"/>
          <w:sz w:val="24"/>
          <w:lang w:val="en-US" w:eastAsia="zh-CN"/>
        </w:rPr>
        <w:t>本项目</w:t>
      </w:r>
      <w:r>
        <w:rPr>
          <w:rFonts w:hint="eastAsia" w:cstheme="minorHAnsi"/>
          <w:b/>
          <w:bCs/>
          <w:color w:val="auto"/>
          <w:sz w:val="24"/>
          <w:lang w:val="en-US" w:eastAsia="zh-CN"/>
        </w:rPr>
        <w:t>大气、地表水和地下水</w:t>
      </w:r>
      <w:r>
        <w:rPr>
          <w:rFonts w:hint="default" w:cstheme="minorHAnsi"/>
          <w:b/>
          <w:bCs/>
          <w:color w:val="auto"/>
          <w:sz w:val="24"/>
          <w:lang w:val="en-US" w:eastAsia="zh-CN"/>
        </w:rPr>
        <w:t>环境风险评价工作等级</w:t>
      </w:r>
      <w:r>
        <w:rPr>
          <w:rFonts w:hint="eastAsia" w:cstheme="minorHAnsi"/>
          <w:b/>
          <w:bCs/>
          <w:color w:val="auto"/>
          <w:sz w:val="24"/>
          <w:lang w:val="en-US" w:eastAsia="zh-CN"/>
        </w:rPr>
        <w:t>均</w:t>
      </w:r>
      <w:r>
        <w:rPr>
          <w:rFonts w:hint="default" w:cstheme="minorHAnsi"/>
          <w:b/>
          <w:bCs/>
          <w:color w:val="auto"/>
          <w:sz w:val="24"/>
          <w:lang w:val="en-US" w:eastAsia="zh-CN"/>
        </w:rPr>
        <w:t>为</w:t>
      </w:r>
      <w:r>
        <w:rPr>
          <w:rFonts w:hint="eastAsia" w:cstheme="minorHAnsi"/>
          <w:b/>
          <w:bCs/>
          <w:color w:val="auto"/>
          <w:sz w:val="24"/>
          <w:lang w:val="en-US" w:eastAsia="zh-CN"/>
        </w:rPr>
        <w:t>一</w:t>
      </w:r>
      <w:r>
        <w:rPr>
          <w:rFonts w:hint="default" w:cstheme="minorHAnsi"/>
          <w:b/>
          <w:bCs/>
          <w:color w:val="auto"/>
          <w:sz w:val="24"/>
          <w:lang w:val="en-US" w:eastAsia="zh-CN"/>
        </w:rPr>
        <w:t>级</w:t>
      </w:r>
      <w:r>
        <w:rPr>
          <w:rFonts w:cstheme="minorHAnsi"/>
          <w:b/>
          <w:bCs/>
          <w:color w:val="auto"/>
          <w:sz w:val="24"/>
        </w:rPr>
        <w:t>。</w:t>
      </w:r>
    </w:p>
    <w:p w14:paraId="262BED17">
      <w:pPr>
        <w:pStyle w:val="40"/>
        <w:ind w:left="0" w:leftChars="0" w:firstLine="0" w:firstLineChars="0"/>
        <w:rPr>
          <w:rFonts w:ascii="Times New Roman" w:hAnsi="Times New Roman"/>
          <w:color w:val="auto"/>
        </w:rPr>
      </w:pPr>
      <w:bookmarkStart w:id="55" w:name="_Toc18533"/>
      <w:r>
        <w:rPr>
          <w:rFonts w:ascii="Times New Roman" w:hAnsi="Times New Roman"/>
          <w:color w:val="auto"/>
        </w:rPr>
        <w:t xml:space="preserve">2.7.2 </w:t>
      </w:r>
      <w:r>
        <w:rPr>
          <w:rFonts w:hint="eastAsia" w:ascii="Times New Roman" w:hAnsi="Times New Roman"/>
          <w:color w:val="auto"/>
        </w:rPr>
        <w:t>评价范围</w:t>
      </w:r>
      <w:bookmarkEnd w:id="55"/>
    </w:p>
    <w:p w14:paraId="40715BA5">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根据评价工作等级及评价范围的划分原则，结合</w:t>
      </w:r>
      <w:r>
        <w:rPr>
          <w:rFonts w:ascii="Times New Roman" w:hAnsi="Times New Roman"/>
          <w:color w:val="auto"/>
          <w:sz w:val="24"/>
          <w:szCs w:val="24"/>
        </w:rPr>
        <w:t>区域</w:t>
      </w:r>
      <w:r>
        <w:rPr>
          <w:rFonts w:hint="eastAsia" w:ascii="Times New Roman" w:hAnsi="Times New Roman"/>
          <w:color w:val="auto"/>
          <w:sz w:val="24"/>
          <w:szCs w:val="24"/>
        </w:rPr>
        <w:t>环境</w:t>
      </w:r>
      <w:r>
        <w:rPr>
          <w:rFonts w:ascii="Times New Roman" w:hAnsi="Times New Roman"/>
          <w:color w:val="auto"/>
          <w:sz w:val="24"/>
          <w:szCs w:val="24"/>
        </w:rPr>
        <w:t>敏感程度</w:t>
      </w:r>
      <w:r>
        <w:rPr>
          <w:rFonts w:hint="eastAsia" w:ascii="Times New Roman" w:hAnsi="Times New Roman"/>
          <w:color w:val="auto"/>
          <w:sz w:val="24"/>
          <w:szCs w:val="24"/>
        </w:rPr>
        <w:t>，确定本次评价范围如下：</w:t>
      </w:r>
    </w:p>
    <w:p w14:paraId="019FDF1E">
      <w:pPr>
        <w:pStyle w:val="29"/>
        <w:ind w:left="0" w:leftChars="0" w:firstLine="482" w:firstLineChars="200"/>
        <w:rPr>
          <w:color w:val="auto"/>
        </w:rPr>
      </w:pPr>
      <w:r>
        <w:rPr>
          <w:rFonts w:hint="eastAsia"/>
          <w:color w:val="auto"/>
        </w:rPr>
        <w:t>1、大气</w:t>
      </w:r>
      <w:r>
        <w:rPr>
          <w:color w:val="auto"/>
        </w:rPr>
        <w:t>环境</w:t>
      </w:r>
    </w:p>
    <w:p w14:paraId="6ADB79AA">
      <w:pPr>
        <w:spacing w:line="360" w:lineRule="auto"/>
        <w:rPr>
          <w:rFonts w:hint="eastAsia" w:ascii="Times New Roman" w:hAnsi="Times New Roman"/>
          <w:color w:val="auto"/>
          <w:sz w:val="24"/>
          <w:szCs w:val="24"/>
        </w:rPr>
      </w:pPr>
      <w:r>
        <w:rPr>
          <w:rFonts w:hint="eastAsia" w:ascii="Times New Roman" w:hAnsi="Times New Roman"/>
          <w:color w:val="auto"/>
          <w:sz w:val="24"/>
          <w:szCs w:val="24"/>
        </w:rPr>
        <w:t>以项目厂址</w:t>
      </w:r>
      <w:r>
        <w:rPr>
          <w:rFonts w:ascii="Times New Roman" w:hAnsi="Times New Roman"/>
          <w:color w:val="auto"/>
          <w:sz w:val="24"/>
          <w:szCs w:val="24"/>
        </w:rPr>
        <w:t>为中心区域，</w:t>
      </w:r>
      <w:r>
        <w:rPr>
          <w:rFonts w:hint="eastAsia" w:ascii="Times New Roman" w:hAnsi="Times New Roman"/>
          <w:color w:val="auto"/>
          <w:sz w:val="24"/>
          <w:szCs w:val="24"/>
        </w:rPr>
        <w:t>自</w:t>
      </w:r>
      <w:r>
        <w:rPr>
          <w:rFonts w:ascii="Times New Roman" w:hAnsi="Times New Roman"/>
          <w:color w:val="auto"/>
          <w:sz w:val="24"/>
          <w:szCs w:val="24"/>
        </w:rPr>
        <w:t>厂界外延边长为5×5km的</w:t>
      </w:r>
      <w:r>
        <w:rPr>
          <w:rFonts w:hint="eastAsia" w:ascii="Times New Roman" w:hAnsi="Times New Roman"/>
          <w:color w:val="auto"/>
          <w:sz w:val="24"/>
          <w:szCs w:val="24"/>
        </w:rPr>
        <w:t>矩形区域。</w:t>
      </w:r>
    </w:p>
    <w:p w14:paraId="3A55EFB7">
      <w:pPr>
        <w:spacing w:line="360" w:lineRule="auto"/>
        <w:ind w:left="0" w:leftChars="0" w:firstLine="0" w:firstLineChars="0"/>
        <w:jc w:val="center"/>
        <w:rPr>
          <w:color w:val="auto"/>
        </w:rPr>
      </w:pPr>
      <w:r>
        <w:rPr>
          <w:color w:val="auto"/>
        </w:rPr>
        <w:drawing>
          <wp:inline distT="0" distB="0" distL="114300" distR="114300">
            <wp:extent cx="5504815" cy="4674870"/>
            <wp:effectExtent l="0" t="0" r="635" b="11430"/>
            <wp:docPr id="1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4"/>
                    <pic:cNvPicPr>
                      <a:picLocks noChangeAspect="1"/>
                    </pic:cNvPicPr>
                  </pic:nvPicPr>
                  <pic:blipFill>
                    <a:blip r:embed="rId22"/>
                    <a:stretch>
                      <a:fillRect/>
                    </a:stretch>
                  </pic:blipFill>
                  <pic:spPr>
                    <a:xfrm>
                      <a:off x="0" y="0"/>
                      <a:ext cx="5504815" cy="4674870"/>
                    </a:xfrm>
                    <a:prstGeom prst="rect">
                      <a:avLst/>
                    </a:prstGeom>
                    <a:noFill/>
                    <a:ln>
                      <a:noFill/>
                    </a:ln>
                  </pic:spPr>
                </pic:pic>
              </a:graphicData>
            </a:graphic>
          </wp:inline>
        </w:drawing>
      </w:r>
    </w:p>
    <w:p w14:paraId="736D1DFF">
      <w:pPr>
        <w:pStyle w:val="43"/>
        <w:numPr>
          <w:ilvl w:val="0"/>
          <w:numId w:val="16"/>
        </w:numPr>
        <w:bidi w:val="0"/>
        <w:ind w:left="425" w:leftChars="0" w:hanging="425"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大气环境影响评价范围图</w:t>
      </w:r>
    </w:p>
    <w:p w14:paraId="429EE537">
      <w:pPr>
        <w:pStyle w:val="29"/>
        <w:ind w:left="0" w:leftChars="0" w:firstLine="482" w:firstLineChars="200"/>
        <w:rPr>
          <w:color w:val="auto"/>
        </w:rPr>
      </w:pPr>
      <w:r>
        <w:rPr>
          <w:color w:val="auto"/>
        </w:rPr>
        <w:t>2</w:t>
      </w:r>
      <w:r>
        <w:rPr>
          <w:rFonts w:hint="eastAsia"/>
          <w:color w:val="auto"/>
        </w:rPr>
        <w:t>、地表水</w:t>
      </w:r>
      <w:r>
        <w:rPr>
          <w:color w:val="auto"/>
        </w:rPr>
        <w:t>环境</w:t>
      </w:r>
    </w:p>
    <w:p w14:paraId="5675EA0F">
      <w:pPr>
        <w:pStyle w:val="26"/>
        <w:ind w:firstLine="480"/>
        <w:rPr>
          <w:rFonts w:hint="eastAsia"/>
          <w:color w:val="auto"/>
          <w:szCs w:val="24"/>
          <w:lang w:val="en-US" w:eastAsia="zh-CN"/>
        </w:rPr>
      </w:pPr>
      <w:r>
        <w:rPr>
          <w:rFonts w:hint="default" w:ascii="Times New Roman" w:hAnsi="Times New Roman" w:cs="Times New Roman"/>
          <w:color w:val="auto"/>
          <w:highlight w:val="none"/>
        </w:rPr>
        <w:t>根据《环境影响评价技术导则 地表水环境》（HJ2.3-2018）三级B评价范围应符合以下要求：涉及地表水环境风险的，应覆盖环境风险影响范围所及的水环境保护目标水域。</w:t>
      </w:r>
    </w:p>
    <w:p w14:paraId="09E889AD">
      <w:pPr>
        <w:spacing w:line="360" w:lineRule="auto"/>
        <w:ind w:left="0" w:leftChars="0" w:firstLine="480" w:firstLineChars="200"/>
        <w:rPr>
          <w:rFonts w:hint="eastAsia"/>
          <w:color w:val="auto"/>
          <w:szCs w:val="24"/>
          <w:lang w:val="en-US" w:eastAsia="zh-CN"/>
        </w:rPr>
      </w:pPr>
      <w:r>
        <w:rPr>
          <w:rFonts w:hint="eastAsia" w:cs="Times New Roman"/>
          <w:color w:val="auto"/>
          <w:highlight w:val="none"/>
          <w:lang w:val="en-US" w:eastAsia="zh-CN"/>
        </w:rPr>
        <w:t>本项目西侧龙潭沟为季节性溪沟，多季节干涸，且有山体阻隔。区域地表水体主要为通江河，</w:t>
      </w:r>
      <w:r>
        <w:rPr>
          <w:rFonts w:hint="eastAsia"/>
          <w:color w:val="auto"/>
          <w:szCs w:val="24"/>
          <w:lang w:val="en-US" w:eastAsia="zh-CN"/>
        </w:rPr>
        <w:t>本项目地表水环境影响范围确定为：</w:t>
      </w:r>
      <w:r>
        <w:rPr>
          <w:rFonts w:hint="eastAsia" w:cs="Courier New"/>
          <w:b w:val="0"/>
          <w:bCs w:val="0"/>
          <w:color w:val="auto"/>
          <w:highlight w:val="none"/>
          <w:lang w:val="en-US" w:eastAsia="zh-CN"/>
        </w:rPr>
        <w:t>通江河</w:t>
      </w:r>
      <w:r>
        <w:rPr>
          <w:rFonts w:hint="eastAsia" w:ascii="Times New Roman" w:hAnsi="Times New Roman" w:eastAsia="宋体" w:cs="Courier New"/>
          <w:b w:val="0"/>
          <w:bCs w:val="0"/>
          <w:color w:val="auto"/>
          <w:highlight w:val="none"/>
          <w:lang w:val="en-US" w:eastAsia="zh-CN"/>
        </w:rPr>
        <w:t>-通江县秋锦山产业园区综合污水处理厂</w:t>
      </w:r>
      <w:r>
        <w:rPr>
          <w:rFonts w:hint="eastAsia" w:cs="Courier New"/>
          <w:b w:val="0"/>
          <w:bCs w:val="0"/>
          <w:color w:val="auto"/>
          <w:highlight w:val="none"/>
          <w:lang w:val="en-US" w:eastAsia="zh-CN"/>
        </w:rPr>
        <w:t>排口</w:t>
      </w:r>
      <w:r>
        <w:rPr>
          <w:rFonts w:hint="eastAsia" w:ascii="Times New Roman" w:hAnsi="Times New Roman" w:eastAsia="宋体" w:cs="Courier New"/>
          <w:b w:val="0"/>
          <w:bCs w:val="0"/>
          <w:color w:val="auto"/>
          <w:highlight w:val="none"/>
          <w:lang w:val="en-US" w:eastAsia="zh-CN"/>
        </w:rPr>
        <w:t>上游</w:t>
      </w:r>
      <w:r>
        <w:rPr>
          <w:rFonts w:hint="eastAsia" w:cs="Courier New"/>
          <w:b w:val="0"/>
          <w:bCs w:val="0"/>
          <w:color w:val="auto"/>
          <w:highlight w:val="none"/>
          <w:lang w:val="en-US" w:eastAsia="zh-CN"/>
        </w:rPr>
        <w:t>0.5k</w:t>
      </w:r>
      <w:r>
        <w:rPr>
          <w:rFonts w:hint="eastAsia" w:ascii="Times New Roman" w:hAnsi="Times New Roman" w:eastAsia="宋体" w:cs="Courier New"/>
          <w:b w:val="0"/>
          <w:bCs w:val="0"/>
          <w:color w:val="auto"/>
          <w:highlight w:val="none"/>
          <w:lang w:val="en-US" w:eastAsia="zh-CN"/>
        </w:rPr>
        <w:t>m至下游</w:t>
      </w:r>
      <w:r>
        <w:rPr>
          <w:rFonts w:hint="eastAsia" w:cs="Courier New"/>
          <w:b w:val="0"/>
          <w:bCs w:val="0"/>
          <w:color w:val="auto"/>
          <w:highlight w:val="none"/>
          <w:lang w:val="en-US" w:eastAsia="zh-CN"/>
        </w:rPr>
        <w:t>30.4km（纳溪口国控断面）范围</w:t>
      </w:r>
      <w:r>
        <w:rPr>
          <w:rFonts w:hint="eastAsia"/>
          <w:color w:val="auto"/>
          <w:szCs w:val="24"/>
          <w:lang w:val="en-US" w:eastAsia="zh-CN"/>
        </w:rPr>
        <w:t>。</w:t>
      </w:r>
    </w:p>
    <w:p w14:paraId="53726768">
      <w:pPr>
        <w:spacing w:line="360" w:lineRule="auto"/>
        <w:ind w:left="0" w:leftChars="0" w:firstLine="0" w:firstLineChars="0"/>
        <w:jc w:val="center"/>
        <w:rPr>
          <w:color w:val="auto"/>
        </w:rPr>
      </w:pPr>
      <w:r>
        <w:rPr>
          <w:color w:val="auto"/>
        </w:rPr>
        <w:drawing>
          <wp:inline distT="0" distB="0" distL="114300" distR="114300">
            <wp:extent cx="4714875" cy="5286375"/>
            <wp:effectExtent l="0" t="0" r="9525" b="9525"/>
            <wp:docPr id="1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5"/>
                    <pic:cNvPicPr>
                      <a:picLocks noChangeAspect="1"/>
                    </pic:cNvPicPr>
                  </pic:nvPicPr>
                  <pic:blipFill>
                    <a:blip r:embed="rId23"/>
                    <a:stretch>
                      <a:fillRect/>
                    </a:stretch>
                  </pic:blipFill>
                  <pic:spPr>
                    <a:xfrm>
                      <a:off x="0" y="0"/>
                      <a:ext cx="4714875" cy="5286375"/>
                    </a:xfrm>
                    <a:prstGeom prst="rect">
                      <a:avLst/>
                    </a:prstGeom>
                    <a:noFill/>
                    <a:ln>
                      <a:noFill/>
                    </a:ln>
                  </pic:spPr>
                </pic:pic>
              </a:graphicData>
            </a:graphic>
          </wp:inline>
        </w:drawing>
      </w:r>
    </w:p>
    <w:p w14:paraId="6A547374">
      <w:pPr>
        <w:pStyle w:val="43"/>
        <w:numPr>
          <w:ilvl w:val="0"/>
          <w:numId w:val="16"/>
        </w:numPr>
        <w:bidi w:val="0"/>
        <w:ind w:left="425" w:leftChars="0" w:hanging="425" w:firstLineChars="0"/>
        <w:rPr>
          <w:rFonts w:hint="default" w:ascii="Times New Roman" w:hAnsi="Times New Roman" w:cs="Times New Roman"/>
          <w:color w:val="auto"/>
          <w:lang w:val="en-US" w:eastAsia="zh-CN"/>
        </w:rPr>
      </w:pPr>
      <w:r>
        <w:rPr>
          <w:rFonts w:hint="eastAsia" w:cs="Times New Roman"/>
          <w:color w:val="auto"/>
          <w:lang w:val="en-US" w:eastAsia="zh-CN"/>
        </w:rPr>
        <w:t>地表水</w:t>
      </w:r>
      <w:r>
        <w:rPr>
          <w:rFonts w:hint="eastAsia" w:ascii="Times New Roman" w:hAnsi="Times New Roman" w:cs="Times New Roman"/>
          <w:color w:val="auto"/>
          <w:lang w:val="en-US" w:eastAsia="zh-CN"/>
        </w:rPr>
        <w:t>环境影响评价范围图</w:t>
      </w:r>
      <w:r>
        <w:rPr>
          <w:rFonts w:hint="eastAsia" w:cs="Times New Roman"/>
          <w:color w:val="auto"/>
          <w:lang w:val="en-US" w:eastAsia="zh-CN"/>
        </w:rPr>
        <w:t>（通江河）</w:t>
      </w:r>
    </w:p>
    <w:p w14:paraId="2001FA87">
      <w:pPr>
        <w:pStyle w:val="29"/>
        <w:ind w:left="0" w:leftChars="0" w:firstLine="482" w:firstLineChars="200"/>
        <w:rPr>
          <w:color w:val="auto"/>
        </w:rPr>
      </w:pPr>
      <w:r>
        <w:rPr>
          <w:color w:val="auto"/>
        </w:rPr>
        <w:t>3</w:t>
      </w:r>
      <w:r>
        <w:rPr>
          <w:rFonts w:hint="eastAsia"/>
          <w:color w:val="auto"/>
        </w:rPr>
        <w:t>、地下水</w:t>
      </w:r>
      <w:r>
        <w:rPr>
          <w:color w:val="auto"/>
        </w:rPr>
        <w:t>环境</w:t>
      </w:r>
    </w:p>
    <w:p w14:paraId="0F806C32">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根据《环境影响评价技术导则</w:t>
      </w:r>
      <w:r>
        <w:rPr>
          <w:rFonts w:ascii="Times New Roman" w:hAnsi="Times New Roman"/>
          <w:color w:val="auto"/>
          <w:sz w:val="24"/>
          <w:szCs w:val="24"/>
        </w:rPr>
        <w:t xml:space="preserve"> </w:t>
      </w:r>
      <w:r>
        <w:rPr>
          <w:rFonts w:hint="eastAsia" w:ascii="Times New Roman" w:hAnsi="Times New Roman"/>
          <w:color w:val="auto"/>
          <w:sz w:val="24"/>
          <w:szCs w:val="24"/>
        </w:rPr>
        <w:t>地下水环境》（HJ610-2016），地下水环境现状调查评价范围应包括于建设项目相关的地下水环境保护目标，以能说明地下水环境现状，反映调查评价区地下水基本渗流特征，满足地下水环境影响预测和评价为基本原则。</w:t>
      </w:r>
    </w:p>
    <w:p w14:paraId="540379C9">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建设项目地下水环境现状调查评价范围的确定可采用公式计算法、查表法及自定义法确定，其中：</w:t>
      </w:r>
    </w:p>
    <w:p w14:paraId="69F601A4">
      <w:pPr>
        <w:spacing w:line="360" w:lineRule="auto"/>
        <w:ind w:left="0" w:leftChars="0" w:firstLine="482" w:firstLineChars="200"/>
        <w:rPr>
          <w:rFonts w:ascii="Times New Roman" w:hAnsi="Times New Roman"/>
          <w:b/>
          <w:color w:val="auto"/>
          <w:sz w:val="24"/>
          <w:szCs w:val="24"/>
        </w:rPr>
      </w:pPr>
      <w:r>
        <w:rPr>
          <w:rFonts w:hint="eastAsia" w:ascii="Times New Roman" w:hAnsi="Times New Roman"/>
          <w:b/>
          <w:color w:val="auto"/>
          <w:sz w:val="24"/>
          <w:szCs w:val="24"/>
        </w:rPr>
        <w:t>（1）公式计算法</w:t>
      </w:r>
    </w:p>
    <w:p w14:paraId="358D62C1">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当建设项目所在地水文地质条件相对简单，且所掌握的资料能够满足公式计算法的要求时，应采用公式计算法确定：</w:t>
      </w:r>
    </w:p>
    <w:p w14:paraId="674003B1">
      <w:pPr>
        <w:spacing w:line="360" w:lineRule="auto"/>
        <w:jc w:val="center"/>
        <w:rPr>
          <w:rFonts w:ascii="Times New Roman" w:hAnsi="Times New Roman"/>
          <w:color w:val="auto"/>
          <w:sz w:val="24"/>
          <w:szCs w:val="24"/>
        </w:rPr>
      </w:pPr>
      <w:r>
        <w:rPr>
          <w:rFonts w:ascii="Times New Roman" w:hAnsi="Times New Roman"/>
          <w:color w:val="auto"/>
          <w:sz w:val="24"/>
          <w:szCs w:val="24"/>
        </w:rPr>
        <w:t>L</w:t>
      </w:r>
      <w:r>
        <w:rPr>
          <w:rFonts w:hint="eastAsia" w:ascii="Times New Roman" w:hAnsi="Times New Roman"/>
          <w:color w:val="auto"/>
          <w:sz w:val="24"/>
          <w:szCs w:val="24"/>
        </w:rPr>
        <w:t>=</w:t>
      </w:r>
      <w:r>
        <w:rPr>
          <w:rFonts w:ascii="Times New Roman" w:hAnsi="Times New Roman"/>
          <w:color w:val="auto"/>
          <w:sz w:val="24"/>
          <w:szCs w:val="24"/>
        </w:rPr>
        <w:t>α×K×I×T/n</w:t>
      </w:r>
      <w:r>
        <w:rPr>
          <w:rFonts w:ascii="Times New Roman" w:hAnsi="Times New Roman"/>
          <w:color w:val="auto"/>
          <w:sz w:val="24"/>
          <w:szCs w:val="24"/>
          <w:vertAlign w:val="subscript"/>
        </w:rPr>
        <w:t>e</w:t>
      </w:r>
    </w:p>
    <w:p w14:paraId="510579DC">
      <w:pPr>
        <w:spacing w:line="360" w:lineRule="auto"/>
        <w:ind w:firstLine="480" w:firstLineChars="200"/>
        <w:rPr>
          <w:rFonts w:ascii="Times New Roman" w:hAnsi="Times New Roman" w:cs="宋体"/>
          <w:color w:val="auto"/>
          <w:sz w:val="24"/>
          <w:szCs w:val="24"/>
        </w:rPr>
      </w:pPr>
      <w:r>
        <w:rPr>
          <w:rFonts w:hint="eastAsia" w:ascii="Times New Roman" w:hAnsi="Times New Roman" w:cs="宋体"/>
          <w:color w:val="auto"/>
          <w:sz w:val="24"/>
          <w:szCs w:val="24"/>
        </w:rPr>
        <w:t>式中，</w:t>
      </w:r>
      <w:r>
        <w:rPr>
          <w:rFonts w:hint="eastAsia" w:ascii="Times New Roman" w:hAnsi="Times New Roman"/>
          <w:iCs/>
          <w:color w:val="auto"/>
          <w:sz w:val="24"/>
          <w:szCs w:val="24"/>
        </w:rPr>
        <w:t>L</w:t>
      </w:r>
      <w:r>
        <w:rPr>
          <w:rFonts w:ascii="Times New Roman" w:hAnsi="Times New Roman"/>
          <w:color w:val="auto"/>
          <w:sz w:val="24"/>
          <w:szCs w:val="24"/>
        </w:rPr>
        <w:t>——</w:t>
      </w:r>
      <w:r>
        <w:rPr>
          <w:rFonts w:hint="eastAsia" w:ascii="Times New Roman" w:hAnsi="Times New Roman" w:cs="宋体"/>
          <w:color w:val="auto"/>
          <w:sz w:val="24"/>
          <w:szCs w:val="24"/>
        </w:rPr>
        <w:t>下游迁移距离，m；</w:t>
      </w:r>
    </w:p>
    <w:p w14:paraId="5115FD02">
      <w:pPr>
        <w:spacing w:line="360" w:lineRule="auto"/>
        <w:ind w:firstLine="1200" w:firstLineChars="500"/>
        <w:rPr>
          <w:rFonts w:ascii="Times New Roman" w:hAnsi="Times New Roman" w:cs="宋体"/>
          <w:color w:val="auto"/>
          <w:sz w:val="24"/>
          <w:szCs w:val="24"/>
        </w:rPr>
      </w:pPr>
      <w:r>
        <w:rPr>
          <w:rFonts w:ascii="Times New Roman" w:hAnsi="Times New Roman"/>
          <w:color w:val="auto"/>
          <w:sz w:val="24"/>
          <w:szCs w:val="24"/>
        </w:rPr>
        <w:t>α——</w:t>
      </w:r>
      <w:r>
        <w:rPr>
          <w:rFonts w:hint="eastAsia" w:ascii="Times New Roman" w:hAnsi="Times New Roman" w:cs="宋体"/>
          <w:color w:val="auto"/>
          <w:sz w:val="24"/>
          <w:szCs w:val="24"/>
        </w:rPr>
        <w:t>变化系数，</w:t>
      </w:r>
      <w:r>
        <w:rPr>
          <w:rFonts w:ascii="Times New Roman" w:hAnsi="Times New Roman"/>
          <w:color w:val="auto"/>
          <w:sz w:val="24"/>
          <w:szCs w:val="24"/>
        </w:rPr>
        <w:t>α≥1</w:t>
      </w:r>
      <w:r>
        <w:rPr>
          <w:rFonts w:hint="eastAsia" w:ascii="Times New Roman" w:hAnsi="Times New Roman"/>
          <w:color w:val="auto"/>
          <w:sz w:val="24"/>
          <w:szCs w:val="24"/>
        </w:rPr>
        <w:t>，</w:t>
      </w:r>
      <w:r>
        <w:rPr>
          <w:rFonts w:ascii="Times New Roman" w:hAnsi="Times New Roman"/>
          <w:color w:val="auto"/>
          <w:sz w:val="24"/>
          <w:szCs w:val="24"/>
        </w:rPr>
        <w:t>一般取</w:t>
      </w:r>
      <w:r>
        <w:rPr>
          <w:rFonts w:hint="eastAsia" w:ascii="Times New Roman" w:hAnsi="Times New Roman"/>
          <w:color w:val="auto"/>
          <w:sz w:val="24"/>
          <w:szCs w:val="24"/>
        </w:rPr>
        <w:t>2</w:t>
      </w:r>
      <w:r>
        <w:rPr>
          <w:rFonts w:hint="eastAsia" w:ascii="Times New Roman" w:hAnsi="Times New Roman" w:cs="宋体"/>
          <w:color w:val="auto"/>
          <w:sz w:val="24"/>
          <w:szCs w:val="24"/>
        </w:rPr>
        <w:t>；</w:t>
      </w:r>
    </w:p>
    <w:p w14:paraId="3069012F">
      <w:pPr>
        <w:spacing w:line="360" w:lineRule="auto"/>
        <w:ind w:firstLine="1200" w:firstLineChars="500"/>
        <w:rPr>
          <w:rFonts w:ascii="Times New Roman" w:hAnsi="Times New Roman"/>
          <w:color w:val="auto"/>
          <w:sz w:val="24"/>
          <w:szCs w:val="24"/>
        </w:rPr>
      </w:pPr>
      <w:r>
        <w:rPr>
          <w:rFonts w:ascii="Times New Roman" w:hAnsi="Times New Roman"/>
          <w:color w:val="auto"/>
          <w:sz w:val="24"/>
          <w:szCs w:val="24"/>
        </w:rPr>
        <w:t>K——渗透系数</w:t>
      </w:r>
      <w:r>
        <w:rPr>
          <w:rFonts w:hint="eastAsia" w:ascii="Times New Roman" w:hAnsi="Times New Roman"/>
          <w:color w:val="auto"/>
          <w:sz w:val="24"/>
          <w:szCs w:val="24"/>
        </w:rPr>
        <w:t>，</w:t>
      </w:r>
      <w:r>
        <w:rPr>
          <w:rFonts w:ascii="Times New Roman" w:hAnsi="Times New Roman"/>
          <w:color w:val="auto"/>
          <w:sz w:val="24"/>
          <w:szCs w:val="24"/>
        </w:rPr>
        <w:t>m/d</w:t>
      </w:r>
      <w:r>
        <w:rPr>
          <w:rFonts w:hint="eastAsia" w:ascii="Times New Roman" w:hAnsi="Times New Roman"/>
          <w:color w:val="auto"/>
          <w:sz w:val="24"/>
          <w:szCs w:val="24"/>
        </w:rPr>
        <w:t>；</w:t>
      </w:r>
    </w:p>
    <w:p w14:paraId="3D3FC35E">
      <w:pPr>
        <w:spacing w:line="360" w:lineRule="auto"/>
        <w:ind w:firstLine="1200" w:firstLineChars="500"/>
        <w:rPr>
          <w:rFonts w:ascii="Times New Roman" w:hAnsi="Times New Roman"/>
          <w:color w:val="auto"/>
          <w:sz w:val="24"/>
          <w:szCs w:val="24"/>
        </w:rPr>
      </w:pPr>
      <w:r>
        <w:rPr>
          <w:rFonts w:ascii="Times New Roman" w:hAnsi="Times New Roman"/>
          <w:color w:val="auto"/>
          <w:sz w:val="24"/>
          <w:szCs w:val="24"/>
        </w:rPr>
        <w:t>I——水力坡度</w:t>
      </w:r>
      <w:r>
        <w:rPr>
          <w:rFonts w:hint="eastAsia" w:ascii="Times New Roman" w:hAnsi="Times New Roman"/>
          <w:color w:val="auto"/>
          <w:sz w:val="24"/>
          <w:szCs w:val="24"/>
        </w:rPr>
        <w:t>，</w:t>
      </w:r>
      <w:r>
        <w:rPr>
          <w:rFonts w:ascii="Times New Roman" w:hAnsi="Times New Roman"/>
          <w:color w:val="auto"/>
          <w:sz w:val="24"/>
          <w:szCs w:val="24"/>
        </w:rPr>
        <w:t>无量纲</w:t>
      </w:r>
      <w:r>
        <w:rPr>
          <w:rFonts w:hint="eastAsia" w:ascii="Times New Roman" w:hAnsi="Times New Roman"/>
          <w:color w:val="auto"/>
          <w:sz w:val="24"/>
          <w:szCs w:val="24"/>
        </w:rPr>
        <w:t>；</w:t>
      </w:r>
    </w:p>
    <w:p w14:paraId="1AC3537C">
      <w:pPr>
        <w:spacing w:line="360" w:lineRule="auto"/>
        <w:ind w:firstLine="1200" w:firstLineChars="500"/>
        <w:rPr>
          <w:rFonts w:ascii="Times New Roman" w:hAnsi="Times New Roman"/>
          <w:color w:val="auto"/>
          <w:sz w:val="24"/>
          <w:szCs w:val="24"/>
        </w:rPr>
      </w:pPr>
      <w:r>
        <w:rPr>
          <w:rFonts w:ascii="Times New Roman" w:hAnsi="Times New Roman"/>
          <w:color w:val="auto"/>
          <w:sz w:val="24"/>
          <w:szCs w:val="24"/>
        </w:rPr>
        <w:t>T——</w:t>
      </w:r>
      <w:r>
        <w:rPr>
          <w:rFonts w:hint="eastAsia" w:ascii="Times New Roman" w:hAnsi="Times New Roman"/>
          <w:color w:val="auto"/>
          <w:sz w:val="24"/>
          <w:szCs w:val="24"/>
        </w:rPr>
        <w:t>质点迁移天数，取值不小于5000d；</w:t>
      </w:r>
    </w:p>
    <w:p w14:paraId="1ED4C533">
      <w:pPr>
        <w:spacing w:line="360" w:lineRule="auto"/>
        <w:ind w:firstLine="1200" w:firstLineChars="500"/>
        <w:rPr>
          <w:rFonts w:ascii="Times New Roman" w:hAnsi="Times New Roman" w:cs="宋体"/>
          <w:color w:val="auto"/>
          <w:sz w:val="24"/>
          <w:szCs w:val="24"/>
        </w:rPr>
      </w:pPr>
      <w:r>
        <w:rPr>
          <w:rFonts w:ascii="Times New Roman" w:hAnsi="Times New Roman"/>
          <w:color w:val="auto"/>
          <w:sz w:val="24"/>
          <w:szCs w:val="24"/>
        </w:rPr>
        <w:t>n</w:t>
      </w:r>
      <w:r>
        <w:rPr>
          <w:rFonts w:ascii="Times New Roman" w:hAnsi="Times New Roman"/>
          <w:color w:val="auto"/>
          <w:sz w:val="24"/>
          <w:szCs w:val="24"/>
          <w:vertAlign w:val="subscript"/>
        </w:rPr>
        <w:t>e</w:t>
      </w:r>
      <w:r>
        <w:rPr>
          <w:rFonts w:ascii="Times New Roman" w:hAnsi="Times New Roman"/>
          <w:color w:val="auto"/>
          <w:sz w:val="24"/>
          <w:szCs w:val="24"/>
        </w:rPr>
        <w:t>——</w:t>
      </w:r>
      <w:r>
        <w:rPr>
          <w:rFonts w:hint="eastAsia" w:ascii="Times New Roman" w:hAnsi="Times New Roman"/>
          <w:color w:val="auto"/>
          <w:sz w:val="24"/>
          <w:szCs w:val="24"/>
        </w:rPr>
        <w:t>有效孔隙度，无量纲。</w:t>
      </w:r>
    </w:p>
    <w:p w14:paraId="652ED1E9">
      <w:pPr>
        <w:spacing w:line="360" w:lineRule="auto"/>
        <w:ind w:left="0" w:leftChars="0" w:firstLine="482" w:firstLineChars="200"/>
        <w:rPr>
          <w:rFonts w:ascii="Times New Roman" w:hAnsi="Times New Roman"/>
          <w:b/>
          <w:color w:val="auto"/>
          <w:sz w:val="24"/>
          <w:szCs w:val="24"/>
        </w:rPr>
      </w:pPr>
      <w:r>
        <w:rPr>
          <w:rFonts w:hint="eastAsia" w:ascii="Times New Roman" w:hAnsi="Times New Roman"/>
          <w:b/>
          <w:color w:val="auto"/>
          <w:sz w:val="24"/>
          <w:szCs w:val="24"/>
        </w:rPr>
        <w:t>（</w:t>
      </w:r>
      <w:r>
        <w:rPr>
          <w:rFonts w:ascii="Times New Roman" w:hAnsi="Times New Roman"/>
          <w:b/>
          <w:color w:val="auto"/>
          <w:sz w:val="24"/>
          <w:szCs w:val="24"/>
        </w:rPr>
        <w:t>2</w:t>
      </w:r>
      <w:r>
        <w:rPr>
          <w:rFonts w:hint="eastAsia" w:ascii="Times New Roman" w:hAnsi="Times New Roman"/>
          <w:b/>
          <w:color w:val="auto"/>
          <w:sz w:val="24"/>
          <w:szCs w:val="24"/>
        </w:rPr>
        <w:t>）查表法</w:t>
      </w:r>
    </w:p>
    <w:p w14:paraId="38D82023">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当不满足公式计算法的要求时</w:t>
      </w:r>
      <w:r>
        <w:rPr>
          <w:rFonts w:hint="eastAsia" w:ascii="Times New Roman" w:hAnsi="Times New Roman"/>
          <w:color w:val="auto"/>
          <w:sz w:val="24"/>
          <w:szCs w:val="24"/>
        </w:rPr>
        <w:t>，</w:t>
      </w:r>
      <w:r>
        <w:rPr>
          <w:rFonts w:ascii="Times New Roman" w:hAnsi="Times New Roman"/>
          <w:color w:val="auto"/>
          <w:sz w:val="24"/>
          <w:szCs w:val="24"/>
        </w:rPr>
        <w:t>可采用查表法确定</w:t>
      </w:r>
      <w:r>
        <w:rPr>
          <w:rFonts w:hint="eastAsia" w:ascii="Times New Roman" w:hAnsi="Times New Roman"/>
          <w:color w:val="auto"/>
          <w:sz w:val="24"/>
          <w:szCs w:val="24"/>
        </w:rPr>
        <w:t>。</w:t>
      </w:r>
    </w:p>
    <w:p w14:paraId="7DAB1F1D">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地下水环境现状评价范围参照表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0"/>
        <w:gridCol w:w="3172"/>
        <w:gridCol w:w="3172"/>
      </w:tblGrid>
      <w:tr w14:paraId="4471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666" w:type="pct"/>
            <w:shd w:val="clear" w:color="auto" w:fill="auto"/>
            <w:vAlign w:val="center"/>
          </w:tcPr>
          <w:p w14:paraId="078F832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评价等级</w:t>
            </w:r>
          </w:p>
        </w:tc>
        <w:tc>
          <w:tcPr>
            <w:tcW w:w="1667" w:type="pct"/>
            <w:shd w:val="clear" w:color="auto" w:fill="auto"/>
            <w:vAlign w:val="center"/>
          </w:tcPr>
          <w:p w14:paraId="62C092D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调查评价范围（km</w:t>
            </w:r>
            <w:r>
              <w:rPr>
                <w:rFonts w:hint="eastAsia" w:ascii="Times New Roman" w:hAnsi="Times New Roman" w:eastAsia="宋体" w:cs="Courier New"/>
                <w:b/>
                <w:bCs/>
                <w:color w:val="auto"/>
                <w:highlight w:val="none"/>
                <w:vertAlign w:val="superscript"/>
                <w:lang w:val="en-US" w:eastAsia="zh-CN"/>
              </w:rPr>
              <w:t>2</w:t>
            </w:r>
            <w:r>
              <w:rPr>
                <w:rFonts w:hint="eastAsia" w:ascii="Times New Roman" w:hAnsi="Times New Roman" w:eastAsia="宋体" w:cs="Courier New"/>
                <w:b/>
                <w:bCs/>
                <w:color w:val="auto"/>
                <w:highlight w:val="none"/>
                <w:lang w:val="en-US" w:eastAsia="zh-CN"/>
              </w:rPr>
              <w:t>）</w:t>
            </w:r>
          </w:p>
        </w:tc>
        <w:tc>
          <w:tcPr>
            <w:tcW w:w="1667" w:type="pct"/>
            <w:shd w:val="clear" w:color="auto" w:fill="auto"/>
            <w:vAlign w:val="center"/>
          </w:tcPr>
          <w:p w14:paraId="4286EEA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备注</w:t>
            </w:r>
          </w:p>
        </w:tc>
      </w:tr>
      <w:tr w14:paraId="5D27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170F87E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w:t>
            </w:r>
          </w:p>
        </w:tc>
        <w:tc>
          <w:tcPr>
            <w:tcW w:w="1667" w:type="pct"/>
            <w:shd w:val="clear" w:color="auto" w:fill="auto"/>
            <w:vAlign w:val="center"/>
          </w:tcPr>
          <w:p w14:paraId="254792B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1667" w:type="pct"/>
            <w:vMerge w:val="restart"/>
            <w:shd w:val="clear" w:color="auto" w:fill="auto"/>
            <w:vAlign w:val="center"/>
          </w:tcPr>
          <w:p w14:paraId="6CE30B9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应包括重要的地下水环境保护目标，必要时适当扩大范围</w:t>
            </w:r>
          </w:p>
        </w:tc>
      </w:tr>
      <w:tr w14:paraId="433A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03DE078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二级</w:t>
            </w:r>
          </w:p>
        </w:tc>
        <w:tc>
          <w:tcPr>
            <w:tcW w:w="1667" w:type="pct"/>
            <w:shd w:val="clear" w:color="auto" w:fill="auto"/>
            <w:vAlign w:val="center"/>
          </w:tcPr>
          <w:p w14:paraId="51ECD9B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6-20</w:t>
            </w:r>
          </w:p>
        </w:tc>
        <w:tc>
          <w:tcPr>
            <w:tcW w:w="1667" w:type="pct"/>
            <w:vMerge w:val="continue"/>
            <w:shd w:val="clear" w:color="auto" w:fill="auto"/>
            <w:vAlign w:val="center"/>
          </w:tcPr>
          <w:p w14:paraId="1F50568F">
            <w:pPr>
              <w:jc w:val="center"/>
              <w:rPr>
                <w:color w:val="auto"/>
                <w:szCs w:val="21"/>
              </w:rPr>
            </w:pPr>
          </w:p>
        </w:tc>
      </w:tr>
      <w:tr w14:paraId="41B0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02802A7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三级</w:t>
            </w:r>
          </w:p>
        </w:tc>
        <w:tc>
          <w:tcPr>
            <w:tcW w:w="1667" w:type="pct"/>
            <w:shd w:val="clear" w:color="auto" w:fill="auto"/>
            <w:vAlign w:val="center"/>
          </w:tcPr>
          <w:p w14:paraId="2547FEA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w:t>
            </w:r>
          </w:p>
        </w:tc>
        <w:tc>
          <w:tcPr>
            <w:tcW w:w="1667" w:type="pct"/>
            <w:vMerge w:val="continue"/>
            <w:shd w:val="clear" w:color="auto" w:fill="auto"/>
            <w:vAlign w:val="center"/>
          </w:tcPr>
          <w:p w14:paraId="1F6604FE">
            <w:pPr>
              <w:jc w:val="center"/>
              <w:rPr>
                <w:color w:val="auto"/>
                <w:szCs w:val="21"/>
              </w:rPr>
            </w:pPr>
          </w:p>
        </w:tc>
      </w:tr>
    </w:tbl>
    <w:p w14:paraId="41400E69">
      <w:pPr>
        <w:spacing w:line="360" w:lineRule="auto"/>
        <w:ind w:left="0" w:leftChars="0" w:firstLine="482" w:firstLineChars="200"/>
        <w:rPr>
          <w:rFonts w:ascii="Times New Roman" w:hAnsi="Times New Roman"/>
          <w:b/>
          <w:color w:val="auto"/>
          <w:sz w:val="24"/>
          <w:szCs w:val="24"/>
        </w:rPr>
      </w:pPr>
      <w:r>
        <w:rPr>
          <w:rFonts w:hint="eastAsia" w:ascii="Times New Roman" w:hAnsi="Times New Roman"/>
          <w:b/>
          <w:color w:val="auto"/>
          <w:sz w:val="24"/>
          <w:szCs w:val="24"/>
        </w:rPr>
        <w:t>（</w:t>
      </w:r>
      <w:r>
        <w:rPr>
          <w:rFonts w:ascii="Times New Roman" w:hAnsi="Times New Roman"/>
          <w:b/>
          <w:color w:val="auto"/>
          <w:sz w:val="24"/>
          <w:szCs w:val="24"/>
        </w:rPr>
        <w:t>3</w:t>
      </w:r>
      <w:r>
        <w:rPr>
          <w:rFonts w:hint="eastAsia" w:ascii="Times New Roman" w:hAnsi="Times New Roman"/>
          <w:b/>
          <w:color w:val="auto"/>
          <w:sz w:val="24"/>
          <w:szCs w:val="24"/>
        </w:rPr>
        <w:t>）自定义法</w:t>
      </w:r>
    </w:p>
    <w:p w14:paraId="501FD516">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根据建设项目所在地水文地质条件自行确定</w:t>
      </w:r>
      <w:r>
        <w:rPr>
          <w:rFonts w:hint="eastAsia" w:ascii="Times New Roman" w:hAnsi="Times New Roman"/>
          <w:color w:val="auto"/>
          <w:sz w:val="24"/>
          <w:szCs w:val="24"/>
        </w:rPr>
        <w:t>。</w:t>
      </w:r>
    </w:p>
    <w:p w14:paraId="27DC7B4C">
      <w:pPr>
        <w:spacing w:line="360" w:lineRule="auto"/>
        <w:ind w:left="0" w:leftChars="0" w:firstLine="480" w:firstLineChars="200"/>
        <w:rPr>
          <w:rFonts w:hint="default" w:ascii="Times New Roman" w:hAnsi="Times New Roman" w:cs="Times New Roman"/>
          <w:color w:val="auto"/>
          <w:highlight w:val="none"/>
          <w:u w:val="none"/>
        </w:rPr>
      </w:pPr>
      <w:r>
        <w:rPr>
          <w:rFonts w:hint="eastAsia"/>
          <w:color w:val="auto"/>
          <w:sz w:val="24"/>
          <w:szCs w:val="24"/>
          <w:highlight w:val="none"/>
          <w:lang w:val="en-US" w:eastAsia="zh-CN"/>
        </w:rPr>
        <w:t>本项目</w:t>
      </w:r>
      <w:r>
        <w:rPr>
          <w:rFonts w:hint="eastAsia" w:ascii="Times New Roman" w:hAnsi="Times New Roman"/>
          <w:color w:val="auto"/>
          <w:sz w:val="24"/>
          <w:szCs w:val="24"/>
          <w:highlight w:val="none"/>
          <w:lang w:val="en-US" w:eastAsia="zh-CN"/>
        </w:rPr>
        <w:t>位于</w:t>
      </w:r>
      <w:r>
        <w:rPr>
          <w:rFonts w:hint="eastAsia"/>
          <w:color w:val="auto"/>
          <w:sz w:val="24"/>
          <w:szCs w:val="24"/>
          <w:highlight w:val="none"/>
          <w:lang w:val="en-US" w:eastAsia="zh-CN"/>
        </w:rPr>
        <w:t>丘陵区，采用自定义法确定地下水环境影响评价范围，即：以完整水文地质单元为界，西侧420m处以龙潭沟为界、北侧2550m处以麻石口-杜家院一带分水岭为界、东侧1240m处以杜家院-团梁包一带分水岭为界，南侧2800m处以通江河为界</w:t>
      </w:r>
      <w:r>
        <w:rPr>
          <w:rFonts w:hint="eastAsia" w:ascii="Times New Roman" w:hAnsi="Times New Roman"/>
          <w:color w:val="auto"/>
          <w:sz w:val="24"/>
          <w:szCs w:val="24"/>
          <w:highlight w:val="none"/>
          <w:lang w:val="en-US" w:eastAsia="zh-CN"/>
        </w:rPr>
        <w:t>。</w:t>
      </w:r>
      <w:r>
        <w:rPr>
          <w:rFonts w:hint="default" w:ascii="Times New Roman" w:hAnsi="Times New Roman" w:cs="Times New Roman"/>
          <w:color w:val="auto"/>
          <w:highlight w:val="none"/>
          <w:u w:val="none"/>
          <w:lang w:val="en-US" w:eastAsia="zh-CN"/>
        </w:rPr>
        <w:t>据测算，本项目地下水环境影响</w:t>
      </w:r>
      <w:r>
        <w:rPr>
          <w:rFonts w:hint="default" w:ascii="Times New Roman" w:hAnsi="Times New Roman" w:cs="Times New Roman"/>
          <w:color w:val="auto"/>
          <w:highlight w:val="none"/>
          <w:u w:val="none"/>
        </w:rPr>
        <w:t>评价范围面积</w:t>
      </w:r>
      <w:r>
        <w:rPr>
          <w:rFonts w:hint="eastAsia" w:cs="Times New Roman"/>
          <w:color w:val="auto"/>
          <w:highlight w:val="none"/>
          <w:u w:val="none"/>
          <w:lang w:val="en-US" w:eastAsia="zh-CN"/>
        </w:rPr>
        <w:t>8.63km</w:t>
      </w:r>
      <w:r>
        <w:rPr>
          <w:rFonts w:hint="default" w:ascii="Times New Roman" w:hAnsi="Times New Roman" w:cs="Times New Roman"/>
          <w:color w:val="auto"/>
          <w:highlight w:val="none"/>
          <w:u w:val="none"/>
          <w:vertAlign w:val="superscript"/>
        </w:rPr>
        <w:t>2</w:t>
      </w:r>
      <w:r>
        <w:rPr>
          <w:rFonts w:hint="default" w:ascii="Times New Roman" w:hAnsi="Times New Roman" w:cs="Times New Roman"/>
          <w:color w:val="auto"/>
          <w:highlight w:val="none"/>
          <w:u w:val="none"/>
        </w:rPr>
        <w:t>。</w:t>
      </w:r>
    </w:p>
    <w:p w14:paraId="13932F03">
      <w:pPr>
        <w:spacing w:line="360" w:lineRule="auto"/>
        <w:ind w:left="0" w:leftChars="0" w:firstLine="0" w:firstLineChars="0"/>
        <w:rPr>
          <w:rFonts w:hint="default" w:ascii="Times New Roman" w:hAnsi="Times New Roman" w:cs="Times New Roman"/>
          <w:color w:val="auto"/>
          <w:highlight w:val="none"/>
          <w:u w:val="none"/>
          <w:lang w:val="en-US" w:eastAsia="zh-CN"/>
        </w:rPr>
      </w:pPr>
      <w:r>
        <w:rPr>
          <w:rFonts w:hint="default" w:ascii="Times New Roman" w:hAnsi="Times New Roman" w:cs="Times New Roman"/>
          <w:color w:val="auto"/>
          <w:highlight w:val="none"/>
          <w:u w:val="none"/>
          <w:lang w:val="en-US" w:eastAsia="zh-CN"/>
        </w:rPr>
        <w:drawing>
          <wp:inline distT="0" distB="0" distL="114300" distR="114300">
            <wp:extent cx="5711825" cy="5583555"/>
            <wp:effectExtent l="0" t="0" r="3175" b="17145"/>
            <wp:docPr id="161" name="图片 161" descr="评价范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评价范围图"/>
                    <pic:cNvPicPr>
                      <a:picLocks noChangeAspect="1"/>
                    </pic:cNvPicPr>
                  </pic:nvPicPr>
                  <pic:blipFill>
                    <a:blip r:embed="rId24"/>
                    <a:srcRect l="3786" t="23472" r="11455" b="17909"/>
                    <a:stretch>
                      <a:fillRect/>
                    </a:stretch>
                  </pic:blipFill>
                  <pic:spPr>
                    <a:xfrm>
                      <a:off x="0" y="0"/>
                      <a:ext cx="5711825" cy="5583555"/>
                    </a:xfrm>
                    <a:prstGeom prst="rect">
                      <a:avLst/>
                    </a:prstGeom>
                  </pic:spPr>
                </pic:pic>
              </a:graphicData>
            </a:graphic>
          </wp:inline>
        </w:drawing>
      </w:r>
    </w:p>
    <w:p w14:paraId="65A1F711">
      <w:pPr>
        <w:pStyle w:val="43"/>
        <w:numPr>
          <w:ilvl w:val="0"/>
          <w:numId w:val="16"/>
        </w:numPr>
        <w:bidi w:val="0"/>
        <w:ind w:left="425" w:leftChars="0" w:hanging="425"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地下水环境影响评价范围图</w:t>
      </w:r>
    </w:p>
    <w:p w14:paraId="667C9487">
      <w:pPr>
        <w:pStyle w:val="29"/>
        <w:ind w:left="0" w:leftChars="0" w:firstLine="482" w:firstLineChars="200"/>
        <w:rPr>
          <w:color w:val="auto"/>
        </w:rPr>
      </w:pPr>
      <w:r>
        <w:rPr>
          <w:color w:val="auto"/>
        </w:rPr>
        <w:t>4</w:t>
      </w:r>
      <w:r>
        <w:rPr>
          <w:rFonts w:hint="eastAsia"/>
          <w:color w:val="auto"/>
        </w:rPr>
        <w:t>、声</w:t>
      </w:r>
      <w:r>
        <w:rPr>
          <w:color w:val="auto"/>
        </w:rPr>
        <w:t>环境</w:t>
      </w:r>
    </w:p>
    <w:p w14:paraId="3A04AB6F">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自厂界向外延伸200m范围。</w:t>
      </w:r>
    </w:p>
    <w:p w14:paraId="5FCB1B2D">
      <w:pPr>
        <w:pStyle w:val="29"/>
        <w:ind w:left="0" w:leftChars="0" w:firstLine="482" w:firstLineChars="200"/>
        <w:rPr>
          <w:color w:val="auto"/>
        </w:rPr>
      </w:pPr>
      <w:r>
        <w:rPr>
          <w:color w:val="auto"/>
        </w:rPr>
        <w:t>5</w:t>
      </w:r>
      <w:r>
        <w:rPr>
          <w:rFonts w:hint="eastAsia"/>
          <w:color w:val="auto"/>
        </w:rPr>
        <w:t>、土壤</w:t>
      </w:r>
      <w:r>
        <w:rPr>
          <w:color w:val="auto"/>
        </w:rPr>
        <w:t>环境</w:t>
      </w:r>
    </w:p>
    <w:p w14:paraId="3CE04D80">
      <w:pPr>
        <w:spacing w:line="360" w:lineRule="auto"/>
        <w:ind w:left="0" w:leftChars="0" w:firstLine="480" w:firstLineChars="200"/>
        <w:rPr>
          <w:color w:val="auto"/>
        </w:rPr>
      </w:pPr>
      <w:r>
        <w:rPr>
          <w:rFonts w:ascii="Times New Roman" w:hAnsi="Times New Roman"/>
          <w:color w:val="auto"/>
          <w:sz w:val="24"/>
          <w:szCs w:val="24"/>
        </w:rPr>
        <w:t>项目占地范围内及占地范围外</w:t>
      </w:r>
      <w:r>
        <w:rPr>
          <w:rFonts w:hint="eastAsia" w:ascii="Times New Roman" w:hAnsi="Times New Roman"/>
          <w:color w:val="auto"/>
          <w:sz w:val="24"/>
          <w:szCs w:val="24"/>
        </w:rPr>
        <w:t>1km范围</w:t>
      </w:r>
      <w:r>
        <w:rPr>
          <w:rFonts w:hint="eastAsia"/>
          <w:color w:val="auto"/>
          <w:sz w:val="24"/>
          <w:szCs w:val="24"/>
          <w:lang w:eastAsia="zh-CN"/>
        </w:rPr>
        <w:t>，</w:t>
      </w:r>
      <w:r>
        <w:rPr>
          <w:rFonts w:hint="eastAsia" w:ascii="Times New Roman" w:hAnsi="Times New Roman"/>
          <w:color w:val="auto"/>
          <w:sz w:val="24"/>
          <w:szCs w:val="24"/>
        </w:rPr>
        <w:t>评价范围约</w:t>
      </w:r>
      <w:r>
        <w:rPr>
          <w:rFonts w:hint="eastAsia"/>
          <w:color w:val="auto"/>
          <w:sz w:val="24"/>
          <w:szCs w:val="24"/>
          <w:lang w:val="en-US" w:eastAsia="zh-CN"/>
        </w:rPr>
        <w:t>3.7</w:t>
      </w:r>
      <w:r>
        <w:rPr>
          <w:rFonts w:hint="eastAsia" w:ascii="Times New Roman" w:hAnsi="Times New Roman"/>
          <w:color w:val="auto"/>
          <w:sz w:val="24"/>
          <w:szCs w:val="24"/>
        </w:rPr>
        <w:t>km</w:t>
      </w:r>
      <w:r>
        <w:rPr>
          <w:rFonts w:hint="eastAsia" w:ascii="Times New Roman" w:hAnsi="Times New Roman"/>
          <w:color w:val="auto"/>
          <w:sz w:val="24"/>
          <w:szCs w:val="24"/>
          <w:vertAlign w:val="superscript"/>
        </w:rPr>
        <w:t>2</w:t>
      </w:r>
      <w:r>
        <w:rPr>
          <w:rFonts w:hint="eastAsia" w:ascii="Times New Roman" w:hAnsi="Times New Roman"/>
          <w:color w:val="auto"/>
          <w:sz w:val="24"/>
          <w:szCs w:val="24"/>
        </w:rPr>
        <w:t>。</w:t>
      </w:r>
      <w:r>
        <w:rPr>
          <w:color w:val="auto"/>
        </w:rPr>
        <w:drawing>
          <wp:inline distT="0" distB="0" distL="114300" distR="114300">
            <wp:extent cx="5899150" cy="5319395"/>
            <wp:effectExtent l="0" t="0" r="6350" b="14605"/>
            <wp:docPr id="16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6"/>
                    <pic:cNvPicPr>
                      <a:picLocks noChangeAspect="1"/>
                    </pic:cNvPicPr>
                  </pic:nvPicPr>
                  <pic:blipFill>
                    <a:blip r:embed="rId25"/>
                    <a:stretch>
                      <a:fillRect/>
                    </a:stretch>
                  </pic:blipFill>
                  <pic:spPr>
                    <a:xfrm>
                      <a:off x="0" y="0"/>
                      <a:ext cx="5899150" cy="5319395"/>
                    </a:xfrm>
                    <a:prstGeom prst="rect">
                      <a:avLst/>
                    </a:prstGeom>
                    <a:noFill/>
                    <a:ln>
                      <a:noFill/>
                    </a:ln>
                  </pic:spPr>
                </pic:pic>
              </a:graphicData>
            </a:graphic>
          </wp:inline>
        </w:drawing>
      </w:r>
    </w:p>
    <w:p w14:paraId="31A10F85">
      <w:pPr>
        <w:pStyle w:val="43"/>
        <w:numPr>
          <w:ilvl w:val="0"/>
          <w:numId w:val="16"/>
        </w:numPr>
        <w:bidi w:val="0"/>
        <w:ind w:left="425" w:leftChars="0" w:hanging="425"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土壤环境影响评价范围图</w:t>
      </w:r>
    </w:p>
    <w:p w14:paraId="45056951">
      <w:pPr>
        <w:pStyle w:val="29"/>
        <w:ind w:left="0" w:leftChars="0" w:firstLine="482" w:firstLineChars="200"/>
        <w:rPr>
          <w:color w:val="auto"/>
        </w:rPr>
      </w:pPr>
      <w:r>
        <w:rPr>
          <w:color w:val="auto"/>
        </w:rPr>
        <w:t>6</w:t>
      </w:r>
      <w:r>
        <w:rPr>
          <w:rFonts w:hint="eastAsia"/>
          <w:color w:val="auto"/>
        </w:rPr>
        <w:t>、生态</w:t>
      </w:r>
      <w:r>
        <w:rPr>
          <w:color w:val="auto"/>
        </w:rPr>
        <w:t>环境</w:t>
      </w:r>
    </w:p>
    <w:p w14:paraId="5C9840B4">
      <w:pPr>
        <w:spacing w:line="360" w:lineRule="auto"/>
        <w:ind w:left="0" w:leftChars="0" w:firstLine="480" w:firstLineChars="200"/>
        <w:rPr>
          <w:rFonts w:ascii="Times New Roman" w:hAnsi="Times New Roman"/>
          <w:color w:val="auto"/>
          <w:sz w:val="24"/>
          <w:szCs w:val="24"/>
        </w:rPr>
      </w:pPr>
      <w:r>
        <w:rPr>
          <w:rFonts w:cstheme="minorHAnsi"/>
          <w:color w:val="auto"/>
          <w:sz w:val="24"/>
          <w:szCs w:val="24"/>
        </w:rPr>
        <w:t>根据</w:t>
      </w:r>
      <w:r>
        <w:rPr>
          <w:rFonts w:hint="eastAsia" w:cstheme="minorHAnsi"/>
          <w:color w:val="auto"/>
          <w:sz w:val="24"/>
          <w:szCs w:val="24"/>
          <w:lang w:eastAsia="zh-CN"/>
        </w:rPr>
        <w:t>《环境影响评价技术导则 生态影响》（HJ19-2022）</w:t>
      </w:r>
      <w:r>
        <w:rPr>
          <w:rFonts w:cstheme="minorHAnsi"/>
          <w:color w:val="auto"/>
          <w:sz w:val="24"/>
          <w:szCs w:val="24"/>
        </w:rPr>
        <w:t>中评价</w:t>
      </w:r>
      <w:r>
        <w:rPr>
          <w:rFonts w:hint="eastAsia" w:cstheme="minorHAnsi"/>
          <w:color w:val="auto"/>
          <w:sz w:val="24"/>
          <w:szCs w:val="24"/>
          <w:lang w:val="en-US" w:eastAsia="zh-CN"/>
        </w:rPr>
        <w:t>范围确定依据</w:t>
      </w:r>
      <w:r>
        <w:rPr>
          <w:rFonts w:hint="eastAsia" w:cstheme="minorHAnsi"/>
          <w:color w:val="auto"/>
          <w:sz w:val="24"/>
          <w:szCs w:val="24"/>
          <w:lang w:eastAsia="zh-CN"/>
        </w:rPr>
        <w:t>“</w:t>
      </w:r>
      <w:r>
        <w:rPr>
          <w:rFonts w:hint="eastAsia" w:cstheme="minorHAnsi"/>
          <w:i/>
          <w:iCs/>
          <w:color w:val="auto"/>
          <w:sz w:val="24"/>
          <w:szCs w:val="24"/>
          <w:lang w:val="en-US" w:eastAsia="zh-CN"/>
        </w:rPr>
        <w:t>污染影响类建设项目评价范围应涵盖直接占用区域以及污染物排放产生的间接生态影响区域。</w:t>
      </w:r>
      <w:r>
        <w:rPr>
          <w:rFonts w:hint="eastAsia" w:cstheme="minorHAnsi"/>
          <w:color w:val="auto"/>
          <w:sz w:val="24"/>
          <w:szCs w:val="24"/>
          <w:lang w:val="en-US" w:eastAsia="zh-CN"/>
        </w:rPr>
        <w:t xml:space="preserve"> </w:t>
      </w:r>
      <w:r>
        <w:rPr>
          <w:rFonts w:hint="eastAsia" w:cstheme="minorHAnsi"/>
          <w:color w:val="auto"/>
          <w:sz w:val="24"/>
          <w:szCs w:val="24"/>
          <w:lang w:eastAsia="zh-CN"/>
        </w:rPr>
        <w:t>”</w:t>
      </w:r>
      <w:r>
        <w:rPr>
          <w:rFonts w:cstheme="minorHAnsi"/>
          <w:color w:val="auto"/>
          <w:sz w:val="24"/>
          <w:szCs w:val="24"/>
        </w:rPr>
        <w:t>，</w:t>
      </w:r>
      <w:r>
        <w:rPr>
          <w:bCs/>
          <w:color w:val="auto"/>
          <w:sz w:val="24"/>
        </w:rPr>
        <w:t>营运期产生的废气</w:t>
      </w:r>
      <w:r>
        <w:rPr>
          <w:rFonts w:hint="eastAsia"/>
          <w:bCs/>
          <w:color w:val="auto"/>
          <w:sz w:val="24"/>
          <w:lang w:eastAsia="zh-CN"/>
        </w:rPr>
        <w:t>、</w:t>
      </w:r>
      <w:r>
        <w:rPr>
          <w:rFonts w:hint="eastAsia"/>
          <w:bCs/>
          <w:color w:val="auto"/>
          <w:sz w:val="24"/>
          <w:lang w:val="en-US" w:eastAsia="zh-CN"/>
        </w:rPr>
        <w:t>废水</w:t>
      </w:r>
      <w:r>
        <w:rPr>
          <w:bCs/>
          <w:color w:val="auto"/>
          <w:sz w:val="24"/>
        </w:rPr>
        <w:t>经</w:t>
      </w:r>
      <w:r>
        <w:rPr>
          <w:rFonts w:hint="eastAsia"/>
          <w:bCs/>
          <w:color w:val="auto"/>
          <w:sz w:val="24"/>
        </w:rPr>
        <w:t>收集处理</w:t>
      </w:r>
      <w:r>
        <w:rPr>
          <w:bCs/>
          <w:color w:val="auto"/>
          <w:sz w:val="24"/>
        </w:rPr>
        <w:t>后</w:t>
      </w:r>
      <w:r>
        <w:rPr>
          <w:rFonts w:hint="eastAsia"/>
          <w:bCs/>
          <w:color w:val="auto"/>
          <w:sz w:val="24"/>
        </w:rPr>
        <w:t>均</w:t>
      </w:r>
      <w:r>
        <w:rPr>
          <w:bCs/>
          <w:color w:val="auto"/>
          <w:sz w:val="24"/>
        </w:rPr>
        <w:t>可实现达标排放</w:t>
      </w:r>
      <w:r>
        <w:rPr>
          <w:rFonts w:hint="eastAsia"/>
          <w:bCs/>
          <w:color w:val="auto"/>
          <w:sz w:val="24"/>
        </w:rPr>
        <w:t>，</w:t>
      </w:r>
      <w:r>
        <w:rPr>
          <w:rFonts w:hint="eastAsia"/>
          <w:bCs/>
          <w:color w:val="auto"/>
          <w:sz w:val="24"/>
          <w:lang w:val="en-US" w:eastAsia="zh-CN"/>
        </w:rPr>
        <w:t>且根据大气环境影响</w:t>
      </w:r>
      <w:r>
        <w:rPr>
          <w:rFonts w:ascii="Times New Roman" w:hAnsi="Times New Roman" w:cs="Times New Roman"/>
          <w:color w:val="auto"/>
          <w:sz w:val="24"/>
        </w:rPr>
        <w:t>预测</w:t>
      </w:r>
      <w:r>
        <w:rPr>
          <w:rFonts w:hint="eastAsia" w:ascii="Times New Roman" w:hAnsi="Times New Roman" w:cs="Times New Roman"/>
          <w:color w:val="auto"/>
          <w:sz w:val="24"/>
          <w:lang w:val="en-US" w:eastAsia="zh-CN"/>
        </w:rPr>
        <w:t>结果可知</w:t>
      </w:r>
      <w:r>
        <w:rPr>
          <w:rFonts w:hint="eastAsia" w:ascii="Times New Roman" w:hAnsi="Times New Roman" w:cs="Times New Roman"/>
          <w:color w:val="auto"/>
          <w:sz w:val="24"/>
        </w:rPr>
        <w:t>，</w:t>
      </w:r>
      <w:r>
        <w:rPr>
          <w:rFonts w:ascii="Times New Roman" w:hAnsi="Times New Roman" w:cs="Times New Roman"/>
          <w:color w:val="auto"/>
          <w:sz w:val="24"/>
        </w:rPr>
        <w:t>营运期外排废气对区域环境贡献值较低，不会造成敏感目标环境质量超标，不会改变区域环境功能</w:t>
      </w:r>
      <w:r>
        <w:rPr>
          <w:rFonts w:hint="eastAsia" w:ascii="Times New Roman" w:hAnsi="Times New Roman" w:cs="Times New Roman"/>
          <w:color w:val="auto"/>
          <w:sz w:val="24"/>
          <w:lang w:eastAsia="zh-CN"/>
        </w:rPr>
        <w:t>，</w:t>
      </w:r>
      <w:r>
        <w:rPr>
          <w:rFonts w:hint="eastAsia" w:cstheme="minorHAnsi"/>
          <w:color w:val="auto"/>
          <w:sz w:val="24"/>
          <w:szCs w:val="24"/>
          <w:lang w:val="en-US" w:eastAsia="zh-CN"/>
        </w:rPr>
        <w:t>污染物排放不会对外环境产生间接生态影响。因此，</w:t>
      </w:r>
      <w:r>
        <w:rPr>
          <w:rFonts w:cstheme="minorHAnsi"/>
          <w:b w:val="0"/>
          <w:bCs/>
          <w:color w:val="auto"/>
          <w:sz w:val="24"/>
          <w:szCs w:val="24"/>
        </w:rPr>
        <w:t>本项目</w:t>
      </w:r>
      <w:r>
        <w:rPr>
          <w:rFonts w:hint="eastAsia" w:cstheme="minorHAnsi"/>
          <w:b w:val="0"/>
          <w:bCs/>
          <w:color w:val="auto"/>
          <w:sz w:val="24"/>
          <w:szCs w:val="24"/>
        </w:rPr>
        <w:t>生态</w:t>
      </w:r>
      <w:r>
        <w:rPr>
          <w:rFonts w:cstheme="minorHAnsi"/>
          <w:b w:val="0"/>
          <w:bCs/>
          <w:color w:val="auto"/>
          <w:sz w:val="24"/>
          <w:szCs w:val="24"/>
        </w:rPr>
        <w:t>环境</w:t>
      </w:r>
      <w:r>
        <w:rPr>
          <w:rFonts w:hint="eastAsia" w:cstheme="minorHAnsi"/>
          <w:b w:val="0"/>
          <w:bCs/>
          <w:color w:val="auto"/>
          <w:sz w:val="24"/>
          <w:szCs w:val="24"/>
          <w:lang w:val="en-US" w:eastAsia="zh-CN"/>
        </w:rPr>
        <w:t>评价范围为</w:t>
      </w:r>
      <w:r>
        <w:rPr>
          <w:rFonts w:ascii="Times New Roman" w:hAnsi="Times New Roman"/>
          <w:color w:val="auto"/>
          <w:sz w:val="24"/>
          <w:szCs w:val="24"/>
        </w:rPr>
        <w:t>项目占地范围内</w:t>
      </w:r>
      <w:r>
        <w:rPr>
          <w:rFonts w:hint="eastAsia" w:ascii="Times New Roman" w:hAnsi="Times New Roman"/>
          <w:color w:val="auto"/>
          <w:sz w:val="24"/>
          <w:szCs w:val="24"/>
        </w:rPr>
        <w:t>。</w:t>
      </w:r>
    </w:p>
    <w:p w14:paraId="127101C6">
      <w:pPr>
        <w:pStyle w:val="29"/>
        <w:ind w:left="0" w:leftChars="0" w:firstLine="482" w:firstLineChars="200"/>
        <w:rPr>
          <w:color w:val="auto"/>
        </w:rPr>
      </w:pPr>
      <w:r>
        <w:rPr>
          <w:color w:val="auto"/>
        </w:rPr>
        <w:t>7</w:t>
      </w:r>
      <w:r>
        <w:rPr>
          <w:rFonts w:hint="eastAsia"/>
          <w:color w:val="auto"/>
        </w:rPr>
        <w:t>、环境风险</w:t>
      </w:r>
    </w:p>
    <w:p w14:paraId="46BE4D94">
      <w:pPr>
        <w:spacing w:line="360" w:lineRule="auto"/>
        <w:ind w:left="0" w:leftChars="0" w:firstLine="480" w:firstLineChars="200"/>
        <w:rPr>
          <w:rFonts w:cstheme="minorHAnsi"/>
          <w:color w:val="auto"/>
          <w:sz w:val="24"/>
          <w:szCs w:val="24"/>
        </w:rPr>
      </w:pPr>
      <w:r>
        <w:rPr>
          <w:rFonts w:hint="eastAsia" w:cstheme="minorHAnsi"/>
          <w:color w:val="auto"/>
          <w:sz w:val="24"/>
          <w:szCs w:val="24"/>
          <w:lang w:val="en-US" w:eastAsia="zh-CN"/>
        </w:rPr>
        <w:t>本项目</w:t>
      </w:r>
      <w:r>
        <w:rPr>
          <w:rFonts w:hint="eastAsia" w:cstheme="minorHAnsi"/>
          <w:color w:val="auto"/>
          <w:sz w:val="24"/>
          <w:szCs w:val="24"/>
        </w:rPr>
        <w:t>大气环境风险评价范围为距项目厂界5km范围</w:t>
      </w:r>
      <w:r>
        <w:rPr>
          <w:rFonts w:cstheme="minorHAnsi"/>
          <w:color w:val="auto"/>
          <w:sz w:val="24"/>
          <w:szCs w:val="24"/>
        </w:rPr>
        <w:t>，地表水、地下水环境风险评价范围同地表水、地下水评价范围。</w:t>
      </w:r>
    </w:p>
    <w:p w14:paraId="73E6CDBA">
      <w:pPr>
        <w:spacing w:line="360" w:lineRule="auto"/>
        <w:ind w:left="0" w:leftChars="0" w:firstLine="0" w:firstLineChars="0"/>
        <w:rPr>
          <w:rFonts w:cstheme="minorHAnsi"/>
          <w:color w:val="auto"/>
          <w:sz w:val="24"/>
          <w:szCs w:val="24"/>
        </w:rPr>
      </w:pPr>
      <w:r>
        <w:rPr>
          <w:color w:val="auto"/>
        </w:rPr>
        <w:drawing>
          <wp:inline distT="0" distB="0" distL="114300" distR="114300">
            <wp:extent cx="5902325" cy="5719445"/>
            <wp:effectExtent l="0" t="0" r="3175" b="14605"/>
            <wp:docPr id="16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7"/>
                    <pic:cNvPicPr>
                      <a:picLocks noChangeAspect="1"/>
                    </pic:cNvPicPr>
                  </pic:nvPicPr>
                  <pic:blipFill>
                    <a:blip r:embed="rId26"/>
                    <a:stretch>
                      <a:fillRect/>
                    </a:stretch>
                  </pic:blipFill>
                  <pic:spPr>
                    <a:xfrm>
                      <a:off x="0" y="0"/>
                      <a:ext cx="5902325" cy="5719445"/>
                    </a:xfrm>
                    <a:prstGeom prst="rect">
                      <a:avLst/>
                    </a:prstGeom>
                    <a:noFill/>
                    <a:ln>
                      <a:noFill/>
                    </a:ln>
                  </pic:spPr>
                </pic:pic>
              </a:graphicData>
            </a:graphic>
          </wp:inline>
        </w:drawing>
      </w:r>
    </w:p>
    <w:p w14:paraId="49CDF834">
      <w:pPr>
        <w:pStyle w:val="43"/>
        <w:numPr>
          <w:ilvl w:val="0"/>
          <w:numId w:val="16"/>
        </w:numPr>
        <w:bidi w:val="0"/>
        <w:ind w:left="425" w:leftChars="0" w:hanging="425"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大气环境风险评价范围</w:t>
      </w:r>
      <w:r>
        <w:rPr>
          <w:rFonts w:hint="eastAsia" w:cs="Times New Roman"/>
          <w:color w:val="auto"/>
          <w:lang w:val="en-US" w:eastAsia="zh-CN"/>
        </w:rPr>
        <w:t>及环境敏感目标位置</w:t>
      </w:r>
      <w:r>
        <w:rPr>
          <w:rFonts w:hint="eastAsia" w:ascii="Times New Roman" w:hAnsi="Times New Roman" w:cs="Times New Roman"/>
          <w:color w:val="auto"/>
          <w:lang w:val="en-US" w:eastAsia="zh-CN"/>
        </w:rPr>
        <w:t>图</w:t>
      </w:r>
    </w:p>
    <w:p w14:paraId="7AE9AA55">
      <w:pPr>
        <w:spacing w:line="360" w:lineRule="auto"/>
        <w:ind w:left="0" w:leftChars="0" w:firstLine="480" w:firstLineChars="200"/>
        <w:rPr>
          <w:rFonts w:hint="eastAsia" w:ascii="Times New Roman" w:hAnsi="Times New Roman"/>
          <w:color w:val="auto"/>
          <w:sz w:val="24"/>
          <w:szCs w:val="24"/>
        </w:rPr>
      </w:pPr>
      <w:r>
        <w:rPr>
          <w:rFonts w:ascii="Times New Roman" w:hAnsi="Times New Roman"/>
          <w:color w:val="auto"/>
          <w:sz w:val="24"/>
          <w:szCs w:val="24"/>
        </w:rPr>
        <w:t>综上所述</w:t>
      </w:r>
      <w:r>
        <w:rPr>
          <w:rFonts w:hint="eastAsia" w:ascii="Times New Roman" w:hAnsi="Times New Roman"/>
          <w:color w:val="auto"/>
          <w:sz w:val="24"/>
          <w:szCs w:val="24"/>
        </w:rPr>
        <w:t>，</w:t>
      </w:r>
      <w:r>
        <w:rPr>
          <w:rFonts w:ascii="Times New Roman" w:hAnsi="Times New Roman"/>
          <w:color w:val="auto"/>
          <w:sz w:val="24"/>
          <w:szCs w:val="24"/>
        </w:rPr>
        <w:t>本项目评价范围见</w:t>
      </w:r>
      <w:r>
        <w:rPr>
          <w:rFonts w:hint="eastAsia"/>
          <w:color w:val="auto"/>
          <w:sz w:val="24"/>
          <w:szCs w:val="24"/>
          <w:lang w:val="en-US" w:eastAsia="zh-CN"/>
        </w:rPr>
        <w:t>下</w:t>
      </w:r>
      <w:r>
        <w:rPr>
          <w:rFonts w:ascii="Times New Roman" w:hAnsi="Times New Roman"/>
          <w:color w:val="auto"/>
          <w:sz w:val="24"/>
          <w:szCs w:val="24"/>
        </w:rPr>
        <w:t>表</w:t>
      </w:r>
      <w:r>
        <w:rPr>
          <w:rFonts w:hint="eastAsia" w:ascii="Times New Roman" w:hAnsi="Times New Roman"/>
          <w:color w:val="auto"/>
          <w:sz w:val="24"/>
          <w:szCs w:val="24"/>
        </w:rPr>
        <w:t>。</w:t>
      </w:r>
    </w:p>
    <w:p w14:paraId="5A03BAA4">
      <w:pPr>
        <w:numPr>
          <w:ilvl w:val="0"/>
          <w:numId w:val="15"/>
        </w:numPr>
        <w:spacing w:line="360" w:lineRule="auto"/>
        <w:ind w:left="425" w:leftChars="0" w:hanging="425" w:firstLineChars="0"/>
        <w:jc w:val="center"/>
        <w:rPr>
          <w:rFonts w:hint="eastAsia"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评价范围</w:t>
      </w:r>
      <w:r>
        <w:rPr>
          <w:rFonts w:hint="eastAsia" w:eastAsia="黑体" w:cs="Times New Roman"/>
          <w:color w:val="auto"/>
          <w:sz w:val="21"/>
          <w:szCs w:val="21"/>
          <w:lang w:val="en-US" w:eastAsia="zh-CN"/>
        </w:rPr>
        <w:t>一览</w:t>
      </w:r>
      <w:r>
        <w:rPr>
          <w:rFonts w:hint="eastAsia" w:ascii="Times New Roman" w:hAnsi="Times New Roman" w:eastAsia="黑体" w:cs="Times New Roman"/>
          <w:color w:val="auto"/>
          <w:sz w:val="21"/>
          <w:szCs w:val="21"/>
          <w:lang w:val="en-US" w:eastAsia="zh-CN"/>
        </w:rPr>
        <w:t>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8068"/>
      </w:tblGrid>
      <w:tr w14:paraId="02AB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5C46A8D6">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环境要素</w:t>
            </w:r>
          </w:p>
        </w:tc>
        <w:tc>
          <w:tcPr>
            <w:tcW w:w="4240" w:type="pct"/>
            <w:shd w:val="clear" w:color="auto" w:fill="auto"/>
            <w:vAlign w:val="center"/>
          </w:tcPr>
          <w:p w14:paraId="7F47E976">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评价范围</w:t>
            </w:r>
          </w:p>
        </w:tc>
      </w:tr>
      <w:tr w14:paraId="2B3F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2C733B2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大气环境</w:t>
            </w:r>
          </w:p>
        </w:tc>
        <w:tc>
          <w:tcPr>
            <w:tcW w:w="4240" w:type="pct"/>
            <w:shd w:val="clear" w:color="auto" w:fill="auto"/>
            <w:vAlign w:val="center"/>
          </w:tcPr>
          <w:p w14:paraId="0EEB42F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以项目厂址为中心区域，自厂界外延边长为5×5km的矩形区域</w:t>
            </w:r>
          </w:p>
        </w:tc>
      </w:tr>
      <w:tr w14:paraId="6794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502EF2B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地表水环境</w:t>
            </w:r>
          </w:p>
        </w:tc>
        <w:tc>
          <w:tcPr>
            <w:tcW w:w="4240" w:type="pct"/>
            <w:shd w:val="clear" w:color="auto" w:fill="auto"/>
            <w:vAlign w:val="center"/>
          </w:tcPr>
          <w:p w14:paraId="73A3EED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通江河</w:t>
            </w:r>
            <w:r>
              <w:rPr>
                <w:rFonts w:hint="eastAsia" w:ascii="Times New Roman" w:hAnsi="Times New Roman" w:eastAsia="宋体" w:cs="Courier New"/>
                <w:b w:val="0"/>
                <w:bCs w:val="0"/>
                <w:color w:val="auto"/>
                <w:highlight w:val="none"/>
                <w:lang w:val="en-US" w:eastAsia="zh-CN"/>
              </w:rPr>
              <w:t>-通江县秋锦山产业园区综合污水处理厂</w:t>
            </w:r>
            <w:r>
              <w:rPr>
                <w:rFonts w:hint="eastAsia" w:cs="Courier New"/>
                <w:b w:val="0"/>
                <w:bCs w:val="0"/>
                <w:color w:val="auto"/>
                <w:highlight w:val="none"/>
                <w:lang w:val="en-US" w:eastAsia="zh-CN"/>
              </w:rPr>
              <w:t>排口</w:t>
            </w:r>
            <w:r>
              <w:rPr>
                <w:rFonts w:hint="eastAsia" w:ascii="Times New Roman" w:hAnsi="Times New Roman" w:eastAsia="宋体" w:cs="Courier New"/>
                <w:b w:val="0"/>
                <w:bCs w:val="0"/>
                <w:color w:val="auto"/>
                <w:highlight w:val="none"/>
                <w:lang w:val="en-US" w:eastAsia="zh-CN"/>
              </w:rPr>
              <w:t>上游</w:t>
            </w:r>
            <w:r>
              <w:rPr>
                <w:rFonts w:hint="eastAsia" w:cs="Courier New"/>
                <w:b w:val="0"/>
                <w:bCs w:val="0"/>
                <w:color w:val="auto"/>
                <w:highlight w:val="none"/>
                <w:lang w:val="en-US" w:eastAsia="zh-CN"/>
              </w:rPr>
              <w:t>0.5k</w:t>
            </w:r>
            <w:r>
              <w:rPr>
                <w:rFonts w:hint="eastAsia" w:ascii="Times New Roman" w:hAnsi="Times New Roman" w:eastAsia="宋体" w:cs="Courier New"/>
                <w:b w:val="0"/>
                <w:bCs w:val="0"/>
                <w:color w:val="auto"/>
                <w:highlight w:val="none"/>
                <w:lang w:val="en-US" w:eastAsia="zh-CN"/>
              </w:rPr>
              <w:t>m至下游</w:t>
            </w:r>
            <w:r>
              <w:rPr>
                <w:rFonts w:hint="eastAsia" w:cs="Courier New"/>
                <w:b w:val="0"/>
                <w:bCs w:val="0"/>
                <w:color w:val="auto"/>
                <w:highlight w:val="none"/>
                <w:lang w:val="en-US" w:eastAsia="zh-CN"/>
              </w:rPr>
              <w:t>30.4km（纳溪口国控断面）范围</w:t>
            </w:r>
          </w:p>
        </w:tc>
      </w:tr>
      <w:tr w14:paraId="0FD7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0E20165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地下水环境</w:t>
            </w:r>
          </w:p>
        </w:tc>
        <w:tc>
          <w:tcPr>
            <w:tcW w:w="4240" w:type="pct"/>
            <w:shd w:val="clear" w:color="auto" w:fill="auto"/>
            <w:vAlign w:val="center"/>
          </w:tcPr>
          <w:p w14:paraId="1043BFC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olor w:val="auto"/>
                <w:kern w:val="0"/>
                <w:sz w:val="21"/>
                <w:szCs w:val="21"/>
                <w:highlight w:val="none"/>
                <w:lang w:val="en-US" w:eastAsia="zh-CN"/>
              </w:rPr>
              <w:t>西侧420m处以龙潭沟为界、北侧2550m处以麻石口-杜家院一带分水岭为界、东侧1240m处以杜家院-团梁包一带分水岭为界，南侧2800m处以通江河为界</w:t>
            </w:r>
            <w:r>
              <w:rPr>
                <w:color w:val="auto"/>
                <w:kern w:val="0"/>
                <w:sz w:val="21"/>
                <w:szCs w:val="21"/>
                <w:highlight w:val="none"/>
              </w:rPr>
              <w:t>，</w:t>
            </w:r>
            <w:r>
              <w:rPr>
                <w:rFonts w:hint="eastAsia"/>
                <w:color w:val="auto"/>
                <w:kern w:val="0"/>
                <w:sz w:val="21"/>
                <w:szCs w:val="21"/>
                <w:highlight w:val="none"/>
                <w:lang w:val="en-US" w:eastAsia="zh-CN"/>
              </w:rPr>
              <w:t>评价范围</w:t>
            </w:r>
            <w:r>
              <w:rPr>
                <w:rFonts w:hint="eastAsia" w:cs="Times New Roman"/>
                <w:color w:val="auto"/>
                <w:sz w:val="21"/>
                <w:szCs w:val="21"/>
                <w:highlight w:val="none"/>
                <w:u w:val="none"/>
                <w:lang w:val="en-US" w:eastAsia="zh-CN"/>
              </w:rPr>
              <w:t>8.63km</w:t>
            </w:r>
            <w:r>
              <w:rPr>
                <w:rFonts w:hint="default" w:ascii="Times New Roman" w:hAnsi="Times New Roman" w:cs="Times New Roman"/>
                <w:color w:val="auto"/>
                <w:sz w:val="21"/>
                <w:szCs w:val="21"/>
                <w:highlight w:val="none"/>
                <w:u w:val="none"/>
                <w:vertAlign w:val="superscript"/>
              </w:rPr>
              <w:t>2</w:t>
            </w:r>
          </w:p>
        </w:tc>
      </w:tr>
      <w:tr w14:paraId="138D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5F29ABD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声环境</w:t>
            </w:r>
          </w:p>
        </w:tc>
        <w:tc>
          <w:tcPr>
            <w:tcW w:w="4240" w:type="pct"/>
            <w:shd w:val="clear" w:color="auto" w:fill="auto"/>
            <w:vAlign w:val="center"/>
          </w:tcPr>
          <w:p w14:paraId="7459600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自厂界向外延伸200m范围</w:t>
            </w:r>
          </w:p>
        </w:tc>
      </w:tr>
      <w:tr w14:paraId="56EA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7F35B67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土壤环境</w:t>
            </w:r>
          </w:p>
        </w:tc>
        <w:tc>
          <w:tcPr>
            <w:tcW w:w="4240" w:type="pct"/>
            <w:shd w:val="clear" w:color="auto" w:fill="auto"/>
            <w:vAlign w:val="center"/>
          </w:tcPr>
          <w:p w14:paraId="1BDC729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项目占地范围内及占地范围外1km范围</w:t>
            </w:r>
            <w:r>
              <w:rPr>
                <w:rFonts w:hint="eastAsia" w:cs="Courier New"/>
                <w:b w:val="0"/>
                <w:bCs w:val="0"/>
                <w:color w:val="auto"/>
                <w:sz w:val="21"/>
                <w:szCs w:val="21"/>
                <w:highlight w:val="none"/>
                <w:lang w:val="en-US" w:eastAsia="zh-CN"/>
              </w:rPr>
              <w:t>，</w:t>
            </w:r>
            <w:r>
              <w:rPr>
                <w:rFonts w:hint="eastAsia" w:ascii="Times New Roman" w:hAnsi="Times New Roman"/>
                <w:color w:val="auto"/>
                <w:sz w:val="21"/>
                <w:szCs w:val="21"/>
              </w:rPr>
              <w:t>评价范围</w:t>
            </w:r>
            <w:r>
              <w:rPr>
                <w:rFonts w:hint="eastAsia"/>
                <w:color w:val="auto"/>
                <w:sz w:val="21"/>
                <w:szCs w:val="21"/>
                <w:lang w:val="en-US" w:eastAsia="zh-CN"/>
              </w:rPr>
              <w:t>3.7</w:t>
            </w:r>
            <w:r>
              <w:rPr>
                <w:rFonts w:hint="eastAsia" w:ascii="Times New Roman" w:hAnsi="Times New Roman"/>
                <w:color w:val="auto"/>
                <w:sz w:val="21"/>
                <w:szCs w:val="21"/>
              </w:rPr>
              <w:t>km</w:t>
            </w:r>
            <w:r>
              <w:rPr>
                <w:rFonts w:hint="eastAsia" w:ascii="Times New Roman" w:hAnsi="Times New Roman"/>
                <w:color w:val="auto"/>
                <w:sz w:val="21"/>
                <w:szCs w:val="21"/>
                <w:vertAlign w:val="superscript"/>
              </w:rPr>
              <w:t>2</w:t>
            </w:r>
          </w:p>
        </w:tc>
      </w:tr>
      <w:tr w14:paraId="7270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531BA75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生态环境</w:t>
            </w:r>
          </w:p>
        </w:tc>
        <w:tc>
          <w:tcPr>
            <w:tcW w:w="4240" w:type="pct"/>
            <w:shd w:val="clear" w:color="auto" w:fill="auto"/>
            <w:vAlign w:val="center"/>
          </w:tcPr>
          <w:p w14:paraId="299244A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项目占地范围内</w:t>
            </w:r>
          </w:p>
        </w:tc>
      </w:tr>
      <w:tr w14:paraId="0173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 w:type="pct"/>
            <w:shd w:val="clear" w:color="auto" w:fill="auto"/>
            <w:vAlign w:val="center"/>
          </w:tcPr>
          <w:p w14:paraId="13537D2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环境风险</w:t>
            </w:r>
          </w:p>
        </w:tc>
        <w:tc>
          <w:tcPr>
            <w:tcW w:w="4240" w:type="pct"/>
            <w:shd w:val="clear" w:color="auto" w:fill="auto"/>
            <w:vAlign w:val="center"/>
          </w:tcPr>
          <w:p w14:paraId="73D7183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大气环境风险评价范围为距项目厂界5km范围，地表水、地下水环境风险评价范围同地表水、地下水评价范围</w:t>
            </w:r>
          </w:p>
        </w:tc>
      </w:tr>
    </w:tbl>
    <w:p w14:paraId="5605C3C7">
      <w:pPr>
        <w:pStyle w:val="39"/>
        <w:ind w:left="0" w:leftChars="0" w:firstLine="0" w:firstLineChars="0"/>
        <w:rPr>
          <w:rFonts w:ascii="Times New Roman" w:hAnsi="Times New Roman"/>
          <w:color w:val="auto"/>
        </w:rPr>
      </w:pPr>
      <w:bookmarkStart w:id="56" w:name="_Toc446770390"/>
      <w:bookmarkStart w:id="57" w:name="_Toc17596"/>
      <w:bookmarkStart w:id="58" w:name="_Toc14922"/>
      <w:bookmarkStart w:id="59" w:name="_Toc461524913"/>
      <w:r>
        <w:rPr>
          <w:rFonts w:ascii="Times New Roman" w:hAnsi="Times New Roman"/>
          <w:color w:val="auto"/>
        </w:rPr>
        <w:t>2.8 评价重点</w:t>
      </w:r>
      <w:bookmarkEnd w:id="56"/>
      <w:bookmarkEnd w:id="57"/>
      <w:bookmarkEnd w:id="58"/>
      <w:bookmarkEnd w:id="59"/>
    </w:p>
    <w:p w14:paraId="51B49085">
      <w:pPr>
        <w:spacing w:line="360" w:lineRule="auto"/>
        <w:rPr>
          <w:rFonts w:ascii="Times New Roman" w:hAnsi="Times New Roman"/>
          <w:color w:val="auto"/>
          <w:sz w:val="24"/>
          <w:szCs w:val="24"/>
        </w:rPr>
      </w:pPr>
      <w:r>
        <w:rPr>
          <w:rFonts w:hint="eastAsia" w:ascii="Times New Roman" w:hAnsi="Times New Roman"/>
          <w:color w:val="auto"/>
          <w:sz w:val="24"/>
          <w:szCs w:val="24"/>
        </w:rPr>
        <w:t>根据项目特点，综合考虑区域环境功能区划和外环境关系，确定本次评价重点为：</w:t>
      </w:r>
    </w:p>
    <w:p w14:paraId="45955799">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1、工程分析。</w:t>
      </w:r>
      <w:r>
        <w:rPr>
          <w:rFonts w:ascii="Times New Roman" w:hAnsi="Times New Roman"/>
          <w:color w:val="auto"/>
          <w:sz w:val="24"/>
          <w:szCs w:val="24"/>
        </w:rPr>
        <w:t>根据对生产工艺和原辅材料的分析，确定主要污染因子，分析污染物产生情况，据此提出污染物治理措施</w:t>
      </w:r>
      <w:r>
        <w:rPr>
          <w:rFonts w:hint="eastAsia" w:ascii="Times New Roman" w:hAnsi="Times New Roman"/>
          <w:color w:val="auto"/>
          <w:sz w:val="24"/>
          <w:szCs w:val="24"/>
        </w:rPr>
        <w:t>，并分析其达标情况，</w:t>
      </w:r>
      <w:r>
        <w:rPr>
          <w:rFonts w:ascii="Times New Roman" w:hAnsi="Times New Roman"/>
          <w:color w:val="auto"/>
          <w:sz w:val="24"/>
          <w:szCs w:val="24"/>
        </w:rPr>
        <w:t>评述清洁生产水平</w:t>
      </w:r>
      <w:r>
        <w:rPr>
          <w:rFonts w:hint="eastAsia" w:ascii="Times New Roman" w:hAnsi="Times New Roman"/>
          <w:color w:val="auto"/>
          <w:sz w:val="24"/>
          <w:szCs w:val="24"/>
        </w:rPr>
        <w:t>。</w:t>
      </w:r>
    </w:p>
    <w:p w14:paraId="1753B05A">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2、环境质量现状评价。根据现状监测数据，分析区域环境质量现状。</w:t>
      </w:r>
    </w:p>
    <w:p w14:paraId="61D09056">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3</w:t>
      </w:r>
      <w:r>
        <w:rPr>
          <w:rFonts w:hint="eastAsia" w:ascii="Times New Roman" w:hAnsi="Times New Roman"/>
          <w:color w:val="auto"/>
          <w:sz w:val="24"/>
          <w:szCs w:val="24"/>
        </w:rPr>
        <w:t>、环境影响分析。根据工程分析结果，预测主要污染因子对环境的影响程度和范围，论证所采取的污染防治措施的经济技术可行性以及先进性和稳定达标的可靠性。</w:t>
      </w:r>
    </w:p>
    <w:p w14:paraId="11E21303">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4</w:t>
      </w:r>
      <w:r>
        <w:rPr>
          <w:rFonts w:hint="eastAsia" w:ascii="Times New Roman" w:hAnsi="Times New Roman"/>
          <w:color w:val="auto"/>
          <w:sz w:val="24"/>
          <w:szCs w:val="24"/>
        </w:rPr>
        <w:t>、环境风险评价。开展风险调查，根据项目涉及的物质及工艺系统危险性和所在地的环境敏感性确定环境风险潜势，进行环境风险识别，提出环境风险防范措施及应急要求。</w:t>
      </w:r>
    </w:p>
    <w:p w14:paraId="4EC27595">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5</w:t>
      </w:r>
      <w:r>
        <w:rPr>
          <w:rFonts w:hint="eastAsia" w:ascii="Times New Roman" w:hAnsi="Times New Roman"/>
          <w:color w:val="auto"/>
          <w:sz w:val="24"/>
          <w:szCs w:val="24"/>
        </w:rPr>
        <w:t>、环境保护措施及其经济技术论证。分析论证拟采取措施的技术可行性、经济合理性、长期稳定运行和达标排放的可靠性，满足环境质量与污染物排放总量控制要求的可行性，据此给出各项措施可行性结论。</w:t>
      </w:r>
    </w:p>
    <w:p w14:paraId="5798C6CF">
      <w:pPr>
        <w:rPr>
          <w:color w:val="auto"/>
        </w:rPr>
      </w:pPr>
      <w:r>
        <w:rPr>
          <w:rFonts w:ascii="Times New Roman" w:hAnsi="Times New Roman"/>
          <w:color w:val="auto"/>
          <w:sz w:val="24"/>
          <w:szCs w:val="24"/>
        </w:rPr>
        <w:t>6</w:t>
      </w:r>
      <w:r>
        <w:rPr>
          <w:rFonts w:hint="eastAsia" w:ascii="Times New Roman" w:hAnsi="Times New Roman"/>
          <w:color w:val="auto"/>
          <w:sz w:val="24"/>
          <w:szCs w:val="24"/>
        </w:rPr>
        <w:t>、根据评价结果，明确建设项目环境影响可行性结论</w:t>
      </w:r>
      <w:r>
        <w:rPr>
          <w:rFonts w:hint="eastAsia"/>
          <w:color w:val="auto"/>
          <w:sz w:val="24"/>
          <w:szCs w:val="24"/>
          <w:lang w:eastAsia="zh-CN"/>
        </w:rPr>
        <w:t>。</w:t>
      </w:r>
    </w:p>
    <w:p w14:paraId="744306EC">
      <w:pPr>
        <w:pStyle w:val="2"/>
        <w:numPr>
          <w:ilvl w:val="0"/>
          <w:numId w:val="0"/>
        </w:numPr>
        <w:bidi w:val="0"/>
        <w:ind w:leftChars="0"/>
        <w:rPr>
          <w:rFonts w:hint="default" w:ascii="Times New Roman" w:hAnsi="Times New Roman" w:cs="Times New Roman"/>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50C48CB5">
      <w:pPr>
        <w:pStyle w:val="2"/>
        <w:bidi w:val="0"/>
        <w:rPr>
          <w:rFonts w:hint="default" w:ascii="Times New Roman" w:hAnsi="Times New Roman" w:cs="Times New Roman"/>
          <w:color w:val="auto"/>
          <w:highlight w:val="none"/>
        </w:rPr>
      </w:pPr>
      <w:bookmarkStart w:id="60" w:name="_Toc19134"/>
      <w:r>
        <w:rPr>
          <w:rFonts w:hint="default" w:ascii="Times New Roman" w:hAnsi="Times New Roman" w:cs="Times New Roman"/>
          <w:color w:val="auto"/>
          <w:highlight w:val="none"/>
        </w:rPr>
        <w:t>建设项目工程分析</w:t>
      </w:r>
      <w:bookmarkEnd w:id="60"/>
    </w:p>
    <w:p w14:paraId="567BCDDB">
      <w:pPr>
        <w:pStyle w:val="3"/>
        <w:bidi w:val="0"/>
        <w:rPr>
          <w:rFonts w:hint="default"/>
          <w:color w:val="auto"/>
          <w:highlight w:val="none"/>
        </w:rPr>
      </w:pPr>
      <w:bookmarkStart w:id="61" w:name="_Toc13161"/>
      <w:bookmarkStart w:id="62" w:name="_Toc22814"/>
      <w:bookmarkStart w:id="63" w:name="_Toc13450"/>
      <w:bookmarkStart w:id="64" w:name="_Toc19641"/>
      <w:r>
        <w:rPr>
          <w:rFonts w:hint="default"/>
          <w:color w:val="auto"/>
          <w:highlight w:val="none"/>
        </w:rPr>
        <w:t>建设项目概况</w:t>
      </w:r>
      <w:bookmarkEnd w:id="61"/>
      <w:bookmarkEnd w:id="62"/>
      <w:bookmarkEnd w:id="63"/>
      <w:bookmarkEnd w:id="64"/>
    </w:p>
    <w:p w14:paraId="0FC78256">
      <w:pPr>
        <w:pStyle w:val="4"/>
        <w:bidi w:val="0"/>
        <w:rPr>
          <w:rFonts w:hint="default"/>
          <w:color w:val="auto"/>
          <w:highlight w:val="none"/>
        </w:rPr>
      </w:pPr>
      <w:r>
        <w:rPr>
          <w:rFonts w:hint="default"/>
          <w:color w:val="auto"/>
          <w:highlight w:val="none"/>
        </w:rPr>
        <w:t>项目概况</w:t>
      </w:r>
    </w:p>
    <w:p w14:paraId="3A0A2279">
      <w:pPr>
        <w:spacing w:line="360" w:lineRule="auto"/>
        <w:ind w:left="0" w:leftChars="0" w:firstLine="480" w:firstLineChars="200"/>
        <w:rPr>
          <w:rFonts w:hint="eastAsia" w:ascii="Times New Roman" w:hAnsi="Times New Roman" w:eastAsiaTheme="minorEastAsia"/>
          <w:color w:val="auto"/>
          <w:sz w:val="24"/>
          <w:szCs w:val="24"/>
          <w:lang w:eastAsia="zh-CN"/>
        </w:rPr>
      </w:pPr>
      <w:r>
        <w:rPr>
          <w:rFonts w:hint="eastAsia" w:ascii="Times New Roman" w:hAnsi="Times New Roman"/>
          <w:color w:val="auto"/>
          <w:sz w:val="24"/>
          <w:szCs w:val="24"/>
        </w:rPr>
        <w:t>项目</w:t>
      </w:r>
      <w:r>
        <w:rPr>
          <w:rFonts w:ascii="Times New Roman" w:hAnsi="Times New Roman"/>
          <w:color w:val="auto"/>
          <w:sz w:val="24"/>
          <w:szCs w:val="24"/>
        </w:rPr>
        <w:t>名称：</w:t>
      </w:r>
      <w:r>
        <w:rPr>
          <w:rFonts w:hint="eastAsia"/>
          <w:color w:val="auto"/>
          <w:sz w:val="24"/>
          <w:szCs w:val="24"/>
          <w:lang w:eastAsia="zh-CN"/>
        </w:rPr>
        <w:t>聚羧酸减水剂与无碱速凝剂生产项目</w:t>
      </w:r>
    </w:p>
    <w:p w14:paraId="53BE66CE">
      <w:pPr>
        <w:spacing w:line="360" w:lineRule="auto"/>
        <w:rPr>
          <w:rFonts w:hint="eastAsia" w:ascii="Times New Roman" w:hAnsi="Times New Roman" w:eastAsiaTheme="minorEastAsia"/>
          <w:color w:val="auto"/>
          <w:sz w:val="24"/>
          <w:szCs w:val="24"/>
          <w:lang w:eastAsia="zh-CN"/>
        </w:rPr>
      </w:pPr>
      <w:r>
        <w:rPr>
          <w:rFonts w:hint="eastAsia" w:ascii="Times New Roman" w:hAnsi="Times New Roman"/>
          <w:color w:val="auto"/>
          <w:sz w:val="24"/>
          <w:szCs w:val="24"/>
        </w:rPr>
        <w:t>建设</w:t>
      </w:r>
      <w:r>
        <w:rPr>
          <w:rFonts w:ascii="Times New Roman" w:hAnsi="Times New Roman"/>
          <w:color w:val="auto"/>
          <w:sz w:val="24"/>
          <w:szCs w:val="24"/>
        </w:rPr>
        <w:t>单位：</w:t>
      </w:r>
      <w:r>
        <w:rPr>
          <w:rFonts w:hint="eastAsia"/>
          <w:color w:val="auto"/>
          <w:sz w:val="24"/>
          <w:szCs w:val="24"/>
          <w:lang w:eastAsia="zh-CN"/>
        </w:rPr>
        <w:t>四川诚正建科新材料有限公司</w:t>
      </w:r>
    </w:p>
    <w:p w14:paraId="732A1AAC">
      <w:pPr>
        <w:spacing w:line="360" w:lineRule="auto"/>
        <w:rPr>
          <w:rFonts w:hint="eastAsia" w:ascii="Times New Roman" w:hAnsi="Times New Roman"/>
          <w:color w:val="auto"/>
          <w:sz w:val="24"/>
          <w:szCs w:val="24"/>
        </w:rPr>
      </w:pPr>
      <w:r>
        <w:rPr>
          <w:rFonts w:hint="eastAsia" w:ascii="Times New Roman" w:hAnsi="Times New Roman"/>
          <w:color w:val="auto"/>
          <w:sz w:val="24"/>
          <w:szCs w:val="24"/>
        </w:rPr>
        <w:t>建设</w:t>
      </w:r>
      <w:r>
        <w:rPr>
          <w:rFonts w:ascii="Times New Roman" w:hAnsi="Times New Roman"/>
          <w:color w:val="auto"/>
          <w:sz w:val="24"/>
          <w:szCs w:val="24"/>
        </w:rPr>
        <w:t>地点：</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p>
    <w:p w14:paraId="766A9EFD">
      <w:pPr>
        <w:spacing w:line="360" w:lineRule="auto"/>
        <w:rPr>
          <w:rFonts w:ascii="Times New Roman" w:hAnsi="Times New Roman"/>
          <w:color w:val="auto"/>
          <w:sz w:val="24"/>
          <w:szCs w:val="24"/>
        </w:rPr>
      </w:pPr>
      <w:r>
        <w:rPr>
          <w:rFonts w:hint="eastAsia" w:ascii="Times New Roman" w:hAnsi="Times New Roman"/>
          <w:color w:val="auto"/>
          <w:sz w:val="24"/>
          <w:szCs w:val="24"/>
        </w:rPr>
        <w:t>建设性质</w:t>
      </w:r>
      <w:r>
        <w:rPr>
          <w:rFonts w:ascii="Times New Roman" w:hAnsi="Times New Roman"/>
          <w:color w:val="auto"/>
          <w:sz w:val="24"/>
          <w:szCs w:val="24"/>
        </w:rPr>
        <w:t>：</w:t>
      </w:r>
      <w:r>
        <w:rPr>
          <w:rFonts w:hint="eastAsia" w:ascii="Times New Roman" w:hAnsi="Times New Roman"/>
          <w:color w:val="auto"/>
          <w:sz w:val="24"/>
          <w:szCs w:val="24"/>
        </w:rPr>
        <w:t>新建</w:t>
      </w:r>
    </w:p>
    <w:p w14:paraId="2EE34A56">
      <w:pPr>
        <w:spacing w:line="360" w:lineRule="auto"/>
        <w:rPr>
          <w:rFonts w:ascii="Times New Roman" w:hAnsi="Times New Roman"/>
          <w:color w:val="auto"/>
          <w:sz w:val="24"/>
          <w:szCs w:val="24"/>
        </w:rPr>
      </w:pPr>
      <w:r>
        <w:rPr>
          <w:rFonts w:hint="eastAsia" w:ascii="Times New Roman" w:hAnsi="Times New Roman"/>
          <w:color w:val="auto"/>
          <w:sz w:val="24"/>
          <w:szCs w:val="24"/>
        </w:rPr>
        <w:t>项目</w:t>
      </w:r>
      <w:r>
        <w:rPr>
          <w:rFonts w:ascii="Times New Roman" w:hAnsi="Times New Roman"/>
          <w:color w:val="auto"/>
          <w:sz w:val="24"/>
          <w:szCs w:val="24"/>
        </w:rPr>
        <w:t>投资：</w:t>
      </w:r>
      <w:r>
        <w:rPr>
          <w:rFonts w:hint="eastAsia"/>
          <w:color w:val="auto"/>
          <w:lang w:val="en-US" w:eastAsia="zh-CN"/>
        </w:rPr>
        <w:t>11065</w:t>
      </w:r>
      <w:r>
        <w:rPr>
          <w:rFonts w:ascii="Times New Roman" w:hAnsi="Times New Roman"/>
          <w:color w:val="auto"/>
          <w:sz w:val="24"/>
          <w:szCs w:val="24"/>
        </w:rPr>
        <w:t>万元</w:t>
      </w:r>
    </w:p>
    <w:p w14:paraId="3C54E0ED">
      <w:pPr>
        <w:spacing w:line="360" w:lineRule="auto"/>
        <w:rPr>
          <w:rFonts w:hint="default" w:ascii="Times New Roman" w:hAnsi="Times New Roman"/>
          <w:color w:val="auto"/>
          <w:sz w:val="24"/>
          <w:szCs w:val="24"/>
          <w:vertAlign w:val="baseline"/>
          <w:lang w:val="en-US"/>
        </w:rPr>
      </w:pPr>
      <w:r>
        <w:rPr>
          <w:rFonts w:hint="eastAsia" w:ascii="Times New Roman" w:hAnsi="Times New Roman"/>
          <w:color w:val="auto"/>
          <w:sz w:val="24"/>
          <w:szCs w:val="24"/>
        </w:rPr>
        <w:t>占地面积：</w:t>
      </w:r>
      <w:r>
        <w:rPr>
          <w:rFonts w:hint="eastAsia"/>
          <w:color w:val="auto"/>
          <w:lang w:val="en-US" w:eastAsia="zh-CN"/>
        </w:rPr>
        <w:t>17171.05m</w:t>
      </w:r>
      <w:r>
        <w:rPr>
          <w:rFonts w:hint="eastAsia"/>
          <w:color w:val="auto"/>
          <w:vertAlign w:val="superscript"/>
          <w:lang w:val="en-US" w:eastAsia="zh-CN"/>
        </w:rPr>
        <w:t>2</w:t>
      </w:r>
    </w:p>
    <w:p w14:paraId="49947C4D">
      <w:pPr>
        <w:ind w:left="0" w:leftChars="0" w:firstLine="480" w:firstLineChars="200"/>
        <w:rPr>
          <w:rFonts w:hint="eastAsia"/>
          <w:b/>
          <w:bCs/>
          <w:color w:val="auto"/>
          <w:sz w:val="24"/>
          <w:lang w:val="en-US" w:eastAsia="zh-CN"/>
        </w:rPr>
      </w:pPr>
      <w:r>
        <w:rPr>
          <w:rFonts w:hint="eastAsia" w:ascii="Times New Roman" w:hAnsi="Times New Roman"/>
          <w:color w:val="auto"/>
          <w:sz w:val="24"/>
        </w:rPr>
        <w:t>建设内容：</w:t>
      </w:r>
      <w:r>
        <w:rPr>
          <w:color w:val="auto"/>
        </w:rPr>
        <w:t>包括</w:t>
      </w:r>
      <w:r>
        <w:rPr>
          <w:rFonts w:hint="eastAsia"/>
          <w:color w:val="auto"/>
          <w:lang w:val="en-US" w:eastAsia="zh-CN"/>
        </w:rPr>
        <w:t>1栋生产车间、3个罐区、1栋综合楼、1栋仓库和公用工程间、装卸区</w:t>
      </w:r>
      <w:r>
        <w:rPr>
          <w:color w:val="auto"/>
        </w:rPr>
        <w:t>等相关配套设施</w:t>
      </w:r>
      <w:r>
        <w:rPr>
          <w:rFonts w:hint="eastAsia"/>
          <w:color w:val="auto"/>
        </w:rPr>
        <w:t>，</w:t>
      </w:r>
      <w:r>
        <w:rPr>
          <w:rFonts w:hint="eastAsia"/>
          <w:color w:val="auto"/>
          <w:lang w:val="en-US" w:eastAsia="zh-CN"/>
        </w:rPr>
        <w:t>年产聚羧酸减水剂母液12000t（含减水型8000t、保坍型4000t，其中7200t（减水型4800t、保坍型2400t）用于生产高性能聚羧酸减水剂、4800t（减水型3200t、保坍型1600t）外售）、高性能聚羧酸减水剂20000t（含标准型15000t、缓凝型2500t、早强型2500t）、无碱速凝剂40000t、乳化型脱模剂10000t（含乳化油型5000t、水乳型5000t）。</w:t>
      </w:r>
    </w:p>
    <w:p w14:paraId="5F9818ED">
      <w:pPr>
        <w:ind w:left="0" w:leftChars="0"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劳动定员：</w:t>
      </w:r>
      <w:r>
        <w:rPr>
          <w:rFonts w:hint="eastAsia" w:cs="Times New Roman"/>
          <w:color w:val="auto"/>
          <w:sz w:val="24"/>
          <w:szCs w:val="24"/>
          <w:highlight w:val="none"/>
          <w:lang w:val="en-US" w:eastAsia="zh-CN"/>
        </w:rPr>
        <w:t>40</w:t>
      </w:r>
      <w:r>
        <w:rPr>
          <w:rFonts w:hint="eastAsia" w:ascii="Times New Roman" w:hAnsi="Times New Roman" w:eastAsia="宋体" w:cs="Times New Roman"/>
          <w:color w:val="auto"/>
          <w:sz w:val="24"/>
          <w:szCs w:val="24"/>
          <w:highlight w:val="none"/>
          <w:lang w:val="en-US" w:eastAsia="zh-CN"/>
        </w:rPr>
        <w:t>人</w:t>
      </w:r>
      <w:r>
        <w:rPr>
          <w:rFonts w:hint="eastAsia" w:cs="Times New Roman"/>
          <w:color w:val="auto"/>
          <w:sz w:val="24"/>
          <w:szCs w:val="24"/>
          <w:highlight w:val="none"/>
          <w:lang w:val="en-US" w:eastAsia="zh-CN"/>
        </w:rPr>
        <w:t>，不设食宿</w:t>
      </w:r>
      <w:r>
        <w:rPr>
          <w:rFonts w:hint="eastAsia" w:ascii="Times New Roman" w:hAnsi="Times New Roman" w:eastAsia="宋体" w:cs="Times New Roman"/>
          <w:color w:val="auto"/>
          <w:sz w:val="24"/>
          <w:szCs w:val="24"/>
          <w:highlight w:val="none"/>
          <w:lang w:val="en-US" w:eastAsia="zh-CN"/>
        </w:rPr>
        <w:t>。</w:t>
      </w:r>
    </w:p>
    <w:p w14:paraId="01E7AEF5">
      <w:pPr>
        <w:ind w:left="0" w:leftChars="0" w:firstLine="480" w:firstLineChars="200"/>
        <w:rPr>
          <w:rFonts w:hint="default"/>
          <w:color w:val="auto"/>
          <w:highlight w:val="none"/>
          <w:lang w:val="en-US" w:eastAsia="zh-CN"/>
        </w:rPr>
      </w:pPr>
      <w:r>
        <w:rPr>
          <w:rFonts w:hint="eastAsia"/>
          <w:color w:val="auto"/>
          <w:highlight w:val="none"/>
          <w:lang w:val="en-US" w:eastAsia="zh-CN"/>
        </w:rPr>
        <w:t>工作制度：全年生产300天，采取1班制，每班生产8小时。</w:t>
      </w:r>
    </w:p>
    <w:p w14:paraId="2FF2D6D0">
      <w:pPr>
        <w:pStyle w:val="4"/>
        <w:bidi w:val="0"/>
        <w:rPr>
          <w:rFonts w:hint="default"/>
          <w:color w:val="auto"/>
          <w:highlight w:val="none"/>
          <w:lang w:val="en-US" w:eastAsia="zh-CN"/>
        </w:rPr>
      </w:pPr>
      <w:r>
        <w:rPr>
          <w:rFonts w:hint="eastAsia" w:ascii="Times New Roman" w:hAnsi="Times New Roman"/>
          <w:color w:val="auto"/>
        </w:rPr>
        <w:t>产品</w:t>
      </w:r>
      <w:r>
        <w:rPr>
          <w:rFonts w:ascii="Times New Roman" w:hAnsi="Times New Roman"/>
          <w:color w:val="auto"/>
        </w:rPr>
        <w:t>方案</w:t>
      </w:r>
      <w:r>
        <w:rPr>
          <w:rFonts w:hint="eastAsia" w:ascii="Times New Roman" w:hAnsi="Times New Roman"/>
          <w:color w:val="auto"/>
        </w:rPr>
        <w:t>及</w:t>
      </w:r>
      <w:r>
        <w:rPr>
          <w:rFonts w:hint="eastAsia" w:ascii="Times New Roman" w:hAnsi="Times New Roman"/>
          <w:color w:val="auto"/>
          <w:lang w:val="en-US" w:eastAsia="zh-CN"/>
        </w:rPr>
        <w:t>质量标准</w:t>
      </w:r>
    </w:p>
    <w:p w14:paraId="50BFC95E">
      <w:pPr>
        <w:pStyle w:val="5"/>
        <w:bidi w:val="0"/>
        <w:rPr>
          <w:rFonts w:hint="default"/>
          <w:color w:val="auto"/>
          <w:highlight w:val="none"/>
        </w:rPr>
      </w:pPr>
      <w:r>
        <w:rPr>
          <w:rFonts w:hint="eastAsia" w:ascii="Times New Roman" w:hAnsi="Times New Roman" w:eastAsia="黑体" w:cs="Courier New"/>
          <w:b w:val="0"/>
          <w:bCs w:val="0"/>
          <w:color w:val="auto"/>
          <w:kern w:val="24"/>
          <w:sz w:val="24"/>
          <w:szCs w:val="30"/>
          <w:highlight w:val="none"/>
          <w:lang w:val="en-US" w:eastAsia="zh-CN" w:bidi="ar-SA"/>
        </w:rPr>
        <w:t>产品方案及规模</w:t>
      </w:r>
    </w:p>
    <w:p w14:paraId="542075CC">
      <w:pPr>
        <w:spacing w:line="360" w:lineRule="auto"/>
        <w:ind w:left="0" w:leftChars="0" w:firstLine="480" w:firstLineChars="200"/>
        <w:rPr>
          <w:rFonts w:hint="eastAsia" w:ascii="Times New Roman" w:hAnsi="Times New Roman"/>
          <w:color w:val="auto"/>
          <w:sz w:val="24"/>
        </w:rPr>
      </w:pPr>
      <w:r>
        <w:rPr>
          <w:rFonts w:hint="eastAsia" w:ascii="Times New Roman" w:hAnsi="Times New Roman"/>
          <w:color w:val="auto"/>
          <w:sz w:val="24"/>
        </w:rPr>
        <w:t>本项目产品方案见下表。</w:t>
      </w:r>
    </w:p>
    <w:p w14:paraId="19F068C9">
      <w:pPr>
        <w:pStyle w:val="37"/>
        <w:numPr>
          <w:ilvl w:val="0"/>
          <w:numId w:val="17"/>
        </w:numPr>
        <w:tabs>
          <w:tab w:val="left" w:pos="0"/>
        </w:tabs>
        <w:bidi w:val="0"/>
        <w:rPr>
          <w:rFonts w:hint="eastAsia" w:ascii="Times New Roman" w:hAnsi="Times New Roman" w:cs="Times New Roman"/>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本项目产品方案一览表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
        <w:gridCol w:w="657"/>
        <w:gridCol w:w="854"/>
        <w:gridCol w:w="727"/>
        <w:gridCol w:w="669"/>
        <w:gridCol w:w="2262"/>
        <w:gridCol w:w="704"/>
        <w:gridCol w:w="773"/>
        <w:gridCol w:w="2484"/>
      </w:tblGrid>
      <w:tr w14:paraId="7A80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 w:type="pct"/>
            <w:vAlign w:val="center"/>
          </w:tcPr>
          <w:p w14:paraId="5F40B97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795" w:type="pct"/>
            <w:gridSpan w:val="2"/>
            <w:vAlign w:val="center"/>
          </w:tcPr>
          <w:p w14:paraId="7A9F26C4">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产品名称</w:t>
            </w:r>
          </w:p>
        </w:tc>
        <w:tc>
          <w:tcPr>
            <w:tcW w:w="382" w:type="pct"/>
            <w:vAlign w:val="center"/>
          </w:tcPr>
          <w:p w14:paraId="532F03A9">
            <w:pPr>
              <w:pStyle w:val="24"/>
              <w:bidi w:val="0"/>
              <w:rPr>
                <w:rFonts w:hint="default"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形态</w:t>
            </w:r>
          </w:p>
        </w:tc>
        <w:tc>
          <w:tcPr>
            <w:tcW w:w="351" w:type="pct"/>
            <w:vAlign w:val="center"/>
          </w:tcPr>
          <w:p w14:paraId="51BCB0D1">
            <w:pPr>
              <w:pStyle w:val="24"/>
              <w:bidi w:val="0"/>
              <w:rPr>
                <w:rFonts w:hint="default" w:ascii="Times New Roman" w:hAnsi="Times New Roman" w:eastAsia="宋体" w:cs="Courier New"/>
                <w:b/>
                <w:bCs/>
                <w:color w:val="auto"/>
                <w:sz w:val="21"/>
                <w:szCs w:val="21"/>
                <w:highlight w:val="none"/>
                <w:lang w:val="en-US" w:eastAsia="zh-CN"/>
              </w:rPr>
            </w:pPr>
            <w:r>
              <w:rPr>
                <w:rFonts w:hint="eastAsia" w:cs="Courier New"/>
                <w:b/>
                <w:bCs/>
                <w:color w:val="auto"/>
                <w:sz w:val="21"/>
                <w:szCs w:val="21"/>
                <w:highlight w:val="none"/>
                <w:lang w:val="en-US" w:eastAsia="zh-CN"/>
              </w:rPr>
              <w:t>温度</w:t>
            </w:r>
          </w:p>
        </w:tc>
        <w:tc>
          <w:tcPr>
            <w:tcW w:w="1190" w:type="pct"/>
            <w:vAlign w:val="center"/>
          </w:tcPr>
          <w:p w14:paraId="268CCF0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厂内包装方式</w:t>
            </w:r>
          </w:p>
        </w:tc>
        <w:tc>
          <w:tcPr>
            <w:tcW w:w="370" w:type="pct"/>
            <w:vAlign w:val="center"/>
          </w:tcPr>
          <w:p w14:paraId="3B332209">
            <w:pPr>
              <w:pStyle w:val="24"/>
              <w:bidi w:val="0"/>
              <w:rPr>
                <w:rFonts w:hint="default"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外运方式</w:t>
            </w:r>
          </w:p>
        </w:tc>
        <w:tc>
          <w:tcPr>
            <w:tcW w:w="406" w:type="pct"/>
            <w:vAlign w:val="center"/>
          </w:tcPr>
          <w:p w14:paraId="22C9CF1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产量（</w:t>
            </w:r>
            <w:r>
              <w:rPr>
                <w:rFonts w:hint="eastAsia" w:cs="Courier New"/>
                <w:b/>
                <w:bCs/>
                <w:color w:val="auto"/>
                <w:sz w:val="21"/>
                <w:szCs w:val="21"/>
                <w:highlight w:val="none"/>
                <w:lang w:val="en-US" w:eastAsia="zh-CN"/>
              </w:rPr>
              <w:t>t</w:t>
            </w:r>
            <w:r>
              <w:rPr>
                <w:rFonts w:hint="eastAsia" w:ascii="Times New Roman" w:hAnsi="Times New Roman" w:eastAsia="宋体" w:cs="Courier New"/>
                <w:b/>
                <w:bCs/>
                <w:color w:val="auto"/>
                <w:sz w:val="21"/>
                <w:szCs w:val="21"/>
                <w:highlight w:val="none"/>
                <w:lang w:val="en-US" w:eastAsia="zh-CN"/>
              </w:rPr>
              <w:t>/a）</w:t>
            </w:r>
          </w:p>
        </w:tc>
        <w:tc>
          <w:tcPr>
            <w:tcW w:w="1306" w:type="pct"/>
            <w:vAlign w:val="center"/>
          </w:tcPr>
          <w:p w14:paraId="1279E9ED">
            <w:pPr>
              <w:pStyle w:val="24"/>
              <w:bidi w:val="0"/>
              <w:rPr>
                <w:rFonts w:hint="default" w:cs="Courier New"/>
                <w:b/>
                <w:bCs/>
                <w:color w:val="auto"/>
                <w:sz w:val="21"/>
                <w:szCs w:val="21"/>
                <w:highlight w:val="none"/>
                <w:lang w:val="en-US" w:eastAsia="zh-CN"/>
              </w:rPr>
            </w:pPr>
            <w:r>
              <w:rPr>
                <w:rFonts w:hint="eastAsia" w:cs="Courier New"/>
                <w:b/>
                <w:bCs/>
                <w:color w:val="auto"/>
                <w:sz w:val="21"/>
                <w:szCs w:val="21"/>
                <w:highlight w:val="none"/>
                <w:lang w:val="en-US" w:eastAsia="zh-CN"/>
              </w:rPr>
              <w:t>去向</w:t>
            </w:r>
          </w:p>
        </w:tc>
      </w:tr>
      <w:tr w14:paraId="73C4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6" w:type="pct"/>
            <w:vMerge w:val="restart"/>
            <w:vAlign w:val="center"/>
          </w:tcPr>
          <w:p w14:paraId="1AA2F84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w:t>
            </w:r>
          </w:p>
        </w:tc>
        <w:tc>
          <w:tcPr>
            <w:tcW w:w="345" w:type="pct"/>
            <w:vMerge w:val="restart"/>
            <w:vAlign w:val="center"/>
          </w:tcPr>
          <w:p w14:paraId="29618C4B">
            <w:pPr>
              <w:pStyle w:val="24"/>
              <w:bidi w:val="0"/>
              <w:rPr>
                <w:rFonts w:hint="eastAsia"/>
                <w:color w:val="auto"/>
                <w:sz w:val="21"/>
                <w:szCs w:val="21"/>
                <w:lang w:val="en-US" w:eastAsia="zh-CN"/>
              </w:rPr>
            </w:pPr>
            <w:r>
              <w:rPr>
                <w:rFonts w:hint="eastAsia"/>
                <w:color w:val="auto"/>
                <w:sz w:val="21"/>
                <w:szCs w:val="21"/>
                <w:lang w:val="en-US" w:eastAsia="zh-CN"/>
              </w:rPr>
              <w:t>聚羧酸减水剂母液</w:t>
            </w:r>
          </w:p>
        </w:tc>
        <w:tc>
          <w:tcPr>
            <w:tcW w:w="449" w:type="pct"/>
            <w:vAlign w:val="center"/>
          </w:tcPr>
          <w:p w14:paraId="342A3DD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减水型</w:t>
            </w:r>
          </w:p>
        </w:tc>
        <w:tc>
          <w:tcPr>
            <w:tcW w:w="382" w:type="pct"/>
            <w:vAlign w:val="center"/>
          </w:tcPr>
          <w:p w14:paraId="137974F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vAlign w:val="center"/>
          </w:tcPr>
          <w:p w14:paraId="50ADAC09">
            <w:pPr>
              <w:pStyle w:val="24"/>
              <w:bidi w:val="0"/>
              <w:ind w:left="0" w:leftChars="0"/>
              <w:rPr>
                <w:rFonts w:hint="eastAsia"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常温</w:t>
            </w:r>
          </w:p>
        </w:tc>
        <w:tc>
          <w:tcPr>
            <w:tcW w:w="1190" w:type="pct"/>
            <w:vAlign w:val="center"/>
          </w:tcPr>
          <w:p w14:paraId="7D738DF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S30408不锈钢储罐（</w:t>
            </w:r>
            <w:r>
              <w:rPr>
                <w:rFonts w:hint="eastAsia" w:cs="Courier New"/>
                <w:b w:val="0"/>
                <w:bCs w:val="0"/>
                <w:color w:val="auto"/>
                <w:sz w:val="21"/>
                <w:szCs w:val="21"/>
                <w:highlight w:val="none"/>
                <w:lang w:val="en-US" w:eastAsia="zh-CN"/>
              </w:rPr>
              <w:t>3</w:t>
            </w:r>
            <w:r>
              <w:rPr>
                <w:rFonts w:hint="eastAsia" w:ascii="Times New Roman" w:hAnsi="Times New Roman" w:eastAsia="宋体" w:cs="Courier New"/>
                <w:b w:val="0"/>
                <w:bCs w:val="0"/>
                <w:color w:val="auto"/>
                <w:sz w:val="21"/>
                <w:szCs w:val="21"/>
                <w:highlight w:val="none"/>
                <w:lang w:val="en-US" w:eastAsia="zh-CN"/>
              </w:rPr>
              <w:t>个，单个容积</w:t>
            </w:r>
            <w:r>
              <w:rPr>
                <w:rFonts w:hint="eastAsia" w:cs="Courier New"/>
                <w:b w:val="0"/>
                <w:bCs w:val="0"/>
                <w:color w:val="auto"/>
                <w:sz w:val="21"/>
                <w:szCs w:val="21"/>
                <w:highlight w:val="none"/>
                <w:lang w:val="en-US" w:eastAsia="zh-CN"/>
              </w:rPr>
              <w:t>5</w:t>
            </w:r>
            <w:r>
              <w:rPr>
                <w:rFonts w:hint="eastAsia" w:ascii="Times New Roman" w:hAnsi="Times New Roman" w:eastAsia="宋体" w:cs="Courier New"/>
                <w:b w:val="0"/>
                <w:bCs w:val="0"/>
                <w:color w:val="auto"/>
                <w:sz w:val="21"/>
                <w:szCs w:val="21"/>
                <w:highlight w:val="none"/>
                <w:lang w:val="en-US" w:eastAsia="zh-CN"/>
              </w:rPr>
              <w:t>0m</w:t>
            </w:r>
            <w:r>
              <w:rPr>
                <w:rFonts w:hint="eastAsia" w:ascii="Times New Roman" w:hAnsi="Times New Roman" w:eastAsia="宋体" w:cs="Courier New"/>
                <w:b w:val="0"/>
                <w:bCs w:val="0"/>
                <w:color w:val="auto"/>
                <w:sz w:val="21"/>
                <w:szCs w:val="21"/>
                <w:highlight w:val="none"/>
                <w:vertAlign w:val="superscript"/>
                <w:lang w:val="en-US" w:eastAsia="zh-CN"/>
              </w:rPr>
              <w:t>3</w:t>
            </w:r>
            <w:r>
              <w:rPr>
                <w:rFonts w:hint="eastAsia" w:ascii="Times New Roman" w:hAnsi="Times New Roman" w:eastAsia="宋体" w:cs="Courier New"/>
                <w:b w:val="0"/>
                <w:bCs w:val="0"/>
                <w:color w:val="auto"/>
                <w:sz w:val="21"/>
                <w:szCs w:val="21"/>
                <w:highlight w:val="none"/>
                <w:lang w:val="en-US" w:eastAsia="zh-CN"/>
              </w:rPr>
              <w:t>）</w:t>
            </w:r>
          </w:p>
        </w:tc>
        <w:tc>
          <w:tcPr>
            <w:tcW w:w="370" w:type="pct"/>
            <w:vAlign w:val="center"/>
          </w:tcPr>
          <w:p w14:paraId="27D3AC4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密闭罐车</w:t>
            </w:r>
          </w:p>
        </w:tc>
        <w:tc>
          <w:tcPr>
            <w:tcW w:w="406" w:type="pct"/>
            <w:vAlign w:val="center"/>
          </w:tcPr>
          <w:p w14:paraId="192235DE">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8000</w:t>
            </w:r>
          </w:p>
        </w:tc>
        <w:tc>
          <w:tcPr>
            <w:tcW w:w="1306" w:type="pct"/>
            <w:vAlign w:val="center"/>
          </w:tcPr>
          <w:p w14:paraId="6EBE94C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4800</w:t>
            </w:r>
            <w:r>
              <w:rPr>
                <w:rFonts w:hint="default" w:ascii="Times New Roman" w:hAnsi="Times New Roman" w:eastAsia="宋体" w:cs="Courier New"/>
                <w:b w:val="0"/>
                <w:bCs w:val="0"/>
                <w:color w:val="auto"/>
                <w:sz w:val="21"/>
                <w:szCs w:val="21"/>
                <w:highlight w:val="none"/>
                <w:lang w:val="en-US" w:eastAsia="zh-CN"/>
              </w:rPr>
              <w:t>t用于生产</w:t>
            </w:r>
            <w:r>
              <w:rPr>
                <w:rFonts w:hint="eastAsia"/>
                <w:color w:val="auto"/>
                <w:lang w:val="en-US" w:eastAsia="zh-CN"/>
              </w:rPr>
              <w:t>高性能</w:t>
            </w:r>
            <w:r>
              <w:rPr>
                <w:rFonts w:hint="default" w:ascii="Times New Roman" w:hAnsi="Times New Roman" w:eastAsia="宋体" w:cs="Courier New"/>
                <w:b w:val="0"/>
                <w:bCs w:val="0"/>
                <w:color w:val="auto"/>
                <w:sz w:val="21"/>
                <w:szCs w:val="21"/>
                <w:highlight w:val="none"/>
                <w:lang w:val="en-US" w:eastAsia="zh-CN"/>
              </w:rPr>
              <w:t>聚羧酸减水剂</w:t>
            </w:r>
            <w:r>
              <w:rPr>
                <w:rFonts w:hint="eastAsia" w:cs="Courier New"/>
                <w:b w:val="0"/>
                <w:bCs w:val="0"/>
                <w:color w:val="auto"/>
                <w:sz w:val="21"/>
                <w:szCs w:val="21"/>
                <w:highlight w:val="none"/>
                <w:lang w:val="en-US" w:eastAsia="zh-CN"/>
              </w:rPr>
              <w:t>，3200t外售</w:t>
            </w:r>
          </w:p>
        </w:tc>
      </w:tr>
      <w:tr w14:paraId="52C3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6" w:type="pct"/>
            <w:vMerge w:val="continue"/>
            <w:vAlign w:val="center"/>
          </w:tcPr>
          <w:p w14:paraId="08CEE5B6">
            <w:pPr>
              <w:pStyle w:val="24"/>
              <w:bidi w:val="0"/>
              <w:rPr>
                <w:rFonts w:hint="eastAsia" w:cs="Courier New"/>
                <w:b w:val="0"/>
                <w:bCs w:val="0"/>
                <w:color w:val="auto"/>
                <w:sz w:val="21"/>
                <w:szCs w:val="21"/>
                <w:highlight w:val="none"/>
                <w:lang w:val="en-US" w:eastAsia="zh-CN"/>
              </w:rPr>
            </w:pPr>
          </w:p>
        </w:tc>
        <w:tc>
          <w:tcPr>
            <w:tcW w:w="345" w:type="pct"/>
            <w:vMerge w:val="continue"/>
            <w:vAlign w:val="center"/>
          </w:tcPr>
          <w:p w14:paraId="0D5767F9">
            <w:pPr>
              <w:pStyle w:val="24"/>
              <w:bidi w:val="0"/>
              <w:rPr>
                <w:rFonts w:hint="eastAsia"/>
                <w:color w:val="auto"/>
                <w:sz w:val="21"/>
                <w:szCs w:val="21"/>
                <w:lang w:val="en-US" w:eastAsia="zh-CN"/>
              </w:rPr>
            </w:pPr>
          </w:p>
        </w:tc>
        <w:tc>
          <w:tcPr>
            <w:tcW w:w="449" w:type="pct"/>
            <w:shd w:val="clear" w:color="auto" w:fill="auto"/>
            <w:vAlign w:val="center"/>
          </w:tcPr>
          <w:p w14:paraId="03ABA9C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保坍型</w:t>
            </w:r>
          </w:p>
        </w:tc>
        <w:tc>
          <w:tcPr>
            <w:tcW w:w="382" w:type="pct"/>
            <w:shd w:val="clear" w:color="auto" w:fill="auto"/>
            <w:vAlign w:val="center"/>
          </w:tcPr>
          <w:p w14:paraId="703C0D8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shd w:val="clear" w:color="auto" w:fill="auto"/>
            <w:vAlign w:val="center"/>
          </w:tcPr>
          <w:p w14:paraId="633B58B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常温</w:t>
            </w:r>
          </w:p>
        </w:tc>
        <w:tc>
          <w:tcPr>
            <w:tcW w:w="1190" w:type="pct"/>
            <w:vAlign w:val="center"/>
          </w:tcPr>
          <w:p w14:paraId="0F97B55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S30408不锈钢储罐（</w:t>
            </w:r>
            <w:r>
              <w:rPr>
                <w:rFonts w:hint="eastAsia" w:cs="Courier New"/>
                <w:b w:val="0"/>
                <w:bCs w:val="0"/>
                <w:color w:val="auto"/>
                <w:sz w:val="21"/>
                <w:szCs w:val="21"/>
                <w:highlight w:val="none"/>
                <w:lang w:val="en-US" w:eastAsia="zh-CN"/>
              </w:rPr>
              <w:t>1</w:t>
            </w:r>
            <w:r>
              <w:rPr>
                <w:rFonts w:hint="eastAsia" w:ascii="Times New Roman" w:hAnsi="Times New Roman" w:eastAsia="宋体" w:cs="Courier New"/>
                <w:b w:val="0"/>
                <w:bCs w:val="0"/>
                <w:color w:val="auto"/>
                <w:sz w:val="21"/>
                <w:szCs w:val="21"/>
                <w:highlight w:val="none"/>
                <w:lang w:val="en-US" w:eastAsia="zh-CN"/>
              </w:rPr>
              <w:t>个，单个容积</w:t>
            </w:r>
            <w:r>
              <w:rPr>
                <w:rFonts w:hint="eastAsia" w:cs="Courier New"/>
                <w:b w:val="0"/>
                <w:bCs w:val="0"/>
                <w:color w:val="auto"/>
                <w:sz w:val="21"/>
                <w:szCs w:val="21"/>
                <w:highlight w:val="none"/>
                <w:lang w:val="en-US" w:eastAsia="zh-CN"/>
              </w:rPr>
              <w:t>5</w:t>
            </w:r>
            <w:r>
              <w:rPr>
                <w:rFonts w:hint="eastAsia" w:ascii="Times New Roman" w:hAnsi="Times New Roman" w:eastAsia="宋体" w:cs="Courier New"/>
                <w:b w:val="0"/>
                <w:bCs w:val="0"/>
                <w:color w:val="auto"/>
                <w:sz w:val="21"/>
                <w:szCs w:val="21"/>
                <w:highlight w:val="none"/>
                <w:lang w:val="en-US" w:eastAsia="zh-CN"/>
              </w:rPr>
              <w:t>0m</w:t>
            </w:r>
            <w:r>
              <w:rPr>
                <w:rFonts w:hint="eastAsia" w:ascii="Times New Roman" w:hAnsi="Times New Roman" w:eastAsia="宋体" w:cs="Courier New"/>
                <w:b w:val="0"/>
                <w:bCs w:val="0"/>
                <w:color w:val="auto"/>
                <w:sz w:val="21"/>
                <w:szCs w:val="21"/>
                <w:highlight w:val="none"/>
                <w:vertAlign w:val="superscript"/>
                <w:lang w:val="en-US" w:eastAsia="zh-CN"/>
              </w:rPr>
              <w:t>3</w:t>
            </w:r>
            <w:r>
              <w:rPr>
                <w:rFonts w:hint="eastAsia" w:ascii="Times New Roman" w:hAnsi="Times New Roman" w:eastAsia="宋体" w:cs="Courier New"/>
                <w:b w:val="0"/>
                <w:bCs w:val="0"/>
                <w:color w:val="auto"/>
                <w:sz w:val="21"/>
                <w:szCs w:val="21"/>
                <w:highlight w:val="none"/>
                <w:lang w:val="en-US" w:eastAsia="zh-CN"/>
              </w:rPr>
              <w:t>）</w:t>
            </w:r>
          </w:p>
        </w:tc>
        <w:tc>
          <w:tcPr>
            <w:tcW w:w="370" w:type="pct"/>
            <w:vAlign w:val="center"/>
          </w:tcPr>
          <w:p w14:paraId="0626DF5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密闭罐车</w:t>
            </w:r>
          </w:p>
        </w:tc>
        <w:tc>
          <w:tcPr>
            <w:tcW w:w="406" w:type="pct"/>
            <w:vAlign w:val="center"/>
          </w:tcPr>
          <w:p w14:paraId="17BBF328">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4000</w:t>
            </w:r>
          </w:p>
        </w:tc>
        <w:tc>
          <w:tcPr>
            <w:tcW w:w="1306" w:type="pct"/>
            <w:vAlign w:val="center"/>
          </w:tcPr>
          <w:p w14:paraId="2075113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2400</w:t>
            </w:r>
            <w:r>
              <w:rPr>
                <w:rFonts w:hint="default" w:ascii="Times New Roman" w:hAnsi="Times New Roman" w:eastAsia="宋体" w:cs="Courier New"/>
                <w:b w:val="0"/>
                <w:bCs w:val="0"/>
                <w:color w:val="auto"/>
                <w:sz w:val="21"/>
                <w:szCs w:val="21"/>
                <w:highlight w:val="none"/>
                <w:lang w:val="en-US" w:eastAsia="zh-CN"/>
              </w:rPr>
              <w:t>t用于生产</w:t>
            </w:r>
            <w:r>
              <w:rPr>
                <w:rFonts w:hint="eastAsia"/>
                <w:color w:val="auto"/>
                <w:lang w:val="en-US" w:eastAsia="zh-CN"/>
              </w:rPr>
              <w:t>高性能</w:t>
            </w:r>
            <w:r>
              <w:rPr>
                <w:rFonts w:hint="default" w:ascii="Times New Roman" w:hAnsi="Times New Roman" w:eastAsia="宋体" w:cs="Courier New"/>
                <w:b w:val="0"/>
                <w:bCs w:val="0"/>
                <w:color w:val="auto"/>
                <w:sz w:val="21"/>
                <w:szCs w:val="21"/>
                <w:highlight w:val="none"/>
                <w:lang w:val="en-US" w:eastAsia="zh-CN"/>
              </w:rPr>
              <w:t>聚羧酸减水剂</w:t>
            </w:r>
            <w:r>
              <w:rPr>
                <w:rFonts w:hint="eastAsia" w:cs="Courier New"/>
                <w:b w:val="0"/>
                <w:bCs w:val="0"/>
                <w:color w:val="auto"/>
                <w:sz w:val="21"/>
                <w:szCs w:val="21"/>
                <w:highlight w:val="none"/>
                <w:lang w:val="en-US" w:eastAsia="zh-CN"/>
              </w:rPr>
              <w:t>，1600t外售</w:t>
            </w:r>
          </w:p>
        </w:tc>
      </w:tr>
      <w:tr w14:paraId="2A76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6" w:type="pct"/>
            <w:vMerge w:val="continue"/>
            <w:vAlign w:val="center"/>
          </w:tcPr>
          <w:p w14:paraId="57B3D510">
            <w:pPr>
              <w:pStyle w:val="24"/>
              <w:bidi w:val="0"/>
              <w:rPr>
                <w:rFonts w:hint="eastAsia" w:ascii="Times New Roman" w:hAnsi="Times New Roman" w:eastAsia="宋体" w:cs="Courier New"/>
                <w:b w:val="0"/>
                <w:bCs w:val="0"/>
                <w:color w:val="auto"/>
                <w:sz w:val="21"/>
                <w:szCs w:val="21"/>
                <w:highlight w:val="none"/>
                <w:lang w:val="en-US" w:eastAsia="zh-CN"/>
              </w:rPr>
            </w:pPr>
          </w:p>
        </w:tc>
        <w:tc>
          <w:tcPr>
            <w:tcW w:w="345" w:type="pct"/>
            <w:vMerge w:val="continue"/>
            <w:vAlign w:val="center"/>
          </w:tcPr>
          <w:p w14:paraId="325200F5">
            <w:pPr>
              <w:pStyle w:val="24"/>
              <w:bidi w:val="0"/>
              <w:rPr>
                <w:rFonts w:hint="eastAsia"/>
                <w:color w:val="auto"/>
                <w:sz w:val="21"/>
                <w:szCs w:val="21"/>
                <w:lang w:val="en-US" w:eastAsia="zh-CN"/>
              </w:rPr>
            </w:pPr>
          </w:p>
        </w:tc>
        <w:tc>
          <w:tcPr>
            <w:tcW w:w="449" w:type="pct"/>
            <w:vAlign w:val="center"/>
          </w:tcPr>
          <w:p w14:paraId="12FE742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合计</w:t>
            </w:r>
          </w:p>
        </w:tc>
        <w:tc>
          <w:tcPr>
            <w:tcW w:w="382" w:type="pct"/>
            <w:shd w:val="clear" w:color="auto" w:fill="auto"/>
            <w:vAlign w:val="center"/>
          </w:tcPr>
          <w:p w14:paraId="74142A6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w:t>
            </w:r>
          </w:p>
        </w:tc>
        <w:tc>
          <w:tcPr>
            <w:tcW w:w="351" w:type="pct"/>
            <w:shd w:val="clear" w:color="auto" w:fill="auto"/>
            <w:vAlign w:val="center"/>
          </w:tcPr>
          <w:p w14:paraId="07EF608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w:t>
            </w:r>
          </w:p>
        </w:tc>
        <w:tc>
          <w:tcPr>
            <w:tcW w:w="1190" w:type="pct"/>
            <w:shd w:val="clear" w:color="auto" w:fill="auto"/>
            <w:vAlign w:val="center"/>
          </w:tcPr>
          <w:p w14:paraId="4CCB6CA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w:t>
            </w:r>
          </w:p>
        </w:tc>
        <w:tc>
          <w:tcPr>
            <w:tcW w:w="370" w:type="pct"/>
            <w:shd w:val="clear" w:color="auto" w:fill="auto"/>
            <w:vAlign w:val="center"/>
          </w:tcPr>
          <w:p w14:paraId="747DD157">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w:t>
            </w:r>
          </w:p>
        </w:tc>
        <w:tc>
          <w:tcPr>
            <w:tcW w:w="406" w:type="pct"/>
            <w:vAlign w:val="center"/>
          </w:tcPr>
          <w:p w14:paraId="67F0A4AB">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12000</w:t>
            </w:r>
          </w:p>
        </w:tc>
        <w:tc>
          <w:tcPr>
            <w:tcW w:w="1306" w:type="pct"/>
            <w:vAlign w:val="center"/>
          </w:tcPr>
          <w:p w14:paraId="41CCF62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7200</w:t>
            </w:r>
            <w:r>
              <w:rPr>
                <w:rFonts w:hint="default" w:ascii="Times New Roman" w:hAnsi="Times New Roman" w:eastAsia="宋体" w:cs="Courier New"/>
                <w:b w:val="0"/>
                <w:bCs w:val="0"/>
                <w:color w:val="auto"/>
                <w:sz w:val="21"/>
                <w:szCs w:val="21"/>
                <w:highlight w:val="none"/>
                <w:lang w:val="en-US" w:eastAsia="zh-CN"/>
              </w:rPr>
              <w:t>t用于生产</w:t>
            </w:r>
            <w:r>
              <w:rPr>
                <w:rFonts w:hint="eastAsia"/>
                <w:color w:val="auto"/>
                <w:lang w:val="en-US" w:eastAsia="zh-CN"/>
              </w:rPr>
              <w:t>高性能</w:t>
            </w:r>
            <w:r>
              <w:rPr>
                <w:rFonts w:hint="default" w:ascii="Times New Roman" w:hAnsi="Times New Roman" w:eastAsia="宋体" w:cs="Courier New"/>
                <w:b w:val="0"/>
                <w:bCs w:val="0"/>
                <w:color w:val="auto"/>
                <w:sz w:val="21"/>
                <w:szCs w:val="21"/>
                <w:highlight w:val="none"/>
                <w:lang w:val="en-US" w:eastAsia="zh-CN"/>
              </w:rPr>
              <w:t>聚羧酸减水剂</w:t>
            </w:r>
            <w:r>
              <w:rPr>
                <w:rFonts w:hint="eastAsia" w:cs="Courier New"/>
                <w:b w:val="0"/>
                <w:bCs w:val="0"/>
                <w:color w:val="auto"/>
                <w:sz w:val="21"/>
                <w:szCs w:val="21"/>
                <w:highlight w:val="none"/>
                <w:lang w:val="en-US" w:eastAsia="zh-CN"/>
              </w:rPr>
              <w:t>，4800t外售</w:t>
            </w:r>
          </w:p>
        </w:tc>
      </w:tr>
      <w:tr w14:paraId="1354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6" w:type="pct"/>
            <w:vMerge w:val="restart"/>
            <w:vAlign w:val="center"/>
          </w:tcPr>
          <w:p w14:paraId="56B0C2A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w:t>
            </w:r>
          </w:p>
        </w:tc>
        <w:tc>
          <w:tcPr>
            <w:tcW w:w="345" w:type="pct"/>
            <w:vMerge w:val="restart"/>
            <w:vAlign w:val="center"/>
          </w:tcPr>
          <w:p w14:paraId="1DD121C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olor w:val="auto"/>
                <w:sz w:val="21"/>
                <w:szCs w:val="21"/>
                <w:lang w:val="en-US" w:eastAsia="zh-CN"/>
              </w:rPr>
              <w:t>高性能聚羧酸减水剂</w:t>
            </w:r>
          </w:p>
        </w:tc>
        <w:tc>
          <w:tcPr>
            <w:tcW w:w="449" w:type="pct"/>
            <w:shd w:val="clear" w:color="auto" w:fill="auto"/>
            <w:vAlign w:val="center"/>
          </w:tcPr>
          <w:p w14:paraId="18BD5D2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标准型</w:t>
            </w:r>
          </w:p>
        </w:tc>
        <w:tc>
          <w:tcPr>
            <w:tcW w:w="382" w:type="pct"/>
            <w:shd w:val="clear" w:color="auto" w:fill="auto"/>
            <w:vAlign w:val="center"/>
          </w:tcPr>
          <w:p w14:paraId="382F4E5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shd w:val="clear" w:color="auto" w:fill="auto"/>
            <w:vAlign w:val="center"/>
          </w:tcPr>
          <w:p w14:paraId="2AE7A56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常温</w:t>
            </w:r>
          </w:p>
        </w:tc>
        <w:tc>
          <w:tcPr>
            <w:tcW w:w="1190" w:type="pct"/>
            <w:vMerge w:val="restart"/>
            <w:shd w:val="clear" w:color="auto" w:fill="auto"/>
            <w:vAlign w:val="center"/>
          </w:tcPr>
          <w:p w14:paraId="2BC269FB">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产出后直接外运，不在厂区暂存，仅设1</w:t>
            </w:r>
            <w:r>
              <w:rPr>
                <w:rFonts w:hint="eastAsia" w:ascii="Times New Roman" w:hAnsi="Times New Roman" w:eastAsia="宋体" w:cs="Courier New"/>
                <w:b w:val="0"/>
                <w:bCs w:val="0"/>
                <w:color w:val="auto"/>
                <w:sz w:val="21"/>
                <w:szCs w:val="21"/>
                <w:highlight w:val="none"/>
                <w:lang w:val="en-US" w:eastAsia="zh-CN"/>
              </w:rPr>
              <w:t>个容积</w:t>
            </w:r>
            <w:r>
              <w:rPr>
                <w:rFonts w:hint="eastAsia" w:cs="Courier New"/>
                <w:b w:val="0"/>
                <w:bCs w:val="0"/>
                <w:color w:val="auto"/>
                <w:sz w:val="21"/>
                <w:szCs w:val="21"/>
                <w:highlight w:val="none"/>
                <w:lang w:val="en-US" w:eastAsia="zh-CN"/>
              </w:rPr>
              <w:t>5</w:t>
            </w:r>
            <w:r>
              <w:rPr>
                <w:rFonts w:hint="eastAsia" w:ascii="Times New Roman" w:hAnsi="Times New Roman" w:eastAsia="宋体" w:cs="Courier New"/>
                <w:b w:val="0"/>
                <w:bCs w:val="0"/>
                <w:color w:val="auto"/>
                <w:sz w:val="21"/>
                <w:szCs w:val="21"/>
                <w:highlight w:val="none"/>
                <w:lang w:val="en-US" w:eastAsia="zh-CN"/>
              </w:rPr>
              <w:t>0m</w:t>
            </w:r>
            <w:r>
              <w:rPr>
                <w:rFonts w:hint="eastAsia" w:ascii="Times New Roman" w:hAnsi="Times New Roman" w:eastAsia="宋体" w:cs="Courier New"/>
                <w:b w:val="0"/>
                <w:bCs w:val="0"/>
                <w:color w:val="auto"/>
                <w:sz w:val="21"/>
                <w:szCs w:val="21"/>
                <w:highlight w:val="none"/>
                <w:vertAlign w:val="superscript"/>
                <w:lang w:val="en-US" w:eastAsia="zh-CN"/>
              </w:rPr>
              <w:t>3</w:t>
            </w:r>
            <w:r>
              <w:rPr>
                <w:rFonts w:hint="eastAsia" w:ascii="Times New Roman" w:hAnsi="Times New Roman" w:eastAsia="宋体" w:cs="Courier New"/>
                <w:b w:val="0"/>
                <w:bCs w:val="0"/>
                <w:color w:val="auto"/>
                <w:sz w:val="21"/>
                <w:szCs w:val="21"/>
                <w:highlight w:val="none"/>
                <w:lang w:val="en-US" w:eastAsia="zh-CN"/>
              </w:rPr>
              <w:t>S30408不锈钢储罐</w:t>
            </w:r>
            <w:r>
              <w:rPr>
                <w:rFonts w:hint="eastAsia" w:cs="Courier New"/>
                <w:b w:val="0"/>
                <w:bCs w:val="0"/>
                <w:color w:val="auto"/>
                <w:sz w:val="21"/>
                <w:szCs w:val="21"/>
                <w:highlight w:val="none"/>
                <w:lang w:val="en-US" w:eastAsia="zh-CN"/>
              </w:rPr>
              <w:t>作为不合格品备用储罐</w:t>
            </w:r>
          </w:p>
        </w:tc>
        <w:tc>
          <w:tcPr>
            <w:tcW w:w="370" w:type="pct"/>
            <w:shd w:val="clear" w:color="auto" w:fill="auto"/>
            <w:vAlign w:val="center"/>
          </w:tcPr>
          <w:p w14:paraId="695A00BB">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sz w:val="21"/>
                <w:szCs w:val="21"/>
                <w:highlight w:val="none"/>
                <w:lang w:val="en-US" w:eastAsia="zh-CN"/>
              </w:rPr>
              <w:t>密闭罐车</w:t>
            </w:r>
          </w:p>
        </w:tc>
        <w:tc>
          <w:tcPr>
            <w:tcW w:w="406" w:type="pct"/>
            <w:shd w:val="clear" w:color="auto" w:fill="auto"/>
            <w:vAlign w:val="center"/>
          </w:tcPr>
          <w:p w14:paraId="4DDA5D6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15000</w:t>
            </w:r>
          </w:p>
        </w:tc>
        <w:tc>
          <w:tcPr>
            <w:tcW w:w="1306" w:type="pct"/>
            <w:vAlign w:val="center"/>
          </w:tcPr>
          <w:p w14:paraId="45122D7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r w14:paraId="2FAD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 w:type="pct"/>
            <w:vMerge w:val="continue"/>
            <w:vAlign w:val="center"/>
          </w:tcPr>
          <w:p w14:paraId="04F03816">
            <w:pPr>
              <w:pStyle w:val="24"/>
              <w:bidi w:val="0"/>
              <w:rPr>
                <w:rFonts w:hint="eastAsia" w:ascii="Times New Roman" w:hAnsi="Times New Roman" w:eastAsia="宋体" w:cs="Courier New"/>
                <w:b w:val="0"/>
                <w:bCs w:val="0"/>
                <w:color w:val="auto"/>
                <w:sz w:val="21"/>
                <w:szCs w:val="21"/>
                <w:highlight w:val="none"/>
                <w:lang w:val="en-US" w:eastAsia="zh-CN"/>
              </w:rPr>
            </w:pPr>
          </w:p>
        </w:tc>
        <w:tc>
          <w:tcPr>
            <w:tcW w:w="345" w:type="pct"/>
            <w:vMerge w:val="continue"/>
            <w:vAlign w:val="center"/>
          </w:tcPr>
          <w:p w14:paraId="737E0B77">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9" w:type="pct"/>
            <w:shd w:val="clear" w:color="auto" w:fill="auto"/>
            <w:vAlign w:val="center"/>
          </w:tcPr>
          <w:p w14:paraId="49D105F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缓凝型</w:t>
            </w:r>
          </w:p>
        </w:tc>
        <w:tc>
          <w:tcPr>
            <w:tcW w:w="382" w:type="pct"/>
            <w:shd w:val="clear" w:color="auto" w:fill="auto"/>
            <w:vAlign w:val="center"/>
          </w:tcPr>
          <w:p w14:paraId="7928BCBF">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shd w:val="clear" w:color="auto" w:fill="auto"/>
            <w:vAlign w:val="center"/>
          </w:tcPr>
          <w:p w14:paraId="732C5532">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常温</w:t>
            </w:r>
          </w:p>
        </w:tc>
        <w:tc>
          <w:tcPr>
            <w:tcW w:w="1190" w:type="pct"/>
            <w:vMerge w:val="continue"/>
            <w:shd w:val="clear" w:color="auto" w:fill="auto"/>
            <w:vAlign w:val="center"/>
          </w:tcPr>
          <w:p w14:paraId="06F5E6E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370" w:type="pct"/>
            <w:shd w:val="clear" w:color="auto" w:fill="auto"/>
            <w:vAlign w:val="center"/>
          </w:tcPr>
          <w:p w14:paraId="436C019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sz w:val="21"/>
                <w:szCs w:val="21"/>
                <w:highlight w:val="none"/>
                <w:lang w:val="en-US" w:eastAsia="zh-CN"/>
              </w:rPr>
              <w:t>密闭罐车</w:t>
            </w:r>
          </w:p>
        </w:tc>
        <w:tc>
          <w:tcPr>
            <w:tcW w:w="406" w:type="pct"/>
            <w:vAlign w:val="center"/>
          </w:tcPr>
          <w:p w14:paraId="208993A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kern w:val="2"/>
                <w:sz w:val="21"/>
                <w:szCs w:val="21"/>
                <w:highlight w:val="none"/>
                <w:lang w:val="en-US" w:eastAsia="zh-CN" w:bidi="ar-SA"/>
              </w:rPr>
              <w:t>25</w:t>
            </w:r>
            <w:r>
              <w:rPr>
                <w:rFonts w:hint="eastAsia" w:ascii="Times New Roman" w:hAnsi="Times New Roman" w:eastAsia="宋体" w:cs="Courier New"/>
                <w:b w:val="0"/>
                <w:bCs w:val="0"/>
                <w:color w:val="auto"/>
                <w:kern w:val="2"/>
                <w:sz w:val="21"/>
                <w:szCs w:val="21"/>
                <w:highlight w:val="none"/>
                <w:lang w:val="en-US" w:eastAsia="zh-CN" w:bidi="ar-SA"/>
              </w:rPr>
              <w:t>00</w:t>
            </w:r>
          </w:p>
        </w:tc>
        <w:tc>
          <w:tcPr>
            <w:tcW w:w="1306" w:type="pct"/>
            <w:vAlign w:val="center"/>
          </w:tcPr>
          <w:p w14:paraId="190BA7B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r w14:paraId="2951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 w:type="pct"/>
            <w:vMerge w:val="continue"/>
            <w:vAlign w:val="center"/>
          </w:tcPr>
          <w:p w14:paraId="069C424F">
            <w:pPr>
              <w:pStyle w:val="24"/>
              <w:bidi w:val="0"/>
              <w:rPr>
                <w:rFonts w:hint="eastAsia" w:ascii="Times New Roman" w:hAnsi="Times New Roman" w:eastAsia="宋体" w:cs="Courier New"/>
                <w:b w:val="0"/>
                <w:bCs w:val="0"/>
                <w:color w:val="auto"/>
                <w:sz w:val="21"/>
                <w:szCs w:val="21"/>
                <w:highlight w:val="none"/>
                <w:lang w:val="en-US" w:eastAsia="zh-CN"/>
              </w:rPr>
            </w:pPr>
          </w:p>
        </w:tc>
        <w:tc>
          <w:tcPr>
            <w:tcW w:w="345" w:type="pct"/>
            <w:vMerge w:val="continue"/>
            <w:vAlign w:val="center"/>
          </w:tcPr>
          <w:p w14:paraId="0284A0E3">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9" w:type="pct"/>
            <w:shd w:val="clear" w:color="auto" w:fill="auto"/>
            <w:vAlign w:val="center"/>
          </w:tcPr>
          <w:p w14:paraId="1208D63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早强型</w:t>
            </w:r>
          </w:p>
        </w:tc>
        <w:tc>
          <w:tcPr>
            <w:tcW w:w="382" w:type="pct"/>
            <w:shd w:val="clear" w:color="auto" w:fill="auto"/>
            <w:vAlign w:val="center"/>
          </w:tcPr>
          <w:p w14:paraId="4ACBC95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shd w:val="clear" w:color="auto" w:fill="auto"/>
            <w:vAlign w:val="center"/>
          </w:tcPr>
          <w:p w14:paraId="64AEA7A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常温</w:t>
            </w:r>
          </w:p>
        </w:tc>
        <w:tc>
          <w:tcPr>
            <w:tcW w:w="1190" w:type="pct"/>
            <w:vMerge w:val="continue"/>
            <w:shd w:val="clear" w:color="auto" w:fill="auto"/>
            <w:vAlign w:val="center"/>
          </w:tcPr>
          <w:p w14:paraId="06838BB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370" w:type="pct"/>
            <w:shd w:val="clear" w:color="auto" w:fill="auto"/>
            <w:vAlign w:val="center"/>
          </w:tcPr>
          <w:p w14:paraId="5B5D03E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sz w:val="21"/>
                <w:szCs w:val="21"/>
                <w:highlight w:val="none"/>
                <w:lang w:val="en-US" w:eastAsia="zh-CN"/>
              </w:rPr>
              <w:t>密闭罐车</w:t>
            </w:r>
          </w:p>
        </w:tc>
        <w:tc>
          <w:tcPr>
            <w:tcW w:w="406" w:type="pct"/>
            <w:shd w:val="clear" w:color="auto" w:fill="auto"/>
            <w:vAlign w:val="center"/>
          </w:tcPr>
          <w:p w14:paraId="528C9285">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25</w:t>
            </w:r>
            <w:r>
              <w:rPr>
                <w:rFonts w:hint="eastAsia" w:ascii="Times New Roman" w:hAnsi="Times New Roman" w:eastAsia="宋体" w:cs="Courier New"/>
                <w:b w:val="0"/>
                <w:bCs w:val="0"/>
                <w:color w:val="auto"/>
                <w:kern w:val="2"/>
                <w:sz w:val="21"/>
                <w:szCs w:val="21"/>
                <w:highlight w:val="none"/>
                <w:lang w:val="en-US" w:eastAsia="zh-CN" w:bidi="ar-SA"/>
              </w:rPr>
              <w:t>00</w:t>
            </w:r>
          </w:p>
        </w:tc>
        <w:tc>
          <w:tcPr>
            <w:tcW w:w="1306" w:type="pct"/>
            <w:shd w:val="clear" w:color="auto" w:fill="auto"/>
            <w:vAlign w:val="center"/>
          </w:tcPr>
          <w:p w14:paraId="5DB2DB5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外售</w:t>
            </w:r>
          </w:p>
        </w:tc>
      </w:tr>
      <w:tr w14:paraId="1D29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 w:type="pct"/>
            <w:vMerge w:val="continue"/>
            <w:vAlign w:val="center"/>
          </w:tcPr>
          <w:p w14:paraId="1053A85C">
            <w:pPr>
              <w:pStyle w:val="24"/>
              <w:bidi w:val="0"/>
              <w:rPr>
                <w:rFonts w:hint="eastAsia" w:ascii="Times New Roman" w:hAnsi="Times New Roman" w:eastAsia="宋体" w:cs="Courier New"/>
                <w:b w:val="0"/>
                <w:bCs w:val="0"/>
                <w:color w:val="auto"/>
                <w:sz w:val="21"/>
                <w:szCs w:val="21"/>
                <w:highlight w:val="none"/>
                <w:lang w:val="en-US" w:eastAsia="zh-CN"/>
              </w:rPr>
            </w:pPr>
          </w:p>
        </w:tc>
        <w:tc>
          <w:tcPr>
            <w:tcW w:w="345" w:type="pct"/>
            <w:vMerge w:val="continue"/>
            <w:vAlign w:val="center"/>
          </w:tcPr>
          <w:p w14:paraId="0BCBCB73">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9" w:type="pct"/>
            <w:vAlign w:val="center"/>
          </w:tcPr>
          <w:p w14:paraId="2CC232D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合计</w:t>
            </w:r>
          </w:p>
        </w:tc>
        <w:tc>
          <w:tcPr>
            <w:tcW w:w="382" w:type="pct"/>
            <w:vAlign w:val="center"/>
          </w:tcPr>
          <w:p w14:paraId="3F4262D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c>
          <w:tcPr>
            <w:tcW w:w="351" w:type="pct"/>
            <w:vAlign w:val="center"/>
          </w:tcPr>
          <w:p w14:paraId="295A817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c>
          <w:tcPr>
            <w:tcW w:w="1190" w:type="pct"/>
            <w:vAlign w:val="center"/>
          </w:tcPr>
          <w:p w14:paraId="7194195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c>
          <w:tcPr>
            <w:tcW w:w="370" w:type="pct"/>
            <w:vAlign w:val="center"/>
          </w:tcPr>
          <w:p w14:paraId="7B4BCE4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kern w:val="2"/>
                <w:sz w:val="21"/>
                <w:szCs w:val="21"/>
                <w:highlight w:val="none"/>
                <w:lang w:val="en-US" w:eastAsia="zh-CN" w:bidi="ar-SA"/>
              </w:rPr>
              <w:t>/</w:t>
            </w:r>
          </w:p>
        </w:tc>
        <w:tc>
          <w:tcPr>
            <w:tcW w:w="406" w:type="pct"/>
            <w:vAlign w:val="center"/>
          </w:tcPr>
          <w:p w14:paraId="16F5F0C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20000</w:t>
            </w:r>
          </w:p>
        </w:tc>
        <w:tc>
          <w:tcPr>
            <w:tcW w:w="1306" w:type="pct"/>
            <w:vAlign w:val="center"/>
          </w:tcPr>
          <w:p w14:paraId="22057BA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r w14:paraId="3334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6" w:type="pct"/>
            <w:vAlign w:val="center"/>
          </w:tcPr>
          <w:p w14:paraId="089805B0">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3</w:t>
            </w:r>
          </w:p>
        </w:tc>
        <w:tc>
          <w:tcPr>
            <w:tcW w:w="795" w:type="pct"/>
            <w:gridSpan w:val="2"/>
            <w:vAlign w:val="center"/>
          </w:tcPr>
          <w:p w14:paraId="11AF528C">
            <w:pPr>
              <w:pStyle w:val="24"/>
              <w:bidi w:val="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无碱速凝剂</w:t>
            </w:r>
          </w:p>
        </w:tc>
        <w:tc>
          <w:tcPr>
            <w:tcW w:w="382" w:type="pct"/>
            <w:vAlign w:val="center"/>
          </w:tcPr>
          <w:p w14:paraId="20629E8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vAlign w:val="center"/>
          </w:tcPr>
          <w:p w14:paraId="2D95967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常温</w:t>
            </w:r>
          </w:p>
        </w:tc>
        <w:tc>
          <w:tcPr>
            <w:tcW w:w="1190" w:type="pct"/>
            <w:vAlign w:val="center"/>
          </w:tcPr>
          <w:p w14:paraId="78E9CE85">
            <w:pPr>
              <w:pStyle w:val="24"/>
              <w:bidi w:val="0"/>
              <w:rPr>
                <w:rFonts w:hint="default" w:ascii="Times New Roman" w:hAnsi="Times New Roman" w:eastAsia="宋体" w:cs="Courier New"/>
                <w:b w:val="0"/>
                <w:bCs w:val="0"/>
                <w:color w:val="auto"/>
                <w:sz w:val="21"/>
                <w:szCs w:val="21"/>
                <w:highlight w:val="yellow"/>
                <w:lang w:val="en-US" w:eastAsia="zh-CN"/>
              </w:rPr>
            </w:pPr>
            <w:r>
              <w:rPr>
                <w:rFonts w:hint="eastAsia" w:cs="Courier New"/>
                <w:b w:val="0"/>
                <w:bCs w:val="0"/>
                <w:color w:val="auto"/>
                <w:sz w:val="21"/>
                <w:szCs w:val="21"/>
                <w:highlight w:val="none"/>
                <w:lang w:val="en-US" w:eastAsia="zh-CN"/>
              </w:rPr>
              <w:t>碳钢衬塑储罐（1个，单个</w:t>
            </w:r>
            <w:r>
              <w:rPr>
                <w:rFonts w:hint="eastAsia" w:ascii="Times New Roman" w:hAnsi="Times New Roman" w:eastAsia="宋体" w:cs="Courier New"/>
                <w:b w:val="0"/>
                <w:bCs w:val="0"/>
                <w:color w:val="auto"/>
                <w:sz w:val="21"/>
                <w:szCs w:val="21"/>
                <w:highlight w:val="none"/>
                <w:lang w:val="en-US" w:eastAsia="zh-CN"/>
              </w:rPr>
              <w:t>容积</w:t>
            </w:r>
            <w:r>
              <w:rPr>
                <w:rFonts w:hint="eastAsia" w:cs="Courier New"/>
                <w:b w:val="0"/>
                <w:bCs w:val="0"/>
                <w:color w:val="auto"/>
                <w:sz w:val="21"/>
                <w:szCs w:val="21"/>
                <w:highlight w:val="none"/>
                <w:lang w:val="en-US" w:eastAsia="zh-CN"/>
              </w:rPr>
              <w:t>5</w:t>
            </w:r>
            <w:r>
              <w:rPr>
                <w:rFonts w:hint="eastAsia" w:ascii="Times New Roman" w:hAnsi="Times New Roman" w:eastAsia="宋体" w:cs="Courier New"/>
                <w:b w:val="0"/>
                <w:bCs w:val="0"/>
                <w:color w:val="auto"/>
                <w:sz w:val="21"/>
                <w:szCs w:val="21"/>
                <w:highlight w:val="none"/>
                <w:lang w:val="en-US" w:eastAsia="zh-CN"/>
              </w:rPr>
              <w:t>0m</w:t>
            </w:r>
            <w:r>
              <w:rPr>
                <w:rFonts w:hint="eastAsia" w:ascii="Times New Roman" w:hAnsi="Times New Roman" w:eastAsia="宋体" w:cs="Courier New"/>
                <w:b w:val="0"/>
                <w:bCs w:val="0"/>
                <w:color w:val="auto"/>
                <w:sz w:val="21"/>
                <w:szCs w:val="21"/>
                <w:highlight w:val="none"/>
                <w:vertAlign w:val="superscript"/>
                <w:lang w:val="en-US" w:eastAsia="zh-CN"/>
              </w:rPr>
              <w:t>3</w:t>
            </w:r>
            <w:r>
              <w:rPr>
                <w:rFonts w:hint="eastAsia" w:cs="Courier New"/>
                <w:b w:val="0"/>
                <w:bCs w:val="0"/>
                <w:color w:val="auto"/>
                <w:sz w:val="21"/>
                <w:szCs w:val="21"/>
                <w:highlight w:val="none"/>
                <w:lang w:val="en-US" w:eastAsia="zh-CN"/>
              </w:rPr>
              <w:t>）</w:t>
            </w:r>
          </w:p>
        </w:tc>
        <w:tc>
          <w:tcPr>
            <w:tcW w:w="370" w:type="pct"/>
            <w:vAlign w:val="center"/>
          </w:tcPr>
          <w:p w14:paraId="4DB23DC9">
            <w:pPr>
              <w:pStyle w:val="24"/>
              <w:bidi w:val="0"/>
              <w:rPr>
                <w:rFonts w:hint="eastAsia"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密闭罐车</w:t>
            </w:r>
          </w:p>
        </w:tc>
        <w:tc>
          <w:tcPr>
            <w:tcW w:w="406" w:type="pct"/>
            <w:vAlign w:val="center"/>
          </w:tcPr>
          <w:p w14:paraId="3E107E5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40000</w:t>
            </w:r>
          </w:p>
        </w:tc>
        <w:tc>
          <w:tcPr>
            <w:tcW w:w="1306" w:type="pct"/>
            <w:vAlign w:val="center"/>
          </w:tcPr>
          <w:p w14:paraId="3D41A1A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r w14:paraId="1457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96" w:type="pct"/>
            <w:vMerge w:val="restart"/>
            <w:vAlign w:val="center"/>
          </w:tcPr>
          <w:p w14:paraId="18FD06F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4</w:t>
            </w:r>
          </w:p>
        </w:tc>
        <w:tc>
          <w:tcPr>
            <w:tcW w:w="345" w:type="pct"/>
            <w:vMerge w:val="restart"/>
            <w:vAlign w:val="center"/>
          </w:tcPr>
          <w:p w14:paraId="35E836F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乳化型</w:t>
            </w:r>
            <w:r>
              <w:rPr>
                <w:rFonts w:hint="eastAsia" w:ascii="Times New Roman" w:hAnsi="Times New Roman" w:eastAsia="宋体" w:cs="Courier New"/>
                <w:b w:val="0"/>
                <w:bCs w:val="0"/>
                <w:color w:val="auto"/>
                <w:sz w:val="21"/>
                <w:szCs w:val="21"/>
                <w:highlight w:val="none"/>
                <w:lang w:val="en-US" w:eastAsia="zh-CN"/>
              </w:rPr>
              <w:t>脱模剂</w:t>
            </w:r>
          </w:p>
        </w:tc>
        <w:tc>
          <w:tcPr>
            <w:tcW w:w="449" w:type="pct"/>
            <w:vAlign w:val="center"/>
          </w:tcPr>
          <w:p w14:paraId="3D5F331A">
            <w:pPr>
              <w:pStyle w:val="24"/>
              <w:bidi w:val="0"/>
              <w:rPr>
                <w:rFonts w:hint="eastAsia"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乳化油型</w:t>
            </w:r>
          </w:p>
        </w:tc>
        <w:tc>
          <w:tcPr>
            <w:tcW w:w="382" w:type="pct"/>
            <w:vAlign w:val="center"/>
          </w:tcPr>
          <w:p w14:paraId="7CF80DE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shd w:val="clear" w:color="auto" w:fill="auto"/>
            <w:vAlign w:val="center"/>
          </w:tcPr>
          <w:p w14:paraId="38DA7DB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常温</w:t>
            </w:r>
          </w:p>
        </w:tc>
        <w:tc>
          <w:tcPr>
            <w:tcW w:w="1190" w:type="pct"/>
            <w:shd w:val="clear" w:color="auto" w:fill="auto"/>
            <w:vAlign w:val="center"/>
          </w:tcPr>
          <w:p w14:paraId="5179FF7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20L</w:t>
            </w:r>
            <w:r>
              <w:rPr>
                <w:rFonts w:hint="eastAsia" w:cs="Courier New"/>
                <w:b w:val="0"/>
                <w:bCs w:val="0"/>
                <w:color w:val="auto"/>
                <w:sz w:val="21"/>
                <w:szCs w:val="21"/>
                <w:highlight w:val="none"/>
                <w:lang w:val="en-US" w:eastAsia="zh-CN"/>
              </w:rPr>
              <w:t>、200L、1000L/桶</w:t>
            </w:r>
          </w:p>
        </w:tc>
        <w:tc>
          <w:tcPr>
            <w:tcW w:w="370" w:type="pct"/>
            <w:vAlign w:val="center"/>
          </w:tcPr>
          <w:p w14:paraId="50F5FF6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厢式货车</w:t>
            </w:r>
          </w:p>
        </w:tc>
        <w:tc>
          <w:tcPr>
            <w:tcW w:w="406" w:type="pct"/>
            <w:vAlign w:val="center"/>
          </w:tcPr>
          <w:p w14:paraId="64D65950">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5000</w:t>
            </w:r>
          </w:p>
        </w:tc>
        <w:tc>
          <w:tcPr>
            <w:tcW w:w="1306" w:type="pct"/>
            <w:vAlign w:val="center"/>
          </w:tcPr>
          <w:p w14:paraId="1C6DA9D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r w14:paraId="6E1F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96" w:type="pct"/>
            <w:vMerge w:val="continue"/>
            <w:vAlign w:val="center"/>
          </w:tcPr>
          <w:p w14:paraId="797B75EA">
            <w:pPr>
              <w:pStyle w:val="24"/>
              <w:bidi w:val="0"/>
              <w:ind w:left="0" w:leftChars="0"/>
              <w:rPr>
                <w:color w:val="auto"/>
              </w:rPr>
            </w:pPr>
          </w:p>
        </w:tc>
        <w:tc>
          <w:tcPr>
            <w:tcW w:w="345" w:type="pct"/>
            <w:vMerge w:val="continue"/>
            <w:vAlign w:val="center"/>
          </w:tcPr>
          <w:p w14:paraId="12F21967">
            <w:pPr>
              <w:pStyle w:val="24"/>
              <w:bidi w:val="0"/>
              <w:ind w:left="0" w:leftChars="0"/>
              <w:rPr>
                <w:color w:val="auto"/>
              </w:rPr>
            </w:pPr>
          </w:p>
        </w:tc>
        <w:tc>
          <w:tcPr>
            <w:tcW w:w="449" w:type="pct"/>
            <w:vAlign w:val="center"/>
          </w:tcPr>
          <w:p w14:paraId="6E94E92B">
            <w:pPr>
              <w:pStyle w:val="24"/>
              <w:bidi w:val="0"/>
              <w:ind w:left="0" w:leftChars="0"/>
              <w:rPr>
                <w:rFonts w:hint="eastAsia" w:eastAsia="宋体"/>
                <w:color w:val="auto"/>
                <w:lang w:val="en-US" w:eastAsia="zh-CN"/>
              </w:rPr>
            </w:pPr>
            <w:r>
              <w:rPr>
                <w:rFonts w:hint="eastAsia"/>
                <w:color w:val="auto"/>
                <w:lang w:val="en-US" w:eastAsia="zh-CN"/>
              </w:rPr>
              <w:t>水乳型</w:t>
            </w:r>
          </w:p>
        </w:tc>
        <w:tc>
          <w:tcPr>
            <w:tcW w:w="382" w:type="pct"/>
            <w:shd w:val="clear" w:color="auto" w:fill="auto"/>
            <w:vAlign w:val="center"/>
          </w:tcPr>
          <w:p w14:paraId="70025C0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液态</w:t>
            </w:r>
          </w:p>
        </w:tc>
        <w:tc>
          <w:tcPr>
            <w:tcW w:w="351" w:type="pct"/>
            <w:shd w:val="clear" w:color="auto" w:fill="auto"/>
            <w:vAlign w:val="center"/>
          </w:tcPr>
          <w:p w14:paraId="42D8268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常温</w:t>
            </w:r>
          </w:p>
        </w:tc>
        <w:tc>
          <w:tcPr>
            <w:tcW w:w="1190" w:type="pct"/>
            <w:shd w:val="clear" w:color="auto" w:fill="auto"/>
            <w:vAlign w:val="center"/>
          </w:tcPr>
          <w:p w14:paraId="191BAC1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20L</w:t>
            </w:r>
            <w:r>
              <w:rPr>
                <w:rFonts w:hint="eastAsia" w:cs="Courier New"/>
                <w:b w:val="0"/>
                <w:bCs w:val="0"/>
                <w:color w:val="auto"/>
                <w:sz w:val="21"/>
                <w:szCs w:val="21"/>
                <w:highlight w:val="none"/>
                <w:lang w:val="en-US" w:eastAsia="zh-CN"/>
              </w:rPr>
              <w:t>、200L、1000L/桶</w:t>
            </w:r>
          </w:p>
        </w:tc>
        <w:tc>
          <w:tcPr>
            <w:tcW w:w="370" w:type="pct"/>
            <w:vAlign w:val="center"/>
          </w:tcPr>
          <w:p w14:paraId="79435BF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厢式货车</w:t>
            </w:r>
          </w:p>
        </w:tc>
        <w:tc>
          <w:tcPr>
            <w:tcW w:w="406" w:type="pct"/>
            <w:vAlign w:val="center"/>
          </w:tcPr>
          <w:p w14:paraId="2059028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5000</w:t>
            </w:r>
          </w:p>
        </w:tc>
        <w:tc>
          <w:tcPr>
            <w:tcW w:w="1306" w:type="pct"/>
            <w:vAlign w:val="center"/>
          </w:tcPr>
          <w:p w14:paraId="7386FB8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r w14:paraId="4B94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96" w:type="pct"/>
            <w:vMerge w:val="continue"/>
            <w:vAlign w:val="center"/>
          </w:tcPr>
          <w:p w14:paraId="6E33536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45" w:type="pct"/>
            <w:vMerge w:val="continue"/>
            <w:vAlign w:val="center"/>
          </w:tcPr>
          <w:p w14:paraId="63D5B32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9" w:type="pct"/>
            <w:vAlign w:val="center"/>
          </w:tcPr>
          <w:p w14:paraId="52D20F0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合计</w:t>
            </w:r>
          </w:p>
        </w:tc>
        <w:tc>
          <w:tcPr>
            <w:tcW w:w="382" w:type="pct"/>
            <w:shd w:val="clear" w:color="auto" w:fill="auto"/>
            <w:vAlign w:val="center"/>
          </w:tcPr>
          <w:p w14:paraId="5F77E4BE">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w:t>
            </w:r>
          </w:p>
        </w:tc>
        <w:tc>
          <w:tcPr>
            <w:tcW w:w="351" w:type="pct"/>
            <w:shd w:val="clear" w:color="auto" w:fill="auto"/>
            <w:vAlign w:val="center"/>
          </w:tcPr>
          <w:p w14:paraId="239305E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w:t>
            </w:r>
          </w:p>
        </w:tc>
        <w:tc>
          <w:tcPr>
            <w:tcW w:w="1190" w:type="pct"/>
            <w:shd w:val="clear" w:color="auto" w:fill="auto"/>
            <w:vAlign w:val="center"/>
          </w:tcPr>
          <w:p w14:paraId="5D8F24F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w:t>
            </w:r>
          </w:p>
        </w:tc>
        <w:tc>
          <w:tcPr>
            <w:tcW w:w="370" w:type="pct"/>
            <w:shd w:val="clear" w:color="auto" w:fill="auto"/>
            <w:vAlign w:val="center"/>
          </w:tcPr>
          <w:p w14:paraId="72FD2B6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w:t>
            </w:r>
          </w:p>
        </w:tc>
        <w:tc>
          <w:tcPr>
            <w:tcW w:w="406" w:type="pct"/>
            <w:vAlign w:val="center"/>
          </w:tcPr>
          <w:p w14:paraId="63412A6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10000</w:t>
            </w:r>
          </w:p>
        </w:tc>
        <w:tc>
          <w:tcPr>
            <w:tcW w:w="1306" w:type="pct"/>
            <w:vAlign w:val="center"/>
          </w:tcPr>
          <w:p w14:paraId="53F2579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外售</w:t>
            </w:r>
          </w:p>
        </w:tc>
      </w:tr>
    </w:tbl>
    <w:p w14:paraId="001A33BA">
      <w:p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本项目产品</w:t>
      </w:r>
      <w:r>
        <w:rPr>
          <w:rFonts w:hint="eastAsia" w:ascii="Times New Roman" w:hAnsi="Times New Roman" w:eastAsia="宋体" w:cs="Times New Roman"/>
          <w:color w:val="auto"/>
          <w:sz w:val="24"/>
          <w:lang w:val="en-US" w:eastAsia="zh-CN"/>
        </w:rPr>
        <w:t>中聚羧酸减水剂母液与高性能聚羧酸减水剂关联</w:t>
      </w:r>
      <w:r>
        <w:rPr>
          <w:rFonts w:hint="eastAsia" w:cs="Times New Roman"/>
          <w:color w:val="auto"/>
          <w:sz w:val="24"/>
          <w:lang w:val="en-US" w:eastAsia="zh-CN"/>
        </w:rPr>
        <w:t>关系</w:t>
      </w:r>
      <w:r>
        <w:rPr>
          <w:rFonts w:hint="eastAsia" w:ascii="Times New Roman" w:hAnsi="Times New Roman" w:eastAsia="宋体" w:cs="Times New Roman"/>
          <w:color w:val="auto"/>
          <w:sz w:val="24"/>
          <w:lang w:val="en-US" w:eastAsia="zh-CN"/>
        </w:rPr>
        <w:t>见下图。</w:t>
      </w:r>
    </w:p>
    <w:p w14:paraId="79AD8503">
      <w:pPr>
        <w:bidi w:val="0"/>
        <w:rPr>
          <w:rFonts w:hint="default"/>
          <w:color w:val="auto"/>
          <w:lang w:val="en-US" w:eastAsia="zh-CN"/>
        </w:rPr>
      </w:pPr>
      <w:r>
        <w:rPr>
          <w:rFonts w:hint="default" w:ascii="Times New Roman" w:hAnsi="Times New Roman"/>
          <w:color w:val="auto"/>
          <w:lang w:val="en-US" w:eastAsia="zh-CN"/>
        </w:rPr>
        <w:object>
          <v:shape id="_x0000_i1027" o:spt="75" type="#_x0000_t75" style="height:262.5pt;width:444pt;" o:ole="t" filled="f" o:preferrelative="t" stroked="f" coordsize="21600,21600">
            <v:path/>
            <v:fill on="f" focussize="0,0"/>
            <v:stroke on="f"/>
            <v:imagedata r:id="rId28" o:title=""/>
            <o:lock v:ext="edit" aspectratio="f"/>
            <w10:wrap type="none"/>
            <w10:anchorlock/>
          </v:shape>
          <o:OLEObject Type="Embed" ProgID="Visio.Drawing.11" ShapeID="_x0000_i1027" DrawAspect="Content" ObjectID="_1468075727" r:id="rId27">
            <o:LockedField>false</o:LockedField>
          </o:OLEObject>
        </w:object>
      </w:r>
    </w:p>
    <w:p w14:paraId="366028FD">
      <w:pPr>
        <w:pStyle w:val="37"/>
        <w:numPr>
          <w:ilvl w:val="0"/>
          <w:numId w:val="18"/>
        </w:numPr>
        <w:bidi w:val="0"/>
        <w:rPr>
          <w:rFonts w:hint="default"/>
          <w:color w:val="auto"/>
          <w:lang w:val="en-US" w:eastAsia="zh-CN"/>
        </w:rPr>
      </w:pPr>
      <w:r>
        <w:rPr>
          <w:rFonts w:hint="eastAsia" w:ascii="黑体" w:hAnsi="黑体" w:eastAsia="黑体" w:cs="黑体"/>
          <w:color w:val="auto"/>
          <w:kern w:val="2"/>
          <w:sz w:val="21"/>
          <w:szCs w:val="21"/>
          <w:highlight w:val="none"/>
          <w:lang w:val="en-US" w:eastAsia="zh-CN" w:bidi="ar-SA"/>
        </w:rPr>
        <w:t>聚羧酸减水剂母液与高性能聚羧酸减水剂关联图</w:t>
      </w:r>
    </w:p>
    <w:p w14:paraId="02C8CEAF">
      <w:pPr>
        <w:pStyle w:val="5"/>
        <w:bidi w:val="0"/>
        <w:rPr>
          <w:rFonts w:hint="default"/>
          <w:color w:val="auto"/>
          <w:highlight w:val="none"/>
        </w:rPr>
      </w:pPr>
      <w:r>
        <w:rPr>
          <w:rFonts w:hint="eastAsia" w:ascii="Times New Roman" w:hAnsi="Times New Roman" w:eastAsia="黑体" w:cs="Courier New"/>
          <w:b w:val="0"/>
          <w:bCs w:val="0"/>
          <w:color w:val="auto"/>
          <w:kern w:val="24"/>
          <w:sz w:val="24"/>
          <w:szCs w:val="30"/>
          <w:highlight w:val="none"/>
          <w:lang w:val="en-US" w:eastAsia="zh-CN" w:bidi="ar-SA"/>
        </w:rPr>
        <w:t>质量标准</w:t>
      </w:r>
    </w:p>
    <w:p w14:paraId="6118E34E">
      <w:pPr>
        <w:bidi w:val="0"/>
        <w:ind w:left="0" w:leftChars="0" w:firstLine="480" w:firstLineChars="200"/>
        <w:rPr>
          <w:rFonts w:hint="default"/>
          <w:color w:val="auto"/>
          <w:lang w:val="en-US" w:eastAsia="zh-CN"/>
        </w:rPr>
      </w:pPr>
      <w:r>
        <w:rPr>
          <w:rFonts w:hint="eastAsia"/>
          <w:color w:val="auto"/>
          <w:lang w:val="en-US" w:eastAsia="zh-CN"/>
        </w:rPr>
        <w:t>本项目产品为混凝土添加剂，包括聚羧酸减水剂母液、高性能聚羧酸减水剂、无碱速凝剂、乳化型脱模剂，其中聚羧酸减水剂母液依据企业内部产品质量标准对产品pH、密度进行控制，高性能聚羧酸减水剂执行中华人民共和国建筑工业行业标准《聚羧酸系高性能减水剂》（JG/T223-2017）中相关要求，无碱速凝剂执行中华人民共和国国家标准《喷射混凝土用速凝剂》（GB/T35159-2017）中相关要求，乳化型脱模剂执行中华人民共和国建材行业标准《混凝土制品用脱模剂》（JC/T949-2021）中相关要求。</w:t>
      </w:r>
    </w:p>
    <w:p w14:paraId="080EBB95">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聚羧酸减水剂母液产品质量标准</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1819"/>
        <w:gridCol w:w="3405"/>
        <w:gridCol w:w="1525"/>
        <w:gridCol w:w="1469"/>
      </w:tblGrid>
      <w:tr w14:paraId="4250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676" w:type="pct"/>
            <w:vMerge w:val="restart"/>
            <w:vAlign w:val="center"/>
          </w:tcPr>
          <w:p w14:paraId="58FFC108">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产品名称</w:t>
            </w:r>
          </w:p>
        </w:tc>
        <w:tc>
          <w:tcPr>
            <w:tcW w:w="957" w:type="pct"/>
            <w:vMerge w:val="restart"/>
            <w:vAlign w:val="center"/>
          </w:tcPr>
          <w:p w14:paraId="391B113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产品质量标准</w:t>
            </w:r>
          </w:p>
        </w:tc>
        <w:tc>
          <w:tcPr>
            <w:tcW w:w="1791" w:type="pct"/>
            <w:vMerge w:val="restart"/>
            <w:vAlign w:val="center"/>
          </w:tcPr>
          <w:p w14:paraId="6BF3E186">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产品指标</w:t>
            </w:r>
          </w:p>
        </w:tc>
        <w:tc>
          <w:tcPr>
            <w:tcW w:w="1575" w:type="pct"/>
            <w:gridSpan w:val="2"/>
            <w:vAlign w:val="center"/>
          </w:tcPr>
          <w:p w14:paraId="1BE0FCB1">
            <w:pPr>
              <w:pStyle w:val="24"/>
              <w:bidi w:val="0"/>
              <w:rPr>
                <w:rFonts w:hint="default" w:cs="Courier New"/>
                <w:b/>
                <w:bCs/>
                <w:color w:val="auto"/>
                <w:highlight w:val="none"/>
                <w:lang w:val="en-US" w:eastAsia="zh-CN"/>
              </w:rPr>
            </w:pPr>
            <w:r>
              <w:rPr>
                <w:rFonts w:hint="eastAsia" w:cs="Courier New"/>
                <w:b/>
                <w:bCs/>
                <w:color w:val="auto"/>
                <w:highlight w:val="none"/>
                <w:lang w:val="en-US" w:eastAsia="zh-CN"/>
              </w:rPr>
              <w:t>产品类型</w:t>
            </w:r>
          </w:p>
        </w:tc>
      </w:tr>
      <w:tr w14:paraId="03F2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676" w:type="pct"/>
            <w:vMerge w:val="continue"/>
            <w:vAlign w:val="center"/>
          </w:tcPr>
          <w:p w14:paraId="38EA25AA">
            <w:pPr>
              <w:pStyle w:val="24"/>
              <w:bidi w:val="0"/>
              <w:rPr>
                <w:color w:val="auto"/>
              </w:rPr>
            </w:pPr>
          </w:p>
        </w:tc>
        <w:tc>
          <w:tcPr>
            <w:tcW w:w="957" w:type="pct"/>
            <w:vMerge w:val="continue"/>
            <w:vAlign w:val="center"/>
          </w:tcPr>
          <w:p w14:paraId="1E15611B">
            <w:pPr>
              <w:pStyle w:val="24"/>
              <w:bidi w:val="0"/>
              <w:rPr>
                <w:color w:val="auto"/>
              </w:rPr>
            </w:pPr>
          </w:p>
        </w:tc>
        <w:tc>
          <w:tcPr>
            <w:tcW w:w="1791" w:type="pct"/>
            <w:vMerge w:val="continue"/>
            <w:vAlign w:val="center"/>
          </w:tcPr>
          <w:p w14:paraId="1DB26C5C">
            <w:pPr>
              <w:pStyle w:val="24"/>
              <w:bidi w:val="0"/>
              <w:rPr>
                <w:color w:val="auto"/>
              </w:rPr>
            </w:pPr>
          </w:p>
        </w:tc>
        <w:tc>
          <w:tcPr>
            <w:tcW w:w="802" w:type="pct"/>
            <w:vAlign w:val="center"/>
          </w:tcPr>
          <w:p w14:paraId="62158195">
            <w:pPr>
              <w:pStyle w:val="24"/>
              <w:bidi w:val="0"/>
              <w:rPr>
                <w:rFonts w:hint="default" w:cs="Courier New"/>
                <w:b/>
                <w:bCs/>
                <w:color w:val="auto"/>
                <w:highlight w:val="none"/>
                <w:lang w:val="en-US" w:eastAsia="zh-CN"/>
              </w:rPr>
            </w:pPr>
            <w:r>
              <w:rPr>
                <w:rFonts w:hint="eastAsia" w:cs="Courier New"/>
                <w:b/>
                <w:bCs/>
                <w:color w:val="auto"/>
                <w:highlight w:val="none"/>
                <w:lang w:val="en-US" w:eastAsia="zh-CN"/>
              </w:rPr>
              <w:t>减水型</w:t>
            </w:r>
          </w:p>
        </w:tc>
        <w:tc>
          <w:tcPr>
            <w:tcW w:w="772" w:type="pct"/>
            <w:vAlign w:val="center"/>
          </w:tcPr>
          <w:p w14:paraId="67CB8FE9">
            <w:pPr>
              <w:pStyle w:val="24"/>
              <w:bidi w:val="0"/>
              <w:rPr>
                <w:rFonts w:hint="default" w:cs="Courier New"/>
                <w:b/>
                <w:bCs/>
                <w:color w:val="auto"/>
                <w:highlight w:val="none"/>
                <w:lang w:val="en-US" w:eastAsia="zh-CN"/>
              </w:rPr>
            </w:pPr>
            <w:r>
              <w:rPr>
                <w:rFonts w:hint="eastAsia" w:cs="Courier New"/>
                <w:b/>
                <w:bCs/>
                <w:color w:val="auto"/>
                <w:highlight w:val="none"/>
                <w:lang w:val="en-US" w:eastAsia="zh-CN"/>
              </w:rPr>
              <w:t>保坍型</w:t>
            </w:r>
          </w:p>
        </w:tc>
      </w:tr>
      <w:tr w14:paraId="4097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6" w:type="pct"/>
            <w:vMerge w:val="restart"/>
            <w:vAlign w:val="center"/>
          </w:tcPr>
          <w:p w14:paraId="4F0FA11E">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聚羧酸减水剂母液</w:t>
            </w:r>
          </w:p>
        </w:tc>
        <w:tc>
          <w:tcPr>
            <w:tcW w:w="957" w:type="pct"/>
            <w:vMerge w:val="restart"/>
            <w:shd w:val="clear" w:color="auto" w:fill="auto"/>
            <w:vAlign w:val="center"/>
          </w:tcPr>
          <w:p w14:paraId="12626CF2">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企业</w:t>
            </w:r>
            <w:r>
              <w:rPr>
                <w:rFonts w:hint="eastAsia" w:ascii="Times New Roman" w:hAnsi="Times New Roman" w:eastAsia="宋体" w:cs="Courier New"/>
                <w:b w:val="0"/>
                <w:bCs w:val="0"/>
                <w:color w:val="auto"/>
                <w:highlight w:val="none"/>
                <w:lang w:val="en-US" w:eastAsia="zh-CN"/>
              </w:rPr>
              <w:t>内部控制标准</w:t>
            </w:r>
          </w:p>
        </w:tc>
        <w:tc>
          <w:tcPr>
            <w:tcW w:w="1791" w:type="pct"/>
            <w:shd w:val="clear" w:color="auto" w:fill="auto"/>
            <w:vAlign w:val="center"/>
          </w:tcPr>
          <w:p w14:paraId="6EB40F3E">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pH值/（</w:t>
            </w:r>
            <w:r>
              <w:rPr>
                <w:rFonts w:hint="eastAsia" w:cs="Courier New"/>
                <w:b w:val="0"/>
                <w:bCs w:val="0"/>
                <w:color w:val="auto"/>
                <w:highlight w:val="none"/>
                <w:lang w:val="en-US" w:eastAsia="zh-CN"/>
              </w:rPr>
              <w:t>无量纲</w:t>
            </w:r>
            <w:r>
              <w:rPr>
                <w:rFonts w:hint="eastAsia" w:cs="Courier New"/>
                <w:b w:val="0"/>
                <w:bCs w:val="0"/>
                <w:color w:val="auto"/>
                <w:kern w:val="2"/>
                <w:sz w:val="21"/>
                <w:szCs w:val="24"/>
                <w:highlight w:val="none"/>
                <w:lang w:val="en-US" w:eastAsia="zh-CN" w:bidi="ar-SA"/>
              </w:rPr>
              <w:t>）</w:t>
            </w:r>
          </w:p>
        </w:tc>
        <w:tc>
          <w:tcPr>
            <w:tcW w:w="802" w:type="pct"/>
            <w:shd w:val="clear" w:color="auto" w:fill="auto"/>
            <w:vAlign w:val="center"/>
          </w:tcPr>
          <w:p w14:paraId="48891A1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4-6</w:t>
            </w:r>
          </w:p>
        </w:tc>
        <w:tc>
          <w:tcPr>
            <w:tcW w:w="772" w:type="pct"/>
            <w:shd w:val="clear" w:color="auto" w:fill="auto"/>
            <w:vAlign w:val="center"/>
          </w:tcPr>
          <w:p w14:paraId="78ABD43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4-6</w:t>
            </w:r>
          </w:p>
        </w:tc>
      </w:tr>
      <w:tr w14:paraId="28B7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76" w:type="pct"/>
            <w:vMerge w:val="continue"/>
            <w:vAlign w:val="center"/>
          </w:tcPr>
          <w:p w14:paraId="5ADA8FCA">
            <w:pPr>
              <w:pStyle w:val="24"/>
              <w:bidi w:val="0"/>
              <w:rPr>
                <w:rFonts w:hint="eastAsia" w:ascii="Times New Roman" w:hAnsi="Times New Roman" w:eastAsia="宋体" w:cs="Courier New"/>
                <w:b w:val="0"/>
                <w:bCs w:val="0"/>
                <w:color w:val="auto"/>
                <w:highlight w:val="none"/>
                <w:lang w:val="en-US" w:eastAsia="zh-CN"/>
              </w:rPr>
            </w:pPr>
          </w:p>
        </w:tc>
        <w:tc>
          <w:tcPr>
            <w:tcW w:w="957" w:type="pct"/>
            <w:vMerge w:val="continue"/>
            <w:shd w:val="clear" w:color="auto" w:fill="auto"/>
            <w:vAlign w:val="center"/>
          </w:tcPr>
          <w:p w14:paraId="5F0BC004">
            <w:pPr>
              <w:pStyle w:val="24"/>
              <w:bidi w:val="0"/>
              <w:rPr>
                <w:rFonts w:hint="eastAsia" w:ascii="Times New Roman" w:hAnsi="Times New Roman" w:eastAsia="宋体" w:cs="Courier New"/>
                <w:b w:val="0"/>
                <w:bCs w:val="0"/>
                <w:color w:val="auto"/>
                <w:highlight w:val="none"/>
                <w:lang w:val="en-US" w:eastAsia="zh-CN"/>
              </w:rPr>
            </w:pPr>
          </w:p>
        </w:tc>
        <w:tc>
          <w:tcPr>
            <w:tcW w:w="1791" w:type="pct"/>
            <w:shd w:val="clear" w:color="auto" w:fill="auto"/>
            <w:vAlign w:val="center"/>
          </w:tcPr>
          <w:p w14:paraId="58A37F5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密度/（g/cm</w:t>
            </w:r>
            <w:r>
              <w:rPr>
                <w:rFonts w:hint="eastAsia" w:cs="Courier New"/>
                <w:b w:val="0"/>
                <w:bCs w:val="0"/>
                <w:color w:val="auto"/>
                <w:highlight w:val="none"/>
                <w:vertAlign w:val="superscript"/>
                <w:lang w:val="en-US" w:eastAsia="zh-CN"/>
              </w:rPr>
              <w:t>3</w:t>
            </w:r>
            <w:r>
              <w:rPr>
                <w:rFonts w:hint="eastAsia" w:cs="Courier New"/>
                <w:b w:val="0"/>
                <w:bCs w:val="0"/>
                <w:color w:val="auto"/>
                <w:highlight w:val="none"/>
                <w:lang w:val="en-US" w:eastAsia="zh-CN"/>
              </w:rPr>
              <w:t>）</w:t>
            </w:r>
          </w:p>
        </w:tc>
        <w:tc>
          <w:tcPr>
            <w:tcW w:w="802" w:type="pct"/>
            <w:shd w:val="clear" w:color="auto" w:fill="auto"/>
            <w:vAlign w:val="center"/>
          </w:tcPr>
          <w:p w14:paraId="5EA90E23">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1.08±0.02</w:t>
            </w:r>
          </w:p>
        </w:tc>
        <w:tc>
          <w:tcPr>
            <w:tcW w:w="772" w:type="pct"/>
            <w:shd w:val="clear" w:color="auto" w:fill="auto"/>
            <w:vAlign w:val="center"/>
          </w:tcPr>
          <w:p w14:paraId="63B0248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1.08±0.02</w:t>
            </w:r>
          </w:p>
        </w:tc>
      </w:tr>
    </w:tbl>
    <w:p w14:paraId="7BC8AF6E">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高性能聚羧酸减水剂产品质量标准</w:t>
      </w:r>
    </w:p>
    <w:tbl>
      <w:tblPr>
        <w:tblStyle w:val="21"/>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88"/>
        <w:gridCol w:w="1812"/>
        <w:gridCol w:w="3415"/>
        <w:gridCol w:w="993"/>
        <w:gridCol w:w="1003"/>
        <w:gridCol w:w="1000"/>
      </w:tblGrid>
      <w:tr w14:paraId="1E486F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restart"/>
            <w:tcBorders>
              <w:tl2br w:val="nil"/>
              <w:tr2bl w:val="nil"/>
            </w:tcBorders>
            <w:noWrap w:val="0"/>
            <w:vAlign w:val="center"/>
          </w:tcPr>
          <w:p w14:paraId="2A9159CF">
            <w:pPr>
              <w:pStyle w:val="24"/>
              <w:bidi w:val="0"/>
              <w:ind w:left="0" w:leftChars="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产品名称</w:t>
            </w:r>
          </w:p>
        </w:tc>
        <w:tc>
          <w:tcPr>
            <w:tcW w:w="1812" w:type="dxa"/>
            <w:vMerge w:val="restart"/>
            <w:tcBorders>
              <w:tl2br w:val="nil"/>
              <w:tr2bl w:val="nil"/>
            </w:tcBorders>
            <w:noWrap w:val="0"/>
            <w:vAlign w:val="center"/>
          </w:tcPr>
          <w:p w14:paraId="349D082A">
            <w:pPr>
              <w:pStyle w:val="24"/>
              <w:bidi w:val="0"/>
              <w:ind w:left="0" w:leftChars="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产品质量标准</w:t>
            </w:r>
          </w:p>
        </w:tc>
        <w:tc>
          <w:tcPr>
            <w:tcW w:w="3415" w:type="dxa"/>
            <w:vMerge w:val="restart"/>
            <w:tcBorders>
              <w:tl2br w:val="nil"/>
              <w:tr2bl w:val="nil"/>
            </w:tcBorders>
            <w:noWrap w:val="0"/>
            <w:vAlign w:val="center"/>
          </w:tcPr>
          <w:p w14:paraId="23D9CA69">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项目</w:t>
            </w:r>
          </w:p>
        </w:tc>
        <w:tc>
          <w:tcPr>
            <w:tcW w:w="2996" w:type="dxa"/>
            <w:gridSpan w:val="3"/>
            <w:tcBorders>
              <w:tl2br w:val="nil"/>
              <w:tr2bl w:val="nil"/>
            </w:tcBorders>
            <w:noWrap w:val="0"/>
            <w:vAlign w:val="center"/>
          </w:tcPr>
          <w:p w14:paraId="4825B14F">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产品类型</w:t>
            </w:r>
          </w:p>
        </w:tc>
      </w:tr>
      <w:tr w14:paraId="5D63BA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53A0C5B2">
            <w:pPr>
              <w:pStyle w:val="24"/>
              <w:bidi w:val="0"/>
              <w:rPr>
                <w:rFonts w:hint="eastAsia" w:ascii="Times New Roman" w:hAnsi="Times New Roman" w:eastAsia="宋体" w:cs="Courier New"/>
                <w:b/>
                <w:bCs/>
                <w:color w:val="auto"/>
                <w:highlight w:val="none"/>
                <w:lang w:val="en-US" w:eastAsia="zh-CN"/>
              </w:rPr>
            </w:pPr>
          </w:p>
        </w:tc>
        <w:tc>
          <w:tcPr>
            <w:tcW w:w="1812" w:type="dxa"/>
            <w:vMerge w:val="continue"/>
            <w:tcBorders>
              <w:tl2br w:val="nil"/>
              <w:tr2bl w:val="nil"/>
            </w:tcBorders>
            <w:noWrap w:val="0"/>
            <w:vAlign w:val="center"/>
          </w:tcPr>
          <w:p w14:paraId="7B74D56D">
            <w:pPr>
              <w:pStyle w:val="24"/>
              <w:bidi w:val="0"/>
              <w:rPr>
                <w:rFonts w:hint="eastAsia" w:ascii="Times New Roman" w:hAnsi="Times New Roman" w:eastAsia="宋体" w:cs="Courier New"/>
                <w:b/>
                <w:bCs/>
                <w:color w:val="auto"/>
                <w:highlight w:val="none"/>
                <w:lang w:val="en-US" w:eastAsia="zh-CN"/>
              </w:rPr>
            </w:pPr>
          </w:p>
        </w:tc>
        <w:tc>
          <w:tcPr>
            <w:tcW w:w="3415" w:type="dxa"/>
            <w:vMerge w:val="continue"/>
            <w:tcBorders>
              <w:tl2br w:val="nil"/>
              <w:tr2bl w:val="nil"/>
            </w:tcBorders>
            <w:noWrap w:val="0"/>
            <w:vAlign w:val="center"/>
          </w:tcPr>
          <w:p w14:paraId="2DF4C91A">
            <w:pPr>
              <w:pStyle w:val="24"/>
              <w:bidi w:val="0"/>
              <w:rPr>
                <w:rFonts w:hint="eastAsia" w:ascii="Times New Roman" w:hAnsi="Times New Roman" w:eastAsia="宋体" w:cs="Courier New"/>
                <w:b/>
                <w:bCs/>
                <w:color w:val="auto"/>
                <w:highlight w:val="none"/>
                <w:lang w:val="en-US" w:eastAsia="zh-CN"/>
              </w:rPr>
            </w:pPr>
          </w:p>
        </w:tc>
        <w:tc>
          <w:tcPr>
            <w:tcW w:w="993" w:type="dxa"/>
            <w:tcBorders>
              <w:tl2br w:val="nil"/>
              <w:tr2bl w:val="nil"/>
            </w:tcBorders>
            <w:noWrap w:val="0"/>
            <w:vAlign w:val="center"/>
          </w:tcPr>
          <w:p w14:paraId="201BC25F">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标准型</w:t>
            </w:r>
          </w:p>
        </w:tc>
        <w:tc>
          <w:tcPr>
            <w:tcW w:w="1003" w:type="dxa"/>
            <w:tcBorders>
              <w:tl2br w:val="nil"/>
              <w:tr2bl w:val="nil"/>
            </w:tcBorders>
            <w:noWrap w:val="0"/>
            <w:vAlign w:val="center"/>
          </w:tcPr>
          <w:p w14:paraId="2E608040">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缓凝型</w:t>
            </w:r>
          </w:p>
        </w:tc>
        <w:tc>
          <w:tcPr>
            <w:tcW w:w="1000" w:type="dxa"/>
            <w:tcBorders>
              <w:tl2br w:val="nil"/>
              <w:tr2bl w:val="nil"/>
            </w:tcBorders>
            <w:noWrap w:val="0"/>
            <w:vAlign w:val="center"/>
          </w:tcPr>
          <w:p w14:paraId="5BC62289">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早强型</w:t>
            </w:r>
          </w:p>
        </w:tc>
      </w:tr>
      <w:tr w14:paraId="2A1036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restart"/>
            <w:tcBorders>
              <w:tl2br w:val="nil"/>
              <w:tr2bl w:val="nil"/>
            </w:tcBorders>
            <w:noWrap w:val="0"/>
            <w:vAlign w:val="center"/>
          </w:tcPr>
          <w:p w14:paraId="2C2B05BD">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高性能</w:t>
            </w:r>
            <w:r>
              <w:rPr>
                <w:rFonts w:hint="default" w:ascii="Times New Roman" w:hAnsi="Times New Roman" w:eastAsia="宋体" w:cs="Courier New"/>
                <w:b w:val="0"/>
                <w:bCs w:val="0"/>
                <w:color w:val="auto"/>
                <w:highlight w:val="none"/>
                <w:lang w:val="en-US" w:eastAsia="zh-CN"/>
              </w:rPr>
              <w:t>聚羧酸减水剂</w:t>
            </w:r>
          </w:p>
        </w:tc>
        <w:tc>
          <w:tcPr>
            <w:tcW w:w="1812" w:type="dxa"/>
            <w:vMerge w:val="restart"/>
            <w:tcBorders>
              <w:tl2br w:val="nil"/>
              <w:tr2bl w:val="nil"/>
            </w:tcBorders>
            <w:noWrap w:val="0"/>
            <w:vAlign w:val="center"/>
          </w:tcPr>
          <w:p w14:paraId="7197860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《聚羧酸系高性能减水剂》（JG/T223-2017）</w:t>
            </w:r>
          </w:p>
        </w:tc>
        <w:tc>
          <w:tcPr>
            <w:tcW w:w="3415" w:type="dxa"/>
            <w:tcBorders>
              <w:tl2br w:val="nil"/>
              <w:tr2bl w:val="nil"/>
            </w:tcBorders>
            <w:noWrap w:val="0"/>
            <w:vAlign w:val="center"/>
          </w:tcPr>
          <w:p w14:paraId="751CA01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甲醛含量（按折固含量计）/（mg/kg）</w:t>
            </w:r>
          </w:p>
        </w:tc>
        <w:tc>
          <w:tcPr>
            <w:tcW w:w="2996" w:type="dxa"/>
            <w:gridSpan w:val="3"/>
            <w:tcBorders>
              <w:tl2br w:val="nil"/>
              <w:tr2bl w:val="nil"/>
            </w:tcBorders>
            <w:noWrap w:val="0"/>
            <w:vAlign w:val="center"/>
          </w:tcPr>
          <w:p w14:paraId="15D3CA2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≤300</w:t>
            </w:r>
          </w:p>
        </w:tc>
      </w:tr>
      <w:tr w14:paraId="55B974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78B9584A">
            <w:pPr>
              <w:pStyle w:val="24"/>
              <w:bidi w:val="0"/>
              <w:rPr>
                <w:rFonts w:hint="eastAsia" w:ascii="Times New Roman" w:hAnsi="Times New Roman" w:eastAsia="宋体" w:cs="Courier New"/>
                <w:b w:val="0"/>
                <w:bCs w:val="0"/>
                <w:color w:val="auto"/>
                <w:highlight w:val="none"/>
                <w:lang w:val="en-US" w:eastAsia="zh-CN"/>
              </w:rPr>
            </w:pPr>
          </w:p>
        </w:tc>
        <w:tc>
          <w:tcPr>
            <w:tcW w:w="1812" w:type="dxa"/>
            <w:vMerge w:val="continue"/>
            <w:tcBorders>
              <w:tl2br w:val="nil"/>
              <w:tr2bl w:val="nil"/>
            </w:tcBorders>
            <w:noWrap w:val="0"/>
            <w:vAlign w:val="center"/>
          </w:tcPr>
          <w:p w14:paraId="521AD64D">
            <w:pPr>
              <w:pStyle w:val="24"/>
              <w:bidi w:val="0"/>
              <w:rPr>
                <w:rFonts w:hint="eastAsia" w:ascii="Times New Roman" w:hAnsi="Times New Roman" w:eastAsia="宋体" w:cs="Courier New"/>
                <w:b w:val="0"/>
                <w:bCs w:val="0"/>
                <w:color w:val="auto"/>
                <w:highlight w:val="none"/>
                <w:lang w:val="en-US" w:eastAsia="zh-CN"/>
              </w:rPr>
            </w:pPr>
          </w:p>
        </w:tc>
        <w:tc>
          <w:tcPr>
            <w:tcW w:w="3415" w:type="dxa"/>
            <w:tcBorders>
              <w:tl2br w:val="nil"/>
              <w:tr2bl w:val="nil"/>
            </w:tcBorders>
            <w:noWrap w:val="0"/>
            <w:vAlign w:val="center"/>
          </w:tcPr>
          <w:p w14:paraId="7E3A00D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氯离子含量（按折固含量计）/%</w:t>
            </w:r>
          </w:p>
        </w:tc>
        <w:tc>
          <w:tcPr>
            <w:tcW w:w="2996" w:type="dxa"/>
            <w:gridSpan w:val="3"/>
            <w:tcBorders>
              <w:tl2br w:val="nil"/>
              <w:tr2bl w:val="nil"/>
            </w:tcBorders>
            <w:noWrap w:val="0"/>
            <w:vAlign w:val="center"/>
          </w:tcPr>
          <w:p w14:paraId="2BAFCD64">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w:t>
            </w:r>
          </w:p>
        </w:tc>
      </w:tr>
      <w:tr w14:paraId="451B09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152299BA">
            <w:pPr>
              <w:pStyle w:val="24"/>
              <w:bidi w:val="0"/>
              <w:rPr>
                <w:rFonts w:hint="eastAsia" w:ascii="Times New Roman" w:hAnsi="Times New Roman" w:eastAsia="宋体" w:cs="Courier New"/>
                <w:b w:val="0"/>
                <w:bCs w:val="0"/>
                <w:color w:val="auto"/>
                <w:highlight w:val="none"/>
                <w:lang w:val="en-US" w:eastAsia="zh-CN"/>
              </w:rPr>
            </w:pPr>
          </w:p>
        </w:tc>
        <w:tc>
          <w:tcPr>
            <w:tcW w:w="1812" w:type="dxa"/>
            <w:vMerge w:val="continue"/>
            <w:tcBorders>
              <w:tl2br w:val="nil"/>
              <w:tr2bl w:val="nil"/>
            </w:tcBorders>
            <w:noWrap w:val="0"/>
            <w:vAlign w:val="center"/>
          </w:tcPr>
          <w:p w14:paraId="32E6949A">
            <w:pPr>
              <w:pStyle w:val="24"/>
              <w:bidi w:val="0"/>
              <w:rPr>
                <w:rFonts w:hint="eastAsia" w:ascii="Times New Roman" w:hAnsi="Times New Roman" w:eastAsia="宋体" w:cs="Courier New"/>
                <w:b w:val="0"/>
                <w:bCs w:val="0"/>
                <w:color w:val="auto"/>
                <w:highlight w:val="none"/>
                <w:lang w:val="en-US" w:eastAsia="zh-CN"/>
              </w:rPr>
            </w:pPr>
          </w:p>
        </w:tc>
        <w:tc>
          <w:tcPr>
            <w:tcW w:w="3415" w:type="dxa"/>
            <w:tcBorders>
              <w:tl2br w:val="nil"/>
              <w:tr2bl w:val="nil"/>
            </w:tcBorders>
            <w:noWrap w:val="0"/>
            <w:vAlign w:val="center"/>
          </w:tcPr>
          <w:p w14:paraId="7FAA5C8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总碱量/（kg/m</w:t>
            </w:r>
            <w:r>
              <w:rPr>
                <w:rFonts w:hint="eastAsia" w:ascii="Times New Roman" w:hAnsi="Times New Roman" w:eastAsia="宋体" w:cs="Courier New"/>
                <w:b w:val="0"/>
                <w:bCs w:val="0"/>
                <w:color w:val="auto"/>
                <w:highlight w:val="none"/>
                <w:vertAlign w:val="superscript"/>
                <w:lang w:val="en-US" w:eastAsia="zh-CN"/>
              </w:rPr>
              <w:t>3</w:t>
            </w:r>
            <w:r>
              <w:rPr>
                <w:rFonts w:hint="eastAsia" w:ascii="Times New Roman" w:hAnsi="Times New Roman" w:eastAsia="宋体" w:cs="Courier New"/>
                <w:b w:val="0"/>
                <w:bCs w:val="0"/>
                <w:color w:val="auto"/>
                <w:highlight w:val="none"/>
                <w:lang w:val="en-US" w:eastAsia="zh-CN"/>
              </w:rPr>
              <w:t>）</w:t>
            </w:r>
          </w:p>
        </w:tc>
        <w:tc>
          <w:tcPr>
            <w:tcW w:w="2996" w:type="dxa"/>
            <w:gridSpan w:val="3"/>
            <w:tcBorders>
              <w:tl2br w:val="nil"/>
              <w:tr2bl w:val="nil"/>
            </w:tcBorders>
            <w:noWrap w:val="0"/>
            <w:vAlign w:val="center"/>
          </w:tcPr>
          <w:p w14:paraId="619070D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在生产厂控制范围内</w:t>
            </w:r>
          </w:p>
        </w:tc>
      </w:tr>
      <w:tr w14:paraId="0F1831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2AB75832">
            <w:pPr>
              <w:pStyle w:val="24"/>
              <w:bidi w:val="0"/>
              <w:rPr>
                <w:rFonts w:hint="eastAsia" w:ascii="Times New Roman" w:hAnsi="Times New Roman" w:eastAsia="宋体" w:cs="Courier New"/>
                <w:b w:val="0"/>
                <w:bCs w:val="0"/>
                <w:color w:val="auto"/>
                <w:highlight w:val="none"/>
                <w:lang w:val="en-US" w:eastAsia="zh-CN"/>
              </w:rPr>
            </w:pPr>
          </w:p>
        </w:tc>
        <w:tc>
          <w:tcPr>
            <w:tcW w:w="1812" w:type="dxa"/>
            <w:vMerge w:val="continue"/>
            <w:tcBorders>
              <w:tl2br w:val="nil"/>
              <w:tr2bl w:val="nil"/>
            </w:tcBorders>
            <w:noWrap w:val="0"/>
            <w:vAlign w:val="center"/>
          </w:tcPr>
          <w:p w14:paraId="37714154">
            <w:pPr>
              <w:pStyle w:val="24"/>
              <w:bidi w:val="0"/>
              <w:rPr>
                <w:rFonts w:hint="eastAsia" w:ascii="Times New Roman" w:hAnsi="Times New Roman" w:eastAsia="宋体" w:cs="Courier New"/>
                <w:b w:val="0"/>
                <w:bCs w:val="0"/>
                <w:color w:val="auto"/>
                <w:highlight w:val="none"/>
                <w:lang w:val="en-US" w:eastAsia="zh-CN"/>
              </w:rPr>
            </w:pPr>
          </w:p>
        </w:tc>
        <w:tc>
          <w:tcPr>
            <w:tcW w:w="3415" w:type="dxa"/>
            <w:tcBorders>
              <w:tl2br w:val="nil"/>
              <w:tr2bl w:val="nil"/>
            </w:tcBorders>
            <w:noWrap w:val="0"/>
            <w:vAlign w:val="center"/>
          </w:tcPr>
          <w:p w14:paraId="56129D1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含固量（质量分数）</w:t>
            </w:r>
          </w:p>
        </w:tc>
        <w:tc>
          <w:tcPr>
            <w:tcW w:w="2996" w:type="dxa"/>
            <w:gridSpan w:val="3"/>
            <w:tcBorders>
              <w:tl2br w:val="nil"/>
              <w:tr2bl w:val="nil"/>
            </w:tcBorders>
            <w:noWrap w:val="0"/>
            <w:vAlign w:val="center"/>
          </w:tcPr>
          <w:p w14:paraId="3EBDAB1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在生产厂控制范围内</w:t>
            </w:r>
          </w:p>
        </w:tc>
      </w:tr>
      <w:tr w14:paraId="1280C3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5FCAABF6">
            <w:pPr>
              <w:pStyle w:val="24"/>
              <w:bidi w:val="0"/>
              <w:rPr>
                <w:rFonts w:hint="eastAsia" w:ascii="Times New Roman" w:hAnsi="Times New Roman" w:eastAsia="宋体" w:cs="Courier New"/>
                <w:b w:val="0"/>
                <w:bCs w:val="0"/>
                <w:color w:val="auto"/>
                <w:highlight w:val="none"/>
                <w:lang w:val="en-US" w:eastAsia="zh-CN"/>
              </w:rPr>
            </w:pPr>
          </w:p>
        </w:tc>
        <w:tc>
          <w:tcPr>
            <w:tcW w:w="1812" w:type="dxa"/>
            <w:vMerge w:val="continue"/>
            <w:tcBorders>
              <w:tl2br w:val="nil"/>
              <w:tr2bl w:val="nil"/>
            </w:tcBorders>
            <w:noWrap w:val="0"/>
            <w:vAlign w:val="center"/>
          </w:tcPr>
          <w:p w14:paraId="74910D55">
            <w:pPr>
              <w:pStyle w:val="24"/>
              <w:bidi w:val="0"/>
              <w:rPr>
                <w:rFonts w:hint="eastAsia" w:ascii="Times New Roman" w:hAnsi="Times New Roman" w:eastAsia="宋体" w:cs="Courier New"/>
                <w:b w:val="0"/>
                <w:bCs w:val="0"/>
                <w:color w:val="auto"/>
                <w:highlight w:val="none"/>
                <w:lang w:val="en-US" w:eastAsia="zh-CN"/>
              </w:rPr>
            </w:pPr>
          </w:p>
        </w:tc>
        <w:tc>
          <w:tcPr>
            <w:tcW w:w="3415" w:type="dxa"/>
            <w:tcBorders>
              <w:tl2br w:val="nil"/>
              <w:tr2bl w:val="nil"/>
            </w:tcBorders>
            <w:noWrap w:val="0"/>
            <w:vAlign w:val="center"/>
          </w:tcPr>
          <w:p w14:paraId="6ACD23E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细度</w:t>
            </w:r>
          </w:p>
        </w:tc>
        <w:tc>
          <w:tcPr>
            <w:tcW w:w="2996" w:type="dxa"/>
            <w:gridSpan w:val="3"/>
            <w:tcBorders>
              <w:tl2br w:val="nil"/>
              <w:tr2bl w:val="nil"/>
            </w:tcBorders>
            <w:noWrap w:val="0"/>
            <w:vAlign w:val="center"/>
          </w:tcPr>
          <w:p w14:paraId="357577F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在生产厂控制范围内</w:t>
            </w:r>
          </w:p>
        </w:tc>
      </w:tr>
      <w:tr w14:paraId="023D75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19A20566">
            <w:pPr>
              <w:pStyle w:val="24"/>
              <w:bidi w:val="0"/>
              <w:rPr>
                <w:rFonts w:hint="eastAsia" w:ascii="Times New Roman" w:hAnsi="Times New Roman" w:eastAsia="宋体" w:cs="Courier New"/>
                <w:b w:val="0"/>
                <w:bCs w:val="0"/>
                <w:color w:val="auto"/>
                <w:highlight w:val="none"/>
                <w:lang w:val="en-US" w:eastAsia="zh-CN"/>
              </w:rPr>
            </w:pPr>
          </w:p>
        </w:tc>
        <w:tc>
          <w:tcPr>
            <w:tcW w:w="1812" w:type="dxa"/>
            <w:vMerge w:val="continue"/>
            <w:tcBorders>
              <w:tl2br w:val="nil"/>
              <w:tr2bl w:val="nil"/>
            </w:tcBorders>
            <w:noWrap w:val="0"/>
            <w:vAlign w:val="center"/>
          </w:tcPr>
          <w:p w14:paraId="268220E3">
            <w:pPr>
              <w:pStyle w:val="24"/>
              <w:bidi w:val="0"/>
              <w:rPr>
                <w:rFonts w:hint="eastAsia" w:ascii="Times New Roman" w:hAnsi="Times New Roman" w:eastAsia="宋体" w:cs="Courier New"/>
                <w:b w:val="0"/>
                <w:bCs w:val="0"/>
                <w:color w:val="auto"/>
                <w:highlight w:val="none"/>
                <w:lang w:val="en-US" w:eastAsia="zh-CN"/>
              </w:rPr>
            </w:pPr>
          </w:p>
        </w:tc>
        <w:tc>
          <w:tcPr>
            <w:tcW w:w="3415" w:type="dxa"/>
            <w:tcBorders>
              <w:tl2br w:val="nil"/>
              <w:tr2bl w:val="nil"/>
            </w:tcBorders>
            <w:noWrap w:val="0"/>
            <w:vAlign w:val="center"/>
          </w:tcPr>
          <w:p w14:paraId="3AEBBE6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pH值/（无量纲）</w:t>
            </w:r>
          </w:p>
        </w:tc>
        <w:tc>
          <w:tcPr>
            <w:tcW w:w="2996" w:type="dxa"/>
            <w:gridSpan w:val="3"/>
            <w:tcBorders>
              <w:tl2br w:val="nil"/>
              <w:tr2bl w:val="nil"/>
            </w:tcBorders>
            <w:noWrap w:val="0"/>
            <w:vAlign w:val="center"/>
          </w:tcPr>
          <w:p w14:paraId="01ADA70A">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6-7</w:t>
            </w:r>
          </w:p>
        </w:tc>
      </w:tr>
      <w:tr w14:paraId="33A7F0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8" w:type="dxa"/>
            <w:vMerge w:val="continue"/>
            <w:tcBorders>
              <w:tl2br w:val="nil"/>
              <w:tr2bl w:val="nil"/>
            </w:tcBorders>
            <w:noWrap w:val="0"/>
            <w:vAlign w:val="center"/>
          </w:tcPr>
          <w:p w14:paraId="49E9AAFC">
            <w:pPr>
              <w:pStyle w:val="24"/>
              <w:bidi w:val="0"/>
              <w:rPr>
                <w:rFonts w:hint="eastAsia" w:ascii="Times New Roman" w:hAnsi="Times New Roman" w:eastAsia="宋体" w:cs="Courier New"/>
                <w:b w:val="0"/>
                <w:bCs w:val="0"/>
                <w:color w:val="auto"/>
                <w:highlight w:val="none"/>
                <w:lang w:val="en-US" w:eastAsia="zh-CN"/>
              </w:rPr>
            </w:pPr>
          </w:p>
        </w:tc>
        <w:tc>
          <w:tcPr>
            <w:tcW w:w="1812" w:type="dxa"/>
            <w:vMerge w:val="continue"/>
            <w:tcBorders>
              <w:tl2br w:val="nil"/>
              <w:tr2bl w:val="nil"/>
            </w:tcBorders>
            <w:noWrap w:val="0"/>
            <w:vAlign w:val="center"/>
          </w:tcPr>
          <w:p w14:paraId="21BA702B">
            <w:pPr>
              <w:pStyle w:val="24"/>
              <w:bidi w:val="0"/>
              <w:rPr>
                <w:rFonts w:hint="eastAsia" w:ascii="Times New Roman" w:hAnsi="Times New Roman" w:eastAsia="宋体" w:cs="Courier New"/>
                <w:b w:val="0"/>
                <w:bCs w:val="0"/>
                <w:color w:val="auto"/>
                <w:highlight w:val="none"/>
                <w:lang w:val="en-US" w:eastAsia="zh-CN"/>
              </w:rPr>
            </w:pPr>
          </w:p>
        </w:tc>
        <w:tc>
          <w:tcPr>
            <w:tcW w:w="3415" w:type="dxa"/>
            <w:tcBorders>
              <w:tl2br w:val="nil"/>
              <w:tr2bl w:val="nil"/>
            </w:tcBorders>
            <w:noWrap w:val="0"/>
            <w:vAlign w:val="center"/>
          </w:tcPr>
          <w:p w14:paraId="54ECF068">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密度/</w:t>
            </w:r>
            <w:r>
              <w:rPr>
                <w:rFonts w:hint="eastAsia" w:cs="Courier New"/>
                <w:b w:val="0"/>
                <w:bCs w:val="0"/>
                <w:color w:val="auto"/>
                <w:highlight w:val="none"/>
                <w:lang w:val="en-US" w:eastAsia="zh-CN"/>
              </w:rPr>
              <w:t>（g/cm</w:t>
            </w:r>
            <w:r>
              <w:rPr>
                <w:rFonts w:hint="eastAsia" w:cs="Courier New"/>
                <w:b w:val="0"/>
                <w:bCs w:val="0"/>
                <w:color w:val="auto"/>
                <w:highlight w:val="none"/>
                <w:vertAlign w:val="superscript"/>
                <w:lang w:val="en-US" w:eastAsia="zh-CN"/>
              </w:rPr>
              <w:t>3</w:t>
            </w:r>
            <w:r>
              <w:rPr>
                <w:rFonts w:hint="eastAsia" w:cs="Courier New"/>
                <w:b w:val="0"/>
                <w:bCs w:val="0"/>
                <w:color w:val="auto"/>
                <w:highlight w:val="none"/>
                <w:lang w:val="en-US" w:eastAsia="zh-CN"/>
              </w:rPr>
              <w:t>）</w:t>
            </w:r>
          </w:p>
        </w:tc>
        <w:tc>
          <w:tcPr>
            <w:tcW w:w="2996" w:type="dxa"/>
            <w:gridSpan w:val="3"/>
            <w:tcBorders>
              <w:tl2br w:val="nil"/>
              <w:tr2bl w:val="nil"/>
            </w:tcBorders>
            <w:noWrap w:val="0"/>
            <w:vAlign w:val="center"/>
          </w:tcPr>
          <w:p w14:paraId="11FD2F79">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1.02</w:t>
            </w:r>
            <w:r>
              <w:rPr>
                <w:rFonts w:hint="eastAsia" w:ascii="Times New Roman" w:hAnsi="Times New Roman" w:eastAsia="宋体" w:cs="Courier New"/>
                <w:b w:val="0"/>
                <w:bCs w:val="0"/>
                <w:color w:val="auto"/>
                <w:kern w:val="2"/>
                <w:sz w:val="21"/>
                <w:szCs w:val="24"/>
                <w:highlight w:val="none"/>
                <w:lang w:val="en-US" w:eastAsia="zh-CN" w:bidi="ar-SA"/>
              </w:rPr>
              <w:t>±0.02</w:t>
            </w:r>
          </w:p>
        </w:tc>
      </w:tr>
    </w:tbl>
    <w:p w14:paraId="7F557DEC">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无碱速凝剂产品质量标准</w:t>
      </w:r>
    </w:p>
    <w:tbl>
      <w:tblPr>
        <w:tblStyle w:val="21"/>
        <w:tblW w:w="499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84"/>
        <w:gridCol w:w="1823"/>
        <w:gridCol w:w="3404"/>
        <w:gridCol w:w="2992"/>
      </w:tblGrid>
      <w:tr w14:paraId="798703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restart"/>
            <w:tcBorders>
              <w:tl2br w:val="nil"/>
              <w:tr2bl w:val="nil"/>
            </w:tcBorders>
            <w:noWrap w:val="0"/>
            <w:vAlign w:val="center"/>
          </w:tcPr>
          <w:p w14:paraId="1AA9375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产品名称</w:t>
            </w:r>
          </w:p>
        </w:tc>
        <w:tc>
          <w:tcPr>
            <w:tcW w:w="1823" w:type="dxa"/>
            <w:vMerge w:val="restart"/>
            <w:tcBorders>
              <w:tl2br w:val="nil"/>
              <w:tr2bl w:val="nil"/>
            </w:tcBorders>
            <w:noWrap w:val="0"/>
            <w:vAlign w:val="center"/>
          </w:tcPr>
          <w:p w14:paraId="1FA0037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产品质量标准</w:t>
            </w:r>
          </w:p>
        </w:tc>
        <w:tc>
          <w:tcPr>
            <w:tcW w:w="3404" w:type="dxa"/>
            <w:vMerge w:val="restart"/>
            <w:tcBorders>
              <w:tl2br w:val="nil"/>
              <w:tr2bl w:val="nil"/>
            </w:tcBorders>
            <w:noWrap w:val="0"/>
            <w:vAlign w:val="center"/>
          </w:tcPr>
          <w:p w14:paraId="2292346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项目</w:t>
            </w:r>
          </w:p>
        </w:tc>
        <w:tc>
          <w:tcPr>
            <w:tcW w:w="2992" w:type="dxa"/>
            <w:tcBorders>
              <w:tl2br w:val="nil"/>
              <w:tr2bl w:val="nil"/>
            </w:tcBorders>
            <w:noWrap w:val="0"/>
            <w:vAlign w:val="center"/>
          </w:tcPr>
          <w:p w14:paraId="5FCB7004">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产品类型</w:t>
            </w:r>
          </w:p>
        </w:tc>
      </w:tr>
      <w:tr w14:paraId="522A16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continue"/>
            <w:tcBorders>
              <w:tl2br w:val="nil"/>
              <w:tr2bl w:val="nil"/>
            </w:tcBorders>
            <w:noWrap w:val="0"/>
            <w:vAlign w:val="center"/>
          </w:tcPr>
          <w:p w14:paraId="10FC8ABB">
            <w:pPr>
              <w:pStyle w:val="24"/>
              <w:bidi w:val="0"/>
              <w:rPr>
                <w:rFonts w:hint="eastAsia" w:ascii="Times New Roman" w:hAnsi="Times New Roman" w:eastAsia="宋体" w:cs="Courier New"/>
                <w:b w:val="0"/>
                <w:bCs w:val="0"/>
                <w:color w:val="auto"/>
                <w:highlight w:val="none"/>
                <w:lang w:val="en-US" w:eastAsia="zh-CN"/>
              </w:rPr>
            </w:pPr>
          </w:p>
        </w:tc>
        <w:tc>
          <w:tcPr>
            <w:tcW w:w="1823" w:type="dxa"/>
            <w:vMerge w:val="continue"/>
            <w:tcBorders>
              <w:tl2br w:val="nil"/>
              <w:tr2bl w:val="nil"/>
            </w:tcBorders>
            <w:noWrap w:val="0"/>
            <w:vAlign w:val="center"/>
          </w:tcPr>
          <w:p w14:paraId="2AE079F1">
            <w:pPr>
              <w:pStyle w:val="24"/>
              <w:bidi w:val="0"/>
              <w:rPr>
                <w:rFonts w:hint="eastAsia" w:ascii="Times New Roman" w:hAnsi="Times New Roman" w:eastAsia="宋体" w:cs="Courier New"/>
                <w:b w:val="0"/>
                <w:bCs w:val="0"/>
                <w:color w:val="auto"/>
                <w:highlight w:val="none"/>
                <w:lang w:val="en-US" w:eastAsia="zh-CN"/>
              </w:rPr>
            </w:pPr>
          </w:p>
        </w:tc>
        <w:tc>
          <w:tcPr>
            <w:tcW w:w="3404" w:type="dxa"/>
            <w:vMerge w:val="continue"/>
            <w:tcBorders>
              <w:tl2br w:val="nil"/>
              <w:tr2bl w:val="nil"/>
            </w:tcBorders>
            <w:noWrap w:val="0"/>
            <w:vAlign w:val="center"/>
          </w:tcPr>
          <w:p w14:paraId="77FE8561">
            <w:pPr>
              <w:pStyle w:val="24"/>
              <w:bidi w:val="0"/>
              <w:rPr>
                <w:rFonts w:hint="eastAsia" w:ascii="Times New Roman" w:hAnsi="Times New Roman" w:eastAsia="宋体" w:cs="Courier New"/>
                <w:b w:val="0"/>
                <w:bCs w:val="0"/>
                <w:color w:val="auto"/>
                <w:highlight w:val="none"/>
                <w:lang w:val="en-US" w:eastAsia="zh-CN"/>
              </w:rPr>
            </w:pPr>
          </w:p>
        </w:tc>
        <w:tc>
          <w:tcPr>
            <w:tcW w:w="2992" w:type="dxa"/>
            <w:tcBorders>
              <w:tl2br w:val="nil"/>
              <w:tr2bl w:val="nil"/>
            </w:tcBorders>
            <w:noWrap w:val="0"/>
            <w:vAlign w:val="center"/>
          </w:tcPr>
          <w:p w14:paraId="06C9847C">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液体速凝剂</w:t>
            </w:r>
          </w:p>
        </w:tc>
      </w:tr>
      <w:tr w14:paraId="66AA73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restart"/>
            <w:tcBorders>
              <w:tl2br w:val="nil"/>
              <w:tr2bl w:val="nil"/>
            </w:tcBorders>
            <w:noWrap w:val="0"/>
            <w:vAlign w:val="center"/>
          </w:tcPr>
          <w:p w14:paraId="4A699482">
            <w:pPr>
              <w:pStyle w:val="24"/>
              <w:bidi w:val="0"/>
              <w:ind w:left="0" w:leftChars="0"/>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无碱速凝剂</w:t>
            </w:r>
          </w:p>
        </w:tc>
        <w:tc>
          <w:tcPr>
            <w:tcW w:w="1823" w:type="dxa"/>
            <w:vMerge w:val="restart"/>
            <w:tcBorders>
              <w:tl2br w:val="nil"/>
              <w:tr2bl w:val="nil"/>
            </w:tcBorders>
            <w:noWrap w:val="0"/>
            <w:vAlign w:val="center"/>
          </w:tcPr>
          <w:p w14:paraId="7A6B3A3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《喷射混凝土用速凝剂》（GB/T35159-2017）</w:t>
            </w:r>
          </w:p>
        </w:tc>
        <w:tc>
          <w:tcPr>
            <w:tcW w:w="3404" w:type="dxa"/>
            <w:tcBorders>
              <w:tl2br w:val="nil"/>
              <w:tr2bl w:val="nil"/>
            </w:tcBorders>
            <w:noWrap w:val="0"/>
            <w:vAlign w:val="center"/>
          </w:tcPr>
          <w:p w14:paraId="7A353BE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密度/</w:t>
            </w:r>
            <w:r>
              <w:rPr>
                <w:rFonts w:hint="eastAsia" w:cs="Courier New"/>
                <w:b w:val="0"/>
                <w:bCs w:val="0"/>
                <w:color w:val="auto"/>
                <w:highlight w:val="none"/>
                <w:lang w:val="en-US" w:eastAsia="zh-CN"/>
              </w:rPr>
              <w:t>（g/cm</w:t>
            </w:r>
            <w:r>
              <w:rPr>
                <w:rFonts w:hint="eastAsia" w:cs="Courier New"/>
                <w:b w:val="0"/>
                <w:bCs w:val="0"/>
                <w:color w:val="auto"/>
                <w:highlight w:val="none"/>
                <w:vertAlign w:val="superscript"/>
                <w:lang w:val="en-US" w:eastAsia="zh-CN"/>
              </w:rPr>
              <w:t>3</w:t>
            </w:r>
            <w:r>
              <w:rPr>
                <w:rFonts w:hint="eastAsia" w:cs="Courier New"/>
                <w:b w:val="0"/>
                <w:bCs w:val="0"/>
                <w:color w:val="auto"/>
                <w:highlight w:val="none"/>
                <w:lang w:val="en-US" w:eastAsia="zh-CN"/>
              </w:rPr>
              <w:t>）</w:t>
            </w:r>
          </w:p>
        </w:tc>
        <w:tc>
          <w:tcPr>
            <w:tcW w:w="2992" w:type="dxa"/>
            <w:tcBorders>
              <w:tl2br w:val="nil"/>
              <w:tr2bl w:val="nil"/>
            </w:tcBorders>
            <w:noWrap w:val="0"/>
            <w:vAlign w:val="center"/>
          </w:tcPr>
          <w:p w14:paraId="5821CD5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kern w:val="2"/>
                <w:sz w:val="21"/>
                <w:szCs w:val="24"/>
                <w:highlight w:val="none"/>
                <w:lang w:val="en-US" w:eastAsia="zh-CN" w:bidi="ar-SA"/>
              </w:rPr>
              <w:t>1.28±</w:t>
            </w:r>
            <w:r>
              <w:rPr>
                <w:rFonts w:hint="eastAsia" w:ascii="Times New Roman" w:hAnsi="Times New Roman" w:eastAsia="宋体" w:cs="Courier New"/>
                <w:b w:val="0"/>
                <w:bCs w:val="0"/>
                <w:color w:val="auto"/>
                <w:highlight w:val="none"/>
                <w:lang w:val="en-US" w:eastAsia="zh-CN"/>
              </w:rPr>
              <w:t>0.03</w:t>
            </w:r>
          </w:p>
        </w:tc>
      </w:tr>
      <w:tr w14:paraId="5ACD1A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continue"/>
            <w:tcBorders>
              <w:tl2br w:val="nil"/>
              <w:tr2bl w:val="nil"/>
            </w:tcBorders>
            <w:noWrap w:val="0"/>
            <w:vAlign w:val="center"/>
          </w:tcPr>
          <w:p w14:paraId="48F2FD47">
            <w:pPr>
              <w:pStyle w:val="24"/>
              <w:bidi w:val="0"/>
              <w:rPr>
                <w:rFonts w:hint="eastAsia" w:ascii="Times New Roman" w:hAnsi="Times New Roman" w:eastAsia="宋体" w:cs="Courier New"/>
                <w:b w:val="0"/>
                <w:bCs w:val="0"/>
                <w:color w:val="auto"/>
                <w:highlight w:val="none"/>
                <w:lang w:val="en-US" w:eastAsia="zh-CN"/>
              </w:rPr>
            </w:pPr>
          </w:p>
        </w:tc>
        <w:tc>
          <w:tcPr>
            <w:tcW w:w="1823" w:type="dxa"/>
            <w:vMerge w:val="continue"/>
            <w:tcBorders>
              <w:tl2br w:val="nil"/>
              <w:tr2bl w:val="nil"/>
            </w:tcBorders>
            <w:noWrap w:val="0"/>
            <w:vAlign w:val="center"/>
          </w:tcPr>
          <w:p w14:paraId="565C1F3B">
            <w:pPr>
              <w:pStyle w:val="24"/>
              <w:bidi w:val="0"/>
              <w:rPr>
                <w:rFonts w:hint="eastAsia" w:ascii="Times New Roman" w:hAnsi="Times New Roman" w:eastAsia="宋体" w:cs="Courier New"/>
                <w:b w:val="0"/>
                <w:bCs w:val="0"/>
                <w:color w:val="auto"/>
                <w:highlight w:val="none"/>
                <w:lang w:val="en-US" w:eastAsia="zh-CN"/>
              </w:rPr>
            </w:pPr>
          </w:p>
        </w:tc>
        <w:tc>
          <w:tcPr>
            <w:tcW w:w="3404" w:type="dxa"/>
            <w:tcBorders>
              <w:tl2br w:val="nil"/>
              <w:tr2bl w:val="nil"/>
            </w:tcBorders>
            <w:noWrap w:val="0"/>
            <w:vAlign w:val="center"/>
          </w:tcPr>
          <w:p w14:paraId="1D23FCA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pH值/（无量纲）</w:t>
            </w:r>
          </w:p>
        </w:tc>
        <w:tc>
          <w:tcPr>
            <w:tcW w:w="2992" w:type="dxa"/>
            <w:tcBorders>
              <w:tl2br w:val="nil"/>
              <w:tr2bl w:val="nil"/>
            </w:tcBorders>
            <w:noWrap w:val="0"/>
            <w:vAlign w:val="center"/>
          </w:tcPr>
          <w:p w14:paraId="4F6CA8E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r>
      <w:tr w14:paraId="7208D5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continue"/>
            <w:tcBorders>
              <w:tl2br w:val="nil"/>
              <w:tr2bl w:val="nil"/>
            </w:tcBorders>
            <w:noWrap w:val="0"/>
            <w:vAlign w:val="center"/>
          </w:tcPr>
          <w:p w14:paraId="08618294">
            <w:pPr>
              <w:pStyle w:val="24"/>
              <w:bidi w:val="0"/>
              <w:rPr>
                <w:rFonts w:hint="eastAsia" w:ascii="Times New Roman" w:hAnsi="Times New Roman" w:eastAsia="宋体" w:cs="Courier New"/>
                <w:b w:val="0"/>
                <w:bCs w:val="0"/>
                <w:color w:val="auto"/>
                <w:highlight w:val="none"/>
                <w:lang w:val="en-US" w:eastAsia="zh-CN"/>
              </w:rPr>
            </w:pPr>
          </w:p>
        </w:tc>
        <w:tc>
          <w:tcPr>
            <w:tcW w:w="1823" w:type="dxa"/>
            <w:vMerge w:val="continue"/>
            <w:tcBorders>
              <w:tl2br w:val="nil"/>
              <w:tr2bl w:val="nil"/>
            </w:tcBorders>
            <w:noWrap w:val="0"/>
            <w:vAlign w:val="center"/>
          </w:tcPr>
          <w:p w14:paraId="28869CB7">
            <w:pPr>
              <w:pStyle w:val="24"/>
              <w:bidi w:val="0"/>
              <w:rPr>
                <w:rFonts w:hint="eastAsia" w:ascii="Times New Roman" w:hAnsi="Times New Roman" w:eastAsia="宋体" w:cs="Courier New"/>
                <w:b w:val="0"/>
                <w:bCs w:val="0"/>
                <w:color w:val="auto"/>
                <w:highlight w:val="none"/>
                <w:lang w:val="en-US" w:eastAsia="zh-CN"/>
              </w:rPr>
            </w:pPr>
          </w:p>
        </w:tc>
        <w:tc>
          <w:tcPr>
            <w:tcW w:w="3404" w:type="dxa"/>
            <w:tcBorders>
              <w:tl2br w:val="nil"/>
              <w:tr2bl w:val="nil"/>
            </w:tcBorders>
            <w:noWrap w:val="0"/>
            <w:vAlign w:val="center"/>
          </w:tcPr>
          <w:p w14:paraId="50465A9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含固量/%</w:t>
            </w:r>
          </w:p>
        </w:tc>
        <w:tc>
          <w:tcPr>
            <w:tcW w:w="2992" w:type="dxa"/>
            <w:tcBorders>
              <w:tl2br w:val="nil"/>
              <w:tr2bl w:val="nil"/>
            </w:tcBorders>
            <w:noWrap w:val="0"/>
            <w:vAlign w:val="center"/>
          </w:tcPr>
          <w:p w14:paraId="72B0590C">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&gt;25</w:t>
            </w:r>
          </w:p>
        </w:tc>
      </w:tr>
      <w:tr w14:paraId="1AE091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continue"/>
            <w:tcBorders>
              <w:tl2br w:val="nil"/>
              <w:tr2bl w:val="nil"/>
            </w:tcBorders>
            <w:noWrap w:val="0"/>
            <w:vAlign w:val="center"/>
          </w:tcPr>
          <w:p w14:paraId="1077D5BD">
            <w:pPr>
              <w:pStyle w:val="24"/>
              <w:bidi w:val="0"/>
              <w:rPr>
                <w:rFonts w:hint="eastAsia" w:ascii="Times New Roman" w:hAnsi="Times New Roman" w:eastAsia="宋体" w:cs="Courier New"/>
                <w:b w:val="0"/>
                <w:bCs w:val="0"/>
                <w:color w:val="auto"/>
                <w:highlight w:val="none"/>
                <w:lang w:val="en-US" w:eastAsia="zh-CN"/>
              </w:rPr>
            </w:pPr>
          </w:p>
        </w:tc>
        <w:tc>
          <w:tcPr>
            <w:tcW w:w="1823" w:type="dxa"/>
            <w:vMerge w:val="continue"/>
            <w:tcBorders>
              <w:tl2br w:val="nil"/>
              <w:tr2bl w:val="nil"/>
            </w:tcBorders>
            <w:noWrap w:val="0"/>
            <w:vAlign w:val="center"/>
          </w:tcPr>
          <w:p w14:paraId="54B69816">
            <w:pPr>
              <w:pStyle w:val="24"/>
              <w:bidi w:val="0"/>
              <w:rPr>
                <w:rFonts w:hint="eastAsia" w:ascii="Times New Roman" w:hAnsi="Times New Roman" w:eastAsia="宋体" w:cs="Courier New"/>
                <w:b w:val="0"/>
                <w:bCs w:val="0"/>
                <w:color w:val="auto"/>
                <w:highlight w:val="none"/>
                <w:lang w:val="en-US" w:eastAsia="zh-CN"/>
              </w:rPr>
            </w:pPr>
          </w:p>
        </w:tc>
        <w:tc>
          <w:tcPr>
            <w:tcW w:w="3404" w:type="dxa"/>
            <w:tcBorders>
              <w:tl2br w:val="nil"/>
              <w:tr2bl w:val="nil"/>
            </w:tcBorders>
            <w:noWrap w:val="0"/>
            <w:vAlign w:val="center"/>
          </w:tcPr>
          <w:p w14:paraId="19F4B26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稳定性（上清液或底部沉淀物体积）/mL</w:t>
            </w:r>
          </w:p>
        </w:tc>
        <w:tc>
          <w:tcPr>
            <w:tcW w:w="2992" w:type="dxa"/>
            <w:tcBorders>
              <w:tl2br w:val="nil"/>
              <w:tr2bl w:val="nil"/>
            </w:tcBorders>
            <w:noWrap w:val="0"/>
            <w:vAlign w:val="center"/>
          </w:tcPr>
          <w:p w14:paraId="6458799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w:t>
            </w:r>
          </w:p>
        </w:tc>
      </w:tr>
      <w:tr w14:paraId="204D65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continue"/>
            <w:tcBorders>
              <w:tl2br w:val="nil"/>
              <w:tr2bl w:val="nil"/>
            </w:tcBorders>
            <w:noWrap w:val="0"/>
            <w:vAlign w:val="center"/>
          </w:tcPr>
          <w:p w14:paraId="7805647D">
            <w:pPr>
              <w:pStyle w:val="24"/>
              <w:bidi w:val="0"/>
              <w:rPr>
                <w:rFonts w:hint="eastAsia" w:ascii="Times New Roman" w:hAnsi="Times New Roman" w:eastAsia="宋体" w:cs="Courier New"/>
                <w:b w:val="0"/>
                <w:bCs w:val="0"/>
                <w:color w:val="auto"/>
                <w:highlight w:val="none"/>
                <w:lang w:val="en-US" w:eastAsia="zh-CN"/>
              </w:rPr>
            </w:pPr>
          </w:p>
        </w:tc>
        <w:tc>
          <w:tcPr>
            <w:tcW w:w="1823" w:type="dxa"/>
            <w:vMerge w:val="continue"/>
            <w:tcBorders>
              <w:tl2br w:val="nil"/>
              <w:tr2bl w:val="nil"/>
            </w:tcBorders>
            <w:noWrap w:val="0"/>
            <w:vAlign w:val="center"/>
          </w:tcPr>
          <w:p w14:paraId="60A34D13">
            <w:pPr>
              <w:pStyle w:val="24"/>
              <w:bidi w:val="0"/>
              <w:rPr>
                <w:rFonts w:hint="eastAsia" w:ascii="Times New Roman" w:hAnsi="Times New Roman" w:eastAsia="宋体" w:cs="Courier New"/>
                <w:b w:val="0"/>
                <w:bCs w:val="0"/>
                <w:color w:val="auto"/>
                <w:highlight w:val="none"/>
                <w:lang w:val="en-US" w:eastAsia="zh-CN"/>
              </w:rPr>
            </w:pPr>
          </w:p>
        </w:tc>
        <w:tc>
          <w:tcPr>
            <w:tcW w:w="3404" w:type="dxa"/>
            <w:tcBorders>
              <w:tl2br w:val="nil"/>
              <w:tr2bl w:val="nil"/>
            </w:tcBorders>
            <w:shd w:val="clear" w:color="auto" w:fill="auto"/>
            <w:noWrap w:val="0"/>
            <w:vAlign w:val="center"/>
          </w:tcPr>
          <w:p w14:paraId="63168DA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氯离子含量/%</w:t>
            </w:r>
          </w:p>
        </w:tc>
        <w:tc>
          <w:tcPr>
            <w:tcW w:w="2992" w:type="dxa"/>
            <w:tcBorders>
              <w:tl2br w:val="nil"/>
              <w:tr2bl w:val="nil"/>
            </w:tcBorders>
            <w:noWrap w:val="0"/>
            <w:vAlign w:val="center"/>
          </w:tcPr>
          <w:p w14:paraId="2E7CADB6">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≤0.1</w:t>
            </w:r>
          </w:p>
        </w:tc>
      </w:tr>
      <w:tr w14:paraId="675188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84" w:type="dxa"/>
            <w:vMerge w:val="continue"/>
            <w:tcBorders>
              <w:tl2br w:val="nil"/>
              <w:tr2bl w:val="nil"/>
            </w:tcBorders>
            <w:noWrap w:val="0"/>
            <w:vAlign w:val="center"/>
          </w:tcPr>
          <w:p w14:paraId="1AF30924">
            <w:pPr>
              <w:pStyle w:val="24"/>
              <w:bidi w:val="0"/>
              <w:rPr>
                <w:rFonts w:hint="eastAsia" w:ascii="Times New Roman" w:hAnsi="Times New Roman" w:eastAsia="宋体" w:cs="Courier New"/>
                <w:b w:val="0"/>
                <w:bCs w:val="0"/>
                <w:color w:val="auto"/>
                <w:highlight w:val="none"/>
                <w:lang w:val="en-US" w:eastAsia="zh-CN"/>
              </w:rPr>
            </w:pPr>
          </w:p>
        </w:tc>
        <w:tc>
          <w:tcPr>
            <w:tcW w:w="1823" w:type="dxa"/>
            <w:vMerge w:val="continue"/>
            <w:tcBorders>
              <w:tl2br w:val="nil"/>
              <w:tr2bl w:val="nil"/>
            </w:tcBorders>
            <w:noWrap w:val="0"/>
            <w:vAlign w:val="center"/>
          </w:tcPr>
          <w:p w14:paraId="71BBDCEF">
            <w:pPr>
              <w:pStyle w:val="24"/>
              <w:bidi w:val="0"/>
              <w:rPr>
                <w:rFonts w:hint="eastAsia" w:ascii="Times New Roman" w:hAnsi="Times New Roman" w:eastAsia="宋体" w:cs="Courier New"/>
                <w:b w:val="0"/>
                <w:bCs w:val="0"/>
                <w:color w:val="auto"/>
                <w:highlight w:val="none"/>
                <w:lang w:val="en-US" w:eastAsia="zh-CN"/>
              </w:rPr>
            </w:pPr>
          </w:p>
        </w:tc>
        <w:tc>
          <w:tcPr>
            <w:tcW w:w="3404" w:type="dxa"/>
            <w:tcBorders>
              <w:tl2br w:val="nil"/>
              <w:tr2bl w:val="nil"/>
            </w:tcBorders>
            <w:shd w:val="clear" w:color="auto" w:fill="auto"/>
            <w:noWrap w:val="0"/>
            <w:vAlign w:val="center"/>
          </w:tcPr>
          <w:p w14:paraId="4DAFBD3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碱含量（按当量Na</w:t>
            </w:r>
            <w:r>
              <w:rPr>
                <w:rFonts w:hint="eastAsia" w:ascii="Times New Roman" w:hAnsi="Times New Roman" w:eastAsia="宋体" w:cs="Courier New"/>
                <w:b w:val="0"/>
                <w:bCs w:val="0"/>
                <w:color w:val="auto"/>
                <w:highlight w:val="none"/>
                <w:vertAlign w:val="subscript"/>
                <w:lang w:val="en-US" w:eastAsia="zh-CN"/>
              </w:rPr>
              <w:t>2</w:t>
            </w:r>
            <w:r>
              <w:rPr>
                <w:rFonts w:hint="eastAsia" w:ascii="Times New Roman" w:hAnsi="Times New Roman" w:eastAsia="宋体" w:cs="Courier New"/>
                <w:b w:val="0"/>
                <w:bCs w:val="0"/>
                <w:color w:val="auto"/>
                <w:highlight w:val="none"/>
                <w:lang w:val="en-US" w:eastAsia="zh-CN"/>
              </w:rPr>
              <w:t>O含量计）/%</w:t>
            </w:r>
          </w:p>
        </w:tc>
        <w:tc>
          <w:tcPr>
            <w:tcW w:w="2992" w:type="dxa"/>
            <w:tcBorders>
              <w:tl2br w:val="nil"/>
              <w:tr2bl w:val="nil"/>
            </w:tcBorders>
            <w:noWrap w:val="0"/>
            <w:vAlign w:val="center"/>
          </w:tcPr>
          <w:p w14:paraId="747C715E">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p>
        </w:tc>
      </w:tr>
    </w:tbl>
    <w:p w14:paraId="73F88C9B">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乳化型脱模剂产品质量标准</w:t>
      </w:r>
    </w:p>
    <w:tbl>
      <w:tblPr>
        <w:tblStyle w:val="21"/>
        <w:tblW w:w="499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26"/>
        <w:gridCol w:w="1881"/>
        <w:gridCol w:w="1927"/>
        <w:gridCol w:w="4469"/>
      </w:tblGrid>
      <w:tr w14:paraId="709929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tcBorders>
              <w:tl2br w:val="nil"/>
              <w:tr2bl w:val="nil"/>
            </w:tcBorders>
            <w:noWrap w:val="0"/>
            <w:vAlign w:val="center"/>
          </w:tcPr>
          <w:p w14:paraId="1AE2940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产品名称</w:t>
            </w:r>
          </w:p>
        </w:tc>
        <w:tc>
          <w:tcPr>
            <w:tcW w:w="1881" w:type="dxa"/>
            <w:tcBorders>
              <w:tl2br w:val="nil"/>
              <w:tr2bl w:val="nil"/>
            </w:tcBorders>
            <w:noWrap w:val="0"/>
            <w:vAlign w:val="center"/>
          </w:tcPr>
          <w:p w14:paraId="490E8FB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产品质量标准</w:t>
            </w:r>
          </w:p>
        </w:tc>
        <w:tc>
          <w:tcPr>
            <w:tcW w:w="1927" w:type="dxa"/>
            <w:tcBorders>
              <w:tl2br w:val="nil"/>
              <w:tr2bl w:val="nil"/>
            </w:tcBorders>
            <w:noWrap w:val="0"/>
            <w:vAlign w:val="center"/>
          </w:tcPr>
          <w:p w14:paraId="6571694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项目</w:t>
            </w:r>
          </w:p>
        </w:tc>
        <w:tc>
          <w:tcPr>
            <w:tcW w:w="4469" w:type="dxa"/>
            <w:tcBorders>
              <w:tl2br w:val="nil"/>
              <w:tr2bl w:val="nil"/>
            </w:tcBorders>
            <w:noWrap w:val="0"/>
            <w:vAlign w:val="center"/>
          </w:tcPr>
          <w:p w14:paraId="63E3F94E">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bCs/>
                <w:color w:val="auto"/>
                <w:highlight w:val="none"/>
                <w:lang w:val="en-US" w:eastAsia="zh-CN"/>
              </w:rPr>
              <w:t>相关要求</w:t>
            </w:r>
          </w:p>
        </w:tc>
      </w:tr>
      <w:tr w14:paraId="6AD08B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vMerge w:val="restart"/>
            <w:tcBorders>
              <w:tl2br w:val="nil"/>
              <w:tr2bl w:val="nil"/>
            </w:tcBorders>
            <w:noWrap w:val="0"/>
            <w:vAlign w:val="center"/>
          </w:tcPr>
          <w:p w14:paraId="4AA411C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乳化型脱模剂</w:t>
            </w:r>
          </w:p>
        </w:tc>
        <w:tc>
          <w:tcPr>
            <w:tcW w:w="1881" w:type="dxa"/>
            <w:vMerge w:val="restart"/>
            <w:tcBorders>
              <w:tl2br w:val="nil"/>
              <w:tr2bl w:val="nil"/>
            </w:tcBorders>
            <w:noWrap w:val="0"/>
            <w:vAlign w:val="center"/>
          </w:tcPr>
          <w:p w14:paraId="097220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《混凝土制品用脱模剂》（JC/T949-2021）</w:t>
            </w:r>
          </w:p>
        </w:tc>
        <w:tc>
          <w:tcPr>
            <w:tcW w:w="1927" w:type="dxa"/>
            <w:tcBorders>
              <w:tl2br w:val="nil"/>
              <w:tr2bl w:val="nil"/>
            </w:tcBorders>
            <w:noWrap w:val="0"/>
            <w:vAlign w:val="center"/>
          </w:tcPr>
          <w:p w14:paraId="0523F0C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密度/</w:t>
            </w:r>
            <w:r>
              <w:rPr>
                <w:rFonts w:hint="eastAsia" w:cs="Courier New"/>
                <w:b w:val="0"/>
                <w:bCs w:val="0"/>
                <w:color w:val="auto"/>
                <w:highlight w:val="none"/>
                <w:lang w:val="en-US" w:eastAsia="zh-CN"/>
              </w:rPr>
              <w:t>（g/cm</w:t>
            </w:r>
            <w:r>
              <w:rPr>
                <w:rFonts w:hint="eastAsia" w:cs="Courier New"/>
                <w:b w:val="0"/>
                <w:bCs w:val="0"/>
                <w:color w:val="auto"/>
                <w:highlight w:val="none"/>
                <w:vertAlign w:val="superscript"/>
                <w:lang w:val="en-US" w:eastAsia="zh-CN"/>
              </w:rPr>
              <w:t>3</w:t>
            </w:r>
            <w:r>
              <w:rPr>
                <w:rFonts w:hint="eastAsia" w:cs="Courier New"/>
                <w:b w:val="0"/>
                <w:bCs w:val="0"/>
                <w:color w:val="auto"/>
                <w:highlight w:val="none"/>
                <w:lang w:val="en-US" w:eastAsia="zh-CN"/>
              </w:rPr>
              <w:t>）</w:t>
            </w:r>
          </w:p>
        </w:tc>
        <w:tc>
          <w:tcPr>
            <w:tcW w:w="4469" w:type="dxa"/>
            <w:tcBorders>
              <w:tl2br w:val="nil"/>
              <w:tr2bl w:val="nil"/>
            </w:tcBorders>
            <w:noWrap w:val="0"/>
            <w:vAlign w:val="center"/>
          </w:tcPr>
          <w:p w14:paraId="5EC62CB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w:t>
            </w:r>
            <w:r>
              <w:rPr>
                <w:rFonts w:hint="eastAsia" w:ascii="Times New Roman" w:hAnsi="Times New Roman" w:eastAsia="宋体" w:cs="Courier New"/>
                <w:b w:val="0"/>
                <w:bCs w:val="0"/>
                <w:color w:val="auto"/>
                <w:highlight w:val="none"/>
                <w:lang w:val="en-US" w:eastAsia="zh-CN"/>
              </w:rPr>
              <w:t>±0.02</w:t>
            </w:r>
          </w:p>
        </w:tc>
      </w:tr>
      <w:tr w14:paraId="02E321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vMerge w:val="continue"/>
            <w:tcBorders>
              <w:tl2br w:val="nil"/>
              <w:tr2bl w:val="nil"/>
            </w:tcBorders>
            <w:noWrap w:val="0"/>
            <w:vAlign w:val="center"/>
          </w:tcPr>
          <w:p w14:paraId="38D7E430">
            <w:pPr>
              <w:pStyle w:val="24"/>
              <w:bidi w:val="0"/>
              <w:ind w:left="0" w:leftChars="0"/>
              <w:rPr>
                <w:rFonts w:hint="eastAsia" w:ascii="Times New Roman" w:hAnsi="Times New Roman" w:eastAsia="宋体" w:cs="Courier New"/>
                <w:b w:val="0"/>
                <w:bCs w:val="0"/>
                <w:color w:val="auto"/>
                <w:highlight w:val="none"/>
                <w:lang w:val="en-US" w:eastAsia="zh-CN"/>
              </w:rPr>
            </w:pPr>
          </w:p>
        </w:tc>
        <w:tc>
          <w:tcPr>
            <w:tcW w:w="1881" w:type="dxa"/>
            <w:vMerge w:val="continue"/>
            <w:tcBorders>
              <w:tl2br w:val="nil"/>
              <w:tr2bl w:val="nil"/>
            </w:tcBorders>
            <w:noWrap w:val="0"/>
            <w:vAlign w:val="center"/>
          </w:tcPr>
          <w:p w14:paraId="7DD92AB2">
            <w:pPr>
              <w:pStyle w:val="24"/>
              <w:bidi w:val="0"/>
              <w:ind w:left="0" w:leftChars="0"/>
              <w:rPr>
                <w:rFonts w:hint="eastAsia" w:ascii="Times New Roman" w:hAnsi="Times New Roman" w:eastAsia="宋体" w:cs="Courier New"/>
                <w:b w:val="0"/>
                <w:bCs w:val="0"/>
                <w:color w:val="auto"/>
                <w:highlight w:val="none"/>
                <w:lang w:val="en-US" w:eastAsia="zh-CN"/>
              </w:rPr>
            </w:pPr>
          </w:p>
        </w:tc>
        <w:tc>
          <w:tcPr>
            <w:tcW w:w="1927" w:type="dxa"/>
            <w:tcBorders>
              <w:tl2br w:val="nil"/>
              <w:tr2bl w:val="nil"/>
            </w:tcBorders>
            <w:noWrap w:val="0"/>
            <w:vAlign w:val="center"/>
          </w:tcPr>
          <w:p w14:paraId="28B2AAF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黏度</w:t>
            </w:r>
          </w:p>
        </w:tc>
        <w:tc>
          <w:tcPr>
            <w:tcW w:w="4469" w:type="dxa"/>
            <w:tcBorders>
              <w:tl2br w:val="nil"/>
              <w:tr2bl w:val="nil"/>
            </w:tcBorders>
            <w:noWrap w:val="0"/>
            <w:vAlign w:val="center"/>
          </w:tcPr>
          <w:p w14:paraId="460593C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在生产厂控制范围内</w:t>
            </w:r>
          </w:p>
        </w:tc>
      </w:tr>
      <w:tr w14:paraId="7BFA78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vMerge w:val="continue"/>
            <w:tcBorders>
              <w:tl2br w:val="nil"/>
              <w:tr2bl w:val="nil"/>
            </w:tcBorders>
            <w:noWrap w:val="0"/>
            <w:vAlign w:val="center"/>
          </w:tcPr>
          <w:p w14:paraId="2A0B756A">
            <w:pPr>
              <w:pStyle w:val="24"/>
              <w:bidi w:val="0"/>
              <w:ind w:left="0" w:leftChars="0"/>
              <w:rPr>
                <w:rFonts w:hint="eastAsia" w:ascii="Times New Roman" w:hAnsi="Times New Roman" w:eastAsia="宋体" w:cs="Courier New"/>
                <w:b w:val="0"/>
                <w:bCs w:val="0"/>
                <w:color w:val="auto"/>
                <w:highlight w:val="none"/>
                <w:lang w:val="en-US" w:eastAsia="zh-CN"/>
              </w:rPr>
            </w:pPr>
          </w:p>
        </w:tc>
        <w:tc>
          <w:tcPr>
            <w:tcW w:w="1881" w:type="dxa"/>
            <w:vMerge w:val="continue"/>
            <w:tcBorders>
              <w:tl2br w:val="nil"/>
              <w:tr2bl w:val="nil"/>
            </w:tcBorders>
            <w:noWrap w:val="0"/>
            <w:vAlign w:val="center"/>
          </w:tcPr>
          <w:p w14:paraId="0D427762">
            <w:pPr>
              <w:pStyle w:val="24"/>
              <w:bidi w:val="0"/>
              <w:ind w:left="0" w:leftChars="0"/>
              <w:rPr>
                <w:rFonts w:hint="eastAsia" w:ascii="Times New Roman" w:hAnsi="Times New Roman" w:eastAsia="宋体" w:cs="Courier New"/>
                <w:b w:val="0"/>
                <w:bCs w:val="0"/>
                <w:color w:val="auto"/>
                <w:highlight w:val="none"/>
                <w:lang w:val="en-US" w:eastAsia="zh-CN"/>
              </w:rPr>
            </w:pPr>
          </w:p>
        </w:tc>
        <w:tc>
          <w:tcPr>
            <w:tcW w:w="1927" w:type="dxa"/>
            <w:tcBorders>
              <w:tl2br w:val="nil"/>
              <w:tr2bl w:val="nil"/>
            </w:tcBorders>
            <w:noWrap w:val="0"/>
            <w:vAlign w:val="center"/>
          </w:tcPr>
          <w:p w14:paraId="7AC919A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pH值/（无量纲）</w:t>
            </w:r>
          </w:p>
        </w:tc>
        <w:tc>
          <w:tcPr>
            <w:tcW w:w="4469" w:type="dxa"/>
            <w:tcBorders>
              <w:tl2br w:val="nil"/>
              <w:tr2bl w:val="nil"/>
            </w:tcBorders>
            <w:noWrap w:val="0"/>
            <w:vAlign w:val="center"/>
          </w:tcPr>
          <w:p w14:paraId="4E94D30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≥5.0</w:t>
            </w:r>
          </w:p>
        </w:tc>
      </w:tr>
      <w:tr w14:paraId="1C9F64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vMerge w:val="continue"/>
            <w:tcBorders>
              <w:tl2br w:val="nil"/>
              <w:tr2bl w:val="nil"/>
            </w:tcBorders>
            <w:noWrap w:val="0"/>
            <w:vAlign w:val="center"/>
          </w:tcPr>
          <w:p w14:paraId="3956332C">
            <w:pPr>
              <w:pStyle w:val="24"/>
              <w:bidi w:val="0"/>
              <w:ind w:left="0" w:leftChars="0"/>
              <w:rPr>
                <w:rFonts w:hint="eastAsia" w:ascii="Times New Roman" w:hAnsi="Times New Roman" w:eastAsia="宋体" w:cs="Courier New"/>
                <w:b w:val="0"/>
                <w:bCs w:val="0"/>
                <w:color w:val="auto"/>
                <w:highlight w:val="none"/>
                <w:lang w:val="en-US" w:eastAsia="zh-CN"/>
              </w:rPr>
            </w:pPr>
          </w:p>
        </w:tc>
        <w:tc>
          <w:tcPr>
            <w:tcW w:w="1881" w:type="dxa"/>
            <w:vMerge w:val="continue"/>
            <w:tcBorders>
              <w:tl2br w:val="nil"/>
              <w:tr2bl w:val="nil"/>
            </w:tcBorders>
            <w:noWrap w:val="0"/>
            <w:vAlign w:val="center"/>
          </w:tcPr>
          <w:p w14:paraId="5A2F1640">
            <w:pPr>
              <w:pStyle w:val="24"/>
              <w:bidi w:val="0"/>
              <w:ind w:left="0" w:leftChars="0"/>
              <w:rPr>
                <w:rFonts w:hint="eastAsia" w:ascii="Times New Roman" w:hAnsi="Times New Roman" w:eastAsia="宋体" w:cs="Courier New"/>
                <w:b w:val="0"/>
                <w:bCs w:val="0"/>
                <w:color w:val="auto"/>
                <w:highlight w:val="none"/>
                <w:lang w:val="en-US" w:eastAsia="zh-CN"/>
              </w:rPr>
            </w:pPr>
          </w:p>
        </w:tc>
        <w:tc>
          <w:tcPr>
            <w:tcW w:w="1927" w:type="dxa"/>
            <w:tcBorders>
              <w:tl2br w:val="nil"/>
              <w:tr2bl w:val="nil"/>
            </w:tcBorders>
            <w:noWrap w:val="0"/>
            <w:vAlign w:val="center"/>
          </w:tcPr>
          <w:p w14:paraId="489443D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含水率/%</w:t>
            </w:r>
          </w:p>
        </w:tc>
        <w:tc>
          <w:tcPr>
            <w:tcW w:w="4469" w:type="dxa"/>
            <w:tcBorders>
              <w:tl2br w:val="nil"/>
              <w:tr2bl w:val="nil"/>
            </w:tcBorders>
            <w:noWrap w:val="0"/>
            <w:vAlign w:val="center"/>
          </w:tcPr>
          <w:p w14:paraId="2D9EF35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乳化油型0/水乳型</w:t>
            </w:r>
            <w:r>
              <w:rPr>
                <w:rFonts w:hint="eastAsia" w:ascii="Times New Roman" w:hAnsi="Times New Roman" w:eastAsia="宋体" w:cs="Courier New"/>
                <w:b w:val="0"/>
                <w:bCs w:val="0"/>
                <w:color w:val="auto"/>
                <w:highlight w:val="none"/>
                <w:lang w:val="en-US" w:eastAsia="zh-CN"/>
              </w:rPr>
              <w:t>≥</w:t>
            </w:r>
            <w:r>
              <w:rPr>
                <w:rFonts w:hint="eastAsia" w:cs="Courier New"/>
                <w:b w:val="0"/>
                <w:bCs w:val="0"/>
                <w:color w:val="auto"/>
                <w:highlight w:val="none"/>
                <w:lang w:val="en-US" w:eastAsia="zh-CN"/>
              </w:rPr>
              <w:t>40</w:t>
            </w:r>
          </w:p>
        </w:tc>
      </w:tr>
      <w:tr w14:paraId="22BF04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vMerge w:val="continue"/>
            <w:tcBorders>
              <w:tl2br w:val="nil"/>
              <w:tr2bl w:val="nil"/>
            </w:tcBorders>
            <w:noWrap w:val="0"/>
            <w:vAlign w:val="center"/>
          </w:tcPr>
          <w:p w14:paraId="5310739C">
            <w:pPr>
              <w:pStyle w:val="24"/>
              <w:bidi w:val="0"/>
              <w:ind w:left="0" w:leftChars="0"/>
              <w:rPr>
                <w:rFonts w:hint="eastAsia" w:ascii="Times New Roman" w:hAnsi="Times New Roman" w:eastAsia="宋体" w:cs="Courier New"/>
                <w:b w:val="0"/>
                <w:bCs w:val="0"/>
                <w:color w:val="auto"/>
                <w:highlight w:val="none"/>
                <w:lang w:val="en-US" w:eastAsia="zh-CN"/>
              </w:rPr>
            </w:pPr>
          </w:p>
        </w:tc>
        <w:tc>
          <w:tcPr>
            <w:tcW w:w="1881" w:type="dxa"/>
            <w:vMerge w:val="continue"/>
            <w:tcBorders>
              <w:tl2br w:val="nil"/>
              <w:tr2bl w:val="nil"/>
            </w:tcBorders>
            <w:noWrap w:val="0"/>
            <w:vAlign w:val="center"/>
          </w:tcPr>
          <w:p w14:paraId="401C4663">
            <w:pPr>
              <w:pStyle w:val="24"/>
              <w:bidi w:val="0"/>
              <w:ind w:left="0" w:leftChars="0"/>
              <w:rPr>
                <w:rFonts w:hint="eastAsia" w:ascii="Times New Roman" w:hAnsi="Times New Roman" w:eastAsia="宋体" w:cs="Courier New"/>
                <w:b w:val="0"/>
                <w:bCs w:val="0"/>
                <w:color w:val="auto"/>
                <w:highlight w:val="none"/>
                <w:lang w:val="en-US" w:eastAsia="zh-CN"/>
              </w:rPr>
            </w:pPr>
          </w:p>
        </w:tc>
        <w:tc>
          <w:tcPr>
            <w:tcW w:w="1927" w:type="dxa"/>
            <w:tcBorders>
              <w:tl2br w:val="nil"/>
              <w:tr2bl w:val="nil"/>
            </w:tcBorders>
            <w:noWrap w:val="0"/>
            <w:vAlign w:val="center"/>
          </w:tcPr>
          <w:p w14:paraId="0DA2C2E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稳定性</w:t>
            </w:r>
          </w:p>
        </w:tc>
        <w:tc>
          <w:tcPr>
            <w:tcW w:w="4469" w:type="dxa"/>
            <w:tcBorders>
              <w:tl2br w:val="nil"/>
              <w:tr2bl w:val="nil"/>
            </w:tcBorders>
            <w:noWrap w:val="0"/>
            <w:vAlign w:val="center"/>
          </w:tcPr>
          <w:p w14:paraId="2BF6FA8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产品稀释至使用浓度，无分层离析，能保持均匀状态</w:t>
            </w:r>
          </w:p>
        </w:tc>
      </w:tr>
      <w:tr w14:paraId="38F9BE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1226" w:type="dxa"/>
            <w:vMerge w:val="continue"/>
            <w:tcBorders>
              <w:tl2br w:val="nil"/>
              <w:tr2bl w:val="nil"/>
            </w:tcBorders>
            <w:noWrap w:val="0"/>
            <w:vAlign w:val="center"/>
          </w:tcPr>
          <w:p w14:paraId="3A4F9279">
            <w:pPr>
              <w:pStyle w:val="24"/>
              <w:bidi w:val="0"/>
              <w:ind w:left="0" w:leftChars="0"/>
              <w:rPr>
                <w:rFonts w:hint="eastAsia" w:ascii="Times New Roman" w:hAnsi="Times New Roman" w:eastAsia="宋体" w:cs="Courier New"/>
                <w:b w:val="0"/>
                <w:bCs w:val="0"/>
                <w:color w:val="auto"/>
                <w:highlight w:val="none"/>
                <w:lang w:val="en-US" w:eastAsia="zh-CN"/>
              </w:rPr>
            </w:pPr>
          </w:p>
        </w:tc>
        <w:tc>
          <w:tcPr>
            <w:tcW w:w="1881" w:type="dxa"/>
            <w:vMerge w:val="continue"/>
            <w:tcBorders>
              <w:tl2br w:val="nil"/>
              <w:tr2bl w:val="nil"/>
            </w:tcBorders>
            <w:noWrap w:val="0"/>
            <w:vAlign w:val="center"/>
          </w:tcPr>
          <w:p w14:paraId="3B4FDEB2">
            <w:pPr>
              <w:pStyle w:val="24"/>
              <w:bidi w:val="0"/>
              <w:ind w:left="0" w:leftChars="0"/>
              <w:rPr>
                <w:rFonts w:hint="eastAsia" w:ascii="Times New Roman" w:hAnsi="Times New Roman" w:eastAsia="宋体" w:cs="Courier New"/>
                <w:b w:val="0"/>
                <w:bCs w:val="0"/>
                <w:color w:val="auto"/>
                <w:highlight w:val="none"/>
                <w:lang w:val="en-US" w:eastAsia="zh-CN"/>
              </w:rPr>
            </w:pPr>
          </w:p>
        </w:tc>
        <w:tc>
          <w:tcPr>
            <w:tcW w:w="1927" w:type="dxa"/>
            <w:tcBorders>
              <w:tl2br w:val="nil"/>
              <w:tr2bl w:val="nil"/>
            </w:tcBorders>
            <w:noWrap w:val="0"/>
            <w:vAlign w:val="center"/>
          </w:tcPr>
          <w:p w14:paraId="2EAA6CD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闪点</w:t>
            </w:r>
          </w:p>
        </w:tc>
        <w:tc>
          <w:tcPr>
            <w:tcW w:w="4469" w:type="dxa"/>
            <w:tcBorders>
              <w:tl2br w:val="nil"/>
              <w:tr2bl w:val="nil"/>
            </w:tcBorders>
            <w:noWrap w:val="0"/>
            <w:vAlign w:val="center"/>
          </w:tcPr>
          <w:p w14:paraId="25A5488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不低于65℃</w:t>
            </w:r>
          </w:p>
        </w:tc>
      </w:tr>
    </w:tbl>
    <w:p w14:paraId="4D799E24">
      <w:pPr>
        <w:pStyle w:val="4"/>
        <w:bidi w:val="0"/>
        <w:rPr>
          <w:rFonts w:hint="default"/>
          <w:color w:val="auto"/>
          <w:highlight w:val="none"/>
          <w:lang w:val="en-US" w:eastAsia="zh-CN"/>
        </w:rPr>
      </w:pPr>
      <w:r>
        <w:rPr>
          <w:color w:val="auto"/>
          <w:highlight w:val="none"/>
        </w:rPr>
        <w:t>项目</w:t>
      </w:r>
      <w:r>
        <w:rPr>
          <w:rFonts w:hint="eastAsia"/>
          <w:color w:val="auto"/>
          <w:highlight w:val="none"/>
          <w:lang w:val="en-US" w:eastAsia="zh-CN"/>
        </w:rPr>
        <w:t>组成及主要环境问题</w:t>
      </w:r>
    </w:p>
    <w:p w14:paraId="2915D32C">
      <w:pPr>
        <w:pStyle w:val="5"/>
        <w:bidi w:val="0"/>
        <w:rPr>
          <w:rFonts w:hint="default"/>
          <w:color w:val="auto"/>
          <w:highlight w:val="none"/>
        </w:rPr>
      </w:pPr>
      <w:r>
        <w:rPr>
          <w:rFonts w:hint="eastAsia"/>
          <w:color w:val="auto"/>
          <w:highlight w:val="none"/>
          <w:lang w:val="en-US" w:eastAsia="zh-CN"/>
        </w:rPr>
        <w:t>主要建（构）筑物</w:t>
      </w:r>
    </w:p>
    <w:p w14:paraId="3F289336">
      <w:pPr>
        <w:bidi w:val="0"/>
        <w:rPr>
          <w:rFonts w:hint="eastAsia"/>
          <w:color w:val="auto"/>
          <w:lang w:val="en-US" w:eastAsia="zh-CN"/>
        </w:rPr>
      </w:pPr>
      <w:r>
        <w:rPr>
          <w:rFonts w:hint="eastAsia"/>
          <w:color w:val="auto"/>
          <w:lang w:val="en-US" w:eastAsia="zh-CN"/>
        </w:rPr>
        <w:t>根据项目设计资料，主要建（构）筑物基本信息见下表。</w:t>
      </w:r>
    </w:p>
    <w:p w14:paraId="1F0A724A">
      <w:pPr>
        <w:pStyle w:val="19"/>
        <w:rPr>
          <w:rFonts w:hint="eastAsia"/>
          <w:color w:val="auto"/>
          <w:lang w:val="en-US" w:eastAsia="zh-CN"/>
        </w:rPr>
      </w:pPr>
    </w:p>
    <w:p w14:paraId="7A170844">
      <w:pPr>
        <w:pStyle w:val="37"/>
        <w:numPr>
          <w:ilvl w:val="0"/>
          <w:numId w:val="17"/>
        </w:numPr>
        <w:tabs>
          <w:tab w:val="left" w:pos="0"/>
        </w:tabs>
        <w:bidi w:val="0"/>
        <w:rPr>
          <w:rFonts w:hint="default"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主要建（构）筑物基本信息</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9"/>
        <w:gridCol w:w="3169"/>
        <w:gridCol w:w="3172"/>
      </w:tblGrid>
      <w:tr w14:paraId="4D6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noWrap w:val="0"/>
            <w:vAlign w:val="center"/>
          </w:tcPr>
          <w:p w14:paraId="44424746">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名称</w:t>
            </w:r>
          </w:p>
        </w:tc>
        <w:tc>
          <w:tcPr>
            <w:tcW w:w="1666" w:type="pct"/>
            <w:noWrap w:val="0"/>
            <w:vAlign w:val="center"/>
          </w:tcPr>
          <w:p w14:paraId="0D965E66">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火灾危险类别</w:t>
            </w:r>
          </w:p>
        </w:tc>
        <w:tc>
          <w:tcPr>
            <w:tcW w:w="1667" w:type="pct"/>
            <w:noWrap w:val="0"/>
            <w:vAlign w:val="center"/>
          </w:tcPr>
          <w:p w14:paraId="66F292F4">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耐火等级</w:t>
            </w:r>
          </w:p>
        </w:tc>
      </w:tr>
      <w:tr w14:paraId="2488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noWrap w:val="0"/>
            <w:vAlign w:val="center"/>
          </w:tcPr>
          <w:p w14:paraId="38808ABF">
            <w:pPr>
              <w:pStyle w:val="24"/>
              <w:bidi w:val="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生产车间</w:t>
            </w:r>
          </w:p>
        </w:tc>
        <w:tc>
          <w:tcPr>
            <w:tcW w:w="1666" w:type="pct"/>
            <w:noWrap w:val="0"/>
            <w:vAlign w:val="center"/>
          </w:tcPr>
          <w:p w14:paraId="690F4EB8">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乙类</w:t>
            </w:r>
          </w:p>
        </w:tc>
        <w:tc>
          <w:tcPr>
            <w:tcW w:w="1667" w:type="pct"/>
            <w:noWrap w:val="0"/>
            <w:vAlign w:val="center"/>
          </w:tcPr>
          <w:p w14:paraId="6BFA9D39">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r>
      <w:tr w14:paraId="5E7B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noWrap w:val="0"/>
            <w:vAlign w:val="center"/>
          </w:tcPr>
          <w:p w14:paraId="4DCBD773">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1#罐区</w:t>
            </w:r>
          </w:p>
        </w:tc>
        <w:tc>
          <w:tcPr>
            <w:tcW w:w="1666" w:type="pct"/>
            <w:noWrap w:val="0"/>
            <w:vAlign w:val="center"/>
          </w:tcPr>
          <w:p w14:paraId="41F0ECDE">
            <w:pPr>
              <w:pStyle w:val="38"/>
              <w:pageBreakBefore w:val="0"/>
              <w:kinsoku/>
              <w:wordWrap/>
              <w:overflowPunct/>
              <w:topLinePunct w:val="0"/>
              <w:autoSpaceDE/>
              <w:autoSpaceDN/>
              <w:bidi w:val="0"/>
              <w:snapToGrid w:val="0"/>
              <w:spacing w:line="240" w:lineRule="auto"/>
              <w:ind w:firstLine="0" w:firstLineChars="0"/>
              <w:jc w:val="center"/>
              <w:rPr>
                <w:rFonts w:hint="eastAsia" w:ascii="Times New Roman" w:hAnsi="Times New Roman" w:eastAsia="宋体" w:cs="Times New Roman"/>
                <w:b w:val="0"/>
                <w:bCs w:val="0"/>
                <w:color w:val="auto"/>
                <w:highlight w:val="none"/>
                <w:lang w:val="en-US" w:eastAsia="zh-CN"/>
              </w:rPr>
            </w:pPr>
            <w:r>
              <w:rPr>
                <w:rFonts w:hint="eastAsia" w:cs="Times New Roman"/>
                <w:color w:val="auto"/>
                <w:sz w:val="21"/>
                <w:szCs w:val="21"/>
                <w:lang w:val="en-US" w:eastAsia="zh-CN"/>
              </w:rPr>
              <w:t>戊</w:t>
            </w:r>
            <w:r>
              <w:rPr>
                <w:rFonts w:hint="default" w:ascii="Times New Roman" w:hAnsi="Times New Roman" w:cs="Times New Roman"/>
                <w:color w:val="auto"/>
                <w:sz w:val="21"/>
                <w:szCs w:val="21"/>
              </w:rPr>
              <w:t>类</w:t>
            </w:r>
          </w:p>
        </w:tc>
        <w:tc>
          <w:tcPr>
            <w:tcW w:w="1667" w:type="pct"/>
            <w:noWrap w:val="0"/>
            <w:vAlign w:val="center"/>
          </w:tcPr>
          <w:p w14:paraId="41A87A7E">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二级</w:t>
            </w:r>
          </w:p>
        </w:tc>
      </w:tr>
      <w:tr w14:paraId="5C43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noWrap w:val="0"/>
            <w:vAlign w:val="center"/>
          </w:tcPr>
          <w:p w14:paraId="538DA6EA">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2#罐区</w:t>
            </w:r>
          </w:p>
        </w:tc>
        <w:tc>
          <w:tcPr>
            <w:tcW w:w="1666" w:type="pct"/>
            <w:noWrap w:val="0"/>
            <w:vAlign w:val="center"/>
          </w:tcPr>
          <w:p w14:paraId="4E895149">
            <w:pPr>
              <w:pStyle w:val="38"/>
              <w:pageBreakBefore w:val="0"/>
              <w:kinsoku/>
              <w:wordWrap/>
              <w:overflowPunct/>
              <w:topLinePunct w:val="0"/>
              <w:autoSpaceDE/>
              <w:autoSpaceDN/>
              <w:bidi w:val="0"/>
              <w:snapToGrid w:val="0"/>
              <w:spacing w:line="240" w:lineRule="auto"/>
              <w:ind w:firstLine="0" w:firstLineChars="0"/>
              <w:jc w:val="center"/>
              <w:rPr>
                <w:rFonts w:hint="eastAsia"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乙类</w:t>
            </w:r>
          </w:p>
        </w:tc>
        <w:tc>
          <w:tcPr>
            <w:tcW w:w="1667" w:type="pct"/>
            <w:noWrap w:val="0"/>
            <w:vAlign w:val="center"/>
          </w:tcPr>
          <w:p w14:paraId="4D634FC6">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二级</w:t>
            </w:r>
          </w:p>
        </w:tc>
      </w:tr>
      <w:tr w14:paraId="14A9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noWrap w:val="0"/>
            <w:vAlign w:val="center"/>
          </w:tcPr>
          <w:p w14:paraId="2D82CEF0">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3#罐区</w:t>
            </w:r>
          </w:p>
        </w:tc>
        <w:tc>
          <w:tcPr>
            <w:tcW w:w="1666" w:type="pct"/>
            <w:noWrap w:val="0"/>
            <w:vAlign w:val="center"/>
          </w:tcPr>
          <w:p w14:paraId="1EA8C4CD">
            <w:pPr>
              <w:pStyle w:val="38"/>
              <w:pageBreakBefore w:val="0"/>
              <w:kinsoku/>
              <w:wordWrap/>
              <w:overflowPunct/>
              <w:topLinePunct w:val="0"/>
              <w:autoSpaceDE/>
              <w:autoSpaceDN/>
              <w:bidi w:val="0"/>
              <w:snapToGrid w:val="0"/>
              <w:spacing w:line="240" w:lineRule="auto"/>
              <w:ind w:firstLine="0" w:firstLineChars="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color w:val="auto"/>
                <w:sz w:val="21"/>
                <w:szCs w:val="21"/>
                <w:lang w:val="en-US" w:eastAsia="zh-CN"/>
              </w:rPr>
              <w:t>戊类</w:t>
            </w:r>
          </w:p>
        </w:tc>
        <w:tc>
          <w:tcPr>
            <w:tcW w:w="1667" w:type="pct"/>
            <w:noWrap w:val="0"/>
            <w:vAlign w:val="center"/>
          </w:tcPr>
          <w:p w14:paraId="2D74CE62">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二级</w:t>
            </w:r>
          </w:p>
        </w:tc>
      </w:tr>
      <w:tr w14:paraId="13FC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shd w:val="clear" w:color="auto" w:fill="auto"/>
            <w:noWrap w:val="0"/>
            <w:vAlign w:val="center"/>
          </w:tcPr>
          <w:p w14:paraId="19827A89">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综合楼</w:t>
            </w:r>
          </w:p>
        </w:tc>
        <w:tc>
          <w:tcPr>
            <w:tcW w:w="1666" w:type="pct"/>
            <w:shd w:val="clear" w:color="auto" w:fill="auto"/>
            <w:noWrap w:val="0"/>
            <w:vAlign w:val="center"/>
          </w:tcPr>
          <w:p w14:paraId="311C3746">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color w:val="auto"/>
                <w:sz w:val="21"/>
                <w:szCs w:val="21"/>
                <w:lang w:val="en-US" w:eastAsia="zh-CN"/>
              </w:rPr>
              <w:t>民建</w:t>
            </w:r>
          </w:p>
        </w:tc>
        <w:tc>
          <w:tcPr>
            <w:tcW w:w="1667" w:type="pct"/>
            <w:shd w:val="clear" w:color="auto" w:fill="auto"/>
            <w:noWrap w:val="0"/>
            <w:vAlign w:val="center"/>
          </w:tcPr>
          <w:p w14:paraId="340DCD93">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color w:val="auto"/>
                <w:sz w:val="21"/>
                <w:szCs w:val="21"/>
              </w:rPr>
              <w:t>二级</w:t>
            </w:r>
          </w:p>
        </w:tc>
      </w:tr>
      <w:tr w14:paraId="048E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noWrap w:val="0"/>
            <w:vAlign w:val="center"/>
          </w:tcPr>
          <w:p w14:paraId="00BD74F6">
            <w:pPr>
              <w:pStyle w:val="38"/>
              <w:pageBreakBefore w:val="0"/>
              <w:kinsoku/>
              <w:wordWrap/>
              <w:overflowPunct/>
              <w:topLinePunct w:val="0"/>
              <w:autoSpaceDE/>
              <w:autoSpaceDN/>
              <w:bidi w:val="0"/>
              <w:snapToGrid w:val="0"/>
              <w:spacing w:line="240" w:lineRule="auto"/>
              <w:ind w:firstLine="0" w:firstLineChars="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仓库</w:t>
            </w:r>
          </w:p>
        </w:tc>
        <w:tc>
          <w:tcPr>
            <w:tcW w:w="1666" w:type="pct"/>
            <w:noWrap w:val="0"/>
            <w:vAlign w:val="center"/>
          </w:tcPr>
          <w:p w14:paraId="5189F2CA">
            <w:pPr>
              <w:pStyle w:val="38"/>
              <w:pageBreakBefore w:val="0"/>
              <w:kinsoku/>
              <w:wordWrap/>
              <w:overflowPunct/>
              <w:topLinePunct w:val="0"/>
              <w:autoSpaceDE/>
              <w:autoSpaceDN/>
              <w:bidi w:val="0"/>
              <w:snapToGrid w:val="0"/>
              <w:spacing w:line="240" w:lineRule="auto"/>
              <w:ind w:firstLine="0" w:firstLineChars="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cs="Times New Roman"/>
                <w:color w:val="auto"/>
                <w:sz w:val="21"/>
                <w:szCs w:val="21"/>
                <w:lang w:val="en-US" w:eastAsia="zh-CN"/>
              </w:rPr>
              <w:t>乙</w:t>
            </w:r>
            <w:r>
              <w:rPr>
                <w:rFonts w:hint="default" w:ascii="Times New Roman" w:hAnsi="Times New Roman" w:cs="Times New Roman"/>
                <w:color w:val="auto"/>
                <w:sz w:val="21"/>
                <w:szCs w:val="21"/>
              </w:rPr>
              <w:t>类</w:t>
            </w:r>
          </w:p>
        </w:tc>
        <w:tc>
          <w:tcPr>
            <w:tcW w:w="1667" w:type="pct"/>
            <w:noWrap w:val="0"/>
            <w:vAlign w:val="center"/>
          </w:tcPr>
          <w:p w14:paraId="16F86CFD">
            <w:pPr>
              <w:pStyle w:val="38"/>
              <w:pageBreakBefore w:val="0"/>
              <w:kinsoku/>
              <w:wordWrap/>
              <w:overflowPunct/>
              <w:topLinePunct w:val="0"/>
              <w:autoSpaceDE/>
              <w:autoSpaceDN/>
              <w:bidi w:val="0"/>
              <w:snapToGrid w:val="0"/>
              <w:spacing w:line="240" w:lineRule="auto"/>
              <w:ind w:firstLine="0" w:firstLineChars="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二级</w:t>
            </w:r>
          </w:p>
        </w:tc>
      </w:tr>
      <w:tr w14:paraId="0539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shd w:val="clear" w:color="auto" w:fill="auto"/>
            <w:noWrap w:val="0"/>
            <w:vAlign w:val="center"/>
          </w:tcPr>
          <w:p w14:paraId="3DAC90E2">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公用工程间</w:t>
            </w:r>
          </w:p>
        </w:tc>
        <w:tc>
          <w:tcPr>
            <w:tcW w:w="1666" w:type="pct"/>
            <w:noWrap w:val="0"/>
            <w:vAlign w:val="center"/>
          </w:tcPr>
          <w:p w14:paraId="02821573">
            <w:pPr>
              <w:pStyle w:val="38"/>
              <w:pageBreakBefore w:val="0"/>
              <w:kinsoku/>
              <w:wordWrap/>
              <w:overflowPunct/>
              <w:topLinePunct w:val="0"/>
              <w:autoSpaceDE/>
              <w:autoSpaceDN/>
              <w:bidi w:val="0"/>
              <w:snapToGrid w:val="0"/>
              <w:spacing w:line="240" w:lineRule="auto"/>
              <w:ind w:firstLine="0" w:firstLineChars="0"/>
              <w:jc w:val="center"/>
              <w:rPr>
                <w:rFonts w:hint="eastAsia" w:ascii="Times New Roman" w:hAnsi="Times New Roman" w:eastAsia="宋体" w:cs="Times New Roman"/>
                <w:b w:val="0"/>
                <w:bCs w:val="0"/>
                <w:color w:val="auto"/>
                <w:highlight w:val="none"/>
                <w:lang w:val="en-US" w:eastAsia="zh-CN"/>
              </w:rPr>
            </w:pPr>
            <w:r>
              <w:rPr>
                <w:rFonts w:hint="eastAsia" w:cs="Times New Roman"/>
                <w:color w:val="auto"/>
                <w:sz w:val="21"/>
                <w:szCs w:val="21"/>
                <w:lang w:val="en-US" w:eastAsia="zh-CN"/>
              </w:rPr>
              <w:t>丁类</w:t>
            </w:r>
          </w:p>
        </w:tc>
        <w:tc>
          <w:tcPr>
            <w:tcW w:w="1667" w:type="pct"/>
            <w:noWrap w:val="0"/>
            <w:vAlign w:val="center"/>
          </w:tcPr>
          <w:p w14:paraId="7145AAEC">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color w:val="auto"/>
                <w:sz w:val="21"/>
                <w:szCs w:val="21"/>
              </w:rPr>
              <w:t>二级</w:t>
            </w:r>
          </w:p>
        </w:tc>
      </w:tr>
      <w:tr w14:paraId="60EA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666" w:type="pct"/>
            <w:shd w:val="clear" w:color="auto" w:fill="auto"/>
            <w:noWrap w:val="0"/>
            <w:vAlign w:val="center"/>
          </w:tcPr>
          <w:p w14:paraId="77A14D1D">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门卫室</w:t>
            </w:r>
          </w:p>
        </w:tc>
        <w:tc>
          <w:tcPr>
            <w:tcW w:w="1666" w:type="pct"/>
            <w:shd w:val="clear" w:color="auto" w:fill="auto"/>
            <w:noWrap w:val="0"/>
            <w:vAlign w:val="center"/>
          </w:tcPr>
          <w:p w14:paraId="7D56F710">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color w:val="auto"/>
                <w:sz w:val="21"/>
                <w:szCs w:val="21"/>
                <w:lang w:val="en-US" w:eastAsia="zh-CN"/>
              </w:rPr>
              <w:t>民建</w:t>
            </w:r>
          </w:p>
        </w:tc>
        <w:tc>
          <w:tcPr>
            <w:tcW w:w="1667" w:type="pct"/>
            <w:shd w:val="clear" w:color="auto" w:fill="auto"/>
            <w:noWrap w:val="0"/>
            <w:vAlign w:val="center"/>
          </w:tcPr>
          <w:p w14:paraId="3BFE3073">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color w:val="auto"/>
                <w:sz w:val="21"/>
                <w:szCs w:val="21"/>
              </w:rPr>
              <w:t>二级</w:t>
            </w:r>
          </w:p>
        </w:tc>
      </w:tr>
    </w:tbl>
    <w:p w14:paraId="1E30A44F">
      <w:pPr>
        <w:pStyle w:val="5"/>
        <w:bidi w:val="0"/>
        <w:rPr>
          <w:rFonts w:hint="default"/>
          <w:color w:val="auto"/>
          <w:highlight w:val="none"/>
        </w:rPr>
      </w:pPr>
      <w:r>
        <w:rPr>
          <w:rFonts w:hint="eastAsia"/>
          <w:color w:val="auto"/>
          <w:highlight w:val="none"/>
        </w:rPr>
        <w:t>项目</w:t>
      </w:r>
      <w:r>
        <w:rPr>
          <w:color w:val="auto"/>
          <w:highlight w:val="none"/>
        </w:rPr>
        <w:t>组成及主要环境问题</w:t>
      </w:r>
    </w:p>
    <w:p w14:paraId="00E1314D">
      <w:pPr>
        <w:bidi w:val="0"/>
        <w:rPr>
          <w:rFonts w:hint="eastAsia"/>
          <w:color w:val="auto"/>
        </w:rPr>
      </w:pPr>
      <w:r>
        <w:rPr>
          <w:rFonts w:hint="eastAsia"/>
          <w:color w:val="auto"/>
        </w:rPr>
        <w:t>本项目</w:t>
      </w:r>
      <w:r>
        <w:rPr>
          <w:color w:val="auto"/>
        </w:rPr>
        <w:t>组成及主要环境问题见</w:t>
      </w:r>
      <w:r>
        <w:rPr>
          <w:rFonts w:hint="eastAsia"/>
          <w:color w:val="auto"/>
          <w:lang w:val="en-US" w:eastAsia="zh-CN"/>
        </w:rPr>
        <w:t>下</w:t>
      </w:r>
      <w:r>
        <w:rPr>
          <w:color w:val="auto"/>
        </w:rPr>
        <w:t>表</w:t>
      </w:r>
      <w:r>
        <w:rPr>
          <w:rFonts w:hint="eastAsia"/>
          <w:color w:val="auto"/>
        </w:rPr>
        <w:t>。</w:t>
      </w:r>
    </w:p>
    <w:p w14:paraId="3132C0E0">
      <w:pPr>
        <w:pStyle w:val="37"/>
        <w:numPr>
          <w:ilvl w:val="0"/>
          <w:numId w:val="17"/>
        </w:numPr>
        <w:tabs>
          <w:tab w:val="left" w:pos="0"/>
        </w:tabs>
        <w:bidi w:val="0"/>
        <w:rPr>
          <w:rFonts w:hint="default" w:ascii="黑体" w:hAnsi="黑体" w:eastAsia="黑体" w:cs="黑体"/>
          <w:color w:val="auto"/>
          <w:kern w:val="2"/>
          <w:sz w:val="21"/>
          <w:szCs w:val="21"/>
          <w:highlight w:val="none"/>
          <w:lang w:val="en-US" w:eastAsia="zh-CN" w:bidi="ar-SA"/>
        </w:rPr>
      </w:pPr>
      <w:r>
        <w:rPr>
          <w:rFonts w:hint="default" w:ascii="黑体" w:hAnsi="黑体" w:eastAsia="黑体" w:cs="黑体"/>
          <w:color w:val="auto"/>
          <w:kern w:val="2"/>
          <w:sz w:val="21"/>
          <w:szCs w:val="21"/>
          <w:highlight w:val="none"/>
          <w:lang w:val="en-US" w:eastAsia="zh-CN" w:bidi="ar-SA"/>
        </w:rPr>
        <w:t>项目组成及主要环境问题</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426"/>
        <w:gridCol w:w="869"/>
        <w:gridCol w:w="5181"/>
        <w:gridCol w:w="1118"/>
        <w:gridCol w:w="1135"/>
      </w:tblGrid>
      <w:tr w14:paraId="7773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restart"/>
            <w:noWrap w:val="0"/>
            <w:vAlign w:val="center"/>
          </w:tcPr>
          <w:p w14:paraId="77135FC3">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工程分类</w:t>
            </w:r>
          </w:p>
        </w:tc>
        <w:tc>
          <w:tcPr>
            <w:tcW w:w="681" w:type="pct"/>
            <w:gridSpan w:val="2"/>
            <w:vMerge w:val="restart"/>
            <w:noWrap w:val="0"/>
            <w:vAlign w:val="center"/>
          </w:tcPr>
          <w:p w14:paraId="14CBE4A5">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名称</w:t>
            </w:r>
          </w:p>
        </w:tc>
        <w:tc>
          <w:tcPr>
            <w:tcW w:w="2725" w:type="pct"/>
            <w:vMerge w:val="restart"/>
            <w:noWrap w:val="0"/>
            <w:vAlign w:val="center"/>
          </w:tcPr>
          <w:p w14:paraId="5473F6E5">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建设内容及规模</w:t>
            </w:r>
          </w:p>
        </w:tc>
        <w:tc>
          <w:tcPr>
            <w:tcW w:w="1185" w:type="pct"/>
            <w:gridSpan w:val="2"/>
            <w:noWrap w:val="0"/>
            <w:vAlign w:val="center"/>
          </w:tcPr>
          <w:p w14:paraId="52187B22">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可能产生的环境问题</w:t>
            </w:r>
          </w:p>
        </w:tc>
      </w:tr>
      <w:tr w14:paraId="064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noWrap w:val="0"/>
            <w:vAlign w:val="center"/>
          </w:tcPr>
          <w:p w14:paraId="58527F74">
            <w:pPr>
              <w:pStyle w:val="24"/>
              <w:bidi w:val="0"/>
              <w:jc w:val="center"/>
              <w:rPr>
                <w:rFonts w:hint="default" w:ascii="Times New Roman" w:hAnsi="Times New Roman" w:eastAsia="宋体" w:cs="Times New Roman"/>
                <w:b/>
                <w:bCs/>
                <w:color w:val="auto"/>
                <w:sz w:val="21"/>
                <w:szCs w:val="21"/>
                <w:highlight w:val="none"/>
                <w:lang w:val="en-US" w:eastAsia="zh-CN"/>
              </w:rPr>
            </w:pPr>
          </w:p>
        </w:tc>
        <w:tc>
          <w:tcPr>
            <w:tcW w:w="681" w:type="pct"/>
            <w:gridSpan w:val="2"/>
            <w:vMerge w:val="continue"/>
            <w:noWrap w:val="0"/>
            <w:vAlign w:val="center"/>
          </w:tcPr>
          <w:p w14:paraId="66CB8D43">
            <w:pPr>
              <w:pStyle w:val="24"/>
              <w:bidi w:val="0"/>
              <w:jc w:val="center"/>
              <w:rPr>
                <w:rFonts w:hint="default" w:ascii="Times New Roman" w:hAnsi="Times New Roman" w:eastAsia="宋体" w:cs="Times New Roman"/>
                <w:b/>
                <w:bCs/>
                <w:color w:val="auto"/>
                <w:sz w:val="21"/>
                <w:szCs w:val="21"/>
                <w:highlight w:val="none"/>
                <w:lang w:val="en-US" w:eastAsia="zh-CN"/>
              </w:rPr>
            </w:pPr>
          </w:p>
        </w:tc>
        <w:tc>
          <w:tcPr>
            <w:tcW w:w="2725" w:type="pct"/>
            <w:vMerge w:val="continue"/>
            <w:noWrap w:val="0"/>
            <w:vAlign w:val="center"/>
          </w:tcPr>
          <w:p w14:paraId="08ACD054">
            <w:pPr>
              <w:pStyle w:val="24"/>
              <w:bidi w:val="0"/>
              <w:jc w:val="center"/>
              <w:rPr>
                <w:rFonts w:hint="default" w:ascii="Times New Roman" w:hAnsi="Times New Roman" w:eastAsia="宋体" w:cs="Times New Roman"/>
                <w:b/>
                <w:bCs/>
                <w:color w:val="auto"/>
                <w:sz w:val="21"/>
                <w:szCs w:val="21"/>
                <w:highlight w:val="none"/>
                <w:lang w:val="en-US" w:eastAsia="zh-CN"/>
              </w:rPr>
            </w:pPr>
          </w:p>
        </w:tc>
        <w:tc>
          <w:tcPr>
            <w:tcW w:w="588" w:type="pct"/>
            <w:noWrap w:val="0"/>
            <w:vAlign w:val="center"/>
          </w:tcPr>
          <w:p w14:paraId="51EB1440">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施工期</w:t>
            </w:r>
          </w:p>
        </w:tc>
        <w:tc>
          <w:tcPr>
            <w:tcW w:w="597" w:type="pct"/>
            <w:noWrap w:val="0"/>
            <w:vAlign w:val="center"/>
          </w:tcPr>
          <w:p w14:paraId="364662D8">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运营期</w:t>
            </w:r>
          </w:p>
        </w:tc>
      </w:tr>
      <w:tr w14:paraId="0EC4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07" w:type="pct"/>
            <w:noWrap w:val="0"/>
            <w:vAlign w:val="center"/>
          </w:tcPr>
          <w:p w14:paraId="0C8726C3">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主体工程</w:t>
            </w:r>
          </w:p>
        </w:tc>
        <w:tc>
          <w:tcPr>
            <w:tcW w:w="681" w:type="pct"/>
            <w:gridSpan w:val="2"/>
            <w:noWrap w:val="0"/>
            <w:vAlign w:val="center"/>
          </w:tcPr>
          <w:p w14:paraId="7F872C0B">
            <w:pPr>
              <w:pStyle w:val="24"/>
              <w:bidi w:val="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生产车间</w:t>
            </w:r>
            <w:r>
              <w:rPr>
                <w:rFonts w:hint="eastAsia" w:cs="Times New Roman"/>
                <w:b w:val="0"/>
                <w:bCs w:val="0"/>
                <w:color w:val="auto"/>
                <w:highlight w:val="none"/>
                <w:lang w:val="en-US" w:eastAsia="zh-CN"/>
              </w:rPr>
              <w:t>（乙类）</w:t>
            </w:r>
          </w:p>
        </w:tc>
        <w:tc>
          <w:tcPr>
            <w:tcW w:w="2725" w:type="pct"/>
            <w:noWrap w:val="0"/>
            <w:vAlign w:val="center"/>
          </w:tcPr>
          <w:p w14:paraId="5D78C615">
            <w:pPr>
              <w:pStyle w:val="24"/>
              <w:bidi w:val="0"/>
              <w:jc w:val="left"/>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1栋，1F，</w:t>
            </w:r>
            <w:r>
              <w:rPr>
                <w:rFonts w:hint="eastAsia" w:cs="Times New Roman"/>
                <w:b w:val="0"/>
                <w:bCs w:val="0"/>
                <w:color w:val="auto"/>
                <w:highlight w:val="none"/>
                <w:lang w:val="en-US" w:eastAsia="zh-CN"/>
              </w:rPr>
              <w:t>46</w:t>
            </w:r>
            <w:r>
              <w:rPr>
                <w:rFonts w:hint="default"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42</w:t>
            </w:r>
            <w:r>
              <w:rPr>
                <w:rFonts w:hint="default"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lang w:val="en-US" w:eastAsia="zh-CN"/>
              </w:rPr>
              <w:t>×1</w:t>
            </w:r>
            <w:r>
              <w:rPr>
                <w:rFonts w:hint="eastAsia" w:cs="Times New Roman"/>
                <w:b w:val="0"/>
                <w:bCs w:val="0"/>
                <w:color w:val="auto"/>
                <w:highlight w:val="none"/>
                <w:lang w:val="en-US" w:eastAsia="zh-CN"/>
              </w:rPr>
              <w:t>3.5</w:t>
            </w:r>
            <w:r>
              <w:rPr>
                <w:rFonts w:hint="default"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lang w:val="en-US" w:eastAsia="zh-CN"/>
              </w:rPr>
              <w:t>，建筑面积1</w:t>
            </w:r>
            <w:r>
              <w:rPr>
                <w:rFonts w:hint="eastAsia" w:cs="Times New Roman"/>
                <w:b w:val="0"/>
                <w:bCs w:val="0"/>
                <w:color w:val="auto"/>
                <w:highlight w:val="none"/>
                <w:lang w:val="en-US" w:eastAsia="zh-CN"/>
              </w:rPr>
              <w:t>932</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钢结构</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设聚羧酸减水剂母液生产区（含4个10m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合成釜，减水型和保坍型共线生产）、高性能聚羧酸减水剂生产区（含2个20m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复配罐，标准型、</w:t>
            </w:r>
            <w:r>
              <w:rPr>
                <w:rFonts w:hint="eastAsia" w:ascii="Times New Roman" w:hAnsi="Times New Roman" w:eastAsia="宋体" w:cs="Courier New"/>
                <w:b w:val="0"/>
                <w:bCs w:val="0"/>
                <w:color w:val="auto"/>
                <w:sz w:val="21"/>
                <w:szCs w:val="21"/>
                <w:highlight w:val="none"/>
                <w:lang w:val="en-US" w:eastAsia="zh-CN"/>
              </w:rPr>
              <w:t>缓凝型</w:t>
            </w:r>
            <w:r>
              <w:rPr>
                <w:rFonts w:hint="eastAsia" w:cs="Courier New"/>
                <w:b w:val="0"/>
                <w:bCs w:val="0"/>
                <w:color w:val="auto"/>
                <w:sz w:val="21"/>
                <w:szCs w:val="21"/>
                <w:highlight w:val="none"/>
                <w:lang w:val="en-US" w:eastAsia="zh-CN"/>
              </w:rPr>
              <w:t>、早强型</w:t>
            </w:r>
            <w:r>
              <w:rPr>
                <w:rFonts w:hint="eastAsia" w:cs="Times New Roman"/>
                <w:b w:val="0"/>
                <w:bCs w:val="0"/>
                <w:color w:val="auto"/>
                <w:highlight w:val="none"/>
                <w:lang w:val="en-US" w:eastAsia="zh-CN"/>
              </w:rPr>
              <w:t>共线生产）、无碱速凝剂生产区（含3个10m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vertAlign w:val="baseline"/>
                <w:lang w:val="en-US" w:eastAsia="zh-CN"/>
              </w:rPr>
              <w:t>硫酸铝反应釜、1个10</w:t>
            </w:r>
            <w:r>
              <w:rPr>
                <w:rFonts w:hint="eastAsia" w:cs="Times New Roman"/>
                <w:b w:val="0"/>
                <w:bCs w:val="0"/>
                <w:color w:val="auto"/>
                <w:highlight w:val="none"/>
                <w:lang w:val="en-US" w:eastAsia="zh-CN"/>
              </w:rPr>
              <w:t>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有碱速凝剂反应釜、3个20m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vertAlign w:val="baseline"/>
                <w:lang w:val="en-US" w:eastAsia="zh-CN"/>
              </w:rPr>
              <w:t>无碱速凝剂</w:t>
            </w:r>
            <w:r>
              <w:rPr>
                <w:rFonts w:hint="eastAsia" w:cs="Times New Roman"/>
                <w:b w:val="0"/>
                <w:bCs w:val="0"/>
                <w:color w:val="auto"/>
                <w:highlight w:val="none"/>
                <w:lang w:val="en-US" w:eastAsia="zh-CN"/>
              </w:rPr>
              <w:t>合成釜）、乳化型脱模剂生产区（含2个5m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vertAlign w:val="baseline"/>
                <w:lang w:val="en-US" w:eastAsia="zh-CN"/>
              </w:rPr>
              <w:t>复配罐</w:t>
            </w:r>
            <w:r>
              <w:rPr>
                <w:rFonts w:hint="eastAsia" w:cs="Times New Roman"/>
                <w:b w:val="0"/>
                <w:bCs w:val="0"/>
                <w:color w:val="auto"/>
                <w:highlight w:val="none"/>
                <w:lang w:val="en-US" w:eastAsia="zh-CN"/>
              </w:rPr>
              <w:t>，乳化油型和水乳型各1个）；并在车间内3.5m平台上设1个投料间，用于液态物料泵料；在车间内8m平台上设各类物料计量罐</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生产车间</w:t>
            </w:r>
            <w:r>
              <w:rPr>
                <w:rFonts w:hint="default" w:ascii="Times New Roman" w:hAnsi="Times New Roman" w:cs="Times New Roman"/>
                <w:color w:val="auto"/>
                <w:sz w:val="21"/>
                <w:szCs w:val="21"/>
                <w:highlight w:val="none"/>
                <w:lang w:val="en-US" w:eastAsia="zh-CN"/>
              </w:rPr>
              <w:t>设</w:t>
            </w:r>
            <w:r>
              <w:rPr>
                <w:rFonts w:hint="eastAsia" w:cs="Times New Roman"/>
                <w:color w:val="auto"/>
                <w:sz w:val="21"/>
                <w:szCs w:val="21"/>
                <w:highlight w:val="none"/>
                <w:lang w:val="en-US" w:eastAsia="zh-CN"/>
              </w:rPr>
              <w:t>地漏，</w:t>
            </w:r>
            <w:r>
              <w:rPr>
                <w:rFonts w:hint="default" w:ascii="Times New Roman" w:hAnsi="Times New Roman" w:cs="Times New Roman"/>
                <w:color w:val="auto"/>
                <w:sz w:val="21"/>
                <w:szCs w:val="21"/>
                <w:highlight w:val="none"/>
                <w:lang w:val="en-US" w:eastAsia="zh-CN"/>
              </w:rPr>
              <w:t>用于</w:t>
            </w:r>
            <w:r>
              <w:rPr>
                <w:rFonts w:hint="eastAsia" w:cs="Times New Roman"/>
                <w:color w:val="auto"/>
                <w:sz w:val="21"/>
                <w:szCs w:val="21"/>
                <w:highlight w:val="none"/>
                <w:lang w:val="en-US" w:eastAsia="zh-CN"/>
              </w:rPr>
              <w:t>收集地面清洁废水或</w:t>
            </w:r>
            <w:r>
              <w:rPr>
                <w:rFonts w:hint="default" w:ascii="Times New Roman" w:hAnsi="Times New Roman" w:cs="Times New Roman"/>
                <w:color w:val="auto"/>
                <w:sz w:val="21"/>
                <w:szCs w:val="21"/>
                <w:highlight w:val="none"/>
                <w:lang w:val="en-US" w:eastAsia="zh-CN"/>
              </w:rPr>
              <w:t>泄漏的液体物料</w:t>
            </w:r>
            <w:r>
              <w:rPr>
                <w:rFonts w:hint="eastAsia" w:cs="Times New Roman"/>
                <w:color w:val="auto"/>
                <w:sz w:val="21"/>
                <w:szCs w:val="21"/>
                <w:highlight w:val="none"/>
                <w:lang w:val="en-US" w:eastAsia="zh-CN"/>
              </w:rPr>
              <w:t>，</w:t>
            </w:r>
            <w:r>
              <w:rPr>
                <w:rFonts w:hint="eastAsia" w:cs="Times New Roman"/>
                <w:b w:val="0"/>
                <w:bCs w:val="0"/>
                <w:color w:val="auto"/>
                <w:sz w:val="21"/>
                <w:szCs w:val="21"/>
                <w:highlight w:val="none"/>
                <w:lang w:val="en-US" w:eastAsia="zh-CN"/>
              </w:rPr>
              <w:t>并在生产</w:t>
            </w:r>
            <w:r>
              <w:rPr>
                <w:rFonts w:hint="eastAsia" w:cs="Times New Roman"/>
                <w:color w:val="auto"/>
                <w:sz w:val="21"/>
                <w:szCs w:val="21"/>
                <w:highlight w:val="none"/>
                <w:lang w:val="en-US" w:eastAsia="zh-CN"/>
              </w:rPr>
              <w:t>车间外</w:t>
            </w:r>
            <w:r>
              <w:rPr>
                <w:rFonts w:hint="eastAsia" w:ascii="Times New Roman" w:hAnsi="Times New Roman" w:eastAsia="宋体"/>
                <w:color w:val="auto"/>
                <w:highlight w:val="none"/>
                <w:lang w:val="en-US" w:eastAsia="zh-CN"/>
              </w:rPr>
              <w:t>设1个容积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w:t>
            </w:r>
            <w:r>
              <w:rPr>
                <w:rFonts w:hint="eastAsia" w:cs="Times New Roman"/>
                <w:color w:val="auto"/>
                <w:sz w:val="21"/>
                <w:szCs w:val="21"/>
                <w:highlight w:val="none"/>
                <w:lang w:val="en-US" w:eastAsia="zh-CN"/>
              </w:rPr>
              <w:t>地面清洁废水或</w:t>
            </w:r>
            <w:r>
              <w:rPr>
                <w:rFonts w:hint="eastAsia"/>
                <w:color w:val="auto"/>
                <w:highlight w:val="none"/>
                <w:lang w:val="en-US" w:eastAsia="zh-CN"/>
              </w:rPr>
              <w:t>事故废水至可视化架空管廊）。</w:t>
            </w:r>
          </w:p>
        </w:tc>
        <w:tc>
          <w:tcPr>
            <w:tcW w:w="588" w:type="pct"/>
            <w:vMerge w:val="restart"/>
            <w:noWrap w:val="0"/>
            <w:vAlign w:val="center"/>
          </w:tcPr>
          <w:p w14:paraId="3EF00645">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施工扬尘</w:t>
            </w:r>
          </w:p>
          <w:p w14:paraId="7E8349BD">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施工废气</w:t>
            </w:r>
          </w:p>
          <w:p w14:paraId="258979AD">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施工废水</w:t>
            </w:r>
          </w:p>
          <w:p w14:paraId="1F61AFBF">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生活污水</w:t>
            </w:r>
          </w:p>
          <w:p w14:paraId="6054BC9D">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施工噪声</w:t>
            </w:r>
          </w:p>
          <w:p w14:paraId="298B6F3D">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固体废物</w:t>
            </w:r>
          </w:p>
          <w:p w14:paraId="1DF24A2B">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水土流失</w:t>
            </w:r>
          </w:p>
        </w:tc>
        <w:tc>
          <w:tcPr>
            <w:tcW w:w="597" w:type="pct"/>
            <w:noWrap w:val="0"/>
            <w:vAlign w:val="center"/>
          </w:tcPr>
          <w:p w14:paraId="075BEF7A">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废气、废水、噪声、固废</w:t>
            </w:r>
            <w:r>
              <w:rPr>
                <w:rFonts w:hint="eastAsia" w:ascii="Times New Roman" w:hAnsi="Times New Roman" w:eastAsia="宋体" w:cs="Times New Roman"/>
                <w:b w:val="0"/>
                <w:bCs w:val="0"/>
                <w:color w:val="auto"/>
                <w:highlight w:val="none"/>
                <w:lang w:val="en-US" w:eastAsia="zh-CN"/>
              </w:rPr>
              <w:t>、环境风险</w:t>
            </w:r>
          </w:p>
        </w:tc>
      </w:tr>
      <w:tr w14:paraId="17DD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restart"/>
            <w:noWrap w:val="0"/>
            <w:vAlign w:val="center"/>
          </w:tcPr>
          <w:p w14:paraId="61563BB4">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辅助工程</w:t>
            </w:r>
          </w:p>
        </w:tc>
        <w:tc>
          <w:tcPr>
            <w:tcW w:w="681" w:type="pct"/>
            <w:gridSpan w:val="2"/>
            <w:shd w:val="clear" w:color="auto" w:fill="auto"/>
            <w:noWrap w:val="0"/>
            <w:vAlign w:val="center"/>
          </w:tcPr>
          <w:p w14:paraId="2A857550">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公用工程间</w:t>
            </w:r>
          </w:p>
        </w:tc>
        <w:tc>
          <w:tcPr>
            <w:tcW w:w="2725" w:type="pct"/>
            <w:shd w:val="clear" w:color="auto" w:fill="auto"/>
            <w:noWrap w:val="0"/>
            <w:vAlign w:val="center"/>
          </w:tcPr>
          <w:p w14:paraId="7AF392E8">
            <w:pPr>
              <w:pStyle w:val="24"/>
              <w:bidi w:val="0"/>
              <w:ind w:left="0" w:leftChars="0"/>
              <w:jc w:val="left"/>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1栋，1F，H=</w:t>
            </w:r>
            <w:r>
              <w:rPr>
                <w:rFonts w:hint="eastAsia" w:cs="Times New Roman"/>
                <w:b w:val="0"/>
                <w:bCs w:val="0"/>
                <w:color w:val="auto"/>
                <w:highlight w:val="none"/>
                <w:lang w:val="en-US" w:eastAsia="zh-CN"/>
              </w:rPr>
              <w:t>7.4</w:t>
            </w:r>
            <w:r>
              <w:rPr>
                <w:rFonts w:hint="eastAsia" w:ascii="Times New Roman" w:hAnsi="Times New Roman" w:eastAsia="宋体" w:cs="Times New Roman"/>
                <w:b w:val="0"/>
                <w:bCs w:val="0"/>
                <w:color w:val="auto"/>
                <w:highlight w:val="none"/>
                <w:lang w:val="en-US" w:eastAsia="zh-CN"/>
              </w:rPr>
              <w:t>m，建筑面积</w:t>
            </w:r>
            <w:r>
              <w:rPr>
                <w:rFonts w:hint="eastAsia" w:cs="Times New Roman"/>
                <w:b w:val="0"/>
                <w:bCs w:val="0"/>
                <w:color w:val="auto"/>
                <w:highlight w:val="none"/>
                <w:lang w:val="en-US" w:eastAsia="zh-CN"/>
              </w:rPr>
              <w:t>459.04</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，钢筋混凝土框架结构，内设</w:t>
            </w:r>
            <w:r>
              <w:rPr>
                <w:rFonts w:hint="eastAsia" w:cs="Times New Roman"/>
                <w:b w:val="0"/>
                <w:bCs w:val="0"/>
                <w:color w:val="auto"/>
                <w:highlight w:val="none"/>
                <w:lang w:val="en-US" w:eastAsia="zh-CN"/>
              </w:rPr>
              <w:t>设备间、配电室、配件仓库、消防泵房</w:t>
            </w:r>
            <w:r>
              <w:rPr>
                <w:rFonts w:hint="eastAsia" w:ascii="Times New Roman" w:hAnsi="Times New Roman" w:eastAsia="宋体" w:cs="Times New Roman"/>
                <w:b w:val="0"/>
                <w:bCs w:val="0"/>
                <w:color w:val="auto"/>
                <w:highlight w:val="none"/>
                <w:lang w:val="en-US" w:eastAsia="zh-CN"/>
              </w:rPr>
              <w:t>等。</w:t>
            </w:r>
          </w:p>
        </w:tc>
        <w:tc>
          <w:tcPr>
            <w:tcW w:w="588" w:type="pct"/>
            <w:vMerge w:val="continue"/>
            <w:noWrap w:val="0"/>
            <w:vAlign w:val="center"/>
          </w:tcPr>
          <w:p w14:paraId="10360600">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46B4486B">
            <w:pPr>
              <w:pStyle w:val="24"/>
              <w:bidi w:val="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废水、噪声、固废</w:t>
            </w:r>
          </w:p>
        </w:tc>
      </w:tr>
      <w:tr w14:paraId="62B1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2B2D1AB2">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47D98183">
            <w:pPr>
              <w:pStyle w:val="24"/>
              <w:bidi w:val="0"/>
              <w:spacing w:line="240" w:lineRule="auto"/>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空压机组</w:t>
            </w:r>
          </w:p>
        </w:tc>
        <w:tc>
          <w:tcPr>
            <w:tcW w:w="2725" w:type="pct"/>
            <w:shd w:val="clear" w:color="auto" w:fill="auto"/>
            <w:noWrap w:val="0"/>
            <w:vAlign w:val="center"/>
          </w:tcPr>
          <w:p w14:paraId="63F378BA">
            <w:pPr>
              <w:pStyle w:val="24"/>
              <w:bidi w:val="0"/>
              <w:spacing w:line="240" w:lineRule="auto"/>
              <w:ind w:left="0" w:leftChars="0"/>
              <w:jc w:val="left"/>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b w:val="0"/>
                <w:bCs/>
                <w:color w:val="auto"/>
                <w:sz w:val="21"/>
                <w:szCs w:val="21"/>
                <w:highlight w:val="none"/>
                <w:lang w:val="en-US" w:eastAsia="zh-CN"/>
              </w:rPr>
              <w:t>1套，</w:t>
            </w:r>
            <w:r>
              <w:rPr>
                <w:rFonts w:hint="eastAsia"/>
                <w:b w:val="0"/>
                <w:bCs/>
                <w:color w:val="auto"/>
                <w:sz w:val="21"/>
                <w:szCs w:val="21"/>
                <w:highlight w:val="none"/>
                <w:lang w:val="en-US" w:eastAsia="zh-CN"/>
              </w:rPr>
              <w:t>位于</w:t>
            </w:r>
            <w:r>
              <w:rPr>
                <w:rFonts w:hint="eastAsia" w:cs="Times New Roman"/>
                <w:b w:val="0"/>
                <w:bCs w:val="0"/>
                <w:color w:val="auto"/>
                <w:highlight w:val="none"/>
                <w:lang w:val="en-US" w:eastAsia="zh-CN"/>
              </w:rPr>
              <w:t>公用工程间设备间内，</w:t>
            </w:r>
            <w:r>
              <w:rPr>
                <w:rFonts w:hint="eastAsia" w:ascii="Times New Roman" w:hAnsi="Times New Roman" w:eastAsia="宋体"/>
                <w:b w:val="0"/>
                <w:caps w:val="0"/>
                <w:smallCaps w:val="0"/>
                <w:color w:val="auto"/>
                <w:sz w:val="21"/>
                <w:szCs w:val="21"/>
                <w:highlight w:val="none"/>
                <w:lang w:val="en-US" w:eastAsia="zh-CN"/>
              </w:rPr>
              <w:t>配备</w:t>
            </w:r>
            <w:r>
              <w:rPr>
                <w:rFonts w:ascii="Times New Roman" w:hAnsi="Times New Roman" w:eastAsia="宋体"/>
                <w:b w:val="0"/>
                <w:caps w:val="0"/>
                <w:smallCaps w:val="0"/>
                <w:color w:val="auto"/>
                <w:sz w:val="21"/>
                <w:szCs w:val="21"/>
                <w:highlight w:val="none"/>
              </w:rPr>
              <w:t>1台空压机+1</w:t>
            </w:r>
            <w:r>
              <w:rPr>
                <w:rFonts w:hint="eastAsia" w:ascii="Times New Roman" w:hAnsi="Times New Roman" w:eastAsia="宋体"/>
                <w:b w:val="0"/>
                <w:caps w:val="0"/>
                <w:smallCaps w:val="0"/>
                <w:color w:val="auto"/>
                <w:sz w:val="21"/>
                <w:szCs w:val="21"/>
                <w:highlight w:val="none"/>
                <w:lang w:val="en-US" w:eastAsia="zh-CN"/>
              </w:rPr>
              <w:t>台</w:t>
            </w:r>
            <w:r>
              <w:rPr>
                <w:rFonts w:hint="eastAsia"/>
                <w:b w:val="0"/>
                <w:caps w:val="0"/>
                <w:smallCaps w:val="0"/>
                <w:color w:val="auto"/>
                <w:sz w:val="21"/>
                <w:szCs w:val="21"/>
                <w:highlight w:val="none"/>
                <w:lang w:val="en-US" w:eastAsia="zh-CN"/>
              </w:rPr>
              <w:t>冷干机，并在</w:t>
            </w:r>
            <w:r>
              <w:rPr>
                <w:rFonts w:hint="eastAsia" w:cs="Times New Roman"/>
                <w:b w:val="0"/>
                <w:bCs w:val="0"/>
                <w:color w:val="auto"/>
                <w:highlight w:val="none"/>
                <w:lang w:val="en-US" w:eastAsia="zh-CN"/>
              </w:rPr>
              <w:t>公用工程间外设</w:t>
            </w:r>
            <w:r>
              <w:rPr>
                <w:rFonts w:ascii="Times New Roman" w:hAnsi="Times New Roman" w:eastAsia="宋体"/>
                <w:b w:val="0"/>
                <w:caps w:val="0"/>
                <w:smallCaps w:val="0"/>
                <w:color w:val="auto"/>
                <w:sz w:val="21"/>
                <w:szCs w:val="21"/>
                <w:highlight w:val="none"/>
              </w:rPr>
              <w:t>1</w:t>
            </w:r>
            <w:r>
              <w:rPr>
                <w:rFonts w:hint="eastAsia"/>
                <w:b w:val="0"/>
                <w:caps w:val="0"/>
                <w:smallCaps w:val="0"/>
                <w:color w:val="auto"/>
                <w:sz w:val="21"/>
                <w:szCs w:val="21"/>
                <w:highlight w:val="none"/>
                <w:lang w:val="en-US" w:eastAsia="zh-CN"/>
              </w:rPr>
              <w:t>个</w:t>
            </w:r>
            <w:r>
              <w:rPr>
                <w:rFonts w:hint="eastAsia" w:ascii="Times New Roman" w:hAnsi="Times New Roman" w:eastAsia="宋体"/>
                <w:b w:val="0"/>
                <w:caps w:val="0"/>
                <w:smallCaps w:val="0"/>
                <w:color w:val="auto"/>
                <w:sz w:val="21"/>
                <w:szCs w:val="21"/>
                <w:highlight w:val="none"/>
                <w:lang w:val="en-US" w:eastAsia="zh-CN"/>
              </w:rPr>
              <w:t>容积1</w:t>
            </w:r>
            <w:r>
              <w:rPr>
                <w:rFonts w:hint="eastAsia"/>
                <w:b w:val="0"/>
                <w:caps w:val="0"/>
                <w:smallCaps w:val="0"/>
                <w:color w:val="auto"/>
                <w:sz w:val="21"/>
                <w:szCs w:val="21"/>
                <w:highlight w:val="none"/>
                <w:lang w:val="en-US" w:eastAsia="zh-CN"/>
              </w:rPr>
              <w:t>0</w:t>
            </w:r>
            <w:r>
              <w:rPr>
                <w:rFonts w:hint="eastAsia" w:ascii="Times New Roman" w:hAnsi="Times New Roman" w:eastAsia="宋体"/>
                <w:b w:val="0"/>
                <w:caps w:val="0"/>
                <w:smallCaps w:val="0"/>
                <w:color w:val="auto"/>
                <w:sz w:val="21"/>
                <w:szCs w:val="21"/>
                <w:highlight w:val="none"/>
                <w:lang w:val="en-US" w:eastAsia="zh-CN"/>
              </w:rPr>
              <w:t>m</w:t>
            </w:r>
            <w:r>
              <w:rPr>
                <w:rFonts w:hint="eastAsia" w:ascii="Times New Roman" w:hAnsi="Times New Roman" w:eastAsia="宋体"/>
                <w:b w:val="0"/>
                <w:caps w:val="0"/>
                <w:smallCaps w:val="0"/>
                <w:color w:val="auto"/>
                <w:sz w:val="21"/>
                <w:szCs w:val="21"/>
                <w:highlight w:val="none"/>
                <w:vertAlign w:val="superscript"/>
                <w:lang w:val="en-US" w:eastAsia="zh-CN"/>
              </w:rPr>
              <w:t>3</w:t>
            </w:r>
            <w:r>
              <w:rPr>
                <w:rFonts w:ascii="Times New Roman" w:hAnsi="Times New Roman" w:eastAsia="宋体"/>
                <w:b w:val="0"/>
                <w:caps w:val="0"/>
                <w:smallCaps w:val="0"/>
                <w:color w:val="auto"/>
                <w:sz w:val="21"/>
                <w:szCs w:val="21"/>
                <w:highlight w:val="none"/>
              </w:rPr>
              <w:t>空气压缩罐</w:t>
            </w:r>
            <w:r>
              <w:rPr>
                <w:rFonts w:hint="eastAsia" w:ascii="Times New Roman" w:hAnsi="Times New Roman" w:eastAsia="宋体"/>
                <w:b w:val="0"/>
                <w:caps w:val="0"/>
                <w:smallCaps w:val="0"/>
                <w:color w:val="auto"/>
                <w:sz w:val="21"/>
                <w:szCs w:val="21"/>
                <w:highlight w:val="none"/>
                <w:lang w:eastAsia="zh-CN"/>
              </w:rPr>
              <w:t>，</w:t>
            </w:r>
            <w:r>
              <w:rPr>
                <w:rFonts w:hint="eastAsia"/>
                <w:b w:val="0"/>
                <w:bCs/>
                <w:color w:val="auto"/>
                <w:sz w:val="21"/>
                <w:szCs w:val="21"/>
                <w:highlight w:val="none"/>
                <w:lang w:val="en-US" w:eastAsia="zh-CN"/>
              </w:rPr>
              <w:t>设计供气能力为</w:t>
            </w:r>
            <w:r>
              <w:rPr>
                <w:rFonts w:hint="eastAsia" w:cs="Times New Roman"/>
                <w:b w:val="0"/>
                <w:bCs w:val="0"/>
                <w:color w:val="auto"/>
                <w:sz w:val="21"/>
                <w:szCs w:val="21"/>
                <w:highlight w:val="none"/>
                <w:lang w:val="en-US" w:eastAsia="zh-CN"/>
              </w:rPr>
              <w:t>15</w:t>
            </w:r>
            <w:r>
              <w:rPr>
                <w:rFonts w:hint="default" w:ascii="Times New Roman" w:hAnsi="Times New Roman" w:eastAsia="宋体" w:cs="Times New Roman"/>
                <w:b w:val="0"/>
                <w:bCs w:val="0"/>
                <w:color w:val="auto"/>
                <w:sz w:val="21"/>
                <w:szCs w:val="21"/>
                <w:highlight w:val="none"/>
                <w:lang w:val="en-US" w:eastAsia="zh-CN"/>
              </w:rPr>
              <w:t>Nm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min</w:t>
            </w:r>
            <w:r>
              <w:rPr>
                <w:rFonts w:hint="eastAsia" w:ascii="Times New Roman" w:hAnsi="Times New Roman"/>
                <w:b w:val="0"/>
                <w:bCs/>
                <w:color w:val="auto"/>
                <w:sz w:val="21"/>
                <w:szCs w:val="21"/>
                <w:highlight w:val="none"/>
              </w:rPr>
              <w:t>。</w:t>
            </w:r>
          </w:p>
        </w:tc>
        <w:tc>
          <w:tcPr>
            <w:tcW w:w="588" w:type="pct"/>
            <w:vMerge w:val="continue"/>
            <w:noWrap w:val="0"/>
            <w:vAlign w:val="center"/>
          </w:tcPr>
          <w:p w14:paraId="6A5D2D45">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4AB4F54F">
            <w:pPr>
              <w:pStyle w:val="24"/>
              <w:bidi w:val="0"/>
              <w:ind w:left="0" w:leftChars="0"/>
              <w:jc w:val="center"/>
              <w:rPr>
                <w:rFonts w:hint="eastAsia"/>
                <w:color w:val="auto"/>
                <w:szCs w:val="21"/>
                <w:lang w:val="en-US" w:eastAsia="zh-CN"/>
              </w:rPr>
            </w:pPr>
            <w:r>
              <w:rPr>
                <w:rFonts w:hint="eastAsia"/>
                <w:color w:val="auto"/>
                <w:sz w:val="21"/>
                <w:szCs w:val="21"/>
                <w:lang w:val="en-US" w:eastAsia="zh-CN"/>
              </w:rPr>
              <w:t>噪声</w:t>
            </w:r>
          </w:p>
        </w:tc>
      </w:tr>
      <w:tr w14:paraId="1346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noWrap w:val="0"/>
            <w:vAlign w:val="center"/>
          </w:tcPr>
          <w:p w14:paraId="69DCF64A">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150A7093">
            <w:pPr>
              <w:pStyle w:val="24"/>
              <w:bidi w:val="0"/>
              <w:ind w:left="0" w:leftChars="0"/>
              <w:jc w:val="center"/>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软水机组</w:t>
            </w:r>
          </w:p>
        </w:tc>
        <w:tc>
          <w:tcPr>
            <w:tcW w:w="2725" w:type="pct"/>
            <w:shd w:val="clear" w:color="auto" w:fill="auto"/>
            <w:noWrap w:val="0"/>
            <w:vAlign w:val="center"/>
          </w:tcPr>
          <w:p w14:paraId="1FFBDBE6">
            <w:pPr>
              <w:pStyle w:val="24"/>
              <w:bidi w:val="0"/>
              <w:ind w:left="0" w:leftChars="0"/>
              <w:jc w:val="left"/>
              <w:rPr>
                <w:rFonts w:hint="default"/>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1套</w:t>
            </w:r>
            <w:r>
              <w:rPr>
                <w:rFonts w:hint="eastAsia"/>
                <w:b w:val="0"/>
                <w:bCs/>
                <w:color w:val="auto"/>
                <w:sz w:val="21"/>
                <w:szCs w:val="21"/>
                <w:highlight w:val="none"/>
                <w:lang w:val="en-US" w:eastAsia="zh-CN"/>
              </w:rPr>
              <w:t>，位于</w:t>
            </w:r>
            <w:r>
              <w:rPr>
                <w:rFonts w:hint="eastAsia" w:cs="Times New Roman"/>
                <w:b w:val="0"/>
                <w:bCs w:val="0"/>
                <w:color w:val="auto"/>
                <w:highlight w:val="none"/>
                <w:lang w:val="en-US" w:eastAsia="zh-CN"/>
              </w:rPr>
              <w:t>公用工程间设备间内，采用</w:t>
            </w:r>
            <w:r>
              <w:rPr>
                <w:rFonts w:hint="eastAsia"/>
                <w:b w:val="0"/>
                <w:bCs/>
                <w:color w:val="auto"/>
                <w:sz w:val="21"/>
                <w:szCs w:val="21"/>
                <w:highlight w:val="none"/>
                <w:lang w:val="en-US" w:eastAsia="zh-CN"/>
              </w:rPr>
              <w:t>离子交换树脂工艺，</w:t>
            </w:r>
            <w:r>
              <w:rPr>
                <w:rFonts w:hint="eastAsia" w:ascii="Times New Roman" w:hAnsi="Times New Roman" w:eastAsia="宋体"/>
                <w:b w:val="0"/>
                <w:caps w:val="0"/>
                <w:smallCaps w:val="0"/>
                <w:color w:val="auto"/>
                <w:sz w:val="21"/>
                <w:szCs w:val="21"/>
                <w:highlight w:val="none"/>
                <w:lang w:val="en-US" w:eastAsia="zh-CN"/>
              </w:rPr>
              <w:t>配备</w:t>
            </w:r>
            <w:r>
              <w:rPr>
                <w:rFonts w:hint="eastAsia" w:cs="Times New Roman"/>
                <w:b w:val="0"/>
                <w:bCs w:val="0"/>
                <w:color w:val="auto"/>
                <w:highlight w:val="none"/>
                <w:lang w:val="en-US" w:eastAsia="zh-CN"/>
              </w:rPr>
              <w:t>2个30m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去离子水储罐，去离子水设计制备能力为</w:t>
            </w:r>
            <w:r>
              <w:rPr>
                <w:rFonts w:hint="eastAsia"/>
                <w:color w:val="auto"/>
                <w:lang w:val="en-US" w:eastAsia="zh-CN"/>
              </w:rPr>
              <w:t>5t</w:t>
            </w:r>
            <w:r>
              <w:rPr>
                <w:rFonts w:hint="eastAsia" w:cs="Times New Roman"/>
                <w:b w:val="0"/>
                <w:bCs w:val="0"/>
                <w:color w:val="auto"/>
                <w:highlight w:val="none"/>
                <w:lang w:val="en-US" w:eastAsia="zh-CN"/>
              </w:rPr>
              <w:t>/h，制备效率为98%。</w:t>
            </w:r>
          </w:p>
        </w:tc>
        <w:tc>
          <w:tcPr>
            <w:tcW w:w="588" w:type="pct"/>
            <w:vMerge w:val="continue"/>
            <w:noWrap w:val="0"/>
            <w:vAlign w:val="center"/>
          </w:tcPr>
          <w:p w14:paraId="293DAF07">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76526AE5">
            <w:pPr>
              <w:pStyle w:val="24"/>
              <w:bidi w:val="0"/>
              <w:ind w:left="0" w:leftChars="0"/>
              <w:jc w:val="center"/>
              <w:rPr>
                <w:rFonts w:hint="default"/>
                <w:color w:val="auto"/>
                <w:sz w:val="21"/>
                <w:szCs w:val="21"/>
                <w:lang w:val="en-US" w:eastAsia="zh-CN"/>
              </w:rPr>
            </w:pPr>
            <w:r>
              <w:rPr>
                <w:rFonts w:hint="eastAsia"/>
                <w:color w:val="auto"/>
                <w:sz w:val="21"/>
                <w:szCs w:val="21"/>
                <w:lang w:val="en-US" w:eastAsia="zh-CN"/>
              </w:rPr>
              <w:t>废水、噪声、固废</w:t>
            </w:r>
          </w:p>
        </w:tc>
      </w:tr>
      <w:tr w14:paraId="46AD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2EFF73B7">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791410A7">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电蒸汽发生器</w:t>
            </w:r>
          </w:p>
        </w:tc>
        <w:tc>
          <w:tcPr>
            <w:tcW w:w="2725" w:type="pct"/>
            <w:shd w:val="clear" w:color="auto" w:fill="auto"/>
            <w:noWrap w:val="0"/>
            <w:vAlign w:val="center"/>
          </w:tcPr>
          <w:p w14:paraId="09851385">
            <w:pPr>
              <w:pStyle w:val="24"/>
              <w:bidi w:val="0"/>
              <w:ind w:left="0" w:leftChars="0"/>
              <w:jc w:val="left"/>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1台，位于</w:t>
            </w:r>
            <w:r>
              <w:rPr>
                <w:rFonts w:hint="eastAsia"/>
                <w:b w:val="0"/>
                <w:bCs/>
                <w:color w:val="auto"/>
                <w:sz w:val="21"/>
                <w:szCs w:val="21"/>
                <w:highlight w:val="none"/>
                <w:lang w:val="en-US" w:eastAsia="zh-CN"/>
              </w:rPr>
              <w:t>在</w:t>
            </w:r>
            <w:r>
              <w:rPr>
                <w:rFonts w:hint="eastAsia" w:cs="Times New Roman"/>
                <w:b w:val="0"/>
                <w:bCs w:val="0"/>
                <w:color w:val="auto"/>
                <w:highlight w:val="none"/>
                <w:lang w:val="en-US" w:eastAsia="zh-CN"/>
              </w:rPr>
              <w:t>公用工程间设备间内，蒸汽额定制备量为0.5t/h，用于无碱速凝剂生产过程中加热物料以促进反应。</w:t>
            </w:r>
          </w:p>
        </w:tc>
        <w:tc>
          <w:tcPr>
            <w:tcW w:w="588" w:type="pct"/>
            <w:vMerge w:val="continue"/>
            <w:noWrap w:val="0"/>
            <w:vAlign w:val="center"/>
          </w:tcPr>
          <w:p w14:paraId="449A3A07">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14CF7A02">
            <w:pPr>
              <w:pStyle w:val="24"/>
              <w:bidi w:val="0"/>
              <w:ind w:left="0" w:leftChars="0"/>
              <w:jc w:val="center"/>
              <w:rPr>
                <w:rFonts w:hint="default"/>
                <w:color w:val="auto"/>
                <w:sz w:val="21"/>
                <w:szCs w:val="21"/>
                <w:lang w:val="en-US" w:eastAsia="zh-CN"/>
              </w:rPr>
            </w:pPr>
            <w:r>
              <w:rPr>
                <w:rFonts w:hint="eastAsia"/>
                <w:color w:val="auto"/>
                <w:sz w:val="21"/>
                <w:szCs w:val="21"/>
                <w:lang w:val="en-US" w:eastAsia="zh-CN"/>
              </w:rPr>
              <w:t>/</w:t>
            </w:r>
          </w:p>
        </w:tc>
      </w:tr>
      <w:tr w14:paraId="687C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20F74BAE">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37391DAF">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冷冻水机组</w:t>
            </w:r>
          </w:p>
        </w:tc>
        <w:tc>
          <w:tcPr>
            <w:tcW w:w="2725" w:type="pct"/>
            <w:shd w:val="clear" w:color="auto" w:fill="auto"/>
            <w:noWrap w:val="0"/>
            <w:vAlign w:val="center"/>
          </w:tcPr>
          <w:p w14:paraId="7066F072">
            <w:pPr>
              <w:pStyle w:val="24"/>
              <w:bidi w:val="0"/>
              <w:ind w:left="0" w:leftChars="0"/>
              <w:jc w:val="left"/>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在生产车间外设</w:t>
            </w:r>
            <w:r>
              <w:rPr>
                <w:rFonts w:hint="eastAsia" w:ascii="Times New Roman" w:hAnsi="Times New Roman" w:eastAsia="宋体" w:cs="Times New Roman"/>
                <w:b w:val="0"/>
                <w:bCs w:val="0"/>
                <w:color w:val="auto"/>
                <w:highlight w:val="none"/>
                <w:lang w:val="en-US" w:eastAsia="zh-CN"/>
              </w:rPr>
              <w:t>1套冷冻水机组，采用蒸发冷凝的方式制备冷冻水</w:t>
            </w:r>
            <w:r>
              <w:rPr>
                <w:rFonts w:hint="eastAsia" w:cs="Times New Roman"/>
                <w:b w:val="0"/>
                <w:bCs w:val="0"/>
                <w:color w:val="auto"/>
                <w:highlight w:val="none"/>
                <w:lang w:val="en-US" w:eastAsia="zh-CN"/>
              </w:rPr>
              <w:t>，</w:t>
            </w:r>
            <w:r>
              <w:rPr>
                <w:rFonts w:hint="eastAsia"/>
                <w:b w:val="0"/>
                <w:caps w:val="0"/>
                <w:smallCaps w:val="0"/>
                <w:color w:val="auto"/>
                <w:sz w:val="21"/>
                <w:szCs w:val="21"/>
                <w:highlight w:val="none"/>
                <w:lang w:val="en-US" w:eastAsia="zh-CN"/>
              </w:rPr>
              <w:t>并</w:t>
            </w:r>
            <w:r>
              <w:rPr>
                <w:rFonts w:hint="eastAsia" w:cs="Times New Roman"/>
                <w:b w:val="0"/>
                <w:bCs w:val="0"/>
                <w:color w:val="auto"/>
                <w:highlight w:val="none"/>
                <w:lang w:val="en-US" w:eastAsia="zh-CN"/>
              </w:rPr>
              <w:t>设1个30m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冷冻水循环水罐</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622540CE">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6FAAFA81">
            <w:pPr>
              <w:pStyle w:val="24"/>
              <w:bidi w:val="0"/>
              <w:ind w:left="0" w:leftChars="0"/>
              <w:jc w:val="center"/>
              <w:rPr>
                <w:rFonts w:hint="eastAsia"/>
                <w:color w:val="auto"/>
                <w:sz w:val="21"/>
                <w:szCs w:val="21"/>
                <w:lang w:val="en-US" w:eastAsia="zh-CN"/>
              </w:rPr>
            </w:pPr>
            <w:r>
              <w:rPr>
                <w:rFonts w:hint="eastAsia"/>
                <w:color w:val="auto"/>
                <w:szCs w:val="21"/>
                <w:lang w:val="en-US" w:eastAsia="zh-CN"/>
              </w:rPr>
              <w:t>废水、噪声</w:t>
            </w:r>
          </w:p>
        </w:tc>
      </w:tr>
      <w:tr w14:paraId="01D2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404049FE">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62C8468F">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消防水罐及消防泵房</w:t>
            </w:r>
          </w:p>
        </w:tc>
        <w:tc>
          <w:tcPr>
            <w:tcW w:w="2725" w:type="pct"/>
            <w:shd w:val="clear" w:color="auto" w:fill="auto"/>
            <w:noWrap w:val="0"/>
            <w:vAlign w:val="center"/>
          </w:tcPr>
          <w:p w14:paraId="7ED5815B">
            <w:pPr>
              <w:pStyle w:val="24"/>
              <w:bidi w:val="0"/>
              <w:ind w:left="0" w:leftChars="0"/>
              <w:jc w:val="left"/>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在公用工程间内设1个消防泵房</w:t>
            </w:r>
            <w:r>
              <w:rPr>
                <w:rFonts w:hint="eastAsia" w:ascii="Times New Roman" w:hAnsi="Times New Roman" w:eastAsia="宋体" w:cs="Times New Roman"/>
                <w:b w:val="0"/>
                <w:bCs w:val="0"/>
                <w:color w:val="auto"/>
                <w:highlight w:val="none"/>
                <w:lang w:val="en-US" w:eastAsia="zh-CN"/>
              </w:rPr>
              <w:t>，</w:t>
            </w:r>
            <w:r>
              <w:rPr>
                <w:rFonts w:hint="eastAsia"/>
                <w:b w:val="0"/>
                <w:caps w:val="0"/>
                <w:smallCaps w:val="0"/>
                <w:color w:val="auto"/>
                <w:sz w:val="21"/>
                <w:szCs w:val="21"/>
                <w:highlight w:val="none"/>
                <w:lang w:val="en-US" w:eastAsia="zh-CN"/>
              </w:rPr>
              <w:t>并在</w:t>
            </w:r>
            <w:r>
              <w:rPr>
                <w:rFonts w:hint="eastAsia" w:cs="Times New Roman"/>
                <w:b w:val="0"/>
                <w:bCs w:val="0"/>
                <w:color w:val="auto"/>
                <w:highlight w:val="none"/>
                <w:lang w:val="en-US" w:eastAsia="zh-CN"/>
              </w:rPr>
              <w:t>公用工程间外设2个330m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消防水罐</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7828F6F1">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27875FA5">
            <w:pPr>
              <w:pStyle w:val="24"/>
              <w:bidi w:val="0"/>
              <w:ind w:left="0" w:leftChars="0"/>
              <w:jc w:val="center"/>
              <w:rPr>
                <w:rFonts w:hint="default"/>
                <w:color w:val="auto"/>
                <w:sz w:val="21"/>
                <w:szCs w:val="21"/>
                <w:lang w:val="en-US" w:eastAsia="zh-CN"/>
              </w:rPr>
            </w:pPr>
            <w:r>
              <w:rPr>
                <w:rFonts w:hint="eastAsia"/>
                <w:color w:val="auto"/>
                <w:sz w:val="21"/>
                <w:szCs w:val="21"/>
                <w:lang w:val="en-US" w:eastAsia="zh-CN"/>
              </w:rPr>
              <w:t>噪声</w:t>
            </w:r>
          </w:p>
        </w:tc>
      </w:tr>
      <w:tr w14:paraId="4B3A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4195A67A">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79183FB6">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初期雨水池</w:t>
            </w:r>
          </w:p>
        </w:tc>
        <w:tc>
          <w:tcPr>
            <w:tcW w:w="2725" w:type="pct"/>
            <w:shd w:val="clear" w:color="auto" w:fill="auto"/>
            <w:noWrap w:val="0"/>
            <w:vAlign w:val="center"/>
          </w:tcPr>
          <w:p w14:paraId="0F091184">
            <w:pPr>
              <w:pStyle w:val="24"/>
              <w:bidi w:val="0"/>
              <w:ind w:left="0" w:leftChars="0"/>
              <w:jc w:val="left"/>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1</w:t>
            </w:r>
            <w:r>
              <w:rPr>
                <w:rFonts w:hint="eastAsia" w:cs="Times New Roman"/>
                <w:b w:val="0"/>
                <w:bCs w:val="0"/>
                <w:color w:val="auto"/>
                <w:highlight w:val="none"/>
                <w:lang w:val="en-US" w:eastAsia="zh-CN"/>
              </w:rPr>
              <w:t>座</w:t>
            </w:r>
            <w:r>
              <w:rPr>
                <w:rFonts w:hint="eastAsia" w:ascii="Times New Roman" w:hAnsi="Times New Roman" w:eastAsia="宋体" w:cs="Times New Roman"/>
                <w:b w:val="0"/>
                <w:bCs w:val="0"/>
                <w:color w:val="auto"/>
                <w:highlight w:val="none"/>
                <w:lang w:val="en-US" w:eastAsia="zh-CN"/>
              </w:rPr>
              <w:t>，容积</w:t>
            </w:r>
            <w:r>
              <w:rPr>
                <w:rFonts w:hint="eastAsia" w:cs="Times New Roman"/>
                <w:b w:val="0"/>
                <w:bCs w:val="0"/>
                <w:color w:val="auto"/>
                <w:highlight w:val="none"/>
                <w:lang w:val="en-US" w:eastAsia="zh-CN"/>
              </w:rPr>
              <w:t>191.3</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3</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用于收集暂存初期雨水</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4AA048E9">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2D0BDF78">
            <w:pPr>
              <w:pStyle w:val="24"/>
              <w:bidi w:val="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w:t>
            </w:r>
          </w:p>
        </w:tc>
      </w:tr>
      <w:tr w14:paraId="4956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6497DCB8">
            <w:pPr>
              <w:pStyle w:val="24"/>
              <w:bidi w:val="0"/>
              <w:spacing w:line="240" w:lineRule="auto"/>
              <w:jc w:val="center"/>
              <w:rPr>
                <w:rFonts w:hint="default" w:ascii="Times New Roman" w:hAnsi="Times New Roman" w:eastAsia="宋体" w:cs="Times New Roman"/>
                <w:b w:val="0"/>
                <w:bCs w:val="0"/>
                <w:color w:val="auto"/>
                <w:sz w:val="21"/>
                <w:szCs w:val="21"/>
                <w:highlight w:val="none"/>
                <w:lang w:val="en-US" w:eastAsia="zh-CN"/>
              </w:rPr>
            </w:pPr>
          </w:p>
        </w:tc>
        <w:tc>
          <w:tcPr>
            <w:tcW w:w="681" w:type="pct"/>
            <w:gridSpan w:val="2"/>
            <w:shd w:val="clear" w:color="auto" w:fill="auto"/>
            <w:noWrap w:val="0"/>
            <w:vAlign w:val="center"/>
          </w:tcPr>
          <w:p w14:paraId="2C8EC87B">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事故应急池</w:t>
            </w:r>
          </w:p>
        </w:tc>
        <w:tc>
          <w:tcPr>
            <w:tcW w:w="2725" w:type="pct"/>
            <w:shd w:val="clear" w:color="auto" w:fill="auto"/>
            <w:noWrap w:val="0"/>
            <w:vAlign w:val="center"/>
          </w:tcPr>
          <w:p w14:paraId="5B442ED0">
            <w:pPr>
              <w:pStyle w:val="24"/>
              <w:bidi w:val="0"/>
              <w:ind w:left="0" w:leftChars="0"/>
              <w:jc w:val="both"/>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1座，容积</w:t>
            </w:r>
            <w:r>
              <w:rPr>
                <w:rFonts w:hint="eastAsia" w:cs="Times New Roman"/>
                <w:b w:val="0"/>
                <w:bCs w:val="0"/>
                <w:color w:val="auto"/>
                <w:highlight w:val="none"/>
                <w:lang w:val="en-US" w:eastAsia="zh-CN"/>
              </w:rPr>
              <w:t>814.38</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3</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用于收集暂存事故废水</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2279482E">
            <w:pPr>
              <w:pStyle w:val="24"/>
              <w:bidi w:val="0"/>
              <w:spacing w:line="240" w:lineRule="auto"/>
              <w:jc w:val="center"/>
              <w:rPr>
                <w:rFonts w:hint="default" w:ascii="Times New Roman" w:hAnsi="Times New Roman" w:eastAsia="宋体" w:cs="Times New Roman"/>
                <w:b w:val="0"/>
                <w:bCs w:val="0"/>
                <w:color w:val="auto"/>
                <w:sz w:val="21"/>
                <w:szCs w:val="21"/>
                <w:highlight w:val="none"/>
                <w:lang w:val="en-US" w:eastAsia="zh-CN"/>
              </w:rPr>
            </w:pPr>
          </w:p>
        </w:tc>
        <w:tc>
          <w:tcPr>
            <w:tcW w:w="597" w:type="pct"/>
            <w:shd w:val="clear" w:color="auto" w:fill="auto"/>
            <w:noWrap w:val="0"/>
            <w:vAlign w:val="center"/>
          </w:tcPr>
          <w:p w14:paraId="48BA0D68">
            <w:pPr>
              <w:pStyle w:val="24"/>
              <w:bidi w:val="0"/>
              <w:ind w:left="0" w:leftChars="0"/>
              <w:jc w:val="center"/>
              <w:rPr>
                <w:rFonts w:hint="default" w:ascii="Times New Roman" w:hAnsi="Times New Roman" w:eastAsia="宋体" w:cs="Courier New"/>
                <w:color w:val="auto"/>
                <w:kern w:val="2"/>
                <w:sz w:val="21"/>
                <w:szCs w:val="21"/>
                <w:lang w:val="en-US" w:eastAsia="zh-CN" w:bidi="ar-SA"/>
              </w:rPr>
            </w:pPr>
            <w:r>
              <w:rPr>
                <w:rFonts w:hint="eastAsia" w:cs="Courier New"/>
                <w:color w:val="auto"/>
                <w:kern w:val="2"/>
                <w:sz w:val="21"/>
                <w:szCs w:val="21"/>
                <w:lang w:val="en-US" w:eastAsia="zh-CN" w:bidi="ar-SA"/>
              </w:rPr>
              <w:t>/</w:t>
            </w:r>
          </w:p>
        </w:tc>
      </w:tr>
      <w:tr w14:paraId="0BC8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0F826A50">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35BC0CC8">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装卸</w:t>
            </w:r>
            <w:r>
              <w:rPr>
                <w:rFonts w:hint="eastAsia" w:cs="Times New Roman"/>
                <w:b w:val="0"/>
                <w:bCs w:val="0"/>
                <w:color w:val="auto"/>
                <w:highlight w:val="none"/>
                <w:lang w:val="en-US" w:eastAsia="zh-CN"/>
              </w:rPr>
              <w:t>区</w:t>
            </w:r>
          </w:p>
        </w:tc>
        <w:tc>
          <w:tcPr>
            <w:tcW w:w="2725" w:type="pct"/>
            <w:shd w:val="clear" w:color="auto" w:fill="auto"/>
            <w:noWrap w:val="0"/>
            <w:vAlign w:val="center"/>
          </w:tcPr>
          <w:p w14:paraId="016F0E8F">
            <w:pPr>
              <w:pStyle w:val="24"/>
              <w:bidi w:val="0"/>
              <w:ind w:left="0" w:leftChars="0"/>
              <w:jc w:val="left"/>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建筑面积</w:t>
            </w:r>
            <w:r>
              <w:rPr>
                <w:rFonts w:hint="eastAsia" w:cs="Times New Roman"/>
                <w:b w:val="0"/>
                <w:bCs w:val="0"/>
                <w:color w:val="auto"/>
                <w:highlight w:val="none"/>
                <w:lang w:val="en-US" w:eastAsia="zh-CN"/>
              </w:rPr>
              <w:t>157.5</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位于1#、2#</w:t>
            </w:r>
            <w:r>
              <w:rPr>
                <w:rFonts w:hint="eastAsia" w:ascii="Times New Roman" w:hAnsi="Times New Roman" w:eastAsia="宋体" w:cs="Times New Roman"/>
                <w:b w:val="0"/>
                <w:bCs w:val="0"/>
                <w:color w:val="auto"/>
                <w:highlight w:val="none"/>
                <w:lang w:val="en-US" w:eastAsia="zh-CN"/>
              </w:rPr>
              <w:t>罐区</w:t>
            </w:r>
            <w:r>
              <w:rPr>
                <w:rFonts w:hint="eastAsia" w:cs="Times New Roman"/>
                <w:b w:val="0"/>
                <w:bCs w:val="0"/>
                <w:color w:val="auto"/>
                <w:highlight w:val="none"/>
                <w:lang w:val="en-US" w:eastAsia="zh-CN"/>
              </w:rPr>
              <w:t>和3#罐区之间</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1F2D3835">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48B5C080">
            <w:pPr>
              <w:pStyle w:val="24"/>
              <w:bidi w:val="0"/>
              <w:jc w:val="center"/>
              <w:rPr>
                <w:rFonts w:hint="default"/>
                <w:color w:val="auto"/>
                <w:szCs w:val="21"/>
                <w:lang w:val="en-US" w:eastAsia="zh-CN"/>
              </w:rPr>
            </w:pPr>
            <w:r>
              <w:rPr>
                <w:rFonts w:hint="eastAsia" w:cs="Courier New"/>
                <w:color w:val="auto"/>
                <w:kern w:val="2"/>
                <w:sz w:val="21"/>
                <w:szCs w:val="21"/>
                <w:lang w:val="en-US" w:eastAsia="zh-CN" w:bidi="ar-SA"/>
              </w:rPr>
              <w:t>/</w:t>
            </w:r>
          </w:p>
        </w:tc>
      </w:tr>
      <w:tr w14:paraId="02D8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0C112FB5">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748E0A73">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质检室</w:t>
            </w:r>
          </w:p>
        </w:tc>
        <w:tc>
          <w:tcPr>
            <w:tcW w:w="2725" w:type="pct"/>
            <w:shd w:val="clear" w:color="auto" w:fill="auto"/>
            <w:noWrap w:val="0"/>
            <w:vAlign w:val="center"/>
          </w:tcPr>
          <w:p w14:paraId="1903A1C0">
            <w:pPr>
              <w:pStyle w:val="24"/>
              <w:bidi w:val="0"/>
              <w:ind w:left="0" w:leftChars="0"/>
              <w:jc w:val="left"/>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位于</w:t>
            </w:r>
            <w:r>
              <w:rPr>
                <w:rFonts w:hint="eastAsia" w:cs="Times New Roman"/>
                <w:b w:val="0"/>
                <w:bCs w:val="0"/>
                <w:color w:val="auto"/>
                <w:highlight w:val="none"/>
                <w:lang w:val="en-US" w:eastAsia="zh-CN"/>
              </w:rPr>
              <w:t>综合楼1</w:t>
            </w:r>
            <w:r>
              <w:rPr>
                <w:rFonts w:hint="eastAsia" w:ascii="Times New Roman" w:hAnsi="Times New Roman" w:eastAsia="宋体" w:cs="Times New Roman"/>
                <w:b w:val="0"/>
                <w:bCs w:val="0"/>
                <w:color w:val="auto"/>
                <w:highlight w:val="none"/>
                <w:lang w:val="en-US" w:eastAsia="zh-CN"/>
              </w:rPr>
              <w:t>F，用于产品质检。</w:t>
            </w:r>
          </w:p>
        </w:tc>
        <w:tc>
          <w:tcPr>
            <w:tcW w:w="588" w:type="pct"/>
            <w:vMerge w:val="continue"/>
            <w:noWrap w:val="0"/>
            <w:vAlign w:val="center"/>
          </w:tcPr>
          <w:p w14:paraId="2B4147A5">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shd w:val="clear" w:color="auto" w:fill="auto"/>
            <w:noWrap w:val="0"/>
            <w:vAlign w:val="center"/>
          </w:tcPr>
          <w:p w14:paraId="416DC327">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olor w:val="auto"/>
                <w:szCs w:val="21"/>
                <w:lang w:val="en-US" w:eastAsia="zh-CN"/>
              </w:rPr>
              <w:t>废气、废水、</w:t>
            </w:r>
            <w:r>
              <w:rPr>
                <w:rFonts w:hint="eastAsia"/>
                <w:color w:val="auto"/>
                <w:szCs w:val="21"/>
              </w:rPr>
              <w:t>噪声</w:t>
            </w:r>
            <w:r>
              <w:rPr>
                <w:rFonts w:hint="eastAsia"/>
                <w:color w:val="auto"/>
                <w:szCs w:val="21"/>
                <w:lang w:eastAsia="zh-CN"/>
              </w:rPr>
              <w:t>、</w:t>
            </w:r>
            <w:r>
              <w:rPr>
                <w:rFonts w:hint="eastAsia"/>
                <w:color w:val="auto"/>
                <w:szCs w:val="21"/>
                <w:lang w:val="en-US" w:eastAsia="zh-CN"/>
              </w:rPr>
              <w:t>固废、环境风险</w:t>
            </w:r>
          </w:p>
        </w:tc>
      </w:tr>
      <w:tr w14:paraId="1838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768FA096">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19808A75">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消防</w:t>
            </w:r>
            <w:r>
              <w:rPr>
                <w:rFonts w:hint="eastAsia" w:ascii="Times New Roman" w:hAnsi="Times New Roman" w:eastAsia="宋体" w:cs="Times New Roman"/>
                <w:b w:val="0"/>
                <w:bCs w:val="0"/>
                <w:color w:val="auto"/>
                <w:highlight w:val="none"/>
                <w:lang w:val="en-US" w:eastAsia="zh-CN"/>
              </w:rPr>
              <w:t>控制室</w:t>
            </w:r>
          </w:p>
        </w:tc>
        <w:tc>
          <w:tcPr>
            <w:tcW w:w="2725" w:type="pct"/>
            <w:shd w:val="clear" w:color="auto" w:fill="auto"/>
            <w:noWrap w:val="0"/>
            <w:vAlign w:val="center"/>
          </w:tcPr>
          <w:p w14:paraId="5EEF8BD1">
            <w:pPr>
              <w:pStyle w:val="24"/>
              <w:bidi w:val="0"/>
              <w:ind w:left="0" w:leftChars="0"/>
              <w:jc w:val="left"/>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1</w:t>
            </w:r>
            <w:r>
              <w:rPr>
                <w:rFonts w:hint="eastAsia" w:cs="Times New Roman"/>
                <w:b w:val="0"/>
                <w:bCs w:val="0"/>
                <w:color w:val="auto"/>
                <w:highlight w:val="none"/>
                <w:lang w:val="en-US" w:eastAsia="zh-CN"/>
              </w:rPr>
              <w:t>个</w:t>
            </w:r>
            <w:r>
              <w:rPr>
                <w:rFonts w:hint="eastAsia" w:ascii="Times New Roman" w:hAnsi="Times New Roman" w:eastAsia="宋体" w:cs="Times New Roman"/>
                <w:b w:val="0"/>
                <w:bCs w:val="0"/>
                <w:color w:val="auto"/>
                <w:highlight w:val="none"/>
                <w:lang w:val="en-US" w:eastAsia="zh-CN"/>
              </w:rPr>
              <w:t>，建筑面积</w:t>
            </w:r>
            <w:r>
              <w:rPr>
                <w:rFonts w:hint="eastAsia" w:cs="Times New Roman"/>
                <w:b w:val="0"/>
                <w:bCs w:val="0"/>
                <w:color w:val="auto"/>
                <w:highlight w:val="none"/>
                <w:lang w:val="en-US" w:eastAsia="zh-CN"/>
              </w:rPr>
              <w:t>15</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位于物流门卫室旁</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416EBCC4">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shd w:val="clear" w:color="auto" w:fill="auto"/>
            <w:noWrap w:val="0"/>
            <w:vAlign w:val="center"/>
          </w:tcPr>
          <w:p w14:paraId="2CEE97DD">
            <w:pPr>
              <w:pStyle w:val="24"/>
              <w:bidi w:val="0"/>
              <w:ind w:left="0" w:leftChars="0"/>
              <w:jc w:val="center"/>
              <w:rPr>
                <w:rFonts w:hint="default"/>
                <w:color w:val="auto"/>
                <w:szCs w:val="21"/>
                <w:lang w:val="en-US" w:eastAsia="zh-CN"/>
              </w:rPr>
            </w:pPr>
            <w:r>
              <w:rPr>
                <w:rFonts w:hint="eastAsia" w:cs="Times New Roman"/>
                <w:b w:val="0"/>
                <w:bCs w:val="0"/>
                <w:color w:val="auto"/>
                <w:highlight w:val="none"/>
                <w:lang w:val="en-US" w:eastAsia="zh-CN"/>
              </w:rPr>
              <w:t>/</w:t>
            </w:r>
          </w:p>
        </w:tc>
      </w:tr>
      <w:tr w14:paraId="57D8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58E00824">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28414667">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门卫</w:t>
            </w:r>
            <w:r>
              <w:rPr>
                <w:rFonts w:hint="eastAsia" w:cs="Times New Roman"/>
                <w:b w:val="0"/>
                <w:bCs w:val="0"/>
                <w:color w:val="auto"/>
                <w:highlight w:val="none"/>
                <w:lang w:val="en-US" w:eastAsia="zh-CN"/>
              </w:rPr>
              <w:t>室</w:t>
            </w:r>
          </w:p>
        </w:tc>
        <w:tc>
          <w:tcPr>
            <w:tcW w:w="2725" w:type="pct"/>
            <w:shd w:val="clear" w:color="auto" w:fill="auto"/>
            <w:noWrap w:val="0"/>
            <w:vAlign w:val="center"/>
          </w:tcPr>
          <w:p w14:paraId="7F6388C0">
            <w:pPr>
              <w:pStyle w:val="24"/>
              <w:bidi w:val="0"/>
              <w:ind w:left="0" w:leftChars="0"/>
              <w:jc w:val="left"/>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2个，总建筑面积</w:t>
            </w:r>
            <w:r>
              <w:rPr>
                <w:rFonts w:hint="eastAsia" w:cs="Times New Roman"/>
                <w:b w:val="0"/>
                <w:bCs w:val="0"/>
                <w:color w:val="auto"/>
                <w:highlight w:val="none"/>
                <w:lang w:val="en-US" w:eastAsia="zh-CN"/>
              </w:rPr>
              <w:t>31.4m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，分别位于厂区</w:t>
            </w:r>
            <w:r>
              <w:rPr>
                <w:rFonts w:hint="eastAsia" w:cs="Times New Roman"/>
                <w:b w:val="0"/>
                <w:bCs w:val="0"/>
                <w:color w:val="auto"/>
                <w:highlight w:val="none"/>
                <w:lang w:val="en-US" w:eastAsia="zh-CN"/>
              </w:rPr>
              <w:t>西侧、南侧</w:t>
            </w:r>
            <w:r>
              <w:rPr>
                <w:rFonts w:hint="eastAsia" w:ascii="Times New Roman" w:hAnsi="Times New Roman" w:eastAsia="宋体" w:cs="Times New Roman"/>
                <w:b w:val="0"/>
                <w:bCs w:val="0"/>
                <w:color w:val="auto"/>
                <w:highlight w:val="none"/>
                <w:lang w:val="en-US" w:eastAsia="zh-CN"/>
              </w:rPr>
              <w:t>两个出入口处。</w:t>
            </w:r>
          </w:p>
        </w:tc>
        <w:tc>
          <w:tcPr>
            <w:tcW w:w="588" w:type="pct"/>
            <w:vMerge w:val="continue"/>
            <w:noWrap w:val="0"/>
            <w:vAlign w:val="center"/>
          </w:tcPr>
          <w:p w14:paraId="2DFAA4C0">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shd w:val="clear" w:color="auto" w:fill="auto"/>
            <w:noWrap w:val="0"/>
            <w:vAlign w:val="center"/>
          </w:tcPr>
          <w:p w14:paraId="6A2928A1">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w:t>
            </w:r>
          </w:p>
        </w:tc>
      </w:tr>
      <w:tr w14:paraId="3A9B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restart"/>
            <w:noWrap w:val="0"/>
            <w:vAlign w:val="center"/>
          </w:tcPr>
          <w:p w14:paraId="68FDDB82">
            <w:pPr>
              <w:pStyle w:val="24"/>
              <w:bidi w:val="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储运工程</w:t>
            </w:r>
          </w:p>
        </w:tc>
        <w:tc>
          <w:tcPr>
            <w:tcW w:w="681" w:type="pct"/>
            <w:gridSpan w:val="2"/>
            <w:noWrap w:val="0"/>
            <w:vAlign w:val="center"/>
          </w:tcPr>
          <w:p w14:paraId="206E87CE">
            <w:pPr>
              <w:pStyle w:val="24"/>
              <w:bidi w:val="0"/>
              <w:ind w:left="0" w:leftChars="0"/>
              <w:jc w:val="center"/>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1#罐区</w:t>
            </w:r>
          </w:p>
          <w:p w14:paraId="6E2409CB">
            <w:pPr>
              <w:pStyle w:val="24"/>
              <w:bidi w:val="0"/>
              <w:ind w:left="0" w:leftChars="0"/>
              <w:jc w:val="center"/>
              <w:rPr>
                <w:rFonts w:hint="default" w:ascii="Times New Roman" w:hAnsi="Times New Roman" w:eastAsia="宋体"/>
                <w:color w:val="auto"/>
                <w:highlight w:val="none"/>
                <w:lang w:val="en-US" w:eastAsia="zh-CN"/>
              </w:rPr>
            </w:pPr>
            <w:r>
              <w:rPr>
                <w:rFonts w:hint="eastAsia" w:cs="Times New Roman"/>
                <w:b w:val="0"/>
                <w:bCs w:val="0"/>
                <w:color w:val="auto"/>
                <w:highlight w:val="none"/>
                <w:lang w:val="en-US" w:eastAsia="zh-CN"/>
              </w:rPr>
              <w:t>（戊类）</w:t>
            </w:r>
          </w:p>
        </w:tc>
        <w:tc>
          <w:tcPr>
            <w:tcW w:w="2725" w:type="pct"/>
            <w:noWrap w:val="0"/>
            <w:vAlign w:val="top"/>
          </w:tcPr>
          <w:p w14:paraId="3EE859AE">
            <w:pPr>
              <w:pStyle w:val="24"/>
              <w:bidi w:val="0"/>
              <w:jc w:val="left"/>
              <w:rPr>
                <w:rFonts w:hint="eastAsia" w:cs="Times New Roman"/>
                <w:color w:val="auto"/>
                <w:kern w:val="0"/>
                <w:szCs w:val="21"/>
                <w:lang w:val="en-US" w:eastAsia="zh-CN"/>
              </w:rPr>
            </w:pPr>
            <w:r>
              <w:rPr>
                <w:rFonts w:hint="eastAsia" w:ascii="Times New Roman" w:hAnsi="Times New Roman" w:eastAsia="宋体" w:cs="Times New Roman"/>
                <w:b w:val="0"/>
                <w:bCs w:val="0"/>
                <w:color w:val="auto"/>
                <w:highlight w:val="none"/>
                <w:lang w:val="en-US" w:eastAsia="zh-CN"/>
              </w:rPr>
              <w:t>占地面积</w:t>
            </w:r>
            <w:r>
              <w:rPr>
                <w:rFonts w:hint="eastAsia" w:cs="Times New Roman"/>
                <w:b w:val="0"/>
                <w:bCs w:val="0"/>
                <w:color w:val="auto"/>
                <w:highlight w:val="none"/>
                <w:lang w:val="en-US" w:eastAsia="zh-CN"/>
              </w:rPr>
              <w:t>216.9</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，共设</w:t>
            </w:r>
            <w:r>
              <w:rPr>
                <w:rFonts w:hint="eastAsia" w:cs="Times New Roman"/>
                <w:color w:val="auto"/>
                <w:kern w:val="0"/>
                <w:szCs w:val="21"/>
                <w:lang w:val="en-US" w:eastAsia="zh-CN"/>
              </w:rPr>
              <w:t>4</w:t>
            </w:r>
            <w:r>
              <w:rPr>
                <w:rFonts w:hint="eastAsia" w:ascii="Times New Roman" w:hAnsi="Times New Roman" w:cs="Times New Roman"/>
                <w:color w:val="auto"/>
                <w:kern w:val="0"/>
                <w:szCs w:val="21"/>
                <w:lang w:val="en-US" w:eastAsia="zh-CN"/>
              </w:rPr>
              <w:t>个储罐，包括：1个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液碱</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Courier New"/>
                <w:b w:val="0"/>
                <w:bCs w:val="0"/>
                <w:color w:val="auto"/>
                <w:highlight w:val="none"/>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硫酸</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、2</w:t>
            </w:r>
            <w:r>
              <w:rPr>
                <w:rFonts w:hint="eastAsia" w:ascii="Times New Roman" w:hAnsi="Times New Roman" w:cs="Times New Roman"/>
                <w:color w:val="auto"/>
                <w:kern w:val="0"/>
                <w:szCs w:val="21"/>
                <w:lang w:val="en-US" w:eastAsia="zh-CN"/>
              </w:rPr>
              <w:t>个</w:t>
            </w:r>
            <w:r>
              <w:rPr>
                <w:rFonts w:hint="eastAsia" w:cs="Courier New"/>
                <w:b w:val="0"/>
                <w:bCs w:val="0"/>
                <w:color w:val="auto"/>
                <w:highlight w:val="none"/>
                <w:lang w:val="en-US" w:eastAsia="zh-CN"/>
              </w:rPr>
              <w:t>35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氟硅酸</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w:t>
            </w:r>
          </w:p>
          <w:p w14:paraId="6D6DEAA5">
            <w:pPr>
              <w:pStyle w:val="24"/>
              <w:bidi w:val="0"/>
              <w:jc w:val="left"/>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olor w:val="auto"/>
                <w:highlight w:val="none"/>
                <w:lang w:val="en-US" w:eastAsia="zh-CN"/>
              </w:rPr>
              <w:t>1#罐区四周设</w:t>
            </w:r>
            <w:r>
              <w:rPr>
                <w:rFonts w:hint="eastAsia"/>
                <w:color w:val="auto"/>
                <w:highlight w:val="none"/>
                <w:lang w:val="en-US" w:eastAsia="zh-CN"/>
              </w:rPr>
              <w:t>0.6</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堤（与围堰合建），围堰容积约</w:t>
            </w:r>
            <w:r>
              <w:rPr>
                <w:rFonts w:hint="eastAsia"/>
                <w:color w:val="auto"/>
                <w:highlight w:val="none"/>
                <w:lang w:val="en-US" w:eastAsia="zh-CN"/>
              </w:rPr>
              <w:t>130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r>
              <w:rPr>
                <w:rFonts w:hint="eastAsia"/>
                <w:color w:val="auto"/>
                <w:highlight w:val="none"/>
                <w:lang w:val="en-US" w:eastAsia="zh-CN"/>
              </w:rPr>
              <w:t>；液碱储罐与其他储罐间设0.4m高隔堤将1#罐区分隔成2个区域，各区域均设1个容积2.25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tc>
        <w:tc>
          <w:tcPr>
            <w:tcW w:w="588" w:type="pct"/>
            <w:vMerge w:val="continue"/>
            <w:noWrap w:val="0"/>
            <w:vAlign w:val="center"/>
          </w:tcPr>
          <w:p w14:paraId="585BFBD1">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97" w:type="pct"/>
            <w:noWrap w:val="0"/>
            <w:vAlign w:val="center"/>
          </w:tcPr>
          <w:p w14:paraId="2F4ED75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highlight w:val="none"/>
                <w:lang w:val="en-US" w:eastAsia="zh-CN"/>
              </w:rPr>
              <w:t>废气、</w:t>
            </w:r>
            <w:r>
              <w:rPr>
                <w:rFonts w:hint="eastAsia" w:ascii="Times New Roman" w:hAnsi="Times New Roman" w:eastAsia="宋体" w:cs="Times New Roman"/>
                <w:b w:val="0"/>
                <w:bCs w:val="0"/>
                <w:color w:val="auto"/>
                <w:highlight w:val="none"/>
                <w:lang w:val="en-US" w:eastAsia="zh-CN"/>
              </w:rPr>
              <w:t>环境风险</w:t>
            </w:r>
          </w:p>
        </w:tc>
      </w:tr>
      <w:tr w14:paraId="6136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1254E817">
            <w:pPr>
              <w:pStyle w:val="24"/>
              <w:bidi w:val="0"/>
              <w:jc w:val="center"/>
              <w:rPr>
                <w:rFonts w:hint="eastAsia" w:ascii="Times New Roman" w:hAnsi="Times New Roman" w:eastAsia="宋体" w:cs="Times New Roman"/>
                <w:b w:val="0"/>
                <w:bCs w:val="0"/>
                <w:color w:val="auto"/>
                <w:highlight w:val="none"/>
                <w:lang w:val="en-US" w:eastAsia="zh-CN"/>
              </w:rPr>
            </w:pPr>
          </w:p>
        </w:tc>
        <w:tc>
          <w:tcPr>
            <w:tcW w:w="681" w:type="pct"/>
            <w:gridSpan w:val="2"/>
            <w:noWrap w:val="0"/>
            <w:vAlign w:val="center"/>
          </w:tcPr>
          <w:p w14:paraId="6B8005BC">
            <w:pPr>
              <w:pStyle w:val="24"/>
              <w:bidi w:val="0"/>
              <w:ind w:left="0" w:leftChars="0"/>
              <w:jc w:val="center"/>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2#罐区</w:t>
            </w:r>
          </w:p>
          <w:p w14:paraId="6F7ACD53">
            <w:pPr>
              <w:pStyle w:val="24"/>
              <w:bidi w:val="0"/>
              <w:ind w:left="0" w:leftChars="0"/>
              <w:jc w:val="center"/>
              <w:rPr>
                <w:rFonts w:hint="eastAsia" w:ascii="Times New Roman" w:hAnsi="Times New Roman" w:eastAsia="宋体"/>
                <w:color w:val="auto"/>
                <w:highlight w:val="none"/>
                <w:lang w:val="en-US" w:eastAsia="zh-CN"/>
              </w:rPr>
            </w:pPr>
            <w:r>
              <w:rPr>
                <w:rFonts w:hint="eastAsia" w:cs="Times New Roman"/>
                <w:b w:val="0"/>
                <w:bCs w:val="0"/>
                <w:color w:val="auto"/>
                <w:highlight w:val="none"/>
                <w:lang w:val="en-US" w:eastAsia="zh-CN"/>
              </w:rPr>
              <w:t>（乙类）</w:t>
            </w:r>
          </w:p>
        </w:tc>
        <w:tc>
          <w:tcPr>
            <w:tcW w:w="2725" w:type="pct"/>
            <w:noWrap w:val="0"/>
            <w:vAlign w:val="top"/>
          </w:tcPr>
          <w:p w14:paraId="4C0A0BF0">
            <w:pPr>
              <w:pStyle w:val="24"/>
              <w:bidi w:val="0"/>
              <w:jc w:val="left"/>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b w:val="0"/>
                <w:bCs w:val="0"/>
                <w:color w:val="auto"/>
                <w:highlight w:val="none"/>
                <w:lang w:val="en-US" w:eastAsia="zh-CN"/>
              </w:rPr>
              <w:t>占地面积</w:t>
            </w:r>
            <w:r>
              <w:rPr>
                <w:rFonts w:hint="eastAsia" w:cs="Times New Roman"/>
                <w:b w:val="0"/>
                <w:bCs w:val="0"/>
                <w:color w:val="auto"/>
                <w:highlight w:val="none"/>
                <w:lang w:val="en-US" w:eastAsia="zh-CN"/>
              </w:rPr>
              <w:t>199.7</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，共设</w:t>
            </w:r>
            <w:r>
              <w:rPr>
                <w:rFonts w:hint="eastAsia" w:cs="Times New Roman"/>
                <w:color w:val="auto"/>
                <w:kern w:val="0"/>
                <w:szCs w:val="21"/>
                <w:lang w:val="en-US" w:eastAsia="zh-CN"/>
              </w:rPr>
              <w:t>3</w:t>
            </w:r>
            <w:r>
              <w:rPr>
                <w:rFonts w:hint="eastAsia" w:ascii="Times New Roman" w:hAnsi="Times New Roman" w:cs="Times New Roman"/>
                <w:color w:val="auto"/>
                <w:kern w:val="0"/>
                <w:szCs w:val="21"/>
                <w:lang w:val="en-US" w:eastAsia="zh-CN"/>
              </w:rPr>
              <w:t>个储罐，包括：</w:t>
            </w:r>
          </w:p>
          <w:p w14:paraId="191B0CC6">
            <w:pPr>
              <w:pStyle w:val="24"/>
              <w:bidi w:val="0"/>
              <w:jc w:val="left"/>
              <w:rPr>
                <w:rFonts w:hint="eastAsia" w:ascii="Times New Roman" w:hAnsi="Times New Roman" w:cs="Times New Roman"/>
                <w:color w:val="auto"/>
                <w:kern w:val="0"/>
                <w:szCs w:val="21"/>
                <w:lang w:val="en-US" w:eastAsia="zh-CN"/>
              </w:rPr>
            </w:pP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Courier New"/>
                <w:b w:val="0"/>
                <w:bCs w:val="0"/>
                <w:color w:val="auto"/>
                <w:highlight w:val="none"/>
                <w:lang w:val="en-US" w:eastAsia="zh-CN"/>
              </w:rPr>
              <w:t>50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丙烯酸羟乙酯</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Courier New"/>
                <w:b w:val="0"/>
                <w:bCs w:val="0"/>
                <w:color w:val="auto"/>
                <w:highlight w:val="none"/>
                <w:lang w:val="en-US" w:eastAsia="zh-CN"/>
              </w:rPr>
              <w:t>50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基础油</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w:t>
            </w:r>
            <w:r>
              <w:rPr>
                <w:rFonts w:hint="eastAsia" w:ascii="Times New Roman" w:hAnsi="Times New Roman" w:cs="Times New Roman"/>
                <w:color w:val="auto"/>
                <w:kern w:val="0"/>
                <w:szCs w:val="21"/>
                <w:lang w:val="en-US" w:eastAsia="zh-CN"/>
              </w:rPr>
              <w:t>1个</w:t>
            </w:r>
            <w:r>
              <w:rPr>
                <w:rFonts w:hint="eastAsia" w:cs="Courier New"/>
                <w:b w:val="0"/>
                <w:bCs w:val="0"/>
                <w:color w:val="auto"/>
                <w:highlight w:val="none"/>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丙烯酸</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w:t>
            </w:r>
          </w:p>
          <w:p w14:paraId="2FE1CACA">
            <w:pPr>
              <w:pStyle w:val="24"/>
              <w:bidi w:val="0"/>
              <w:jc w:val="left"/>
              <w:rPr>
                <w:rFonts w:hint="eastAsia" w:ascii="Times New Roman" w:hAnsi="Times New Roman" w:eastAsia="宋体" w:cs="Times New Roman"/>
                <w:b w:val="0"/>
                <w:bCs w:val="0"/>
                <w:color w:val="auto"/>
                <w:highlight w:val="none"/>
                <w:lang w:val="en-US" w:eastAsia="zh-CN"/>
              </w:rPr>
            </w:pPr>
            <w:r>
              <w:rPr>
                <w:rFonts w:hint="eastAsia"/>
                <w:color w:val="auto"/>
                <w:highlight w:val="none"/>
                <w:lang w:val="en-US" w:eastAsia="zh-CN"/>
              </w:rPr>
              <w:t>2</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1.1</w:t>
            </w:r>
            <w:r>
              <w:rPr>
                <w:rFonts w:hint="eastAsia" w:ascii="Times New Roman" w:hAnsi="Times New Roman" w:eastAsia="宋体"/>
                <w:color w:val="auto"/>
                <w:highlight w:val="none"/>
                <w:lang w:val="en-US" w:eastAsia="zh-CN"/>
              </w:rPr>
              <w:t>m高防火堤（与围堰合建），围堰容积约</w:t>
            </w:r>
            <w:r>
              <w:rPr>
                <w:rFonts w:hint="eastAsia"/>
                <w:color w:val="auto"/>
                <w:highlight w:val="none"/>
                <w:lang w:val="en-US" w:eastAsia="zh-CN"/>
              </w:rPr>
              <w:t>220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r>
              <w:rPr>
                <w:rFonts w:hint="eastAsia"/>
                <w:color w:val="auto"/>
                <w:highlight w:val="none"/>
                <w:lang w:val="en-US" w:eastAsia="zh-CN"/>
              </w:rPr>
              <w:t>；丙烯酸储罐与其他储罐间设0.5m高隔堤将2#罐区分隔成2个区域，各区域均设1个容积2.25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tc>
        <w:tc>
          <w:tcPr>
            <w:tcW w:w="588" w:type="pct"/>
            <w:vMerge w:val="continue"/>
            <w:noWrap w:val="0"/>
            <w:vAlign w:val="center"/>
          </w:tcPr>
          <w:p w14:paraId="44A8E36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97" w:type="pct"/>
            <w:noWrap w:val="0"/>
            <w:vAlign w:val="center"/>
          </w:tcPr>
          <w:p w14:paraId="59A63E6B">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废气、</w:t>
            </w:r>
            <w:r>
              <w:rPr>
                <w:rFonts w:hint="eastAsia" w:ascii="Times New Roman" w:hAnsi="Times New Roman" w:eastAsia="宋体" w:cs="Times New Roman"/>
                <w:b w:val="0"/>
                <w:bCs w:val="0"/>
                <w:color w:val="auto"/>
                <w:highlight w:val="none"/>
                <w:lang w:val="en-US" w:eastAsia="zh-CN"/>
              </w:rPr>
              <w:t>环境风险</w:t>
            </w:r>
          </w:p>
        </w:tc>
      </w:tr>
      <w:tr w14:paraId="0EB6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63DD6621">
            <w:pPr>
              <w:pStyle w:val="24"/>
              <w:bidi w:val="0"/>
              <w:jc w:val="center"/>
              <w:rPr>
                <w:rFonts w:hint="eastAsia" w:ascii="Times New Roman" w:hAnsi="Times New Roman" w:eastAsia="宋体" w:cs="Times New Roman"/>
                <w:b w:val="0"/>
                <w:bCs w:val="0"/>
                <w:color w:val="auto"/>
                <w:highlight w:val="none"/>
                <w:lang w:val="en-US" w:eastAsia="zh-CN"/>
              </w:rPr>
            </w:pPr>
          </w:p>
        </w:tc>
        <w:tc>
          <w:tcPr>
            <w:tcW w:w="681" w:type="pct"/>
            <w:gridSpan w:val="2"/>
            <w:noWrap w:val="0"/>
            <w:vAlign w:val="center"/>
          </w:tcPr>
          <w:p w14:paraId="70C7896F">
            <w:pPr>
              <w:pStyle w:val="24"/>
              <w:bidi w:val="0"/>
              <w:ind w:left="0" w:leftChars="0"/>
              <w:jc w:val="center"/>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3#罐区</w:t>
            </w:r>
          </w:p>
          <w:p w14:paraId="3637E86E">
            <w:pPr>
              <w:pStyle w:val="24"/>
              <w:bidi w:val="0"/>
              <w:ind w:left="0" w:leftChars="0"/>
              <w:jc w:val="center"/>
              <w:rPr>
                <w:rFonts w:hint="eastAsia" w:ascii="Times New Roman" w:hAnsi="Times New Roman" w:eastAsia="宋体"/>
                <w:color w:val="auto"/>
                <w:highlight w:val="none"/>
                <w:lang w:val="en-US" w:eastAsia="zh-CN"/>
              </w:rPr>
            </w:pPr>
            <w:r>
              <w:rPr>
                <w:rFonts w:hint="eastAsia" w:cs="Times New Roman"/>
                <w:b w:val="0"/>
                <w:bCs w:val="0"/>
                <w:color w:val="auto"/>
                <w:highlight w:val="none"/>
                <w:lang w:val="en-US" w:eastAsia="zh-CN"/>
              </w:rPr>
              <w:t>（戊类）</w:t>
            </w:r>
          </w:p>
        </w:tc>
        <w:tc>
          <w:tcPr>
            <w:tcW w:w="2725" w:type="pct"/>
            <w:noWrap w:val="0"/>
            <w:vAlign w:val="top"/>
          </w:tcPr>
          <w:p w14:paraId="26A5AE77">
            <w:pPr>
              <w:pStyle w:val="24"/>
              <w:bidi w:val="0"/>
              <w:jc w:val="left"/>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b w:val="0"/>
                <w:bCs w:val="0"/>
                <w:color w:val="auto"/>
                <w:highlight w:val="none"/>
                <w:lang w:val="en-US" w:eastAsia="zh-CN"/>
              </w:rPr>
              <w:t>占地面积</w:t>
            </w:r>
            <w:r>
              <w:rPr>
                <w:rFonts w:hint="eastAsia" w:cs="Times New Roman"/>
                <w:b w:val="0"/>
                <w:bCs w:val="0"/>
                <w:color w:val="auto"/>
                <w:highlight w:val="none"/>
                <w:lang w:val="en-US" w:eastAsia="zh-CN"/>
              </w:rPr>
              <w:t>219.8</w:t>
            </w:r>
            <w:r>
              <w:rPr>
                <w:rFonts w:hint="eastAsia"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Times New Roman"/>
                <w:b w:val="0"/>
                <w:bCs w:val="0"/>
                <w:color w:val="auto"/>
                <w:highlight w:val="none"/>
                <w:lang w:val="en-US" w:eastAsia="zh-CN"/>
              </w:rPr>
              <w:t>，共设</w:t>
            </w:r>
            <w:r>
              <w:rPr>
                <w:rFonts w:hint="eastAsia" w:ascii="Times New Roman" w:hAnsi="Times New Roman" w:cs="Times New Roman"/>
                <w:color w:val="auto"/>
                <w:kern w:val="0"/>
                <w:szCs w:val="21"/>
                <w:lang w:val="en-US" w:eastAsia="zh-CN"/>
              </w:rPr>
              <w:t>1</w:t>
            </w:r>
            <w:r>
              <w:rPr>
                <w:rFonts w:hint="eastAsia" w:cs="Times New Roman"/>
                <w:color w:val="auto"/>
                <w:kern w:val="0"/>
                <w:szCs w:val="21"/>
                <w:lang w:val="en-US" w:eastAsia="zh-CN"/>
              </w:rPr>
              <w:t>0</w:t>
            </w:r>
            <w:r>
              <w:rPr>
                <w:rFonts w:hint="eastAsia" w:ascii="Times New Roman" w:hAnsi="Times New Roman" w:cs="Times New Roman"/>
                <w:color w:val="auto"/>
                <w:kern w:val="0"/>
                <w:szCs w:val="21"/>
                <w:lang w:val="en-US" w:eastAsia="zh-CN"/>
              </w:rPr>
              <w:t>个储罐，包括：</w:t>
            </w:r>
          </w:p>
          <w:p w14:paraId="08C2D583">
            <w:pPr>
              <w:pStyle w:val="24"/>
              <w:bidi w:val="0"/>
              <w:jc w:val="left"/>
              <w:rPr>
                <w:rFonts w:hint="eastAsia" w:ascii="Times New Roman" w:hAnsi="Times New Roman" w:cs="Times New Roman"/>
                <w:color w:val="auto"/>
                <w:kern w:val="0"/>
                <w:szCs w:val="21"/>
                <w:lang w:val="en-US" w:eastAsia="zh-CN"/>
              </w:rPr>
            </w:pPr>
            <w:r>
              <w:rPr>
                <w:rFonts w:hint="eastAsia" w:cs="Times New Roman"/>
                <w:color w:val="auto"/>
                <w:kern w:val="0"/>
                <w:szCs w:val="21"/>
                <w:lang w:val="en-US" w:eastAsia="zh-CN"/>
              </w:rPr>
              <w:t>4</w:t>
            </w:r>
            <w:r>
              <w:rPr>
                <w:rFonts w:hint="eastAsia" w:ascii="Times New Roman" w:hAnsi="Times New Roman" w:cs="Times New Roman"/>
                <w:color w:val="auto"/>
                <w:kern w:val="0"/>
                <w:szCs w:val="21"/>
                <w:lang w:val="en-US" w:eastAsia="zh-CN"/>
              </w:rPr>
              <w:t>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b w:val="0"/>
                <w:bCs w:val="0"/>
                <w:color w:val="auto"/>
                <w:highlight w:val="none"/>
                <w:lang w:val="en-US" w:eastAsia="zh-CN"/>
              </w:rPr>
              <w:t>聚羧酸减水剂母液</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（减水型3个、保坍型1个）、1</w:t>
            </w:r>
            <w:r>
              <w:rPr>
                <w:rFonts w:hint="eastAsia" w:ascii="Times New Roman" w:hAnsi="Times New Roman" w:cs="Times New Roman"/>
                <w:color w:val="auto"/>
                <w:kern w:val="0"/>
                <w:szCs w:val="21"/>
                <w:lang w:val="en-US" w:eastAsia="zh-CN"/>
              </w:rPr>
              <w:t>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有碱速凝剂</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无碱速凝剂</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白砂糖溶液</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葡萄糖酸钠溶液</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w:t>
            </w:r>
            <w:r>
              <w:rPr>
                <w:rFonts w:hint="eastAsia" w:ascii="Times New Roman" w:hAnsi="Times New Roman" w:cs="Times New Roman"/>
                <w:color w:val="auto"/>
                <w:kern w:val="0"/>
                <w:szCs w:val="21"/>
                <w:lang w:val="en-US" w:eastAsia="zh-CN"/>
              </w:rPr>
              <w:t>个</w:t>
            </w:r>
            <w:r>
              <w:rPr>
                <w:rFonts w:hint="eastAsia" w:cs="Times New Roman"/>
                <w:color w:val="auto"/>
                <w:kern w:val="0"/>
                <w:szCs w:val="21"/>
                <w:lang w:val="en-US" w:eastAsia="zh-CN"/>
              </w:rPr>
              <w:t>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s="Times New Roman"/>
                <w:color w:val="auto"/>
                <w:kern w:val="0"/>
                <w:szCs w:val="21"/>
                <w:lang w:val="en-US" w:eastAsia="zh-CN"/>
              </w:rPr>
              <w:t>聚醚</w:t>
            </w:r>
            <w:r>
              <w:rPr>
                <w:rFonts w:hint="eastAsia" w:ascii="Times New Roman" w:hAnsi="Times New Roman" w:cs="Times New Roman"/>
                <w:color w:val="auto"/>
                <w:kern w:val="0"/>
                <w:szCs w:val="21"/>
                <w:lang w:val="en-US" w:eastAsia="zh-CN"/>
              </w:rPr>
              <w:t>储罐</w:t>
            </w:r>
            <w:r>
              <w:rPr>
                <w:rFonts w:hint="eastAsia" w:cs="Times New Roman"/>
                <w:color w:val="auto"/>
                <w:kern w:val="0"/>
                <w:szCs w:val="21"/>
                <w:lang w:val="en-US" w:eastAsia="zh-CN"/>
              </w:rPr>
              <w:t>、1个5</w:t>
            </w:r>
            <w:r>
              <w:rPr>
                <w:rFonts w:hint="eastAsia" w:ascii="Times New Roman" w:hAnsi="Times New Roman" w:eastAsia="宋体" w:cs="Courier New"/>
                <w:b w:val="0"/>
                <w:bCs w:val="0"/>
                <w:color w:val="auto"/>
                <w:highlight w:val="none"/>
                <w:lang w:val="en-US" w:eastAsia="zh-CN"/>
              </w:rPr>
              <w:t>0m</w:t>
            </w:r>
            <w:r>
              <w:rPr>
                <w:rFonts w:hint="eastAsia" w:ascii="Times New Roman" w:hAnsi="Times New Roman" w:eastAsia="宋体" w:cs="Courier New"/>
                <w:b w:val="0"/>
                <w:bCs w:val="0"/>
                <w:color w:val="auto"/>
                <w:highlight w:val="none"/>
                <w:vertAlign w:val="superscript"/>
                <w:lang w:val="en-US" w:eastAsia="zh-CN"/>
              </w:rPr>
              <w:t>3</w:t>
            </w:r>
            <w:r>
              <w:rPr>
                <w:rFonts w:hint="eastAsia"/>
                <w:color w:val="auto"/>
                <w:sz w:val="21"/>
                <w:szCs w:val="21"/>
                <w:lang w:val="en-US" w:eastAsia="zh-CN"/>
              </w:rPr>
              <w:t>高性能聚羧酸减水剂</w:t>
            </w:r>
            <w:r>
              <w:rPr>
                <w:rFonts w:hint="eastAsia" w:cs="Courier New"/>
                <w:b w:val="0"/>
                <w:bCs w:val="0"/>
                <w:color w:val="auto"/>
                <w:sz w:val="21"/>
                <w:szCs w:val="21"/>
                <w:highlight w:val="none"/>
                <w:lang w:val="en-US" w:eastAsia="zh-CN"/>
              </w:rPr>
              <w:t>不合格品备用储罐</w:t>
            </w:r>
            <w:r>
              <w:rPr>
                <w:rFonts w:hint="eastAsia" w:cs="Times New Roman"/>
                <w:color w:val="auto"/>
                <w:kern w:val="0"/>
                <w:szCs w:val="21"/>
                <w:lang w:val="en-US" w:eastAsia="zh-CN"/>
              </w:rPr>
              <w:t>。</w:t>
            </w:r>
          </w:p>
          <w:p w14:paraId="1C6FA40F">
            <w:pPr>
              <w:pStyle w:val="24"/>
              <w:bidi w:val="0"/>
              <w:jc w:val="left"/>
              <w:rPr>
                <w:rFonts w:hint="eastAsia" w:ascii="Times New Roman" w:hAnsi="Times New Roman" w:eastAsia="宋体" w:cs="Times New Roman"/>
                <w:b w:val="0"/>
                <w:bCs w:val="0"/>
                <w:color w:val="auto"/>
                <w:highlight w:val="none"/>
                <w:lang w:val="en-US" w:eastAsia="zh-CN"/>
              </w:rPr>
            </w:pPr>
            <w:r>
              <w:rPr>
                <w:rFonts w:hint="eastAsia"/>
                <w:color w:val="auto"/>
                <w:highlight w:val="none"/>
                <w:lang w:val="en-US" w:eastAsia="zh-CN"/>
              </w:rPr>
              <w:t>3</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0.4</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堤（与围堰合建），围堰容积约</w:t>
            </w:r>
            <w:r>
              <w:rPr>
                <w:rFonts w:hint="eastAsia"/>
                <w:color w:val="auto"/>
                <w:highlight w:val="none"/>
                <w:lang w:val="en-US" w:eastAsia="zh-CN"/>
              </w:rPr>
              <w:t>88</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r>
              <w:rPr>
                <w:rFonts w:hint="eastAsia"/>
                <w:color w:val="auto"/>
                <w:highlight w:val="none"/>
                <w:lang w:val="en-US" w:eastAsia="zh-CN"/>
              </w:rPr>
              <w:t>，</w:t>
            </w:r>
            <w:r>
              <w:rPr>
                <w:rFonts w:hint="eastAsia" w:cs="Times New Roman"/>
                <w:b w:val="0"/>
                <w:bCs w:val="0"/>
                <w:color w:val="auto"/>
                <w:sz w:val="21"/>
                <w:szCs w:val="21"/>
                <w:highlight w:val="none"/>
                <w:lang w:val="en-US" w:eastAsia="zh-CN"/>
              </w:rPr>
              <w:t>并</w:t>
            </w:r>
            <w:r>
              <w:rPr>
                <w:rFonts w:hint="eastAsia" w:ascii="Times New Roman" w:hAnsi="Times New Roman" w:eastAsia="宋体"/>
                <w:color w:val="auto"/>
                <w:highlight w:val="none"/>
                <w:lang w:val="en-US" w:eastAsia="zh-CN"/>
              </w:rPr>
              <w:t>设1个容积</w:t>
            </w:r>
            <w:r>
              <w:rPr>
                <w:rFonts w:hint="eastAsia"/>
                <w:color w:val="auto"/>
                <w:highlight w:val="none"/>
                <w:lang w:val="en-US" w:eastAsia="zh-CN"/>
              </w:rPr>
              <w:t>1.44</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tc>
        <w:tc>
          <w:tcPr>
            <w:tcW w:w="588" w:type="pct"/>
            <w:vMerge w:val="continue"/>
            <w:noWrap w:val="0"/>
            <w:vAlign w:val="center"/>
          </w:tcPr>
          <w:p w14:paraId="592965E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97" w:type="pct"/>
            <w:noWrap w:val="0"/>
            <w:vAlign w:val="center"/>
          </w:tcPr>
          <w:p w14:paraId="5816CF9B">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废气、</w:t>
            </w:r>
            <w:r>
              <w:rPr>
                <w:rFonts w:hint="eastAsia" w:ascii="Times New Roman" w:hAnsi="Times New Roman" w:eastAsia="宋体" w:cs="Times New Roman"/>
                <w:b w:val="0"/>
                <w:bCs w:val="0"/>
                <w:color w:val="auto"/>
                <w:highlight w:val="none"/>
                <w:lang w:val="en-US" w:eastAsia="zh-CN"/>
              </w:rPr>
              <w:t>环境风险</w:t>
            </w:r>
          </w:p>
        </w:tc>
      </w:tr>
      <w:tr w14:paraId="6BE1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716CBF33">
            <w:pPr>
              <w:pStyle w:val="24"/>
              <w:bidi w:val="0"/>
              <w:jc w:val="center"/>
              <w:rPr>
                <w:rFonts w:hint="eastAsia"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6C856F4A">
            <w:pPr>
              <w:pStyle w:val="24"/>
              <w:bidi w:val="0"/>
              <w:ind w:left="0" w:leftChars="0"/>
              <w:jc w:val="center"/>
              <w:rPr>
                <w:rFonts w:hint="eastAsia" w:ascii="Times New Roman" w:hAnsi="Times New Roman" w:eastAsia="宋体" w:cs="Courier New"/>
                <w:color w:val="auto"/>
                <w:kern w:val="2"/>
                <w:sz w:val="21"/>
                <w:szCs w:val="24"/>
                <w:highlight w:val="none"/>
                <w:lang w:val="en-US" w:eastAsia="zh-CN" w:bidi="ar-SA"/>
              </w:rPr>
            </w:pPr>
            <w:r>
              <w:rPr>
                <w:rFonts w:hint="eastAsia" w:ascii="Times New Roman" w:hAnsi="Times New Roman" w:eastAsia="宋体"/>
                <w:color w:val="auto"/>
                <w:highlight w:val="none"/>
                <w:lang w:val="en-US" w:eastAsia="zh-CN"/>
              </w:rPr>
              <w:t>仓库</w:t>
            </w:r>
            <w:r>
              <w:rPr>
                <w:rFonts w:hint="eastAsia" w:cs="Times New Roman"/>
                <w:b w:val="0"/>
                <w:bCs w:val="0"/>
                <w:color w:val="auto"/>
                <w:highlight w:val="none"/>
                <w:lang w:val="en-US" w:eastAsia="zh-CN"/>
              </w:rPr>
              <w:t>（乙类）</w:t>
            </w:r>
          </w:p>
        </w:tc>
        <w:tc>
          <w:tcPr>
            <w:tcW w:w="2725" w:type="pct"/>
            <w:shd w:val="clear" w:color="auto" w:fill="auto"/>
            <w:noWrap w:val="0"/>
            <w:vAlign w:val="top"/>
          </w:tcPr>
          <w:p w14:paraId="556B056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highlight w:val="none"/>
                <w:lang w:val="en-US" w:eastAsia="zh-CN"/>
              </w:rPr>
              <w:t>1栋，1F，42</w:t>
            </w:r>
            <w:r>
              <w:rPr>
                <w:rFonts w:hint="default"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lang w:val="en-US" w:eastAsia="zh-CN"/>
              </w:rPr>
              <w:t>×</w:t>
            </w:r>
            <w:r>
              <w:rPr>
                <w:rFonts w:hint="eastAsia" w:cs="Times New Roman"/>
                <w:b w:val="0"/>
                <w:bCs w:val="0"/>
                <w:color w:val="auto"/>
                <w:highlight w:val="none"/>
                <w:lang w:val="en-US" w:eastAsia="zh-CN"/>
              </w:rPr>
              <w:t>46</w:t>
            </w:r>
            <w:r>
              <w:rPr>
                <w:rFonts w:hint="default"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lang w:val="en-US" w:eastAsia="zh-CN"/>
              </w:rPr>
              <w:t>×1</w:t>
            </w:r>
            <w:r>
              <w:rPr>
                <w:rFonts w:hint="eastAsia" w:cs="Times New Roman"/>
                <w:b w:val="0"/>
                <w:bCs w:val="0"/>
                <w:color w:val="auto"/>
                <w:highlight w:val="none"/>
                <w:lang w:val="en-US" w:eastAsia="zh-CN"/>
              </w:rPr>
              <w:t>0.3</w:t>
            </w:r>
            <w:r>
              <w:rPr>
                <w:rFonts w:hint="default" w:ascii="Times New Roman" w:hAnsi="Times New Roman" w:eastAsia="宋体" w:cs="Times New Roman"/>
                <w:b w:val="0"/>
                <w:bCs w:val="0"/>
                <w:color w:val="auto"/>
                <w:highlight w:val="none"/>
                <w:lang w:val="en-US" w:eastAsia="zh-CN"/>
              </w:rPr>
              <w:t>m</w:t>
            </w:r>
            <w:r>
              <w:rPr>
                <w:rFonts w:hint="eastAsia" w:ascii="Times New Roman" w:hAnsi="Times New Roman" w:eastAsia="宋体" w:cs="Times New Roman"/>
                <w:b w:val="0"/>
                <w:bCs w:val="0"/>
                <w:color w:val="auto"/>
                <w:highlight w:val="none"/>
                <w:lang w:val="en-US" w:eastAsia="zh-CN"/>
              </w:rPr>
              <w:t>，</w:t>
            </w:r>
            <w:r>
              <w:rPr>
                <w:rFonts w:hint="eastAsia"/>
                <w:color w:val="auto"/>
                <w:highlight w:val="none"/>
                <w:lang w:val="en-US" w:eastAsia="zh-CN"/>
              </w:rPr>
              <w:t>建筑面积1932m</w:t>
            </w:r>
            <w:r>
              <w:rPr>
                <w:rFonts w:hint="eastAsia"/>
                <w:color w:val="auto"/>
                <w:highlight w:val="none"/>
                <w:vertAlign w:val="superscript"/>
                <w:lang w:val="en-US" w:eastAsia="zh-CN"/>
              </w:rPr>
              <w:t>2</w:t>
            </w:r>
            <w:r>
              <w:rPr>
                <w:rFonts w:hint="eastAsia"/>
                <w:color w:val="auto"/>
                <w:highlight w:val="none"/>
                <w:lang w:val="en-US" w:eastAsia="zh-CN"/>
              </w:rPr>
              <w:t>，</w:t>
            </w:r>
            <w:r>
              <w:rPr>
                <w:rFonts w:hint="eastAsia" w:cs="Times New Roman"/>
                <w:b w:val="0"/>
                <w:bCs w:val="0"/>
                <w:color w:val="auto"/>
                <w:highlight w:val="none"/>
                <w:lang w:val="en-US" w:eastAsia="zh-CN"/>
              </w:rPr>
              <w:t>钢结构</w:t>
            </w:r>
            <w:r>
              <w:rPr>
                <w:rFonts w:hint="eastAsia"/>
                <w:color w:val="auto"/>
                <w:highlight w:val="none"/>
                <w:lang w:val="en-US" w:eastAsia="zh-CN"/>
              </w:rPr>
              <w:t>，用于暂存袋装及桶装原料、桶装成品等。仓库内设4个防火分区、双氧水库房、</w:t>
            </w:r>
            <w:r>
              <w:rPr>
                <w:rFonts w:hint="eastAsia" w:cs="Times New Roman"/>
                <w:b w:val="0"/>
                <w:bCs w:val="0"/>
                <w:color w:val="auto"/>
                <w:sz w:val="21"/>
                <w:szCs w:val="21"/>
                <w:highlight w:val="none"/>
                <w:lang w:val="en-US" w:eastAsia="zh-CN"/>
              </w:rPr>
              <w:t>一般固废暂存间、</w:t>
            </w:r>
            <w:r>
              <w:rPr>
                <w:rFonts w:hint="eastAsia" w:ascii="Times New Roman" w:hAnsi="Times New Roman" w:eastAsia="宋体" w:cs="Times New Roman"/>
                <w:b w:val="0"/>
                <w:bCs w:val="0"/>
                <w:color w:val="auto"/>
                <w:sz w:val="21"/>
                <w:szCs w:val="21"/>
                <w:highlight w:val="none"/>
                <w:lang w:val="en-US" w:eastAsia="zh-CN"/>
              </w:rPr>
              <w:t>危废</w:t>
            </w:r>
          </w:p>
          <w:p w14:paraId="2B59C962">
            <w:pPr>
              <w:pStyle w:val="24"/>
              <w:bidi w:val="0"/>
              <w:ind w:left="0" w:leftChars="0"/>
              <w:jc w:val="left"/>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暂存间</w:t>
            </w:r>
            <w:r>
              <w:rPr>
                <w:rFonts w:hint="eastAsia"/>
                <w:color w:val="auto"/>
                <w:highlight w:val="none"/>
                <w:lang w:val="en-US" w:eastAsia="zh-CN"/>
              </w:rPr>
              <w:t>，其中防火分区四为液体库区，其余均为固体库区。</w:t>
            </w:r>
            <w:r>
              <w:rPr>
                <w:rFonts w:hint="eastAsia" w:cs="Times New Roman"/>
                <w:b w:val="0"/>
                <w:bCs w:val="0"/>
                <w:color w:val="auto"/>
                <w:highlight w:val="none"/>
                <w:lang w:val="en-US" w:eastAsia="zh-CN"/>
              </w:rPr>
              <w:t>仓库</w:t>
            </w:r>
            <w:r>
              <w:rPr>
                <w:rFonts w:hint="default" w:ascii="Times New Roman" w:hAnsi="Times New Roman" w:cs="Times New Roman"/>
                <w:color w:val="auto"/>
                <w:sz w:val="21"/>
                <w:szCs w:val="21"/>
                <w:highlight w:val="none"/>
                <w:lang w:val="en-US" w:eastAsia="zh-CN"/>
              </w:rPr>
              <w:t>设</w:t>
            </w:r>
            <w:r>
              <w:rPr>
                <w:rFonts w:hint="eastAsia" w:cs="Times New Roman"/>
                <w:color w:val="auto"/>
                <w:sz w:val="21"/>
                <w:szCs w:val="21"/>
                <w:highlight w:val="none"/>
                <w:lang w:val="en-US" w:eastAsia="zh-CN"/>
              </w:rPr>
              <w:t>地漏，</w:t>
            </w:r>
            <w:r>
              <w:rPr>
                <w:rFonts w:hint="default" w:ascii="Times New Roman" w:hAnsi="Times New Roman" w:cs="Times New Roman"/>
                <w:color w:val="auto"/>
                <w:sz w:val="21"/>
                <w:szCs w:val="21"/>
                <w:highlight w:val="none"/>
                <w:lang w:val="en-US" w:eastAsia="zh-CN"/>
              </w:rPr>
              <w:t>用于</w:t>
            </w:r>
            <w:r>
              <w:rPr>
                <w:rFonts w:hint="eastAsia" w:cs="Times New Roman"/>
                <w:color w:val="auto"/>
                <w:sz w:val="21"/>
                <w:szCs w:val="21"/>
                <w:highlight w:val="none"/>
                <w:lang w:val="en-US" w:eastAsia="zh-CN"/>
              </w:rPr>
              <w:t>收集</w:t>
            </w:r>
            <w:r>
              <w:rPr>
                <w:rFonts w:hint="default" w:ascii="Times New Roman" w:hAnsi="Times New Roman" w:cs="Times New Roman"/>
                <w:color w:val="auto"/>
                <w:sz w:val="21"/>
                <w:szCs w:val="21"/>
                <w:highlight w:val="none"/>
                <w:lang w:val="en-US" w:eastAsia="zh-CN"/>
              </w:rPr>
              <w:t>泄漏的液体物料</w:t>
            </w:r>
            <w:r>
              <w:rPr>
                <w:rFonts w:hint="eastAsia" w:cs="Times New Roman"/>
                <w:color w:val="auto"/>
                <w:sz w:val="21"/>
                <w:szCs w:val="21"/>
                <w:highlight w:val="none"/>
                <w:lang w:val="en-US" w:eastAsia="zh-CN"/>
              </w:rPr>
              <w:t>，</w:t>
            </w:r>
            <w:r>
              <w:rPr>
                <w:rFonts w:hint="eastAsia" w:cs="Times New Roman"/>
                <w:b w:val="0"/>
                <w:bCs w:val="0"/>
                <w:color w:val="auto"/>
                <w:sz w:val="21"/>
                <w:szCs w:val="21"/>
                <w:highlight w:val="none"/>
                <w:lang w:val="en-US" w:eastAsia="zh-CN"/>
              </w:rPr>
              <w:t>并在仓库</w:t>
            </w:r>
            <w:r>
              <w:rPr>
                <w:rFonts w:hint="eastAsia" w:cs="Times New Roman"/>
                <w:color w:val="auto"/>
                <w:sz w:val="21"/>
                <w:szCs w:val="21"/>
                <w:highlight w:val="none"/>
                <w:lang w:val="en-US" w:eastAsia="zh-CN"/>
              </w:rPr>
              <w:t>外</w:t>
            </w:r>
            <w:r>
              <w:rPr>
                <w:rFonts w:hint="eastAsia" w:ascii="Times New Roman" w:hAnsi="Times New Roman" w:eastAsia="宋体"/>
                <w:color w:val="auto"/>
                <w:highlight w:val="none"/>
                <w:lang w:val="en-US" w:eastAsia="zh-CN"/>
              </w:rPr>
              <w:t>设1个容积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p>
        </w:tc>
        <w:tc>
          <w:tcPr>
            <w:tcW w:w="588" w:type="pct"/>
            <w:vMerge w:val="continue"/>
            <w:noWrap w:val="0"/>
            <w:vAlign w:val="center"/>
          </w:tcPr>
          <w:p w14:paraId="70808D6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97" w:type="pct"/>
            <w:noWrap w:val="0"/>
            <w:vAlign w:val="center"/>
          </w:tcPr>
          <w:p w14:paraId="72B43DFD">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环境风险</w:t>
            </w:r>
          </w:p>
        </w:tc>
      </w:tr>
      <w:tr w14:paraId="5D77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18F71A5D">
            <w:pPr>
              <w:pStyle w:val="24"/>
              <w:bidi w:val="0"/>
              <w:jc w:val="center"/>
              <w:rPr>
                <w:rFonts w:hint="eastAsia" w:ascii="Times New Roman" w:hAnsi="Times New Roman" w:eastAsia="宋体" w:cs="Times New Roman"/>
                <w:b w:val="0"/>
                <w:bCs w:val="0"/>
                <w:color w:val="auto"/>
                <w:highlight w:val="none"/>
                <w:lang w:val="en-US" w:eastAsia="zh-CN"/>
              </w:rPr>
            </w:pPr>
          </w:p>
        </w:tc>
        <w:tc>
          <w:tcPr>
            <w:tcW w:w="681" w:type="pct"/>
            <w:gridSpan w:val="2"/>
            <w:noWrap w:val="0"/>
            <w:vAlign w:val="center"/>
          </w:tcPr>
          <w:p w14:paraId="31985278">
            <w:pPr>
              <w:pStyle w:val="24"/>
              <w:bidi w:val="0"/>
              <w:ind w:left="0" w:leftChars="0"/>
              <w:jc w:val="center"/>
              <w:rPr>
                <w:rFonts w:hint="default" w:ascii="Times New Roman" w:hAnsi="Times New Roman" w:eastAsia="宋体"/>
                <w:color w:val="auto"/>
                <w:highlight w:val="none"/>
                <w:lang w:val="en-US" w:eastAsia="zh-CN"/>
              </w:rPr>
            </w:pPr>
            <w:r>
              <w:rPr>
                <w:rFonts w:hint="eastAsia"/>
                <w:color w:val="auto"/>
                <w:highlight w:val="none"/>
                <w:lang w:val="en-US" w:eastAsia="zh-CN"/>
              </w:rPr>
              <w:t>配件仓库</w:t>
            </w:r>
          </w:p>
        </w:tc>
        <w:tc>
          <w:tcPr>
            <w:tcW w:w="2725" w:type="pct"/>
            <w:noWrap w:val="0"/>
            <w:vAlign w:val="top"/>
          </w:tcPr>
          <w:p w14:paraId="4632ACA8">
            <w:pPr>
              <w:pStyle w:val="24"/>
              <w:bidi w:val="0"/>
              <w:jc w:val="left"/>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1个，位于公用工程间内，</w:t>
            </w:r>
            <w:r>
              <w:rPr>
                <w:rFonts w:hint="eastAsia"/>
                <w:color w:val="auto"/>
                <w:highlight w:val="none"/>
                <w:lang w:val="en-US" w:eastAsia="zh-CN"/>
              </w:rPr>
              <w:t>建筑面积35m</w:t>
            </w:r>
            <w:r>
              <w:rPr>
                <w:rFonts w:hint="eastAsia"/>
                <w:color w:val="auto"/>
                <w:highlight w:val="none"/>
                <w:vertAlign w:val="superscript"/>
                <w:lang w:val="en-US" w:eastAsia="zh-CN"/>
              </w:rPr>
              <w:t>2</w:t>
            </w:r>
            <w:r>
              <w:rPr>
                <w:rFonts w:hint="eastAsia"/>
                <w:color w:val="auto"/>
                <w:highlight w:val="none"/>
                <w:lang w:val="en-US" w:eastAsia="zh-CN"/>
              </w:rPr>
              <w:t>，用于暂存备用阀门等配件。</w:t>
            </w:r>
          </w:p>
        </w:tc>
        <w:tc>
          <w:tcPr>
            <w:tcW w:w="588" w:type="pct"/>
            <w:vMerge w:val="continue"/>
            <w:noWrap w:val="0"/>
            <w:vAlign w:val="center"/>
          </w:tcPr>
          <w:p w14:paraId="635E17A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97" w:type="pct"/>
            <w:noWrap w:val="0"/>
            <w:vAlign w:val="center"/>
          </w:tcPr>
          <w:p w14:paraId="215925D6">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w:t>
            </w:r>
          </w:p>
        </w:tc>
      </w:tr>
      <w:tr w14:paraId="29CF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noWrap w:val="0"/>
            <w:vAlign w:val="center"/>
          </w:tcPr>
          <w:p w14:paraId="4F9C627F">
            <w:pPr>
              <w:pStyle w:val="24"/>
              <w:bidi w:val="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办公生活设施</w:t>
            </w:r>
          </w:p>
        </w:tc>
        <w:tc>
          <w:tcPr>
            <w:tcW w:w="681" w:type="pct"/>
            <w:gridSpan w:val="2"/>
            <w:noWrap w:val="0"/>
            <w:vAlign w:val="center"/>
          </w:tcPr>
          <w:p w14:paraId="14312E47">
            <w:pPr>
              <w:pStyle w:val="24"/>
              <w:bidi w:val="0"/>
              <w:ind w:left="0" w:leftChars="0"/>
              <w:rPr>
                <w:rFonts w:hint="eastAsia"/>
                <w:color w:val="auto"/>
                <w:highlight w:val="none"/>
                <w:lang w:val="en-US" w:eastAsia="zh-CN"/>
              </w:rPr>
            </w:pPr>
            <w:r>
              <w:rPr>
                <w:rFonts w:hint="eastAsia"/>
                <w:color w:val="auto"/>
                <w:highlight w:val="none"/>
                <w:lang w:val="en-US" w:eastAsia="zh-CN"/>
              </w:rPr>
              <w:t>综合楼</w:t>
            </w:r>
          </w:p>
        </w:tc>
        <w:tc>
          <w:tcPr>
            <w:tcW w:w="2725" w:type="pct"/>
            <w:noWrap w:val="0"/>
            <w:vAlign w:val="center"/>
          </w:tcPr>
          <w:p w14:paraId="5D40C07F">
            <w:pPr>
              <w:pStyle w:val="24"/>
              <w:bidi w:val="0"/>
              <w:ind w:left="0" w:leftChars="0"/>
              <w:jc w:val="left"/>
              <w:rPr>
                <w:rFonts w:hint="eastAsia"/>
                <w:color w:val="auto"/>
                <w:highlight w:val="none"/>
                <w:lang w:val="en-US" w:eastAsia="zh-CN"/>
              </w:rPr>
            </w:pPr>
            <w:r>
              <w:rPr>
                <w:rFonts w:hint="eastAsia"/>
                <w:color w:val="auto"/>
                <w:highlight w:val="none"/>
                <w:lang w:val="en-US" w:eastAsia="zh-CN"/>
              </w:rPr>
              <w:t>1栋，3F，H=13.65m，建筑面积2021.66m</w:t>
            </w:r>
            <w:r>
              <w:rPr>
                <w:rFonts w:hint="eastAsia"/>
                <w:color w:val="auto"/>
                <w:highlight w:val="none"/>
                <w:vertAlign w:val="superscript"/>
                <w:lang w:val="en-US" w:eastAsia="zh-CN"/>
              </w:rPr>
              <w:t>2</w:t>
            </w:r>
            <w:r>
              <w:rPr>
                <w:rFonts w:hint="eastAsia"/>
                <w:color w:val="auto"/>
                <w:highlight w:val="none"/>
                <w:lang w:val="en-US" w:eastAsia="zh-CN"/>
              </w:rPr>
              <w:t>，钢筋混凝土框架结构，用于办公，并设质检室。</w:t>
            </w:r>
          </w:p>
        </w:tc>
        <w:tc>
          <w:tcPr>
            <w:tcW w:w="588" w:type="pct"/>
            <w:vMerge w:val="continue"/>
            <w:noWrap w:val="0"/>
            <w:vAlign w:val="center"/>
          </w:tcPr>
          <w:p w14:paraId="175C074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97" w:type="pct"/>
            <w:noWrap w:val="0"/>
            <w:vAlign w:val="center"/>
          </w:tcPr>
          <w:p w14:paraId="36599BC9">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废气、废水、噪声、固废、环境风险</w:t>
            </w:r>
          </w:p>
        </w:tc>
      </w:tr>
      <w:tr w14:paraId="5A6C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restart"/>
            <w:noWrap w:val="0"/>
            <w:vAlign w:val="center"/>
          </w:tcPr>
          <w:p w14:paraId="755599D1">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公用工程</w:t>
            </w:r>
          </w:p>
        </w:tc>
        <w:tc>
          <w:tcPr>
            <w:tcW w:w="681" w:type="pct"/>
            <w:gridSpan w:val="2"/>
            <w:noWrap w:val="0"/>
            <w:vAlign w:val="center"/>
          </w:tcPr>
          <w:p w14:paraId="4677CA3D">
            <w:pPr>
              <w:pStyle w:val="24"/>
              <w:bidi w:val="0"/>
              <w:ind w:left="0" w:leftChars="0"/>
              <w:rPr>
                <w:rFonts w:hint="default" w:ascii="Times New Roman" w:hAnsi="Times New Roman" w:eastAsia="宋体" w:cs="Times New Roman"/>
                <w:b w:val="0"/>
                <w:bCs w:val="0"/>
                <w:color w:val="auto"/>
                <w:highlight w:val="none"/>
                <w:lang w:val="en-US" w:eastAsia="zh-CN"/>
              </w:rPr>
            </w:pPr>
            <w:r>
              <w:rPr>
                <w:color w:val="auto"/>
                <w:highlight w:val="none"/>
              </w:rPr>
              <w:t>供水</w:t>
            </w:r>
          </w:p>
        </w:tc>
        <w:tc>
          <w:tcPr>
            <w:tcW w:w="2725" w:type="pct"/>
            <w:noWrap w:val="0"/>
            <w:vAlign w:val="center"/>
          </w:tcPr>
          <w:p w14:paraId="6A4C938B">
            <w:pPr>
              <w:pStyle w:val="24"/>
              <w:bidi w:val="0"/>
              <w:ind w:left="0" w:leftChars="0"/>
              <w:jc w:val="left"/>
              <w:rPr>
                <w:rFonts w:hint="default" w:ascii="Times New Roman" w:hAnsi="Times New Roman" w:eastAsia="宋体" w:cs="Times New Roman"/>
                <w:b w:val="0"/>
                <w:bCs w:val="0"/>
                <w:color w:val="auto"/>
                <w:highlight w:val="none"/>
                <w:lang w:val="en-US" w:eastAsia="zh-CN"/>
              </w:rPr>
            </w:pPr>
            <w:r>
              <w:rPr>
                <w:rFonts w:hint="eastAsia" w:eastAsia="宋体"/>
                <w:color w:val="auto"/>
                <w:highlight w:val="none"/>
                <w:lang w:val="en-US" w:eastAsia="zh-CN"/>
              </w:rPr>
              <w:t>由</w:t>
            </w:r>
            <w:r>
              <w:rPr>
                <w:color w:val="auto"/>
                <w:highlight w:val="none"/>
              </w:rPr>
              <w:t>园区供水管网统一供给。</w:t>
            </w:r>
          </w:p>
        </w:tc>
        <w:tc>
          <w:tcPr>
            <w:tcW w:w="588" w:type="pct"/>
            <w:vMerge w:val="continue"/>
            <w:noWrap w:val="0"/>
            <w:vAlign w:val="center"/>
          </w:tcPr>
          <w:p w14:paraId="6DE0EE62">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5BDBF408">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w:t>
            </w:r>
          </w:p>
        </w:tc>
      </w:tr>
      <w:tr w14:paraId="725A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5D1F10DC">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noWrap w:val="0"/>
            <w:vAlign w:val="center"/>
          </w:tcPr>
          <w:p w14:paraId="797F5069">
            <w:pPr>
              <w:pStyle w:val="24"/>
              <w:bidi w:val="0"/>
              <w:ind w:left="0" w:leftChars="0"/>
              <w:rPr>
                <w:rFonts w:hint="default" w:ascii="Times New Roman" w:hAnsi="Times New Roman" w:eastAsia="宋体" w:cs="Times New Roman"/>
                <w:b w:val="0"/>
                <w:bCs w:val="0"/>
                <w:color w:val="auto"/>
                <w:highlight w:val="none"/>
                <w:lang w:val="en-US" w:eastAsia="zh-CN"/>
              </w:rPr>
            </w:pPr>
            <w:r>
              <w:rPr>
                <w:color w:val="auto"/>
                <w:highlight w:val="none"/>
              </w:rPr>
              <w:t>供电</w:t>
            </w:r>
          </w:p>
        </w:tc>
        <w:tc>
          <w:tcPr>
            <w:tcW w:w="2725" w:type="pct"/>
            <w:noWrap w:val="0"/>
            <w:vAlign w:val="center"/>
          </w:tcPr>
          <w:p w14:paraId="0F550FB8">
            <w:pPr>
              <w:pStyle w:val="24"/>
              <w:bidi w:val="0"/>
              <w:ind w:left="0" w:leftChars="0"/>
              <w:jc w:val="left"/>
              <w:rPr>
                <w:rFonts w:hint="default" w:ascii="Times New Roman" w:hAnsi="Times New Roman" w:eastAsia="宋体" w:cs="Times New Roman"/>
                <w:b w:val="0"/>
                <w:bCs w:val="0"/>
                <w:color w:val="auto"/>
                <w:highlight w:val="none"/>
                <w:lang w:val="en-US" w:eastAsia="zh-CN"/>
              </w:rPr>
            </w:pPr>
            <w:r>
              <w:rPr>
                <w:color w:val="auto"/>
                <w:highlight w:val="none"/>
              </w:rPr>
              <w:t>由园区市政电网统一供给。</w:t>
            </w:r>
          </w:p>
        </w:tc>
        <w:tc>
          <w:tcPr>
            <w:tcW w:w="588" w:type="pct"/>
            <w:vMerge w:val="continue"/>
            <w:noWrap w:val="0"/>
            <w:vAlign w:val="center"/>
          </w:tcPr>
          <w:p w14:paraId="62AF3BB5">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2D6C01D5">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w:t>
            </w:r>
          </w:p>
        </w:tc>
      </w:tr>
      <w:tr w14:paraId="05F6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63C49FAC">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noWrap w:val="0"/>
            <w:vAlign w:val="center"/>
          </w:tcPr>
          <w:p w14:paraId="49433C31">
            <w:pPr>
              <w:pStyle w:val="24"/>
              <w:bidi w:val="0"/>
              <w:ind w:left="0" w:leftChars="0"/>
              <w:rPr>
                <w:rFonts w:hint="default" w:ascii="Times New Roman" w:hAnsi="Times New Roman" w:eastAsia="宋体" w:cs="Times New Roman"/>
                <w:b w:val="0"/>
                <w:bCs w:val="0"/>
                <w:color w:val="auto"/>
                <w:highlight w:val="none"/>
                <w:lang w:val="en-US" w:eastAsia="zh-CN"/>
              </w:rPr>
            </w:pPr>
            <w:r>
              <w:rPr>
                <w:color w:val="auto"/>
                <w:highlight w:val="none"/>
              </w:rPr>
              <w:t>排水</w:t>
            </w:r>
          </w:p>
        </w:tc>
        <w:tc>
          <w:tcPr>
            <w:tcW w:w="2725" w:type="pct"/>
            <w:noWrap w:val="0"/>
            <w:vAlign w:val="center"/>
          </w:tcPr>
          <w:p w14:paraId="27A3371F">
            <w:pPr>
              <w:pStyle w:val="24"/>
              <w:bidi w:val="0"/>
              <w:ind w:left="0" w:leftChars="0"/>
              <w:jc w:val="both"/>
              <w:rPr>
                <w:rFonts w:hint="default" w:ascii="Times New Roman" w:hAnsi="Times New Roman" w:eastAsia="宋体" w:cs="Times New Roman"/>
                <w:b w:val="0"/>
                <w:bCs w:val="0"/>
                <w:color w:val="auto"/>
                <w:highlight w:val="none"/>
                <w:lang w:val="en-US" w:eastAsia="zh-CN"/>
              </w:rPr>
            </w:pPr>
            <w:r>
              <w:rPr>
                <w:rFonts w:hint="eastAsia"/>
                <w:color w:val="auto"/>
                <w:highlight w:val="none"/>
                <w:lang w:val="en-US" w:eastAsia="zh-CN"/>
              </w:rPr>
              <w:t>依托通江县秋锦山产业园区综合污水处理厂处理达标后排入通江河</w:t>
            </w:r>
            <w:r>
              <w:rPr>
                <w:color w:val="auto"/>
                <w:highlight w:val="none"/>
              </w:rPr>
              <w:t>。</w:t>
            </w:r>
          </w:p>
        </w:tc>
        <w:tc>
          <w:tcPr>
            <w:tcW w:w="588" w:type="pct"/>
            <w:vMerge w:val="continue"/>
            <w:noWrap w:val="0"/>
            <w:vAlign w:val="center"/>
          </w:tcPr>
          <w:p w14:paraId="3485CE8F">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11000275">
            <w:pPr>
              <w:pStyle w:val="24"/>
              <w:bidi w:val="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w:t>
            </w:r>
          </w:p>
        </w:tc>
      </w:tr>
      <w:tr w14:paraId="3802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restart"/>
            <w:noWrap w:val="0"/>
            <w:vAlign w:val="center"/>
          </w:tcPr>
          <w:p w14:paraId="18DCC81D">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环保工程</w:t>
            </w:r>
          </w:p>
        </w:tc>
        <w:tc>
          <w:tcPr>
            <w:tcW w:w="224" w:type="pct"/>
            <w:vMerge w:val="restart"/>
            <w:noWrap w:val="0"/>
            <w:vAlign w:val="center"/>
          </w:tcPr>
          <w:p w14:paraId="1B90189B">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废气</w:t>
            </w:r>
          </w:p>
        </w:tc>
        <w:tc>
          <w:tcPr>
            <w:tcW w:w="457" w:type="pct"/>
            <w:shd w:val="clear" w:color="auto" w:fill="auto"/>
            <w:noWrap w:val="0"/>
            <w:vAlign w:val="center"/>
          </w:tcPr>
          <w:p w14:paraId="24EC5606">
            <w:pPr>
              <w:pStyle w:val="24"/>
              <w:bidi w:val="0"/>
              <w:ind w:left="0" w:leftChars="0"/>
              <w:rPr>
                <w:rFonts w:hint="default" w:ascii="Times New Roman" w:hAnsi="Times New Roman" w:eastAsia="宋体" w:cs="Courier New"/>
                <w:b w:val="0"/>
                <w:color w:val="auto"/>
                <w:kern w:val="2"/>
                <w:sz w:val="21"/>
                <w:szCs w:val="24"/>
                <w:highlight w:val="none"/>
                <w:lang w:val="en-US" w:eastAsia="zh-CN" w:bidi="ar-SA"/>
              </w:rPr>
            </w:pPr>
            <w:r>
              <w:rPr>
                <w:rFonts w:hint="eastAsia" w:cs="Courier New"/>
                <w:b w:val="0"/>
                <w:color w:val="auto"/>
                <w:kern w:val="2"/>
                <w:sz w:val="21"/>
                <w:szCs w:val="24"/>
                <w:highlight w:val="none"/>
                <w:lang w:val="en-US" w:eastAsia="zh-CN" w:bidi="ar-SA"/>
              </w:rPr>
              <w:t>工艺</w:t>
            </w:r>
            <w:r>
              <w:rPr>
                <w:rFonts w:hint="default" w:ascii="Times New Roman" w:hAnsi="Times New Roman" w:eastAsia="宋体" w:cs="Courier New"/>
                <w:b w:val="0"/>
                <w:color w:val="auto"/>
                <w:kern w:val="2"/>
                <w:sz w:val="21"/>
                <w:szCs w:val="24"/>
                <w:highlight w:val="none"/>
                <w:lang w:val="en-US" w:eastAsia="zh-CN" w:bidi="ar-SA"/>
              </w:rPr>
              <w:t>废气</w:t>
            </w:r>
          </w:p>
        </w:tc>
        <w:tc>
          <w:tcPr>
            <w:tcW w:w="2725" w:type="pct"/>
            <w:shd w:val="clear" w:color="auto" w:fill="auto"/>
            <w:noWrap w:val="0"/>
            <w:vAlign w:val="center"/>
          </w:tcPr>
          <w:p w14:paraId="7E1DEF92">
            <w:pPr>
              <w:pStyle w:val="24"/>
              <w:bidi w:val="0"/>
              <w:ind w:left="0" w:leftChars="0"/>
              <w:jc w:val="left"/>
              <w:rPr>
                <w:rFonts w:hint="default" w:ascii="Times New Roman" w:hAnsi="Times New Roman" w:eastAsia="宋体" w:cs="Courier New"/>
                <w:b w:val="0"/>
                <w:color w:val="auto"/>
                <w:kern w:val="2"/>
                <w:sz w:val="21"/>
                <w:szCs w:val="24"/>
                <w:highlight w:val="none"/>
                <w:lang w:val="en-US" w:eastAsia="zh-CN" w:bidi="ar-SA"/>
              </w:rPr>
            </w:pPr>
            <w:r>
              <w:rPr>
                <w:rFonts w:hint="eastAsia" w:cs="Courier New"/>
                <w:b w:val="0"/>
                <w:color w:val="auto"/>
                <w:highlight w:val="none"/>
                <w:lang w:val="en-US" w:eastAsia="zh-CN"/>
              </w:rPr>
              <w:t>投料孔上方设集气罩，罐体和反应釜排气阀设密闭集气管道，并设</w:t>
            </w:r>
            <w:r>
              <w:rPr>
                <w:rFonts w:hint="default" w:ascii="Times New Roman" w:hAnsi="Times New Roman" w:eastAsia="宋体" w:cs="Courier New"/>
                <w:b w:val="0"/>
                <w:color w:val="auto"/>
                <w:highlight w:val="none"/>
                <w:lang w:val="en-US" w:eastAsia="zh-CN"/>
              </w:rPr>
              <w:t>1套</w:t>
            </w:r>
            <w:r>
              <w:rPr>
                <w:rFonts w:hint="eastAsia" w:cs="Courier New"/>
                <w:b w:val="0"/>
                <w:color w:val="auto"/>
                <w:highlight w:val="none"/>
                <w:lang w:val="en-US" w:eastAsia="zh-CN"/>
              </w:rPr>
              <w:t>二级</w:t>
            </w:r>
            <w:r>
              <w:rPr>
                <w:rFonts w:hint="default" w:ascii="Times New Roman" w:hAnsi="Times New Roman" w:eastAsia="宋体" w:cs="Courier New"/>
                <w:b w:val="0"/>
                <w:color w:val="auto"/>
                <w:highlight w:val="none"/>
                <w:lang w:val="en-US" w:eastAsia="zh-CN"/>
              </w:rPr>
              <w:t>碱喷淋（自带除雾装置）+</w:t>
            </w:r>
            <w:r>
              <w:rPr>
                <w:rFonts w:hint="eastAsia" w:cs="Courier New"/>
                <w:b w:val="0"/>
                <w:color w:val="auto"/>
                <w:highlight w:val="none"/>
                <w:lang w:val="en-US" w:eastAsia="zh-CN"/>
              </w:rPr>
              <w:t>两级</w:t>
            </w:r>
            <w:r>
              <w:rPr>
                <w:rFonts w:hint="default" w:ascii="Times New Roman" w:hAnsi="Times New Roman" w:eastAsia="宋体" w:cs="Courier New"/>
                <w:b w:val="0"/>
                <w:color w:val="auto"/>
                <w:highlight w:val="none"/>
                <w:lang w:val="en-US" w:eastAsia="zh-CN"/>
              </w:rPr>
              <w:t>活性炭吸附装置</w:t>
            </w:r>
            <w:r>
              <w:rPr>
                <w:rFonts w:hint="eastAsia" w:cs="Courier New"/>
                <w:b w:val="0"/>
                <w:color w:val="auto"/>
                <w:highlight w:val="none"/>
                <w:lang w:val="en-US" w:eastAsia="zh-CN"/>
              </w:rPr>
              <w:t>（TA001），</w:t>
            </w:r>
            <w:r>
              <w:rPr>
                <w:rFonts w:hint="eastAsia" w:cs="Courier New"/>
                <w:b w:val="0"/>
                <w:color w:val="auto"/>
                <w:kern w:val="2"/>
                <w:sz w:val="21"/>
                <w:szCs w:val="24"/>
                <w:highlight w:val="none"/>
                <w:lang w:val="en-US" w:eastAsia="zh-CN" w:bidi="ar-SA"/>
              </w:rPr>
              <w:t>工艺</w:t>
            </w:r>
            <w:r>
              <w:rPr>
                <w:rFonts w:hint="default" w:ascii="Times New Roman" w:hAnsi="Times New Roman" w:eastAsia="宋体" w:cs="Courier New"/>
                <w:b w:val="0"/>
                <w:color w:val="auto"/>
                <w:kern w:val="2"/>
                <w:sz w:val="21"/>
                <w:szCs w:val="24"/>
                <w:highlight w:val="none"/>
                <w:lang w:val="en-US" w:eastAsia="zh-CN" w:bidi="ar-SA"/>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处理后通过</w:t>
            </w:r>
            <w:r>
              <w:rPr>
                <w:rFonts w:hint="eastAsia"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cs="Courier New"/>
                <w:b w:val="0"/>
                <w:color w:val="auto"/>
                <w:highlight w:val="none"/>
                <w:lang w:val="en-US" w:eastAsia="zh-CN"/>
              </w:rPr>
              <w:t>（DA001）</w:t>
            </w:r>
            <w:r>
              <w:rPr>
                <w:rFonts w:hint="default" w:ascii="Times New Roman" w:hAnsi="Times New Roman" w:eastAsia="宋体" w:cs="Courier New"/>
                <w:b w:val="0"/>
                <w:color w:val="auto"/>
                <w:highlight w:val="none"/>
                <w:lang w:val="en-US" w:eastAsia="zh-CN"/>
              </w:rPr>
              <w:t>排放</w:t>
            </w:r>
            <w:r>
              <w:rPr>
                <w:rFonts w:hint="eastAsia" w:cs="Courier New"/>
                <w:b w:val="0"/>
                <w:color w:val="auto"/>
                <w:highlight w:val="none"/>
                <w:lang w:val="en-US" w:eastAsia="zh-CN"/>
              </w:rPr>
              <w:t>。</w:t>
            </w:r>
          </w:p>
        </w:tc>
        <w:tc>
          <w:tcPr>
            <w:tcW w:w="588" w:type="pct"/>
            <w:vMerge w:val="continue"/>
            <w:noWrap w:val="0"/>
            <w:vAlign w:val="center"/>
          </w:tcPr>
          <w:p w14:paraId="23B55299">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75EAF929">
            <w:pPr>
              <w:pStyle w:val="24"/>
              <w:bidi w:val="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喷淋废水（含废渣）、废过滤棉、废活性炭</w:t>
            </w:r>
          </w:p>
        </w:tc>
      </w:tr>
      <w:tr w14:paraId="4B7B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053DE81F">
            <w:pPr>
              <w:pStyle w:val="24"/>
              <w:bidi w:val="0"/>
              <w:jc w:val="center"/>
              <w:rPr>
                <w:rFonts w:hint="default" w:ascii="Times New Roman" w:hAnsi="Times New Roman" w:eastAsia="宋体" w:cs="Times New Roman"/>
                <w:b w:val="0"/>
                <w:bCs w:val="0"/>
                <w:color w:val="auto"/>
                <w:highlight w:val="none"/>
                <w:lang w:val="en-US" w:eastAsia="zh-CN"/>
              </w:rPr>
            </w:pPr>
          </w:p>
        </w:tc>
        <w:tc>
          <w:tcPr>
            <w:tcW w:w="224" w:type="pct"/>
            <w:vMerge w:val="continue"/>
            <w:noWrap w:val="0"/>
            <w:vAlign w:val="center"/>
          </w:tcPr>
          <w:p w14:paraId="3E75E981">
            <w:pPr>
              <w:pStyle w:val="24"/>
              <w:bidi w:val="0"/>
              <w:jc w:val="center"/>
              <w:rPr>
                <w:rFonts w:hint="default" w:ascii="Times New Roman" w:hAnsi="Times New Roman" w:eastAsia="宋体" w:cs="Times New Roman"/>
                <w:b w:val="0"/>
                <w:bCs w:val="0"/>
                <w:color w:val="auto"/>
                <w:highlight w:val="none"/>
                <w:lang w:val="en-US" w:eastAsia="zh-CN"/>
              </w:rPr>
            </w:pPr>
          </w:p>
        </w:tc>
        <w:tc>
          <w:tcPr>
            <w:tcW w:w="457" w:type="pct"/>
            <w:shd w:val="clear" w:color="auto" w:fill="auto"/>
            <w:noWrap w:val="0"/>
            <w:vAlign w:val="center"/>
          </w:tcPr>
          <w:p w14:paraId="3D818BEF">
            <w:pPr>
              <w:pStyle w:val="24"/>
              <w:bidi w:val="0"/>
              <w:ind w:left="0" w:leftChars="0"/>
              <w:rPr>
                <w:rFonts w:hint="default" w:ascii="Times New Roman" w:hAnsi="Times New Roman" w:eastAsia="宋体" w:cs="Courier New"/>
                <w:b w:val="0"/>
                <w:color w:val="auto"/>
                <w:kern w:val="2"/>
                <w:sz w:val="21"/>
                <w:szCs w:val="24"/>
                <w:highlight w:val="none"/>
                <w:lang w:val="en-US" w:eastAsia="zh-CN" w:bidi="ar-SA"/>
              </w:rPr>
            </w:pP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w:t>
            </w:r>
          </w:p>
        </w:tc>
        <w:tc>
          <w:tcPr>
            <w:tcW w:w="2725" w:type="pct"/>
            <w:shd w:val="clear" w:color="auto" w:fill="auto"/>
            <w:noWrap w:val="0"/>
            <w:vAlign w:val="center"/>
          </w:tcPr>
          <w:p w14:paraId="75764C5C">
            <w:pPr>
              <w:pStyle w:val="24"/>
              <w:bidi w:val="0"/>
              <w:ind w:left="0" w:leftChars="0"/>
              <w:jc w:val="left"/>
              <w:rPr>
                <w:rFonts w:hint="default" w:ascii="Times New Roman" w:hAnsi="Times New Roman" w:eastAsia="宋体" w:cs="Courier New"/>
                <w:b w:val="0"/>
                <w:color w:val="auto"/>
                <w:kern w:val="2"/>
                <w:sz w:val="21"/>
                <w:szCs w:val="24"/>
                <w:highlight w:val="none"/>
                <w:lang w:val="en-US" w:eastAsia="zh-CN" w:bidi="ar-SA"/>
              </w:rPr>
            </w:pPr>
            <w:r>
              <w:rPr>
                <w:rFonts w:hint="eastAsia" w:cs="Courier New"/>
                <w:b w:val="0"/>
                <w:color w:val="auto"/>
                <w:highlight w:val="none"/>
                <w:lang w:val="en-US" w:eastAsia="zh-CN"/>
              </w:rPr>
              <w:t>质检室设2个试剂柜、2个通风橱、8个万向罩，并设1套</w:t>
            </w:r>
            <w:r>
              <w:rPr>
                <w:rFonts w:hint="default" w:ascii="Times New Roman" w:hAnsi="Times New Roman" w:eastAsia="宋体" w:cs="Courier New"/>
                <w:b w:val="0"/>
                <w:color w:val="auto"/>
                <w:highlight w:val="none"/>
                <w:lang w:val="en-US" w:eastAsia="zh-CN"/>
              </w:rPr>
              <w:t>碱喷淋</w:t>
            </w:r>
            <w:r>
              <w:rPr>
                <w:rFonts w:hint="eastAsia" w:cs="Courier New"/>
                <w:b w:val="0"/>
                <w:color w:val="auto"/>
                <w:highlight w:val="none"/>
                <w:lang w:val="en-US" w:eastAsia="zh-CN"/>
              </w:rPr>
              <w:t>装置</w:t>
            </w:r>
            <w:r>
              <w:rPr>
                <w:rFonts w:hint="eastAsia" w:ascii="Times New Roman" w:hAnsi="Times New Roman" w:eastAsia="宋体" w:cs="Courier New"/>
                <w:b w:val="0"/>
                <w:color w:val="auto"/>
                <w:highlight w:val="none"/>
                <w:lang w:val="en-US" w:eastAsia="zh-CN"/>
              </w:rPr>
              <w:t>（TA00</w:t>
            </w:r>
            <w:r>
              <w:rPr>
                <w:rFonts w:hint="eastAsia" w:cs="Courier New"/>
                <w:b w:val="0"/>
                <w:color w:val="auto"/>
                <w:highlight w:val="none"/>
                <w:lang w:val="en-US" w:eastAsia="zh-CN"/>
              </w:rPr>
              <w:t>2</w:t>
            </w:r>
            <w:r>
              <w:rPr>
                <w:rFonts w:hint="eastAsia" w:ascii="Times New Roman" w:hAnsi="Times New Roman" w:eastAsia="宋体" w:cs="Courier New"/>
                <w:b w:val="0"/>
                <w:color w:val="auto"/>
                <w:highlight w:val="none"/>
                <w:lang w:val="en-US" w:eastAsia="zh-CN"/>
              </w:rPr>
              <w:t>），</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处理后通过</w:t>
            </w:r>
            <w:r>
              <w:rPr>
                <w:rFonts w:hint="eastAsia"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cs="Courier New"/>
                <w:b w:val="0"/>
                <w:color w:val="auto"/>
                <w:highlight w:val="none"/>
                <w:lang w:val="en-US" w:eastAsia="zh-CN"/>
              </w:rPr>
              <w:t>（DA002）</w:t>
            </w:r>
            <w:r>
              <w:rPr>
                <w:rFonts w:hint="default" w:ascii="Times New Roman" w:hAnsi="Times New Roman" w:eastAsia="宋体" w:cs="Courier New"/>
                <w:b w:val="0"/>
                <w:color w:val="auto"/>
                <w:highlight w:val="none"/>
                <w:lang w:val="en-US" w:eastAsia="zh-CN"/>
              </w:rPr>
              <w:t>排放</w:t>
            </w:r>
            <w:r>
              <w:rPr>
                <w:rFonts w:hint="eastAsia" w:cs="Courier New"/>
                <w:b w:val="0"/>
                <w:color w:val="auto"/>
                <w:highlight w:val="none"/>
                <w:lang w:val="en-US" w:eastAsia="zh-CN"/>
              </w:rPr>
              <w:t>。</w:t>
            </w:r>
          </w:p>
        </w:tc>
        <w:tc>
          <w:tcPr>
            <w:tcW w:w="588" w:type="pct"/>
            <w:vMerge w:val="continue"/>
            <w:noWrap w:val="0"/>
            <w:vAlign w:val="center"/>
          </w:tcPr>
          <w:p w14:paraId="27E9F99F">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580D99D5">
            <w:pPr>
              <w:pStyle w:val="24"/>
              <w:bidi w:val="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喷淋废水（含废渣）</w:t>
            </w:r>
          </w:p>
        </w:tc>
      </w:tr>
      <w:tr w14:paraId="7A93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15C0C63F">
            <w:pPr>
              <w:pStyle w:val="24"/>
              <w:bidi w:val="0"/>
              <w:jc w:val="center"/>
              <w:rPr>
                <w:rFonts w:hint="default" w:ascii="Times New Roman" w:hAnsi="Times New Roman" w:eastAsia="宋体" w:cs="Times New Roman"/>
                <w:b w:val="0"/>
                <w:bCs w:val="0"/>
                <w:color w:val="auto"/>
                <w:highlight w:val="none"/>
                <w:lang w:val="en-US" w:eastAsia="zh-CN"/>
              </w:rPr>
            </w:pPr>
          </w:p>
        </w:tc>
        <w:tc>
          <w:tcPr>
            <w:tcW w:w="224" w:type="pct"/>
            <w:vMerge w:val="continue"/>
            <w:noWrap w:val="0"/>
            <w:vAlign w:val="center"/>
          </w:tcPr>
          <w:p w14:paraId="14FF98E1">
            <w:pPr>
              <w:pStyle w:val="24"/>
              <w:bidi w:val="0"/>
              <w:jc w:val="center"/>
              <w:rPr>
                <w:rFonts w:hint="default" w:ascii="Times New Roman" w:hAnsi="Times New Roman" w:eastAsia="宋体" w:cs="Times New Roman"/>
                <w:b w:val="0"/>
                <w:bCs w:val="0"/>
                <w:color w:val="auto"/>
                <w:highlight w:val="none"/>
                <w:lang w:val="en-US" w:eastAsia="zh-CN"/>
              </w:rPr>
            </w:pPr>
          </w:p>
        </w:tc>
        <w:tc>
          <w:tcPr>
            <w:tcW w:w="457" w:type="pct"/>
            <w:noWrap w:val="0"/>
            <w:vAlign w:val="center"/>
          </w:tcPr>
          <w:p w14:paraId="5F69AE43">
            <w:pPr>
              <w:pStyle w:val="24"/>
              <w:bidi w:val="0"/>
              <w:ind w:left="0" w:leftChars="0"/>
              <w:rPr>
                <w:rFonts w:hint="eastAsia" w:ascii="Times New Roman" w:hAnsi="Times New Roman" w:eastAsia="宋体" w:cs="Courier New"/>
                <w:b w:val="0"/>
                <w:color w:val="auto"/>
                <w:highlight w:val="none"/>
                <w:lang w:val="en-US" w:eastAsia="zh-CN"/>
              </w:rPr>
            </w:pPr>
            <w:r>
              <w:rPr>
                <w:rFonts w:hint="eastAsia" w:cs="Times New Roman"/>
                <w:b w:val="0"/>
                <w:bCs w:val="0"/>
                <w:color w:val="auto"/>
                <w:highlight w:val="none"/>
                <w:lang w:val="en-US" w:eastAsia="zh-CN"/>
              </w:rPr>
              <w:t>危废暂存间</w:t>
            </w:r>
            <w:r>
              <w:rPr>
                <w:rFonts w:hint="eastAsia" w:ascii="Times New Roman" w:hAnsi="Times New Roman" w:eastAsia="宋体" w:cs="Courier New"/>
                <w:b w:val="0"/>
                <w:color w:val="auto"/>
                <w:highlight w:val="none"/>
                <w:lang w:val="en-US" w:eastAsia="zh-CN"/>
              </w:rPr>
              <w:t>废气</w:t>
            </w:r>
          </w:p>
        </w:tc>
        <w:tc>
          <w:tcPr>
            <w:tcW w:w="2725" w:type="pct"/>
            <w:noWrap w:val="0"/>
            <w:vAlign w:val="center"/>
          </w:tcPr>
          <w:p w14:paraId="1935C95F">
            <w:pPr>
              <w:pStyle w:val="24"/>
              <w:bidi w:val="0"/>
              <w:ind w:left="0" w:leftChars="0"/>
              <w:jc w:val="left"/>
              <w:rPr>
                <w:rFonts w:hint="eastAsia" w:ascii="Times New Roman" w:hAnsi="Times New Roman" w:eastAsia="宋体" w:cs="Courier New"/>
                <w:b w:val="0"/>
                <w:color w:val="auto"/>
                <w:highlight w:val="none"/>
                <w:lang w:eastAsia="zh-CN"/>
              </w:rPr>
            </w:pPr>
            <w:r>
              <w:rPr>
                <w:rFonts w:hint="eastAsia" w:cs="Times New Roman"/>
                <w:b w:val="0"/>
                <w:bCs w:val="0"/>
                <w:color w:val="auto"/>
                <w:highlight w:val="none"/>
                <w:lang w:val="en-US" w:eastAsia="zh-CN"/>
              </w:rPr>
              <w:t>危废暂存间</w:t>
            </w:r>
            <w:r>
              <w:rPr>
                <w:rFonts w:hint="eastAsia"/>
                <w:color w:val="auto"/>
                <w:lang w:val="en-US" w:eastAsia="zh-CN"/>
              </w:rPr>
              <w:t>在保证安全的前提下</w:t>
            </w:r>
            <w:r>
              <w:rPr>
                <w:rFonts w:hint="eastAsia" w:cs="Courier New"/>
                <w:b w:val="0"/>
                <w:color w:val="auto"/>
                <w:highlight w:val="none"/>
                <w:lang w:val="en-US" w:eastAsia="zh-CN"/>
              </w:rPr>
              <w:t>密闭设置，负压</w:t>
            </w:r>
            <w:r>
              <w:rPr>
                <w:rFonts w:hint="eastAsia" w:ascii="Times New Roman" w:hAnsi="Times New Roman" w:cs="Times New Roman"/>
                <w:bCs/>
                <w:color w:val="auto"/>
                <w:kern w:val="0"/>
                <w:szCs w:val="21"/>
              </w:rPr>
              <w:t>抽风，并设1套活性炭吸附装置（T</w:t>
            </w:r>
            <w:r>
              <w:rPr>
                <w:rFonts w:ascii="Times New Roman" w:hAnsi="Times New Roman" w:cs="Times New Roman"/>
                <w:bCs/>
                <w:color w:val="auto"/>
                <w:kern w:val="0"/>
                <w:szCs w:val="21"/>
              </w:rPr>
              <w:t>A0</w:t>
            </w:r>
            <w:r>
              <w:rPr>
                <w:rFonts w:hint="eastAsia" w:ascii="Times New Roman" w:hAnsi="Times New Roman" w:cs="Times New Roman"/>
                <w:bCs/>
                <w:color w:val="auto"/>
                <w:kern w:val="0"/>
                <w:szCs w:val="21"/>
                <w:lang w:val="en-US" w:eastAsia="zh-CN"/>
              </w:rPr>
              <w:t>0</w:t>
            </w:r>
            <w:r>
              <w:rPr>
                <w:rFonts w:hint="eastAsia" w:cs="Times New Roman"/>
                <w:bCs/>
                <w:color w:val="auto"/>
                <w:kern w:val="0"/>
                <w:szCs w:val="21"/>
                <w:lang w:val="en-US" w:eastAsia="zh-CN"/>
              </w:rPr>
              <w:t>3</w:t>
            </w:r>
            <w:r>
              <w:rPr>
                <w:rFonts w:hint="eastAsia" w:ascii="Times New Roman" w:hAnsi="Times New Roman" w:cs="Times New Roman"/>
                <w:bCs/>
                <w:color w:val="auto"/>
                <w:kern w:val="0"/>
                <w:szCs w:val="21"/>
              </w:rPr>
              <w:t>）</w:t>
            </w:r>
            <w:r>
              <w:rPr>
                <w:rFonts w:hint="eastAsia" w:ascii="Times New Roman" w:hAnsi="Times New Roman" w:cs="Times New Roman"/>
                <w:bCs/>
                <w:color w:val="auto"/>
                <w:kern w:val="0"/>
                <w:szCs w:val="21"/>
                <w:lang w:eastAsia="zh-CN"/>
              </w:rPr>
              <w:t>，</w:t>
            </w:r>
            <w:r>
              <w:rPr>
                <w:rFonts w:hint="eastAsia" w:cs="Times New Roman"/>
                <w:b w:val="0"/>
                <w:bCs w:val="0"/>
                <w:color w:val="auto"/>
                <w:highlight w:val="none"/>
                <w:lang w:val="en-US" w:eastAsia="zh-CN"/>
              </w:rPr>
              <w:t>危废暂存间</w:t>
            </w:r>
            <w:r>
              <w:rPr>
                <w:rFonts w:hint="default" w:ascii="Times New Roman" w:hAnsi="Times New Roman" w:eastAsia="宋体" w:cs="Courier New"/>
                <w:b w:val="0"/>
                <w:color w:val="auto"/>
                <w:kern w:val="2"/>
                <w:sz w:val="21"/>
                <w:szCs w:val="24"/>
                <w:highlight w:val="none"/>
                <w:lang w:val="en-US" w:eastAsia="zh-CN" w:bidi="ar-SA"/>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w:t>
            </w:r>
            <w:r>
              <w:rPr>
                <w:rFonts w:hint="eastAsia" w:cs="Courier New"/>
                <w:b w:val="0"/>
                <w:color w:val="auto"/>
                <w:highlight w:val="none"/>
                <w:lang w:val="en-US" w:eastAsia="zh-CN"/>
              </w:rPr>
              <w:t>直接</w:t>
            </w:r>
            <w:r>
              <w:rPr>
                <w:rFonts w:hint="default" w:ascii="Times New Roman" w:hAnsi="Times New Roman" w:eastAsia="宋体" w:cs="Courier New"/>
                <w:b w:val="0"/>
                <w:color w:val="auto"/>
                <w:highlight w:val="none"/>
                <w:lang w:val="en-US" w:eastAsia="zh-CN"/>
              </w:rPr>
              <w:t>排放</w:t>
            </w:r>
            <w:r>
              <w:rPr>
                <w:rFonts w:hint="eastAsia" w:cs="Courier New"/>
                <w:b w:val="0"/>
                <w:color w:val="auto"/>
                <w:highlight w:val="none"/>
                <w:lang w:val="en-US" w:eastAsia="zh-CN"/>
              </w:rPr>
              <w:t>。</w:t>
            </w:r>
          </w:p>
        </w:tc>
        <w:tc>
          <w:tcPr>
            <w:tcW w:w="588" w:type="pct"/>
            <w:vMerge w:val="continue"/>
            <w:noWrap w:val="0"/>
            <w:vAlign w:val="center"/>
          </w:tcPr>
          <w:p w14:paraId="11314837">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3B827A0E">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废活性炭</w:t>
            </w:r>
          </w:p>
        </w:tc>
      </w:tr>
      <w:tr w14:paraId="092D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1DEFFAF2">
            <w:pPr>
              <w:pStyle w:val="24"/>
              <w:bidi w:val="0"/>
              <w:jc w:val="center"/>
              <w:rPr>
                <w:rFonts w:hint="default" w:ascii="Times New Roman" w:hAnsi="Times New Roman" w:eastAsia="宋体" w:cs="Times New Roman"/>
                <w:b w:val="0"/>
                <w:bCs w:val="0"/>
                <w:color w:val="auto"/>
                <w:highlight w:val="none"/>
                <w:lang w:val="en-US" w:eastAsia="zh-CN"/>
              </w:rPr>
            </w:pPr>
          </w:p>
        </w:tc>
        <w:tc>
          <w:tcPr>
            <w:tcW w:w="224" w:type="pct"/>
            <w:vMerge w:val="restart"/>
            <w:noWrap w:val="0"/>
            <w:vAlign w:val="center"/>
          </w:tcPr>
          <w:p w14:paraId="5A5B75F0">
            <w:pPr>
              <w:pStyle w:val="24"/>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废水</w:t>
            </w:r>
          </w:p>
        </w:tc>
        <w:tc>
          <w:tcPr>
            <w:tcW w:w="457" w:type="pct"/>
            <w:shd w:val="clear" w:color="auto" w:fill="auto"/>
            <w:noWrap w:val="0"/>
            <w:vAlign w:val="center"/>
          </w:tcPr>
          <w:p w14:paraId="66D89BDA">
            <w:pPr>
              <w:pStyle w:val="24"/>
              <w:bidi w:val="0"/>
              <w:ind w:left="0" w:leftChars="0"/>
              <w:rPr>
                <w:rFonts w:hint="default" w:ascii="Times New Roman" w:hAnsi="Times New Roman" w:eastAsia="宋体" w:cs="Courier New"/>
                <w:b w:val="0"/>
                <w:color w:val="auto"/>
                <w:kern w:val="2"/>
                <w:sz w:val="21"/>
                <w:szCs w:val="24"/>
                <w:highlight w:val="none"/>
                <w:lang w:val="en-US" w:eastAsia="zh-CN" w:bidi="ar-SA"/>
              </w:rPr>
            </w:pPr>
            <w:r>
              <w:rPr>
                <w:rFonts w:hint="eastAsia" w:ascii="Times New Roman" w:hAnsi="Times New Roman" w:eastAsia="宋体" w:cs="Courier New"/>
                <w:b w:val="0"/>
                <w:color w:val="auto"/>
                <w:highlight w:val="none"/>
                <w:lang w:val="en-US" w:eastAsia="zh-CN"/>
              </w:rPr>
              <w:t>预处理池</w:t>
            </w:r>
          </w:p>
        </w:tc>
        <w:tc>
          <w:tcPr>
            <w:tcW w:w="2725" w:type="pct"/>
            <w:shd w:val="clear" w:color="auto" w:fill="auto"/>
            <w:noWrap w:val="0"/>
            <w:vAlign w:val="center"/>
          </w:tcPr>
          <w:p w14:paraId="0F0AEFA7">
            <w:pPr>
              <w:pStyle w:val="24"/>
              <w:bidi w:val="0"/>
              <w:ind w:left="0" w:leftChars="0"/>
              <w:jc w:val="left"/>
              <w:rPr>
                <w:rFonts w:hint="default" w:ascii="Times New Roman" w:hAnsi="Times New Roman" w:eastAsia="宋体" w:cs="Courier New"/>
                <w:b w:val="0"/>
                <w:color w:val="auto"/>
                <w:kern w:val="2"/>
                <w:sz w:val="21"/>
                <w:szCs w:val="24"/>
                <w:highlight w:val="none"/>
                <w:lang w:val="en-US" w:eastAsia="zh-CN" w:bidi="ar-SA"/>
              </w:rPr>
            </w:pP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w:t>
            </w:r>
            <w:r>
              <w:rPr>
                <w:rFonts w:hint="eastAsia" w:ascii="Times New Roman" w:hAnsi="Times New Roman" w:eastAsia="宋体" w:cs="Courier New"/>
                <w:b w:val="0"/>
                <w:color w:val="auto"/>
                <w:highlight w:val="none"/>
                <w:lang w:val="en-US" w:eastAsia="zh-CN"/>
              </w:rPr>
              <w:t>，容积</w:t>
            </w:r>
            <w:r>
              <w:rPr>
                <w:rFonts w:hint="eastAsia" w:cs="Courier New"/>
                <w:b w:val="0"/>
                <w:color w:val="auto"/>
                <w:highlight w:val="none"/>
                <w:lang w:val="en-US" w:eastAsia="zh-CN"/>
              </w:rPr>
              <w:t>8</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ascii="Times New Roman" w:hAnsi="Times New Roman" w:eastAsia="宋体" w:cs="Courier New"/>
                <w:b w:val="0"/>
                <w:color w:val="auto"/>
                <w:highlight w:val="none"/>
                <w:lang w:val="en-US" w:eastAsia="zh-CN"/>
              </w:rPr>
              <w:t>，位于</w:t>
            </w:r>
            <w:r>
              <w:rPr>
                <w:rFonts w:hint="eastAsia" w:cs="Courier New"/>
                <w:b w:val="0"/>
                <w:color w:val="auto"/>
                <w:highlight w:val="none"/>
                <w:lang w:val="en-US" w:eastAsia="zh-CN"/>
              </w:rPr>
              <w:t>厂区南侧</w:t>
            </w:r>
            <w:r>
              <w:rPr>
                <w:rFonts w:hint="eastAsia" w:ascii="Times New Roman" w:hAnsi="Times New Roman" w:eastAsia="宋体" w:cs="Courier New"/>
                <w:b w:val="0"/>
                <w:color w:val="auto"/>
                <w:highlight w:val="none"/>
                <w:lang w:val="en-US" w:eastAsia="zh-CN"/>
              </w:rPr>
              <w:t>，用于处理生活污水。</w:t>
            </w:r>
          </w:p>
        </w:tc>
        <w:tc>
          <w:tcPr>
            <w:tcW w:w="588" w:type="pct"/>
            <w:vMerge w:val="continue"/>
            <w:noWrap w:val="0"/>
            <w:vAlign w:val="center"/>
          </w:tcPr>
          <w:p w14:paraId="31FA4D6E">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08B34436">
            <w:pPr>
              <w:pStyle w:val="24"/>
              <w:bidi w:val="0"/>
              <w:jc w:val="center"/>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污泥</w:t>
            </w:r>
          </w:p>
        </w:tc>
      </w:tr>
      <w:tr w14:paraId="7610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050D6581">
            <w:pPr>
              <w:pStyle w:val="24"/>
              <w:bidi w:val="0"/>
              <w:jc w:val="center"/>
              <w:rPr>
                <w:rFonts w:hint="default" w:ascii="Times New Roman" w:hAnsi="Times New Roman" w:eastAsia="宋体" w:cs="Times New Roman"/>
                <w:b w:val="0"/>
                <w:bCs w:val="0"/>
                <w:color w:val="auto"/>
                <w:highlight w:val="none"/>
                <w:lang w:val="en-US" w:eastAsia="zh-CN"/>
              </w:rPr>
            </w:pPr>
          </w:p>
        </w:tc>
        <w:tc>
          <w:tcPr>
            <w:tcW w:w="224" w:type="pct"/>
            <w:vMerge w:val="continue"/>
            <w:noWrap w:val="0"/>
            <w:vAlign w:val="center"/>
          </w:tcPr>
          <w:p w14:paraId="483A79C6">
            <w:pPr>
              <w:pStyle w:val="24"/>
              <w:bidi w:val="0"/>
              <w:jc w:val="center"/>
              <w:rPr>
                <w:rFonts w:hint="default" w:ascii="Times New Roman" w:hAnsi="Times New Roman" w:eastAsia="宋体" w:cs="Times New Roman"/>
                <w:b w:val="0"/>
                <w:bCs w:val="0"/>
                <w:color w:val="auto"/>
                <w:highlight w:val="none"/>
                <w:lang w:val="en-US" w:eastAsia="zh-CN"/>
              </w:rPr>
            </w:pPr>
          </w:p>
        </w:tc>
        <w:tc>
          <w:tcPr>
            <w:tcW w:w="457" w:type="pct"/>
            <w:shd w:val="clear" w:color="auto" w:fill="auto"/>
            <w:noWrap w:val="0"/>
            <w:vAlign w:val="center"/>
          </w:tcPr>
          <w:p w14:paraId="30332C5D">
            <w:pPr>
              <w:pStyle w:val="24"/>
              <w:bidi w:val="0"/>
              <w:ind w:left="0" w:leftChars="0"/>
              <w:rPr>
                <w:rFonts w:hint="eastAsia" w:ascii="Times New Roman" w:hAnsi="Times New Roman" w:eastAsia="宋体" w:cs="Courier New"/>
                <w:color w:val="auto"/>
                <w:kern w:val="2"/>
                <w:sz w:val="21"/>
                <w:szCs w:val="21"/>
                <w:highlight w:val="none"/>
                <w:lang w:val="en-US" w:eastAsia="zh-CN" w:bidi="ar-SA"/>
              </w:rPr>
            </w:pPr>
            <w:r>
              <w:rPr>
                <w:rFonts w:hint="eastAsia"/>
                <w:color w:val="auto"/>
                <w:sz w:val="21"/>
                <w:szCs w:val="21"/>
                <w:highlight w:val="none"/>
                <w:lang w:val="en-US" w:eastAsia="zh-CN"/>
              </w:rPr>
              <w:t>沉淀池</w:t>
            </w:r>
          </w:p>
        </w:tc>
        <w:tc>
          <w:tcPr>
            <w:tcW w:w="2725" w:type="pct"/>
            <w:shd w:val="clear" w:color="auto" w:fill="auto"/>
            <w:noWrap w:val="0"/>
            <w:vAlign w:val="center"/>
          </w:tcPr>
          <w:p w14:paraId="3140FBAA">
            <w:pPr>
              <w:pStyle w:val="24"/>
              <w:bidi w:val="0"/>
              <w:ind w:left="0" w:leftChars="0"/>
              <w:jc w:val="left"/>
              <w:rPr>
                <w:rFonts w:hint="eastAsia"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w:t>
            </w:r>
            <w:r>
              <w:rPr>
                <w:rFonts w:hint="eastAsia" w:ascii="Times New Roman" w:hAnsi="Times New Roman" w:eastAsia="宋体" w:cs="Courier New"/>
                <w:b w:val="0"/>
                <w:color w:val="auto"/>
                <w:highlight w:val="none"/>
                <w:lang w:val="en-US" w:eastAsia="zh-CN"/>
              </w:rPr>
              <w:t>，容积</w:t>
            </w:r>
            <w:r>
              <w:rPr>
                <w:rFonts w:hint="eastAsia" w:cs="Courier New"/>
                <w:b w:val="0"/>
                <w:color w:val="auto"/>
                <w:highlight w:val="none"/>
                <w:lang w:val="en-US" w:eastAsia="zh-CN"/>
              </w:rPr>
              <w:t>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ascii="Times New Roman" w:hAnsi="Times New Roman" w:eastAsia="宋体" w:cs="Courier New"/>
                <w:b w:val="0"/>
                <w:color w:val="auto"/>
                <w:highlight w:val="none"/>
                <w:lang w:val="en-US" w:eastAsia="zh-CN"/>
              </w:rPr>
              <w:t>，位于</w:t>
            </w:r>
            <w:r>
              <w:rPr>
                <w:rFonts w:hint="eastAsia" w:cs="Courier New"/>
                <w:b w:val="0"/>
                <w:color w:val="auto"/>
                <w:highlight w:val="none"/>
                <w:lang w:val="en-US" w:eastAsia="zh-CN"/>
              </w:rPr>
              <w:t>厂区西南侧</w:t>
            </w:r>
            <w:r>
              <w:rPr>
                <w:rFonts w:hint="eastAsia" w:ascii="Times New Roman" w:hAnsi="Times New Roman" w:eastAsia="宋体" w:cs="Courier New"/>
                <w:b w:val="0"/>
                <w:color w:val="auto"/>
                <w:highlight w:val="none"/>
                <w:lang w:val="en-US" w:eastAsia="zh-CN"/>
              </w:rPr>
              <w:t>，用于</w:t>
            </w:r>
            <w:r>
              <w:rPr>
                <w:rFonts w:hint="eastAsia" w:cs="Courier New"/>
                <w:b w:val="0"/>
                <w:color w:val="auto"/>
                <w:highlight w:val="none"/>
                <w:lang w:val="en-US" w:eastAsia="zh-CN"/>
              </w:rPr>
              <w:t>处理车间地面清洁废水</w:t>
            </w:r>
            <w:r>
              <w:rPr>
                <w:rFonts w:hint="eastAsia" w:ascii="Times New Roman" w:hAnsi="Times New Roman" w:eastAsia="宋体" w:cs="Courier New"/>
                <w:b w:val="0"/>
                <w:color w:val="auto"/>
                <w:highlight w:val="none"/>
                <w:lang w:val="en-US" w:eastAsia="zh-CN"/>
              </w:rPr>
              <w:t>。</w:t>
            </w:r>
          </w:p>
        </w:tc>
        <w:tc>
          <w:tcPr>
            <w:tcW w:w="588" w:type="pct"/>
            <w:vMerge w:val="continue"/>
            <w:noWrap w:val="0"/>
            <w:vAlign w:val="center"/>
          </w:tcPr>
          <w:p w14:paraId="7E2B593F">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5B3E4DAE">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沉渣</w:t>
            </w:r>
          </w:p>
        </w:tc>
      </w:tr>
      <w:tr w14:paraId="69CA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07" w:type="pct"/>
            <w:vMerge w:val="continue"/>
            <w:noWrap w:val="0"/>
            <w:vAlign w:val="center"/>
          </w:tcPr>
          <w:p w14:paraId="75D7CA26">
            <w:pPr>
              <w:pStyle w:val="24"/>
              <w:bidi w:val="0"/>
              <w:jc w:val="center"/>
              <w:rPr>
                <w:rFonts w:hint="default" w:ascii="Times New Roman" w:hAnsi="Times New Roman" w:eastAsia="宋体" w:cs="Times New Roman"/>
                <w:b w:val="0"/>
                <w:bCs w:val="0"/>
                <w:color w:val="auto"/>
                <w:highlight w:val="none"/>
                <w:lang w:val="en-US" w:eastAsia="zh-CN"/>
              </w:rPr>
            </w:pPr>
          </w:p>
        </w:tc>
        <w:tc>
          <w:tcPr>
            <w:tcW w:w="224" w:type="pct"/>
            <w:vMerge w:val="restart"/>
            <w:noWrap w:val="0"/>
            <w:vAlign w:val="center"/>
          </w:tcPr>
          <w:p w14:paraId="1B5D42D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highlight w:val="none"/>
                <w:lang w:val="en-US" w:eastAsia="zh-CN"/>
              </w:rPr>
              <w:t>固废</w:t>
            </w:r>
          </w:p>
        </w:tc>
        <w:tc>
          <w:tcPr>
            <w:tcW w:w="457" w:type="pct"/>
            <w:noWrap w:val="0"/>
            <w:vAlign w:val="center"/>
          </w:tcPr>
          <w:p w14:paraId="44B079D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一般固废暂存间</w:t>
            </w:r>
          </w:p>
        </w:tc>
        <w:tc>
          <w:tcPr>
            <w:tcW w:w="2725" w:type="pct"/>
            <w:noWrap w:val="0"/>
            <w:vAlign w:val="center"/>
          </w:tcPr>
          <w:p w14:paraId="02078395">
            <w:pPr>
              <w:pStyle w:val="24"/>
              <w:bidi w:val="0"/>
              <w:ind w:left="0" w:leftChars="0"/>
              <w:jc w:val="left"/>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1个，建筑面积40m</w:t>
            </w:r>
            <w:r>
              <w:rPr>
                <w:rFonts w:hint="eastAsia" w:cs="Times New Roman"/>
                <w:b w:val="0"/>
                <w:bCs w:val="0"/>
                <w:color w:val="auto"/>
                <w:sz w:val="21"/>
                <w:szCs w:val="21"/>
                <w:highlight w:val="none"/>
                <w:vertAlign w:val="superscript"/>
                <w:lang w:val="en-US" w:eastAsia="zh-CN"/>
              </w:rPr>
              <w:t>2</w:t>
            </w:r>
            <w:r>
              <w:rPr>
                <w:color w:val="auto"/>
                <w:highlight w:val="none"/>
              </w:rPr>
              <w:t>，</w:t>
            </w:r>
            <w:r>
              <w:rPr>
                <w:rFonts w:hint="eastAsia"/>
                <w:color w:val="auto"/>
                <w:highlight w:val="none"/>
                <w:lang w:val="en-US" w:eastAsia="zh-CN"/>
              </w:rPr>
              <w:t>位于仓库内东南侧，</w:t>
            </w:r>
            <w:r>
              <w:rPr>
                <w:color w:val="auto"/>
                <w:highlight w:val="none"/>
              </w:rPr>
              <w:t>用于</w:t>
            </w:r>
            <w:r>
              <w:rPr>
                <w:rFonts w:hint="eastAsia"/>
                <w:color w:val="auto"/>
                <w:highlight w:val="none"/>
                <w:lang w:val="en-US" w:eastAsia="zh-CN"/>
              </w:rPr>
              <w:t>一般固废</w:t>
            </w:r>
            <w:r>
              <w:rPr>
                <w:rFonts w:hint="default" w:ascii="Times New Roman" w:hAnsi="Times New Roman" w:eastAsia="宋体" w:cs="Times New Roman"/>
                <w:b w:val="0"/>
                <w:bCs w:val="0"/>
                <w:color w:val="auto"/>
                <w:highlight w:val="none"/>
                <w:lang w:val="en-US" w:eastAsia="zh-CN"/>
              </w:rPr>
              <w:t>的暂存</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36386DA7">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7D37A5FE">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w:t>
            </w:r>
          </w:p>
        </w:tc>
      </w:tr>
      <w:tr w14:paraId="50B5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07" w:type="pct"/>
            <w:vMerge w:val="continue"/>
            <w:noWrap w:val="0"/>
            <w:vAlign w:val="center"/>
          </w:tcPr>
          <w:p w14:paraId="1D3B0F32">
            <w:pPr>
              <w:pStyle w:val="24"/>
              <w:bidi w:val="0"/>
              <w:ind w:left="0" w:leftChars="0"/>
              <w:jc w:val="left"/>
              <w:rPr>
                <w:color w:val="auto"/>
              </w:rPr>
            </w:pPr>
          </w:p>
        </w:tc>
        <w:tc>
          <w:tcPr>
            <w:tcW w:w="224" w:type="pct"/>
            <w:vMerge w:val="continue"/>
            <w:noWrap w:val="0"/>
            <w:vAlign w:val="center"/>
          </w:tcPr>
          <w:p w14:paraId="1DDD3AC1">
            <w:pPr>
              <w:pStyle w:val="24"/>
              <w:bidi w:val="0"/>
              <w:ind w:left="0" w:leftChars="0"/>
              <w:jc w:val="left"/>
              <w:rPr>
                <w:color w:val="auto"/>
              </w:rPr>
            </w:pPr>
          </w:p>
        </w:tc>
        <w:tc>
          <w:tcPr>
            <w:tcW w:w="457" w:type="pct"/>
            <w:shd w:val="clear" w:color="auto" w:fill="auto"/>
            <w:noWrap w:val="0"/>
            <w:vAlign w:val="center"/>
          </w:tcPr>
          <w:p w14:paraId="2E345BF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危废</w:t>
            </w:r>
          </w:p>
          <w:p w14:paraId="6E3D039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暂存间</w:t>
            </w:r>
          </w:p>
        </w:tc>
        <w:tc>
          <w:tcPr>
            <w:tcW w:w="2725" w:type="pct"/>
            <w:shd w:val="clear" w:color="auto" w:fill="auto"/>
            <w:noWrap w:val="0"/>
            <w:vAlign w:val="center"/>
          </w:tcPr>
          <w:p w14:paraId="5F87F806">
            <w:pPr>
              <w:pStyle w:val="24"/>
              <w:bidi w:val="0"/>
              <w:ind w:left="0" w:leftChars="0"/>
              <w:jc w:val="left"/>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olor w:val="auto"/>
                <w:highlight w:val="none"/>
                <w:lang w:val="en-US" w:eastAsia="zh-CN"/>
              </w:rPr>
              <w:t>1个</w:t>
            </w:r>
            <w:r>
              <w:rPr>
                <w:color w:val="auto"/>
                <w:highlight w:val="none"/>
              </w:rPr>
              <w:t>，</w:t>
            </w:r>
            <w:r>
              <w:rPr>
                <w:rFonts w:hint="eastAsia"/>
                <w:color w:val="auto"/>
                <w:highlight w:val="none"/>
                <w:lang w:val="en-US" w:eastAsia="zh-CN"/>
              </w:rPr>
              <w:t>建筑</w:t>
            </w:r>
            <w:r>
              <w:rPr>
                <w:color w:val="auto"/>
                <w:highlight w:val="none"/>
              </w:rPr>
              <w:t>面积</w:t>
            </w:r>
            <w:r>
              <w:rPr>
                <w:rFonts w:hint="eastAsia"/>
                <w:color w:val="auto"/>
                <w:highlight w:val="none"/>
                <w:lang w:val="en-US" w:eastAsia="zh-CN"/>
              </w:rPr>
              <w:t>20</w:t>
            </w:r>
            <w:r>
              <w:rPr>
                <w:color w:val="auto"/>
                <w:highlight w:val="none"/>
              </w:rPr>
              <w:t>m</w:t>
            </w:r>
            <w:r>
              <w:rPr>
                <w:color w:val="auto"/>
                <w:highlight w:val="none"/>
                <w:vertAlign w:val="superscript"/>
              </w:rPr>
              <w:t>2</w:t>
            </w:r>
            <w:r>
              <w:rPr>
                <w:color w:val="auto"/>
                <w:highlight w:val="none"/>
              </w:rPr>
              <w:t>，</w:t>
            </w:r>
            <w:r>
              <w:rPr>
                <w:rFonts w:hint="eastAsia"/>
                <w:color w:val="auto"/>
                <w:highlight w:val="none"/>
                <w:lang w:val="en-US" w:eastAsia="zh-CN"/>
              </w:rPr>
              <w:t>位于仓库内东南侧，</w:t>
            </w:r>
            <w:r>
              <w:rPr>
                <w:color w:val="auto"/>
                <w:highlight w:val="none"/>
              </w:rPr>
              <w:t>用于</w:t>
            </w:r>
            <w:r>
              <w:rPr>
                <w:rFonts w:hint="default" w:ascii="Times New Roman" w:hAnsi="Times New Roman" w:eastAsia="宋体" w:cs="Times New Roman"/>
                <w:b w:val="0"/>
                <w:bCs w:val="0"/>
                <w:color w:val="auto"/>
                <w:highlight w:val="none"/>
                <w:lang w:val="en-US" w:eastAsia="zh-CN"/>
              </w:rPr>
              <w:t>危险废物的暂存</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4C6EB879">
            <w:pPr>
              <w:pStyle w:val="24"/>
              <w:bidi w:val="0"/>
              <w:ind w:left="0" w:leftChars="0"/>
              <w:jc w:val="left"/>
              <w:rPr>
                <w:rFonts w:hint="eastAsia" w:ascii="Times New Roman" w:hAnsi="Times New Roman" w:eastAsia="宋体" w:cs="Times New Roman"/>
                <w:b w:val="0"/>
                <w:bCs w:val="0"/>
                <w:color w:val="auto"/>
                <w:sz w:val="21"/>
                <w:szCs w:val="21"/>
                <w:highlight w:val="none"/>
                <w:lang w:val="en-US" w:eastAsia="zh-CN"/>
              </w:rPr>
            </w:pPr>
          </w:p>
        </w:tc>
        <w:tc>
          <w:tcPr>
            <w:tcW w:w="597" w:type="pct"/>
            <w:noWrap w:val="0"/>
            <w:vAlign w:val="center"/>
          </w:tcPr>
          <w:p w14:paraId="17D96B2C">
            <w:pPr>
              <w:pStyle w:val="24"/>
              <w:bidi w:val="0"/>
              <w:ind w:left="0" w:leftChars="0"/>
              <w:jc w:val="left"/>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highlight w:val="none"/>
                <w:lang w:val="en-US" w:eastAsia="zh-CN"/>
              </w:rPr>
              <w:t>环境风险</w:t>
            </w:r>
          </w:p>
        </w:tc>
      </w:tr>
      <w:tr w14:paraId="4F86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3FA697FD">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shd w:val="clear" w:color="auto" w:fill="auto"/>
            <w:noWrap w:val="0"/>
            <w:vAlign w:val="center"/>
          </w:tcPr>
          <w:p w14:paraId="18B6A0D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地下水防渗</w:t>
            </w:r>
          </w:p>
        </w:tc>
        <w:tc>
          <w:tcPr>
            <w:tcW w:w="2725" w:type="pct"/>
            <w:shd w:val="clear" w:color="auto" w:fill="auto"/>
            <w:noWrap w:val="0"/>
            <w:vAlign w:val="center"/>
          </w:tcPr>
          <w:p w14:paraId="3C826403">
            <w:pPr>
              <w:pStyle w:val="24"/>
              <w:bidi w:val="0"/>
              <w:ind w:left="0" w:leftChars="0"/>
              <w:jc w:val="left"/>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重点防渗区：</w:t>
            </w:r>
            <w:r>
              <w:rPr>
                <w:rFonts w:hint="eastAsia" w:cs="Times New Roman"/>
                <w:b w:val="0"/>
                <w:bCs w:val="0"/>
                <w:color w:val="auto"/>
                <w:sz w:val="21"/>
                <w:szCs w:val="21"/>
                <w:highlight w:val="none"/>
                <w:lang w:val="en-US" w:eastAsia="zh-CN"/>
              </w:rPr>
              <w:t>生产车间、液体库区和</w:t>
            </w:r>
            <w:r>
              <w:rPr>
                <w:rFonts w:hint="eastAsia"/>
                <w:color w:val="auto"/>
                <w:highlight w:val="none"/>
                <w:lang w:val="en-US" w:eastAsia="zh-CN"/>
              </w:rPr>
              <w:t>双氧水库房、罐区、危废暂存间、初期雨水池、事故应急池、围堰及集水池</w:t>
            </w:r>
            <w:r>
              <w:rPr>
                <w:rFonts w:hint="default" w:ascii="Times New Roman" w:hAnsi="Times New Roman" w:eastAsia="宋体" w:cs="Times New Roman"/>
                <w:b w:val="0"/>
                <w:bCs w:val="0"/>
                <w:color w:val="auto"/>
                <w:sz w:val="21"/>
                <w:szCs w:val="21"/>
                <w:highlight w:val="none"/>
                <w:lang w:val="en-US" w:eastAsia="zh-CN"/>
              </w:rPr>
              <w:t>。</w:t>
            </w:r>
            <w:r>
              <w:rPr>
                <w:rFonts w:hint="eastAsia"/>
                <w:color w:val="auto"/>
              </w:rPr>
              <w:t>其中：危废暂存间需满足渗透系数K≤10</w:t>
            </w:r>
            <w:r>
              <w:rPr>
                <w:rFonts w:hint="eastAsia"/>
                <w:color w:val="auto"/>
                <w:vertAlign w:val="superscript"/>
              </w:rPr>
              <w:t>-10</w:t>
            </w:r>
            <w:r>
              <w:rPr>
                <w:rFonts w:hint="eastAsia"/>
                <w:color w:val="auto"/>
              </w:rPr>
              <w:t>cm/s的要求；其他区域需满足等效黏土防渗层Mb≥6.0m，渗透系数K≤10</w:t>
            </w:r>
            <w:r>
              <w:rPr>
                <w:rFonts w:hint="eastAsia"/>
                <w:color w:val="auto"/>
                <w:vertAlign w:val="superscript"/>
              </w:rPr>
              <w:t>-7</w:t>
            </w:r>
            <w:r>
              <w:rPr>
                <w:rFonts w:hint="eastAsia"/>
                <w:color w:val="auto"/>
              </w:rPr>
              <w:t>cm/s的要求。</w:t>
            </w:r>
          </w:p>
          <w:p w14:paraId="396BBD5E">
            <w:pPr>
              <w:pStyle w:val="24"/>
              <w:bidi w:val="0"/>
              <w:ind w:left="0" w:leftChars="0"/>
              <w:jc w:val="left"/>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一般防渗区：</w:t>
            </w:r>
            <w:r>
              <w:rPr>
                <w:rFonts w:hint="eastAsia" w:ascii="Times New Roman" w:hAnsi="Times New Roman"/>
                <w:color w:val="auto"/>
                <w:sz w:val="21"/>
                <w:szCs w:val="21"/>
                <w:lang w:val="en-US" w:eastAsia="zh-CN"/>
              </w:rPr>
              <w:t>仓库</w:t>
            </w:r>
            <w:r>
              <w:rPr>
                <w:rFonts w:hint="eastAsia"/>
                <w:color w:val="auto"/>
                <w:sz w:val="21"/>
                <w:szCs w:val="21"/>
                <w:lang w:val="en-US" w:eastAsia="zh-CN"/>
              </w:rPr>
              <w:t>（</w:t>
            </w:r>
            <w:r>
              <w:rPr>
                <w:rFonts w:hint="eastAsia" w:cs="Times New Roman"/>
                <w:b w:val="0"/>
                <w:bCs w:val="0"/>
                <w:color w:val="auto"/>
                <w:sz w:val="21"/>
                <w:szCs w:val="21"/>
                <w:highlight w:val="none"/>
                <w:lang w:val="en-US" w:eastAsia="zh-CN"/>
              </w:rPr>
              <w:t>液体库区、</w:t>
            </w:r>
            <w:r>
              <w:rPr>
                <w:rFonts w:hint="eastAsia"/>
                <w:color w:val="auto"/>
                <w:highlight w:val="none"/>
                <w:lang w:val="en-US" w:eastAsia="zh-CN"/>
              </w:rPr>
              <w:t>双氧水库房和危废暂存间</w:t>
            </w:r>
            <w:r>
              <w:rPr>
                <w:rFonts w:hint="eastAsia" w:cs="Times New Roman"/>
                <w:b w:val="0"/>
                <w:bCs w:val="0"/>
                <w:color w:val="auto"/>
                <w:sz w:val="21"/>
                <w:szCs w:val="21"/>
                <w:highlight w:val="none"/>
                <w:lang w:val="en-US" w:eastAsia="zh-CN"/>
              </w:rPr>
              <w:t>外</w:t>
            </w:r>
            <w:r>
              <w:rPr>
                <w:rFonts w:hint="eastAsia" w:ascii="Times New Roman" w:hAnsi="Times New Roman"/>
                <w:color w:val="auto"/>
                <w:sz w:val="21"/>
                <w:szCs w:val="21"/>
                <w:lang w:val="en-US" w:eastAsia="zh-CN"/>
              </w:rPr>
              <w:t>）、</w:t>
            </w:r>
            <w:r>
              <w:rPr>
                <w:rFonts w:hint="eastAsia"/>
                <w:color w:val="auto"/>
                <w:sz w:val="21"/>
                <w:szCs w:val="21"/>
                <w:lang w:val="en-US" w:eastAsia="zh-CN"/>
              </w:rPr>
              <w:t>设备间、质检室、</w:t>
            </w:r>
            <w:r>
              <w:rPr>
                <w:rFonts w:hint="eastAsia" w:ascii="Times New Roman" w:hAnsi="Times New Roman"/>
                <w:color w:val="auto"/>
                <w:sz w:val="21"/>
                <w:szCs w:val="21"/>
              </w:rPr>
              <w:t>预处理池</w:t>
            </w:r>
            <w:r>
              <w:rPr>
                <w:rFonts w:hint="eastAsia"/>
                <w:color w:val="auto"/>
                <w:sz w:val="21"/>
                <w:szCs w:val="21"/>
                <w:lang w:eastAsia="zh-CN"/>
              </w:rPr>
              <w:t>、</w:t>
            </w:r>
            <w:r>
              <w:rPr>
                <w:rFonts w:hint="eastAsia"/>
                <w:color w:val="auto"/>
                <w:sz w:val="21"/>
                <w:szCs w:val="21"/>
                <w:lang w:val="en-US" w:eastAsia="zh-CN"/>
              </w:rPr>
              <w:t>沉淀池</w:t>
            </w:r>
            <w:r>
              <w:rPr>
                <w:rFonts w:hint="eastAsia" w:ascii="Times New Roman" w:hAnsi="Times New Roman"/>
                <w:color w:val="auto"/>
                <w:sz w:val="21"/>
                <w:szCs w:val="21"/>
              </w:rPr>
              <w:t>。</w:t>
            </w:r>
            <w:r>
              <w:rPr>
                <w:rFonts w:hint="eastAsia" w:cs="Times New Roman"/>
                <w:b w:val="0"/>
                <w:bCs w:val="0"/>
                <w:color w:val="auto"/>
                <w:sz w:val="21"/>
                <w:szCs w:val="21"/>
                <w:highlight w:val="none"/>
                <w:lang w:val="en-US" w:eastAsia="zh-CN"/>
              </w:rPr>
              <w:t>需满足等效黏土防渗层Mb≥1.5m，渗透系数K≤10</w:t>
            </w:r>
            <w:r>
              <w:rPr>
                <w:rFonts w:hint="eastAsia" w:cs="Times New Roman"/>
                <w:b w:val="0"/>
                <w:bCs w:val="0"/>
                <w:color w:val="auto"/>
                <w:sz w:val="21"/>
                <w:szCs w:val="21"/>
                <w:highlight w:val="none"/>
                <w:vertAlign w:val="superscript"/>
                <w:lang w:val="en-US" w:eastAsia="zh-CN"/>
              </w:rPr>
              <w:t>-7</w:t>
            </w:r>
            <w:r>
              <w:rPr>
                <w:rFonts w:hint="eastAsia" w:cs="Times New Roman"/>
                <w:b w:val="0"/>
                <w:bCs w:val="0"/>
                <w:color w:val="auto"/>
                <w:sz w:val="21"/>
                <w:szCs w:val="21"/>
                <w:highlight w:val="none"/>
                <w:lang w:val="en-US" w:eastAsia="zh-CN"/>
              </w:rPr>
              <w:t>cm/s的要求。</w:t>
            </w:r>
          </w:p>
          <w:p w14:paraId="1E022758">
            <w:pPr>
              <w:pStyle w:val="24"/>
              <w:bidi w:val="0"/>
              <w:ind w:left="0" w:leftChars="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简单防渗区：</w:t>
            </w:r>
            <w:r>
              <w:rPr>
                <w:rFonts w:hint="eastAsia" w:cs="Times New Roman"/>
                <w:b w:val="0"/>
                <w:bCs w:val="0"/>
                <w:color w:val="auto"/>
                <w:sz w:val="21"/>
                <w:szCs w:val="21"/>
                <w:highlight w:val="none"/>
                <w:lang w:val="en-US" w:eastAsia="zh-CN"/>
              </w:rPr>
              <w:t>公用工程间（除设备间外）、</w:t>
            </w:r>
            <w:r>
              <w:rPr>
                <w:rFonts w:hint="eastAsia"/>
                <w:color w:val="auto"/>
                <w:sz w:val="21"/>
                <w:szCs w:val="21"/>
                <w:lang w:val="en-US" w:eastAsia="zh-CN"/>
              </w:rPr>
              <w:t>综合楼（除质检室</w:t>
            </w:r>
            <w:r>
              <w:rPr>
                <w:rFonts w:hint="eastAsia" w:cs="Times New Roman"/>
                <w:b w:val="0"/>
                <w:bCs w:val="0"/>
                <w:color w:val="auto"/>
                <w:sz w:val="21"/>
                <w:szCs w:val="21"/>
                <w:highlight w:val="none"/>
                <w:lang w:val="en-US" w:eastAsia="zh-CN"/>
              </w:rPr>
              <w:t>外</w:t>
            </w:r>
            <w:r>
              <w:rPr>
                <w:rFonts w:hint="eastAsia"/>
                <w:color w:val="auto"/>
                <w:sz w:val="21"/>
                <w:szCs w:val="21"/>
                <w:lang w:val="en-US" w:eastAsia="zh-CN"/>
              </w:rPr>
              <w:t>）</w:t>
            </w:r>
            <w:r>
              <w:rPr>
                <w:rFonts w:hint="eastAsia" w:ascii="Times New Roman" w:hAnsi="Times New Roman"/>
                <w:color w:val="auto"/>
                <w:sz w:val="21"/>
                <w:szCs w:val="21"/>
                <w:lang w:val="en-US" w:eastAsia="zh-CN"/>
              </w:rPr>
              <w:t>、</w:t>
            </w:r>
            <w:r>
              <w:rPr>
                <w:rFonts w:hint="eastAsia"/>
                <w:color w:val="auto"/>
                <w:sz w:val="21"/>
                <w:szCs w:val="21"/>
                <w:lang w:val="en-US" w:eastAsia="zh-CN"/>
              </w:rPr>
              <w:t>装卸区</w:t>
            </w:r>
            <w:r>
              <w:rPr>
                <w:rFonts w:hint="eastAsia" w:ascii="Times New Roman" w:hAnsi="Times New Roman"/>
                <w:color w:val="auto"/>
                <w:sz w:val="21"/>
                <w:szCs w:val="21"/>
                <w:lang w:val="en-US" w:eastAsia="zh-CN"/>
              </w:rPr>
              <w:t>、</w:t>
            </w:r>
            <w:r>
              <w:rPr>
                <w:rFonts w:hint="eastAsia"/>
                <w:color w:val="auto"/>
                <w:sz w:val="21"/>
                <w:szCs w:val="21"/>
                <w:lang w:val="en-US" w:eastAsia="zh-CN"/>
              </w:rPr>
              <w:t>消防</w:t>
            </w:r>
            <w:r>
              <w:rPr>
                <w:rFonts w:hint="eastAsia" w:ascii="Times New Roman" w:hAnsi="Times New Roman"/>
                <w:color w:val="auto"/>
                <w:sz w:val="21"/>
                <w:szCs w:val="21"/>
                <w:lang w:val="en-US" w:eastAsia="zh-CN"/>
              </w:rPr>
              <w:t>控制室、门卫室及厂区除重点防渗区、一般防渗区、绿化以外的区域</w:t>
            </w:r>
            <w:r>
              <w:rPr>
                <w:rFonts w:hint="eastAsia" w:ascii="Times New Roman" w:hAnsi="Times New Roman"/>
                <w:color w:val="auto"/>
                <w:sz w:val="21"/>
                <w:szCs w:val="21"/>
              </w:rPr>
              <w:t>等</w:t>
            </w:r>
            <w:r>
              <w:rPr>
                <w:rFonts w:hint="eastAsia" w:ascii="Times New Roman" w:hAnsi="Times New Roman"/>
                <w:color w:val="auto"/>
                <w:sz w:val="21"/>
                <w:szCs w:val="21"/>
                <w:lang w:eastAsia="zh-CN"/>
              </w:rPr>
              <w:t>，</w:t>
            </w:r>
            <w:r>
              <w:rPr>
                <w:rFonts w:hint="default" w:ascii="Times New Roman" w:hAnsi="Times New Roman" w:eastAsia="宋体" w:cs="Times New Roman"/>
                <w:b w:val="0"/>
                <w:bCs w:val="0"/>
                <w:color w:val="auto"/>
                <w:sz w:val="21"/>
                <w:szCs w:val="21"/>
                <w:highlight w:val="none"/>
                <w:lang w:val="en-US" w:eastAsia="zh-CN"/>
              </w:rPr>
              <w:t>采取一般地面硬化。</w:t>
            </w:r>
          </w:p>
        </w:tc>
        <w:tc>
          <w:tcPr>
            <w:tcW w:w="588" w:type="pct"/>
            <w:vMerge w:val="continue"/>
            <w:noWrap w:val="0"/>
            <w:vAlign w:val="center"/>
          </w:tcPr>
          <w:p w14:paraId="2B1356E5">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shd w:val="clear" w:color="auto" w:fill="auto"/>
            <w:noWrap w:val="0"/>
            <w:vAlign w:val="center"/>
          </w:tcPr>
          <w:p w14:paraId="14D6F65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w:t>
            </w:r>
          </w:p>
        </w:tc>
      </w:tr>
      <w:tr w14:paraId="3773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4BC0816A">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vMerge w:val="restart"/>
            <w:noWrap w:val="0"/>
            <w:vAlign w:val="center"/>
          </w:tcPr>
          <w:p w14:paraId="43C6EB3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环境风险</w:t>
            </w:r>
          </w:p>
        </w:tc>
        <w:tc>
          <w:tcPr>
            <w:tcW w:w="2725" w:type="pct"/>
            <w:noWrap w:val="0"/>
            <w:vAlign w:val="center"/>
          </w:tcPr>
          <w:p w14:paraId="22D2CC71">
            <w:pPr>
              <w:pStyle w:val="24"/>
              <w:bidi w:val="0"/>
              <w:ind w:left="0" w:leftChars="0"/>
              <w:jc w:val="left"/>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olor w:val="auto"/>
                <w:highlight w:val="none"/>
                <w:lang w:val="en-US" w:eastAsia="zh-CN"/>
              </w:rPr>
              <w:t>1#罐区四周设</w:t>
            </w:r>
            <w:r>
              <w:rPr>
                <w:rFonts w:hint="eastAsia"/>
                <w:color w:val="auto"/>
                <w:highlight w:val="none"/>
                <w:lang w:val="en-US" w:eastAsia="zh-CN"/>
              </w:rPr>
              <w:t>0.6</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w:t>
            </w:r>
            <w:r>
              <w:rPr>
                <w:rFonts w:hint="eastAsia"/>
                <w:color w:val="auto"/>
                <w:highlight w:val="none"/>
                <w:lang w:val="en-US" w:eastAsia="zh-CN"/>
              </w:rPr>
              <w:t>、2</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1.1</w:t>
            </w:r>
            <w:r>
              <w:rPr>
                <w:rFonts w:hint="eastAsia" w:ascii="Times New Roman" w:hAnsi="Times New Roman" w:eastAsia="宋体"/>
                <w:color w:val="auto"/>
                <w:highlight w:val="none"/>
                <w:lang w:val="en-US" w:eastAsia="zh-CN"/>
              </w:rPr>
              <w:t>m高防火堤（与围堰合建）</w:t>
            </w:r>
            <w:r>
              <w:rPr>
                <w:rFonts w:hint="eastAsia"/>
                <w:color w:val="auto"/>
                <w:highlight w:val="none"/>
                <w:lang w:val="en-US" w:eastAsia="zh-CN"/>
              </w:rPr>
              <w:t>、3</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0.4</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堤（与围堰合建），且</w:t>
            </w:r>
            <w:r>
              <w:rPr>
                <w:rFonts w:hint="eastAsia"/>
                <w:color w:val="auto"/>
                <w:highlight w:val="none"/>
                <w:lang w:val="en-US" w:eastAsia="zh-CN"/>
              </w:rPr>
              <w:t>1#和2#</w:t>
            </w:r>
            <w:r>
              <w:rPr>
                <w:rFonts w:hint="eastAsia" w:ascii="Times New Roman" w:hAnsi="Times New Roman" w:eastAsia="宋体"/>
                <w:color w:val="auto"/>
                <w:highlight w:val="none"/>
                <w:lang w:val="en-US" w:eastAsia="zh-CN"/>
              </w:rPr>
              <w:t>罐区内各区域均设1个容积</w:t>
            </w:r>
            <w:r>
              <w:rPr>
                <w:rFonts w:hint="eastAsia"/>
                <w:color w:val="auto"/>
                <w:highlight w:val="none"/>
                <w:lang w:val="en-US" w:eastAsia="zh-CN"/>
              </w:rPr>
              <w:t>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池、3#</w:t>
            </w:r>
            <w:r>
              <w:rPr>
                <w:rFonts w:hint="eastAsia" w:ascii="Times New Roman" w:hAnsi="Times New Roman" w:eastAsia="宋体"/>
                <w:color w:val="auto"/>
                <w:highlight w:val="none"/>
                <w:lang w:val="en-US" w:eastAsia="zh-CN"/>
              </w:rPr>
              <w:t>罐区内设1个容积</w:t>
            </w:r>
            <w:r>
              <w:rPr>
                <w:rFonts w:hint="eastAsia"/>
                <w:color w:val="auto"/>
                <w:highlight w:val="none"/>
                <w:lang w:val="en-US" w:eastAsia="zh-CN"/>
              </w:rPr>
              <w:t>1.44</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tc>
        <w:tc>
          <w:tcPr>
            <w:tcW w:w="588" w:type="pct"/>
            <w:vMerge w:val="continue"/>
            <w:noWrap w:val="0"/>
            <w:vAlign w:val="center"/>
          </w:tcPr>
          <w:p w14:paraId="3B45E37C">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0A61F687">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C5B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1ACAF329">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vMerge w:val="continue"/>
            <w:noWrap w:val="0"/>
            <w:vAlign w:val="center"/>
          </w:tcPr>
          <w:p w14:paraId="253ACA75">
            <w:pPr>
              <w:pStyle w:val="24"/>
              <w:bidi w:val="0"/>
              <w:ind w:left="0" w:leftChars="0"/>
              <w:jc w:val="center"/>
              <w:rPr>
                <w:rFonts w:hint="eastAsia" w:cs="Times New Roman"/>
                <w:b w:val="0"/>
                <w:bCs w:val="0"/>
                <w:color w:val="auto"/>
                <w:sz w:val="21"/>
                <w:szCs w:val="21"/>
                <w:highlight w:val="none"/>
                <w:lang w:val="en-US" w:eastAsia="zh-CN"/>
              </w:rPr>
            </w:pPr>
          </w:p>
        </w:tc>
        <w:tc>
          <w:tcPr>
            <w:tcW w:w="2725" w:type="pct"/>
            <w:noWrap w:val="0"/>
            <w:vAlign w:val="center"/>
          </w:tcPr>
          <w:p w14:paraId="5034685C">
            <w:pPr>
              <w:pStyle w:val="24"/>
              <w:bidi w:val="0"/>
              <w:ind w:left="0" w:leftChars="0"/>
              <w:jc w:val="left"/>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生产车间</w:t>
            </w:r>
            <w:r>
              <w:rPr>
                <w:rFonts w:hint="default" w:ascii="Times New Roman" w:hAnsi="Times New Roman" w:cs="Times New Roman"/>
                <w:color w:val="auto"/>
                <w:sz w:val="21"/>
                <w:szCs w:val="21"/>
                <w:highlight w:val="none"/>
                <w:lang w:val="en-US" w:eastAsia="zh-CN"/>
              </w:rPr>
              <w:t>设</w:t>
            </w:r>
            <w:r>
              <w:rPr>
                <w:rFonts w:hint="eastAsia" w:cs="Times New Roman"/>
                <w:color w:val="auto"/>
                <w:sz w:val="21"/>
                <w:szCs w:val="21"/>
                <w:highlight w:val="none"/>
                <w:lang w:val="en-US" w:eastAsia="zh-CN"/>
              </w:rPr>
              <w:t>地漏，</w:t>
            </w:r>
            <w:r>
              <w:rPr>
                <w:rFonts w:hint="eastAsia" w:cs="Times New Roman"/>
                <w:b w:val="0"/>
                <w:bCs w:val="0"/>
                <w:color w:val="auto"/>
                <w:sz w:val="21"/>
                <w:szCs w:val="21"/>
                <w:highlight w:val="none"/>
                <w:lang w:val="en-US" w:eastAsia="zh-CN"/>
              </w:rPr>
              <w:t>并设置</w:t>
            </w:r>
            <w:r>
              <w:rPr>
                <w:rFonts w:hint="eastAsia" w:ascii="Times New Roman" w:hAnsi="Times New Roman" w:eastAsia="宋体"/>
                <w:color w:val="auto"/>
                <w:highlight w:val="none"/>
                <w:lang w:val="en-US" w:eastAsia="zh-CN"/>
              </w:rPr>
              <w:t>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s="Times New Roman"/>
                <w:b w:val="0"/>
                <w:bCs w:val="0"/>
                <w:color w:val="auto"/>
                <w:highlight w:val="none"/>
                <w:lang w:val="en-US" w:eastAsia="zh-CN"/>
              </w:rPr>
              <w:t>。</w:t>
            </w:r>
          </w:p>
        </w:tc>
        <w:tc>
          <w:tcPr>
            <w:tcW w:w="588" w:type="pct"/>
            <w:vMerge w:val="continue"/>
            <w:noWrap w:val="0"/>
            <w:vAlign w:val="center"/>
          </w:tcPr>
          <w:p w14:paraId="246AD82B">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6DCFB1F6">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524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4C2E673B">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vMerge w:val="continue"/>
            <w:noWrap w:val="0"/>
            <w:vAlign w:val="center"/>
          </w:tcPr>
          <w:p w14:paraId="4F390515">
            <w:pPr>
              <w:pStyle w:val="24"/>
              <w:bidi w:val="0"/>
              <w:ind w:left="0" w:leftChars="0"/>
              <w:jc w:val="center"/>
              <w:rPr>
                <w:rFonts w:hint="eastAsia" w:cs="Times New Roman"/>
                <w:b w:val="0"/>
                <w:bCs w:val="0"/>
                <w:color w:val="auto"/>
                <w:sz w:val="21"/>
                <w:szCs w:val="21"/>
                <w:highlight w:val="none"/>
                <w:lang w:val="en-US" w:eastAsia="zh-CN"/>
              </w:rPr>
            </w:pPr>
          </w:p>
        </w:tc>
        <w:tc>
          <w:tcPr>
            <w:tcW w:w="2725" w:type="pct"/>
            <w:noWrap w:val="0"/>
            <w:vAlign w:val="center"/>
          </w:tcPr>
          <w:p w14:paraId="6EB0E8FE">
            <w:pPr>
              <w:pStyle w:val="24"/>
              <w:bidi w:val="0"/>
              <w:ind w:left="0" w:leftChars="0"/>
              <w:jc w:val="left"/>
              <w:rPr>
                <w:rFonts w:hint="eastAsia" w:cs="Times New Roman"/>
                <w:b w:val="0"/>
                <w:bCs w:val="0"/>
                <w:color w:val="auto"/>
                <w:sz w:val="21"/>
                <w:szCs w:val="21"/>
                <w:highlight w:val="none"/>
                <w:lang w:val="en-US" w:eastAsia="zh-CN"/>
              </w:rPr>
            </w:pPr>
            <w:r>
              <w:rPr>
                <w:rFonts w:hint="eastAsia"/>
                <w:color w:val="auto"/>
                <w:lang w:val="en-US" w:eastAsia="zh-CN"/>
              </w:rPr>
              <w:t>仓库内液体库区、双氧水库房和危废暂存间</w:t>
            </w:r>
            <w:r>
              <w:rPr>
                <w:rFonts w:hint="eastAsia" w:cs="Times New Roman"/>
                <w:b w:val="0"/>
                <w:bCs w:val="0"/>
                <w:color w:val="auto"/>
                <w:sz w:val="21"/>
                <w:szCs w:val="21"/>
                <w:highlight w:val="none"/>
                <w:lang w:val="en-US" w:eastAsia="zh-CN"/>
              </w:rPr>
              <w:t>进出侧均设防渗斜坡，并设置地漏和</w:t>
            </w:r>
            <w:r>
              <w:rPr>
                <w:rFonts w:hint="eastAsia" w:ascii="Times New Roman" w:hAnsi="Times New Roman" w:eastAsia="宋体"/>
                <w:color w:val="auto"/>
                <w:highlight w:val="none"/>
                <w:lang w:val="en-US" w:eastAsia="zh-CN"/>
              </w:rPr>
              <w:t>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cs="Times New Roman"/>
                <w:b w:val="0"/>
                <w:bCs w:val="0"/>
                <w:color w:val="auto"/>
                <w:sz w:val="21"/>
                <w:szCs w:val="21"/>
                <w:highlight w:val="none"/>
                <w:lang w:val="en-US" w:eastAsia="zh-CN"/>
              </w:rPr>
              <w:t>。</w:t>
            </w:r>
          </w:p>
        </w:tc>
        <w:tc>
          <w:tcPr>
            <w:tcW w:w="588" w:type="pct"/>
            <w:vMerge w:val="continue"/>
            <w:noWrap w:val="0"/>
            <w:vAlign w:val="center"/>
          </w:tcPr>
          <w:p w14:paraId="60CDF881">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noWrap w:val="0"/>
            <w:vAlign w:val="center"/>
          </w:tcPr>
          <w:p w14:paraId="3D9D60FC">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33F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24FD7747">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vMerge w:val="continue"/>
            <w:noWrap w:val="0"/>
            <w:vAlign w:val="center"/>
          </w:tcPr>
          <w:p w14:paraId="27121A3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2725" w:type="pct"/>
            <w:noWrap w:val="0"/>
            <w:vAlign w:val="center"/>
          </w:tcPr>
          <w:p w14:paraId="493298CF">
            <w:pPr>
              <w:pStyle w:val="24"/>
              <w:bidi w:val="0"/>
              <w:ind w:left="0" w:leftChars="0"/>
              <w:jc w:val="left"/>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设</w:t>
            </w:r>
            <w:r>
              <w:rPr>
                <w:rFonts w:hint="default" w:ascii="Times New Roman" w:hAnsi="Times New Roman" w:eastAsia="宋体" w:cs="Times New Roman"/>
                <w:b w:val="0"/>
                <w:bCs w:val="0"/>
                <w:color w:val="auto"/>
                <w:sz w:val="21"/>
                <w:szCs w:val="21"/>
                <w:highlight w:val="none"/>
                <w:lang w:val="en-US" w:eastAsia="zh-CN"/>
              </w:rPr>
              <w:t>1</w:t>
            </w:r>
            <w:r>
              <w:rPr>
                <w:rFonts w:hint="eastAsia" w:cs="Times New Roman"/>
                <w:b w:val="0"/>
                <w:bCs w:val="0"/>
                <w:color w:val="auto"/>
                <w:sz w:val="21"/>
                <w:szCs w:val="21"/>
                <w:highlight w:val="none"/>
                <w:lang w:val="en-US" w:eastAsia="zh-CN"/>
              </w:rPr>
              <w:t>座容积814.38</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eastAsia"/>
                <w:color w:val="auto"/>
                <w:kern w:val="24"/>
                <w:sz w:val="21"/>
                <w:szCs w:val="21"/>
                <w:highlight w:val="none"/>
                <w:lang w:val="en-US" w:eastAsia="zh-CN"/>
              </w:rPr>
              <w:t>的</w:t>
            </w:r>
            <w:r>
              <w:rPr>
                <w:rFonts w:hint="eastAsia"/>
                <w:color w:val="auto"/>
                <w:lang w:val="en-US" w:eastAsia="zh-CN"/>
              </w:rPr>
              <w:t>事故应急池</w:t>
            </w:r>
            <w:r>
              <w:rPr>
                <w:rFonts w:hint="default" w:ascii="Times New Roman" w:hAnsi="Times New Roman" w:eastAsia="宋体" w:cs="Times New Roman"/>
                <w:b w:val="0"/>
                <w:bCs w:val="0"/>
                <w:color w:val="auto"/>
                <w:sz w:val="21"/>
                <w:szCs w:val="21"/>
                <w:highlight w:val="none"/>
                <w:lang w:val="en-US" w:eastAsia="zh-CN"/>
              </w:rPr>
              <w:t>，用于事故</w:t>
            </w:r>
            <w:r>
              <w:rPr>
                <w:rFonts w:hint="eastAsia" w:cs="Times New Roman"/>
                <w:b w:val="0"/>
                <w:bCs w:val="0"/>
                <w:color w:val="auto"/>
                <w:sz w:val="21"/>
                <w:szCs w:val="21"/>
                <w:highlight w:val="none"/>
                <w:lang w:val="en-US" w:eastAsia="zh-CN"/>
              </w:rPr>
              <w:t>废水</w:t>
            </w:r>
            <w:r>
              <w:rPr>
                <w:rFonts w:hint="default" w:ascii="Times New Roman" w:hAnsi="Times New Roman" w:eastAsia="宋体" w:cs="Times New Roman"/>
                <w:b w:val="0"/>
                <w:bCs w:val="0"/>
                <w:color w:val="auto"/>
                <w:sz w:val="21"/>
                <w:szCs w:val="21"/>
                <w:highlight w:val="none"/>
                <w:lang w:val="en-US" w:eastAsia="zh-CN"/>
              </w:rPr>
              <w:t>的收集。</w:t>
            </w:r>
          </w:p>
        </w:tc>
        <w:tc>
          <w:tcPr>
            <w:tcW w:w="588" w:type="pct"/>
            <w:vMerge w:val="continue"/>
            <w:noWrap w:val="0"/>
            <w:vAlign w:val="center"/>
          </w:tcPr>
          <w:p w14:paraId="45FB30C1">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shd w:val="clear" w:color="auto" w:fill="auto"/>
            <w:noWrap w:val="0"/>
            <w:vAlign w:val="center"/>
          </w:tcPr>
          <w:p w14:paraId="6380D4C0">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5F6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7" w:type="pct"/>
            <w:vMerge w:val="continue"/>
            <w:noWrap w:val="0"/>
            <w:vAlign w:val="center"/>
          </w:tcPr>
          <w:p w14:paraId="37694712">
            <w:pPr>
              <w:pStyle w:val="24"/>
              <w:bidi w:val="0"/>
              <w:jc w:val="center"/>
              <w:rPr>
                <w:rFonts w:hint="default" w:ascii="Times New Roman" w:hAnsi="Times New Roman" w:eastAsia="宋体" w:cs="Times New Roman"/>
                <w:b w:val="0"/>
                <w:bCs w:val="0"/>
                <w:color w:val="auto"/>
                <w:highlight w:val="none"/>
                <w:lang w:val="en-US" w:eastAsia="zh-CN"/>
              </w:rPr>
            </w:pPr>
          </w:p>
        </w:tc>
        <w:tc>
          <w:tcPr>
            <w:tcW w:w="681" w:type="pct"/>
            <w:gridSpan w:val="2"/>
            <w:vMerge w:val="continue"/>
            <w:noWrap w:val="0"/>
            <w:vAlign w:val="center"/>
          </w:tcPr>
          <w:p w14:paraId="379A6F8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2725" w:type="pct"/>
            <w:noWrap w:val="0"/>
            <w:vAlign w:val="center"/>
          </w:tcPr>
          <w:p w14:paraId="65E2C045">
            <w:pPr>
              <w:pStyle w:val="24"/>
              <w:bidi w:val="0"/>
              <w:ind w:left="0" w:leftChars="0"/>
              <w:jc w:val="left"/>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厂区内化学品输送管道</w:t>
            </w:r>
            <w:r>
              <w:rPr>
                <w:rFonts w:hint="eastAsia" w:cs="Times New Roman"/>
                <w:b w:val="0"/>
                <w:bCs w:val="0"/>
                <w:color w:val="auto"/>
                <w:sz w:val="21"/>
                <w:szCs w:val="21"/>
                <w:highlight w:val="none"/>
                <w:lang w:val="en-US" w:eastAsia="zh-CN"/>
              </w:rPr>
              <w:t>、生产废水输送管道</w:t>
            </w:r>
            <w:r>
              <w:rPr>
                <w:rFonts w:hint="default" w:ascii="Times New Roman" w:hAnsi="Times New Roman" w:eastAsia="宋体" w:cs="Times New Roman"/>
                <w:b w:val="0"/>
                <w:bCs w:val="0"/>
                <w:color w:val="auto"/>
                <w:sz w:val="21"/>
                <w:szCs w:val="21"/>
                <w:highlight w:val="none"/>
                <w:lang w:val="en-US" w:eastAsia="zh-CN"/>
              </w:rPr>
              <w:t>均可视化架空设置</w:t>
            </w:r>
            <w:r>
              <w:rPr>
                <w:rFonts w:hint="eastAsia" w:cs="Times New Roman"/>
                <w:b w:val="0"/>
                <w:bCs w:val="0"/>
                <w:color w:val="auto"/>
                <w:sz w:val="21"/>
                <w:szCs w:val="21"/>
                <w:highlight w:val="none"/>
                <w:lang w:val="en-US" w:eastAsia="zh-CN"/>
              </w:rPr>
              <w:t>，且设置事故废水架空收集管道。</w:t>
            </w:r>
          </w:p>
        </w:tc>
        <w:tc>
          <w:tcPr>
            <w:tcW w:w="588" w:type="pct"/>
            <w:vMerge w:val="continue"/>
            <w:noWrap w:val="0"/>
            <w:vAlign w:val="center"/>
          </w:tcPr>
          <w:p w14:paraId="54059725">
            <w:pPr>
              <w:pStyle w:val="24"/>
              <w:bidi w:val="0"/>
              <w:jc w:val="center"/>
              <w:rPr>
                <w:rFonts w:hint="default" w:ascii="Times New Roman" w:hAnsi="Times New Roman" w:eastAsia="宋体" w:cs="Times New Roman"/>
                <w:b w:val="0"/>
                <w:bCs w:val="0"/>
                <w:color w:val="auto"/>
                <w:highlight w:val="none"/>
                <w:lang w:val="en-US" w:eastAsia="zh-CN"/>
              </w:rPr>
            </w:pPr>
          </w:p>
        </w:tc>
        <w:tc>
          <w:tcPr>
            <w:tcW w:w="597" w:type="pct"/>
            <w:shd w:val="clear" w:color="auto" w:fill="auto"/>
            <w:noWrap w:val="0"/>
            <w:vAlign w:val="center"/>
          </w:tcPr>
          <w:p w14:paraId="2F12C74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bl>
    <w:p w14:paraId="10D2EDC2">
      <w:pPr>
        <w:pStyle w:val="4"/>
        <w:bidi w:val="0"/>
        <w:rPr>
          <w:rFonts w:hint="default"/>
          <w:color w:val="auto"/>
          <w:highlight w:val="none"/>
          <w:lang w:val="en-US" w:eastAsia="zh-CN"/>
        </w:rPr>
      </w:pPr>
      <w:r>
        <w:rPr>
          <w:rFonts w:hint="default"/>
          <w:color w:val="auto"/>
          <w:highlight w:val="none"/>
          <w:lang w:val="en-US" w:eastAsia="zh-CN"/>
        </w:rPr>
        <w:t>总平面布置合理性</w:t>
      </w:r>
    </w:p>
    <w:p w14:paraId="13FC01CC">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1、总平面布置合理性</w:t>
      </w:r>
    </w:p>
    <w:p w14:paraId="22AB5117">
      <w:pPr>
        <w:bidi w:val="0"/>
        <w:ind w:left="0" w:leftChars="0" w:firstLine="480" w:firstLineChars="200"/>
        <w:rPr>
          <w:rFonts w:hint="default"/>
          <w:color w:val="auto"/>
          <w:lang w:val="en-US" w:eastAsia="zh-CN"/>
        </w:rPr>
      </w:pPr>
      <w:r>
        <w:rPr>
          <w:rFonts w:hint="eastAsia"/>
          <w:color w:val="auto"/>
          <w:lang w:val="en-US" w:eastAsia="zh-CN"/>
        </w:rPr>
        <w:t>本项目厂区呈不规则矩形，厂区总体布局按“工艺刘畅、分区明确”的原则布置，总体分为生产区、储罐区、公辅设施区和办公区，其中：生产区作为厂区主体设施，设1栋生产车间，车间内工艺完整、功能分区明确；储罐区和公辅设施区作为生产车间重要配套工程，分别布置在紧邻车间的东侧、南侧和东北侧，实现物料供应物流最短原则；办公区尽量远离生产区和储罐区，布置在厂区东南角，最大程度减小生产对办公的影响。</w:t>
      </w:r>
    </w:p>
    <w:p w14:paraId="5D211440">
      <w:pPr>
        <w:bidi w:val="0"/>
        <w:ind w:left="0" w:leftChars="0" w:firstLine="480" w:firstLineChars="200"/>
        <w:rPr>
          <w:rFonts w:hint="eastAsia"/>
          <w:color w:val="auto"/>
          <w:lang w:val="en-US" w:eastAsia="zh-CN"/>
        </w:rPr>
      </w:pPr>
      <w:r>
        <w:rPr>
          <w:rFonts w:hint="eastAsia"/>
          <w:color w:val="auto"/>
          <w:lang w:val="en-US" w:eastAsia="zh-CN"/>
        </w:rPr>
        <w:t>厂区共设置2个出入口，其中：人员出入口布置在厂区南侧，临近办公区；物流出入口布置在厂区西侧，运输车辆入厂后沿环形道路到达仓库和罐区。厂区实现物流、人员分开，避免相互干扰，同时厂区设环形消防通道，便于消防和人员紧急疏散。</w:t>
      </w:r>
    </w:p>
    <w:p w14:paraId="1876F7FE">
      <w:pPr>
        <w:bidi w:val="0"/>
        <w:ind w:left="0" w:leftChars="0" w:firstLine="480" w:firstLineChars="200"/>
        <w:rPr>
          <w:rFonts w:hint="eastAsia"/>
          <w:color w:val="auto"/>
          <w:lang w:val="en-US" w:eastAsia="zh-CN"/>
        </w:rPr>
      </w:pPr>
      <w:r>
        <w:rPr>
          <w:rFonts w:hint="eastAsia"/>
          <w:color w:val="auto"/>
          <w:highlight w:val="none"/>
          <w:lang w:val="en-US" w:eastAsia="zh-CN"/>
        </w:rPr>
        <w:t>本项目正在开展安全评价，已编制完成《四川诚正建科新材料有限公司聚羧酸减水剂与无碱速凝剂生产项目安全预评价报告（送审件）》。</w:t>
      </w:r>
      <w:r>
        <w:rPr>
          <w:rFonts w:hint="eastAsia"/>
          <w:color w:val="auto"/>
          <w:lang w:val="en-US" w:eastAsia="zh-CN"/>
        </w:rPr>
        <w:t>根据《四川诚正建科新材料有限公司聚羧酸减水剂与无碱速凝剂生产项目安全预评价报告</w:t>
      </w:r>
      <w:r>
        <w:rPr>
          <w:rFonts w:hint="eastAsia"/>
          <w:color w:val="auto"/>
          <w:highlight w:val="none"/>
          <w:lang w:val="en-US" w:eastAsia="zh-CN"/>
        </w:rPr>
        <w:t>（送审件）</w:t>
      </w:r>
      <w:r>
        <w:rPr>
          <w:rFonts w:hint="eastAsia"/>
          <w:color w:val="auto"/>
          <w:lang w:val="en-US" w:eastAsia="zh-CN"/>
        </w:rPr>
        <w:t>》，厂区内建（构）筑物防火间距符合性分析如下：</w:t>
      </w:r>
    </w:p>
    <w:p w14:paraId="4D03FD7B">
      <w:pPr>
        <w:pStyle w:val="37"/>
        <w:numPr>
          <w:ilvl w:val="0"/>
          <w:numId w:val="17"/>
        </w:numPr>
        <w:tabs>
          <w:tab w:val="left" w:pos="0"/>
        </w:tabs>
        <w:bidi w:val="0"/>
        <w:rPr>
          <w:rFonts w:hint="eastAsia"/>
          <w:color w:val="auto"/>
          <w:highlight w:val="none"/>
          <w:lang w:val="en-US" w:eastAsia="zh-CN"/>
        </w:rPr>
      </w:pPr>
      <w:r>
        <w:rPr>
          <w:rFonts w:hint="eastAsia" w:ascii="黑体" w:hAnsi="黑体" w:eastAsia="黑体" w:cs="黑体"/>
          <w:color w:val="auto"/>
          <w:kern w:val="2"/>
          <w:sz w:val="21"/>
          <w:szCs w:val="21"/>
          <w:highlight w:val="none"/>
          <w:lang w:val="en-US" w:eastAsia="zh-CN" w:bidi="ar-SA"/>
        </w:rPr>
        <w:t>厂区内建（构）筑物防火间距符合性</w:t>
      </w:r>
    </w:p>
    <w:tbl>
      <w:tblPr>
        <w:tblStyle w:val="20"/>
        <w:tblpPr w:leftFromText="180" w:rightFromText="180" w:vertAnchor="text" w:horzAnchor="page" w:tblpX="1427" w:tblpY="274"/>
        <w:tblOverlap w:val="never"/>
        <w:tblW w:w="499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14"/>
        <w:gridCol w:w="1324"/>
        <w:gridCol w:w="1710"/>
        <w:gridCol w:w="1373"/>
        <w:gridCol w:w="1502"/>
        <w:gridCol w:w="2980"/>
      </w:tblGrid>
      <w:tr w14:paraId="04CC2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579C0E25">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696" w:type="pct"/>
            <w:noWrap w:val="0"/>
            <w:vAlign w:val="center"/>
          </w:tcPr>
          <w:p w14:paraId="7D4BFE3B">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本建筑</w:t>
            </w:r>
          </w:p>
        </w:tc>
        <w:tc>
          <w:tcPr>
            <w:tcW w:w="899" w:type="pct"/>
            <w:noWrap w:val="0"/>
            <w:vAlign w:val="center"/>
          </w:tcPr>
          <w:p w14:paraId="29C4183D">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目标建筑</w:t>
            </w:r>
          </w:p>
        </w:tc>
        <w:tc>
          <w:tcPr>
            <w:tcW w:w="722" w:type="pct"/>
            <w:noWrap w:val="0"/>
            <w:vAlign w:val="center"/>
          </w:tcPr>
          <w:p w14:paraId="3E9DFCE0">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设计</w:t>
            </w:r>
            <w:r>
              <w:rPr>
                <w:rFonts w:hint="default" w:ascii="Times New Roman" w:hAnsi="Times New Roman" w:eastAsia="宋体" w:cs="Times New Roman"/>
                <w:b/>
                <w:bCs/>
                <w:color w:val="auto"/>
                <w:sz w:val="21"/>
                <w:szCs w:val="21"/>
                <w:highlight w:val="none"/>
                <w:lang w:val="en-US" w:eastAsia="zh-CN"/>
              </w:rPr>
              <w:t>距离</w:t>
            </w:r>
            <w:r>
              <w:rPr>
                <w:rFonts w:hint="eastAsia" w:ascii="Times New Roman" w:hAnsi="Times New Roman" w:eastAsia="宋体" w:cs="Times New Roman"/>
                <w:b/>
                <w:bCs/>
                <w:color w:val="auto"/>
                <w:sz w:val="21"/>
                <w:szCs w:val="21"/>
                <w:highlight w:val="none"/>
                <w:lang w:val="en-US" w:eastAsia="zh-CN"/>
              </w:rPr>
              <w:t>（m）</w:t>
            </w:r>
          </w:p>
        </w:tc>
        <w:tc>
          <w:tcPr>
            <w:tcW w:w="790" w:type="pct"/>
            <w:noWrap w:val="0"/>
            <w:vAlign w:val="center"/>
          </w:tcPr>
          <w:p w14:paraId="13AD0C28">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标准距离</w:t>
            </w:r>
            <w:r>
              <w:rPr>
                <w:rFonts w:hint="eastAsia" w:ascii="Times New Roman" w:hAnsi="Times New Roman" w:eastAsia="宋体" w:cs="Times New Roman"/>
                <w:b/>
                <w:bCs/>
                <w:color w:val="auto"/>
                <w:sz w:val="21"/>
                <w:szCs w:val="21"/>
                <w:highlight w:val="none"/>
                <w:lang w:val="en-US" w:eastAsia="zh-CN"/>
              </w:rPr>
              <w:t>≥（m）</w:t>
            </w:r>
          </w:p>
        </w:tc>
        <w:tc>
          <w:tcPr>
            <w:tcW w:w="1567" w:type="pct"/>
            <w:noWrap w:val="0"/>
            <w:vAlign w:val="center"/>
          </w:tcPr>
          <w:p w14:paraId="49853347">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备注</w:t>
            </w:r>
          </w:p>
        </w:tc>
      </w:tr>
      <w:tr w14:paraId="7E79B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0B8AC11B">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w:t>
            </w:r>
          </w:p>
        </w:tc>
        <w:tc>
          <w:tcPr>
            <w:tcW w:w="696" w:type="pct"/>
            <w:noWrap w:val="0"/>
            <w:vAlign w:val="center"/>
          </w:tcPr>
          <w:p w14:paraId="3F3C6249">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乙类车间</w:t>
            </w:r>
          </w:p>
        </w:tc>
        <w:tc>
          <w:tcPr>
            <w:tcW w:w="899" w:type="pct"/>
            <w:noWrap w:val="0"/>
            <w:vAlign w:val="center"/>
          </w:tcPr>
          <w:p w14:paraId="27EE401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乙类仓库</w:t>
            </w:r>
          </w:p>
        </w:tc>
        <w:tc>
          <w:tcPr>
            <w:tcW w:w="722" w:type="pct"/>
            <w:noWrap w:val="0"/>
            <w:vAlign w:val="center"/>
          </w:tcPr>
          <w:p w14:paraId="2E3360F3">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17.0</w:t>
            </w:r>
          </w:p>
        </w:tc>
        <w:tc>
          <w:tcPr>
            <w:tcW w:w="790" w:type="pct"/>
            <w:noWrap w:val="0"/>
            <w:vAlign w:val="center"/>
          </w:tcPr>
          <w:p w14:paraId="6EFDC94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w:t>
            </w:r>
          </w:p>
        </w:tc>
        <w:tc>
          <w:tcPr>
            <w:tcW w:w="1567" w:type="pct"/>
            <w:noWrap w:val="0"/>
            <w:vAlign w:val="center"/>
          </w:tcPr>
          <w:p w14:paraId="4D74FC2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4FB6C921">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4.2.9</w:t>
            </w:r>
          </w:p>
        </w:tc>
      </w:tr>
      <w:tr w14:paraId="5EE2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785DE8FC">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696" w:type="pct"/>
            <w:noWrap w:val="0"/>
            <w:vAlign w:val="center"/>
          </w:tcPr>
          <w:p w14:paraId="68E68E4F">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乙类车间</w:t>
            </w:r>
          </w:p>
        </w:tc>
        <w:tc>
          <w:tcPr>
            <w:tcW w:w="899" w:type="pct"/>
            <w:noWrap w:val="0"/>
            <w:vAlign w:val="center"/>
          </w:tcPr>
          <w:p w14:paraId="47F2260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物流门卫</w:t>
            </w:r>
          </w:p>
        </w:tc>
        <w:tc>
          <w:tcPr>
            <w:tcW w:w="722" w:type="pct"/>
            <w:noWrap w:val="0"/>
            <w:vAlign w:val="center"/>
          </w:tcPr>
          <w:p w14:paraId="0452D38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25.57</w:t>
            </w:r>
          </w:p>
        </w:tc>
        <w:tc>
          <w:tcPr>
            <w:tcW w:w="790" w:type="pct"/>
            <w:noWrap w:val="0"/>
            <w:vAlign w:val="center"/>
          </w:tcPr>
          <w:p w14:paraId="6928A41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w:t>
            </w:r>
          </w:p>
        </w:tc>
        <w:tc>
          <w:tcPr>
            <w:tcW w:w="1567" w:type="pct"/>
            <w:noWrap w:val="0"/>
            <w:vAlign w:val="center"/>
          </w:tcPr>
          <w:p w14:paraId="10C1F69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7E53FC9B">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4.2.9</w:t>
            </w:r>
          </w:p>
        </w:tc>
      </w:tr>
      <w:tr w14:paraId="1B420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145991E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w:t>
            </w:r>
          </w:p>
        </w:tc>
        <w:tc>
          <w:tcPr>
            <w:tcW w:w="696" w:type="pct"/>
            <w:noWrap w:val="0"/>
            <w:vAlign w:val="center"/>
          </w:tcPr>
          <w:p w14:paraId="363E048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乙类车间</w:t>
            </w:r>
          </w:p>
        </w:tc>
        <w:tc>
          <w:tcPr>
            <w:tcW w:w="899" w:type="pct"/>
            <w:noWrap w:val="0"/>
            <w:vAlign w:val="center"/>
          </w:tcPr>
          <w:p w14:paraId="3C68ACAA">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综合楼</w:t>
            </w:r>
          </w:p>
        </w:tc>
        <w:tc>
          <w:tcPr>
            <w:tcW w:w="722" w:type="pct"/>
            <w:noWrap w:val="0"/>
            <w:vAlign w:val="center"/>
          </w:tcPr>
          <w:p w14:paraId="625A5AB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30.54</w:t>
            </w:r>
          </w:p>
        </w:tc>
        <w:tc>
          <w:tcPr>
            <w:tcW w:w="790" w:type="pct"/>
            <w:noWrap w:val="0"/>
            <w:vAlign w:val="center"/>
          </w:tcPr>
          <w:p w14:paraId="33AA7D0D">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w:t>
            </w:r>
          </w:p>
        </w:tc>
        <w:tc>
          <w:tcPr>
            <w:tcW w:w="1567" w:type="pct"/>
            <w:noWrap w:val="0"/>
            <w:vAlign w:val="center"/>
          </w:tcPr>
          <w:p w14:paraId="2B5F9B2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0A76E1F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4.2.9</w:t>
            </w:r>
          </w:p>
        </w:tc>
      </w:tr>
      <w:tr w14:paraId="6060D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6D5E264E">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w:t>
            </w:r>
          </w:p>
        </w:tc>
        <w:tc>
          <w:tcPr>
            <w:tcW w:w="696" w:type="pct"/>
            <w:noWrap w:val="0"/>
            <w:vAlign w:val="center"/>
          </w:tcPr>
          <w:p w14:paraId="0066908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乙类车间</w:t>
            </w:r>
          </w:p>
        </w:tc>
        <w:tc>
          <w:tcPr>
            <w:tcW w:w="899" w:type="pct"/>
            <w:noWrap w:val="0"/>
            <w:vAlign w:val="center"/>
          </w:tcPr>
          <w:p w14:paraId="3AA589F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产品罐区（3#罐区）</w:t>
            </w:r>
          </w:p>
        </w:tc>
        <w:tc>
          <w:tcPr>
            <w:tcW w:w="722" w:type="pct"/>
            <w:noWrap w:val="0"/>
            <w:vAlign w:val="center"/>
          </w:tcPr>
          <w:p w14:paraId="18D11A3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16.5</w:t>
            </w:r>
          </w:p>
        </w:tc>
        <w:tc>
          <w:tcPr>
            <w:tcW w:w="790" w:type="pct"/>
            <w:noWrap w:val="0"/>
            <w:vAlign w:val="center"/>
          </w:tcPr>
          <w:p w14:paraId="7E0C087E">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w:t>
            </w:r>
          </w:p>
        </w:tc>
        <w:tc>
          <w:tcPr>
            <w:tcW w:w="1567" w:type="pct"/>
            <w:noWrap w:val="0"/>
            <w:vAlign w:val="center"/>
          </w:tcPr>
          <w:p w14:paraId="7ABE1BF2">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652A909F">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3.4.1</w:t>
            </w:r>
          </w:p>
        </w:tc>
      </w:tr>
      <w:tr w14:paraId="79D51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00C0EB7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w:t>
            </w:r>
          </w:p>
        </w:tc>
        <w:tc>
          <w:tcPr>
            <w:tcW w:w="696" w:type="pct"/>
            <w:noWrap w:val="0"/>
            <w:vAlign w:val="center"/>
          </w:tcPr>
          <w:p w14:paraId="6C00C88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乙类车间</w:t>
            </w:r>
          </w:p>
        </w:tc>
        <w:tc>
          <w:tcPr>
            <w:tcW w:w="899" w:type="pct"/>
            <w:noWrap w:val="0"/>
            <w:vAlign w:val="center"/>
          </w:tcPr>
          <w:p w14:paraId="6700A00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围墙</w:t>
            </w:r>
          </w:p>
        </w:tc>
        <w:tc>
          <w:tcPr>
            <w:tcW w:w="722" w:type="pct"/>
            <w:noWrap w:val="0"/>
            <w:vAlign w:val="center"/>
          </w:tcPr>
          <w:p w14:paraId="395B295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15.33</w:t>
            </w:r>
          </w:p>
        </w:tc>
        <w:tc>
          <w:tcPr>
            <w:tcW w:w="790" w:type="pct"/>
            <w:noWrap w:val="0"/>
            <w:vAlign w:val="center"/>
          </w:tcPr>
          <w:p w14:paraId="7DCDBD0D">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w:t>
            </w:r>
          </w:p>
        </w:tc>
        <w:tc>
          <w:tcPr>
            <w:tcW w:w="1567" w:type="pct"/>
            <w:noWrap w:val="0"/>
            <w:vAlign w:val="center"/>
          </w:tcPr>
          <w:p w14:paraId="1B7AD44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3DFBD0A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4.2.9</w:t>
            </w:r>
          </w:p>
        </w:tc>
      </w:tr>
      <w:tr w14:paraId="1B524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4546FB2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w:t>
            </w:r>
          </w:p>
        </w:tc>
        <w:tc>
          <w:tcPr>
            <w:tcW w:w="696" w:type="pct"/>
            <w:noWrap w:val="0"/>
            <w:vAlign w:val="center"/>
          </w:tcPr>
          <w:p w14:paraId="6304E141">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乙类仓库</w:t>
            </w:r>
          </w:p>
        </w:tc>
        <w:tc>
          <w:tcPr>
            <w:tcW w:w="899" w:type="pct"/>
            <w:noWrap w:val="0"/>
            <w:vAlign w:val="center"/>
          </w:tcPr>
          <w:p w14:paraId="4F2858AC">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原料罐区2（2#罐区）</w:t>
            </w:r>
          </w:p>
        </w:tc>
        <w:tc>
          <w:tcPr>
            <w:tcW w:w="722" w:type="pct"/>
            <w:noWrap w:val="0"/>
            <w:vAlign w:val="center"/>
          </w:tcPr>
          <w:p w14:paraId="5FAA1A42">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15.48</w:t>
            </w:r>
          </w:p>
        </w:tc>
        <w:tc>
          <w:tcPr>
            <w:tcW w:w="790" w:type="pct"/>
            <w:noWrap w:val="0"/>
            <w:vAlign w:val="center"/>
          </w:tcPr>
          <w:p w14:paraId="6C9DFAF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w:t>
            </w:r>
          </w:p>
        </w:tc>
        <w:tc>
          <w:tcPr>
            <w:tcW w:w="1567" w:type="pct"/>
            <w:noWrap w:val="0"/>
            <w:vAlign w:val="center"/>
          </w:tcPr>
          <w:p w14:paraId="7F9C53FE">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1A6B286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4.2.1</w:t>
            </w:r>
          </w:p>
        </w:tc>
      </w:tr>
      <w:tr w14:paraId="29591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47FAA4D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w:t>
            </w:r>
          </w:p>
        </w:tc>
        <w:tc>
          <w:tcPr>
            <w:tcW w:w="696" w:type="pct"/>
            <w:noWrap w:val="0"/>
            <w:vAlign w:val="center"/>
          </w:tcPr>
          <w:p w14:paraId="45A8140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乙类仓库</w:t>
            </w:r>
          </w:p>
        </w:tc>
        <w:tc>
          <w:tcPr>
            <w:tcW w:w="899" w:type="pct"/>
            <w:noWrap w:val="0"/>
            <w:vAlign w:val="center"/>
          </w:tcPr>
          <w:p w14:paraId="6332CC63">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综合楼</w:t>
            </w:r>
          </w:p>
        </w:tc>
        <w:tc>
          <w:tcPr>
            <w:tcW w:w="722" w:type="pct"/>
            <w:noWrap w:val="0"/>
            <w:vAlign w:val="center"/>
          </w:tcPr>
          <w:p w14:paraId="01E31502">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25.15</w:t>
            </w:r>
          </w:p>
        </w:tc>
        <w:tc>
          <w:tcPr>
            <w:tcW w:w="790" w:type="pct"/>
            <w:noWrap w:val="0"/>
            <w:vAlign w:val="center"/>
          </w:tcPr>
          <w:p w14:paraId="1CCDD1D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w:t>
            </w:r>
          </w:p>
        </w:tc>
        <w:tc>
          <w:tcPr>
            <w:tcW w:w="1567" w:type="pct"/>
            <w:noWrap w:val="0"/>
            <w:vAlign w:val="center"/>
          </w:tcPr>
          <w:p w14:paraId="727EAB83">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3D63710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3.5.2</w:t>
            </w:r>
          </w:p>
        </w:tc>
      </w:tr>
      <w:tr w14:paraId="05E70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397C57C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696" w:type="pct"/>
            <w:noWrap w:val="0"/>
            <w:vAlign w:val="center"/>
          </w:tcPr>
          <w:p w14:paraId="1A6A3902">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乙类仓库</w:t>
            </w:r>
          </w:p>
        </w:tc>
        <w:tc>
          <w:tcPr>
            <w:tcW w:w="899" w:type="pct"/>
            <w:noWrap w:val="0"/>
            <w:vAlign w:val="center"/>
          </w:tcPr>
          <w:p w14:paraId="412A284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围墙</w:t>
            </w:r>
          </w:p>
        </w:tc>
        <w:tc>
          <w:tcPr>
            <w:tcW w:w="722" w:type="pct"/>
            <w:noWrap w:val="0"/>
            <w:vAlign w:val="center"/>
          </w:tcPr>
          <w:p w14:paraId="1B144F7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15.67</w:t>
            </w:r>
          </w:p>
        </w:tc>
        <w:tc>
          <w:tcPr>
            <w:tcW w:w="790" w:type="pct"/>
            <w:noWrap w:val="0"/>
            <w:vAlign w:val="center"/>
          </w:tcPr>
          <w:p w14:paraId="50DD4955">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w:t>
            </w:r>
          </w:p>
        </w:tc>
        <w:tc>
          <w:tcPr>
            <w:tcW w:w="1567" w:type="pct"/>
            <w:noWrap w:val="0"/>
            <w:vAlign w:val="center"/>
          </w:tcPr>
          <w:p w14:paraId="41E3E00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7412D6B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3.5.5</w:t>
            </w:r>
          </w:p>
        </w:tc>
      </w:tr>
      <w:tr w14:paraId="317A7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74306CA6">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w:t>
            </w:r>
          </w:p>
        </w:tc>
        <w:tc>
          <w:tcPr>
            <w:tcW w:w="696" w:type="pct"/>
            <w:noWrap w:val="0"/>
            <w:vAlign w:val="center"/>
          </w:tcPr>
          <w:p w14:paraId="4AB5BC2A">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乙类仓库</w:t>
            </w:r>
          </w:p>
        </w:tc>
        <w:tc>
          <w:tcPr>
            <w:tcW w:w="899" w:type="pct"/>
            <w:noWrap w:val="0"/>
            <w:vAlign w:val="center"/>
          </w:tcPr>
          <w:p w14:paraId="031AB6DB">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厂内主要道路</w:t>
            </w:r>
          </w:p>
        </w:tc>
        <w:tc>
          <w:tcPr>
            <w:tcW w:w="722" w:type="pct"/>
            <w:noWrap w:val="0"/>
            <w:vAlign w:val="center"/>
          </w:tcPr>
          <w:p w14:paraId="3F3BC77D">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11.0</w:t>
            </w:r>
          </w:p>
        </w:tc>
        <w:tc>
          <w:tcPr>
            <w:tcW w:w="790" w:type="pct"/>
            <w:noWrap w:val="0"/>
            <w:vAlign w:val="center"/>
          </w:tcPr>
          <w:p w14:paraId="2A2FD86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w:t>
            </w:r>
          </w:p>
        </w:tc>
        <w:tc>
          <w:tcPr>
            <w:tcW w:w="1567" w:type="pct"/>
            <w:noWrap w:val="0"/>
            <w:vAlign w:val="center"/>
          </w:tcPr>
          <w:p w14:paraId="7E59316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1E368C6A">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3.5.2</w:t>
            </w:r>
          </w:p>
        </w:tc>
      </w:tr>
      <w:tr w14:paraId="6F508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25F4177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w:t>
            </w:r>
          </w:p>
        </w:tc>
        <w:tc>
          <w:tcPr>
            <w:tcW w:w="696" w:type="pct"/>
            <w:noWrap w:val="0"/>
            <w:vAlign w:val="center"/>
          </w:tcPr>
          <w:p w14:paraId="3CD8888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乙类仓库</w:t>
            </w:r>
          </w:p>
        </w:tc>
        <w:tc>
          <w:tcPr>
            <w:tcW w:w="899" w:type="pct"/>
            <w:noWrap w:val="0"/>
            <w:vAlign w:val="center"/>
          </w:tcPr>
          <w:p w14:paraId="618426F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厂内次要道路</w:t>
            </w:r>
          </w:p>
        </w:tc>
        <w:tc>
          <w:tcPr>
            <w:tcW w:w="722" w:type="pct"/>
            <w:noWrap w:val="0"/>
            <w:vAlign w:val="center"/>
          </w:tcPr>
          <w:p w14:paraId="33581D7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5.5</w:t>
            </w:r>
          </w:p>
        </w:tc>
        <w:tc>
          <w:tcPr>
            <w:tcW w:w="790" w:type="pct"/>
            <w:noWrap w:val="0"/>
            <w:vAlign w:val="center"/>
          </w:tcPr>
          <w:p w14:paraId="0856241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w:t>
            </w:r>
          </w:p>
        </w:tc>
        <w:tc>
          <w:tcPr>
            <w:tcW w:w="1567" w:type="pct"/>
            <w:noWrap w:val="0"/>
            <w:vAlign w:val="center"/>
          </w:tcPr>
          <w:p w14:paraId="0860281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19C7A5D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3.5.2</w:t>
            </w:r>
          </w:p>
        </w:tc>
      </w:tr>
      <w:tr w14:paraId="31FB8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rPr>
        <w:tc>
          <w:tcPr>
            <w:tcW w:w="323" w:type="pct"/>
            <w:noWrap w:val="0"/>
            <w:vAlign w:val="center"/>
          </w:tcPr>
          <w:p w14:paraId="06B22D03">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w:t>
            </w:r>
          </w:p>
        </w:tc>
        <w:tc>
          <w:tcPr>
            <w:tcW w:w="696" w:type="pct"/>
            <w:noWrap w:val="0"/>
            <w:vAlign w:val="center"/>
          </w:tcPr>
          <w:p w14:paraId="7C5A73F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公用工程间</w:t>
            </w:r>
          </w:p>
        </w:tc>
        <w:tc>
          <w:tcPr>
            <w:tcW w:w="899" w:type="pct"/>
            <w:noWrap w:val="0"/>
            <w:vAlign w:val="center"/>
          </w:tcPr>
          <w:p w14:paraId="36771B9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综合楼</w:t>
            </w:r>
          </w:p>
        </w:tc>
        <w:tc>
          <w:tcPr>
            <w:tcW w:w="722" w:type="pct"/>
            <w:noWrap w:val="0"/>
            <w:vAlign w:val="center"/>
          </w:tcPr>
          <w:p w14:paraId="60E00B39">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17.0</w:t>
            </w:r>
          </w:p>
        </w:tc>
        <w:tc>
          <w:tcPr>
            <w:tcW w:w="790" w:type="pct"/>
            <w:noWrap w:val="0"/>
            <w:vAlign w:val="center"/>
          </w:tcPr>
          <w:p w14:paraId="05360E6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w:t>
            </w:r>
          </w:p>
        </w:tc>
        <w:tc>
          <w:tcPr>
            <w:tcW w:w="1567" w:type="pct"/>
            <w:noWrap w:val="0"/>
            <w:vAlign w:val="center"/>
          </w:tcPr>
          <w:p w14:paraId="3E0A164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GB50016-2014</w:t>
            </w:r>
          </w:p>
          <w:p w14:paraId="46269545">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3.4.1</w:t>
            </w:r>
          </w:p>
        </w:tc>
      </w:tr>
    </w:tbl>
    <w:p w14:paraId="467FA931">
      <w:pPr>
        <w:bidi w:val="0"/>
        <w:ind w:left="0" w:leftChars="0" w:firstLine="480" w:firstLineChars="200"/>
        <w:rPr>
          <w:rFonts w:hint="default"/>
          <w:color w:val="auto"/>
          <w:lang w:val="en-US" w:eastAsia="zh-CN"/>
        </w:rPr>
      </w:pPr>
      <w:r>
        <w:rPr>
          <w:rFonts w:hint="eastAsia"/>
          <w:color w:val="auto"/>
          <w:lang w:val="en-US" w:eastAsia="zh-CN"/>
        </w:rPr>
        <w:t>由上表可知，厂区内建（构）筑物防火间距符合《精细化工企业工程设计防火标准》（GB51283-2020）和《建筑设计防火规范》（GB50016-2014，2018年版）中相关要求。</w:t>
      </w:r>
    </w:p>
    <w:p w14:paraId="0CB71541">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w:t>
      </w:r>
      <w:r>
        <w:rPr>
          <w:rFonts w:hint="eastAsia" w:cs="Times New Roman"/>
          <w:b/>
          <w:bCs/>
          <w:color w:val="auto"/>
          <w:highlight w:val="none"/>
          <w:lang w:val="en-US" w:eastAsia="zh-CN"/>
        </w:rPr>
        <w:t>生产</w:t>
      </w:r>
      <w:r>
        <w:rPr>
          <w:rFonts w:hint="eastAsia" w:ascii="Times New Roman" w:hAnsi="Times New Roman" w:eastAsia="宋体" w:cs="Times New Roman"/>
          <w:b/>
          <w:bCs/>
          <w:color w:val="auto"/>
          <w:highlight w:val="none"/>
          <w:lang w:val="en-US" w:eastAsia="zh-CN"/>
        </w:rPr>
        <w:t>车间</w:t>
      </w:r>
      <w:r>
        <w:rPr>
          <w:rFonts w:hint="eastAsia" w:cs="Times New Roman"/>
          <w:b/>
          <w:bCs/>
          <w:color w:val="auto"/>
          <w:highlight w:val="none"/>
          <w:lang w:val="en-US" w:eastAsia="zh-CN"/>
        </w:rPr>
        <w:t>、罐区</w:t>
      </w:r>
      <w:r>
        <w:rPr>
          <w:rFonts w:hint="eastAsia" w:ascii="Times New Roman" w:hAnsi="Times New Roman" w:eastAsia="宋体" w:cs="Times New Roman"/>
          <w:b/>
          <w:bCs/>
          <w:color w:val="auto"/>
          <w:highlight w:val="none"/>
          <w:lang w:val="en-US" w:eastAsia="zh-CN"/>
        </w:rPr>
        <w:t>平面布置合理性</w:t>
      </w:r>
    </w:p>
    <w:p w14:paraId="35D0673A">
      <w:pPr>
        <w:bidi w:val="0"/>
        <w:ind w:left="0" w:leftChars="0" w:firstLine="480" w:firstLineChars="200"/>
        <w:rPr>
          <w:rFonts w:hint="default"/>
          <w:color w:val="auto"/>
          <w:highlight w:val="none"/>
          <w:lang w:val="en-US" w:eastAsia="zh-CN"/>
        </w:rPr>
      </w:pPr>
      <w:r>
        <w:rPr>
          <w:rFonts w:hint="eastAsia"/>
          <w:color w:val="auto"/>
          <w:highlight w:val="none"/>
          <w:lang w:val="en-US" w:eastAsia="zh-CN"/>
        </w:rPr>
        <w:t>本项目</w:t>
      </w:r>
      <w:r>
        <w:rPr>
          <w:rFonts w:hint="eastAsia" w:cs="Times New Roman"/>
          <w:color w:val="auto"/>
          <w:sz w:val="24"/>
          <w:szCs w:val="24"/>
          <w:highlight w:val="none"/>
          <w:lang w:val="en-US" w:eastAsia="zh-CN"/>
        </w:rPr>
        <w:t>生产</w:t>
      </w:r>
      <w:r>
        <w:rPr>
          <w:rFonts w:hint="eastAsia"/>
          <w:color w:val="auto"/>
          <w:highlight w:val="none"/>
          <w:lang w:val="en-US" w:eastAsia="zh-CN"/>
        </w:rPr>
        <w:t>车间内工艺布局简单，功能分区明确，满足正常生产要求。各罐区四周均设防火堤/</w:t>
      </w:r>
      <w:r>
        <w:rPr>
          <w:rFonts w:hint="eastAsia" w:ascii="Times New Roman" w:hAnsi="Times New Roman" w:eastAsia="宋体"/>
          <w:color w:val="auto"/>
          <w:highlight w:val="none"/>
          <w:lang w:val="en-US" w:eastAsia="zh-CN"/>
        </w:rPr>
        <w:t>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w:t>
      </w:r>
      <w:r>
        <w:rPr>
          <w:rFonts w:hint="eastAsia"/>
          <w:color w:val="auto"/>
          <w:highlight w:val="none"/>
          <w:lang w:val="en-US" w:eastAsia="zh-CN"/>
        </w:rPr>
        <w:t>，罐区内部分储罐间设隔堤，根据《四川诚正建科新材料有限公司聚羧酸减水剂与无碱速凝剂生产项目安全预评价报告》，</w:t>
      </w:r>
      <w:r>
        <w:rPr>
          <w:rFonts w:hint="eastAsia" w:ascii="Times New Roman" w:hAnsi="Times New Roman" w:eastAsia="宋体" w:cs="Times New Roman"/>
          <w:color w:val="auto"/>
          <w:sz w:val="24"/>
          <w:szCs w:val="24"/>
          <w:highlight w:val="none"/>
          <w:lang w:val="en-US" w:eastAsia="zh-CN"/>
        </w:rPr>
        <w:t>各罐组防火间距符合性分析如下：</w:t>
      </w:r>
    </w:p>
    <w:p w14:paraId="4F8CE5E8">
      <w:pPr>
        <w:pStyle w:val="37"/>
        <w:numPr>
          <w:ilvl w:val="0"/>
          <w:numId w:val="17"/>
        </w:numPr>
        <w:tabs>
          <w:tab w:val="left" w:pos="0"/>
        </w:tabs>
        <w:bidi w:val="0"/>
        <w:rPr>
          <w:rFonts w:hint="eastAsia"/>
          <w:color w:val="auto"/>
          <w:highlight w:val="none"/>
          <w:lang w:val="en-US" w:eastAsia="zh-CN"/>
        </w:rPr>
      </w:pPr>
      <w:r>
        <w:rPr>
          <w:rFonts w:hint="eastAsia" w:ascii="黑体" w:hAnsi="黑体" w:eastAsia="黑体" w:cs="黑体"/>
          <w:color w:val="auto"/>
          <w:kern w:val="2"/>
          <w:sz w:val="21"/>
          <w:szCs w:val="21"/>
          <w:highlight w:val="none"/>
          <w:lang w:val="en-US" w:eastAsia="zh-CN" w:bidi="ar-SA"/>
        </w:rPr>
        <w:t>各罐组防火间距符合性</w:t>
      </w:r>
    </w:p>
    <w:tbl>
      <w:tblPr>
        <w:tblStyle w:val="20"/>
        <w:tblpPr w:leftFromText="180" w:rightFromText="180" w:vertAnchor="text" w:horzAnchor="page" w:tblpX="1427" w:tblpY="274"/>
        <w:tblOverlap w:val="never"/>
        <w:tblW w:w="499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73"/>
        <w:gridCol w:w="1284"/>
        <w:gridCol w:w="1671"/>
        <w:gridCol w:w="1335"/>
        <w:gridCol w:w="1694"/>
        <w:gridCol w:w="2946"/>
      </w:tblGrid>
      <w:tr w14:paraId="76E14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trPr>
        <w:tc>
          <w:tcPr>
            <w:tcW w:w="305" w:type="pct"/>
            <w:noWrap w:val="0"/>
            <w:vAlign w:val="center"/>
          </w:tcPr>
          <w:p w14:paraId="0D4177BB">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序号</w:t>
            </w:r>
          </w:p>
        </w:tc>
        <w:tc>
          <w:tcPr>
            <w:tcW w:w="679" w:type="pct"/>
            <w:noWrap w:val="0"/>
            <w:vAlign w:val="center"/>
          </w:tcPr>
          <w:p w14:paraId="2F1DD552">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本建筑</w:t>
            </w:r>
          </w:p>
        </w:tc>
        <w:tc>
          <w:tcPr>
            <w:tcW w:w="882" w:type="pct"/>
            <w:noWrap w:val="0"/>
            <w:vAlign w:val="center"/>
          </w:tcPr>
          <w:p w14:paraId="6BCC9B3F">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目标建筑</w:t>
            </w:r>
          </w:p>
        </w:tc>
        <w:tc>
          <w:tcPr>
            <w:tcW w:w="705" w:type="pct"/>
            <w:noWrap w:val="0"/>
            <w:vAlign w:val="center"/>
          </w:tcPr>
          <w:p w14:paraId="3CF4061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设计距离（m）</w:t>
            </w:r>
          </w:p>
        </w:tc>
        <w:tc>
          <w:tcPr>
            <w:tcW w:w="874" w:type="pct"/>
            <w:noWrap w:val="0"/>
            <w:vAlign w:val="center"/>
          </w:tcPr>
          <w:p w14:paraId="5EE93602">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标准距离≥（m）</w:t>
            </w:r>
          </w:p>
        </w:tc>
        <w:tc>
          <w:tcPr>
            <w:tcW w:w="1552" w:type="pct"/>
            <w:noWrap w:val="0"/>
            <w:vAlign w:val="center"/>
          </w:tcPr>
          <w:p w14:paraId="68C6A76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备注</w:t>
            </w:r>
          </w:p>
        </w:tc>
      </w:tr>
      <w:tr w14:paraId="6A6B9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rPr>
        <w:tc>
          <w:tcPr>
            <w:tcW w:w="305" w:type="pct"/>
            <w:noWrap w:val="0"/>
            <w:vAlign w:val="center"/>
          </w:tcPr>
          <w:p w14:paraId="6E79818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w:t>
            </w:r>
          </w:p>
        </w:tc>
        <w:tc>
          <w:tcPr>
            <w:tcW w:w="679" w:type="pct"/>
            <w:noWrap w:val="0"/>
            <w:vAlign w:val="center"/>
          </w:tcPr>
          <w:p w14:paraId="7DE566F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丙烯酸储罐（乙类）</w:t>
            </w:r>
          </w:p>
        </w:tc>
        <w:tc>
          <w:tcPr>
            <w:tcW w:w="882" w:type="pct"/>
            <w:noWrap w:val="0"/>
            <w:vAlign w:val="center"/>
          </w:tcPr>
          <w:p w14:paraId="65A6E4A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基础油储罐（丙类）</w:t>
            </w:r>
          </w:p>
        </w:tc>
        <w:tc>
          <w:tcPr>
            <w:tcW w:w="705" w:type="pct"/>
            <w:noWrap w:val="0"/>
            <w:vAlign w:val="center"/>
          </w:tcPr>
          <w:p w14:paraId="4B0F55C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2.6</w:t>
            </w:r>
          </w:p>
        </w:tc>
        <w:tc>
          <w:tcPr>
            <w:tcW w:w="874" w:type="pct"/>
            <w:noWrap w:val="0"/>
            <w:vAlign w:val="center"/>
          </w:tcPr>
          <w:p w14:paraId="58C4CBA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0.4D=0.4×3.2</w:t>
            </w:r>
          </w:p>
          <w:p w14:paraId="00BC48B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    =1.28</w:t>
            </w:r>
          </w:p>
        </w:tc>
        <w:tc>
          <w:tcPr>
            <w:tcW w:w="1552" w:type="pct"/>
            <w:noWrap w:val="0"/>
            <w:vAlign w:val="center"/>
          </w:tcPr>
          <w:p w14:paraId="357E573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441B977E">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6.2.6</w:t>
            </w:r>
          </w:p>
        </w:tc>
      </w:tr>
      <w:tr w14:paraId="4130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rPr>
        <w:tc>
          <w:tcPr>
            <w:tcW w:w="305" w:type="pct"/>
            <w:noWrap w:val="0"/>
            <w:vAlign w:val="center"/>
          </w:tcPr>
          <w:p w14:paraId="2DA232A1">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679" w:type="pct"/>
            <w:noWrap w:val="0"/>
            <w:vAlign w:val="center"/>
          </w:tcPr>
          <w:p w14:paraId="5A9526D4">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丙烯酸羟乙酯储罐（丙类）</w:t>
            </w:r>
          </w:p>
        </w:tc>
        <w:tc>
          <w:tcPr>
            <w:tcW w:w="882" w:type="pct"/>
            <w:noWrap w:val="0"/>
            <w:vAlign w:val="center"/>
          </w:tcPr>
          <w:p w14:paraId="66393FF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基础油储罐（丙类）</w:t>
            </w:r>
          </w:p>
        </w:tc>
        <w:tc>
          <w:tcPr>
            <w:tcW w:w="705" w:type="pct"/>
            <w:noWrap w:val="0"/>
            <w:vAlign w:val="center"/>
          </w:tcPr>
          <w:p w14:paraId="19CD963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2.6</w:t>
            </w:r>
          </w:p>
        </w:tc>
        <w:tc>
          <w:tcPr>
            <w:tcW w:w="874" w:type="pct"/>
            <w:noWrap w:val="0"/>
            <w:vAlign w:val="center"/>
          </w:tcPr>
          <w:p w14:paraId="5D3ECEBE">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0.4D=0.4×3.2</w:t>
            </w:r>
          </w:p>
          <w:p w14:paraId="36AD96C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    =1.28</w:t>
            </w:r>
          </w:p>
        </w:tc>
        <w:tc>
          <w:tcPr>
            <w:tcW w:w="1552" w:type="pct"/>
            <w:noWrap w:val="0"/>
            <w:vAlign w:val="center"/>
          </w:tcPr>
          <w:p w14:paraId="517AB8E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2284533E">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6.2.6</w:t>
            </w:r>
          </w:p>
        </w:tc>
      </w:tr>
      <w:tr w14:paraId="64519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rPr>
        <w:tc>
          <w:tcPr>
            <w:tcW w:w="305" w:type="pct"/>
            <w:noWrap w:val="0"/>
            <w:vAlign w:val="center"/>
          </w:tcPr>
          <w:p w14:paraId="6E05C8A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w:t>
            </w:r>
          </w:p>
        </w:tc>
        <w:tc>
          <w:tcPr>
            <w:tcW w:w="679" w:type="pct"/>
            <w:noWrap w:val="0"/>
            <w:vAlign w:val="center"/>
          </w:tcPr>
          <w:p w14:paraId="2721B3A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原料储罐区2（2#罐区）</w:t>
            </w:r>
          </w:p>
        </w:tc>
        <w:tc>
          <w:tcPr>
            <w:tcW w:w="882" w:type="pct"/>
            <w:noWrap w:val="0"/>
            <w:vAlign w:val="center"/>
          </w:tcPr>
          <w:p w14:paraId="4BD38B24">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防火堤</w:t>
            </w:r>
          </w:p>
        </w:tc>
        <w:tc>
          <w:tcPr>
            <w:tcW w:w="705" w:type="pct"/>
            <w:noWrap w:val="0"/>
            <w:vAlign w:val="center"/>
          </w:tcPr>
          <w:p w14:paraId="58AF922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w:t>
            </w:r>
          </w:p>
        </w:tc>
        <w:tc>
          <w:tcPr>
            <w:tcW w:w="874" w:type="pct"/>
            <w:noWrap w:val="0"/>
            <w:vAlign w:val="center"/>
          </w:tcPr>
          <w:p w14:paraId="253A035A">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0.5H=0.5×6.450</w:t>
            </w:r>
          </w:p>
          <w:p w14:paraId="20334D2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=3.225</w:t>
            </w:r>
          </w:p>
        </w:tc>
        <w:tc>
          <w:tcPr>
            <w:tcW w:w="1552" w:type="pct"/>
            <w:noWrap w:val="0"/>
            <w:vAlign w:val="center"/>
          </w:tcPr>
          <w:p w14:paraId="30CE690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GB51283-2020</w:t>
            </w:r>
          </w:p>
          <w:p w14:paraId="299F499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6.2.12</w:t>
            </w:r>
          </w:p>
        </w:tc>
      </w:tr>
    </w:tbl>
    <w:p w14:paraId="5625167D">
      <w:pPr>
        <w:bidi w:val="0"/>
        <w:ind w:left="0" w:leftChars="0" w:firstLine="480" w:firstLineChars="200"/>
        <w:rPr>
          <w:rFonts w:hint="eastAsia"/>
          <w:color w:val="auto"/>
          <w:lang w:val="en-US" w:eastAsia="zh-CN"/>
        </w:rPr>
      </w:pPr>
      <w:r>
        <w:rPr>
          <w:rFonts w:hint="eastAsia"/>
          <w:color w:val="auto"/>
          <w:lang w:val="en-US" w:eastAsia="zh-CN"/>
        </w:rPr>
        <w:t>由上表可知，罐区内各罐组防火间距符合《精细化工企业工程设计防火标准》（GB51283-2020）中相关要求。</w:t>
      </w:r>
    </w:p>
    <w:p w14:paraId="072F33C2">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3、环保设施布置合理性</w:t>
      </w:r>
    </w:p>
    <w:p w14:paraId="69AE425E">
      <w:pPr>
        <w:bidi w:val="0"/>
        <w:ind w:left="0" w:leftChars="0" w:firstLine="480" w:firstLineChars="200"/>
        <w:rPr>
          <w:rFonts w:hint="default"/>
          <w:color w:val="auto"/>
          <w:lang w:val="en-US" w:eastAsia="zh-CN"/>
        </w:rPr>
      </w:pPr>
      <w:r>
        <w:rPr>
          <w:rFonts w:hint="eastAsia"/>
          <w:color w:val="auto"/>
          <w:lang w:val="en-US" w:eastAsia="zh-CN"/>
        </w:rPr>
        <w:t>本项目废气处理设施及排气筒就近布置在靠近污染源处，结合大气</w:t>
      </w:r>
      <w:r>
        <w:rPr>
          <w:color w:val="auto"/>
        </w:rPr>
        <w:t>环境影响预测结果</w:t>
      </w:r>
      <w:r>
        <w:rPr>
          <w:rFonts w:hint="eastAsia"/>
          <w:color w:val="auto"/>
          <w:lang w:val="en-US" w:eastAsia="zh-CN"/>
        </w:rPr>
        <w:t>可知</w:t>
      </w:r>
      <w:r>
        <w:rPr>
          <w:rFonts w:hint="eastAsia"/>
          <w:color w:val="auto"/>
          <w:lang w:eastAsia="zh-CN"/>
        </w:rPr>
        <w:t>，</w:t>
      </w:r>
      <w:r>
        <w:rPr>
          <w:rFonts w:hint="eastAsia"/>
          <w:color w:val="auto"/>
          <w:lang w:val="en-US" w:eastAsia="zh-CN"/>
        </w:rPr>
        <w:t>本项目排放废气对区域环境空气影响较小，不会改变区域环境功能，各废气处理设施及排气筒布置合理。场地北高南低，西高东低，初期雨水池和事故应急池布置在厂区东南角，处于厂区地势最低处，事故或停电状态下废水也可自流至初期雨水池和事故应急池。危废暂存间设置于仓库东南角，便于危险废物的统一收集、管理，降低危险废物暂存、转运过程中存在的环境风险。</w:t>
      </w:r>
    </w:p>
    <w:p w14:paraId="462150E8">
      <w:pPr>
        <w:bidi w:val="0"/>
        <w:ind w:left="0" w:leftChars="0" w:firstLine="480" w:firstLineChars="200"/>
        <w:rPr>
          <w:rFonts w:hint="eastAsia"/>
          <w:color w:val="auto"/>
          <w:lang w:val="en-US" w:eastAsia="zh-CN"/>
        </w:rPr>
      </w:pPr>
      <w:r>
        <w:rPr>
          <w:rFonts w:hint="eastAsia"/>
          <w:color w:val="auto"/>
          <w:lang w:val="en-US" w:eastAsia="zh-CN"/>
        </w:rPr>
        <w:t>同时，根据</w:t>
      </w:r>
      <w:r>
        <w:rPr>
          <w:rFonts w:hint="eastAsia"/>
          <w:color w:val="auto"/>
          <w:highlight w:val="none"/>
          <w:lang w:val="en-US" w:eastAsia="zh-CN"/>
        </w:rPr>
        <w:t>根据《四川诚正建科新材料有限公司聚羧酸减水剂与无碱速凝剂生产项目安全预评价报告（送审件）》</w:t>
      </w:r>
      <w:r>
        <w:rPr>
          <w:rFonts w:hint="eastAsia"/>
          <w:color w:val="auto"/>
          <w:lang w:val="en-US" w:eastAsia="zh-CN"/>
        </w:rPr>
        <w:t>中结论：项目防火分区满足《建筑设计防火规范》（GB50016-2014，2018年版）中有关规定；项目平面布置符合《建筑设计防火规范》（GB50016-2014，2018年版）、《建筑防火通用规范》（GB55037-2022）、《精细化工企业工程设计防火标准》（GB51283-2020）中相关要求。</w:t>
      </w:r>
    </w:p>
    <w:p w14:paraId="1A290158">
      <w:pPr>
        <w:bidi w:val="0"/>
        <w:ind w:left="0" w:leftChars="0" w:firstLine="480" w:firstLineChars="200"/>
        <w:rPr>
          <w:rFonts w:hint="eastAsia"/>
          <w:color w:val="auto"/>
          <w:lang w:val="en-US" w:eastAsia="zh-CN"/>
        </w:rPr>
      </w:pPr>
      <w:r>
        <w:rPr>
          <w:rFonts w:hint="eastAsia"/>
          <w:color w:val="auto"/>
          <w:lang w:val="en-US" w:eastAsia="zh-CN"/>
        </w:rPr>
        <w:t>综合上述，本项目总平面布置在充分考虑国家现行的防火、防爆、安全等有关规范的基础上，还考虑了工艺生产流线配合及污染物治理，功能分区明确，总体布局基本合理。</w:t>
      </w:r>
    </w:p>
    <w:p w14:paraId="2DABCCE3">
      <w:pPr>
        <w:pStyle w:val="4"/>
        <w:bidi w:val="0"/>
        <w:rPr>
          <w:rFonts w:hint="eastAsia"/>
          <w:color w:val="auto"/>
          <w:highlight w:val="none"/>
          <w:lang w:val="en-US" w:eastAsia="zh-CN"/>
        </w:rPr>
      </w:pPr>
      <w:r>
        <w:rPr>
          <w:rFonts w:hint="eastAsia"/>
          <w:color w:val="auto"/>
          <w:highlight w:val="none"/>
          <w:lang w:val="en-US" w:eastAsia="zh-CN"/>
        </w:rPr>
        <w:t>原辅材料及能耗</w:t>
      </w:r>
    </w:p>
    <w:p w14:paraId="02D8A28F">
      <w:pPr>
        <w:pStyle w:val="5"/>
        <w:bidi w:val="0"/>
        <w:rPr>
          <w:rFonts w:hint="default"/>
          <w:color w:val="auto"/>
          <w:highlight w:val="none"/>
        </w:rPr>
      </w:pPr>
      <w:r>
        <w:rPr>
          <w:rFonts w:hint="eastAsia"/>
          <w:color w:val="auto"/>
          <w:highlight w:val="none"/>
          <w:lang w:val="en-US" w:eastAsia="zh-CN"/>
        </w:rPr>
        <w:t>生产原辅材料</w:t>
      </w:r>
    </w:p>
    <w:p w14:paraId="4F305BDB">
      <w:pPr>
        <w:bidi w:val="0"/>
        <w:ind w:left="0" w:leftChars="0" w:firstLine="480" w:firstLineChars="200"/>
        <w:rPr>
          <w:rFonts w:hint="default"/>
          <w:color w:val="auto"/>
          <w:lang w:val="en-US" w:eastAsia="zh-CN"/>
        </w:rPr>
      </w:pPr>
      <w:r>
        <w:rPr>
          <w:rFonts w:hint="eastAsia"/>
          <w:color w:val="auto"/>
          <w:lang w:val="en-US" w:eastAsia="zh-CN"/>
        </w:rPr>
        <w:t>本项目外购原辅材料的纯度应达到相应要求，且各原辅材料中杂质含量应满足该原辅材料对应的产品质量要求。对照《有毒有害大气污染物名录（2018年）》、《有毒有害⽔污染物名录》第⼀批、第二批》、《重点管控新污染物清单（2023年版）》、《优先控制化学品名录（第一批、第二批）》、《关于持久性有机污染物的斯德哥尔摩公约（2009修订）》、《四川省优先评估化学物质清单（第一批）》，本项目生产使用的原辅材料不涉及上述文件中有毒有害大气污染物及新污染物。本项目生产所需主要原辅材料见下表。</w:t>
      </w:r>
    </w:p>
    <w:p w14:paraId="3017B883">
      <w:pPr>
        <w:bidi w:val="0"/>
        <w:rPr>
          <w:rFonts w:hint="eastAsia"/>
          <w:color w:val="auto"/>
          <w:lang w:val="en-US" w:eastAsia="zh-CN"/>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7CF5DB01">
      <w:pPr>
        <w:bidi w:val="0"/>
        <w:rPr>
          <w:rFonts w:hint="default" w:ascii="黑体" w:hAnsi="黑体" w:eastAsia="黑体" w:cs="黑体"/>
          <w:color w:val="auto"/>
          <w:kern w:val="2"/>
          <w:sz w:val="21"/>
          <w:szCs w:val="21"/>
          <w:highlight w:val="none"/>
          <w:lang w:val="en-US" w:eastAsia="zh-CN" w:bidi="ar-SA"/>
        </w:rPr>
      </w:pPr>
      <w:r>
        <w:rPr>
          <w:rFonts w:hint="eastAsia"/>
          <w:color w:val="auto"/>
          <w:lang w:val="en-US" w:eastAsia="zh-CN"/>
        </w:rPr>
        <w:t>略。</w:t>
      </w:r>
    </w:p>
    <w:p w14:paraId="43C3EC7C">
      <w:pPr>
        <w:pStyle w:val="5"/>
        <w:bidi w:val="0"/>
        <w:rPr>
          <w:rFonts w:hint="default"/>
          <w:color w:val="auto"/>
          <w:highlight w:val="none"/>
        </w:rPr>
      </w:pPr>
      <w:r>
        <w:rPr>
          <w:rFonts w:hint="eastAsia"/>
          <w:color w:val="auto"/>
          <w:highlight w:val="none"/>
          <w:lang w:val="en-US" w:eastAsia="zh-CN"/>
        </w:rPr>
        <w:t>质检原辅材料</w:t>
      </w:r>
    </w:p>
    <w:p w14:paraId="321850FB">
      <w:pPr>
        <w:bidi w:val="0"/>
        <w:rPr>
          <w:rFonts w:hint="eastAsia"/>
          <w:color w:val="auto"/>
          <w:lang w:eastAsia="zh-CN"/>
        </w:rPr>
      </w:pPr>
      <w:r>
        <w:rPr>
          <w:rFonts w:hint="eastAsia"/>
          <w:color w:val="auto"/>
          <w:lang w:val="en-US" w:eastAsia="zh-CN"/>
        </w:rPr>
        <w:t>本项目设质检室对产品进行检测，质检所需</w:t>
      </w:r>
      <w:r>
        <w:rPr>
          <w:rFonts w:hint="eastAsia"/>
          <w:color w:val="auto"/>
        </w:rPr>
        <w:t>原辅材料</w:t>
      </w:r>
      <w:r>
        <w:rPr>
          <w:color w:val="auto"/>
        </w:rPr>
        <w:t>见</w:t>
      </w:r>
      <w:r>
        <w:rPr>
          <w:rFonts w:hint="eastAsia"/>
          <w:color w:val="auto"/>
          <w:lang w:val="en-US" w:eastAsia="zh-CN"/>
        </w:rPr>
        <w:t>下</w:t>
      </w:r>
      <w:r>
        <w:rPr>
          <w:color w:val="auto"/>
        </w:rPr>
        <w:t>表</w:t>
      </w:r>
      <w:r>
        <w:rPr>
          <w:rFonts w:hint="eastAsia"/>
          <w:color w:val="auto"/>
          <w:lang w:eastAsia="zh-CN"/>
        </w:rPr>
        <w:t>。</w:t>
      </w:r>
    </w:p>
    <w:p w14:paraId="7F66A7BF">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质检所需主要原辅材料表</w:t>
      </w:r>
    </w:p>
    <w:tbl>
      <w:tblPr>
        <w:tblStyle w:val="20"/>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108" w:type="dxa"/>
          <w:bottom w:w="0" w:type="dxa"/>
          <w:right w:w="108" w:type="dxa"/>
        </w:tblCellMar>
      </w:tblPr>
      <w:tblGrid>
        <w:gridCol w:w="1508"/>
        <w:gridCol w:w="2056"/>
        <w:gridCol w:w="1782"/>
        <w:gridCol w:w="1782"/>
        <w:gridCol w:w="1782"/>
        <w:gridCol w:w="1782"/>
        <w:gridCol w:w="1782"/>
        <w:gridCol w:w="1791"/>
      </w:tblGrid>
      <w:tr w14:paraId="34F98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8" w:type="dxa"/>
            <w:bottom w:w="0" w:type="dxa"/>
            <w:right w:w="108" w:type="dxa"/>
          </w:tblCellMar>
        </w:tblPrEx>
        <w:trPr>
          <w:trHeight w:val="57" w:hRule="atLeast"/>
        </w:trPr>
        <w:tc>
          <w:tcPr>
            <w:tcW w:w="528" w:type="pct"/>
            <w:tcBorders>
              <w:tl2br w:val="nil"/>
              <w:tr2bl w:val="nil"/>
            </w:tcBorders>
            <w:shd w:val="clear" w:color="auto" w:fill="auto"/>
            <w:vAlign w:val="center"/>
          </w:tcPr>
          <w:p w14:paraId="0CBE803C">
            <w:pPr>
              <w:pStyle w:val="24"/>
              <w:bidi w:val="0"/>
              <w:jc w:val="center"/>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类型</w:t>
            </w:r>
          </w:p>
        </w:tc>
        <w:tc>
          <w:tcPr>
            <w:tcW w:w="720" w:type="pct"/>
            <w:tcBorders>
              <w:tl2br w:val="nil"/>
              <w:tr2bl w:val="nil"/>
            </w:tcBorders>
            <w:shd w:val="clear" w:color="auto" w:fill="auto"/>
            <w:vAlign w:val="center"/>
          </w:tcPr>
          <w:p w14:paraId="6192CD50">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名称</w:t>
            </w:r>
          </w:p>
        </w:tc>
        <w:tc>
          <w:tcPr>
            <w:tcW w:w="624" w:type="pct"/>
            <w:tcBorders>
              <w:tl2br w:val="nil"/>
              <w:tr2bl w:val="nil"/>
            </w:tcBorders>
            <w:shd w:val="clear" w:color="auto" w:fill="auto"/>
            <w:vAlign w:val="center"/>
          </w:tcPr>
          <w:p w14:paraId="7B69BA85">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纯度</w:t>
            </w:r>
          </w:p>
        </w:tc>
        <w:tc>
          <w:tcPr>
            <w:tcW w:w="624" w:type="pct"/>
            <w:tcBorders>
              <w:tl2br w:val="nil"/>
              <w:tr2bl w:val="nil"/>
            </w:tcBorders>
            <w:shd w:val="clear" w:color="auto" w:fill="auto"/>
            <w:vAlign w:val="center"/>
          </w:tcPr>
          <w:p w14:paraId="396E568E">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形态</w:t>
            </w:r>
          </w:p>
        </w:tc>
        <w:tc>
          <w:tcPr>
            <w:tcW w:w="624" w:type="pct"/>
            <w:tcBorders>
              <w:tl2br w:val="nil"/>
              <w:tr2bl w:val="nil"/>
            </w:tcBorders>
            <w:shd w:val="clear" w:color="auto" w:fill="auto"/>
            <w:vAlign w:val="center"/>
          </w:tcPr>
          <w:p w14:paraId="4418EE6A">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规格</w:t>
            </w:r>
          </w:p>
        </w:tc>
        <w:tc>
          <w:tcPr>
            <w:tcW w:w="624" w:type="pct"/>
            <w:tcBorders>
              <w:tl2br w:val="nil"/>
              <w:tr2bl w:val="nil"/>
            </w:tcBorders>
            <w:shd w:val="clear" w:color="auto" w:fill="auto"/>
            <w:noWrap/>
            <w:vAlign w:val="center"/>
          </w:tcPr>
          <w:p w14:paraId="59EF5A03">
            <w:pPr>
              <w:pStyle w:val="24"/>
              <w:bidi w:val="0"/>
              <w:jc w:val="center"/>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年用量</w:t>
            </w:r>
          </w:p>
        </w:tc>
        <w:tc>
          <w:tcPr>
            <w:tcW w:w="624" w:type="pct"/>
            <w:tcBorders>
              <w:tl2br w:val="nil"/>
              <w:tr2bl w:val="nil"/>
            </w:tcBorders>
            <w:shd w:val="clear" w:color="auto" w:fill="auto"/>
            <w:noWrap/>
            <w:vAlign w:val="center"/>
          </w:tcPr>
          <w:p w14:paraId="25BAF8DB">
            <w:pPr>
              <w:pStyle w:val="24"/>
              <w:bidi w:val="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最大储存量（t）</w:t>
            </w:r>
          </w:p>
        </w:tc>
        <w:tc>
          <w:tcPr>
            <w:tcW w:w="627" w:type="pct"/>
            <w:tcBorders>
              <w:tl2br w:val="nil"/>
              <w:tr2bl w:val="nil"/>
            </w:tcBorders>
            <w:shd w:val="clear" w:color="auto" w:fill="auto"/>
            <w:noWrap/>
            <w:vAlign w:val="center"/>
          </w:tcPr>
          <w:p w14:paraId="12730C97">
            <w:pPr>
              <w:pStyle w:val="24"/>
              <w:bidi w:val="0"/>
              <w:ind w:left="0" w:leftChars="0"/>
              <w:jc w:val="center"/>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储存位置</w:t>
            </w:r>
          </w:p>
        </w:tc>
      </w:tr>
      <w:tr w14:paraId="39910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restart"/>
            <w:tcBorders>
              <w:tl2br w:val="nil"/>
              <w:tr2bl w:val="nil"/>
            </w:tcBorders>
            <w:shd w:val="clear" w:color="auto" w:fill="auto"/>
            <w:vAlign w:val="center"/>
          </w:tcPr>
          <w:p w14:paraId="18810C6B">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原（辅）料</w:t>
            </w:r>
          </w:p>
        </w:tc>
        <w:tc>
          <w:tcPr>
            <w:tcW w:w="720" w:type="pct"/>
            <w:tcBorders>
              <w:tl2br w:val="nil"/>
              <w:tr2bl w:val="nil"/>
            </w:tcBorders>
            <w:shd w:val="clear" w:color="auto" w:fill="auto"/>
            <w:vAlign w:val="center"/>
          </w:tcPr>
          <w:p w14:paraId="31F3613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氯化钠</w:t>
            </w:r>
          </w:p>
        </w:tc>
        <w:tc>
          <w:tcPr>
            <w:tcW w:w="624" w:type="pct"/>
            <w:tcBorders>
              <w:tl2br w:val="nil"/>
              <w:tr2bl w:val="nil"/>
            </w:tcBorders>
            <w:shd w:val="clear" w:color="auto" w:fill="auto"/>
            <w:vAlign w:val="center"/>
          </w:tcPr>
          <w:p w14:paraId="22063A9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0AAB720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固体</w:t>
            </w:r>
          </w:p>
        </w:tc>
        <w:tc>
          <w:tcPr>
            <w:tcW w:w="624" w:type="pct"/>
            <w:tcBorders>
              <w:tl2br w:val="nil"/>
              <w:tr2bl w:val="nil"/>
            </w:tcBorders>
            <w:shd w:val="clear" w:color="auto" w:fill="auto"/>
            <w:vAlign w:val="center"/>
          </w:tcPr>
          <w:p w14:paraId="113B388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500g/瓶</w:t>
            </w:r>
          </w:p>
        </w:tc>
        <w:tc>
          <w:tcPr>
            <w:tcW w:w="624" w:type="pct"/>
            <w:tcBorders>
              <w:tl2br w:val="nil"/>
              <w:tr2bl w:val="nil"/>
            </w:tcBorders>
            <w:shd w:val="clear" w:color="auto" w:fill="auto"/>
            <w:vAlign w:val="center"/>
          </w:tcPr>
          <w:p w14:paraId="1204FF0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10kg</w:t>
            </w:r>
          </w:p>
        </w:tc>
        <w:tc>
          <w:tcPr>
            <w:tcW w:w="624" w:type="pct"/>
            <w:tcBorders>
              <w:tl2br w:val="nil"/>
              <w:tr2bl w:val="nil"/>
            </w:tcBorders>
            <w:shd w:val="clear" w:color="auto" w:fill="auto"/>
            <w:vAlign w:val="center"/>
          </w:tcPr>
          <w:p w14:paraId="026E334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5kg</w:t>
            </w:r>
          </w:p>
        </w:tc>
        <w:tc>
          <w:tcPr>
            <w:tcW w:w="627" w:type="pct"/>
            <w:vMerge w:val="restart"/>
            <w:tcBorders>
              <w:tl2br w:val="nil"/>
              <w:tr2bl w:val="nil"/>
            </w:tcBorders>
            <w:shd w:val="clear" w:color="auto" w:fill="auto"/>
            <w:vAlign w:val="center"/>
          </w:tcPr>
          <w:p w14:paraId="3314E87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质检室试剂柜</w:t>
            </w:r>
          </w:p>
        </w:tc>
      </w:tr>
      <w:tr w14:paraId="68B64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7C8AC319">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2E99000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氯化钡</w:t>
            </w:r>
          </w:p>
        </w:tc>
        <w:tc>
          <w:tcPr>
            <w:tcW w:w="624" w:type="pct"/>
            <w:tcBorders>
              <w:tl2br w:val="nil"/>
              <w:tr2bl w:val="nil"/>
            </w:tcBorders>
            <w:shd w:val="clear" w:color="auto" w:fill="auto"/>
            <w:vAlign w:val="center"/>
          </w:tcPr>
          <w:p w14:paraId="17BFEF7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1AE7ED0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固体</w:t>
            </w:r>
          </w:p>
        </w:tc>
        <w:tc>
          <w:tcPr>
            <w:tcW w:w="624" w:type="pct"/>
            <w:tcBorders>
              <w:tl2br w:val="nil"/>
              <w:tr2bl w:val="nil"/>
            </w:tcBorders>
            <w:shd w:val="clear" w:color="auto" w:fill="auto"/>
            <w:vAlign w:val="center"/>
          </w:tcPr>
          <w:p w14:paraId="6C6DDC6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500g/瓶</w:t>
            </w:r>
          </w:p>
        </w:tc>
        <w:tc>
          <w:tcPr>
            <w:tcW w:w="624" w:type="pct"/>
            <w:tcBorders>
              <w:tl2br w:val="nil"/>
              <w:tr2bl w:val="nil"/>
            </w:tcBorders>
            <w:shd w:val="clear" w:color="auto" w:fill="auto"/>
            <w:vAlign w:val="center"/>
          </w:tcPr>
          <w:p w14:paraId="694681C2">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5kg</w:t>
            </w:r>
          </w:p>
        </w:tc>
        <w:tc>
          <w:tcPr>
            <w:tcW w:w="624" w:type="pct"/>
            <w:tcBorders>
              <w:tl2br w:val="nil"/>
              <w:tr2bl w:val="nil"/>
            </w:tcBorders>
            <w:shd w:val="clear" w:color="auto" w:fill="auto"/>
            <w:vAlign w:val="center"/>
          </w:tcPr>
          <w:p w14:paraId="599200BD">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2.5kg</w:t>
            </w:r>
          </w:p>
        </w:tc>
        <w:tc>
          <w:tcPr>
            <w:tcW w:w="627" w:type="pct"/>
            <w:vMerge w:val="continue"/>
            <w:tcBorders>
              <w:tl2br w:val="nil"/>
              <w:tr2bl w:val="nil"/>
            </w:tcBorders>
            <w:shd w:val="clear" w:color="auto" w:fill="auto"/>
            <w:vAlign w:val="center"/>
          </w:tcPr>
          <w:p w14:paraId="06F2A6BA">
            <w:pPr>
              <w:pStyle w:val="24"/>
              <w:bidi w:val="0"/>
              <w:jc w:val="center"/>
              <w:rPr>
                <w:rFonts w:hint="eastAsia" w:cs="Times New Roman"/>
                <w:b w:val="0"/>
                <w:bCs w:val="0"/>
                <w:color w:val="auto"/>
                <w:sz w:val="21"/>
                <w:szCs w:val="21"/>
                <w:highlight w:val="none"/>
                <w:lang w:val="en-US" w:eastAsia="zh-CN"/>
              </w:rPr>
            </w:pPr>
          </w:p>
        </w:tc>
      </w:tr>
      <w:tr w14:paraId="1AED1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3A5372F8">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61E6E4D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氢氧化钾</w:t>
            </w:r>
          </w:p>
        </w:tc>
        <w:tc>
          <w:tcPr>
            <w:tcW w:w="624" w:type="pct"/>
            <w:tcBorders>
              <w:tl2br w:val="nil"/>
              <w:tr2bl w:val="nil"/>
            </w:tcBorders>
            <w:shd w:val="clear" w:color="auto" w:fill="auto"/>
            <w:vAlign w:val="center"/>
          </w:tcPr>
          <w:p w14:paraId="6EFF541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61A0FFEC">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固体</w:t>
            </w:r>
          </w:p>
        </w:tc>
        <w:tc>
          <w:tcPr>
            <w:tcW w:w="624" w:type="pct"/>
            <w:tcBorders>
              <w:tl2br w:val="nil"/>
              <w:tr2bl w:val="nil"/>
            </w:tcBorders>
            <w:shd w:val="clear" w:color="auto" w:fill="auto"/>
            <w:vAlign w:val="center"/>
          </w:tcPr>
          <w:p w14:paraId="1326AE8B">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500g/瓶</w:t>
            </w:r>
          </w:p>
        </w:tc>
        <w:tc>
          <w:tcPr>
            <w:tcW w:w="624" w:type="pct"/>
            <w:tcBorders>
              <w:tl2br w:val="nil"/>
              <w:tr2bl w:val="nil"/>
            </w:tcBorders>
            <w:shd w:val="clear" w:color="auto" w:fill="auto"/>
            <w:vAlign w:val="center"/>
          </w:tcPr>
          <w:p w14:paraId="36CCC728">
            <w:pPr>
              <w:pStyle w:val="24"/>
              <w:bidi w:val="0"/>
              <w:ind w:left="0" w:leftChars="0"/>
              <w:jc w:val="center"/>
              <w:rPr>
                <w:rFonts w:hint="eastAsia"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5kg</w:t>
            </w:r>
          </w:p>
        </w:tc>
        <w:tc>
          <w:tcPr>
            <w:tcW w:w="624" w:type="pct"/>
            <w:tcBorders>
              <w:tl2br w:val="nil"/>
              <w:tr2bl w:val="nil"/>
            </w:tcBorders>
            <w:shd w:val="clear" w:color="auto" w:fill="auto"/>
            <w:vAlign w:val="center"/>
          </w:tcPr>
          <w:p w14:paraId="2C5BD49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2.5kg</w:t>
            </w:r>
          </w:p>
        </w:tc>
        <w:tc>
          <w:tcPr>
            <w:tcW w:w="627" w:type="pct"/>
            <w:vMerge w:val="continue"/>
            <w:tcBorders>
              <w:tl2br w:val="nil"/>
              <w:tr2bl w:val="nil"/>
            </w:tcBorders>
            <w:shd w:val="clear" w:color="auto" w:fill="auto"/>
            <w:vAlign w:val="center"/>
          </w:tcPr>
          <w:p w14:paraId="13C83441">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1DE39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1A175591">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79339F3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氢氧化钠</w:t>
            </w:r>
          </w:p>
        </w:tc>
        <w:tc>
          <w:tcPr>
            <w:tcW w:w="624" w:type="pct"/>
            <w:tcBorders>
              <w:tl2br w:val="nil"/>
              <w:tr2bl w:val="nil"/>
            </w:tcBorders>
            <w:shd w:val="clear" w:color="auto" w:fill="auto"/>
            <w:vAlign w:val="center"/>
          </w:tcPr>
          <w:p w14:paraId="3E5004E9">
            <w:pPr>
              <w:pStyle w:val="24"/>
              <w:bidi w:val="0"/>
              <w:ind w:left="0" w:leftChars="0"/>
              <w:jc w:val="center"/>
              <w:rPr>
                <w:rFonts w:hint="eastAsia"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00CD830C">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固体</w:t>
            </w:r>
          </w:p>
        </w:tc>
        <w:tc>
          <w:tcPr>
            <w:tcW w:w="624" w:type="pct"/>
            <w:tcBorders>
              <w:tl2br w:val="nil"/>
              <w:tr2bl w:val="nil"/>
            </w:tcBorders>
            <w:shd w:val="clear" w:color="auto" w:fill="auto"/>
            <w:vAlign w:val="center"/>
          </w:tcPr>
          <w:p w14:paraId="445FF26B">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500g/瓶</w:t>
            </w:r>
          </w:p>
        </w:tc>
        <w:tc>
          <w:tcPr>
            <w:tcW w:w="624" w:type="pct"/>
            <w:tcBorders>
              <w:tl2br w:val="nil"/>
              <w:tr2bl w:val="nil"/>
            </w:tcBorders>
            <w:shd w:val="clear" w:color="auto" w:fill="auto"/>
            <w:vAlign w:val="center"/>
          </w:tcPr>
          <w:p w14:paraId="02D72BF7">
            <w:pPr>
              <w:pStyle w:val="24"/>
              <w:bidi w:val="0"/>
              <w:jc w:val="center"/>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5kg</w:t>
            </w:r>
          </w:p>
        </w:tc>
        <w:tc>
          <w:tcPr>
            <w:tcW w:w="624" w:type="pct"/>
            <w:tcBorders>
              <w:tl2br w:val="nil"/>
              <w:tr2bl w:val="nil"/>
            </w:tcBorders>
            <w:shd w:val="clear" w:color="auto" w:fill="auto"/>
            <w:vAlign w:val="center"/>
          </w:tcPr>
          <w:p w14:paraId="0541A7E0">
            <w:pPr>
              <w:pStyle w:val="24"/>
              <w:bidi w:val="0"/>
              <w:jc w:val="center"/>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2.5kg</w:t>
            </w:r>
          </w:p>
        </w:tc>
        <w:tc>
          <w:tcPr>
            <w:tcW w:w="627" w:type="pct"/>
            <w:vMerge w:val="continue"/>
            <w:tcBorders>
              <w:tl2br w:val="nil"/>
              <w:tr2bl w:val="nil"/>
            </w:tcBorders>
            <w:shd w:val="clear" w:color="auto" w:fill="auto"/>
            <w:vAlign w:val="center"/>
          </w:tcPr>
          <w:p w14:paraId="5C20BEDA">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13F13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6DB73847">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1AE7AAB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硝酸银</w:t>
            </w:r>
          </w:p>
        </w:tc>
        <w:tc>
          <w:tcPr>
            <w:tcW w:w="624" w:type="pct"/>
            <w:tcBorders>
              <w:tl2br w:val="nil"/>
              <w:tr2bl w:val="nil"/>
            </w:tcBorders>
            <w:shd w:val="clear" w:color="auto" w:fill="auto"/>
            <w:vAlign w:val="center"/>
          </w:tcPr>
          <w:p w14:paraId="147E1B7A">
            <w:pPr>
              <w:pStyle w:val="24"/>
              <w:bidi w:val="0"/>
              <w:ind w:left="0" w:leftChars="0"/>
              <w:jc w:val="center"/>
              <w:rPr>
                <w:rFonts w:hint="eastAsia"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分析纯</w:t>
            </w:r>
          </w:p>
        </w:tc>
        <w:tc>
          <w:tcPr>
            <w:tcW w:w="1782" w:type="dxa"/>
            <w:tcBorders>
              <w:tl2br w:val="nil"/>
              <w:tr2bl w:val="nil"/>
            </w:tcBorders>
            <w:shd w:val="clear" w:color="auto" w:fill="auto"/>
            <w:vAlign w:val="center"/>
          </w:tcPr>
          <w:p w14:paraId="3DEEF3E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固体</w:t>
            </w:r>
          </w:p>
        </w:tc>
        <w:tc>
          <w:tcPr>
            <w:tcW w:w="1782" w:type="dxa"/>
            <w:tcBorders>
              <w:tl2br w:val="nil"/>
              <w:tr2bl w:val="nil"/>
            </w:tcBorders>
            <w:shd w:val="clear" w:color="auto" w:fill="auto"/>
            <w:vAlign w:val="center"/>
          </w:tcPr>
          <w:p w14:paraId="3771908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500g/瓶</w:t>
            </w:r>
          </w:p>
        </w:tc>
        <w:tc>
          <w:tcPr>
            <w:tcW w:w="624" w:type="pct"/>
            <w:tcBorders>
              <w:tl2br w:val="nil"/>
              <w:tr2bl w:val="nil"/>
            </w:tcBorders>
            <w:shd w:val="clear" w:color="auto" w:fill="auto"/>
            <w:vAlign w:val="center"/>
          </w:tcPr>
          <w:p w14:paraId="4ADFBA4E">
            <w:pPr>
              <w:pStyle w:val="24"/>
              <w:bidi w:val="0"/>
              <w:jc w:val="center"/>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2.5kg</w:t>
            </w:r>
          </w:p>
        </w:tc>
        <w:tc>
          <w:tcPr>
            <w:tcW w:w="624" w:type="pct"/>
            <w:tcBorders>
              <w:tl2br w:val="nil"/>
              <w:tr2bl w:val="nil"/>
            </w:tcBorders>
            <w:shd w:val="clear" w:color="auto" w:fill="auto"/>
            <w:vAlign w:val="center"/>
          </w:tcPr>
          <w:p w14:paraId="65BD521A">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1kg</w:t>
            </w:r>
          </w:p>
        </w:tc>
        <w:tc>
          <w:tcPr>
            <w:tcW w:w="627" w:type="pct"/>
            <w:vMerge w:val="continue"/>
            <w:tcBorders>
              <w:tl2br w:val="nil"/>
              <w:tr2bl w:val="nil"/>
            </w:tcBorders>
            <w:shd w:val="clear" w:color="auto" w:fill="auto"/>
            <w:vAlign w:val="center"/>
          </w:tcPr>
          <w:p w14:paraId="60267AE8">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2AC1F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trPr>
        <w:tc>
          <w:tcPr>
            <w:tcW w:w="528" w:type="pct"/>
            <w:vMerge w:val="continue"/>
            <w:tcBorders>
              <w:tl2br w:val="nil"/>
              <w:tr2bl w:val="nil"/>
            </w:tcBorders>
            <w:shd w:val="clear" w:color="auto" w:fill="auto"/>
            <w:vAlign w:val="center"/>
          </w:tcPr>
          <w:p w14:paraId="2F5020A0">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244FF3E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盐酸</w:t>
            </w:r>
          </w:p>
        </w:tc>
        <w:tc>
          <w:tcPr>
            <w:tcW w:w="624" w:type="pct"/>
            <w:tcBorders>
              <w:tl2br w:val="nil"/>
              <w:tr2bl w:val="nil"/>
            </w:tcBorders>
            <w:shd w:val="clear" w:color="auto" w:fill="auto"/>
            <w:vAlign w:val="center"/>
          </w:tcPr>
          <w:p w14:paraId="3005606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3D5B35D0">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液体</w:t>
            </w:r>
          </w:p>
        </w:tc>
        <w:tc>
          <w:tcPr>
            <w:tcW w:w="624" w:type="pct"/>
            <w:tcBorders>
              <w:tl2br w:val="nil"/>
              <w:tr2bl w:val="nil"/>
            </w:tcBorders>
            <w:shd w:val="clear" w:color="auto" w:fill="auto"/>
            <w:vAlign w:val="center"/>
          </w:tcPr>
          <w:p w14:paraId="08991A6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w:t>
            </w:r>
            <w:r>
              <w:rPr>
                <w:rFonts w:hint="eastAsia" w:cs="Times New Roman"/>
                <w:b w:val="0"/>
                <w:bCs w:val="0"/>
                <w:color w:val="auto"/>
                <w:sz w:val="21"/>
                <w:szCs w:val="21"/>
                <w:highlight w:val="none"/>
                <w:lang w:val="en-US" w:eastAsia="zh-CN"/>
              </w:rPr>
              <w:t>mL</w:t>
            </w:r>
            <w:r>
              <w:rPr>
                <w:rFonts w:hint="eastAsia" w:ascii="Times New Roman" w:hAnsi="Times New Roman" w:eastAsia="宋体" w:cs="Times New Roman"/>
                <w:b w:val="0"/>
                <w:bCs w:val="0"/>
                <w:color w:val="auto"/>
                <w:sz w:val="21"/>
                <w:szCs w:val="21"/>
                <w:highlight w:val="none"/>
                <w:lang w:val="en-US" w:eastAsia="zh-CN"/>
              </w:rPr>
              <w:t>/瓶</w:t>
            </w:r>
          </w:p>
        </w:tc>
        <w:tc>
          <w:tcPr>
            <w:tcW w:w="624" w:type="pct"/>
            <w:tcBorders>
              <w:tl2br w:val="nil"/>
              <w:tr2bl w:val="nil"/>
            </w:tcBorders>
            <w:shd w:val="clear" w:color="auto" w:fill="auto"/>
            <w:vAlign w:val="center"/>
          </w:tcPr>
          <w:p w14:paraId="53F858A1">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1L</w:t>
            </w:r>
          </w:p>
        </w:tc>
        <w:tc>
          <w:tcPr>
            <w:tcW w:w="624" w:type="pct"/>
            <w:tcBorders>
              <w:tl2br w:val="nil"/>
              <w:tr2bl w:val="nil"/>
            </w:tcBorders>
            <w:shd w:val="clear" w:color="auto" w:fill="auto"/>
            <w:vAlign w:val="center"/>
          </w:tcPr>
          <w:p w14:paraId="2C3C715A">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0.5L</w:t>
            </w:r>
          </w:p>
        </w:tc>
        <w:tc>
          <w:tcPr>
            <w:tcW w:w="627" w:type="pct"/>
            <w:vMerge w:val="continue"/>
            <w:tcBorders>
              <w:tl2br w:val="nil"/>
              <w:tr2bl w:val="nil"/>
            </w:tcBorders>
            <w:shd w:val="clear" w:color="auto" w:fill="auto"/>
            <w:vAlign w:val="center"/>
          </w:tcPr>
          <w:p w14:paraId="6DF181AE">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66834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trPr>
        <w:tc>
          <w:tcPr>
            <w:tcW w:w="528" w:type="pct"/>
            <w:vMerge w:val="continue"/>
            <w:tcBorders>
              <w:tl2br w:val="nil"/>
              <w:tr2bl w:val="nil"/>
            </w:tcBorders>
            <w:shd w:val="clear" w:color="auto" w:fill="auto"/>
            <w:vAlign w:val="center"/>
          </w:tcPr>
          <w:p w14:paraId="78FC8536">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1F75764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硫酸</w:t>
            </w:r>
          </w:p>
        </w:tc>
        <w:tc>
          <w:tcPr>
            <w:tcW w:w="624" w:type="pct"/>
            <w:tcBorders>
              <w:tl2br w:val="nil"/>
              <w:tr2bl w:val="nil"/>
            </w:tcBorders>
            <w:shd w:val="clear" w:color="auto" w:fill="auto"/>
            <w:vAlign w:val="center"/>
          </w:tcPr>
          <w:p w14:paraId="4C8FECA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1F46FC0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液体</w:t>
            </w:r>
          </w:p>
        </w:tc>
        <w:tc>
          <w:tcPr>
            <w:tcW w:w="624" w:type="pct"/>
            <w:tcBorders>
              <w:tl2br w:val="nil"/>
              <w:tr2bl w:val="nil"/>
            </w:tcBorders>
            <w:shd w:val="clear" w:color="auto" w:fill="auto"/>
            <w:vAlign w:val="center"/>
          </w:tcPr>
          <w:p w14:paraId="679D79A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500</w:t>
            </w:r>
            <w:r>
              <w:rPr>
                <w:rFonts w:hint="eastAsia" w:cs="Times New Roman"/>
                <w:b w:val="0"/>
                <w:bCs w:val="0"/>
                <w:color w:val="auto"/>
                <w:sz w:val="21"/>
                <w:szCs w:val="21"/>
                <w:highlight w:val="none"/>
                <w:lang w:val="en-US" w:eastAsia="zh-CN"/>
              </w:rPr>
              <w:t>mL</w:t>
            </w:r>
            <w:r>
              <w:rPr>
                <w:rFonts w:hint="eastAsia" w:ascii="Times New Roman" w:hAnsi="Times New Roman" w:eastAsia="宋体" w:cs="Times New Roman"/>
                <w:b w:val="0"/>
                <w:bCs w:val="0"/>
                <w:color w:val="auto"/>
                <w:sz w:val="21"/>
                <w:szCs w:val="21"/>
                <w:highlight w:val="none"/>
                <w:lang w:val="en-US" w:eastAsia="zh-CN"/>
              </w:rPr>
              <w:t>/瓶</w:t>
            </w:r>
          </w:p>
        </w:tc>
        <w:tc>
          <w:tcPr>
            <w:tcW w:w="624" w:type="pct"/>
            <w:tcBorders>
              <w:tl2br w:val="nil"/>
              <w:tr2bl w:val="nil"/>
            </w:tcBorders>
            <w:shd w:val="clear" w:color="auto" w:fill="auto"/>
            <w:vAlign w:val="center"/>
          </w:tcPr>
          <w:p w14:paraId="51C2C50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0.5L</w:t>
            </w:r>
          </w:p>
        </w:tc>
        <w:tc>
          <w:tcPr>
            <w:tcW w:w="624" w:type="pct"/>
            <w:tcBorders>
              <w:tl2br w:val="nil"/>
              <w:tr2bl w:val="nil"/>
            </w:tcBorders>
            <w:shd w:val="clear" w:color="auto" w:fill="auto"/>
            <w:vAlign w:val="center"/>
          </w:tcPr>
          <w:p w14:paraId="1CE2640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0.5L</w:t>
            </w:r>
          </w:p>
        </w:tc>
        <w:tc>
          <w:tcPr>
            <w:tcW w:w="627" w:type="pct"/>
            <w:vMerge w:val="continue"/>
            <w:tcBorders>
              <w:tl2br w:val="nil"/>
              <w:tr2bl w:val="nil"/>
            </w:tcBorders>
            <w:shd w:val="clear" w:color="auto" w:fill="auto"/>
            <w:vAlign w:val="center"/>
          </w:tcPr>
          <w:p w14:paraId="72BD7DA9">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49AB3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5B2761E3">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30A93BA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氢氟酸</w:t>
            </w:r>
          </w:p>
        </w:tc>
        <w:tc>
          <w:tcPr>
            <w:tcW w:w="624" w:type="pct"/>
            <w:tcBorders>
              <w:tl2br w:val="nil"/>
              <w:tr2bl w:val="nil"/>
            </w:tcBorders>
            <w:shd w:val="clear" w:color="auto" w:fill="auto"/>
            <w:vAlign w:val="center"/>
          </w:tcPr>
          <w:p w14:paraId="6A379396">
            <w:pPr>
              <w:pStyle w:val="24"/>
              <w:bidi w:val="0"/>
              <w:ind w:left="0" w:leftChars="0"/>
              <w:jc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5A72BC27">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液体</w:t>
            </w:r>
          </w:p>
        </w:tc>
        <w:tc>
          <w:tcPr>
            <w:tcW w:w="624" w:type="pct"/>
            <w:tcBorders>
              <w:tl2br w:val="nil"/>
              <w:tr2bl w:val="nil"/>
            </w:tcBorders>
            <w:shd w:val="clear" w:color="auto" w:fill="auto"/>
            <w:vAlign w:val="center"/>
          </w:tcPr>
          <w:p w14:paraId="2B46A222">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w:t>
            </w:r>
            <w:r>
              <w:rPr>
                <w:rFonts w:hint="eastAsia" w:cs="Times New Roman"/>
                <w:b w:val="0"/>
                <w:bCs w:val="0"/>
                <w:color w:val="auto"/>
                <w:sz w:val="21"/>
                <w:szCs w:val="21"/>
                <w:highlight w:val="none"/>
                <w:lang w:val="en-US" w:eastAsia="zh-CN"/>
              </w:rPr>
              <w:t>mL</w:t>
            </w:r>
            <w:r>
              <w:rPr>
                <w:rFonts w:hint="eastAsia" w:ascii="Times New Roman" w:hAnsi="Times New Roman" w:eastAsia="宋体" w:cs="Times New Roman"/>
                <w:b w:val="0"/>
                <w:bCs w:val="0"/>
                <w:color w:val="auto"/>
                <w:sz w:val="21"/>
                <w:szCs w:val="21"/>
                <w:highlight w:val="none"/>
                <w:lang w:val="en-US" w:eastAsia="zh-CN"/>
              </w:rPr>
              <w:t>/瓶</w:t>
            </w:r>
          </w:p>
        </w:tc>
        <w:tc>
          <w:tcPr>
            <w:tcW w:w="624" w:type="pct"/>
            <w:tcBorders>
              <w:tl2br w:val="nil"/>
              <w:tr2bl w:val="nil"/>
            </w:tcBorders>
            <w:shd w:val="clear" w:color="auto" w:fill="auto"/>
            <w:vAlign w:val="center"/>
          </w:tcPr>
          <w:p w14:paraId="58B03345">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4L</w:t>
            </w:r>
          </w:p>
        </w:tc>
        <w:tc>
          <w:tcPr>
            <w:tcW w:w="624" w:type="pct"/>
            <w:tcBorders>
              <w:tl2br w:val="nil"/>
              <w:tr2bl w:val="nil"/>
            </w:tcBorders>
            <w:shd w:val="clear" w:color="auto" w:fill="auto"/>
            <w:vAlign w:val="center"/>
          </w:tcPr>
          <w:p w14:paraId="0B29C87A">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1L</w:t>
            </w:r>
          </w:p>
        </w:tc>
        <w:tc>
          <w:tcPr>
            <w:tcW w:w="627" w:type="pct"/>
            <w:vMerge w:val="continue"/>
            <w:tcBorders>
              <w:tl2br w:val="nil"/>
              <w:tr2bl w:val="nil"/>
            </w:tcBorders>
            <w:shd w:val="clear" w:color="auto" w:fill="auto"/>
            <w:vAlign w:val="center"/>
          </w:tcPr>
          <w:p w14:paraId="4143F936">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731C3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2240DE15">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5456CE0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酚酞</w:t>
            </w:r>
          </w:p>
        </w:tc>
        <w:tc>
          <w:tcPr>
            <w:tcW w:w="624" w:type="pct"/>
            <w:tcBorders>
              <w:tl2br w:val="nil"/>
              <w:tr2bl w:val="nil"/>
            </w:tcBorders>
            <w:shd w:val="clear" w:color="auto" w:fill="auto"/>
            <w:vAlign w:val="center"/>
          </w:tcPr>
          <w:p w14:paraId="12ACE84C">
            <w:pPr>
              <w:pStyle w:val="24"/>
              <w:bidi w:val="0"/>
              <w:ind w:left="0" w:leftChars="0"/>
              <w:jc w:val="center"/>
              <w:rPr>
                <w:rFonts w:hint="default"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分析纯</w:t>
            </w:r>
          </w:p>
        </w:tc>
        <w:tc>
          <w:tcPr>
            <w:tcW w:w="624" w:type="pct"/>
            <w:tcBorders>
              <w:tl2br w:val="nil"/>
              <w:tr2bl w:val="nil"/>
            </w:tcBorders>
            <w:shd w:val="clear" w:color="auto" w:fill="auto"/>
            <w:vAlign w:val="center"/>
          </w:tcPr>
          <w:p w14:paraId="629D5FBD">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固体</w:t>
            </w:r>
          </w:p>
        </w:tc>
        <w:tc>
          <w:tcPr>
            <w:tcW w:w="624" w:type="pct"/>
            <w:tcBorders>
              <w:tl2br w:val="nil"/>
              <w:tr2bl w:val="nil"/>
            </w:tcBorders>
            <w:shd w:val="clear" w:color="auto" w:fill="auto"/>
            <w:vAlign w:val="center"/>
          </w:tcPr>
          <w:p w14:paraId="5465BC2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500g/瓶</w:t>
            </w:r>
          </w:p>
        </w:tc>
        <w:tc>
          <w:tcPr>
            <w:tcW w:w="624" w:type="pct"/>
            <w:tcBorders>
              <w:tl2br w:val="nil"/>
              <w:tr2bl w:val="nil"/>
            </w:tcBorders>
            <w:shd w:val="clear" w:color="auto" w:fill="auto"/>
            <w:vAlign w:val="center"/>
          </w:tcPr>
          <w:p w14:paraId="4DE7C88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1.5kg</w:t>
            </w:r>
          </w:p>
        </w:tc>
        <w:tc>
          <w:tcPr>
            <w:tcW w:w="624" w:type="pct"/>
            <w:tcBorders>
              <w:tl2br w:val="nil"/>
              <w:tr2bl w:val="nil"/>
            </w:tcBorders>
            <w:shd w:val="clear" w:color="auto" w:fill="auto"/>
            <w:vAlign w:val="center"/>
          </w:tcPr>
          <w:p w14:paraId="17FADB2E">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1kg</w:t>
            </w:r>
          </w:p>
        </w:tc>
        <w:tc>
          <w:tcPr>
            <w:tcW w:w="627" w:type="pct"/>
            <w:vMerge w:val="continue"/>
            <w:tcBorders>
              <w:tl2br w:val="nil"/>
              <w:tr2bl w:val="nil"/>
            </w:tcBorders>
            <w:shd w:val="clear" w:color="auto" w:fill="auto"/>
            <w:vAlign w:val="center"/>
          </w:tcPr>
          <w:p w14:paraId="19D7BB29">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1B4EA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2B400C2E">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5357234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基准水泥</w:t>
            </w:r>
          </w:p>
        </w:tc>
        <w:tc>
          <w:tcPr>
            <w:tcW w:w="624" w:type="pct"/>
            <w:tcBorders>
              <w:tl2br w:val="nil"/>
              <w:tr2bl w:val="nil"/>
            </w:tcBorders>
            <w:shd w:val="clear" w:color="auto" w:fill="auto"/>
            <w:vAlign w:val="center"/>
          </w:tcPr>
          <w:p w14:paraId="0D1C90F1">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24" w:type="pct"/>
            <w:tcBorders>
              <w:tl2br w:val="nil"/>
              <w:tr2bl w:val="nil"/>
            </w:tcBorders>
            <w:shd w:val="clear" w:color="auto" w:fill="auto"/>
            <w:vAlign w:val="center"/>
          </w:tcPr>
          <w:p w14:paraId="6DF75475">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固体</w:t>
            </w:r>
          </w:p>
        </w:tc>
        <w:tc>
          <w:tcPr>
            <w:tcW w:w="624" w:type="pct"/>
            <w:tcBorders>
              <w:tl2br w:val="nil"/>
              <w:tr2bl w:val="nil"/>
            </w:tcBorders>
            <w:shd w:val="clear" w:color="auto" w:fill="auto"/>
            <w:vAlign w:val="center"/>
          </w:tcPr>
          <w:p w14:paraId="3E3C9EF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25kg/袋</w:t>
            </w:r>
          </w:p>
        </w:tc>
        <w:tc>
          <w:tcPr>
            <w:tcW w:w="624" w:type="pct"/>
            <w:tcBorders>
              <w:tl2br w:val="nil"/>
              <w:tr2bl w:val="nil"/>
            </w:tcBorders>
            <w:shd w:val="clear" w:color="auto" w:fill="auto"/>
            <w:vAlign w:val="center"/>
          </w:tcPr>
          <w:p w14:paraId="45806D56">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500kg</w:t>
            </w:r>
          </w:p>
        </w:tc>
        <w:tc>
          <w:tcPr>
            <w:tcW w:w="624" w:type="pct"/>
            <w:tcBorders>
              <w:tl2br w:val="nil"/>
              <w:tr2bl w:val="nil"/>
            </w:tcBorders>
            <w:shd w:val="clear" w:color="auto" w:fill="auto"/>
            <w:vAlign w:val="center"/>
          </w:tcPr>
          <w:p w14:paraId="33850888">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100kg</w:t>
            </w:r>
          </w:p>
        </w:tc>
        <w:tc>
          <w:tcPr>
            <w:tcW w:w="627" w:type="pct"/>
            <w:vMerge w:val="continue"/>
            <w:tcBorders>
              <w:tl2br w:val="nil"/>
              <w:tr2bl w:val="nil"/>
            </w:tcBorders>
            <w:shd w:val="clear" w:color="auto" w:fill="auto"/>
            <w:vAlign w:val="center"/>
          </w:tcPr>
          <w:p w14:paraId="31ADC15C">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r w14:paraId="77562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 w:hRule="atLeast"/>
        </w:trPr>
        <w:tc>
          <w:tcPr>
            <w:tcW w:w="528" w:type="pct"/>
            <w:vMerge w:val="continue"/>
            <w:tcBorders>
              <w:tl2br w:val="nil"/>
              <w:tr2bl w:val="nil"/>
            </w:tcBorders>
            <w:shd w:val="clear" w:color="auto" w:fill="auto"/>
            <w:vAlign w:val="center"/>
          </w:tcPr>
          <w:p w14:paraId="59B07FB5">
            <w:pPr>
              <w:pStyle w:val="24"/>
              <w:bidi w:val="0"/>
              <w:jc w:val="center"/>
              <w:rPr>
                <w:rFonts w:hint="eastAsia" w:cs="Times New Roman"/>
                <w:b w:val="0"/>
                <w:bCs w:val="0"/>
                <w:color w:val="auto"/>
                <w:sz w:val="21"/>
                <w:szCs w:val="21"/>
                <w:highlight w:val="none"/>
                <w:lang w:val="en-US" w:eastAsia="zh-CN"/>
              </w:rPr>
            </w:pPr>
          </w:p>
        </w:tc>
        <w:tc>
          <w:tcPr>
            <w:tcW w:w="720" w:type="pct"/>
            <w:tcBorders>
              <w:tl2br w:val="nil"/>
              <w:tr2bl w:val="nil"/>
            </w:tcBorders>
            <w:shd w:val="clear" w:color="auto" w:fill="auto"/>
            <w:vAlign w:val="center"/>
          </w:tcPr>
          <w:p w14:paraId="4A7076D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蒸馏水</w:t>
            </w:r>
          </w:p>
        </w:tc>
        <w:tc>
          <w:tcPr>
            <w:tcW w:w="624" w:type="pct"/>
            <w:tcBorders>
              <w:tl2br w:val="nil"/>
              <w:tr2bl w:val="nil"/>
            </w:tcBorders>
            <w:shd w:val="clear" w:color="auto" w:fill="auto"/>
            <w:vAlign w:val="center"/>
          </w:tcPr>
          <w:p w14:paraId="7ED94BE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24" w:type="pct"/>
            <w:tcBorders>
              <w:tl2br w:val="nil"/>
              <w:tr2bl w:val="nil"/>
            </w:tcBorders>
            <w:shd w:val="clear" w:color="auto" w:fill="auto"/>
            <w:vAlign w:val="center"/>
          </w:tcPr>
          <w:p w14:paraId="722AA251">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液体</w:t>
            </w:r>
          </w:p>
        </w:tc>
        <w:tc>
          <w:tcPr>
            <w:tcW w:w="624" w:type="pct"/>
            <w:tcBorders>
              <w:tl2br w:val="nil"/>
              <w:tr2bl w:val="nil"/>
            </w:tcBorders>
            <w:shd w:val="clear" w:color="auto" w:fill="auto"/>
            <w:vAlign w:val="center"/>
          </w:tcPr>
          <w:p w14:paraId="1849741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50kg/桶</w:t>
            </w:r>
          </w:p>
        </w:tc>
        <w:tc>
          <w:tcPr>
            <w:tcW w:w="624" w:type="pct"/>
            <w:tcBorders>
              <w:tl2br w:val="nil"/>
              <w:tr2bl w:val="nil"/>
            </w:tcBorders>
            <w:shd w:val="clear" w:color="auto" w:fill="auto"/>
            <w:vAlign w:val="center"/>
          </w:tcPr>
          <w:p w14:paraId="77F9655F">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750kg</w:t>
            </w:r>
          </w:p>
        </w:tc>
        <w:tc>
          <w:tcPr>
            <w:tcW w:w="624" w:type="pct"/>
            <w:tcBorders>
              <w:tl2br w:val="nil"/>
              <w:tr2bl w:val="nil"/>
            </w:tcBorders>
            <w:shd w:val="clear" w:color="auto" w:fill="auto"/>
            <w:vAlign w:val="center"/>
          </w:tcPr>
          <w:p w14:paraId="7C97366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200kg</w:t>
            </w:r>
          </w:p>
        </w:tc>
        <w:tc>
          <w:tcPr>
            <w:tcW w:w="627" w:type="pct"/>
            <w:vMerge w:val="continue"/>
            <w:tcBorders>
              <w:tl2br w:val="nil"/>
              <w:tr2bl w:val="nil"/>
            </w:tcBorders>
            <w:shd w:val="clear" w:color="auto" w:fill="auto"/>
            <w:vAlign w:val="center"/>
          </w:tcPr>
          <w:p w14:paraId="721599BF">
            <w:pPr>
              <w:pStyle w:val="24"/>
              <w:bidi w:val="0"/>
              <w:jc w:val="center"/>
              <w:rPr>
                <w:rFonts w:hint="default" w:ascii="Times New Roman" w:hAnsi="Times New Roman" w:eastAsia="宋体" w:cs="Times New Roman"/>
                <w:b w:val="0"/>
                <w:bCs w:val="0"/>
                <w:color w:val="auto"/>
                <w:sz w:val="21"/>
                <w:szCs w:val="21"/>
                <w:highlight w:val="none"/>
                <w:lang w:val="en-US" w:eastAsia="zh-CN"/>
              </w:rPr>
            </w:pPr>
          </w:p>
        </w:tc>
      </w:tr>
    </w:tbl>
    <w:p w14:paraId="4F2F221C">
      <w:pPr>
        <w:pStyle w:val="5"/>
        <w:bidi w:val="0"/>
        <w:rPr>
          <w:rFonts w:hint="default"/>
          <w:color w:val="auto"/>
          <w:highlight w:val="none"/>
        </w:rPr>
      </w:pPr>
      <w:r>
        <w:rPr>
          <w:rFonts w:hint="eastAsia"/>
          <w:color w:val="auto"/>
          <w:highlight w:val="none"/>
          <w:lang w:val="en-US" w:eastAsia="zh-CN"/>
        </w:rPr>
        <w:t>其余原辅材料及能耗</w:t>
      </w:r>
    </w:p>
    <w:p w14:paraId="6AB80203">
      <w:pPr>
        <w:bidi w:val="0"/>
        <w:rPr>
          <w:rFonts w:hint="eastAsia"/>
          <w:color w:val="auto"/>
          <w:lang w:val="en-US" w:eastAsia="zh-CN"/>
        </w:rPr>
      </w:pPr>
      <w:r>
        <w:rPr>
          <w:rFonts w:hint="eastAsia"/>
          <w:color w:val="auto"/>
          <w:lang w:val="en-US" w:eastAsia="zh-CN"/>
        </w:rPr>
        <w:t>本项目其他</w:t>
      </w:r>
      <w:r>
        <w:rPr>
          <w:rFonts w:hint="eastAsia"/>
          <w:color w:val="auto"/>
        </w:rPr>
        <w:t>主要原辅材料</w:t>
      </w:r>
      <w:r>
        <w:rPr>
          <w:rFonts w:hint="eastAsia"/>
          <w:color w:val="auto"/>
          <w:lang w:val="en-US" w:eastAsia="zh-CN"/>
        </w:rPr>
        <w:t>及能耗</w:t>
      </w:r>
      <w:r>
        <w:rPr>
          <w:color w:val="auto"/>
        </w:rPr>
        <w:t>见</w:t>
      </w:r>
      <w:r>
        <w:rPr>
          <w:rFonts w:hint="eastAsia"/>
          <w:color w:val="auto"/>
          <w:lang w:val="en-US" w:eastAsia="zh-CN"/>
        </w:rPr>
        <w:t>下</w:t>
      </w:r>
      <w:r>
        <w:rPr>
          <w:color w:val="auto"/>
        </w:rPr>
        <w:t>表</w:t>
      </w:r>
      <w:r>
        <w:rPr>
          <w:rFonts w:hint="eastAsia"/>
          <w:color w:val="auto"/>
          <w:lang w:eastAsia="zh-CN"/>
        </w:rPr>
        <w:t>。</w:t>
      </w:r>
    </w:p>
    <w:p w14:paraId="34BD3225">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其他主要原辅材料及能耗</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1678"/>
        <w:gridCol w:w="1327"/>
        <w:gridCol w:w="2337"/>
        <w:gridCol w:w="1472"/>
        <w:gridCol w:w="1729"/>
        <w:gridCol w:w="2083"/>
        <w:gridCol w:w="2306"/>
      </w:tblGrid>
      <w:tr w14:paraId="2190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65" w:type="pct"/>
            <w:noWrap w:val="0"/>
            <w:vAlign w:val="center"/>
          </w:tcPr>
          <w:p w14:paraId="789BB5B3">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类型</w:t>
            </w:r>
          </w:p>
        </w:tc>
        <w:tc>
          <w:tcPr>
            <w:tcW w:w="588" w:type="pct"/>
            <w:noWrap w:val="0"/>
            <w:vAlign w:val="center"/>
          </w:tcPr>
          <w:p w14:paraId="2AA30610">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名称</w:t>
            </w:r>
          </w:p>
        </w:tc>
        <w:tc>
          <w:tcPr>
            <w:tcW w:w="465" w:type="pct"/>
            <w:noWrap w:val="0"/>
            <w:vAlign w:val="center"/>
          </w:tcPr>
          <w:p w14:paraId="6091843B">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形态</w:t>
            </w:r>
          </w:p>
        </w:tc>
        <w:tc>
          <w:tcPr>
            <w:tcW w:w="819" w:type="pct"/>
            <w:noWrap w:val="0"/>
            <w:vAlign w:val="center"/>
          </w:tcPr>
          <w:p w14:paraId="1C111364">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用途</w:t>
            </w:r>
          </w:p>
        </w:tc>
        <w:tc>
          <w:tcPr>
            <w:tcW w:w="516" w:type="pct"/>
            <w:noWrap w:val="0"/>
            <w:vAlign w:val="center"/>
          </w:tcPr>
          <w:p w14:paraId="586D3632">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单位</w:t>
            </w:r>
          </w:p>
        </w:tc>
        <w:tc>
          <w:tcPr>
            <w:tcW w:w="606" w:type="pct"/>
            <w:noWrap w:val="0"/>
            <w:vAlign w:val="center"/>
          </w:tcPr>
          <w:p w14:paraId="009F9BB3">
            <w:pPr>
              <w:pStyle w:val="24"/>
              <w:bidi w:val="0"/>
              <w:ind w:left="0" w:leftChars="0"/>
              <w:jc w:val="center"/>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年</w:t>
            </w:r>
            <w:r>
              <w:rPr>
                <w:rFonts w:hint="eastAsia" w:ascii="Times New Roman" w:hAnsi="Times New Roman" w:eastAsia="宋体" w:cs="Times New Roman"/>
                <w:b/>
                <w:bCs/>
                <w:color w:val="auto"/>
                <w:sz w:val="21"/>
                <w:szCs w:val="21"/>
                <w:highlight w:val="none"/>
                <w:lang w:val="en-US" w:eastAsia="zh-CN"/>
              </w:rPr>
              <w:t>用量</w:t>
            </w:r>
          </w:p>
        </w:tc>
        <w:tc>
          <w:tcPr>
            <w:tcW w:w="730" w:type="pct"/>
            <w:noWrap w:val="0"/>
            <w:vAlign w:val="center"/>
          </w:tcPr>
          <w:p w14:paraId="01EA80F2">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最大储存量</w:t>
            </w:r>
          </w:p>
        </w:tc>
        <w:tc>
          <w:tcPr>
            <w:tcW w:w="808" w:type="pct"/>
            <w:noWrap w:val="0"/>
            <w:vAlign w:val="center"/>
          </w:tcPr>
          <w:p w14:paraId="5B029CF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储存位置</w:t>
            </w:r>
          </w:p>
        </w:tc>
      </w:tr>
      <w:tr w14:paraId="10B7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65" w:type="pct"/>
            <w:vMerge w:val="restart"/>
            <w:noWrap w:val="0"/>
            <w:vAlign w:val="center"/>
          </w:tcPr>
          <w:p w14:paraId="5D042ED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w:t>
            </w:r>
          </w:p>
          <w:p w14:paraId="5154431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（辅）</w:t>
            </w:r>
          </w:p>
          <w:p w14:paraId="652ACC4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料</w:t>
            </w:r>
          </w:p>
        </w:tc>
        <w:tc>
          <w:tcPr>
            <w:tcW w:w="588" w:type="pct"/>
            <w:noWrap w:val="0"/>
            <w:vAlign w:val="center"/>
          </w:tcPr>
          <w:p w14:paraId="332D4D6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氢氧化钠</w:t>
            </w:r>
          </w:p>
        </w:tc>
        <w:tc>
          <w:tcPr>
            <w:tcW w:w="465" w:type="pct"/>
            <w:noWrap w:val="0"/>
            <w:vAlign w:val="center"/>
          </w:tcPr>
          <w:p w14:paraId="21FE121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固体</w:t>
            </w:r>
          </w:p>
        </w:tc>
        <w:tc>
          <w:tcPr>
            <w:tcW w:w="819" w:type="pct"/>
            <w:noWrap w:val="0"/>
            <w:vAlign w:val="center"/>
          </w:tcPr>
          <w:p w14:paraId="54C30409">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喷淋介质</w:t>
            </w:r>
          </w:p>
        </w:tc>
        <w:tc>
          <w:tcPr>
            <w:tcW w:w="516" w:type="pct"/>
            <w:noWrap w:val="0"/>
            <w:vAlign w:val="center"/>
          </w:tcPr>
          <w:p w14:paraId="76D8ABCD">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t/a</w:t>
            </w:r>
          </w:p>
        </w:tc>
        <w:tc>
          <w:tcPr>
            <w:tcW w:w="606" w:type="pct"/>
            <w:noWrap w:val="0"/>
            <w:vAlign w:val="center"/>
          </w:tcPr>
          <w:p w14:paraId="38172EBA">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0.1</w:t>
            </w:r>
          </w:p>
        </w:tc>
        <w:tc>
          <w:tcPr>
            <w:tcW w:w="730" w:type="pct"/>
            <w:noWrap w:val="0"/>
            <w:vAlign w:val="center"/>
          </w:tcPr>
          <w:p w14:paraId="16A002EA">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808" w:type="pct"/>
            <w:noWrap w:val="0"/>
            <w:vAlign w:val="center"/>
          </w:tcPr>
          <w:p w14:paraId="28B5B7E5">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仓库（</w:t>
            </w:r>
            <w:r>
              <w:rPr>
                <w:rFonts w:hint="eastAsia" w:cs="Times New Roman"/>
                <w:b w:val="0"/>
                <w:bCs w:val="0"/>
                <w:color w:val="auto"/>
                <w:sz w:val="21"/>
                <w:szCs w:val="21"/>
                <w:highlight w:val="none"/>
                <w:lang w:val="en-US" w:eastAsia="zh-CN"/>
              </w:rPr>
              <w:t>乙类</w:t>
            </w:r>
            <w:r>
              <w:rPr>
                <w:rFonts w:hint="default" w:cs="Times New Roman"/>
                <w:b w:val="0"/>
                <w:bCs w:val="0"/>
                <w:color w:val="auto"/>
                <w:sz w:val="21"/>
                <w:szCs w:val="21"/>
                <w:highlight w:val="none"/>
                <w:lang w:val="en-US" w:eastAsia="zh-CN"/>
              </w:rPr>
              <w:t>）</w:t>
            </w:r>
          </w:p>
        </w:tc>
      </w:tr>
      <w:tr w14:paraId="7530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65" w:type="pct"/>
            <w:vMerge w:val="continue"/>
            <w:noWrap w:val="0"/>
            <w:vAlign w:val="center"/>
          </w:tcPr>
          <w:p w14:paraId="6E0D4E6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88" w:type="pct"/>
            <w:noWrap w:val="0"/>
            <w:vAlign w:val="center"/>
          </w:tcPr>
          <w:p w14:paraId="3E9D806E">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润滑油</w:t>
            </w:r>
          </w:p>
        </w:tc>
        <w:tc>
          <w:tcPr>
            <w:tcW w:w="465" w:type="pct"/>
            <w:shd w:val="clear" w:color="auto" w:fill="auto"/>
            <w:noWrap w:val="0"/>
            <w:vAlign w:val="center"/>
          </w:tcPr>
          <w:p w14:paraId="03CC579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液体</w:t>
            </w:r>
          </w:p>
        </w:tc>
        <w:tc>
          <w:tcPr>
            <w:tcW w:w="819" w:type="pct"/>
            <w:shd w:val="clear" w:color="auto" w:fill="auto"/>
            <w:noWrap w:val="0"/>
            <w:vAlign w:val="center"/>
          </w:tcPr>
          <w:p w14:paraId="54A360FD">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设备维护保养</w:t>
            </w:r>
          </w:p>
        </w:tc>
        <w:tc>
          <w:tcPr>
            <w:tcW w:w="516" w:type="pct"/>
            <w:shd w:val="clear" w:color="auto" w:fill="auto"/>
            <w:noWrap w:val="0"/>
            <w:vAlign w:val="center"/>
          </w:tcPr>
          <w:p w14:paraId="208A338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t</w:t>
            </w:r>
            <w:r>
              <w:rPr>
                <w:rFonts w:hint="default" w:eastAsia="宋体" w:cs="Times New Roman"/>
                <w:b w:val="0"/>
                <w:bCs w:val="0"/>
                <w:color w:val="auto"/>
                <w:sz w:val="21"/>
                <w:szCs w:val="21"/>
                <w:highlight w:val="none"/>
                <w:lang w:val="en-US" w:eastAsia="zh-CN"/>
              </w:rPr>
              <w:t>/a</w:t>
            </w:r>
          </w:p>
        </w:tc>
        <w:tc>
          <w:tcPr>
            <w:tcW w:w="606" w:type="pct"/>
            <w:shd w:val="clear" w:color="auto" w:fill="auto"/>
            <w:noWrap w:val="0"/>
            <w:vAlign w:val="center"/>
          </w:tcPr>
          <w:p w14:paraId="0BF978F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0.1</w:t>
            </w:r>
          </w:p>
        </w:tc>
        <w:tc>
          <w:tcPr>
            <w:tcW w:w="730" w:type="pct"/>
            <w:shd w:val="clear" w:color="auto" w:fill="auto"/>
            <w:noWrap w:val="0"/>
            <w:vAlign w:val="center"/>
          </w:tcPr>
          <w:p w14:paraId="6054D18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0.1</w:t>
            </w:r>
          </w:p>
        </w:tc>
        <w:tc>
          <w:tcPr>
            <w:tcW w:w="808" w:type="pct"/>
            <w:shd w:val="clear" w:color="auto" w:fill="auto"/>
            <w:noWrap w:val="0"/>
            <w:vAlign w:val="center"/>
          </w:tcPr>
          <w:p w14:paraId="4EDF18E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default" w:cs="Times New Roman"/>
                <w:b w:val="0"/>
                <w:bCs w:val="0"/>
                <w:color w:val="auto"/>
                <w:sz w:val="21"/>
                <w:szCs w:val="21"/>
                <w:highlight w:val="none"/>
                <w:lang w:val="en-US" w:eastAsia="zh-CN"/>
              </w:rPr>
              <w:t>仓库（</w:t>
            </w:r>
            <w:r>
              <w:rPr>
                <w:rFonts w:hint="eastAsia" w:cs="Times New Roman"/>
                <w:b w:val="0"/>
                <w:bCs w:val="0"/>
                <w:color w:val="auto"/>
                <w:sz w:val="21"/>
                <w:szCs w:val="21"/>
                <w:highlight w:val="none"/>
                <w:lang w:val="en-US" w:eastAsia="zh-CN"/>
              </w:rPr>
              <w:t>乙类</w:t>
            </w:r>
            <w:r>
              <w:rPr>
                <w:rFonts w:hint="default" w:cs="Times New Roman"/>
                <w:b w:val="0"/>
                <w:bCs w:val="0"/>
                <w:color w:val="auto"/>
                <w:sz w:val="21"/>
                <w:szCs w:val="21"/>
                <w:highlight w:val="none"/>
                <w:lang w:val="en-US" w:eastAsia="zh-CN"/>
              </w:rPr>
              <w:t>）</w:t>
            </w:r>
          </w:p>
        </w:tc>
      </w:tr>
      <w:tr w14:paraId="7338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465" w:type="pct"/>
            <w:vMerge w:val="continue"/>
            <w:noWrap w:val="0"/>
            <w:vAlign w:val="center"/>
          </w:tcPr>
          <w:p w14:paraId="769ED7E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88" w:type="pct"/>
            <w:noWrap w:val="0"/>
            <w:vAlign w:val="center"/>
          </w:tcPr>
          <w:p w14:paraId="53272894">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包装桶</w:t>
            </w:r>
          </w:p>
        </w:tc>
        <w:tc>
          <w:tcPr>
            <w:tcW w:w="465" w:type="pct"/>
            <w:noWrap w:val="0"/>
            <w:vAlign w:val="center"/>
          </w:tcPr>
          <w:p w14:paraId="183A06F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固态</w:t>
            </w:r>
          </w:p>
        </w:tc>
        <w:tc>
          <w:tcPr>
            <w:tcW w:w="819" w:type="pct"/>
            <w:noWrap w:val="0"/>
            <w:vAlign w:val="center"/>
          </w:tcPr>
          <w:p w14:paraId="4B67A55F">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乳化型脱模剂产品包装</w:t>
            </w:r>
          </w:p>
        </w:tc>
        <w:tc>
          <w:tcPr>
            <w:tcW w:w="516" w:type="pct"/>
            <w:noWrap w:val="0"/>
            <w:vAlign w:val="center"/>
          </w:tcPr>
          <w:p w14:paraId="5722012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t/a</w:t>
            </w:r>
          </w:p>
        </w:tc>
        <w:tc>
          <w:tcPr>
            <w:tcW w:w="606" w:type="pct"/>
            <w:noWrap w:val="0"/>
            <w:vAlign w:val="center"/>
          </w:tcPr>
          <w:p w14:paraId="53902AB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730" w:type="pct"/>
            <w:noWrap w:val="0"/>
            <w:vAlign w:val="center"/>
          </w:tcPr>
          <w:p w14:paraId="0A108587">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808" w:type="pct"/>
            <w:noWrap w:val="0"/>
            <w:vAlign w:val="center"/>
          </w:tcPr>
          <w:p w14:paraId="49D32E61">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配件仓库</w:t>
            </w:r>
          </w:p>
        </w:tc>
      </w:tr>
      <w:tr w14:paraId="14A6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5" w:type="pct"/>
            <w:vMerge w:val="restart"/>
            <w:noWrap w:val="0"/>
            <w:vAlign w:val="center"/>
          </w:tcPr>
          <w:p w14:paraId="37C7259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能耗</w:t>
            </w:r>
          </w:p>
        </w:tc>
        <w:tc>
          <w:tcPr>
            <w:tcW w:w="588" w:type="pct"/>
            <w:noWrap w:val="0"/>
            <w:vAlign w:val="center"/>
          </w:tcPr>
          <w:p w14:paraId="526D18D5">
            <w:pPr>
              <w:pStyle w:val="24"/>
              <w:bidi w:val="0"/>
              <w:ind w:left="0" w:leftChars="0"/>
              <w:jc w:val="center"/>
              <w:rPr>
                <w:rFonts w:hint="eastAsia"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水</w:t>
            </w:r>
          </w:p>
        </w:tc>
        <w:tc>
          <w:tcPr>
            <w:tcW w:w="465" w:type="pct"/>
            <w:noWrap w:val="0"/>
            <w:vAlign w:val="center"/>
          </w:tcPr>
          <w:p w14:paraId="6821A967">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819" w:type="pct"/>
            <w:noWrap w:val="0"/>
            <w:vAlign w:val="center"/>
          </w:tcPr>
          <w:p w14:paraId="5BD97B01">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516" w:type="pct"/>
            <w:noWrap w:val="0"/>
            <w:vAlign w:val="center"/>
          </w:tcPr>
          <w:p w14:paraId="57731366">
            <w:pPr>
              <w:pStyle w:val="24"/>
              <w:bidi w:val="0"/>
              <w:ind w:left="0" w:leftChars="0"/>
              <w:jc w:val="center"/>
              <w:rPr>
                <w:rFonts w:hint="eastAsia"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m</w:t>
            </w:r>
            <w:r>
              <w:rPr>
                <w:rFonts w:hint="default" w:eastAsia="宋体" w:cs="Times New Roman"/>
                <w:b w:val="0"/>
                <w:bCs w:val="0"/>
                <w:color w:val="auto"/>
                <w:sz w:val="21"/>
                <w:szCs w:val="21"/>
                <w:highlight w:val="none"/>
                <w:vertAlign w:val="superscript"/>
                <w:lang w:val="en-US" w:eastAsia="zh-CN"/>
              </w:rPr>
              <w:t>3</w:t>
            </w:r>
            <w:r>
              <w:rPr>
                <w:rFonts w:hint="default" w:eastAsia="宋体" w:cs="Times New Roman"/>
                <w:b w:val="0"/>
                <w:bCs w:val="0"/>
                <w:color w:val="auto"/>
                <w:sz w:val="21"/>
                <w:szCs w:val="21"/>
                <w:highlight w:val="none"/>
                <w:lang w:val="en-US" w:eastAsia="zh-CN"/>
              </w:rPr>
              <w:t>/a</w:t>
            </w:r>
          </w:p>
        </w:tc>
        <w:tc>
          <w:tcPr>
            <w:tcW w:w="606" w:type="pct"/>
            <w:noWrap w:val="0"/>
            <w:vAlign w:val="center"/>
          </w:tcPr>
          <w:p w14:paraId="028F9745">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30971.46</w:t>
            </w:r>
          </w:p>
        </w:tc>
        <w:tc>
          <w:tcPr>
            <w:tcW w:w="730" w:type="pct"/>
            <w:noWrap w:val="0"/>
            <w:vAlign w:val="center"/>
          </w:tcPr>
          <w:p w14:paraId="3F5D0DDF">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808" w:type="pct"/>
            <w:noWrap w:val="0"/>
            <w:vAlign w:val="center"/>
          </w:tcPr>
          <w:p w14:paraId="5AF46108">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FED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65" w:type="pct"/>
            <w:vMerge w:val="continue"/>
            <w:noWrap w:val="0"/>
            <w:vAlign w:val="center"/>
          </w:tcPr>
          <w:p w14:paraId="3182C993">
            <w:pPr>
              <w:pStyle w:val="24"/>
              <w:bidi w:val="0"/>
              <w:ind w:left="0" w:leftChars="0"/>
              <w:jc w:val="center"/>
              <w:rPr>
                <w:rFonts w:hint="eastAsia" w:cs="Times New Roman"/>
                <w:b w:val="0"/>
                <w:bCs w:val="0"/>
                <w:color w:val="auto"/>
                <w:sz w:val="21"/>
                <w:szCs w:val="21"/>
                <w:highlight w:val="none"/>
                <w:lang w:val="en-US" w:eastAsia="zh-CN"/>
              </w:rPr>
            </w:pPr>
          </w:p>
        </w:tc>
        <w:tc>
          <w:tcPr>
            <w:tcW w:w="588" w:type="pct"/>
            <w:shd w:val="clear" w:color="auto" w:fill="auto"/>
            <w:noWrap w:val="0"/>
            <w:vAlign w:val="center"/>
          </w:tcPr>
          <w:p w14:paraId="753C225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eastAsia="宋体" w:cs="Times New Roman"/>
                <w:b w:val="0"/>
                <w:bCs w:val="0"/>
                <w:color w:val="auto"/>
                <w:sz w:val="21"/>
                <w:szCs w:val="21"/>
                <w:highlight w:val="none"/>
                <w:lang w:val="en-US" w:eastAsia="zh-CN"/>
              </w:rPr>
              <w:t>电</w:t>
            </w:r>
          </w:p>
        </w:tc>
        <w:tc>
          <w:tcPr>
            <w:tcW w:w="465" w:type="pct"/>
            <w:shd w:val="clear" w:color="auto" w:fill="auto"/>
            <w:noWrap w:val="0"/>
            <w:vAlign w:val="center"/>
          </w:tcPr>
          <w:p w14:paraId="1E2DAA6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819" w:type="pct"/>
            <w:shd w:val="clear" w:color="auto" w:fill="auto"/>
            <w:noWrap w:val="0"/>
            <w:vAlign w:val="center"/>
          </w:tcPr>
          <w:p w14:paraId="3E72A67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516" w:type="pct"/>
            <w:shd w:val="clear" w:color="auto" w:fill="auto"/>
            <w:noWrap w:val="0"/>
            <w:vAlign w:val="center"/>
          </w:tcPr>
          <w:p w14:paraId="03A780C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eastAsia="宋体" w:cs="Times New Roman"/>
                <w:b w:val="0"/>
                <w:bCs w:val="0"/>
                <w:color w:val="auto"/>
                <w:sz w:val="21"/>
                <w:szCs w:val="21"/>
                <w:highlight w:val="none"/>
                <w:lang w:val="en-US" w:eastAsia="zh-CN"/>
              </w:rPr>
              <w:t>kW·h/a</w:t>
            </w:r>
          </w:p>
        </w:tc>
        <w:tc>
          <w:tcPr>
            <w:tcW w:w="606" w:type="pct"/>
            <w:shd w:val="clear" w:color="auto" w:fill="auto"/>
            <w:noWrap w:val="0"/>
            <w:vAlign w:val="center"/>
          </w:tcPr>
          <w:p w14:paraId="5E6A5015">
            <w:pPr>
              <w:pStyle w:val="24"/>
              <w:bidi w:val="0"/>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300000</w:t>
            </w:r>
          </w:p>
        </w:tc>
        <w:tc>
          <w:tcPr>
            <w:tcW w:w="730" w:type="pct"/>
            <w:shd w:val="clear" w:color="auto" w:fill="auto"/>
            <w:noWrap w:val="0"/>
            <w:vAlign w:val="center"/>
          </w:tcPr>
          <w:p w14:paraId="33C3A19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808" w:type="pct"/>
            <w:shd w:val="clear" w:color="auto" w:fill="auto"/>
            <w:noWrap w:val="0"/>
            <w:vAlign w:val="center"/>
          </w:tcPr>
          <w:p w14:paraId="7D3AE98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bl>
    <w:p w14:paraId="38D24609">
      <w:pPr>
        <w:bidi w:val="0"/>
        <w:rPr>
          <w:rFonts w:hint="eastAsia"/>
          <w:color w:val="auto"/>
          <w:lang w:eastAsia="zh-CN"/>
        </w:rPr>
        <w:sectPr>
          <w:pgSz w:w="16838" w:h="11906" w:orient="landscape"/>
          <w:pgMar w:top="1361" w:right="1474" w:bottom="1247" w:left="1304"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2388F67E">
      <w:pPr>
        <w:bidi w:val="0"/>
        <w:rPr>
          <w:rFonts w:hint="eastAsia"/>
          <w:b/>
          <w:bCs/>
          <w:color w:val="auto"/>
          <w:lang w:val="en-US" w:eastAsia="zh-CN"/>
        </w:rPr>
      </w:pPr>
      <w:r>
        <w:rPr>
          <w:rFonts w:hint="eastAsia"/>
          <w:b/>
          <w:bCs/>
          <w:color w:val="auto"/>
          <w:lang w:val="en-US" w:eastAsia="zh-CN"/>
        </w:rPr>
        <w:t>主要原辅材料理化特性：</w:t>
      </w:r>
    </w:p>
    <w:p w14:paraId="6B416C33">
      <w:pPr>
        <w:bidi w:val="0"/>
        <w:rPr>
          <w:rFonts w:hint="eastAsia"/>
          <w:b/>
          <w:bCs/>
          <w:color w:val="auto"/>
          <w:lang w:val="en-US" w:eastAsia="zh-CN"/>
        </w:rPr>
      </w:pPr>
      <w:r>
        <w:rPr>
          <w:rFonts w:hint="eastAsia"/>
          <w:color w:val="auto"/>
          <w:lang w:val="en-US" w:eastAsia="zh-CN"/>
        </w:rPr>
        <w:t>略。</w:t>
      </w:r>
    </w:p>
    <w:p w14:paraId="30ECD5CF">
      <w:pPr>
        <w:pStyle w:val="4"/>
        <w:bidi w:val="0"/>
        <w:rPr>
          <w:rFonts w:hint="default"/>
          <w:color w:val="auto"/>
          <w:highlight w:val="none"/>
          <w:lang w:val="en-US" w:eastAsia="zh-CN"/>
        </w:rPr>
      </w:pPr>
      <w:r>
        <w:rPr>
          <w:rFonts w:hint="default"/>
          <w:color w:val="auto"/>
          <w:highlight w:val="none"/>
          <w:lang w:val="en-US" w:eastAsia="zh-CN"/>
        </w:rPr>
        <w:t>主要设施设备</w:t>
      </w:r>
    </w:p>
    <w:p w14:paraId="02DFCA2E">
      <w:pPr>
        <w:pStyle w:val="5"/>
        <w:bidi w:val="0"/>
        <w:rPr>
          <w:rFonts w:hint="default"/>
          <w:color w:val="auto"/>
          <w:highlight w:val="none"/>
        </w:rPr>
      </w:pPr>
      <w:r>
        <w:rPr>
          <w:rFonts w:hint="eastAsia"/>
          <w:color w:val="auto"/>
          <w:highlight w:val="none"/>
          <w:lang w:val="en-US" w:eastAsia="zh-CN"/>
        </w:rPr>
        <w:t>生产</w:t>
      </w:r>
      <w:r>
        <w:rPr>
          <w:rFonts w:hint="default"/>
          <w:color w:val="auto"/>
          <w:highlight w:val="none"/>
          <w:lang w:val="en-US" w:eastAsia="zh-CN"/>
        </w:rPr>
        <w:t>主要设施设备</w:t>
      </w:r>
    </w:p>
    <w:p w14:paraId="5FCB43B8">
      <w:pPr>
        <w:bidi w:val="0"/>
        <w:ind w:left="0" w:leftChars="0" w:firstLine="480" w:firstLineChars="200"/>
        <w:rPr>
          <w:rFonts w:hint="eastAsia"/>
          <w:color w:val="auto"/>
          <w:lang w:eastAsia="zh-CN"/>
        </w:rPr>
      </w:pPr>
      <w:r>
        <w:rPr>
          <w:rFonts w:hint="eastAsia"/>
          <w:color w:val="auto"/>
          <w:lang w:val="en-US" w:eastAsia="zh-CN"/>
        </w:rPr>
        <w:t>本项目聚羧酸减水剂母液减水型和保坍型共线生产，高性能聚羧酸减水剂标准型、缓凝型、早强型共线生产，乳化油型脱模剂和水乳型脱模剂生产相互独立，厂区公辅设施存在共用。生产所需主要设施</w:t>
      </w:r>
      <w:r>
        <w:rPr>
          <w:rFonts w:hint="eastAsia"/>
          <w:color w:val="auto"/>
          <w:lang w:eastAsia="zh-CN"/>
        </w:rPr>
        <w:t>设备见下表。</w:t>
      </w:r>
    </w:p>
    <w:p w14:paraId="51FFE036">
      <w:pPr>
        <w:bidi w:val="0"/>
        <w:ind w:left="0" w:leftChars="0" w:firstLine="480" w:firstLineChars="200"/>
        <w:rPr>
          <w:rFonts w:hint="eastAsia"/>
          <w:color w:val="auto"/>
          <w:lang w:eastAsia="zh-CN"/>
        </w:rPr>
      </w:pPr>
      <w:r>
        <w:rPr>
          <w:rFonts w:hint="eastAsia"/>
          <w:color w:val="auto"/>
          <w:lang w:val="en-US" w:eastAsia="zh-CN"/>
        </w:rPr>
        <w:t>略。</w:t>
      </w:r>
    </w:p>
    <w:p w14:paraId="564140A5">
      <w:pPr>
        <w:pStyle w:val="5"/>
        <w:bidi w:val="0"/>
        <w:rPr>
          <w:rFonts w:hint="default"/>
          <w:color w:val="auto"/>
          <w:highlight w:val="none"/>
        </w:rPr>
      </w:pPr>
      <w:r>
        <w:rPr>
          <w:rFonts w:hint="eastAsia"/>
          <w:color w:val="auto"/>
          <w:highlight w:val="none"/>
          <w:lang w:val="en-US" w:eastAsia="zh-CN"/>
        </w:rPr>
        <w:t>质检</w:t>
      </w:r>
      <w:r>
        <w:rPr>
          <w:rFonts w:hint="default"/>
          <w:color w:val="auto"/>
          <w:highlight w:val="none"/>
          <w:lang w:val="en-US" w:eastAsia="zh-CN"/>
        </w:rPr>
        <w:t>主要设施设备</w:t>
      </w:r>
    </w:p>
    <w:p w14:paraId="38FA8E66">
      <w:pPr>
        <w:bidi w:val="0"/>
        <w:rPr>
          <w:rFonts w:hint="eastAsia"/>
          <w:color w:val="auto"/>
          <w:lang w:eastAsia="zh-CN"/>
        </w:rPr>
      </w:pPr>
      <w:r>
        <w:rPr>
          <w:rFonts w:hint="eastAsia"/>
          <w:color w:val="auto"/>
          <w:lang w:val="en-US" w:eastAsia="zh-CN"/>
        </w:rPr>
        <w:t>本项目质检主要设施</w:t>
      </w:r>
      <w:r>
        <w:rPr>
          <w:rFonts w:hint="eastAsia"/>
          <w:color w:val="auto"/>
          <w:lang w:eastAsia="zh-CN"/>
        </w:rPr>
        <w:t>设备见下表。</w:t>
      </w:r>
    </w:p>
    <w:p w14:paraId="6DCDEE2A">
      <w:pPr>
        <w:pStyle w:val="37"/>
        <w:numPr>
          <w:ilvl w:val="0"/>
          <w:numId w:val="17"/>
        </w:numPr>
        <w:tabs>
          <w:tab w:val="left" w:pos="0"/>
        </w:tabs>
        <w:bidi w:val="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质检主要设施设备一览表</w:t>
      </w:r>
    </w:p>
    <w:tbl>
      <w:tblPr>
        <w:tblStyle w:val="20"/>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63"/>
        <w:gridCol w:w="4638"/>
        <w:gridCol w:w="1700"/>
        <w:gridCol w:w="1702"/>
      </w:tblGrid>
      <w:tr w14:paraId="26E7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right w:val="single" w:color="000000" w:sz="4" w:space="0"/>
            </w:tcBorders>
            <w:noWrap w:val="0"/>
            <w:vAlign w:val="center"/>
          </w:tcPr>
          <w:p w14:paraId="6DC3C4B3">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序号</w:t>
            </w:r>
          </w:p>
        </w:tc>
        <w:tc>
          <w:tcPr>
            <w:tcW w:w="2439" w:type="pct"/>
            <w:tcBorders>
              <w:top w:val="single" w:color="000000" w:sz="4" w:space="0"/>
              <w:left w:val="single" w:color="000000" w:sz="4" w:space="0"/>
              <w:right w:val="single" w:color="000000" w:sz="4" w:space="0"/>
            </w:tcBorders>
            <w:noWrap w:val="0"/>
            <w:vAlign w:val="center"/>
          </w:tcPr>
          <w:p w14:paraId="0E0AA108">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设备名称</w:t>
            </w:r>
          </w:p>
        </w:tc>
        <w:tc>
          <w:tcPr>
            <w:tcW w:w="894" w:type="pct"/>
            <w:tcBorders>
              <w:top w:val="single" w:color="000000" w:sz="4" w:space="0"/>
              <w:left w:val="single" w:color="000000" w:sz="4" w:space="0"/>
              <w:right w:val="single" w:color="000000" w:sz="4" w:space="0"/>
            </w:tcBorders>
            <w:noWrap w:val="0"/>
            <w:vAlign w:val="center"/>
          </w:tcPr>
          <w:p w14:paraId="0973F604">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单位</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4AF1E445">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数量</w:t>
            </w:r>
          </w:p>
        </w:tc>
      </w:tr>
      <w:tr w14:paraId="2A641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4CC6D">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1</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0AB15">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试剂</w:t>
            </w:r>
            <w:r>
              <w:rPr>
                <w:rFonts w:hint="eastAsia" w:ascii="Times New Roman" w:hAnsi="Times New Roman" w:eastAsia="宋体" w:cs="Times New Roman"/>
                <w:b w:val="0"/>
                <w:bCs w:val="0"/>
                <w:color w:val="auto"/>
                <w:kern w:val="2"/>
                <w:sz w:val="21"/>
                <w:szCs w:val="24"/>
                <w:highlight w:val="none"/>
                <w:lang w:val="en-US" w:eastAsia="zh-CN" w:bidi="ar-SA"/>
              </w:rPr>
              <w:t>柜</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09F790BD">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个</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5E0BDAA6">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2</w:t>
            </w:r>
          </w:p>
        </w:tc>
      </w:tr>
      <w:tr w14:paraId="063F9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186AD">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2</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9647C">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通风橱</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2802E806">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个</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7C21E">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w:t>
            </w:r>
          </w:p>
        </w:tc>
      </w:tr>
      <w:tr w14:paraId="593A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E38DE">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3</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459A2">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pH计</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008B9098">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214FF">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w:t>
            </w:r>
          </w:p>
        </w:tc>
      </w:tr>
      <w:tr w14:paraId="151C5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6E256">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4</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8C425">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密度计</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5C55507A">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A8D60">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w:t>
            </w:r>
          </w:p>
        </w:tc>
      </w:tr>
      <w:tr w14:paraId="1F1FD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E9DB4">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highlight w:val="none"/>
                <w:lang w:val="en-US" w:eastAsia="zh-CN"/>
              </w:rPr>
              <w:t>5</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4905B">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高温炉</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3B802F70">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6785F">
            <w:pPr>
              <w:pStyle w:val="24"/>
              <w:bidi w:val="0"/>
              <w:ind w:left="0" w:leftChars="0"/>
              <w:jc w:val="center"/>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1</w:t>
            </w:r>
          </w:p>
        </w:tc>
      </w:tr>
      <w:tr w14:paraId="12C55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08269">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6</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9C59B">
            <w:pPr>
              <w:pStyle w:val="24"/>
              <w:bidi w:val="0"/>
              <w:ind w:left="0" w:leftChars="0"/>
              <w:jc w:val="center"/>
              <w:rPr>
                <w:rFonts w:hint="eastAsia"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可调温电炉</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1DEBDA38">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2E1B6">
            <w:pPr>
              <w:pStyle w:val="24"/>
              <w:bidi w:val="0"/>
              <w:ind w:left="0" w:leftChars="0"/>
              <w:jc w:val="center"/>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2</w:t>
            </w:r>
          </w:p>
        </w:tc>
      </w:tr>
      <w:tr w14:paraId="722B0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2E41A">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7</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BAE6B">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电热燥箱</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4D752D10">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BBCF1">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w:t>
            </w:r>
          </w:p>
        </w:tc>
      </w:tr>
      <w:tr w14:paraId="76445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16280">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8</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3CD6A">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电热鼓风干燥箱</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53C13A8C">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4F13B">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w:t>
            </w:r>
          </w:p>
        </w:tc>
      </w:tr>
      <w:tr w14:paraId="3630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70627">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9</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731F6">
            <w:pPr>
              <w:pStyle w:val="24"/>
              <w:bidi w:val="0"/>
              <w:ind w:left="0" w:leftChars="0"/>
              <w:jc w:val="center"/>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电子天平</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501F7D6E">
            <w:pPr>
              <w:pStyle w:val="24"/>
              <w:bidi w:val="0"/>
              <w:ind w:left="0" w:leftChars="0"/>
              <w:jc w:val="center"/>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3927A">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w:t>
            </w:r>
          </w:p>
        </w:tc>
      </w:tr>
      <w:tr w14:paraId="21B01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4DF66">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10</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681DD">
            <w:pPr>
              <w:pStyle w:val="24"/>
              <w:bidi w:val="0"/>
              <w:ind w:left="0" w:leftChars="0"/>
              <w:jc w:val="center"/>
              <w:rPr>
                <w:rFonts w:hint="default" w:cs="Times New Roman"/>
                <w:b w:val="0"/>
                <w:bCs w:val="0"/>
                <w:color w:val="auto"/>
                <w:kern w:val="2"/>
                <w:sz w:val="21"/>
                <w:szCs w:val="24"/>
                <w:highlight w:val="none"/>
                <w:lang w:val="en-US" w:eastAsia="zh-CN" w:bidi="ar-SA"/>
              </w:rPr>
            </w:pPr>
            <w:r>
              <w:rPr>
                <w:rFonts w:hint="default" w:cs="Times New Roman"/>
                <w:b w:val="0"/>
                <w:bCs w:val="0"/>
                <w:color w:val="auto"/>
                <w:kern w:val="2"/>
                <w:sz w:val="21"/>
                <w:szCs w:val="24"/>
                <w:highlight w:val="none"/>
                <w:lang w:val="en-US" w:eastAsia="zh-CN" w:bidi="ar-SA"/>
              </w:rPr>
              <w:t>酸式移液滴定管</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6D9D411A">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支</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E9125">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w:t>
            </w:r>
          </w:p>
        </w:tc>
      </w:tr>
      <w:tr w14:paraId="7E05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5454E">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11</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C43C7">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碱式移液滴定管</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3DC234DA">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支</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A8CA1">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w:t>
            </w:r>
          </w:p>
        </w:tc>
      </w:tr>
      <w:tr w14:paraId="66A80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F94F5">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12</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2231E">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火焰光度计</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3DB7C45C">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C7B29">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1</w:t>
            </w:r>
          </w:p>
        </w:tc>
      </w:tr>
      <w:tr w14:paraId="5B6C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1BD53">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13</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16EA2">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氯离子自动电位滴定仪</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55733A0A">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9918A">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1</w:t>
            </w:r>
          </w:p>
        </w:tc>
      </w:tr>
      <w:tr w14:paraId="2047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7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6B42C">
            <w:pPr>
              <w:pStyle w:val="24"/>
              <w:bidi w:val="0"/>
              <w:ind w:left="0" w:leftChars="0"/>
              <w:jc w:val="center"/>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14</w:t>
            </w:r>
          </w:p>
        </w:tc>
        <w:tc>
          <w:tcPr>
            <w:tcW w:w="24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FAF72">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压力试验机</w:t>
            </w:r>
          </w:p>
        </w:tc>
        <w:tc>
          <w:tcPr>
            <w:tcW w:w="894" w:type="pct"/>
            <w:tcBorders>
              <w:top w:val="single" w:color="000000" w:sz="4" w:space="0"/>
              <w:left w:val="single" w:color="000000" w:sz="4" w:space="0"/>
              <w:bottom w:val="single" w:color="000000" w:sz="4" w:space="0"/>
              <w:right w:val="nil"/>
            </w:tcBorders>
            <w:shd w:val="clear" w:color="auto" w:fill="auto"/>
            <w:noWrap w:val="0"/>
            <w:vAlign w:val="center"/>
          </w:tcPr>
          <w:p w14:paraId="328B3E75">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ascii="Times New Roman" w:hAnsi="Times New Roman" w:eastAsia="宋体" w:cs="Times New Roman"/>
                <w:b w:val="0"/>
                <w:bCs w:val="0"/>
                <w:color w:val="auto"/>
                <w:highlight w:val="none"/>
                <w:lang w:val="en-US" w:eastAsia="zh-CN"/>
              </w:rPr>
              <w:t>台</w:t>
            </w:r>
          </w:p>
        </w:tc>
        <w:tc>
          <w:tcPr>
            <w:tcW w:w="8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93035">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1</w:t>
            </w:r>
          </w:p>
        </w:tc>
      </w:tr>
    </w:tbl>
    <w:p w14:paraId="0C4E98AE">
      <w:pPr>
        <w:pStyle w:val="4"/>
        <w:bidi w:val="0"/>
        <w:rPr>
          <w:rFonts w:hint="default"/>
          <w:color w:val="auto"/>
          <w:highlight w:val="none"/>
          <w:lang w:val="en-US" w:eastAsia="zh-CN"/>
        </w:rPr>
      </w:pPr>
      <w:r>
        <w:rPr>
          <w:rFonts w:hint="eastAsia"/>
          <w:color w:val="auto"/>
          <w:highlight w:val="none"/>
          <w:lang w:val="en-US" w:eastAsia="zh-CN"/>
        </w:rPr>
        <w:t>公用工程</w:t>
      </w:r>
    </w:p>
    <w:p w14:paraId="0229EF73">
      <w:pPr>
        <w:pStyle w:val="5"/>
        <w:bidi w:val="0"/>
        <w:rPr>
          <w:rFonts w:hint="eastAsia"/>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用水</w:t>
      </w:r>
    </w:p>
    <w:p w14:paraId="0A55A70F">
      <w:pPr>
        <w:spacing w:line="360" w:lineRule="auto"/>
        <w:ind w:left="0" w:leftChars="0" w:firstLine="480" w:firstLineChars="200"/>
        <w:rPr>
          <w:rFonts w:hint="eastAsia" w:ascii="Times New Roman" w:hAnsi="Times New Roman"/>
          <w:color w:val="auto"/>
          <w:sz w:val="24"/>
          <w:szCs w:val="24"/>
          <w:highlight w:val="none"/>
        </w:rPr>
      </w:pPr>
      <w:r>
        <w:rPr>
          <w:rFonts w:hint="eastAsia"/>
          <w:color w:val="auto"/>
          <w:sz w:val="24"/>
          <w:szCs w:val="24"/>
          <w:highlight w:val="none"/>
          <w:lang w:val="en-US" w:eastAsia="zh-CN"/>
        </w:rPr>
        <w:t>1、供水</w:t>
      </w:r>
    </w:p>
    <w:p w14:paraId="4C4B2860">
      <w:pPr>
        <w:spacing w:line="360" w:lineRule="auto"/>
        <w:ind w:left="0" w:leftChars="0" w:firstLine="480" w:firstLineChars="200"/>
        <w:rPr>
          <w:rFonts w:hint="eastAsia"/>
          <w:color w:val="auto"/>
          <w:sz w:val="24"/>
          <w:szCs w:val="24"/>
          <w:highlight w:val="none"/>
          <w:lang w:val="en-US" w:eastAsia="zh-CN"/>
        </w:rPr>
      </w:pPr>
      <w:r>
        <w:rPr>
          <w:rFonts w:hint="eastAsia" w:ascii="Times New Roman" w:hAnsi="Times New Roman"/>
          <w:color w:val="auto"/>
          <w:sz w:val="24"/>
          <w:szCs w:val="24"/>
          <w:highlight w:val="none"/>
        </w:rPr>
        <w:t>本项目用水由</w:t>
      </w:r>
      <w:r>
        <w:rPr>
          <w:rFonts w:hint="eastAsia"/>
          <w:color w:val="auto"/>
          <w:sz w:val="24"/>
          <w:szCs w:val="24"/>
          <w:highlight w:val="none"/>
          <w:lang w:val="en-US" w:eastAsia="zh-CN"/>
        </w:rPr>
        <w:t>园区</w:t>
      </w:r>
      <w:r>
        <w:rPr>
          <w:rFonts w:hint="eastAsia" w:ascii="Times New Roman" w:hAnsi="Times New Roman"/>
          <w:color w:val="auto"/>
          <w:sz w:val="24"/>
          <w:szCs w:val="24"/>
          <w:highlight w:val="none"/>
        </w:rPr>
        <w:t>给水管网供应，</w:t>
      </w:r>
      <w:r>
        <w:rPr>
          <w:rFonts w:hint="eastAsia"/>
          <w:color w:val="auto"/>
          <w:sz w:val="24"/>
          <w:szCs w:val="24"/>
          <w:highlight w:val="none"/>
          <w:lang w:val="en-US" w:eastAsia="zh-CN"/>
        </w:rPr>
        <w:t>引入管管径为DN300。</w:t>
      </w:r>
    </w:p>
    <w:p w14:paraId="20864BCE">
      <w:pPr>
        <w:spacing w:line="360" w:lineRule="auto"/>
        <w:ind w:left="0" w:leftChars="0" w:firstLine="480" w:firstLineChars="200"/>
        <w:rPr>
          <w:rFonts w:hint="default"/>
          <w:color w:val="auto"/>
          <w:sz w:val="24"/>
          <w:szCs w:val="24"/>
          <w:highlight w:val="none"/>
          <w:lang w:val="en-US" w:eastAsia="zh-CN"/>
        </w:rPr>
      </w:pPr>
      <w:r>
        <w:rPr>
          <w:rFonts w:hint="eastAsia" w:ascii="Times New Roman" w:hAnsi="Times New Roman"/>
          <w:color w:val="auto"/>
          <w:sz w:val="24"/>
          <w:szCs w:val="24"/>
          <w:highlight w:val="none"/>
          <w:lang w:val="en-US" w:eastAsia="zh-CN"/>
        </w:rPr>
        <w:t>本项目聚羧酸减水剂母液减水型和保坍型共线生产，高性能聚羧酸减水剂标准型、缓凝型、早强型共线生产，乳化油型脱模剂和水乳型脱模剂生产相互独立</w:t>
      </w:r>
      <w:r>
        <w:rPr>
          <w:rFonts w:hint="eastAsia"/>
          <w:color w:val="auto"/>
          <w:sz w:val="24"/>
          <w:szCs w:val="24"/>
          <w:highlight w:val="none"/>
          <w:lang w:val="en-US" w:eastAsia="zh-CN"/>
        </w:rPr>
        <w:t>。共线生产的产品类别更换时，不需对生产设备、物料输送管道进行清洗</w:t>
      </w:r>
      <w:r>
        <w:rPr>
          <w:rFonts w:hint="eastAsia" w:ascii="Times New Roman" w:hAnsi="Times New Roman"/>
          <w:color w:val="auto"/>
          <w:sz w:val="24"/>
          <w:szCs w:val="24"/>
          <w:highlight w:val="none"/>
          <w:lang w:val="en-US" w:eastAsia="zh-CN"/>
        </w:rPr>
        <w:t>，运营期用水为</w:t>
      </w:r>
      <w:r>
        <w:rPr>
          <w:rFonts w:hint="eastAsia"/>
          <w:color w:val="auto"/>
          <w:sz w:val="24"/>
          <w:szCs w:val="24"/>
          <w:highlight w:val="none"/>
          <w:lang w:val="en-US" w:eastAsia="zh-CN"/>
        </w:rPr>
        <w:t>生产用水、蒸汽用水、</w:t>
      </w:r>
      <w:r>
        <w:rPr>
          <w:rFonts w:hint="eastAsia" w:ascii="Times New Roman" w:hAnsi="Times New Roman"/>
          <w:color w:val="auto"/>
          <w:sz w:val="24"/>
          <w:szCs w:val="24"/>
          <w:highlight w:val="none"/>
          <w:lang w:val="en-US" w:eastAsia="zh-CN"/>
        </w:rPr>
        <w:t>质检室用水、车间地面</w:t>
      </w:r>
      <w:r>
        <w:rPr>
          <w:rFonts w:hint="eastAsia"/>
          <w:color w:val="auto"/>
          <w:sz w:val="24"/>
          <w:szCs w:val="24"/>
          <w:highlight w:val="none"/>
          <w:lang w:val="en-US" w:eastAsia="zh-CN"/>
        </w:rPr>
        <w:t>清洁</w:t>
      </w:r>
      <w:r>
        <w:rPr>
          <w:rFonts w:hint="eastAsia" w:ascii="Times New Roman" w:hAnsi="Times New Roman"/>
          <w:color w:val="auto"/>
          <w:sz w:val="24"/>
          <w:szCs w:val="24"/>
          <w:highlight w:val="none"/>
          <w:lang w:val="en-US" w:eastAsia="zh-CN"/>
        </w:rPr>
        <w:t>用水、</w:t>
      </w:r>
      <w:r>
        <w:rPr>
          <w:rFonts w:hint="eastAsia"/>
          <w:color w:val="auto"/>
          <w:sz w:val="24"/>
          <w:szCs w:val="24"/>
          <w:highlight w:val="none"/>
          <w:lang w:val="en-US" w:eastAsia="zh-CN"/>
        </w:rPr>
        <w:t>软水</w:t>
      </w:r>
      <w:r>
        <w:rPr>
          <w:rFonts w:hint="eastAsia" w:ascii="Times New Roman" w:hAnsi="Times New Roman"/>
          <w:color w:val="auto"/>
          <w:sz w:val="24"/>
          <w:szCs w:val="24"/>
          <w:highlight w:val="none"/>
          <w:lang w:val="en-US" w:eastAsia="zh-CN"/>
        </w:rPr>
        <w:t>制备用水、</w:t>
      </w:r>
      <w:r>
        <w:rPr>
          <w:rFonts w:hint="eastAsia"/>
          <w:color w:val="auto"/>
          <w:sz w:val="24"/>
          <w:szCs w:val="24"/>
          <w:highlight w:val="none"/>
          <w:lang w:val="en-US" w:eastAsia="zh-CN"/>
        </w:rPr>
        <w:t>冷冻水机组</w:t>
      </w:r>
      <w:r>
        <w:rPr>
          <w:rFonts w:hint="eastAsia" w:ascii="Times New Roman" w:hAnsi="Times New Roman"/>
          <w:color w:val="auto"/>
          <w:sz w:val="24"/>
          <w:szCs w:val="24"/>
          <w:highlight w:val="none"/>
          <w:lang w:val="en-US" w:eastAsia="zh-CN"/>
        </w:rPr>
        <w:t>补水、喷淋用水</w:t>
      </w:r>
      <w:r>
        <w:rPr>
          <w:rFonts w:hint="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生活用水</w:t>
      </w:r>
      <w:r>
        <w:rPr>
          <w:rFonts w:hint="eastAsia"/>
          <w:color w:val="auto"/>
          <w:sz w:val="24"/>
          <w:szCs w:val="24"/>
          <w:highlight w:val="none"/>
          <w:lang w:val="en-US" w:eastAsia="zh-CN"/>
        </w:rPr>
        <w:t>，其中聚羧酸减水剂母液、无碱速凝剂和乳化型脱模剂生产用水采用去离子水，高性能聚羧酸减水剂生产用水采用自来水及回用水。</w:t>
      </w:r>
    </w:p>
    <w:p w14:paraId="237F3F58">
      <w:pPr>
        <w:spacing w:line="360" w:lineRule="auto"/>
        <w:ind w:left="0" w:leftChars="0" w:firstLine="480" w:firstLineChars="200"/>
        <w:rPr>
          <w:rFonts w:hint="default" w:cs="Times New Roman"/>
          <w:bCs/>
          <w:color w:val="auto"/>
          <w:sz w:val="24"/>
          <w:highlight w:val="none"/>
          <w:lang w:val="en-US" w:eastAsia="zh-CN"/>
        </w:rPr>
      </w:pPr>
      <w:r>
        <w:rPr>
          <w:rFonts w:hint="eastAsia" w:ascii="Times New Roman" w:hAnsi="Times New Roman" w:eastAsia="宋体" w:cs="Times New Roman"/>
          <w:bCs/>
          <w:color w:val="auto"/>
          <w:kern w:val="2"/>
          <w:sz w:val="24"/>
          <w:szCs w:val="24"/>
          <w:lang w:val="en-US" w:eastAsia="zh-CN" w:bidi="ar-SA"/>
        </w:rPr>
        <w:t>2、</w:t>
      </w:r>
      <w:r>
        <w:rPr>
          <w:rFonts w:hint="eastAsia"/>
          <w:color w:val="auto"/>
          <w:sz w:val="24"/>
          <w:szCs w:val="24"/>
          <w:highlight w:val="none"/>
          <w:lang w:val="en-US" w:eastAsia="zh-CN"/>
        </w:rPr>
        <w:t>去离子水</w:t>
      </w:r>
    </w:p>
    <w:p w14:paraId="37DFACA0">
      <w:pPr>
        <w:numPr>
          <w:ilvl w:val="0"/>
          <w:numId w:val="0"/>
        </w:numPr>
        <w:spacing w:line="360" w:lineRule="auto"/>
        <w:ind w:firstLine="480" w:firstLineChars="200"/>
        <w:rPr>
          <w:rFonts w:hint="default" w:cs="Times New Roman"/>
          <w:bCs/>
          <w:color w:val="auto"/>
          <w:sz w:val="24"/>
          <w:highlight w:val="none"/>
          <w:lang w:val="en-US" w:eastAsia="zh-CN"/>
        </w:rPr>
      </w:pPr>
      <w:r>
        <w:rPr>
          <w:rFonts w:hint="eastAsia" w:cs="Times New Roman"/>
          <w:bCs/>
          <w:color w:val="auto"/>
          <w:sz w:val="24"/>
          <w:highlight w:val="none"/>
          <w:lang w:val="en-US" w:eastAsia="zh-CN"/>
        </w:rPr>
        <w:t>本项目设</w:t>
      </w:r>
      <w:r>
        <w:rPr>
          <w:rFonts w:hint="eastAsia" w:cs="Times New Roman"/>
          <w:b w:val="0"/>
          <w:bCs w:val="0"/>
          <w:color w:val="auto"/>
          <w:highlight w:val="none"/>
          <w:lang w:val="en-US" w:eastAsia="zh-CN"/>
        </w:rPr>
        <w:t>1</w:t>
      </w:r>
      <w:r>
        <w:rPr>
          <w:rFonts w:hint="eastAsia" w:ascii="Times New Roman" w:hAnsi="Times New Roman" w:eastAsia="宋体" w:cs="Times New Roman"/>
          <w:b w:val="0"/>
          <w:bCs w:val="0"/>
          <w:color w:val="auto"/>
          <w:highlight w:val="none"/>
          <w:lang w:val="en-US" w:eastAsia="zh-CN"/>
        </w:rPr>
        <w:t>套</w:t>
      </w:r>
      <w:r>
        <w:rPr>
          <w:rFonts w:hint="eastAsia" w:cs="Times New Roman"/>
          <w:b w:val="0"/>
          <w:bCs w:val="0"/>
          <w:color w:val="auto"/>
          <w:highlight w:val="none"/>
          <w:lang w:val="en-US" w:eastAsia="zh-CN"/>
        </w:rPr>
        <w:t>软水机组</w:t>
      </w:r>
      <w:r>
        <w:rPr>
          <w:rFonts w:hint="eastAsia" w:ascii="Times New Roman" w:hAnsi="Times New Roman" w:eastAsia="宋体" w:cs="Times New Roman"/>
          <w:b w:val="0"/>
          <w:bCs w:val="0"/>
          <w:color w:val="auto"/>
          <w:highlight w:val="none"/>
          <w:lang w:val="en-US" w:eastAsia="zh-CN"/>
        </w:rPr>
        <w:t>，采用离子交换树脂工艺，去离子水设计制备能力为5t/h</w:t>
      </w:r>
      <w:r>
        <w:rPr>
          <w:rFonts w:hint="eastAsia" w:cs="Times New Roman"/>
          <w:b w:val="0"/>
          <w:bCs w:val="0"/>
          <w:color w:val="auto"/>
          <w:highlight w:val="none"/>
          <w:lang w:val="en-US" w:eastAsia="zh-CN"/>
        </w:rPr>
        <w:t>，制备效率为98%</w:t>
      </w:r>
      <w:r>
        <w:rPr>
          <w:rFonts w:hint="eastAsia" w:cs="Times New Roman"/>
          <w:bCs/>
          <w:color w:val="auto"/>
          <w:sz w:val="24"/>
          <w:highlight w:val="none"/>
          <w:lang w:val="en-US" w:eastAsia="zh-CN"/>
        </w:rPr>
        <w:t>。</w:t>
      </w:r>
    </w:p>
    <w:p w14:paraId="75B9EC19">
      <w:pPr>
        <w:numPr>
          <w:ilvl w:val="0"/>
          <w:numId w:val="0"/>
        </w:numPr>
        <w:spacing w:line="360" w:lineRule="auto"/>
        <w:ind w:firstLine="480" w:firstLineChars="200"/>
        <w:rPr>
          <w:rFonts w:hint="default" w:cs="Times New Roman"/>
          <w:bCs/>
          <w:color w:val="auto"/>
          <w:sz w:val="24"/>
          <w:highlight w:val="none"/>
          <w:lang w:val="en-US" w:eastAsia="zh-CN"/>
        </w:rPr>
      </w:pPr>
      <w:r>
        <w:rPr>
          <w:rFonts w:hint="eastAsia" w:cs="Times New Roman"/>
          <w:bCs/>
          <w:color w:val="auto"/>
          <w:sz w:val="24"/>
          <w:highlight w:val="none"/>
          <w:lang w:val="en-US" w:eastAsia="zh-CN"/>
        </w:rPr>
        <w:t>去离子水制备原理：离子交换树脂是一种高分子聚合物，其结构中含有可交换的离子基团，根据所带电荷不同，主要分为阳离子交换树脂和阴离子交换树脂两类，去离子水是通过去除水中溶解的阴阳离子而得到的高纯度水。此外，还需定期对离子交换树脂进行反冲洗，以确保树脂再生，保证设备长期运行。</w:t>
      </w:r>
    </w:p>
    <w:p w14:paraId="0FC00795">
      <w:pPr>
        <w:numPr>
          <w:ilvl w:val="0"/>
          <w:numId w:val="0"/>
        </w:numPr>
        <w:spacing w:line="360" w:lineRule="auto"/>
        <w:ind w:firstLine="480" w:firstLineChars="200"/>
        <w:rPr>
          <w:rFonts w:hint="default" w:cs="Times New Roman"/>
          <w:bCs/>
          <w:color w:val="auto"/>
          <w:sz w:val="24"/>
          <w:highlight w:val="none"/>
          <w:lang w:val="en-US" w:eastAsia="zh-CN"/>
        </w:rPr>
      </w:pPr>
      <w:r>
        <w:rPr>
          <w:rFonts w:hint="eastAsia" w:ascii="Times New Roman" w:hAnsi="Times New Roman" w:eastAsia="宋体" w:cs="Times New Roman"/>
          <w:bCs/>
          <w:color w:val="auto"/>
          <w:kern w:val="2"/>
          <w:sz w:val="24"/>
          <w:szCs w:val="24"/>
          <w:highlight w:val="none"/>
          <w:lang w:val="en-US" w:eastAsia="zh-CN" w:bidi="ar-SA"/>
        </w:rPr>
        <w:t>3、</w:t>
      </w:r>
      <w:r>
        <w:rPr>
          <w:rFonts w:hint="eastAsia" w:cs="Times New Roman"/>
          <w:bCs/>
          <w:color w:val="auto"/>
          <w:kern w:val="2"/>
          <w:sz w:val="24"/>
          <w:szCs w:val="24"/>
          <w:highlight w:val="none"/>
          <w:lang w:val="en-US" w:eastAsia="zh-CN" w:bidi="ar-SA"/>
        </w:rPr>
        <w:t>冷冻水</w:t>
      </w:r>
    </w:p>
    <w:p w14:paraId="4ED11B1A">
      <w:pPr>
        <w:numPr>
          <w:ilvl w:val="0"/>
          <w:numId w:val="0"/>
        </w:numPr>
        <w:spacing w:line="360" w:lineRule="auto"/>
        <w:ind w:firstLine="480" w:firstLineChars="200"/>
        <w:rPr>
          <w:rFonts w:hint="default" w:cs="Times New Roman"/>
          <w:bCs/>
          <w:color w:val="auto"/>
          <w:sz w:val="24"/>
          <w:highlight w:val="none"/>
          <w:lang w:val="en-US" w:eastAsia="zh-CN"/>
        </w:rPr>
      </w:pPr>
      <w:r>
        <w:rPr>
          <w:rFonts w:hint="eastAsia" w:cs="Times New Roman"/>
          <w:bCs/>
          <w:color w:val="auto"/>
          <w:sz w:val="24"/>
          <w:highlight w:val="none"/>
          <w:lang w:val="en-US" w:eastAsia="zh-CN"/>
        </w:rPr>
        <w:t>聚羧酸减水剂母液聚合过程中伴随放热，需采用冷冻水将聚合反应温度控制在18~25℃之间；无碱速凝剂生产过程中各阶段反应均伴随放热，反应结束后需采用冷冻水将反应釜内的物料温度降至常温。因此，本项目设1套冷冻水机组用于制备</w:t>
      </w:r>
      <w:r>
        <w:rPr>
          <w:rFonts w:hint="eastAsia" w:cs="Times New Roman"/>
          <w:b w:val="0"/>
          <w:bCs w:val="0"/>
          <w:color w:val="auto"/>
          <w:highlight w:val="none"/>
          <w:lang w:val="en-US" w:eastAsia="zh-CN"/>
        </w:rPr>
        <w:t>5</w:t>
      </w:r>
      <w:r>
        <w:rPr>
          <w:rFonts w:hint="eastAsia" w:cs="Times New Roman"/>
          <w:bCs/>
          <w:color w:val="auto"/>
          <w:sz w:val="24"/>
          <w:highlight w:val="none"/>
          <w:lang w:val="en-US" w:eastAsia="zh-CN"/>
        </w:rPr>
        <w:t>℃冷冻水，采用蒸发冷凝的方式制备冷冻水，并配套1个</w:t>
      </w:r>
      <w:r>
        <w:rPr>
          <w:rFonts w:hint="eastAsia" w:cs="Times New Roman"/>
          <w:b w:val="0"/>
          <w:bCs w:val="0"/>
          <w:color w:val="auto"/>
          <w:highlight w:val="none"/>
          <w:lang w:val="en-US" w:eastAsia="zh-CN"/>
        </w:rPr>
        <w:t>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冷冻水循环水罐</w:t>
      </w:r>
      <w:r>
        <w:rPr>
          <w:rFonts w:hint="eastAsia" w:cs="Times New Roman"/>
          <w:bCs/>
          <w:color w:val="auto"/>
          <w:sz w:val="24"/>
          <w:highlight w:val="none"/>
          <w:lang w:val="en-US" w:eastAsia="zh-CN"/>
        </w:rPr>
        <w:t>。</w:t>
      </w:r>
    </w:p>
    <w:p w14:paraId="74AA75A8">
      <w:pPr>
        <w:pStyle w:val="5"/>
        <w:bidi w:val="0"/>
        <w:rPr>
          <w:rFonts w:hint="default"/>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排水</w:t>
      </w:r>
    </w:p>
    <w:p w14:paraId="6056EAFD">
      <w:pPr>
        <w:bidi w:val="0"/>
        <w:ind w:left="0" w:leftChars="0" w:firstLine="480" w:firstLineChars="200"/>
        <w:rPr>
          <w:rFonts w:hint="default"/>
          <w:color w:val="auto"/>
          <w:highlight w:val="none"/>
          <w:lang w:val="en-US" w:eastAsia="zh-CN"/>
        </w:rPr>
      </w:pPr>
      <w:r>
        <w:rPr>
          <w:rFonts w:hint="eastAsia"/>
          <w:color w:val="auto"/>
          <w:highlight w:val="none"/>
          <w:lang w:val="en-US" w:eastAsia="zh-CN"/>
        </w:rPr>
        <w:t>本项目排水采用“雨污分流、清污分流”，厂区设置</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ascii="Times New Roman" w:hAnsi="Times New Roman" w:cs="Times New Roman"/>
          <w:color w:val="auto"/>
          <w:lang w:val="en-US" w:eastAsia="zh-CN"/>
        </w:rPr>
        <w:t>，</w:t>
      </w:r>
      <w:r>
        <w:rPr>
          <w:rFonts w:hint="eastAsia"/>
          <w:color w:val="auto"/>
          <w:highlight w:val="none"/>
          <w:lang w:val="en-US" w:eastAsia="zh-CN"/>
        </w:rPr>
        <w:t>初期雨水经收集后作为回用水用于高性能聚羧酸减水剂复配；洁净雨水经厂区雨水管网收集后就近排入周围水体。</w:t>
      </w:r>
    </w:p>
    <w:p w14:paraId="0CDD0B08">
      <w:pPr>
        <w:bidi w:val="0"/>
        <w:ind w:left="0" w:leftChars="0" w:firstLine="480" w:firstLineChars="200"/>
        <w:rPr>
          <w:rFonts w:hint="eastAsia"/>
          <w:color w:val="auto"/>
          <w:highlight w:val="none"/>
          <w:lang w:val="en-US" w:eastAsia="zh-CN"/>
        </w:rPr>
      </w:pPr>
      <w:r>
        <w:rPr>
          <w:rFonts w:hint="eastAsia"/>
          <w:color w:val="auto"/>
          <w:highlight w:val="none"/>
          <w:lang w:val="en-US" w:eastAsia="zh-CN"/>
        </w:rPr>
        <w:t>本项目生产用水进入产品，无废水产生；蒸汽用水冷凝后循环使用；质检废液、涉及磷及重金属的器皿清洗废水及其余器皿前三次清洗废水经收集后作为危废处置；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）、反冲洗废水、循环排污水、喷淋废水作为回用水用于高性能聚羧酸减水剂复配。运营期外排废水为生活污水，</w:t>
      </w:r>
      <w:r>
        <w:rPr>
          <w:rFonts w:hint="default" w:ascii="Times New Roman" w:hAnsi="Times New Roman" w:cs="Times New Roman"/>
          <w:color w:val="auto"/>
          <w:lang w:val="en-US" w:eastAsia="zh-CN"/>
        </w:rPr>
        <w:t>厂区设置1</w:t>
      </w:r>
      <w:r>
        <w:rPr>
          <w:rFonts w:hint="eastAsia" w:cs="Times New Roman"/>
          <w:color w:val="auto"/>
          <w:lang w:val="en-US" w:eastAsia="zh-CN"/>
        </w:rPr>
        <w:t>座</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预处理池</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w:t>
      </w:r>
    </w:p>
    <w:p w14:paraId="15DE4B8A">
      <w:pPr>
        <w:bidi w:val="0"/>
        <w:ind w:left="0" w:leftChars="0" w:firstLine="480" w:firstLineChars="200"/>
        <w:rPr>
          <w:rFonts w:hint="eastAsia"/>
          <w:color w:val="auto"/>
          <w:highlight w:val="none"/>
          <w:lang w:val="en-US" w:eastAsia="zh-CN"/>
        </w:rPr>
      </w:pPr>
      <w:r>
        <w:rPr>
          <w:rFonts w:hint="eastAsia"/>
          <w:color w:val="auto"/>
          <w:sz w:val="24"/>
          <w:lang w:val="en-US" w:eastAsia="zh-CN"/>
        </w:rPr>
        <w:t>根据巴中市生态环境局《关于通江县秋锦山产业园区综合污水处理厂及配套设施建设项目环境影响报告书的批复》（巴环境审〔2024〕34号），通江县秋锦山产业园区综合污水处理厂环境影响评价文件</w:t>
      </w:r>
      <w:r>
        <w:rPr>
          <w:rFonts w:hint="eastAsia"/>
          <w:color w:val="auto"/>
          <w:highlight w:val="none"/>
          <w:lang w:val="en-US" w:eastAsia="zh-CN"/>
        </w:rPr>
        <w:t>于2024年11月通过审批，出水标准为《城镇污水处理厂污染物排放标准》（GB18918-2002）中一级A标准；</w:t>
      </w: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因此，根据</w:t>
      </w:r>
      <w:r>
        <w:rPr>
          <w:rFonts w:hint="eastAsia"/>
          <w:color w:val="auto"/>
          <w:highlight w:val="none"/>
          <w:lang w:val="en-US" w:eastAsia="zh-CN"/>
        </w:rPr>
        <w:t>2025年7月1日实施的</w:t>
      </w:r>
      <w:r>
        <w:rPr>
          <w:rFonts w:hint="eastAsia"/>
          <w:color w:val="auto"/>
          <w:sz w:val="24"/>
          <w:lang w:val="en-US" w:eastAsia="zh-CN"/>
        </w:rPr>
        <w:t>《四川省化工园区水污染物排放标准》（DB51/3202-2024）中“4.2.1 新建排污单位自本文件实施之日起，现有排污单位自本文件实施之日起24个月后，应执行表1、表2和表3的规定及其他污染控制要求。”，</w:t>
      </w:r>
      <w:r>
        <w:rPr>
          <w:rFonts w:hint="eastAsia"/>
          <w:color w:val="auto"/>
          <w:lang w:val="en-US" w:eastAsia="zh-CN"/>
        </w:rPr>
        <w:t>通江县秋锦山产业园区综合污水处理厂</w:t>
      </w:r>
      <w:r>
        <w:rPr>
          <w:rFonts w:hint="eastAsia"/>
          <w:color w:val="auto"/>
          <w:sz w:val="24"/>
          <w:lang w:val="en-US" w:eastAsia="zh-CN"/>
        </w:rPr>
        <w:t>近期</w:t>
      </w:r>
      <w:r>
        <w:rPr>
          <w:rFonts w:hint="eastAsia"/>
          <w:color w:val="auto"/>
          <w:lang w:val="en-US" w:eastAsia="zh-CN"/>
        </w:rPr>
        <w:t>出水标准为</w:t>
      </w:r>
      <w:r>
        <w:rPr>
          <w:rFonts w:hint="eastAsia"/>
          <w:color w:val="auto"/>
          <w:highlight w:val="none"/>
          <w:lang w:val="en-US" w:eastAsia="zh-CN"/>
        </w:rPr>
        <w:t>《城镇污水处理厂污染物排放标准》（GB18918-2002）中一级A标准；2027年7月1日起，出水标准为</w:t>
      </w:r>
      <w:r>
        <w:rPr>
          <w:rFonts w:hint="eastAsia"/>
          <w:color w:val="auto"/>
          <w:sz w:val="24"/>
          <w:lang w:val="en-US" w:eastAsia="zh-CN"/>
        </w:rPr>
        <w:t>《四川省化工园区水污染物排放标准》（DB51/3202-2024）表2中直接排放二级标准</w:t>
      </w:r>
      <w:r>
        <w:rPr>
          <w:rFonts w:hint="eastAsia"/>
          <w:color w:val="auto"/>
          <w:highlight w:val="none"/>
          <w:lang w:val="en-US" w:eastAsia="zh-CN"/>
        </w:rPr>
        <w:t>。</w:t>
      </w:r>
    </w:p>
    <w:p w14:paraId="72A014FA">
      <w:pPr>
        <w:bidi w:val="0"/>
        <w:ind w:left="0" w:leftChars="0" w:firstLine="480" w:firstLineChars="200"/>
        <w:rPr>
          <w:rFonts w:hint="default"/>
          <w:color w:val="auto"/>
          <w:lang w:val="en-US" w:eastAsia="zh-CN"/>
        </w:rPr>
      </w:pPr>
      <w:r>
        <w:rPr>
          <w:rFonts w:hint="eastAsia"/>
          <w:color w:val="auto"/>
          <w:highlight w:val="none"/>
          <w:lang w:val="en-US" w:eastAsia="zh-CN"/>
        </w:rPr>
        <w:t>综上，本项目</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通过园区污水管网排入通江县秋锦山产业园区综合污水处理厂进行处理，近期水质达到《城镇污水处理厂污染物排放标准》（GB18918-2002）中一级A标准后排入通江河；2027年7月1日起，水质达到</w:t>
      </w:r>
      <w:r>
        <w:rPr>
          <w:rFonts w:hint="eastAsia"/>
          <w:color w:val="auto"/>
          <w:sz w:val="24"/>
          <w:lang w:val="en-US" w:eastAsia="zh-CN"/>
        </w:rPr>
        <w:t>《四川省化工园区水污染物排放标准》（DB51/3202-2024）表2中直接排放二级标准后</w:t>
      </w:r>
      <w:r>
        <w:rPr>
          <w:rFonts w:hint="eastAsia"/>
          <w:color w:val="auto"/>
          <w:highlight w:val="none"/>
          <w:lang w:val="en-US" w:eastAsia="zh-CN"/>
        </w:rPr>
        <w:t>排入通江河。</w:t>
      </w:r>
      <w:r>
        <w:rPr>
          <w:rFonts w:hint="eastAsia"/>
          <w:color w:val="auto"/>
          <w:lang w:val="en-US" w:eastAsia="zh-CN"/>
        </w:rPr>
        <w:t>环评要求：为确保项目外排废水得到可靠有效的处理，在通江县秋锦山产业园区综合污水处理厂建成投运前，本项目不得投产。同时，建设单位应尽快与污水处理厂业主单位签订污水接纳协议，确保项目外排废水得到有效处理。</w:t>
      </w:r>
    </w:p>
    <w:p w14:paraId="6CE71C49">
      <w:pPr>
        <w:pStyle w:val="5"/>
        <w:bidi w:val="0"/>
        <w:rPr>
          <w:rFonts w:hint="default"/>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供电</w:t>
      </w:r>
    </w:p>
    <w:p w14:paraId="0C762841">
      <w:pPr>
        <w:ind w:left="0" w:leftChars="0" w:firstLine="480" w:firstLineChars="200"/>
        <w:rPr>
          <w:rFonts w:hint="eastAsia" w:eastAsia="宋体"/>
          <w:color w:val="auto"/>
          <w:highlight w:val="none"/>
          <w:lang w:val="en-US" w:eastAsia="zh-CN"/>
        </w:rPr>
      </w:pPr>
      <w:r>
        <w:rPr>
          <w:rFonts w:ascii="Times New Roman" w:hAnsi="Times New Roman"/>
          <w:color w:val="auto"/>
          <w:sz w:val="24"/>
          <w:szCs w:val="24"/>
          <w:highlight w:val="none"/>
        </w:rPr>
        <w:t>本项目用电由</w:t>
      </w:r>
      <w:r>
        <w:rPr>
          <w:rFonts w:hint="eastAsia"/>
          <w:color w:val="auto"/>
          <w:sz w:val="24"/>
          <w:szCs w:val="24"/>
          <w:highlight w:val="none"/>
          <w:lang w:val="en-US" w:eastAsia="zh-CN"/>
        </w:rPr>
        <w:t>园区</w:t>
      </w:r>
      <w:r>
        <w:rPr>
          <w:rFonts w:hint="eastAsia" w:ascii="Times New Roman" w:hAnsi="Times New Roman"/>
          <w:color w:val="auto"/>
          <w:sz w:val="24"/>
          <w:szCs w:val="24"/>
          <w:highlight w:val="none"/>
          <w:lang w:val="en-US" w:eastAsia="zh-CN"/>
        </w:rPr>
        <w:t>市政</w:t>
      </w:r>
      <w:r>
        <w:rPr>
          <w:rFonts w:ascii="Times New Roman" w:hAnsi="Times New Roman"/>
          <w:color w:val="auto"/>
          <w:sz w:val="24"/>
          <w:szCs w:val="24"/>
          <w:highlight w:val="none"/>
        </w:rPr>
        <w:t>电网供应，</w:t>
      </w:r>
      <w:r>
        <w:rPr>
          <w:rFonts w:hint="eastAsia"/>
          <w:color w:val="auto"/>
          <w:sz w:val="24"/>
          <w:szCs w:val="24"/>
          <w:highlight w:val="none"/>
          <w:lang w:val="en-US" w:eastAsia="zh-CN"/>
        </w:rPr>
        <w:t>引入</w:t>
      </w:r>
      <w:r>
        <w:rPr>
          <w:rFonts w:hint="default" w:ascii="Times New Roman" w:hAnsi="Times New Roman"/>
          <w:color w:val="auto"/>
          <w:sz w:val="24"/>
          <w:szCs w:val="24"/>
          <w:highlight w:val="none"/>
        </w:rPr>
        <w:t>10kV市政电源</w:t>
      </w:r>
      <w:r>
        <w:rPr>
          <w:rFonts w:hint="eastAsia"/>
          <w:color w:val="auto"/>
          <w:sz w:val="24"/>
          <w:szCs w:val="24"/>
          <w:highlight w:val="none"/>
          <w:lang w:eastAsia="zh-CN"/>
        </w:rPr>
        <w:t>，</w:t>
      </w:r>
      <w:r>
        <w:rPr>
          <w:rFonts w:hint="eastAsia"/>
          <w:color w:val="auto"/>
          <w:sz w:val="24"/>
          <w:szCs w:val="24"/>
          <w:highlight w:val="none"/>
          <w:lang w:val="en-US" w:eastAsia="zh-CN"/>
        </w:rPr>
        <w:t>厂区设置</w:t>
      </w:r>
      <w:r>
        <w:rPr>
          <w:rFonts w:hint="eastAsia" w:ascii="Times New Roman" w:hAnsi="Times New Roman"/>
          <w:color w:val="auto"/>
          <w:sz w:val="24"/>
          <w:szCs w:val="24"/>
          <w:highlight w:val="none"/>
          <w:lang w:val="en-US" w:eastAsia="zh-CN"/>
        </w:rPr>
        <w:t>配电</w:t>
      </w:r>
      <w:r>
        <w:rPr>
          <w:rFonts w:hint="eastAsia"/>
          <w:color w:val="auto"/>
          <w:sz w:val="24"/>
          <w:szCs w:val="24"/>
          <w:highlight w:val="none"/>
          <w:lang w:val="en-US" w:eastAsia="zh-CN"/>
        </w:rPr>
        <w:t>室。消防控制室内DCS分散型控制系统</w:t>
      </w:r>
      <w:r>
        <w:rPr>
          <w:rFonts w:hint="default" w:ascii="Times New Roman" w:hAnsi="Times New Roman" w:cs="Times New Roman"/>
          <w:snapToGrid w:val="0"/>
          <w:color w:val="auto"/>
          <w:kern w:val="28"/>
          <w:szCs w:val="28"/>
        </w:rPr>
        <w:t>采用双路不间断电源供电</w:t>
      </w:r>
      <w:r>
        <w:rPr>
          <w:rFonts w:hint="eastAsia" w:ascii="Times New Roman" w:hAnsi="Times New Roman" w:cs="Times New Roman"/>
          <w:snapToGrid w:val="0"/>
          <w:color w:val="auto"/>
          <w:kern w:val="28"/>
          <w:szCs w:val="28"/>
          <w:lang w:eastAsia="zh-CN"/>
        </w:rPr>
        <w:t>。</w:t>
      </w:r>
    </w:p>
    <w:p w14:paraId="177B1F9F">
      <w:pPr>
        <w:pStyle w:val="5"/>
        <w:bidi w:val="0"/>
        <w:rPr>
          <w:rFonts w:hint="default"/>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供气</w:t>
      </w:r>
    </w:p>
    <w:p w14:paraId="094BC7B7">
      <w:pPr>
        <w:bidi w:val="0"/>
        <w:ind w:left="0" w:leftChars="0" w:firstLine="480" w:firstLineChars="200"/>
        <w:rPr>
          <w:rFonts w:ascii="Times New Roman" w:hAnsi="Times New Roman"/>
          <w:b w:val="0"/>
          <w:bCs/>
          <w:color w:val="auto"/>
          <w:sz w:val="24"/>
          <w:szCs w:val="24"/>
          <w:highlight w:val="none"/>
        </w:rPr>
      </w:pPr>
      <w:r>
        <w:rPr>
          <w:rFonts w:ascii="Times New Roman" w:hAnsi="Times New Roman"/>
          <w:b w:val="0"/>
          <w:bCs/>
          <w:color w:val="auto"/>
          <w:sz w:val="24"/>
          <w:szCs w:val="24"/>
          <w:highlight w:val="none"/>
        </w:rPr>
        <w:t>本项目</w:t>
      </w:r>
      <w:r>
        <w:rPr>
          <w:rFonts w:hint="eastAsia" w:ascii="Times New Roman" w:hAnsi="Times New Roman"/>
          <w:b w:val="0"/>
          <w:bCs/>
          <w:color w:val="auto"/>
          <w:sz w:val="24"/>
          <w:szCs w:val="24"/>
          <w:highlight w:val="none"/>
          <w:lang w:val="en-US" w:eastAsia="zh-CN"/>
        </w:rPr>
        <w:t>设1套空压系统</w:t>
      </w:r>
      <w:r>
        <w:rPr>
          <w:rFonts w:hint="eastAsia"/>
          <w:b w:val="0"/>
          <w:bCs/>
          <w:color w:val="auto"/>
          <w:sz w:val="24"/>
          <w:szCs w:val="24"/>
          <w:highlight w:val="none"/>
          <w:lang w:val="en-US" w:eastAsia="zh-CN"/>
        </w:rPr>
        <w:t>用于提供压缩空气</w:t>
      </w:r>
      <w:r>
        <w:rPr>
          <w:rFonts w:hint="eastAsia" w:ascii="Times New Roman" w:hAnsi="Times New Roman"/>
          <w:b w:val="0"/>
          <w:bCs/>
          <w:color w:val="auto"/>
          <w:sz w:val="24"/>
          <w:szCs w:val="24"/>
          <w:highlight w:val="none"/>
          <w:lang w:val="en-US" w:eastAsia="zh-CN"/>
        </w:rPr>
        <w:t>，</w:t>
      </w:r>
      <w:r>
        <w:rPr>
          <w:rFonts w:hint="eastAsia" w:ascii="Times New Roman" w:hAnsi="Times New Roman" w:eastAsia="宋体"/>
          <w:b w:val="0"/>
          <w:caps w:val="0"/>
          <w:smallCaps w:val="0"/>
          <w:color w:val="auto"/>
          <w:sz w:val="24"/>
          <w:szCs w:val="24"/>
          <w:highlight w:val="none"/>
          <w:lang w:val="en-US" w:eastAsia="zh-CN"/>
        </w:rPr>
        <w:t>配备</w:t>
      </w:r>
      <w:r>
        <w:rPr>
          <w:rFonts w:ascii="Times New Roman" w:hAnsi="Times New Roman" w:eastAsia="宋体"/>
          <w:b w:val="0"/>
          <w:caps w:val="0"/>
          <w:smallCaps w:val="0"/>
          <w:color w:val="auto"/>
          <w:sz w:val="24"/>
          <w:szCs w:val="24"/>
          <w:highlight w:val="none"/>
        </w:rPr>
        <w:t>1台空压机+1</w:t>
      </w:r>
      <w:r>
        <w:rPr>
          <w:rFonts w:hint="eastAsia" w:ascii="Times New Roman" w:hAnsi="Times New Roman" w:eastAsia="宋体"/>
          <w:b w:val="0"/>
          <w:caps w:val="0"/>
          <w:smallCaps w:val="0"/>
          <w:color w:val="auto"/>
          <w:sz w:val="24"/>
          <w:szCs w:val="24"/>
          <w:highlight w:val="none"/>
          <w:lang w:val="en-US" w:eastAsia="zh-CN"/>
        </w:rPr>
        <w:t>台</w:t>
      </w:r>
      <w:r>
        <w:rPr>
          <w:rFonts w:hint="eastAsia"/>
          <w:b w:val="0"/>
          <w:caps w:val="0"/>
          <w:smallCaps w:val="0"/>
          <w:color w:val="auto"/>
          <w:sz w:val="24"/>
          <w:szCs w:val="24"/>
          <w:highlight w:val="none"/>
          <w:lang w:val="en-US" w:eastAsia="zh-CN"/>
        </w:rPr>
        <w:t>冷干机，并在</w:t>
      </w:r>
      <w:r>
        <w:rPr>
          <w:rFonts w:hint="eastAsia" w:cs="Times New Roman"/>
          <w:b w:val="0"/>
          <w:bCs w:val="0"/>
          <w:color w:val="auto"/>
          <w:sz w:val="24"/>
          <w:szCs w:val="24"/>
          <w:highlight w:val="none"/>
          <w:lang w:val="en-US" w:eastAsia="zh-CN"/>
        </w:rPr>
        <w:t>公用工程间外设</w:t>
      </w:r>
      <w:r>
        <w:rPr>
          <w:rFonts w:ascii="Times New Roman" w:hAnsi="Times New Roman" w:eastAsia="宋体"/>
          <w:b w:val="0"/>
          <w:caps w:val="0"/>
          <w:smallCaps w:val="0"/>
          <w:color w:val="auto"/>
          <w:sz w:val="24"/>
          <w:szCs w:val="24"/>
          <w:highlight w:val="none"/>
        </w:rPr>
        <w:t>1</w:t>
      </w:r>
      <w:r>
        <w:rPr>
          <w:rFonts w:hint="eastAsia"/>
          <w:b w:val="0"/>
          <w:caps w:val="0"/>
          <w:smallCaps w:val="0"/>
          <w:color w:val="auto"/>
          <w:sz w:val="24"/>
          <w:szCs w:val="24"/>
          <w:highlight w:val="none"/>
          <w:lang w:val="en-US" w:eastAsia="zh-CN"/>
        </w:rPr>
        <w:t>个</w:t>
      </w:r>
      <w:r>
        <w:rPr>
          <w:rFonts w:hint="eastAsia" w:ascii="Times New Roman" w:hAnsi="Times New Roman" w:eastAsia="宋体"/>
          <w:b w:val="0"/>
          <w:caps w:val="0"/>
          <w:smallCaps w:val="0"/>
          <w:color w:val="auto"/>
          <w:sz w:val="24"/>
          <w:szCs w:val="24"/>
          <w:highlight w:val="none"/>
          <w:lang w:val="en-US" w:eastAsia="zh-CN"/>
        </w:rPr>
        <w:t>容积1</w:t>
      </w:r>
      <w:r>
        <w:rPr>
          <w:rFonts w:hint="eastAsia"/>
          <w:b w:val="0"/>
          <w:caps w:val="0"/>
          <w:smallCaps w:val="0"/>
          <w:color w:val="auto"/>
          <w:sz w:val="24"/>
          <w:szCs w:val="24"/>
          <w:highlight w:val="none"/>
          <w:lang w:val="en-US" w:eastAsia="zh-CN"/>
        </w:rPr>
        <w:t>0</w:t>
      </w:r>
      <w:r>
        <w:rPr>
          <w:rFonts w:hint="eastAsia" w:ascii="Times New Roman" w:hAnsi="Times New Roman" w:eastAsia="宋体"/>
          <w:b w:val="0"/>
          <w:caps w:val="0"/>
          <w:smallCaps w:val="0"/>
          <w:color w:val="auto"/>
          <w:sz w:val="24"/>
          <w:szCs w:val="24"/>
          <w:highlight w:val="none"/>
          <w:lang w:val="en-US" w:eastAsia="zh-CN"/>
        </w:rPr>
        <w:t>m</w:t>
      </w:r>
      <w:r>
        <w:rPr>
          <w:rFonts w:hint="eastAsia" w:ascii="Times New Roman" w:hAnsi="Times New Roman" w:eastAsia="宋体"/>
          <w:b w:val="0"/>
          <w:caps w:val="0"/>
          <w:smallCaps w:val="0"/>
          <w:color w:val="auto"/>
          <w:sz w:val="24"/>
          <w:szCs w:val="24"/>
          <w:highlight w:val="none"/>
          <w:vertAlign w:val="superscript"/>
          <w:lang w:val="en-US" w:eastAsia="zh-CN"/>
        </w:rPr>
        <w:t>3</w:t>
      </w:r>
      <w:r>
        <w:rPr>
          <w:rFonts w:ascii="Times New Roman" w:hAnsi="Times New Roman" w:eastAsia="宋体"/>
          <w:b w:val="0"/>
          <w:caps w:val="0"/>
          <w:smallCaps w:val="0"/>
          <w:color w:val="auto"/>
          <w:sz w:val="24"/>
          <w:szCs w:val="24"/>
          <w:highlight w:val="none"/>
        </w:rPr>
        <w:t>空气压缩罐</w:t>
      </w:r>
      <w:r>
        <w:rPr>
          <w:rFonts w:hint="eastAsia" w:ascii="Times New Roman" w:hAnsi="Times New Roman" w:eastAsia="宋体"/>
          <w:b w:val="0"/>
          <w:caps w:val="0"/>
          <w:smallCaps w:val="0"/>
          <w:color w:val="auto"/>
          <w:sz w:val="24"/>
          <w:szCs w:val="24"/>
          <w:highlight w:val="none"/>
          <w:lang w:eastAsia="zh-CN"/>
        </w:rPr>
        <w:t>，</w:t>
      </w:r>
      <w:r>
        <w:rPr>
          <w:rFonts w:hint="eastAsia"/>
          <w:b w:val="0"/>
          <w:bCs/>
          <w:color w:val="auto"/>
          <w:sz w:val="24"/>
          <w:szCs w:val="24"/>
          <w:highlight w:val="none"/>
          <w:lang w:val="en-US" w:eastAsia="zh-CN"/>
        </w:rPr>
        <w:t>设计供气能力为</w:t>
      </w:r>
      <w:r>
        <w:rPr>
          <w:rFonts w:hint="eastAsia" w:cs="Times New Roman"/>
          <w:b w:val="0"/>
          <w:bCs w:val="0"/>
          <w:color w:val="auto"/>
          <w:sz w:val="24"/>
          <w:szCs w:val="24"/>
          <w:highlight w:val="none"/>
          <w:lang w:val="en-US" w:eastAsia="zh-CN"/>
        </w:rPr>
        <w:t>15</w:t>
      </w:r>
      <w:r>
        <w:rPr>
          <w:rFonts w:hint="default" w:ascii="Times New Roman" w:hAnsi="Times New Roman" w:eastAsia="宋体" w:cs="Times New Roman"/>
          <w:b w:val="0"/>
          <w:bCs w:val="0"/>
          <w:color w:val="auto"/>
          <w:sz w:val="24"/>
          <w:szCs w:val="24"/>
          <w:highlight w:val="none"/>
          <w:lang w:val="en-US" w:eastAsia="zh-CN"/>
        </w:rPr>
        <w:t>Nm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min</w:t>
      </w:r>
      <w:r>
        <w:rPr>
          <w:rFonts w:hint="eastAsia" w:ascii="Times New Roman" w:hAnsi="Times New Roman"/>
          <w:b w:val="0"/>
          <w:bCs/>
          <w:color w:val="auto"/>
          <w:sz w:val="24"/>
          <w:szCs w:val="24"/>
          <w:highlight w:val="none"/>
        </w:rPr>
        <w:t>。</w:t>
      </w:r>
    </w:p>
    <w:p w14:paraId="2F643781">
      <w:pPr>
        <w:pStyle w:val="5"/>
        <w:bidi w:val="0"/>
        <w:rPr>
          <w:rFonts w:hint="default"/>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供热</w:t>
      </w:r>
    </w:p>
    <w:p w14:paraId="693166C3">
      <w:pPr>
        <w:pStyle w:val="30"/>
        <w:bidi w:val="0"/>
        <w:rPr>
          <w:rFonts w:hint="eastAsia"/>
          <w:b w:val="0"/>
          <w:bCs/>
          <w:color w:val="auto"/>
          <w:highlight w:val="none"/>
          <w:lang w:val="en-US" w:eastAsia="zh-CN"/>
        </w:rPr>
      </w:pPr>
      <w:r>
        <w:rPr>
          <w:rFonts w:hint="eastAsia"/>
          <w:b w:val="0"/>
          <w:bCs/>
          <w:color w:val="auto"/>
          <w:highlight w:val="none"/>
          <w:lang w:val="en-US" w:eastAsia="zh-CN"/>
        </w:rPr>
        <w:t>本项目设1台电蒸汽发生器，蒸汽额定制备量为0.5t/h，用于无碱速凝剂生产过程中反应升温，以加快反应速率。</w:t>
      </w:r>
    </w:p>
    <w:p w14:paraId="29E611A6">
      <w:pPr>
        <w:pStyle w:val="5"/>
        <w:bidi w:val="0"/>
        <w:rPr>
          <w:rFonts w:hint="default"/>
          <w:b w:val="0"/>
          <w:bCs w:val="0"/>
          <w:color w:val="auto"/>
          <w:kern w:val="24"/>
          <w:sz w:val="24"/>
          <w:szCs w:val="30"/>
          <w:highlight w:val="none"/>
          <w:lang w:val="en-US" w:eastAsia="zh-CN" w:bidi="ar-SA"/>
        </w:rPr>
      </w:pPr>
      <w:r>
        <w:rPr>
          <w:rFonts w:hint="default"/>
          <w:b w:val="0"/>
          <w:bCs w:val="0"/>
          <w:color w:val="auto"/>
          <w:kern w:val="24"/>
          <w:sz w:val="24"/>
          <w:szCs w:val="30"/>
          <w:highlight w:val="none"/>
          <w:lang w:val="en-US" w:eastAsia="zh-CN" w:bidi="ar-SA"/>
        </w:rPr>
        <w:t>空调系统</w:t>
      </w:r>
    </w:p>
    <w:p w14:paraId="65AD2D0C">
      <w:pPr>
        <w:ind w:left="0" w:leftChars="0" w:firstLine="480" w:firstLineChars="200"/>
        <w:rPr>
          <w:rFonts w:hint="default"/>
          <w:color w:val="auto"/>
          <w:highlight w:val="none"/>
          <w:lang w:val="en-US" w:eastAsia="zh-CN"/>
        </w:rPr>
      </w:pPr>
      <w:r>
        <w:rPr>
          <w:rFonts w:hint="eastAsia"/>
          <w:color w:val="auto"/>
          <w:highlight w:val="none"/>
          <w:lang w:val="en-US" w:eastAsia="zh-CN"/>
        </w:rPr>
        <w:t>本项目质检室不需设洁净空调系统，综合楼设风冷式中央空调系统。</w:t>
      </w:r>
    </w:p>
    <w:p w14:paraId="55F5043A">
      <w:pPr>
        <w:pStyle w:val="5"/>
        <w:bidi w:val="0"/>
        <w:rPr>
          <w:rFonts w:hint="default"/>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储运工程</w:t>
      </w:r>
    </w:p>
    <w:p w14:paraId="1CED1156">
      <w:pPr>
        <w:ind w:left="0" w:leftChars="0" w:firstLine="482" w:firstLineChars="200"/>
        <w:rPr>
          <w:rFonts w:hint="default"/>
          <w:b/>
          <w:bCs/>
          <w:color w:val="auto"/>
          <w:highlight w:val="none"/>
          <w:lang w:val="en-US" w:eastAsia="zh-CN"/>
        </w:rPr>
      </w:pPr>
      <w:r>
        <w:rPr>
          <w:rFonts w:hint="eastAsia"/>
          <w:b/>
          <w:bCs/>
          <w:color w:val="auto"/>
          <w:highlight w:val="none"/>
          <w:lang w:val="en-US" w:eastAsia="zh-CN"/>
        </w:rPr>
        <w:t>1、运输工程</w:t>
      </w:r>
    </w:p>
    <w:p w14:paraId="27B290B1">
      <w:pPr>
        <w:ind w:left="0" w:leftChars="0" w:firstLine="482" w:firstLineChars="200"/>
        <w:rPr>
          <w:rFonts w:hint="eastAsia"/>
          <w:b/>
          <w:bCs/>
          <w:color w:val="auto"/>
          <w:highlight w:val="none"/>
          <w:lang w:val="en-US" w:eastAsia="zh-CN"/>
        </w:rPr>
      </w:pPr>
      <w:r>
        <w:rPr>
          <w:rFonts w:hint="eastAsia"/>
          <w:b/>
          <w:bCs/>
          <w:color w:val="auto"/>
          <w:highlight w:val="none"/>
          <w:lang w:val="en-US" w:eastAsia="zh-CN"/>
        </w:rPr>
        <w:t>运输方式：</w:t>
      </w:r>
      <w:r>
        <w:rPr>
          <w:rFonts w:hint="eastAsia"/>
          <w:color w:val="auto"/>
          <w:highlight w:val="none"/>
          <w:lang w:val="en-US" w:eastAsia="zh-CN"/>
        </w:rPr>
        <w:t>本项目原料及产品均采用公路运输。其中丙烯酸、硫酸、双氧水等原料属于危险化学品，</w:t>
      </w:r>
      <w:r>
        <w:rPr>
          <w:rFonts w:hint="eastAsia"/>
          <w:b/>
          <w:bCs/>
          <w:color w:val="auto"/>
          <w:highlight w:val="none"/>
          <w:lang w:val="en-US" w:eastAsia="zh-CN"/>
        </w:rPr>
        <w:t>由具有危化品运输资质的公司负责运输，运输过程应严格执行国家《危险化学品安全管理条例》中相关要求。同时，根据规划环评要求，危化品运输应严格遵守园区管委会建立的园区企业危险化学品运输管理办法，运输车辆应按园区制定的运输路线通行。</w:t>
      </w:r>
    </w:p>
    <w:p w14:paraId="1395F48C">
      <w:pPr>
        <w:rPr>
          <w:rFonts w:hint="eastAsia"/>
          <w:color w:val="auto"/>
          <w:highlight w:val="none"/>
          <w:lang w:val="en-US" w:eastAsia="zh-CN"/>
        </w:rPr>
      </w:pPr>
      <w:r>
        <w:rPr>
          <w:rFonts w:hint="default"/>
          <w:b/>
          <w:bCs/>
          <w:color w:val="auto"/>
          <w:highlight w:val="none"/>
          <w:lang w:val="en-US" w:eastAsia="zh-CN"/>
        </w:rPr>
        <w:t>运输工具：</w:t>
      </w:r>
      <w:r>
        <w:rPr>
          <w:rFonts w:hint="eastAsia"/>
          <w:color w:val="auto"/>
          <w:highlight w:val="none"/>
          <w:lang w:val="en-US" w:eastAsia="zh-CN"/>
        </w:rPr>
        <w:t>本项目原料及产品采用密闭罐车或厢式货车运输。</w:t>
      </w:r>
    </w:p>
    <w:p w14:paraId="5DBFD0E9">
      <w:pPr>
        <w:numPr>
          <w:ilvl w:val="0"/>
          <w:numId w:val="0"/>
        </w:numPr>
        <w:ind w:left="482" w:leftChars="0"/>
        <w:rPr>
          <w:rFonts w:hint="eastAsia"/>
          <w:b/>
          <w:bCs/>
          <w:color w:val="auto"/>
          <w:highlight w:val="none"/>
          <w:lang w:val="en-US" w:eastAsia="zh-CN"/>
        </w:rPr>
      </w:pPr>
      <w:r>
        <w:rPr>
          <w:rFonts w:hint="eastAsia" w:ascii="Times New Roman" w:hAnsi="Times New Roman" w:eastAsia="宋体" w:cs="Times New Roman"/>
          <w:b/>
          <w:bCs/>
          <w:color w:val="auto"/>
          <w:kern w:val="2"/>
          <w:sz w:val="24"/>
          <w:szCs w:val="24"/>
          <w:lang w:val="en-US" w:eastAsia="zh-CN" w:bidi="ar-SA"/>
        </w:rPr>
        <w:t>2、</w:t>
      </w:r>
      <w:r>
        <w:rPr>
          <w:rFonts w:hint="eastAsia"/>
          <w:b/>
          <w:bCs/>
          <w:color w:val="auto"/>
          <w:highlight w:val="none"/>
          <w:lang w:val="en-US" w:eastAsia="zh-CN"/>
        </w:rPr>
        <w:t>仓储工程</w:t>
      </w:r>
    </w:p>
    <w:p w14:paraId="06578833">
      <w:pPr>
        <w:ind w:left="0" w:leftChars="0" w:firstLine="480" w:firstLineChars="200"/>
        <w:rPr>
          <w:rFonts w:hint="eastAsia"/>
          <w:color w:val="auto"/>
          <w:highlight w:val="none"/>
          <w:lang w:val="en-US" w:eastAsia="zh-CN"/>
        </w:rPr>
      </w:pPr>
      <w:r>
        <w:rPr>
          <w:rFonts w:hint="eastAsia"/>
          <w:color w:val="auto"/>
          <w:highlight w:val="none"/>
          <w:lang w:val="en-US" w:eastAsia="zh-CN"/>
        </w:rPr>
        <w:t>本项目设3个罐区和1个仓库用于原料及产品暂存。</w:t>
      </w:r>
    </w:p>
    <w:p w14:paraId="0CDD3320">
      <w:pPr>
        <w:ind w:left="0" w:leftChars="0" w:firstLine="482" w:firstLineChars="200"/>
        <w:rPr>
          <w:rFonts w:hint="default"/>
          <w:color w:val="auto"/>
          <w:highlight w:val="none"/>
          <w:lang w:val="en-US" w:eastAsia="zh-CN"/>
        </w:rPr>
      </w:pPr>
      <w:r>
        <w:rPr>
          <w:rFonts w:hint="eastAsia"/>
          <w:b/>
          <w:bCs/>
          <w:color w:val="auto"/>
          <w:highlight w:val="none"/>
          <w:lang w:val="en-US" w:eastAsia="zh-CN"/>
        </w:rPr>
        <w:t>原料储存：</w:t>
      </w:r>
      <w:r>
        <w:rPr>
          <w:rFonts w:hint="eastAsia"/>
          <w:color w:val="auto"/>
          <w:highlight w:val="none"/>
          <w:lang w:val="en-US" w:eastAsia="zh-CN"/>
        </w:rPr>
        <w:t>本项目液态原料中聚醚、丙烯酸、丙烯酸羟乙酯、硫酸、液碱、氟硅酸、基础油经密闭罐车运输入厂，在装卸站经密闭输送泵直接泵入各罐区设置的原料罐内暂存；其余液态原料采用包装桶，经厢式货车运输入厂，卸料后通过叉车转运至仓库暂存。</w:t>
      </w:r>
    </w:p>
    <w:p w14:paraId="0F893A8E">
      <w:pPr>
        <w:ind w:left="0" w:leftChars="0" w:firstLine="482" w:firstLineChars="200"/>
        <w:rPr>
          <w:rFonts w:hint="eastAsia"/>
          <w:color w:val="auto"/>
          <w:highlight w:val="none"/>
          <w:lang w:val="en-US" w:eastAsia="zh-CN"/>
        </w:rPr>
      </w:pPr>
      <w:r>
        <w:rPr>
          <w:rFonts w:hint="eastAsia"/>
          <w:b/>
          <w:bCs/>
          <w:color w:val="auto"/>
          <w:highlight w:val="none"/>
          <w:lang w:val="en-US" w:eastAsia="zh-CN"/>
        </w:rPr>
        <w:t>产品储存：</w:t>
      </w:r>
      <w:r>
        <w:rPr>
          <w:rFonts w:hint="eastAsia"/>
          <w:color w:val="auto"/>
          <w:highlight w:val="none"/>
          <w:lang w:val="en-US" w:eastAsia="zh-CN"/>
        </w:rPr>
        <w:t>本项目产品均为液态，其中聚羧酸减水剂母液和无碱速凝剂产出后通过密闭管道输送至罐区设置的产品罐暂存，最终经密闭装车泵直接泵入密闭罐车外运；高性能聚羧酸减水剂产出后直接外运，不在厂区暂存，仅设1个不合格品备用储罐；乳化型脱模剂产出后采用灌装泵泵入包装桶，通过叉车转运至仓库暂存，最终经厢式货车外运。</w:t>
      </w:r>
    </w:p>
    <w:p w14:paraId="5F60A0BA">
      <w:pPr>
        <w:ind w:left="0" w:leftChars="0" w:firstLine="480" w:firstLineChars="200"/>
        <w:rPr>
          <w:rFonts w:hint="default"/>
          <w:color w:val="auto"/>
          <w:highlight w:val="none"/>
          <w:lang w:val="en-US" w:eastAsia="zh-CN"/>
        </w:rPr>
      </w:pPr>
      <w:r>
        <w:rPr>
          <w:rFonts w:hint="eastAsia"/>
          <w:color w:val="auto"/>
          <w:highlight w:val="none"/>
          <w:lang w:val="en-US" w:eastAsia="zh-CN"/>
        </w:rPr>
        <w:t>此外，本项目固态原料中白砂糖和葡萄糖酸钠入厂后，需先在复配预混罐内加水溶解，得到的白砂糖溶液和葡萄糖酸钠溶液经密闭输送泵泵入罐区设置的原料罐内暂存。</w:t>
      </w:r>
    </w:p>
    <w:p w14:paraId="448F3424">
      <w:pPr>
        <w:ind w:left="0" w:leftChars="0" w:firstLine="480" w:firstLineChars="200"/>
        <w:rPr>
          <w:rFonts w:hint="default"/>
          <w:color w:val="auto"/>
          <w:highlight w:val="none"/>
          <w:lang w:val="en-US" w:eastAsia="zh-CN"/>
        </w:rPr>
      </w:pPr>
      <w:r>
        <w:rPr>
          <w:rFonts w:hint="default"/>
          <w:color w:val="auto"/>
          <w:highlight w:val="none"/>
          <w:lang w:val="en-US" w:eastAsia="zh-CN"/>
        </w:rPr>
        <w:t>本项目各罐区内罐组设置情况见下表。</w:t>
      </w:r>
    </w:p>
    <w:p w14:paraId="60686E84">
      <w:pPr>
        <w:ind w:left="0" w:leftChars="0" w:firstLine="480" w:firstLineChars="200"/>
        <w:rPr>
          <w:rFonts w:hint="default"/>
          <w:color w:val="auto"/>
          <w:highlight w:val="none"/>
          <w:lang w:val="en-US" w:eastAsia="zh-CN"/>
        </w:rPr>
      </w:pPr>
      <w:r>
        <w:rPr>
          <w:rFonts w:hint="eastAsia"/>
          <w:color w:val="auto"/>
          <w:lang w:val="en-US" w:eastAsia="zh-CN"/>
        </w:rPr>
        <w:t>略。</w:t>
      </w:r>
    </w:p>
    <w:p w14:paraId="4AFE84EB">
      <w:pPr>
        <w:numPr>
          <w:ilvl w:val="0"/>
          <w:numId w:val="0"/>
        </w:numPr>
        <w:spacing w:line="360" w:lineRule="auto"/>
        <w:ind w:firstLine="480" w:firstLineChars="200"/>
        <w:rPr>
          <w:rFonts w:hint="eastAsia"/>
          <w:color w:val="auto"/>
          <w:highlight w:val="none"/>
          <w:lang w:val="en-US" w:eastAsia="zh-CN"/>
        </w:rPr>
      </w:pPr>
      <w:r>
        <w:rPr>
          <w:rFonts w:hint="eastAsia"/>
          <w:color w:val="auto"/>
          <w:highlight w:val="none"/>
          <w:lang w:val="en-US" w:eastAsia="zh-CN"/>
        </w:rPr>
        <w:t>本项目仓库内物料暂存情况见下表。</w:t>
      </w:r>
    </w:p>
    <w:p w14:paraId="18EC8562">
      <w:pPr>
        <w:numPr>
          <w:ilvl w:val="0"/>
          <w:numId w:val="0"/>
        </w:numPr>
        <w:spacing w:line="360" w:lineRule="auto"/>
        <w:ind w:firstLine="480" w:firstLineChars="200"/>
        <w:rPr>
          <w:rFonts w:hint="eastAsia"/>
          <w:color w:val="auto"/>
          <w:highlight w:val="none"/>
          <w:lang w:val="en-US" w:eastAsia="zh-CN"/>
        </w:rPr>
      </w:pPr>
      <w:r>
        <w:rPr>
          <w:rFonts w:hint="eastAsia"/>
          <w:color w:val="auto"/>
          <w:lang w:val="en-US" w:eastAsia="zh-CN"/>
        </w:rPr>
        <w:t>略。</w:t>
      </w:r>
    </w:p>
    <w:p w14:paraId="0AE3FF1F">
      <w:pPr>
        <w:pStyle w:val="5"/>
        <w:bidi w:val="0"/>
        <w:rPr>
          <w:rFonts w:hint="default"/>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消防系统</w:t>
      </w:r>
    </w:p>
    <w:p w14:paraId="6A990853">
      <w:pPr>
        <w:numPr>
          <w:ilvl w:val="0"/>
          <w:numId w:val="0"/>
        </w:numPr>
        <w:spacing w:line="360" w:lineRule="auto"/>
        <w:ind w:firstLine="480" w:firstLineChars="200"/>
        <w:rPr>
          <w:rFonts w:hint="eastAsia"/>
          <w:color w:val="auto"/>
          <w:szCs w:val="20"/>
          <w:lang w:val="en-US" w:eastAsia="zh-CN"/>
        </w:rPr>
      </w:pPr>
      <w:r>
        <w:rPr>
          <w:rFonts w:hint="eastAsia" w:cs="Times New Roman"/>
          <w:bCs/>
          <w:color w:val="auto"/>
          <w:sz w:val="24"/>
          <w:highlight w:val="none"/>
          <w:lang w:val="en-US" w:eastAsia="zh-CN"/>
        </w:rPr>
        <w:t>本项目设1套消防系统，由消防水罐、消防水泵、消防管网、消火栓等组成，厂区设</w:t>
      </w:r>
      <w:r>
        <w:rPr>
          <w:rFonts w:hint="eastAsia" w:cs="Times New Roman"/>
          <w:b w:val="0"/>
          <w:bCs w:val="0"/>
          <w:color w:val="auto"/>
          <w:highlight w:val="none"/>
          <w:lang w:val="en-US" w:eastAsia="zh-CN"/>
        </w:rPr>
        <w:t>2个330m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消防水罐</w:t>
      </w:r>
      <w:r>
        <w:rPr>
          <w:rFonts w:hint="eastAsia" w:eastAsia="宋体" w:cs="Times New Roman"/>
          <w:b w:val="0"/>
          <w:bCs w:val="0"/>
          <w:color w:val="auto"/>
          <w:highlight w:val="none"/>
          <w:lang w:val="en-US" w:eastAsia="zh-CN"/>
        </w:rPr>
        <w:t>、2台消防水泵，消防管网从消防水泵房引出在厂区布置呈环状，在环状管网上设地上式室外消火栓。</w:t>
      </w:r>
      <w:r>
        <w:rPr>
          <w:rFonts w:hint="eastAsia"/>
          <w:color w:val="auto"/>
          <w:lang w:val="en-US" w:eastAsia="zh-CN"/>
        </w:rPr>
        <w:t>同时，厂区还配置有干粉、二氧化碳等灭火器具</w:t>
      </w:r>
      <w:r>
        <w:rPr>
          <w:rFonts w:hint="eastAsia"/>
          <w:color w:val="auto"/>
        </w:rPr>
        <w:t>。</w:t>
      </w:r>
    </w:p>
    <w:p w14:paraId="22DB5DBA">
      <w:pPr>
        <w:pStyle w:val="4"/>
        <w:bidi w:val="0"/>
        <w:rPr>
          <w:rFonts w:hint="default"/>
          <w:color w:val="auto"/>
          <w:highlight w:val="none"/>
          <w:lang w:val="en-US" w:eastAsia="zh-CN"/>
        </w:rPr>
      </w:pPr>
      <w:r>
        <w:rPr>
          <w:rFonts w:hint="default"/>
          <w:color w:val="auto"/>
          <w:highlight w:val="none"/>
          <w:lang w:val="en-US" w:eastAsia="zh-CN"/>
        </w:rPr>
        <w:t>劳动定员及工作制度</w:t>
      </w:r>
    </w:p>
    <w:p w14:paraId="0291F524">
      <w:pPr>
        <w:ind w:left="0" w:leftChars="0"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劳动定员：</w:t>
      </w:r>
      <w:r>
        <w:rPr>
          <w:rFonts w:hint="eastAsia" w:cs="Times New Roman"/>
          <w:color w:val="auto"/>
          <w:sz w:val="24"/>
          <w:szCs w:val="24"/>
          <w:highlight w:val="none"/>
          <w:lang w:val="en-US" w:eastAsia="zh-CN"/>
        </w:rPr>
        <w:t>40</w:t>
      </w:r>
      <w:r>
        <w:rPr>
          <w:rFonts w:hint="eastAsia" w:ascii="Times New Roman" w:hAnsi="Times New Roman" w:eastAsia="宋体" w:cs="Times New Roman"/>
          <w:color w:val="auto"/>
          <w:sz w:val="24"/>
          <w:szCs w:val="24"/>
          <w:highlight w:val="none"/>
          <w:lang w:val="en-US" w:eastAsia="zh-CN"/>
        </w:rPr>
        <w:t>人</w:t>
      </w:r>
      <w:r>
        <w:rPr>
          <w:rFonts w:hint="eastAsia" w:cs="Times New Roman"/>
          <w:color w:val="auto"/>
          <w:sz w:val="24"/>
          <w:szCs w:val="24"/>
          <w:highlight w:val="none"/>
          <w:lang w:val="en-US" w:eastAsia="zh-CN"/>
        </w:rPr>
        <w:t>，不设食宿</w:t>
      </w:r>
      <w:r>
        <w:rPr>
          <w:rFonts w:hint="eastAsia" w:ascii="Times New Roman" w:hAnsi="Times New Roman" w:eastAsia="宋体" w:cs="Times New Roman"/>
          <w:color w:val="auto"/>
          <w:sz w:val="24"/>
          <w:szCs w:val="24"/>
          <w:highlight w:val="none"/>
          <w:lang w:val="en-US" w:eastAsia="zh-CN"/>
        </w:rPr>
        <w:t>。</w:t>
      </w:r>
    </w:p>
    <w:p w14:paraId="1E9FBB08">
      <w:pPr>
        <w:bidi w:val="0"/>
        <w:rPr>
          <w:rFonts w:hint="default"/>
          <w:color w:val="auto"/>
        </w:rPr>
      </w:pPr>
      <w:r>
        <w:rPr>
          <w:rFonts w:hint="eastAsia"/>
          <w:color w:val="auto"/>
          <w:lang w:val="en-US" w:eastAsia="zh-CN"/>
        </w:rPr>
        <w:t>工作制度：全年生产300天，采取1班制，每班生产8小时。</w:t>
      </w:r>
    </w:p>
    <w:p w14:paraId="408020B2">
      <w:pPr>
        <w:pStyle w:val="3"/>
        <w:bidi w:val="0"/>
        <w:rPr>
          <w:rFonts w:hint="default"/>
          <w:color w:val="auto"/>
          <w:highlight w:val="none"/>
        </w:rPr>
      </w:pPr>
      <w:bookmarkStart w:id="65" w:name="_Toc29468"/>
      <w:bookmarkStart w:id="66" w:name="_Toc17824"/>
      <w:bookmarkStart w:id="67" w:name="_Toc3063"/>
      <w:bookmarkStart w:id="68" w:name="_Toc25028"/>
      <w:r>
        <w:rPr>
          <w:rFonts w:hint="eastAsia"/>
          <w:color w:val="auto"/>
          <w:highlight w:val="none"/>
          <w:lang w:val="en-US" w:eastAsia="zh-CN"/>
        </w:rPr>
        <w:t>环境影响因素分析</w:t>
      </w:r>
      <w:bookmarkEnd w:id="65"/>
      <w:bookmarkEnd w:id="66"/>
      <w:bookmarkEnd w:id="67"/>
      <w:bookmarkEnd w:id="68"/>
    </w:p>
    <w:p w14:paraId="058D415E">
      <w:pPr>
        <w:pStyle w:val="4"/>
        <w:bidi w:val="0"/>
        <w:rPr>
          <w:color w:val="auto"/>
          <w:highlight w:val="none"/>
        </w:rPr>
      </w:pPr>
      <w:r>
        <w:rPr>
          <w:color w:val="auto"/>
          <w:highlight w:val="none"/>
        </w:rPr>
        <w:t>施工期环境影响因素</w:t>
      </w:r>
    </w:p>
    <w:p w14:paraId="7C6D8ACF">
      <w:pPr>
        <w:spacing w:line="360" w:lineRule="auto"/>
        <w:ind w:left="0" w:leftChars="0" w:firstLine="480" w:firstLineChars="200"/>
        <w:rPr>
          <w:rFonts w:ascii="Times New Roman" w:hAnsi="Times New Roman" w:cs="Times New Roman"/>
          <w:color w:val="auto"/>
          <w:szCs w:val="24"/>
          <w:highlight w:val="none"/>
        </w:rPr>
      </w:pPr>
      <w:r>
        <w:rPr>
          <w:rFonts w:hint="eastAsia"/>
          <w:color w:val="auto"/>
          <w:highlight w:val="none"/>
        </w:rPr>
        <w:t>本项目施工期为土建工程，包括基础工程、主体工程、装饰工程、设备安装等。</w:t>
      </w:r>
      <w:r>
        <w:rPr>
          <w:rFonts w:hint="eastAsia"/>
          <w:color w:val="auto"/>
          <w:highlight w:val="none"/>
          <w:lang w:val="en-US" w:eastAsia="zh-CN"/>
        </w:rPr>
        <w:t>在此过程产生的污染物主要包括施工废水、施工扬尘、</w:t>
      </w:r>
      <w:r>
        <w:rPr>
          <w:rFonts w:hint="default"/>
          <w:color w:val="auto"/>
          <w:highlight w:val="none"/>
        </w:rPr>
        <w:t>噪声、固体废弃物等，其排放量随施工期的内容而有所变化。施工期建设流程及产污</w:t>
      </w:r>
      <w:r>
        <w:rPr>
          <w:rFonts w:hint="eastAsia"/>
          <w:color w:val="auto"/>
          <w:highlight w:val="none"/>
          <w:lang w:val="en-US" w:eastAsia="zh-CN"/>
        </w:rPr>
        <w:t>环节</w:t>
      </w:r>
      <w:r>
        <w:rPr>
          <w:rFonts w:hint="default"/>
          <w:color w:val="auto"/>
          <w:highlight w:val="none"/>
        </w:rPr>
        <w:t>见下</w:t>
      </w:r>
      <w:r>
        <w:rPr>
          <w:rFonts w:hint="eastAsia"/>
          <w:color w:val="auto"/>
          <w:highlight w:val="none"/>
          <w:lang w:val="en-US" w:eastAsia="zh-CN"/>
        </w:rPr>
        <w:t>图</w:t>
      </w:r>
      <w:r>
        <w:rPr>
          <w:rFonts w:hint="eastAsia"/>
          <w:color w:val="auto"/>
          <w:highlight w:val="none"/>
          <w:lang w:eastAsia="zh-CN"/>
        </w:rPr>
        <w:t>。</w:t>
      </w:r>
    </w:p>
    <w:p w14:paraId="2BD21407">
      <w:pPr>
        <w:spacing w:line="360" w:lineRule="auto"/>
        <w:ind w:left="0" w:leftChars="0" w:firstLine="0" w:firstLineChars="0"/>
        <w:jc w:val="center"/>
        <w:rPr>
          <w:rFonts w:hint="default" w:ascii="Times New Roman" w:hAnsi="Times New Roman" w:cs="Times New Roman"/>
          <w:color w:val="auto"/>
          <w:szCs w:val="22"/>
          <w:highlight w:val="none"/>
          <w:lang w:bidi="ar"/>
        </w:rPr>
      </w:pPr>
      <w:r>
        <w:rPr>
          <w:rFonts w:hint="default" w:ascii="Times New Roman" w:hAnsi="Times New Roman" w:cs="Times New Roman"/>
          <w:color w:val="auto"/>
          <w:szCs w:val="22"/>
          <w:highlight w:val="none"/>
          <w:lang w:bidi="ar"/>
        </w:rPr>
        <w:object>
          <v:shape id="_x0000_i1028" o:spt="75" type="#_x0000_t75" style="height:114.05pt;width:367.5pt;" o:ole="t" filled="f" o:preferrelative="t" stroked="f" coordsize="21600,21600">
            <v:path/>
            <v:fill on="f" focussize="0,0"/>
            <v:stroke on="f"/>
            <v:imagedata r:id="rId30" o:title=""/>
            <o:lock v:ext="edit" aspectratio="t"/>
            <w10:wrap type="none"/>
            <w10:anchorlock/>
          </v:shape>
          <o:OLEObject Type="Embed" ProgID="Visio.Drawing.15" ShapeID="_x0000_i1028" DrawAspect="Content" ObjectID="_1468075728" r:id="rId29">
            <o:LockedField>false</o:LockedField>
          </o:OLEObject>
        </w:object>
      </w:r>
    </w:p>
    <w:p w14:paraId="6BFC7639">
      <w:pPr>
        <w:numPr>
          <w:ilvl w:val="0"/>
          <w:numId w:val="19"/>
        </w:numPr>
        <w:spacing w:line="360" w:lineRule="auto"/>
        <w:ind w:left="425" w:leftChars="0" w:hanging="425" w:firstLineChars="0"/>
        <w:jc w:val="center"/>
        <w:rPr>
          <w:rFonts w:hint="default" w:ascii="黑体" w:hAnsi="黑体" w:eastAsia="黑体" w:cs="黑体"/>
          <w:bCs/>
          <w:color w:val="auto"/>
          <w:sz w:val="21"/>
          <w:szCs w:val="21"/>
          <w:highlight w:val="none"/>
          <w:lang w:val="en-US" w:eastAsia="zh-CN"/>
        </w:rPr>
      </w:pPr>
      <w:r>
        <w:rPr>
          <w:rFonts w:hint="eastAsia" w:ascii="黑体" w:hAnsi="黑体" w:eastAsia="黑体" w:cs="黑体"/>
          <w:bCs/>
          <w:color w:val="auto"/>
          <w:sz w:val="21"/>
          <w:szCs w:val="21"/>
          <w:highlight w:val="none"/>
          <w:lang w:val="en-US" w:eastAsia="zh-CN"/>
        </w:rPr>
        <w:t>施工期工艺流程及产污环节图</w:t>
      </w:r>
    </w:p>
    <w:p w14:paraId="0480E969">
      <w:pPr>
        <w:pStyle w:val="30"/>
        <w:bidi w:val="0"/>
        <w:ind w:left="0" w:leftChars="0" w:firstLine="482" w:firstLineChars="200"/>
        <w:rPr>
          <w:color w:val="auto"/>
          <w:highlight w:val="none"/>
        </w:rPr>
      </w:pPr>
      <w:r>
        <w:rPr>
          <w:color w:val="auto"/>
          <w:highlight w:val="none"/>
        </w:rPr>
        <w:t>主要污染工序简述：</w:t>
      </w:r>
    </w:p>
    <w:p w14:paraId="2B4773DA">
      <w:pPr>
        <w:pStyle w:val="30"/>
        <w:bidi w:val="0"/>
        <w:rPr>
          <w:color w:val="auto"/>
          <w:highlight w:val="none"/>
        </w:rPr>
      </w:pPr>
      <w:r>
        <w:rPr>
          <w:rFonts w:hint="eastAsia"/>
          <w:color w:val="auto"/>
          <w:highlight w:val="none"/>
        </w:rPr>
        <w:t>（1）</w:t>
      </w:r>
      <w:r>
        <w:rPr>
          <w:color w:val="auto"/>
          <w:highlight w:val="none"/>
        </w:rPr>
        <w:t>基础工程</w:t>
      </w:r>
    </w:p>
    <w:p w14:paraId="0A367326">
      <w:pPr>
        <w:pStyle w:val="26"/>
        <w:bidi w:val="0"/>
        <w:rPr>
          <w:color w:val="auto"/>
          <w:highlight w:val="none"/>
        </w:rPr>
      </w:pPr>
      <w:r>
        <w:rPr>
          <w:color w:val="auto"/>
          <w:highlight w:val="none"/>
        </w:rPr>
        <w:t>在基础开挖与基础施工时，由于挖土机、运土卡车等施工机械的运行，将产生一定的噪声；同时产生扬尘，属无组织面源排放，源强不易确定；基础开挖引起原有土地利用类型的改变，会造成生态变化并引起一定程度的水土流失。同时产生施工人员生活</w:t>
      </w:r>
      <w:r>
        <w:rPr>
          <w:rFonts w:hint="eastAsia"/>
          <w:color w:val="auto"/>
          <w:highlight w:val="none"/>
          <w:lang w:val="en-US" w:eastAsia="zh-CN"/>
        </w:rPr>
        <w:t>污水</w:t>
      </w:r>
      <w:r>
        <w:rPr>
          <w:color w:val="auto"/>
          <w:highlight w:val="none"/>
        </w:rPr>
        <w:t>和生活垃圾。</w:t>
      </w:r>
    </w:p>
    <w:p w14:paraId="2DC9E9C2">
      <w:pPr>
        <w:pStyle w:val="30"/>
        <w:bidi w:val="0"/>
        <w:rPr>
          <w:color w:val="auto"/>
          <w:highlight w:val="none"/>
        </w:rPr>
      </w:pPr>
      <w:r>
        <w:rPr>
          <w:rFonts w:hint="eastAsia"/>
          <w:color w:val="auto"/>
          <w:highlight w:val="none"/>
        </w:rPr>
        <w:t>（2）</w:t>
      </w:r>
      <w:r>
        <w:rPr>
          <w:color w:val="auto"/>
          <w:highlight w:val="none"/>
        </w:rPr>
        <w:t>主体工程</w:t>
      </w:r>
    </w:p>
    <w:p w14:paraId="49419F8D">
      <w:pPr>
        <w:pStyle w:val="26"/>
        <w:bidi w:val="0"/>
        <w:rPr>
          <w:color w:val="auto"/>
          <w:highlight w:val="none"/>
        </w:rPr>
      </w:pPr>
      <w:r>
        <w:rPr>
          <w:color w:val="auto"/>
          <w:highlight w:val="none"/>
        </w:rPr>
        <w:t>卷扬机、钢筋切割机等施工机械的运行过程中将产生一定强度的噪声；在挖土堆场、建材搬运和汽车运输过程中会产生扬尘等环境问题。</w:t>
      </w:r>
    </w:p>
    <w:p w14:paraId="2A714D7A">
      <w:pPr>
        <w:pStyle w:val="30"/>
        <w:bidi w:val="0"/>
        <w:rPr>
          <w:color w:val="auto"/>
          <w:highlight w:val="none"/>
        </w:rPr>
      </w:pPr>
      <w:r>
        <w:rPr>
          <w:rFonts w:hint="eastAsia"/>
          <w:color w:val="auto"/>
          <w:highlight w:val="none"/>
        </w:rPr>
        <w:t>（3）</w:t>
      </w:r>
      <w:r>
        <w:rPr>
          <w:color w:val="auto"/>
          <w:highlight w:val="none"/>
        </w:rPr>
        <w:t>装饰工程</w:t>
      </w:r>
    </w:p>
    <w:p w14:paraId="1BD2DA5A">
      <w:pPr>
        <w:pStyle w:val="26"/>
        <w:bidi w:val="0"/>
        <w:rPr>
          <w:color w:val="auto"/>
          <w:highlight w:val="none"/>
        </w:rPr>
      </w:pPr>
      <w:r>
        <w:rPr>
          <w:color w:val="auto"/>
          <w:highlight w:val="none"/>
        </w:rPr>
        <w:t>在对构筑物的室内外进行装修时（如表面粉刷、油漆、镶贴装饰等），钻机、电锤、切割机等产生噪声；油漆、喷涂、建筑及装饰材料等产生废气及废弃物料。</w:t>
      </w:r>
    </w:p>
    <w:p w14:paraId="3F7AC238">
      <w:pPr>
        <w:pStyle w:val="30"/>
        <w:bidi w:val="0"/>
        <w:rPr>
          <w:color w:val="auto"/>
          <w:highlight w:val="none"/>
        </w:rPr>
      </w:pPr>
      <w:r>
        <w:rPr>
          <w:rFonts w:hint="eastAsia"/>
          <w:color w:val="auto"/>
          <w:highlight w:val="none"/>
        </w:rPr>
        <w:t>（4）</w:t>
      </w:r>
      <w:r>
        <w:rPr>
          <w:color w:val="auto"/>
          <w:highlight w:val="none"/>
        </w:rPr>
        <w:t>设备安装</w:t>
      </w:r>
    </w:p>
    <w:p w14:paraId="486A6ECA">
      <w:pPr>
        <w:spacing w:line="360" w:lineRule="auto"/>
        <w:ind w:left="0" w:leftChars="0" w:firstLine="480" w:firstLineChars="200"/>
        <w:rPr>
          <w:rFonts w:ascii="Times New Roman" w:hAnsi="Times New Roman" w:cs="Times New Roman"/>
          <w:color w:val="auto"/>
          <w:szCs w:val="24"/>
          <w:highlight w:val="none"/>
        </w:rPr>
      </w:pPr>
      <w:r>
        <w:rPr>
          <w:rFonts w:hint="eastAsia"/>
          <w:color w:val="auto"/>
          <w:highlight w:val="none"/>
        </w:rPr>
        <w:t>主要</w:t>
      </w:r>
      <w:r>
        <w:rPr>
          <w:color w:val="auto"/>
          <w:highlight w:val="none"/>
        </w:rPr>
        <w:t>包括</w:t>
      </w:r>
      <w:r>
        <w:rPr>
          <w:rFonts w:hint="eastAsia"/>
          <w:color w:val="auto"/>
          <w:highlight w:val="none"/>
        </w:rPr>
        <w:t>生产</w:t>
      </w:r>
      <w:r>
        <w:rPr>
          <w:color w:val="auto"/>
          <w:highlight w:val="none"/>
        </w:rPr>
        <w:t>设备以</w:t>
      </w:r>
      <w:r>
        <w:rPr>
          <w:rFonts w:ascii="Times New Roman" w:hAnsi="Times New Roman" w:cs="Times New Roman"/>
          <w:color w:val="auto"/>
          <w:szCs w:val="24"/>
          <w:highlight w:val="none"/>
        </w:rPr>
        <w:t>及</w:t>
      </w:r>
      <w:r>
        <w:rPr>
          <w:rFonts w:hint="eastAsia" w:cs="Times New Roman"/>
          <w:color w:val="auto"/>
          <w:szCs w:val="24"/>
          <w:highlight w:val="none"/>
          <w:lang w:val="en-US" w:eastAsia="zh-CN"/>
        </w:rPr>
        <w:t>辅助</w:t>
      </w:r>
      <w:r>
        <w:rPr>
          <w:rFonts w:ascii="Times New Roman" w:hAnsi="Times New Roman" w:cs="Times New Roman"/>
          <w:color w:val="auto"/>
          <w:szCs w:val="24"/>
          <w:highlight w:val="none"/>
        </w:rPr>
        <w:t>设备安装</w:t>
      </w:r>
      <w:r>
        <w:rPr>
          <w:rFonts w:hint="eastAsia" w:ascii="Times New Roman" w:hAnsi="Times New Roman" w:cs="Times New Roman"/>
          <w:color w:val="auto"/>
          <w:szCs w:val="24"/>
          <w:highlight w:val="none"/>
        </w:rPr>
        <w:t>，</w:t>
      </w:r>
      <w:r>
        <w:rPr>
          <w:rFonts w:ascii="Times New Roman" w:hAnsi="Times New Roman" w:cs="Times New Roman"/>
          <w:color w:val="auto"/>
          <w:szCs w:val="24"/>
          <w:highlight w:val="none"/>
        </w:rPr>
        <w:t>主要废物为废包装材料</w:t>
      </w:r>
      <w:r>
        <w:rPr>
          <w:rFonts w:hint="eastAsia" w:ascii="Times New Roman" w:hAnsi="Times New Roman" w:cs="Times New Roman"/>
          <w:color w:val="auto"/>
          <w:szCs w:val="24"/>
          <w:highlight w:val="none"/>
        </w:rPr>
        <w:t>、</w:t>
      </w:r>
      <w:r>
        <w:rPr>
          <w:rFonts w:ascii="Times New Roman" w:hAnsi="Times New Roman" w:cs="Times New Roman"/>
          <w:color w:val="auto"/>
          <w:szCs w:val="24"/>
          <w:highlight w:val="none"/>
        </w:rPr>
        <w:t>设备安装及调试噪声</w:t>
      </w:r>
      <w:r>
        <w:rPr>
          <w:rFonts w:hint="eastAsia" w:ascii="Times New Roman" w:hAnsi="Times New Roman" w:cs="Times New Roman"/>
          <w:color w:val="auto"/>
          <w:szCs w:val="24"/>
          <w:highlight w:val="none"/>
        </w:rPr>
        <w:t>。</w:t>
      </w:r>
    </w:p>
    <w:p w14:paraId="24845ECA">
      <w:pPr>
        <w:pStyle w:val="4"/>
        <w:bidi w:val="0"/>
        <w:rPr>
          <w:rFonts w:hint="default"/>
          <w:color w:val="auto"/>
          <w:highlight w:val="none"/>
        </w:rPr>
      </w:pPr>
      <w:r>
        <w:rPr>
          <w:rFonts w:hint="eastAsia"/>
          <w:color w:val="auto"/>
          <w:highlight w:val="none"/>
          <w:lang w:val="en-US" w:eastAsia="zh-CN"/>
        </w:rPr>
        <w:t>运营期环境影响因素</w:t>
      </w:r>
    </w:p>
    <w:p w14:paraId="5852FEFB">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工艺流程及产污环节</w:t>
      </w:r>
    </w:p>
    <w:p w14:paraId="4FA13766">
      <w:pPr>
        <w:ind w:left="0" w:leftChars="0" w:firstLine="480" w:firstLineChars="200"/>
        <w:rPr>
          <w:rFonts w:hint="eastAsia"/>
          <w:color w:val="auto"/>
          <w:highlight w:val="none"/>
          <w:lang w:val="en-US" w:eastAsia="zh-CN"/>
        </w:rPr>
      </w:pPr>
      <w:r>
        <w:rPr>
          <w:rFonts w:hint="eastAsia" w:ascii="Times New Roman" w:hAnsi="Times New Roman"/>
          <w:color w:val="auto"/>
          <w:sz w:val="24"/>
          <w:szCs w:val="24"/>
          <w:highlight w:val="none"/>
          <w:lang w:val="en-US" w:eastAsia="zh-CN"/>
        </w:rPr>
        <w:t>本项目聚羧酸减水剂母液减水型和保坍型共线生产，高性能聚羧酸减水剂标准型、缓凝型、早强型共线生产，乳化油型脱模剂和水乳型脱模剂生产相互独立</w:t>
      </w:r>
      <w:r>
        <w:rPr>
          <w:rFonts w:hint="eastAsia"/>
          <w:color w:val="auto"/>
          <w:sz w:val="24"/>
          <w:szCs w:val="24"/>
          <w:highlight w:val="none"/>
          <w:lang w:val="en-US" w:eastAsia="zh-CN"/>
        </w:rPr>
        <w:t>。共线生产的产品类别更换时，不需对生产设备、物料输送管道进行清洗</w:t>
      </w:r>
      <w:r>
        <w:rPr>
          <w:rFonts w:hint="eastAsia" w:ascii="Times New Roman" w:hAnsi="Times New Roman"/>
          <w:color w:val="auto"/>
          <w:sz w:val="24"/>
          <w:szCs w:val="24"/>
          <w:highlight w:val="none"/>
          <w:lang w:val="en-US" w:eastAsia="zh-CN"/>
        </w:rPr>
        <w:t>，不会对产品质量产生影响。</w:t>
      </w:r>
    </w:p>
    <w:p w14:paraId="121F360D">
      <w:pPr>
        <w:ind w:left="0" w:leftChars="0" w:firstLine="480" w:firstLineChars="200"/>
        <w:rPr>
          <w:rFonts w:hint="eastAsia"/>
          <w:color w:val="auto"/>
          <w:highlight w:val="none"/>
          <w:lang w:val="en-US" w:eastAsia="zh-CN"/>
        </w:rPr>
      </w:pPr>
      <w:r>
        <w:rPr>
          <w:rFonts w:hint="eastAsia"/>
          <w:color w:val="auto"/>
          <w:highlight w:val="none"/>
          <w:lang w:val="en-US" w:eastAsia="zh-CN"/>
        </w:rPr>
        <w:t>本项目除</w:t>
      </w:r>
      <w:r>
        <w:rPr>
          <w:rFonts w:hint="eastAsia" w:cs="Times New Roman"/>
          <w:color w:val="auto"/>
          <w:sz w:val="24"/>
          <w:szCs w:val="24"/>
          <w:highlight w:val="none"/>
          <w:lang w:val="en-US" w:eastAsia="zh-CN"/>
        </w:rPr>
        <w:t>固态原料采用人工投料外（投料完成后，关闭罐体上方投料孔），</w:t>
      </w:r>
      <w:r>
        <w:rPr>
          <w:rFonts w:hint="eastAsia"/>
          <w:color w:val="auto"/>
          <w:highlight w:val="none"/>
          <w:lang w:val="en-US" w:eastAsia="zh-CN"/>
        </w:rPr>
        <w:t>生产全流程采用密闭管道输送，其中：液态原料入厂后暂存于罐区或仓库内，罐区内液态原料使用时采用输送泵经计量后自动添加；仓库内桶装原料使用时经叉车转运至生产车间，将包装桶下方的出料口与</w:t>
      </w:r>
      <w:r>
        <w:rPr>
          <w:rFonts w:hint="eastAsia" w:ascii="Times New Roman" w:hAnsi="Times New Roman" w:eastAsia="宋体" w:cs="Times New Roman"/>
          <w:color w:val="auto"/>
          <w:sz w:val="24"/>
          <w:szCs w:val="24"/>
          <w:highlight w:val="none"/>
          <w:lang w:val="en-US" w:eastAsia="zh-CN"/>
        </w:rPr>
        <w:t>气动</w:t>
      </w:r>
      <w:r>
        <w:rPr>
          <w:rFonts w:hint="eastAsia"/>
          <w:color w:val="auto"/>
          <w:highlight w:val="none"/>
          <w:lang w:val="en-US" w:eastAsia="zh-CN"/>
        </w:rPr>
        <w:t>泵</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带计量功能</w:t>
      </w:r>
      <w:r>
        <w:rPr>
          <w:rFonts w:hint="eastAsia" w:ascii="Times New Roman" w:hAnsi="Times New Roman" w:eastAsia="宋体" w:cs="Times New Roman"/>
          <w:color w:val="auto"/>
          <w:sz w:val="24"/>
          <w:szCs w:val="24"/>
          <w:highlight w:val="none"/>
          <w:lang w:val="en-US" w:eastAsia="zh-CN"/>
        </w:rPr>
        <w:t>）</w:t>
      </w:r>
      <w:r>
        <w:rPr>
          <w:rFonts w:hint="eastAsia"/>
          <w:color w:val="auto"/>
          <w:highlight w:val="none"/>
          <w:lang w:val="en-US" w:eastAsia="zh-CN"/>
        </w:rPr>
        <w:t>连接，</w:t>
      </w:r>
      <w:r>
        <w:rPr>
          <w:rFonts w:hint="eastAsia" w:ascii="Times New Roman" w:hAnsi="Times New Roman" w:eastAsia="宋体" w:cs="Times New Roman"/>
          <w:color w:val="auto"/>
          <w:sz w:val="24"/>
          <w:szCs w:val="24"/>
          <w:highlight w:val="none"/>
          <w:lang w:val="en-US" w:eastAsia="zh-CN"/>
        </w:rPr>
        <w:t>并打开出料口的阀门，</w:t>
      </w:r>
      <w:r>
        <w:rPr>
          <w:rFonts w:hint="eastAsia"/>
          <w:color w:val="auto"/>
          <w:highlight w:val="none"/>
          <w:lang w:val="en-US" w:eastAsia="zh-CN"/>
        </w:rPr>
        <w:t>原料经泵吸入，整个过程无需开盖</w:t>
      </w:r>
      <w:r>
        <w:rPr>
          <w:rFonts w:hint="eastAsia" w:cs="Times New Roman"/>
          <w:color w:val="auto"/>
          <w:sz w:val="24"/>
          <w:szCs w:val="24"/>
          <w:highlight w:val="none"/>
          <w:lang w:val="en-US" w:eastAsia="zh-CN"/>
        </w:rPr>
        <w:t>。本项目生产过程中，所有生产设备均为密闭设备，罐体或阀体上方设排气阀，用于物料进入设备时气体排出和反应过程气体排出。</w:t>
      </w:r>
    </w:p>
    <w:p w14:paraId="5173AB43">
      <w:pPr>
        <w:ind w:left="0" w:leftChars="0" w:firstLine="480" w:firstLineChars="200"/>
        <w:rPr>
          <w:rFonts w:hint="eastAsia"/>
          <w:color w:val="auto"/>
          <w:highlight w:val="none"/>
          <w:lang w:val="en-US" w:eastAsia="zh-CN"/>
        </w:rPr>
      </w:pPr>
      <w:r>
        <w:rPr>
          <w:rFonts w:hint="eastAsia"/>
          <w:color w:val="auto"/>
          <w:highlight w:val="none"/>
          <w:lang w:val="en-US" w:eastAsia="zh-CN"/>
        </w:rPr>
        <w:t>本项目产品均为液态，其中聚羧酸减水剂母液和无碱速凝剂产出后通过密闭管道输送至罐区设置的产品罐暂存，最终经密闭装车泵直接泵入密闭罐车外运；高性能聚羧酸减水剂产出后直接外运，不在厂区暂存，仅设1个不合格品备用储罐；乳化型脱模剂产出后采用灌装泵泵入包装桶，通过叉车转运至仓库暂存，最终经厢式货车外运。</w:t>
      </w:r>
    </w:p>
    <w:p w14:paraId="40DE1581">
      <w:pPr>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default"/>
          <w:color w:val="auto"/>
          <w:kern w:val="0"/>
          <w:sz w:val="24"/>
          <w:highlight w:val="none"/>
          <w:lang w:val="en-US" w:eastAsia="zh-CN"/>
        </w:rPr>
      </w:pPr>
      <w:r>
        <w:rPr>
          <w:rFonts w:hint="eastAsia"/>
          <w:color w:val="auto"/>
          <w:lang w:val="en-US" w:eastAsia="zh-CN"/>
        </w:rPr>
        <w:t>略。</w:t>
      </w:r>
    </w:p>
    <w:p w14:paraId="0E5C4953">
      <w:pPr>
        <w:pStyle w:val="5"/>
        <w:bidi w:val="0"/>
        <w:rPr>
          <w:rFonts w:hint="default"/>
          <w:color w:val="auto"/>
          <w:highlight w:val="none"/>
          <w:lang w:val="en-US" w:eastAsia="zh-CN"/>
        </w:rPr>
      </w:pPr>
      <w:r>
        <w:rPr>
          <w:rFonts w:hint="eastAsia" w:eastAsia="黑体" w:cs="Times New Roman"/>
          <w:caps w:val="0"/>
          <w:smallCaps w:val="0"/>
          <w:color w:val="auto"/>
          <w:sz w:val="21"/>
          <w:szCs w:val="21"/>
          <w:highlight w:val="none"/>
          <w:lang w:val="en-US" w:eastAsia="zh-CN"/>
        </w:rPr>
        <w:t xml:space="preserve"> </w:t>
      </w:r>
      <w:r>
        <w:rPr>
          <w:rFonts w:hint="eastAsia"/>
          <w:color w:val="auto"/>
          <w:highlight w:val="none"/>
          <w:lang w:val="en-US" w:eastAsia="zh-CN"/>
        </w:rPr>
        <w:t>产污分析</w:t>
      </w:r>
    </w:p>
    <w:p w14:paraId="1F97B10C">
      <w:pPr>
        <w:spacing w:line="360" w:lineRule="auto"/>
        <w:ind w:left="0" w:lef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w:t>
      </w:r>
      <w:r>
        <w:rPr>
          <w:rFonts w:hint="eastAsia" w:ascii="Times New Roman" w:hAnsi="Times New Roman" w:eastAsia="宋体" w:cs="Times New Roman"/>
          <w:color w:val="auto"/>
          <w:sz w:val="24"/>
          <w:szCs w:val="24"/>
          <w:highlight w:val="none"/>
          <w:lang w:val="en-US" w:eastAsia="zh-CN"/>
        </w:rPr>
        <w:t>运营期</w:t>
      </w:r>
      <w:r>
        <w:rPr>
          <w:rFonts w:hint="default" w:ascii="Times New Roman" w:hAnsi="Times New Roman" w:eastAsia="宋体" w:cs="Times New Roman"/>
          <w:color w:val="auto"/>
          <w:sz w:val="24"/>
          <w:szCs w:val="24"/>
          <w:highlight w:val="none"/>
          <w:lang w:val="en-US" w:eastAsia="zh-CN"/>
        </w:rPr>
        <w:t>主要污染物为废气、废水、噪声和固体废弃物。</w:t>
      </w:r>
    </w:p>
    <w:p w14:paraId="66DEB401">
      <w:pPr>
        <w:pStyle w:val="26"/>
        <w:bidi w:val="0"/>
        <w:rPr>
          <w:rFonts w:hint="default"/>
          <w:color w:val="auto"/>
          <w:highlight w:val="none"/>
          <w:lang w:val="en-US" w:eastAsia="zh-CN"/>
        </w:rPr>
      </w:pPr>
      <w:r>
        <w:rPr>
          <w:rFonts w:hint="default"/>
          <w:color w:val="auto"/>
          <w:highlight w:val="none"/>
          <w:lang w:val="en-US" w:eastAsia="zh-CN"/>
        </w:rPr>
        <w:t>废气：</w:t>
      </w:r>
      <w:r>
        <w:rPr>
          <w:rFonts w:hint="eastAsia"/>
          <w:color w:val="auto"/>
          <w:highlight w:val="none"/>
          <w:lang w:val="en-US" w:eastAsia="zh-CN"/>
        </w:rPr>
        <w:t>工艺废气（</w:t>
      </w:r>
      <w:r>
        <w:rPr>
          <w:rFonts w:hint="eastAsia" w:ascii="Times New Roman" w:hAnsi="Times New Roman" w:eastAsia="宋体" w:cs="Times New Roman"/>
          <w:color w:val="auto"/>
          <w:highlight w:val="none"/>
          <w:lang w:val="en-US" w:eastAsia="zh-CN"/>
        </w:rPr>
        <w:t>包括</w:t>
      </w:r>
      <w:r>
        <w:rPr>
          <w:rFonts w:hint="eastAsia" w:cs="Courier New"/>
          <w:b w:val="0"/>
          <w:color w:val="auto"/>
          <w:highlight w:val="none"/>
          <w:lang w:val="en-US" w:eastAsia="zh-CN"/>
        </w:rPr>
        <w:t>投料粉尘</w:t>
      </w:r>
      <w:r>
        <w:rPr>
          <w:rFonts w:hint="eastAsia"/>
          <w:color w:val="auto"/>
          <w:highlight w:val="none"/>
          <w:lang w:val="en-US" w:eastAsia="zh-CN"/>
        </w:rPr>
        <w:t>、罐区呼吸废气、生产废气）、</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w:t>
      </w:r>
      <w:r>
        <w:rPr>
          <w:rFonts w:hint="eastAsia"/>
          <w:color w:val="auto"/>
          <w:highlight w:val="none"/>
          <w:lang w:val="en-US" w:eastAsia="zh-CN"/>
        </w:rPr>
        <w:t>、</w:t>
      </w:r>
      <w:r>
        <w:rPr>
          <w:rFonts w:hint="eastAsia" w:cs="Times New Roman"/>
          <w:b w:val="0"/>
          <w:bCs w:val="0"/>
          <w:color w:val="auto"/>
          <w:highlight w:val="none"/>
          <w:lang w:val="en-US" w:eastAsia="zh-CN"/>
        </w:rPr>
        <w:t>危废暂存间</w:t>
      </w:r>
      <w:r>
        <w:rPr>
          <w:rFonts w:hint="eastAsia"/>
          <w:color w:val="auto"/>
          <w:highlight w:val="none"/>
          <w:lang w:val="en-US" w:eastAsia="zh-CN"/>
        </w:rPr>
        <w:t>废气</w:t>
      </w:r>
      <w:r>
        <w:rPr>
          <w:rFonts w:hint="default"/>
          <w:color w:val="auto"/>
          <w:highlight w:val="none"/>
          <w:lang w:val="en-US" w:eastAsia="zh-CN"/>
        </w:rPr>
        <w:t>。</w:t>
      </w:r>
    </w:p>
    <w:p w14:paraId="30FB35E8">
      <w:pPr>
        <w:pStyle w:val="26"/>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废水：</w:t>
      </w:r>
      <w:r>
        <w:rPr>
          <w:rFonts w:hint="eastAsia"/>
          <w:color w:val="auto"/>
          <w:highlight w:val="none"/>
          <w:lang w:val="en-US" w:eastAsia="zh-CN"/>
        </w:rPr>
        <w:t>其余器皿三次后清洗废水、车间地面清洁废水、反冲洗废水、循环排污水、喷淋废水、生活污水和初期雨水</w:t>
      </w:r>
      <w:r>
        <w:rPr>
          <w:rFonts w:hint="eastAsia"/>
          <w:bCs/>
          <w:color w:val="auto"/>
          <w:sz w:val="24"/>
          <w:szCs w:val="24"/>
          <w:highlight w:val="none"/>
          <w:lang w:val="en-US" w:eastAsia="zh-CN"/>
        </w:rPr>
        <w:t>。</w:t>
      </w:r>
    </w:p>
    <w:p w14:paraId="4CFC87FB">
      <w:pPr>
        <w:pStyle w:val="26"/>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噪声：</w:t>
      </w:r>
      <w:r>
        <w:rPr>
          <w:rFonts w:hint="eastAsia"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lang w:val="en-US" w:eastAsia="zh-CN"/>
        </w:rPr>
        <w:t>设备运行噪声、各类泵机及风机等辅助设备运行噪声。</w:t>
      </w:r>
    </w:p>
    <w:p w14:paraId="524554EB">
      <w:pPr>
        <w:pStyle w:val="26"/>
        <w:bidi w:val="0"/>
        <w:rPr>
          <w:rFonts w:hint="default"/>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固体废物：</w:t>
      </w:r>
      <w:r>
        <w:rPr>
          <w:rFonts w:hint="eastAsia"/>
          <w:color w:val="auto"/>
          <w:lang w:val="en-US" w:eastAsia="zh-CN"/>
        </w:rPr>
        <w:t>废离子交换树脂、未沾染化学品的废包装材料、生活垃圾、预处理池污泥及沉淀池沉渣等一般固废和沾染化学品的废包装材料、质检废液、剩余检验样品</w:t>
      </w:r>
      <w:r>
        <w:rPr>
          <w:rFonts w:hint="default"/>
          <w:color w:val="auto"/>
          <w:lang w:val="en-US" w:eastAsia="zh-CN"/>
        </w:rPr>
        <w:t>、</w:t>
      </w:r>
      <w:r>
        <w:rPr>
          <w:rFonts w:hint="eastAsia"/>
          <w:color w:val="auto"/>
          <w:lang w:val="en-US" w:eastAsia="zh-CN"/>
        </w:rPr>
        <w:t>涉及磷及重金属器皿清洗废水、喷淋废渣、废过滤棉、废活性炭、废润滑油、废油桶、含油废棉纱手套等危险废物</w:t>
      </w:r>
      <w:r>
        <w:rPr>
          <w:rFonts w:hint="default" w:ascii="Times New Roman" w:hAnsi="Times New Roman" w:eastAsia="宋体" w:cs="Times New Roman"/>
          <w:color w:val="auto"/>
          <w:sz w:val="24"/>
          <w:szCs w:val="24"/>
          <w:highlight w:val="none"/>
          <w:lang w:val="en-US" w:eastAsia="zh-CN"/>
        </w:rPr>
        <w:t>。</w:t>
      </w:r>
    </w:p>
    <w:p w14:paraId="3798BBA0">
      <w:pPr>
        <w:pStyle w:val="3"/>
        <w:bidi w:val="0"/>
        <w:rPr>
          <w:rFonts w:hint="default"/>
          <w:color w:val="auto"/>
          <w:highlight w:val="none"/>
        </w:rPr>
      </w:pPr>
      <w:bookmarkStart w:id="69" w:name="_Toc16048"/>
      <w:bookmarkStart w:id="70" w:name="_Toc1822"/>
      <w:bookmarkStart w:id="71" w:name="_Toc31632"/>
      <w:bookmarkStart w:id="72" w:name="_Toc30542"/>
      <w:r>
        <w:rPr>
          <w:rFonts w:hint="default"/>
          <w:color w:val="auto"/>
          <w:highlight w:val="none"/>
        </w:rPr>
        <w:t>污染源源强核算</w:t>
      </w:r>
      <w:bookmarkEnd w:id="69"/>
      <w:bookmarkEnd w:id="70"/>
      <w:bookmarkEnd w:id="71"/>
      <w:bookmarkEnd w:id="72"/>
    </w:p>
    <w:p w14:paraId="3CF706CD">
      <w:pPr>
        <w:pStyle w:val="4"/>
        <w:bidi w:val="0"/>
        <w:rPr>
          <w:rFonts w:hint="default"/>
          <w:color w:val="auto"/>
          <w:highlight w:val="none"/>
        </w:rPr>
      </w:pPr>
      <w:r>
        <w:rPr>
          <w:rFonts w:hint="default"/>
          <w:color w:val="auto"/>
          <w:highlight w:val="none"/>
          <w:lang w:val="en-US" w:eastAsia="zh-CN"/>
        </w:rPr>
        <w:t>物料平衡、水平衡</w:t>
      </w:r>
    </w:p>
    <w:p w14:paraId="19C52A14">
      <w:pPr>
        <w:pStyle w:val="5"/>
        <w:bidi w:val="0"/>
        <w:rPr>
          <w:rFonts w:hint="default"/>
          <w:color w:val="auto"/>
          <w:highlight w:val="none"/>
          <w:lang w:val="en-US" w:eastAsia="zh-CN"/>
        </w:rPr>
      </w:pPr>
      <w:r>
        <w:rPr>
          <w:rFonts w:hint="eastAsia"/>
          <w:color w:val="auto"/>
          <w:highlight w:val="none"/>
          <w:lang w:val="en-US" w:eastAsia="zh-CN"/>
        </w:rPr>
        <w:t>物料平衡</w:t>
      </w:r>
    </w:p>
    <w:p w14:paraId="78EC996D">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本项目物料平衡见下表。</w:t>
      </w:r>
    </w:p>
    <w:p w14:paraId="16AA910E">
      <w:pPr>
        <w:bidi w:val="0"/>
        <w:rPr>
          <w:rFonts w:hint="eastAsia" w:ascii="Times New Roman" w:hAnsi="Times New Roman" w:eastAsia="宋体" w:cs="Times New Roman"/>
          <w:color w:val="auto"/>
          <w:lang w:val="en-US" w:eastAsia="zh-CN"/>
        </w:rPr>
      </w:pPr>
      <w:r>
        <w:rPr>
          <w:rFonts w:hint="eastAsia"/>
          <w:color w:val="auto"/>
          <w:lang w:val="en-US" w:eastAsia="zh-CN"/>
        </w:rPr>
        <w:t>略。</w:t>
      </w:r>
    </w:p>
    <w:p w14:paraId="7DBF065B">
      <w:pPr>
        <w:pStyle w:val="5"/>
        <w:bidi w:val="0"/>
        <w:rPr>
          <w:rFonts w:hint="default"/>
          <w:color w:val="auto"/>
          <w:highlight w:val="none"/>
          <w:lang w:val="en-US" w:eastAsia="zh-CN"/>
        </w:rPr>
      </w:pPr>
      <w:r>
        <w:rPr>
          <w:rFonts w:hint="eastAsia"/>
          <w:color w:val="auto"/>
          <w:highlight w:val="none"/>
          <w:lang w:val="en-US" w:eastAsia="zh-CN"/>
        </w:rPr>
        <w:t>氟平衡</w:t>
      </w:r>
    </w:p>
    <w:p w14:paraId="330F9CA5">
      <w:pPr>
        <w:rPr>
          <w:rFonts w:hint="eastAsia"/>
          <w:color w:val="auto"/>
          <w:highlight w:val="none"/>
          <w:lang w:val="en-US" w:eastAsia="zh-CN"/>
        </w:rPr>
      </w:pPr>
      <w:r>
        <w:rPr>
          <w:rFonts w:hint="eastAsia"/>
          <w:color w:val="auto"/>
          <w:highlight w:val="none"/>
          <w:lang w:val="en-US" w:eastAsia="zh-CN"/>
        </w:rPr>
        <w:t>本项目氟平衡见下表。</w:t>
      </w:r>
    </w:p>
    <w:p w14:paraId="2673BF4C">
      <w:pPr>
        <w:rPr>
          <w:rFonts w:hint="eastAsia"/>
          <w:color w:val="auto"/>
          <w:highlight w:val="none"/>
          <w:lang w:val="en-US" w:eastAsia="zh-CN"/>
        </w:rPr>
      </w:pPr>
      <w:r>
        <w:rPr>
          <w:rFonts w:hint="eastAsia"/>
          <w:color w:val="auto"/>
          <w:lang w:val="en-US" w:eastAsia="zh-CN"/>
        </w:rPr>
        <w:t>略。</w:t>
      </w:r>
    </w:p>
    <w:p w14:paraId="4662B710">
      <w:pPr>
        <w:pStyle w:val="5"/>
        <w:bidi w:val="0"/>
        <w:rPr>
          <w:rFonts w:hint="default"/>
          <w:color w:val="auto"/>
          <w:highlight w:val="none"/>
          <w:lang w:val="en-US" w:eastAsia="zh-CN"/>
        </w:rPr>
      </w:pPr>
      <w:r>
        <w:rPr>
          <w:rFonts w:hint="eastAsia"/>
          <w:color w:val="auto"/>
          <w:highlight w:val="none"/>
          <w:lang w:val="en-US" w:eastAsia="zh-CN"/>
        </w:rPr>
        <w:t>磷平衡</w:t>
      </w:r>
    </w:p>
    <w:p w14:paraId="3D480790">
      <w:pPr>
        <w:rPr>
          <w:rFonts w:hint="eastAsia"/>
          <w:color w:val="auto"/>
          <w:highlight w:val="none"/>
          <w:lang w:val="en-US" w:eastAsia="zh-CN"/>
        </w:rPr>
      </w:pPr>
      <w:r>
        <w:rPr>
          <w:rFonts w:hint="eastAsia"/>
          <w:color w:val="auto"/>
          <w:highlight w:val="none"/>
          <w:lang w:val="en-US" w:eastAsia="zh-CN"/>
        </w:rPr>
        <w:t>本项目磷平衡见下表。</w:t>
      </w:r>
    </w:p>
    <w:p w14:paraId="7FDC12EC">
      <w:pPr>
        <w:rPr>
          <w:rFonts w:hint="eastAsia"/>
          <w:color w:val="auto"/>
          <w:highlight w:val="none"/>
          <w:lang w:val="en-US" w:eastAsia="zh-CN"/>
        </w:rPr>
      </w:pPr>
      <w:r>
        <w:rPr>
          <w:rFonts w:hint="eastAsia"/>
          <w:color w:val="auto"/>
          <w:lang w:val="en-US" w:eastAsia="zh-CN"/>
        </w:rPr>
        <w:t>略。</w:t>
      </w:r>
    </w:p>
    <w:p w14:paraId="4251B80F">
      <w:pPr>
        <w:pStyle w:val="5"/>
        <w:bidi w:val="0"/>
        <w:rPr>
          <w:rFonts w:hint="default"/>
          <w:color w:val="auto"/>
          <w:highlight w:val="none"/>
          <w:lang w:val="en-US" w:eastAsia="zh-CN"/>
        </w:rPr>
      </w:pPr>
      <w:r>
        <w:rPr>
          <w:rFonts w:hint="eastAsia"/>
          <w:color w:val="auto"/>
          <w:highlight w:val="none"/>
          <w:lang w:val="en-US" w:eastAsia="zh-CN"/>
        </w:rPr>
        <w:t>水平衡</w:t>
      </w:r>
    </w:p>
    <w:p w14:paraId="0FF7F081">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1、用水</w:t>
      </w:r>
    </w:p>
    <w:p w14:paraId="49995593">
      <w:pPr>
        <w:ind w:left="0" w:leftChars="0" w:firstLine="480" w:firstLineChars="200"/>
        <w:rPr>
          <w:rFonts w:hint="eastAsia"/>
          <w:color w:val="auto"/>
          <w:sz w:val="24"/>
          <w:szCs w:val="24"/>
          <w:highlight w:val="none"/>
          <w:lang w:val="en-US" w:eastAsia="zh-CN"/>
        </w:rPr>
      </w:pPr>
      <w:r>
        <w:rPr>
          <w:rFonts w:hint="eastAsia" w:ascii="Times New Roman" w:hAnsi="Times New Roman"/>
          <w:color w:val="auto"/>
          <w:sz w:val="24"/>
          <w:szCs w:val="24"/>
          <w:highlight w:val="none"/>
          <w:lang w:val="en-US" w:eastAsia="zh-CN"/>
        </w:rPr>
        <w:t>本项目聚羧酸减水剂母液减水型和保坍型共线生产，高性能聚羧酸减水剂标准型、缓凝型、早强型共线生产，乳化油型脱模剂和水乳型脱模剂生产相互独立</w:t>
      </w:r>
      <w:r>
        <w:rPr>
          <w:rFonts w:hint="eastAsia"/>
          <w:color w:val="auto"/>
          <w:sz w:val="24"/>
          <w:szCs w:val="24"/>
          <w:highlight w:val="none"/>
          <w:lang w:val="en-US" w:eastAsia="zh-CN"/>
        </w:rPr>
        <w:t>。共线生产的产品类别更换时，不需对生产设备、物料输送管道进行清洗</w:t>
      </w:r>
      <w:r>
        <w:rPr>
          <w:rFonts w:hint="eastAsia" w:ascii="Times New Roman" w:hAnsi="Times New Roman"/>
          <w:color w:val="auto"/>
          <w:sz w:val="24"/>
          <w:szCs w:val="24"/>
          <w:highlight w:val="none"/>
          <w:lang w:val="en-US" w:eastAsia="zh-CN"/>
        </w:rPr>
        <w:t>，运营期用水为</w:t>
      </w:r>
      <w:r>
        <w:rPr>
          <w:rFonts w:hint="eastAsia"/>
          <w:color w:val="auto"/>
          <w:sz w:val="24"/>
          <w:szCs w:val="24"/>
          <w:highlight w:val="none"/>
          <w:lang w:val="en-US" w:eastAsia="zh-CN"/>
        </w:rPr>
        <w:t>生产用水、蒸汽用水、</w:t>
      </w:r>
      <w:r>
        <w:rPr>
          <w:rFonts w:hint="eastAsia" w:ascii="Times New Roman" w:hAnsi="Times New Roman"/>
          <w:color w:val="auto"/>
          <w:sz w:val="24"/>
          <w:szCs w:val="24"/>
          <w:highlight w:val="none"/>
          <w:lang w:val="en-US" w:eastAsia="zh-CN"/>
        </w:rPr>
        <w:t>质检室用水、车间地面</w:t>
      </w:r>
      <w:r>
        <w:rPr>
          <w:rFonts w:hint="eastAsia"/>
          <w:color w:val="auto"/>
          <w:sz w:val="24"/>
          <w:szCs w:val="24"/>
          <w:highlight w:val="none"/>
          <w:lang w:val="en-US" w:eastAsia="zh-CN"/>
        </w:rPr>
        <w:t>清洁</w:t>
      </w:r>
      <w:r>
        <w:rPr>
          <w:rFonts w:hint="eastAsia" w:ascii="Times New Roman" w:hAnsi="Times New Roman"/>
          <w:color w:val="auto"/>
          <w:sz w:val="24"/>
          <w:szCs w:val="24"/>
          <w:highlight w:val="none"/>
          <w:lang w:val="en-US" w:eastAsia="zh-CN"/>
        </w:rPr>
        <w:t>用水、</w:t>
      </w:r>
      <w:r>
        <w:rPr>
          <w:rFonts w:hint="eastAsia"/>
          <w:color w:val="auto"/>
          <w:sz w:val="24"/>
          <w:szCs w:val="24"/>
          <w:highlight w:val="none"/>
          <w:lang w:val="en-US" w:eastAsia="zh-CN"/>
        </w:rPr>
        <w:t>软水</w:t>
      </w:r>
      <w:r>
        <w:rPr>
          <w:rFonts w:hint="eastAsia" w:ascii="Times New Roman" w:hAnsi="Times New Roman"/>
          <w:color w:val="auto"/>
          <w:sz w:val="24"/>
          <w:szCs w:val="24"/>
          <w:highlight w:val="none"/>
          <w:lang w:val="en-US" w:eastAsia="zh-CN"/>
        </w:rPr>
        <w:t>制备用水、</w:t>
      </w:r>
      <w:r>
        <w:rPr>
          <w:rFonts w:hint="eastAsia"/>
          <w:color w:val="auto"/>
          <w:sz w:val="24"/>
          <w:szCs w:val="24"/>
          <w:highlight w:val="none"/>
          <w:lang w:val="en-US" w:eastAsia="zh-CN"/>
        </w:rPr>
        <w:t>冷冻水机组</w:t>
      </w:r>
      <w:r>
        <w:rPr>
          <w:rFonts w:hint="eastAsia" w:ascii="Times New Roman" w:hAnsi="Times New Roman"/>
          <w:color w:val="auto"/>
          <w:sz w:val="24"/>
          <w:szCs w:val="24"/>
          <w:highlight w:val="none"/>
          <w:lang w:val="en-US" w:eastAsia="zh-CN"/>
        </w:rPr>
        <w:t>补水、喷淋用水</w:t>
      </w:r>
      <w:r>
        <w:rPr>
          <w:rFonts w:hint="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生活用水</w:t>
      </w:r>
      <w:r>
        <w:rPr>
          <w:rFonts w:hint="eastAsia"/>
          <w:color w:val="auto"/>
          <w:sz w:val="24"/>
          <w:szCs w:val="24"/>
          <w:highlight w:val="none"/>
          <w:lang w:val="en-US" w:eastAsia="zh-CN"/>
        </w:rPr>
        <w:t>。</w:t>
      </w:r>
    </w:p>
    <w:p w14:paraId="0FE88977">
      <w:pPr>
        <w:spacing w:line="360" w:lineRule="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（1）生产用水</w:t>
      </w:r>
    </w:p>
    <w:p w14:paraId="745460F0">
      <w:pPr>
        <w:ind w:left="0" w:leftChars="0" w:firstLine="480" w:firstLineChars="200"/>
        <w:rPr>
          <w:rFonts w:hint="eastAsia" w:ascii="Times New Roman" w:hAnsi="Times New Roman" w:eastAsia="宋体" w:cs="Times New Roman"/>
          <w:color w:val="auto"/>
          <w:sz w:val="24"/>
          <w:szCs w:val="24"/>
          <w:vertAlign w:val="baseline"/>
          <w:lang w:val="en-US" w:eastAsia="zh-CN"/>
        </w:rPr>
      </w:pPr>
      <w:r>
        <w:rPr>
          <w:rFonts w:hint="eastAsia" w:cs="Times New Roman"/>
          <w:color w:val="auto"/>
          <w:sz w:val="24"/>
          <w:szCs w:val="24"/>
          <w:lang w:val="en-US" w:eastAsia="zh-CN"/>
        </w:rPr>
        <w:t>本项目生产用水为产品配方用水，</w:t>
      </w:r>
      <w:r>
        <w:rPr>
          <w:rFonts w:hint="eastAsia"/>
          <w:color w:val="auto"/>
          <w:sz w:val="24"/>
          <w:szCs w:val="24"/>
          <w:highlight w:val="none"/>
          <w:lang w:val="en-US" w:eastAsia="zh-CN"/>
        </w:rPr>
        <w:t>其中聚羧酸减水剂母液、无碱速凝剂和乳化型脱模剂生产用水采用去离子水，高性能聚羧酸减水剂生产用水采用自来水及回用水</w:t>
      </w:r>
      <w:r>
        <w:rPr>
          <w:rFonts w:hint="eastAsia" w:cs="Times New Roman"/>
          <w:color w:val="auto"/>
          <w:sz w:val="24"/>
          <w:szCs w:val="24"/>
          <w:lang w:val="en-US" w:eastAsia="zh-CN"/>
        </w:rPr>
        <w:t>。根据项目产品配方，本项目生产用水量为29453.5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a（日最大用水量为111.09</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d），其中：去离子水用量为17211.</w:t>
      </w:r>
      <w:r>
        <w:rPr>
          <w:rFonts w:hint="eastAsia" w:cs="Times New Roman"/>
          <w:color w:val="auto"/>
          <w:sz w:val="24"/>
          <w:szCs w:val="24"/>
          <w:highlight w:val="none"/>
          <w:vertAlign w:val="baseline"/>
          <w:lang w:val="en-US" w:eastAsia="zh-CN"/>
        </w:rPr>
        <w:t>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a、自来水用量为11406.26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a、回用水量为835.74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w:t>
      </w:r>
      <w:r>
        <w:rPr>
          <w:rFonts w:hint="eastAsia" w:ascii="Times New Roman" w:hAnsi="Times New Roman" w:eastAsia="宋体" w:cs="Times New Roman"/>
          <w:color w:val="auto"/>
          <w:sz w:val="24"/>
          <w:szCs w:val="24"/>
          <w:highlight w:val="none"/>
          <w:vertAlign w:val="baseline"/>
          <w:lang w:val="en-US" w:eastAsia="zh-CN"/>
        </w:rPr>
        <w:t>。</w:t>
      </w:r>
    </w:p>
    <w:p w14:paraId="0BDA6BA1">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（2）蒸汽用水</w:t>
      </w:r>
    </w:p>
    <w:p w14:paraId="008AC154">
      <w:pPr>
        <w:ind w:left="0" w:leftChars="0" w:firstLine="480" w:firstLineChars="200"/>
        <w:rPr>
          <w:rFonts w:hint="eastAsia" w:cs="Times New Roman"/>
          <w:color w:val="auto"/>
          <w:sz w:val="24"/>
          <w:szCs w:val="24"/>
          <w:vertAlign w:val="baseline"/>
          <w:lang w:val="en-US" w:eastAsia="zh-CN"/>
        </w:rPr>
      </w:pPr>
      <w:r>
        <w:rPr>
          <w:rFonts w:hint="eastAsia"/>
          <w:b w:val="0"/>
          <w:bCs/>
          <w:color w:val="auto"/>
          <w:highlight w:val="none"/>
          <w:lang w:val="en-US" w:eastAsia="zh-CN"/>
        </w:rPr>
        <w:t>本项目设1台电蒸汽发生器，采用自来水制备蒸汽用于无碱速凝剂生产过程中反应升温，蒸汽额定制备量为0.5t/h。</w:t>
      </w:r>
      <w:r>
        <w:rPr>
          <w:rFonts w:hint="default" w:ascii="Times New Roman" w:hAnsi="Times New Roman" w:eastAsia="宋体" w:cs="Times New Roman"/>
          <w:color w:val="auto"/>
          <w:sz w:val="24"/>
          <w:szCs w:val="24"/>
        </w:rPr>
        <w:t>根据建设单位提供的资料，</w:t>
      </w:r>
      <w:r>
        <w:rPr>
          <w:rFonts w:hint="eastAsia" w:cs="Times New Roman"/>
          <w:color w:val="auto"/>
          <w:sz w:val="24"/>
          <w:szCs w:val="24"/>
          <w:lang w:val="en-US" w:eastAsia="zh-CN"/>
        </w:rPr>
        <w:t>本项目电蒸汽发生器使用时间为4h/d，蒸汽用水</w:t>
      </w:r>
      <w:r>
        <w:rPr>
          <w:rFonts w:hint="eastAsia"/>
          <w:color w:val="auto"/>
          <w:highlight w:val="none"/>
          <w:lang w:val="en-US" w:eastAsia="zh-CN"/>
        </w:rPr>
        <w:t>冷凝后循环使用，</w:t>
      </w:r>
      <w:r>
        <w:rPr>
          <w:rFonts w:hint="eastAsia" w:ascii="Times New Roman" w:hAnsi="Times New Roman" w:eastAsia="宋体" w:cs="Times New Roman"/>
          <w:color w:val="auto"/>
          <w:sz w:val="24"/>
          <w:szCs w:val="24"/>
          <w:lang w:val="en-US" w:eastAsia="zh-CN"/>
        </w:rPr>
        <w:t>每天补充损耗，损耗量为</w:t>
      </w:r>
      <w:r>
        <w:rPr>
          <w:rFonts w:hint="eastAsia" w:cs="Times New Roman"/>
          <w:color w:val="auto"/>
          <w:sz w:val="24"/>
          <w:szCs w:val="24"/>
          <w:lang w:val="en-US" w:eastAsia="zh-CN"/>
        </w:rPr>
        <w:t>10</w:t>
      </w:r>
      <w:r>
        <w:rPr>
          <w:rFonts w:hint="eastAsia" w:ascii="Times New Roman" w:hAnsi="Times New Roman" w:eastAsia="宋体" w:cs="Times New Roman"/>
          <w:color w:val="auto"/>
          <w:sz w:val="24"/>
          <w:szCs w:val="24"/>
          <w:lang w:val="en-US" w:eastAsia="zh-CN"/>
        </w:rPr>
        <w:t>%，则</w:t>
      </w:r>
      <w:r>
        <w:rPr>
          <w:rFonts w:hint="eastAsia" w:cs="Times New Roman"/>
          <w:color w:val="auto"/>
          <w:sz w:val="24"/>
          <w:szCs w:val="24"/>
          <w:lang w:val="en-US" w:eastAsia="zh-CN"/>
        </w:rPr>
        <w:t>本项目蒸汽用水量为0.2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07E31F57">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（3）质检室用水</w:t>
      </w:r>
    </w:p>
    <w:p w14:paraId="37A1ECAF">
      <w:pPr>
        <w:ind w:left="0" w:leftChars="0" w:firstLine="480" w:firstLineChars="200"/>
        <w:rPr>
          <w:rFonts w:hint="default" w:cs="Times New Roman"/>
          <w:color w:val="auto"/>
          <w:sz w:val="24"/>
          <w:szCs w:val="24"/>
          <w:vertAlign w:val="baseline"/>
          <w:lang w:val="en-US" w:eastAsia="zh-CN"/>
        </w:rPr>
      </w:pPr>
      <w:r>
        <w:rPr>
          <w:rFonts w:hint="eastAsia" w:cs="Times New Roman"/>
          <w:color w:val="auto"/>
          <w:sz w:val="24"/>
          <w:szCs w:val="24"/>
          <w:vertAlign w:val="baseline"/>
          <w:lang w:val="en-US" w:eastAsia="zh-CN"/>
        </w:rPr>
        <w:t>本项目质检</w:t>
      </w:r>
      <w:r>
        <w:rPr>
          <w:rFonts w:hint="eastAsia" w:ascii="Times New Roman" w:hAnsi="Times New Roman"/>
          <w:color w:val="auto"/>
          <w:sz w:val="24"/>
          <w:szCs w:val="24"/>
          <w:highlight w:val="none"/>
          <w:lang w:val="en-US" w:eastAsia="zh-CN"/>
        </w:rPr>
        <w:t>用水主要为检验过程用水</w:t>
      </w:r>
      <w:r>
        <w:rPr>
          <w:rFonts w:hint="eastAsia"/>
          <w:color w:val="auto"/>
          <w:sz w:val="24"/>
          <w:szCs w:val="24"/>
          <w:highlight w:val="none"/>
          <w:lang w:val="en-US" w:eastAsia="zh-CN"/>
        </w:rPr>
        <w:t>和</w:t>
      </w:r>
      <w:r>
        <w:rPr>
          <w:rFonts w:hint="eastAsia" w:ascii="Times New Roman" w:hAnsi="Times New Roman"/>
          <w:color w:val="auto"/>
          <w:sz w:val="24"/>
          <w:szCs w:val="24"/>
          <w:highlight w:val="none"/>
          <w:lang w:val="en-US" w:eastAsia="zh-CN"/>
        </w:rPr>
        <w:t>器皿清洗用水，采用</w:t>
      </w:r>
      <w:r>
        <w:rPr>
          <w:rFonts w:hint="eastAsia"/>
          <w:color w:val="auto"/>
          <w:sz w:val="24"/>
          <w:szCs w:val="24"/>
          <w:highlight w:val="none"/>
          <w:lang w:val="en-US" w:eastAsia="zh-CN"/>
        </w:rPr>
        <w:t>蒸馏水</w:t>
      </w:r>
      <w:r>
        <w:rPr>
          <w:rFonts w:hint="eastAsia" w:ascii="Times New Roman" w:hAnsi="Times New Roman"/>
          <w:color w:val="auto"/>
          <w:sz w:val="24"/>
          <w:szCs w:val="24"/>
          <w:highlight w:val="none"/>
          <w:lang w:val="en-US" w:eastAsia="zh-CN"/>
        </w:rPr>
        <w:t>和自来水</w:t>
      </w:r>
      <w:r>
        <w:rPr>
          <w:rFonts w:hint="eastAsia"/>
          <w:color w:val="auto"/>
          <w:sz w:val="24"/>
          <w:szCs w:val="24"/>
          <w:highlight w:val="none"/>
          <w:lang w:val="en-US" w:eastAsia="zh-CN"/>
        </w:rPr>
        <w:t>，其中蒸馏水外购，用量为0.75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eastAsia" w:ascii="Times New Roman" w:hAnsi="Times New Roman"/>
          <w:color w:val="auto"/>
          <w:sz w:val="24"/>
          <w:szCs w:val="24"/>
          <w:highlight w:val="none"/>
          <w:lang w:val="en-US" w:eastAsia="zh-CN"/>
        </w:rPr>
        <w:t>。</w:t>
      </w:r>
      <w:r>
        <w:rPr>
          <w:rFonts w:hint="default" w:ascii="Times New Roman" w:hAnsi="Times New Roman" w:eastAsia="宋体" w:cs="Times New Roman"/>
          <w:color w:val="auto"/>
          <w:sz w:val="24"/>
          <w:szCs w:val="24"/>
        </w:rPr>
        <w:t>根据建设单位提供的资料，本项目</w:t>
      </w:r>
      <w:r>
        <w:rPr>
          <w:rFonts w:hint="eastAsia" w:ascii="Times New Roman" w:hAnsi="Times New Roman" w:eastAsia="宋体" w:cs="Times New Roman"/>
          <w:color w:val="auto"/>
          <w:sz w:val="24"/>
          <w:szCs w:val="24"/>
          <w:lang w:val="en-US" w:eastAsia="zh-CN"/>
        </w:rPr>
        <w:t>质检室</w:t>
      </w:r>
      <w:r>
        <w:rPr>
          <w:rFonts w:hint="eastAsia" w:cs="Times New Roman"/>
          <w:color w:val="auto"/>
          <w:sz w:val="24"/>
          <w:szCs w:val="24"/>
          <w:lang w:val="en-US" w:eastAsia="zh-CN"/>
        </w:rPr>
        <w:t>自来水</w:t>
      </w:r>
      <w:r>
        <w:rPr>
          <w:rFonts w:hint="default" w:ascii="Times New Roman" w:hAnsi="Times New Roman" w:eastAsia="宋体" w:cs="Times New Roman"/>
          <w:color w:val="auto"/>
          <w:sz w:val="24"/>
          <w:szCs w:val="24"/>
        </w:rPr>
        <w:t>用</w:t>
      </w:r>
      <w:r>
        <w:rPr>
          <w:rFonts w:hint="eastAsia" w:cs="Times New Roman"/>
          <w:color w:val="auto"/>
          <w:sz w:val="24"/>
          <w:szCs w:val="24"/>
          <w:lang w:val="en-US" w:eastAsia="zh-CN"/>
        </w:rPr>
        <w:t>量为0.5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150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w:t>
      </w:r>
    </w:p>
    <w:p w14:paraId="7BD4E7DA">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（4）车间地面清洁用水</w:t>
      </w:r>
    </w:p>
    <w:p w14:paraId="04E59607">
      <w:pPr>
        <w:ind w:left="0" w:leftChars="0" w:firstLine="480" w:firstLineChars="200"/>
        <w:rPr>
          <w:rFonts w:hint="eastAsia" w:cs="Times New Roman"/>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本</w:t>
      </w:r>
      <w:r>
        <w:rPr>
          <w:rFonts w:hint="default" w:ascii="Times New Roman" w:hAnsi="Times New Roman" w:eastAsia="宋体" w:cs="Times New Roman"/>
          <w:color w:val="auto"/>
          <w:sz w:val="24"/>
          <w:szCs w:val="24"/>
        </w:rPr>
        <w:t>项目生产</w:t>
      </w:r>
      <w:r>
        <w:rPr>
          <w:rFonts w:hint="default" w:ascii="Times New Roman" w:hAnsi="Times New Roman" w:eastAsia="宋体" w:cs="Times New Roman"/>
          <w:color w:val="auto"/>
          <w:sz w:val="24"/>
          <w:szCs w:val="24"/>
          <w:lang w:val="en-US" w:eastAsia="zh-CN"/>
        </w:rPr>
        <w:t>车间地面</w:t>
      </w:r>
      <w:r>
        <w:rPr>
          <w:rFonts w:hint="eastAsia" w:cs="Times New Roman"/>
          <w:color w:val="auto"/>
          <w:sz w:val="24"/>
          <w:szCs w:val="24"/>
          <w:lang w:val="en-US" w:eastAsia="zh-CN"/>
        </w:rPr>
        <w:t>需每周进行清洁</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采用自来水。</w:t>
      </w:r>
      <w:r>
        <w:rPr>
          <w:rFonts w:hint="default" w:ascii="Times New Roman" w:hAnsi="Times New Roman" w:eastAsia="宋体" w:cs="Times New Roman"/>
          <w:color w:val="auto"/>
          <w:sz w:val="24"/>
          <w:szCs w:val="24"/>
        </w:rPr>
        <w:t>根据建设单位提供的资料，本项目</w:t>
      </w:r>
      <w:r>
        <w:rPr>
          <w:rFonts w:hint="default" w:ascii="Times New Roman" w:hAnsi="Times New Roman" w:eastAsia="宋体" w:cs="Times New Roman"/>
          <w:color w:val="auto"/>
          <w:sz w:val="24"/>
          <w:szCs w:val="24"/>
          <w:lang w:val="en-US" w:eastAsia="zh-CN"/>
        </w:rPr>
        <w:t>车间地面</w:t>
      </w:r>
      <w:r>
        <w:rPr>
          <w:rFonts w:hint="default" w:ascii="Times New Roman" w:hAnsi="Times New Roman" w:eastAsia="宋体" w:cs="Times New Roman"/>
          <w:color w:val="auto"/>
          <w:sz w:val="24"/>
          <w:szCs w:val="24"/>
        </w:rPr>
        <w:t>清洁用水</w:t>
      </w:r>
      <w:r>
        <w:rPr>
          <w:rFonts w:hint="eastAsia" w:cs="Times New Roman"/>
          <w:color w:val="auto"/>
          <w:sz w:val="24"/>
          <w:szCs w:val="24"/>
          <w:lang w:val="en-US" w:eastAsia="zh-CN"/>
        </w:rPr>
        <w:t>量为1</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次，</w:t>
      </w:r>
      <w:r>
        <w:rPr>
          <w:rFonts w:hint="eastAsia" w:cs="Times New Roman"/>
          <w:color w:val="auto"/>
          <w:sz w:val="24"/>
          <w:szCs w:val="24"/>
          <w:lang w:val="en-US" w:eastAsia="zh-CN"/>
        </w:rPr>
        <w:t>52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default" w:ascii="Times New Roman" w:hAnsi="Times New Roman" w:eastAsia="宋体" w:cs="Times New Roman"/>
          <w:color w:val="auto"/>
          <w:sz w:val="24"/>
          <w:szCs w:val="24"/>
          <w:lang w:val="en-US" w:eastAsia="zh-CN"/>
        </w:rPr>
        <w:t>。</w:t>
      </w:r>
    </w:p>
    <w:p w14:paraId="62B79251">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（5）软水制备用水</w:t>
      </w:r>
    </w:p>
    <w:p w14:paraId="51E2035F">
      <w:pPr>
        <w:ind w:left="0" w:leftChars="0" w:firstLine="480" w:firstLineChars="200"/>
        <w:rPr>
          <w:rFonts w:hint="default" w:cs="Times New Roman"/>
          <w:color w:val="auto"/>
          <w:sz w:val="24"/>
          <w:szCs w:val="24"/>
          <w:vertAlign w:val="baseline"/>
          <w:lang w:val="en-US" w:eastAsia="zh-CN"/>
        </w:rPr>
      </w:pPr>
      <w:r>
        <w:rPr>
          <w:rFonts w:hint="eastAsia" w:cs="Times New Roman"/>
          <w:bCs/>
          <w:color w:val="auto"/>
          <w:sz w:val="24"/>
          <w:highlight w:val="none"/>
          <w:lang w:val="en-US" w:eastAsia="zh-CN"/>
        </w:rPr>
        <w:t>本项目设</w:t>
      </w:r>
      <w:r>
        <w:rPr>
          <w:rFonts w:hint="eastAsia" w:cs="Times New Roman"/>
          <w:b w:val="0"/>
          <w:bCs w:val="0"/>
          <w:color w:val="auto"/>
          <w:highlight w:val="none"/>
          <w:lang w:val="en-US" w:eastAsia="zh-CN"/>
        </w:rPr>
        <w:t>1</w:t>
      </w:r>
      <w:r>
        <w:rPr>
          <w:rFonts w:hint="eastAsia" w:ascii="Times New Roman" w:hAnsi="Times New Roman" w:eastAsia="宋体" w:cs="Times New Roman"/>
          <w:b w:val="0"/>
          <w:bCs w:val="0"/>
          <w:color w:val="auto"/>
          <w:highlight w:val="none"/>
          <w:lang w:val="en-US" w:eastAsia="zh-CN"/>
        </w:rPr>
        <w:t>套</w:t>
      </w:r>
      <w:r>
        <w:rPr>
          <w:rFonts w:hint="eastAsia" w:cs="Times New Roman"/>
          <w:b w:val="0"/>
          <w:bCs w:val="0"/>
          <w:color w:val="auto"/>
          <w:highlight w:val="none"/>
          <w:lang w:val="en-US" w:eastAsia="zh-CN"/>
        </w:rPr>
        <w:t>软水机组</w:t>
      </w:r>
      <w:r>
        <w:rPr>
          <w:rFonts w:hint="eastAsia" w:ascii="Times New Roman" w:hAnsi="Times New Roman" w:eastAsia="宋体" w:cs="Times New Roman"/>
          <w:b w:val="0"/>
          <w:bCs w:val="0"/>
          <w:color w:val="auto"/>
          <w:highlight w:val="none"/>
          <w:lang w:val="en-US" w:eastAsia="zh-CN"/>
        </w:rPr>
        <w:t>，去离子水设计制备能力为5t/h</w:t>
      </w:r>
      <w:r>
        <w:rPr>
          <w:rFonts w:hint="eastAsia" w:cs="Times New Roman"/>
          <w:b w:val="0"/>
          <w:bCs w:val="0"/>
          <w:color w:val="auto"/>
          <w:highlight w:val="none"/>
          <w:lang w:val="en-US" w:eastAsia="zh-CN"/>
        </w:rPr>
        <w:t>，制备效率为98%。本项目</w:t>
      </w:r>
      <w:r>
        <w:rPr>
          <w:rFonts w:hint="eastAsia" w:cs="Times New Roman"/>
          <w:color w:val="auto"/>
          <w:sz w:val="24"/>
          <w:szCs w:val="24"/>
          <w:vertAlign w:val="baseline"/>
          <w:lang w:val="en-US" w:eastAsia="zh-CN"/>
        </w:rPr>
        <w:t>去离子水用量为17211.5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a，则软水制备用水量为58.54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d，17562.8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69E508BB">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（6）冷冻水机组补水</w:t>
      </w:r>
    </w:p>
    <w:p w14:paraId="61E6BBAC">
      <w:pPr>
        <w:ind w:left="0" w:leftChars="0" w:firstLine="480" w:firstLineChars="200"/>
        <w:rPr>
          <w:rFonts w:hint="eastAsia" w:cs="Times New Roman"/>
          <w:color w:val="auto"/>
          <w:sz w:val="24"/>
          <w:szCs w:val="24"/>
          <w:vertAlign w:val="baseline"/>
          <w:lang w:val="en-US" w:eastAsia="zh-CN"/>
        </w:rPr>
      </w:pPr>
      <w:r>
        <w:rPr>
          <w:rFonts w:hint="eastAsia" w:ascii="Times New Roman" w:hAnsi="Times New Roman" w:eastAsia="宋体" w:cs="Times New Roman"/>
          <w:color w:val="auto"/>
          <w:sz w:val="24"/>
          <w:szCs w:val="24"/>
          <w:lang w:val="en-US" w:eastAsia="zh-CN"/>
        </w:rPr>
        <w:t>本项目设</w:t>
      </w:r>
      <w:r>
        <w:rPr>
          <w:rFonts w:hint="eastAsia" w:cs="Times New Roman"/>
          <w:color w:val="auto"/>
          <w:sz w:val="24"/>
          <w:szCs w:val="24"/>
          <w:lang w:val="en-US" w:eastAsia="zh-CN"/>
        </w:rPr>
        <w:t>1套冷冻水机组</w:t>
      </w:r>
      <w:r>
        <w:rPr>
          <w:rFonts w:hint="eastAsia" w:ascii="Times New Roman" w:hAnsi="Times New Roman" w:eastAsia="宋体" w:cs="Times New Roman"/>
          <w:color w:val="auto"/>
          <w:sz w:val="24"/>
          <w:szCs w:val="24"/>
          <w:lang w:val="en-US" w:eastAsia="zh-CN"/>
        </w:rPr>
        <w:t>，用于部分产品</w:t>
      </w:r>
      <w:r>
        <w:rPr>
          <w:rFonts w:hint="eastAsia" w:cs="Times New Roman"/>
          <w:color w:val="auto"/>
          <w:sz w:val="24"/>
          <w:szCs w:val="24"/>
          <w:lang w:val="en-US" w:eastAsia="zh-CN"/>
        </w:rPr>
        <w:t>生产</w:t>
      </w:r>
      <w:r>
        <w:rPr>
          <w:rFonts w:hint="eastAsia" w:ascii="Times New Roman" w:hAnsi="Times New Roman" w:eastAsia="宋体" w:cs="Times New Roman"/>
          <w:color w:val="auto"/>
          <w:sz w:val="24"/>
          <w:szCs w:val="24"/>
          <w:lang w:val="en-US" w:eastAsia="zh-CN"/>
        </w:rPr>
        <w:t>过程</w:t>
      </w:r>
      <w:r>
        <w:rPr>
          <w:rFonts w:hint="eastAsia" w:cs="Times New Roman"/>
          <w:color w:val="auto"/>
          <w:sz w:val="24"/>
          <w:szCs w:val="24"/>
          <w:lang w:val="en-US" w:eastAsia="zh-CN"/>
        </w:rPr>
        <w:t>中物料温度控制</w:t>
      </w:r>
      <w:r>
        <w:rPr>
          <w:rFonts w:hint="eastAsia" w:ascii="Times New Roman" w:hAnsi="Times New Roman" w:eastAsia="宋体" w:cs="Times New Roman"/>
          <w:color w:val="auto"/>
          <w:sz w:val="24"/>
          <w:szCs w:val="24"/>
          <w:lang w:val="en-US" w:eastAsia="zh-CN"/>
        </w:rPr>
        <w:t>，</w:t>
      </w:r>
      <w:r>
        <w:rPr>
          <w:rFonts w:hint="eastAsia" w:cs="Times New Roman"/>
          <w:bCs/>
          <w:color w:val="auto"/>
          <w:sz w:val="24"/>
          <w:highlight w:val="none"/>
          <w:lang w:val="en-US" w:eastAsia="zh-CN"/>
        </w:rPr>
        <w:t>并配套1个</w:t>
      </w:r>
      <w:r>
        <w:rPr>
          <w:rFonts w:hint="eastAsia" w:cs="Times New Roman"/>
          <w:b w:val="0"/>
          <w:bCs w:val="0"/>
          <w:color w:val="auto"/>
          <w:highlight w:val="none"/>
          <w:lang w:val="en-US" w:eastAsia="zh-CN"/>
        </w:rPr>
        <w:t>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冷冻水循环水罐</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根据建设单位提供的资料，</w:t>
      </w:r>
      <w:r>
        <w:rPr>
          <w:rFonts w:hint="eastAsia" w:cs="Times New Roman"/>
          <w:color w:val="auto"/>
          <w:sz w:val="24"/>
          <w:szCs w:val="24"/>
          <w:lang w:val="en-US" w:eastAsia="zh-CN"/>
        </w:rPr>
        <w:t>冷冻水机组用水</w:t>
      </w:r>
      <w:r>
        <w:rPr>
          <w:rFonts w:hint="eastAsia" w:ascii="Times New Roman" w:hAnsi="Times New Roman" w:eastAsia="宋体" w:cs="Times New Roman"/>
          <w:color w:val="auto"/>
          <w:sz w:val="24"/>
          <w:szCs w:val="24"/>
          <w:lang w:val="en-US" w:eastAsia="zh-CN"/>
        </w:rPr>
        <w:t>每天损耗量为</w:t>
      </w:r>
      <w:r>
        <w:rPr>
          <w:rFonts w:hint="eastAsia"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；同时，为了避免</w:t>
      </w:r>
      <w:r>
        <w:rPr>
          <w:rFonts w:hint="eastAsia" w:cs="Times New Roman"/>
          <w:color w:val="auto"/>
          <w:sz w:val="24"/>
          <w:szCs w:val="24"/>
          <w:lang w:val="en-US" w:eastAsia="zh-CN"/>
        </w:rPr>
        <w:t>冷冻水</w:t>
      </w:r>
      <w:r>
        <w:rPr>
          <w:rFonts w:hint="eastAsia" w:ascii="Times New Roman" w:hAnsi="Times New Roman" w:eastAsia="宋体" w:cs="Times New Roman"/>
          <w:color w:val="auto"/>
          <w:sz w:val="24"/>
          <w:szCs w:val="24"/>
          <w:lang w:val="en-US" w:eastAsia="zh-CN"/>
        </w:rPr>
        <w:t>循环</w:t>
      </w:r>
      <w:r>
        <w:rPr>
          <w:rFonts w:hint="eastAsia" w:cs="Times New Roman"/>
          <w:color w:val="auto"/>
          <w:sz w:val="24"/>
          <w:szCs w:val="24"/>
          <w:lang w:val="en-US" w:eastAsia="zh-CN"/>
        </w:rPr>
        <w:t>过程中</w:t>
      </w:r>
      <w:r>
        <w:rPr>
          <w:rFonts w:hint="eastAsia" w:ascii="Times New Roman" w:hAnsi="Times New Roman" w:eastAsia="宋体" w:cs="Times New Roman"/>
          <w:color w:val="auto"/>
          <w:sz w:val="24"/>
          <w:szCs w:val="24"/>
          <w:lang w:val="en-US" w:eastAsia="zh-CN"/>
        </w:rPr>
        <w:t>结垢、腐蚀的风险，每天排污</w:t>
      </w:r>
      <w:r>
        <w:rPr>
          <w:rFonts w:hint="eastAsia" w:cs="Times New Roman"/>
          <w:color w:val="auto"/>
          <w:sz w:val="24"/>
          <w:szCs w:val="24"/>
          <w:lang w:val="en-US" w:eastAsia="zh-CN"/>
        </w:rPr>
        <w:t>量为1%</w:t>
      </w:r>
      <w:r>
        <w:rPr>
          <w:rFonts w:hint="eastAsia" w:ascii="Times New Roman" w:hAnsi="Times New Roman" w:eastAsia="宋体" w:cs="Times New Roman"/>
          <w:color w:val="auto"/>
          <w:sz w:val="24"/>
          <w:szCs w:val="24"/>
          <w:lang w:val="en-US" w:eastAsia="zh-CN"/>
        </w:rPr>
        <w:t>。因此，</w:t>
      </w:r>
      <w:r>
        <w:rPr>
          <w:rFonts w:hint="eastAsia" w:cs="Times New Roman"/>
          <w:color w:val="auto"/>
          <w:sz w:val="24"/>
          <w:szCs w:val="24"/>
          <w:vertAlign w:val="baseline"/>
          <w:lang w:val="en-US" w:eastAsia="zh-CN"/>
        </w:rPr>
        <w:t>冷冻水机组</w:t>
      </w:r>
      <w:r>
        <w:rPr>
          <w:rFonts w:hint="eastAsia" w:ascii="Times New Roman" w:hAnsi="Times New Roman" w:eastAsia="宋体" w:cs="Times New Roman"/>
          <w:color w:val="auto"/>
          <w:sz w:val="24"/>
          <w:szCs w:val="24"/>
          <w:lang w:val="en-US" w:eastAsia="zh-CN"/>
        </w:rPr>
        <w:t>需每天补充损耗，采用</w:t>
      </w:r>
      <w:r>
        <w:rPr>
          <w:rFonts w:hint="eastAsia" w:cs="Times New Roman"/>
          <w:color w:val="auto"/>
          <w:sz w:val="24"/>
          <w:szCs w:val="24"/>
          <w:lang w:val="en-US" w:eastAsia="zh-CN"/>
        </w:rPr>
        <w:t>自来水，</w:t>
      </w:r>
      <w:r>
        <w:rPr>
          <w:rFonts w:hint="eastAsia" w:ascii="Times New Roman" w:hAnsi="Times New Roman" w:eastAsia="宋体" w:cs="Times New Roman"/>
          <w:color w:val="auto"/>
          <w:sz w:val="24"/>
          <w:szCs w:val="24"/>
          <w:lang w:val="en-US" w:eastAsia="zh-CN"/>
        </w:rPr>
        <w:t>补充用水</w:t>
      </w:r>
      <w:r>
        <w:rPr>
          <w:rFonts w:hint="eastAsia" w:cs="Times New Roman"/>
          <w:color w:val="auto"/>
          <w:sz w:val="24"/>
          <w:szCs w:val="24"/>
          <w:lang w:val="en-US" w:eastAsia="zh-CN"/>
        </w:rPr>
        <w:t>量为0.6</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180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eastAsia" w:ascii="Times New Roman" w:hAnsi="Times New Roman" w:eastAsia="宋体" w:cs="Times New Roman"/>
          <w:color w:val="auto"/>
          <w:sz w:val="24"/>
          <w:szCs w:val="24"/>
          <w:lang w:val="en-US" w:eastAsia="zh-CN"/>
        </w:rPr>
        <w:t>。</w:t>
      </w:r>
    </w:p>
    <w:p w14:paraId="410FB422">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vertAlign w:val="baseline"/>
          <w:lang w:val="en-US" w:eastAsia="zh-CN"/>
        </w:rPr>
        <w:t>（7）喷淋用水</w:t>
      </w:r>
    </w:p>
    <w:p w14:paraId="602FAE8B">
      <w:pPr>
        <w:ind w:left="0" w:leftChars="0" w:firstLine="480" w:firstLineChars="200"/>
        <w:rPr>
          <w:rFonts w:hint="eastAsia" w:cs="Times New Roman"/>
          <w:color w:val="auto"/>
          <w:sz w:val="24"/>
          <w:szCs w:val="24"/>
          <w:vertAlign w:val="baseline"/>
          <w:lang w:val="en-US" w:eastAsia="zh-CN"/>
        </w:rPr>
      </w:pPr>
      <w:r>
        <w:rPr>
          <w:rFonts w:hint="eastAsia" w:cs="Times New Roman"/>
          <w:color w:val="auto"/>
          <w:sz w:val="24"/>
          <w:szCs w:val="24"/>
          <w:lang w:val="en-US" w:eastAsia="zh-CN"/>
        </w:rPr>
        <w:t>本项目设碱喷淋塔用于处理酸性废气，喷淋介质为氢氧化钠与水配制的20%溶液。</w:t>
      </w:r>
      <w:r>
        <w:rPr>
          <w:rFonts w:hint="default" w:ascii="Times New Roman" w:hAnsi="Times New Roman" w:eastAsia="宋体" w:cs="Times New Roman"/>
          <w:color w:val="auto"/>
          <w:sz w:val="24"/>
          <w:szCs w:val="24"/>
        </w:rPr>
        <w:t>根据建设单位提供的资料，</w:t>
      </w:r>
      <w:r>
        <w:rPr>
          <w:rFonts w:hint="eastAsia" w:cs="Times New Roman"/>
          <w:color w:val="auto"/>
          <w:sz w:val="24"/>
          <w:szCs w:val="24"/>
          <w:lang w:val="en-US" w:eastAsia="zh-CN"/>
        </w:rPr>
        <w:t>本项目喷淋用水量为0.0013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0.4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eastAsia" w:cs="Times New Roman"/>
          <w:color w:val="auto"/>
          <w:sz w:val="24"/>
          <w:szCs w:val="24"/>
          <w:lang w:val="en-US" w:eastAsia="zh-CN"/>
        </w:rPr>
        <w:t>。</w:t>
      </w:r>
    </w:p>
    <w:p w14:paraId="3EC8E2E1">
      <w:pPr>
        <w:ind w:left="0" w:leftChars="0" w:firstLine="480" w:firstLineChars="200"/>
        <w:rPr>
          <w:rFonts w:hint="default" w:ascii="Times New Roman" w:hAnsi="Times New Roman" w:eastAsia="宋体" w:cs="Times New Roman"/>
          <w:color w:val="auto"/>
          <w:sz w:val="24"/>
          <w:szCs w:val="24"/>
          <w:vertAlign w:val="baseline"/>
          <w:lang w:val="en-US" w:eastAsia="zh-CN"/>
        </w:rPr>
      </w:pPr>
      <w:r>
        <w:rPr>
          <w:rFonts w:hint="eastAsia" w:cs="Times New Roman"/>
          <w:color w:val="auto"/>
          <w:sz w:val="24"/>
          <w:szCs w:val="24"/>
          <w:vertAlign w:val="baseline"/>
          <w:lang w:val="en-US" w:eastAsia="zh-CN"/>
        </w:rPr>
        <w:t>（8）生活用水</w:t>
      </w:r>
    </w:p>
    <w:p w14:paraId="33FD0BE1">
      <w:pPr>
        <w:ind w:left="0" w:leftChars="0" w:firstLine="480" w:firstLineChars="200"/>
        <w:rPr>
          <w:rFonts w:hint="default"/>
          <w:color w:val="auto"/>
          <w:highlight w:val="none"/>
          <w:lang w:val="en-US" w:eastAsia="zh-CN"/>
        </w:rPr>
      </w:pPr>
      <w:r>
        <w:rPr>
          <w:rFonts w:hint="default" w:ascii="Times New Roman" w:hAnsi="Times New Roman" w:eastAsia="宋体" w:cs="Times New Roman"/>
          <w:color w:val="auto"/>
          <w:sz w:val="24"/>
          <w:szCs w:val="24"/>
        </w:rPr>
        <w:t>本项目</w:t>
      </w:r>
      <w:r>
        <w:rPr>
          <w:rFonts w:hint="eastAsia" w:ascii="Times New Roman" w:hAnsi="Times New Roman" w:eastAsia="宋体" w:cs="Times New Roman"/>
          <w:color w:val="auto"/>
          <w:sz w:val="24"/>
          <w:szCs w:val="24"/>
          <w:highlight w:val="none"/>
          <w:lang w:val="en-US" w:eastAsia="zh-CN"/>
        </w:rPr>
        <w:t>劳动定员</w:t>
      </w:r>
      <w:r>
        <w:rPr>
          <w:rFonts w:hint="eastAsia" w:cs="Times New Roman"/>
          <w:color w:val="auto"/>
          <w:sz w:val="24"/>
          <w:szCs w:val="24"/>
          <w:highlight w:val="none"/>
          <w:lang w:val="en-US" w:eastAsia="zh-CN"/>
        </w:rPr>
        <w:t>40</w:t>
      </w:r>
      <w:r>
        <w:rPr>
          <w:rFonts w:hint="eastAsia" w:ascii="Times New Roman" w:hAnsi="Times New Roman" w:eastAsia="宋体" w:cs="Times New Roman"/>
          <w:color w:val="auto"/>
          <w:sz w:val="24"/>
          <w:szCs w:val="24"/>
          <w:highlight w:val="none"/>
          <w:lang w:val="en-US" w:eastAsia="zh-CN"/>
        </w:rPr>
        <w:t>人</w:t>
      </w:r>
      <w:r>
        <w:rPr>
          <w:rFonts w:hint="eastAsia" w:cs="Times New Roman"/>
          <w:color w:val="auto"/>
          <w:sz w:val="24"/>
          <w:szCs w:val="24"/>
          <w:highlight w:val="none"/>
          <w:lang w:val="en-US" w:eastAsia="zh-CN"/>
        </w:rPr>
        <w:t>，</w:t>
      </w:r>
      <w:r>
        <w:rPr>
          <w:rFonts w:hint="eastAsia"/>
          <w:color w:val="auto"/>
          <w:lang w:val="en-US" w:eastAsia="zh-CN"/>
        </w:rPr>
        <w:t>根据</w:t>
      </w:r>
      <w:r>
        <w:rPr>
          <w:rFonts w:hint="default"/>
          <w:color w:val="auto"/>
        </w:rPr>
        <w:t>《四川省用水定额》（川府函</w:t>
      </w:r>
      <w:r>
        <w:rPr>
          <w:rFonts w:hint="eastAsia"/>
          <w:color w:val="auto"/>
          <w:lang w:eastAsia="zh-CN"/>
        </w:rPr>
        <w:t>〔</w:t>
      </w:r>
      <w:r>
        <w:rPr>
          <w:rFonts w:hint="eastAsia"/>
          <w:color w:val="auto"/>
          <w:lang w:val="en-US" w:eastAsia="zh-CN"/>
        </w:rPr>
        <w:t>2021</w:t>
      </w:r>
      <w:r>
        <w:rPr>
          <w:rFonts w:hint="eastAsia"/>
          <w:color w:val="auto"/>
          <w:lang w:eastAsia="zh-CN"/>
        </w:rPr>
        <w:t>〕</w:t>
      </w:r>
      <w:r>
        <w:rPr>
          <w:rFonts w:hint="default"/>
          <w:color w:val="auto"/>
        </w:rPr>
        <w:t>8号），</w:t>
      </w:r>
      <w:r>
        <w:rPr>
          <w:rFonts w:hint="default" w:ascii="Times New Roman" w:hAnsi="Times New Roman" w:eastAsia="宋体" w:cs="Times New Roman"/>
          <w:color w:val="auto"/>
          <w:sz w:val="24"/>
          <w:szCs w:val="24"/>
        </w:rPr>
        <w:t>生活用水量按</w:t>
      </w:r>
      <w:r>
        <w:rPr>
          <w:rFonts w:hint="eastAsia"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rPr>
        <w:t>0L/人·d计，则</w:t>
      </w:r>
      <w:r>
        <w:rPr>
          <w:rFonts w:hint="eastAsia" w:cs="Times New Roman"/>
          <w:color w:val="auto"/>
          <w:sz w:val="24"/>
          <w:szCs w:val="24"/>
          <w:lang w:val="en-US" w:eastAsia="zh-CN"/>
        </w:rPr>
        <w:t>本项目</w:t>
      </w:r>
      <w:r>
        <w:rPr>
          <w:rFonts w:hint="default" w:ascii="Times New Roman" w:hAnsi="Times New Roman" w:eastAsia="宋体" w:cs="Times New Roman"/>
          <w:color w:val="auto"/>
          <w:sz w:val="24"/>
          <w:szCs w:val="24"/>
        </w:rPr>
        <w:t>生活用水量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5.2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1560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eastAsia" w:ascii="Times New Roman" w:hAnsi="Times New Roman" w:eastAsia="宋体" w:cs="Times New Roman"/>
          <w:color w:val="auto"/>
          <w:sz w:val="24"/>
          <w:szCs w:val="24"/>
          <w:lang w:val="en-US" w:eastAsia="zh-CN"/>
        </w:rPr>
        <w:t>。</w:t>
      </w:r>
    </w:p>
    <w:p w14:paraId="6F14FC29">
      <w:pPr>
        <w:ind w:left="0" w:leftChars="0" w:firstLine="480" w:firstLineChars="200"/>
        <w:rPr>
          <w:rFonts w:hint="default"/>
          <w:color w:val="auto"/>
          <w:highlight w:val="none"/>
          <w:lang w:val="en-US" w:eastAsia="zh-CN"/>
        </w:rPr>
      </w:pPr>
      <w:r>
        <w:rPr>
          <w:rFonts w:hint="eastAsia"/>
          <w:bCs/>
          <w:color w:val="auto"/>
          <w:sz w:val="24"/>
          <w:szCs w:val="24"/>
          <w:highlight w:val="none"/>
          <w:lang w:val="en-US" w:eastAsia="zh-CN"/>
        </w:rPr>
        <w:t>综上所述，本项目自来水用量为30971.46m</w:t>
      </w:r>
      <w:r>
        <w:rPr>
          <w:rFonts w:hint="eastAsia"/>
          <w:bCs/>
          <w:color w:val="auto"/>
          <w:sz w:val="24"/>
          <w:szCs w:val="24"/>
          <w:highlight w:val="none"/>
          <w:vertAlign w:val="superscript"/>
          <w:lang w:val="en-US" w:eastAsia="zh-CN"/>
        </w:rPr>
        <w:t>3</w:t>
      </w:r>
      <w:r>
        <w:rPr>
          <w:rFonts w:hint="eastAsia"/>
          <w:bCs/>
          <w:color w:val="auto"/>
          <w:sz w:val="24"/>
          <w:szCs w:val="24"/>
          <w:highlight w:val="none"/>
          <w:vertAlign w:val="baseline"/>
          <w:lang w:val="en-US" w:eastAsia="zh-CN"/>
        </w:rPr>
        <w:t>/</w:t>
      </w:r>
      <w:r>
        <w:rPr>
          <w:rFonts w:hint="eastAsia"/>
          <w:bCs/>
          <w:color w:val="auto"/>
          <w:sz w:val="24"/>
          <w:szCs w:val="24"/>
          <w:highlight w:val="none"/>
          <w:lang w:val="en-US" w:eastAsia="zh-CN"/>
        </w:rPr>
        <w:t>a（日最大用水量为111.09</w:t>
      </w:r>
      <w:r>
        <w:rPr>
          <w:rFonts w:hint="eastAsia"/>
          <w:color w:val="auto"/>
          <w:kern w:val="24"/>
          <w:sz w:val="24"/>
          <w:highlight w:val="none"/>
          <w:lang w:val="en-US" w:eastAsia="zh-CN"/>
        </w:rPr>
        <w:t>m</w:t>
      </w:r>
      <w:r>
        <w:rPr>
          <w:rFonts w:hint="eastAsia"/>
          <w:color w:val="auto"/>
          <w:kern w:val="24"/>
          <w:sz w:val="24"/>
          <w:highlight w:val="none"/>
          <w:vertAlign w:val="superscript"/>
          <w:lang w:val="en-US" w:eastAsia="zh-CN"/>
        </w:rPr>
        <w:t>3</w:t>
      </w:r>
      <w:r>
        <w:rPr>
          <w:rFonts w:hint="eastAsia"/>
          <w:color w:val="auto"/>
          <w:kern w:val="24"/>
          <w:sz w:val="24"/>
          <w:highlight w:val="none"/>
          <w:lang w:val="en-US" w:eastAsia="zh-CN"/>
        </w:rPr>
        <w:t>/d</w:t>
      </w:r>
      <w:r>
        <w:rPr>
          <w:rFonts w:hint="eastAsia"/>
          <w:bCs/>
          <w:color w:val="auto"/>
          <w:sz w:val="24"/>
          <w:szCs w:val="24"/>
          <w:highlight w:val="none"/>
          <w:lang w:val="en-US" w:eastAsia="zh-CN"/>
        </w:rPr>
        <w:t>）</w:t>
      </w:r>
      <w:r>
        <w:rPr>
          <w:rFonts w:hint="eastAsia"/>
          <w:color w:val="auto"/>
          <w:kern w:val="24"/>
          <w:sz w:val="24"/>
          <w:highlight w:val="none"/>
          <w:lang w:val="en-US" w:eastAsia="zh-CN"/>
        </w:rPr>
        <w:t>。</w:t>
      </w:r>
    </w:p>
    <w:p w14:paraId="7A1322D2">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本项目用水量统计表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1190"/>
        <w:gridCol w:w="1295"/>
        <w:gridCol w:w="1523"/>
        <w:gridCol w:w="1990"/>
        <w:gridCol w:w="1437"/>
      </w:tblGrid>
      <w:tr w14:paraId="5237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Merge w:val="restart"/>
            <w:vAlign w:val="center"/>
          </w:tcPr>
          <w:p w14:paraId="2F2E19DF">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用水类别</w:t>
            </w:r>
          </w:p>
        </w:tc>
        <w:tc>
          <w:tcPr>
            <w:tcW w:w="626" w:type="pct"/>
            <w:vMerge w:val="restart"/>
            <w:vAlign w:val="center"/>
          </w:tcPr>
          <w:p w14:paraId="7B1E6392">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单位用水量</w:t>
            </w:r>
          </w:p>
        </w:tc>
        <w:tc>
          <w:tcPr>
            <w:tcW w:w="681" w:type="pct"/>
            <w:vMerge w:val="restart"/>
            <w:vAlign w:val="center"/>
          </w:tcPr>
          <w:p w14:paraId="48E4977A">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用水频率</w:t>
            </w:r>
          </w:p>
        </w:tc>
        <w:tc>
          <w:tcPr>
            <w:tcW w:w="2604" w:type="pct"/>
            <w:gridSpan w:val="3"/>
            <w:vAlign w:val="center"/>
          </w:tcPr>
          <w:p w14:paraId="7EE7DA72">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用水量（m</w:t>
            </w:r>
            <w:r>
              <w:rPr>
                <w:rFonts w:hint="eastAsia" w:ascii="Times New Roman" w:hAnsi="Times New Roman" w:eastAsia="宋体" w:cs="Times New Roman"/>
                <w:b/>
                <w:bCs/>
                <w:color w:val="auto"/>
                <w:sz w:val="21"/>
                <w:szCs w:val="21"/>
                <w:highlight w:val="none"/>
                <w:vertAlign w:val="superscript"/>
                <w:lang w:val="en-US" w:eastAsia="zh-CN"/>
              </w:rPr>
              <w:t>3</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a</w:t>
            </w:r>
            <w:r>
              <w:rPr>
                <w:rFonts w:hint="eastAsia" w:ascii="Times New Roman" w:hAnsi="Times New Roman" w:eastAsia="宋体" w:cs="Times New Roman"/>
                <w:b/>
                <w:bCs/>
                <w:color w:val="auto"/>
                <w:sz w:val="21"/>
                <w:szCs w:val="21"/>
                <w:highlight w:val="none"/>
                <w:lang w:val="en-US" w:eastAsia="zh-CN"/>
              </w:rPr>
              <w:t>）</w:t>
            </w:r>
          </w:p>
        </w:tc>
      </w:tr>
      <w:tr w14:paraId="1EBA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Merge w:val="continue"/>
            <w:vAlign w:val="center"/>
          </w:tcPr>
          <w:p w14:paraId="26C59569">
            <w:pPr>
              <w:pStyle w:val="24"/>
              <w:bidi w:val="0"/>
              <w:jc w:val="center"/>
              <w:rPr>
                <w:rFonts w:hint="eastAsia" w:ascii="Times New Roman" w:hAnsi="Times New Roman" w:eastAsia="宋体" w:cs="Times New Roman"/>
                <w:b/>
                <w:bCs/>
                <w:color w:val="auto"/>
                <w:sz w:val="21"/>
                <w:szCs w:val="21"/>
                <w:highlight w:val="none"/>
                <w:lang w:val="en-US" w:eastAsia="zh-CN"/>
              </w:rPr>
            </w:pPr>
          </w:p>
        </w:tc>
        <w:tc>
          <w:tcPr>
            <w:tcW w:w="626" w:type="pct"/>
            <w:vMerge w:val="continue"/>
            <w:vAlign w:val="center"/>
          </w:tcPr>
          <w:p w14:paraId="1912E41F">
            <w:pPr>
              <w:pStyle w:val="24"/>
              <w:bidi w:val="0"/>
              <w:jc w:val="center"/>
              <w:rPr>
                <w:rFonts w:hint="eastAsia" w:ascii="Times New Roman" w:hAnsi="Times New Roman" w:eastAsia="宋体" w:cs="Times New Roman"/>
                <w:b/>
                <w:bCs/>
                <w:color w:val="auto"/>
                <w:sz w:val="21"/>
                <w:szCs w:val="21"/>
                <w:highlight w:val="none"/>
                <w:lang w:val="en-US" w:eastAsia="zh-CN"/>
              </w:rPr>
            </w:pPr>
          </w:p>
        </w:tc>
        <w:tc>
          <w:tcPr>
            <w:tcW w:w="681" w:type="pct"/>
            <w:vMerge w:val="continue"/>
            <w:vAlign w:val="center"/>
          </w:tcPr>
          <w:p w14:paraId="6E820881">
            <w:pPr>
              <w:pStyle w:val="24"/>
              <w:bidi w:val="0"/>
              <w:jc w:val="center"/>
              <w:rPr>
                <w:rFonts w:hint="eastAsia" w:ascii="Times New Roman" w:hAnsi="Times New Roman" w:eastAsia="宋体" w:cs="Times New Roman"/>
                <w:b/>
                <w:bCs/>
                <w:color w:val="auto"/>
                <w:sz w:val="21"/>
                <w:szCs w:val="21"/>
                <w:highlight w:val="none"/>
                <w:lang w:val="en-US" w:eastAsia="zh-CN"/>
              </w:rPr>
            </w:pPr>
          </w:p>
        </w:tc>
        <w:tc>
          <w:tcPr>
            <w:tcW w:w="801" w:type="pct"/>
            <w:vAlign w:val="center"/>
          </w:tcPr>
          <w:p w14:paraId="482A83C3">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去离子水</w:t>
            </w:r>
          </w:p>
        </w:tc>
        <w:tc>
          <w:tcPr>
            <w:tcW w:w="1047" w:type="pct"/>
            <w:vAlign w:val="center"/>
          </w:tcPr>
          <w:p w14:paraId="262FA7FB">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自来水</w:t>
            </w:r>
          </w:p>
        </w:tc>
        <w:tc>
          <w:tcPr>
            <w:tcW w:w="754" w:type="pct"/>
            <w:vAlign w:val="center"/>
          </w:tcPr>
          <w:p w14:paraId="632FB94B">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回用</w:t>
            </w:r>
            <w:r>
              <w:rPr>
                <w:rFonts w:hint="eastAsia" w:ascii="Times New Roman" w:hAnsi="Times New Roman" w:eastAsia="宋体" w:cs="Times New Roman"/>
                <w:b/>
                <w:bCs/>
                <w:color w:val="auto"/>
                <w:sz w:val="21"/>
                <w:szCs w:val="21"/>
                <w:highlight w:val="none"/>
                <w:lang w:val="en-US" w:eastAsia="zh-CN"/>
              </w:rPr>
              <w:t>水</w:t>
            </w:r>
          </w:p>
        </w:tc>
      </w:tr>
      <w:tr w14:paraId="1966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8" w:type="pct"/>
            <w:vAlign w:val="center"/>
          </w:tcPr>
          <w:p w14:paraId="7A11ADC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生产用水</w:t>
            </w:r>
          </w:p>
        </w:tc>
        <w:tc>
          <w:tcPr>
            <w:tcW w:w="626" w:type="pct"/>
            <w:vAlign w:val="center"/>
          </w:tcPr>
          <w:p w14:paraId="037594BE">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81" w:type="pct"/>
            <w:vAlign w:val="center"/>
          </w:tcPr>
          <w:p w14:paraId="1748CF2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801" w:type="pct"/>
            <w:vAlign w:val="center"/>
          </w:tcPr>
          <w:p w14:paraId="547B723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10280</w:t>
            </w:r>
          </w:p>
        </w:tc>
        <w:tc>
          <w:tcPr>
            <w:tcW w:w="1047" w:type="pct"/>
            <w:vAlign w:val="center"/>
          </w:tcPr>
          <w:p w14:paraId="4A89C71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11406.26</w:t>
            </w:r>
          </w:p>
        </w:tc>
        <w:tc>
          <w:tcPr>
            <w:tcW w:w="754" w:type="pct"/>
            <w:vAlign w:val="center"/>
          </w:tcPr>
          <w:p w14:paraId="2BF5334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835.74</w:t>
            </w:r>
          </w:p>
        </w:tc>
      </w:tr>
      <w:tr w14:paraId="3792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88" w:type="pct"/>
            <w:vAlign w:val="center"/>
          </w:tcPr>
          <w:p w14:paraId="25708A44">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蒸汽用水</w:t>
            </w:r>
          </w:p>
        </w:tc>
        <w:tc>
          <w:tcPr>
            <w:tcW w:w="626" w:type="pct"/>
            <w:vAlign w:val="center"/>
          </w:tcPr>
          <w:p w14:paraId="1594B65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0.5t/h</w:t>
            </w:r>
          </w:p>
        </w:tc>
        <w:tc>
          <w:tcPr>
            <w:tcW w:w="681" w:type="pct"/>
            <w:vAlign w:val="center"/>
          </w:tcPr>
          <w:p w14:paraId="22ABA17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4h/d</w:t>
            </w:r>
            <w:r>
              <w:rPr>
                <w:rFonts w:hint="eastAsia" w:cs="Times New Roman"/>
                <w:b w:val="0"/>
                <w:bCs w:val="0"/>
                <w:color w:val="auto"/>
                <w:sz w:val="21"/>
                <w:szCs w:val="21"/>
                <w:highlight w:val="none"/>
                <w:lang w:val="en-US" w:eastAsia="zh-CN"/>
              </w:rPr>
              <w:t>，300d/a</w:t>
            </w:r>
          </w:p>
        </w:tc>
        <w:tc>
          <w:tcPr>
            <w:tcW w:w="801" w:type="pct"/>
            <w:vAlign w:val="center"/>
          </w:tcPr>
          <w:p w14:paraId="6A74EEE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47" w:type="pct"/>
            <w:vAlign w:val="center"/>
          </w:tcPr>
          <w:p w14:paraId="5873460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c>
          <w:tcPr>
            <w:tcW w:w="754" w:type="pct"/>
            <w:vAlign w:val="center"/>
          </w:tcPr>
          <w:p w14:paraId="0C32A78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4CC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Align w:val="center"/>
          </w:tcPr>
          <w:p w14:paraId="37EBA91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质检室用水</w:t>
            </w:r>
          </w:p>
        </w:tc>
        <w:tc>
          <w:tcPr>
            <w:tcW w:w="626" w:type="pct"/>
            <w:shd w:val="clear" w:color="auto" w:fill="auto"/>
            <w:vAlign w:val="center"/>
          </w:tcPr>
          <w:p w14:paraId="771F7BAC">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646BA13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801" w:type="pct"/>
            <w:vAlign w:val="center"/>
          </w:tcPr>
          <w:p w14:paraId="0D5E27F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47" w:type="pct"/>
            <w:vAlign w:val="center"/>
          </w:tcPr>
          <w:p w14:paraId="19D4424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150</w:t>
            </w:r>
          </w:p>
        </w:tc>
        <w:tc>
          <w:tcPr>
            <w:tcW w:w="754" w:type="pct"/>
            <w:vAlign w:val="center"/>
          </w:tcPr>
          <w:p w14:paraId="632D182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568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Align w:val="center"/>
          </w:tcPr>
          <w:p w14:paraId="5AFA5ED5">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车间地面清洁用水</w:t>
            </w:r>
          </w:p>
        </w:tc>
        <w:tc>
          <w:tcPr>
            <w:tcW w:w="626" w:type="pct"/>
            <w:shd w:val="clear" w:color="auto" w:fill="auto"/>
            <w:vAlign w:val="center"/>
          </w:tcPr>
          <w:p w14:paraId="70EF7F3C">
            <w:pPr>
              <w:pStyle w:val="24"/>
              <w:bidi w:val="0"/>
              <w:ind w:left="0" w:leftChars="0"/>
              <w:jc w:val="center"/>
              <w:rPr>
                <w:rFonts w:hint="eastAsia" w:cs="Times New Roman"/>
                <w:bCs/>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52693589">
            <w:pPr>
              <w:pStyle w:val="24"/>
              <w:bidi w:val="0"/>
              <w:ind w:left="0" w:leftChars="0"/>
              <w:jc w:val="center"/>
              <w:rPr>
                <w:rFonts w:hint="eastAsia" w:cs="Times New Roman"/>
                <w:bCs/>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801" w:type="pct"/>
            <w:vAlign w:val="center"/>
          </w:tcPr>
          <w:p w14:paraId="77ECBF9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047" w:type="pct"/>
            <w:shd w:val="clear" w:color="auto" w:fill="auto"/>
            <w:vAlign w:val="center"/>
          </w:tcPr>
          <w:p w14:paraId="1A4F369C">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52</w:t>
            </w:r>
          </w:p>
        </w:tc>
        <w:tc>
          <w:tcPr>
            <w:tcW w:w="754" w:type="pct"/>
            <w:vAlign w:val="center"/>
          </w:tcPr>
          <w:p w14:paraId="32F75DE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AA4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088" w:type="pct"/>
            <w:vAlign w:val="center"/>
          </w:tcPr>
          <w:p w14:paraId="321D76A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软水</w:t>
            </w:r>
            <w:r>
              <w:rPr>
                <w:rFonts w:hint="eastAsia" w:ascii="Times New Roman" w:hAnsi="Times New Roman" w:eastAsia="宋体" w:cs="Times New Roman"/>
                <w:b w:val="0"/>
                <w:bCs w:val="0"/>
                <w:color w:val="auto"/>
                <w:sz w:val="21"/>
                <w:szCs w:val="21"/>
                <w:highlight w:val="none"/>
                <w:lang w:val="en-US" w:eastAsia="zh-CN"/>
              </w:rPr>
              <w:t>制备用水</w:t>
            </w:r>
          </w:p>
        </w:tc>
        <w:tc>
          <w:tcPr>
            <w:tcW w:w="1307" w:type="pct"/>
            <w:gridSpan w:val="2"/>
            <w:shd w:val="clear" w:color="auto" w:fill="auto"/>
            <w:vAlign w:val="center"/>
          </w:tcPr>
          <w:p w14:paraId="36DC162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Cs/>
                <w:color w:val="auto"/>
                <w:sz w:val="21"/>
                <w:szCs w:val="21"/>
                <w:highlight w:val="none"/>
                <w:lang w:val="en-US" w:eastAsia="zh-CN"/>
              </w:rPr>
              <w:t>制备率为98%</w:t>
            </w:r>
          </w:p>
        </w:tc>
        <w:tc>
          <w:tcPr>
            <w:tcW w:w="801" w:type="pct"/>
            <w:vAlign w:val="center"/>
          </w:tcPr>
          <w:p w14:paraId="652277E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1047" w:type="pct"/>
            <w:shd w:val="clear" w:color="auto" w:fill="auto"/>
            <w:vAlign w:val="center"/>
          </w:tcPr>
          <w:p w14:paraId="37608FCD">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17562.8</w:t>
            </w:r>
          </w:p>
        </w:tc>
        <w:tc>
          <w:tcPr>
            <w:tcW w:w="754" w:type="pct"/>
            <w:vAlign w:val="center"/>
          </w:tcPr>
          <w:p w14:paraId="043140A1">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w:t>
            </w:r>
          </w:p>
        </w:tc>
      </w:tr>
      <w:tr w14:paraId="7AA9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Align w:val="center"/>
          </w:tcPr>
          <w:p w14:paraId="3F184042">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冷冻水机组补水</w:t>
            </w:r>
          </w:p>
        </w:tc>
        <w:tc>
          <w:tcPr>
            <w:tcW w:w="626" w:type="pct"/>
            <w:shd w:val="clear" w:color="auto" w:fill="auto"/>
            <w:vAlign w:val="center"/>
          </w:tcPr>
          <w:p w14:paraId="6D8D783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681" w:type="pct"/>
            <w:shd w:val="clear" w:color="auto" w:fill="auto"/>
            <w:vAlign w:val="center"/>
          </w:tcPr>
          <w:p w14:paraId="6249F0C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highlight w:val="none"/>
                <w:lang w:val="en-US" w:eastAsia="zh-CN"/>
              </w:rPr>
              <w:t>30m</w:t>
            </w:r>
            <w:r>
              <w:rPr>
                <w:rFonts w:hint="eastAsia" w:cs="Times New Roman"/>
                <w:b w:val="0"/>
                <w:bCs w:val="0"/>
                <w:color w:val="auto"/>
                <w:highlight w:val="none"/>
                <w:vertAlign w:val="superscript"/>
                <w:lang w:val="en-US" w:eastAsia="zh-CN"/>
              </w:rPr>
              <w:t>3</w:t>
            </w:r>
          </w:p>
        </w:tc>
        <w:tc>
          <w:tcPr>
            <w:tcW w:w="801" w:type="pct"/>
            <w:shd w:val="clear" w:color="auto" w:fill="auto"/>
            <w:vAlign w:val="center"/>
          </w:tcPr>
          <w:p w14:paraId="044C5ACC">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w:t>
            </w:r>
          </w:p>
        </w:tc>
        <w:tc>
          <w:tcPr>
            <w:tcW w:w="1047" w:type="pct"/>
            <w:shd w:val="clear" w:color="auto" w:fill="auto"/>
            <w:vAlign w:val="center"/>
          </w:tcPr>
          <w:p w14:paraId="04346AE1">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180</w:t>
            </w:r>
          </w:p>
        </w:tc>
        <w:tc>
          <w:tcPr>
            <w:tcW w:w="754" w:type="pct"/>
            <w:vAlign w:val="center"/>
          </w:tcPr>
          <w:p w14:paraId="78261C8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r>
      <w:tr w14:paraId="60DB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Align w:val="center"/>
          </w:tcPr>
          <w:p w14:paraId="0BE32352">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喷淋</w:t>
            </w:r>
            <w:r>
              <w:rPr>
                <w:rFonts w:hint="eastAsia" w:ascii="Times New Roman" w:hAnsi="Times New Roman" w:eastAsia="宋体" w:cs="Times New Roman"/>
                <w:b w:val="0"/>
                <w:bCs w:val="0"/>
                <w:color w:val="auto"/>
                <w:sz w:val="21"/>
                <w:szCs w:val="21"/>
                <w:highlight w:val="none"/>
                <w:lang w:val="en-US" w:eastAsia="zh-CN"/>
              </w:rPr>
              <w:t>用水</w:t>
            </w:r>
          </w:p>
        </w:tc>
        <w:tc>
          <w:tcPr>
            <w:tcW w:w="626" w:type="pct"/>
            <w:shd w:val="clear" w:color="auto" w:fill="auto"/>
            <w:vAlign w:val="center"/>
          </w:tcPr>
          <w:p w14:paraId="2CEA512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681" w:type="pct"/>
            <w:shd w:val="clear" w:color="auto" w:fill="auto"/>
            <w:vAlign w:val="center"/>
          </w:tcPr>
          <w:p w14:paraId="2F234FF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801" w:type="pct"/>
            <w:shd w:val="clear" w:color="auto" w:fill="auto"/>
            <w:vAlign w:val="center"/>
          </w:tcPr>
          <w:p w14:paraId="5803387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w:t>
            </w:r>
          </w:p>
        </w:tc>
        <w:tc>
          <w:tcPr>
            <w:tcW w:w="1047" w:type="pct"/>
            <w:shd w:val="clear" w:color="auto" w:fill="auto"/>
            <w:vAlign w:val="center"/>
          </w:tcPr>
          <w:p w14:paraId="0E73164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0.4</w:t>
            </w:r>
          </w:p>
        </w:tc>
        <w:tc>
          <w:tcPr>
            <w:tcW w:w="754" w:type="pct"/>
            <w:vAlign w:val="center"/>
          </w:tcPr>
          <w:p w14:paraId="0C57BC1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r>
      <w:tr w14:paraId="65B6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pct"/>
            <w:vAlign w:val="center"/>
          </w:tcPr>
          <w:p w14:paraId="49F7AE5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生活</w:t>
            </w:r>
            <w:r>
              <w:rPr>
                <w:rFonts w:hint="eastAsia" w:ascii="Times New Roman" w:hAnsi="Times New Roman" w:eastAsia="宋体" w:cs="Times New Roman"/>
                <w:b w:val="0"/>
                <w:bCs w:val="0"/>
                <w:color w:val="auto"/>
                <w:sz w:val="21"/>
                <w:szCs w:val="21"/>
                <w:highlight w:val="none"/>
                <w:lang w:val="en-US" w:eastAsia="zh-CN"/>
              </w:rPr>
              <w:t>用水</w:t>
            </w:r>
          </w:p>
        </w:tc>
        <w:tc>
          <w:tcPr>
            <w:tcW w:w="626" w:type="pct"/>
            <w:shd w:val="clear" w:color="auto" w:fill="auto"/>
            <w:vAlign w:val="center"/>
          </w:tcPr>
          <w:p w14:paraId="15580DA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w:t>
            </w:r>
            <w:r>
              <w:rPr>
                <w:rFonts w:hint="eastAsia" w:ascii="Times New Roman" w:hAnsi="Times New Roman" w:eastAsia="宋体" w:cs="Times New Roman"/>
                <w:b w:val="0"/>
                <w:bCs w:val="0"/>
                <w:color w:val="auto"/>
                <w:kern w:val="2"/>
                <w:sz w:val="21"/>
                <w:szCs w:val="21"/>
                <w:highlight w:val="none"/>
                <w:lang w:val="en-US" w:eastAsia="zh-CN" w:bidi="ar-SA"/>
              </w:rPr>
              <w:t>30L/人·d</w:t>
            </w:r>
          </w:p>
        </w:tc>
        <w:tc>
          <w:tcPr>
            <w:tcW w:w="681" w:type="pct"/>
            <w:shd w:val="clear" w:color="auto" w:fill="auto"/>
            <w:vAlign w:val="center"/>
          </w:tcPr>
          <w:p w14:paraId="4C3A87C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40人</w:t>
            </w:r>
          </w:p>
        </w:tc>
        <w:tc>
          <w:tcPr>
            <w:tcW w:w="801" w:type="pct"/>
            <w:vAlign w:val="center"/>
          </w:tcPr>
          <w:p w14:paraId="577E70C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1047" w:type="pct"/>
            <w:vAlign w:val="center"/>
          </w:tcPr>
          <w:p w14:paraId="153D141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1560</w:t>
            </w:r>
          </w:p>
        </w:tc>
        <w:tc>
          <w:tcPr>
            <w:tcW w:w="754" w:type="pct"/>
            <w:vAlign w:val="center"/>
          </w:tcPr>
          <w:p w14:paraId="0748699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r>
      <w:tr w14:paraId="5D9C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395" w:type="pct"/>
            <w:gridSpan w:val="3"/>
            <w:vAlign w:val="center"/>
          </w:tcPr>
          <w:p w14:paraId="551FF1E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合计</w:t>
            </w:r>
          </w:p>
        </w:tc>
        <w:tc>
          <w:tcPr>
            <w:tcW w:w="801" w:type="pct"/>
            <w:vAlign w:val="center"/>
          </w:tcPr>
          <w:p w14:paraId="7BD00E8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1047" w:type="pct"/>
            <w:vAlign w:val="center"/>
          </w:tcPr>
          <w:p w14:paraId="5F84877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30971.46</w:t>
            </w:r>
          </w:p>
        </w:tc>
        <w:tc>
          <w:tcPr>
            <w:tcW w:w="754" w:type="pct"/>
            <w:vAlign w:val="center"/>
          </w:tcPr>
          <w:p w14:paraId="4940D72E">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25409593">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2、排水</w:t>
      </w:r>
    </w:p>
    <w:p w14:paraId="13E47415">
      <w:pPr>
        <w:ind w:left="0" w:leftChars="0" w:firstLine="480" w:firstLineChars="200"/>
        <w:rPr>
          <w:rFonts w:hint="eastAsia"/>
          <w:color w:val="auto"/>
          <w:highlight w:val="none"/>
          <w:lang w:val="en-US" w:eastAsia="zh-CN"/>
        </w:rPr>
      </w:pPr>
      <w:r>
        <w:rPr>
          <w:rFonts w:hint="eastAsia"/>
          <w:color w:val="auto"/>
          <w:highlight w:val="none"/>
          <w:lang w:val="en-US" w:eastAsia="zh-CN"/>
        </w:rPr>
        <w:t>本项目生产用水进入产品，无废水产生；蒸汽用水冷凝后循环使用；质检废液、涉及磷及重金属的器皿清洗废水及其余器皿前三次清洗废水经收集后作为危废处置。运营期废水包括其余器皿三次后清洗废水、车间地面清洁废水、反冲洗废水、循环排污水、喷淋废水、生活污水和初期雨水。</w:t>
      </w:r>
    </w:p>
    <w:p w14:paraId="0C7659C6">
      <w:pPr>
        <w:ind w:left="0" w:leftChars="0" w:firstLine="480" w:firstLineChars="200"/>
        <w:rPr>
          <w:rFonts w:hint="eastAsia"/>
          <w:color w:val="auto"/>
          <w:highlight w:val="none"/>
          <w:lang w:val="en-US" w:eastAsia="zh-CN"/>
        </w:rPr>
      </w:pPr>
      <w:r>
        <w:rPr>
          <w:rFonts w:hint="eastAsia"/>
          <w:color w:val="auto"/>
          <w:highlight w:val="none"/>
          <w:lang w:val="en-US" w:eastAsia="zh-CN"/>
        </w:rPr>
        <w:t>（1）其余器皿三次后清洗废水</w:t>
      </w:r>
    </w:p>
    <w:p w14:paraId="5156ED71">
      <w:pPr>
        <w:ind w:left="0" w:leftChars="0" w:firstLine="480" w:firstLineChars="200"/>
        <w:rPr>
          <w:rFonts w:hint="eastAsia"/>
          <w:color w:val="auto"/>
          <w:highlight w:val="none"/>
          <w:lang w:val="en-US" w:eastAsia="zh-CN"/>
        </w:rPr>
      </w:pPr>
      <w:r>
        <w:rPr>
          <w:rFonts w:hint="eastAsia"/>
          <w:bCs/>
          <w:color w:val="auto"/>
          <w:sz w:val="24"/>
          <w:szCs w:val="24"/>
          <w:highlight w:val="none"/>
          <w:lang w:val="en-US" w:eastAsia="zh-CN"/>
        </w:rPr>
        <w:t>本项目</w:t>
      </w:r>
      <w:r>
        <w:rPr>
          <w:rFonts w:hint="eastAsia" w:cs="Times New Roman"/>
          <w:color w:val="auto"/>
          <w:sz w:val="24"/>
          <w:szCs w:val="24"/>
          <w:lang w:val="en-US" w:eastAsia="zh-CN"/>
        </w:rPr>
        <w:t>质检室用水量为150.75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a，其中</w:t>
      </w:r>
      <w:r>
        <w:rPr>
          <w:rFonts w:hint="eastAsia"/>
          <w:color w:val="auto"/>
          <w:highlight w:val="none"/>
          <w:lang w:val="en-US" w:eastAsia="zh-CN"/>
        </w:rPr>
        <w:t>质检废液、涉及磷及重金属的器皿清洗废水及其余器皿前三次清洗废水经收集后作为危废处置，其余器皿三次后清洗废水</w:t>
      </w:r>
      <w:r>
        <w:rPr>
          <w:rFonts w:hint="eastAsia" w:cs="Times New Roman"/>
          <w:color w:val="auto"/>
          <w:sz w:val="24"/>
          <w:szCs w:val="24"/>
          <w:lang w:val="en-US" w:eastAsia="zh-CN"/>
        </w:rPr>
        <w:t>产生系数按85%计，则本项目</w:t>
      </w:r>
      <w:r>
        <w:rPr>
          <w:rFonts w:hint="eastAsia"/>
          <w:color w:val="auto"/>
          <w:highlight w:val="none"/>
          <w:lang w:val="en-US" w:eastAsia="zh-CN"/>
        </w:rPr>
        <w:t>其余器皿三次后清洗废水</w:t>
      </w:r>
      <w:r>
        <w:rPr>
          <w:rFonts w:hint="eastAsia" w:cs="Times New Roman"/>
          <w:color w:val="auto"/>
          <w:sz w:val="24"/>
          <w:szCs w:val="24"/>
          <w:lang w:val="en-US" w:eastAsia="zh-CN"/>
        </w:rPr>
        <w:t>产生量为0.3844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115.32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6B494A25">
      <w:pPr>
        <w:ind w:left="0" w:leftChars="0" w:firstLine="480" w:firstLineChars="200"/>
        <w:rPr>
          <w:rFonts w:hint="eastAsia"/>
          <w:color w:val="auto"/>
          <w:highlight w:val="none"/>
          <w:lang w:val="en-US" w:eastAsia="zh-CN"/>
        </w:rPr>
      </w:pPr>
      <w:r>
        <w:rPr>
          <w:rFonts w:hint="eastAsia"/>
          <w:color w:val="auto"/>
          <w:highlight w:val="none"/>
          <w:lang w:val="en-US" w:eastAsia="zh-CN"/>
        </w:rPr>
        <w:t>（2）车间地面清洁废水</w:t>
      </w:r>
    </w:p>
    <w:p w14:paraId="353343B5">
      <w:pPr>
        <w:ind w:left="0" w:leftChars="0" w:firstLine="480" w:firstLineChars="200"/>
        <w:rPr>
          <w:rFonts w:hint="eastAsia"/>
          <w:color w:val="auto"/>
          <w:highlight w:val="none"/>
          <w:lang w:val="en-US" w:eastAsia="zh-CN"/>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车间地面</w:t>
      </w:r>
      <w:r>
        <w:rPr>
          <w:rFonts w:hint="default" w:ascii="Times New Roman" w:hAnsi="Times New Roman" w:eastAsia="宋体" w:cs="Times New Roman"/>
          <w:color w:val="auto"/>
          <w:sz w:val="24"/>
          <w:szCs w:val="24"/>
        </w:rPr>
        <w:t>清洁用水</w:t>
      </w:r>
      <w:r>
        <w:rPr>
          <w:rFonts w:hint="eastAsia" w:cs="Times New Roman"/>
          <w:color w:val="auto"/>
          <w:sz w:val="24"/>
          <w:szCs w:val="24"/>
          <w:lang w:val="en-US" w:eastAsia="zh-CN"/>
        </w:rPr>
        <w:t>量为52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eastAsia" w:cs="Times New Roman"/>
          <w:color w:val="auto"/>
          <w:sz w:val="24"/>
          <w:szCs w:val="24"/>
          <w:lang w:val="en-US" w:eastAsia="zh-CN"/>
        </w:rPr>
        <w:t>废水产生系数按85%计，则本项目</w:t>
      </w:r>
      <w:r>
        <w:rPr>
          <w:rFonts w:hint="eastAsia"/>
          <w:color w:val="auto"/>
          <w:highlight w:val="none"/>
          <w:lang w:val="en-US" w:eastAsia="zh-CN"/>
        </w:rPr>
        <w:t>车间地面清洁废水</w:t>
      </w:r>
      <w:r>
        <w:rPr>
          <w:rFonts w:hint="eastAsia" w:cs="Times New Roman"/>
          <w:color w:val="auto"/>
          <w:sz w:val="24"/>
          <w:szCs w:val="24"/>
          <w:lang w:val="en-US" w:eastAsia="zh-CN"/>
        </w:rPr>
        <w:t>产生量为0.85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次，</w:t>
      </w:r>
      <w:r>
        <w:rPr>
          <w:rFonts w:hint="eastAsia" w:cs="Times New Roman"/>
          <w:color w:val="auto"/>
          <w:sz w:val="24"/>
          <w:szCs w:val="24"/>
          <w:lang w:val="en-US" w:eastAsia="zh-CN"/>
        </w:rPr>
        <w:t>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5A807AEA">
      <w:pPr>
        <w:ind w:left="0" w:leftChars="0" w:firstLine="480" w:firstLineChars="200"/>
        <w:rPr>
          <w:rFonts w:hint="eastAsia"/>
          <w:color w:val="auto"/>
          <w:highlight w:val="none"/>
          <w:lang w:val="en-US" w:eastAsia="zh-CN"/>
        </w:rPr>
      </w:pPr>
      <w:r>
        <w:rPr>
          <w:rFonts w:hint="eastAsia"/>
          <w:color w:val="auto"/>
          <w:highlight w:val="none"/>
          <w:lang w:val="en-US" w:eastAsia="zh-CN"/>
        </w:rPr>
        <w:t>（3）反冲洗废水</w:t>
      </w:r>
    </w:p>
    <w:p w14:paraId="7806EF3A">
      <w:pPr>
        <w:ind w:left="0" w:leftChars="0" w:firstLine="480" w:firstLineChars="200"/>
        <w:rPr>
          <w:rFonts w:hint="default"/>
          <w:color w:val="auto"/>
          <w:highlight w:val="none"/>
          <w:lang w:val="en-US" w:eastAsia="zh-CN"/>
        </w:rPr>
      </w:pPr>
      <w:r>
        <w:rPr>
          <w:rFonts w:hint="eastAsia"/>
          <w:color w:val="auto"/>
          <w:highlight w:val="none"/>
          <w:lang w:val="en-US" w:eastAsia="zh-CN"/>
        </w:rPr>
        <w:t>本项目</w:t>
      </w:r>
      <w:r>
        <w:rPr>
          <w:rFonts w:hint="eastAsia" w:cs="Times New Roman"/>
          <w:color w:val="auto"/>
          <w:sz w:val="24"/>
          <w:szCs w:val="24"/>
          <w:vertAlign w:val="baseline"/>
          <w:lang w:val="en-US" w:eastAsia="zh-CN"/>
        </w:rPr>
        <w:t>软水制备用水量为17211.5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a，去离子水</w:t>
      </w:r>
      <w:r>
        <w:rPr>
          <w:rFonts w:hint="eastAsia" w:cs="Times New Roman"/>
          <w:b w:val="0"/>
          <w:bCs w:val="0"/>
          <w:color w:val="auto"/>
          <w:highlight w:val="none"/>
          <w:lang w:val="en-US" w:eastAsia="zh-CN"/>
        </w:rPr>
        <w:t>制备效率为98%，则浓水产生量为351.3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a。浓水用作反冲洗水</w:t>
      </w:r>
      <w:r>
        <w:rPr>
          <w:rFonts w:hint="eastAsia" w:cs="Times New Roman"/>
          <w:bCs/>
          <w:color w:val="auto"/>
          <w:sz w:val="24"/>
          <w:highlight w:val="none"/>
          <w:lang w:val="en-US" w:eastAsia="zh-CN"/>
        </w:rPr>
        <w:t>定期对离子交换树脂进行反冲洗，以确保树脂再生，则反冲洗废水产生量</w:t>
      </w:r>
      <w:r>
        <w:rPr>
          <w:rFonts w:hint="eastAsia" w:cs="Times New Roman"/>
          <w:b w:val="0"/>
          <w:bCs w:val="0"/>
          <w:color w:val="auto"/>
          <w:highlight w:val="none"/>
          <w:lang w:val="en-US" w:eastAsia="zh-CN"/>
        </w:rPr>
        <w:t>为0.7</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b w:val="0"/>
          <w:bCs w:val="0"/>
          <w:color w:val="auto"/>
          <w:highlight w:val="none"/>
          <w:lang w:val="en-US" w:eastAsia="zh-CN"/>
        </w:rPr>
        <w:t>351.3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0D7EBFEA">
      <w:pPr>
        <w:ind w:left="0" w:leftChars="0" w:firstLine="480" w:firstLineChars="200"/>
        <w:rPr>
          <w:rFonts w:hint="eastAsia"/>
          <w:color w:val="auto"/>
          <w:highlight w:val="none"/>
          <w:lang w:val="en-US" w:eastAsia="zh-CN"/>
        </w:rPr>
      </w:pPr>
      <w:r>
        <w:rPr>
          <w:rFonts w:hint="eastAsia"/>
          <w:color w:val="auto"/>
          <w:highlight w:val="none"/>
          <w:lang w:val="en-US" w:eastAsia="zh-CN"/>
        </w:rPr>
        <w:t>（4）循环排污水</w:t>
      </w:r>
    </w:p>
    <w:p w14:paraId="43F55EC0">
      <w:pPr>
        <w:ind w:left="0" w:leftChars="0" w:firstLine="480" w:firstLineChars="200"/>
        <w:rPr>
          <w:rFonts w:hint="default"/>
          <w:color w:val="auto"/>
          <w:highlight w:val="none"/>
          <w:lang w:val="en-US" w:eastAsia="zh-CN"/>
        </w:rPr>
      </w:pPr>
      <w:r>
        <w:rPr>
          <w:rFonts w:hint="eastAsia"/>
          <w:color w:val="auto"/>
          <w:highlight w:val="none"/>
          <w:lang w:val="en-US" w:eastAsia="zh-CN"/>
        </w:rPr>
        <w:t>本项目冷冻水机组</w:t>
      </w:r>
      <w:r>
        <w:rPr>
          <w:rFonts w:hint="eastAsia" w:cs="Times New Roman"/>
          <w:bCs/>
          <w:color w:val="auto"/>
          <w:sz w:val="24"/>
          <w:highlight w:val="none"/>
          <w:lang w:val="en-US" w:eastAsia="zh-CN"/>
        </w:rPr>
        <w:t>配套1个</w:t>
      </w:r>
      <w:r>
        <w:rPr>
          <w:rFonts w:hint="eastAsia" w:cs="Times New Roman"/>
          <w:b w:val="0"/>
          <w:bCs w:val="0"/>
          <w:color w:val="auto"/>
          <w:highlight w:val="none"/>
          <w:lang w:val="en-US" w:eastAsia="zh-CN"/>
        </w:rPr>
        <w:t>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冷冻水循环水罐</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每天排污</w:t>
      </w:r>
      <w:r>
        <w:rPr>
          <w:rFonts w:hint="eastAsia" w:cs="Times New Roman"/>
          <w:color w:val="auto"/>
          <w:sz w:val="24"/>
          <w:szCs w:val="24"/>
          <w:lang w:val="en-US" w:eastAsia="zh-CN"/>
        </w:rPr>
        <w:t>量为1%，则</w:t>
      </w:r>
      <w:r>
        <w:rPr>
          <w:rFonts w:hint="eastAsia"/>
          <w:color w:val="auto"/>
          <w:highlight w:val="none"/>
          <w:lang w:val="en-US" w:eastAsia="zh-CN"/>
        </w:rPr>
        <w:t>循环排污水产生量为0.3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olor w:val="auto"/>
          <w:highlight w:val="none"/>
          <w:lang w:val="en-US" w:eastAsia="zh-CN"/>
        </w:rPr>
        <w:t>90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36B32CF4">
      <w:pPr>
        <w:ind w:left="0" w:leftChars="0" w:firstLine="480" w:firstLineChars="200"/>
        <w:rPr>
          <w:rFonts w:hint="eastAsia"/>
          <w:color w:val="auto"/>
          <w:highlight w:val="none"/>
          <w:lang w:val="en-US" w:eastAsia="zh-CN"/>
        </w:rPr>
      </w:pPr>
      <w:r>
        <w:rPr>
          <w:rFonts w:hint="eastAsia"/>
          <w:color w:val="auto"/>
          <w:highlight w:val="none"/>
          <w:lang w:val="en-US" w:eastAsia="zh-CN"/>
        </w:rPr>
        <w:t>（5）喷淋废水</w:t>
      </w:r>
    </w:p>
    <w:p w14:paraId="797025D8">
      <w:pPr>
        <w:ind w:left="0" w:leftChars="0" w:firstLine="480" w:firstLineChars="200"/>
        <w:rPr>
          <w:rFonts w:hint="default"/>
          <w:color w:val="auto"/>
          <w:highlight w:val="none"/>
          <w:lang w:val="en-US" w:eastAsia="zh-CN"/>
        </w:rPr>
      </w:pPr>
      <w:r>
        <w:rPr>
          <w:rFonts w:hint="eastAsia" w:cs="Times New Roman"/>
          <w:color w:val="auto"/>
          <w:sz w:val="24"/>
          <w:szCs w:val="24"/>
          <w:lang w:val="en-US" w:eastAsia="zh-CN"/>
        </w:rPr>
        <w:t>本项目喷淋用水量为0.4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a，废水产生系数按85%计，则</w:t>
      </w:r>
      <w:r>
        <w:rPr>
          <w:rFonts w:hint="eastAsia"/>
          <w:color w:val="auto"/>
          <w:highlight w:val="none"/>
          <w:lang w:val="en-US" w:eastAsia="zh-CN"/>
        </w:rPr>
        <w:t>喷淋废水产生量为0.0011</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olor w:val="auto"/>
          <w:highlight w:val="none"/>
          <w:lang w:val="en-US" w:eastAsia="zh-CN"/>
        </w:rPr>
        <w:t>0.34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0DE8C274">
      <w:pPr>
        <w:ind w:left="0" w:leftChars="0" w:firstLine="480" w:firstLineChars="200"/>
        <w:rPr>
          <w:rFonts w:hint="eastAsia"/>
          <w:color w:val="auto"/>
          <w:highlight w:val="none"/>
          <w:lang w:val="en-US" w:eastAsia="zh-CN"/>
        </w:rPr>
      </w:pPr>
      <w:r>
        <w:rPr>
          <w:rFonts w:hint="eastAsia"/>
          <w:color w:val="auto"/>
          <w:highlight w:val="none"/>
          <w:lang w:val="en-US" w:eastAsia="zh-CN"/>
        </w:rPr>
        <w:t>（6）生活污水</w:t>
      </w:r>
    </w:p>
    <w:p w14:paraId="0485118F">
      <w:pPr>
        <w:ind w:left="0" w:leftChars="0" w:firstLine="480" w:firstLineChars="200"/>
        <w:rPr>
          <w:rFonts w:hint="default"/>
          <w:color w:val="auto"/>
          <w:highlight w:val="none"/>
          <w:lang w:val="en-US" w:eastAsia="zh-CN"/>
        </w:rPr>
      </w:pPr>
      <w:r>
        <w:rPr>
          <w:rFonts w:hint="eastAsia" w:cs="Times New Roman"/>
          <w:color w:val="auto"/>
          <w:sz w:val="24"/>
          <w:szCs w:val="24"/>
          <w:lang w:val="en-US" w:eastAsia="zh-CN"/>
        </w:rPr>
        <w:t>本项目</w:t>
      </w:r>
      <w:r>
        <w:rPr>
          <w:rFonts w:hint="default" w:ascii="Times New Roman" w:hAnsi="Times New Roman" w:eastAsia="宋体" w:cs="Times New Roman"/>
          <w:color w:val="auto"/>
          <w:sz w:val="24"/>
          <w:szCs w:val="24"/>
        </w:rPr>
        <w:t>生活用水量</w:t>
      </w:r>
      <w:r>
        <w:rPr>
          <w:rFonts w:hint="default" w:ascii="Times New Roman" w:hAnsi="Times New Roman" w:eastAsia="宋体" w:cs="Times New Roman"/>
          <w:color w:val="auto"/>
          <w:sz w:val="24"/>
          <w:szCs w:val="24"/>
          <w:lang w:val="en-US" w:eastAsia="zh-CN"/>
        </w:rPr>
        <w:t>为</w:t>
      </w:r>
      <w:r>
        <w:rPr>
          <w:rFonts w:hint="eastAsia" w:cs="Times New Roman"/>
          <w:color w:val="auto"/>
          <w:sz w:val="24"/>
          <w:szCs w:val="24"/>
          <w:lang w:val="en-US" w:eastAsia="zh-CN"/>
        </w:rPr>
        <w:t>1560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r>
        <w:rPr>
          <w:rFonts w:hint="eastAsia" w:cs="Times New Roman"/>
          <w:color w:val="auto"/>
          <w:sz w:val="24"/>
          <w:szCs w:val="24"/>
          <w:lang w:val="en-US" w:eastAsia="zh-CN"/>
        </w:rPr>
        <w:t>废水产生系数按85%计，则本项目生活污水产生量为4.42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1326</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00EFE223">
      <w:pPr>
        <w:ind w:left="0" w:leftChars="0" w:firstLine="480" w:firstLineChars="200"/>
        <w:rPr>
          <w:rFonts w:hint="eastAsia"/>
          <w:color w:val="auto"/>
          <w:highlight w:val="none"/>
          <w:lang w:val="en-US" w:eastAsia="zh-CN"/>
        </w:rPr>
      </w:pPr>
      <w:r>
        <w:rPr>
          <w:rFonts w:hint="eastAsia"/>
          <w:color w:val="auto"/>
          <w:highlight w:val="none"/>
          <w:lang w:val="en-US" w:eastAsia="zh-CN"/>
        </w:rPr>
        <w:t>（7）初期雨水</w:t>
      </w:r>
    </w:p>
    <w:p w14:paraId="72E8E5DC">
      <w:pPr>
        <w:bidi w:val="0"/>
        <w:ind w:left="0" w:leftChars="0" w:firstLine="480" w:firstLineChars="200"/>
        <w:rPr>
          <w:rFonts w:hint="eastAsia"/>
          <w:color w:val="auto"/>
          <w:kern w:val="24"/>
          <w:sz w:val="24"/>
          <w:highlight w:val="none"/>
          <w:lang w:val="en-US" w:eastAsia="zh-CN"/>
        </w:rPr>
      </w:pPr>
      <w:r>
        <w:rPr>
          <w:rFonts w:hint="eastAsia"/>
          <w:color w:val="auto"/>
          <w:kern w:val="24"/>
          <w:sz w:val="24"/>
          <w:highlight w:val="none"/>
          <w:lang w:val="en-US" w:eastAsia="zh-CN"/>
        </w:rPr>
        <w:t>根据《石油化工给水排水系统设计规范》（SH/T3015-2019）6.3.3“</w:t>
      </w:r>
      <w:r>
        <w:rPr>
          <w:rFonts w:hint="eastAsia"/>
          <w:i/>
          <w:iCs/>
          <w:color w:val="auto"/>
          <w:kern w:val="24"/>
          <w:sz w:val="24"/>
          <w:highlight w:val="none"/>
          <w:lang w:val="en-US" w:eastAsia="zh-CN"/>
        </w:rPr>
        <w:t>一次初期雨水总量宜按污染区面积与15mm~30mm降水深度的乘积计算</w:t>
      </w:r>
      <w:r>
        <w:rPr>
          <w:rFonts w:hint="eastAsia"/>
          <w:color w:val="auto"/>
          <w:kern w:val="24"/>
          <w:sz w:val="24"/>
          <w:highlight w:val="none"/>
          <w:lang w:val="en-US" w:eastAsia="zh-CN"/>
        </w:rPr>
        <w:t>”，本项目污染区面积约</w:t>
      </w:r>
      <w:r>
        <w:rPr>
          <w:rFonts w:hint="eastAsia"/>
          <w:color w:val="auto"/>
          <w:sz w:val="24"/>
          <w:lang w:val="en-US" w:eastAsia="zh-CN"/>
        </w:rPr>
        <w:t>12500</w:t>
      </w:r>
      <w:r>
        <w:rPr>
          <w:rFonts w:hint="eastAsia" w:ascii="Times New Roman"/>
          <w:color w:val="auto"/>
          <w:sz w:val="24"/>
          <w:lang w:val="en-US" w:eastAsia="zh-CN"/>
        </w:rPr>
        <w:t>m</w:t>
      </w:r>
      <w:r>
        <w:rPr>
          <w:rFonts w:hint="eastAsia" w:ascii="Times New Roman"/>
          <w:color w:val="auto"/>
          <w:sz w:val="24"/>
          <w:vertAlign w:val="superscript"/>
          <w:lang w:val="en-US" w:eastAsia="zh-CN"/>
        </w:rPr>
        <w:t>2</w:t>
      </w:r>
      <w:r>
        <w:rPr>
          <w:rFonts w:hint="eastAsia"/>
          <w:color w:val="auto"/>
          <w:sz w:val="24"/>
          <w:lang w:val="en-US" w:eastAsia="zh-CN"/>
        </w:rPr>
        <w:t>，本次取降水深度15mm，则本项目一次初期雨水量为187.5</w:t>
      </w:r>
      <w:r>
        <w:rPr>
          <w:rFonts w:hint="eastAsia"/>
          <w:color w:val="auto"/>
          <w:kern w:val="24"/>
          <w:sz w:val="24"/>
          <w:highlight w:val="none"/>
          <w:lang w:val="en-US" w:eastAsia="zh-CN"/>
        </w:rPr>
        <w:t>m</w:t>
      </w:r>
      <w:r>
        <w:rPr>
          <w:rFonts w:hint="eastAsia"/>
          <w:color w:val="auto"/>
          <w:kern w:val="24"/>
          <w:sz w:val="24"/>
          <w:highlight w:val="none"/>
          <w:vertAlign w:val="superscript"/>
          <w:lang w:val="en-US" w:eastAsia="zh-CN"/>
        </w:rPr>
        <w:t>3</w:t>
      </w:r>
      <w:r>
        <w:rPr>
          <w:rFonts w:hint="eastAsia"/>
          <w:color w:val="auto"/>
          <w:kern w:val="24"/>
          <w:sz w:val="24"/>
          <w:highlight w:val="none"/>
          <w:lang w:val="en-US" w:eastAsia="zh-CN"/>
        </w:rPr>
        <w:t>。</w:t>
      </w:r>
    </w:p>
    <w:p w14:paraId="0FB84CBD">
      <w:pPr>
        <w:bidi w:val="0"/>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年初期雨水总量考虑暴雨强度与降雨历时的关系，假设日平均降雨量集中在降雨初期3h内，则初期雨水总量计算公式为：</w:t>
      </w:r>
    </w:p>
    <w:p w14:paraId="437889C3">
      <w:pPr>
        <w:bidi w:val="0"/>
        <w:ind w:left="0" w:leftChars="0" w:firstLine="0" w:firstLineChars="0"/>
        <w:jc w:val="center"/>
        <w:rPr>
          <w:rFonts w:ascii="Times New Roman" w:hAnsi="Times New Roman"/>
          <w:color w:val="auto"/>
          <w:sz w:val="24"/>
          <w:szCs w:val="24"/>
        </w:rPr>
      </w:pPr>
      <w:r>
        <w:rPr>
          <w:rFonts w:ascii="Times New Roman" w:hAnsi="Times New Roman"/>
          <w:color w:val="auto"/>
          <w:sz w:val="24"/>
          <w:szCs w:val="24"/>
        </w:rPr>
        <w:t>年初期雨水量</w:t>
      </w:r>
      <w:r>
        <w:rPr>
          <w:rFonts w:hint="eastAsia" w:ascii="Times New Roman" w:hAnsi="Times New Roman"/>
          <w:color w:val="auto"/>
          <w:sz w:val="24"/>
          <w:szCs w:val="24"/>
        </w:rPr>
        <w:t>=</w:t>
      </w:r>
      <w:r>
        <w:rPr>
          <w:rFonts w:ascii="Times New Roman" w:hAnsi="Times New Roman"/>
          <w:color w:val="auto"/>
          <w:sz w:val="24"/>
          <w:szCs w:val="24"/>
        </w:rPr>
        <w:t>所在地区年均降雨量×径流系数×汇水面积×2</w:t>
      </w:r>
      <w:r>
        <w:rPr>
          <w:rFonts w:hint="eastAsia" w:ascii="Times New Roman" w:hAnsi="Times New Roman"/>
          <w:color w:val="auto"/>
          <w:sz w:val="24"/>
          <w:szCs w:val="24"/>
          <w:lang w:val="en-US" w:eastAsia="zh-CN"/>
        </w:rPr>
        <w:t>0</w:t>
      </w:r>
      <w:r>
        <w:rPr>
          <w:rFonts w:ascii="Times New Roman" w:hAnsi="Times New Roman"/>
          <w:color w:val="auto"/>
          <w:sz w:val="24"/>
          <w:szCs w:val="24"/>
        </w:rPr>
        <w:t>/1</w:t>
      </w:r>
      <w:r>
        <w:rPr>
          <w:rFonts w:hint="eastAsia" w:ascii="Times New Roman" w:hAnsi="Times New Roman"/>
          <w:color w:val="auto"/>
          <w:sz w:val="24"/>
          <w:szCs w:val="24"/>
          <w:lang w:val="en-US" w:eastAsia="zh-CN"/>
        </w:rPr>
        <w:t>2</w:t>
      </w:r>
      <w:r>
        <w:rPr>
          <w:rFonts w:ascii="Times New Roman" w:hAnsi="Times New Roman"/>
          <w:color w:val="auto"/>
          <w:sz w:val="24"/>
          <w:szCs w:val="24"/>
        </w:rPr>
        <w:t>0</w:t>
      </w:r>
    </w:p>
    <w:p w14:paraId="527CDA93">
      <w:pPr>
        <w:bidi w:val="0"/>
        <w:ind w:left="0" w:leftChars="0" w:firstLine="480" w:firstLineChars="200"/>
        <w:jc w:val="both"/>
        <w:rPr>
          <w:rFonts w:hint="eastAsia" w:ascii="Times New Roman" w:hAnsi="Times New Roman" w:eastAsia="宋体"/>
          <w:color w:val="auto"/>
          <w:sz w:val="24"/>
          <w:szCs w:val="24"/>
          <w:lang w:val="en-US" w:eastAsia="zh-CN"/>
        </w:rPr>
      </w:pPr>
      <w:r>
        <w:rPr>
          <w:rFonts w:hint="eastAsia" w:ascii="Times New Roman" w:hAnsi="Times New Roman"/>
          <w:color w:val="auto"/>
          <w:sz w:val="24"/>
          <w:szCs w:val="24"/>
          <w:lang w:val="en-US" w:eastAsia="zh-CN"/>
        </w:rPr>
        <w:t>本项目所在地区年平均降</w:t>
      </w:r>
      <w:r>
        <w:rPr>
          <w:rFonts w:ascii="Times New Roman" w:hAnsi="Times New Roman"/>
          <w:color w:val="auto"/>
          <w:sz w:val="24"/>
          <w:szCs w:val="24"/>
        </w:rPr>
        <w:t>雨</w:t>
      </w:r>
      <w:r>
        <w:rPr>
          <w:rFonts w:hint="eastAsia" w:ascii="Times New Roman" w:hAnsi="Times New Roman"/>
          <w:color w:val="auto"/>
          <w:sz w:val="24"/>
          <w:szCs w:val="24"/>
          <w:lang w:val="en-US" w:eastAsia="zh-CN"/>
        </w:rPr>
        <w:t>量为1251.1mm，径流系数取0.9，</w:t>
      </w:r>
      <w:r>
        <w:rPr>
          <w:rFonts w:hint="eastAsia"/>
          <w:color w:val="auto"/>
          <w:sz w:val="24"/>
          <w:szCs w:val="24"/>
          <w:lang w:val="en-US" w:eastAsia="zh-CN"/>
        </w:rPr>
        <w:t>汇水面积约1.25h</w:t>
      </w:r>
      <w:r>
        <w:rPr>
          <w:rFonts w:hint="eastAsia" w:ascii="Times New Roman"/>
          <w:color w:val="auto"/>
          <w:sz w:val="24"/>
          <w:lang w:val="en-US" w:eastAsia="zh-CN"/>
        </w:rPr>
        <w:t>m</w:t>
      </w:r>
      <w:r>
        <w:rPr>
          <w:rFonts w:hint="eastAsia" w:ascii="Times New Roman"/>
          <w:color w:val="auto"/>
          <w:sz w:val="24"/>
          <w:vertAlign w:val="superscript"/>
          <w:lang w:val="en-US" w:eastAsia="zh-CN"/>
        </w:rPr>
        <w:t>2</w:t>
      </w:r>
      <w:r>
        <w:rPr>
          <w:rFonts w:hint="eastAsia"/>
          <w:color w:val="auto"/>
          <w:sz w:val="24"/>
          <w:lang w:val="en-US" w:eastAsia="zh-CN"/>
        </w:rPr>
        <w:t>，</w:t>
      </w:r>
      <w:r>
        <w:rPr>
          <w:rFonts w:ascii="Times New Roman" w:hAnsi="Times New Roman"/>
          <w:color w:val="auto"/>
          <w:sz w:val="24"/>
          <w:szCs w:val="24"/>
        </w:rPr>
        <w:t>经计算</w:t>
      </w:r>
      <w:r>
        <w:rPr>
          <w:rFonts w:hint="eastAsia" w:ascii="Times New Roman" w:hAnsi="Times New Roman"/>
          <w:color w:val="auto"/>
          <w:sz w:val="24"/>
          <w:szCs w:val="24"/>
        </w:rPr>
        <w:t>，本项目年初期雨水总量</w:t>
      </w:r>
      <w:r>
        <w:rPr>
          <w:rFonts w:hint="eastAsia" w:ascii="Times New Roman" w:hAnsi="Times New Roman"/>
          <w:color w:val="auto"/>
          <w:sz w:val="24"/>
          <w:szCs w:val="24"/>
          <w:lang w:val="en-US" w:eastAsia="zh-CN"/>
        </w:rPr>
        <w:t>234.58</w:t>
      </w:r>
      <w:r>
        <w:rPr>
          <w:rFonts w:ascii="Times New Roman" w:hAnsi="Times New Roman"/>
          <w:color w:val="auto"/>
          <w:sz w:val="24"/>
          <w:szCs w:val="24"/>
        </w:rPr>
        <w:t>m</w:t>
      </w:r>
      <w:r>
        <w:rPr>
          <w:rFonts w:ascii="Times New Roman" w:hAnsi="Times New Roman"/>
          <w:color w:val="auto"/>
          <w:sz w:val="24"/>
          <w:szCs w:val="24"/>
          <w:vertAlign w:val="superscript"/>
        </w:rPr>
        <w:t>3</w:t>
      </w:r>
      <w:r>
        <w:rPr>
          <w:rFonts w:ascii="Times New Roman" w:hAnsi="Times New Roman"/>
          <w:color w:val="auto"/>
          <w:sz w:val="24"/>
          <w:szCs w:val="24"/>
        </w:rPr>
        <w:t>/a</w:t>
      </w:r>
      <w:r>
        <w:rPr>
          <w:rFonts w:hint="eastAsia" w:ascii="Times New Roman" w:hAnsi="Times New Roman"/>
          <w:color w:val="auto"/>
          <w:sz w:val="24"/>
          <w:szCs w:val="24"/>
          <w:lang w:eastAsia="zh-CN"/>
        </w:rPr>
        <w:t>。</w:t>
      </w:r>
    </w:p>
    <w:p w14:paraId="436A0727">
      <w:pPr>
        <w:ind w:left="0" w:leftChars="0" w:firstLine="480" w:firstLineChars="200"/>
        <w:rPr>
          <w:rFonts w:hint="eastAsia"/>
          <w:color w:val="auto"/>
          <w:kern w:val="24"/>
          <w:sz w:val="24"/>
          <w:highlight w:val="none"/>
          <w:lang w:val="en-US" w:eastAsia="zh-CN"/>
        </w:rPr>
      </w:pPr>
      <w:r>
        <w:rPr>
          <w:rFonts w:hint="eastAsia"/>
          <w:bCs/>
          <w:color w:val="auto"/>
          <w:sz w:val="24"/>
          <w:szCs w:val="24"/>
          <w:highlight w:val="none"/>
          <w:lang w:val="en-US" w:eastAsia="zh-CN"/>
        </w:rPr>
        <w:t>综上所述，本项目废水产生量为2161.74</w:t>
      </w:r>
      <w:r>
        <w:rPr>
          <w:rFonts w:hint="eastAsia" w:cs="Times New Roman"/>
          <w:color w:val="auto"/>
          <w:sz w:val="24"/>
          <w:szCs w:val="24"/>
          <w:lang w:val="en-US" w:eastAsia="zh-CN"/>
        </w:rPr>
        <w:t>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/a，其中初期雨水、</w:t>
      </w:r>
      <w:r>
        <w:rPr>
          <w:rFonts w:hint="eastAsia"/>
          <w:color w:val="auto"/>
          <w:highlight w:val="none"/>
          <w:lang w:val="en-US" w:eastAsia="zh-CN"/>
        </w:rPr>
        <w:t>其余器皿三次后清洗废水、车间地面清洁废水、</w:t>
      </w:r>
      <w:r>
        <w:rPr>
          <w:rFonts w:hint="eastAsia" w:cs="Times New Roman"/>
          <w:color w:val="auto"/>
          <w:sz w:val="24"/>
          <w:szCs w:val="24"/>
          <w:lang w:val="en-US" w:eastAsia="zh-CN"/>
        </w:rPr>
        <w:t>反冲洗废水、循环排污水、喷淋废水产生量为835.74m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/a，</w:t>
      </w:r>
      <w:r>
        <w:rPr>
          <w:rFonts w:hint="eastAsia"/>
          <w:color w:val="auto"/>
          <w:highlight w:val="none"/>
          <w:lang w:val="en-US" w:eastAsia="zh-CN"/>
        </w:rPr>
        <w:t>作为回用水用于高性能聚羧酸减水剂复配；外排废水为生活污水，</w:t>
      </w:r>
      <w:r>
        <w:rPr>
          <w:rFonts w:hint="eastAsia" w:cs="Times New Roman"/>
          <w:color w:val="auto"/>
          <w:sz w:val="24"/>
          <w:szCs w:val="24"/>
          <w:lang w:val="en-US" w:eastAsia="zh-CN"/>
        </w:rPr>
        <w:t>产生量为4.42m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/d，1326m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/a</w:t>
      </w:r>
      <w:r>
        <w:rPr>
          <w:rFonts w:hint="eastAsia"/>
          <w:color w:val="auto"/>
          <w:kern w:val="24"/>
          <w:sz w:val="24"/>
          <w:highlight w:val="none"/>
          <w:lang w:val="en-US" w:eastAsia="zh-CN"/>
        </w:rPr>
        <w:t>。</w:t>
      </w:r>
    </w:p>
    <w:p w14:paraId="7106083F">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3、水平衡</w:t>
      </w:r>
    </w:p>
    <w:p w14:paraId="2EB4F7F4">
      <w:pPr>
        <w:bidi w:val="0"/>
        <w:rPr>
          <w:rFonts w:hint="eastAsia"/>
          <w:color w:val="auto"/>
          <w:lang w:val="en-US" w:eastAsia="zh-CN"/>
        </w:rPr>
      </w:pPr>
      <w:r>
        <w:rPr>
          <w:rFonts w:hint="eastAsia"/>
          <w:color w:val="auto"/>
          <w:lang w:val="en-US" w:eastAsia="zh-CN"/>
        </w:rPr>
        <w:t>本项目水量平衡见下图。</w:t>
      </w:r>
    </w:p>
    <w:p w14:paraId="5210ED3D">
      <w:pPr>
        <w:ind w:left="0" w:leftChars="0" w:firstLine="0" w:firstLineChars="0"/>
        <w:jc w:val="center"/>
        <w:rPr>
          <w:rFonts w:hint="default"/>
          <w:color w:val="auto"/>
          <w:kern w:val="24"/>
          <w:sz w:val="24"/>
          <w:highlight w:val="none"/>
          <w:lang w:val="en-US" w:eastAsia="zh-CN"/>
        </w:rPr>
      </w:pPr>
      <w:r>
        <w:rPr>
          <w:rFonts w:hint="default"/>
          <w:color w:val="auto"/>
          <w:kern w:val="24"/>
          <w:sz w:val="24"/>
          <w:highlight w:val="none"/>
          <w:lang w:val="en-US" w:eastAsia="zh-CN"/>
        </w:rPr>
        <w:object>
          <v:shape id="_x0000_i1029" o:spt="75" type="#_x0000_t75" style="height:276.35pt;width:464.5pt;" o:ole="t" filled="f" o:preferrelative="t" stroked="f" coordsize="21600,21600">
            <v:path/>
            <v:fill on="f" focussize="0,0"/>
            <v:stroke on="f"/>
            <v:imagedata r:id="rId32" o:title=""/>
            <o:lock v:ext="edit" aspectratio="f"/>
            <w10:wrap type="none"/>
            <w10:anchorlock/>
          </v:shape>
          <o:OLEObject Type="Embed" ProgID="Visio.Drawing.11" ShapeID="_x0000_i1029" DrawAspect="Content" ObjectID="_1468075729" r:id="rId31">
            <o:LockedField>false</o:LockedField>
          </o:OLEObject>
        </w:object>
      </w:r>
    </w:p>
    <w:p w14:paraId="2314B8EE">
      <w:pPr>
        <w:numPr>
          <w:ilvl w:val="0"/>
          <w:numId w:val="21"/>
        </w:numPr>
        <w:bidi w:val="0"/>
        <w:jc w:val="center"/>
        <w:rPr>
          <w:rFonts w:hint="default"/>
          <w:color w:val="auto"/>
          <w:lang w:val="en-US" w:eastAsia="zh-CN"/>
        </w:rPr>
      </w:pPr>
      <w:r>
        <w:rPr>
          <w:rFonts w:hint="default" w:ascii="Times New Roman" w:hAnsi="Times New Roman" w:eastAsia="黑体" w:cs="Times New Roman"/>
          <w:color w:val="auto"/>
          <w:kern w:val="2"/>
          <w:sz w:val="21"/>
          <w:szCs w:val="21"/>
          <w:highlight w:val="none"/>
          <w:lang w:val="en-US" w:eastAsia="zh-CN" w:bidi="ar-SA"/>
        </w:rPr>
        <w:t>水平衡图（单位：m</w:t>
      </w:r>
      <w:r>
        <w:rPr>
          <w:rFonts w:hint="default" w:ascii="Times New Roman" w:hAnsi="Times New Roman" w:eastAsia="黑体" w:cs="Times New Roman"/>
          <w:color w:val="auto"/>
          <w:kern w:val="2"/>
          <w:sz w:val="21"/>
          <w:szCs w:val="21"/>
          <w:highlight w:val="none"/>
          <w:vertAlign w:val="superscript"/>
          <w:lang w:val="en-US" w:eastAsia="zh-CN" w:bidi="ar-SA"/>
        </w:rPr>
        <w:t>3</w:t>
      </w:r>
      <w:r>
        <w:rPr>
          <w:rFonts w:hint="default" w:ascii="Times New Roman" w:hAnsi="Times New Roman" w:eastAsia="黑体" w:cs="Times New Roman"/>
          <w:color w:val="auto"/>
          <w:kern w:val="2"/>
          <w:sz w:val="21"/>
          <w:szCs w:val="21"/>
          <w:highlight w:val="none"/>
          <w:lang w:val="en-US" w:eastAsia="zh-CN" w:bidi="ar-SA"/>
        </w:rPr>
        <w:t>/a）</w:t>
      </w:r>
    </w:p>
    <w:p w14:paraId="2C52FF05">
      <w:pPr>
        <w:pStyle w:val="5"/>
        <w:bidi w:val="0"/>
        <w:rPr>
          <w:rFonts w:hint="default"/>
          <w:color w:val="auto"/>
          <w:highlight w:val="none"/>
          <w:lang w:val="en-US" w:eastAsia="zh-CN"/>
        </w:rPr>
      </w:pPr>
      <w:r>
        <w:rPr>
          <w:rFonts w:hint="eastAsia"/>
          <w:color w:val="auto"/>
          <w:highlight w:val="none"/>
          <w:lang w:val="en-US" w:eastAsia="zh-CN"/>
        </w:rPr>
        <w:t>蒸汽平衡</w:t>
      </w:r>
    </w:p>
    <w:p w14:paraId="4ABA1502">
      <w:pPr>
        <w:ind w:left="0" w:leftChars="0" w:firstLine="480" w:firstLineChars="200"/>
        <w:rPr>
          <w:rFonts w:hint="default"/>
          <w:color w:val="auto"/>
          <w:kern w:val="24"/>
          <w:sz w:val="24"/>
          <w:highlight w:val="none"/>
          <w:lang w:val="en-US" w:eastAsia="zh-CN"/>
        </w:rPr>
      </w:pPr>
      <w:r>
        <w:rPr>
          <w:rFonts w:hint="eastAsia"/>
          <w:color w:val="auto"/>
          <w:lang w:val="en-US" w:eastAsia="zh-CN"/>
        </w:rPr>
        <w:t>本项目蒸汽平衡见下图。</w:t>
      </w:r>
    </w:p>
    <w:p w14:paraId="04D259A2">
      <w:pPr>
        <w:ind w:left="0" w:leftChars="0" w:firstLine="0" w:firstLineChars="0"/>
        <w:jc w:val="center"/>
        <w:rPr>
          <w:rFonts w:hint="default"/>
          <w:color w:val="auto"/>
          <w:kern w:val="24"/>
          <w:sz w:val="24"/>
          <w:highlight w:val="none"/>
          <w:lang w:val="en-US" w:eastAsia="zh-CN"/>
        </w:rPr>
      </w:pPr>
      <w:r>
        <w:rPr>
          <w:rFonts w:hint="default"/>
          <w:color w:val="auto"/>
          <w:kern w:val="24"/>
          <w:sz w:val="24"/>
          <w:highlight w:val="none"/>
          <w:lang w:val="en-US" w:eastAsia="zh-CN"/>
        </w:rPr>
        <w:object>
          <v:shape id="_x0000_i1030" o:spt="75" type="#_x0000_t75" style="height:67.55pt;width:464.8pt;" o:ole="t" filled="f" o:preferrelative="t" stroked="f" coordsize="21600,21600">
            <v:path/>
            <v:fill on="f" focussize="0,0"/>
            <v:stroke on="f"/>
            <v:imagedata r:id="rId34" o:title=""/>
            <o:lock v:ext="edit" aspectratio="f"/>
            <w10:wrap type="none"/>
            <w10:anchorlock/>
          </v:shape>
          <o:OLEObject Type="Embed" ProgID="Visio.Drawing.11" ShapeID="_x0000_i1030" DrawAspect="Content" ObjectID="_1468075730" r:id="rId33">
            <o:LockedField>false</o:LockedField>
          </o:OLEObject>
        </w:object>
      </w:r>
    </w:p>
    <w:p w14:paraId="6E1EB24F">
      <w:pPr>
        <w:ind w:left="0" w:leftChars="0" w:firstLine="0" w:firstLineChars="0"/>
        <w:jc w:val="center"/>
        <w:rPr>
          <w:rFonts w:hint="default"/>
          <w:color w:val="auto"/>
          <w:kern w:val="24"/>
          <w:sz w:val="24"/>
          <w:highlight w:val="none"/>
          <w:lang w:val="en-US" w:eastAsia="zh-CN"/>
        </w:rPr>
      </w:pPr>
    </w:p>
    <w:p w14:paraId="5C3DAD70">
      <w:pPr>
        <w:numPr>
          <w:ilvl w:val="0"/>
          <w:numId w:val="21"/>
        </w:numPr>
        <w:bidi w:val="0"/>
        <w:jc w:val="center"/>
        <w:rPr>
          <w:rFonts w:hint="default" w:ascii="Times New Roman" w:hAnsi="Times New Roman" w:eastAsia="黑体" w:cs="Times New Roman"/>
          <w:color w:val="auto"/>
          <w:kern w:val="2"/>
          <w:sz w:val="21"/>
          <w:szCs w:val="21"/>
          <w:highlight w:val="none"/>
          <w:lang w:val="en-US" w:eastAsia="zh-CN" w:bidi="ar-SA"/>
        </w:rPr>
      </w:pPr>
      <w:r>
        <w:rPr>
          <w:rFonts w:hint="eastAsia" w:ascii="Times New Roman" w:hAnsi="Times New Roman" w:eastAsia="黑体" w:cs="Times New Roman"/>
          <w:color w:val="auto"/>
          <w:kern w:val="2"/>
          <w:sz w:val="21"/>
          <w:szCs w:val="21"/>
          <w:highlight w:val="none"/>
          <w:lang w:val="en-US" w:eastAsia="zh-CN" w:bidi="ar-SA"/>
        </w:rPr>
        <w:t>蒸汽</w:t>
      </w:r>
      <w:r>
        <w:rPr>
          <w:rFonts w:hint="default" w:ascii="Times New Roman" w:hAnsi="Times New Roman" w:eastAsia="黑体" w:cs="Times New Roman"/>
          <w:color w:val="auto"/>
          <w:kern w:val="2"/>
          <w:sz w:val="21"/>
          <w:szCs w:val="21"/>
          <w:highlight w:val="none"/>
          <w:lang w:val="en-US" w:eastAsia="zh-CN" w:bidi="ar-SA"/>
        </w:rPr>
        <w:t>平衡图（单位：m</w:t>
      </w:r>
      <w:r>
        <w:rPr>
          <w:rFonts w:hint="default" w:ascii="Times New Roman" w:hAnsi="Times New Roman" w:eastAsia="黑体" w:cs="Times New Roman"/>
          <w:color w:val="auto"/>
          <w:kern w:val="2"/>
          <w:sz w:val="21"/>
          <w:szCs w:val="21"/>
          <w:highlight w:val="none"/>
          <w:vertAlign w:val="superscript"/>
          <w:lang w:val="en-US" w:eastAsia="zh-CN" w:bidi="ar-SA"/>
        </w:rPr>
        <w:t>3</w:t>
      </w:r>
      <w:r>
        <w:rPr>
          <w:rFonts w:hint="default" w:ascii="Times New Roman" w:hAnsi="Times New Roman" w:eastAsia="黑体" w:cs="Times New Roman"/>
          <w:color w:val="auto"/>
          <w:kern w:val="2"/>
          <w:sz w:val="21"/>
          <w:szCs w:val="21"/>
          <w:highlight w:val="none"/>
          <w:lang w:val="en-US" w:eastAsia="zh-CN" w:bidi="ar-SA"/>
        </w:rPr>
        <w:t>/</w:t>
      </w:r>
      <w:r>
        <w:rPr>
          <w:rFonts w:hint="eastAsia" w:ascii="Times New Roman" w:hAnsi="Times New Roman" w:eastAsia="黑体" w:cs="Times New Roman"/>
          <w:color w:val="auto"/>
          <w:kern w:val="2"/>
          <w:sz w:val="21"/>
          <w:szCs w:val="21"/>
          <w:highlight w:val="none"/>
          <w:lang w:val="en-US" w:eastAsia="zh-CN" w:bidi="ar-SA"/>
        </w:rPr>
        <w:t>a</w:t>
      </w:r>
      <w:r>
        <w:rPr>
          <w:rFonts w:hint="default" w:ascii="Times New Roman" w:hAnsi="Times New Roman" w:eastAsia="黑体" w:cs="Times New Roman"/>
          <w:color w:val="auto"/>
          <w:kern w:val="2"/>
          <w:sz w:val="21"/>
          <w:szCs w:val="21"/>
          <w:highlight w:val="none"/>
          <w:lang w:val="en-US" w:eastAsia="zh-CN" w:bidi="ar-SA"/>
        </w:rPr>
        <w:t>）</w:t>
      </w:r>
    </w:p>
    <w:p w14:paraId="02E808DC">
      <w:pPr>
        <w:pStyle w:val="4"/>
        <w:bidi w:val="0"/>
        <w:rPr>
          <w:rFonts w:hint="default"/>
          <w:color w:val="auto"/>
          <w:highlight w:val="none"/>
        </w:rPr>
      </w:pPr>
      <w:r>
        <w:rPr>
          <w:rFonts w:hint="default"/>
          <w:color w:val="auto"/>
          <w:highlight w:val="none"/>
        </w:rPr>
        <w:t>施工期污染源及治理措施</w:t>
      </w:r>
    </w:p>
    <w:p w14:paraId="236CB52F">
      <w:pPr>
        <w:pStyle w:val="5"/>
        <w:bidi w:val="0"/>
        <w:rPr>
          <w:color w:val="auto"/>
          <w:highlight w:val="none"/>
        </w:rPr>
      </w:pPr>
      <w:r>
        <w:rPr>
          <w:color w:val="auto"/>
          <w:highlight w:val="none"/>
        </w:rPr>
        <w:t>大气污染物</w:t>
      </w:r>
    </w:p>
    <w:p w14:paraId="0B0E85E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1、施工扬尘</w:t>
      </w:r>
    </w:p>
    <w:p w14:paraId="0B10422A">
      <w:pPr>
        <w:bidi w:val="0"/>
        <w:ind w:left="0" w:leftChars="0" w:firstLine="480" w:firstLineChars="200"/>
        <w:rPr>
          <w:color w:val="auto"/>
        </w:rPr>
      </w:pPr>
      <w:r>
        <w:rPr>
          <w:color w:val="auto"/>
        </w:rPr>
        <w:t>在施工阶段，产生扬尘的作业主要有基础开挖、回填、建材运输、装卸、室内装修等过程，经类比分析，施工场地扬尘浓度一般约为3.5mg/m</w:t>
      </w:r>
      <w:r>
        <w:rPr>
          <w:color w:val="auto"/>
          <w:vertAlign w:val="superscript"/>
        </w:rPr>
        <w:t>3</w:t>
      </w:r>
      <w:r>
        <w:rPr>
          <w:color w:val="auto"/>
        </w:rPr>
        <w:t>，会对周围环境产生一定影响。为减轻施工期扬尘对大气环境的影响，根据《住房和城乡建设部办公厅关于进一步加强施工工地和道路扬尘管控工作的通知》（建办质</w:t>
      </w:r>
      <w:r>
        <w:rPr>
          <w:rFonts w:hint="eastAsia"/>
          <w:color w:val="auto"/>
          <w:lang w:eastAsia="zh-CN"/>
        </w:rPr>
        <w:t>〔</w:t>
      </w:r>
      <w:r>
        <w:rPr>
          <w:rFonts w:hint="eastAsia"/>
          <w:color w:val="auto"/>
          <w:lang w:val="en-US" w:eastAsia="zh-CN"/>
        </w:rPr>
        <w:t>2019</w:t>
      </w:r>
      <w:r>
        <w:rPr>
          <w:rFonts w:hint="eastAsia"/>
          <w:color w:val="auto"/>
          <w:lang w:eastAsia="zh-CN"/>
        </w:rPr>
        <w:t>〕</w:t>
      </w:r>
      <w:r>
        <w:rPr>
          <w:color w:val="auto"/>
        </w:rPr>
        <w:t>23号）</w:t>
      </w:r>
      <w:r>
        <w:rPr>
          <w:rFonts w:hint="eastAsia"/>
          <w:color w:val="auto"/>
          <w:lang w:val="en-US" w:eastAsia="zh-CN"/>
        </w:rPr>
        <w:t>和</w:t>
      </w:r>
      <w:r>
        <w:rPr>
          <w:color w:val="auto"/>
        </w:rPr>
        <w:t>《四川省建筑工程扬尘污染防治技术导则（试行）》（川建发</w:t>
      </w:r>
      <w:r>
        <w:rPr>
          <w:rFonts w:hint="eastAsia"/>
          <w:color w:val="auto"/>
          <w:lang w:eastAsia="zh-CN"/>
        </w:rPr>
        <w:t>〔</w:t>
      </w:r>
      <w:r>
        <w:rPr>
          <w:rFonts w:hint="eastAsia"/>
          <w:color w:val="auto"/>
          <w:lang w:val="en-US" w:eastAsia="zh-CN"/>
        </w:rPr>
        <w:t>2019</w:t>
      </w:r>
      <w:r>
        <w:rPr>
          <w:rFonts w:hint="eastAsia"/>
          <w:color w:val="auto"/>
          <w:lang w:eastAsia="zh-CN"/>
        </w:rPr>
        <w:t>〕</w:t>
      </w:r>
      <w:r>
        <w:rPr>
          <w:color w:val="auto"/>
        </w:rPr>
        <w:t>16号）的有关要求，施工现场应采取以下扬尘污染防治措施：</w:t>
      </w:r>
    </w:p>
    <w:p w14:paraId="10D9F5DC">
      <w:pPr>
        <w:bidi w:val="0"/>
        <w:ind w:left="0" w:leftChars="0" w:firstLine="480" w:firstLineChars="200"/>
        <w:rPr>
          <w:color w:val="auto"/>
        </w:rPr>
      </w:pPr>
      <w:r>
        <w:rPr>
          <w:color w:val="auto"/>
        </w:rPr>
        <w:t>①建设工地施工现场应沿四周连续设置封闭围挡，建设工地围挡总高度不低于3m。施工现场围挡可采用</w:t>
      </w:r>
      <w:r>
        <w:rPr>
          <w:rFonts w:hint="eastAsia"/>
          <w:color w:val="auto"/>
        </w:rPr>
        <w:t>“</w:t>
      </w:r>
      <w:r>
        <w:rPr>
          <w:color w:val="auto"/>
        </w:rPr>
        <w:t>方钢骨架＋</w:t>
      </w:r>
      <w:r>
        <w:rPr>
          <w:rFonts w:hint="eastAsia"/>
          <w:color w:val="auto"/>
        </w:rPr>
        <w:t>哑</w:t>
      </w:r>
      <w:r>
        <w:rPr>
          <w:color w:val="auto"/>
        </w:rPr>
        <w:t>光型彩钢板</w:t>
      </w:r>
      <w:r>
        <w:rPr>
          <w:rFonts w:hint="eastAsia"/>
          <w:color w:val="auto"/>
        </w:rPr>
        <w:t>”</w:t>
      </w:r>
      <w:r>
        <w:rPr>
          <w:color w:val="auto"/>
        </w:rPr>
        <w:t>或</w:t>
      </w:r>
      <w:r>
        <w:rPr>
          <w:rFonts w:hint="eastAsia"/>
          <w:color w:val="auto"/>
        </w:rPr>
        <w:t>“</w:t>
      </w:r>
      <w:r>
        <w:rPr>
          <w:color w:val="auto"/>
        </w:rPr>
        <w:t>装配式混凝土基座＋彩钢围挡</w:t>
      </w:r>
      <w:r>
        <w:rPr>
          <w:rFonts w:hint="eastAsia"/>
          <w:color w:val="auto"/>
        </w:rPr>
        <w:t>”</w:t>
      </w:r>
      <w:r>
        <w:rPr>
          <w:color w:val="auto"/>
        </w:rPr>
        <w:t>进行搭建。</w:t>
      </w:r>
    </w:p>
    <w:p w14:paraId="29EBD147">
      <w:pPr>
        <w:bidi w:val="0"/>
        <w:ind w:left="0" w:leftChars="0" w:firstLine="480" w:firstLineChars="200"/>
        <w:rPr>
          <w:color w:val="auto"/>
        </w:rPr>
      </w:pPr>
      <w:r>
        <w:rPr>
          <w:color w:val="auto"/>
        </w:rPr>
        <w:t>②建设工地主要出入口、主要通道应采用混凝土或装配式道路进行硬化，建设工地施工现场大门内侧应设置排水沟、沉淀池，门口应设高压冲洗设施，确保车辆不带泥上路。</w:t>
      </w:r>
    </w:p>
    <w:p w14:paraId="266119DE">
      <w:pPr>
        <w:bidi w:val="0"/>
        <w:ind w:left="0" w:leftChars="0" w:firstLine="480" w:firstLineChars="200"/>
        <w:rPr>
          <w:color w:val="auto"/>
        </w:rPr>
      </w:pPr>
      <w:r>
        <w:rPr>
          <w:color w:val="auto"/>
        </w:rPr>
        <w:t>③工程围挡四周应设置雾状喷淋。施工作业时应全时段开启所有雾状喷淋设备进行湿法作业，重污染天气预警期间应全天开启所有雾状喷淋设备。</w:t>
      </w:r>
    </w:p>
    <w:p w14:paraId="42960100">
      <w:pPr>
        <w:bidi w:val="0"/>
        <w:ind w:left="0" w:leftChars="0" w:firstLine="480" w:firstLineChars="200"/>
        <w:rPr>
          <w:color w:val="auto"/>
        </w:rPr>
      </w:pPr>
      <w:r>
        <w:rPr>
          <w:color w:val="auto"/>
        </w:rPr>
        <w:t>④运输车辆采取密闭运输（使用防尘布覆盖），装填时需进行压实，装填高度严禁超过车斗防护栏；车辆卸货时禁止直接倾倒、抛撒；施工期材料尽可能适量、适时采购，运至施工场地后，应尽快使用，禁止在施工场地长时间堆放；合理安排施工进度，加快施工场地的挖、填作业。</w:t>
      </w:r>
    </w:p>
    <w:p w14:paraId="3DE19778">
      <w:pPr>
        <w:bidi w:val="0"/>
        <w:ind w:left="0" w:leftChars="0" w:firstLine="480" w:firstLineChars="200"/>
        <w:rPr>
          <w:rFonts w:hint="eastAsia" w:eastAsia="宋体"/>
          <w:color w:val="auto"/>
          <w:lang w:eastAsia="zh-CN"/>
        </w:rPr>
      </w:pPr>
      <w:r>
        <w:rPr>
          <w:color w:val="auto"/>
        </w:rPr>
        <w:t>⑤</w:t>
      </w:r>
      <w:r>
        <w:rPr>
          <w:rFonts w:hint="default"/>
          <w:color w:val="auto"/>
        </w:rPr>
        <w:t>合理科学制定运输车辆运行班次，减少行驶动力扬尘起尘量，定期对道路进行洒水抑尘，运输车辆行驶路线应尽量避开人口聚集区，避免对现有交通产生较大影响</w:t>
      </w:r>
      <w:r>
        <w:rPr>
          <w:rFonts w:hint="eastAsia"/>
          <w:color w:val="auto"/>
          <w:lang w:eastAsia="zh-CN"/>
        </w:rPr>
        <w:t>。</w:t>
      </w:r>
    </w:p>
    <w:p w14:paraId="2BC9C269">
      <w:pPr>
        <w:bidi w:val="0"/>
        <w:ind w:left="0" w:leftChars="0" w:firstLine="480" w:firstLineChars="200"/>
        <w:rPr>
          <w:color w:val="auto"/>
        </w:rPr>
      </w:pPr>
      <w:r>
        <w:rPr>
          <w:color w:val="auto"/>
        </w:rPr>
        <w:t>⑥禁止在风天进行渣土堆放作业，建材堆放地点要相对集中，建筑垃圾应及时清运，对易产生扬尘的堆放材料应采取覆盖措施，禁止露天堆放。</w:t>
      </w:r>
    </w:p>
    <w:p w14:paraId="0D9EF49E">
      <w:pPr>
        <w:bidi w:val="0"/>
        <w:ind w:left="0" w:leftChars="0" w:firstLine="480" w:firstLineChars="200"/>
        <w:rPr>
          <w:color w:val="auto"/>
        </w:rPr>
      </w:pPr>
      <w:r>
        <w:rPr>
          <w:rFonts w:hint="eastAsia"/>
          <w:color w:val="auto"/>
        </w:rPr>
        <w:t>⑦</w:t>
      </w:r>
      <w:r>
        <w:rPr>
          <w:color w:val="auto"/>
        </w:rPr>
        <w:t>风速大于4m/s时应停止施工；尽量避免冬季、春季进行大规模土方作业，做到</w:t>
      </w:r>
      <w:r>
        <w:rPr>
          <w:rFonts w:hint="eastAsia"/>
          <w:color w:val="auto"/>
        </w:rPr>
        <w:t>“</w:t>
      </w:r>
      <w:r>
        <w:rPr>
          <w:color w:val="auto"/>
        </w:rPr>
        <w:t>慎开工，早完工</w:t>
      </w:r>
      <w:r>
        <w:rPr>
          <w:rFonts w:hint="eastAsia"/>
          <w:color w:val="auto"/>
        </w:rPr>
        <w:t>”</w:t>
      </w:r>
      <w:r>
        <w:rPr>
          <w:color w:val="auto"/>
        </w:rPr>
        <w:t>。</w:t>
      </w:r>
    </w:p>
    <w:p w14:paraId="38CF10FF">
      <w:pPr>
        <w:bidi w:val="0"/>
        <w:ind w:left="0" w:leftChars="0" w:firstLine="480" w:firstLineChars="200"/>
        <w:rPr>
          <w:color w:val="auto"/>
        </w:rPr>
      </w:pPr>
      <w:r>
        <w:rPr>
          <w:rFonts w:hint="default" w:ascii="Times New Roman" w:hAnsi="Times New Roman" w:eastAsia="宋体" w:cs="Times New Roman"/>
          <w:color w:val="auto"/>
          <w:sz w:val="24"/>
        </w:rPr>
        <w:t>施工单位</w:t>
      </w:r>
      <w:r>
        <w:rPr>
          <w:rFonts w:hint="eastAsia" w:ascii="Times New Roman" w:hAnsi="Times New Roman" w:eastAsia="宋体" w:cs="Times New Roman"/>
          <w:color w:val="auto"/>
          <w:sz w:val="24"/>
          <w:lang w:val="en-US" w:eastAsia="zh-CN"/>
        </w:rPr>
        <w:t>必须</w:t>
      </w:r>
      <w:r>
        <w:rPr>
          <w:rFonts w:hint="default" w:ascii="Times New Roman" w:hAnsi="Times New Roman" w:eastAsia="宋体" w:cs="Times New Roman"/>
          <w:color w:val="auto"/>
          <w:sz w:val="24"/>
        </w:rPr>
        <w:t>加强施工场地扬尘的控制，全面督查建筑工地现场管理“六必须”、“六不准”的执行情况，即：必须打围作业、必须硬化道路、必须设置冲洗设施、必须湿法作业、必须配齐保洁人员、必须定时清扫施工现场；不准车辆带泥出门，不准运渣车辆冒顶装载、不准高空抛撒建渣、不准现场搅拌混凝土、不准场地积水、不准现场焚烧废弃物。施工单位必须严格按照《关于印发四川省建筑工程扬尘污染防治技术导则（试行）的通知》（川建发</w:t>
      </w:r>
      <w:r>
        <w:rPr>
          <w:rFonts w:hint="eastAsia" w:cs="Times New Roman"/>
          <w:color w:val="auto"/>
          <w:sz w:val="24"/>
          <w:lang w:eastAsia="zh-CN"/>
        </w:rPr>
        <w:t>〔</w:t>
      </w:r>
      <w:r>
        <w:rPr>
          <w:rFonts w:hint="default" w:ascii="Times New Roman" w:hAnsi="Times New Roman" w:eastAsia="宋体" w:cs="Times New Roman"/>
          <w:color w:val="auto"/>
          <w:sz w:val="24"/>
        </w:rPr>
        <w:t>2019</w:t>
      </w:r>
      <w:r>
        <w:rPr>
          <w:rFonts w:hint="eastAsia" w:cs="Times New Roman"/>
          <w:color w:val="auto"/>
          <w:sz w:val="24"/>
          <w:lang w:eastAsia="zh-CN"/>
        </w:rPr>
        <w:t>〕</w:t>
      </w:r>
      <w:r>
        <w:rPr>
          <w:rFonts w:hint="default" w:ascii="Times New Roman" w:hAnsi="Times New Roman" w:eastAsia="宋体" w:cs="Times New Roman"/>
          <w:color w:val="auto"/>
          <w:sz w:val="24"/>
        </w:rPr>
        <w:t>16号）中要求，严格落实“六个百分百”要求，包括：工地周边围挡、物料堆放覆盖、出入车辆冲洗、施工现场道路及材料堆场硬化、工地湿法作业及渣土车辆密闭运输，并严格执行《</w:t>
      </w:r>
      <w:r>
        <w:rPr>
          <w:rFonts w:hint="eastAsia" w:ascii="Times New Roman" w:hAnsi="Times New Roman" w:eastAsia="宋体" w:cs="Times New Roman"/>
          <w:color w:val="auto"/>
          <w:sz w:val="24"/>
          <w:lang w:eastAsia="zh-CN"/>
        </w:rPr>
        <w:t>巴中市扬尘污染防治条例</w:t>
      </w:r>
      <w:r>
        <w:rPr>
          <w:rFonts w:hint="default" w:ascii="Times New Roman" w:hAnsi="Times New Roman" w:eastAsia="宋体" w:cs="Times New Roman"/>
          <w:color w:val="auto"/>
          <w:sz w:val="24"/>
        </w:rPr>
        <w:t>》（2021年1月1日起）。同时施工期扬尘执行《四川省施工场地扬尘排放标准》（DB51/2682-2020）表1标准限值。</w:t>
      </w:r>
    </w:p>
    <w:p w14:paraId="12090A41">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2、施工机械废气</w:t>
      </w:r>
    </w:p>
    <w:p w14:paraId="42BCDC20">
      <w:pPr>
        <w:bidi w:val="0"/>
        <w:ind w:left="0" w:leftChars="0" w:firstLine="480" w:firstLineChars="200"/>
        <w:rPr>
          <w:color w:val="auto"/>
        </w:rPr>
      </w:pPr>
      <w:r>
        <w:rPr>
          <w:color w:val="auto"/>
        </w:rPr>
        <w:t>施工期间，项目原材料输送机动车和施工机械设备的燃油尾气以及机动车位尾气，均会排放一定量的CO、NOx以及未完全燃烧的THC等，其特点是排放量小，且属间断性无组织排放，由于其这一特点，加之施工场地扩散条件良好，因此对其不加处理也可达到相应的排放标准。在施工期内应多加注意施工设备的维护，使其能够正常</w:t>
      </w:r>
      <w:r>
        <w:rPr>
          <w:rFonts w:hint="eastAsia"/>
          <w:color w:val="auto"/>
        </w:rPr>
        <w:t>地</w:t>
      </w:r>
      <w:r>
        <w:rPr>
          <w:color w:val="auto"/>
        </w:rPr>
        <w:t>运行，提高设备原料的利用率。建设单位应根据《四川省机动车和非道路移动机械排气污染防治办法》（四川省人民政府令第346条）中有关要求，禁止使用高排放非道路移动机械，使用的机动车和非道路移动机械的车用燃料应当符合相关燃料标准要求，机动车燃油尾气排放应符合《重型柴油车污染物排放限值及测量方法（中国第六阶段）》（GB17691-2018）和《轻型汽车污染物排放限值及测量方法（中国第六阶段）》（GB18352.6-2016）中的6b阶段标准限值要求（即一氧化碳≤500mg/km、非甲烷烃≤35mg/km、氮氧化物≤35mg/km、细颗粒物≤3mg/km）。</w:t>
      </w:r>
    </w:p>
    <w:p w14:paraId="6A6F18D5">
      <w:pPr>
        <w:bidi w:val="0"/>
        <w:ind w:left="0" w:leftChars="0" w:firstLine="480" w:firstLineChars="200"/>
        <w:rPr>
          <w:color w:val="auto"/>
        </w:rPr>
      </w:pPr>
      <w:r>
        <w:rPr>
          <w:color w:val="auto"/>
        </w:rPr>
        <w:t>环评要求：项目施工期选择环保型机械设备，运输车辆按规定方向进出，减少怠速行驶，将尾气排放降到最低；在施工期内多加注意施工设备的维护，使其能够正常</w:t>
      </w:r>
      <w:r>
        <w:rPr>
          <w:rFonts w:hint="eastAsia"/>
          <w:color w:val="auto"/>
        </w:rPr>
        <w:t>地运</w:t>
      </w:r>
      <w:r>
        <w:rPr>
          <w:color w:val="auto"/>
        </w:rPr>
        <w:t>行，从而避免施工机械非正常运行而产生的废气超标排放。</w:t>
      </w:r>
    </w:p>
    <w:p w14:paraId="65F38D51">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3、装修废气</w:t>
      </w:r>
    </w:p>
    <w:p w14:paraId="4378CEF8">
      <w:pPr>
        <w:bidi w:val="0"/>
        <w:ind w:left="0" w:leftChars="0" w:firstLine="480" w:firstLineChars="200"/>
        <w:rPr>
          <w:rFonts w:hint="eastAsia"/>
          <w:color w:val="auto"/>
        </w:rPr>
      </w:pPr>
      <w:r>
        <w:rPr>
          <w:rFonts w:hint="eastAsia"/>
          <w:color w:val="auto"/>
        </w:rPr>
        <w:t>装饰工程施工中有机溶剂的挥发，油漆废气属于短期无组织排放行为，由于其排放量小、持续时间短，加之工地通风条件良好，对周围环境的影响不大，同时要采取以下措施防治废气对环境的影响：</w:t>
      </w:r>
    </w:p>
    <w:p w14:paraId="3D91FFD7">
      <w:pPr>
        <w:bidi w:val="0"/>
        <w:ind w:left="0" w:leftChars="0" w:firstLine="480" w:firstLineChars="200"/>
        <w:rPr>
          <w:rFonts w:hint="eastAsia"/>
          <w:color w:val="auto"/>
        </w:rPr>
      </w:pPr>
      <w:r>
        <w:rPr>
          <w:rFonts w:hint="eastAsia"/>
          <w:color w:val="auto"/>
          <w:lang w:val="en-US" w:eastAsia="zh-CN"/>
        </w:rPr>
        <w:t>①</w:t>
      </w:r>
      <w:r>
        <w:rPr>
          <w:rFonts w:hint="eastAsia"/>
          <w:color w:val="auto"/>
        </w:rPr>
        <w:t>环评建议使用水性漆，降低油漆废气对周围环境的影响。</w:t>
      </w:r>
    </w:p>
    <w:p w14:paraId="7FE2350B">
      <w:pPr>
        <w:bidi w:val="0"/>
        <w:ind w:left="0" w:leftChars="0" w:firstLine="480" w:firstLineChars="200"/>
        <w:rPr>
          <w:rFonts w:hint="eastAsia"/>
          <w:color w:val="auto"/>
        </w:rPr>
      </w:pPr>
      <w:r>
        <w:rPr>
          <w:rFonts w:hint="eastAsia"/>
          <w:color w:val="auto"/>
          <w:lang w:val="en-US" w:eastAsia="zh-CN"/>
        </w:rPr>
        <w:t>②</w:t>
      </w:r>
      <w:r>
        <w:rPr>
          <w:rFonts w:hint="eastAsia"/>
          <w:color w:val="auto"/>
        </w:rPr>
        <w:t>在装修工程施工中，施工人员应配备必要的防护装备和保证足够的通风量，避免具有刺激性气味的物质或可被人体吸入的粉尘、纤维等对施工人员身体健康造成危害。</w:t>
      </w:r>
    </w:p>
    <w:p w14:paraId="34FDDCF6">
      <w:pPr>
        <w:bidi w:val="0"/>
        <w:ind w:left="0" w:leftChars="0" w:firstLine="480" w:firstLineChars="200"/>
        <w:rPr>
          <w:rFonts w:hint="eastAsia"/>
          <w:color w:val="auto"/>
        </w:rPr>
      </w:pPr>
      <w:r>
        <w:rPr>
          <w:rFonts w:hint="eastAsia"/>
          <w:color w:val="auto"/>
          <w:lang w:val="en-US" w:eastAsia="zh-CN"/>
        </w:rPr>
        <w:t>③</w:t>
      </w:r>
      <w:r>
        <w:rPr>
          <w:rFonts w:hint="eastAsia"/>
          <w:color w:val="auto"/>
        </w:rPr>
        <w:t>在施工装修期，涂料及装修材料的选取应按照国家质检总局颁布的《室内装修材料10项有害物质限量》规定进行，油漆结束完成以后，也应每天进行通风换气，所以运营后也要注意室内空气的流畅。</w:t>
      </w:r>
    </w:p>
    <w:p w14:paraId="65AABF79">
      <w:pPr>
        <w:pStyle w:val="5"/>
        <w:bidi w:val="0"/>
        <w:rPr>
          <w:color w:val="auto"/>
          <w:highlight w:val="none"/>
        </w:rPr>
      </w:pPr>
      <w:r>
        <w:rPr>
          <w:color w:val="auto"/>
          <w:highlight w:val="none"/>
        </w:rPr>
        <w:t>水污染物</w:t>
      </w:r>
    </w:p>
    <w:p w14:paraId="43D83F0F">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1、施工废水</w:t>
      </w:r>
    </w:p>
    <w:p w14:paraId="2B00C8DF">
      <w:pPr>
        <w:bidi w:val="0"/>
        <w:ind w:left="0" w:leftChars="0" w:firstLine="480" w:firstLineChars="200"/>
        <w:rPr>
          <w:color w:val="auto"/>
        </w:rPr>
      </w:pPr>
      <w:r>
        <w:rPr>
          <w:color w:val="auto"/>
        </w:rPr>
        <w:t>本项目施工期间机械修配依靠</w:t>
      </w:r>
      <w:r>
        <w:rPr>
          <w:rFonts w:hint="eastAsia"/>
          <w:color w:val="auto"/>
        </w:rPr>
        <w:t>城镇</w:t>
      </w:r>
      <w:r>
        <w:rPr>
          <w:color w:val="auto"/>
        </w:rPr>
        <w:t>维修设施。施工废水主要来源于</w:t>
      </w:r>
      <w:r>
        <w:rPr>
          <w:rFonts w:hint="eastAsia"/>
          <w:color w:val="auto"/>
          <w:lang w:val="en-US" w:eastAsia="zh-CN"/>
        </w:rPr>
        <w:t>施工</w:t>
      </w:r>
      <w:r>
        <w:rPr>
          <w:color w:val="auto"/>
        </w:rPr>
        <w:t>机械</w:t>
      </w:r>
      <w:r>
        <w:rPr>
          <w:rFonts w:hint="default"/>
          <w:color w:val="auto"/>
        </w:rPr>
        <w:t>和运输车辆</w:t>
      </w:r>
      <w:r>
        <w:rPr>
          <w:color w:val="auto"/>
        </w:rPr>
        <w:t>冲洗排出的泥浆</w:t>
      </w:r>
      <w:r>
        <w:rPr>
          <w:rFonts w:hint="eastAsia"/>
          <w:color w:val="auto"/>
          <w:lang w:val="en-US" w:eastAsia="zh-CN"/>
        </w:rPr>
        <w:t>以及基础开挖产生的基坑降水</w:t>
      </w:r>
      <w:r>
        <w:rPr>
          <w:color w:val="auto"/>
        </w:rPr>
        <w:t>等。该部分废水中的主要污染物为pH（一般大于7）、SS、COD、石油类。污水中COD浓度值最高约500m/L、BOD</w:t>
      </w:r>
      <w:r>
        <w:rPr>
          <w:color w:val="auto"/>
          <w:vertAlign w:val="subscript"/>
        </w:rPr>
        <w:t>5</w:t>
      </w:r>
      <w:r>
        <w:rPr>
          <w:color w:val="auto"/>
        </w:rPr>
        <w:t>约400mg/L、SS约1000mg/L</w:t>
      </w:r>
      <w:r>
        <w:rPr>
          <w:rFonts w:hint="eastAsia"/>
          <w:color w:val="auto"/>
          <w:lang w:eastAsia="zh-CN"/>
        </w:rPr>
        <w:t>、</w:t>
      </w:r>
      <w:r>
        <w:rPr>
          <w:rFonts w:hint="eastAsia"/>
          <w:color w:val="auto"/>
          <w:lang w:val="en-US" w:eastAsia="zh-CN"/>
        </w:rPr>
        <w:t>石油类约10</w:t>
      </w:r>
      <w:r>
        <w:rPr>
          <w:rFonts w:hint="default"/>
          <w:color w:val="auto"/>
        </w:rPr>
        <w:t>mg/L</w:t>
      </w:r>
      <w:r>
        <w:rPr>
          <w:color w:val="auto"/>
        </w:rPr>
        <w:t>。本项目施工期施工废水预计排放量为</w:t>
      </w:r>
      <w:r>
        <w:rPr>
          <w:rFonts w:hint="eastAsia"/>
          <w:color w:val="auto"/>
          <w:lang w:val="en-US" w:eastAsia="zh-CN"/>
        </w:rPr>
        <w:t>5</w:t>
      </w:r>
      <w:r>
        <w:rPr>
          <w:color w:val="auto"/>
        </w:rPr>
        <w:t>m</w:t>
      </w:r>
      <w:r>
        <w:rPr>
          <w:color w:val="auto"/>
          <w:vertAlign w:val="superscript"/>
        </w:rPr>
        <w:t>3</w:t>
      </w:r>
      <w:r>
        <w:rPr>
          <w:color w:val="auto"/>
        </w:rPr>
        <w:t>/d，环评要求采取以下污染防治措施：</w:t>
      </w:r>
    </w:p>
    <w:p w14:paraId="7E265AB0">
      <w:pPr>
        <w:bidi w:val="0"/>
        <w:ind w:left="0" w:leftChars="0" w:firstLine="480" w:firstLineChars="200"/>
        <w:rPr>
          <w:rFonts w:hint="default"/>
          <w:color w:val="auto"/>
        </w:rPr>
      </w:pPr>
      <w:r>
        <w:rPr>
          <w:rFonts w:hint="eastAsia"/>
          <w:color w:val="auto"/>
          <w:lang w:val="en-US" w:eastAsia="zh-CN"/>
        </w:rPr>
        <w:t>①</w:t>
      </w:r>
      <w:r>
        <w:rPr>
          <w:rFonts w:hint="default"/>
          <w:color w:val="auto"/>
        </w:rPr>
        <w:t>施工场地设置排水沟（沟宽×深≥300×300mm，排水坡度应大于3%）和三级沉淀池（池体容积≥</w:t>
      </w:r>
      <w:r>
        <w:rPr>
          <w:rFonts w:hint="eastAsia"/>
          <w:color w:val="auto"/>
          <w:lang w:val="en-US" w:eastAsia="zh-CN"/>
        </w:rPr>
        <w:t>5</w:t>
      </w:r>
      <w:r>
        <w:rPr>
          <w:rFonts w:hint="default"/>
          <w:color w:val="auto"/>
        </w:rPr>
        <w:t>m</w:t>
      </w:r>
      <w:r>
        <w:rPr>
          <w:rFonts w:hint="eastAsia"/>
          <w:color w:val="auto"/>
          <w:vertAlign w:val="superscript"/>
          <w:lang w:val="en-US" w:eastAsia="zh-CN"/>
        </w:rPr>
        <w:t>3</w:t>
      </w:r>
      <w:r>
        <w:rPr>
          <w:rFonts w:hint="default"/>
          <w:color w:val="auto"/>
        </w:rPr>
        <w:t>），车辆冲洗点配套修建隔油设施（池体容积≥1m</w:t>
      </w:r>
      <w:r>
        <w:rPr>
          <w:rFonts w:hint="default"/>
          <w:color w:val="auto"/>
          <w:vertAlign w:val="superscript"/>
        </w:rPr>
        <w:t>3</w:t>
      </w:r>
      <w:r>
        <w:rPr>
          <w:rFonts w:hint="default"/>
          <w:color w:val="auto"/>
        </w:rPr>
        <w:t>），废水经沉淀、隔油处理后全部回用。</w:t>
      </w:r>
    </w:p>
    <w:p w14:paraId="3B3697ED">
      <w:pPr>
        <w:bidi w:val="0"/>
        <w:ind w:left="0" w:leftChars="0" w:firstLine="480" w:firstLineChars="200"/>
        <w:rPr>
          <w:color w:val="auto"/>
        </w:rPr>
      </w:pPr>
      <w:r>
        <w:rPr>
          <w:rFonts w:hint="eastAsia"/>
          <w:color w:val="auto"/>
          <w:lang w:val="en-US" w:eastAsia="zh-CN"/>
        </w:rPr>
        <w:t>②</w:t>
      </w:r>
      <w:r>
        <w:rPr>
          <w:rFonts w:hint="default"/>
          <w:color w:val="auto"/>
        </w:rPr>
        <w:t>加强施工管理，严格避免超挖、禁止雨天开挖作业；在施工过程中</w:t>
      </w:r>
      <w:r>
        <w:rPr>
          <w:rFonts w:hint="eastAsia"/>
          <w:color w:val="auto"/>
          <w:lang w:val="en-US" w:eastAsia="zh-CN"/>
        </w:rPr>
        <w:t>建筑基础开挖</w:t>
      </w:r>
      <w:r>
        <w:rPr>
          <w:rFonts w:hint="default"/>
          <w:color w:val="auto"/>
        </w:rPr>
        <w:t>降水要根据地质勘察报告中的地下水位高低来确定，一般情况下是在</w:t>
      </w:r>
      <w:r>
        <w:rPr>
          <w:rFonts w:hint="eastAsia"/>
          <w:color w:val="auto"/>
          <w:lang w:val="en-US" w:eastAsia="zh-CN"/>
        </w:rPr>
        <w:t>基础</w:t>
      </w:r>
      <w:r>
        <w:rPr>
          <w:rFonts w:hint="default"/>
          <w:color w:val="auto"/>
        </w:rPr>
        <w:t>开挖前必须把地下水位降到设计</w:t>
      </w:r>
      <w:r>
        <w:rPr>
          <w:rFonts w:hint="eastAsia"/>
          <w:color w:val="auto"/>
          <w:lang w:val="en-US" w:eastAsia="zh-CN"/>
        </w:rPr>
        <w:t>基础坑底</w:t>
      </w:r>
      <w:r>
        <w:rPr>
          <w:rFonts w:hint="default"/>
          <w:color w:val="auto"/>
        </w:rPr>
        <w:t>标高。</w:t>
      </w:r>
      <w:r>
        <w:rPr>
          <w:rFonts w:hint="eastAsia"/>
          <w:color w:val="auto"/>
          <w:lang w:val="en-US" w:eastAsia="zh-CN"/>
        </w:rPr>
        <w:t>基础</w:t>
      </w:r>
      <w:r>
        <w:rPr>
          <w:rFonts w:hint="default"/>
          <w:color w:val="auto"/>
        </w:rPr>
        <w:t>开挖降水属于清下水，经沉淀池沉淀处理后可用于机械冲洗水和运输车辆冲洗水。</w:t>
      </w:r>
    </w:p>
    <w:p w14:paraId="4EAF1F61">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2、生活污水</w:t>
      </w:r>
    </w:p>
    <w:p w14:paraId="70262D57">
      <w:pPr>
        <w:bidi w:val="0"/>
        <w:ind w:left="0" w:leftChars="0" w:firstLine="480" w:firstLineChars="200"/>
        <w:rPr>
          <w:color w:val="auto"/>
        </w:rPr>
      </w:pPr>
      <w:r>
        <w:rPr>
          <w:color w:val="auto"/>
        </w:rPr>
        <w:t>本项目设施工营地，仅作施工人员办公用房，施工高峰期民工数可达</w:t>
      </w:r>
      <w:r>
        <w:rPr>
          <w:rFonts w:hint="eastAsia"/>
          <w:color w:val="auto"/>
          <w:lang w:val="en-US" w:eastAsia="zh-CN"/>
        </w:rPr>
        <w:t>5</w:t>
      </w:r>
      <w:r>
        <w:rPr>
          <w:color w:val="auto"/>
        </w:rPr>
        <w:t>0人左右。</w:t>
      </w:r>
      <w:r>
        <w:rPr>
          <w:rFonts w:hint="eastAsia"/>
          <w:color w:val="auto"/>
          <w:lang w:val="en-US" w:eastAsia="zh-CN"/>
        </w:rPr>
        <w:t>根据</w:t>
      </w:r>
      <w:r>
        <w:rPr>
          <w:rFonts w:hint="default"/>
          <w:color w:val="auto"/>
        </w:rPr>
        <w:t>《四川省用水定额》（川府函</w:t>
      </w:r>
      <w:r>
        <w:rPr>
          <w:rFonts w:hint="eastAsia"/>
          <w:color w:val="auto"/>
          <w:lang w:eastAsia="zh-CN"/>
        </w:rPr>
        <w:t>〔</w:t>
      </w:r>
      <w:r>
        <w:rPr>
          <w:rFonts w:hint="eastAsia"/>
          <w:color w:val="auto"/>
          <w:lang w:val="en-US" w:eastAsia="zh-CN"/>
        </w:rPr>
        <w:t>2021</w:t>
      </w:r>
      <w:r>
        <w:rPr>
          <w:rFonts w:hint="eastAsia"/>
          <w:color w:val="auto"/>
          <w:lang w:eastAsia="zh-CN"/>
        </w:rPr>
        <w:t>〕</w:t>
      </w:r>
      <w:r>
        <w:rPr>
          <w:rFonts w:hint="default"/>
          <w:color w:val="auto"/>
        </w:rPr>
        <w:t>8号），施工人员生活用水量按1</w:t>
      </w:r>
      <w:r>
        <w:rPr>
          <w:rFonts w:hint="eastAsia"/>
          <w:color w:val="auto"/>
          <w:lang w:val="en-US" w:eastAsia="zh-CN"/>
        </w:rPr>
        <w:t>3</w:t>
      </w:r>
      <w:r>
        <w:rPr>
          <w:rFonts w:hint="default"/>
          <w:color w:val="auto"/>
        </w:rPr>
        <w:t>0L人·d计，生活污水产生系数取0.85，则生活污水产生量为</w:t>
      </w:r>
      <w:r>
        <w:rPr>
          <w:rFonts w:hint="eastAsia"/>
          <w:color w:val="auto"/>
          <w:lang w:val="en-US" w:eastAsia="zh-CN"/>
        </w:rPr>
        <w:t>5.525</w:t>
      </w:r>
      <w:r>
        <w:rPr>
          <w:rFonts w:hint="default"/>
          <w:color w:val="auto"/>
        </w:rPr>
        <w:t>m</w:t>
      </w:r>
      <w:r>
        <w:rPr>
          <w:rFonts w:hint="default"/>
          <w:color w:val="auto"/>
          <w:vertAlign w:val="superscript"/>
        </w:rPr>
        <w:t>3</w:t>
      </w:r>
      <w:r>
        <w:rPr>
          <w:rFonts w:hint="default"/>
          <w:color w:val="auto"/>
        </w:rPr>
        <w:t>/d。</w:t>
      </w:r>
      <w:r>
        <w:rPr>
          <w:color w:val="auto"/>
        </w:rPr>
        <w:t>本项目施工期在施工营地设置</w:t>
      </w:r>
      <w:r>
        <w:rPr>
          <w:rFonts w:hint="eastAsia"/>
          <w:color w:val="auto"/>
          <w:lang w:val="en-US" w:eastAsia="zh-CN"/>
        </w:rPr>
        <w:t>6</w:t>
      </w:r>
      <w:r>
        <w:rPr>
          <w:color w:val="auto"/>
        </w:rPr>
        <w:t>个环保厕所，单个环保厕所集粪桶容积</w:t>
      </w:r>
      <w:r>
        <w:rPr>
          <w:rFonts w:hint="eastAsia"/>
          <w:color w:val="auto"/>
          <w:lang w:val="en-US" w:eastAsia="zh-CN"/>
        </w:rPr>
        <w:t>1</w:t>
      </w:r>
      <w:r>
        <w:rPr>
          <w:color w:val="auto"/>
        </w:rPr>
        <w:t>m</w:t>
      </w:r>
      <w:r>
        <w:rPr>
          <w:color w:val="auto"/>
          <w:vertAlign w:val="superscript"/>
        </w:rPr>
        <w:t>3</w:t>
      </w:r>
      <w:r>
        <w:rPr>
          <w:color w:val="auto"/>
        </w:rPr>
        <w:t>，本项目生活污水经环保厕所（</w:t>
      </w:r>
      <w:r>
        <w:rPr>
          <w:rFonts w:hint="eastAsia"/>
          <w:color w:val="auto"/>
          <w:lang w:val="en-US" w:eastAsia="zh-CN"/>
        </w:rPr>
        <w:t>6</w:t>
      </w:r>
      <w:r>
        <w:rPr>
          <w:color w:val="auto"/>
        </w:rPr>
        <w:t>个，总容积</w:t>
      </w:r>
      <w:r>
        <w:rPr>
          <w:rFonts w:hint="eastAsia"/>
          <w:color w:val="auto"/>
          <w:lang w:val="en-US" w:eastAsia="zh-CN"/>
        </w:rPr>
        <w:t>6</w:t>
      </w:r>
      <w:r>
        <w:rPr>
          <w:color w:val="auto"/>
        </w:rPr>
        <w:t>m</w:t>
      </w:r>
      <w:r>
        <w:rPr>
          <w:color w:val="auto"/>
          <w:vertAlign w:val="superscript"/>
        </w:rPr>
        <w:t>3</w:t>
      </w:r>
      <w:r>
        <w:rPr>
          <w:color w:val="auto"/>
        </w:rPr>
        <w:t>）收集后通过</w:t>
      </w:r>
      <w:r>
        <w:rPr>
          <w:rFonts w:hint="eastAsia"/>
          <w:color w:val="auto"/>
          <w:lang w:val="en-US" w:eastAsia="zh-CN"/>
        </w:rPr>
        <w:t>密闭罐车拉运至通江县春在污水处理厂</w:t>
      </w:r>
      <w:r>
        <w:rPr>
          <w:color w:val="auto"/>
        </w:rPr>
        <w:t>进行处理</w:t>
      </w:r>
      <w:r>
        <w:rPr>
          <w:rFonts w:hint="eastAsia"/>
          <w:color w:val="auto"/>
          <w:lang w:eastAsia="zh-CN"/>
        </w:rPr>
        <w:t>，</w:t>
      </w:r>
      <w:r>
        <w:rPr>
          <w:rFonts w:hint="eastAsia"/>
          <w:color w:val="auto"/>
          <w:lang w:val="en-US" w:eastAsia="zh-CN"/>
        </w:rPr>
        <w:t>严禁随意排放，以免污染附近水体。</w:t>
      </w:r>
    </w:p>
    <w:p w14:paraId="54E64EE6">
      <w:pPr>
        <w:pStyle w:val="5"/>
        <w:bidi w:val="0"/>
        <w:rPr>
          <w:color w:val="auto"/>
          <w:highlight w:val="none"/>
        </w:rPr>
      </w:pPr>
      <w:r>
        <w:rPr>
          <w:color w:val="auto"/>
          <w:highlight w:val="none"/>
        </w:rPr>
        <w:t>噪声</w:t>
      </w:r>
    </w:p>
    <w:p w14:paraId="3119C88F">
      <w:pPr>
        <w:bidi w:val="0"/>
        <w:ind w:left="0" w:leftChars="0" w:firstLine="480" w:firstLineChars="200"/>
        <w:rPr>
          <w:color w:val="auto"/>
        </w:rPr>
      </w:pPr>
      <w:r>
        <w:rPr>
          <w:color w:val="auto"/>
        </w:rPr>
        <w:t>施工期噪声主要来源于施工现场的各类机械设备噪声，不同施工阶段和不同施工机械发出的噪声水平是不同的，且有大量设备交互作业。因此，施工作业噪声将会对本项目内外环境带来一定的影响。各施工阶段主要施工机械设备噪声源强值见下表。</w:t>
      </w:r>
    </w:p>
    <w:p w14:paraId="5F6BD568">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施工期机械设备噪声源强值</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2514"/>
        <w:gridCol w:w="2810"/>
        <w:gridCol w:w="2980"/>
      </w:tblGrid>
      <w:tr w14:paraId="4D78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noWrap w:val="0"/>
            <w:vAlign w:val="center"/>
          </w:tcPr>
          <w:p w14:paraId="07B2BA03">
            <w:pPr>
              <w:pStyle w:val="24"/>
              <w:bidi w:val="0"/>
              <w:rPr>
                <w:b/>
                <w:bCs/>
                <w:color w:val="auto"/>
                <w:highlight w:val="none"/>
              </w:rPr>
            </w:pPr>
            <w:r>
              <w:rPr>
                <w:b/>
                <w:bCs/>
                <w:color w:val="auto"/>
                <w:highlight w:val="none"/>
              </w:rPr>
              <w:t>序号</w:t>
            </w:r>
          </w:p>
        </w:tc>
        <w:tc>
          <w:tcPr>
            <w:tcW w:w="1321" w:type="pct"/>
            <w:noWrap w:val="0"/>
            <w:vAlign w:val="center"/>
          </w:tcPr>
          <w:p w14:paraId="37079D43">
            <w:pPr>
              <w:pStyle w:val="24"/>
              <w:bidi w:val="0"/>
              <w:rPr>
                <w:b/>
                <w:bCs/>
                <w:color w:val="auto"/>
                <w:highlight w:val="none"/>
              </w:rPr>
            </w:pPr>
            <w:r>
              <w:rPr>
                <w:b/>
                <w:bCs/>
                <w:color w:val="auto"/>
                <w:highlight w:val="none"/>
              </w:rPr>
              <w:t>噪声源名称</w:t>
            </w:r>
          </w:p>
        </w:tc>
        <w:tc>
          <w:tcPr>
            <w:tcW w:w="1477" w:type="pct"/>
            <w:noWrap w:val="0"/>
            <w:vAlign w:val="center"/>
          </w:tcPr>
          <w:p w14:paraId="0CAC0D06">
            <w:pPr>
              <w:pStyle w:val="24"/>
              <w:bidi w:val="0"/>
              <w:rPr>
                <w:b/>
                <w:bCs/>
                <w:color w:val="auto"/>
                <w:highlight w:val="none"/>
              </w:rPr>
            </w:pPr>
            <w:r>
              <w:rPr>
                <w:b/>
                <w:bCs/>
                <w:color w:val="auto"/>
                <w:highlight w:val="none"/>
              </w:rPr>
              <w:t>声源特点</w:t>
            </w:r>
          </w:p>
        </w:tc>
        <w:tc>
          <w:tcPr>
            <w:tcW w:w="1566" w:type="pct"/>
            <w:noWrap w:val="0"/>
            <w:vAlign w:val="center"/>
          </w:tcPr>
          <w:p w14:paraId="75FE5C2B">
            <w:pPr>
              <w:pStyle w:val="24"/>
              <w:bidi w:val="0"/>
              <w:rPr>
                <w:b/>
                <w:bCs/>
                <w:color w:val="auto"/>
                <w:highlight w:val="none"/>
              </w:rPr>
            </w:pPr>
            <w:r>
              <w:rPr>
                <w:b/>
                <w:bCs/>
                <w:color w:val="auto"/>
                <w:highlight w:val="none"/>
              </w:rPr>
              <w:t>距声源5m处噪声值</w:t>
            </w:r>
          </w:p>
        </w:tc>
      </w:tr>
      <w:tr w14:paraId="33FA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noWrap w:val="0"/>
            <w:vAlign w:val="center"/>
          </w:tcPr>
          <w:p w14:paraId="7D274BD4">
            <w:pPr>
              <w:pStyle w:val="24"/>
              <w:bidi w:val="0"/>
              <w:rPr>
                <w:color w:val="auto"/>
                <w:highlight w:val="none"/>
              </w:rPr>
            </w:pPr>
            <w:r>
              <w:rPr>
                <w:color w:val="auto"/>
                <w:highlight w:val="none"/>
              </w:rPr>
              <w:t>1</w:t>
            </w:r>
          </w:p>
        </w:tc>
        <w:tc>
          <w:tcPr>
            <w:tcW w:w="1321" w:type="pct"/>
            <w:noWrap w:val="0"/>
            <w:vAlign w:val="center"/>
          </w:tcPr>
          <w:p w14:paraId="53636BBD">
            <w:pPr>
              <w:pStyle w:val="24"/>
              <w:bidi w:val="0"/>
              <w:rPr>
                <w:color w:val="auto"/>
                <w:highlight w:val="none"/>
              </w:rPr>
            </w:pPr>
            <w:r>
              <w:rPr>
                <w:color w:val="auto"/>
                <w:highlight w:val="none"/>
              </w:rPr>
              <w:t>装载机</w:t>
            </w:r>
          </w:p>
        </w:tc>
        <w:tc>
          <w:tcPr>
            <w:tcW w:w="1477" w:type="pct"/>
            <w:noWrap w:val="0"/>
            <w:vAlign w:val="center"/>
          </w:tcPr>
          <w:p w14:paraId="13181242">
            <w:pPr>
              <w:pStyle w:val="24"/>
              <w:bidi w:val="0"/>
              <w:rPr>
                <w:color w:val="auto"/>
                <w:highlight w:val="none"/>
              </w:rPr>
            </w:pPr>
            <w:r>
              <w:rPr>
                <w:color w:val="auto"/>
                <w:highlight w:val="none"/>
              </w:rPr>
              <w:t>不稳态源强</w:t>
            </w:r>
          </w:p>
        </w:tc>
        <w:tc>
          <w:tcPr>
            <w:tcW w:w="1566" w:type="pct"/>
            <w:noWrap w:val="0"/>
            <w:vAlign w:val="center"/>
          </w:tcPr>
          <w:p w14:paraId="1D45C6E8">
            <w:pPr>
              <w:pStyle w:val="24"/>
              <w:bidi w:val="0"/>
              <w:rPr>
                <w:color w:val="auto"/>
                <w:highlight w:val="none"/>
              </w:rPr>
            </w:pPr>
            <w:r>
              <w:rPr>
                <w:color w:val="auto"/>
                <w:highlight w:val="none"/>
              </w:rPr>
              <w:t>90dB（A）</w:t>
            </w:r>
          </w:p>
        </w:tc>
      </w:tr>
      <w:tr w14:paraId="616C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noWrap w:val="0"/>
            <w:vAlign w:val="center"/>
          </w:tcPr>
          <w:p w14:paraId="5B76B9A5">
            <w:pPr>
              <w:pStyle w:val="24"/>
              <w:bidi w:val="0"/>
              <w:rPr>
                <w:color w:val="auto"/>
                <w:highlight w:val="none"/>
              </w:rPr>
            </w:pPr>
            <w:r>
              <w:rPr>
                <w:color w:val="auto"/>
                <w:highlight w:val="none"/>
              </w:rPr>
              <w:t>2</w:t>
            </w:r>
          </w:p>
        </w:tc>
        <w:tc>
          <w:tcPr>
            <w:tcW w:w="1321" w:type="pct"/>
            <w:noWrap w:val="0"/>
            <w:vAlign w:val="center"/>
          </w:tcPr>
          <w:p w14:paraId="70A293A3">
            <w:pPr>
              <w:pStyle w:val="24"/>
              <w:bidi w:val="0"/>
              <w:rPr>
                <w:color w:val="auto"/>
                <w:highlight w:val="none"/>
              </w:rPr>
            </w:pPr>
            <w:r>
              <w:rPr>
                <w:color w:val="auto"/>
                <w:highlight w:val="none"/>
              </w:rPr>
              <w:t>推土机</w:t>
            </w:r>
          </w:p>
        </w:tc>
        <w:tc>
          <w:tcPr>
            <w:tcW w:w="1477" w:type="pct"/>
            <w:noWrap w:val="0"/>
            <w:vAlign w:val="center"/>
          </w:tcPr>
          <w:p w14:paraId="2D1D8282">
            <w:pPr>
              <w:pStyle w:val="24"/>
              <w:bidi w:val="0"/>
              <w:rPr>
                <w:color w:val="auto"/>
                <w:highlight w:val="none"/>
              </w:rPr>
            </w:pPr>
            <w:r>
              <w:rPr>
                <w:color w:val="auto"/>
                <w:highlight w:val="none"/>
              </w:rPr>
              <w:t>流动性源强</w:t>
            </w:r>
          </w:p>
        </w:tc>
        <w:tc>
          <w:tcPr>
            <w:tcW w:w="1566" w:type="pct"/>
            <w:noWrap w:val="0"/>
            <w:vAlign w:val="center"/>
          </w:tcPr>
          <w:p w14:paraId="45E35C4F">
            <w:pPr>
              <w:pStyle w:val="24"/>
              <w:bidi w:val="0"/>
              <w:rPr>
                <w:color w:val="auto"/>
                <w:highlight w:val="none"/>
              </w:rPr>
            </w:pPr>
            <w:r>
              <w:rPr>
                <w:color w:val="auto"/>
                <w:highlight w:val="none"/>
              </w:rPr>
              <w:t>82dB（A）</w:t>
            </w:r>
          </w:p>
        </w:tc>
      </w:tr>
      <w:tr w14:paraId="4016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noWrap w:val="0"/>
            <w:vAlign w:val="center"/>
          </w:tcPr>
          <w:p w14:paraId="65938FA9">
            <w:pPr>
              <w:pStyle w:val="24"/>
              <w:bidi w:val="0"/>
              <w:rPr>
                <w:color w:val="auto"/>
                <w:highlight w:val="none"/>
              </w:rPr>
            </w:pPr>
            <w:r>
              <w:rPr>
                <w:color w:val="auto"/>
                <w:highlight w:val="none"/>
              </w:rPr>
              <w:t>3</w:t>
            </w:r>
          </w:p>
        </w:tc>
        <w:tc>
          <w:tcPr>
            <w:tcW w:w="1321" w:type="pct"/>
            <w:noWrap w:val="0"/>
            <w:vAlign w:val="center"/>
          </w:tcPr>
          <w:p w14:paraId="36090C43">
            <w:pPr>
              <w:pStyle w:val="24"/>
              <w:bidi w:val="0"/>
              <w:rPr>
                <w:color w:val="auto"/>
                <w:highlight w:val="none"/>
              </w:rPr>
            </w:pPr>
            <w:r>
              <w:rPr>
                <w:color w:val="auto"/>
                <w:highlight w:val="none"/>
              </w:rPr>
              <w:t>挖掘机</w:t>
            </w:r>
          </w:p>
        </w:tc>
        <w:tc>
          <w:tcPr>
            <w:tcW w:w="1477" w:type="pct"/>
            <w:noWrap w:val="0"/>
            <w:vAlign w:val="center"/>
          </w:tcPr>
          <w:p w14:paraId="3DEC844D">
            <w:pPr>
              <w:pStyle w:val="24"/>
              <w:bidi w:val="0"/>
              <w:rPr>
                <w:color w:val="auto"/>
                <w:highlight w:val="none"/>
              </w:rPr>
            </w:pPr>
            <w:r>
              <w:rPr>
                <w:color w:val="auto"/>
                <w:highlight w:val="none"/>
              </w:rPr>
              <w:t>不稳态源强</w:t>
            </w:r>
          </w:p>
        </w:tc>
        <w:tc>
          <w:tcPr>
            <w:tcW w:w="1566" w:type="pct"/>
            <w:noWrap w:val="0"/>
            <w:vAlign w:val="center"/>
          </w:tcPr>
          <w:p w14:paraId="21170F5E">
            <w:pPr>
              <w:pStyle w:val="24"/>
              <w:bidi w:val="0"/>
              <w:rPr>
                <w:color w:val="auto"/>
                <w:highlight w:val="none"/>
              </w:rPr>
            </w:pPr>
            <w:r>
              <w:rPr>
                <w:color w:val="auto"/>
                <w:highlight w:val="none"/>
              </w:rPr>
              <w:t>84dB（A）</w:t>
            </w:r>
          </w:p>
        </w:tc>
      </w:tr>
      <w:tr w14:paraId="293F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pct"/>
            <w:noWrap w:val="0"/>
            <w:vAlign w:val="center"/>
          </w:tcPr>
          <w:p w14:paraId="309D2088">
            <w:pPr>
              <w:pStyle w:val="24"/>
              <w:bidi w:val="0"/>
              <w:rPr>
                <w:color w:val="auto"/>
                <w:highlight w:val="none"/>
              </w:rPr>
            </w:pPr>
            <w:r>
              <w:rPr>
                <w:color w:val="auto"/>
                <w:highlight w:val="none"/>
              </w:rPr>
              <w:t>4</w:t>
            </w:r>
          </w:p>
        </w:tc>
        <w:tc>
          <w:tcPr>
            <w:tcW w:w="1321" w:type="pct"/>
            <w:noWrap w:val="0"/>
            <w:vAlign w:val="center"/>
          </w:tcPr>
          <w:p w14:paraId="26C8513E">
            <w:pPr>
              <w:pStyle w:val="24"/>
              <w:bidi w:val="0"/>
              <w:rPr>
                <w:color w:val="auto"/>
                <w:highlight w:val="none"/>
              </w:rPr>
            </w:pPr>
            <w:r>
              <w:rPr>
                <w:color w:val="auto"/>
                <w:highlight w:val="none"/>
              </w:rPr>
              <w:t>运输车辆</w:t>
            </w:r>
          </w:p>
        </w:tc>
        <w:tc>
          <w:tcPr>
            <w:tcW w:w="1477" w:type="pct"/>
            <w:noWrap w:val="0"/>
            <w:vAlign w:val="center"/>
          </w:tcPr>
          <w:p w14:paraId="2DDFD080">
            <w:pPr>
              <w:pStyle w:val="24"/>
              <w:bidi w:val="0"/>
              <w:rPr>
                <w:color w:val="auto"/>
                <w:highlight w:val="none"/>
              </w:rPr>
            </w:pPr>
            <w:r>
              <w:rPr>
                <w:color w:val="auto"/>
                <w:highlight w:val="none"/>
              </w:rPr>
              <w:t>流动性源强</w:t>
            </w:r>
          </w:p>
        </w:tc>
        <w:tc>
          <w:tcPr>
            <w:tcW w:w="1566" w:type="pct"/>
            <w:noWrap w:val="0"/>
            <w:vAlign w:val="center"/>
          </w:tcPr>
          <w:p w14:paraId="36CDB11B">
            <w:pPr>
              <w:pStyle w:val="24"/>
              <w:bidi w:val="0"/>
              <w:rPr>
                <w:color w:val="auto"/>
                <w:highlight w:val="none"/>
              </w:rPr>
            </w:pPr>
            <w:r>
              <w:rPr>
                <w:color w:val="auto"/>
                <w:highlight w:val="none"/>
              </w:rPr>
              <w:t>88dB（A）</w:t>
            </w:r>
          </w:p>
        </w:tc>
      </w:tr>
    </w:tbl>
    <w:p w14:paraId="52E77DD7">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施工期交通运输车辆源强值</w:t>
      </w:r>
    </w:p>
    <w:tbl>
      <w:tblPr>
        <w:tblStyle w:val="20"/>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889"/>
        <w:gridCol w:w="3299"/>
        <w:gridCol w:w="2439"/>
        <w:gridCol w:w="1887"/>
      </w:tblGrid>
      <w:tr w14:paraId="37C015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993" w:type="pct"/>
            <w:tcBorders>
              <w:tl2br w:val="nil"/>
              <w:tr2bl w:val="nil"/>
            </w:tcBorders>
            <w:noWrap w:val="0"/>
            <w:vAlign w:val="center"/>
          </w:tcPr>
          <w:p w14:paraId="028F304D">
            <w:pPr>
              <w:pStyle w:val="24"/>
              <w:bidi w:val="0"/>
              <w:rPr>
                <w:b/>
                <w:bCs/>
                <w:color w:val="auto"/>
                <w:highlight w:val="none"/>
              </w:rPr>
            </w:pPr>
            <w:r>
              <w:rPr>
                <w:b/>
                <w:bCs/>
                <w:color w:val="auto"/>
                <w:highlight w:val="none"/>
              </w:rPr>
              <w:t>施工阶段</w:t>
            </w:r>
          </w:p>
        </w:tc>
        <w:tc>
          <w:tcPr>
            <w:tcW w:w="1734" w:type="pct"/>
            <w:tcBorders>
              <w:tl2br w:val="nil"/>
              <w:tr2bl w:val="nil"/>
            </w:tcBorders>
            <w:noWrap w:val="0"/>
            <w:vAlign w:val="center"/>
          </w:tcPr>
          <w:p w14:paraId="6491C00A">
            <w:pPr>
              <w:pStyle w:val="24"/>
              <w:bidi w:val="0"/>
              <w:rPr>
                <w:b/>
                <w:bCs/>
                <w:color w:val="auto"/>
                <w:highlight w:val="none"/>
              </w:rPr>
            </w:pPr>
            <w:r>
              <w:rPr>
                <w:b/>
                <w:bCs/>
                <w:color w:val="auto"/>
                <w:highlight w:val="none"/>
              </w:rPr>
              <w:t>运输内容</w:t>
            </w:r>
          </w:p>
        </w:tc>
        <w:tc>
          <w:tcPr>
            <w:tcW w:w="1282" w:type="pct"/>
            <w:tcBorders>
              <w:tl2br w:val="nil"/>
              <w:tr2bl w:val="nil"/>
            </w:tcBorders>
            <w:noWrap w:val="0"/>
            <w:vAlign w:val="center"/>
          </w:tcPr>
          <w:p w14:paraId="26AD3194">
            <w:pPr>
              <w:pStyle w:val="24"/>
              <w:bidi w:val="0"/>
              <w:rPr>
                <w:b/>
                <w:bCs/>
                <w:color w:val="auto"/>
                <w:highlight w:val="none"/>
              </w:rPr>
            </w:pPr>
            <w:r>
              <w:rPr>
                <w:b/>
                <w:bCs/>
                <w:color w:val="auto"/>
                <w:highlight w:val="none"/>
              </w:rPr>
              <w:t>车辆类型</w:t>
            </w:r>
          </w:p>
        </w:tc>
        <w:tc>
          <w:tcPr>
            <w:tcW w:w="991" w:type="pct"/>
            <w:tcBorders>
              <w:tl2br w:val="nil"/>
              <w:tr2bl w:val="nil"/>
            </w:tcBorders>
            <w:noWrap w:val="0"/>
            <w:vAlign w:val="center"/>
          </w:tcPr>
          <w:p w14:paraId="6EFDF976">
            <w:pPr>
              <w:pStyle w:val="24"/>
              <w:bidi w:val="0"/>
              <w:rPr>
                <w:b/>
                <w:bCs/>
                <w:color w:val="auto"/>
                <w:highlight w:val="none"/>
              </w:rPr>
            </w:pPr>
            <w:r>
              <w:rPr>
                <w:b/>
                <w:bCs/>
                <w:color w:val="auto"/>
                <w:highlight w:val="none"/>
              </w:rPr>
              <w:t>声源强度[dB(A)]</w:t>
            </w:r>
          </w:p>
        </w:tc>
      </w:tr>
      <w:tr w14:paraId="0AD32E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993" w:type="pct"/>
            <w:tcBorders>
              <w:tl2br w:val="nil"/>
              <w:tr2bl w:val="nil"/>
            </w:tcBorders>
            <w:noWrap w:val="0"/>
            <w:vAlign w:val="center"/>
          </w:tcPr>
          <w:p w14:paraId="6C369C5B">
            <w:pPr>
              <w:pStyle w:val="24"/>
              <w:bidi w:val="0"/>
              <w:rPr>
                <w:color w:val="auto"/>
                <w:highlight w:val="none"/>
              </w:rPr>
            </w:pPr>
            <w:r>
              <w:rPr>
                <w:color w:val="auto"/>
                <w:highlight w:val="none"/>
              </w:rPr>
              <w:t>土石方阶段</w:t>
            </w:r>
          </w:p>
        </w:tc>
        <w:tc>
          <w:tcPr>
            <w:tcW w:w="1734" w:type="pct"/>
            <w:tcBorders>
              <w:tl2br w:val="nil"/>
              <w:tr2bl w:val="nil"/>
            </w:tcBorders>
            <w:noWrap w:val="0"/>
            <w:vAlign w:val="center"/>
          </w:tcPr>
          <w:p w14:paraId="1AD5928F">
            <w:pPr>
              <w:pStyle w:val="24"/>
              <w:bidi w:val="0"/>
              <w:rPr>
                <w:color w:val="auto"/>
                <w:highlight w:val="none"/>
              </w:rPr>
            </w:pPr>
            <w:r>
              <w:rPr>
                <w:color w:val="auto"/>
                <w:highlight w:val="none"/>
              </w:rPr>
              <w:t>土石方运输</w:t>
            </w:r>
          </w:p>
        </w:tc>
        <w:tc>
          <w:tcPr>
            <w:tcW w:w="1282" w:type="pct"/>
            <w:tcBorders>
              <w:tl2br w:val="nil"/>
              <w:tr2bl w:val="nil"/>
            </w:tcBorders>
            <w:noWrap w:val="0"/>
            <w:vAlign w:val="center"/>
          </w:tcPr>
          <w:p w14:paraId="3BAC34D9">
            <w:pPr>
              <w:pStyle w:val="24"/>
              <w:bidi w:val="0"/>
              <w:rPr>
                <w:color w:val="auto"/>
                <w:highlight w:val="none"/>
              </w:rPr>
            </w:pPr>
            <w:r>
              <w:rPr>
                <w:color w:val="auto"/>
                <w:highlight w:val="none"/>
              </w:rPr>
              <w:t>大型载重车</w:t>
            </w:r>
          </w:p>
        </w:tc>
        <w:tc>
          <w:tcPr>
            <w:tcW w:w="991" w:type="pct"/>
            <w:tcBorders>
              <w:tl2br w:val="nil"/>
              <w:tr2bl w:val="nil"/>
            </w:tcBorders>
            <w:noWrap w:val="0"/>
            <w:vAlign w:val="center"/>
          </w:tcPr>
          <w:p w14:paraId="05F7432D">
            <w:pPr>
              <w:pStyle w:val="24"/>
              <w:bidi w:val="0"/>
              <w:rPr>
                <w:color w:val="auto"/>
                <w:highlight w:val="none"/>
              </w:rPr>
            </w:pPr>
            <w:r>
              <w:rPr>
                <w:color w:val="auto"/>
                <w:highlight w:val="none"/>
              </w:rPr>
              <w:t>84～89</w:t>
            </w:r>
          </w:p>
        </w:tc>
      </w:tr>
      <w:tr w14:paraId="57A2C8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993" w:type="pct"/>
            <w:tcBorders>
              <w:tl2br w:val="nil"/>
              <w:tr2bl w:val="nil"/>
            </w:tcBorders>
            <w:noWrap w:val="0"/>
            <w:vAlign w:val="center"/>
          </w:tcPr>
          <w:p w14:paraId="1D4E5E78">
            <w:pPr>
              <w:pStyle w:val="24"/>
              <w:bidi w:val="0"/>
              <w:rPr>
                <w:color w:val="auto"/>
                <w:highlight w:val="none"/>
              </w:rPr>
            </w:pPr>
            <w:r>
              <w:rPr>
                <w:color w:val="auto"/>
                <w:highlight w:val="none"/>
              </w:rPr>
              <w:t>底板及结构阶段</w:t>
            </w:r>
          </w:p>
        </w:tc>
        <w:tc>
          <w:tcPr>
            <w:tcW w:w="1734" w:type="pct"/>
            <w:tcBorders>
              <w:tl2br w:val="nil"/>
              <w:tr2bl w:val="nil"/>
            </w:tcBorders>
            <w:noWrap w:val="0"/>
            <w:vAlign w:val="center"/>
          </w:tcPr>
          <w:p w14:paraId="3E9A874C">
            <w:pPr>
              <w:pStyle w:val="24"/>
              <w:bidi w:val="0"/>
              <w:rPr>
                <w:color w:val="auto"/>
                <w:highlight w:val="none"/>
              </w:rPr>
            </w:pPr>
            <w:r>
              <w:rPr>
                <w:color w:val="auto"/>
                <w:highlight w:val="none"/>
              </w:rPr>
              <w:t>钢筋、商品混凝土、墙体材料等</w:t>
            </w:r>
          </w:p>
        </w:tc>
        <w:tc>
          <w:tcPr>
            <w:tcW w:w="1282" w:type="pct"/>
            <w:tcBorders>
              <w:tl2br w:val="nil"/>
              <w:tr2bl w:val="nil"/>
            </w:tcBorders>
            <w:noWrap w:val="0"/>
            <w:vAlign w:val="center"/>
          </w:tcPr>
          <w:p w14:paraId="70687F42">
            <w:pPr>
              <w:pStyle w:val="24"/>
              <w:bidi w:val="0"/>
              <w:rPr>
                <w:color w:val="auto"/>
                <w:highlight w:val="none"/>
              </w:rPr>
            </w:pPr>
            <w:r>
              <w:rPr>
                <w:color w:val="auto"/>
                <w:highlight w:val="none"/>
              </w:rPr>
              <w:t>混凝土罐车、载重车</w:t>
            </w:r>
          </w:p>
        </w:tc>
        <w:tc>
          <w:tcPr>
            <w:tcW w:w="991" w:type="pct"/>
            <w:tcBorders>
              <w:tl2br w:val="nil"/>
              <w:tr2bl w:val="nil"/>
            </w:tcBorders>
            <w:noWrap w:val="0"/>
            <w:vAlign w:val="center"/>
          </w:tcPr>
          <w:p w14:paraId="4CA72794">
            <w:pPr>
              <w:pStyle w:val="24"/>
              <w:bidi w:val="0"/>
              <w:rPr>
                <w:color w:val="auto"/>
                <w:highlight w:val="none"/>
              </w:rPr>
            </w:pPr>
            <w:r>
              <w:rPr>
                <w:color w:val="auto"/>
                <w:highlight w:val="none"/>
              </w:rPr>
              <w:t>80～85</w:t>
            </w:r>
          </w:p>
        </w:tc>
      </w:tr>
      <w:tr w14:paraId="3C6E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993" w:type="pct"/>
            <w:tcBorders>
              <w:tl2br w:val="nil"/>
              <w:tr2bl w:val="nil"/>
            </w:tcBorders>
            <w:noWrap w:val="0"/>
            <w:vAlign w:val="center"/>
          </w:tcPr>
          <w:p w14:paraId="483A1A48">
            <w:pPr>
              <w:pStyle w:val="24"/>
              <w:bidi w:val="0"/>
              <w:rPr>
                <w:color w:val="auto"/>
                <w:highlight w:val="none"/>
              </w:rPr>
            </w:pPr>
            <w:r>
              <w:rPr>
                <w:color w:val="auto"/>
                <w:highlight w:val="none"/>
              </w:rPr>
              <w:t>装修阶段</w:t>
            </w:r>
          </w:p>
        </w:tc>
        <w:tc>
          <w:tcPr>
            <w:tcW w:w="1734" w:type="pct"/>
            <w:tcBorders>
              <w:tl2br w:val="nil"/>
              <w:tr2bl w:val="nil"/>
            </w:tcBorders>
            <w:noWrap w:val="0"/>
            <w:vAlign w:val="center"/>
          </w:tcPr>
          <w:p w14:paraId="2B61C34D">
            <w:pPr>
              <w:pStyle w:val="24"/>
              <w:bidi w:val="0"/>
              <w:rPr>
                <w:color w:val="auto"/>
                <w:highlight w:val="none"/>
              </w:rPr>
            </w:pPr>
            <w:r>
              <w:rPr>
                <w:color w:val="auto"/>
                <w:highlight w:val="none"/>
              </w:rPr>
              <w:t>各种装修材料及必备设备</w:t>
            </w:r>
          </w:p>
        </w:tc>
        <w:tc>
          <w:tcPr>
            <w:tcW w:w="1282" w:type="pct"/>
            <w:tcBorders>
              <w:tl2br w:val="nil"/>
              <w:tr2bl w:val="nil"/>
            </w:tcBorders>
            <w:noWrap w:val="0"/>
            <w:vAlign w:val="center"/>
          </w:tcPr>
          <w:p w14:paraId="32D64596">
            <w:pPr>
              <w:pStyle w:val="24"/>
              <w:bidi w:val="0"/>
              <w:rPr>
                <w:color w:val="auto"/>
                <w:highlight w:val="none"/>
              </w:rPr>
            </w:pPr>
            <w:r>
              <w:rPr>
                <w:color w:val="auto"/>
                <w:highlight w:val="none"/>
              </w:rPr>
              <w:t>轻型载重卡车</w:t>
            </w:r>
          </w:p>
        </w:tc>
        <w:tc>
          <w:tcPr>
            <w:tcW w:w="991" w:type="pct"/>
            <w:tcBorders>
              <w:tl2br w:val="nil"/>
              <w:tr2bl w:val="nil"/>
            </w:tcBorders>
            <w:noWrap w:val="0"/>
            <w:vAlign w:val="center"/>
          </w:tcPr>
          <w:p w14:paraId="1DE88F28">
            <w:pPr>
              <w:pStyle w:val="24"/>
              <w:bidi w:val="0"/>
              <w:rPr>
                <w:color w:val="auto"/>
                <w:highlight w:val="none"/>
              </w:rPr>
            </w:pPr>
            <w:r>
              <w:rPr>
                <w:color w:val="auto"/>
                <w:highlight w:val="none"/>
              </w:rPr>
              <w:t>75～80</w:t>
            </w:r>
          </w:p>
        </w:tc>
      </w:tr>
    </w:tbl>
    <w:p w14:paraId="05F8426C">
      <w:pPr>
        <w:bidi w:val="0"/>
        <w:ind w:left="0" w:leftChars="0" w:firstLine="480" w:firstLineChars="200"/>
        <w:rPr>
          <w:color w:val="auto"/>
        </w:rPr>
      </w:pPr>
      <w:r>
        <w:rPr>
          <w:color w:val="auto"/>
        </w:rPr>
        <w:t>为实现施工场界噪声达标排放，降低施工噪声对周围环境的影响，根据《中华人民共和国噪声污染防治法》的有关要求，建设单位和施工单位应采取以下噪声防治措施：</w:t>
      </w:r>
    </w:p>
    <w:p w14:paraId="52474341">
      <w:pPr>
        <w:bidi w:val="0"/>
        <w:ind w:left="0" w:leftChars="0" w:firstLine="480" w:firstLineChars="200"/>
        <w:rPr>
          <w:color w:val="auto"/>
        </w:rPr>
      </w:pPr>
      <w:r>
        <w:rPr>
          <w:rFonts w:hint="eastAsia"/>
          <w:color w:val="auto"/>
        </w:rPr>
        <w:t>①</w:t>
      </w:r>
      <w:r>
        <w:rPr>
          <w:color w:val="auto"/>
        </w:rPr>
        <w:t>选用符合国家标准的低噪声设备，定期加强对设备的维修保养，避免由于设备非正常工作而产生噪声污染。</w:t>
      </w:r>
    </w:p>
    <w:p w14:paraId="734AB45D">
      <w:pPr>
        <w:bidi w:val="0"/>
        <w:ind w:left="0" w:leftChars="0" w:firstLine="480" w:firstLineChars="200"/>
        <w:rPr>
          <w:color w:val="auto"/>
        </w:rPr>
      </w:pPr>
      <w:r>
        <w:rPr>
          <w:rFonts w:hint="eastAsia"/>
          <w:color w:val="auto"/>
        </w:rPr>
        <w:t>②</w:t>
      </w:r>
      <w:r>
        <w:rPr>
          <w:color w:val="auto"/>
        </w:rPr>
        <w:t>合理安排施工时间，</w:t>
      </w:r>
      <w:r>
        <w:rPr>
          <w:rFonts w:hint="default"/>
          <w:color w:val="auto"/>
          <w:lang w:val="en-US" w:eastAsia="zh-CN"/>
        </w:rPr>
        <w:t>夜间（22：00~06:00）和午休时间（12：00~14:00）禁止</w:t>
      </w:r>
      <w:r>
        <w:rPr>
          <w:rFonts w:hint="eastAsia"/>
          <w:color w:val="auto"/>
          <w:lang w:val="en-US" w:eastAsia="zh-CN"/>
        </w:rPr>
        <w:t>施工，“因特殊要求必须连续作业的，必须有县级以上人民政府或者有关主管部门的证明”，</w:t>
      </w:r>
      <w:r>
        <w:rPr>
          <w:rFonts w:hint="default"/>
          <w:color w:val="auto"/>
        </w:rPr>
        <w:t>须事先征得周围居民同意，</w:t>
      </w:r>
      <w:r>
        <w:rPr>
          <w:rFonts w:hint="eastAsia"/>
          <w:color w:val="auto"/>
          <w:lang w:val="en-US" w:eastAsia="zh-CN"/>
        </w:rPr>
        <w:t>并</w:t>
      </w:r>
      <w:r>
        <w:rPr>
          <w:rFonts w:hint="default"/>
          <w:color w:val="auto"/>
        </w:rPr>
        <w:t>向当地管理部门申报。</w:t>
      </w:r>
    </w:p>
    <w:p w14:paraId="5CB6885E">
      <w:pPr>
        <w:bidi w:val="0"/>
        <w:ind w:left="0" w:leftChars="0" w:firstLine="480" w:firstLineChars="200"/>
        <w:rPr>
          <w:color w:val="auto"/>
        </w:rPr>
      </w:pPr>
      <w:r>
        <w:rPr>
          <w:rFonts w:hint="eastAsia"/>
          <w:color w:val="auto"/>
        </w:rPr>
        <w:t>③</w:t>
      </w:r>
      <w:r>
        <w:rPr>
          <w:color w:val="auto"/>
        </w:rPr>
        <w:t>加强管理，文明施工。装卸、搬运木材、模具、钢材等严禁抛掷，材料运输车辆进场要专人指挥，厂内运输车辆实施限速、禁止鸣笛。施工监理单位应做好噪声控制措施，确保施工场界噪声达标排放。</w:t>
      </w:r>
    </w:p>
    <w:p w14:paraId="05A0102A">
      <w:pPr>
        <w:bidi w:val="0"/>
        <w:ind w:left="0" w:leftChars="0" w:firstLine="480" w:firstLineChars="200"/>
        <w:rPr>
          <w:color w:val="auto"/>
        </w:rPr>
      </w:pPr>
      <w:r>
        <w:rPr>
          <w:rFonts w:hint="eastAsia"/>
          <w:color w:val="auto"/>
        </w:rPr>
        <w:t>④</w:t>
      </w:r>
      <w:r>
        <w:rPr>
          <w:color w:val="auto"/>
        </w:rPr>
        <w:t>施工运输车辆应按照有关部门同意的运输路线行进，运输时间应避开居民进出高峰期、午间和夜间，同时严格限速、限载管理，禁止鸣笛。</w:t>
      </w:r>
    </w:p>
    <w:p w14:paraId="333D1BC1">
      <w:pPr>
        <w:bidi w:val="0"/>
        <w:ind w:left="0" w:leftChars="0" w:firstLine="480" w:firstLineChars="200"/>
        <w:rPr>
          <w:color w:val="auto"/>
        </w:rPr>
      </w:pPr>
      <w:r>
        <w:rPr>
          <w:rFonts w:hint="eastAsia"/>
          <w:color w:val="auto"/>
        </w:rPr>
        <w:t>⑤</w:t>
      </w:r>
      <w:r>
        <w:rPr>
          <w:color w:val="auto"/>
        </w:rPr>
        <w:t>施工前应进行公示，施工单位应在现场张贴通告和投诉电话，建设单位在接到投诉电话后及时与当地环保部门联系，及时处理各种环境纠纷。</w:t>
      </w:r>
    </w:p>
    <w:p w14:paraId="6F9C1556">
      <w:pPr>
        <w:bidi w:val="0"/>
        <w:ind w:left="0" w:leftChars="0" w:firstLine="480" w:firstLineChars="200"/>
        <w:rPr>
          <w:rFonts w:hint="eastAsia"/>
          <w:color w:val="auto"/>
          <w:highlight w:val="none"/>
          <w:lang w:val="en-US" w:eastAsia="zh-CN"/>
        </w:rPr>
      </w:pPr>
      <w:r>
        <w:rPr>
          <w:color w:val="auto"/>
        </w:rPr>
        <w:t>施工期经过采取上述噪声治理措施后，场界噪声可以满足《建筑施工场界环境噪声排放标准》（GB12523-2011）标准的要求，实现达标排放。</w:t>
      </w:r>
    </w:p>
    <w:p w14:paraId="5931D04C">
      <w:pPr>
        <w:pStyle w:val="5"/>
        <w:bidi w:val="0"/>
        <w:rPr>
          <w:color w:val="auto"/>
          <w:highlight w:val="none"/>
        </w:rPr>
      </w:pPr>
      <w:r>
        <w:rPr>
          <w:rFonts w:hint="eastAsia"/>
          <w:color w:val="auto"/>
          <w:highlight w:val="none"/>
        </w:rPr>
        <w:t>固体废物</w:t>
      </w:r>
    </w:p>
    <w:p w14:paraId="48317B1F">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eastAsia" w:cs="Times New Roman"/>
          <w:b/>
          <w:bCs/>
          <w:color w:val="auto"/>
          <w:highlight w:val="none"/>
          <w:lang w:val="en-US" w:eastAsia="zh-CN"/>
        </w:rPr>
        <w:t>土石方</w:t>
      </w:r>
    </w:p>
    <w:p w14:paraId="5C9EEC4E">
      <w:pPr>
        <w:bidi w:val="0"/>
        <w:ind w:left="0" w:leftChars="0" w:firstLine="480" w:firstLineChars="200"/>
        <w:rPr>
          <w:color w:val="auto"/>
          <w:highlight w:val="none"/>
        </w:rPr>
      </w:pPr>
      <w:r>
        <w:rPr>
          <w:color w:val="auto"/>
        </w:rPr>
        <w:t>本项目施工期</w:t>
      </w:r>
      <w:r>
        <w:rPr>
          <w:rFonts w:hint="eastAsia"/>
          <w:color w:val="auto"/>
          <w:lang w:val="en-US" w:eastAsia="zh-CN"/>
        </w:rPr>
        <w:t>开挖</w:t>
      </w:r>
      <w:r>
        <w:rPr>
          <w:color w:val="auto"/>
        </w:rPr>
        <w:t>土石方</w:t>
      </w:r>
      <w:r>
        <w:rPr>
          <w:rFonts w:hint="eastAsia"/>
          <w:color w:val="auto"/>
          <w:lang w:val="en-US" w:eastAsia="zh-CN"/>
        </w:rPr>
        <w:t>全部回填利用，无弃土方。环评要求：</w:t>
      </w:r>
      <w:r>
        <w:rPr>
          <w:color w:val="auto"/>
        </w:rPr>
        <w:t>施工期禁止大风天气和雨天进行土石方开挖作业，开挖的土石方采取防雨布覆盖，</w:t>
      </w:r>
      <w:r>
        <w:rPr>
          <w:rFonts w:hint="eastAsia"/>
          <w:color w:val="auto"/>
          <w:lang w:val="en-US" w:eastAsia="zh-CN"/>
        </w:rPr>
        <w:t>临时</w:t>
      </w:r>
      <w:r>
        <w:rPr>
          <w:color w:val="auto"/>
        </w:rPr>
        <w:t>堆放高度不高于1.5m，临时堆场四周设置编织袋拦挡措施，并设置导流明渠，将雨水引导到沉淀池后循环使用，土石方及时回填，回填后及时夯实覆土</w:t>
      </w:r>
      <w:r>
        <w:rPr>
          <w:rFonts w:hint="eastAsia"/>
          <w:color w:val="auto"/>
          <w:lang w:eastAsia="zh-CN"/>
        </w:rPr>
        <w:t>。</w:t>
      </w:r>
      <w:r>
        <w:rPr>
          <w:rFonts w:hint="eastAsia"/>
          <w:color w:val="auto"/>
          <w:lang w:val="en-US" w:eastAsia="zh-CN"/>
        </w:rPr>
        <w:t>施工结束后，将剥离的表土用于绿化区覆土利用。</w:t>
      </w:r>
    </w:p>
    <w:p w14:paraId="31F65657">
      <w:pPr>
        <w:pStyle w:val="6"/>
        <w:ind w:firstLine="482"/>
        <w:rPr>
          <w:rFonts w:hint="eastAsia"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2</w:t>
      </w:r>
      <w:r>
        <w:rPr>
          <w:rFonts w:hint="eastAsia" w:ascii="Times New Roman" w:hAnsi="Times New Roman" w:eastAsia="宋体" w:cs="Times New Roman"/>
          <w:b/>
          <w:bCs/>
          <w:color w:val="auto"/>
          <w:highlight w:val="none"/>
          <w:lang w:val="en-US" w:eastAsia="zh-CN"/>
        </w:rPr>
        <w:t>、</w:t>
      </w:r>
      <w:r>
        <w:rPr>
          <w:color w:val="auto"/>
          <w:highlight w:val="none"/>
        </w:rPr>
        <w:t>建筑废物</w:t>
      </w:r>
      <w:r>
        <w:rPr>
          <w:rFonts w:hint="eastAsia"/>
          <w:color w:val="auto"/>
          <w:highlight w:val="none"/>
          <w:lang w:val="en-US" w:eastAsia="zh-CN"/>
        </w:rPr>
        <w:t>和装修垃圾</w:t>
      </w:r>
    </w:p>
    <w:p w14:paraId="7159D40C">
      <w:pPr>
        <w:bidi w:val="0"/>
        <w:ind w:left="0" w:leftChars="0" w:firstLine="480" w:firstLineChars="200"/>
        <w:rPr>
          <w:color w:val="auto"/>
        </w:rPr>
      </w:pPr>
      <w:r>
        <w:rPr>
          <w:color w:val="auto"/>
        </w:rPr>
        <w:t>在工程施工过程中会产生少量建筑</w:t>
      </w:r>
      <w:r>
        <w:rPr>
          <w:rFonts w:hint="eastAsia"/>
          <w:color w:val="auto"/>
          <w:lang w:eastAsia="zh-CN"/>
        </w:rPr>
        <w:t>垃圾</w:t>
      </w:r>
      <w:r>
        <w:rPr>
          <w:color w:val="auto"/>
        </w:rPr>
        <w:t>，主要为建筑施工材料的废边角料等，建筑垃圾日产日清，不在项目区域内设建筑垃圾堆场。施工产生的废料首先应考虑废料的回收利用，对钢筋、钢板等可分类回收，外售废旧资源回收站；对不能回收的建筑垃圾，如混凝土废料、建渣等应集中堆放，定时清运到政府部门指定的建筑垃圾堆放场，严禁随意倾倒、填埋。</w:t>
      </w:r>
    </w:p>
    <w:p w14:paraId="5858E80D">
      <w:pPr>
        <w:bidi w:val="0"/>
        <w:ind w:left="0" w:leftChars="0" w:firstLine="480" w:firstLineChars="200"/>
        <w:rPr>
          <w:color w:val="auto"/>
        </w:rPr>
      </w:pPr>
      <w:r>
        <w:rPr>
          <w:rFonts w:hint="default"/>
          <w:color w:val="auto"/>
        </w:rPr>
        <w:t>室内装修过程中产生装修垃圾，装修过程产生的废油漆包装桶、废漆料等危险废物，应设置单独的收集点进行收集，集中储存，由建设单位委托交由有危废处理资质单位进行处理，落实联单管理制度。危险废物收集点做好防雨、防渗、防漏措施。其余装修垃圾可委托专业的清运公司清运到建筑垃圾堆放场。</w:t>
      </w:r>
    </w:p>
    <w:p w14:paraId="4D6F44DB">
      <w:pPr>
        <w:bidi w:val="0"/>
        <w:ind w:left="0" w:leftChars="0" w:firstLine="480" w:firstLineChars="200"/>
        <w:rPr>
          <w:color w:val="auto"/>
          <w:highlight w:val="none"/>
        </w:rPr>
      </w:pPr>
      <w:r>
        <w:rPr>
          <w:color w:val="auto"/>
        </w:rPr>
        <w:t>环评要求：为确保建筑垃圾处置措施落实，建设单位或施工总承包单位在与建筑垃圾清运公司签订运输合同时，应要求承包公司提供废弃物去向的证明材料，严禁随意倾倒、填埋，不得出现超载、撒漏、不到指定地点卸货等现象</w:t>
      </w:r>
      <w:r>
        <w:rPr>
          <w:rFonts w:hint="eastAsia"/>
          <w:color w:val="auto"/>
          <w:lang w:eastAsia="zh-CN"/>
        </w:rPr>
        <w:t>，</w:t>
      </w:r>
      <w:r>
        <w:rPr>
          <w:color w:val="auto"/>
        </w:rPr>
        <w:t>严禁建筑垃圾倾倒至项目周边地表水体内</w:t>
      </w:r>
      <w:r>
        <w:rPr>
          <w:color w:val="auto"/>
          <w:highlight w:val="none"/>
        </w:rPr>
        <w:t>。</w:t>
      </w:r>
    </w:p>
    <w:p w14:paraId="3D39330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3、生活垃圾</w:t>
      </w:r>
    </w:p>
    <w:p w14:paraId="0B81717E">
      <w:pPr>
        <w:bidi w:val="0"/>
        <w:ind w:left="0" w:leftChars="0" w:firstLine="480" w:firstLineChars="200"/>
        <w:rPr>
          <w:color w:val="auto"/>
        </w:rPr>
      </w:pPr>
      <w:r>
        <w:rPr>
          <w:rFonts w:hint="eastAsia"/>
          <w:color w:val="auto"/>
        </w:rPr>
        <w:t>本项目施工人员为</w:t>
      </w:r>
      <w:r>
        <w:rPr>
          <w:rFonts w:hint="eastAsia"/>
          <w:color w:val="auto"/>
          <w:lang w:val="en-US" w:eastAsia="zh-CN"/>
        </w:rPr>
        <w:t>5</w:t>
      </w:r>
      <w:r>
        <w:rPr>
          <w:rFonts w:hint="eastAsia"/>
          <w:color w:val="auto"/>
        </w:rPr>
        <w:t>0人，</w:t>
      </w:r>
      <w:r>
        <w:rPr>
          <w:color w:val="auto"/>
        </w:rPr>
        <w:t>根据《城镇生活污染源产排污系数手册》，生活垃圾产生量按0.64kg/d人计，则本项目施工期生活垃圾产生量为</w:t>
      </w:r>
      <w:r>
        <w:rPr>
          <w:rFonts w:hint="eastAsia"/>
          <w:color w:val="auto"/>
          <w:lang w:val="en-US" w:eastAsia="zh-CN"/>
        </w:rPr>
        <w:t>32kg/d</w:t>
      </w:r>
      <w:r>
        <w:rPr>
          <w:color w:val="auto"/>
        </w:rPr>
        <w:t>。</w:t>
      </w:r>
    </w:p>
    <w:p w14:paraId="7D508FCF">
      <w:pPr>
        <w:bidi w:val="0"/>
        <w:ind w:left="0" w:leftChars="0" w:firstLine="480" w:firstLineChars="200"/>
        <w:rPr>
          <w:color w:val="auto"/>
          <w:highlight w:val="none"/>
        </w:rPr>
      </w:pPr>
      <w:r>
        <w:rPr>
          <w:color w:val="auto"/>
        </w:rPr>
        <w:t>环评要求：施工期应设置垃圾收集点，并聘请专人定期清除垃圾，生活垃圾需由袋装收集后交由环卫部门处置。</w:t>
      </w:r>
    </w:p>
    <w:p w14:paraId="35B04951">
      <w:pPr>
        <w:pStyle w:val="6"/>
        <w:ind w:firstLine="482"/>
        <w:rPr>
          <w:rFonts w:hint="eastAsia" w:ascii="Times New Roman" w:hAnsi="Times New Roman" w:eastAsia="宋体" w:cs="Times New Roman"/>
          <w:b/>
          <w:bCs/>
          <w:color w:val="auto"/>
          <w:highlight w:val="none"/>
          <w:lang w:val="en-US" w:eastAsia="zh-CN"/>
        </w:rPr>
      </w:pPr>
      <w:r>
        <w:rPr>
          <w:rFonts w:hint="eastAsia" w:eastAsia="宋体"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、沉淀池沉渣</w:t>
      </w:r>
    </w:p>
    <w:p w14:paraId="36063D9E">
      <w:pPr>
        <w:bidi w:val="0"/>
        <w:rPr>
          <w:rFonts w:hint="eastAsia"/>
          <w:color w:val="auto"/>
          <w:lang w:val="en-US" w:eastAsia="zh-CN"/>
        </w:rPr>
      </w:pPr>
      <w:r>
        <w:rPr>
          <w:rFonts w:hint="eastAsia"/>
          <w:color w:val="auto"/>
          <w:lang w:val="en-US" w:eastAsia="zh-CN"/>
        </w:rPr>
        <w:t>施工废水沉淀池的沉渣主要为泥沙，定期清掏交由环卫部门清运处理。</w:t>
      </w:r>
    </w:p>
    <w:p w14:paraId="4D9944CF">
      <w:pPr>
        <w:pStyle w:val="6"/>
        <w:ind w:firstLine="482"/>
        <w:rPr>
          <w:rFonts w:hint="eastAsia" w:eastAsia="宋体" w:cs="Times New Roman"/>
          <w:b/>
          <w:bCs/>
          <w:color w:val="auto"/>
          <w:highlight w:val="none"/>
          <w:lang w:val="en-US" w:eastAsia="zh-CN"/>
        </w:rPr>
      </w:pPr>
      <w:r>
        <w:rPr>
          <w:rFonts w:hint="eastAsia" w:eastAsia="宋体" w:cs="Times New Roman"/>
          <w:b/>
          <w:bCs/>
          <w:color w:val="auto"/>
          <w:highlight w:val="none"/>
          <w:lang w:val="en-US" w:eastAsia="zh-CN"/>
        </w:rPr>
        <w:t>5、隔油池油污</w:t>
      </w:r>
    </w:p>
    <w:p w14:paraId="6434B8AD">
      <w:pPr>
        <w:bidi w:val="0"/>
        <w:ind w:left="0" w:leftChars="0" w:firstLine="480" w:firstLineChars="200"/>
        <w:rPr>
          <w:rFonts w:hint="eastAsia"/>
          <w:color w:val="auto"/>
          <w:lang w:val="en-US" w:eastAsia="zh-CN"/>
        </w:rPr>
      </w:pPr>
      <w:r>
        <w:rPr>
          <w:rFonts w:hint="default"/>
          <w:color w:val="auto"/>
          <w:lang w:val="en-US" w:eastAsia="zh-CN"/>
        </w:rPr>
        <w:t>根据高廷耀主编的《水污染控制工程（第四版）》，废水处理废油污产生量约为污水处理量的1‰~5‰，</w:t>
      </w:r>
      <w:r>
        <w:rPr>
          <w:rFonts w:hint="eastAsia"/>
          <w:color w:val="auto"/>
          <w:lang w:val="en-US" w:eastAsia="zh-CN"/>
        </w:rPr>
        <w:t>本次</w:t>
      </w:r>
      <w:r>
        <w:rPr>
          <w:rFonts w:hint="default"/>
          <w:color w:val="auto"/>
          <w:lang w:val="en-US" w:eastAsia="zh-CN"/>
        </w:rPr>
        <w:t>评价</w:t>
      </w:r>
      <w:r>
        <w:rPr>
          <w:rFonts w:hint="eastAsia"/>
          <w:color w:val="auto"/>
          <w:lang w:val="en-US" w:eastAsia="zh-CN"/>
        </w:rPr>
        <w:t>取值</w:t>
      </w:r>
      <w:r>
        <w:rPr>
          <w:rFonts w:hint="default"/>
          <w:color w:val="auto"/>
          <w:lang w:val="en-US" w:eastAsia="zh-CN"/>
        </w:rPr>
        <w:t>5‰，本项目</w:t>
      </w:r>
      <w:r>
        <w:rPr>
          <w:rFonts w:hint="eastAsia"/>
          <w:color w:val="auto"/>
          <w:lang w:val="en-US" w:eastAsia="zh-CN"/>
        </w:rPr>
        <w:t>施工</w:t>
      </w:r>
      <w:r>
        <w:rPr>
          <w:rFonts w:hint="default"/>
          <w:color w:val="auto"/>
          <w:lang w:val="en-US" w:eastAsia="zh-CN"/>
        </w:rPr>
        <w:t>废水量约</w:t>
      </w:r>
      <w:r>
        <w:rPr>
          <w:rFonts w:hint="eastAsia"/>
          <w:color w:val="auto"/>
          <w:lang w:val="en-US" w:eastAsia="zh-CN"/>
        </w:rPr>
        <w:t>450</w:t>
      </w:r>
      <w:r>
        <w:rPr>
          <w:rFonts w:hint="default"/>
          <w:color w:val="auto"/>
          <w:lang w:val="en-US" w:eastAsia="zh-CN"/>
        </w:rPr>
        <w:t>m</w:t>
      </w:r>
      <w:r>
        <w:rPr>
          <w:rFonts w:hint="default"/>
          <w:color w:val="auto"/>
          <w:vertAlign w:val="superscript"/>
          <w:lang w:val="en-US" w:eastAsia="zh-CN"/>
        </w:rPr>
        <w:t>3</w:t>
      </w:r>
      <w:r>
        <w:rPr>
          <w:rFonts w:hint="default"/>
          <w:color w:val="auto"/>
          <w:lang w:val="en-US" w:eastAsia="zh-CN"/>
        </w:rPr>
        <w:t>，由此得出产生总量约</w:t>
      </w:r>
      <w:r>
        <w:rPr>
          <w:rFonts w:hint="eastAsia"/>
          <w:color w:val="auto"/>
          <w:lang w:val="en-US" w:eastAsia="zh-CN"/>
        </w:rPr>
        <w:t>2.25t</w:t>
      </w:r>
      <w:r>
        <w:rPr>
          <w:rFonts w:hint="default"/>
          <w:color w:val="auto"/>
          <w:lang w:val="en-US" w:eastAsia="zh-CN"/>
        </w:rPr>
        <w:t>，</w:t>
      </w:r>
      <w:r>
        <w:rPr>
          <w:rFonts w:hint="eastAsia"/>
          <w:color w:val="auto"/>
          <w:lang w:val="en-US" w:eastAsia="zh-CN"/>
        </w:rPr>
        <w:t>隔油池油污</w:t>
      </w:r>
      <w:r>
        <w:rPr>
          <w:rFonts w:hint="default"/>
          <w:color w:val="auto"/>
          <w:lang w:val="en-US" w:eastAsia="zh-CN"/>
        </w:rPr>
        <w:t>属于《国家危险废物名录》（202</w:t>
      </w:r>
      <w:r>
        <w:rPr>
          <w:rFonts w:hint="eastAsia"/>
          <w:color w:val="auto"/>
          <w:lang w:val="en-US" w:eastAsia="zh-CN"/>
        </w:rPr>
        <w:t>5</w:t>
      </w:r>
      <w:r>
        <w:rPr>
          <w:rFonts w:hint="default"/>
          <w:color w:val="auto"/>
          <w:lang w:val="en-US" w:eastAsia="zh-CN"/>
        </w:rPr>
        <w:t>年</w:t>
      </w:r>
      <w:r>
        <w:rPr>
          <w:rFonts w:hint="eastAsia"/>
          <w:color w:val="auto"/>
          <w:lang w:val="en-US" w:eastAsia="zh-CN"/>
        </w:rPr>
        <w:t>版）中“</w:t>
      </w:r>
      <w:r>
        <w:rPr>
          <w:rFonts w:hint="default"/>
          <w:color w:val="auto"/>
          <w:lang w:val="en-US" w:eastAsia="zh-CN"/>
        </w:rPr>
        <w:t>HW08</w:t>
      </w:r>
      <w:r>
        <w:rPr>
          <w:rFonts w:hint="eastAsia"/>
          <w:color w:val="auto"/>
          <w:lang w:val="en-US" w:eastAsia="zh-CN"/>
        </w:rPr>
        <w:t>废矿物油与含矿物油废物/非特定行业</w:t>
      </w:r>
      <w:r>
        <w:rPr>
          <w:rFonts w:hint="default"/>
          <w:color w:val="auto"/>
          <w:lang w:val="en-US" w:eastAsia="zh-CN"/>
        </w:rPr>
        <w:t>900-210-08含油</w:t>
      </w:r>
      <w:r>
        <w:rPr>
          <w:rFonts w:hint="eastAsia"/>
          <w:color w:val="auto"/>
          <w:lang w:val="en-US" w:eastAsia="zh-CN"/>
        </w:rPr>
        <w:t>废水处理中隔油、气浮、沉淀等处理过程中产生的浮油、浮渣和污泥（不包括废水生化处理污泥）”</w:t>
      </w:r>
      <w:r>
        <w:rPr>
          <w:rFonts w:hint="default"/>
          <w:color w:val="auto"/>
          <w:lang w:val="en-US" w:eastAsia="zh-CN"/>
        </w:rPr>
        <w:t>。隔油池</w:t>
      </w:r>
      <w:r>
        <w:rPr>
          <w:rFonts w:hint="eastAsia"/>
          <w:color w:val="auto"/>
          <w:lang w:val="en-US" w:eastAsia="zh-CN"/>
        </w:rPr>
        <w:t>油污</w:t>
      </w:r>
      <w:r>
        <w:rPr>
          <w:rFonts w:hint="default"/>
          <w:color w:val="auto"/>
          <w:lang w:val="en-US" w:eastAsia="zh-CN"/>
        </w:rPr>
        <w:t>由</w:t>
      </w:r>
      <w:r>
        <w:rPr>
          <w:rFonts w:hint="default"/>
          <w:color w:val="auto"/>
        </w:rPr>
        <w:t>建设单位委托交由有危废处理资质单位</w:t>
      </w:r>
      <w:r>
        <w:rPr>
          <w:rFonts w:hint="default"/>
          <w:color w:val="auto"/>
          <w:lang w:val="en-US" w:eastAsia="zh-CN"/>
        </w:rPr>
        <w:t>定期到施工现场清</w:t>
      </w:r>
      <w:r>
        <w:rPr>
          <w:rFonts w:hint="eastAsia"/>
          <w:color w:val="auto"/>
          <w:lang w:val="en-US" w:eastAsia="zh-CN"/>
        </w:rPr>
        <w:t>运处置，严禁随意丢弃</w:t>
      </w:r>
      <w:r>
        <w:rPr>
          <w:rFonts w:hint="default"/>
          <w:color w:val="auto"/>
          <w:lang w:val="en-US" w:eastAsia="zh-CN"/>
        </w:rPr>
        <w:t>。</w:t>
      </w:r>
    </w:p>
    <w:p w14:paraId="09D42B21">
      <w:pPr>
        <w:pStyle w:val="5"/>
        <w:bidi w:val="0"/>
        <w:rPr>
          <w:color w:val="auto"/>
          <w:highlight w:val="none"/>
        </w:rPr>
      </w:pPr>
      <w:r>
        <w:rPr>
          <w:rFonts w:hint="eastAsia"/>
          <w:color w:val="auto"/>
          <w:highlight w:val="none"/>
          <w:lang w:val="en-US" w:eastAsia="zh-CN"/>
        </w:rPr>
        <w:t>水土流失</w:t>
      </w:r>
    </w:p>
    <w:p w14:paraId="68720A91">
      <w:pPr>
        <w:bidi w:val="0"/>
        <w:ind w:left="0" w:leftChars="0" w:firstLine="480" w:firstLineChars="200"/>
        <w:rPr>
          <w:color w:val="auto"/>
        </w:rPr>
      </w:pPr>
      <w:r>
        <w:rPr>
          <w:color w:val="auto"/>
        </w:rPr>
        <w:t>本项目施工过程中在基础工程开挖区内，因改变表土结构，挖出的土石方因结构松散，如开挖期间遇暴雨，水土流失量将有所增大；在施工区域内，会因机具车辆碾压、施工人员的践踏和土石的堆放等因素会使土地原有植被受破坏，土壤裸露，极易被雨水冲刷，造成一定的水土流失。施工单位采取了以下措施防止水土流失：</w:t>
      </w:r>
    </w:p>
    <w:p w14:paraId="05C406AA">
      <w:pPr>
        <w:bidi w:val="0"/>
        <w:ind w:left="0" w:leftChars="0" w:firstLine="480" w:firstLineChars="200"/>
        <w:rPr>
          <w:color w:val="auto"/>
        </w:rPr>
      </w:pPr>
      <w:r>
        <w:rPr>
          <w:rFonts w:hint="eastAsia"/>
          <w:color w:val="auto"/>
        </w:rPr>
        <w:t>①</w:t>
      </w:r>
      <w:r>
        <w:rPr>
          <w:color w:val="auto"/>
        </w:rPr>
        <w:t>施工期土建工程应尽量避开雨季，以使水土流失量控制在最低限度，并严格按照《中华人民共和国水土保持法》等有关法律法规以及当地有关部门的要求进行施工。</w:t>
      </w:r>
    </w:p>
    <w:p w14:paraId="3FD923EE">
      <w:pPr>
        <w:bidi w:val="0"/>
        <w:ind w:left="0" w:leftChars="0" w:firstLine="480" w:firstLineChars="200"/>
        <w:rPr>
          <w:color w:val="auto"/>
        </w:rPr>
      </w:pPr>
      <w:r>
        <w:rPr>
          <w:rFonts w:hint="eastAsia"/>
          <w:color w:val="auto"/>
        </w:rPr>
        <w:t>②</w:t>
      </w:r>
      <w:r>
        <w:rPr>
          <w:color w:val="auto"/>
        </w:rPr>
        <w:t>根据对工程建设过程中扰动、破坏原地表面积的预测，工程开挖及施工临时设施占地将对原地表具有水土保持功能的设施构成破坏，应按相关法律法规要求</w:t>
      </w:r>
      <w:r>
        <w:rPr>
          <w:rFonts w:hint="eastAsia"/>
          <w:color w:val="auto"/>
          <w:lang w:eastAsia="zh-CN"/>
        </w:rPr>
        <w:t>给予</w:t>
      </w:r>
      <w:r>
        <w:rPr>
          <w:color w:val="auto"/>
        </w:rPr>
        <w:t>补偿。</w:t>
      </w:r>
    </w:p>
    <w:p w14:paraId="14125C26">
      <w:pPr>
        <w:bidi w:val="0"/>
        <w:ind w:left="0" w:leftChars="0" w:firstLine="480" w:firstLineChars="200"/>
        <w:rPr>
          <w:color w:val="auto"/>
        </w:rPr>
      </w:pPr>
      <w:r>
        <w:rPr>
          <w:rFonts w:hint="eastAsia"/>
          <w:color w:val="auto"/>
        </w:rPr>
        <w:t>③</w:t>
      </w:r>
      <w:r>
        <w:rPr>
          <w:color w:val="auto"/>
        </w:rPr>
        <w:t>为防止雨水、洪水径流对堆料场和渣（土）体的冲刷，需采用编织带</w:t>
      </w:r>
      <w:r>
        <w:rPr>
          <w:rFonts w:hint="eastAsia"/>
          <w:color w:val="auto"/>
          <w:lang w:eastAsia="zh-CN"/>
        </w:rPr>
        <w:t>或其他</w:t>
      </w:r>
      <w:r>
        <w:rPr>
          <w:color w:val="auto"/>
        </w:rPr>
        <w:t>遮盖</w:t>
      </w:r>
      <w:r>
        <w:rPr>
          <w:rFonts w:hint="eastAsia"/>
          <w:color w:val="auto"/>
          <w:lang w:eastAsia="zh-CN"/>
        </w:rPr>
        <w:t>物</w:t>
      </w:r>
      <w:r>
        <w:rPr>
          <w:color w:val="auto"/>
        </w:rPr>
        <w:t>对其行遮盖，以减少损失。</w:t>
      </w:r>
    </w:p>
    <w:p w14:paraId="7196D51D">
      <w:pPr>
        <w:bidi w:val="0"/>
        <w:ind w:left="0" w:leftChars="0" w:firstLine="480" w:firstLineChars="200"/>
        <w:rPr>
          <w:color w:val="auto"/>
        </w:rPr>
      </w:pPr>
      <w:r>
        <w:rPr>
          <w:rFonts w:hint="eastAsia"/>
          <w:color w:val="auto"/>
        </w:rPr>
        <w:t>④</w:t>
      </w:r>
      <w:r>
        <w:rPr>
          <w:color w:val="auto"/>
        </w:rPr>
        <w:t>动土前在</w:t>
      </w:r>
      <w:r>
        <w:rPr>
          <w:rFonts w:hint="eastAsia"/>
          <w:color w:val="auto"/>
          <w:lang w:val="en-US" w:eastAsia="zh-CN"/>
        </w:rPr>
        <w:t>施工现场</w:t>
      </w:r>
      <w:r>
        <w:rPr>
          <w:color w:val="auto"/>
        </w:rPr>
        <w:t>设置临时围挡</w:t>
      </w:r>
      <w:r>
        <w:rPr>
          <w:rFonts w:hint="eastAsia"/>
          <w:color w:val="auto"/>
          <w:lang w:eastAsia="zh-CN"/>
        </w:rPr>
        <w:t>，</w:t>
      </w:r>
      <w:r>
        <w:rPr>
          <w:color w:val="auto"/>
        </w:rPr>
        <w:t>严格控制施工作业区域面积以减少临时占地，加快施工进度。</w:t>
      </w:r>
    </w:p>
    <w:p w14:paraId="278FB7BA">
      <w:pPr>
        <w:bidi w:val="0"/>
        <w:ind w:left="0" w:leftChars="0" w:firstLine="480" w:firstLineChars="200"/>
        <w:rPr>
          <w:rFonts w:hint="default"/>
          <w:color w:val="auto"/>
          <w:highlight w:val="none"/>
        </w:rPr>
      </w:pPr>
      <w:r>
        <w:rPr>
          <w:rFonts w:hint="eastAsia"/>
          <w:color w:val="auto"/>
        </w:rPr>
        <w:t>⑤施工场地设置排水沟</w:t>
      </w:r>
      <w:r>
        <w:rPr>
          <w:color w:val="auto"/>
        </w:rPr>
        <w:t>，防止雨水冲刷场地，并在排水沟出口设</w:t>
      </w:r>
      <w:r>
        <w:rPr>
          <w:rFonts w:hint="eastAsia"/>
          <w:color w:val="auto"/>
          <w:lang w:val="en-US" w:eastAsia="zh-CN"/>
        </w:rPr>
        <w:t>三级</w:t>
      </w:r>
      <w:r>
        <w:rPr>
          <w:color w:val="auto"/>
        </w:rPr>
        <w:t>沉淀池，使雨水经沉淀池</w:t>
      </w:r>
      <w:r>
        <w:rPr>
          <w:rFonts w:hint="eastAsia"/>
          <w:color w:val="auto"/>
          <w:lang w:eastAsia="zh-CN"/>
        </w:rPr>
        <w:t>澄清</w:t>
      </w:r>
      <w:r>
        <w:rPr>
          <w:color w:val="auto"/>
        </w:rPr>
        <w:t>后回用，尽量减少施工期水土流失</w:t>
      </w:r>
      <w:r>
        <w:rPr>
          <w:rFonts w:hint="eastAsia"/>
          <w:color w:val="auto"/>
        </w:rPr>
        <w:t>。</w:t>
      </w:r>
    </w:p>
    <w:p w14:paraId="7AF95386">
      <w:pPr>
        <w:pStyle w:val="4"/>
        <w:bidi w:val="0"/>
        <w:rPr>
          <w:rFonts w:hint="default"/>
          <w:color w:val="auto"/>
          <w:highlight w:val="none"/>
        </w:rPr>
      </w:pPr>
      <w:r>
        <w:rPr>
          <w:rFonts w:hint="default"/>
          <w:color w:val="auto"/>
          <w:highlight w:val="none"/>
          <w:lang w:val="en-US" w:eastAsia="zh-CN"/>
        </w:rPr>
        <w:t>运营</w:t>
      </w:r>
      <w:r>
        <w:rPr>
          <w:rFonts w:hint="default"/>
          <w:color w:val="auto"/>
          <w:highlight w:val="none"/>
        </w:rPr>
        <w:t>期污染源及治理措施</w:t>
      </w:r>
    </w:p>
    <w:p w14:paraId="6E97B55C">
      <w:pPr>
        <w:pStyle w:val="5"/>
        <w:bidi w:val="0"/>
        <w:rPr>
          <w:rFonts w:hint="eastAsia"/>
          <w:b w:val="0"/>
          <w:bCs w:val="0"/>
          <w:color w:val="auto"/>
          <w:kern w:val="24"/>
          <w:sz w:val="24"/>
          <w:szCs w:val="30"/>
          <w:highlight w:val="none"/>
          <w:lang w:val="en-US" w:eastAsia="zh-CN" w:bidi="ar-SA"/>
        </w:rPr>
      </w:pPr>
      <w:r>
        <w:rPr>
          <w:rFonts w:hint="eastAsia"/>
          <w:b w:val="0"/>
          <w:bCs w:val="0"/>
          <w:color w:val="auto"/>
          <w:kern w:val="24"/>
          <w:sz w:val="24"/>
          <w:szCs w:val="30"/>
          <w:highlight w:val="none"/>
          <w:lang w:val="en-US" w:eastAsia="zh-CN" w:bidi="ar-SA"/>
        </w:rPr>
        <w:t>大气污染物</w:t>
      </w:r>
    </w:p>
    <w:p w14:paraId="72EBA0F4">
      <w:pPr>
        <w:spacing w:line="360" w:lineRule="auto"/>
        <w:ind w:left="0" w:leftChars="0" w:firstLine="480" w:firstLineChars="200"/>
        <w:rPr>
          <w:rFonts w:hint="eastAsia" w:ascii="Times New Roman" w:hAnsi="Times New Roman"/>
          <w:color w:val="auto"/>
          <w:sz w:val="24"/>
          <w:szCs w:val="24"/>
          <w:highlight w:val="none"/>
        </w:rPr>
      </w:pPr>
      <w:r>
        <w:rPr>
          <w:rFonts w:hint="default" w:ascii="Times New Roman" w:hAnsi="Times New Roman" w:cs="Times New Roman"/>
          <w:color w:val="auto"/>
          <w:highlight w:val="none"/>
        </w:rPr>
        <w:t>本项目大气污染物主要为</w:t>
      </w:r>
      <w:r>
        <w:rPr>
          <w:rFonts w:hint="eastAsia" w:ascii="Times New Roman" w:hAnsi="Times New Roman" w:cs="Times New Roman"/>
          <w:color w:val="auto"/>
          <w:highlight w:val="none"/>
          <w:lang w:val="en-US" w:eastAsia="zh-CN"/>
        </w:rPr>
        <w:t>工艺废气</w:t>
      </w:r>
      <w:r>
        <w:rPr>
          <w:rFonts w:hint="eastAsia"/>
          <w:color w:val="auto"/>
          <w:highlight w:val="none"/>
          <w:lang w:val="en-US" w:eastAsia="zh-CN"/>
        </w:rPr>
        <w:t>、</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w:t>
      </w:r>
      <w:r>
        <w:rPr>
          <w:rFonts w:hint="eastAsia"/>
          <w:color w:val="auto"/>
          <w:highlight w:val="none"/>
          <w:lang w:val="en-US" w:eastAsia="zh-CN"/>
        </w:rPr>
        <w:t>、</w:t>
      </w:r>
      <w:r>
        <w:rPr>
          <w:rFonts w:hint="eastAsia" w:cs="Times New Roman"/>
          <w:b w:val="0"/>
          <w:bCs w:val="0"/>
          <w:color w:val="auto"/>
          <w:highlight w:val="none"/>
          <w:lang w:val="en-US" w:eastAsia="zh-CN"/>
        </w:rPr>
        <w:t>危废暂存间</w:t>
      </w:r>
      <w:r>
        <w:rPr>
          <w:rFonts w:hint="eastAsia"/>
          <w:color w:val="auto"/>
          <w:highlight w:val="none"/>
          <w:lang w:val="en-US" w:eastAsia="zh-CN"/>
        </w:rPr>
        <w:t>废气</w:t>
      </w:r>
      <w:r>
        <w:rPr>
          <w:rFonts w:hint="eastAsia" w:ascii="Times New Roman" w:hAnsi="Times New Roman" w:cs="Times New Roman"/>
          <w:color w:val="auto"/>
          <w:highlight w:val="none"/>
          <w:lang w:val="en-US" w:eastAsia="zh-CN"/>
        </w:rPr>
        <w:t>。</w:t>
      </w:r>
    </w:p>
    <w:p w14:paraId="27E3AF12">
      <w:pPr>
        <w:pStyle w:val="6"/>
        <w:ind w:firstLine="482"/>
        <w:rPr>
          <w:rFonts w:hint="eastAsia"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eastAsia" w:cs="Times New Roman"/>
          <w:b/>
          <w:bCs/>
          <w:color w:val="auto"/>
          <w:highlight w:val="none"/>
          <w:lang w:val="en-US" w:eastAsia="zh-CN"/>
        </w:rPr>
        <w:t>工艺废气</w:t>
      </w:r>
    </w:p>
    <w:p w14:paraId="62580BF2">
      <w:pPr>
        <w:spacing w:line="360" w:lineRule="auto"/>
        <w:ind w:left="0" w:leftChars="0" w:firstLine="480"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根据工程分析，本项目工艺废气包括</w:t>
      </w:r>
      <w:r>
        <w:rPr>
          <w:rFonts w:hint="eastAsia" w:cs="Courier New"/>
          <w:b w:val="0"/>
          <w:color w:val="auto"/>
          <w:highlight w:val="none"/>
          <w:lang w:val="en-US" w:eastAsia="zh-CN"/>
        </w:rPr>
        <w:t>投料粉尘</w:t>
      </w:r>
      <w:r>
        <w:rPr>
          <w:rFonts w:hint="eastAsia"/>
          <w:color w:val="auto"/>
          <w:highlight w:val="none"/>
          <w:lang w:val="en-US" w:eastAsia="zh-CN"/>
        </w:rPr>
        <w:t>、罐区呼吸废气、生产废气。</w:t>
      </w:r>
    </w:p>
    <w:p w14:paraId="5C367FAF">
      <w:pPr>
        <w:bidi w:val="0"/>
        <w:rPr>
          <w:rFonts w:hint="default"/>
          <w:b/>
          <w:bCs/>
          <w:color w:val="auto"/>
          <w:lang w:val="en-US"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rFonts w:hint="eastAsia"/>
          <w:b/>
          <w:bCs/>
          <w:color w:val="auto"/>
        </w:rPr>
        <w:t>产生情况</w:t>
      </w:r>
    </w:p>
    <w:p w14:paraId="16D4C67D">
      <w:pPr>
        <w:bidi w:val="0"/>
        <w:ind w:left="0" w:leftChars="0" w:firstLine="482" w:firstLineChars="200"/>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①投料粉尘</w:t>
      </w:r>
    </w:p>
    <w:p w14:paraId="75BDE816">
      <w:pPr>
        <w:bidi w:val="0"/>
        <w:ind w:left="0" w:leftChars="0" w:firstLine="480" w:firstLineChars="200"/>
        <w:rPr>
          <w:rFonts w:hint="eastAsia" w:cs="Times New Roman"/>
          <w:color w:val="auto"/>
          <w:highlight w:val="none"/>
          <w:lang w:val="en-US" w:eastAsia="zh-CN"/>
        </w:rPr>
      </w:pPr>
      <w:r>
        <w:rPr>
          <w:rFonts w:hint="eastAsia" w:cs="Times New Roman"/>
          <w:color w:val="auto"/>
          <w:sz w:val="24"/>
          <w:szCs w:val="24"/>
          <w:highlight w:val="none"/>
          <w:lang w:val="en-US" w:eastAsia="zh-CN"/>
        </w:rPr>
        <w:t>本项目生产所需固态原料采用人工拆包后投入对应罐体内，各罐体上方均设置1个DN400投料孔，其中聚羧酸减水剂母液和高性能聚羧酸减水剂生产使用的原辅材料中涉及粉末状物料，投料过程中会产生少量粉尘</w:t>
      </w:r>
      <w:r>
        <w:rPr>
          <w:rFonts w:hint="eastAsia" w:ascii="Times New Roman" w:hAnsi="Times New Roman" w:eastAsia="宋体" w:cs="Times New Roman"/>
          <w:color w:val="auto"/>
          <w:highlight w:val="none"/>
          <w:lang w:val="en-US" w:eastAsia="zh-CN"/>
        </w:rPr>
        <w:t>，主要</w:t>
      </w:r>
      <w:r>
        <w:rPr>
          <w:rFonts w:hint="eastAsia" w:cs="Times New Roman"/>
          <w:color w:val="auto"/>
          <w:highlight w:val="none"/>
          <w:lang w:val="en-US" w:eastAsia="zh-CN"/>
        </w:rPr>
        <w:t>污染物</w:t>
      </w:r>
      <w:r>
        <w:rPr>
          <w:rFonts w:hint="eastAsia" w:ascii="Times New Roman" w:hAnsi="Times New Roman" w:eastAsia="宋体" w:cs="Times New Roman"/>
          <w:color w:val="auto"/>
          <w:highlight w:val="none"/>
          <w:lang w:val="en-US" w:eastAsia="zh-CN"/>
        </w:rPr>
        <w:t>为颗粒物。</w:t>
      </w:r>
      <w:r>
        <w:rPr>
          <w:rFonts w:hint="eastAsia" w:cs="Times New Roman"/>
          <w:color w:val="auto"/>
          <w:highlight w:val="none"/>
          <w:lang w:val="en-US" w:eastAsia="zh-CN"/>
        </w:rPr>
        <w:t>参考《逸散性工业粉尘控制技术》，投料粉尘产生系数按0.02kg/t 计，则本项目投料粉尘产生情况如下：</w:t>
      </w:r>
    </w:p>
    <w:p w14:paraId="3E4615DE">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投料粉尘</w:t>
      </w:r>
      <w:r>
        <w:rPr>
          <w:rFonts w:hint="eastAsia" w:ascii="Times New Roman" w:hAnsi="Times New Roman" w:cs="Times New Roman"/>
          <w:color w:val="auto"/>
          <w:kern w:val="2"/>
          <w:sz w:val="21"/>
          <w:szCs w:val="21"/>
          <w:highlight w:val="none"/>
          <w:lang w:val="en-US" w:eastAsia="zh-CN" w:bidi="ar-SA"/>
        </w:rPr>
        <w:t>产生情况</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061"/>
        <w:gridCol w:w="924"/>
        <w:gridCol w:w="1340"/>
        <w:gridCol w:w="1373"/>
        <w:gridCol w:w="1732"/>
        <w:gridCol w:w="1129"/>
        <w:gridCol w:w="1303"/>
      </w:tblGrid>
      <w:tr w14:paraId="34BE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7" w:type="pct"/>
            <w:noWrap w:val="0"/>
            <w:vAlign w:val="center"/>
          </w:tcPr>
          <w:p w14:paraId="4D4A2DFD">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位置</w:t>
            </w:r>
          </w:p>
        </w:tc>
        <w:tc>
          <w:tcPr>
            <w:tcW w:w="1044" w:type="pct"/>
            <w:gridSpan w:val="2"/>
            <w:noWrap w:val="0"/>
            <w:vAlign w:val="center"/>
          </w:tcPr>
          <w:p w14:paraId="33B6119A">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产品名称</w:t>
            </w:r>
          </w:p>
        </w:tc>
        <w:tc>
          <w:tcPr>
            <w:tcW w:w="705" w:type="pct"/>
            <w:noWrap w:val="0"/>
            <w:vAlign w:val="center"/>
          </w:tcPr>
          <w:p w14:paraId="0F6D9A82">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物料名称</w:t>
            </w:r>
          </w:p>
        </w:tc>
        <w:tc>
          <w:tcPr>
            <w:tcW w:w="722" w:type="pct"/>
            <w:noWrap w:val="0"/>
            <w:vAlign w:val="center"/>
          </w:tcPr>
          <w:p w14:paraId="205E2E98">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年用量</w:t>
            </w:r>
            <w:r>
              <w:rPr>
                <w:rFonts w:hint="eastAsia" w:cs="Times New Roman"/>
                <w:b/>
                <w:bCs/>
                <w:color w:val="auto"/>
                <w:sz w:val="21"/>
                <w:szCs w:val="21"/>
                <w:highlight w:val="none"/>
                <w:lang w:val="en-US" w:eastAsia="zh-CN"/>
              </w:rPr>
              <w:t>（t/a）</w:t>
            </w:r>
          </w:p>
        </w:tc>
        <w:tc>
          <w:tcPr>
            <w:tcW w:w="911" w:type="pct"/>
            <w:noWrap w:val="0"/>
            <w:vAlign w:val="center"/>
          </w:tcPr>
          <w:p w14:paraId="72437DC7">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对应罐体</w:t>
            </w:r>
          </w:p>
        </w:tc>
        <w:tc>
          <w:tcPr>
            <w:tcW w:w="594" w:type="pct"/>
            <w:noWrap w:val="0"/>
            <w:vAlign w:val="center"/>
          </w:tcPr>
          <w:p w14:paraId="4956DD71">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产污系数</w:t>
            </w:r>
          </w:p>
        </w:tc>
        <w:tc>
          <w:tcPr>
            <w:tcW w:w="685" w:type="pct"/>
            <w:noWrap w:val="0"/>
            <w:vAlign w:val="center"/>
          </w:tcPr>
          <w:p w14:paraId="3B9E1247">
            <w:pPr>
              <w:pStyle w:val="24"/>
              <w:bidi w:val="0"/>
              <w:ind w:left="0" w:leftChars="0"/>
              <w:jc w:val="center"/>
              <w:rPr>
                <w:rFonts w:hint="eastAsia"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产生量</w:t>
            </w:r>
            <w:r>
              <w:rPr>
                <w:rFonts w:hint="eastAsia" w:cs="Times New Roman"/>
                <w:b/>
                <w:bCs/>
                <w:color w:val="auto"/>
                <w:sz w:val="21"/>
                <w:szCs w:val="21"/>
                <w:highlight w:val="none"/>
                <w:lang w:val="en-US" w:eastAsia="zh-CN"/>
              </w:rPr>
              <w:t>（t/a）</w:t>
            </w:r>
          </w:p>
        </w:tc>
      </w:tr>
      <w:tr w14:paraId="176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37" w:type="pct"/>
            <w:vMerge w:val="restart"/>
            <w:noWrap w:val="0"/>
            <w:vAlign w:val="center"/>
          </w:tcPr>
          <w:p w14:paraId="42240A6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生产车间</w:t>
            </w:r>
          </w:p>
        </w:tc>
        <w:tc>
          <w:tcPr>
            <w:tcW w:w="558" w:type="pct"/>
            <w:vMerge w:val="restart"/>
            <w:shd w:val="clear" w:color="auto" w:fill="auto"/>
            <w:noWrap w:val="0"/>
            <w:vAlign w:val="center"/>
          </w:tcPr>
          <w:p w14:paraId="3F42AFF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聚羧酸减水剂母液</w:t>
            </w:r>
          </w:p>
        </w:tc>
        <w:tc>
          <w:tcPr>
            <w:tcW w:w="486" w:type="pct"/>
            <w:vMerge w:val="restart"/>
            <w:shd w:val="clear" w:color="auto" w:fill="auto"/>
            <w:noWrap w:val="0"/>
            <w:vAlign w:val="center"/>
          </w:tcPr>
          <w:p w14:paraId="6B3DCE1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减水型</w:t>
            </w:r>
          </w:p>
        </w:tc>
        <w:tc>
          <w:tcPr>
            <w:tcW w:w="705" w:type="pct"/>
            <w:shd w:val="clear" w:color="auto" w:fill="auto"/>
            <w:noWrap w:val="0"/>
            <w:vAlign w:val="center"/>
          </w:tcPr>
          <w:p w14:paraId="46BBC22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维生素C</w:t>
            </w:r>
          </w:p>
        </w:tc>
        <w:tc>
          <w:tcPr>
            <w:tcW w:w="722" w:type="pct"/>
            <w:shd w:val="clear" w:color="auto" w:fill="auto"/>
            <w:noWrap w:val="0"/>
            <w:vAlign w:val="center"/>
          </w:tcPr>
          <w:p w14:paraId="3C1AD5BF">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911" w:type="pct"/>
            <w:noWrap w:val="0"/>
            <w:vAlign w:val="center"/>
          </w:tcPr>
          <w:p w14:paraId="18657A4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B料</w:t>
            </w:r>
            <w:r>
              <w:rPr>
                <w:rFonts w:hint="eastAsia" w:ascii="Times New Roman" w:hAnsi="Times New Roman" w:eastAsia="宋体" w:cs="Times New Roman"/>
                <w:b w:val="0"/>
                <w:bCs w:val="0"/>
                <w:color w:val="auto"/>
                <w:sz w:val="21"/>
                <w:szCs w:val="21"/>
                <w:highlight w:val="none"/>
                <w:lang w:val="en-US" w:eastAsia="zh-CN"/>
              </w:rPr>
              <w:t>/备用</w:t>
            </w:r>
            <w:r>
              <w:rPr>
                <w:rFonts w:hint="default" w:ascii="Times New Roman" w:hAnsi="Times New Roman" w:eastAsia="宋体" w:cs="Times New Roman"/>
                <w:b w:val="0"/>
                <w:bCs w:val="0"/>
                <w:color w:val="auto"/>
                <w:sz w:val="21"/>
                <w:szCs w:val="21"/>
                <w:highlight w:val="none"/>
                <w:lang w:val="en-US" w:eastAsia="zh-CN"/>
              </w:rPr>
              <w:t>配置罐</w:t>
            </w:r>
          </w:p>
        </w:tc>
        <w:tc>
          <w:tcPr>
            <w:tcW w:w="594" w:type="pct"/>
            <w:vMerge w:val="restart"/>
            <w:noWrap w:val="0"/>
            <w:vAlign w:val="center"/>
          </w:tcPr>
          <w:p w14:paraId="0D98F34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0.02kg/t</w:t>
            </w:r>
          </w:p>
        </w:tc>
        <w:tc>
          <w:tcPr>
            <w:tcW w:w="685" w:type="pct"/>
            <w:noWrap w:val="0"/>
            <w:vAlign w:val="center"/>
          </w:tcPr>
          <w:p w14:paraId="298796BD">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4.00E-05</w:t>
            </w:r>
          </w:p>
        </w:tc>
      </w:tr>
      <w:tr w14:paraId="521C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6B224CC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4FE12A8D">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47950C3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1E11274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过硫酸铵</w:t>
            </w:r>
          </w:p>
        </w:tc>
        <w:tc>
          <w:tcPr>
            <w:tcW w:w="722" w:type="pct"/>
            <w:shd w:val="clear" w:color="auto" w:fill="auto"/>
            <w:noWrap w:val="0"/>
            <w:vAlign w:val="center"/>
          </w:tcPr>
          <w:p w14:paraId="3C3AF36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w:t>
            </w:r>
          </w:p>
        </w:tc>
        <w:tc>
          <w:tcPr>
            <w:tcW w:w="911" w:type="pct"/>
            <w:shd w:val="clear" w:color="auto" w:fill="auto"/>
            <w:noWrap w:val="0"/>
            <w:vAlign w:val="center"/>
          </w:tcPr>
          <w:p w14:paraId="54FF2F2D">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B料</w:t>
            </w:r>
            <w:r>
              <w:rPr>
                <w:rFonts w:hint="eastAsia" w:ascii="Times New Roman" w:hAnsi="Times New Roman" w:eastAsia="宋体" w:cs="Times New Roman"/>
                <w:b w:val="0"/>
                <w:bCs w:val="0"/>
                <w:color w:val="auto"/>
                <w:sz w:val="21"/>
                <w:szCs w:val="21"/>
                <w:highlight w:val="none"/>
                <w:lang w:val="en-US" w:eastAsia="zh-CN"/>
              </w:rPr>
              <w:t>/备用</w:t>
            </w:r>
            <w:r>
              <w:rPr>
                <w:rFonts w:hint="default" w:ascii="Times New Roman" w:hAnsi="Times New Roman" w:eastAsia="宋体" w:cs="Times New Roman"/>
                <w:b w:val="0"/>
                <w:bCs w:val="0"/>
                <w:color w:val="auto"/>
                <w:sz w:val="21"/>
                <w:szCs w:val="21"/>
                <w:highlight w:val="none"/>
                <w:lang w:val="en-US" w:eastAsia="zh-CN"/>
              </w:rPr>
              <w:t>配置罐</w:t>
            </w:r>
          </w:p>
        </w:tc>
        <w:tc>
          <w:tcPr>
            <w:tcW w:w="594" w:type="pct"/>
            <w:vMerge w:val="continue"/>
            <w:noWrap w:val="0"/>
            <w:vAlign w:val="center"/>
          </w:tcPr>
          <w:p w14:paraId="482660C4">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65AA3CA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2.40E-04</w:t>
            </w:r>
          </w:p>
        </w:tc>
      </w:tr>
      <w:tr w14:paraId="1D5C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575F469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3C64681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restart"/>
            <w:shd w:val="clear" w:color="auto" w:fill="auto"/>
            <w:noWrap w:val="0"/>
            <w:vAlign w:val="center"/>
          </w:tcPr>
          <w:p w14:paraId="2643605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保坍型</w:t>
            </w:r>
          </w:p>
        </w:tc>
        <w:tc>
          <w:tcPr>
            <w:tcW w:w="705" w:type="pct"/>
            <w:shd w:val="clear" w:color="auto" w:fill="auto"/>
            <w:noWrap w:val="0"/>
            <w:vAlign w:val="center"/>
          </w:tcPr>
          <w:p w14:paraId="55C647E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聚醚</w:t>
            </w:r>
          </w:p>
        </w:tc>
        <w:tc>
          <w:tcPr>
            <w:tcW w:w="722" w:type="pct"/>
            <w:shd w:val="clear" w:color="auto" w:fill="auto"/>
            <w:noWrap w:val="0"/>
            <w:vAlign w:val="center"/>
          </w:tcPr>
          <w:p w14:paraId="413C2EC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1282</w:t>
            </w:r>
          </w:p>
        </w:tc>
        <w:tc>
          <w:tcPr>
            <w:tcW w:w="1732" w:type="dxa"/>
            <w:noWrap w:val="0"/>
            <w:vAlign w:val="center"/>
          </w:tcPr>
          <w:p w14:paraId="12EAFE3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化料罐</w:t>
            </w:r>
          </w:p>
        </w:tc>
        <w:tc>
          <w:tcPr>
            <w:tcW w:w="594" w:type="pct"/>
            <w:vMerge w:val="continue"/>
            <w:noWrap w:val="0"/>
            <w:vAlign w:val="center"/>
          </w:tcPr>
          <w:p w14:paraId="2BD30163">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6DAFA55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2.56E-02</w:t>
            </w:r>
          </w:p>
        </w:tc>
      </w:tr>
      <w:tr w14:paraId="3466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6E51D23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6C5723A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5821257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57C301D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过硫酸铵</w:t>
            </w:r>
          </w:p>
        </w:tc>
        <w:tc>
          <w:tcPr>
            <w:tcW w:w="722" w:type="pct"/>
            <w:shd w:val="clear" w:color="auto" w:fill="auto"/>
            <w:noWrap w:val="0"/>
            <w:vAlign w:val="center"/>
          </w:tcPr>
          <w:p w14:paraId="0D774E5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7.2</w:t>
            </w:r>
          </w:p>
        </w:tc>
        <w:tc>
          <w:tcPr>
            <w:tcW w:w="1732" w:type="dxa"/>
            <w:noWrap w:val="0"/>
            <w:vAlign w:val="center"/>
          </w:tcPr>
          <w:p w14:paraId="122A4F7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B料</w:t>
            </w:r>
            <w:r>
              <w:rPr>
                <w:rFonts w:hint="eastAsia" w:ascii="Times New Roman" w:hAnsi="Times New Roman" w:eastAsia="宋体" w:cs="Times New Roman"/>
                <w:b w:val="0"/>
                <w:bCs w:val="0"/>
                <w:color w:val="auto"/>
                <w:sz w:val="21"/>
                <w:szCs w:val="21"/>
                <w:highlight w:val="none"/>
                <w:lang w:val="en-US" w:eastAsia="zh-CN"/>
              </w:rPr>
              <w:t>/备用</w:t>
            </w:r>
            <w:r>
              <w:rPr>
                <w:rFonts w:hint="default" w:ascii="Times New Roman" w:hAnsi="Times New Roman" w:eastAsia="宋体" w:cs="Times New Roman"/>
                <w:b w:val="0"/>
                <w:bCs w:val="0"/>
                <w:color w:val="auto"/>
                <w:sz w:val="21"/>
                <w:szCs w:val="21"/>
                <w:highlight w:val="none"/>
                <w:lang w:val="en-US" w:eastAsia="zh-CN"/>
              </w:rPr>
              <w:t>配置罐</w:t>
            </w:r>
          </w:p>
        </w:tc>
        <w:tc>
          <w:tcPr>
            <w:tcW w:w="594" w:type="pct"/>
            <w:vMerge w:val="continue"/>
            <w:noWrap w:val="0"/>
            <w:vAlign w:val="center"/>
          </w:tcPr>
          <w:p w14:paraId="6AD4E291">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34A7726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1.44E-04</w:t>
            </w:r>
          </w:p>
        </w:tc>
      </w:tr>
      <w:tr w14:paraId="3245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168D739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restart"/>
            <w:shd w:val="clear" w:color="auto" w:fill="auto"/>
            <w:noWrap w:val="0"/>
            <w:vAlign w:val="center"/>
          </w:tcPr>
          <w:p w14:paraId="099FE46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高性能聚羧酸减水剂</w:t>
            </w:r>
          </w:p>
        </w:tc>
        <w:tc>
          <w:tcPr>
            <w:tcW w:w="486" w:type="pct"/>
            <w:vMerge w:val="restart"/>
            <w:shd w:val="clear" w:color="auto" w:fill="auto"/>
            <w:noWrap w:val="0"/>
            <w:vAlign w:val="center"/>
          </w:tcPr>
          <w:p w14:paraId="70654C2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标准型</w:t>
            </w:r>
          </w:p>
        </w:tc>
        <w:tc>
          <w:tcPr>
            <w:tcW w:w="705" w:type="pct"/>
            <w:shd w:val="clear" w:color="auto" w:fill="auto"/>
            <w:noWrap w:val="0"/>
            <w:vAlign w:val="center"/>
          </w:tcPr>
          <w:p w14:paraId="792E79D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聚丙烯酰胺</w:t>
            </w:r>
          </w:p>
        </w:tc>
        <w:tc>
          <w:tcPr>
            <w:tcW w:w="722" w:type="pct"/>
            <w:shd w:val="clear" w:color="auto" w:fill="auto"/>
            <w:noWrap w:val="0"/>
            <w:vAlign w:val="center"/>
          </w:tcPr>
          <w:p w14:paraId="763807C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r>
              <w:rPr>
                <w:rFonts w:hint="eastAsia" w:cs="Times New Roman"/>
                <w:b w:val="0"/>
                <w:bCs w:val="0"/>
                <w:color w:val="auto"/>
                <w:sz w:val="21"/>
                <w:szCs w:val="21"/>
                <w:highlight w:val="none"/>
                <w:lang w:val="en-US" w:eastAsia="zh-CN"/>
              </w:rPr>
              <w:t>.1</w:t>
            </w:r>
          </w:p>
        </w:tc>
        <w:tc>
          <w:tcPr>
            <w:tcW w:w="911" w:type="pct"/>
            <w:noWrap w:val="0"/>
            <w:vAlign w:val="center"/>
          </w:tcPr>
          <w:p w14:paraId="45762B3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121DD012">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2BC2DE0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6.</w:t>
            </w:r>
            <w:r>
              <w:rPr>
                <w:rFonts w:hint="eastAsia"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0E-05</w:t>
            </w:r>
          </w:p>
        </w:tc>
      </w:tr>
      <w:tr w14:paraId="6F74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590EA6A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3127482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282506D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6BEAAF7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纤维素醚</w:t>
            </w:r>
          </w:p>
        </w:tc>
        <w:tc>
          <w:tcPr>
            <w:tcW w:w="722" w:type="pct"/>
            <w:shd w:val="clear" w:color="auto" w:fill="auto"/>
            <w:noWrap w:val="0"/>
            <w:vAlign w:val="center"/>
          </w:tcPr>
          <w:p w14:paraId="0FA5B4F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911" w:type="pct"/>
            <w:noWrap w:val="0"/>
            <w:vAlign w:val="center"/>
          </w:tcPr>
          <w:p w14:paraId="436FF27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6B9619AF">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75660FA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6.00E-05</w:t>
            </w:r>
          </w:p>
        </w:tc>
      </w:tr>
      <w:tr w14:paraId="5815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25B9A3ED">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3A9249E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restart"/>
            <w:shd w:val="clear" w:color="auto" w:fill="auto"/>
            <w:noWrap w:val="0"/>
            <w:vAlign w:val="center"/>
          </w:tcPr>
          <w:p w14:paraId="224BA7D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缓凝型</w:t>
            </w:r>
          </w:p>
        </w:tc>
        <w:tc>
          <w:tcPr>
            <w:tcW w:w="705" w:type="pct"/>
            <w:shd w:val="clear" w:color="auto" w:fill="auto"/>
            <w:noWrap w:val="0"/>
            <w:vAlign w:val="center"/>
          </w:tcPr>
          <w:p w14:paraId="1F670F7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聚丙烯酰胺</w:t>
            </w:r>
          </w:p>
        </w:tc>
        <w:tc>
          <w:tcPr>
            <w:tcW w:w="722" w:type="pct"/>
            <w:shd w:val="clear" w:color="auto" w:fill="auto"/>
            <w:noWrap w:val="0"/>
            <w:vAlign w:val="center"/>
          </w:tcPr>
          <w:p w14:paraId="34D8373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w:t>
            </w:r>
            <w:r>
              <w:rPr>
                <w:rFonts w:hint="eastAsia" w:cs="Times New Roman"/>
                <w:b w:val="0"/>
                <w:bCs w:val="0"/>
                <w:color w:val="auto"/>
                <w:sz w:val="21"/>
                <w:szCs w:val="21"/>
                <w:highlight w:val="none"/>
                <w:lang w:val="en-US" w:eastAsia="zh-CN"/>
              </w:rPr>
              <w:t>1</w:t>
            </w:r>
          </w:p>
        </w:tc>
        <w:tc>
          <w:tcPr>
            <w:tcW w:w="911" w:type="pct"/>
            <w:noWrap w:val="0"/>
            <w:vAlign w:val="center"/>
          </w:tcPr>
          <w:p w14:paraId="6EB005C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51279999">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2E2D1DB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r>
              <w:rPr>
                <w:rFonts w:hint="eastAsia"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E-05</w:t>
            </w:r>
          </w:p>
        </w:tc>
      </w:tr>
      <w:tr w14:paraId="283E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73CB810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4276567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339F3560">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05386F3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纤维素醚</w:t>
            </w:r>
          </w:p>
        </w:tc>
        <w:tc>
          <w:tcPr>
            <w:tcW w:w="722" w:type="pct"/>
            <w:shd w:val="clear" w:color="auto" w:fill="auto"/>
            <w:noWrap w:val="0"/>
            <w:vAlign w:val="center"/>
          </w:tcPr>
          <w:p w14:paraId="08C5036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w:t>
            </w:r>
          </w:p>
        </w:tc>
        <w:tc>
          <w:tcPr>
            <w:tcW w:w="911" w:type="pct"/>
            <w:noWrap w:val="0"/>
            <w:vAlign w:val="center"/>
          </w:tcPr>
          <w:p w14:paraId="62AC46F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18A0BAF6">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2A07E3A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1.00E-05</w:t>
            </w:r>
          </w:p>
        </w:tc>
      </w:tr>
      <w:tr w14:paraId="77C5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7" w:type="pct"/>
            <w:vMerge w:val="continue"/>
            <w:noWrap w:val="0"/>
            <w:vAlign w:val="center"/>
          </w:tcPr>
          <w:p w14:paraId="6352FF7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4DAA1BE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2EA7441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3F2B4E4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葡萄糖酸钠</w:t>
            </w:r>
          </w:p>
        </w:tc>
        <w:tc>
          <w:tcPr>
            <w:tcW w:w="722" w:type="pct"/>
            <w:shd w:val="clear" w:color="auto" w:fill="auto"/>
            <w:noWrap w:val="0"/>
            <w:vAlign w:val="center"/>
          </w:tcPr>
          <w:p w14:paraId="2094425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911" w:type="pct"/>
            <w:noWrap w:val="0"/>
            <w:vAlign w:val="center"/>
          </w:tcPr>
          <w:p w14:paraId="460AF56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复配预混罐</w:t>
            </w:r>
          </w:p>
        </w:tc>
        <w:tc>
          <w:tcPr>
            <w:tcW w:w="594" w:type="pct"/>
            <w:vMerge w:val="continue"/>
            <w:noWrap w:val="0"/>
            <w:vAlign w:val="center"/>
          </w:tcPr>
          <w:p w14:paraId="21826E8D">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45C0755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w:t>
            </w:r>
          </w:p>
        </w:tc>
      </w:tr>
      <w:tr w14:paraId="341B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7DDB2F7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336FC62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restart"/>
            <w:shd w:val="clear" w:color="auto" w:fill="auto"/>
            <w:noWrap w:val="0"/>
            <w:vAlign w:val="center"/>
          </w:tcPr>
          <w:p w14:paraId="30B1909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早强型</w:t>
            </w:r>
          </w:p>
        </w:tc>
        <w:tc>
          <w:tcPr>
            <w:tcW w:w="705" w:type="pct"/>
            <w:shd w:val="clear" w:color="auto" w:fill="auto"/>
            <w:noWrap w:val="0"/>
            <w:vAlign w:val="center"/>
          </w:tcPr>
          <w:p w14:paraId="35DE65A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聚丙烯酰胺</w:t>
            </w:r>
          </w:p>
        </w:tc>
        <w:tc>
          <w:tcPr>
            <w:tcW w:w="722" w:type="pct"/>
            <w:shd w:val="clear" w:color="auto" w:fill="auto"/>
            <w:noWrap w:val="0"/>
            <w:vAlign w:val="center"/>
          </w:tcPr>
          <w:p w14:paraId="0A6882F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w:t>
            </w:r>
            <w:r>
              <w:rPr>
                <w:rFonts w:hint="eastAsia" w:cs="Times New Roman"/>
                <w:b w:val="0"/>
                <w:bCs w:val="0"/>
                <w:color w:val="auto"/>
                <w:sz w:val="21"/>
                <w:szCs w:val="21"/>
                <w:highlight w:val="none"/>
                <w:lang w:val="en-US" w:eastAsia="zh-CN"/>
              </w:rPr>
              <w:t>1</w:t>
            </w:r>
          </w:p>
        </w:tc>
        <w:tc>
          <w:tcPr>
            <w:tcW w:w="911" w:type="pct"/>
            <w:noWrap w:val="0"/>
            <w:vAlign w:val="center"/>
          </w:tcPr>
          <w:p w14:paraId="5F1465B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580FE8B4">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7961B7F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r>
              <w:rPr>
                <w:rFonts w:hint="eastAsia"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E-05</w:t>
            </w:r>
          </w:p>
        </w:tc>
      </w:tr>
      <w:tr w14:paraId="2BF4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2B1FDCA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5CA4B5AD">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4555ECB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00F20E3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纤维素醚</w:t>
            </w:r>
          </w:p>
        </w:tc>
        <w:tc>
          <w:tcPr>
            <w:tcW w:w="722" w:type="pct"/>
            <w:shd w:val="clear" w:color="auto" w:fill="auto"/>
            <w:noWrap w:val="0"/>
            <w:vAlign w:val="center"/>
          </w:tcPr>
          <w:p w14:paraId="06149E7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w:t>
            </w:r>
          </w:p>
        </w:tc>
        <w:tc>
          <w:tcPr>
            <w:tcW w:w="911" w:type="pct"/>
            <w:noWrap w:val="0"/>
            <w:vAlign w:val="center"/>
          </w:tcPr>
          <w:p w14:paraId="0AB8589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7718FD60">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15DA16CD">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1.00E-05</w:t>
            </w:r>
          </w:p>
        </w:tc>
      </w:tr>
      <w:tr w14:paraId="0AEF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7D250D9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579445B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24868E6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321B652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亚硝酸钠</w:t>
            </w:r>
          </w:p>
        </w:tc>
        <w:tc>
          <w:tcPr>
            <w:tcW w:w="722" w:type="pct"/>
            <w:shd w:val="clear" w:color="auto" w:fill="auto"/>
            <w:noWrap w:val="0"/>
            <w:vAlign w:val="center"/>
          </w:tcPr>
          <w:p w14:paraId="6E70B34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911" w:type="pct"/>
            <w:noWrap w:val="0"/>
            <w:vAlign w:val="center"/>
          </w:tcPr>
          <w:p w14:paraId="76BD614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573BD57E">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559028C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w:t>
            </w:r>
          </w:p>
        </w:tc>
      </w:tr>
      <w:tr w14:paraId="3DE8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 w:type="pct"/>
            <w:vMerge w:val="continue"/>
            <w:noWrap w:val="0"/>
            <w:vAlign w:val="center"/>
          </w:tcPr>
          <w:p w14:paraId="284D7E7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58" w:type="pct"/>
            <w:vMerge w:val="continue"/>
            <w:shd w:val="clear" w:color="auto" w:fill="auto"/>
            <w:noWrap w:val="0"/>
            <w:vAlign w:val="center"/>
          </w:tcPr>
          <w:p w14:paraId="52B5255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486" w:type="pct"/>
            <w:vMerge w:val="continue"/>
            <w:shd w:val="clear" w:color="auto" w:fill="auto"/>
            <w:noWrap w:val="0"/>
            <w:vAlign w:val="center"/>
          </w:tcPr>
          <w:p w14:paraId="0DAE722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705" w:type="pct"/>
            <w:shd w:val="clear" w:color="auto" w:fill="auto"/>
            <w:noWrap w:val="0"/>
            <w:vAlign w:val="center"/>
          </w:tcPr>
          <w:p w14:paraId="04DA22E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亚硝酸钙</w:t>
            </w:r>
          </w:p>
        </w:tc>
        <w:tc>
          <w:tcPr>
            <w:tcW w:w="722" w:type="pct"/>
            <w:shd w:val="clear" w:color="auto" w:fill="auto"/>
            <w:noWrap w:val="0"/>
            <w:vAlign w:val="center"/>
          </w:tcPr>
          <w:p w14:paraId="2AADC58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911" w:type="pct"/>
            <w:noWrap w:val="0"/>
            <w:vAlign w:val="center"/>
          </w:tcPr>
          <w:p w14:paraId="008DB3B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594" w:type="pct"/>
            <w:vMerge w:val="continue"/>
            <w:noWrap w:val="0"/>
            <w:vAlign w:val="center"/>
          </w:tcPr>
          <w:p w14:paraId="422F167C">
            <w:pPr>
              <w:pStyle w:val="24"/>
              <w:bidi w:val="0"/>
              <w:ind w:left="0" w:leftChars="0"/>
              <w:jc w:val="center"/>
              <w:rPr>
                <w:rFonts w:hint="eastAsia" w:eastAsia="宋体" w:cs="Times New Roman"/>
                <w:b w:val="0"/>
                <w:bCs w:val="0"/>
                <w:color w:val="auto"/>
                <w:sz w:val="21"/>
                <w:szCs w:val="21"/>
                <w:highlight w:val="none"/>
                <w:lang w:val="en-US" w:eastAsia="zh-CN"/>
              </w:rPr>
            </w:pPr>
          </w:p>
        </w:tc>
        <w:tc>
          <w:tcPr>
            <w:tcW w:w="685" w:type="pct"/>
            <w:noWrap w:val="0"/>
            <w:vAlign w:val="center"/>
          </w:tcPr>
          <w:p w14:paraId="23F216A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w:t>
            </w:r>
          </w:p>
        </w:tc>
      </w:tr>
      <w:tr w14:paraId="265B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6" w:type="pct"/>
            <w:gridSpan w:val="4"/>
            <w:noWrap w:val="0"/>
            <w:vAlign w:val="center"/>
          </w:tcPr>
          <w:p w14:paraId="5690FDD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合计</w:t>
            </w:r>
          </w:p>
        </w:tc>
        <w:tc>
          <w:tcPr>
            <w:tcW w:w="722" w:type="pct"/>
            <w:noWrap w:val="0"/>
            <w:vAlign w:val="center"/>
          </w:tcPr>
          <w:p w14:paraId="45B9534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1461.2</w:t>
            </w:r>
          </w:p>
        </w:tc>
        <w:tc>
          <w:tcPr>
            <w:tcW w:w="911" w:type="pct"/>
            <w:noWrap w:val="0"/>
            <w:vAlign w:val="center"/>
          </w:tcPr>
          <w:p w14:paraId="1F23CF1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594" w:type="pct"/>
            <w:vMerge w:val="continue"/>
            <w:noWrap w:val="0"/>
            <w:vAlign w:val="center"/>
          </w:tcPr>
          <w:p w14:paraId="278D6F9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685" w:type="pct"/>
            <w:noWrap w:val="0"/>
            <w:vAlign w:val="center"/>
          </w:tcPr>
          <w:p w14:paraId="174EFC1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eastAsia="宋体" w:cs="Times New Roman"/>
                <w:b w:val="0"/>
                <w:bCs w:val="0"/>
                <w:color w:val="auto"/>
                <w:sz w:val="21"/>
                <w:szCs w:val="21"/>
                <w:highlight w:val="none"/>
                <w:lang w:val="en-US" w:eastAsia="zh-CN"/>
              </w:rPr>
              <w:t>3</w:t>
            </w:r>
          </w:p>
        </w:tc>
      </w:tr>
    </w:tbl>
    <w:p w14:paraId="458657C9">
      <w:pPr>
        <w:bidi w:val="0"/>
        <w:rPr>
          <w:rFonts w:hint="default"/>
          <w:b w:val="0"/>
          <w:bCs w:val="0"/>
          <w:color w:val="auto"/>
          <w:lang w:val="en-US" w:eastAsia="zh-CN"/>
        </w:rPr>
      </w:pPr>
      <w:r>
        <w:rPr>
          <w:rFonts w:hint="eastAsia"/>
          <w:b w:val="0"/>
          <w:bCs w:val="0"/>
          <w:color w:val="auto"/>
          <w:lang w:val="en-US" w:eastAsia="zh-CN"/>
        </w:rPr>
        <w:t>由上表可知，本项目工艺废气中投料粉尘产生量为0.03t/a。</w:t>
      </w:r>
    </w:p>
    <w:p w14:paraId="6E1D823C">
      <w:pPr>
        <w:bidi w:val="0"/>
        <w:rPr>
          <w:rFonts w:hint="eastAsia"/>
          <w:b/>
          <w:bCs/>
          <w:color w:val="auto"/>
          <w:lang w:val="en-US" w:eastAsia="zh-CN"/>
        </w:rPr>
      </w:pPr>
      <w:r>
        <w:rPr>
          <w:rFonts w:hint="eastAsia"/>
          <w:b/>
          <w:bCs/>
          <w:color w:val="auto"/>
          <w:lang w:val="en-US" w:eastAsia="zh-CN"/>
        </w:rPr>
        <w:t>②罐区呼吸废气</w:t>
      </w:r>
    </w:p>
    <w:p w14:paraId="46ADBC8B">
      <w:pPr>
        <w:bidi w:val="0"/>
        <w:ind w:left="0" w:leftChars="0" w:firstLine="480" w:firstLineChars="200"/>
        <w:rPr>
          <w:rFonts w:hint="eastAsia"/>
          <w:b/>
          <w:bCs/>
          <w:color w:val="auto"/>
          <w:lang w:val="en-US" w:eastAsia="zh-CN"/>
        </w:rPr>
      </w:pPr>
      <w:r>
        <w:rPr>
          <w:rFonts w:hint="eastAsia"/>
          <w:color w:val="auto"/>
          <w:lang w:val="en-US" w:eastAsia="zh-CN"/>
        </w:rPr>
        <w:t>本项目罐区储存的聚醚大单体和聚羧酸减水剂母液均为大分子，且沸点、闪点均较高，可视为不挥发；无碱速凝剂成分中含有三乙醇胺、二乙醇胺，三乙醇胺沸点360℃、闪点179℃，二乙醇胺沸点268.8℃、闪点146℃，均远高于其储存温度（常温），几乎不具有挥发性，臭气浓度产生量极小，本次环评不进行定量分析；硫酸、氟硅酸、丙烯酸羟乙酯、丙烯酸、基础油会挥发产生呼吸废气，主要污染物为硫酸雾、氟化物、VOCs。</w:t>
      </w:r>
    </w:p>
    <w:p w14:paraId="5070D178">
      <w:pPr>
        <w:bidi w:val="0"/>
        <w:rPr>
          <w:rFonts w:hint="default"/>
          <w:color w:val="auto"/>
          <w:lang w:val="en-US" w:eastAsia="zh-CN"/>
        </w:rPr>
      </w:pPr>
      <w:r>
        <w:rPr>
          <w:rFonts w:hint="eastAsia"/>
          <w:color w:val="auto"/>
          <w:lang w:val="en-US" w:eastAsia="zh-CN"/>
        </w:rPr>
        <w:t>A.产生原理</w:t>
      </w:r>
    </w:p>
    <w:p w14:paraId="1076B8EE">
      <w:pPr>
        <w:bidi w:val="0"/>
        <w:ind w:left="0" w:leftChars="0" w:firstLine="480" w:firstLineChars="200"/>
        <w:rPr>
          <w:rFonts w:hint="eastAsia"/>
          <w:color w:val="auto"/>
          <w:lang w:val="en-US" w:eastAsia="zh-CN"/>
        </w:rPr>
      </w:pPr>
      <w:r>
        <w:rPr>
          <w:rFonts w:hint="eastAsia"/>
          <w:color w:val="auto"/>
          <w:lang w:val="en-US" w:eastAsia="zh-CN"/>
        </w:rPr>
        <w:t xml:space="preserve">“大呼吸”损耗（工作损耗）：液体物料进罐时，会有一定量的气体排出而损耗，损耗根据流体密度、温度、压力、流速等操作参数的不同而不同，各种物质的损耗系数亦不同。当储罐进料作业时，液面不断升高，气体空间不断缩小，液体混合物被压缩而使压力不断升高，这种蒸发损耗称为“大呼吸”。 </w:t>
      </w:r>
    </w:p>
    <w:p w14:paraId="3EAEA0DF">
      <w:pPr>
        <w:bidi w:val="0"/>
        <w:ind w:left="0" w:leftChars="0" w:firstLine="480" w:firstLineChars="200"/>
        <w:rPr>
          <w:rFonts w:hint="eastAsia"/>
          <w:color w:val="auto"/>
          <w:lang w:val="en-US" w:eastAsia="zh-CN"/>
        </w:rPr>
      </w:pPr>
      <w:r>
        <w:rPr>
          <w:rFonts w:hint="eastAsia"/>
          <w:color w:val="auto"/>
          <w:lang w:val="en-US" w:eastAsia="zh-CN"/>
        </w:rPr>
        <w:t>“小呼吸”损耗：液体储罐静贮时，白天受热，罐内温度升高，物料蒸发速度较快，蒸汽压随之增高，当储罐内混合气体压力增加到储罐控制压力极限时，就要向外放出气体。由于外界大气温度昼夜变化而引起的损耗，称为储罐的“小呼吸”损耗。小呼吸蒸发损失量和储罐储存液位高度、罐容量、储罐允许承受的蒸汽压力及温度的变化有着密切关系。</w:t>
      </w:r>
    </w:p>
    <w:p w14:paraId="41408CBD">
      <w:pPr>
        <w:bidi w:val="0"/>
        <w:rPr>
          <w:rFonts w:hint="default"/>
          <w:color w:val="auto"/>
          <w:lang w:val="en-US" w:eastAsia="zh-CN"/>
        </w:rPr>
      </w:pPr>
      <w:r>
        <w:rPr>
          <w:rFonts w:hint="eastAsia"/>
          <w:color w:val="auto"/>
          <w:lang w:val="en-US" w:eastAsia="zh-CN"/>
        </w:rPr>
        <w:t>B.罐区呼吸废气产生情况</w:t>
      </w:r>
    </w:p>
    <w:p w14:paraId="28DCC239">
      <w:pPr>
        <w:bidi w:val="0"/>
        <w:ind w:left="0" w:leftChars="0" w:firstLine="480" w:firstLineChars="200"/>
        <w:rPr>
          <w:rFonts w:hint="eastAsia"/>
          <w:color w:val="auto"/>
          <w:lang w:val="en-US" w:eastAsia="zh-CN"/>
        </w:rPr>
      </w:pPr>
      <w:r>
        <w:rPr>
          <w:rFonts w:hint="eastAsia"/>
          <w:color w:val="auto"/>
          <w:lang w:val="en-US" w:eastAsia="zh-CN"/>
        </w:rPr>
        <w:t xml:space="preserve">本项目所有储罐均为常温常压固定顶罐。参考美国环保署（EPA）发布的“污染物排放因子文件”（AP-42）第五版第七章，“大呼吸”损耗计算公式如下： </w:t>
      </w:r>
    </w:p>
    <w:p w14:paraId="28AD7B87">
      <w:pPr>
        <w:bidi w:val="0"/>
        <w:jc w:val="center"/>
        <w:rPr>
          <w:rFonts w:hint="eastAsia"/>
          <w:color w:val="auto"/>
          <w:lang w:val="en-US" w:eastAsia="zh-CN"/>
        </w:rPr>
      </w:pPr>
      <w:r>
        <w:rPr>
          <w:rFonts w:ascii="Times New Roman" w:hAnsi="Times New Roman" w:eastAsia="宋体"/>
          <w:caps w:val="0"/>
          <w:smallCaps w:val="0"/>
          <w:color w:val="auto"/>
          <w:position w:val="-12"/>
          <w:highlight w:val="none"/>
        </w:rPr>
        <w:object>
          <v:shape id="_x0000_i1031" o:spt="75" type="#_x0000_t75" style="height:19pt;width:167pt;" o:ole="t" filled="f" o:preferrelative="t" stroked="f" coordsize="21600,21600">
            <v:path/>
            <v:fill on="f" alignshape="1" focussize="0,0"/>
            <v:stroke on="f"/>
            <v:imagedata r:id="rId36" o:title=""/>
            <o:lock v:ext="edit" aspectratio="t"/>
            <w10:wrap type="none"/>
            <w10:anchorlock/>
          </v:shape>
          <o:OLEObject Type="Embed" ProgID="Equation.DSMT4" ShapeID="_x0000_i1031" DrawAspect="Content" ObjectID="_1468075731" r:id="rId35">
            <o:LockedField>false</o:LockedField>
          </o:OLEObject>
        </w:object>
      </w:r>
    </w:p>
    <w:p w14:paraId="69E3122E">
      <w:pPr>
        <w:bidi w:val="0"/>
        <w:rPr>
          <w:rFonts w:hint="eastAsia"/>
          <w:color w:val="auto"/>
          <w:lang w:val="en-US" w:eastAsia="zh-CN"/>
        </w:rPr>
      </w:pPr>
      <w:r>
        <w:rPr>
          <w:rFonts w:hint="eastAsia"/>
          <w:color w:val="auto"/>
          <w:lang w:val="en-US" w:eastAsia="zh-CN"/>
        </w:rPr>
        <w:t>式中：Lw－固定顶罐的工作损失（kg/m3投入量）；</w:t>
      </w:r>
    </w:p>
    <w:p w14:paraId="41CF7DB6">
      <w:pPr>
        <w:bidi w:val="0"/>
        <w:ind w:firstLine="720" w:firstLineChars="300"/>
        <w:rPr>
          <w:rFonts w:hint="eastAsia"/>
          <w:color w:val="auto"/>
          <w:lang w:val="en-US" w:eastAsia="zh-CN"/>
        </w:rPr>
      </w:pPr>
      <w:r>
        <w:rPr>
          <w:rFonts w:hint="eastAsia"/>
          <w:color w:val="auto"/>
          <w:lang w:val="en-US" w:eastAsia="zh-CN"/>
        </w:rPr>
        <w:t xml:space="preserve">M—储罐内蒸气的分子量； </w:t>
      </w:r>
    </w:p>
    <w:p w14:paraId="5DAC4BDF">
      <w:pPr>
        <w:bidi w:val="0"/>
        <w:ind w:firstLine="720" w:firstLineChars="300"/>
        <w:rPr>
          <w:rFonts w:hint="eastAsia"/>
          <w:color w:val="auto"/>
          <w:lang w:val="en-US" w:eastAsia="zh-CN"/>
        </w:rPr>
      </w:pPr>
      <w:r>
        <w:rPr>
          <w:rFonts w:hint="eastAsia"/>
          <w:color w:val="auto"/>
          <w:lang w:val="en-US" w:eastAsia="zh-CN"/>
        </w:rPr>
        <w:t>P—在大量液体状态下真实的蒸气压力（Pa）；</w:t>
      </w:r>
    </w:p>
    <w:p w14:paraId="0C0BCD73">
      <w:pPr>
        <w:bidi w:val="0"/>
        <w:ind w:firstLine="720" w:firstLineChars="300"/>
        <w:rPr>
          <w:rFonts w:hint="eastAsia"/>
          <w:color w:val="auto"/>
          <w:lang w:val="en-US" w:eastAsia="zh-CN"/>
        </w:rPr>
      </w:pPr>
      <w:r>
        <w:rPr>
          <w:rFonts w:hint="eastAsia"/>
          <w:color w:val="auto"/>
          <w:lang w:val="en-US" w:eastAsia="zh-CN"/>
        </w:rPr>
        <w:t xml:space="preserve">Kn－周转因子（无量纲），取值按年周转次数确定，当 K≤36，Kn=1；36&lt;K </w:t>
      </w:r>
    </w:p>
    <w:p w14:paraId="7866FFD4">
      <w:pPr>
        <w:bidi w:val="0"/>
        <w:rPr>
          <w:rFonts w:hint="default"/>
          <w:color w:val="auto"/>
          <w:lang w:val="en-US" w:eastAsia="zh-CN"/>
        </w:rPr>
      </w:pPr>
      <w:r>
        <w:rPr>
          <w:rFonts w:hint="eastAsia"/>
          <w:color w:val="auto"/>
          <w:lang w:val="en-US" w:eastAsia="zh-CN"/>
        </w:rPr>
        <w:t>≤220，Kn=11.467×K -0.7026；K&gt;220，Kn=0.26；</w:t>
      </w:r>
    </w:p>
    <w:p w14:paraId="330022CF">
      <w:pPr>
        <w:bidi w:val="0"/>
        <w:ind w:firstLine="720" w:firstLineChars="300"/>
        <w:rPr>
          <w:rFonts w:hint="eastAsia"/>
          <w:color w:val="auto"/>
          <w:lang w:val="en-US" w:eastAsia="zh-CN"/>
        </w:rPr>
      </w:pPr>
      <w:r>
        <w:rPr>
          <w:rFonts w:hint="default"/>
          <w:color w:val="auto"/>
          <w:lang w:val="en-US" w:eastAsia="zh-CN"/>
        </w:rPr>
        <w:t>K</w:t>
      </w:r>
      <w:r>
        <w:rPr>
          <w:rFonts w:hint="default"/>
          <w:color w:val="auto"/>
          <w:vertAlign w:val="subscript"/>
          <w:lang w:val="en-US" w:eastAsia="zh-CN"/>
        </w:rPr>
        <w:t>C</w:t>
      </w:r>
      <w:r>
        <w:rPr>
          <w:rFonts w:hint="default"/>
          <w:color w:val="auto"/>
          <w:lang w:val="en-US" w:eastAsia="zh-CN"/>
        </w:rPr>
        <w:t>—</w:t>
      </w:r>
      <w:r>
        <w:rPr>
          <w:rFonts w:hint="eastAsia"/>
          <w:color w:val="auto"/>
          <w:lang w:val="en-US" w:eastAsia="zh-CN"/>
        </w:rPr>
        <w:t xml:space="preserve">产品因子，石油原油 </w:t>
      </w:r>
      <w:r>
        <w:rPr>
          <w:rFonts w:hint="default"/>
          <w:color w:val="auto"/>
          <w:lang w:val="en-US" w:eastAsia="zh-CN"/>
        </w:rPr>
        <w:t xml:space="preserve">KC </w:t>
      </w:r>
      <w:r>
        <w:rPr>
          <w:rFonts w:hint="eastAsia"/>
          <w:color w:val="auto"/>
          <w:lang w:val="en-US" w:eastAsia="zh-CN"/>
        </w:rPr>
        <w:t xml:space="preserve">取 </w:t>
      </w:r>
      <w:r>
        <w:rPr>
          <w:rFonts w:hint="default"/>
          <w:color w:val="auto"/>
          <w:lang w:val="en-US" w:eastAsia="zh-CN"/>
        </w:rPr>
        <w:t>0.65</w:t>
      </w:r>
      <w:r>
        <w:rPr>
          <w:rFonts w:hint="eastAsia"/>
          <w:color w:val="auto"/>
          <w:lang w:val="en-US" w:eastAsia="zh-CN"/>
        </w:rPr>
        <w:t xml:space="preserve">，其他的有机液体取 </w:t>
      </w:r>
      <w:r>
        <w:rPr>
          <w:rFonts w:hint="default"/>
          <w:color w:val="auto"/>
          <w:lang w:val="en-US" w:eastAsia="zh-CN"/>
        </w:rPr>
        <w:t>1.0</w:t>
      </w:r>
      <w:r>
        <w:rPr>
          <w:rFonts w:hint="eastAsia"/>
          <w:color w:val="auto"/>
          <w:lang w:val="en-US" w:eastAsia="zh-CN"/>
        </w:rPr>
        <w:t>。</w:t>
      </w:r>
    </w:p>
    <w:p w14:paraId="40AC887A">
      <w:pPr>
        <w:bidi w:val="0"/>
        <w:rPr>
          <w:rFonts w:hint="eastAsia"/>
          <w:color w:val="auto"/>
          <w:lang w:val="en-US" w:eastAsia="zh-CN"/>
        </w:rPr>
      </w:pPr>
      <w:r>
        <w:rPr>
          <w:rFonts w:hint="eastAsia"/>
          <w:color w:val="auto"/>
          <w:lang w:val="en-US" w:eastAsia="zh-CN"/>
        </w:rPr>
        <w:t xml:space="preserve">“小呼吸”损耗计算公式如下： </w:t>
      </w:r>
    </w:p>
    <w:p w14:paraId="3DCCB8E9">
      <w:pPr>
        <w:bidi w:val="0"/>
        <w:jc w:val="center"/>
        <w:rPr>
          <w:color w:val="auto"/>
        </w:rPr>
      </w:pPr>
      <w:r>
        <w:rPr>
          <w:rFonts w:ascii="Times New Roman" w:hAnsi="Times New Roman" w:eastAsia="宋体"/>
          <w:caps w:val="0"/>
          <w:smallCaps w:val="0"/>
          <w:color w:val="auto"/>
          <w:position w:val="-24"/>
          <w:highlight w:val="none"/>
        </w:rPr>
        <w:object>
          <v:shape id="_x0000_i1032" o:spt="75" type="#_x0000_t75" style="height:31pt;width:327pt;" o:ole="t" filled="f" o:preferrelative="t" stroked="f" coordsize="21600,21600">
            <v:path/>
            <v:fill on="f" alignshape="1" focussize="0,0"/>
            <v:stroke on="f"/>
            <v:imagedata r:id="rId38" o:title=""/>
            <o:lock v:ext="edit" aspectratio="t"/>
            <w10:wrap type="none"/>
            <w10:anchorlock/>
          </v:shape>
          <o:OLEObject Type="Embed" ProgID="Equation.DSMT4" ShapeID="_x0000_i1032" DrawAspect="Content" ObjectID="_1468075732" r:id="rId37">
            <o:LockedField>false</o:LockedField>
          </o:OLEObject>
        </w:object>
      </w:r>
    </w:p>
    <w:p w14:paraId="181A8D7E">
      <w:pPr>
        <w:bidi w:val="0"/>
        <w:rPr>
          <w:color w:val="auto"/>
        </w:rPr>
      </w:pPr>
      <w:r>
        <w:rPr>
          <w:rFonts w:hint="eastAsia"/>
          <w:color w:val="auto"/>
          <w:lang w:val="en-US" w:eastAsia="zh-CN"/>
        </w:rPr>
        <w:t>式中：</w:t>
      </w:r>
      <w:r>
        <w:rPr>
          <w:rFonts w:hint="default"/>
          <w:color w:val="auto"/>
          <w:lang w:val="en-US" w:eastAsia="zh-CN"/>
        </w:rPr>
        <w:t>LB—</w:t>
      </w:r>
      <w:r>
        <w:rPr>
          <w:rFonts w:hint="eastAsia"/>
          <w:color w:val="auto"/>
          <w:lang w:val="en-US" w:eastAsia="zh-CN"/>
        </w:rPr>
        <w:t>固定罐的呼吸排放量（</w:t>
      </w:r>
      <w:r>
        <w:rPr>
          <w:rFonts w:hint="default"/>
          <w:color w:val="auto"/>
          <w:lang w:val="en-US" w:eastAsia="zh-CN"/>
        </w:rPr>
        <w:t>kg/a</w:t>
      </w:r>
      <w:r>
        <w:rPr>
          <w:rFonts w:hint="eastAsia"/>
          <w:color w:val="auto"/>
          <w:lang w:val="en-US" w:eastAsia="zh-CN"/>
        </w:rPr>
        <w:t xml:space="preserve">）； </w:t>
      </w:r>
    </w:p>
    <w:p w14:paraId="577880BB">
      <w:pPr>
        <w:keepNext w:val="0"/>
        <w:keepLines w:val="0"/>
        <w:widowControl/>
        <w:suppressLineNumbers w:val="0"/>
        <w:ind w:firstLine="720" w:firstLineChars="300"/>
        <w:jc w:val="left"/>
        <w:rPr>
          <w:color w:val="auto"/>
        </w:rPr>
      </w:pP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 xml:space="preserve">储罐内蒸气的分子量，无量纲； </w:t>
      </w:r>
    </w:p>
    <w:p w14:paraId="61361D06">
      <w:pPr>
        <w:keepNext w:val="0"/>
        <w:keepLines w:val="0"/>
        <w:widowControl/>
        <w:suppressLineNumbers w:val="0"/>
        <w:ind w:firstLine="720" w:firstLineChars="300"/>
        <w:jc w:val="left"/>
        <w:rPr>
          <w:color w:val="auto"/>
        </w:rPr>
      </w:pPr>
      <w:r>
        <w:rPr>
          <w:rFonts w:hint="default" w:ascii="Times New Roman" w:hAnsi="Times New Roman" w:eastAsia="宋体" w:cs="Times New Roman"/>
          <w:color w:val="auto"/>
          <w:kern w:val="0"/>
          <w:sz w:val="24"/>
          <w:szCs w:val="24"/>
          <w:lang w:val="en-US" w:eastAsia="zh-CN" w:bidi="ar"/>
        </w:rPr>
        <w:t>P—</w:t>
      </w:r>
      <w:r>
        <w:rPr>
          <w:rFonts w:hint="eastAsia" w:ascii="宋体" w:hAnsi="宋体" w:eastAsia="宋体" w:cs="宋体"/>
          <w:color w:val="auto"/>
          <w:kern w:val="0"/>
          <w:sz w:val="24"/>
          <w:szCs w:val="24"/>
          <w:lang w:val="en-US" w:eastAsia="zh-CN" w:bidi="ar"/>
        </w:rPr>
        <w:t>在大量液体状态下真实的蒸气压力（</w:t>
      </w:r>
      <w:r>
        <w:rPr>
          <w:rFonts w:hint="default" w:ascii="Times New Roman" w:hAnsi="Times New Roman" w:eastAsia="宋体" w:cs="Times New Roman"/>
          <w:color w:val="auto"/>
          <w:kern w:val="0"/>
          <w:sz w:val="24"/>
          <w:szCs w:val="24"/>
          <w:lang w:val="en-US" w:eastAsia="zh-CN" w:bidi="ar"/>
        </w:rPr>
        <w:t>Pa</w:t>
      </w:r>
      <w:r>
        <w:rPr>
          <w:rFonts w:hint="eastAsia" w:ascii="宋体" w:hAnsi="宋体" w:eastAsia="宋体" w:cs="宋体"/>
          <w:color w:val="auto"/>
          <w:kern w:val="0"/>
          <w:sz w:val="24"/>
          <w:szCs w:val="24"/>
          <w:lang w:val="en-US" w:eastAsia="zh-CN" w:bidi="ar"/>
        </w:rPr>
        <w:t xml:space="preserve">）； </w:t>
      </w:r>
    </w:p>
    <w:p w14:paraId="2CACD500">
      <w:pPr>
        <w:keepNext w:val="0"/>
        <w:keepLines w:val="0"/>
        <w:widowControl/>
        <w:suppressLineNumbers w:val="0"/>
        <w:ind w:firstLine="720" w:firstLineChars="300"/>
        <w:jc w:val="left"/>
        <w:rPr>
          <w:color w:val="auto"/>
        </w:rPr>
      </w:pPr>
      <w:r>
        <w:rPr>
          <w:rFonts w:hint="default" w:ascii="Times New Roman" w:hAnsi="Times New Roman" w:eastAsia="宋体" w:cs="Times New Roman"/>
          <w:color w:val="auto"/>
          <w:kern w:val="0"/>
          <w:sz w:val="24"/>
          <w:szCs w:val="24"/>
          <w:lang w:val="en-US" w:eastAsia="zh-CN" w:bidi="ar"/>
        </w:rPr>
        <w:t>D—</w:t>
      </w:r>
      <w:r>
        <w:rPr>
          <w:rFonts w:hint="eastAsia" w:ascii="宋体" w:hAnsi="宋体" w:eastAsia="宋体" w:cs="宋体"/>
          <w:color w:val="auto"/>
          <w:kern w:val="0"/>
          <w:sz w:val="24"/>
          <w:szCs w:val="24"/>
          <w:lang w:val="en-US" w:eastAsia="zh-CN" w:bidi="ar"/>
        </w:rPr>
        <w:t>罐的直径（</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 xml:space="preserve">）； </w:t>
      </w:r>
    </w:p>
    <w:p w14:paraId="5FF1B052">
      <w:pPr>
        <w:keepNext w:val="0"/>
        <w:keepLines w:val="0"/>
        <w:widowControl/>
        <w:suppressLineNumbers w:val="0"/>
        <w:ind w:firstLine="720" w:firstLineChars="300"/>
        <w:jc w:val="left"/>
        <w:rPr>
          <w:color w:val="auto"/>
        </w:rPr>
      </w:pPr>
      <w:r>
        <w:rPr>
          <w:rFonts w:hint="default" w:ascii="Times New Roman" w:hAnsi="Times New Roman" w:eastAsia="宋体" w:cs="Times New Roman"/>
          <w:color w:val="auto"/>
          <w:kern w:val="0"/>
          <w:sz w:val="24"/>
          <w:szCs w:val="24"/>
          <w:lang w:val="en-US" w:eastAsia="zh-CN" w:bidi="ar"/>
        </w:rPr>
        <w:t>H—</w:t>
      </w:r>
      <w:r>
        <w:rPr>
          <w:rFonts w:hint="eastAsia" w:ascii="宋体" w:hAnsi="宋体" w:eastAsia="宋体" w:cs="宋体"/>
          <w:color w:val="auto"/>
          <w:kern w:val="0"/>
          <w:sz w:val="24"/>
          <w:szCs w:val="24"/>
          <w:lang w:val="en-US" w:eastAsia="zh-CN" w:bidi="ar"/>
        </w:rPr>
        <w:t>平均蒸气空间高度（</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 xml:space="preserve">）； </w:t>
      </w:r>
    </w:p>
    <w:p w14:paraId="7C885BD6">
      <w:pPr>
        <w:keepNext w:val="0"/>
        <w:keepLines w:val="0"/>
        <w:widowControl/>
        <w:suppressLineNumbers w:val="0"/>
        <w:ind w:firstLine="720" w:firstLineChars="300"/>
        <w:jc w:val="left"/>
        <w:rPr>
          <w:color w:val="auto"/>
        </w:rPr>
      </w:pPr>
      <w:r>
        <w:rPr>
          <w:rFonts w:ascii="Cambria Math" w:hAnsi="Cambria Math" w:eastAsia="Cambria Math" w:cs="Cambria Math"/>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T—</w:t>
      </w:r>
      <w:r>
        <w:rPr>
          <w:rFonts w:hint="eastAsia" w:ascii="宋体" w:hAnsi="宋体" w:eastAsia="宋体" w:cs="宋体"/>
          <w:color w:val="auto"/>
          <w:kern w:val="0"/>
          <w:sz w:val="24"/>
          <w:szCs w:val="24"/>
          <w:lang w:val="en-US" w:eastAsia="zh-CN" w:bidi="ar"/>
        </w:rPr>
        <w:t xml:space="preserve">一天之内的平均温度差（℃）； </w:t>
      </w:r>
    </w:p>
    <w:p w14:paraId="7E3BF66C">
      <w:pPr>
        <w:keepNext w:val="0"/>
        <w:keepLines w:val="0"/>
        <w:widowControl/>
        <w:suppressLineNumbers w:val="0"/>
        <w:ind w:firstLine="720" w:firstLineChars="300"/>
        <w:jc w:val="left"/>
        <w:rPr>
          <w:color w:val="auto"/>
        </w:rPr>
      </w:pPr>
      <w:r>
        <w:rPr>
          <w:rFonts w:hint="default" w:ascii="Times New Roman" w:hAnsi="Times New Roman" w:eastAsia="宋体" w:cs="Times New Roman"/>
          <w:color w:val="auto"/>
          <w:kern w:val="0"/>
          <w:sz w:val="24"/>
          <w:szCs w:val="24"/>
          <w:lang w:val="en-US" w:eastAsia="zh-CN" w:bidi="ar"/>
        </w:rPr>
        <w:t>F</w:t>
      </w:r>
      <w:r>
        <w:rPr>
          <w:rFonts w:hint="default" w:ascii="Times New Roman" w:hAnsi="Times New Roman" w:eastAsia="宋体" w:cs="Times New Roman"/>
          <w:color w:val="auto"/>
          <w:kern w:val="0"/>
          <w:sz w:val="16"/>
          <w:szCs w:val="16"/>
          <w:lang w:val="en-US" w:eastAsia="zh-CN" w:bidi="ar"/>
        </w:rPr>
        <w:t>P</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涂层因子，无量纲，根据油漆状况取值在</w:t>
      </w:r>
      <w:r>
        <w:rPr>
          <w:rFonts w:hint="default" w:ascii="Times New Roman" w:hAnsi="Times New Roman" w:eastAsia="宋体" w:cs="Times New Roman"/>
          <w:color w:val="auto"/>
          <w:kern w:val="0"/>
          <w:sz w:val="24"/>
          <w:szCs w:val="24"/>
          <w:lang w:val="en-US" w:eastAsia="zh-CN" w:bidi="ar"/>
        </w:rPr>
        <w:t>1~1.5</w:t>
      </w:r>
      <w:r>
        <w:rPr>
          <w:rFonts w:hint="eastAsia" w:ascii="宋体" w:hAnsi="宋体" w:eastAsia="宋体" w:cs="宋体"/>
          <w:color w:val="auto"/>
          <w:kern w:val="0"/>
          <w:sz w:val="24"/>
          <w:szCs w:val="24"/>
          <w:lang w:val="en-US" w:eastAsia="zh-CN" w:bidi="ar"/>
        </w:rPr>
        <w:t xml:space="preserve">之间； </w:t>
      </w:r>
    </w:p>
    <w:p w14:paraId="471C4B54">
      <w:pPr>
        <w:keepNext w:val="0"/>
        <w:keepLines w:val="0"/>
        <w:widowControl/>
        <w:suppressLineNumbers w:val="0"/>
        <w:ind w:left="0" w:leftChars="0" w:firstLine="1200" w:firstLineChars="500"/>
        <w:jc w:val="left"/>
        <w:rPr>
          <w:color w:val="auto"/>
        </w:rPr>
      </w:pPr>
      <w:r>
        <w:rPr>
          <w:rFonts w:hint="default" w:ascii="Times New Roman" w:hAnsi="Times New Roman" w:eastAsia="宋体" w:cs="Times New Roman"/>
          <w:color w:val="auto"/>
          <w:kern w:val="0"/>
          <w:sz w:val="24"/>
          <w:szCs w:val="24"/>
          <w:lang w:val="en-US" w:eastAsia="zh-CN" w:bidi="ar"/>
        </w:rPr>
        <w:t>C—</w:t>
      </w:r>
      <w:r>
        <w:rPr>
          <w:rFonts w:hint="eastAsia" w:ascii="宋体" w:hAnsi="宋体" w:eastAsia="宋体" w:cs="宋体"/>
          <w:color w:val="auto"/>
          <w:kern w:val="0"/>
          <w:sz w:val="24"/>
          <w:szCs w:val="24"/>
          <w:lang w:val="en-US" w:eastAsia="zh-CN" w:bidi="ar"/>
        </w:rPr>
        <w:t>用于小直径罐的调节因子，无量纲，直径在</w:t>
      </w:r>
      <w:r>
        <w:rPr>
          <w:rFonts w:hint="default" w:ascii="Times New Roman" w:hAnsi="Times New Roman" w:eastAsia="宋体" w:cs="Times New Roman"/>
          <w:color w:val="auto"/>
          <w:kern w:val="0"/>
          <w:sz w:val="24"/>
          <w:szCs w:val="24"/>
          <w:lang w:val="en-US" w:eastAsia="zh-CN" w:bidi="ar"/>
        </w:rPr>
        <w:t>0~9m</w:t>
      </w:r>
      <w:r>
        <w:rPr>
          <w:rFonts w:hint="eastAsia" w:ascii="宋体" w:hAnsi="宋体" w:eastAsia="宋体" w:cs="宋体"/>
          <w:color w:val="auto"/>
          <w:kern w:val="0"/>
          <w:sz w:val="24"/>
          <w:szCs w:val="24"/>
          <w:lang w:val="en-US" w:eastAsia="zh-CN" w:bidi="ar"/>
        </w:rPr>
        <w:t>之间的罐体，</w:t>
      </w:r>
      <w:r>
        <w:rPr>
          <w:rFonts w:hint="default" w:ascii="Times New Roman" w:hAnsi="Times New Roman" w:eastAsia="宋体" w:cs="Times New Roman"/>
          <w:color w:val="auto"/>
          <w:kern w:val="0"/>
          <w:sz w:val="24"/>
          <w:szCs w:val="24"/>
          <w:lang w:val="en-US" w:eastAsia="zh-CN" w:bidi="ar"/>
        </w:rPr>
        <w:t>C=1-0.0123</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D-9</w:t>
      </w:r>
      <w:r>
        <w:rPr>
          <w:rFonts w:hint="eastAsia"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16"/>
          <w:szCs w:val="16"/>
          <w:lang w:val="en-US" w:eastAsia="zh-CN" w:bidi="ar"/>
        </w:rPr>
        <w:t xml:space="preserve"> </w:t>
      </w:r>
      <w:r>
        <w:rPr>
          <w:rFonts w:hint="eastAsia" w:ascii="宋体" w:hAnsi="宋体" w:eastAsia="宋体" w:cs="宋体"/>
          <w:color w:val="auto"/>
          <w:kern w:val="0"/>
          <w:sz w:val="24"/>
          <w:szCs w:val="24"/>
          <w:lang w:val="en-US" w:eastAsia="zh-CN" w:bidi="ar"/>
        </w:rPr>
        <w:t>；罐径大于</w:t>
      </w:r>
      <w:r>
        <w:rPr>
          <w:rFonts w:hint="default" w:ascii="Times New Roman" w:hAnsi="Times New Roman" w:eastAsia="宋体" w:cs="Times New Roman"/>
          <w:color w:val="auto"/>
          <w:kern w:val="0"/>
          <w:sz w:val="24"/>
          <w:szCs w:val="24"/>
          <w:lang w:val="en-US" w:eastAsia="zh-CN" w:bidi="ar"/>
        </w:rPr>
        <w:t>9m</w:t>
      </w:r>
      <w:r>
        <w:rPr>
          <w:rFonts w:hint="eastAsia" w:ascii="宋体" w:hAnsi="宋体" w:eastAsia="宋体" w:cs="宋体"/>
          <w:color w:val="auto"/>
          <w:kern w:val="0"/>
          <w:sz w:val="24"/>
          <w:szCs w:val="24"/>
          <w:lang w:val="en-US" w:eastAsia="zh-CN" w:bidi="ar"/>
        </w:rPr>
        <w:t>的</w:t>
      </w:r>
      <w:r>
        <w:rPr>
          <w:rFonts w:hint="default" w:ascii="Times New Roman" w:hAnsi="Times New Roman" w:eastAsia="宋体" w:cs="Times New Roman"/>
          <w:color w:val="auto"/>
          <w:kern w:val="0"/>
          <w:sz w:val="24"/>
          <w:szCs w:val="24"/>
          <w:lang w:val="en-US" w:eastAsia="zh-CN" w:bidi="ar"/>
        </w:rPr>
        <w:t>C=1</w:t>
      </w:r>
      <w:r>
        <w:rPr>
          <w:rFonts w:hint="eastAsia" w:ascii="宋体" w:hAnsi="宋体" w:eastAsia="宋体" w:cs="宋体"/>
          <w:color w:val="auto"/>
          <w:kern w:val="0"/>
          <w:sz w:val="24"/>
          <w:szCs w:val="24"/>
          <w:lang w:val="en-US" w:eastAsia="zh-CN" w:bidi="ar"/>
        </w:rPr>
        <w:t xml:space="preserve">； </w:t>
      </w:r>
    </w:p>
    <w:p w14:paraId="3F358B97">
      <w:pPr>
        <w:keepNext w:val="0"/>
        <w:keepLines w:val="0"/>
        <w:widowControl/>
        <w:suppressLineNumbers w:val="0"/>
        <w:ind w:left="0" w:leftChars="0" w:firstLine="1200" w:firstLineChars="500"/>
        <w:jc w:val="left"/>
        <w:rPr>
          <w:rFonts w:hint="eastAsia" w:ascii="宋体" w:hAnsi="宋体" w:eastAsia="宋体" w:cs="宋体"/>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K</w:t>
      </w:r>
      <w:r>
        <w:rPr>
          <w:rFonts w:hint="default" w:ascii="Times New Roman" w:hAnsi="Times New Roman" w:eastAsia="宋体" w:cs="Times New Roman"/>
          <w:color w:val="auto"/>
          <w:kern w:val="0"/>
          <w:sz w:val="16"/>
          <w:szCs w:val="16"/>
          <w:lang w:val="en-US" w:eastAsia="zh-CN" w:bidi="ar"/>
        </w:rPr>
        <w:t>C</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 xml:space="preserve">产品因子，石油原油 </w:t>
      </w:r>
      <w:r>
        <w:rPr>
          <w:rFonts w:hint="default" w:ascii="Times New Roman" w:hAnsi="Times New Roman" w:eastAsia="宋体" w:cs="Times New Roman"/>
          <w:color w:val="auto"/>
          <w:kern w:val="0"/>
          <w:sz w:val="24"/>
          <w:szCs w:val="24"/>
          <w:lang w:val="en-US" w:eastAsia="zh-CN" w:bidi="ar"/>
        </w:rPr>
        <w:t>K</w:t>
      </w:r>
      <w:r>
        <w:rPr>
          <w:rFonts w:hint="default" w:ascii="Times New Roman" w:hAnsi="Times New Roman" w:eastAsia="宋体" w:cs="Times New Roman"/>
          <w:color w:val="auto"/>
          <w:kern w:val="0"/>
          <w:sz w:val="16"/>
          <w:szCs w:val="16"/>
          <w:lang w:val="en-US" w:eastAsia="zh-CN" w:bidi="ar"/>
        </w:rPr>
        <w:t xml:space="preserve">C </w:t>
      </w:r>
      <w:r>
        <w:rPr>
          <w:rFonts w:hint="eastAsia" w:ascii="宋体" w:hAnsi="宋体" w:eastAsia="宋体" w:cs="宋体"/>
          <w:color w:val="auto"/>
          <w:kern w:val="0"/>
          <w:sz w:val="24"/>
          <w:szCs w:val="24"/>
          <w:lang w:val="en-US" w:eastAsia="zh-CN" w:bidi="ar"/>
        </w:rPr>
        <w:t xml:space="preserve">取 </w:t>
      </w:r>
      <w:r>
        <w:rPr>
          <w:rFonts w:hint="default" w:ascii="Times New Roman" w:hAnsi="Times New Roman" w:eastAsia="宋体" w:cs="Times New Roman"/>
          <w:color w:val="auto"/>
          <w:kern w:val="0"/>
          <w:sz w:val="24"/>
          <w:szCs w:val="24"/>
          <w:lang w:val="en-US" w:eastAsia="zh-CN" w:bidi="ar"/>
        </w:rPr>
        <w:t>0.65</w:t>
      </w:r>
      <w:r>
        <w:rPr>
          <w:rFonts w:hint="eastAsia" w:ascii="宋体" w:hAnsi="宋体" w:eastAsia="宋体" w:cs="宋体"/>
          <w:color w:val="auto"/>
          <w:kern w:val="0"/>
          <w:sz w:val="24"/>
          <w:szCs w:val="24"/>
          <w:lang w:val="en-US" w:eastAsia="zh-CN" w:bidi="ar"/>
        </w:rPr>
        <w:t xml:space="preserve">，其他的有机液体取 </w:t>
      </w:r>
      <w:r>
        <w:rPr>
          <w:rFonts w:hint="default" w:ascii="Times New Roman" w:hAnsi="Times New Roman" w:eastAsia="宋体" w:cs="Times New Roman"/>
          <w:color w:val="auto"/>
          <w:kern w:val="0"/>
          <w:sz w:val="24"/>
          <w:szCs w:val="24"/>
          <w:lang w:val="en-US" w:eastAsia="zh-CN" w:bidi="ar"/>
        </w:rPr>
        <w:t>1.0</w:t>
      </w:r>
      <w:r>
        <w:rPr>
          <w:rFonts w:hint="eastAsia" w:cs="Times New Roman"/>
          <w:color w:val="auto"/>
          <w:kern w:val="0"/>
          <w:sz w:val="24"/>
          <w:szCs w:val="24"/>
          <w:lang w:val="en-US" w:eastAsia="zh-CN" w:bidi="ar"/>
        </w:rPr>
        <w:t>。</w:t>
      </w:r>
    </w:p>
    <w:p w14:paraId="3A650AE8">
      <w:pPr>
        <w:bidi w:val="0"/>
        <w:rPr>
          <w:rFonts w:hint="eastAsia"/>
          <w:b/>
          <w:bCs/>
          <w:color w:val="auto"/>
          <w:lang w:val="en-US" w:eastAsia="zh-CN"/>
        </w:rPr>
      </w:pPr>
      <w:r>
        <w:rPr>
          <w:rFonts w:hint="eastAsia" w:ascii="宋体" w:hAnsi="宋体" w:eastAsia="宋体" w:cs="宋体"/>
          <w:color w:val="auto"/>
          <w:kern w:val="0"/>
          <w:sz w:val="24"/>
          <w:szCs w:val="24"/>
          <w:lang w:val="en-US" w:eastAsia="zh-CN" w:bidi="ar"/>
        </w:rPr>
        <w:t>据此，本项目储罐呼吸废气产生量见下表。</w:t>
      </w:r>
    </w:p>
    <w:p w14:paraId="13505F5F">
      <w:pPr>
        <w:bidi w:val="0"/>
        <w:rPr>
          <w:rFonts w:hint="eastAsia"/>
          <w:b/>
          <w:bCs/>
          <w:color w:val="auto"/>
          <w:lang w:val="en-US" w:eastAsia="zh-CN"/>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p>
    <w:p w14:paraId="4CFEBD14">
      <w:pPr>
        <w:pStyle w:val="27"/>
        <w:numPr>
          <w:ilvl w:val="0"/>
          <w:numId w:val="20"/>
        </w:numPr>
        <w:bidi w:val="0"/>
        <w:ind w:left="425" w:leftChars="0" w:hanging="425" w:firstLine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罐区各罐体呼吸废气核算一览表</w:t>
      </w:r>
    </w:p>
    <w:tbl>
      <w:tblPr>
        <w:tblStyle w:val="2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57"/>
        <w:gridCol w:w="1522"/>
        <w:gridCol w:w="1010"/>
        <w:gridCol w:w="1010"/>
        <w:gridCol w:w="1010"/>
        <w:gridCol w:w="976"/>
        <w:gridCol w:w="976"/>
        <w:gridCol w:w="1038"/>
        <w:gridCol w:w="900"/>
        <w:gridCol w:w="796"/>
        <w:gridCol w:w="955"/>
        <w:gridCol w:w="1020"/>
        <w:gridCol w:w="997"/>
      </w:tblGrid>
      <w:tr w14:paraId="69D5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 w:hRule="atLeast"/>
        </w:trPr>
        <w:tc>
          <w:tcPr>
            <w:tcW w:w="1201" w:type="pct"/>
            <w:gridSpan w:val="2"/>
            <w:vMerge w:val="restart"/>
            <w:shd w:val="clear" w:color="auto" w:fill="auto"/>
            <w:vAlign w:val="center"/>
          </w:tcPr>
          <w:p w14:paraId="162B7DA1">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储罐</w:t>
            </w:r>
            <w:r>
              <w:rPr>
                <w:rFonts w:hint="eastAsia" w:ascii="Times New Roman" w:hAnsi="Times New Roman" w:eastAsia="宋体" w:cs="Times New Roman"/>
                <w:b/>
                <w:bCs/>
                <w:color w:val="auto"/>
                <w:sz w:val="21"/>
                <w:szCs w:val="21"/>
                <w:highlight w:val="none"/>
                <w:lang w:val="en-US" w:eastAsia="zh-CN"/>
              </w:rPr>
              <w:t>名称及参数</w:t>
            </w:r>
          </w:p>
        </w:tc>
        <w:tc>
          <w:tcPr>
            <w:tcW w:w="3082" w:type="pct"/>
            <w:gridSpan w:val="9"/>
            <w:shd w:val="clear" w:color="auto" w:fill="auto"/>
            <w:vAlign w:val="center"/>
          </w:tcPr>
          <w:p w14:paraId="0FE09D7D">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计算参数</w:t>
            </w:r>
          </w:p>
        </w:tc>
        <w:tc>
          <w:tcPr>
            <w:tcW w:w="716" w:type="pct"/>
            <w:gridSpan w:val="2"/>
            <w:shd w:val="clear" w:color="auto" w:fill="auto"/>
            <w:vAlign w:val="center"/>
          </w:tcPr>
          <w:p w14:paraId="0A34B8B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计算结果</w:t>
            </w:r>
          </w:p>
        </w:tc>
      </w:tr>
      <w:tr w14:paraId="2F67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 w:hRule="atLeast"/>
        </w:trPr>
        <w:tc>
          <w:tcPr>
            <w:tcW w:w="1201" w:type="pct"/>
            <w:gridSpan w:val="2"/>
            <w:vMerge w:val="continue"/>
            <w:shd w:val="clear" w:color="auto" w:fill="auto"/>
            <w:vAlign w:val="center"/>
          </w:tcPr>
          <w:p w14:paraId="53445E9B">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p>
        </w:tc>
        <w:tc>
          <w:tcPr>
            <w:tcW w:w="359" w:type="pct"/>
            <w:shd w:val="clear" w:color="auto" w:fill="auto"/>
            <w:vAlign w:val="center"/>
          </w:tcPr>
          <w:p w14:paraId="0B50889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M</w:t>
            </w:r>
          </w:p>
        </w:tc>
        <w:tc>
          <w:tcPr>
            <w:tcW w:w="359" w:type="pct"/>
            <w:shd w:val="clear" w:color="auto" w:fill="auto"/>
            <w:vAlign w:val="center"/>
          </w:tcPr>
          <w:p w14:paraId="690C53B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P</w:t>
            </w:r>
          </w:p>
        </w:tc>
        <w:tc>
          <w:tcPr>
            <w:tcW w:w="359" w:type="pct"/>
            <w:shd w:val="clear" w:color="auto" w:fill="auto"/>
            <w:vAlign w:val="center"/>
          </w:tcPr>
          <w:p w14:paraId="08F1946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b/>
                <w:bCs/>
                <w:color w:val="auto"/>
                <w:highlight w:val="none"/>
                <w:lang w:val="en-US" w:eastAsia="zh-CN"/>
              </w:rPr>
              <w:t>Kn</w:t>
            </w:r>
          </w:p>
        </w:tc>
        <w:tc>
          <w:tcPr>
            <w:tcW w:w="347" w:type="pct"/>
            <w:shd w:val="clear" w:color="auto" w:fill="auto"/>
            <w:vAlign w:val="center"/>
          </w:tcPr>
          <w:p w14:paraId="6496E56A">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D</w:t>
            </w:r>
          </w:p>
        </w:tc>
        <w:tc>
          <w:tcPr>
            <w:tcW w:w="347" w:type="pct"/>
            <w:shd w:val="clear" w:color="auto" w:fill="auto"/>
            <w:vAlign w:val="center"/>
          </w:tcPr>
          <w:p w14:paraId="6C2C4067">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H</w:t>
            </w:r>
          </w:p>
        </w:tc>
        <w:tc>
          <w:tcPr>
            <w:tcW w:w="369" w:type="pct"/>
            <w:shd w:val="clear" w:color="auto" w:fill="auto"/>
            <w:vAlign w:val="center"/>
          </w:tcPr>
          <w:p w14:paraId="243E99D7">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△T</w:t>
            </w:r>
          </w:p>
        </w:tc>
        <w:tc>
          <w:tcPr>
            <w:tcW w:w="320" w:type="pct"/>
            <w:shd w:val="clear" w:color="auto" w:fill="auto"/>
            <w:vAlign w:val="center"/>
          </w:tcPr>
          <w:p w14:paraId="7CB0B07D">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0"/>
                <w:sz w:val="24"/>
                <w:szCs w:val="24"/>
                <w:lang w:val="en-US" w:eastAsia="zh-CN" w:bidi="ar"/>
              </w:rPr>
              <w:t>F</w:t>
            </w:r>
            <w:r>
              <w:rPr>
                <w:rFonts w:hint="default" w:ascii="Times New Roman" w:hAnsi="Times New Roman" w:eastAsia="宋体" w:cs="Times New Roman"/>
                <w:b/>
                <w:bCs/>
                <w:color w:val="auto"/>
                <w:kern w:val="0"/>
                <w:sz w:val="16"/>
                <w:szCs w:val="16"/>
                <w:lang w:val="en-US" w:eastAsia="zh-CN" w:bidi="ar"/>
              </w:rPr>
              <w:t>P</w:t>
            </w:r>
          </w:p>
        </w:tc>
        <w:tc>
          <w:tcPr>
            <w:tcW w:w="283" w:type="pct"/>
            <w:shd w:val="clear" w:color="auto" w:fill="auto"/>
            <w:vAlign w:val="center"/>
          </w:tcPr>
          <w:p w14:paraId="776484C3">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0"/>
                <w:sz w:val="24"/>
                <w:szCs w:val="24"/>
                <w:lang w:val="en-US" w:eastAsia="zh-CN" w:bidi="ar"/>
              </w:rPr>
              <w:t>C</w:t>
            </w:r>
          </w:p>
        </w:tc>
        <w:tc>
          <w:tcPr>
            <w:tcW w:w="334" w:type="pct"/>
            <w:shd w:val="clear" w:color="auto" w:fill="auto"/>
            <w:vAlign w:val="center"/>
          </w:tcPr>
          <w:p w14:paraId="09084F83">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0"/>
                <w:sz w:val="21"/>
                <w:szCs w:val="21"/>
                <w:lang w:val="en-US" w:eastAsia="zh-CN" w:bidi="ar"/>
              </w:rPr>
              <w:t>K</w:t>
            </w:r>
            <w:r>
              <w:rPr>
                <w:rFonts w:hint="eastAsia" w:cs="Times New Roman"/>
                <w:b/>
                <w:bCs/>
                <w:color w:val="auto"/>
                <w:kern w:val="0"/>
                <w:sz w:val="21"/>
                <w:szCs w:val="21"/>
                <w:lang w:val="en-US" w:eastAsia="zh-CN" w:bidi="ar"/>
              </w:rPr>
              <w:t>c</w:t>
            </w:r>
          </w:p>
        </w:tc>
        <w:tc>
          <w:tcPr>
            <w:tcW w:w="362" w:type="pct"/>
            <w:shd w:val="clear" w:color="auto" w:fill="auto"/>
            <w:vAlign w:val="center"/>
          </w:tcPr>
          <w:p w14:paraId="51E3FDDB">
            <w:pPr>
              <w:pStyle w:val="24"/>
              <w:bidi w:val="0"/>
              <w:ind w:left="0" w:leftChars="0"/>
              <w:jc w:val="center"/>
              <w:rPr>
                <w:rFonts w:hint="default" w:ascii="Times New Roman" w:hAnsi="Times New Roman" w:eastAsia="宋体" w:cs="Times New Roman"/>
                <w:b/>
                <w:bCs/>
                <w:color w:val="auto"/>
                <w:kern w:val="0"/>
                <w:sz w:val="24"/>
                <w:szCs w:val="24"/>
                <w:lang w:val="en-US" w:eastAsia="zh-CN" w:bidi="ar"/>
              </w:rPr>
            </w:pPr>
            <w:r>
              <w:rPr>
                <w:rFonts w:hint="eastAsia"/>
                <w:b/>
                <w:bCs/>
                <w:color w:val="auto"/>
                <w:highlight w:val="none"/>
                <w:lang w:val="en-US" w:eastAsia="zh-CN"/>
              </w:rPr>
              <w:t>Lw</w:t>
            </w:r>
          </w:p>
        </w:tc>
        <w:tc>
          <w:tcPr>
            <w:tcW w:w="354" w:type="pct"/>
            <w:shd w:val="clear" w:color="auto" w:fill="auto"/>
            <w:vAlign w:val="center"/>
          </w:tcPr>
          <w:p w14:paraId="7ED87FEC">
            <w:pPr>
              <w:pStyle w:val="24"/>
              <w:bidi w:val="0"/>
              <w:ind w:left="0" w:leftChars="0"/>
              <w:jc w:val="center"/>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L</w:t>
            </w:r>
            <w:r>
              <w:rPr>
                <w:rFonts w:hint="default" w:ascii="Times New Roman" w:hAnsi="Times New Roman" w:eastAsia="宋体" w:cs="Times New Roman"/>
                <w:b/>
                <w:bCs/>
                <w:color w:val="auto"/>
                <w:kern w:val="0"/>
                <w:sz w:val="16"/>
                <w:szCs w:val="16"/>
                <w:lang w:val="en-US" w:eastAsia="zh-CN" w:bidi="ar"/>
              </w:rPr>
              <w:t>B</w:t>
            </w:r>
          </w:p>
        </w:tc>
      </w:tr>
      <w:tr w14:paraId="0993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0" w:type="pct"/>
            <w:shd w:val="clear" w:color="auto" w:fill="auto"/>
            <w:vAlign w:val="center"/>
          </w:tcPr>
          <w:p w14:paraId="7A0BB1F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color w:val="auto"/>
                <w:kern w:val="0"/>
                <w:szCs w:val="21"/>
                <w:lang w:val="en-US" w:eastAsia="zh-CN"/>
              </w:rPr>
              <w:t>硫酸</w:t>
            </w:r>
            <w:r>
              <w:rPr>
                <w:rFonts w:hint="eastAsia" w:ascii="Times New Roman" w:hAnsi="Times New Roman" w:cs="Times New Roman"/>
                <w:color w:val="auto"/>
                <w:kern w:val="0"/>
                <w:szCs w:val="21"/>
                <w:lang w:val="en-US" w:eastAsia="zh-CN"/>
              </w:rPr>
              <w:t>储罐</w:t>
            </w:r>
          </w:p>
        </w:tc>
        <w:tc>
          <w:tcPr>
            <w:tcW w:w="540" w:type="pct"/>
            <w:shd w:val="clear" w:color="auto" w:fill="auto"/>
            <w:vAlign w:val="center"/>
          </w:tcPr>
          <w:p w14:paraId="650E7BA2">
            <w:pPr>
              <w:pStyle w:val="24"/>
              <w:bidi w:val="0"/>
              <w:ind w:left="0" w:leftChars="0"/>
              <w:jc w:val="center"/>
              <w:rPr>
                <w:rFonts w:hint="eastAsia" w:ascii="Times New Roman" w:hAnsi="Times New Roman" w:eastAsia="宋体" w:cs="Times New Roman"/>
                <w:color w:val="auto"/>
                <w:kern w:val="0"/>
                <w:sz w:val="21"/>
                <w:szCs w:val="21"/>
                <w:lang w:val="en-US" w:eastAsia="zh-CN" w:bidi="ar-SA"/>
              </w:rPr>
            </w:pPr>
            <w:r>
              <w:rPr>
                <w:rFonts w:hint="eastAsia" w:cs="Courier New"/>
                <w:b w:val="0"/>
                <w:bCs w:val="0"/>
                <w:color w:val="auto"/>
                <w:highlight w:val="none"/>
                <w:lang w:val="en-US" w:eastAsia="zh-CN"/>
              </w:rPr>
              <w:t>1个50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359" w:type="pct"/>
            <w:shd w:val="clear" w:color="auto" w:fill="auto"/>
            <w:vAlign w:val="center"/>
          </w:tcPr>
          <w:p w14:paraId="44D005A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359" w:type="pct"/>
            <w:shd w:val="clear" w:color="auto" w:fill="auto"/>
            <w:vAlign w:val="center"/>
          </w:tcPr>
          <w:p w14:paraId="34A7672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485.71</w:t>
            </w:r>
          </w:p>
        </w:tc>
        <w:tc>
          <w:tcPr>
            <w:tcW w:w="359" w:type="pct"/>
            <w:shd w:val="clear" w:color="auto" w:fill="auto"/>
            <w:vAlign w:val="center"/>
          </w:tcPr>
          <w:p w14:paraId="0E02A120">
            <w:pPr>
              <w:pStyle w:val="24"/>
              <w:bidi w:val="0"/>
              <w:ind w:left="0" w:leftChars="0"/>
              <w:jc w:val="center"/>
              <w:rPr>
                <w:rFonts w:hint="default" w:ascii="Times New Roman" w:hAnsi="Times New Roman" w:eastAsia="宋体" w:cs="Courier New"/>
                <w:caps w:val="0"/>
                <w:smallCaps w:val="0"/>
                <w:color w:val="auto"/>
                <w:kern w:val="2"/>
                <w:sz w:val="21"/>
                <w:szCs w:val="21"/>
                <w:highlight w:val="none"/>
                <w:lang w:val="en-US" w:eastAsia="zh-CN" w:bidi="ar-SA"/>
              </w:rPr>
            </w:pPr>
            <w:r>
              <w:rPr>
                <w:rFonts w:hint="eastAsia" w:ascii="Times New Roman" w:hAnsi="Times New Roman" w:eastAsia="宋体" w:cs="Courier New"/>
                <w:caps w:val="0"/>
                <w:smallCaps w:val="0"/>
                <w:color w:val="auto"/>
                <w:kern w:val="2"/>
                <w:sz w:val="21"/>
                <w:szCs w:val="21"/>
                <w:highlight w:val="none"/>
                <w:lang w:val="en-US" w:eastAsia="zh-CN" w:bidi="ar-SA"/>
              </w:rPr>
              <w:t>0.52</w:t>
            </w:r>
          </w:p>
        </w:tc>
        <w:tc>
          <w:tcPr>
            <w:tcW w:w="347" w:type="pct"/>
            <w:shd w:val="clear" w:color="auto" w:fill="auto"/>
            <w:vAlign w:val="center"/>
          </w:tcPr>
          <w:p w14:paraId="585D803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3.2</w:t>
            </w:r>
          </w:p>
        </w:tc>
        <w:tc>
          <w:tcPr>
            <w:tcW w:w="347" w:type="pct"/>
            <w:shd w:val="clear" w:color="auto" w:fill="auto"/>
            <w:vAlign w:val="center"/>
          </w:tcPr>
          <w:p w14:paraId="04CFE30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6.45</w:t>
            </w:r>
          </w:p>
        </w:tc>
        <w:tc>
          <w:tcPr>
            <w:tcW w:w="369" w:type="pct"/>
            <w:shd w:val="clear" w:color="auto" w:fill="auto"/>
            <w:vAlign w:val="center"/>
          </w:tcPr>
          <w:p w14:paraId="112F3752">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15</w:t>
            </w:r>
          </w:p>
        </w:tc>
        <w:tc>
          <w:tcPr>
            <w:tcW w:w="320" w:type="pct"/>
            <w:shd w:val="clear" w:color="auto" w:fill="auto"/>
            <w:vAlign w:val="center"/>
          </w:tcPr>
          <w:p w14:paraId="29EF925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1.25</w:t>
            </w:r>
          </w:p>
        </w:tc>
        <w:tc>
          <w:tcPr>
            <w:tcW w:w="283" w:type="pct"/>
            <w:shd w:val="clear" w:color="auto" w:fill="auto"/>
            <w:vAlign w:val="center"/>
          </w:tcPr>
          <w:p w14:paraId="12AA2B1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0.59</w:t>
            </w:r>
          </w:p>
        </w:tc>
        <w:tc>
          <w:tcPr>
            <w:tcW w:w="334" w:type="pct"/>
            <w:shd w:val="clear" w:color="auto" w:fill="auto"/>
            <w:vAlign w:val="center"/>
          </w:tcPr>
          <w:p w14:paraId="576C90A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w:t>
            </w:r>
          </w:p>
        </w:tc>
        <w:tc>
          <w:tcPr>
            <w:tcW w:w="1020" w:type="dxa"/>
            <w:shd w:val="clear" w:color="auto" w:fill="auto"/>
            <w:vAlign w:val="bottom"/>
          </w:tcPr>
          <w:p w14:paraId="2DD4565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0.0104 </w:t>
            </w:r>
          </w:p>
        </w:tc>
        <w:tc>
          <w:tcPr>
            <w:tcW w:w="997" w:type="dxa"/>
            <w:shd w:val="clear" w:color="auto" w:fill="auto"/>
            <w:vAlign w:val="bottom"/>
          </w:tcPr>
          <w:p w14:paraId="42CD7A3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24.0923 </w:t>
            </w:r>
          </w:p>
        </w:tc>
      </w:tr>
      <w:tr w14:paraId="0DC0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660" w:type="pct"/>
            <w:vMerge w:val="restart"/>
            <w:shd w:val="clear" w:color="auto" w:fill="auto"/>
            <w:vAlign w:val="center"/>
          </w:tcPr>
          <w:p w14:paraId="1CA2D2E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氟硅酸储罐</w:t>
            </w:r>
          </w:p>
        </w:tc>
        <w:tc>
          <w:tcPr>
            <w:tcW w:w="540" w:type="pct"/>
            <w:shd w:val="clear" w:color="auto" w:fill="auto"/>
            <w:vAlign w:val="center"/>
          </w:tcPr>
          <w:p w14:paraId="06FDEDDA">
            <w:pPr>
              <w:pStyle w:val="24"/>
              <w:bidi w:val="0"/>
              <w:ind w:left="0" w:leftChars="0"/>
              <w:jc w:val="center"/>
              <w:rPr>
                <w:rFonts w:hint="eastAsia" w:ascii="Times New Roman" w:hAnsi="Times New Roman" w:eastAsia="宋体" w:cs="Times New Roman"/>
                <w:color w:val="auto"/>
                <w:kern w:val="0"/>
                <w:sz w:val="21"/>
                <w:szCs w:val="21"/>
                <w:lang w:val="en-US" w:eastAsia="zh-CN" w:bidi="ar-SA"/>
              </w:rPr>
            </w:pPr>
            <w:r>
              <w:rPr>
                <w:rFonts w:hint="eastAsia" w:cs="Courier New"/>
                <w:b w:val="0"/>
                <w:bCs w:val="0"/>
                <w:color w:val="auto"/>
                <w:highlight w:val="none"/>
                <w:lang w:val="en-US" w:eastAsia="zh-CN"/>
              </w:rPr>
              <w:t>1个35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359" w:type="pct"/>
            <w:shd w:val="clear" w:color="auto" w:fill="auto"/>
            <w:vAlign w:val="center"/>
          </w:tcPr>
          <w:p w14:paraId="17BB093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359" w:type="pct"/>
            <w:shd w:val="clear" w:color="auto" w:fill="auto"/>
            <w:vAlign w:val="center"/>
          </w:tcPr>
          <w:p w14:paraId="4CE2AE6F">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359" w:type="pct"/>
            <w:vAlign w:val="center"/>
          </w:tcPr>
          <w:p w14:paraId="7E7C35B4">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eastAsia="宋体"/>
                <w:caps w:val="0"/>
                <w:smallCaps w:val="0"/>
                <w:color w:val="auto"/>
                <w:sz w:val="21"/>
                <w:szCs w:val="21"/>
                <w:highlight w:val="none"/>
                <w:lang w:val="en-US" w:eastAsia="zh-CN"/>
              </w:rPr>
              <w:t>0.46</w:t>
            </w:r>
          </w:p>
        </w:tc>
        <w:tc>
          <w:tcPr>
            <w:tcW w:w="347" w:type="pct"/>
            <w:shd w:val="clear" w:color="auto" w:fill="auto"/>
            <w:vAlign w:val="center"/>
          </w:tcPr>
          <w:p w14:paraId="2525B8B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3.2</w:t>
            </w:r>
          </w:p>
        </w:tc>
        <w:tc>
          <w:tcPr>
            <w:tcW w:w="347" w:type="pct"/>
            <w:shd w:val="clear" w:color="auto" w:fill="auto"/>
            <w:vAlign w:val="center"/>
          </w:tcPr>
          <w:p w14:paraId="5EC69FE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4.45</w:t>
            </w:r>
          </w:p>
        </w:tc>
        <w:tc>
          <w:tcPr>
            <w:tcW w:w="369" w:type="pct"/>
            <w:shd w:val="clear" w:color="auto" w:fill="auto"/>
            <w:vAlign w:val="center"/>
          </w:tcPr>
          <w:p w14:paraId="25DD870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c>
          <w:tcPr>
            <w:tcW w:w="320" w:type="pct"/>
            <w:shd w:val="clear" w:color="auto" w:fill="auto"/>
            <w:vAlign w:val="center"/>
          </w:tcPr>
          <w:p w14:paraId="5BACE98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1.25</w:t>
            </w:r>
          </w:p>
        </w:tc>
        <w:tc>
          <w:tcPr>
            <w:tcW w:w="283" w:type="pct"/>
            <w:shd w:val="clear" w:color="auto" w:fill="auto"/>
            <w:vAlign w:val="center"/>
          </w:tcPr>
          <w:p w14:paraId="177BDAF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0.59</w:t>
            </w:r>
          </w:p>
        </w:tc>
        <w:tc>
          <w:tcPr>
            <w:tcW w:w="334" w:type="pct"/>
            <w:shd w:val="clear" w:color="auto" w:fill="auto"/>
            <w:vAlign w:val="center"/>
          </w:tcPr>
          <w:p w14:paraId="6EAB650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1020" w:type="dxa"/>
            <w:shd w:val="clear" w:color="auto" w:fill="auto"/>
            <w:vAlign w:val="bottom"/>
          </w:tcPr>
          <w:p w14:paraId="59E5E2E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0.0128 </w:t>
            </w:r>
          </w:p>
        </w:tc>
        <w:tc>
          <w:tcPr>
            <w:tcW w:w="997" w:type="dxa"/>
            <w:shd w:val="clear" w:color="auto" w:fill="auto"/>
            <w:vAlign w:val="bottom"/>
          </w:tcPr>
          <w:p w14:paraId="26227B5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15.3670 </w:t>
            </w:r>
          </w:p>
        </w:tc>
      </w:tr>
      <w:tr w14:paraId="5FFF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660" w:type="pct"/>
            <w:vMerge w:val="continue"/>
            <w:shd w:val="clear" w:color="auto" w:fill="auto"/>
            <w:vAlign w:val="center"/>
          </w:tcPr>
          <w:p w14:paraId="43B3A50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540" w:type="pct"/>
            <w:shd w:val="clear" w:color="auto" w:fill="auto"/>
            <w:vAlign w:val="center"/>
          </w:tcPr>
          <w:p w14:paraId="14F70B24">
            <w:pPr>
              <w:pStyle w:val="24"/>
              <w:bidi w:val="0"/>
              <w:ind w:left="0" w:leftChars="0"/>
              <w:jc w:val="center"/>
              <w:rPr>
                <w:rFonts w:hint="default" w:cs="Courier New"/>
                <w:b w:val="0"/>
                <w:bCs w:val="0"/>
                <w:color w:val="auto"/>
                <w:highlight w:val="none"/>
                <w:lang w:val="en-US" w:eastAsia="zh-CN"/>
              </w:rPr>
            </w:pPr>
            <w:r>
              <w:rPr>
                <w:rFonts w:hint="eastAsia" w:cs="Courier New"/>
                <w:b w:val="0"/>
                <w:bCs w:val="0"/>
                <w:color w:val="auto"/>
                <w:highlight w:val="none"/>
                <w:lang w:val="en-US" w:eastAsia="zh-CN"/>
              </w:rPr>
              <w:t>1个35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359" w:type="pct"/>
            <w:shd w:val="clear" w:color="auto" w:fill="auto"/>
            <w:vAlign w:val="center"/>
          </w:tcPr>
          <w:p w14:paraId="2B8F195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359" w:type="pct"/>
            <w:shd w:val="clear" w:color="auto" w:fill="auto"/>
            <w:vAlign w:val="center"/>
          </w:tcPr>
          <w:p w14:paraId="3E9ED00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3333.05</w:t>
            </w:r>
          </w:p>
        </w:tc>
        <w:tc>
          <w:tcPr>
            <w:tcW w:w="359" w:type="pct"/>
            <w:vAlign w:val="center"/>
          </w:tcPr>
          <w:p w14:paraId="5CA27B10">
            <w:pPr>
              <w:pStyle w:val="24"/>
              <w:bidi w:val="0"/>
              <w:ind w:left="0" w:leftChars="0"/>
              <w:jc w:val="center"/>
              <w:rPr>
                <w:rFonts w:hint="default"/>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0.46</w:t>
            </w:r>
          </w:p>
        </w:tc>
        <w:tc>
          <w:tcPr>
            <w:tcW w:w="347" w:type="pct"/>
            <w:shd w:val="clear" w:color="auto" w:fill="auto"/>
            <w:vAlign w:val="center"/>
          </w:tcPr>
          <w:p w14:paraId="7D34EEB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3.2</w:t>
            </w:r>
          </w:p>
        </w:tc>
        <w:tc>
          <w:tcPr>
            <w:tcW w:w="347" w:type="pct"/>
            <w:shd w:val="clear" w:color="auto" w:fill="auto"/>
            <w:vAlign w:val="center"/>
          </w:tcPr>
          <w:p w14:paraId="7831954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4.45</w:t>
            </w:r>
          </w:p>
        </w:tc>
        <w:tc>
          <w:tcPr>
            <w:tcW w:w="369" w:type="pct"/>
            <w:shd w:val="clear" w:color="auto" w:fill="auto"/>
            <w:vAlign w:val="center"/>
          </w:tcPr>
          <w:p w14:paraId="752B10C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15</w:t>
            </w:r>
          </w:p>
        </w:tc>
        <w:tc>
          <w:tcPr>
            <w:tcW w:w="320" w:type="pct"/>
            <w:shd w:val="clear" w:color="auto" w:fill="auto"/>
            <w:vAlign w:val="center"/>
          </w:tcPr>
          <w:p w14:paraId="3FC67B6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1.25</w:t>
            </w:r>
          </w:p>
        </w:tc>
        <w:tc>
          <w:tcPr>
            <w:tcW w:w="283" w:type="pct"/>
            <w:shd w:val="clear" w:color="auto" w:fill="auto"/>
            <w:vAlign w:val="center"/>
          </w:tcPr>
          <w:p w14:paraId="6174A160">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0.59</w:t>
            </w:r>
          </w:p>
        </w:tc>
        <w:tc>
          <w:tcPr>
            <w:tcW w:w="334" w:type="pct"/>
            <w:shd w:val="clear" w:color="auto" w:fill="auto"/>
            <w:vAlign w:val="center"/>
          </w:tcPr>
          <w:p w14:paraId="1A7D213A">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1020" w:type="dxa"/>
            <w:shd w:val="clear" w:color="auto" w:fill="auto"/>
            <w:vAlign w:val="bottom"/>
          </w:tcPr>
          <w:p w14:paraId="0436A8E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0.0128 </w:t>
            </w:r>
          </w:p>
        </w:tc>
        <w:tc>
          <w:tcPr>
            <w:tcW w:w="997" w:type="dxa"/>
            <w:shd w:val="clear" w:color="auto" w:fill="auto"/>
            <w:vAlign w:val="bottom"/>
          </w:tcPr>
          <w:p w14:paraId="2144948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15.3670 </w:t>
            </w:r>
          </w:p>
        </w:tc>
      </w:tr>
      <w:tr w14:paraId="1D9E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0" w:type="pct"/>
            <w:shd w:val="clear" w:color="auto" w:fill="auto"/>
            <w:vAlign w:val="center"/>
          </w:tcPr>
          <w:p w14:paraId="20FD207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丙烯酸羟乙酯储罐</w:t>
            </w:r>
          </w:p>
        </w:tc>
        <w:tc>
          <w:tcPr>
            <w:tcW w:w="540" w:type="pct"/>
            <w:shd w:val="clear" w:color="auto" w:fill="auto"/>
            <w:vAlign w:val="center"/>
          </w:tcPr>
          <w:p w14:paraId="6286AED9">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1个50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359" w:type="pct"/>
            <w:shd w:val="clear" w:color="auto" w:fill="auto"/>
            <w:vAlign w:val="center"/>
          </w:tcPr>
          <w:p w14:paraId="4DF155D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116.12</w:t>
            </w:r>
          </w:p>
        </w:tc>
        <w:tc>
          <w:tcPr>
            <w:tcW w:w="359" w:type="pct"/>
            <w:shd w:val="clear" w:color="auto" w:fill="auto"/>
            <w:vAlign w:val="center"/>
          </w:tcPr>
          <w:p w14:paraId="62DE62D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123</w:t>
            </w:r>
          </w:p>
        </w:tc>
        <w:tc>
          <w:tcPr>
            <w:tcW w:w="359" w:type="pct"/>
            <w:vAlign w:val="center"/>
          </w:tcPr>
          <w:p w14:paraId="42DDF79B">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eastAsia="宋体"/>
                <w:caps w:val="0"/>
                <w:smallCaps w:val="0"/>
                <w:color w:val="auto"/>
                <w:sz w:val="21"/>
                <w:szCs w:val="21"/>
                <w:highlight w:val="none"/>
                <w:lang w:val="en-US" w:eastAsia="zh-CN"/>
              </w:rPr>
              <w:t>1</w:t>
            </w:r>
          </w:p>
        </w:tc>
        <w:tc>
          <w:tcPr>
            <w:tcW w:w="347" w:type="pct"/>
            <w:shd w:val="clear" w:color="auto" w:fill="auto"/>
            <w:vAlign w:val="center"/>
          </w:tcPr>
          <w:p w14:paraId="5C2EAD0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3.2</w:t>
            </w:r>
          </w:p>
        </w:tc>
        <w:tc>
          <w:tcPr>
            <w:tcW w:w="347" w:type="pct"/>
            <w:shd w:val="clear" w:color="auto" w:fill="auto"/>
            <w:vAlign w:val="center"/>
          </w:tcPr>
          <w:p w14:paraId="1DA85B8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6.45</w:t>
            </w:r>
          </w:p>
        </w:tc>
        <w:tc>
          <w:tcPr>
            <w:tcW w:w="369" w:type="pct"/>
            <w:shd w:val="clear" w:color="auto" w:fill="auto"/>
            <w:vAlign w:val="center"/>
          </w:tcPr>
          <w:p w14:paraId="4649440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15</w:t>
            </w:r>
          </w:p>
        </w:tc>
        <w:tc>
          <w:tcPr>
            <w:tcW w:w="320" w:type="pct"/>
            <w:shd w:val="clear" w:color="auto" w:fill="auto"/>
            <w:vAlign w:val="center"/>
          </w:tcPr>
          <w:p w14:paraId="25F7B24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1.25</w:t>
            </w:r>
          </w:p>
        </w:tc>
        <w:tc>
          <w:tcPr>
            <w:tcW w:w="283" w:type="pct"/>
            <w:shd w:val="clear" w:color="auto" w:fill="auto"/>
            <w:vAlign w:val="center"/>
          </w:tcPr>
          <w:p w14:paraId="32A0A17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0.59</w:t>
            </w:r>
          </w:p>
        </w:tc>
        <w:tc>
          <w:tcPr>
            <w:tcW w:w="334" w:type="pct"/>
            <w:shd w:val="clear" w:color="auto" w:fill="auto"/>
            <w:vAlign w:val="center"/>
          </w:tcPr>
          <w:p w14:paraId="29936E9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w:t>
            </w:r>
          </w:p>
        </w:tc>
        <w:tc>
          <w:tcPr>
            <w:tcW w:w="1020" w:type="dxa"/>
            <w:shd w:val="clear" w:color="auto" w:fill="auto"/>
            <w:vAlign w:val="bottom"/>
          </w:tcPr>
          <w:p w14:paraId="42AF7DD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0.0060 </w:t>
            </w:r>
          </w:p>
        </w:tc>
        <w:tc>
          <w:tcPr>
            <w:tcW w:w="997" w:type="dxa"/>
            <w:shd w:val="clear" w:color="auto" w:fill="auto"/>
            <w:vAlign w:val="bottom"/>
          </w:tcPr>
          <w:p w14:paraId="4ADA6DF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11.1828 </w:t>
            </w:r>
          </w:p>
        </w:tc>
      </w:tr>
      <w:tr w14:paraId="43BD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0" w:type="pct"/>
            <w:shd w:val="clear" w:color="auto" w:fill="auto"/>
            <w:vAlign w:val="center"/>
          </w:tcPr>
          <w:p w14:paraId="262269CD">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基础油储罐</w:t>
            </w:r>
          </w:p>
        </w:tc>
        <w:tc>
          <w:tcPr>
            <w:tcW w:w="540" w:type="pct"/>
            <w:shd w:val="clear" w:color="auto" w:fill="auto"/>
            <w:vAlign w:val="center"/>
          </w:tcPr>
          <w:p w14:paraId="3DABD94D">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1个50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359" w:type="pct"/>
            <w:shd w:val="clear" w:color="auto" w:fill="auto"/>
            <w:vAlign w:val="center"/>
          </w:tcPr>
          <w:p w14:paraId="75C77BB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282.46</w:t>
            </w:r>
          </w:p>
        </w:tc>
        <w:tc>
          <w:tcPr>
            <w:tcW w:w="359" w:type="pct"/>
            <w:shd w:val="clear" w:color="auto" w:fill="auto"/>
            <w:vAlign w:val="center"/>
          </w:tcPr>
          <w:p w14:paraId="6747175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72.8</w:t>
            </w:r>
          </w:p>
        </w:tc>
        <w:tc>
          <w:tcPr>
            <w:tcW w:w="359" w:type="pct"/>
            <w:vAlign w:val="center"/>
          </w:tcPr>
          <w:p w14:paraId="055F8DA6">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eastAsia="宋体"/>
                <w:caps w:val="0"/>
                <w:smallCaps w:val="0"/>
                <w:color w:val="auto"/>
                <w:sz w:val="21"/>
                <w:szCs w:val="21"/>
                <w:highlight w:val="none"/>
                <w:lang w:val="en-US" w:eastAsia="zh-CN"/>
              </w:rPr>
              <w:t>0.33</w:t>
            </w:r>
          </w:p>
        </w:tc>
        <w:tc>
          <w:tcPr>
            <w:tcW w:w="347" w:type="pct"/>
            <w:shd w:val="clear" w:color="auto" w:fill="auto"/>
            <w:vAlign w:val="center"/>
          </w:tcPr>
          <w:p w14:paraId="5BF906B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3.2</w:t>
            </w:r>
          </w:p>
        </w:tc>
        <w:tc>
          <w:tcPr>
            <w:tcW w:w="347" w:type="pct"/>
            <w:shd w:val="clear" w:color="auto" w:fill="auto"/>
            <w:vAlign w:val="center"/>
          </w:tcPr>
          <w:p w14:paraId="1CDEA2C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6.45</w:t>
            </w:r>
          </w:p>
        </w:tc>
        <w:tc>
          <w:tcPr>
            <w:tcW w:w="369" w:type="pct"/>
            <w:shd w:val="clear" w:color="auto" w:fill="auto"/>
            <w:vAlign w:val="center"/>
          </w:tcPr>
          <w:p w14:paraId="3A6D5A0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c>
          <w:tcPr>
            <w:tcW w:w="320" w:type="pct"/>
            <w:shd w:val="clear" w:color="auto" w:fill="auto"/>
            <w:vAlign w:val="center"/>
          </w:tcPr>
          <w:p w14:paraId="0A3A459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1.25</w:t>
            </w:r>
          </w:p>
        </w:tc>
        <w:tc>
          <w:tcPr>
            <w:tcW w:w="283" w:type="pct"/>
            <w:shd w:val="clear" w:color="auto" w:fill="auto"/>
            <w:vAlign w:val="center"/>
          </w:tcPr>
          <w:p w14:paraId="2318D43F">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0.59</w:t>
            </w:r>
          </w:p>
        </w:tc>
        <w:tc>
          <w:tcPr>
            <w:tcW w:w="334" w:type="pct"/>
            <w:shd w:val="clear" w:color="auto" w:fill="auto"/>
            <w:vAlign w:val="center"/>
          </w:tcPr>
          <w:p w14:paraId="77B9E63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1020" w:type="dxa"/>
            <w:shd w:val="clear" w:color="auto" w:fill="auto"/>
            <w:vAlign w:val="bottom"/>
          </w:tcPr>
          <w:p w14:paraId="4556EEB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0.0028 </w:t>
            </w:r>
          </w:p>
        </w:tc>
        <w:tc>
          <w:tcPr>
            <w:tcW w:w="997" w:type="dxa"/>
            <w:shd w:val="clear" w:color="auto" w:fill="auto"/>
            <w:vAlign w:val="bottom"/>
          </w:tcPr>
          <w:p w14:paraId="3F1E821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19.0356 </w:t>
            </w:r>
          </w:p>
        </w:tc>
      </w:tr>
      <w:tr w14:paraId="67CC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0" w:type="pct"/>
            <w:shd w:val="clear" w:color="auto" w:fill="auto"/>
            <w:vAlign w:val="center"/>
          </w:tcPr>
          <w:p w14:paraId="61335BF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丙烯酸储罐</w:t>
            </w:r>
          </w:p>
        </w:tc>
        <w:tc>
          <w:tcPr>
            <w:tcW w:w="540" w:type="pct"/>
            <w:shd w:val="clear" w:color="auto" w:fill="auto"/>
            <w:vAlign w:val="center"/>
          </w:tcPr>
          <w:p w14:paraId="02C77FFB">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1个50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359" w:type="pct"/>
            <w:shd w:val="clear" w:color="auto" w:fill="auto"/>
            <w:vAlign w:val="center"/>
          </w:tcPr>
          <w:p w14:paraId="0A6FC8B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72.06</w:t>
            </w:r>
          </w:p>
        </w:tc>
        <w:tc>
          <w:tcPr>
            <w:tcW w:w="359" w:type="pct"/>
            <w:shd w:val="clear" w:color="auto" w:fill="auto"/>
            <w:vAlign w:val="center"/>
          </w:tcPr>
          <w:p w14:paraId="41BCFD1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665</w:t>
            </w:r>
          </w:p>
        </w:tc>
        <w:tc>
          <w:tcPr>
            <w:tcW w:w="359" w:type="pct"/>
            <w:vAlign w:val="center"/>
          </w:tcPr>
          <w:p w14:paraId="69B6B4E7">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eastAsia="宋体"/>
                <w:caps w:val="0"/>
                <w:smallCaps w:val="0"/>
                <w:color w:val="auto"/>
                <w:sz w:val="21"/>
                <w:szCs w:val="21"/>
                <w:highlight w:val="none"/>
                <w:lang w:val="en-US" w:eastAsia="zh-CN"/>
              </w:rPr>
              <w:t>1</w:t>
            </w:r>
          </w:p>
        </w:tc>
        <w:tc>
          <w:tcPr>
            <w:tcW w:w="347" w:type="pct"/>
            <w:shd w:val="clear" w:color="auto" w:fill="auto"/>
            <w:vAlign w:val="center"/>
          </w:tcPr>
          <w:p w14:paraId="29A21B31">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3.2</w:t>
            </w:r>
          </w:p>
        </w:tc>
        <w:tc>
          <w:tcPr>
            <w:tcW w:w="347" w:type="pct"/>
            <w:shd w:val="clear" w:color="auto" w:fill="auto"/>
            <w:vAlign w:val="center"/>
          </w:tcPr>
          <w:p w14:paraId="09E059AF">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6.45</w:t>
            </w:r>
          </w:p>
        </w:tc>
        <w:tc>
          <w:tcPr>
            <w:tcW w:w="369" w:type="pct"/>
            <w:shd w:val="clear" w:color="auto" w:fill="auto"/>
            <w:vAlign w:val="center"/>
          </w:tcPr>
          <w:p w14:paraId="4F31906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c>
          <w:tcPr>
            <w:tcW w:w="320" w:type="pct"/>
            <w:shd w:val="clear" w:color="auto" w:fill="auto"/>
            <w:vAlign w:val="center"/>
          </w:tcPr>
          <w:p w14:paraId="71324E6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1.25</w:t>
            </w:r>
          </w:p>
        </w:tc>
        <w:tc>
          <w:tcPr>
            <w:tcW w:w="283" w:type="pct"/>
            <w:shd w:val="clear" w:color="auto" w:fill="auto"/>
            <w:vAlign w:val="center"/>
          </w:tcPr>
          <w:p w14:paraId="6F2A230E">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0.59</w:t>
            </w:r>
          </w:p>
        </w:tc>
        <w:tc>
          <w:tcPr>
            <w:tcW w:w="334" w:type="pct"/>
            <w:shd w:val="clear" w:color="auto" w:fill="auto"/>
            <w:vAlign w:val="center"/>
          </w:tcPr>
          <w:p w14:paraId="7AE326E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1020" w:type="dxa"/>
            <w:shd w:val="clear" w:color="auto" w:fill="auto"/>
            <w:vAlign w:val="bottom"/>
          </w:tcPr>
          <w:p w14:paraId="3257C11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0.0201 </w:t>
            </w:r>
          </w:p>
        </w:tc>
        <w:tc>
          <w:tcPr>
            <w:tcW w:w="997" w:type="dxa"/>
            <w:shd w:val="clear" w:color="auto" w:fill="auto"/>
            <w:vAlign w:val="bottom"/>
          </w:tcPr>
          <w:p w14:paraId="5376562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21.9438 </w:t>
            </w:r>
          </w:p>
        </w:tc>
      </w:tr>
    </w:tbl>
    <w:p w14:paraId="15444FAF">
      <w:pPr>
        <w:bidi w:val="0"/>
        <w:rPr>
          <w:rFonts w:hint="eastAsia"/>
          <w:color w:val="auto"/>
          <w:lang w:val="en-US" w:eastAsia="zh-CN"/>
        </w:rPr>
      </w:pPr>
      <w:r>
        <w:rPr>
          <w:rFonts w:hint="eastAsia"/>
          <w:color w:val="auto"/>
          <w:lang w:val="en-US" w:eastAsia="zh-CN"/>
        </w:rPr>
        <w:t>根据上表计算得出，本项目罐区呼吸废气产生情况如下：</w:t>
      </w:r>
    </w:p>
    <w:p w14:paraId="27BB6CF3">
      <w:pPr>
        <w:pStyle w:val="27"/>
        <w:numPr>
          <w:ilvl w:val="0"/>
          <w:numId w:val="20"/>
        </w:numPr>
        <w:bidi w:val="0"/>
        <w:ind w:left="425" w:leftChars="0" w:hanging="425" w:firstLine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罐区呼吸废气产生量</w:t>
      </w:r>
    </w:p>
    <w:tbl>
      <w:tblPr>
        <w:tblStyle w:val="20"/>
        <w:tblW w:w="4955"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2503"/>
        <w:gridCol w:w="971"/>
        <w:gridCol w:w="991"/>
        <w:gridCol w:w="1509"/>
        <w:gridCol w:w="1421"/>
        <w:gridCol w:w="1424"/>
        <w:gridCol w:w="2698"/>
        <w:gridCol w:w="1283"/>
      </w:tblGrid>
      <w:tr w14:paraId="5036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476" w:type="pct"/>
            <w:vMerge w:val="restart"/>
            <w:shd w:val="clear" w:color="auto" w:fill="auto"/>
            <w:noWrap w:val="0"/>
            <w:vAlign w:val="center"/>
          </w:tcPr>
          <w:p w14:paraId="6A69C16E">
            <w:pPr>
              <w:pStyle w:val="24"/>
              <w:bidi w:val="0"/>
              <w:ind w:left="0" w:leftChars="0"/>
              <w:jc w:val="center"/>
              <w:rPr>
                <w:rFonts w:hint="eastAsia"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污染物名称</w:t>
            </w:r>
          </w:p>
        </w:tc>
        <w:tc>
          <w:tcPr>
            <w:tcW w:w="884" w:type="pct"/>
            <w:vMerge w:val="restart"/>
            <w:shd w:val="clear" w:color="auto" w:fill="auto"/>
            <w:noWrap w:val="0"/>
            <w:vAlign w:val="center"/>
          </w:tcPr>
          <w:p w14:paraId="2AADB02D">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储罐</w:t>
            </w:r>
            <w:r>
              <w:rPr>
                <w:rFonts w:hint="eastAsia" w:eastAsia="宋体" w:cs="Times New Roman"/>
                <w:b/>
                <w:bCs/>
                <w:color w:val="auto"/>
                <w:sz w:val="21"/>
                <w:szCs w:val="21"/>
                <w:highlight w:val="none"/>
                <w:lang w:val="en-US" w:eastAsia="zh-CN"/>
              </w:rPr>
              <w:t>名称（个数）</w:t>
            </w:r>
          </w:p>
        </w:tc>
        <w:tc>
          <w:tcPr>
            <w:tcW w:w="343" w:type="pct"/>
            <w:vMerge w:val="restart"/>
            <w:shd w:val="clear" w:color="auto" w:fill="auto"/>
            <w:noWrap w:val="0"/>
            <w:vAlign w:val="center"/>
          </w:tcPr>
          <w:p w14:paraId="4F1A68FC">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位置</w:t>
            </w:r>
          </w:p>
        </w:tc>
        <w:tc>
          <w:tcPr>
            <w:tcW w:w="1888" w:type="pct"/>
            <w:gridSpan w:val="4"/>
            <w:shd w:val="clear" w:color="auto" w:fill="auto"/>
            <w:noWrap w:val="0"/>
            <w:vAlign w:val="center"/>
          </w:tcPr>
          <w:p w14:paraId="7FF5BBDF">
            <w:pPr>
              <w:pStyle w:val="24"/>
              <w:bidi w:val="0"/>
              <w:ind w:left="0" w:leftChars="0"/>
              <w:jc w:val="center"/>
              <w:rPr>
                <w:rFonts w:hint="eastAsia"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“大呼吸”损耗</w:t>
            </w:r>
            <w:r>
              <w:rPr>
                <w:rFonts w:hint="eastAsia" w:cs="Times New Roman"/>
                <w:b/>
                <w:bCs/>
                <w:color w:val="auto"/>
                <w:sz w:val="21"/>
                <w:szCs w:val="21"/>
                <w:highlight w:val="none"/>
                <w:lang w:val="en-US" w:eastAsia="zh-CN"/>
              </w:rPr>
              <w:t>产生量</w:t>
            </w:r>
          </w:p>
        </w:tc>
        <w:tc>
          <w:tcPr>
            <w:tcW w:w="953" w:type="pct"/>
            <w:vMerge w:val="restart"/>
            <w:shd w:val="clear" w:color="auto" w:fill="auto"/>
            <w:noWrap w:val="0"/>
            <w:vAlign w:val="center"/>
          </w:tcPr>
          <w:p w14:paraId="5B8B9274">
            <w:pPr>
              <w:pStyle w:val="24"/>
              <w:bidi w:val="0"/>
              <w:ind w:left="0" w:leftChars="0"/>
              <w:jc w:val="center"/>
              <w:rPr>
                <w:rFonts w:hint="eastAsia"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“小呼吸”损耗</w:t>
            </w:r>
            <w:r>
              <w:rPr>
                <w:rFonts w:hint="eastAsia" w:cs="Times New Roman"/>
                <w:b/>
                <w:bCs/>
                <w:color w:val="auto"/>
                <w:sz w:val="21"/>
                <w:szCs w:val="21"/>
                <w:highlight w:val="none"/>
                <w:lang w:val="en-US" w:eastAsia="zh-CN"/>
              </w:rPr>
              <w:t>产生量（t/a）</w:t>
            </w:r>
          </w:p>
        </w:tc>
        <w:tc>
          <w:tcPr>
            <w:tcW w:w="453" w:type="pct"/>
            <w:vMerge w:val="restart"/>
            <w:shd w:val="clear" w:color="auto" w:fill="auto"/>
            <w:noWrap w:val="0"/>
            <w:vAlign w:val="center"/>
          </w:tcPr>
          <w:p w14:paraId="155173A5">
            <w:pPr>
              <w:pStyle w:val="24"/>
              <w:bidi w:val="0"/>
              <w:ind w:left="0" w:lef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合计（t/a）</w:t>
            </w:r>
          </w:p>
        </w:tc>
      </w:tr>
      <w:tr w14:paraId="686B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continue"/>
            <w:noWrap w:val="0"/>
            <w:vAlign w:val="center"/>
          </w:tcPr>
          <w:p w14:paraId="7CB87E13">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884" w:type="pct"/>
            <w:vMerge w:val="continue"/>
            <w:noWrap w:val="0"/>
            <w:vAlign w:val="center"/>
          </w:tcPr>
          <w:p w14:paraId="2F0F3132">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343" w:type="pct"/>
            <w:vMerge w:val="continue"/>
            <w:shd w:val="clear" w:color="auto" w:fill="auto"/>
            <w:noWrap w:val="0"/>
            <w:vAlign w:val="center"/>
          </w:tcPr>
          <w:p w14:paraId="7611FEA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p>
        </w:tc>
        <w:tc>
          <w:tcPr>
            <w:tcW w:w="350" w:type="pct"/>
            <w:noWrap w:val="0"/>
            <w:vAlign w:val="center"/>
          </w:tcPr>
          <w:p w14:paraId="356577D1">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Lw</w:t>
            </w:r>
          </w:p>
        </w:tc>
        <w:tc>
          <w:tcPr>
            <w:tcW w:w="533" w:type="pct"/>
            <w:noWrap w:val="0"/>
            <w:vAlign w:val="center"/>
          </w:tcPr>
          <w:p w14:paraId="19A63DBA">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投入量（t/a）</w:t>
            </w:r>
          </w:p>
        </w:tc>
        <w:tc>
          <w:tcPr>
            <w:tcW w:w="502" w:type="pct"/>
            <w:noWrap w:val="0"/>
            <w:vAlign w:val="center"/>
          </w:tcPr>
          <w:p w14:paraId="4C075098">
            <w:pPr>
              <w:pStyle w:val="24"/>
              <w:bidi w:val="0"/>
              <w:ind w:left="0" w:leftChars="0"/>
              <w:jc w:val="center"/>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密度（g/cm</w:t>
            </w:r>
            <w:r>
              <w:rPr>
                <w:rFonts w:hint="eastAsia" w:cs="Times New Roman"/>
                <w:b/>
                <w:bCs/>
                <w:color w:val="auto"/>
                <w:sz w:val="21"/>
                <w:szCs w:val="21"/>
                <w:highlight w:val="none"/>
                <w:vertAlign w:val="superscript"/>
                <w:lang w:val="en-US" w:eastAsia="zh-CN"/>
              </w:rPr>
              <w:t>3</w:t>
            </w:r>
            <w:r>
              <w:rPr>
                <w:rFonts w:hint="eastAsia" w:cs="Times New Roman"/>
                <w:b/>
                <w:bCs/>
                <w:color w:val="auto"/>
                <w:sz w:val="21"/>
                <w:szCs w:val="21"/>
                <w:highlight w:val="none"/>
                <w:lang w:val="en-US" w:eastAsia="zh-CN"/>
              </w:rPr>
              <w:t>）</w:t>
            </w:r>
          </w:p>
        </w:tc>
        <w:tc>
          <w:tcPr>
            <w:tcW w:w="503" w:type="pct"/>
            <w:noWrap w:val="0"/>
            <w:vAlign w:val="center"/>
          </w:tcPr>
          <w:p w14:paraId="272C4DC6">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产生量（t/a）</w:t>
            </w:r>
          </w:p>
        </w:tc>
        <w:tc>
          <w:tcPr>
            <w:tcW w:w="953" w:type="pct"/>
            <w:vMerge w:val="continue"/>
            <w:noWrap w:val="0"/>
            <w:vAlign w:val="center"/>
          </w:tcPr>
          <w:p w14:paraId="58ACCA13">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453" w:type="pct"/>
            <w:vMerge w:val="continue"/>
            <w:noWrap w:val="0"/>
            <w:vAlign w:val="center"/>
          </w:tcPr>
          <w:p w14:paraId="6615FB95">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r>
      <w:tr w14:paraId="12DE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shd w:val="clear" w:color="auto" w:fill="auto"/>
            <w:noWrap w:val="0"/>
            <w:vAlign w:val="center"/>
          </w:tcPr>
          <w:p w14:paraId="045A5764">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硫酸雾</w:t>
            </w:r>
          </w:p>
        </w:tc>
        <w:tc>
          <w:tcPr>
            <w:tcW w:w="884" w:type="pct"/>
            <w:shd w:val="clear" w:color="auto" w:fill="auto"/>
            <w:noWrap w:val="0"/>
            <w:vAlign w:val="center"/>
          </w:tcPr>
          <w:p w14:paraId="2E24DF0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color w:val="auto"/>
                <w:kern w:val="0"/>
                <w:sz w:val="21"/>
                <w:szCs w:val="21"/>
                <w:lang w:val="en-US" w:eastAsia="zh-CN"/>
              </w:rPr>
              <w:t>硫酸</w:t>
            </w:r>
            <w:r>
              <w:rPr>
                <w:rFonts w:hint="eastAsia" w:ascii="Times New Roman" w:hAnsi="Times New Roman" w:cs="Times New Roman"/>
                <w:color w:val="auto"/>
                <w:kern w:val="0"/>
                <w:sz w:val="21"/>
                <w:szCs w:val="21"/>
                <w:lang w:val="en-US" w:eastAsia="zh-CN"/>
              </w:rPr>
              <w:t>储罐（1个）</w:t>
            </w:r>
          </w:p>
        </w:tc>
        <w:tc>
          <w:tcPr>
            <w:tcW w:w="343" w:type="pct"/>
            <w:shd w:val="clear" w:color="auto" w:fill="auto"/>
            <w:noWrap w:val="0"/>
            <w:vAlign w:val="center"/>
          </w:tcPr>
          <w:p w14:paraId="7CEB2D4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w:t>
            </w:r>
            <w:r>
              <w:rPr>
                <w:rFonts w:hint="eastAsia"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罐区</w:t>
            </w:r>
          </w:p>
        </w:tc>
        <w:tc>
          <w:tcPr>
            <w:tcW w:w="350" w:type="pct"/>
            <w:shd w:val="clear" w:color="auto" w:fill="auto"/>
            <w:noWrap w:val="0"/>
            <w:vAlign w:val="bottom"/>
          </w:tcPr>
          <w:p w14:paraId="4B628B4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0.0104 </w:t>
            </w:r>
          </w:p>
        </w:tc>
        <w:tc>
          <w:tcPr>
            <w:tcW w:w="533" w:type="pct"/>
            <w:shd w:val="clear" w:color="auto" w:fill="auto"/>
            <w:noWrap w:val="0"/>
            <w:vAlign w:val="bottom"/>
          </w:tcPr>
          <w:p w14:paraId="2552E2B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6709.2</w:t>
            </w:r>
          </w:p>
        </w:tc>
        <w:tc>
          <w:tcPr>
            <w:tcW w:w="502" w:type="pct"/>
            <w:shd w:val="clear" w:color="auto" w:fill="auto"/>
            <w:noWrap w:val="0"/>
            <w:vAlign w:val="center"/>
          </w:tcPr>
          <w:p w14:paraId="3F5E2DF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1.84</w:t>
            </w:r>
          </w:p>
        </w:tc>
        <w:tc>
          <w:tcPr>
            <w:tcW w:w="503" w:type="pct"/>
            <w:shd w:val="clear" w:color="auto" w:fill="auto"/>
            <w:noWrap w:val="0"/>
            <w:vAlign w:val="center"/>
          </w:tcPr>
          <w:p w14:paraId="5C703EAD">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0.0379</w:t>
            </w:r>
          </w:p>
        </w:tc>
        <w:tc>
          <w:tcPr>
            <w:tcW w:w="953" w:type="pct"/>
            <w:shd w:val="clear" w:color="auto" w:fill="auto"/>
            <w:noWrap w:val="0"/>
            <w:vAlign w:val="bottom"/>
          </w:tcPr>
          <w:p w14:paraId="50E9F2D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0.0241 </w:t>
            </w:r>
          </w:p>
        </w:tc>
        <w:tc>
          <w:tcPr>
            <w:tcW w:w="453" w:type="pct"/>
            <w:shd w:val="clear" w:color="auto" w:fill="auto"/>
            <w:noWrap w:val="0"/>
            <w:vAlign w:val="bottom"/>
          </w:tcPr>
          <w:p w14:paraId="45AB433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0.0620 </w:t>
            </w:r>
          </w:p>
        </w:tc>
      </w:tr>
      <w:tr w14:paraId="5B54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restart"/>
            <w:shd w:val="clear" w:color="auto" w:fill="auto"/>
            <w:noWrap w:val="0"/>
            <w:vAlign w:val="center"/>
          </w:tcPr>
          <w:p w14:paraId="42E87BC9">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r>
              <w:rPr>
                <w:rFonts w:hint="eastAsia"/>
                <w:color w:val="auto"/>
                <w:sz w:val="21"/>
                <w:szCs w:val="21"/>
                <w:highlight w:val="none"/>
                <w:lang w:val="en-US" w:eastAsia="zh-CN"/>
              </w:rPr>
              <w:t>氟化物</w:t>
            </w:r>
          </w:p>
        </w:tc>
        <w:tc>
          <w:tcPr>
            <w:tcW w:w="884" w:type="pct"/>
            <w:vMerge w:val="restart"/>
            <w:shd w:val="clear" w:color="auto" w:fill="auto"/>
            <w:noWrap w:val="0"/>
            <w:vAlign w:val="center"/>
          </w:tcPr>
          <w:p w14:paraId="06CFE26D">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r>
              <w:rPr>
                <w:rFonts w:hint="eastAsia" w:ascii="Times New Roman" w:hAnsi="Times New Roman" w:cs="Times New Roman"/>
                <w:color w:val="auto"/>
                <w:kern w:val="0"/>
                <w:sz w:val="21"/>
                <w:szCs w:val="21"/>
                <w:lang w:val="en-US" w:eastAsia="zh-CN"/>
              </w:rPr>
              <w:t>氟硅酸储罐（2个）</w:t>
            </w:r>
          </w:p>
        </w:tc>
        <w:tc>
          <w:tcPr>
            <w:tcW w:w="343" w:type="pct"/>
            <w:vMerge w:val="restart"/>
            <w:shd w:val="clear" w:color="auto" w:fill="auto"/>
            <w:noWrap w:val="0"/>
            <w:vAlign w:val="center"/>
          </w:tcPr>
          <w:p w14:paraId="155E2CD0">
            <w:pPr>
              <w:pStyle w:val="24"/>
              <w:bidi w:val="0"/>
              <w:ind w:left="0" w:leftChars="0"/>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1#罐区</w:t>
            </w:r>
          </w:p>
        </w:tc>
        <w:tc>
          <w:tcPr>
            <w:tcW w:w="350" w:type="pct"/>
            <w:shd w:val="clear" w:color="auto" w:fill="auto"/>
            <w:noWrap w:val="0"/>
            <w:vAlign w:val="bottom"/>
          </w:tcPr>
          <w:p w14:paraId="485CD71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0.0128 </w:t>
            </w:r>
          </w:p>
        </w:tc>
        <w:tc>
          <w:tcPr>
            <w:tcW w:w="533" w:type="pct"/>
            <w:shd w:val="clear" w:color="auto" w:fill="auto"/>
            <w:noWrap w:val="0"/>
            <w:vAlign w:val="bottom"/>
          </w:tcPr>
          <w:p w14:paraId="41F8BC5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4000</w:t>
            </w:r>
          </w:p>
        </w:tc>
        <w:tc>
          <w:tcPr>
            <w:tcW w:w="502" w:type="pct"/>
            <w:shd w:val="clear" w:color="auto" w:fill="auto"/>
            <w:noWrap w:val="0"/>
            <w:vAlign w:val="center"/>
          </w:tcPr>
          <w:p w14:paraId="13D0B409">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1.32</w:t>
            </w:r>
          </w:p>
        </w:tc>
        <w:tc>
          <w:tcPr>
            <w:tcW w:w="503" w:type="pct"/>
            <w:shd w:val="clear" w:color="auto" w:fill="auto"/>
            <w:noWrap w:val="0"/>
            <w:vAlign w:val="bottom"/>
          </w:tcPr>
          <w:p w14:paraId="0589CD32">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0.0388 </w:t>
            </w:r>
          </w:p>
        </w:tc>
        <w:tc>
          <w:tcPr>
            <w:tcW w:w="953" w:type="pct"/>
            <w:shd w:val="clear" w:color="auto" w:fill="auto"/>
            <w:noWrap w:val="0"/>
            <w:vAlign w:val="bottom"/>
          </w:tcPr>
          <w:p w14:paraId="2E840C3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0.0154 </w:t>
            </w:r>
          </w:p>
        </w:tc>
        <w:tc>
          <w:tcPr>
            <w:tcW w:w="453" w:type="pct"/>
            <w:shd w:val="clear" w:color="auto" w:fill="auto"/>
            <w:noWrap w:val="0"/>
            <w:vAlign w:val="bottom"/>
          </w:tcPr>
          <w:p w14:paraId="1F44F55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0.0542 </w:t>
            </w:r>
          </w:p>
        </w:tc>
      </w:tr>
      <w:tr w14:paraId="0BFD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continue"/>
            <w:shd w:val="clear" w:color="auto" w:fill="auto"/>
            <w:noWrap w:val="0"/>
            <w:vAlign w:val="center"/>
          </w:tcPr>
          <w:p w14:paraId="19DEB9CF">
            <w:pPr>
              <w:pStyle w:val="24"/>
              <w:bidi w:val="0"/>
              <w:ind w:left="0" w:leftChars="0"/>
              <w:jc w:val="center"/>
              <w:rPr>
                <w:rFonts w:hint="eastAsia"/>
                <w:color w:val="auto"/>
                <w:sz w:val="21"/>
                <w:szCs w:val="21"/>
                <w:highlight w:val="none"/>
                <w:lang w:val="en-US" w:eastAsia="zh-CN"/>
              </w:rPr>
            </w:pPr>
          </w:p>
        </w:tc>
        <w:tc>
          <w:tcPr>
            <w:tcW w:w="884" w:type="pct"/>
            <w:vMerge w:val="continue"/>
            <w:shd w:val="clear" w:color="auto" w:fill="auto"/>
            <w:noWrap w:val="0"/>
            <w:vAlign w:val="center"/>
          </w:tcPr>
          <w:p w14:paraId="28B68745">
            <w:pPr>
              <w:pStyle w:val="24"/>
              <w:bidi w:val="0"/>
              <w:ind w:left="0" w:leftChars="0"/>
              <w:jc w:val="center"/>
              <w:rPr>
                <w:rFonts w:hint="eastAsia" w:ascii="Times New Roman" w:hAnsi="Times New Roman" w:cs="Times New Roman"/>
                <w:color w:val="auto"/>
                <w:kern w:val="0"/>
                <w:sz w:val="21"/>
                <w:szCs w:val="21"/>
                <w:lang w:val="en-US" w:eastAsia="zh-CN"/>
              </w:rPr>
            </w:pPr>
          </w:p>
        </w:tc>
        <w:tc>
          <w:tcPr>
            <w:tcW w:w="343" w:type="pct"/>
            <w:vMerge w:val="continue"/>
            <w:shd w:val="clear" w:color="auto" w:fill="auto"/>
            <w:noWrap w:val="0"/>
            <w:vAlign w:val="center"/>
          </w:tcPr>
          <w:p w14:paraId="70CB8F79">
            <w:pPr>
              <w:pStyle w:val="24"/>
              <w:bidi w:val="0"/>
              <w:ind w:left="0" w:leftChars="0"/>
              <w:jc w:val="center"/>
              <w:rPr>
                <w:rFonts w:hint="eastAsia" w:cs="Courier New"/>
                <w:color w:val="auto"/>
                <w:kern w:val="2"/>
                <w:sz w:val="21"/>
                <w:szCs w:val="21"/>
                <w:highlight w:val="none"/>
                <w:lang w:val="en-US" w:eastAsia="zh-CN" w:bidi="ar-SA"/>
              </w:rPr>
            </w:pPr>
          </w:p>
        </w:tc>
        <w:tc>
          <w:tcPr>
            <w:tcW w:w="350" w:type="pct"/>
            <w:shd w:val="clear" w:color="auto" w:fill="auto"/>
            <w:noWrap w:val="0"/>
            <w:vAlign w:val="bottom"/>
          </w:tcPr>
          <w:p w14:paraId="686EF7F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0.0128 </w:t>
            </w:r>
          </w:p>
        </w:tc>
        <w:tc>
          <w:tcPr>
            <w:tcW w:w="533" w:type="pct"/>
            <w:shd w:val="clear" w:color="auto" w:fill="auto"/>
            <w:noWrap w:val="0"/>
            <w:vAlign w:val="bottom"/>
          </w:tcPr>
          <w:p w14:paraId="386BF4D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4000</w:t>
            </w:r>
          </w:p>
        </w:tc>
        <w:tc>
          <w:tcPr>
            <w:tcW w:w="502" w:type="pct"/>
            <w:shd w:val="clear" w:color="auto" w:fill="auto"/>
            <w:noWrap w:val="0"/>
            <w:vAlign w:val="center"/>
          </w:tcPr>
          <w:p w14:paraId="62FEE87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1.32</w:t>
            </w:r>
          </w:p>
        </w:tc>
        <w:tc>
          <w:tcPr>
            <w:tcW w:w="503" w:type="pct"/>
            <w:shd w:val="clear" w:color="auto" w:fill="auto"/>
            <w:noWrap w:val="0"/>
            <w:vAlign w:val="bottom"/>
          </w:tcPr>
          <w:p w14:paraId="3441DD8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0.0388 </w:t>
            </w:r>
          </w:p>
        </w:tc>
        <w:tc>
          <w:tcPr>
            <w:tcW w:w="953" w:type="pct"/>
            <w:shd w:val="clear" w:color="auto" w:fill="auto"/>
            <w:noWrap w:val="0"/>
            <w:vAlign w:val="bottom"/>
          </w:tcPr>
          <w:p w14:paraId="48FB409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0.0154 </w:t>
            </w:r>
          </w:p>
        </w:tc>
        <w:tc>
          <w:tcPr>
            <w:tcW w:w="453" w:type="pct"/>
            <w:shd w:val="clear" w:color="auto" w:fill="auto"/>
            <w:noWrap w:val="0"/>
            <w:vAlign w:val="bottom"/>
          </w:tcPr>
          <w:p w14:paraId="2D20AC4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0.0542 </w:t>
            </w:r>
          </w:p>
        </w:tc>
      </w:tr>
      <w:tr w14:paraId="7323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continue"/>
            <w:shd w:val="clear" w:color="auto" w:fill="auto"/>
            <w:noWrap w:val="0"/>
            <w:vAlign w:val="center"/>
          </w:tcPr>
          <w:p w14:paraId="215BD5C0">
            <w:pPr>
              <w:pStyle w:val="24"/>
              <w:bidi w:val="0"/>
              <w:ind w:left="0" w:leftChars="0"/>
              <w:jc w:val="center"/>
              <w:rPr>
                <w:rFonts w:hint="eastAsia"/>
                <w:color w:val="auto"/>
                <w:sz w:val="21"/>
                <w:szCs w:val="21"/>
                <w:highlight w:val="none"/>
                <w:lang w:val="en-US" w:eastAsia="zh-CN"/>
              </w:rPr>
            </w:pPr>
          </w:p>
        </w:tc>
        <w:tc>
          <w:tcPr>
            <w:tcW w:w="1227" w:type="pct"/>
            <w:gridSpan w:val="2"/>
            <w:shd w:val="clear" w:color="auto" w:fill="auto"/>
            <w:noWrap w:val="0"/>
            <w:vAlign w:val="center"/>
          </w:tcPr>
          <w:p w14:paraId="381F366C">
            <w:pPr>
              <w:pStyle w:val="24"/>
              <w:bidi w:val="0"/>
              <w:ind w:left="0" w:leftChars="0"/>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小计</w:t>
            </w:r>
          </w:p>
        </w:tc>
        <w:tc>
          <w:tcPr>
            <w:tcW w:w="350" w:type="pct"/>
            <w:shd w:val="clear" w:color="auto" w:fill="auto"/>
            <w:noWrap w:val="0"/>
            <w:vAlign w:val="center"/>
          </w:tcPr>
          <w:p w14:paraId="22BDDE0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533" w:type="pct"/>
            <w:shd w:val="clear" w:color="auto" w:fill="auto"/>
            <w:noWrap w:val="0"/>
            <w:vAlign w:val="center"/>
          </w:tcPr>
          <w:p w14:paraId="0E98F43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502" w:type="pct"/>
            <w:shd w:val="clear" w:color="auto" w:fill="auto"/>
            <w:noWrap w:val="0"/>
            <w:vAlign w:val="center"/>
          </w:tcPr>
          <w:p w14:paraId="2B34940F">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c>
          <w:tcPr>
            <w:tcW w:w="503" w:type="pct"/>
            <w:shd w:val="clear" w:color="auto" w:fill="auto"/>
            <w:noWrap w:val="0"/>
            <w:vAlign w:val="bottom"/>
          </w:tcPr>
          <w:p w14:paraId="1FCA755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0.0776 </w:t>
            </w:r>
          </w:p>
        </w:tc>
        <w:tc>
          <w:tcPr>
            <w:tcW w:w="953" w:type="pct"/>
            <w:shd w:val="clear" w:color="auto" w:fill="auto"/>
            <w:noWrap w:val="0"/>
            <w:vAlign w:val="bottom"/>
          </w:tcPr>
          <w:p w14:paraId="2AD8980D">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0.0307 </w:t>
            </w:r>
          </w:p>
        </w:tc>
        <w:tc>
          <w:tcPr>
            <w:tcW w:w="453" w:type="pct"/>
            <w:shd w:val="clear" w:color="auto" w:fill="auto"/>
            <w:noWrap w:val="0"/>
            <w:vAlign w:val="bottom"/>
          </w:tcPr>
          <w:p w14:paraId="554DD92E">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0.1083 </w:t>
            </w:r>
          </w:p>
        </w:tc>
      </w:tr>
      <w:tr w14:paraId="2AEF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restart"/>
            <w:shd w:val="clear" w:color="auto" w:fill="auto"/>
            <w:noWrap w:val="0"/>
            <w:vAlign w:val="center"/>
          </w:tcPr>
          <w:p w14:paraId="1457849C">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r>
              <w:rPr>
                <w:rFonts w:hint="eastAsia"/>
                <w:color w:val="auto"/>
                <w:sz w:val="21"/>
                <w:szCs w:val="21"/>
                <w:highlight w:val="none"/>
                <w:lang w:val="en-US" w:eastAsia="zh-CN"/>
              </w:rPr>
              <w:t>VOCs</w:t>
            </w:r>
          </w:p>
        </w:tc>
        <w:tc>
          <w:tcPr>
            <w:tcW w:w="884" w:type="pct"/>
            <w:shd w:val="clear" w:color="auto" w:fill="auto"/>
            <w:noWrap w:val="0"/>
            <w:vAlign w:val="center"/>
          </w:tcPr>
          <w:p w14:paraId="00F4B49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color w:val="auto"/>
                <w:kern w:val="0"/>
                <w:sz w:val="21"/>
                <w:szCs w:val="21"/>
                <w:lang w:val="en-US" w:eastAsia="zh-CN"/>
              </w:rPr>
              <w:t>丙烯酸羟乙酯储罐（1个）</w:t>
            </w:r>
          </w:p>
        </w:tc>
        <w:tc>
          <w:tcPr>
            <w:tcW w:w="343" w:type="pct"/>
            <w:vMerge w:val="restart"/>
            <w:shd w:val="clear" w:color="auto" w:fill="auto"/>
            <w:noWrap w:val="0"/>
            <w:vAlign w:val="center"/>
          </w:tcPr>
          <w:p w14:paraId="16179C6E">
            <w:pPr>
              <w:pStyle w:val="24"/>
              <w:bidi w:val="0"/>
              <w:ind w:left="0" w:leftChars="0"/>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2#罐区</w:t>
            </w:r>
          </w:p>
        </w:tc>
        <w:tc>
          <w:tcPr>
            <w:tcW w:w="350" w:type="pct"/>
            <w:shd w:val="clear" w:color="auto" w:fill="auto"/>
            <w:noWrap w:val="0"/>
            <w:vAlign w:val="bottom"/>
          </w:tcPr>
          <w:p w14:paraId="0A9B903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0.0060 </w:t>
            </w:r>
          </w:p>
        </w:tc>
        <w:tc>
          <w:tcPr>
            <w:tcW w:w="533" w:type="pct"/>
            <w:shd w:val="clear" w:color="auto" w:fill="auto"/>
            <w:noWrap w:val="0"/>
            <w:vAlign w:val="bottom"/>
          </w:tcPr>
          <w:p w14:paraId="67EA92E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180</w:t>
            </w:r>
          </w:p>
        </w:tc>
        <w:tc>
          <w:tcPr>
            <w:tcW w:w="502" w:type="pct"/>
            <w:shd w:val="clear" w:color="auto" w:fill="auto"/>
            <w:noWrap w:val="0"/>
            <w:vAlign w:val="center"/>
          </w:tcPr>
          <w:p w14:paraId="42CBBA73">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1.11</w:t>
            </w:r>
          </w:p>
        </w:tc>
        <w:tc>
          <w:tcPr>
            <w:tcW w:w="503" w:type="pct"/>
            <w:shd w:val="clear" w:color="auto" w:fill="auto"/>
            <w:noWrap w:val="0"/>
            <w:vAlign w:val="bottom"/>
          </w:tcPr>
          <w:p w14:paraId="0AFDB95A">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0.0010 </w:t>
            </w:r>
          </w:p>
        </w:tc>
        <w:tc>
          <w:tcPr>
            <w:tcW w:w="953" w:type="pct"/>
            <w:shd w:val="clear" w:color="auto" w:fill="auto"/>
            <w:noWrap w:val="0"/>
            <w:vAlign w:val="bottom"/>
          </w:tcPr>
          <w:p w14:paraId="7EAA4433">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0.0112 </w:t>
            </w:r>
          </w:p>
        </w:tc>
        <w:tc>
          <w:tcPr>
            <w:tcW w:w="453" w:type="pct"/>
            <w:shd w:val="clear" w:color="auto" w:fill="auto"/>
            <w:noWrap w:val="0"/>
            <w:vAlign w:val="bottom"/>
          </w:tcPr>
          <w:p w14:paraId="5321C2B2">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0.0122 </w:t>
            </w:r>
          </w:p>
        </w:tc>
      </w:tr>
      <w:tr w14:paraId="6093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continue"/>
            <w:shd w:val="clear" w:color="auto" w:fill="auto"/>
            <w:noWrap w:val="0"/>
            <w:vAlign w:val="center"/>
          </w:tcPr>
          <w:p w14:paraId="5135AC09">
            <w:pPr>
              <w:pStyle w:val="24"/>
              <w:bidi w:val="0"/>
              <w:ind w:left="0" w:leftChars="0"/>
              <w:jc w:val="center"/>
              <w:rPr>
                <w:rFonts w:hint="eastAsia"/>
                <w:color w:val="auto"/>
                <w:sz w:val="21"/>
                <w:szCs w:val="21"/>
                <w:highlight w:val="none"/>
                <w:lang w:val="en-US" w:eastAsia="zh-CN"/>
              </w:rPr>
            </w:pPr>
          </w:p>
        </w:tc>
        <w:tc>
          <w:tcPr>
            <w:tcW w:w="884" w:type="pct"/>
            <w:shd w:val="clear" w:color="auto" w:fill="auto"/>
            <w:noWrap w:val="0"/>
            <w:vAlign w:val="center"/>
          </w:tcPr>
          <w:p w14:paraId="5F5F3715">
            <w:pPr>
              <w:pStyle w:val="24"/>
              <w:bidi w:val="0"/>
              <w:ind w:left="0" w:left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基础油储罐</w:t>
            </w:r>
            <w:r>
              <w:rPr>
                <w:rFonts w:hint="eastAsia" w:ascii="Times New Roman" w:hAnsi="Times New Roman" w:cs="Times New Roman"/>
                <w:color w:val="auto"/>
                <w:kern w:val="0"/>
                <w:sz w:val="21"/>
                <w:szCs w:val="21"/>
                <w:lang w:val="en-US" w:eastAsia="zh-CN"/>
              </w:rPr>
              <w:t>（1个）</w:t>
            </w:r>
          </w:p>
        </w:tc>
        <w:tc>
          <w:tcPr>
            <w:tcW w:w="343" w:type="pct"/>
            <w:vMerge w:val="continue"/>
            <w:shd w:val="clear" w:color="auto" w:fill="auto"/>
            <w:noWrap w:val="0"/>
            <w:vAlign w:val="center"/>
          </w:tcPr>
          <w:p w14:paraId="2CFF5400">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p>
        </w:tc>
        <w:tc>
          <w:tcPr>
            <w:tcW w:w="350" w:type="pct"/>
            <w:shd w:val="clear" w:color="auto" w:fill="auto"/>
            <w:noWrap w:val="0"/>
            <w:vAlign w:val="bottom"/>
          </w:tcPr>
          <w:p w14:paraId="29C6F89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0.0028 </w:t>
            </w:r>
          </w:p>
        </w:tc>
        <w:tc>
          <w:tcPr>
            <w:tcW w:w="533" w:type="pct"/>
            <w:shd w:val="clear" w:color="auto" w:fill="auto"/>
            <w:noWrap w:val="0"/>
            <w:vAlign w:val="bottom"/>
          </w:tcPr>
          <w:p w14:paraId="69A5904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6000</w:t>
            </w:r>
          </w:p>
        </w:tc>
        <w:tc>
          <w:tcPr>
            <w:tcW w:w="502" w:type="pct"/>
            <w:shd w:val="clear" w:color="auto" w:fill="auto"/>
            <w:noWrap w:val="0"/>
            <w:vAlign w:val="center"/>
          </w:tcPr>
          <w:p w14:paraId="4610B104">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0.84</w:t>
            </w:r>
          </w:p>
        </w:tc>
        <w:tc>
          <w:tcPr>
            <w:tcW w:w="503" w:type="pct"/>
            <w:shd w:val="clear" w:color="auto" w:fill="auto"/>
            <w:noWrap w:val="0"/>
            <w:vAlign w:val="bottom"/>
          </w:tcPr>
          <w:p w14:paraId="79F0C727">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0.02</w:t>
            </w:r>
          </w:p>
        </w:tc>
        <w:tc>
          <w:tcPr>
            <w:tcW w:w="953" w:type="pct"/>
            <w:shd w:val="clear" w:color="auto" w:fill="auto"/>
            <w:noWrap w:val="0"/>
            <w:vAlign w:val="bottom"/>
          </w:tcPr>
          <w:p w14:paraId="5EC1C92F">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0.0190 </w:t>
            </w:r>
          </w:p>
        </w:tc>
        <w:tc>
          <w:tcPr>
            <w:tcW w:w="453" w:type="pct"/>
            <w:shd w:val="clear" w:color="auto" w:fill="auto"/>
            <w:noWrap w:val="0"/>
            <w:vAlign w:val="bottom"/>
          </w:tcPr>
          <w:p w14:paraId="695EE2C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0.0390 </w:t>
            </w:r>
          </w:p>
        </w:tc>
      </w:tr>
      <w:tr w14:paraId="53B0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continue"/>
            <w:noWrap w:val="0"/>
            <w:vAlign w:val="center"/>
          </w:tcPr>
          <w:p w14:paraId="4D92FAE7">
            <w:pPr>
              <w:pStyle w:val="24"/>
              <w:bidi w:val="0"/>
              <w:ind w:left="0" w:leftChars="0"/>
              <w:jc w:val="center"/>
              <w:rPr>
                <w:rFonts w:hint="eastAsia" w:eastAsia="宋体" w:cs="Times New Roman"/>
                <w:b w:val="0"/>
                <w:bCs w:val="0"/>
                <w:color w:val="auto"/>
                <w:sz w:val="21"/>
                <w:szCs w:val="21"/>
                <w:highlight w:val="none"/>
                <w:lang w:val="en-US" w:eastAsia="zh-CN"/>
              </w:rPr>
            </w:pPr>
          </w:p>
        </w:tc>
        <w:tc>
          <w:tcPr>
            <w:tcW w:w="884" w:type="pct"/>
            <w:shd w:val="clear" w:color="auto" w:fill="auto"/>
            <w:noWrap w:val="0"/>
            <w:vAlign w:val="center"/>
          </w:tcPr>
          <w:p w14:paraId="294EA2F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color w:val="auto"/>
                <w:kern w:val="0"/>
                <w:sz w:val="21"/>
                <w:szCs w:val="21"/>
                <w:lang w:val="en-US" w:eastAsia="zh-CN"/>
              </w:rPr>
              <w:t>丙烯酸储罐（1个）</w:t>
            </w:r>
          </w:p>
        </w:tc>
        <w:tc>
          <w:tcPr>
            <w:tcW w:w="343" w:type="pct"/>
            <w:vMerge w:val="continue"/>
            <w:shd w:val="clear" w:color="auto" w:fill="auto"/>
            <w:noWrap w:val="0"/>
            <w:vAlign w:val="center"/>
          </w:tcPr>
          <w:p w14:paraId="208764FC">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p>
        </w:tc>
        <w:tc>
          <w:tcPr>
            <w:tcW w:w="350" w:type="pct"/>
            <w:shd w:val="clear" w:color="auto" w:fill="auto"/>
            <w:noWrap w:val="0"/>
            <w:vAlign w:val="bottom"/>
          </w:tcPr>
          <w:p w14:paraId="0777B7B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0.0201 </w:t>
            </w:r>
          </w:p>
        </w:tc>
        <w:tc>
          <w:tcPr>
            <w:tcW w:w="533" w:type="pct"/>
            <w:shd w:val="clear" w:color="auto" w:fill="auto"/>
            <w:noWrap w:val="0"/>
            <w:vAlign w:val="bottom"/>
          </w:tcPr>
          <w:p w14:paraId="33149F2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348</w:t>
            </w:r>
          </w:p>
        </w:tc>
        <w:tc>
          <w:tcPr>
            <w:tcW w:w="502" w:type="pct"/>
            <w:shd w:val="clear" w:color="auto" w:fill="auto"/>
            <w:noWrap w:val="0"/>
            <w:vAlign w:val="center"/>
          </w:tcPr>
          <w:p w14:paraId="549A396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1.051</w:t>
            </w:r>
          </w:p>
        </w:tc>
        <w:tc>
          <w:tcPr>
            <w:tcW w:w="503" w:type="pct"/>
            <w:shd w:val="clear" w:color="auto" w:fill="auto"/>
            <w:noWrap w:val="0"/>
            <w:vAlign w:val="bottom"/>
          </w:tcPr>
          <w:p w14:paraId="2A91F3F3">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0.0067 </w:t>
            </w:r>
          </w:p>
        </w:tc>
        <w:tc>
          <w:tcPr>
            <w:tcW w:w="953" w:type="pct"/>
            <w:shd w:val="clear" w:color="auto" w:fill="auto"/>
            <w:noWrap w:val="0"/>
            <w:vAlign w:val="bottom"/>
          </w:tcPr>
          <w:p w14:paraId="486E855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0.0219 </w:t>
            </w:r>
          </w:p>
        </w:tc>
        <w:tc>
          <w:tcPr>
            <w:tcW w:w="453" w:type="pct"/>
            <w:shd w:val="clear" w:color="auto" w:fill="auto"/>
            <w:noWrap w:val="0"/>
            <w:vAlign w:val="bottom"/>
          </w:tcPr>
          <w:p w14:paraId="7B0F070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0.0286 </w:t>
            </w:r>
          </w:p>
        </w:tc>
      </w:tr>
      <w:tr w14:paraId="21BD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76" w:type="pct"/>
            <w:vMerge w:val="continue"/>
            <w:vAlign w:val="center"/>
          </w:tcPr>
          <w:p w14:paraId="01938F5C">
            <w:pPr>
              <w:pStyle w:val="24"/>
              <w:bidi w:val="0"/>
              <w:ind w:left="0" w:leftChars="0"/>
              <w:jc w:val="center"/>
              <w:rPr>
                <w:rFonts w:hint="eastAsia" w:eastAsia="宋体" w:cs="Times New Roman"/>
                <w:b w:val="0"/>
                <w:bCs w:val="0"/>
                <w:color w:val="auto"/>
                <w:sz w:val="21"/>
                <w:szCs w:val="21"/>
                <w:highlight w:val="none"/>
                <w:lang w:val="en-US" w:eastAsia="zh-CN"/>
              </w:rPr>
            </w:pPr>
          </w:p>
        </w:tc>
        <w:tc>
          <w:tcPr>
            <w:tcW w:w="1227" w:type="pct"/>
            <w:gridSpan w:val="2"/>
            <w:vAlign w:val="center"/>
          </w:tcPr>
          <w:p w14:paraId="71572409">
            <w:pPr>
              <w:pStyle w:val="24"/>
              <w:bidi w:val="0"/>
              <w:ind w:left="0" w:leftChars="0"/>
              <w:jc w:val="center"/>
              <w:rPr>
                <w:rFonts w:hint="eastAsia"/>
                <w:color w:val="auto"/>
                <w:sz w:val="21"/>
                <w:szCs w:val="21"/>
                <w:highlight w:val="none"/>
                <w:lang w:val="en-US" w:eastAsia="zh-CN"/>
              </w:rPr>
            </w:pPr>
            <w:r>
              <w:rPr>
                <w:rFonts w:hint="eastAsia" w:cs="Times New Roman"/>
                <w:b w:val="0"/>
                <w:bCs w:val="0"/>
                <w:color w:val="auto"/>
                <w:sz w:val="21"/>
                <w:szCs w:val="21"/>
                <w:highlight w:val="none"/>
                <w:lang w:val="en-US" w:eastAsia="zh-CN"/>
              </w:rPr>
              <w:t>小计</w:t>
            </w:r>
          </w:p>
        </w:tc>
        <w:tc>
          <w:tcPr>
            <w:tcW w:w="350" w:type="pct"/>
            <w:shd w:val="clear" w:color="auto" w:fill="auto"/>
            <w:vAlign w:val="center"/>
          </w:tcPr>
          <w:p w14:paraId="62DE7D2D">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w:t>
            </w:r>
          </w:p>
        </w:tc>
        <w:tc>
          <w:tcPr>
            <w:tcW w:w="533" w:type="pct"/>
            <w:shd w:val="clear" w:color="auto" w:fill="auto"/>
            <w:vAlign w:val="center"/>
          </w:tcPr>
          <w:p w14:paraId="1AD2E891">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w:t>
            </w:r>
          </w:p>
        </w:tc>
        <w:tc>
          <w:tcPr>
            <w:tcW w:w="502" w:type="pct"/>
            <w:shd w:val="clear" w:color="auto" w:fill="auto"/>
            <w:vAlign w:val="center"/>
          </w:tcPr>
          <w:p w14:paraId="509C0CBC">
            <w:pPr>
              <w:pStyle w:val="24"/>
              <w:bidi w:val="0"/>
              <w:ind w:left="0" w:lef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w:t>
            </w:r>
          </w:p>
        </w:tc>
        <w:tc>
          <w:tcPr>
            <w:tcW w:w="503" w:type="pct"/>
            <w:shd w:val="clear" w:color="auto" w:fill="auto"/>
            <w:vAlign w:val="bottom"/>
          </w:tcPr>
          <w:p w14:paraId="177DE8B6">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0.0276 </w:t>
            </w:r>
          </w:p>
        </w:tc>
        <w:tc>
          <w:tcPr>
            <w:tcW w:w="953" w:type="pct"/>
            <w:shd w:val="clear" w:color="auto" w:fill="auto"/>
            <w:vAlign w:val="bottom"/>
          </w:tcPr>
          <w:p w14:paraId="4B06536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0.0522 </w:t>
            </w:r>
          </w:p>
        </w:tc>
        <w:tc>
          <w:tcPr>
            <w:tcW w:w="453" w:type="pct"/>
            <w:shd w:val="clear" w:color="auto" w:fill="auto"/>
            <w:vAlign w:val="bottom"/>
          </w:tcPr>
          <w:p w14:paraId="294F0CA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 xml:space="preserve">0.0798 </w:t>
            </w:r>
          </w:p>
        </w:tc>
      </w:tr>
    </w:tbl>
    <w:p w14:paraId="43B5699B">
      <w:pPr>
        <w:bidi w:val="0"/>
        <w:ind w:left="0" w:leftChars="0" w:firstLine="0" w:firstLineChars="0"/>
        <w:rPr>
          <w:rFonts w:hint="default"/>
          <w:b/>
          <w:bCs/>
          <w:color w:val="auto"/>
          <w:lang w:val="en-US" w:eastAsia="zh-CN"/>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eastAsia"/>
          <w:b/>
          <w:bCs/>
          <w:color w:val="auto"/>
          <w:lang w:val="en-US" w:eastAsia="zh-CN"/>
        </w:rPr>
        <w:t xml:space="preserve">    </w:t>
      </w:r>
      <w:r>
        <w:rPr>
          <w:rFonts w:hint="eastAsia"/>
          <w:b w:val="0"/>
          <w:bCs w:val="0"/>
          <w:color w:val="auto"/>
          <w:lang w:val="en-US" w:eastAsia="zh-CN"/>
        </w:rPr>
        <w:t>由上表可知，本项目工艺废气中罐区呼吸废气产生量为硫酸雾0.0620t/a、氟化物0.1083t/a、VOCs0.0798t/a。</w:t>
      </w:r>
    </w:p>
    <w:p w14:paraId="4F842C30">
      <w:pPr>
        <w:bidi w:val="0"/>
        <w:rPr>
          <w:rFonts w:hint="eastAsia" w:ascii="Times New Roman" w:hAnsi="Times New Roman" w:eastAsia="宋体" w:cs="Times New Roman"/>
          <w:b/>
          <w:bCs/>
          <w:color w:val="auto"/>
          <w:highlight w:val="none"/>
          <w:lang w:val="en-US" w:eastAsia="zh-CN"/>
        </w:rPr>
      </w:pPr>
      <w:r>
        <w:rPr>
          <w:rFonts w:hint="eastAsia"/>
          <w:b/>
          <w:bCs/>
          <w:color w:val="auto"/>
          <w:lang w:val="en-US" w:eastAsia="zh-CN"/>
        </w:rPr>
        <w:t>③生产废气</w:t>
      </w:r>
    </w:p>
    <w:p w14:paraId="161F3383">
      <w:pPr>
        <w:bidi w:val="0"/>
        <w:ind w:left="0" w:leftChars="0" w:firstLine="480" w:firstLineChars="200"/>
        <w:rPr>
          <w:rFonts w:hint="eastAsia" w:cs="Times New Roman"/>
          <w:color w:val="auto"/>
          <w:sz w:val="24"/>
          <w:szCs w:val="24"/>
          <w:highlight w:val="none"/>
          <w:lang w:val="en-US" w:eastAsia="zh-CN"/>
        </w:rPr>
      </w:pPr>
      <w:r>
        <w:rPr>
          <w:rFonts w:hint="eastAsia"/>
          <w:color w:val="auto"/>
          <w:highlight w:val="none"/>
          <w:lang w:val="en-US" w:eastAsia="zh-CN"/>
        </w:rPr>
        <w:t>本项目除</w:t>
      </w:r>
      <w:r>
        <w:rPr>
          <w:rFonts w:hint="eastAsia" w:cs="Times New Roman"/>
          <w:color w:val="auto"/>
          <w:sz w:val="24"/>
          <w:szCs w:val="24"/>
          <w:highlight w:val="none"/>
          <w:lang w:val="en-US" w:eastAsia="zh-CN"/>
        </w:rPr>
        <w:t>固态原料采用人工投料外（投料完成后，关闭罐体上方投料孔），</w:t>
      </w:r>
      <w:r>
        <w:rPr>
          <w:rFonts w:hint="eastAsia"/>
          <w:color w:val="auto"/>
          <w:highlight w:val="none"/>
          <w:lang w:val="en-US" w:eastAsia="zh-CN"/>
        </w:rPr>
        <w:t>生产全流程采用密闭管道输送，其中：采用储罐暂存的液体原料直接通过输送泵泵入罐体或釜体；采用包装桶暂存的液体原料使用时</w:t>
      </w:r>
      <w:r>
        <w:rPr>
          <w:rFonts w:hint="eastAsia" w:cs="Times New Roman"/>
          <w:color w:val="auto"/>
          <w:sz w:val="24"/>
          <w:szCs w:val="24"/>
          <w:highlight w:val="none"/>
          <w:lang w:val="en-US" w:eastAsia="zh-CN"/>
        </w:rPr>
        <w:t>将包装桶下方的出料口与</w:t>
      </w:r>
      <w:r>
        <w:rPr>
          <w:rFonts w:hint="eastAsia" w:ascii="Times New Roman" w:hAnsi="Times New Roman" w:eastAsia="宋体" w:cs="Times New Roman"/>
          <w:color w:val="auto"/>
          <w:sz w:val="24"/>
          <w:szCs w:val="24"/>
          <w:highlight w:val="none"/>
          <w:lang w:val="en-US" w:eastAsia="zh-CN"/>
        </w:rPr>
        <w:t>气动泵（</w:t>
      </w:r>
      <w:r>
        <w:rPr>
          <w:rFonts w:hint="eastAsia" w:cs="Times New Roman"/>
          <w:color w:val="auto"/>
          <w:sz w:val="24"/>
          <w:szCs w:val="24"/>
          <w:highlight w:val="none"/>
          <w:lang w:val="en-US" w:eastAsia="zh-CN"/>
        </w:rPr>
        <w:t>带计量功能</w:t>
      </w:r>
      <w:r>
        <w:rPr>
          <w:rFonts w:hint="eastAsia" w:ascii="Times New Roman" w:hAnsi="Times New Roman" w:eastAsia="宋体" w:cs="Times New Roman"/>
          <w:color w:val="auto"/>
          <w:sz w:val="24"/>
          <w:szCs w:val="24"/>
          <w:highlight w:val="none"/>
          <w:lang w:val="en-US" w:eastAsia="zh-CN"/>
        </w:rPr>
        <w:t>）连接，并打开出料口的阀门，原料经泵吸入</w:t>
      </w:r>
      <w:r>
        <w:rPr>
          <w:rFonts w:hint="eastAsia" w:cs="Times New Roman"/>
          <w:color w:val="auto"/>
          <w:sz w:val="24"/>
          <w:szCs w:val="24"/>
          <w:highlight w:val="none"/>
          <w:lang w:val="en-US" w:eastAsia="zh-CN"/>
        </w:rPr>
        <w:t>，整个过程无需开盖。本项目生产过程中，所有生产设备均为密闭设备，罐体或阀体上方设排气阀，用于物料进入设备时气体排出和反应过程气体排出。其中：</w:t>
      </w:r>
    </w:p>
    <w:p w14:paraId="016515DA">
      <w:pPr>
        <w:bidi w:val="0"/>
        <w:ind w:left="0" w:leftChars="0" w:firstLine="480" w:firstLineChars="200"/>
        <w:rPr>
          <w:rFonts w:hint="eastAsia"/>
          <w:color w:val="auto"/>
          <w:highlight w:val="none"/>
          <w:lang w:val="en-US" w:eastAsia="zh-CN"/>
        </w:rPr>
      </w:pPr>
      <w:r>
        <w:rPr>
          <w:rFonts w:hint="eastAsia"/>
          <w:color w:val="auto"/>
          <w:lang w:val="en-US" w:eastAsia="zh-CN"/>
        </w:rPr>
        <w:t>聚羧酸减水剂母液生产过程中丙烯酸、巯基乙醇、丙烯酸羟乙酯、丙烯酸羟丙酯、巯基丙酸泵入计量罐和A料/B料/备用配置罐时，罐顶</w:t>
      </w:r>
      <w:r>
        <w:rPr>
          <w:rFonts w:hint="eastAsia" w:cs="Times New Roman"/>
          <w:color w:val="auto"/>
          <w:sz w:val="24"/>
          <w:szCs w:val="24"/>
          <w:highlight w:val="none"/>
          <w:lang w:val="en-US" w:eastAsia="zh-CN"/>
        </w:rPr>
        <w:t>排气阀会排出被物料推出的空气（含少量物料挥发产生的废气，以</w:t>
      </w:r>
      <w:r>
        <w:rPr>
          <w:rFonts w:hint="eastAsia"/>
          <w:color w:val="auto"/>
          <w:lang w:val="en-US" w:eastAsia="zh-CN"/>
        </w:rPr>
        <w:t>VOCs计</w:t>
      </w:r>
      <w:r>
        <w:rPr>
          <w:rFonts w:hint="eastAsia" w:cs="Times New Roman"/>
          <w:color w:val="auto"/>
          <w:sz w:val="24"/>
          <w:szCs w:val="24"/>
          <w:highlight w:val="none"/>
          <w:lang w:val="en-US" w:eastAsia="zh-CN"/>
        </w:rPr>
        <w:t>）；聚合反应时合成釜内温度波动导致暂未完成反应的物料挥发产生有机废气，以</w:t>
      </w:r>
      <w:r>
        <w:rPr>
          <w:rFonts w:hint="eastAsia"/>
          <w:color w:val="auto"/>
          <w:lang w:val="en-US" w:eastAsia="zh-CN"/>
        </w:rPr>
        <w:t>VOCs计</w:t>
      </w:r>
      <w:r>
        <w:rPr>
          <w:rFonts w:hint="eastAsia" w:cs="Times New Roman"/>
          <w:color w:val="auto"/>
          <w:sz w:val="24"/>
          <w:szCs w:val="24"/>
          <w:highlight w:val="none"/>
          <w:lang w:val="en-US" w:eastAsia="zh-CN"/>
        </w:rPr>
        <w:t>；此外，过硫酸铵投入化料罐后，</w:t>
      </w:r>
      <w:r>
        <w:rPr>
          <w:rFonts w:hint="eastAsia"/>
          <w:color w:val="auto"/>
          <w:highlight w:val="none"/>
          <w:lang w:val="en-US" w:eastAsia="zh-CN"/>
        </w:rPr>
        <w:t>遇水会水解产生NH</w:t>
      </w:r>
      <w:r>
        <w:rPr>
          <w:rFonts w:hint="eastAsia"/>
          <w:color w:val="auto"/>
          <w:highlight w:val="none"/>
          <w:vertAlign w:val="subscript"/>
          <w:lang w:val="en-US" w:eastAsia="zh-CN"/>
        </w:rPr>
        <w:t>4</w:t>
      </w:r>
      <w:r>
        <w:rPr>
          <w:rFonts w:hint="eastAsia"/>
          <w:color w:val="auto"/>
          <w:highlight w:val="none"/>
          <w:vertAlign w:val="superscript"/>
          <w:lang w:val="en-US" w:eastAsia="zh-CN"/>
        </w:rPr>
        <w:t>+-</w:t>
      </w:r>
      <w:r>
        <w:rPr>
          <w:rFonts w:hint="eastAsia" w:cs="Times New Roman"/>
          <w:bCs/>
          <w:color w:val="auto"/>
          <w:sz w:val="24"/>
          <w:highlight w:val="none"/>
          <w:lang w:val="en-US" w:eastAsia="zh-CN"/>
        </w:rPr>
        <w:t>，</w:t>
      </w:r>
      <w:r>
        <w:rPr>
          <w:rFonts w:hint="eastAsia"/>
          <w:color w:val="auto"/>
          <w:highlight w:val="none"/>
          <w:lang w:val="en-US" w:eastAsia="zh-CN"/>
        </w:rPr>
        <w:t>NH</w:t>
      </w:r>
      <w:r>
        <w:rPr>
          <w:rFonts w:hint="eastAsia"/>
          <w:color w:val="auto"/>
          <w:highlight w:val="none"/>
          <w:vertAlign w:val="subscript"/>
          <w:lang w:val="en-US" w:eastAsia="zh-CN"/>
        </w:rPr>
        <w:t>4</w:t>
      </w:r>
      <w:r>
        <w:rPr>
          <w:rFonts w:hint="eastAsia"/>
          <w:color w:val="auto"/>
          <w:highlight w:val="none"/>
          <w:vertAlign w:val="superscript"/>
          <w:lang w:val="en-US" w:eastAsia="zh-CN"/>
        </w:rPr>
        <w:t>+</w:t>
      </w:r>
      <w:r>
        <w:rPr>
          <w:rFonts w:hint="eastAsia"/>
          <w:color w:val="auto"/>
          <w:highlight w:val="none"/>
          <w:lang w:val="en-US" w:eastAsia="zh-CN"/>
        </w:rPr>
        <w:t>可与水发生可逆的电离反应，生成一水合氨（NH</w:t>
      </w:r>
      <w:r>
        <w:rPr>
          <w:rFonts w:hint="eastAsia"/>
          <w:color w:val="auto"/>
          <w:highlight w:val="none"/>
          <w:vertAlign w:val="subscript"/>
          <w:lang w:val="en-US" w:eastAsia="zh-CN"/>
        </w:rPr>
        <w:t>3</w:t>
      </w:r>
      <w:r>
        <w:rPr>
          <w:rFonts w:hint="eastAsia"/>
          <w:color w:val="auto"/>
          <w:highlight w:val="none"/>
          <w:lang w:val="en-US" w:eastAsia="zh-CN"/>
        </w:rPr>
        <w:t>·H</w:t>
      </w:r>
      <w:r>
        <w:rPr>
          <w:rFonts w:hint="eastAsia"/>
          <w:color w:val="auto"/>
          <w:highlight w:val="none"/>
          <w:vertAlign w:val="subscript"/>
          <w:lang w:val="en-US" w:eastAsia="zh-CN"/>
        </w:rPr>
        <w:t>2</w:t>
      </w:r>
      <w:r>
        <w:rPr>
          <w:rFonts w:hint="eastAsia"/>
          <w:color w:val="auto"/>
          <w:highlight w:val="none"/>
          <w:lang w:val="en-US" w:eastAsia="zh-CN"/>
        </w:rPr>
        <w:t>O），一水合氨（NH</w:t>
      </w:r>
      <w:r>
        <w:rPr>
          <w:rFonts w:hint="eastAsia"/>
          <w:color w:val="auto"/>
          <w:highlight w:val="none"/>
          <w:vertAlign w:val="subscript"/>
          <w:lang w:val="en-US" w:eastAsia="zh-CN"/>
        </w:rPr>
        <w:t>3</w:t>
      </w:r>
      <w:r>
        <w:rPr>
          <w:rFonts w:hint="eastAsia"/>
          <w:color w:val="auto"/>
          <w:highlight w:val="none"/>
          <w:lang w:val="en-US" w:eastAsia="zh-CN"/>
        </w:rPr>
        <w:t>·H</w:t>
      </w:r>
      <w:r>
        <w:rPr>
          <w:rFonts w:hint="eastAsia"/>
          <w:color w:val="auto"/>
          <w:highlight w:val="none"/>
          <w:vertAlign w:val="subscript"/>
          <w:lang w:val="en-US" w:eastAsia="zh-CN"/>
        </w:rPr>
        <w:t>2</w:t>
      </w:r>
      <w:r>
        <w:rPr>
          <w:rFonts w:hint="eastAsia"/>
          <w:color w:val="auto"/>
          <w:highlight w:val="none"/>
          <w:lang w:val="en-US" w:eastAsia="zh-CN"/>
        </w:rPr>
        <w:t>O）会挥发产生氨气，由于过硫酸铵仅占生产原料的0.16%，且NH</w:t>
      </w:r>
      <w:r>
        <w:rPr>
          <w:rFonts w:hint="eastAsia"/>
          <w:color w:val="auto"/>
          <w:highlight w:val="none"/>
          <w:vertAlign w:val="subscript"/>
          <w:lang w:val="en-US" w:eastAsia="zh-CN"/>
        </w:rPr>
        <w:t>4</w:t>
      </w:r>
      <w:r>
        <w:rPr>
          <w:rFonts w:hint="eastAsia"/>
          <w:color w:val="auto"/>
          <w:highlight w:val="none"/>
          <w:vertAlign w:val="superscript"/>
          <w:lang w:val="en-US" w:eastAsia="zh-CN"/>
        </w:rPr>
        <w:t>+</w:t>
      </w:r>
      <w:r>
        <w:rPr>
          <w:rFonts w:hint="eastAsia"/>
          <w:color w:val="auto"/>
          <w:highlight w:val="none"/>
          <w:lang w:val="en-US" w:eastAsia="zh-CN"/>
        </w:rPr>
        <w:t>与水的电离反应为可逆反应，氨气产生量较小，本次环评不进行定量分析。</w:t>
      </w:r>
    </w:p>
    <w:p w14:paraId="0885C263">
      <w:pPr>
        <w:bidi w:val="0"/>
        <w:ind w:left="0" w:leftChars="0" w:firstLine="480" w:firstLineChars="200"/>
        <w:rPr>
          <w:rFonts w:hint="default"/>
          <w:color w:val="auto"/>
          <w:lang w:val="en-US" w:eastAsia="zh-CN"/>
        </w:rPr>
      </w:pPr>
      <w:r>
        <w:rPr>
          <w:rFonts w:hint="default"/>
          <w:color w:val="auto"/>
          <w:highlight w:val="none"/>
          <w:lang w:val="en-US" w:eastAsia="zh-CN"/>
        </w:rPr>
        <w:t>高性能聚羧酸减水剂</w:t>
      </w:r>
      <w:r>
        <w:rPr>
          <w:rFonts w:hint="eastAsia"/>
          <w:color w:val="auto"/>
          <w:highlight w:val="none"/>
          <w:lang w:val="en-US" w:eastAsia="zh-CN"/>
        </w:rPr>
        <w:t>生产为单纯的物理混配，原辅材料中</w:t>
      </w:r>
      <w:r>
        <w:rPr>
          <w:rFonts w:hint="eastAsia"/>
          <w:color w:val="auto"/>
          <w:lang w:val="en-US" w:eastAsia="zh-CN"/>
        </w:rPr>
        <w:t>聚羧酸减水剂母液、引气剂、消泡剂等均为大分子，且沸点、闪点较高，可视为不挥发；</w:t>
      </w:r>
      <w:r>
        <w:rPr>
          <w:rFonts w:hint="default"/>
          <w:color w:val="auto"/>
          <w:highlight w:val="none"/>
          <w:lang w:val="en-US" w:eastAsia="zh-CN"/>
        </w:rPr>
        <w:t>减水剂</w:t>
      </w:r>
      <w:r>
        <w:rPr>
          <w:rFonts w:hint="eastAsia"/>
          <w:color w:val="auto"/>
          <w:lang w:val="en-US" w:eastAsia="zh-CN"/>
        </w:rPr>
        <w:t>成分中含有聚丙烯酰胺、三乙醇胺，聚丙烯酰胺沸点231.7℃、闪点110℃，三乙醇胺沸点360℃、闪点179℃，均远高于其反应温度（常温），几乎不具有挥发性，臭气浓度产生量极小，本次环评不进行定量分析。</w:t>
      </w:r>
    </w:p>
    <w:p w14:paraId="35B06C8C">
      <w:pPr>
        <w:bidi w:val="0"/>
        <w:ind w:left="0" w:leftChars="0" w:firstLine="480" w:firstLineChars="200"/>
        <w:rPr>
          <w:rFonts w:hint="default"/>
          <w:color w:val="auto"/>
          <w:lang w:val="en-US" w:eastAsia="zh-CN"/>
        </w:rPr>
      </w:pPr>
      <w:r>
        <w:rPr>
          <w:rFonts w:hint="eastAsia"/>
          <w:color w:val="auto"/>
          <w:lang w:val="en-US" w:eastAsia="zh-CN"/>
        </w:rPr>
        <w:t>无碱速凝剂生产过程中硫酸和氟硅酸泵入计量罐/滴加罐和反应釜时，罐顶</w:t>
      </w:r>
      <w:r>
        <w:rPr>
          <w:rFonts w:hint="eastAsia" w:cs="Times New Roman"/>
          <w:color w:val="auto"/>
          <w:sz w:val="24"/>
          <w:szCs w:val="24"/>
          <w:highlight w:val="none"/>
          <w:lang w:val="en-US" w:eastAsia="zh-CN"/>
        </w:rPr>
        <w:t>排气阀会排出被物料推出的空气（含少量物料挥发产生的废气，以</w:t>
      </w:r>
      <w:r>
        <w:rPr>
          <w:rFonts w:hint="eastAsia"/>
          <w:color w:val="auto"/>
          <w:lang w:val="en-US" w:eastAsia="zh-CN"/>
        </w:rPr>
        <w:t>硫酸雾、氟化物计</w:t>
      </w:r>
      <w:r>
        <w:rPr>
          <w:rFonts w:hint="eastAsia" w:cs="Times New Roman"/>
          <w:color w:val="auto"/>
          <w:sz w:val="24"/>
          <w:szCs w:val="24"/>
          <w:highlight w:val="none"/>
          <w:lang w:val="en-US" w:eastAsia="zh-CN"/>
        </w:rPr>
        <w:t>），</w:t>
      </w:r>
      <w:r>
        <w:rPr>
          <w:rFonts w:hint="eastAsia"/>
          <w:color w:val="auto"/>
          <w:lang w:val="en-US" w:eastAsia="zh-CN"/>
        </w:rPr>
        <w:t>硫酸和氟硅酸均采用定量均匀滴加的方式，滴加后迅速参与反应，</w:t>
      </w:r>
      <w:r>
        <w:rPr>
          <w:rFonts w:hint="eastAsia" w:cs="Times New Roman"/>
          <w:color w:val="auto"/>
          <w:sz w:val="24"/>
          <w:szCs w:val="24"/>
          <w:highlight w:val="none"/>
          <w:lang w:val="en-US" w:eastAsia="zh-CN"/>
        </w:rPr>
        <w:t>反应时合成釜内温度升高导致极少量暂未完成反应的物料挥发产生酸雾，</w:t>
      </w:r>
      <w:r>
        <w:rPr>
          <w:rFonts w:hint="eastAsia"/>
          <w:color w:val="auto"/>
          <w:lang w:val="en-US" w:eastAsia="zh-CN"/>
        </w:rPr>
        <w:t>主要污染物为硫酸雾、氟化物；此外，无碱速凝剂成分中含有三乙醇胺、二乙醇胺，三乙醇胺沸点360℃、闪点179℃，二乙醇胺沸点268.8℃、闪点146℃，而无碱速凝剂生产过程中混配温度为60℃，几乎不具有挥发性，臭气浓度产生量极小，本次环评不进行定量分析。</w:t>
      </w:r>
    </w:p>
    <w:p w14:paraId="1A24C6EE">
      <w:pPr>
        <w:bidi w:val="0"/>
        <w:ind w:left="0" w:leftChars="0" w:firstLine="480" w:firstLineChars="200"/>
        <w:rPr>
          <w:rFonts w:hint="default"/>
          <w:color w:val="auto"/>
          <w:lang w:val="en-US" w:eastAsia="zh-CN"/>
        </w:rPr>
      </w:pPr>
      <w:r>
        <w:rPr>
          <w:rFonts w:hint="eastAsia"/>
          <w:color w:val="auto"/>
          <w:lang w:val="en-US" w:eastAsia="zh-CN"/>
        </w:rPr>
        <w:t>乳化型脱模剂生产过程中基础油、OP乳化剂、SPAN乳化剂、平平加泵入计量罐和复配罐时，罐顶</w:t>
      </w:r>
      <w:r>
        <w:rPr>
          <w:rFonts w:hint="eastAsia" w:cs="Times New Roman"/>
          <w:color w:val="auto"/>
          <w:sz w:val="24"/>
          <w:szCs w:val="24"/>
          <w:highlight w:val="none"/>
          <w:lang w:val="en-US" w:eastAsia="zh-CN"/>
        </w:rPr>
        <w:t>排气阀会排出被物料推出的空气（含少量物料挥发产生的废气，以</w:t>
      </w:r>
      <w:r>
        <w:rPr>
          <w:rFonts w:hint="eastAsia"/>
          <w:color w:val="auto"/>
          <w:lang w:val="en-US" w:eastAsia="zh-CN"/>
        </w:rPr>
        <w:t>VOCs计</w:t>
      </w:r>
      <w:r>
        <w:rPr>
          <w:rFonts w:hint="eastAsia" w:cs="Times New Roman"/>
          <w:color w:val="auto"/>
          <w:sz w:val="24"/>
          <w:szCs w:val="24"/>
          <w:highlight w:val="none"/>
          <w:lang w:val="en-US" w:eastAsia="zh-CN"/>
        </w:rPr>
        <w:t>）。</w:t>
      </w:r>
    </w:p>
    <w:p w14:paraId="2C0B6AE0">
      <w:pPr>
        <w:bidi w:val="0"/>
        <w:ind w:left="0" w:leftChars="0" w:firstLine="480" w:firstLineChars="200"/>
        <w:rPr>
          <w:rFonts w:hint="default" w:cs="Times New Roman"/>
          <w:color w:val="auto"/>
          <w:sz w:val="24"/>
          <w:szCs w:val="24"/>
          <w:highlight w:val="none"/>
          <w:lang w:val="en-US" w:eastAsia="zh-CN"/>
        </w:rPr>
      </w:pPr>
      <w:r>
        <w:rPr>
          <w:rFonts w:hint="eastAsia"/>
          <w:color w:val="auto"/>
          <w:lang w:val="en-US" w:eastAsia="zh-CN"/>
        </w:rPr>
        <w:t>因此，本项目生产废气主要污染物为硫酸雾、氟化物、VOCs。由于本项目计量罐、配置罐、复配罐、滴加罐、反应釜与罐区储罐一样，均为常压固定顶罐，生产过程中物料进入各罐体时，罐顶</w:t>
      </w:r>
      <w:r>
        <w:rPr>
          <w:rFonts w:hint="eastAsia" w:cs="Times New Roman"/>
          <w:color w:val="auto"/>
          <w:sz w:val="24"/>
          <w:szCs w:val="24"/>
          <w:highlight w:val="none"/>
          <w:lang w:val="en-US" w:eastAsia="zh-CN"/>
        </w:rPr>
        <w:t>排气阀排出的废气可视为</w:t>
      </w:r>
      <w:r>
        <w:rPr>
          <w:rFonts w:hint="eastAsia"/>
          <w:color w:val="auto"/>
          <w:lang w:val="en-US" w:eastAsia="zh-CN"/>
        </w:rPr>
        <w:t>“大呼吸”损耗（工作损耗），参考美国环保署（EPA）发布的“污染物排放因子文件”（AP-42）第五版第七章“大呼吸”损耗公式进行计算；聚羧酸减水剂母液</w:t>
      </w:r>
      <w:r>
        <w:rPr>
          <w:rFonts w:hint="eastAsia" w:cs="Times New Roman"/>
          <w:color w:val="auto"/>
          <w:sz w:val="24"/>
          <w:szCs w:val="24"/>
          <w:highlight w:val="none"/>
          <w:lang w:val="en-US" w:eastAsia="zh-CN"/>
        </w:rPr>
        <w:t>聚合反应时产生的有机废气参考《上海市工业企业挥发性有机物排放量通用计算方法（试行）》中产污系数</w:t>
      </w:r>
      <w:r>
        <w:rPr>
          <w:rFonts w:hint="eastAsia"/>
          <w:color w:val="auto"/>
          <w:lang w:val="en-US" w:eastAsia="zh-CN"/>
        </w:rPr>
        <w:t>进行计算；</w:t>
      </w:r>
      <w:r>
        <w:rPr>
          <w:rFonts w:hint="eastAsia" w:cs="Times New Roman"/>
          <w:color w:val="auto"/>
          <w:sz w:val="24"/>
          <w:szCs w:val="24"/>
          <w:highlight w:val="none"/>
          <w:lang w:val="en-US" w:eastAsia="zh-CN"/>
        </w:rPr>
        <w:t>无碱速凝剂合成反应时产生的酸雾</w:t>
      </w:r>
      <w:r>
        <w:rPr>
          <w:rFonts w:hint="eastAsia" w:cs="Times New Roman"/>
          <w:color w:val="auto"/>
          <w:highlight w:val="none"/>
          <w:lang w:val="en-US" w:eastAsia="zh-CN"/>
        </w:rPr>
        <w:t>参考《环境统计手册》中有关酸液蒸发量的经验公式进行计算</w:t>
      </w:r>
      <w:r>
        <w:rPr>
          <w:rFonts w:hint="eastAsia"/>
          <w:color w:val="auto"/>
          <w:lang w:val="en-US" w:eastAsia="zh-CN"/>
        </w:rPr>
        <w:t>。具体如下：</w:t>
      </w:r>
    </w:p>
    <w:p w14:paraId="6B7B4A96">
      <w:pPr>
        <w:bidi w:val="0"/>
        <w:ind w:left="0" w:leftChars="0" w:firstLine="480" w:firstLineChars="200"/>
        <w:rPr>
          <w:rFonts w:hint="default"/>
          <w:color w:val="auto"/>
          <w:lang w:val="en-US" w:eastAsia="zh-CN"/>
        </w:rPr>
      </w:pPr>
      <w:r>
        <w:rPr>
          <w:rFonts w:hint="eastAsia"/>
          <w:color w:val="auto"/>
          <w:lang w:val="en-US" w:eastAsia="zh-CN"/>
        </w:rPr>
        <w:t>A.物料进入计量罐、配置罐、复配罐、滴加罐、反应釜“大呼吸”损耗（工作损耗）</w:t>
      </w:r>
    </w:p>
    <w:p w14:paraId="113158AF">
      <w:pPr>
        <w:bidi w:val="0"/>
        <w:ind w:left="0" w:leftChars="0" w:firstLine="480" w:firstLineChars="200"/>
        <w:rPr>
          <w:rFonts w:hint="eastAsia"/>
          <w:color w:val="auto"/>
          <w:lang w:val="en-US" w:eastAsia="zh-CN"/>
        </w:rPr>
      </w:pPr>
      <w:r>
        <w:rPr>
          <w:rFonts w:hint="eastAsia" w:ascii="宋体" w:hAnsi="宋体" w:eastAsia="宋体" w:cs="宋体"/>
          <w:color w:val="auto"/>
          <w:kern w:val="0"/>
          <w:sz w:val="24"/>
          <w:szCs w:val="24"/>
          <w:lang w:val="en-US" w:eastAsia="zh-CN" w:bidi="ar"/>
        </w:rPr>
        <w:t>本项目</w:t>
      </w:r>
      <w:r>
        <w:rPr>
          <w:rFonts w:hint="eastAsia" w:ascii="宋体" w:hAnsi="宋体" w:cs="宋体"/>
          <w:color w:val="auto"/>
          <w:kern w:val="0"/>
          <w:sz w:val="24"/>
          <w:szCs w:val="24"/>
          <w:lang w:val="en-US" w:eastAsia="zh-CN" w:bidi="ar"/>
        </w:rPr>
        <w:t>生产车间工艺罐体呼吸</w:t>
      </w:r>
      <w:r>
        <w:rPr>
          <w:rFonts w:hint="eastAsia" w:ascii="宋体" w:hAnsi="宋体" w:eastAsia="宋体" w:cs="宋体"/>
          <w:color w:val="auto"/>
          <w:kern w:val="0"/>
          <w:sz w:val="24"/>
          <w:szCs w:val="24"/>
          <w:lang w:val="en-US" w:eastAsia="zh-CN" w:bidi="ar"/>
        </w:rPr>
        <w:t>废气产生量见下表。</w:t>
      </w:r>
    </w:p>
    <w:p w14:paraId="6AA78682">
      <w:pPr>
        <w:pStyle w:val="27"/>
        <w:numPr>
          <w:ilvl w:val="0"/>
          <w:numId w:val="20"/>
        </w:numPr>
        <w:bidi w:val="0"/>
        <w:ind w:left="425" w:leftChars="0" w:hanging="425" w:firstLine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生产车间各工艺罐体呼吸废气核算一览表</w:t>
      </w:r>
    </w:p>
    <w:tbl>
      <w:tblPr>
        <w:tblStyle w:val="20"/>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70"/>
        <w:gridCol w:w="1602"/>
        <w:gridCol w:w="1230"/>
        <w:gridCol w:w="1119"/>
        <w:gridCol w:w="1119"/>
        <w:gridCol w:w="1114"/>
        <w:gridCol w:w="1134"/>
      </w:tblGrid>
      <w:tr w14:paraId="1341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 w:hRule="atLeast"/>
        </w:trPr>
        <w:tc>
          <w:tcPr>
            <w:tcW w:w="1955" w:type="pct"/>
            <w:gridSpan w:val="2"/>
            <w:vMerge w:val="restart"/>
            <w:shd w:val="clear" w:color="auto" w:fill="auto"/>
            <w:vAlign w:val="center"/>
          </w:tcPr>
          <w:p w14:paraId="735D2BC4">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罐体</w:t>
            </w:r>
            <w:r>
              <w:rPr>
                <w:rFonts w:hint="eastAsia" w:ascii="Times New Roman" w:hAnsi="Times New Roman" w:eastAsia="宋体" w:cs="Times New Roman"/>
                <w:b/>
                <w:bCs/>
                <w:color w:val="auto"/>
                <w:sz w:val="21"/>
                <w:szCs w:val="21"/>
                <w:highlight w:val="none"/>
                <w:lang w:val="en-US" w:eastAsia="zh-CN"/>
              </w:rPr>
              <w:t>名称及参数</w:t>
            </w:r>
          </w:p>
        </w:tc>
        <w:tc>
          <w:tcPr>
            <w:tcW w:w="2440" w:type="pct"/>
            <w:gridSpan w:val="4"/>
            <w:shd w:val="clear" w:color="auto" w:fill="auto"/>
            <w:vAlign w:val="center"/>
          </w:tcPr>
          <w:p w14:paraId="788E420C">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计算参数</w:t>
            </w:r>
          </w:p>
        </w:tc>
        <w:tc>
          <w:tcPr>
            <w:tcW w:w="604" w:type="pct"/>
            <w:shd w:val="clear" w:color="auto" w:fill="auto"/>
            <w:vAlign w:val="center"/>
          </w:tcPr>
          <w:p w14:paraId="1D621D44">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计算结果</w:t>
            </w:r>
          </w:p>
        </w:tc>
      </w:tr>
      <w:tr w14:paraId="7202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 w:hRule="atLeast"/>
        </w:trPr>
        <w:tc>
          <w:tcPr>
            <w:tcW w:w="1955" w:type="pct"/>
            <w:gridSpan w:val="2"/>
            <w:vMerge w:val="continue"/>
            <w:shd w:val="clear" w:color="auto" w:fill="auto"/>
            <w:vAlign w:val="center"/>
          </w:tcPr>
          <w:p w14:paraId="06FF44F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p>
        </w:tc>
        <w:tc>
          <w:tcPr>
            <w:tcW w:w="655" w:type="pct"/>
            <w:shd w:val="clear" w:color="auto" w:fill="auto"/>
            <w:vAlign w:val="center"/>
          </w:tcPr>
          <w:p w14:paraId="1FA86AED">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M</w:t>
            </w:r>
          </w:p>
        </w:tc>
        <w:tc>
          <w:tcPr>
            <w:tcW w:w="596" w:type="pct"/>
            <w:shd w:val="clear" w:color="auto" w:fill="auto"/>
            <w:vAlign w:val="center"/>
          </w:tcPr>
          <w:p w14:paraId="59FEE0F1">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P</w:t>
            </w:r>
          </w:p>
        </w:tc>
        <w:tc>
          <w:tcPr>
            <w:tcW w:w="596" w:type="pct"/>
            <w:shd w:val="clear" w:color="auto" w:fill="auto"/>
            <w:vAlign w:val="center"/>
          </w:tcPr>
          <w:p w14:paraId="42B3E2A4">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b/>
                <w:bCs/>
                <w:color w:val="auto"/>
                <w:highlight w:val="none"/>
                <w:lang w:val="en-US" w:eastAsia="zh-CN"/>
              </w:rPr>
              <w:t>Kn</w:t>
            </w:r>
          </w:p>
        </w:tc>
        <w:tc>
          <w:tcPr>
            <w:tcW w:w="593" w:type="pct"/>
            <w:shd w:val="clear" w:color="auto" w:fill="auto"/>
            <w:vAlign w:val="center"/>
          </w:tcPr>
          <w:p w14:paraId="1B74729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0"/>
                <w:sz w:val="21"/>
                <w:szCs w:val="21"/>
                <w:lang w:val="en-US" w:eastAsia="zh-CN" w:bidi="ar"/>
              </w:rPr>
              <w:t>K</w:t>
            </w:r>
            <w:r>
              <w:rPr>
                <w:rFonts w:hint="eastAsia" w:cs="Times New Roman"/>
                <w:b/>
                <w:bCs/>
                <w:color w:val="auto"/>
                <w:kern w:val="0"/>
                <w:sz w:val="21"/>
                <w:szCs w:val="21"/>
                <w:lang w:val="en-US" w:eastAsia="zh-CN" w:bidi="ar"/>
              </w:rPr>
              <w:t>c</w:t>
            </w:r>
          </w:p>
        </w:tc>
        <w:tc>
          <w:tcPr>
            <w:tcW w:w="604" w:type="pct"/>
            <w:shd w:val="clear" w:color="auto" w:fill="auto"/>
            <w:vAlign w:val="center"/>
          </w:tcPr>
          <w:p w14:paraId="6C596FE9">
            <w:pPr>
              <w:pStyle w:val="24"/>
              <w:bidi w:val="0"/>
              <w:ind w:left="0" w:leftChars="0"/>
              <w:jc w:val="center"/>
              <w:rPr>
                <w:rFonts w:hint="default" w:ascii="Times New Roman" w:hAnsi="Times New Roman" w:eastAsia="宋体" w:cs="Times New Roman"/>
                <w:b/>
                <w:bCs/>
                <w:color w:val="auto"/>
                <w:kern w:val="0"/>
                <w:sz w:val="24"/>
                <w:szCs w:val="24"/>
                <w:lang w:val="en-US" w:eastAsia="zh-CN" w:bidi="ar"/>
              </w:rPr>
            </w:pPr>
            <w:r>
              <w:rPr>
                <w:rFonts w:hint="eastAsia"/>
                <w:b/>
                <w:bCs/>
                <w:color w:val="auto"/>
                <w:highlight w:val="none"/>
                <w:lang w:val="en-US" w:eastAsia="zh-CN"/>
              </w:rPr>
              <w:t>Lw</w:t>
            </w:r>
          </w:p>
        </w:tc>
      </w:tr>
      <w:tr w14:paraId="49F0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02" w:type="pct"/>
            <w:shd w:val="clear" w:color="auto" w:fill="auto"/>
            <w:vAlign w:val="center"/>
          </w:tcPr>
          <w:p w14:paraId="52C4552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丙烯酸计量罐</w:t>
            </w:r>
          </w:p>
        </w:tc>
        <w:tc>
          <w:tcPr>
            <w:tcW w:w="852" w:type="pct"/>
            <w:shd w:val="clear" w:color="auto" w:fill="auto"/>
            <w:vAlign w:val="center"/>
          </w:tcPr>
          <w:p w14:paraId="168D35DE">
            <w:pPr>
              <w:pStyle w:val="24"/>
              <w:bidi w:val="0"/>
              <w:ind w:left="0" w:leftChars="0"/>
              <w:jc w:val="center"/>
              <w:rPr>
                <w:rFonts w:hint="eastAsia" w:ascii="Times New Roman" w:hAnsi="Times New Roman" w:eastAsia="宋体" w:cs="Times New Roman"/>
                <w:color w:val="auto"/>
                <w:kern w:val="0"/>
                <w:sz w:val="21"/>
                <w:szCs w:val="21"/>
                <w:lang w:val="en-US" w:eastAsia="zh-CN" w:bidi="ar-SA"/>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219DB31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72.06</w:t>
            </w:r>
          </w:p>
        </w:tc>
        <w:tc>
          <w:tcPr>
            <w:tcW w:w="596" w:type="pct"/>
            <w:shd w:val="clear" w:color="auto" w:fill="auto"/>
            <w:vAlign w:val="center"/>
          </w:tcPr>
          <w:p w14:paraId="662CC05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665</w:t>
            </w:r>
          </w:p>
        </w:tc>
        <w:tc>
          <w:tcPr>
            <w:tcW w:w="596" w:type="pct"/>
            <w:shd w:val="clear" w:color="auto" w:fill="auto"/>
            <w:vAlign w:val="center"/>
          </w:tcPr>
          <w:p w14:paraId="260720F8">
            <w:pPr>
              <w:pStyle w:val="24"/>
              <w:bidi w:val="0"/>
              <w:ind w:left="0" w:leftChars="0"/>
              <w:jc w:val="center"/>
              <w:rPr>
                <w:rFonts w:hint="default" w:ascii="Times New Roman" w:hAnsi="Times New Roman" w:eastAsia="宋体"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54F01EE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w:t>
            </w:r>
          </w:p>
        </w:tc>
        <w:tc>
          <w:tcPr>
            <w:tcW w:w="604" w:type="pct"/>
            <w:shd w:val="clear" w:color="auto" w:fill="auto"/>
            <w:vAlign w:val="bottom"/>
          </w:tcPr>
          <w:p w14:paraId="77D3560F">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r>
      <w:tr w14:paraId="07D7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102" w:type="pct"/>
            <w:shd w:val="clear" w:color="auto" w:fill="auto"/>
            <w:vAlign w:val="center"/>
          </w:tcPr>
          <w:p w14:paraId="2D06527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巯基乙醇</w:t>
            </w:r>
            <w:r>
              <w:rPr>
                <w:rFonts w:hint="eastAsia" w:cs="Times New Roman"/>
                <w:b w:val="0"/>
                <w:bCs w:val="0"/>
                <w:color w:val="auto"/>
                <w:kern w:val="2"/>
                <w:sz w:val="21"/>
                <w:szCs w:val="21"/>
                <w:highlight w:val="none"/>
                <w:lang w:val="en-US" w:eastAsia="zh-CN" w:bidi="ar-SA"/>
              </w:rPr>
              <w:t>计量罐</w:t>
            </w:r>
          </w:p>
        </w:tc>
        <w:tc>
          <w:tcPr>
            <w:tcW w:w="852" w:type="pct"/>
            <w:shd w:val="clear" w:color="auto" w:fill="auto"/>
            <w:vAlign w:val="center"/>
          </w:tcPr>
          <w:p w14:paraId="6B3FEF47">
            <w:pPr>
              <w:pStyle w:val="24"/>
              <w:bidi w:val="0"/>
              <w:ind w:left="0" w:leftChars="0"/>
              <w:jc w:val="center"/>
              <w:rPr>
                <w:rFonts w:hint="eastAsia" w:ascii="Times New Roman" w:hAnsi="Times New Roman" w:eastAsia="宋体" w:cs="Times New Roman"/>
                <w:color w:val="auto"/>
                <w:kern w:val="0"/>
                <w:sz w:val="21"/>
                <w:szCs w:val="21"/>
                <w:lang w:val="en-US" w:eastAsia="zh-CN" w:bidi="ar-SA"/>
              </w:rPr>
            </w:pPr>
            <w:r>
              <w:rPr>
                <w:rFonts w:hint="eastAsia" w:cs="Courier New"/>
                <w:b w:val="0"/>
                <w:bCs w:val="0"/>
                <w:color w:val="auto"/>
                <w:highlight w:val="none"/>
                <w:lang w:val="en-US" w:eastAsia="zh-CN"/>
              </w:rPr>
              <w:t>1个1</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2A9A78B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78.13</w:t>
            </w:r>
          </w:p>
        </w:tc>
        <w:tc>
          <w:tcPr>
            <w:tcW w:w="596" w:type="pct"/>
            <w:shd w:val="clear" w:color="auto" w:fill="auto"/>
            <w:vAlign w:val="center"/>
          </w:tcPr>
          <w:p w14:paraId="553D168F">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133</w:t>
            </w:r>
          </w:p>
        </w:tc>
        <w:tc>
          <w:tcPr>
            <w:tcW w:w="596" w:type="pct"/>
            <w:vAlign w:val="center"/>
          </w:tcPr>
          <w:p w14:paraId="23D6A0E5">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7F74F1E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604" w:type="pct"/>
            <w:shd w:val="clear" w:color="auto" w:fill="auto"/>
            <w:vAlign w:val="bottom"/>
          </w:tcPr>
          <w:p w14:paraId="7F8BB6B3">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0.0011 </w:t>
            </w:r>
          </w:p>
        </w:tc>
      </w:tr>
      <w:tr w14:paraId="45EC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102" w:type="pct"/>
            <w:shd w:val="clear" w:color="auto" w:fill="auto"/>
            <w:vAlign w:val="center"/>
          </w:tcPr>
          <w:p w14:paraId="6DE88D6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巯基丙酸</w:t>
            </w:r>
            <w:r>
              <w:rPr>
                <w:rFonts w:hint="eastAsia" w:cs="Times New Roman"/>
                <w:b w:val="0"/>
                <w:bCs w:val="0"/>
                <w:color w:val="auto"/>
                <w:kern w:val="2"/>
                <w:sz w:val="21"/>
                <w:szCs w:val="21"/>
                <w:highlight w:val="none"/>
                <w:lang w:val="en-US" w:eastAsia="zh-CN" w:bidi="ar-SA"/>
              </w:rPr>
              <w:t>计量罐</w:t>
            </w:r>
          </w:p>
        </w:tc>
        <w:tc>
          <w:tcPr>
            <w:tcW w:w="852" w:type="pct"/>
            <w:shd w:val="clear" w:color="auto" w:fill="auto"/>
            <w:vAlign w:val="center"/>
          </w:tcPr>
          <w:p w14:paraId="765BAC66">
            <w:pPr>
              <w:pStyle w:val="24"/>
              <w:bidi w:val="0"/>
              <w:ind w:left="0" w:leftChars="0"/>
              <w:jc w:val="center"/>
              <w:rPr>
                <w:rFonts w:hint="default" w:cs="Courier New"/>
                <w:b w:val="0"/>
                <w:bCs w:val="0"/>
                <w:color w:val="auto"/>
                <w:highlight w:val="none"/>
                <w:lang w:val="en-US" w:eastAsia="zh-CN"/>
              </w:rPr>
            </w:pPr>
            <w:r>
              <w:rPr>
                <w:rFonts w:hint="eastAsia" w:cs="Courier New"/>
                <w:b w:val="0"/>
                <w:bCs w:val="0"/>
                <w:color w:val="auto"/>
                <w:highlight w:val="none"/>
                <w:lang w:val="en-US" w:eastAsia="zh-CN"/>
              </w:rPr>
              <w:t>1个1</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25271D7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106.14</w:t>
            </w:r>
          </w:p>
        </w:tc>
        <w:tc>
          <w:tcPr>
            <w:tcW w:w="596" w:type="pct"/>
            <w:shd w:val="clear" w:color="auto" w:fill="auto"/>
            <w:vAlign w:val="center"/>
          </w:tcPr>
          <w:p w14:paraId="78DF205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w:t>
            </w:r>
          </w:p>
        </w:tc>
        <w:tc>
          <w:tcPr>
            <w:tcW w:w="596" w:type="pct"/>
            <w:vAlign w:val="center"/>
          </w:tcPr>
          <w:p w14:paraId="5085F967">
            <w:pPr>
              <w:pStyle w:val="24"/>
              <w:bidi w:val="0"/>
              <w:ind w:left="0" w:leftChars="0"/>
              <w:jc w:val="center"/>
              <w:rPr>
                <w:rFonts w:hint="default"/>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41F7068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w:t>
            </w:r>
          </w:p>
        </w:tc>
        <w:tc>
          <w:tcPr>
            <w:tcW w:w="604" w:type="pct"/>
            <w:shd w:val="clear" w:color="auto" w:fill="auto"/>
            <w:vAlign w:val="bottom"/>
          </w:tcPr>
          <w:p w14:paraId="76391BDF">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0.0231 </w:t>
            </w:r>
          </w:p>
        </w:tc>
      </w:tr>
      <w:tr w14:paraId="4551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02" w:type="pct"/>
            <w:shd w:val="clear" w:color="auto" w:fill="auto"/>
            <w:vAlign w:val="center"/>
          </w:tcPr>
          <w:p w14:paraId="09D5E83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A料/备用配置罐</w:t>
            </w:r>
          </w:p>
        </w:tc>
        <w:tc>
          <w:tcPr>
            <w:tcW w:w="852" w:type="pct"/>
            <w:shd w:val="clear" w:color="auto" w:fill="auto"/>
            <w:vAlign w:val="center"/>
          </w:tcPr>
          <w:p w14:paraId="33412ADA">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1个8</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67CC467D">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77.71</w:t>
            </w:r>
          </w:p>
        </w:tc>
        <w:tc>
          <w:tcPr>
            <w:tcW w:w="596" w:type="pct"/>
            <w:shd w:val="clear" w:color="auto" w:fill="auto"/>
            <w:vAlign w:val="center"/>
          </w:tcPr>
          <w:p w14:paraId="5EEE404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452</w:t>
            </w:r>
          </w:p>
        </w:tc>
        <w:tc>
          <w:tcPr>
            <w:tcW w:w="596" w:type="pct"/>
            <w:vAlign w:val="center"/>
          </w:tcPr>
          <w:p w14:paraId="7540271F">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0440D81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w:t>
            </w:r>
          </w:p>
        </w:tc>
        <w:tc>
          <w:tcPr>
            <w:tcW w:w="604" w:type="pct"/>
            <w:shd w:val="clear" w:color="auto" w:fill="auto"/>
            <w:vAlign w:val="bottom"/>
          </w:tcPr>
          <w:p w14:paraId="56261E9C">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0.0038 </w:t>
            </w:r>
          </w:p>
        </w:tc>
      </w:tr>
      <w:tr w14:paraId="00F8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shd w:val="clear" w:color="auto" w:fill="auto"/>
            <w:vAlign w:val="center"/>
          </w:tcPr>
          <w:p w14:paraId="786D55F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B料/备用配置罐</w:t>
            </w:r>
          </w:p>
        </w:tc>
        <w:tc>
          <w:tcPr>
            <w:tcW w:w="852" w:type="pct"/>
            <w:shd w:val="clear" w:color="auto" w:fill="auto"/>
            <w:vAlign w:val="center"/>
          </w:tcPr>
          <w:p w14:paraId="1242725D">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1个8</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6785E4A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106.68</w:t>
            </w:r>
          </w:p>
        </w:tc>
        <w:tc>
          <w:tcPr>
            <w:tcW w:w="596" w:type="pct"/>
            <w:shd w:val="clear" w:color="auto" w:fill="auto"/>
            <w:vAlign w:val="center"/>
          </w:tcPr>
          <w:p w14:paraId="6CD74BF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1067</w:t>
            </w:r>
          </w:p>
        </w:tc>
        <w:tc>
          <w:tcPr>
            <w:tcW w:w="596" w:type="pct"/>
            <w:vAlign w:val="center"/>
          </w:tcPr>
          <w:p w14:paraId="432798D2">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518A398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w:t>
            </w:r>
          </w:p>
        </w:tc>
        <w:tc>
          <w:tcPr>
            <w:tcW w:w="604" w:type="pct"/>
            <w:shd w:val="clear" w:color="auto" w:fill="auto"/>
            <w:vAlign w:val="bottom"/>
          </w:tcPr>
          <w:p w14:paraId="7B096462">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0.0124 </w:t>
            </w:r>
          </w:p>
        </w:tc>
      </w:tr>
      <w:tr w14:paraId="73D1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restart"/>
            <w:shd w:val="clear" w:color="auto" w:fill="auto"/>
            <w:vAlign w:val="center"/>
          </w:tcPr>
          <w:p w14:paraId="7F383106">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硫酸滴加罐</w:t>
            </w:r>
          </w:p>
        </w:tc>
        <w:tc>
          <w:tcPr>
            <w:tcW w:w="852" w:type="pct"/>
            <w:shd w:val="clear" w:color="auto" w:fill="auto"/>
            <w:vAlign w:val="center"/>
          </w:tcPr>
          <w:p w14:paraId="78F08666">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08859C3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596" w:type="pct"/>
            <w:shd w:val="clear" w:color="auto" w:fill="auto"/>
            <w:vAlign w:val="center"/>
          </w:tcPr>
          <w:p w14:paraId="5F5BFD6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485.71</w:t>
            </w:r>
          </w:p>
        </w:tc>
        <w:tc>
          <w:tcPr>
            <w:tcW w:w="596" w:type="pct"/>
            <w:vAlign w:val="bottom"/>
          </w:tcPr>
          <w:p w14:paraId="4F455207">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0FB19C27">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604" w:type="pct"/>
            <w:shd w:val="clear" w:color="auto" w:fill="auto"/>
            <w:vAlign w:val="bottom"/>
          </w:tcPr>
          <w:p w14:paraId="4DBE641E">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0.0052 </w:t>
            </w:r>
          </w:p>
        </w:tc>
      </w:tr>
      <w:tr w14:paraId="6D94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continue"/>
            <w:shd w:val="clear" w:color="auto" w:fill="auto"/>
            <w:vAlign w:val="center"/>
          </w:tcPr>
          <w:p w14:paraId="4ABD795E">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7169E262">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1506664C">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596" w:type="pct"/>
            <w:shd w:val="clear" w:color="auto" w:fill="auto"/>
            <w:vAlign w:val="center"/>
          </w:tcPr>
          <w:p w14:paraId="62B3E51B">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485.71</w:t>
            </w:r>
          </w:p>
        </w:tc>
        <w:tc>
          <w:tcPr>
            <w:tcW w:w="596" w:type="pct"/>
            <w:vAlign w:val="bottom"/>
          </w:tcPr>
          <w:p w14:paraId="761044D9">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46EE1946">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604" w:type="pct"/>
            <w:shd w:val="clear" w:color="auto" w:fill="auto"/>
            <w:vAlign w:val="bottom"/>
          </w:tcPr>
          <w:p w14:paraId="4A499D0B">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0.0052 </w:t>
            </w:r>
          </w:p>
        </w:tc>
      </w:tr>
      <w:tr w14:paraId="459F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continue"/>
            <w:shd w:val="clear" w:color="auto" w:fill="auto"/>
            <w:vAlign w:val="center"/>
          </w:tcPr>
          <w:p w14:paraId="3F3A764C">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64415233">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7BD2C4C9">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596" w:type="pct"/>
            <w:shd w:val="clear" w:color="auto" w:fill="auto"/>
            <w:vAlign w:val="center"/>
          </w:tcPr>
          <w:p w14:paraId="097A4909">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485.71</w:t>
            </w:r>
          </w:p>
        </w:tc>
        <w:tc>
          <w:tcPr>
            <w:tcW w:w="596" w:type="pct"/>
            <w:vAlign w:val="bottom"/>
          </w:tcPr>
          <w:p w14:paraId="76A4812F">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583309EB">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604" w:type="pct"/>
            <w:shd w:val="clear" w:color="auto" w:fill="auto"/>
            <w:vAlign w:val="bottom"/>
          </w:tcPr>
          <w:p w14:paraId="194B8424">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0.0052 </w:t>
            </w:r>
          </w:p>
        </w:tc>
      </w:tr>
      <w:tr w14:paraId="1062F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restart"/>
            <w:shd w:val="clear" w:color="auto" w:fill="auto"/>
            <w:vAlign w:val="center"/>
          </w:tcPr>
          <w:p w14:paraId="54E4503A">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硫酸铝反应釜</w:t>
            </w:r>
          </w:p>
        </w:tc>
        <w:tc>
          <w:tcPr>
            <w:tcW w:w="852" w:type="pct"/>
            <w:shd w:val="clear" w:color="auto" w:fill="auto"/>
            <w:vAlign w:val="center"/>
          </w:tcPr>
          <w:p w14:paraId="52DCABDA">
            <w:pPr>
              <w:pStyle w:val="24"/>
              <w:bidi w:val="0"/>
              <w:ind w:left="0" w:leftChars="0"/>
              <w:jc w:val="center"/>
              <w:rPr>
                <w:rFonts w:hint="default" w:cs="Courier New"/>
                <w:b w:val="0"/>
                <w:bCs w:val="0"/>
                <w:color w:val="auto"/>
                <w:highlight w:val="none"/>
                <w:lang w:val="en-US" w:eastAsia="zh-CN"/>
              </w:rPr>
            </w:pPr>
            <w:r>
              <w:rPr>
                <w:rFonts w:hint="eastAsia" w:cs="Courier New"/>
                <w:b w:val="0"/>
                <w:bCs w:val="0"/>
                <w:color w:val="auto"/>
                <w:highlight w:val="none"/>
                <w:lang w:val="en-US" w:eastAsia="zh-CN"/>
              </w:rPr>
              <w:t>1个10m</w:t>
            </w:r>
            <w:r>
              <w:rPr>
                <w:rFonts w:hint="eastAsia" w:cs="Courier New"/>
                <w:b w:val="0"/>
                <w:bCs w:val="0"/>
                <w:color w:val="auto"/>
                <w:highlight w:val="none"/>
                <w:vertAlign w:val="superscript"/>
                <w:lang w:val="en-US" w:eastAsia="zh-CN"/>
              </w:rPr>
              <w:t>3</w:t>
            </w:r>
          </w:p>
        </w:tc>
        <w:tc>
          <w:tcPr>
            <w:tcW w:w="655" w:type="pct"/>
            <w:shd w:val="clear" w:color="auto" w:fill="auto"/>
            <w:vAlign w:val="center"/>
          </w:tcPr>
          <w:p w14:paraId="7610DE3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596" w:type="pct"/>
            <w:shd w:val="clear" w:color="auto" w:fill="auto"/>
            <w:vAlign w:val="center"/>
          </w:tcPr>
          <w:p w14:paraId="43BEAFCC">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485.71</w:t>
            </w:r>
          </w:p>
        </w:tc>
        <w:tc>
          <w:tcPr>
            <w:tcW w:w="596" w:type="pct"/>
            <w:vAlign w:val="bottom"/>
          </w:tcPr>
          <w:p w14:paraId="6D1A4806">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27E4AF46">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604" w:type="pct"/>
            <w:shd w:val="clear" w:color="auto" w:fill="auto"/>
            <w:vAlign w:val="bottom"/>
          </w:tcPr>
          <w:p w14:paraId="4E7079DA">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0.0052 </w:t>
            </w:r>
          </w:p>
        </w:tc>
      </w:tr>
      <w:tr w14:paraId="5713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continue"/>
            <w:shd w:val="clear" w:color="auto" w:fill="auto"/>
            <w:vAlign w:val="center"/>
          </w:tcPr>
          <w:p w14:paraId="4CD28A7F">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649B1763">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1个10m</w:t>
            </w:r>
            <w:r>
              <w:rPr>
                <w:rFonts w:hint="eastAsia" w:cs="Courier New"/>
                <w:b w:val="0"/>
                <w:bCs w:val="0"/>
                <w:color w:val="auto"/>
                <w:highlight w:val="none"/>
                <w:vertAlign w:val="superscript"/>
                <w:lang w:val="en-US" w:eastAsia="zh-CN"/>
              </w:rPr>
              <w:t>3</w:t>
            </w:r>
          </w:p>
        </w:tc>
        <w:tc>
          <w:tcPr>
            <w:tcW w:w="655" w:type="pct"/>
            <w:shd w:val="clear" w:color="auto" w:fill="auto"/>
            <w:vAlign w:val="center"/>
          </w:tcPr>
          <w:p w14:paraId="3692975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596" w:type="pct"/>
            <w:shd w:val="clear" w:color="auto" w:fill="auto"/>
            <w:vAlign w:val="center"/>
          </w:tcPr>
          <w:p w14:paraId="20F4AE0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485.71</w:t>
            </w:r>
          </w:p>
        </w:tc>
        <w:tc>
          <w:tcPr>
            <w:tcW w:w="596" w:type="pct"/>
            <w:vAlign w:val="bottom"/>
          </w:tcPr>
          <w:p w14:paraId="27AFD571">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26E69880">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604" w:type="pct"/>
            <w:shd w:val="clear" w:color="auto" w:fill="auto"/>
            <w:vAlign w:val="bottom"/>
          </w:tcPr>
          <w:p w14:paraId="2E70B45C">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0.0052 </w:t>
            </w:r>
          </w:p>
        </w:tc>
      </w:tr>
      <w:tr w14:paraId="7275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102" w:type="pct"/>
            <w:vMerge w:val="continue"/>
            <w:shd w:val="clear" w:color="auto" w:fill="auto"/>
            <w:vAlign w:val="center"/>
          </w:tcPr>
          <w:p w14:paraId="622CAEEF">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7D83766E">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1个10m</w:t>
            </w:r>
            <w:r>
              <w:rPr>
                <w:rFonts w:hint="eastAsia" w:cs="Courier New"/>
                <w:b w:val="0"/>
                <w:bCs w:val="0"/>
                <w:color w:val="auto"/>
                <w:highlight w:val="none"/>
                <w:vertAlign w:val="superscript"/>
                <w:lang w:val="en-US" w:eastAsia="zh-CN"/>
              </w:rPr>
              <w:t>3</w:t>
            </w:r>
          </w:p>
        </w:tc>
        <w:tc>
          <w:tcPr>
            <w:tcW w:w="655" w:type="pct"/>
            <w:shd w:val="clear" w:color="auto" w:fill="auto"/>
            <w:vAlign w:val="center"/>
          </w:tcPr>
          <w:p w14:paraId="21277FD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98.078</w:t>
            </w:r>
          </w:p>
        </w:tc>
        <w:tc>
          <w:tcPr>
            <w:tcW w:w="596" w:type="pct"/>
            <w:shd w:val="clear" w:color="auto" w:fill="auto"/>
            <w:vAlign w:val="center"/>
          </w:tcPr>
          <w:p w14:paraId="00D2FB2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485.71</w:t>
            </w:r>
          </w:p>
        </w:tc>
        <w:tc>
          <w:tcPr>
            <w:tcW w:w="596" w:type="pct"/>
            <w:vAlign w:val="bottom"/>
          </w:tcPr>
          <w:p w14:paraId="0AFA5071">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47766BE6">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604" w:type="pct"/>
            <w:shd w:val="clear" w:color="auto" w:fill="auto"/>
            <w:vAlign w:val="bottom"/>
          </w:tcPr>
          <w:p w14:paraId="080285CE">
            <w:pPr>
              <w:pStyle w:val="24"/>
              <w:bidi w:val="0"/>
              <w:ind w:left="0" w:leftChars="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0.0052 </w:t>
            </w:r>
          </w:p>
        </w:tc>
      </w:tr>
      <w:tr w14:paraId="1823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102" w:type="pct"/>
            <w:vMerge w:val="restart"/>
            <w:shd w:val="clear" w:color="auto" w:fill="auto"/>
            <w:vAlign w:val="center"/>
          </w:tcPr>
          <w:p w14:paraId="10CC0F88">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氟硅酸计量罐</w:t>
            </w:r>
          </w:p>
        </w:tc>
        <w:tc>
          <w:tcPr>
            <w:tcW w:w="852" w:type="pct"/>
            <w:shd w:val="clear" w:color="auto" w:fill="auto"/>
            <w:vAlign w:val="center"/>
          </w:tcPr>
          <w:p w14:paraId="74EA931A">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6EC3172B">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596" w:type="pct"/>
            <w:shd w:val="clear" w:color="auto" w:fill="auto"/>
            <w:vAlign w:val="center"/>
          </w:tcPr>
          <w:p w14:paraId="13D4F3B8">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596" w:type="pct"/>
            <w:vAlign w:val="bottom"/>
          </w:tcPr>
          <w:p w14:paraId="48C6E3C5">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47DB4F27">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1134" w:type="dxa"/>
            <w:shd w:val="clear" w:color="auto" w:fill="auto"/>
            <w:vAlign w:val="bottom"/>
          </w:tcPr>
          <w:p w14:paraId="46F6BFAD">
            <w:pPr>
              <w:pStyle w:val="24"/>
              <w:bidi w:val="0"/>
              <w:ind w:left="0" w:leftChars="0"/>
              <w:jc w:val="center"/>
              <w:rPr>
                <w:rFonts w:hint="default"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 xml:space="preserve">0.0073 </w:t>
            </w:r>
          </w:p>
        </w:tc>
      </w:tr>
      <w:tr w14:paraId="210F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102" w:type="pct"/>
            <w:vMerge w:val="continue"/>
            <w:shd w:val="clear" w:color="auto" w:fill="auto"/>
            <w:vAlign w:val="center"/>
          </w:tcPr>
          <w:p w14:paraId="200E6A4D">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4A0337C6">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5EF86D47">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596" w:type="pct"/>
            <w:shd w:val="clear" w:color="auto" w:fill="auto"/>
            <w:vAlign w:val="center"/>
          </w:tcPr>
          <w:p w14:paraId="45C3C61D">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596" w:type="pct"/>
            <w:vAlign w:val="bottom"/>
          </w:tcPr>
          <w:p w14:paraId="02EA68BA">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1B24217D">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1134" w:type="dxa"/>
            <w:shd w:val="clear" w:color="auto" w:fill="auto"/>
            <w:vAlign w:val="bottom"/>
          </w:tcPr>
          <w:p w14:paraId="71EFDC65">
            <w:pPr>
              <w:pStyle w:val="24"/>
              <w:bidi w:val="0"/>
              <w:ind w:left="0" w:leftChars="0"/>
              <w:jc w:val="center"/>
              <w:rPr>
                <w:rFonts w:hint="default"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 xml:space="preserve">0.0073 </w:t>
            </w:r>
          </w:p>
        </w:tc>
      </w:tr>
      <w:tr w14:paraId="2697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102" w:type="pct"/>
            <w:vMerge w:val="continue"/>
            <w:shd w:val="clear" w:color="auto" w:fill="auto"/>
            <w:vAlign w:val="center"/>
          </w:tcPr>
          <w:p w14:paraId="7DFF891E">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7C581DCE">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04027295">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596" w:type="pct"/>
            <w:shd w:val="clear" w:color="auto" w:fill="auto"/>
            <w:vAlign w:val="center"/>
          </w:tcPr>
          <w:p w14:paraId="4C85F321">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596" w:type="pct"/>
            <w:vAlign w:val="bottom"/>
          </w:tcPr>
          <w:p w14:paraId="2E7F4C9E">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6ABA29B2">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1134" w:type="dxa"/>
            <w:shd w:val="clear" w:color="auto" w:fill="auto"/>
            <w:vAlign w:val="bottom"/>
          </w:tcPr>
          <w:p w14:paraId="78680E8C">
            <w:pPr>
              <w:pStyle w:val="24"/>
              <w:bidi w:val="0"/>
              <w:ind w:left="0" w:leftChars="0"/>
              <w:jc w:val="center"/>
              <w:rPr>
                <w:rFonts w:hint="default"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 xml:space="preserve">0.0073 </w:t>
            </w:r>
          </w:p>
        </w:tc>
      </w:tr>
      <w:tr w14:paraId="11F5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restart"/>
            <w:shd w:val="clear" w:color="auto" w:fill="auto"/>
            <w:vAlign w:val="center"/>
          </w:tcPr>
          <w:p w14:paraId="36DDB43F">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无碱速凝剂合成釜</w:t>
            </w:r>
          </w:p>
        </w:tc>
        <w:tc>
          <w:tcPr>
            <w:tcW w:w="852" w:type="pct"/>
            <w:shd w:val="clear" w:color="auto" w:fill="auto"/>
            <w:vAlign w:val="center"/>
          </w:tcPr>
          <w:p w14:paraId="63CA55DD">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1个20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40D81E8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596" w:type="pct"/>
            <w:shd w:val="clear" w:color="auto" w:fill="auto"/>
            <w:vAlign w:val="center"/>
          </w:tcPr>
          <w:p w14:paraId="12A96A1D">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596" w:type="pct"/>
            <w:vAlign w:val="bottom"/>
          </w:tcPr>
          <w:p w14:paraId="4BBAB796">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73C3089B">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1134" w:type="dxa"/>
            <w:shd w:val="clear" w:color="auto" w:fill="auto"/>
            <w:vAlign w:val="bottom"/>
          </w:tcPr>
          <w:p w14:paraId="25570A67">
            <w:pPr>
              <w:pStyle w:val="24"/>
              <w:bidi w:val="0"/>
              <w:ind w:left="0" w:leftChars="0"/>
              <w:jc w:val="center"/>
              <w:rPr>
                <w:rFonts w:hint="default"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 xml:space="preserve">0.0073 </w:t>
            </w:r>
          </w:p>
        </w:tc>
      </w:tr>
      <w:tr w14:paraId="6AAB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continue"/>
            <w:shd w:val="clear" w:color="auto" w:fill="auto"/>
            <w:vAlign w:val="center"/>
          </w:tcPr>
          <w:p w14:paraId="648D1320">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72573CFC">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1个20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3E9AF7F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596" w:type="pct"/>
            <w:shd w:val="clear" w:color="auto" w:fill="auto"/>
            <w:vAlign w:val="center"/>
          </w:tcPr>
          <w:p w14:paraId="2210251A">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596" w:type="pct"/>
            <w:vAlign w:val="bottom"/>
          </w:tcPr>
          <w:p w14:paraId="4878DB52">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32F07605">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1134" w:type="dxa"/>
            <w:shd w:val="clear" w:color="auto" w:fill="auto"/>
            <w:vAlign w:val="bottom"/>
          </w:tcPr>
          <w:p w14:paraId="4C40684A">
            <w:pPr>
              <w:pStyle w:val="24"/>
              <w:bidi w:val="0"/>
              <w:ind w:left="0" w:leftChars="0"/>
              <w:jc w:val="center"/>
              <w:rPr>
                <w:rFonts w:hint="default"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 xml:space="preserve">0.0073 </w:t>
            </w:r>
          </w:p>
        </w:tc>
      </w:tr>
      <w:tr w14:paraId="5303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1102" w:type="pct"/>
            <w:vMerge w:val="continue"/>
            <w:shd w:val="clear" w:color="auto" w:fill="auto"/>
            <w:vAlign w:val="center"/>
          </w:tcPr>
          <w:p w14:paraId="1A46FDE2">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852" w:type="pct"/>
            <w:shd w:val="clear" w:color="auto" w:fill="auto"/>
            <w:vAlign w:val="center"/>
          </w:tcPr>
          <w:p w14:paraId="239CC475">
            <w:pPr>
              <w:pStyle w:val="24"/>
              <w:bidi w:val="0"/>
              <w:ind w:left="0" w:leftChars="0"/>
              <w:jc w:val="center"/>
              <w:rPr>
                <w:rFonts w:hint="eastAsia" w:cs="Courier New"/>
                <w:b w:val="0"/>
                <w:bCs w:val="0"/>
                <w:color w:val="auto"/>
                <w:highlight w:val="none"/>
                <w:lang w:val="en-US" w:eastAsia="zh-CN"/>
              </w:rPr>
            </w:pPr>
            <w:r>
              <w:rPr>
                <w:rFonts w:hint="eastAsia" w:cs="Courier New"/>
                <w:b w:val="0"/>
                <w:bCs w:val="0"/>
                <w:color w:val="auto"/>
                <w:highlight w:val="none"/>
                <w:lang w:val="en-US" w:eastAsia="zh-CN"/>
              </w:rPr>
              <w:t>1个20</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709812F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20.008</w:t>
            </w:r>
          </w:p>
        </w:tc>
        <w:tc>
          <w:tcPr>
            <w:tcW w:w="596" w:type="pct"/>
            <w:shd w:val="clear" w:color="auto" w:fill="auto"/>
            <w:vAlign w:val="center"/>
          </w:tcPr>
          <w:p w14:paraId="53079F13">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3333.05</w:t>
            </w:r>
          </w:p>
        </w:tc>
        <w:tc>
          <w:tcPr>
            <w:tcW w:w="596" w:type="pct"/>
            <w:vAlign w:val="bottom"/>
          </w:tcPr>
          <w:p w14:paraId="122E22B9">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0.26</w:t>
            </w:r>
          </w:p>
        </w:tc>
        <w:tc>
          <w:tcPr>
            <w:tcW w:w="593" w:type="pct"/>
            <w:shd w:val="clear" w:color="auto" w:fill="auto"/>
            <w:vAlign w:val="bottom"/>
          </w:tcPr>
          <w:p w14:paraId="1D6546FA">
            <w:pPr>
              <w:pStyle w:val="24"/>
              <w:bidi w:val="0"/>
              <w:ind w:left="0" w:leftChars="0"/>
              <w:jc w:val="center"/>
              <w:rPr>
                <w:rFonts w:hint="eastAsia"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1</w:t>
            </w:r>
          </w:p>
        </w:tc>
        <w:tc>
          <w:tcPr>
            <w:tcW w:w="1134" w:type="dxa"/>
            <w:shd w:val="clear" w:color="auto" w:fill="auto"/>
            <w:vAlign w:val="bottom"/>
          </w:tcPr>
          <w:p w14:paraId="0A59B4C3">
            <w:pPr>
              <w:pStyle w:val="24"/>
              <w:bidi w:val="0"/>
              <w:ind w:left="0" w:leftChars="0"/>
              <w:jc w:val="center"/>
              <w:rPr>
                <w:rFonts w:hint="default" w:eastAsia="宋体" w:cs="Times New Roman"/>
                <w:b w:val="0"/>
                <w:bCs w:val="0"/>
                <w:color w:val="auto"/>
                <w:sz w:val="21"/>
                <w:szCs w:val="21"/>
                <w:highlight w:val="none"/>
                <w:lang w:val="en-US" w:eastAsia="zh-CN"/>
              </w:rPr>
            </w:pPr>
            <w:r>
              <w:rPr>
                <w:rFonts w:hint="default" w:eastAsia="宋体" w:cs="Times New Roman"/>
                <w:b w:val="0"/>
                <w:bCs w:val="0"/>
                <w:color w:val="auto"/>
                <w:sz w:val="21"/>
                <w:szCs w:val="21"/>
                <w:highlight w:val="none"/>
                <w:lang w:val="en-US" w:eastAsia="zh-CN"/>
              </w:rPr>
              <w:t xml:space="preserve">0.0073 </w:t>
            </w:r>
          </w:p>
        </w:tc>
      </w:tr>
      <w:tr w14:paraId="6725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02" w:type="pct"/>
            <w:vMerge w:val="restart"/>
            <w:shd w:val="clear" w:color="auto" w:fill="auto"/>
            <w:vAlign w:val="center"/>
          </w:tcPr>
          <w:p w14:paraId="5216BE8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乳化剂计量罐</w:t>
            </w:r>
          </w:p>
        </w:tc>
        <w:tc>
          <w:tcPr>
            <w:tcW w:w="852" w:type="pct"/>
            <w:shd w:val="clear" w:color="auto" w:fill="auto"/>
            <w:vAlign w:val="center"/>
          </w:tcPr>
          <w:p w14:paraId="0A2D6CFE">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6D83A1F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357</w:t>
            </w:r>
          </w:p>
        </w:tc>
        <w:tc>
          <w:tcPr>
            <w:tcW w:w="596" w:type="pct"/>
            <w:shd w:val="clear" w:color="auto" w:fill="auto"/>
            <w:vAlign w:val="center"/>
          </w:tcPr>
          <w:p w14:paraId="371A483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200</w:t>
            </w:r>
          </w:p>
        </w:tc>
        <w:tc>
          <w:tcPr>
            <w:tcW w:w="596" w:type="pct"/>
            <w:vAlign w:val="center"/>
          </w:tcPr>
          <w:p w14:paraId="773141CB">
            <w:pPr>
              <w:pStyle w:val="24"/>
              <w:bidi w:val="0"/>
              <w:ind w:left="0" w:leftChars="0"/>
              <w:jc w:val="center"/>
              <w:rPr>
                <w:rFonts w:hint="default"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73C7E70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w:t>
            </w:r>
          </w:p>
        </w:tc>
        <w:tc>
          <w:tcPr>
            <w:tcW w:w="604" w:type="pct"/>
            <w:shd w:val="clear" w:color="auto" w:fill="auto"/>
            <w:vAlign w:val="bottom"/>
          </w:tcPr>
          <w:p w14:paraId="5B475EE3">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0.0078 </w:t>
            </w:r>
          </w:p>
        </w:tc>
      </w:tr>
      <w:tr w14:paraId="6DBA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02" w:type="pct"/>
            <w:vMerge w:val="continue"/>
            <w:shd w:val="clear" w:color="auto" w:fill="auto"/>
            <w:vAlign w:val="center"/>
          </w:tcPr>
          <w:p w14:paraId="3385AF1F">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852" w:type="pct"/>
            <w:shd w:val="clear" w:color="auto" w:fill="auto"/>
            <w:vAlign w:val="center"/>
          </w:tcPr>
          <w:p w14:paraId="262BD12B">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1个2</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450E5B7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428.62</w:t>
            </w:r>
          </w:p>
        </w:tc>
        <w:tc>
          <w:tcPr>
            <w:tcW w:w="596" w:type="pct"/>
            <w:shd w:val="clear" w:color="auto" w:fill="auto"/>
            <w:vAlign w:val="center"/>
          </w:tcPr>
          <w:p w14:paraId="4AED721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130</w:t>
            </w:r>
          </w:p>
        </w:tc>
        <w:tc>
          <w:tcPr>
            <w:tcW w:w="596" w:type="pct"/>
            <w:vAlign w:val="center"/>
          </w:tcPr>
          <w:p w14:paraId="2963CE08">
            <w:pPr>
              <w:pStyle w:val="24"/>
              <w:bidi w:val="0"/>
              <w:ind w:left="0" w:leftChars="0"/>
              <w:jc w:val="center"/>
              <w:rPr>
                <w:rFonts w:hint="eastAsia"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6EC5385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w:t>
            </w:r>
          </w:p>
        </w:tc>
        <w:tc>
          <w:tcPr>
            <w:tcW w:w="604" w:type="pct"/>
            <w:shd w:val="clear" w:color="auto" w:fill="auto"/>
            <w:vAlign w:val="bottom"/>
          </w:tcPr>
          <w:p w14:paraId="15FFFFB3">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0.0061 </w:t>
            </w:r>
          </w:p>
        </w:tc>
      </w:tr>
      <w:tr w14:paraId="1D8F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02" w:type="pct"/>
            <w:shd w:val="clear" w:color="auto" w:fill="auto"/>
            <w:vAlign w:val="center"/>
          </w:tcPr>
          <w:p w14:paraId="04B8B652">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乳化油型复配罐</w:t>
            </w:r>
          </w:p>
        </w:tc>
        <w:tc>
          <w:tcPr>
            <w:tcW w:w="852" w:type="pct"/>
            <w:shd w:val="clear" w:color="auto" w:fill="auto"/>
            <w:vAlign w:val="center"/>
          </w:tcPr>
          <w:p w14:paraId="6E4BB914">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0C8B0D2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303</w:t>
            </w:r>
          </w:p>
        </w:tc>
        <w:tc>
          <w:tcPr>
            <w:tcW w:w="596" w:type="pct"/>
            <w:shd w:val="clear" w:color="auto" w:fill="auto"/>
            <w:vAlign w:val="center"/>
          </w:tcPr>
          <w:p w14:paraId="3D3E526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89</w:t>
            </w:r>
          </w:p>
        </w:tc>
        <w:tc>
          <w:tcPr>
            <w:tcW w:w="596" w:type="pct"/>
            <w:vAlign w:val="center"/>
          </w:tcPr>
          <w:p w14:paraId="01425056">
            <w:pPr>
              <w:pStyle w:val="24"/>
              <w:bidi w:val="0"/>
              <w:ind w:left="0" w:leftChars="0"/>
              <w:jc w:val="center"/>
              <w:rPr>
                <w:rFonts w:hint="eastAsia"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08D4D68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1.0</w:t>
            </w:r>
          </w:p>
        </w:tc>
        <w:tc>
          <w:tcPr>
            <w:tcW w:w="604" w:type="pct"/>
            <w:shd w:val="clear" w:color="auto" w:fill="auto"/>
            <w:vAlign w:val="bottom"/>
          </w:tcPr>
          <w:p w14:paraId="4D1A679C">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0.0029 </w:t>
            </w:r>
          </w:p>
        </w:tc>
      </w:tr>
      <w:tr w14:paraId="6554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02" w:type="pct"/>
            <w:shd w:val="clear" w:color="auto" w:fill="auto"/>
            <w:vAlign w:val="center"/>
          </w:tcPr>
          <w:p w14:paraId="100A4B82">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水乳型复配罐</w:t>
            </w:r>
          </w:p>
        </w:tc>
        <w:tc>
          <w:tcPr>
            <w:tcW w:w="852" w:type="pct"/>
            <w:shd w:val="clear" w:color="auto" w:fill="auto"/>
            <w:vAlign w:val="center"/>
          </w:tcPr>
          <w:p w14:paraId="586E40D8">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1个5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55" w:type="pct"/>
            <w:shd w:val="clear" w:color="auto" w:fill="auto"/>
            <w:vAlign w:val="center"/>
          </w:tcPr>
          <w:p w14:paraId="6F7A226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189</w:t>
            </w:r>
          </w:p>
        </w:tc>
        <w:tc>
          <w:tcPr>
            <w:tcW w:w="596" w:type="pct"/>
            <w:shd w:val="clear" w:color="auto" w:fill="auto"/>
            <w:vAlign w:val="center"/>
          </w:tcPr>
          <w:p w14:paraId="6E53E37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80</w:t>
            </w:r>
          </w:p>
        </w:tc>
        <w:tc>
          <w:tcPr>
            <w:tcW w:w="596" w:type="pct"/>
            <w:vAlign w:val="center"/>
          </w:tcPr>
          <w:p w14:paraId="32622553">
            <w:pPr>
              <w:pStyle w:val="24"/>
              <w:bidi w:val="0"/>
              <w:ind w:left="0" w:leftChars="0"/>
              <w:jc w:val="center"/>
              <w:rPr>
                <w:rFonts w:hint="eastAsia" w:ascii="Times New Roman" w:hAnsi="Times New Roman" w:eastAsia="宋体"/>
                <w:caps w:val="0"/>
                <w:smallCaps w:val="0"/>
                <w:color w:val="auto"/>
                <w:sz w:val="21"/>
                <w:szCs w:val="21"/>
                <w:highlight w:val="none"/>
                <w:lang w:val="en-US" w:eastAsia="zh-CN"/>
              </w:rPr>
            </w:pPr>
            <w:r>
              <w:rPr>
                <w:rFonts w:hint="eastAsia" w:cs="Courier New"/>
                <w:caps w:val="0"/>
                <w:smallCaps w:val="0"/>
                <w:color w:val="auto"/>
                <w:kern w:val="2"/>
                <w:sz w:val="21"/>
                <w:szCs w:val="21"/>
                <w:highlight w:val="none"/>
                <w:lang w:val="en-US" w:eastAsia="zh-CN" w:bidi="ar-SA"/>
              </w:rPr>
              <w:t>0.26</w:t>
            </w:r>
          </w:p>
        </w:tc>
        <w:tc>
          <w:tcPr>
            <w:tcW w:w="593" w:type="pct"/>
            <w:shd w:val="clear" w:color="auto" w:fill="auto"/>
            <w:vAlign w:val="center"/>
          </w:tcPr>
          <w:p w14:paraId="0D2252D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1.0</w:t>
            </w:r>
          </w:p>
        </w:tc>
        <w:tc>
          <w:tcPr>
            <w:tcW w:w="604" w:type="pct"/>
            <w:shd w:val="clear" w:color="auto" w:fill="auto"/>
            <w:vAlign w:val="bottom"/>
          </w:tcPr>
          <w:p w14:paraId="26AA159A">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0.0016 </w:t>
            </w:r>
          </w:p>
        </w:tc>
      </w:tr>
    </w:tbl>
    <w:p w14:paraId="2E624BE0">
      <w:pPr>
        <w:bidi w:val="0"/>
        <w:rPr>
          <w:rFonts w:hint="eastAsia"/>
          <w:color w:val="auto"/>
          <w:lang w:val="en-US" w:eastAsia="zh-CN"/>
        </w:rPr>
      </w:pPr>
      <w:r>
        <w:rPr>
          <w:rFonts w:hint="eastAsia"/>
          <w:color w:val="auto"/>
          <w:lang w:val="en-US" w:eastAsia="zh-CN"/>
        </w:rPr>
        <w:t>根据上表计算得出，本项目生产车间工艺罐体呼吸废气产生情况如下：</w:t>
      </w:r>
    </w:p>
    <w:p w14:paraId="505038DB">
      <w:pPr>
        <w:pStyle w:val="27"/>
        <w:numPr>
          <w:ilvl w:val="0"/>
          <w:numId w:val="20"/>
        </w:numPr>
        <w:bidi w:val="0"/>
        <w:ind w:left="425" w:leftChars="0" w:hanging="425" w:firstLine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生产车间各工艺罐体呼吸废气产生量</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2481"/>
        <w:gridCol w:w="700"/>
        <w:gridCol w:w="1112"/>
        <w:gridCol w:w="1314"/>
        <w:gridCol w:w="1504"/>
        <w:gridCol w:w="1361"/>
      </w:tblGrid>
      <w:tr w14:paraId="681C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542" w:type="pct"/>
            <w:vMerge w:val="restart"/>
            <w:shd w:val="clear" w:color="auto" w:fill="auto"/>
            <w:noWrap w:val="0"/>
            <w:vAlign w:val="center"/>
          </w:tcPr>
          <w:p w14:paraId="374B140E">
            <w:pPr>
              <w:pStyle w:val="24"/>
              <w:bidi w:val="0"/>
              <w:ind w:left="0" w:leftChars="0"/>
              <w:jc w:val="center"/>
              <w:rPr>
                <w:rFonts w:hint="eastAsia"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污染物名称</w:t>
            </w:r>
          </w:p>
        </w:tc>
        <w:tc>
          <w:tcPr>
            <w:tcW w:w="1305" w:type="pct"/>
            <w:vMerge w:val="restart"/>
            <w:shd w:val="clear" w:color="auto" w:fill="auto"/>
            <w:noWrap w:val="0"/>
            <w:vAlign w:val="center"/>
          </w:tcPr>
          <w:p w14:paraId="3DEDBB2D">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储罐</w:t>
            </w:r>
            <w:r>
              <w:rPr>
                <w:rFonts w:hint="eastAsia" w:eastAsia="宋体" w:cs="Times New Roman"/>
                <w:b/>
                <w:bCs/>
                <w:color w:val="auto"/>
                <w:sz w:val="21"/>
                <w:szCs w:val="21"/>
                <w:highlight w:val="none"/>
                <w:lang w:val="en-US" w:eastAsia="zh-CN"/>
              </w:rPr>
              <w:t>名称（个数）</w:t>
            </w:r>
          </w:p>
        </w:tc>
        <w:tc>
          <w:tcPr>
            <w:tcW w:w="368" w:type="pct"/>
            <w:vMerge w:val="restart"/>
            <w:shd w:val="clear" w:color="auto" w:fill="auto"/>
            <w:noWrap w:val="0"/>
            <w:vAlign w:val="center"/>
          </w:tcPr>
          <w:p w14:paraId="2019807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位置</w:t>
            </w:r>
          </w:p>
        </w:tc>
        <w:tc>
          <w:tcPr>
            <w:tcW w:w="2783" w:type="pct"/>
            <w:gridSpan w:val="4"/>
            <w:shd w:val="clear" w:color="auto" w:fill="auto"/>
            <w:noWrap w:val="0"/>
            <w:vAlign w:val="center"/>
          </w:tcPr>
          <w:p w14:paraId="62FA6588">
            <w:pPr>
              <w:pStyle w:val="24"/>
              <w:bidi w:val="0"/>
              <w:ind w:left="0" w:leftChars="0"/>
              <w:jc w:val="center"/>
              <w:rPr>
                <w:rFonts w:hint="eastAsia"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“大呼吸”损耗</w:t>
            </w:r>
            <w:r>
              <w:rPr>
                <w:rFonts w:hint="eastAsia" w:cs="Times New Roman"/>
                <w:b/>
                <w:bCs/>
                <w:color w:val="auto"/>
                <w:sz w:val="21"/>
                <w:szCs w:val="21"/>
                <w:highlight w:val="none"/>
                <w:lang w:val="en-US" w:eastAsia="zh-CN"/>
              </w:rPr>
              <w:t>产生量</w:t>
            </w:r>
          </w:p>
        </w:tc>
      </w:tr>
      <w:tr w14:paraId="25D2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noWrap w:val="0"/>
            <w:vAlign w:val="center"/>
          </w:tcPr>
          <w:p w14:paraId="591A871C">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1305" w:type="pct"/>
            <w:vMerge w:val="continue"/>
            <w:noWrap w:val="0"/>
            <w:vAlign w:val="center"/>
          </w:tcPr>
          <w:p w14:paraId="26757A21">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368" w:type="pct"/>
            <w:vMerge w:val="continue"/>
            <w:shd w:val="clear" w:color="auto" w:fill="auto"/>
            <w:noWrap w:val="0"/>
            <w:vAlign w:val="center"/>
          </w:tcPr>
          <w:p w14:paraId="1D05762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p>
        </w:tc>
        <w:tc>
          <w:tcPr>
            <w:tcW w:w="585" w:type="pct"/>
            <w:noWrap w:val="0"/>
            <w:vAlign w:val="center"/>
          </w:tcPr>
          <w:p w14:paraId="1880AF43">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Lw</w:t>
            </w:r>
          </w:p>
        </w:tc>
        <w:tc>
          <w:tcPr>
            <w:tcW w:w="691" w:type="pct"/>
            <w:noWrap w:val="0"/>
            <w:vAlign w:val="center"/>
          </w:tcPr>
          <w:p w14:paraId="02829295">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投入量（t/a）</w:t>
            </w:r>
          </w:p>
        </w:tc>
        <w:tc>
          <w:tcPr>
            <w:tcW w:w="791" w:type="pct"/>
            <w:noWrap w:val="0"/>
            <w:vAlign w:val="center"/>
          </w:tcPr>
          <w:p w14:paraId="6F237544">
            <w:pPr>
              <w:pStyle w:val="24"/>
              <w:bidi w:val="0"/>
              <w:ind w:left="0" w:leftChars="0"/>
              <w:jc w:val="center"/>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密度（g/cm</w:t>
            </w:r>
            <w:r>
              <w:rPr>
                <w:rFonts w:hint="eastAsia" w:cs="Times New Roman"/>
                <w:b/>
                <w:bCs/>
                <w:color w:val="auto"/>
                <w:sz w:val="21"/>
                <w:szCs w:val="21"/>
                <w:highlight w:val="none"/>
                <w:vertAlign w:val="superscript"/>
                <w:lang w:val="en-US" w:eastAsia="zh-CN"/>
              </w:rPr>
              <w:t>3</w:t>
            </w:r>
            <w:r>
              <w:rPr>
                <w:rFonts w:hint="eastAsia" w:cs="Times New Roman"/>
                <w:b/>
                <w:bCs/>
                <w:color w:val="auto"/>
                <w:sz w:val="21"/>
                <w:szCs w:val="21"/>
                <w:highlight w:val="none"/>
                <w:lang w:val="en-US" w:eastAsia="zh-CN"/>
              </w:rPr>
              <w:t>）</w:t>
            </w:r>
          </w:p>
        </w:tc>
        <w:tc>
          <w:tcPr>
            <w:tcW w:w="715" w:type="pct"/>
            <w:noWrap w:val="0"/>
            <w:vAlign w:val="center"/>
          </w:tcPr>
          <w:p w14:paraId="629DA2E7">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产生量（t/a）</w:t>
            </w:r>
          </w:p>
        </w:tc>
      </w:tr>
      <w:tr w14:paraId="0A02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restart"/>
            <w:shd w:val="clear" w:color="auto" w:fill="auto"/>
            <w:noWrap w:val="0"/>
            <w:vAlign w:val="center"/>
          </w:tcPr>
          <w:p w14:paraId="2DD2B106">
            <w:pPr>
              <w:pStyle w:val="24"/>
              <w:bidi w:val="0"/>
              <w:ind w:left="0" w:leftChars="0"/>
              <w:jc w:val="center"/>
              <w:rPr>
                <w:rFonts w:hint="default"/>
                <w:color w:val="auto"/>
                <w:sz w:val="21"/>
                <w:szCs w:val="21"/>
                <w:highlight w:val="none"/>
                <w:lang w:val="en-US" w:eastAsia="zh-CN"/>
              </w:rPr>
            </w:pPr>
            <w:r>
              <w:rPr>
                <w:rFonts w:hint="eastAsia"/>
                <w:color w:val="auto"/>
                <w:sz w:val="21"/>
                <w:szCs w:val="21"/>
                <w:highlight w:val="none"/>
                <w:lang w:val="en-US" w:eastAsia="zh-CN"/>
              </w:rPr>
              <w:t>硫酸雾</w:t>
            </w:r>
          </w:p>
        </w:tc>
        <w:tc>
          <w:tcPr>
            <w:tcW w:w="1305" w:type="pct"/>
            <w:vMerge w:val="restart"/>
            <w:shd w:val="clear" w:color="auto" w:fill="auto"/>
            <w:noWrap w:val="0"/>
            <w:vAlign w:val="center"/>
          </w:tcPr>
          <w:p w14:paraId="02FBB663">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硫酸滴加罐（3个）</w:t>
            </w:r>
          </w:p>
        </w:tc>
        <w:tc>
          <w:tcPr>
            <w:tcW w:w="368" w:type="pct"/>
            <w:vMerge w:val="restart"/>
            <w:shd w:val="clear" w:color="auto" w:fill="auto"/>
            <w:noWrap w:val="0"/>
            <w:vAlign w:val="center"/>
          </w:tcPr>
          <w:p w14:paraId="6C5BBFD0">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生产</w:t>
            </w:r>
          </w:p>
          <w:p w14:paraId="4A9A31C7">
            <w:pPr>
              <w:pStyle w:val="24"/>
              <w:bidi w:val="0"/>
              <w:ind w:left="0" w:leftChars="0"/>
              <w:jc w:val="center"/>
              <w:rPr>
                <w:rFonts w:hint="default" w:ascii="Times New Roman" w:hAnsi="Times New Roman" w:eastAsia="宋体" w:cs="Courier New"/>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车间</w:t>
            </w:r>
          </w:p>
        </w:tc>
        <w:tc>
          <w:tcPr>
            <w:tcW w:w="585" w:type="pct"/>
            <w:shd w:val="clear" w:color="auto" w:fill="auto"/>
            <w:noWrap w:val="0"/>
            <w:vAlign w:val="bottom"/>
          </w:tcPr>
          <w:p w14:paraId="2175067E">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1DB45580">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2236.4</w:t>
            </w:r>
          </w:p>
        </w:tc>
        <w:tc>
          <w:tcPr>
            <w:tcW w:w="791" w:type="pct"/>
            <w:shd w:val="clear" w:color="auto" w:fill="auto"/>
            <w:noWrap w:val="0"/>
            <w:vAlign w:val="bottom"/>
          </w:tcPr>
          <w:p w14:paraId="46A85A6F">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1.84</w:t>
            </w:r>
          </w:p>
        </w:tc>
        <w:tc>
          <w:tcPr>
            <w:tcW w:w="715" w:type="pct"/>
            <w:shd w:val="clear" w:color="auto" w:fill="auto"/>
            <w:noWrap w:val="0"/>
            <w:vAlign w:val="bottom"/>
          </w:tcPr>
          <w:p w14:paraId="46F23C31">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0.0063 </w:t>
            </w:r>
          </w:p>
        </w:tc>
      </w:tr>
      <w:tr w14:paraId="0735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42" w:type="pct"/>
            <w:vMerge w:val="continue"/>
            <w:shd w:val="clear" w:color="auto" w:fill="auto"/>
            <w:noWrap w:val="0"/>
            <w:vAlign w:val="center"/>
          </w:tcPr>
          <w:p w14:paraId="620269E9">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78498E71">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0630448D">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4A71E5B1">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782DEA6E">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2236.4</w:t>
            </w:r>
          </w:p>
        </w:tc>
        <w:tc>
          <w:tcPr>
            <w:tcW w:w="791" w:type="pct"/>
            <w:shd w:val="clear" w:color="auto" w:fill="auto"/>
            <w:noWrap w:val="0"/>
            <w:vAlign w:val="bottom"/>
          </w:tcPr>
          <w:p w14:paraId="6B2E153C">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1.84</w:t>
            </w:r>
          </w:p>
        </w:tc>
        <w:tc>
          <w:tcPr>
            <w:tcW w:w="715" w:type="pct"/>
            <w:shd w:val="clear" w:color="auto" w:fill="auto"/>
            <w:noWrap w:val="0"/>
            <w:vAlign w:val="bottom"/>
          </w:tcPr>
          <w:p w14:paraId="1E2C2B8D">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0.0063 </w:t>
            </w:r>
          </w:p>
        </w:tc>
      </w:tr>
      <w:tr w14:paraId="7AF5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6AACF70">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64F9F830">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6C8D5683">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0DB82668">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73FA8A02">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2236.4</w:t>
            </w:r>
          </w:p>
        </w:tc>
        <w:tc>
          <w:tcPr>
            <w:tcW w:w="791" w:type="pct"/>
            <w:shd w:val="clear" w:color="auto" w:fill="auto"/>
            <w:noWrap w:val="0"/>
            <w:vAlign w:val="bottom"/>
          </w:tcPr>
          <w:p w14:paraId="651C0794">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1.84</w:t>
            </w:r>
          </w:p>
        </w:tc>
        <w:tc>
          <w:tcPr>
            <w:tcW w:w="715" w:type="pct"/>
            <w:shd w:val="clear" w:color="auto" w:fill="auto"/>
            <w:noWrap w:val="0"/>
            <w:vAlign w:val="bottom"/>
          </w:tcPr>
          <w:p w14:paraId="622424FD">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0.0063 </w:t>
            </w:r>
          </w:p>
        </w:tc>
      </w:tr>
      <w:tr w14:paraId="0E7D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4008986">
            <w:pPr>
              <w:pStyle w:val="24"/>
              <w:bidi w:val="0"/>
              <w:ind w:left="0" w:leftChars="0"/>
              <w:jc w:val="center"/>
              <w:rPr>
                <w:rFonts w:hint="eastAsia"/>
                <w:color w:val="auto"/>
                <w:sz w:val="21"/>
                <w:szCs w:val="21"/>
                <w:highlight w:val="none"/>
                <w:lang w:val="en-US" w:eastAsia="zh-CN"/>
              </w:rPr>
            </w:pPr>
          </w:p>
        </w:tc>
        <w:tc>
          <w:tcPr>
            <w:tcW w:w="1305" w:type="pct"/>
            <w:vMerge w:val="restart"/>
            <w:shd w:val="clear" w:color="auto" w:fill="auto"/>
            <w:noWrap w:val="0"/>
            <w:vAlign w:val="center"/>
          </w:tcPr>
          <w:p w14:paraId="2A509711">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硫酸铝反应釜（3个）</w:t>
            </w:r>
          </w:p>
        </w:tc>
        <w:tc>
          <w:tcPr>
            <w:tcW w:w="368" w:type="pct"/>
            <w:vMerge w:val="continue"/>
            <w:shd w:val="clear" w:color="auto" w:fill="auto"/>
            <w:noWrap w:val="0"/>
            <w:vAlign w:val="center"/>
          </w:tcPr>
          <w:p w14:paraId="4B159BB4">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6A67558D">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157E637B">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2236.4</w:t>
            </w:r>
          </w:p>
        </w:tc>
        <w:tc>
          <w:tcPr>
            <w:tcW w:w="791" w:type="pct"/>
            <w:shd w:val="clear" w:color="auto" w:fill="auto"/>
            <w:noWrap w:val="0"/>
            <w:vAlign w:val="bottom"/>
          </w:tcPr>
          <w:p w14:paraId="59D252D5">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1.84</w:t>
            </w:r>
          </w:p>
        </w:tc>
        <w:tc>
          <w:tcPr>
            <w:tcW w:w="715" w:type="pct"/>
            <w:shd w:val="clear" w:color="auto" w:fill="auto"/>
            <w:noWrap w:val="0"/>
            <w:vAlign w:val="bottom"/>
          </w:tcPr>
          <w:p w14:paraId="222954B2">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0.0063 </w:t>
            </w:r>
          </w:p>
        </w:tc>
      </w:tr>
      <w:tr w14:paraId="7E3E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3EFD1E61">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4D14A148">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3F43BB17">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3568541E">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4AD9DD31">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2236.4</w:t>
            </w:r>
          </w:p>
        </w:tc>
        <w:tc>
          <w:tcPr>
            <w:tcW w:w="791" w:type="pct"/>
            <w:shd w:val="clear" w:color="auto" w:fill="auto"/>
            <w:noWrap w:val="0"/>
            <w:vAlign w:val="bottom"/>
          </w:tcPr>
          <w:p w14:paraId="77B68C8F">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1.84</w:t>
            </w:r>
          </w:p>
        </w:tc>
        <w:tc>
          <w:tcPr>
            <w:tcW w:w="715" w:type="pct"/>
            <w:shd w:val="clear" w:color="auto" w:fill="auto"/>
            <w:noWrap w:val="0"/>
            <w:vAlign w:val="bottom"/>
          </w:tcPr>
          <w:p w14:paraId="3108E872">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0.0063 </w:t>
            </w:r>
          </w:p>
        </w:tc>
      </w:tr>
      <w:tr w14:paraId="4E28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721BF30C">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2923E46E">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357F960A">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577AF6FE">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5BC46866">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2236.4</w:t>
            </w:r>
          </w:p>
        </w:tc>
        <w:tc>
          <w:tcPr>
            <w:tcW w:w="791" w:type="pct"/>
            <w:shd w:val="clear" w:color="auto" w:fill="auto"/>
            <w:noWrap w:val="0"/>
            <w:vAlign w:val="bottom"/>
          </w:tcPr>
          <w:p w14:paraId="276CF559">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1.84</w:t>
            </w:r>
          </w:p>
        </w:tc>
        <w:tc>
          <w:tcPr>
            <w:tcW w:w="715" w:type="pct"/>
            <w:shd w:val="clear" w:color="auto" w:fill="auto"/>
            <w:noWrap w:val="0"/>
            <w:vAlign w:val="bottom"/>
          </w:tcPr>
          <w:p w14:paraId="126CE09D">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0.0063 </w:t>
            </w:r>
          </w:p>
        </w:tc>
      </w:tr>
      <w:tr w14:paraId="7A76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4878A22A">
            <w:pPr>
              <w:pStyle w:val="24"/>
              <w:bidi w:val="0"/>
              <w:ind w:left="0" w:leftChars="0"/>
              <w:jc w:val="center"/>
              <w:rPr>
                <w:rFonts w:hint="eastAsia"/>
                <w:color w:val="auto"/>
                <w:sz w:val="21"/>
                <w:szCs w:val="21"/>
                <w:highlight w:val="none"/>
                <w:lang w:val="en-US" w:eastAsia="zh-CN"/>
              </w:rPr>
            </w:pPr>
          </w:p>
        </w:tc>
        <w:tc>
          <w:tcPr>
            <w:tcW w:w="1305" w:type="pct"/>
            <w:shd w:val="clear" w:color="auto" w:fill="auto"/>
            <w:noWrap w:val="0"/>
            <w:vAlign w:val="center"/>
          </w:tcPr>
          <w:p w14:paraId="5C6E7DAA">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合计</w:t>
            </w:r>
          </w:p>
        </w:tc>
        <w:tc>
          <w:tcPr>
            <w:tcW w:w="368" w:type="pct"/>
            <w:vMerge w:val="continue"/>
            <w:shd w:val="clear" w:color="auto" w:fill="auto"/>
            <w:noWrap w:val="0"/>
            <w:vAlign w:val="center"/>
          </w:tcPr>
          <w:p w14:paraId="7CBE9E81">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center"/>
          </w:tcPr>
          <w:p w14:paraId="4493F69D">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w:t>
            </w:r>
          </w:p>
        </w:tc>
        <w:tc>
          <w:tcPr>
            <w:tcW w:w="691" w:type="pct"/>
            <w:shd w:val="clear" w:color="auto" w:fill="auto"/>
            <w:noWrap w:val="0"/>
            <w:vAlign w:val="center"/>
          </w:tcPr>
          <w:p w14:paraId="618A6160">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w:t>
            </w:r>
          </w:p>
        </w:tc>
        <w:tc>
          <w:tcPr>
            <w:tcW w:w="791" w:type="pct"/>
            <w:shd w:val="clear" w:color="auto" w:fill="auto"/>
            <w:noWrap w:val="0"/>
            <w:vAlign w:val="center"/>
          </w:tcPr>
          <w:p w14:paraId="7348A28D">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w:t>
            </w:r>
          </w:p>
        </w:tc>
        <w:tc>
          <w:tcPr>
            <w:tcW w:w="715" w:type="pct"/>
            <w:shd w:val="clear" w:color="auto" w:fill="auto"/>
            <w:noWrap w:val="0"/>
            <w:vAlign w:val="bottom"/>
          </w:tcPr>
          <w:p w14:paraId="01B895B0">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0.0379</w:t>
            </w:r>
          </w:p>
        </w:tc>
      </w:tr>
      <w:tr w14:paraId="3020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restart"/>
            <w:shd w:val="clear" w:color="auto" w:fill="auto"/>
            <w:noWrap w:val="0"/>
            <w:vAlign w:val="center"/>
          </w:tcPr>
          <w:p w14:paraId="67BC6428">
            <w:pPr>
              <w:pStyle w:val="24"/>
              <w:bidi w:val="0"/>
              <w:ind w:left="0" w:leftChars="0"/>
              <w:jc w:val="center"/>
              <w:rPr>
                <w:rFonts w:hint="default"/>
                <w:color w:val="auto"/>
                <w:sz w:val="21"/>
                <w:szCs w:val="21"/>
                <w:highlight w:val="none"/>
                <w:lang w:val="en-US" w:eastAsia="zh-CN"/>
              </w:rPr>
            </w:pPr>
            <w:r>
              <w:rPr>
                <w:rFonts w:hint="eastAsia"/>
                <w:color w:val="auto"/>
                <w:sz w:val="21"/>
                <w:szCs w:val="21"/>
                <w:highlight w:val="none"/>
                <w:lang w:val="en-US" w:eastAsia="zh-CN"/>
              </w:rPr>
              <w:t>氟化物</w:t>
            </w:r>
          </w:p>
        </w:tc>
        <w:tc>
          <w:tcPr>
            <w:tcW w:w="1305" w:type="pct"/>
            <w:vMerge w:val="restart"/>
            <w:shd w:val="clear" w:color="auto" w:fill="auto"/>
            <w:noWrap w:val="0"/>
            <w:vAlign w:val="center"/>
          </w:tcPr>
          <w:p w14:paraId="0EC8DD1B">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氟硅酸计量罐（3个）</w:t>
            </w:r>
          </w:p>
        </w:tc>
        <w:tc>
          <w:tcPr>
            <w:tcW w:w="368" w:type="pct"/>
            <w:vMerge w:val="continue"/>
            <w:shd w:val="clear" w:color="auto" w:fill="auto"/>
            <w:noWrap w:val="0"/>
            <w:vAlign w:val="center"/>
          </w:tcPr>
          <w:p w14:paraId="792AC7BC">
            <w:pPr>
              <w:pStyle w:val="24"/>
              <w:bidi w:val="0"/>
              <w:ind w:left="0" w:leftChars="0"/>
              <w:jc w:val="center"/>
              <w:rPr>
                <w:rFonts w:hint="eastAsia" w:cs="Times New Roman"/>
                <w:b w:val="0"/>
                <w:bCs w:val="0"/>
                <w:color w:val="auto"/>
                <w:sz w:val="21"/>
                <w:szCs w:val="21"/>
                <w:highlight w:val="none"/>
                <w:lang w:val="en-US" w:eastAsia="zh-CN"/>
              </w:rPr>
            </w:pPr>
          </w:p>
        </w:tc>
        <w:tc>
          <w:tcPr>
            <w:tcW w:w="1112" w:type="dxa"/>
            <w:shd w:val="clear" w:color="auto" w:fill="auto"/>
            <w:noWrap w:val="0"/>
            <w:vAlign w:val="bottom"/>
          </w:tcPr>
          <w:p w14:paraId="56F05956">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0.0073 </w:t>
            </w:r>
          </w:p>
        </w:tc>
        <w:tc>
          <w:tcPr>
            <w:tcW w:w="1314" w:type="dxa"/>
            <w:shd w:val="clear" w:color="auto" w:fill="auto"/>
            <w:noWrap w:val="0"/>
            <w:vAlign w:val="bottom"/>
          </w:tcPr>
          <w:p w14:paraId="2B762409">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2666.67</w:t>
            </w:r>
          </w:p>
        </w:tc>
        <w:tc>
          <w:tcPr>
            <w:tcW w:w="1504" w:type="dxa"/>
            <w:shd w:val="clear" w:color="auto" w:fill="auto"/>
            <w:noWrap w:val="0"/>
            <w:vAlign w:val="bottom"/>
          </w:tcPr>
          <w:p w14:paraId="563F40FE">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1.32</w:t>
            </w:r>
          </w:p>
        </w:tc>
        <w:tc>
          <w:tcPr>
            <w:tcW w:w="1360" w:type="dxa"/>
            <w:shd w:val="clear" w:color="auto" w:fill="auto"/>
            <w:noWrap w:val="0"/>
            <w:vAlign w:val="bottom"/>
          </w:tcPr>
          <w:p w14:paraId="69F28A36">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0.0147 </w:t>
            </w:r>
          </w:p>
        </w:tc>
      </w:tr>
      <w:tr w14:paraId="41DC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8537D81">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16048454">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41DA9C07">
            <w:pPr>
              <w:pStyle w:val="24"/>
              <w:bidi w:val="0"/>
              <w:ind w:left="0" w:leftChars="0"/>
              <w:jc w:val="center"/>
              <w:rPr>
                <w:rFonts w:hint="eastAsia" w:cs="Times New Roman"/>
                <w:b w:val="0"/>
                <w:bCs w:val="0"/>
                <w:color w:val="auto"/>
                <w:sz w:val="21"/>
                <w:szCs w:val="21"/>
                <w:highlight w:val="none"/>
                <w:lang w:val="en-US" w:eastAsia="zh-CN"/>
              </w:rPr>
            </w:pPr>
          </w:p>
        </w:tc>
        <w:tc>
          <w:tcPr>
            <w:tcW w:w="1112" w:type="dxa"/>
            <w:shd w:val="clear" w:color="auto" w:fill="auto"/>
            <w:noWrap w:val="0"/>
            <w:vAlign w:val="bottom"/>
          </w:tcPr>
          <w:p w14:paraId="25A8C41D">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0.0073 </w:t>
            </w:r>
          </w:p>
        </w:tc>
        <w:tc>
          <w:tcPr>
            <w:tcW w:w="1314" w:type="dxa"/>
            <w:shd w:val="clear" w:color="auto" w:fill="auto"/>
            <w:noWrap w:val="0"/>
            <w:vAlign w:val="bottom"/>
          </w:tcPr>
          <w:p w14:paraId="27D17929">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2666.67</w:t>
            </w:r>
          </w:p>
        </w:tc>
        <w:tc>
          <w:tcPr>
            <w:tcW w:w="1504" w:type="dxa"/>
            <w:shd w:val="clear" w:color="auto" w:fill="auto"/>
            <w:noWrap w:val="0"/>
            <w:vAlign w:val="bottom"/>
          </w:tcPr>
          <w:p w14:paraId="7FA05176">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1.32</w:t>
            </w:r>
          </w:p>
        </w:tc>
        <w:tc>
          <w:tcPr>
            <w:tcW w:w="1360" w:type="dxa"/>
            <w:shd w:val="clear" w:color="auto" w:fill="auto"/>
            <w:noWrap w:val="0"/>
            <w:vAlign w:val="bottom"/>
          </w:tcPr>
          <w:p w14:paraId="0D91E4D2">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0.0147 </w:t>
            </w:r>
          </w:p>
        </w:tc>
      </w:tr>
      <w:tr w14:paraId="4CA0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7B386C4C">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54721343">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7BCA5851">
            <w:pPr>
              <w:pStyle w:val="24"/>
              <w:bidi w:val="0"/>
              <w:ind w:left="0" w:leftChars="0"/>
              <w:jc w:val="center"/>
              <w:rPr>
                <w:rFonts w:hint="eastAsia" w:cs="Times New Roman"/>
                <w:b w:val="0"/>
                <w:bCs w:val="0"/>
                <w:color w:val="auto"/>
                <w:sz w:val="21"/>
                <w:szCs w:val="21"/>
                <w:highlight w:val="none"/>
                <w:lang w:val="en-US" w:eastAsia="zh-CN"/>
              </w:rPr>
            </w:pPr>
          </w:p>
        </w:tc>
        <w:tc>
          <w:tcPr>
            <w:tcW w:w="1112" w:type="dxa"/>
            <w:shd w:val="clear" w:color="auto" w:fill="auto"/>
            <w:noWrap w:val="0"/>
            <w:vAlign w:val="bottom"/>
          </w:tcPr>
          <w:p w14:paraId="7068CF9D">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0.0073 </w:t>
            </w:r>
          </w:p>
        </w:tc>
        <w:tc>
          <w:tcPr>
            <w:tcW w:w="1314" w:type="dxa"/>
            <w:shd w:val="clear" w:color="auto" w:fill="auto"/>
            <w:noWrap w:val="0"/>
            <w:vAlign w:val="bottom"/>
          </w:tcPr>
          <w:p w14:paraId="63DDA94F">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2666.67</w:t>
            </w:r>
          </w:p>
        </w:tc>
        <w:tc>
          <w:tcPr>
            <w:tcW w:w="1504" w:type="dxa"/>
            <w:shd w:val="clear" w:color="auto" w:fill="auto"/>
            <w:noWrap w:val="0"/>
            <w:vAlign w:val="bottom"/>
          </w:tcPr>
          <w:p w14:paraId="266F4D4C">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1.32</w:t>
            </w:r>
          </w:p>
        </w:tc>
        <w:tc>
          <w:tcPr>
            <w:tcW w:w="1360" w:type="dxa"/>
            <w:shd w:val="clear" w:color="auto" w:fill="auto"/>
            <w:noWrap w:val="0"/>
            <w:vAlign w:val="bottom"/>
          </w:tcPr>
          <w:p w14:paraId="2994867A">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0.0147 </w:t>
            </w:r>
          </w:p>
        </w:tc>
      </w:tr>
      <w:tr w14:paraId="7233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4650AF2">
            <w:pPr>
              <w:pStyle w:val="24"/>
              <w:bidi w:val="0"/>
              <w:ind w:left="0" w:leftChars="0"/>
              <w:jc w:val="center"/>
              <w:rPr>
                <w:rFonts w:hint="eastAsia"/>
                <w:color w:val="auto"/>
                <w:sz w:val="21"/>
                <w:szCs w:val="21"/>
                <w:highlight w:val="none"/>
                <w:lang w:val="en-US" w:eastAsia="zh-CN"/>
              </w:rPr>
            </w:pPr>
          </w:p>
        </w:tc>
        <w:tc>
          <w:tcPr>
            <w:tcW w:w="1305" w:type="pct"/>
            <w:vMerge w:val="restart"/>
            <w:shd w:val="clear" w:color="auto" w:fill="auto"/>
            <w:noWrap w:val="0"/>
            <w:vAlign w:val="center"/>
          </w:tcPr>
          <w:p w14:paraId="1E4BADCA">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无碱速凝剂合成釜（3个）</w:t>
            </w:r>
          </w:p>
        </w:tc>
        <w:tc>
          <w:tcPr>
            <w:tcW w:w="368" w:type="pct"/>
            <w:vMerge w:val="continue"/>
            <w:shd w:val="clear" w:color="auto" w:fill="auto"/>
            <w:noWrap w:val="0"/>
            <w:vAlign w:val="center"/>
          </w:tcPr>
          <w:p w14:paraId="048A034C">
            <w:pPr>
              <w:pStyle w:val="24"/>
              <w:bidi w:val="0"/>
              <w:ind w:left="0" w:leftChars="0"/>
              <w:jc w:val="center"/>
              <w:rPr>
                <w:rFonts w:hint="eastAsia" w:cs="Times New Roman"/>
                <w:b w:val="0"/>
                <w:bCs w:val="0"/>
                <w:color w:val="auto"/>
                <w:sz w:val="21"/>
                <w:szCs w:val="21"/>
                <w:highlight w:val="none"/>
                <w:lang w:val="en-US" w:eastAsia="zh-CN"/>
              </w:rPr>
            </w:pPr>
          </w:p>
        </w:tc>
        <w:tc>
          <w:tcPr>
            <w:tcW w:w="1112" w:type="dxa"/>
            <w:shd w:val="clear" w:color="auto" w:fill="auto"/>
            <w:noWrap w:val="0"/>
            <w:vAlign w:val="bottom"/>
          </w:tcPr>
          <w:p w14:paraId="07DEABA2">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0.0073 </w:t>
            </w:r>
          </w:p>
        </w:tc>
        <w:tc>
          <w:tcPr>
            <w:tcW w:w="1314" w:type="dxa"/>
            <w:shd w:val="clear" w:color="auto" w:fill="auto"/>
            <w:noWrap w:val="0"/>
            <w:vAlign w:val="bottom"/>
          </w:tcPr>
          <w:p w14:paraId="37F56664">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2666.67</w:t>
            </w:r>
          </w:p>
        </w:tc>
        <w:tc>
          <w:tcPr>
            <w:tcW w:w="1504" w:type="dxa"/>
            <w:shd w:val="clear" w:color="auto" w:fill="auto"/>
            <w:noWrap w:val="0"/>
            <w:vAlign w:val="bottom"/>
          </w:tcPr>
          <w:p w14:paraId="3A9EF1D1">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1.32</w:t>
            </w:r>
          </w:p>
        </w:tc>
        <w:tc>
          <w:tcPr>
            <w:tcW w:w="1360" w:type="dxa"/>
            <w:shd w:val="clear" w:color="auto" w:fill="auto"/>
            <w:noWrap w:val="0"/>
            <w:vAlign w:val="bottom"/>
          </w:tcPr>
          <w:p w14:paraId="40270547">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0.0147 </w:t>
            </w:r>
          </w:p>
        </w:tc>
      </w:tr>
      <w:tr w14:paraId="777C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2D7C6238">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21950A2E">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45075BA4">
            <w:pPr>
              <w:pStyle w:val="24"/>
              <w:bidi w:val="0"/>
              <w:ind w:left="0" w:leftChars="0"/>
              <w:jc w:val="center"/>
              <w:rPr>
                <w:rFonts w:hint="eastAsia" w:cs="Times New Roman"/>
                <w:b w:val="0"/>
                <w:bCs w:val="0"/>
                <w:color w:val="auto"/>
                <w:sz w:val="21"/>
                <w:szCs w:val="21"/>
                <w:highlight w:val="none"/>
                <w:lang w:val="en-US" w:eastAsia="zh-CN"/>
              </w:rPr>
            </w:pPr>
          </w:p>
        </w:tc>
        <w:tc>
          <w:tcPr>
            <w:tcW w:w="1112" w:type="dxa"/>
            <w:shd w:val="clear" w:color="auto" w:fill="auto"/>
            <w:noWrap w:val="0"/>
            <w:vAlign w:val="bottom"/>
          </w:tcPr>
          <w:p w14:paraId="67464066">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0.0073 </w:t>
            </w:r>
          </w:p>
        </w:tc>
        <w:tc>
          <w:tcPr>
            <w:tcW w:w="1314" w:type="dxa"/>
            <w:shd w:val="clear" w:color="auto" w:fill="auto"/>
            <w:noWrap w:val="0"/>
            <w:vAlign w:val="bottom"/>
          </w:tcPr>
          <w:p w14:paraId="4D8F7442">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2666.67</w:t>
            </w:r>
          </w:p>
        </w:tc>
        <w:tc>
          <w:tcPr>
            <w:tcW w:w="1504" w:type="dxa"/>
            <w:shd w:val="clear" w:color="auto" w:fill="auto"/>
            <w:noWrap w:val="0"/>
            <w:vAlign w:val="bottom"/>
          </w:tcPr>
          <w:p w14:paraId="1F7A6160">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1.32</w:t>
            </w:r>
          </w:p>
        </w:tc>
        <w:tc>
          <w:tcPr>
            <w:tcW w:w="1360" w:type="dxa"/>
            <w:shd w:val="clear" w:color="auto" w:fill="auto"/>
            <w:noWrap w:val="0"/>
            <w:vAlign w:val="bottom"/>
          </w:tcPr>
          <w:p w14:paraId="007586A1">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0.0147 </w:t>
            </w:r>
          </w:p>
        </w:tc>
      </w:tr>
      <w:tr w14:paraId="29D9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6A07F25">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1D7069CF">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368" w:type="pct"/>
            <w:vMerge w:val="continue"/>
            <w:shd w:val="clear" w:color="auto" w:fill="auto"/>
            <w:noWrap w:val="0"/>
            <w:vAlign w:val="center"/>
          </w:tcPr>
          <w:p w14:paraId="015D64AA">
            <w:pPr>
              <w:pStyle w:val="24"/>
              <w:bidi w:val="0"/>
              <w:ind w:left="0" w:leftChars="0"/>
              <w:jc w:val="center"/>
              <w:rPr>
                <w:rFonts w:hint="eastAsia" w:cs="Times New Roman"/>
                <w:b w:val="0"/>
                <w:bCs w:val="0"/>
                <w:color w:val="auto"/>
                <w:sz w:val="21"/>
                <w:szCs w:val="21"/>
                <w:highlight w:val="none"/>
                <w:lang w:val="en-US" w:eastAsia="zh-CN"/>
              </w:rPr>
            </w:pPr>
          </w:p>
        </w:tc>
        <w:tc>
          <w:tcPr>
            <w:tcW w:w="1112" w:type="dxa"/>
            <w:shd w:val="clear" w:color="auto" w:fill="auto"/>
            <w:noWrap w:val="0"/>
            <w:vAlign w:val="bottom"/>
          </w:tcPr>
          <w:p w14:paraId="41EB76E2">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0.0073 </w:t>
            </w:r>
          </w:p>
        </w:tc>
        <w:tc>
          <w:tcPr>
            <w:tcW w:w="1314" w:type="dxa"/>
            <w:shd w:val="clear" w:color="auto" w:fill="auto"/>
            <w:noWrap w:val="0"/>
            <w:vAlign w:val="bottom"/>
          </w:tcPr>
          <w:p w14:paraId="4CD4F035">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2666.67</w:t>
            </w:r>
          </w:p>
        </w:tc>
        <w:tc>
          <w:tcPr>
            <w:tcW w:w="1504" w:type="dxa"/>
            <w:shd w:val="clear" w:color="auto" w:fill="auto"/>
            <w:noWrap w:val="0"/>
            <w:vAlign w:val="bottom"/>
          </w:tcPr>
          <w:p w14:paraId="10097264">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1.32</w:t>
            </w:r>
          </w:p>
        </w:tc>
        <w:tc>
          <w:tcPr>
            <w:tcW w:w="1360" w:type="dxa"/>
            <w:shd w:val="clear" w:color="auto" w:fill="auto"/>
            <w:noWrap w:val="0"/>
            <w:vAlign w:val="bottom"/>
          </w:tcPr>
          <w:p w14:paraId="775F1648">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0.0147 </w:t>
            </w:r>
          </w:p>
        </w:tc>
      </w:tr>
      <w:tr w14:paraId="1355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762E7168">
            <w:pPr>
              <w:pStyle w:val="24"/>
              <w:bidi w:val="0"/>
              <w:ind w:left="0" w:leftChars="0"/>
              <w:jc w:val="center"/>
              <w:rPr>
                <w:rFonts w:hint="eastAsia"/>
                <w:color w:val="auto"/>
                <w:sz w:val="21"/>
                <w:szCs w:val="21"/>
                <w:highlight w:val="none"/>
                <w:lang w:val="en-US" w:eastAsia="zh-CN"/>
              </w:rPr>
            </w:pPr>
          </w:p>
        </w:tc>
        <w:tc>
          <w:tcPr>
            <w:tcW w:w="1305" w:type="pct"/>
            <w:shd w:val="clear" w:color="auto" w:fill="auto"/>
            <w:noWrap w:val="0"/>
            <w:vAlign w:val="center"/>
          </w:tcPr>
          <w:p w14:paraId="11B03CDD">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合计</w:t>
            </w:r>
          </w:p>
        </w:tc>
        <w:tc>
          <w:tcPr>
            <w:tcW w:w="368" w:type="pct"/>
            <w:vMerge w:val="continue"/>
            <w:shd w:val="clear" w:color="auto" w:fill="auto"/>
            <w:noWrap w:val="0"/>
            <w:vAlign w:val="center"/>
          </w:tcPr>
          <w:p w14:paraId="0994C0F3">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center"/>
          </w:tcPr>
          <w:p w14:paraId="2B2F0873">
            <w:pPr>
              <w:pStyle w:val="24"/>
              <w:bidi w:val="0"/>
              <w:ind w:left="0" w:leftChars="0"/>
              <w:jc w:val="center"/>
              <w:rPr>
                <w:rFonts w:hint="default"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w:t>
            </w:r>
          </w:p>
        </w:tc>
        <w:tc>
          <w:tcPr>
            <w:tcW w:w="691" w:type="pct"/>
            <w:shd w:val="clear" w:color="auto" w:fill="auto"/>
            <w:noWrap w:val="0"/>
            <w:vAlign w:val="center"/>
          </w:tcPr>
          <w:p w14:paraId="07B43BFF">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w:t>
            </w:r>
          </w:p>
        </w:tc>
        <w:tc>
          <w:tcPr>
            <w:tcW w:w="791" w:type="pct"/>
            <w:shd w:val="clear" w:color="auto" w:fill="auto"/>
            <w:noWrap w:val="0"/>
            <w:vAlign w:val="center"/>
          </w:tcPr>
          <w:p w14:paraId="353C2B92">
            <w:pPr>
              <w:pStyle w:val="24"/>
              <w:bidi w:val="0"/>
              <w:ind w:left="0" w:leftChars="0"/>
              <w:jc w:val="center"/>
              <w:rPr>
                <w:rFonts w:hint="eastAsia" w:cs="Courier New"/>
                <w:caps w:val="0"/>
                <w:smallCaps w:val="0"/>
                <w:color w:val="auto"/>
                <w:kern w:val="2"/>
                <w:sz w:val="21"/>
                <w:szCs w:val="21"/>
                <w:highlight w:val="none"/>
                <w:lang w:val="en-US" w:eastAsia="zh-CN" w:bidi="ar-SA"/>
              </w:rPr>
            </w:pPr>
            <w:r>
              <w:rPr>
                <w:rFonts w:hint="eastAsia" w:cs="Courier New"/>
                <w:caps w:val="0"/>
                <w:smallCaps w:val="0"/>
                <w:color w:val="auto"/>
                <w:kern w:val="2"/>
                <w:sz w:val="21"/>
                <w:szCs w:val="21"/>
                <w:highlight w:val="none"/>
                <w:lang w:val="en-US" w:eastAsia="zh-CN" w:bidi="ar-SA"/>
              </w:rPr>
              <w:t>/</w:t>
            </w:r>
          </w:p>
        </w:tc>
        <w:tc>
          <w:tcPr>
            <w:tcW w:w="1361" w:type="dxa"/>
            <w:shd w:val="clear" w:color="auto" w:fill="auto"/>
            <w:noWrap w:val="0"/>
            <w:vAlign w:val="bottom"/>
          </w:tcPr>
          <w:p w14:paraId="3BC12E8A">
            <w:pPr>
              <w:pStyle w:val="24"/>
              <w:bidi w:val="0"/>
              <w:ind w:left="0" w:leftChars="0"/>
              <w:jc w:val="center"/>
              <w:rPr>
                <w:rFonts w:hint="default" w:eastAsia="宋体" w:cs="Courier New"/>
                <w:caps w:val="0"/>
                <w:smallCaps w:val="0"/>
                <w:color w:val="auto"/>
                <w:kern w:val="2"/>
                <w:sz w:val="21"/>
                <w:szCs w:val="21"/>
                <w:highlight w:val="none"/>
                <w:lang w:val="en-US" w:eastAsia="zh-CN" w:bidi="ar-SA"/>
              </w:rPr>
            </w:pPr>
            <w:r>
              <w:rPr>
                <w:rFonts w:hint="default" w:eastAsia="宋体" w:cs="Courier New"/>
                <w:caps w:val="0"/>
                <w:smallCaps w:val="0"/>
                <w:color w:val="auto"/>
                <w:kern w:val="2"/>
                <w:sz w:val="21"/>
                <w:szCs w:val="21"/>
                <w:highlight w:val="none"/>
                <w:lang w:val="en-US" w:eastAsia="zh-CN" w:bidi="ar-SA"/>
              </w:rPr>
              <w:t xml:space="preserve">0.0885 </w:t>
            </w:r>
          </w:p>
        </w:tc>
      </w:tr>
      <w:tr w14:paraId="6A5A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restart"/>
            <w:shd w:val="clear" w:color="auto" w:fill="auto"/>
            <w:noWrap w:val="0"/>
            <w:vAlign w:val="center"/>
          </w:tcPr>
          <w:p w14:paraId="4DAB9C1E">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r>
              <w:rPr>
                <w:rFonts w:hint="eastAsia"/>
                <w:color w:val="auto"/>
                <w:sz w:val="21"/>
                <w:szCs w:val="21"/>
                <w:highlight w:val="none"/>
                <w:lang w:val="en-US" w:eastAsia="zh-CN"/>
              </w:rPr>
              <w:t>VOCs</w:t>
            </w:r>
          </w:p>
        </w:tc>
        <w:tc>
          <w:tcPr>
            <w:tcW w:w="1305" w:type="pct"/>
            <w:shd w:val="clear" w:color="auto" w:fill="auto"/>
            <w:noWrap w:val="0"/>
            <w:vAlign w:val="center"/>
          </w:tcPr>
          <w:p w14:paraId="7BFADFC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丙烯酸计量罐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0106898F">
            <w:pPr>
              <w:pStyle w:val="24"/>
              <w:bidi w:val="0"/>
              <w:ind w:left="0" w:leftChars="0"/>
              <w:jc w:val="center"/>
              <w:rPr>
                <w:rFonts w:hint="default" w:ascii="Times New Roman" w:hAnsi="Times New Roman" w:eastAsia="宋体" w:cs="Courier New"/>
                <w:color w:val="auto"/>
                <w:kern w:val="2"/>
                <w:sz w:val="21"/>
                <w:szCs w:val="21"/>
                <w:highlight w:val="none"/>
                <w:lang w:val="en-US" w:eastAsia="zh-CN" w:bidi="ar-SA"/>
              </w:rPr>
            </w:pPr>
          </w:p>
        </w:tc>
        <w:tc>
          <w:tcPr>
            <w:tcW w:w="585" w:type="pct"/>
            <w:shd w:val="clear" w:color="auto" w:fill="auto"/>
            <w:noWrap w:val="0"/>
            <w:vAlign w:val="bottom"/>
          </w:tcPr>
          <w:p w14:paraId="536D2E8D">
            <w:pPr>
              <w:pStyle w:val="24"/>
              <w:bidi w:val="0"/>
              <w:ind w:left="0" w:leftChars="0"/>
              <w:jc w:val="center"/>
              <w:rPr>
                <w:rFonts w:hint="eastAsia"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0.0052 </w:t>
            </w:r>
          </w:p>
        </w:tc>
        <w:tc>
          <w:tcPr>
            <w:tcW w:w="691" w:type="pct"/>
            <w:shd w:val="clear" w:color="auto" w:fill="auto"/>
            <w:noWrap w:val="0"/>
            <w:vAlign w:val="bottom"/>
          </w:tcPr>
          <w:p w14:paraId="44D03C9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348</w:t>
            </w:r>
          </w:p>
        </w:tc>
        <w:tc>
          <w:tcPr>
            <w:tcW w:w="791" w:type="pct"/>
            <w:shd w:val="clear" w:color="auto" w:fill="auto"/>
            <w:noWrap w:val="0"/>
            <w:vAlign w:val="center"/>
          </w:tcPr>
          <w:p w14:paraId="0B91195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1.051</w:t>
            </w:r>
          </w:p>
        </w:tc>
        <w:tc>
          <w:tcPr>
            <w:tcW w:w="715" w:type="pct"/>
            <w:shd w:val="clear" w:color="auto" w:fill="auto"/>
            <w:noWrap w:val="0"/>
            <w:vAlign w:val="bottom"/>
          </w:tcPr>
          <w:p w14:paraId="6A43BE96">
            <w:pPr>
              <w:pStyle w:val="24"/>
              <w:bidi w:val="0"/>
              <w:jc w:val="center"/>
              <w:rPr>
                <w:rFonts w:hint="default" w:cs="Times New Roman"/>
                <w:b w:val="0"/>
                <w:bCs w:val="0"/>
                <w:color w:val="auto"/>
                <w:sz w:val="21"/>
                <w:szCs w:val="21"/>
                <w:highlight w:val="none"/>
                <w:lang w:val="en-US" w:eastAsia="zh-CN"/>
              </w:rPr>
            </w:pPr>
            <w:r>
              <w:rPr>
                <w:rFonts w:hint="default" w:cs="Times New Roman"/>
                <w:b w:val="0"/>
                <w:bCs w:val="0"/>
                <w:color w:val="auto"/>
                <w:sz w:val="21"/>
                <w:szCs w:val="21"/>
                <w:highlight w:val="none"/>
                <w:lang w:val="en-US" w:eastAsia="zh-CN"/>
              </w:rPr>
              <w:t xml:space="preserve">0.0017 </w:t>
            </w:r>
          </w:p>
        </w:tc>
      </w:tr>
      <w:tr w14:paraId="0EBA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37BCC4C">
            <w:pPr>
              <w:pStyle w:val="24"/>
              <w:bidi w:val="0"/>
              <w:ind w:left="0" w:leftChars="0"/>
              <w:jc w:val="center"/>
              <w:rPr>
                <w:rFonts w:hint="eastAsia" w:cs="Times New Roman"/>
                <w:b w:val="0"/>
                <w:bCs w:val="0"/>
                <w:color w:val="auto"/>
                <w:sz w:val="21"/>
                <w:szCs w:val="21"/>
                <w:highlight w:val="none"/>
                <w:lang w:val="en-US" w:eastAsia="zh-CN"/>
              </w:rPr>
            </w:pPr>
          </w:p>
        </w:tc>
        <w:tc>
          <w:tcPr>
            <w:tcW w:w="1305" w:type="pct"/>
            <w:shd w:val="clear" w:color="auto" w:fill="auto"/>
            <w:noWrap w:val="0"/>
            <w:vAlign w:val="center"/>
          </w:tcPr>
          <w:p w14:paraId="33709BA1">
            <w:pPr>
              <w:pStyle w:val="24"/>
              <w:bidi w:val="0"/>
              <w:ind w:left="0" w:leftChars="0"/>
              <w:jc w:val="center"/>
              <w:rPr>
                <w:rFonts w:hint="eastAsia" w:cs="Times New Roman"/>
                <w:color w:val="auto"/>
                <w:kern w:val="0"/>
                <w:sz w:val="21"/>
                <w:szCs w:val="21"/>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巯基乙醇</w:t>
            </w:r>
            <w:r>
              <w:rPr>
                <w:rFonts w:hint="eastAsia" w:cs="Times New Roman"/>
                <w:b w:val="0"/>
                <w:bCs w:val="0"/>
                <w:color w:val="auto"/>
                <w:kern w:val="2"/>
                <w:sz w:val="21"/>
                <w:szCs w:val="21"/>
                <w:highlight w:val="none"/>
                <w:lang w:val="en-US" w:eastAsia="zh-CN" w:bidi="ar-SA"/>
              </w:rPr>
              <w:t>计量罐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52710164">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39123BB5">
            <w:pPr>
              <w:pStyle w:val="24"/>
              <w:bidi w:val="0"/>
              <w:ind w:left="0" w:leftChars="0"/>
              <w:jc w:val="center"/>
              <w:rPr>
                <w:rFonts w:hint="default"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0.0011 </w:t>
            </w:r>
          </w:p>
        </w:tc>
        <w:tc>
          <w:tcPr>
            <w:tcW w:w="691" w:type="pct"/>
            <w:shd w:val="clear" w:color="auto" w:fill="auto"/>
            <w:noWrap w:val="0"/>
            <w:vAlign w:val="bottom"/>
          </w:tcPr>
          <w:p w14:paraId="267A643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12.8</w:t>
            </w:r>
          </w:p>
        </w:tc>
        <w:tc>
          <w:tcPr>
            <w:tcW w:w="791" w:type="pct"/>
            <w:shd w:val="clear" w:color="auto" w:fill="auto"/>
            <w:noWrap w:val="0"/>
            <w:vAlign w:val="center"/>
          </w:tcPr>
          <w:p w14:paraId="3ACAED69">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1.114</w:t>
            </w:r>
          </w:p>
        </w:tc>
        <w:tc>
          <w:tcPr>
            <w:tcW w:w="715" w:type="pct"/>
            <w:shd w:val="clear" w:color="auto" w:fill="auto"/>
            <w:noWrap w:val="0"/>
            <w:vAlign w:val="bottom"/>
          </w:tcPr>
          <w:p w14:paraId="3452CE61">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1.26E-05</w:t>
            </w:r>
          </w:p>
        </w:tc>
      </w:tr>
      <w:tr w14:paraId="4D92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53D9A128">
            <w:pPr>
              <w:pStyle w:val="24"/>
              <w:bidi w:val="0"/>
              <w:ind w:left="0" w:leftChars="0"/>
              <w:jc w:val="center"/>
              <w:rPr>
                <w:rFonts w:hint="eastAsia" w:cs="Times New Roman"/>
                <w:b w:val="0"/>
                <w:bCs w:val="0"/>
                <w:color w:val="auto"/>
                <w:sz w:val="21"/>
                <w:szCs w:val="21"/>
                <w:highlight w:val="none"/>
                <w:lang w:val="en-US" w:eastAsia="zh-CN"/>
              </w:rPr>
            </w:pPr>
          </w:p>
        </w:tc>
        <w:tc>
          <w:tcPr>
            <w:tcW w:w="1305" w:type="pct"/>
            <w:shd w:val="clear" w:color="auto" w:fill="auto"/>
            <w:noWrap w:val="0"/>
            <w:vAlign w:val="center"/>
          </w:tcPr>
          <w:p w14:paraId="25D13DED">
            <w:pPr>
              <w:pStyle w:val="24"/>
              <w:bidi w:val="0"/>
              <w:ind w:left="0" w:leftChars="0"/>
              <w:jc w:val="center"/>
              <w:rPr>
                <w:rFonts w:hint="eastAsia" w:cs="Times New Roman"/>
                <w:color w:val="auto"/>
                <w:kern w:val="0"/>
                <w:sz w:val="21"/>
                <w:szCs w:val="21"/>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巯基丙酸</w:t>
            </w:r>
            <w:r>
              <w:rPr>
                <w:rFonts w:hint="eastAsia" w:cs="Times New Roman"/>
                <w:b w:val="0"/>
                <w:bCs w:val="0"/>
                <w:color w:val="auto"/>
                <w:kern w:val="2"/>
                <w:sz w:val="21"/>
                <w:szCs w:val="21"/>
                <w:highlight w:val="none"/>
                <w:lang w:val="en-US" w:eastAsia="zh-CN" w:bidi="ar-SA"/>
              </w:rPr>
              <w:t>计量罐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7EEAD200">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0CE70A70">
            <w:pPr>
              <w:pStyle w:val="24"/>
              <w:bidi w:val="0"/>
              <w:ind w:left="0" w:leftChars="0"/>
              <w:jc w:val="center"/>
              <w:rPr>
                <w:rFonts w:hint="default"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0.0231 </w:t>
            </w:r>
          </w:p>
        </w:tc>
        <w:tc>
          <w:tcPr>
            <w:tcW w:w="691" w:type="pct"/>
            <w:shd w:val="clear" w:color="auto" w:fill="auto"/>
            <w:noWrap w:val="0"/>
            <w:vAlign w:val="bottom"/>
          </w:tcPr>
          <w:p w14:paraId="41AF19B1">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6.8</w:t>
            </w:r>
          </w:p>
        </w:tc>
        <w:tc>
          <w:tcPr>
            <w:tcW w:w="791" w:type="pct"/>
            <w:shd w:val="clear" w:color="auto" w:fill="auto"/>
            <w:noWrap w:val="0"/>
            <w:vAlign w:val="center"/>
          </w:tcPr>
          <w:p w14:paraId="6CEB6B1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1.218</w:t>
            </w:r>
          </w:p>
        </w:tc>
        <w:tc>
          <w:tcPr>
            <w:tcW w:w="715" w:type="pct"/>
            <w:shd w:val="clear" w:color="auto" w:fill="auto"/>
            <w:noWrap w:val="0"/>
            <w:vAlign w:val="bottom"/>
          </w:tcPr>
          <w:p w14:paraId="2EA26708">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0.0001 </w:t>
            </w:r>
          </w:p>
        </w:tc>
      </w:tr>
      <w:tr w14:paraId="48E6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7355B6CE">
            <w:pPr>
              <w:pStyle w:val="24"/>
              <w:bidi w:val="0"/>
              <w:ind w:left="0" w:leftChars="0"/>
              <w:jc w:val="center"/>
              <w:rPr>
                <w:rFonts w:hint="eastAsia" w:cs="Times New Roman"/>
                <w:b w:val="0"/>
                <w:bCs w:val="0"/>
                <w:color w:val="auto"/>
                <w:sz w:val="21"/>
                <w:szCs w:val="21"/>
                <w:highlight w:val="none"/>
                <w:lang w:val="en-US" w:eastAsia="zh-CN"/>
              </w:rPr>
            </w:pPr>
          </w:p>
        </w:tc>
        <w:tc>
          <w:tcPr>
            <w:tcW w:w="1305" w:type="pct"/>
            <w:shd w:val="clear" w:color="auto" w:fill="auto"/>
            <w:noWrap w:val="0"/>
            <w:vAlign w:val="center"/>
          </w:tcPr>
          <w:p w14:paraId="52D947D7">
            <w:pPr>
              <w:pStyle w:val="24"/>
              <w:bidi w:val="0"/>
              <w:ind w:left="0" w:leftChars="0"/>
              <w:jc w:val="center"/>
              <w:rPr>
                <w:rFonts w:hint="eastAsia" w:cs="Times New Roman"/>
                <w:color w:val="auto"/>
                <w:kern w:val="0"/>
                <w:sz w:val="21"/>
                <w:szCs w:val="21"/>
                <w:lang w:val="en-US" w:eastAsia="zh-CN"/>
              </w:rPr>
            </w:pPr>
            <w:r>
              <w:rPr>
                <w:rFonts w:hint="eastAsia" w:cs="Times New Roman"/>
                <w:b w:val="0"/>
                <w:bCs w:val="0"/>
                <w:color w:val="auto"/>
                <w:kern w:val="2"/>
                <w:sz w:val="21"/>
                <w:szCs w:val="21"/>
                <w:highlight w:val="none"/>
                <w:lang w:val="en-US" w:eastAsia="zh-CN" w:bidi="ar-SA"/>
              </w:rPr>
              <w:t>A料/备用配置罐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62B641B0">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2155EFBB">
            <w:pPr>
              <w:pStyle w:val="24"/>
              <w:bidi w:val="0"/>
              <w:ind w:left="0" w:leftChars="0"/>
              <w:jc w:val="center"/>
              <w:rPr>
                <w:rFonts w:hint="default"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0.0038 </w:t>
            </w:r>
          </w:p>
        </w:tc>
        <w:tc>
          <w:tcPr>
            <w:tcW w:w="691" w:type="pct"/>
            <w:shd w:val="clear" w:color="auto" w:fill="auto"/>
            <w:noWrap w:val="0"/>
            <w:vAlign w:val="bottom"/>
          </w:tcPr>
          <w:p w14:paraId="29777D8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568</w:t>
            </w:r>
          </w:p>
        </w:tc>
        <w:tc>
          <w:tcPr>
            <w:tcW w:w="791" w:type="pct"/>
            <w:shd w:val="clear" w:color="auto" w:fill="auto"/>
            <w:noWrap w:val="0"/>
            <w:vAlign w:val="center"/>
          </w:tcPr>
          <w:p w14:paraId="373F9653">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15" w:type="pct"/>
            <w:shd w:val="clear" w:color="auto" w:fill="auto"/>
            <w:noWrap w:val="0"/>
            <w:vAlign w:val="bottom"/>
          </w:tcPr>
          <w:p w14:paraId="03BDBEF3">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0.0022 </w:t>
            </w:r>
          </w:p>
        </w:tc>
      </w:tr>
      <w:tr w14:paraId="6DB3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9509C46">
            <w:pPr>
              <w:pStyle w:val="24"/>
              <w:bidi w:val="0"/>
              <w:ind w:left="0" w:leftChars="0"/>
              <w:jc w:val="center"/>
              <w:rPr>
                <w:rFonts w:hint="eastAsia" w:cs="Times New Roman"/>
                <w:b w:val="0"/>
                <w:bCs w:val="0"/>
                <w:color w:val="auto"/>
                <w:sz w:val="21"/>
                <w:szCs w:val="21"/>
                <w:highlight w:val="none"/>
                <w:lang w:val="en-US" w:eastAsia="zh-CN"/>
              </w:rPr>
            </w:pPr>
          </w:p>
        </w:tc>
        <w:tc>
          <w:tcPr>
            <w:tcW w:w="1305" w:type="pct"/>
            <w:shd w:val="clear" w:color="auto" w:fill="auto"/>
            <w:noWrap w:val="0"/>
            <w:vAlign w:val="center"/>
          </w:tcPr>
          <w:p w14:paraId="7F11A9B9">
            <w:pPr>
              <w:pStyle w:val="24"/>
              <w:bidi w:val="0"/>
              <w:ind w:left="0" w:leftChars="0"/>
              <w:jc w:val="center"/>
              <w:rPr>
                <w:rFonts w:hint="eastAsia" w:cs="Times New Roman"/>
                <w:color w:val="auto"/>
                <w:kern w:val="0"/>
                <w:sz w:val="21"/>
                <w:szCs w:val="21"/>
                <w:lang w:val="en-US" w:eastAsia="zh-CN"/>
              </w:rPr>
            </w:pPr>
            <w:r>
              <w:rPr>
                <w:rFonts w:hint="eastAsia" w:cs="Times New Roman"/>
                <w:b w:val="0"/>
                <w:bCs w:val="0"/>
                <w:color w:val="auto"/>
                <w:kern w:val="2"/>
                <w:sz w:val="21"/>
                <w:szCs w:val="21"/>
                <w:highlight w:val="none"/>
                <w:lang w:val="en-US" w:eastAsia="zh-CN" w:bidi="ar-SA"/>
              </w:rPr>
              <w:t>B料/备用配置罐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52D5E2A7">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noWrap w:val="0"/>
            <w:vAlign w:val="bottom"/>
          </w:tcPr>
          <w:p w14:paraId="558E82AB">
            <w:pPr>
              <w:pStyle w:val="24"/>
              <w:bidi w:val="0"/>
              <w:ind w:left="0" w:leftChars="0"/>
              <w:jc w:val="center"/>
              <w:rPr>
                <w:rFonts w:hint="default"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0.0124 </w:t>
            </w:r>
          </w:p>
        </w:tc>
        <w:tc>
          <w:tcPr>
            <w:tcW w:w="691" w:type="pct"/>
            <w:shd w:val="clear" w:color="auto" w:fill="auto"/>
            <w:noWrap w:val="0"/>
            <w:vAlign w:val="bottom"/>
          </w:tcPr>
          <w:p w14:paraId="6C86463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19.6</w:t>
            </w:r>
          </w:p>
        </w:tc>
        <w:tc>
          <w:tcPr>
            <w:tcW w:w="791" w:type="pct"/>
            <w:shd w:val="clear" w:color="auto" w:fill="auto"/>
            <w:noWrap w:val="0"/>
            <w:vAlign w:val="center"/>
          </w:tcPr>
          <w:p w14:paraId="2BE575A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15" w:type="pct"/>
            <w:shd w:val="clear" w:color="auto" w:fill="auto"/>
            <w:noWrap w:val="0"/>
            <w:vAlign w:val="bottom"/>
          </w:tcPr>
          <w:p w14:paraId="188DE1D2">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0.0002 </w:t>
            </w:r>
          </w:p>
        </w:tc>
      </w:tr>
      <w:tr w14:paraId="33F3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01D5740B">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p>
        </w:tc>
        <w:tc>
          <w:tcPr>
            <w:tcW w:w="1305" w:type="pct"/>
            <w:vMerge w:val="restart"/>
            <w:shd w:val="clear" w:color="auto" w:fill="auto"/>
            <w:noWrap w:val="0"/>
            <w:vAlign w:val="center"/>
          </w:tcPr>
          <w:p w14:paraId="39DE8DC0">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乳化剂</w:t>
            </w:r>
            <w:r>
              <w:rPr>
                <w:rFonts w:hint="eastAsia" w:cs="Times New Roman"/>
                <w:b w:val="0"/>
                <w:bCs w:val="0"/>
                <w:color w:val="auto"/>
                <w:kern w:val="2"/>
                <w:sz w:val="21"/>
                <w:szCs w:val="21"/>
                <w:highlight w:val="none"/>
                <w:lang w:val="en-US" w:eastAsia="zh-CN" w:bidi="ar-SA"/>
              </w:rPr>
              <w:t>计量罐</w:t>
            </w:r>
            <w:r>
              <w:rPr>
                <w:rFonts w:hint="eastAsia" w:ascii="Times New Roman" w:hAnsi="Times New Roman" w:cs="Times New Roman"/>
                <w:color w:val="auto"/>
                <w:kern w:val="0"/>
                <w:sz w:val="21"/>
                <w:szCs w:val="21"/>
                <w:lang w:val="en-US" w:eastAsia="zh-CN"/>
              </w:rPr>
              <w:t>（2个）</w:t>
            </w:r>
          </w:p>
        </w:tc>
        <w:tc>
          <w:tcPr>
            <w:tcW w:w="368" w:type="pct"/>
            <w:vMerge w:val="continue"/>
            <w:shd w:val="clear" w:color="auto" w:fill="auto"/>
            <w:noWrap w:val="0"/>
            <w:vAlign w:val="center"/>
          </w:tcPr>
          <w:p w14:paraId="766D7448">
            <w:pPr>
              <w:pStyle w:val="24"/>
              <w:bidi w:val="0"/>
              <w:ind w:left="0" w:leftChars="0"/>
              <w:jc w:val="center"/>
              <w:rPr>
                <w:rFonts w:hint="default" w:ascii="Times New Roman" w:hAnsi="Times New Roman" w:eastAsia="宋体" w:cs="Courier New"/>
                <w:color w:val="auto"/>
                <w:kern w:val="2"/>
                <w:sz w:val="21"/>
                <w:szCs w:val="21"/>
                <w:highlight w:val="none"/>
                <w:lang w:val="en-US" w:eastAsia="zh-CN" w:bidi="ar-SA"/>
              </w:rPr>
            </w:pPr>
          </w:p>
        </w:tc>
        <w:tc>
          <w:tcPr>
            <w:tcW w:w="585" w:type="pct"/>
            <w:shd w:val="clear" w:color="auto" w:fill="auto"/>
            <w:noWrap w:val="0"/>
            <w:vAlign w:val="bottom"/>
          </w:tcPr>
          <w:p w14:paraId="66828EBC">
            <w:pPr>
              <w:pStyle w:val="24"/>
              <w:bidi w:val="0"/>
              <w:ind w:left="0" w:leftChars="0"/>
              <w:jc w:val="center"/>
              <w:rPr>
                <w:rFonts w:hint="eastAsia"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0.0078 </w:t>
            </w:r>
          </w:p>
        </w:tc>
        <w:tc>
          <w:tcPr>
            <w:tcW w:w="691" w:type="pct"/>
            <w:shd w:val="clear" w:color="auto" w:fill="auto"/>
            <w:noWrap w:val="0"/>
            <w:vAlign w:val="bottom"/>
          </w:tcPr>
          <w:p w14:paraId="6567497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640</w:t>
            </w:r>
          </w:p>
        </w:tc>
        <w:tc>
          <w:tcPr>
            <w:tcW w:w="791" w:type="pct"/>
            <w:shd w:val="clear" w:color="auto" w:fill="auto"/>
            <w:noWrap w:val="0"/>
            <w:vAlign w:val="center"/>
          </w:tcPr>
          <w:p w14:paraId="0401DD7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1.06</w:t>
            </w:r>
          </w:p>
        </w:tc>
        <w:tc>
          <w:tcPr>
            <w:tcW w:w="715" w:type="pct"/>
            <w:shd w:val="clear" w:color="auto" w:fill="auto"/>
            <w:noWrap w:val="0"/>
            <w:vAlign w:val="bottom"/>
          </w:tcPr>
          <w:p w14:paraId="0FB055AF">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0.0047 </w:t>
            </w:r>
          </w:p>
        </w:tc>
      </w:tr>
      <w:tr w14:paraId="49A2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1DDE299B">
            <w:pPr>
              <w:pStyle w:val="24"/>
              <w:bidi w:val="0"/>
              <w:ind w:left="0" w:leftChars="0"/>
              <w:jc w:val="center"/>
              <w:rPr>
                <w:rFonts w:hint="eastAsia"/>
                <w:color w:val="auto"/>
                <w:sz w:val="21"/>
                <w:szCs w:val="21"/>
                <w:highlight w:val="none"/>
                <w:lang w:val="en-US" w:eastAsia="zh-CN"/>
              </w:rPr>
            </w:pPr>
          </w:p>
        </w:tc>
        <w:tc>
          <w:tcPr>
            <w:tcW w:w="1305" w:type="pct"/>
            <w:vMerge w:val="continue"/>
            <w:shd w:val="clear" w:color="auto" w:fill="auto"/>
            <w:noWrap w:val="0"/>
            <w:vAlign w:val="center"/>
          </w:tcPr>
          <w:p w14:paraId="0DAAA479">
            <w:pPr>
              <w:pStyle w:val="24"/>
              <w:bidi w:val="0"/>
              <w:ind w:left="0" w:leftChars="0"/>
              <w:jc w:val="center"/>
              <w:rPr>
                <w:rFonts w:hint="eastAsia" w:ascii="Times New Roman" w:hAnsi="Times New Roman" w:cs="Times New Roman"/>
                <w:color w:val="auto"/>
                <w:kern w:val="0"/>
                <w:sz w:val="21"/>
                <w:szCs w:val="21"/>
                <w:lang w:val="en-US" w:eastAsia="zh-CN"/>
              </w:rPr>
            </w:pPr>
          </w:p>
        </w:tc>
        <w:tc>
          <w:tcPr>
            <w:tcW w:w="368" w:type="pct"/>
            <w:vMerge w:val="continue"/>
            <w:shd w:val="clear" w:color="auto" w:fill="auto"/>
            <w:noWrap w:val="0"/>
            <w:vAlign w:val="center"/>
          </w:tcPr>
          <w:p w14:paraId="6336F156">
            <w:pPr>
              <w:pStyle w:val="24"/>
              <w:bidi w:val="0"/>
              <w:ind w:left="0" w:leftChars="0"/>
              <w:jc w:val="center"/>
              <w:rPr>
                <w:rFonts w:hint="eastAsia" w:cs="Courier New"/>
                <w:color w:val="auto"/>
                <w:kern w:val="2"/>
                <w:sz w:val="21"/>
                <w:szCs w:val="21"/>
                <w:highlight w:val="none"/>
                <w:lang w:val="en-US" w:eastAsia="zh-CN" w:bidi="ar-SA"/>
              </w:rPr>
            </w:pPr>
          </w:p>
        </w:tc>
        <w:tc>
          <w:tcPr>
            <w:tcW w:w="585" w:type="pct"/>
            <w:shd w:val="clear" w:color="auto" w:fill="auto"/>
            <w:noWrap w:val="0"/>
            <w:vAlign w:val="bottom"/>
          </w:tcPr>
          <w:p w14:paraId="2A55E017">
            <w:pPr>
              <w:pStyle w:val="24"/>
              <w:bidi w:val="0"/>
              <w:ind w:left="0" w:leftChars="0"/>
              <w:jc w:val="center"/>
              <w:rPr>
                <w:rFonts w:hint="eastAsia"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0.0061 </w:t>
            </w:r>
          </w:p>
        </w:tc>
        <w:tc>
          <w:tcPr>
            <w:tcW w:w="691" w:type="pct"/>
            <w:shd w:val="clear" w:color="auto" w:fill="auto"/>
            <w:noWrap w:val="0"/>
            <w:vAlign w:val="bottom"/>
          </w:tcPr>
          <w:p w14:paraId="4B7F185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640</w:t>
            </w:r>
          </w:p>
        </w:tc>
        <w:tc>
          <w:tcPr>
            <w:tcW w:w="791" w:type="pct"/>
            <w:shd w:val="clear" w:color="auto" w:fill="auto"/>
            <w:noWrap w:val="0"/>
            <w:vAlign w:val="center"/>
          </w:tcPr>
          <w:p w14:paraId="3FB5B2B1">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0.994</w:t>
            </w:r>
          </w:p>
        </w:tc>
        <w:tc>
          <w:tcPr>
            <w:tcW w:w="715" w:type="pct"/>
            <w:shd w:val="clear" w:color="auto" w:fill="auto"/>
            <w:noWrap w:val="0"/>
            <w:vAlign w:val="bottom"/>
          </w:tcPr>
          <w:p w14:paraId="080FD912">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0.0039 </w:t>
            </w:r>
          </w:p>
        </w:tc>
      </w:tr>
      <w:tr w14:paraId="2B5B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61271017">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p>
        </w:tc>
        <w:tc>
          <w:tcPr>
            <w:tcW w:w="1305" w:type="pct"/>
            <w:shd w:val="clear" w:color="auto" w:fill="auto"/>
            <w:noWrap w:val="0"/>
            <w:vAlign w:val="center"/>
          </w:tcPr>
          <w:p w14:paraId="602372D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乳化油型复配罐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76E51814">
            <w:pPr>
              <w:pStyle w:val="24"/>
              <w:bidi w:val="0"/>
              <w:ind w:left="0" w:leftChars="0"/>
              <w:jc w:val="center"/>
              <w:rPr>
                <w:rFonts w:hint="default" w:ascii="Times New Roman" w:hAnsi="Times New Roman" w:eastAsia="宋体" w:cs="Courier New"/>
                <w:color w:val="auto"/>
                <w:kern w:val="2"/>
                <w:sz w:val="21"/>
                <w:szCs w:val="21"/>
                <w:highlight w:val="none"/>
                <w:lang w:val="en-US" w:eastAsia="zh-CN" w:bidi="ar-SA"/>
              </w:rPr>
            </w:pPr>
          </w:p>
        </w:tc>
        <w:tc>
          <w:tcPr>
            <w:tcW w:w="585" w:type="pct"/>
            <w:shd w:val="clear" w:color="auto" w:fill="auto"/>
            <w:noWrap w:val="0"/>
            <w:vAlign w:val="bottom"/>
          </w:tcPr>
          <w:p w14:paraId="2DBA1C60">
            <w:pPr>
              <w:pStyle w:val="24"/>
              <w:bidi w:val="0"/>
              <w:ind w:left="0" w:leftChars="0"/>
              <w:jc w:val="center"/>
              <w:rPr>
                <w:rFonts w:hint="eastAsia"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0.0029 </w:t>
            </w:r>
          </w:p>
        </w:tc>
        <w:tc>
          <w:tcPr>
            <w:tcW w:w="691" w:type="pct"/>
            <w:shd w:val="clear" w:color="auto" w:fill="auto"/>
            <w:noWrap w:val="0"/>
            <w:vAlign w:val="bottom"/>
          </w:tcPr>
          <w:p w14:paraId="75EF0E6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4950</w:t>
            </w:r>
          </w:p>
        </w:tc>
        <w:tc>
          <w:tcPr>
            <w:tcW w:w="791" w:type="pct"/>
            <w:shd w:val="clear" w:color="auto" w:fill="auto"/>
            <w:noWrap w:val="0"/>
            <w:vAlign w:val="center"/>
          </w:tcPr>
          <w:p w14:paraId="2151330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15" w:type="pct"/>
            <w:shd w:val="clear" w:color="auto" w:fill="auto"/>
            <w:noWrap w:val="0"/>
            <w:vAlign w:val="bottom"/>
          </w:tcPr>
          <w:p w14:paraId="63626850">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0.0144 </w:t>
            </w:r>
          </w:p>
        </w:tc>
      </w:tr>
      <w:tr w14:paraId="292A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shd w:val="clear" w:color="auto" w:fill="auto"/>
            <w:noWrap w:val="0"/>
            <w:vAlign w:val="center"/>
          </w:tcPr>
          <w:p w14:paraId="759279EE">
            <w:pPr>
              <w:pStyle w:val="24"/>
              <w:bidi w:val="0"/>
              <w:ind w:left="0" w:leftChars="0"/>
              <w:jc w:val="center"/>
              <w:rPr>
                <w:rFonts w:hint="eastAsia"/>
                <w:color w:val="auto"/>
                <w:sz w:val="21"/>
                <w:szCs w:val="21"/>
                <w:highlight w:val="none"/>
                <w:lang w:val="en-US" w:eastAsia="zh-CN"/>
              </w:rPr>
            </w:pPr>
          </w:p>
        </w:tc>
        <w:tc>
          <w:tcPr>
            <w:tcW w:w="1305" w:type="pct"/>
            <w:shd w:val="clear" w:color="auto" w:fill="auto"/>
            <w:noWrap w:val="0"/>
            <w:vAlign w:val="center"/>
          </w:tcPr>
          <w:p w14:paraId="4269A2F4">
            <w:pPr>
              <w:pStyle w:val="24"/>
              <w:bidi w:val="0"/>
              <w:ind w:left="0" w:leftChars="0"/>
              <w:jc w:val="center"/>
              <w:rPr>
                <w:rFonts w:hint="default" w:ascii="Times New Roman" w:hAnsi="Times New Roman" w:cs="Times New Roman"/>
                <w:color w:val="auto"/>
                <w:kern w:val="0"/>
                <w:sz w:val="21"/>
                <w:szCs w:val="21"/>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水乳型复配罐</w:t>
            </w:r>
            <w:r>
              <w:rPr>
                <w:rFonts w:hint="eastAsia" w:ascii="Times New Roman" w:hAnsi="Times New Roman" w:cs="Times New Roman"/>
                <w:color w:val="auto"/>
                <w:kern w:val="0"/>
                <w:sz w:val="21"/>
                <w:szCs w:val="21"/>
                <w:lang w:val="en-US" w:eastAsia="zh-CN"/>
              </w:rPr>
              <w:t>（1个）</w:t>
            </w:r>
          </w:p>
        </w:tc>
        <w:tc>
          <w:tcPr>
            <w:tcW w:w="368" w:type="pct"/>
            <w:vMerge w:val="continue"/>
            <w:shd w:val="clear" w:color="auto" w:fill="auto"/>
            <w:noWrap w:val="0"/>
            <w:vAlign w:val="center"/>
          </w:tcPr>
          <w:p w14:paraId="2A2D2E44">
            <w:pPr>
              <w:pStyle w:val="24"/>
              <w:bidi w:val="0"/>
              <w:ind w:left="0" w:leftChars="0"/>
              <w:jc w:val="center"/>
              <w:rPr>
                <w:rFonts w:hint="eastAsia" w:ascii="Times New Roman" w:hAnsi="Times New Roman" w:eastAsia="宋体" w:cs="Courier New"/>
                <w:color w:val="auto"/>
                <w:kern w:val="2"/>
                <w:sz w:val="21"/>
                <w:szCs w:val="21"/>
                <w:highlight w:val="none"/>
                <w:lang w:val="en-US" w:eastAsia="zh-CN" w:bidi="ar-SA"/>
              </w:rPr>
            </w:pPr>
          </w:p>
        </w:tc>
        <w:tc>
          <w:tcPr>
            <w:tcW w:w="585" w:type="pct"/>
            <w:shd w:val="clear" w:color="auto" w:fill="auto"/>
            <w:noWrap w:val="0"/>
            <w:vAlign w:val="bottom"/>
          </w:tcPr>
          <w:p w14:paraId="751BA664">
            <w:pPr>
              <w:pStyle w:val="24"/>
              <w:bidi w:val="0"/>
              <w:ind w:left="0" w:leftChars="0"/>
              <w:jc w:val="center"/>
              <w:rPr>
                <w:rFonts w:hint="eastAsia" w:ascii="Times New Roman" w:hAnsi="Times New Roman" w:eastAsia="宋体" w:cs="Courier New"/>
                <w:caps w:val="0"/>
                <w:smallCaps w:val="0"/>
                <w:color w:val="auto"/>
                <w:kern w:val="2"/>
                <w:sz w:val="21"/>
                <w:szCs w:val="21"/>
                <w:highlight w:val="none"/>
                <w:lang w:val="en-US" w:eastAsia="zh-CN" w:bidi="ar-SA"/>
              </w:rPr>
            </w:pPr>
            <w:r>
              <w:rPr>
                <w:rFonts w:hint="default" w:cs="Courier New"/>
                <w:caps w:val="0"/>
                <w:smallCaps w:val="0"/>
                <w:color w:val="auto"/>
                <w:kern w:val="2"/>
                <w:sz w:val="21"/>
                <w:szCs w:val="21"/>
                <w:highlight w:val="none"/>
                <w:lang w:val="en-US" w:eastAsia="zh-CN" w:bidi="ar-SA"/>
              </w:rPr>
              <w:t xml:space="preserve">0.0016 </w:t>
            </w:r>
          </w:p>
        </w:tc>
        <w:tc>
          <w:tcPr>
            <w:tcW w:w="691" w:type="pct"/>
            <w:shd w:val="clear" w:color="auto" w:fill="auto"/>
            <w:noWrap w:val="0"/>
            <w:vAlign w:val="bottom"/>
          </w:tcPr>
          <w:p w14:paraId="52C0573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2970</w:t>
            </w:r>
          </w:p>
        </w:tc>
        <w:tc>
          <w:tcPr>
            <w:tcW w:w="791" w:type="pct"/>
            <w:shd w:val="clear" w:color="auto" w:fill="auto"/>
            <w:noWrap w:val="0"/>
            <w:vAlign w:val="center"/>
          </w:tcPr>
          <w:p w14:paraId="4B36FC55">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15" w:type="pct"/>
            <w:shd w:val="clear" w:color="auto" w:fill="auto"/>
            <w:noWrap w:val="0"/>
            <w:vAlign w:val="bottom"/>
          </w:tcPr>
          <w:p w14:paraId="4E042383">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0.0048 </w:t>
            </w:r>
          </w:p>
        </w:tc>
      </w:tr>
      <w:tr w14:paraId="0FBC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2" w:type="pct"/>
            <w:vMerge w:val="continue"/>
            <w:vAlign w:val="center"/>
          </w:tcPr>
          <w:p w14:paraId="54DF378E">
            <w:pPr>
              <w:pStyle w:val="24"/>
              <w:bidi w:val="0"/>
              <w:ind w:left="0" w:leftChars="0"/>
              <w:jc w:val="center"/>
              <w:rPr>
                <w:rFonts w:hint="eastAsia" w:eastAsia="宋体" w:cs="Times New Roman"/>
                <w:b w:val="0"/>
                <w:bCs w:val="0"/>
                <w:color w:val="auto"/>
                <w:sz w:val="21"/>
                <w:szCs w:val="21"/>
                <w:highlight w:val="none"/>
                <w:lang w:val="en-US" w:eastAsia="zh-CN"/>
              </w:rPr>
            </w:pPr>
          </w:p>
        </w:tc>
        <w:tc>
          <w:tcPr>
            <w:tcW w:w="1305" w:type="pct"/>
            <w:vAlign w:val="center"/>
          </w:tcPr>
          <w:p w14:paraId="6A167A68">
            <w:pPr>
              <w:pStyle w:val="24"/>
              <w:bidi w:val="0"/>
              <w:ind w:left="0" w:leftChars="0"/>
              <w:jc w:val="center"/>
              <w:rPr>
                <w:rFonts w:hint="eastAsia"/>
                <w:color w:val="auto"/>
                <w:sz w:val="21"/>
                <w:szCs w:val="21"/>
                <w:highlight w:val="none"/>
                <w:lang w:val="en-US" w:eastAsia="zh-CN"/>
              </w:rPr>
            </w:pPr>
            <w:r>
              <w:rPr>
                <w:rFonts w:hint="eastAsia" w:cs="Times New Roman"/>
                <w:b w:val="0"/>
                <w:bCs w:val="0"/>
                <w:color w:val="auto"/>
                <w:sz w:val="21"/>
                <w:szCs w:val="21"/>
                <w:highlight w:val="none"/>
                <w:lang w:val="en-US" w:eastAsia="zh-CN"/>
              </w:rPr>
              <w:t>合计</w:t>
            </w:r>
          </w:p>
        </w:tc>
        <w:tc>
          <w:tcPr>
            <w:tcW w:w="368" w:type="pct"/>
            <w:vMerge w:val="continue"/>
            <w:vAlign w:val="center"/>
          </w:tcPr>
          <w:p w14:paraId="74EEF11E">
            <w:pPr>
              <w:pStyle w:val="24"/>
              <w:bidi w:val="0"/>
              <w:ind w:left="0" w:leftChars="0"/>
              <w:jc w:val="center"/>
              <w:rPr>
                <w:rFonts w:hint="eastAsia" w:cs="Times New Roman"/>
                <w:b w:val="0"/>
                <w:bCs w:val="0"/>
                <w:color w:val="auto"/>
                <w:sz w:val="21"/>
                <w:szCs w:val="21"/>
                <w:highlight w:val="none"/>
                <w:lang w:val="en-US" w:eastAsia="zh-CN"/>
              </w:rPr>
            </w:pPr>
          </w:p>
        </w:tc>
        <w:tc>
          <w:tcPr>
            <w:tcW w:w="585" w:type="pct"/>
            <w:shd w:val="clear" w:color="auto" w:fill="auto"/>
            <w:vAlign w:val="center"/>
          </w:tcPr>
          <w:p w14:paraId="5528FC14">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w:t>
            </w:r>
          </w:p>
        </w:tc>
        <w:tc>
          <w:tcPr>
            <w:tcW w:w="691" w:type="pct"/>
            <w:shd w:val="clear" w:color="auto" w:fill="auto"/>
            <w:vAlign w:val="center"/>
          </w:tcPr>
          <w:p w14:paraId="33132CE5">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w:t>
            </w:r>
          </w:p>
        </w:tc>
        <w:tc>
          <w:tcPr>
            <w:tcW w:w="791" w:type="pct"/>
            <w:shd w:val="clear" w:color="auto" w:fill="auto"/>
            <w:vAlign w:val="center"/>
          </w:tcPr>
          <w:p w14:paraId="1E644257">
            <w:pPr>
              <w:pStyle w:val="24"/>
              <w:bidi w:val="0"/>
              <w:ind w:left="0" w:lef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w:t>
            </w:r>
          </w:p>
        </w:tc>
        <w:tc>
          <w:tcPr>
            <w:tcW w:w="715" w:type="pct"/>
            <w:shd w:val="clear" w:color="auto" w:fill="auto"/>
            <w:vAlign w:val="bottom"/>
          </w:tcPr>
          <w:p w14:paraId="3955BDAB">
            <w:pPr>
              <w:pStyle w:val="24"/>
              <w:bidi w:val="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 xml:space="preserve">0.0320 </w:t>
            </w:r>
          </w:p>
        </w:tc>
      </w:tr>
    </w:tbl>
    <w:p w14:paraId="7F9FED7A">
      <w:pPr>
        <w:bidi w:val="0"/>
        <w:ind w:left="0" w:leftChars="0" w:firstLine="480" w:firstLineChars="200"/>
        <w:rPr>
          <w:rFonts w:hint="default"/>
          <w:color w:val="auto"/>
          <w:lang w:val="en-US" w:eastAsia="zh-CN"/>
        </w:rPr>
      </w:pPr>
      <w:r>
        <w:rPr>
          <w:rFonts w:hint="eastAsia"/>
          <w:color w:val="auto"/>
          <w:lang w:val="en-US" w:eastAsia="zh-CN"/>
        </w:rPr>
        <w:t>B.聚羧酸减水剂母液</w:t>
      </w:r>
      <w:r>
        <w:rPr>
          <w:rFonts w:hint="eastAsia" w:cs="Times New Roman"/>
          <w:color w:val="auto"/>
          <w:sz w:val="24"/>
          <w:szCs w:val="24"/>
          <w:highlight w:val="none"/>
          <w:lang w:val="en-US" w:eastAsia="zh-CN"/>
        </w:rPr>
        <w:t>聚合废气</w:t>
      </w:r>
    </w:p>
    <w:p w14:paraId="06A1F9BB">
      <w:pPr>
        <w:bidi w:val="0"/>
        <w:ind w:left="0" w:leftChars="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根据《上海市工业企业挥发性有机物排放量通用计算方法（试行）》表1-2溶剂加工类工艺废气排放源项产污系数，“其他化工类产品”产污系数为0.021kg/t（产品产量），本项目</w:t>
      </w:r>
      <w:r>
        <w:rPr>
          <w:rFonts w:hint="eastAsia"/>
          <w:color w:val="auto"/>
          <w:lang w:val="en-US" w:eastAsia="zh-CN"/>
        </w:rPr>
        <w:t>聚羧酸减水剂母液产量为12000t/a，则聚羧酸减水剂母液</w:t>
      </w:r>
      <w:r>
        <w:rPr>
          <w:rFonts w:hint="eastAsia" w:cs="Times New Roman"/>
          <w:color w:val="auto"/>
          <w:sz w:val="24"/>
          <w:szCs w:val="24"/>
          <w:highlight w:val="none"/>
          <w:lang w:val="en-US" w:eastAsia="zh-CN"/>
        </w:rPr>
        <w:t>聚合反应VOCs产生量为0.252t/a。</w:t>
      </w:r>
    </w:p>
    <w:p w14:paraId="0DD896D7">
      <w:pPr>
        <w:bidi w:val="0"/>
        <w:ind w:left="0" w:leftChars="0"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C.无碱速凝剂反应废气</w:t>
      </w:r>
    </w:p>
    <w:p w14:paraId="032BA59E">
      <w:pPr>
        <w:spacing w:line="360" w:lineRule="auto"/>
        <w:ind w:left="0" w:leftChars="0" w:firstLine="480" w:firstLineChars="200"/>
        <w:rPr>
          <w:color w:val="auto"/>
          <w:sz w:val="24"/>
        </w:rPr>
      </w:pPr>
      <w:r>
        <w:rPr>
          <w:rFonts w:hint="eastAsia" w:cs="Times New Roman"/>
          <w:color w:val="auto"/>
          <w:sz w:val="24"/>
          <w:szCs w:val="24"/>
          <w:highlight w:val="none"/>
          <w:lang w:val="en-US" w:eastAsia="zh-CN"/>
        </w:rPr>
        <w:t>根据</w:t>
      </w:r>
      <w:r>
        <w:rPr>
          <w:rFonts w:hint="eastAsia"/>
          <w:color w:val="auto"/>
          <w:sz w:val="24"/>
        </w:rPr>
        <w:t>《环境统计手册》中的经验公式：</w:t>
      </w:r>
    </w:p>
    <w:p w14:paraId="59F8D1A9">
      <w:pPr>
        <w:spacing w:line="360" w:lineRule="auto"/>
        <w:ind w:left="0" w:leftChars="0" w:firstLine="0" w:firstLineChars="0"/>
        <w:jc w:val="center"/>
        <w:rPr>
          <w:rFonts w:hint="eastAsia"/>
          <w:color w:val="auto"/>
          <w:sz w:val="24"/>
        </w:rPr>
      </w:pPr>
      <w:r>
        <w:rPr>
          <w:rFonts w:hint="eastAsia"/>
          <w:color w:val="auto"/>
          <w:sz w:val="24"/>
        </w:rPr>
        <w:t>G</w:t>
      </w:r>
      <w:r>
        <w:rPr>
          <w:color w:val="auto"/>
          <w:sz w:val="24"/>
        </w:rPr>
        <w:t>z</w:t>
      </w:r>
      <w:r>
        <w:rPr>
          <w:rFonts w:hint="eastAsia"/>
          <w:color w:val="auto"/>
          <w:sz w:val="24"/>
        </w:rPr>
        <w:t>=</w:t>
      </w:r>
      <w:r>
        <w:rPr>
          <w:color w:val="auto"/>
          <w:sz w:val="24"/>
        </w:rPr>
        <w:t>M</w:t>
      </w:r>
      <w:r>
        <w:rPr>
          <w:rFonts w:hint="eastAsia"/>
          <w:color w:val="auto"/>
          <w:sz w:val="24"/>
        </w:rPr>
        <w:t>×（0</w:t>
      </w:r>
      <w:r>
        <w:rPr>
          <w:color w:val="auto"/>
          <w:sz w:val="24"/>
        </w:rPr>
        <w:t>.000352+0.000786</w:t>
      </w:r>
      <w:r>
        <w:rPr>
          <w:rFonts w:hint="eastAsia"/>
          <w:color w:val="auto"/>
          <w:sz w:val="24"/>
        </w:rPr>
        <w:t>×U）×P×F</w:t>
      </w:r>
    </w:p>
    <w:p w14:paraId="656E8BD8">
      <w:pPr>
        <w:spacing w:line="360" w:lineRule="auto"/>
        <w:ind w:left="0" w:leftChars="0" w:firstLine="480" w:firstLineChars="200"/>
        <w:rPr>
          <w:color w:val="auto"/>
          <w:sz w:val="24"/>
        </w:rPr>
      </w:pPr>
      <w:r>
        <w:rPr>
          <w:rFonts w:hint="eastAsia"/>
          <w:color w:val="auto"/>
          <w:sz w:val="24"/>
        </w:rPr>
        <w:t>式中：G</w:t>
      </w:r>
      <w:r>
        <w:rPr>
          <w:color w:val="auto"/>
          <w:sz w:val="24"/>
        </w:rPr>
        <w:t>z</w:t>
      </w:r>
      <w:r>
        <w:rPr>
          <w:rFonts w:hint="eastAsia"/>
          <w:color w:val="auto"/>
          <w:sz w:val="24"/>
        </w:rPr>
        <w:t>——酸雾量，k</w:t>
      </w:r>
      <w:r>
        <w:rPr>
          <w:color w:val="auto"/>
          <w:sz w:val="24"/>
        </w:rPr>
        <w:t>g/h</w:t>
      </w:r>
      <w:r>
        <w:rPr>
          <w:rFonts w:hint="eastAsia"/>
          <w:color w:val="auto"/>
          <w:sz w:val="24"/>
        </w:rPr>
        <w:t>；</w:t>
      </w:r>
    </w:p>
    <w:p w14:paraId="44FCB080">
      <w:pPr>
        <w:spacing w:line="360" w:lineRule="auto"/>
        <w:ind w:firstLine="480" w:firstLineChars="200"/>
        <w:rPr>
          <w:color w:val="auto"/>
          <w:sz w:val="24"/>
        </w:rPr>
      </w:pPr>
      <w:r>
        <w:rPr>
          <w:rFonts w:hint="eastAsia"/>
          <w:color w:val="auto"/>
          <w:sz w:val="24"/>
        </w:rPr>
        <w:t xml:space="preserve"> </w:t>
      </w:r>
      <w:r>
        <w:rPr>
          <w:color w:val="auto"/>
          <w:sz w:val="24"/>
        </w:rPr>
        <w:t xml:space="preserve"> M</w:t>
      </w:r>
      <w:r>
        <w:rPr>
          <w:rFonts w:hint="eastAsia"/>
          <w:color w:val="auto"/>
          <w:sz w:val="24"/>
        </w:rPr>
        <w:t>——液体分子量；</w:t>
      </w:r>
    </w:p>
    <w:p w14:paraId="458CAC8E">
      <w:pPr>
        <w:spacing w:line="360" w:lineRule="auto"/>
        <w:ind w:left="0" w:leftChars="0" w:firstLine="1200" w:firstLineChars="500"/>
        <w:rPr>
          <w:color w:val="auto"/>
          <w:sz w:val="24"/>
        </w:rPr>
      </w:pPr>
      <w:r>
        <w:rPr>
          <w:rFonts w:hint="eastAsia"/>
          <w:color w:val="auto"/>
          <w:sz w:val="24"/>
        </w:rPr>
        <w:t>U——蒸发液体表面上的空气流速（m/s），应以实测数据为准。无条件实测时，可取0</w:t>
      </w:r>
      <w:r>
        <w:rPr>
          <w:color w:val="auto"/>
          <w:sz w:val="24"/>
        </w:rPr>
        <w:t>.2</w:t>
      </w:r>
      <w:r>
        <w:rPr>
          <w:rFonts w:hint="eastAsia"/>
          <w:color w:val="auto"/>
          <w:sz w:val="24"/>
        </w:rPr>
        <w:t>~</w:t>
      </w:r>
      <w:r>
        <w:rPr>
          <w:color w:val="auto"/>
          <w:sz w:val="24"/>
        </w:rPr>
        <w:t>0.5</w:t>
      </w:r>
      <w:r>
        <w:rPr>
          <w:rFonts w:hint="eastAsia"/>
          <w:color w:val="auto"/>
          <w:sz w:val="24"/>
        </w:rPr>
        <w:t>m/s或查表计算，本次取0</w:t>
      </w:r>
      <w:r>
        <w:rPr>
          <w:color w:val="auto"/>
          <w:sz w:val="24"/>
        </w:rPr>
        <w:t>.35</w:t>
      </w:r>
      <w:r>
        <w:rPr>
          <w:rFonts w:hint="eastAsia"/>
          <w:color w:val="auto"/>
          <w:sz w:val="24"/>
        </w:rPr>
        <w:t>m/s；</w:t>
      </w:r>
    </w:p>
    <w:p w14:paraId="18DB8E3A">
      <w:pPr>
        <w:spacing w:line="360" w:lineRule="auto"/>
        <w:ind w:left="0" w:leftChars="0" w:firstLine="1200" w:firstLineChars="500"/>
        <w:rPr>
          <w:rFonts w:hint="eastAsia"/>
          <w:color w:val="auto"/>
          <w:sz w:val="24"/>
        </w:rPr>
      </w:pPr>
      <w:r>
        <w:rPr>
          <w:rFonts w:hint="eastAsia"/>
          <w:color w:val="auto"/>
          <w:sz w:val="24"/>
        </w:rPr>
        <w:t>P——相应于液体温度下空气中的饱和蒸汽分压力（m</w:t>
      </w:r>
      <w:r>
        <w:rPr>
          <w:color w:val="auto"/>
          <w:sz w:val="24"/>
        </w:rPr>
        <w:t>mHg</w:t>
      </w:r>
      <w:r>
        <w:rPr>
          <w:rFonts w:hint="eastAsia"/>
          <w:color w:val="auto"/>
          <w:sz w:val="24"/>
        </w:rPr>
        <w:t>），</w:t>
      </w:r>
      <w:r>
        <w:rPr>
          <w:rFonts w:hint="eastAsia"/>
          <w:color w:val="auto"/>
          <w:sz w:val="24"/>
          <w:lang w:val="en-US" w:eastAsia="zh-CN"/>
        </w:rPr>
        <w:t>本项目涉及硫酸产生的最高温度为120℃，</w:t>
      </w:r>
      <w:r>
        <w:rPr>
          <w:rFonts w:hint="eastAsia"/>
          <w:color w:val="auto"/>
          <w:sz w:val="24"/>
        </w:rPr>
        <w:t>饱和蒸汽分压力为</w:t>
      </w:r>
      <w:r>
        <w:rPr>
          <w:rFonts w:hint="eastAsia"/>
          <w:color w:val="auto"/>
          <w:sz w:val="24"/>
          <w:lang w:val="en-US" w:eastAsia="zh-CN"/>
        </w:rPr>
        <w:t>0.79</w:t>
      </w:r>
      <w:r>
        <w:rPr>
          <w:rFonts w:hint="eastAsia"/>
          <w:color w:val="auto"/>
          <w:sz w:val="24"/>
        </w:rPr>
        <w:t>m</w:t>
      </w:r>
      <w:r>
        <w:rPr>
          <w:color w:val="auto"/>
          <w:sz w:val="24"/>
        </w:rPr>
        <w:t>mHg</w:t>
      </w:r>
      <w:r>
        <w:rPr>
          <w:rFonts w:hint="eastAsia"/>
          <w:color w:val="auto"/>
          <w:sz w:val="24"/>
        </w:rPr>
        <w:t>；</w:t>
      </w:r>
      <w:r>
        <w:rPr>
          <w:rFonts w:hint="eastAsia"/>
          <w:color w:val="auto"/>
          <w:sz w:val="24"/>
          <w:lang w:val="en-US" w:eastAsia="zh-CN"/>
        </w:rPr>
        <w:t>涉及氟化物产生的最高温度为85℃，</w:t>
      </w:r>
      <w:r>
        <w:rPr>
          <w:rFonts w:hint="eastAsia"/>
          <w:color w:val="auto"/>
          <w:sz w:val="24"/>
        </w:rPr>
        <w:t>饱和蒸汽分压力为</w:t>
      </w:r>
      <w:r>
        <w:rPr>
          <w:rFonts w:hint="eastAsia"/>
          <w:color w:val="auto"/>
          <w:sz w:val="24"/>
          <w:lang w:val="en-US" w:eastAsia="zh-CN"/>
        </w:rPr>
        <w:t>37.5</w:t>
      </w:r>
      <w:r>
        <w:rPr>
          <w:rFonts w:hint="eastAsia"/>
          <w:color w:val="auto"/>
          <w:sz w:val="24"/>
        </w:rPr>
        <w:t>m</w:t>
      </w:r>
      <w:r>
        <w:rPr>
          <w:color w:val="auto"/>
          <w:sz w:val="24"/>
        </w:rPr>
        <w:t>mHg</w:t>
      </w:r>
      <w:r>
        <w:rPr>
          <w:rFonts w:hint="eastAsia"/>
          <w:color w:val="auto"/>
          <w:sz w:val="24"/>
        </w:rPr>
        <w:t>；</w:t>
      </w:r>
    </w:p>
    <w:p w14:paraId="6A9F3823">
      <w:pPr>
        <w:spacing w:line="360" w:lineRule="auto"/>
        <w:ind w:left="0" w:leftChars="0" w:firstLine="1200" w:firstLineChars="500"/>
        <w:rPr>
          <w:rFonts w:hint="eastAsia"/>
          <w:color w:val="auto"/>
          <w:sz w:val="24"/>
        </w:rPr>
      </w:pPr>
      <w:r>
        <w:rPr>
          <w:rFonts w:hint="eastAsia"/>
          <w:color w:val="auto"/>
          <w:sz w:val="24"/>
        </w:rPr>
        <w:t>F——蒸发面的面积，m</w:t>
      </w:r>
      <w:r>
        <w:rPr>
          <w:color w:val="auto"/>
          <w:sz w:val="24"/>
          <w:vertAlign w:val="superscript"/>
        </w:rPr>
        <w:t>2</w:t>
      </w:r>
      <w:r>
        <w:rPr>
          <w:rFonts w:hint="eastAsia"/>
          <w:color w:val="auto"/>
          <w:sz w:val="24"/>
        </w:rPr>
        <w:t>，</w:t>
      </w:r>
      <w:r>
        <w:rPr>
          <w:rFonts w:hint="eastAsia"/>
          <w:color w:val="auto"/>
          <w:sz w:val="24"/>
          <w:lang w:val="en-US" w:eastAsia="zh-CN"/>
        </w:rPr>
        <w:t>本项目设3个硫酸铝合成釜，均为闭式反应釜，</w:t>
      </w:r>
      <w:r>
        <w:rPr>
          <w:rFonts w:hint="eastAsia"/>
          <w:color w:val="auto"/>
          <w:sz w:val="24"/>
        </w:rPr>
        <w:t>蒸发面面积</w:t>
      </w:r>
      <w:r>
        <w:rPr>
          <w:rFonts w:hint="eastAsia"/>
          <w:color w:val="auto"/>
          <w:sz w:val="24"/>
          <w:lang w:val="en-US" w:eastAsia="zh-CN"/>
        </w:rPr>
        <w:t>取3个反应釜出料口开口总面积，</w:t>
      </w:r>
      <w:r>
        <w:rPr>
          <w:color w:val="auto"/>
          <w:sz w:val="24"/>
        </w:rPr>
        <w:t>0.</w:t>
      </w:r>
      <w:r>
        <w:rPr>
          <w:rFonts w:hint="eastAsia"/>
          <w:color w:val="auto"/>
          <w:sz w:val="24"/>
          <w:lang w:val="en-US" w:eastAsia="zh-CN"/>
        </w:rPr>
        <w:t>005</w:t>
      </w:r>
      <w:r>
        <w:rPr>
          <w:color w:val="auto"/>
          <w:sz w:val="24"/>
        </w:rPr>
        <w:t>m</w:t>
      </w:r>
      <w:r>
        <w:rPr>
          <w:color w:val="auto"/>
          <w:sz w:val="24"/>
          <w:vertAlign w:val="superscript"/>
        </w:rPr>
        <w:t>2</w:t>
      </w:r>
      <w:r>
        <w:rPr>
          <w:rFonts w:hint="eastAsia"/>
          <w:color w:val="auto"/>
          <w:sz w:val="24"/>
        </w:rPr>
        <w:t>；</w:t>
      </w:r>
      <w:r>
        <w:rPr>
          <w:rFonts w:hint="eastAsia"/>
          <w:color w:val="auto"/>
          <w:sz w:val="24"/>
          <w:lang w:val="en-US" w:eastAsia="zh-CN"/>
        </w:rPr>
        <w:t>设3个无碱速凝剂合成釜，均为闭式反应釜，</w:t>
      </w:r>
      <w:r>
        <w:rPr>
          <w:rFonts w:hint="eastAsia"/>
          <w:color w:val="auto"/>
          <w:sz w:val="24"/>
        </w:rPr>
        <w:t>蒸发面面积</w:t>
      </w:r>
      <w:r>
        <w:rPr>
          <w:rFonts w:hint="eastAsia"/>
          <w:color w:val="auto"/>
          <w:sz w:val="24"/>
          <w:lang w:val="en-US" w:eastAsia="zh-CN"/>
        </w:rPr>
        <w:t>取3个反应釜出料口开口总面积，</w:t>
      </w:r>
      <w:r>
        <w:rPr>
          <w:color w:val="auto"/>
          <w:sz w:val="24"/>
        </w:rPr>
        <w:t>0.</w:t>
      </w:r>
      <w:r>
        <w:rPr>
          <w:rFonts w:hint="eastAsia"/>
          <w:color w:val="auto"/>
          <w:sz w:val="24"/>
          <w:lang w:val="en-US" w:eastAsia="zh-CN"/>
        </w:rPr>
        <w:t>01</w:t>
      </w:r>
      <w:r>
        <w:rPr>
          <w:color w:val="auto"/>
          <w:sz w:val="24"/>
        </w:rPr>
        <w:t>m</w:t>
      </w:r>
      <w:r>
        <w:rPr>
          <w:color w:val="auto"/>
          <w:sz w:val="24"/>
          <w:vertAlign w:val="superscript"/>
        </w:rPr>
        <w:t>2</w:t>
      </w:r>
      <w:r>
        <w:rPr>
          <w:rFonts w:hint="eastAsia"/>
          <w:color w:val="auto"/>
          <w:highlight w:val="none"/>
          <w:lang w:val="en-US" w:eastAsia="zh-CN"/>
        </w:rPr>
        <w:t>。</w:t>
      </w:r>
    </w:p>
    <w:p w14:paraId="3CB0F60A">
      <w:pPr>
        <w:bidi w:val="0"/>
        <w:ind w:left="0" w:leftChars="0" w:firstLine="480" w:firstLineChars="200"/>
        <w:rPr>
          <w:rFonts w:hint="default" w:cs="Times New Roman"/>
          <w:color w:val="auto"/>
          <w:sz w:val="24"/>
          <w:szCs w:val="24"/>
          <w:highlight w:val="none"/>
          <w:lang w:val="en-US" w:eastAsia="zh-CN"/>
        </w:rPr>
      </w:pPr>
      <w:r>
        <w:rPr>
          <w:rFonts w:hint="eastAsia"/>
          <w:color w:val="auto"/>
          <w:sz w:val="24"/>
        </w:rPr>
        <w:t>由上述公示计算可得，G</w:t>
      </w:r>
      <w:r>
        <w:rPr>
          <w:color w:val="auto"/>
          <w:sz w:val="24"/>
        </w:rPr>
        <w:t>z</w:t>
      </w:r>
      <w:r>
        <w:rPr>
          <w:rFonts w:hint="eastAsia"/>
          <w:color w:val="auto"/>
          <w:sz w:val="24"/>
        </w:rPr>
        <w:t>=</w:t>
      </w:r>
      <w:r>
        <w:rPr>
          <w:rFonts w:hint="eastAsia"/>
          <w:color w:val="auto"/>
          <w:sz w:val="24"/>
          <w:lang w:val="en-US" w:eastAsia="zh-CN"/>
        </w:rPr>
        <w:t>0.0047</w:t>
      </w:r>
      <w:r>
        <w:rPr>
          <w:rFonts w:hint="eastAsia"/>
          <w:color w:val="auto"/>
          <w:sz w:val="24"/>
        </w:rPr>
        <w:t>k</w:t>
      </w:r>
      <w:r>
        <w:rPr>
          <w:color w:val="auto"/>
          <w:sz w:val="24"/>
        </w:rPr>
        <w:t>g/h</w:t>
      </w:r>
      <w:r>
        <w:rPr>
          <w:rFonts w:hint="eastAsia"/>
          <w:color w:val="auto"/>
          <w:sz w:val="24"/>
        </w:rPr>
        <w:t>，</w:t>
      </w:r>
      <w:r>
        <w:rPr>
          <w:rFonts w:hint="eastAsia"/>
          <w:color w:val="auto"/>
          <w:sz w:val="24"/>
          <w:lang w:val="en-US" w:eastAsia="zh-CN"/>
        </w:rPr>
        <w:t>本项目硫酸铝和无碱速凝剂合成时间均为4h/批（其中反应时间为3h/批），每天生产2批，则硫酸雾</w:t>
      </w:r>
      <w:r>
        <w:rPr>
          <w:rFonts w:hint="eastAsia"/>
          <w:color w:val="auto"/>
          <w:highlight w:val="none"/>
          <w:lang w:val="en-US" w:eastAsia="zh-CN"/>
        </w:rPr>
        <w:t>产生量为0.0004t/a、</w:t>
      </w:r>
      <w:r>
        <w:rPr>
          <w:rFonts w:hint="eastAsia"/>
          <w:color w:val="auto"/>
          <w:sz w:val="24"/>
          <w:lang w:val="en-US" w:eastAsia="zh-CN"/>
        </w:rPr>
        <w:t>氟化物</w:t>
      </w:r>
      <w:r>
        <w:rPr>
          <w:rFonts w:hint="eastAsia"/>
          <w:color w:val="auto"/>
          <w:highlight w:val="none"/>
          <w:lang w:val="en-US" w:eastAsia="zh-CN"/>
        </w:rPr>
        <w:t>产生量为0.0085t/a。</w:t>
      </w:r>
    </w:p>
    <w:p w14:paraId="7489F0F7">
      <w:pPr>
        <w:bidi w:val="0"/>
        <w:ind w:left="0" w:leftChars="0" w:firstLine="480" w:firstLineChars="200"/>
        <w:rPr>
          <w:rFonts w:hint="eastAsia"/>
          <w:b w:val="0"/>
          <w:bCs w:val="0"/>
          <w:color w:val="auto"/>
          <w:lang w:val="en-US" w:eastAsia="zh-CN"/>
        </w:rPr>
      </w:pPr>
      <w:r>
        <w:rPr>
          <w:rFonts w:hint="eastAsia" w:cs="Times New Roman"/>
          <w:color w:val="auto"/>
          <w:sz w:val="24"/>
          <w:szCs w:val="24"/>
          <w:highlight w:val="none"/>
          <w:lang w:val="en-US" w:eastAsia="zh-CN"/>
        </w:rPr>
        <w:t>因此，本项目工艺废气中反应废气</w:t>
      </w:r>
      <w:r>
        <w:rPr>
          <w:rFonts w:hint="eastAsia"/>
          <w:b w:val="0"/>
          <w:bCs w:val="0"/>
          <w:color w:val="auto"/>
          <w:lang w:val="en-US" w:eastAsia="zh-CN"/>
        </w:rPr>
        <w:t>产生量为硫酸雾0.0383t/a、氟化物0.097t/a、VOCs0.284t/a。</w:t>
      </w:r>
    </w:p>
    <w:p w14:paraId="4779802B">
      <w:pPr>
        <w:bidi w:val="0"/>
        <w:ind w:left="0" w:leftChars="0" w:firstLine="480" w:firstLineChars="200"/>
        <w:rPr>
          <w:rFonts w:hint="default"/>
          <w:b w:val="0"/>
          <w:bCs w:val="0"/>
          <w:color w:val="auto"/>
          <w:lang w:val="en-US" w:eastAsia="zh-CN"/>
        </w:rPr>
      </w:pPr>
      <w:r>
        <w:rPr>
          <w:rFonts w:hint="eastAsia"/>
          <w:b w:val="0"/>
          <w:bCs w:val="0"/>
          <w:color w:val="auto"/>
          <w:lang w:val="en-US" w:eastAsia="zh-CN"/>
        </w:rPr>
        <w:t>综上，本项目工艺废气产生量为颗粒物0.03t/a、硫酸雾0.1003t/a、氟化物0.2053t/a、VOCs0.3638t/a。</w:t>
      </w:r>
    </w:p>
    <w:p w14:paraId="70254EBE">
      <w:pPr>
        <w:bidi w:val="0"/>
        <w:rPr>
          <w:rFonts w:hint="default"/>
          <w:color w:val="auto"/>
          <w:lang w:val="en-US" w:eastAsia="zh-CN"/>
        </w:rPr>
      </w:pPr>
      <w:r>
        <w:rPr>
          <w:rFonts w:hint="eastAsia"/>
          <w:color w:val="auto"/>
          <w:lang w:val="en-US" w:eastAsia="zh-CN"/>
        </w:rPr>
        <w:t>（2）治理措施</w:t>
      </w:r>
    </w:p>
    <w:p w14:paraId="2B37220A">
      <w:pPr>
        <w:bidi w:val="0"/>
        <w:ind w:left="0" w:leftChars="0" w:firstLine="480" w:firstLineChars="200"/>
        <w:rPr>
          <w:rFonts w:hint="eastAsia"/>
          <w:color w:val="auto"/>
          <w:highlight w:val="none"/>
          <w:lang w:val="en-US" w:eastAsia="zh-CN"/>
        </w:rPr>
      </w:pPr>
      <w:r>
        <w:rPr>
          <w:rFonts w:hint="eastAsia"/>
          <w:color w:val="auto"/>
          <w:highlight w:val="none"/>
          <w:lang w:val="en-US" w:eastAsia="zh-CN"/>
        </w:rPr>
        <w:t>本项目在化料罐、B料配置罐、备用配置罐、复配预混罐、复配罐投料口上方设置集气罩（共6个，单个罩面周长2.4m），丙烯酸储罐、丙烯酸羟乙酯储罐、丙烯酸计量罐、巯基乙醇计量罐、巯基丙酸计量罐、A料配置罐、B料配置罐、备用配置罐、硫酸储罐、氟硅酸储罐、硫酸滴加罐、硫酸铝反应釜、氟硅酸计量罐、无碱速凝剂合成釜、基础油储罐、乳化剂计量罐、乳化油型复配罐、水乳型复配罐排气阀设密闭集气管道（共28根），</w:t>
      </w:r>
      <w:r>
        <w:rPr>
          <w:rFonts w:hint="eastAsia" w:cs="Courier New"/>
          <w:b w:val="0"/>
          <w:color w:val="auto"/>
          <w:highlight w:val="none"/>
          <w:lang w:val="en-US" w:eastAsia="zh-CN"/>
        </w:rPr>
        <w:t>并设</w:t>
      </w:r>
      <w:r>
        <w:rPr>
          <w:rFonts w:hint="default" w:ascii="Times New Roman" w:hAnsi="Times New Roman" w:eastAsia="宋体" w:cs="Courier New"/>
          <w:b w:val="0"/>
          <w:color w:val="auto"/>
          <w:highlight w:val="none"/>
          <w:lang w:val="en-US" w:eastAsia="zh-CN"/>
        </w:rPr>
        <w:t>1套二级碱喷淋（自带除雾装置）+</w:t>
      </w:r>
      <w:r>
        <w:rPr>
          <w:rFonts w:hint="eastAsia" w:cs="Courier New"/>
          <w:b w:val="0"/>
          <w:color w:val="auto"/>
          <w:highlight w:val="none"/>
          <w:lang w:val="en-US" w:eastAsia="zh-CN"/>
        </w:rPr>
        <w:t>两级</w:t>
      </w:r>
      <w:r>
        <w:rPr>
          <w:rFonts w:hint="default" w:ascii="Times New Roman" w:hAnsi="Times New Roman" w:eastAsia="宋体" w:cs="Courier New"/>
          <w:b w:val="0"/>
          <w:color w:val="auto"/>
          <w:highlight w:val="none"/>
          <w:lang w:val="en-US" w:eastAsia="zh-CN"/>
        </w:rPr>
        <w:t>活性炭吸附装置（TA001）</w:t>
      </w:r>
      <w:r>
        <w:rPr>
          <w:rFonts w:hint="eastAsia" w:cs="Courier New"/>
          <w:b w:val="0"/>
          <w:color w:val="auto"/>
          <w:highlight w:val="none"/>
          <w:lang w:val="en-US" w:eastAsia="zh-CN"/>
        </w:rPr>
        <w:t>，工艺废气经收集处理后通过1根距地面15m高排气筒（DA001）排放</w:t>
      </w:r>
      <w:r>
        <w:rPr>
          <w:rFonts w:hint="eastAsia"/>
          <w:color w:val="auto"/>
          <w:highlight w:val="none"/>
          <w:lang w:val="en-US" w:eastAsia="zh-CN"/>
        </w:rPr>
        <w:t>。该系统集气罩收集效率按80%计、集气管道收集效率按95%计，颗粒物、酸雾处理效率按90%计、有机废气处理效率按87.75%计，风量为20000m</w:t>
      </w:r>
      <w:r>
        <w:rPr>
          <w:rFonts w:hint="eastAsia"/>
          <w:color w:val="auto"/>
          <w:highlight w:val="none"/>
          <w:vertAlign w:val="superscript"/>
          <w:lang w:val="en-US" w:eastAsia="zh-CN"/>
        </w:rPr>
        <w:t>3</w:t>
      </w:r>
      <w:r>
        <w:rPr>
          <w:rFonts w:hint="eastAsia"/>
          <w:color w:val="auto"/>
          <w:highlight w:val="none"/>
          <w:lang w:val="en-US" w:eastAsia="zh-CN"/>
        </w:rPr>
        <w:t>/h。</w:t>
      </w:r>
    </w:p>
    <w:p w14:paraId="084DBBD9">
      <w:pPr>
        <w:bidi w:val="0"/>
        <w:ind w:left="0" w:leftChars="0" w:firstLine="482" w:firstLineChars="200"/>
        <w:rPr>
          <w:rFonts w:hint="eastAsia"/>
          <w:color w:val="auto"/>
          <w:lang w:eastAsia="zh-CN"/>
        </w:rPr>
      </w:pPr>
      <w:r>
        <w:rPr>
          <w:rFonts w:hint="eastAsia"/>
          <w:b/>
          <w:bCs/>
          <w:color w:val="auto"/>
          <w:lang w:val="en-US" w:eastAsia="zh-CN"/>
        </w:rPr>
        <w:t>①收集效率：</w:t>
      </w:r>
      <w:r>
        <w:rPr>
          <w:rFonts w:hint="eastAsia"/>
          <w:color w:val="auto"/>
          <w:lang w:val="en-US" w:eastAsia="zh-CN"/>
        </w:rPr>
        <w:t>根据关于印发《主要污染物总量减排核算技术指南（2022年修订）》的通知（环办综合函〔2022〕350号）中表2-3VOCs废气收集率和治理设施去除率通用系数，本项目投料粉尘采用集气罩正压收集，</w:t>
      </w:r>
      <w:r>
        <w:rPr>
          <w:rFonts w:hint="eastAsia" w:ascii="Times New Roman" w:hAnsi="Times New Roman" w:eastAsia="宋体" w:cs="Times New Roman"/>
          <w:b w:val="0"/>
          <w:bCs w:val="0"/>
          <w:color w:val="auto"/>
          <w:sz w:val="24"/>
          <w:highlight w:val="none"/>
          <w:lang w:val="en-US" w:eastAsia="zh-CN"/>
        </w:rPr>
        <w:t>收集效率可达80%</w:t>
      </w:r>
      <w:r>
        <w:rPr>
          <w:rFonts w:hint="eastAsia" w:ascii="Times New Roman" w:hAnsi="Times New Roman" w:cs="Times New Roman"/>
          <w:b w:val="0"/>
          <w:bCs w:val="0"/>
          <w:color w:val="auto"/>
          <w:sz w:val="24"/>
          <w:highlight w:val="none"/>
          <w:lang w:val="en-US" w:eastAsia="zh-CN"/>
        </w:rPr>
        <w:t>；罐体和反应釜</w:t>
      </w:r>
      <w:r>
        <w:rPr>
          <w:rFonts w:hint="eastAsia"/>
          <w:color w:val="auto"/>
          <w:lang w:val="en-US" w:eastAsia="zh-CN"/>
        </w:rPr>
        <w:t>排气阀设密闭集气管道，废气收集效率可达到</w:t>
      </w:r>
      <w:r>
        <w:rPr>
          <w:color w:val="auto"/>
        </w:rPr>
        <w:t>9</w:t>
      </w:r>
      <w:r>
        <w:rPr>
          <w:rFonts w:hint="eastAsia"/>
          <w:color w:val="auto"/>
          <w:lang w:val="en-US" w:eastAsia="zh-CN"/>
        </w:rPr>
        <w:t>5</w:t>
      </w:r>
      <w:r>
        <w:rPr>
          <w:color w:val="auto"/>
        </w:rPr>
        <w:t>%</w:t>
      </w:r>
      <w:r>
        <w:rPr>
          <w:rFonts w:hint="eastAsia"/>
          <w:color w:val="auto"/>
          <w:lang w:eastAsia="zh-CN"/>
        </w:rPr>
        <w:t>。</w:t>
      </w:r>
    </w:p>
    <w:p w14:paraId="4FBD5632">
      <w:pPr>
        <w:bidi w:val="0"/>
        <w:rPr>
          <w:rFonts w:hint="eastAsia"/>
          <w:b/>
          <w:bCs/>
          <w:color w:val="auto"/>
          <w:lang w:val="en-US" w:eastAsia="zh-CN"/>
        </w:rPr>
      </w:pPr>
      <w:r>
        <w:rPr>
          <w:rFonts w:hint="eastAsia"/>
          <w:b/>
          <w:bCs/>
          <w:color w:val="auto"/>
          <w:lang w:val="en-US" w:eastAsia="zh-CN"/>
        </w:rPr>
        <w:t>②处理效率</w:t>
      </w:r>
    </w:p>
    <w:p w14:paraId="0F579CA2">
      <w:pPr>
        <w:bidi w:val="0"/>
        <w:ind w:left="0" w:leftChars="0" w:firstLine="480" w:firstLineChars="200"/>
        <w:rPr>
          <w:rFonts w:hint="default"/>
          <w:color w:val="auto"/>
          <w:lang w:val="en-US" w:eastAsia="zh-CN"/>
        </w:rPr>
      </w:pPr>
      <w:r>
        <w:rPr>
          <w:rFonts w:hint="eastAsia"/>
          <w:color w:val="auto"/>
          <w:lang w:val="en-US" w:eastAsia="zh-CN"/>
        </w:rPr>
        <w:t>A.酸雾：参照《污染源源强核算技术指南 电镀》（HJ984-2018）中表F.1电镀废气污染治理技术及效果，采用喷淋塔中和法去除酸碱废气中硫酸雾、氮氧化物、氯化物、氟化物，去除效率参考值为85%~95%，本次取酸雾处理效率为90%。</w:t>
      </w:r>
    </w:p>
    <w:p w14:paraId="0CC3B74D">
      <w:pPr>
        <w:bidi w:val="0"/>
        <w:ind w:left="0" w:leftChars="0" w:firstLine="480" w:firstLineChars="200"/>
        <w:rPr>
          <w:rFonts w:hint="eastAsia"/>
          <w:color w:val="auto"/>
          <w:lang w:eastAsia="zh-CN"/>
        </w:rPr>
      </w:pPr>
      <w:r>
        <w:rPr>
          <w:rFonts w:hint="eastAsia"/>
          <w:color w:val="auto"/>
          <w:lang w:val="en-US" w:eastAsia="zh-CN"/>
        </w:rPr>
        <w:t>B.VOCs：</w:t>
      </w:r>
      <w:r>
        <w:rPr>
          <w:rFonts w:hint="eastAsia"/>
          <w:color w:val="auto"/>
          <w:lang w:eastAsia="zh-CN"/>
        </w:rPr>
        <w:t>根据</w:t>
      </w:r>
      <w:r>
        <w:rPr>
          <w:rFonts w:hint="eastAsia"/>
          <w:color w:val="auto"/>
          <w:lang w:val="en-US" w:eastAsia="zh-CN"/>
        </w:rPr>
        <w:t>关于印发《主要污染物总量减排核算技术指南（2022年修订）》的通知（环办综合函〔2022〕350号）中表2-3VOCs废气收集率和治理设施去除率通用系数-喷淋吸收（甲醛、甲醇、乙醇等水溶性物质）为30%、一次活性炭吸附（集中再生并活化）为50%，本项目有机废气采用二级碱喷淋（自带除雾装置）+两级活性炭吸附装置处理，有机废气中丙烯酸、巯基乙醇、丙烯酸羟乙酯等均为水溶性物质，并按后文要求定期更换活性炭，处理效率可达到87.75</w:t>
      </w:r>
      <w:r>
        <w:rPr>
          <w:rFonts w:hint="eastAsia"/>
          <w:color w:val="auto"/>
          <w:lang w:eastAsia="zh-CN"/>
        </w:rPr>
        <w:t>%。</w:t>
      </w:r>
    </w:p>
    <w:p w14:paraId="0982F9AF">
      <w:pPr>
        <w:bidi w:val="0"/>
        <w:rPr>
          <w:rFonts w:hint="default"/>
          <w:b/>
          <w:bCs/>
          <w:color w:val="auto"/>
          <w:lang w:val="en-US" w:eastAsia="zh-CN"/>
        </w:rPr>
      </w:pPr>
      <w:r>
        <w:rPr>
          <w:rFonts w:hint="default"/>
          <w:b/>
          <w:bCs/>
          <w:color w:val="auto"/>
          <w:lang w:val="en-US" w:eastAsia="zh-CN"/>
        </w:rPr>
        <w:t>③风量</w:t>
      </w:r>
    </w:p>
    <w:p w14:paraId="67E0A651">
      <w:pPr>
        <w:bidi w:val="0"/>
        <w:rPr>
          <w:color w:val="auto"/>
        </w:rPr>
      </w:pPr>
      <w:r>
        <w:rPr>
          <w:rFonts w:hint="eastAsia"/>
          <w:color w:val="auto"/>
          <w:lang w:val="en-US" w:eastAsia="zh-CN"/>
        </w:rPr>
        <w:t>A.集气罩：根据</w:t>
      </w:r>
      <w:r>
        <w:rPr>
          <w:rFonts w:hint="default"/>
          <w:color w:val="auto"/>
          <w:lang w:val="en-US" w:eastAsia="zh-CN"/>
        </w:rPr>
        <w:t>《</w:t>
      </w:r>
      <w:r>
        <w:rPr>
          <w:rFonts w:hint="eastAsia"/>
          <w:color w:val="auto"/>
          <w:lang w:val="en-US" w:eastAsia="zh-CN"/>
        </w:rPr>
        <w:t>环境工程设计手册</w:t>
      </w:r>
      <w:r>
        <w:rPr>
          <w:rFonts w:hint="default"/>
          <w:color w:val="auto"/>
          <w:lang w:val="en-US" w:eastAsia="zh-CN"/>
        </w:rPr>
        <w:t>》</w:t>
      </w:r>
      <w:r>
        <w:rPr>
          <w:color w:val="auto"/>
        </w:rPr>
        <w:t>（2002年版）</w:t>
      </w:r>
      <w:r>
        <w:rPr>
          <w:rFonts w:hint="default"/>
          <w:color w:val="auto"/>
          <w:lang w:val="en-US" w:eastAsia="zh-CN"/>
        </w:rPr>
        <w:t>，</w:t>
      </w:r>
      <w:r>
        <w:rPr>
          <w:rFonts w:hint="eastAsia"/>
          <w:color w:val="auto"/>
        </w:rPr>
        <w:t>排风罩</w:t>
      </w:r>
      <w:r>
        <w:rPr>
          <w:color w:val="auto"/>
        </w:rPr>
        <w:t>设置在污染源上方的排风量计算公式为：</w:t>
      </w:r>
    </w:p>
    <w:p w14:paraId="43A98F8B">
      <w:pPr>
        <w:spacing w:line="360" w:lineRule="auto"/>
        <w:ind w:left="0" w:leftChars="0" w:firstLine="0" w:firstLineChars="0"/>
        <w:jc w:val="center"/>
        <w:rPr>
          <w:bCs/>
          <w:color w:val="auto"/>
          <w:sz w:val="24"/>
        </w:rPr>
      </w:pPr>
      <w:r>
        <w:rPr>
          <w:bCs/>
          <w:color w:val="auto"/>
          <w:sz w:val="24"/>
        </w:rPr>
        <w:t>L=k*P*H*Vr</w:t>
      </w:r>
    </w:p>
    <w:p w14:paraId="05D55F87">
      <w:pPr>
        <w:spacing w:line="360" w:lineRule="auto"/>
        <w:rPr>
          <w:bCs/>
          <w:color w:val="auto"/>
          <w:sz w:val="24"/>
        </w:rPr>
      </w:pPr>
      <w:r>
        <w:rPr>
          <w:bCs/>
          <w:color w:val="auto"/>
          <w:sz w:val="24"/>
        </w:rPr>
        <w:t>式中：L——</w:t>
      </w:r>
      <w:r>
        <w:rPr>
          <w:rFonts w:hint="eastAsia"/>
          <w:bCs/>
          <w:color w:val="auto"/>
          <w:sz w:val="24"/>
        </w:rPr>
        <w:t>排</w:t>
      </w:r>
      <w:r>
        <w:rPr>
          <w:bCs/>
          <w:color w:val="auto"/>
          <w:sz w:val="24"/>
        </w:rPr>
        <w:t>风量，m</w:t>
      </w:r>
      <w:r>
        <w:rPr>
          <w:bCs/>
          <w:color w:val="auto"/>
          <w:sz w:val="24"/>
          <w:vertAlign w:val="superscript"/>
        </w:rPr>
        <w:t>3</w:t>
      </w:r>
      <w:r>
        <w:rPr>
          <w:bCs/>
          <w:color w:val="auto"/>
          <w:sz w:val="24"/>
        </w:rPr>
        <w:t>/s；</w:t>
      </w:r>
    </w:p>
    <w:p w14:paraId="78755C63">
      <w:pPr>
        <w:spacing w:line="360" w:lineRule="auto"/>
        <w:ind w:firstLine="480" w:firstLineChars="200"/>
        <w:rPr>
          <w:bCs/>
          <w:color w:val="auto"/>
          <w:sz w:val="24"/>
        </w:rPr>
      </w:pPr>
      <w:r>
        <w:rPr>
          <w:bCs/>
          <w:color w:val="auto"/>
          <w:sz w:val="24"/>
        </w:rPr>
        <w:t xml:space="preserve">  k——</w:t>
      </w:r>
      <w:r>
        <w:rPr>
          <w:rFonts w:hint="eastAsia"/>
          <w:bCs/>
          <w:color w:val="auto"/>
          <w:sz w:val="24"/>
        </w:rPr>
        <w:t>安全系数</w:t>
      </w:r>
      <w:r>
        <w:rPr>
          <w:bCs/>
          <w:color w:val="auto"/>
          <w:sz w:val="24"/>
        </w:rPr>
        <w:t>，</w:t>
      </w:r>
      <w:r>
        <w:rPr>
          <w:rFonts w:hint="eastAsia"/>
          <w:bCs/>
          <w:color w:val="auto"/>
          <w:sz w:val="24"/>
          <w:lang w:val="en-US" w:eastAsia="zh-CN"/>
        </w:rPr>
        <w:t>一般</w:t>
      </w:r>
      <w:r>
        <w:rPr>
          <w:rFonts w:hint="eastAsia"/>
          <w:b w:val="0"/>
          <w:bCs/>
          <w:color w:val="auto"/>
          <w:sz w:val="24"/>
          <w:lang w:val="en-US" w:eastAsia="zh-CN"/>
        </w:rPr>
        <w:t>取1.4</w:t>
      </w:r>
      <w:r>
        <w:rPr>
          <w:bCs/>
          <w:color w:val="auto"/>
          <w:sz w:val="24"/>
        </w:rPr>
        <w:t>；</w:t>
      </w:r>
    </w:p>
    <w:p w14:paraId="484036E8">
      <w:pPr>
        <w:spacing w:line="360" w:lineRule="auto"/>
        <w:ind w:firstLine="480" w:firstLineChars="200"/>
        <w:rPr>
          <w:bCs/>
          <w:color w:val="auto"/>
          <w:sz w:val="24"/>
        </w:rPr>
      </w:pPr>
      <w:r>
        <w:rPr>
          <w:bCs/>
          <w:color w:val="auto"/>
          <w:sz w:val="24"/>
        </w:rPr>
        <w:t xml:space="preserve">  P——</w:t>
      </w:r>
      <w:r>
        <w:rPr>
          <w:rFonts w:hint="eastAsia"/>
          <w:bCs/>
          <w:color w:val="auto"/>
          <w:sz w:val="24"/>
        </w:rPr>
        <w:t>排风罩口</w:t>
      </w:r>
      <w:r>
        <w:rPr>
          <w:bCs/>
          <w:color w:val="auto"/>
          <w:sz w:val="24"/>
        </w:rPr>
        <w:t>敞开面的周长，m；</w:t>
      </w:r>
    </w:p>
    <w:p w14:paraId="06151415">
      <w:pPr>
        <w:spacing w:line="360" w:lineRule="auto"/>
        <w:ind w:firstLine="480" w:firstLineChars="200"/>
        <w:rPr>
          <w:bCs/>
          <w:color w:val="auto"/>
          <w:sz w:val="24"/>
        </w:rPr>
      </w:pPr>
      <w:r>
        <w:rPr>
          <w:rFonts w:hint="eastAsia"/>
          <w:bCs/>
          <w:color w:val="auto"/>
          <w:sz w:val="24"/>
        </w:rPr>
        <w:t xml:space="preserve">  H</w:t>
      </w:r>
      <w:r>
        <w:rPr>
          <w:bCs/>
          <w:color w:val="auto"/>
          <w:sz w:val="24"/>
        </w:rPr>
        <w:t>——</w:t>
      </w:r>
      <w:r>
        <w:rPr>
          <w:rFonts w:hint="eastAsia"/>
          <w:bCs/>
          <w:color w:val="auto"/>
          <w:sz w:val="24"/>
        </w:rPr>
        <w:t>罩口至</w:t>
      </w:r>
      <w:r>
        <w:rPr>
          <w:bCs/>
          <w:color w:val="auto"/>
          <w:sz w:val="24"/>
        </w:rPr>
        <w:t>污染源的距离，</w:t>
      </w:r>
      <w:r>
        <w:rPr>
          <w:rFonts w:hint="eastAsia"/>
          <w:bCs/>
          <w:color w:val="auto"/>
          <w:sz w:val="24"/>
        </w:rPr>
        <w:t>m</w:t>
      </w:r>
      <w:r>
        <w:rPr>
          <w:rFonts w:hint="eastAsia"/>
          <w:bCs/>
          <w:color w:val="auto"/>
          <w:sz w:val="24"/>
          <w:lang w:eastAsia="zh-CN"/>
        </w:rPr>
        <w:t>，</w:t>
      </w:r>
      <w:r>
        <w:rPr>
          <w:rFonts w:hint="eastAsia"/>
          <w:bCs/>
          <w:color w:val="auto"/>
          <w:sz w:val="24"/>
          <w:lang w:val="en-US" w:eastAsia="zh-CN"/>
        </w:rPr>
        <w:t>本次取0.5</w:t>
      </w:r>
      <w:r>
        <w:rPr>
          <w:rFonts w:hint="eastAsia"/>
          <w:bCs/>
          <w:color w:val="auto"/>
          <w:sz w:val="24"/>
        </w:rPr>
        <w:t>；</w:t>
      </w:r>
    </w:p>
    <w:p w14:paraId="18FC3E4E">
      <w:pPr>
        <w:widowControl w:val="0"/>
        <w:numPr>
          <w:ilvl w:val="0"/>
          <w:numId w:val="0"/>
        </w:numPr>
        <w:spacing w:line="360" w:lineRule="auto"/>
        <w:ind w:firstLine="1200" w:firstLineChars="500"/>
        <w:jc w:val="both"/>
        <w:rPr>
          <w:rFonts w:hint="default"/>
          <w:b w:val="0"/>
          <w:bCs/>
          <w:color w:val="auto"/>
          <w:sz w:val="24"/>
          <w:lang w:val="en-US" w:eastAsia="zh-CN"/>
        </w:rPr>
      </w:pPr>
      <w:r>
        <w:rPr>
          <w:bCs/>
          <w:color w:val="auto"/>
          <w:sz w:val="24"/>
        </w:rPr>
        <w:t>V</w:t>
      </w:r>
      <w:r>
        <w:rPr>
          <w:bCs/>
          <w:color w:val="auto"/>
          <w:sz w:val="24"/>
          <w:vertAlign w:val="subscript"/>
        </w:rPr>
        <w:t>r</w:t>
      </w:r>
      <w:r>
        <w:rPr>
          <w:bCs/>
          <w:color w:val="auto"/>
          <w:sz w:val="24"/>
        </w:rPr>
        <w:t>——</w:t>
      </w:r>
      <w:r>
        <w:rPr>
          <w:rFonts w:hint="eastAsia"/>
          <w:bCs/>
          <w:color w:val="auto"/>
          <w:sz w:val="24"/>
        </w:rPr>
        <w:t>污染源</w:t>
      </w:r>
      <w:r>
        <w:rPr>
          <w:bCs/>
          <w:color w:val="auto"/>
          <w:sz w:val="24"/>
        </w:rPr>
        <w:t>边缘</w:t>
      </w:r>
      <w:r>
        <w:rPr>
          <w:rFonts w:hint="eastAsia"/>
          <w:bCs/>
          <w:color w:val="auto"/>
          <w:sz w:val="24"/>
        </w:rPr>
        <w:t>控制</w:t>
      </w:r>
      <w:r>
        <w:rPr>
          <w:bCs/>
          <w:color w:val="auto"/>
          <w:sz w:val="24"/>
        </w:rPr>
        <w:t>风速，m/s（根据《环境工程设计手册》（2002年版），在</w:t>
      </w:r>
      <w:r>
        <w:rPr>
          <w:rFonts w:hint="eastAsia"/>
          <w:bCs/>
          <w:color w:val="auto"/>
          <w:sz w:val="24"/>
          <w:lang w:val="en-US" w:eastAsia="zh-CN"/>
        </w:rPr>
        <w:t>较稳定的状态下、</w:t>
      </w:r>
      <w:r>
        <w:rPr>
          <w:bCs/>
          <w:color w:val="auto"/>
          <w:sz w:val="24"/>
        </w:rPr>
        <w:t>废气扩散速度</w:t>
      </w:r>
      <w:r>
        <w:rPr>
          <w:rFonts w:hint="eastAsia"/>
          <w:bCs/>
          <w:color w:val="auto"/>
          <w:sz w:val="24"/>
          <w:lang w:val="en-US" w:eastAsia="zh-CN"/>
        </w:rPr>
        <w:t>较</w:t>
      </w:r>
      <w:r>
        <w:rPr>
          <w:bCs/>
          <w:color w:val="auto"/>
          <w:sz w:val="24"/>
        </w:rPr>
        <w:t>低，</w:t>
      </w:r>
      <w:r>
        <w:rPr>
          <w:rFonts w:hint="eastAsia"/>
          <w:bCs/>
          <w:color w:val="auto"/>
          <w:sz w:val="24"/>
        </w:rPr>
        <w:t>控制</w:t>
      </w:r>
      <w:r>
        <w:rPr>
          <w:bCs/>
          <w:color w:val="auto"/>
          <w:sz w:val="24"/>
        </w:rPr>
        <w:t>风速</w:t>
      </w:r>
      <w:r>
        <w:rPr>
          <w:rFonts w:hint="eastAsia"/>
          <w:bCs/>
          <w:color w:val="auto"/>
          <w:sz w:val="24"/>
        </w:rPr>
        <w:t>取</w:t>
      </w:r>
      <w:r>
        <w:rPr>
          <w:rFonts w:hint="default"/>
          <w:b w:val="0"/>
          <w:bCs/>
          <w:color w:val="auto"/>
          <w:sz w:val="24"/>
          <w:lang w:val="en-US" w:eastAsia="zh-CN"/>
        </w:rPr>
        <w:t>0.</w:t>
      </w:r>
      <w:r>
        <w:rPr>
          <w:rFonts w:hint="eastAsia"/>
          <w:b w:val="0"/>
          <w:bCs/>
          <w:color w:val="auto"/>
          <w:sz w:val="24"/>
          <w:lang w:val="en-US" w:eastAsia="zh-CN"/>
        </w:rPr>
        <w:t>5</w:t>
      </w:r>
      <w:r>
        <w:rPr>
          <w:rFonts w:hint="default"/>
          <w:b w:val="0"/>
          <w:bCs/>
          <w:color w:val="auto"/>
          <w:sz w:val="24"/>
          <w:lang w:val="en-US" w:eastAsia="zh-CN"/>
        </w:rPr>
        <w:t>～</w:t>
      </w:r>
      <w:r>
        <w:rPr>
          <w:rFonts w:hint="eastAsia"/>
          <w:b w:val="0"/>
          <w:bCs/>
          <w:color w:val="auto"/>
          <w:sz w:val="24"/>
          <w:lang w:val="en-US" w:eastAsia="zh-CN"/>
        </w:rPr>
        <w:t>1.0</w:t>
      </w:r>
      <w:r>
        <w:rPr>
          <w:bCs/>
          <w:color w:val="auto"/>
          <w:sz w:val="24"/>
        </w:rPr>
        <w:t>m/s，本次取</w:t>
      </w:r>
      <w:r>
        <w:rPr>
          <w:rFonts w:hint="eastAsia"/>
          <w:bCs/>
          <w:color w:val="auto"/>
          <w:sz w:val="24"/>
          <w:lang w:val="en-US" w:eastAsia="zh-CN"/>
        </w:rPr>
        <w:t>0.5</w:t>
      </w:r>
      <w:r>
        <w:rPr>
          <w:bCs/>
          <w:color w:val="auto"/>
          <w:sz w:val="24"/>
        </w:rPr>
        <w:t>）。</w:t>
      </w:r>
    </w:p>
    <w:p w14:paraId="598CDED3">
      <w:pPr>
        <w:bidi w:val="0"/>
        <w:ind w:left="0" w:leftChars="0" w:firstLine="480" w:firstLineChars="200"/>
        <w:rPr>
          <w:rFonts w:hint="default"/>
          <w:color w:val="auto"/>
          <w:lang w:val="en-US" w:eastAsia="zh-CN"/>
        </w:rPr>
      </w:pPr>
      <w:r>
        <w:rPr>
          <w:rFonts w:hint="eastAsia"/>
          <w:color w:val="auto"/>
          <w:lang w:val="en-US" w:eastAsia="zh-CN"/>
        </w:rPr>
        <w:t>经计算，</w:t>
      </w:r>
      <w:r>
        <w:rPr>
          <w:rFonts w:hint="default"/>
          <w:color w:val="auto"/>
          <w:lang w:val="en-US" w:eastAsia="zh-CN"/>
        </w:rPr>
        <w:t>本项目</w:t>
      </w:r>
      <w:r>
        <w:rPr>
          <w:rFonts w:hint="eastAsia"/>
          <w:color w:val="auto"/>
          <w:lang w:val="en-US" w:eastAsia="zh-CN"/>
        </w:rPr>
        <w:t>单个集气罩</w:t>
      </w:r>
      <w:r>
        <w:rPr>
          <w:rFonts w:hint="default"/>
          <w:color w:val="auto"/>
          <w:lang w:val="en-US" w:eastAsia="zh-CN"/>
        </w:rPr>
        <w:t>排风量为</w:t>
      </w:r>
      <w:r>
        <w:rPr>
          <w:rFonts w:hint="eastAsia"/>
          <w:color w:val="auto"/>
          <w:lang w:val="en-US" w:eastAsia="zh-CN"/>
        </w:rPr>
        <w:t>3024</w:t>
      </w:r>
      <w:r>
        <w:rPr>
          <w:rFonts w:hint="default"/>
          <w:color w:val="auto"/>
          <w:lang w:val="en-US" w:eastAsia="zh-CN"/>
        </w:rPr>
        <w:t>m³/h</w:t>
      </w:r>
      <w:r>
        <w:rPr>
          <w:rFonts w:hint="eastAsia"/>
          <w:color w:val="auto"/>
          <w:lang w:val="en-US" w:eastAsia="zh-CN"/>
        </w:rPr>
        <w:t>。本项目共设6个集气罩，集气罩总</w:t>
      </w:r>
      <w:r>
        <w:rPr>
          <w:rFonts w:hint="default"/>
          <w:color w:val="auto"/>
          <w:lang w:val="en-US" w:eastAsia="zh-CN"/>
        </w:rPr>
        <w:t>排风量为</w:t>
      </w:r>
      <w:r>
        <w:rPr>
          <w:rFonts w:hint="eastAsia"/>
          <w:color w:val="auto"/>
          <w:lang w:val="en-US" w:eastAsia="zh-CN"/>
        </w:rPr>
        <w:t>18144</w:t>
      </w:r>
      <w:r>
        <w:rPr>
          <w:rFonts w:hint="default"/>
          <w:color w:val="auto"/>
          <w:lang w:val="en-US" w:eastAsia="zh-CN"/>
        </w:rPr>
        <w:t>m³/h。</w:t>
      </w:r>
    </w:p>
    <w:p w14:paraId="4F528E97">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集气罩排风量一览表</w:t>
      </w:r>
    </w:p>
    <w:tbl>
      <w:tblPr>
        <w:tblStyle w:val="20"/>
        <w:tblW w:w="49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563"/>
        <w:gridCol w:w="1831"/>
        <w:gridCol w:w="1166"/>
        <w:gridCol w:w="1326"/>
        <w:gridCol w:w="1166"/>
        <w:gridCol w:w="1542"/>
      </w:tblGrid>
      <w:tr w14:paraId="7BC4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2" w:type="pct"/>
            <w:noWrap w:val="0"/>
            <w:vAlign w:val="center"/>
          </w:tcPr>
          <w:p w14:paraId="67C7E162">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位置</w:t>
            </w:r>
          </w:p>
        </w:tc>
        <w:tc>
          <w:tcPr>
            <w:tcW w:w="832" w:type="pct"/>
            <w:noWrap w:val="0"/>
            <w:vAlign w:val="center"/>
          </w:tcPr>
          <w:p w14:paraId="08253D75">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产品名称</w:t>
            </w:r>
          </w:p>
        </w:tc>
        <w:tc>
          <w:tcPr>
            <w:tcW w:w="974" w:type="pct"/>
            <w:noWrap w:val="0"/>
            <w:vAlign w:val="center"/>
          </w:tcPr>
          <w:p w14:paraId="73590110">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罐体</w:t>
            </w:r>
            <w:r>
              <w:rPr>
                <w:rFonts w:hint="eastAsia" w:ascii="Times New Roman" w:hAnsi="Times New Roman" w:cs="Times New Roman"/>
                <w:b/>
                <w:bCs/>
                <w:color w:val="auto"/>
                <w:sz w:val="21"/>
                <w:szCs w:val="21"/>
                <w:highlight w:val="none"/>
                <w:lang w:val="en-US" w:eastAsia="zh-CN"/>
              </w:rPr>
              <w:t>名称</w:t>
            </w:r>
          </w:p>
        </w:tc>
        <w:tc>
          <w:tcPr>
            <w:tcW w:w="621" w:type="pct"/>
            <w:noWrap w:val="0"/>
            <w:vAlign w:val="center"/>
          </w:tcPr>
          <w:p w14:paraId="2B93D0B3">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罐体</w:t>
            </w:r>
            <w:r>
              <w:rPr>
                <w:rFonts w:hint="eastAsia" w:ascii="Times New Roman" w:hAnsi="Times New Roman" w:cs="Times New Roman"/>
                <w:b/>
                <w:bCs/>
                <w:color w:val="auto"/>
                <w:sz w:val="21"/>
                <w:szCs w:val="21"/>
                <w:highlight w:val="none"/>
                <w:lang w:val="en-US" w:eastAsia="zh-CN"/>
              </w:rPr>
              <w:t>数量（台）</w:t>
            </w:r>
          </w:p>
        </w:tc>
        <w:tc>
          <w:tcPr>
            <w:tcW w:w="706" w:type="pct"/>
            <w:noWrap w:val="0"/>
            <w:vAlign w:val="center"/>
          </w:tcPr>
          <w:p w14:paraId="3C664CF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集气罩数量（个）</w:t>
            </w:r>
          </w:p>
        </w:tc>
        <w:tc>
          <w:tcPr>
            <w:tcW w:w="621" w:type="pct"/>
            <w:noWrap w:val="0"/>
            <w:vAlign w:val="center"/>
          </w:tcPr>
          <w:p w14:paraId="39E679E3">
            <w:pPr>
              <w:pStyle w:val="24"/>
              <w:bidi w:val="0"/>
              <w:ind w:left="0" w:leftChars="0"/>
              <w:jc w:val="center"/>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集气罩周长（m）</w:t>
            </w:r>
          </w:p>
        </w:tc>
        <w:tc>
          <w:tcPr>
            <w:tcW w:w="821" w:type="pct"/>
            <w:noWrap w:val="0"/>
            <w:vAlign w:val="center"/>
          </w:tcPr>
          <w:p w14:paraId="753BAB20">
            <w:pPr>
              <w:pStyle w:val="24"/>
              <w:bidi w:val="0"/>
              <w:ind w:left="0" w:leftChars="0"/>
              <w:jc w:val="center"/>
              <w:rPr>
                <w:rFonts w:hint="eastAsia"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单个</w:t>
            </w:r>
            <w:r>
              <w:rPr>
                <w:rFonts w:hint="eastAsia" w:eastAsia="宋体" w:cs="Times New Roman"/>
                <w:b/>
                <w:bCs/>
                <w:color w:val="auto"/>
                <w:sz w:val="21"/>
                <w:szCs w:val="21"/>
                <w:highlight w:val="none"/>
                <w:lang w:val="en-US" w:eastAsia="zh-CN"/>
              </w:rPr>
              <w:t>集气罩排风</w:t>
            </w:r>
            <w:r>
              <w:rPr>
                <w:rFonts w:hint="eastAsia" w:ascii="Times New Roman" w:hAnsi="Times New Roman" w:eastAsia="宋体" w:cs="Times New Roman"/>
                <w:b/>
                <w:bCs/>
                <w:color w:val="auto"/>
                <w:sz w:val="21"/>
                <w:szCs w:val="21"/>
                <w:highlight w:val="none"/>
                <w:lang w:val="en-US" w:eastAsia="zh-CN"/>
              </w:rPr>
              <w:t>量</w:t>
            </w:r>
            <w:r>
              <w:rPr>
                <w:rFonts w:hint="eastAsia" w:eastAsia="宋体" w:cs="Times New Roman"/>
                <w:b/>
                <w:bCs/>
                <w:color w:val="auto"/>
                <w:sz w:val="21"/>
                <w:szCs w:val="21"/>
                <w:highlight w:val="none"/>
                <w:lang w:val="en-US" w:eastAsia="zh-CN"/>
              </w:rPr>
              <w:t>（m</w:t>
            </w:r>
            <w:r>
              <w:rPr>
                <w:rFonts w:hint="eastAsia" w:eastAsia="宋体" w:cs="Times New Roman"/>
                <w:b/>
                <w:bCs/>
                <w:color w:val="auto"/>
                <w:sz w:val="21"/>
                <w:szCs w:val="21"/>
                <w:highlight w:val="none"/>
                <w:vertAlign w:val="superscript"/>
                <w:lang w:val="en-US" w:eastAsia="zh-CN"/>
              </w:rPr>
              <w:t>3</w:t>
            </w:r>
            <w:r>
              <w:rPr>
                <w:rFonts w:hint="eastAsia" w:eastAsia="宋体" w:cs="Times New Roman"/>
                <w:b/>
                <w:bCs/>
                <w:color w:val="auto"/>
                <w:sz w:val="21"/>
                <w:szCs w:val="21"/>
                <w:highlight w:val="none"/>
                <w:lang w:val="en-US" w:eastAsia="zh-CN"/>
              </w:rPr>
              <w:t>/h）</w:t>
            </w:r>
          </w:p>
        </w:tc>
      </w:tr>
      <w:tr w14:paraId="51B9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22" w:type="pct"/>
            <w:vMerge w:val="restart"/>
            <w:noWrap w:val="0"/>
            <w:vAlign w:val="center"/>
          </w:tcPr>
          <w:p w14:paraId="6C4C764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生产车间</w:t>
            </w:r>
          </w:p>
        </w:tc>
        <w:tc>
          <w:tcPr>
            <w:tcW w:w="832" w:type="pct"/>
            <w:vMerge w:val="restart"/>
            <w:shd w:val="clear" w:color="auto" w:fill="auto"/>
            <w:noWrap w:val="0"/>
            <w:vAlign w:val="center"/>
          </w:tcPr>
          <w:p w14:paraId="3A714F0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聚羧酸减水剂母液</w:t>
            </w:r>
          </w:p>
        </w:tc>
        <w:tc>
          <w:tcPr>
            <w:tcW w:w="974" w:type="pct"/>
            <w:noWrap w:val="0"/>
            <w:vAlign w:val="center"/>
          </w:tcPr>
          <w:p w14:paraId="2DBC76B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化料罐</w:t>
            </w:r>
          </w:p>
        </w:tc>
        <w:tc>
          <w:tcPr>
            <w:tcW w:w="621" w:type="pct"/>
            <w:noWrap w:val="0"/>
            <w:vAlign w:val="center"/>
          </w:tcPr>
          <w:p w14:paraId="7212B84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c>
          <w:tcPr>
            <w:tcW w:w="706" w:type="pct"/>
            <w:noWrap w:val="0"/>
            <w:vAlign w:val="center"/>
          </w:tcPr>
          <w:p w14:paraId="3BDC400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c>
          <w:tcPr>
            <w:tcW w:w="621" w:type="pct"/>
            <w:vMerge w:val="restart"/>
            <w:noWrap w:val="0"/>
            <w:vAlign w:val="center"/>
          </w:tcPr>
          <w:p w14:paraId="43BB612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2.4</w:t>
            </w:r>
          </w:p>
        </w:tc>
        <w:tc>
          <w:tcPr>
            <w:tcW w:w="821" w:type="pct"/>
            <w:vMerge w:val="restart"/>
            <w:noWrap w:val="0"/>
            <w:vAlign w:val="center"/>
          </w:tcPr>
          <w:p w14:paraId="16341AE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3024</w:t>
            </w:r>
          </w:p>
        </w:tc>
      </w:tr>
      <w:tr w14:paraId="56F5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vMerge w:val="continue"/>
            <w:noWrap w:val="0"/>
            <w:vAlign w:val="center"/>
          </w:tcPr>
          <w:p w14:paraId="03EA74B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32" w:type="pct"/>
            <w:vMerge w:val="continue"/>
            <w:shd w:val="clear" w:color="auto" w:fill="auto"/>
            <w:noWrap w:val="0"/>
            <w:vAlign w:val="center"/>
          </w:tcPr>
          <w:p w14:paraId="6C66776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974" w:type="pct"/>
            <w:shd w:val="clear" w:color="auto" w:fill="auto"/>
            <w:noWrap w:val="0"/>
            <w:vAlign w:val="center"/>
          </w:tcPr>
          <w:p w14:paraId="0475120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B料配置罐</w:t>
            </w:r>
          </w:p>
        </w:tc>
        <w:tc>
          <w:tcPr>
            <w:tcW w:w="621" w:type="pct"/>
            <w:noWrap w:val="0"/>
            <w:vAlign w:val="center"/>
          </w:tcPr>
          <w:p w14:paraId="14B168E4">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77478EFA">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621" w:type="pct"/>
            <w:vMerge w:val="continue"/>
            <w:noWrap w:val="0"/>
            <w:vAlign w:val="center"/>
          </w:tcPr>
          <w:p w14:paraId="7AE82450">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21" w:type="pct"/>
            <w:vMerge w:val="continue"/>
            <w:noWrap w:val="0"/>
            <w:vAlign w:val="center"/>
          </w:tcPr>
          <w:p w14:paraId="62A03CE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r>
      <w:tr w14:paraId="6B9D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vMerge w:val="continue"/>
            <w:noWrap w:val="0"/>
            <w:vAlign w:val="center"/>
          </w:tcPr>
          <w:p w14:paraId="2D1D9D5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32" w:type="pct"/>
            <w:vMerge w:val="continue"/>
            <w:shd w:val="clear" w:color="auto" w:fill="auto"/>
            <w:noWrap w:val="0"/>
            <w:vAlign w:val="center"/>
          </w:tcPr>
          <w:p w14:paraId="441AA22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974" w:type="pct"/>
            <w:noWrap w:val="0"/>
            <w:vAlign w:val="center"/>
          </w:tcPr>
          <w:p w14:paraId="61801AF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备用</w:t>
            </w:r>
            <w:r>
              <w:rPr>
                <w:rFonts w:hint="default" w:ascii="Times New Roman" w:hAnsi="Times New Roman" w:eastAsia="宋体" w:cs="Times New Roman"/>
                <w:b w:val="0"/>
                <w:bCs w:val="0"/>
                <w:color w:val="auto"/>
                <w:sz w:val="21"/>
                <w:szCs w:val="21"/>
                <w:highlight w:val="none"/>
                <w:lang w:val="en-US" w:eastAsia="zh-CN"/>
              </w:rPr>
              <w:t>配置罐</w:t>
            </w:r>
          </w:p>
        </w:tc>
        <w:tc>
          <w:tcPr>
            <w:tcW w:w="621" w:type="pct"/>
            <w:noWrap w:val="0"/>
            <w:vAlign w:val="center"/>
          </w:tcPr>
          <w:p w14:paraId="1EFBEF70">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724971F7">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621" w:type="pct"/>
            <w:vMerge w:val="continue"/>
            <w:noWrap w:val="0"/>
            <w:vAlign w:val="center"/>
          </w:tcPr>
          <w:p w14:paraId="7602E3B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21" w:type="pct"/>
            <w:vMerge w:val="continue"/>
            <w:noWrap w:val="0"/>
            <w:vAlign w:val="center"/>
          </w:tcPr>
          <w:p w14:paraId="0AAE284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r>
      <w:tr w14:paraId="3876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vMerge w:val="continue"/>
            <w:noWrap w:val="0"/>
            <w:vAlign w:val="center"/>
          </w:tcPr>
          <w:p w14:paraId="2EC5882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32" w:type="pct"/>
            <w:vMerge w:val="restart"/>
            <w:shd w:val="clear" w:color="auto" w:fill="auto"/>
            <w:noWrap w:val="0"/>
            <w:vAlign w:val="center"/>
          </w:tcPr>
          <w:p w14:paraId="7C25690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高性能聚羧酸减水剂</w:t>
            </w:r>
          </w:p>
        </w:tc>
        <w:tc>
          <w:tcPr>
            <w:tcW w:w="974" w:type="pct"/>
            <w:noWrap w:val="0"/>
            <w:vAlign w:val="center"/>
          </w:tcPr>
          <w:p w14:paraId="0BE81A9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w:t>
            </w:r>
            <w:r>
              <w:rPr>
                <w:rFonts w:hint="eastAsia" w:ascii="Times New Roman" w:hAnsi="Times New Roman" w:cs="Times New Roman"/>
                <w:b w:val="0"/>
                <w:bCs w:val="0"/>
                <w:color w:val="auto"/>
                <w:sz w:val="21"/>
                <w:szCs w:val="21"/>
                <w:highlight w:val="none"/>
                <w:lang w:val="en-US" w:eastAsia="zh-CN"/>
              </w:rPr>
              <w:t>预混</w:t>
            </w:r>
            <w:r>
              <w:rPr>
                <w:rFonts w:hint="default" w:ascii="Times New Roman" w:hAnsi="Times New Roman" w:eastAsia="宋体" w:cs="Times New Roman"/>
                <w:b w:val="0"/>
                <w:bCs w:val="0"/>
                <w:color w:val="auto"/>
                <w:sz w:val="21"/>
                <w:szCs w:val="21"/>
                <w:highlight w:val="none"/>
                <w:lang w:val="en-US" w:eastAsia="zh-CN"/>
              </w:rPr>
              <w:t>罐</w:t>
            </w:r>
          </w:p>
        </w:tc>
        <w:tc>
          <w:tcPr>
            <w:tcW w:w="621" w:type="pct"/>
            <w:noWrap w:val="0"/>
            <w:vAlign w:val="center"/>
          </w:tcPr>
          <w:p w14:paraId="597966CD">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00CB4E2D">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621" w:type="pct"/>
            <w:vMerge w:val="continue"/>
            <w:noWrap w:val="0"/>
            <w:vAlign w:val="center"/>
          </w:tcPr>
          <w:p w14:paraId="23E9CC8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21" w:type="pct"/>
            <w:vMerge w:val="continue"/>
            <w:noWrap w:val="0"/>
            <w:vAlign w:val="center"/>
          </w:tcPr>
          <w:p w14:paraId="4820093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r>
      <w:tr w14:paraId="623C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vMerge w:val="continue"/>
            <w:noWrap w:val="0"/>
            <w:vAlign w:val="center"/>
          </w:tcPr>
          <w:p w14:paraId="6181A49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32" w:type="pct"/>
            <w:vMerge w:val="continue"/>
            <w:shd w:val="clear" w:color="auto" w:fill="auto"/>
            <w:noWrap w:val="0"/>
            <w:vAlign w:val="center"/>
          </w:tcPr>
          <w:p w14:paraId="176BCB5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974" w:type="pct"/>
            <w:noWrap w:val="0"/>
            <w:vAlign w:val="center"/>
          </w:tcPr>
          <w:p w14:paraId="196B94C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复配罐</w:t>
            </w:r>
          </w:p>
        </w:tc>
        <w:tc>
          <w:tcPr>
            <w:tcW w:w="621" w:type="pct"/>
            <w:noWrap w:val="0"/>
            <w:vAlign w:val="center"/>
          </w:tcPr>
          <w:p w14:paraId="7F31BC29">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706" w:type="pct"/>
            <w:noWrap w:val="0"/>
            <w:vAlign w:val="center"/>
          </w:tcPr>
          <w:p w14:paraId="05F5407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621" w:type="pct"/>
            <w:vMerge w:val="continue"/>
            <w:noWrap w:val="0"/>
            <w:vAlign w:val="center"/>
          </w:tcPr>
          <w:p w14:paraId="134940C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21" w:type="pct"/>
            <w:vMerge w:val="continue"/>
            <w:noWrap w:val="0"/>
            <w:vAlign w:val="center"/>
          </w:tcPr>
          <w:p w14:paraId="01B8839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r>
      <w:tr w14:paraId="1431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9" w:type="pct"/>
            <w:gridSpan w:val="3"/>
            <w:noWrap w:val="0"/>
            <w:vAlign w:val="center"/>
          </w:tcPr>
          <w:p w14:paraId="664D32D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合计</w:t>
            </w:r>
          </w:p>
        </w:tc>
        <w:tc>
          <w:tcPr>
            <w:tcW w:w="621" w:type="pct"/>
            <w:noWrap w:val="0"/>
            <w:vAlign w:val="center"/>
          </w:tcPr>
          <w:p w14:paraId="7441E92E">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w:t>
            </w:r>
          </w:p>
        </w:tc>
        <w:tc>
          <w:tcPr>
            <w:tcW w:w="706" w:type="pct"/>
            <w:noWrap w:val="0"/>
            <w:vAlign w:val="center"/>
          </w:tcPr>
          <w:p w14:paraId="3D2DFD64">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w:t>
            </w:r>
          </w:p>
        </w:tc>
        <w:tc>
          <w:tcPr>
            <w:tcW w:w="621" w:type="pct"/>
            <w:vMerge w:val="continue"/>
            <w:noWrap w:val="0"/>
            <w:vAlign w:val="center"/>
          </w:tcPr>
          <w:p w14:paraId="0E08723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821" w:type="pct"/>
            <w:vMerge w:val="continue"/>
            <w:noWrap w:val="0"/>
            <w:vAlign w:val="center"/>
          </w:tcPr>
          <w:p w14:paraId="212D87C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r>
    </w:tbl>
    <w:p w14:paraId="024B51D0">
      <w:pPr>
        <w:bidi w:val="0"/>
        <w:rPr>
          <w:rFonts w:hint="default"/>
          <w:color w:val="auto"/>
          <w:lang w:val="en-US" w:eastAsia="zh-CN"/>
        </w:rPr>
      </w:pPr>
      <w:r>
        <w:rPr>
          <w:rFonts w:hint="eastAsia"/>
          <w:color w:val="auto"/>
          <w:lang w:val="en-US" w:eastAsia="zh-CN"/>
        </w:rPr>
        <w:t>B.集气管道</w:t>
      </w:r>
    </w:p>
    <w:p w14:paraId="75837817">
      <w:pPr>
        <w:bidi w:val="0"/>
        <w:ind w:left="0" w:leftChars="0" w:firstLine="480" w:firstLineChars="20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本项目各储罐、</w:t>
      </w:r>
      <w:r>
        <w:rPr>
          <w:rFonts w:hint="eastAsia"/>
          <w:color w:val="auto"/>
          <w:lang w:val="en-US" w:eastAsia="zh-CN"/>
        </w:rPr>
        <w:t>计量罐、配置罐、复配罐、滴加罐、反应釜</w:t>
      </w:r>
      <w:r>
        <w:rPr>
          <w:rFonts w:hint="eastAsia" w:ascii="Times New Roman" w:hAnsi="Times New Roman" w:cs="Times New Roman"/>
          <w:color w:val="auto"/>
          <w:lang w:val="en-US" w:eastAsia="zh-CN"/>
        </w:rPr>
        <w:t>排风量如下：</w:t>
      </w:r>
    </w:p>
    <w:p w14:paraId="1088CCE4">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集气管道排风量一览表</w:t>
      </w:r>
    </w:p>
    <w:tbl>
      <w:tblPr>
        <w:tblStyle w:val="20"/>
        <w:tblW w:w="49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973"/>
        <w:gridCol w:w="1950"/>
        <w:gridCol w:w="1363"/>
        <w:gridCol w:w="1084"/>
        <w:gridCol w:w="1326"/>
        <w:gridCol w:w="990"/>
      </w:tblGrid>
      <w:tr w14:paraId="2AB1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73" w:type="pct"/>
            <w:noWrap w:val="0"/>
            <w:vAlign w:val="center"/>
          </w:tcPr>
          <w:p w14:paraId="1B8AD26B">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位置</w:t>
            </w:r>
          </w:p>
        </w:tc>
        <w:tc>
          <w:tcPr>
            <w:tcW w:w="1050" w:type="pct"/>
            <w:noWrap w:val="0"/>
            <w:vAlign w:val="center"/>
          </w:tcPr>
          <w:p w14:paraId="1E0E564A">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eastAsia="宋体" w:cs="Times New Roman"/>
                <w:b/>
                <w:bCs/>
                <w:color w:val="auto"/>
                <w:sz w:val="21"/>
                <w:szCs w:val="21"/>
                <w:highlight w:val="none"/>
                <w:lang w:val="en-US" w:eastAsia="zh-CN"/>
              </w:rPr>
              <w:t>产品名称</w:t>
            </w:r>
          </w:p>
        </w:tc>
        <w:tc>
          <w:tcPr>
            <w:tcW w:w="1038" w:type="pct"/>
            <w:noWrap w:val="0"/>
            <w:vAlign w:val="center"/>
          </w:tcPr>
          <w:p w14:paraId="76F55E76">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罐体</w:t>
            </w:r>
            <w:r>
              <w:rPr>
                <w:rFonts w:hint="eastAsia" w:ascii="Times New Roman" w:hAnsi="Times New Roman" w:cs="Times New Roman"/>
                <w:b/>
                <w:bCs/>
                <w:color w:val="auto"/>
                <w:sz w:val="21"/>
                <w:szCs w:val="21"/>
                <w:highlight w:val="none"/>
                <w:lang w:val="en-US" w:eastAsia="zh-CN"/>
              </w:rPr>
              <w:t>/反应釜名称</w:t>
            </w:r>
          </w:p>
        </w:tc>
        <w:tc>
          <w:tcPr>
            <w:tcW w:w="726" w:type="pct"/>
            <w:noWrap w:val="0"/>
            <w:vAlign w:val="center"/>
          </w:tcPr>
          <w:p w14:paraId="7F78D063">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罐体/反应釜数量（台）</w:t>
            </w:r>
          </w:p>
        </w:tc>
        <w:tc>
          <w:tcPr>
            <w:tcW w:w="577" w:type="pct"/>
            <w:noWrap w:val="0"/>
            <w:vAlign w:val="center"/>
          </w:tcPr>
          <w:p w14:paraId="419B370A">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集气管道数量（根）</w:t>
            </w:r>
          </w:p>
        </w:tc>
        <w:tc>
          <w:tcPr>
            <w:tcW w:w="706" w:type="pct"/>
            <w:noWrap w:val="0"/>
            <w:vAlign w:val="center"/>
          </w:tcPr>
          <w:p w14:paraId="677EC5CA">
            <w:pPr>
              <w:pStyle w:val="24"/>
              <w:bidi w:val="0"/>
              <w:ind w:left="0" w:leftChars="0"/>
              <w:jc w:val="center"/>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单台</w:t>
            </w:r>
            <w:r>
              <w:rPr>
                <w:rFonts w:hint="eastAsia" w:ascii="Times New Roman" w:hAnsi="Times New Roman" w:cs="Times New Roman"/>
                <w:b/>
                <w:bCs/>
                <w:color w:val="auto"/>
                <w:kern w:val="2"/>
                <w:sz w:val="21"/>
                <w:szCs w:val="21"/>
                <w:highlight w:val="none"/>
                <w:lang w:val="en-US" w:eastAsia="zh-CN" w:bidi="ar-SA"/>
              </w:rPr>
              <w:t>设备排气量（</w:t>
            </w:r>
            <w:r>
              <w:rPr>
                <w:rFonts w:hint="eastAsia" w:ascii="Times New Roman" w:hAnsi="Times New Roman" w:eastAsia="宋体" w:cs="Times New Roman"/>
                <w:b/>
                <w:bCs/>
                <w:color w:val="auto"/>
                <w:sz w:val="21"/>
                <w:szCs w:val="21"/>
                <w:highlight w:val="none"/>
                <w:lang w:val="en-US" w:eastAsia="zh-CN"/>
              </w:rPr>
              <w:t>m</w:t>
            </w:r>
            <w:r>
              <w:rPr>
                <w:rFonts w:hint="eastAsia" w:ascii="Times New Roman" w:hAnsi="Times New Roman" w:eastAsia="宋体" w:cs="Times New Roman"/>
                <w:b/>
                <w:bCs/>
                <w:color w:val="auto"/>
                <w:sz w:val="21"/>
                <w:szCs w:val="21"/>
                <w:highlight w:val="none"/>
                <w:vertAlign w:val="superscript"/>
                <w:lang w:val="en-US" w:eastAsia="zh-CN"/>
              </w:rPr>
              <w:t>3</w:t>
            </w:r>
            <w:r>
              <w:rPr>
                <w:rFonts w:hint="eastAsia" w:ascii="Times New Roman" w:hAnsi="Times New Roman" w:eastAsia="宋体" w:cs="Times New Roman"/>
                <w:b/>
                <w:bCs/>
                <w:color w:val="auto"/>
                <w:sz w:val="21"/>
                <w:szCs w:val="21"/>
                <w:highlight w:val="none"/>
                <w:vertAlign w:val="baseline"/>
                <w:lang w:val="en-US" w:eastAsia="zh-CN"/>
              </w:rPr>
              <w:t>/h</w:t>
            </w:r>
            <w:r>
              <w:rPr>
                <w:rFonts w:hint="eastAsia" w:ascii="Times New Roman" w:hAnsi="Times New Roman" w:cs="Times New Roman"/>
                <w:b/>
                <w:bCs/>
                <w:color w:val="auto"/>
                <w:kern w:val="2"/>
                <w:sz w:val="21"/>
                <w:szCs w:val="21"/>
                <w:highlight w:val="none"/>
                <w:lang w:val="en-US" w:eastAsia="zh-CN" w:bidi="ar-SA"/>
              </w:rPr>
              <w:t>）</w:t>
            </w:r>
          </w:p>
        </w:tc>
        <w:tc>
          <w:tcPr>
            <w:tcW w:w="527" w:type="pct"/>
            <w:noWrap w:val="0"/>
            <w:vAlign w:val="center"/>
          </w:tcPr>
          <w:p w14:paraId="5FE0AAD9">
            <w:pPr>
              <w:pStyle w:val="24"/>
              <w:bidi w:val="0"/>
              <w:ind w:left="0" w:leftChars="0"/>
              <w:jc w:val="center"/>
              <w:rPr>
                <w:rFonts w:hint="eastAsia"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排气量</w:t>
            </w:r>
            <w:r>
              <w:rPr>
                <w:rFonts w:hint="eastAsia" w:eastAsia="宋体" w:cs="Times New Roman"/>
                <w:b/>
                <w:bCs/>
                <w:color w:val="auto"/>
                <w:sz w:val="21"/>
                <w:szCs w:val="21"/>
                <w:highlight w:val="none"/>
                <w:lang w:val="en-US" w:eastAsia="zh-CN"/>
              </w:rPr>
              <w:t>（m</w:t>
            </w:r>
            <w:r>
              <w:rPr>
                <w:rFonts w:hint="eastAsia" w:eastAsia="宋体" w:cs="Times New Roman"/>
                <w:b/>
                <w:bCs/>
                <w:color w:val="auto"/>
                <w:sz w:val="21"/>
                <w:szCs w:val="21"/>
                <w:highlight w:val="none"/>
                <w:vertAlign w:val="superscript"/>
                <w:lang w:val="en-US" w:eastAsia="zh-CN"/>
              </w:rPr>
              <w:t>3</w:t>
            </w:r>
            <w:r>
              <w:rPr>
                <w:rFonts w:hint="eastAsia" w:eastAsia="宋体" w:cs="Times New Roman"/>
                <w:b/>
                <w:bCs/>
                <w:color w:val="auto"/>
                <w:sz w:val="21"/>
                <w:szCs w:val="21"/>
                <w:highlight w:val="none"/>
                <w:lang w:val="en-US" w:eastAsia="zh-CN"/>
              </w:rPr>
              <w:t>/h）</w:t>
            </w:r>
          </w:p>
        </w:tc>
      </w:tr>
      <w:tr w14:paraId="6E89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73" w:type="pct"/>
            <w:vMerge w:val="restart"/>
            <w:noWrap w:val="0"/>
            <w:vAlign w:val="center"/>
          </w:tcPr>
          <w:p w14:paraId="519CA5F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罐区</w:t>
            </w:r>
          </w:p>
        </w:tc>
        <w:tc>
          <w:tcPr>
            <w:tcW w:w="1050" w:type="pct"/>
            <w:vMerge w:val="restart"/>
            <w:shd w:val="clear" w:color="auto" w:fill="auto"/>
            <w:noWrap w:val="0"/>
            <w:vAlign w:val="center"/>
          </w:tcPr>
          <w:p w14:paraId="5A561DE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聚羧酸减水剂母液</w:t>
            </w:r>
          </w:p>
        </w:tc>
        <w:tc>
          <w:tcPr>
            <w:tcW w:w="1038" w:type="pct"/>
            <w:noWrap w:val="0"/>
            <w:vAlign w:val="center"/>
          </w:tcPr>
          <w:p w14:paraId="4829FEA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丙烯酸储罐</w:t>
            </w:r>
          </w:p>
        </w:tc>
        <w:tc>
          <w:tcPr>
            <w:tcW w:w="726" w:type="pct"/>
            <w:noWrap w:val="0"/>
            <w:vAlign w:val="center"/>
          </w:tcPr>
          <w:p w14:paraId="664A559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c>
          <w:tcPr>
            <w:tcW w:w="577" w:type="pct"/>
            <w:noWrap w:val="0"/>
            <w:vAlign w:val="center"/>
          </w:tcPr>
          <w:p w14:paraId="2079BAC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c>
          <w:tcPr>
            <w:tcW w:w="1326" w:type="dxa"/>
            <w:noWrap w:val="0"/>
            <w:vAlign w:val="bottom"/>
          </w:tcPr>
          <w:p w14:paraId="4F944F0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c>
          <w:tcPr>
            <w:tcW w:w="990" w:type="dxa"/>
            <w:noWrap w:val="0"/>
            <w:vAlign w:val="bottom"/>
          </w:tcPr>
          <w:p w14:paraId="40D2C45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r>
      <w:tr w14:paraId="321C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3AC9828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0C21725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shd w:val="clear" w:color="auto" w:fill="auto"/>
            <w:noWrap w:val="0"/>
            <w:vAlign w:val="center"/>
          </w:tcPr>
          <w:p w14:paraId="0282E41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丙烯酸羟乙酯储罐</w:t>
            </w:r>
          </w:p>
        </w:tc>
        <w:tc>
          <w:tcPr>
            <w:tcW w:w="726" w:type="pct"/>
            <w:noWrap w:val="0"/>
            <w:vAlign w:val="center"/>
          </w:tcPr>
          <w:p w14:paraId="4F9674C1">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4C136A42">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1326" w:type="dxa"/>
            <w:noWrap w:val="0"/>
            <w:vAlign w:val="bottom"/>
          </w:tcPr>
          <w:p w14:paraId="53F9D99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c>
          <w:tcPr>
            <w:tcW w:w="990" w:type="dxa"/>
            <w:noWrap w:val="0"/>
            <w:vAlign w:val="bottom"/>
          </w:tcPr>
          <w:p w14:paraId="194F130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r>
      <w:tr w14:paraId="776E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68B9B52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restart"/>
            <w:shd w:val="clear" w:color="auto" w:fill="auto"/>
            <w:noWrap w:val="0"/>
            <w:vAlign w:val="center"/>
          </w:tcPr>
          <w:p w14:paraId="586A008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无碱速凝剂</w:t>
            </w:r>
          </w:p>
        </w:tc>
        <w:tc>
          <w:tcPr>
            <w:tcW w:w="1038" w:type="pct"/>
            <w:noWrap w:val="0"/>
            <w:vAlign w:val="center"/>
          </w:tcPr>
          <w:p w14:paraId="49392E8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kern w:val="0"/>
                <w:szCs w:val="21"/>
                <w:lang w:val="en-US" w:eastAsia="zh-CN"/>
              </w:rPr>
              <w:t>硫酸</w:t>
            </w:r>
            <w:r>
              <w:rPr>
                <w:rFonts w:hint="eastAsia" w:ascii="Times New Roman" w:hAnsi="Times New Roman" w:cs="Times New Roman"/>
                <w:color w:val="auto"/>
                <w:kern w:val="0"/>
                <w:szCs w:val="21"/>
                <w:lang w:val="en-US" w:eastAsia="zh-CN"/>
              </w:rPr>
              <w:t>储罐</w:t>
            </w:r>
          </w:p>
        </w:tc>
        <w:tc>
          <w:tcPr>
            <w:tcW w:w="726" w:type="pct"/>
            <w:noWrap w:val="0"/>
            <w:vAlign w:val="center"/>
          </w:tcPr>
          <w:p w14:paraId="53A165E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1B1ED78F">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1326" w:type="dxa"/>
            <w:noWrap w:val="0"/>
            <w:vAlign w:val="bottom"/>
          </w:tcPr>
          <w:p w14:paraId="3E394FE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c>
          <w:tcPr>
            <w:tcW w:w="990" w:type="dxa"/>
            <w:noWrap w:val="0"/>
            <w:vAlign w:val="bottom"/>
          </w:tcPr>
          <w:p w14:paraId="2AEBC2E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r>
      <w:tr w14:paraId="2F0B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5521EC1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3E6C34F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2851B2E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氟硅酸储罐</w:t>
            </w:r>
          </w:p>
        </w:tc>
        <w:tc>
          <w:tcPr>
            <w:tcW w:w="726" w:type="pct"/>
            <w:noWrap w:val="0"/>
            <w:vAlign w:val="center"/>
          </w:tcPr>
          <w:p w14:paraId="35672A1D">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577" w:type="pct"/>
            <w:noWrap w:val="0"/>
            <w:vAlign w:val="center"/>
          </w:tcPr>
          <w:p w14:paraId="058CD233">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1326" w:type="dxa"/>
            <w:noWrap w:val="0"/>
            <w:vAlign w:val="bottom"/>
          </w:tcPr>
          <w:p w14:paraId="01EBB3E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31.5</w:t>
            </w:r>
          </w:p>
        </w:tc>
        <w:tc>
          <w:tcPr>
            <w:tcW w:w="990" w:type="dxa"/>
            <w:noWrap w:val="0"/>
            <w:vAlign w:val="bottom"/>
          </w:tcPr>
          <w:p w14:paraId="07454C2F">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63</w:t>
            </w:r>
          </w:p>
        </w:tc>
      </w:tr>
      <w:tr w14:paraId="4211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35B2175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shd w:val="clear" w:color="auto" w:fill="auto"/>
            <w:noWrap w:val="0"/>
            <w:vAlign w:val="center"/>
          </w:tcPr>
          <w:p w14:paraId="2DFA84F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乳化型</w:t>
            </w:r>
            <w:r>
              <w:rPr>
                <w:rFonts w:hint="eastAsia" w:ascii="Times New Roman" w:hAnsi="Times New Roman" w:eastAsia="宋体" w:cs="Courier New"/>
                <w:b w:val="0"/>
                <w:bCs w:val="0"/>
                <w:color w:val="auto"/>
                <w:sz w:val="21"/>
                <w:szCs w:val="21"/>
                <w:highlight w:val="none"/>
                <w:lang w:val="en-US" w:eastAsia="zh-CN"/>
              </w:rPr>
              <w:t>脱模剂</w:t>
            </w:r>
          </w:p>
        </w:tc>
        <w:tc>
          <w:tcPr>
            <w:tcW w:w="1038" w:type="pct"/>
            <w:noWrap w:val="0"/>
            <w:vAlign w:val="center"/>
          </w:tcPr>
          <w:p w14:paraId="11AFA52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SA"/>
              </w:rPr>
              <w:t>基础油储罐</w:t>
            </w:r>
          </w:p>
        </w:tc>
        <w:tc>
          <w:tcPr>
            <w:tcW w:w="726" w:type="pct"/>
            <w:noWrap w:val="0"/>
            <w:vAlign w:val="center"/>
          </w:tcPr>
          <w:p w14:paraId="1BE7F85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50D2DA24">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1326" w:type="dxa"/>
            <w:noWrap w:val="0"/>
            <w:vAlign w:val="bottom"/>
          </w:tcPr>
          <w:p w14:paraId="4933F1A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c>
          <w:tcPr>
            <w:tcW w:w="990" w:type="dxa"/>
            <w:noWrap w:val="0"/>
            <w:vAlign w:val="bottom"/>
          </w:tcPr>
          <w:p w14:paraId="2675EE2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45</w:t>
            </w:r>
          </w:p>
        </w:tc>
      </w:tr>
      <w:tr w14:paraId="1724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restart"/>
            <w:noWrap w:val="0"/>
            <w:vAlign w:val="center"/>
          </w:tcPr>
          <w:p w14:paraId="2F9EE5D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生产车间</w:t>
            </w:r>
          </w:p>
        </w:tc>
        <w:tc>
          <w:tcPr>
            <w:tcW w:w="1050" w:type="pct"/>
            <w:vMerge w:val="restart"/>
            <w:shd w:val="clear" w:color="auto" w:fill="auto"/>
            <w:noWrap w:val="0"/>
            <w:vAlign w:val="center"/>
          </w:tcPr>
          <w:p w14:paraId="5CC51D3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聚羧酸减水剂母液</w:t>
            </w:r>
          </w:p>
        </w:tc>
        <w:tc>
          <w:tcPr>
            <w:tcW w:w="1038" w:type="pct"/>
            <w:noWrap w:val="0"/>
            <w:vAlign w:val="center"/>
          </w:tcPr>
          <w:p w14:paraId="29047C7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丙烯酸计量罐</w:t>
            </w:r>
          </w:p>
        </w:tc>
        <w:tc>
          <w:tcPr>
            <w:tcW w:w="726" w:type="pct"/>
            <w:noWrap w:val="0"/>
            <w:vAlign w:val="center"/>
          </w:tcPr>
          <w:p w14:paraId="4BAF0F78">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1CD96E61">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248B0DC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w:t>
            </w:r>
          </w:p>
        </w:tc>
        <w:tc>
          <w:tcPr>
            <w:tcW w:w="527" w:type="pct"/>
            <w:noWrap w:val="0"/>
            <w:vAlign w:val="center"/>
          </w:tcPr>
          <w:p w14:paraId="000967F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w:t>
            </w:r>
          </w:p>
        </w:tc>
      </w:tr>
      <w:tr w14:paraId="70AF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0C63929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4B09EFA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7F3B3EB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巯基乙醇</w:t>
            </w:r>
            <w:r>
              <w:rPr>
                <w:rFonts w:hint="eastAsia" w:cs="Times New Roman"/>
                <w:b w:val="0"/>
                <w:bCs w:val="0"/>
                <w:color w:val="auto"/>
                <w:kern w:val="2"/>
                <w:sz w:val="21"/>
                <w:szCs w:val="21"/>
                <w:highlight w:val="none"/>
                <w:lang w:val="en-US" w:eastAsia="zh-CN" w:bidi="ar-SA"/>
              </w:rPr>
              <w:t>计量罐</w:t>
            </w:r>
          </w:p>
        </w:tc>
        <w:tc>
          <w:tcPr>
            <w:tcW w:w="726" w:type="pct"/>
            <w:noWrap w:val="0"/>
            <w:vAlign w:val="center"/>
          </w:tcPr>
          <w:p w14:paraId="52B8AA22">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18D0B4B9">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5236421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c>
          <w:tcPr>
            <w:tcW w:w="527" w:type="pct"/>
            <w:noWrap w:val="0"/>
            <w:vAlign w:val="center"/>
          </w:tcPr>
          <w:p w14:paraId="3429848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r>
      <w:tr w14:paraId="6D1D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53EE26A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5D07D6B1">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1FCB456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巯基丙酸</w:t>
            </w:r>
            <w:r>
              <w:rPr>
                <w:rFonts w:hint="eastAsia" w:cs="Times New Roman"/>
                <w:b w:val="0"/>
                <w:bCs w:val="0"/>
                <w:color w:val="auto"/>
                <w:kern w:val="2"/>
                <w:sz w:val="21"/>
                <w:szCs w:val="21"/>
                <w:highlight w:val="none"/>
                <w:lang w:val="en-US" w:eastAsia="zh-CN" w:bidi="ar-SA"/>
              </w:rPr>
              <w:t>计量罐</w:t>
            </w:r>
          </w:p>
        </w:tc>
        <w:tc>
          <w:tcPr>
            <w:tcW w:w="726" w:type="pct"/>
            <w:noWrap w:val="0"/>
            <w:vAlign w:val="center"/>
          </w:tcPr>
          <w:p w14:paraId="1F34BF9E">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17D68726">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060D0BD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c>
          <w:tcPr>
            <w:tcW w:w="527" w:type="pct"/>
            <w:noWrap w:val="0"/>
            <w:vAlign w:val="center"/>
          </w:tcPr>
          <w:p w14:paraId="2752AB9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w:t>
            </w:r>
          </w:p>
        </w:tc>
      </w:tr>
      <w:tr w14:paraId="6EA4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77C2CEE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3439B5F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6FE7D119">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A料配置罐</w:t>
            </w:r>
          </w:p>
        </w:tc>
        <w:tc>
          <w:tcPr>
            <w:tcW w:w="726" w:type="pct"/>
            <w:shd w:val="clear" w:color="auto" w:fill="auto"/>
            <w:noWrap w:val="0"/>
            <w:vAlign w:val="center"/>
          </w:tcPr>
          <w:p w14:paraId="1813005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w:t>
            </w:r>
          </w:p>
        </w:tc>
        <w:tc>
          <w:tcPr>
            <w:tcW w:w="577" w:type="pct"/>
            <w:shd w:val="clear" w:color="auto" w:fill="auto"/>
            <w:noWrap w:val="0"/>
            <w:vAlign w:val="center"/>
          </w:tcPr>
          <w:p w14:paraId="75C21FD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w:t>
            </w:r>
          </w:p>
        </w:tc>
        <w:tc>
          <w:tcPr>
            <w:tcW w:w="706" w:type="pct"/>
            <w:shd w:val="clear" w:color="auto" w:fill="auto"/>
            <w:noWrap w:val="0"/>
            <w:vAlign w:val="center"/>
          </w:tcPr>
          <w:p w14:paraId="3B76852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8</w:t>
            </w:r>
          </w:p>
        </w:tc>
        <w:tc>
          <w:tcPr>
            <w:tcW w:w="527" w:type="pct"/>
            <w:shd w:val="clear" w:color="auto" w:fill="auto"/>
            <w:noWrap w:val="0"/>
            <w:vAlign w:val="center"/>
          </w:tcPr>
          <w:p w14:paraId="364E7F8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8</w:t>
            </w:r>
          </w:p>
        </w:tc>
      </w:tr>
      <w:tr w14:paraId="5E02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0C19ED30">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6BD9533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7C4E03C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B料配置罐</w:t>
            </w:r>
          </w:p>
        </w:tc>
        <w:tc>
          <w:tcPr>
            <w:tcW w:w="726" w:type="pct"/>
            <w:noWrap w:val="0"/>
            <w:vAlign w:val="center"/>
          </w:tcPr>
          <w:p w14:paraId="334CECF8">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53CC58B1">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247B6C9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8</w:t>
            </w:r>
          </w:p>
        </w:tc>
        <w:tc>
          <w:tcPr>
            <w:tcW w:w="527" w:type="pct"/>
            <w:noWrap w:val="0"/>
            <w:vAlign w:val="center"/>
          </w:tcPr>
          <w:p w14:paraId="4DC9E5F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8</w:t>
            </w:r>
          </w:p>
        </w:tc>
      </w:tr>
      <w:tr w14:paraId="6425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29F9392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0D029F6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3AEB6D3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备用配置罐</w:t>
            </w:r>
          </w:p>
        </w:tc>
        <w:tc>
          <w:tcPr>
            <w:tcW w:w="726" w:type="pct"/>
            <w:noWrap w:val="0"/>
            <w:vAlign w:val="center"/>
          </w:tcPr>
          <w:p w14:paraId="0FF4C01C">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401BDCED">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65F4DD3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8</w:t>
            </w:r>
          </w:p>
        </w:tc>
        <w:tc>
          <w:tcPr>
            <w:tcW w:w="527" w:type="pct"/>
            <w:noWrap w:val="0"/>
            <w:vAlign w:val="center"/>
          </w:tcPr>
          <w:p w14:paraId="175C8B7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8</w:t>
            </w:r>
          </w:p>
        </w:tc>
      </w:tr>
      <w:tr w14:paraId="5609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615526F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restart"/>
            <w:shd w:val="clear" w:color="auto" w:fill="auto"/>
            <w:noWrap w:val="0"/>
            <w:vAlign w:val="center"/>
          </w:tcPr>
          <w:p w14:paraId="17D74ED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无碱速凝剂</w:t>
            </w:r>
          </w:p>
        </w:tc>
        <w:tc>
          <w:tcPr>
            <w:tcW w:w="1038" w:type="pct"/>
            <w:noWrap w:val="0"/>
            <w:vAlign w:val="center"/>
          </w:tcPr>
          <w:p w14:paraId="30B5216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硫酸滴加罐</w:t>
            </w:r>
          </w:p>
        </w:tc>
        <w:tc>
          <w:tcPr>
            <w:tcW w:w="726" w:type="pct"/>
            <w:noWrap w:val="0"/>
            <w:vAlign w:val="center"/>
          </w:tcPr>
          <w:p w14:paraId="1553C5CA">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577" w:type="pct"/>
            <w:noWrap w:val="0"/>
            <w:vAlign w:val="center"/>
          </w:tcPr>
          <w:p w14:paraId="3CD5FF8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706" w:type="pct"/>
            <w:noWrap w:val="0"/>
            <w:vAlign w:val="center"/>
          </w:tcPr>
          <w:p w14:paraId="033E2BE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w:t>
            </w:r>
          </w:p>
        </w:tc>
        <w:tc>
          <w:tcPr>
            <w:tcW w:w="527" w:type="pct"/>
            <w:noWrap w:val="0"/>
            <w:vAlign w:val="center"/>
          </w:tcPr>
          <w:p w14:paraId="1A00F56B">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6</w:t>
            </w:r>
          </w:p>
        </w:tc>
      </w:tr>
      <w:tr w14:paraId="0968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778C385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07228D2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6B438FF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硫酸铝反应釜</w:t>
            </w:r>
          </w:p>
        </w:tc>
        <w:tc>
          <w:tcPr>
            <w:tcW w:w="726" w:type="pct"/>
            <w:noWrap w:val="0"/>
            <w:vAlign w:val="center"/>
          </w:tcPr>
          <w:p w14:paraId="4FC392A9">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577" w:type="pct"/>
            <w:noWrap w:val="0"/>
            <w:vAlign w:val="center"/>
          </w:tcPr>
          <w:p w14:paraId="08E336B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706" w:type="pct"/>
            <w:noWrap w:val="0"/>
            <w:vAlign w:val="center"/>
          </w:tcPr>
          <w:p w14:paraId="03F5F01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c>
          <w:tcPr>
            <w:tcW w:w="527" w:type="pct"/>
            <w:noWrap w:val="0"/>
            <w:vAlign w:val="center"/>
          </w:tcPr>
          <w:p w14:paraId="27EA914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r>
      <w:tr w14:paraId="0492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5217B59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3724987A">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0284701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氟硅酸计量罐</w:t>
            </w:r>
          </w:p>
        </w:tc>
        <w:tc>
          <w:tcPr>
            <w:tcW w:w="726" w:type="pct"/>
            <w:noWrap w:val="0"/>
            <w:vAlign w:val="center"/>
          </w:tcPr>
          <w:p w14:paraId="558791A0">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577" w:type="pct"/>
            <w:noWrap w:val="0"/>
            <w:vAlign w:val="center"/>
          </w:tcPr>
          <w:p w14:paraId="0DC805DE">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706" w:type="pct"/>
            <w:noWrap w:val="0"/>
            <w:vAlign w:val="center"/>
          </w:tcPr>
          <w:p w14:paraId="766F69E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w:t>
            </w:r>
          </w:p>
        </w:tc>
        <w:tc>
          <w:tcPr>
            <w:tcW w:w="527" w:type="pct"/>
            <w:noWrap w:val="0"/>
            <w:vAlign w:val="center"/>
          </w:tcPr>
          <w:p w14:paraId="09ACA51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6</w:t>
            </w:r>
          </w:p>
        </w:tc>
      </w:tr>
      <w:tr w14:paraId="3538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21CB820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2D09DEF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4F536885">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无碱速凝剂合成釜</w:t>
            </w:r>
          </w:p>
        </w:tc>
        <w:tc>
          <w:tcPr>
            <w:tcW w:w="726" w:type="pct"/>
            <w:noWrap w:val="0"/>
            <w:vAlign w:val="center"/>
          </w:tcPr>
          <w:p w14:paraId="3858A289">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577" w:type="pct"/>
            <w:noWrap w:val="0"/>
            <w:vAlign w:val="center"/>
          </w:tcPr>
          <w:p w14:paraId="5411E0B0">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706" w:type="pct"/>
            <w:noWrap w:val="0"/>
            <w:vAlign w:val="center"/>
          </w:tcPr>
          <w:p w14:paraId="1938004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527" w:type="pct"/>
            <w:noWrap w:val="0"/>
            <w:vAlign w:val="center"/>
          </w:tcPr>
          <w:p w14:paraId="12648F9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30</w:t>
            </w:r>
          </w:p>
        </w:tc>
      </w:tr>
      <w:tr w14:paraId="4029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2B6DDCA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restart"/>
            <w:shd w:val="clear" w:color="auto" w:fill="auto"/>
            <w:noWrap w:val="0"/>
            <w:vAlign w:val="center"/>
          </w:tcPr>
          <w:p w14:paraId="36EBBCE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乳化型</w:t>
            </w:r>
            <w:r>
              <w:rPr>
                <w:rFonts w:hint="eastAsia" w:ascii="Times New Roman" w:hAnsi="Times New Roman" w:eastAsia="宋体" w:cs="Courier New"/>
                <w:b w:val="0"/>
                <w:bCs w:val="0"/>
                <w:color w:val="auto"/>
                <w:sz w:val="21"/>
                <w:szCs w:val="21"/>
                <w:highlight w:val="none"/>
                <w:lang w:val="en-US" w:eastAsia="zh-CN"/>
              </w:rPr>
              <w:t>脱模剂</w:t>
            </w:r>
          </w:p>
        </w:tc>
        <w:tc>
          <w:tcPr>
            <w:tcW w:w="1038" w:type="pct"/>
            <w:noWrap w:val="0"/>
            <w:vAlign w:val="center"/>
          </w:tcPr>
          <w:p w14:paraId="63BA1471">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乳化剂计量罐</w:t>
            </w:r>
          </w:p>
        </w:tc>
        <w:tc>
          <w:tcPr>
            <w:tcW w:w="726" w:type="pct"/>
            <w:noWrap w:val="0"/>
            <w:vAlign w:val="center"/>
          </w:tcPr>
          <w:p w14:paraId="20BEBD78">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577" w:type="pct"/>
            <w:noWrap w:val="0"/>
            <w:vAlign w:val="center"/>
          </w:tcPr>
          <w:p w14:paraId="19697E25">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706" w:type="pct"/>
            <w:noWrap w:val="0"/>
            <w:vAlign w:val="center"/>
          </w:tcPr>
          <w:p w14:paraId="6C945A7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w:t>
            </w:r>
          </w:p>
        </w:tc>
        <w:tc>
          <w:tcPr>
            <w:tcW w:w="527" w:type="pct"/>
            <w:noWrap w:val="0"/>
            <w:vAlign w:val="center"/>
          </w:tcPr>
          <w:p w14:paraId="6242B6F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4</w:t>
            </w:r>
          </w:p>
        </w:tc>
      </w:tr>
      <w:tr w14:paraId="7153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642C6EC0">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2FAE803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68E1094E">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乳化油型复配罐</w:t>
            </w:r>
          </w:p>
        </w:tc>
        <w:tc>
          <w:tcPr>
            <w:tcW w:w="726" w:type="pct"/>
            <w:noWrap w:val="0"/>
            <w:vAlign w:val="center"/>
          </w:tcPr>
          <w:p w14:paraId="4AB697DE">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00A2FD71">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6FE5EB5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5</w:t>
            </w:r>
          </w:p>
        </w:tc>
        <w:tc>
          <w:tcPr>
            <w:tcW w:w="527" w:type="pct"/>
            <w:noWrap w:val="0"/>
            <w:vAlign w:val="center"/>
          </w:tcPr>
          <w:p w14:paraId="28EBE0A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r>
      <w:tr w14:paraId="5993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vMerge w:val="continue"/>
            <w:noWrap w:val="0"/>
            <w:vAlign w:val="center"/>
          </w:tcPr>
          <w:p w14:paraId="55BBB73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50" w:type="pct"/>
            <w:vMerge w:val="continue"/>
            <w:shd w:val="clear" w:color="auto" w:fill="auto"/>
            <w:noWrap w:val="0"/>
            <w:vAlign w:val="center"/>
          </w:tcPr>
          <w:p w14:paraId="733E8944">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1038" w:type="pct"/>
            <w:noWrap w:val="0"/>
            <w:vAlign w:val="center"/>
          </w:tcPr>
          <w:p w14:paraId="5AB482F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水乳型复配罐</w:t>
            </w:r>
          </w:p>
        </w:tc>
        <w:tc>
          <w:tcPr>
            <w:tcW w:w="726" w:type="pct"/>
            <w:noWrap w:val="0"/>
            <w:vAlign w:val="center"/>
          </w:tcPr>
          <w:p w14:paraId="7B25D6D2">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577" w:type="pct"/>
            <w:noWrap w:val="0"/>
            <w:vAlign w:val="center"/>
          </w:tcPr>
          <w:p w14:paraId="3F8C807C">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706" w:type="pct"/>
            <w:noWrap w:val="0"/>
            <w:vAlign w:val="center"/>
          </w:tcPr>
          <w:p w14:paraId="2492EB3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5</w:t>
            </w:r>
          </w:p>
        </w:tc>
        <w:tc>
          <w:tcPr>
            <w:tcW w:w="527" w:type="pct"/>
            <w:noWrap w:val="0"/>
            <w:vAlign w:val="center"/>
          </w:tcPr>
          <w:p w14:paraId="3EE0A1D6">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r>
      <w:tr w14:paraId="3AEA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pct"/>
            <w:gridSpan w:val="3"/>
            <w:noWrap w:val="0"/>
            <w:vAlign w:val="center"/>
          </w:tcPr>
          <w:p w14:paraId="4EB66F5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合计</w:t>
            </w:r>
          </w:p>
        </w:tc>
        <w:tc>
          <w:tcPr>
            <w:tcW w:w="726" w:type="pct"/>
            <w:noWrap w:val="0"/>
            <w:vAlign w:val="center"/>
          </w:tcPr>
          <w:p w14:paraId="24386DE8">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28</w:t>
            </w:r>
          </w:p>
        </w:tc>
        <w:tc>
          <w:tcPr>
            <w:tcW w:w="577" w:type="pct"/>
            <w:noWrap w:val="0"/>
            <w:vAlign w:val="center"/>
          </w:tcPr>
          <w:p w14:paraId="2F2F846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28</w:t>
            </w:r>
          </w:p>
        </w:tc>
        <w:tc>
          <w:tcPr>
            <w:tcW w:w="706" w:type="pct"/>
            <w:noWrap w:val="0"/>
            <w:vAlign w:val="center"/>
          </w:tcPr>
          <w:p w14:paraId="6B75449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w:t>
            </w:r>
          </w:p>
        </w:tc>
        <w:tc>
          <w:tcPr>
            <w:tcW w:w="527" w:type="pct"/>
            <w:noWrap w:val="0"/>
            <w:vAlign w:val="center"/>
          </w:tcPr>
          <w:p w14:paraId="4F82339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342</w:t>
            </w:r>
          </w:p>
        </w:tc>
      </w:tr>
    </w:tbl>
    <w:p w14:paraId="3AAAE78D">
      <w:pPr>
        <w:bidi w:val="0"/>
        <w:ind w:left="0" w:leftChars="0" w:firstLine="480" w:firstLineChars="200"/>
        <w:rPr>
          <w:rFonts w:hint="default"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综上，本项目集气罩</w:t>
      </w:r>
      <w:r>
        <w:rPr>
          <w:rFonts w:hint="eastAsia"/>
          <w:color w:val="auto"/>
          <w:highlight w:val="none"/>
          <w:lang w:val="en-US" w:eastAsia="zh-CN"/>
        </w:rPr>
        <w:t>总</w:t>
      </w:r>
      <w:r>
        <w:rPr>
          <w:rFonts w:hint="default"/>
          <w:b w:val="0"/>
          <w:bCs/>
          <w:color w:val="auto"/>
          <w:sz w:val="24"/>
          <w:lang w:val="en-US" w:eastAsia="zh-CN"/>
        </w:rPr>
        <w:t>排风量为</w:t>
      </w:r>
      <w:r>
        <w:rPr>
          <w:rFonts w:hint="eastAsia"/>
          <w:b w:val="0"/>
          <w:bCs/>
          <w:color w:val="auto"/>
          <w:sz w:val="24"/>
          <w:lang w:val="en-US" w:eastAsia="zh-CN"/>
        </w:rPr>
        <w:t>18144</w:t>
      </w:r>
      <w:r>
        <w:rPr>
          <w:rFonts w:hint="default"/>
          <w:b w:val="0"/>
          <w:bCs/>
          <w:color w:val="auto"/>
          <w:sz w:val="24"/>
          <w:lang w:val="en-US" w:eastAsia="zh-CN"/>
        </w:rPr>
        <w:t>m³/h</w:t>
      </w:r>
      <w:r>
        <w:rPr>
          <w:rFonts w:hint="eastAsia"/>
          <w:b w:val="0"/>
          <w:bCs/>
          <w:color w:val="auto"/>
          <w:sz w:val="24"/>
          <w:lang w:val="en-US" w:eastAsia="zh-CN"/>
        </w:rPr>
        <w:t>，集气管道</w:t>
      </w:r>
      <w:r>
        <w:rPr>
          <w:rFonts w:hint="eastAsia"/>
          <w:color w:val="auto"/>
          <w:highlight w:val="none"/>
          <w:lang w:val="en-US" w:eastAsia="zh-CN"/>
        </w:rPr>
        <w:t>总</w:t>
      </w:r>
      <w:r>
        <w:rPr>
          <w:rFonts w:hint="default"/>
          <w:b w:val="0"/>
          <w:bCs/>
          <w:color w:val="auto"/>
          <w:sz w:val="24"/>
          <w:lang w:val="en-US" w:eastAsia="zh-CN"/>
        </w:rPr>
        <w:t>排风量为</w:t>
      </w:r>
      <w:r>
        <w:rPr>
          <w:rFonts w:hint="eastAsia"/>
          <w:b w:val="0"/>
          <w:bCs/>
          <w:color w:val="auto"/>
          <w:sz w:val="24"/>
          <w:lang w:val="en-US" w:eastAsia="zh-CN"/>
        </w:rPr>
        <w:t>337</w:t>
      </w:r>
      <w:r>
        <w:rPr>
          <w:rFonts w:hint="default"/>
          <w:b w:val="0"/>
          <w:bCs/>
          <w:color w:val="auto"/>
          <w:sz w:val="24"/>
          <w:lang w:val="en-US" w:eastAsia="zh-CN"/>
        </w:rPr>
        <w:t>m³/h</w:t>
      </w:r>
      <w:r>
        <w:rPr>
          <w:rFonts w:hint="eastAsia"/>
          <w:b w:val="0"/>
          <w:bCs/>
          <w:color w:val="auto"/>
          <w:sz w:val="24"/>
          <w:lang w:val="en-US" w:eastAsia="zh-CN"/>
        </w:rPr>
        <w:t>，合计18486</w:t>
      </w:r>
      <w:r>
        <w:rPr>
          <w:rFonts w:hint="default"/>
          <w:b w:val="0"/>
          <w:bCs/>
          <w:color w:val="auto"/>
          <w:sz w:val="24"/>
          <w:lang w:val="en-US" w:eastAsia="zh-CN"/>
        </w:rPr>
        <w:t>m³/h</w:t>
      </w:r>
      <w:r>
        <w:rPr>
          <w:rFonts w:hint="eastAsia"/>
          <w:b w:val="0"/>
          <w:bCs/>
          <w:color w:val="auto"/>
          <w:sz w:val="24"/>
          <w:lang w:val="en-US" w:eastAsia="zh-CN"/>
        </w:rPr>
        <w:t>。</w:t>
      </w:r>
      <w:r>
        <w:rPr>
          <w:rFonts w:hint="default"/>
          <w:b w:val="0"/>
          <w:bCs/>
          <w:color w:val="auto"/>
          <w:sz w:val="24"/>
          <w:lang w:val="en-US" w:eastAsia="zh-CN"/>
        </w:rPr>
        <w:t>因此，考虑管道风量损失后，该系统风量按</w:t>
      </w:r>
      <w:r>
        <w:rPr>
          <w:rFonts w:hint="eastAsia"/>
          <w:b w:val="0"/>
          <w:bCs/>
          <w:color w:val="auto"/>
          <w:sz w:val="24"/>
          <w:lang w:val="en-US" w:eastAsia="zh-CN"/>
        </w:rPr>
        <w:t>20000</w:t>
      </w:r>
      <w:r>
        <w:rPr>
          <w:rFonts w:hint="default"/>
          <w:b w:val="0"/>
          <w:bCs/>
          <w:color w:val="auto"/>
          <w:sz w:val="24"/>
          <w:lang w:val="en-US" w:eastAsia="zh-CN"/>
        </w:rPr>
        <w:t>m</w:t>
      </w:r>
      <w:r>
        <w:rPr>
          <w:rFonts w:hint="default"/>
          <w:b w:val="0"/>
          <w:bCs/>
          <w:color w:val="auto"/>
          <w:sz w:val="24"/>
          <w:vertAlign w:val="superscript"/>
          <w:lang w:val="en-US" w:eastAsia="zh-CN"/>
        </w:rPr>
        <w:t>3</w:t>
      </w:r>
      <w:r>
        <w:rPr>
          <w:rFonts w:hint="default"/>
          <w:b w:val="0"/>
          <w:bCs/>
          <w:color w:val="auto"/>
          <w:sz w:val="24"/>
          <w:lang w:val="en-US" w:eastAsia="zh-CN"/>
        </w:rPr>
        <w:t>/h设计。</w:t>
      </w:r>
    </w:p>
    <w:p w14:paraId="0C13640E">
      <w:pPr>
        <w:bidi w:val="0"/>
        <w:rPr>
          <w:rFonts w:hint="eastAsia"/>
          <w:b/>
          <w:bCs/>
          <w:color w:val="auto"/>
          <w:lang w:val="en-US" w:eastAsia="zh-CN"/>
        </w:rPr>
      </w:pPr>
      <w:r>
        <w:rPr>
          <w:rFonts w:hint="eastAsia"/>
          <w:b/>
          <w:bCs/>
          <w:color w:val="auto"/>
          <w:lang w:val="en-US" w:eastAsia="zh-CN"/>
        </w:rPr>
        <w:t>④活性炭用量、填充量及更换周期</w:t>
      </w:r>
    </w:p>
    <w:p w14:paraId="5F955EC9">
      <w:pPr>
        <w:bidi w:val="0"/>
        <w:rPr>
          <w:rFonts w:hint="default"/>
          <w:color w:val="auto"/>
          <w:lang w:val="en-US" w:eastAsia="zh-CN"/>
        </w:rPr>
      </w:pPr>
      <w:r>
        <w:rPr>
          <w:rFonts w:hint="eastAsia"/>
          <w:color w:val="auto"/>
          <w:lang w:val="en-US" w:eastAsia="zh-CN"/>
        </w:rPr>
        <w:t>A.活性炭填充量</w:t>
      </w:r>
    </w:p>
    <w:p w14:paraId="69D16A88">
      <w:pPr>
        <w:bidi w:val="0"/>
        <w:rPr>
          <w:rFonts w:hint="eastAsia"/>
          <w:color w:val="auto"/>
        </w:rPr>
      </w:pPr>
      <w:r>
        <w:rPr>
          <w:rFonts w:hint="eastAsia"/>
          <w:color w:val="auto"/>
        </w:rPr>
        <w:t>活性炭填充量采用以下公式计算：</w:t>
      </w:r>
    </w:p>
    <w:p w14:paraId="159E34C4">
      <w:pPr>
        <w:bidi w:val="0"/>
        <w:jc w:val="center"/>
        <w:rPr>
          <w:color w:val="auto"/>
        </w:rPr>
      </w:pPr>
      <w:r>
        <w:rPr>
          <w:color w:val="auto"/>
          <w:position w:val="-24"/>
          <w:highlight w:val="none"/>
        </w:rPr>
        <w:object>
          <v:shape id="_x0000_i1033" o:spt="75" type="#_x0000_t75" style="height:30.85pt;width:141.1pt;" o:ole="t" filled="f" o:preferrelative="t" stroked="f" coordsize="21600,21600">
            <v:path/>
            <v:fill on="f" focussize="0,0"/>
            <v:stroke on="f"/>
            <v:imagedata r:id="rId40" o:title=""/>
            <o:lock v:ext="edit" aspectratio="t"/>
            <w10:wrap type="none"/>
            <w10:anchorlock/>
          </v:shape>
          <o:OLEObject Type="Embed" ProgID="Equation.3" ShapeID="_x0000_i1033" DrawAspect="Content" ObjectID="_1468075733" r:id="rId39">
            <o:LockedField>false</o:LockedField>
          </o:OLEObject>
        </w:object>
      </w:r>
    </w:p>
    <w:p w14:paraId="5E97D285">
      <w:pPr>
        <w:bidi w:val="0"/>
        <w:rPr>
          <w:rFonts w:hint="eastAsia"/>
          <w:color w:val="auto"/>
        </w:rPr>
      </w:pPr>
      <w:r>
        <w:rPr>
          <w:rFonts w:hint="eastAsia"/>
          <w:color w:val="auto"/>
        </w:rPr>
        <w:t>式中，</w:t>
      </w:r>
      <w:r>
        <w:rPr>
          <w:color w:val="auto"/>
        </w:rPr>
        <w:t>W——吸附</w:t>
      </w:r>
      <w:r>
        <w:rPr>
          <w:rFonts w:hint="eastAsia"/>
          <w:color w:val="auto"/>
        </w:rPr>
        <w:t>剂用量，t；</w:t>
      </w:r>
    </w:p>
    <w:p w14:paraId="689701EE">
      <w:pPr>
        <w:bidi w:val="0"/>
        <w:ind w:firstLine="720" w:firstLineChars="300"/>
        <w:rPr>
          <w:rFonts w:hint="eastAsia"/>
          <w:color w:val="auto"/>
        </w:rPr>
      </w:pPr>
      <w:r>
        <w:rPr>
          <w:rFonts w:hint="eastAsia"/>
          <w:color w:val="auto"/>
        </w:rPr>
        <w:t>C</w:t>
      </w:r>
      <w:r>
        <w:rPr>
          <w:rFonts w:hint="eastAsia"/>
          <w:color w:val="auto"/>
          <w:vertAlign w:val="subscript"/>
        </w:rPr>
        <w:t>in</w:t>
      </w:r>
      <w:r>
        <w:rPr>
          <w:color w:val="auto"/>
        </w:rPr>
        <w:t>——</w:t>
      </w:r>
      <w:r>
        <w:rPr>
          <w:rFonts w:hint="eastAsia"/>
          <w:color w:val="auto"/>
        </w:rPr>
        <w:t>吸附装置进口废气浓度，mg/m</w:t>
      </w:r>
      <w:r>
        <w:rPr>
          <w:rFonts w:hint="eastAsia"/>
          <w:color w:val="auto"/>
          <w:vertAlign w:val="superscript"/>
        </w:rPr>
        <w:t>3</w:t>
      </w:r>
      <w:r>
        <w:rPr>
          <w:rFonts w:hint="eastAsia"/>
          <w:color w:val="auto"/>
        </w:rPr>
        <w:t>，</w:t>
      </w:r>
      <w:r>
        <w:rPr>
          <w:rFonts w:hint="eastAsia"/>
          <w:color w:val="auto"/>
          <w:lang w:val="en-US" w:eastAsia="zh-CN"/>
        </w:rPr>
        <w:t>为3.53</w:t>
      </w:r>
      <w:r>
        <w:rPr>
          <w:rFonts w:hint="eastAsia"/>
          <w:color w:val="auto"/>
        </w:rPr>
        <w:t>mg/m</w:t>
      </w:r>
      <w:r>
        <w:rPr>
          <w:rFonts w:hint="eastAsia"/>
          <w:color w:val="auto"/>
          <w:vertAlign w:val="superscript"/>
        </w:rPr>
        <w:t>3</w:t>
      </w:r>
      <w:r>
        <w:rPr>
          <w:rFonts w:hint="eastAsia"/>
          <w:color w:val="auto"/>
        </w:rPr>
        <w:t>；</w:t>
      </w:r>
    </w:p>
    <w:p w14:paraId="5FA4D0DE">
      <w:pPr>
        <w:bidi w:val="0"/>
        <w:ind w:firstLine="720" w:firstLineChars="300"/>
        <w:rPr>
          <w:rFonts w:hint="eastAsia"/>
          <w:color w:val="auto"/>
        </w:rPr>
      </w:pPr>
      <w:r>
        <w:rPr>
          <w:rFonts w:hint="eastAsia"/>
          <w:color w:val="auto"/>
        </w:rPr>
        <w:t>C</w:t>
      </w:r>
      <w:r>
        <w:rPr>
          <w:rFonts w:hint="eastAsia"/>
          <w:color w:val="auto"/>
          <w:vertAlign w:val="subscript"/>
        </w:rPr>
        <w:t>out</w:t>
      </w:r>
      <w:r>
        <w:rPr>
          <w:color w:val="auto"/>
        </w:rPr>
        <w:t>——</w:t>
      </w:r>
      <w:r>
        <w:rPr>
          <w:rFonts w:hint="eastAsia"/>
          <w:color w:val="auto"/>
        </w:rPr>
        <w:t>吸附装置出口废气浓度，mg/m</w:t>
      </w:r>
      <w:r>
        <w:rPr>
          <w:rFonts w:hint="eastAsia"/>
          <w:color w:val="auto"/>
          <w:vertAlign w:val="superscript"/>
        </w:rPr>
        <w:t>3</w:t>
      </w:r>
      <w:r>
        <w:rPr>
          <w:rFonts w:hint="eastAsia"/>
          <w:color w:val="auto"/>
        </w:rPr>
        <w:t>，</w:t>
      </w:r>
      <w:r>
        <w:rPr>
          <w:rFonts w:hint="eastAsia"/>
          <w:color w:val="auto"/>
          <w:lang w:val="en-US" w:eastAsia="zh-CN"/>
        </w:rPr>
        <w:t>为0.88</w:t>
      </w:r>
      <w:r>
        <w:rPr>
          <w:rFonts w:hint="eastAsia"/>
          <w:color w:val="auto"/>
        </w:rPr>
        <w:t>mg/m</w:t>
      </w:r>
      <w:r>
        <w:rPr>
          <w:rFonts w:hint="eastAsia"/>
          <w:color w:val="auto"/>
          <w:vertAlign w:val="superscript"/>
        </w:rPr>
        <w:t>3</w:t>
      </w:r>
      <w:r>
        <w:rPr>
          <w:rFonts w:hint="eastAsia"/>
          <w:color w:val="auto"/>
        </w:rPr>
        <w:t>；</w:t>
      </w:r>
    </w:p>
    <w:p w14:paraId="0528AB09">
      <w:pPr>
        <w:bidi w:val="0"/>
        <w:ind w:firstLine="720" w:firstLineChars="300"/>
        <w:rPr>
          <w:rFonts w:hint="eastAsia"/>
          <w:color w:val="auto"/>
        </w:rPr>
      </w:pPr>
      <w:r>
        <w:rPr>
          <w:rFonts w:hint="eastAsia"/>
          <w:color w:val="auto"/>
        </w:rPr>
        <w:t>Q</w:t>
      </w:r>
      <w:r>
        <w:rPr>
          <w:color w:val="auto"/>
        </w:rPr>
        <w:t>——</w:t>
      </w:r>
      <w:r>
        <w:rPr>
          <w:rFonts w:hint="eastAsia"/>
          <w:color w:val="auto"/>
        </w:rPr>
        <w:t>废气流量，m</w:t>
      </w:r>
      <w:r>
        <w:rPr>
          <w:rFonts w:hint="eastAsia"/>
          <w:color w:val="auto"/>
          <w:vertAlign w:val="superscript"/>
        </w:rPr>
        <w:t>3</w:t>
      </w:r>
      <w:r>
        <w:rPr>
          <w:rFonts w:hint="eastAsia"/>
          <w:color w:val="auto"/>
        </w:rPr>
        <w:t>/h，</w:t>
      </w:r>
      <w:r>
        <w:rPr>
          <w:rFonts w:hint="eastAsia"/>
          <w:color w:val="auto"/>
          <w:lang w:val="en-US" w:eastAsia="zh-CN"/>
        </w:rPr>
        <w:t>为20000</w:t>
      </w:r>
      <w:r>
        <w:rPr>
          <w:rFonts w:hint="eastAsia"/>
          <w:color w:val="auto"/>
        </w:rPr>
        <w:t>m</w:t>
      </w:r>
      <w:r>
        <w:rPr>
          <w:rFonts w:hint="eastAsia"/>
          <w:color w:val="auto"/>
          <w:vertAlign w:val="superscript"/>
        </w:rPr>
        <w:t>3</w:t>
      </w:r>
      <w:r>
        <w:rPr>
          <w:rFonts w:hint="eastAsia"/>
          <w:color w:val="auto"/>
        </w:rPr>
        <w:t>/h；</w:t>
      </w:r>
    </w:p>
    <w:p w14:paraId="2D8701C5">
      <w:pPr>
        <w:bidi w:val="0"/>
        <w:ind w:firstLine="720" w:firstLineChars="300"/>
        <w:rPr>
          <w:rFonts w:hint="eastAsia"/>
          <w:color w:val="auto"/>
        </w:rPr>
      </w:pPr>
      <w:r>
        <w:rPr>
          <w:rFonts w:hint="eastAsia"/>
          <w:color w:val="auto"/>
        </w:rPr>
        <w:t>T</w:t>
      </w:r>
      <w:r>
        <w:rPr>
          <w:color w:val="auto"/>
        </w:rPr>
        <w:t>——</w:t>
      </w:r>
      <w:r>
        <w:rPr>
          <w:rFonts w:hint="eastAsia"/>
          <w:color w:val="auto"/>
        </w:rPr>
        <w:t>有效吸附时间，h，</w:t>
      </w:r>
      <w:r>
        <w:rPr>
          <w:rFonts w:hint="eastAsia"/>
          <w:color w:val="auto"/>
          <w:lang w:val="en-US" w:eastAsia="zh-CN"/>
        </w:rPr>
        <w:t>为2400</w:t>
      </w:r>
      <w:r>
        <w:rPr>
          <w:rFonts w:hint="eastAsia"/>
          <w:color w:val="auto"/>
        </w:rPr>
        <w:t>h；</w:t>
      </w:r>
    </w:p>
    <w:p w14:paraId="5C1F1BAD">
      <w:pPr>
        <w:bidi w:val="0"/>
        <w:ind w:firstLine="720" w:firstLineChars="300"/>
        <w:rPr>
          <w:rFonts w:hint="eastAsia"/>
          <w:color w:val="auto"/>
        </w:rPr>
      </w:pPr>
      <w:r>
        <w:rPr>
          <w:rFonts w:hint="eastAsia"/>
          <w:color w:val="auto"/>
        </w:rPr>
        <w:t>A</w:t>
      </w:r>
      <w:r>
        <w:rPr>
          <w:color w:val="auto"/>
        </w:rPr>
        <w:t>——</w:t>
      </w:r>
      <w:r>
        <w:rPr>
          <w:rFonts w:hint="eastAsia"/>
          <w:color w:val="auto"/>
        </w:rPr>
        <w:t>吸附剂动态吸附量，mg/g，取200mg/g计。</w:t>
      </w:r>
    </w:p>
    <w:p w14:paraId="0E1A0A3D">
      <w:pPr>
        <w:bidi w:val="0"/>
        <w:rPr>
          <w:rFonts w:hint="eastAsia"/>
          <w:color w:val="auto"/>
        </w:rPr>
      </w:pPr>
      <w:r>
        <w:rPr>
          <w:rFonts w:hint="eastAsia"/>
          <w:color w:val="auto"/>
        </w:rPr>
        <w:t>根据计算，项目活性炭</w:t>
      </w:r>
      <w:r>
        <w:rPr>
          <w:rFonts w:hint="eastAsia"/>
          <w:color w:val="auto"/>
          <w:lang w:val="en-US" w:eastAsia="zh-CN"/>
        </w:rPr>
        <w:t>年</w:t>
      </w:r>
      <w:r>
        <w:rPr>
          <w:rFonts w:hint="eastAsia"/>
          <w:color w:val="auto"/>
        </w:rPr>
        <w:t>填充量为</w:t>
      </w:r>
      <w:r>
        <w:rPr>
          <w:rFonts w:hint="eastAsia"/>
          <w:color w:val="auto"/>
          <w:lang w:val="en-US" w:eastAsia="zh-CN"/>
        </w:rPr>
        <w:t>0.636t</w:t>
      </w:r>
      <w:r>
        <w:rPr>
          <w:rFonts w:hint="eastAsia"/>
          <w:color w:val="auto"/>
        </w:rPr>
        <w:t>。</w:t>
      </w:r>
    </w:p>
    <w:p w14:paraId="3984BD4F">
      <w:pPr>
        <w:bidi w:val="0"/>
        <w:ind w:left="0" w:leftChars="0" w:firstLine="480" w:firstLineChars="200"/>
        <w:rPr>
          <w:rFonts w:hint="eastAsia"/>
          <w:color w:val="auto"/>
          <w:lang w:val="en-US" w:eastAsia="zh-CN"/>
        </w:rPr>
      </w:pPr>
      <w:r>
        <w:rPr>
          <w:rFonts w:hint="eastAsia"/>
          <w:color w:val="auto"/>
          <w:lang w:val="en-US" w:eastAsia="zh-CN"/>
        </w:rPr>
        <w:t>同时，根据《四川省挥发性有机物治理之活性炭使用管理常见问题工具书》中表1废气收集参数和最少活性炭装填量参考表（以500h计）</w:t>
      </w:r>
      <w:r>
        <w:rPr>
          <w:rFonts w:hint="eastAsia"/>
          <w:color w:val="auto"/>
          <w:sz w:val="24"/>
          <w:highlight w:val="none"/>
          <w:lang w:val="en-US" w:eastAsia="zh-CN"/>
        </w:rPr>
        <w:t>和</w:t>
      </w:r>
      <w:r>
        <w:rPr>
          <w:rFonts w:hint="eastAsia" w:ascii="Times New Roman" w:hAnsi="Times New Roman" w:cs="Times New Roman"/>
          <w:b w:val="0"/>
          <w:bCs/>
          <w:color w:val="auto"/>
          <w:sz w:val="24"/>
          <w:highlight w:val="none"/>
          <w:lang w:val="en-US" w:eastAsia="zh-CN"/>
        </w:rPr>
        <w:t>《工业有机废气活性炭治理技术规范》（征求意见稿）表C.1活性炭装填量参考表（以500h计）</w:t>
      </w:r>
      <w:r>
        <w:rPr>
          <w:rFonts w:hint="eastAsia"/>
          <w:color w:val="auto"/>
          <w:sz w:val="24"/>
          <w:highlight w:val="none"/>
          <w:lang w:val="en-US" w:eastAsia="zh-CN"/>
        </w:rPr>
        <w:t>，本项目VOCs初始浓度3.53</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lang w:val="en-US" w:eastAsia="zh-CN"/>
        </w:rPr>
        <w:t>，风量20000</w:t>
      </w:r>
      <w:r>
        <w:rPr>
          <w:rFonts w:hint="eastAsia"/>
          <w:color w:val="auto"/>
          <w:sz w:val="24"/>
          <w:highlight w:val="none"/>
        </w:rPr>
        <w:t>m</w:t>
      </w:r>
      <w:r>
        <w:rPr>
          <w:rFonts w:hint="eastAsia"/>
          <w:color w:val="auto"/>
          <w:sz w:val="24"/>
          <w:highlight w:val="none"/>
          <w:vertAlign w:val="superscript"/>
        </w:rPr>
        <w:t>3</w:t>
      </w:r>
      <w:r>
        <w:rPr>
          <w:rFonts w:hint="eastAsia"/>
          <w:color w:val="auto"/>
          <w:sz w:val="24"/>
          <w:highlight w:val="none"/>
        </w:rPr>
        <w:t>/h</w:t>
      </w:r>
      <w:r>
        <w:rPr>
          <w:rFonts w:hint="eastAsia"/>
          <w:color w:val="auto"/>
          <w:sz w:val="24"/>
          <w:highlight w:val="none"/>
          <w:lang w:eastAsia="zh-CN"/>
        </w:rPr>
        <w:t>，</w:t>
      </w:r>
      <w:r>
        <w:rPr>
          <w:rFonts w:hint="eastAsia"/>
          <w:color w:val="auto"/>
          <w:sz w:val="24"/>
          <w:highlight w:val="none"/>
          <w:lang w:val="en-US" w:eastAsia="zh-CN"/>
        </w:rPr>
        <w:t>活性炭最小填充装填质量1.5t。</w:t>
      </w:r>
    </w:p>
    <w:p w14:paraId="5E270D65">
      <w:pPr>
        <w:bidi w:val="0"/>
        <w:rPr>
          <w:rFonts w:hint="default"/>
          <w:color w:val="auto"/>
          <w:lang w:val="en-US" w:eastAsia="zh-CN"/>
        </w:rPr>
      </w:pPr>
      <w:r>
        <w:rPr>
          <w:rFonts w:hint="eastAsia"/>
          <w:color w:val="auto"/>
          <w:lang w:val="en-US" w:eastAsia="zh-CN"/>
        </w:rPr>
        <w:t>因此，</w:t>
      </w:r>
      <w:r>
        <w:rPr>
          <w:rFonts w:hint="eastAsia"/>
          <w:color w:val="auto"/>
          <w:sz w:val="24"/>
          <w:highlight w:val="none"/>
          <w:lang w:val="en-US" w:eastAsia="zh-CN"/>
        </w:rPr>
        <w:t>本项目两级活性炭吸附装置活性炭</w:t>
      </w:r>
      <w:r>
        <w:rPr>
          <w:rFonts w:hint="eastAsia"/>
          <w:color w:val="auto"/>
          <w:sz w:val="24"/>
          <w:highlight w:val="none"/>
        </w:rPr>
        <w:t>填充量</w:t>
      </w:r>
      <w:r>
        <w:rPr>
          <w:rFonts w:hint="eastAsia"/>
          <w:color w:val="auto"/>
          <w:sz w:val="24"/>
          <w:highlight w:val="none"/>
          <w:lang w:val="en-US" w:eastAsia="zh-CN"/>
        </w:rPr>
        <w:t>为3t。</w:t>
      </w:r>
    </w:p>
    <w:p w14:paraId="20DF2CFC">
      <w:pPr>
        <w:bidi w:val="0"/>
        <w:rPr>
          <w:rFonts w:hint="eastAsia"/>
          <w:color w:val="auto"/>
        </w:rPr>
      </w:pPr>
      <w:r>
        <w:rPr>
          <w:rFonts w:hint="eastAsia"/>
          <w:color w:val="auto"/>
          <w:lang w:val="en-US" w:eastAsia="zh-CN"/>
        </w:rPr>
        <w:t>B.</w:t>
      </w:r>
      <w:r>
        <w:rPr>
          <w:rFonts w:hint="eastAsia"/>
          <w:color w:val="auto"/>
        </w:rPr>
        <w:t>活性炭</w:t>
      </w:r>
      <w:r>
        <w:rPr>
          <w:rFonts w:hint="eastAsia"/>
          <w:color w:val="auto"/>
          <w:lang w:val="en-US" w:eastAsia="zh-CN"/>
        </w:rPr>
        <w:t>用量及</w:t>
      </w:r>
      <w:r>
        <w:rPr>
          <w:rFonts w:hint="eastAsia"/>
          <w:color w:val="auto"/>
        </w:rPr>
        <w:t>更换周期</w:t>
      </w:r>
    </w:p>
    <w:p w14:paraId="35E65DAE">
      <w:pPr>
        <w:spacing w:line="360" w:lineRule="auto"/>
        <w:ind w:left="0" w:leftChars="0" w:firstLine="480" w:firstLineChars="200"/>
        <w:rPr>
          <w:rFonts w:hint="eastAsia"/>
          <w:color w:val="auto"/>
          <w:sz w:val="24"/>
          <w:highlight w:val="none"/>
          <w:lang w:val="en-US" w:eastAsia="zh-CN"/>
        </w:rPr>
      </w:pPr>
      <w:r>
        <w:rPr>
          <w:rFonts w:hint="eastAsia" w:ascii="宋体" w:hAnsi="宋体"/>
          <w:b w:val="0"/>
          <w:bCs/>
          <w:color w:val="auto"/>
          <w:sz w:val="24"/>
          <w:highlight w:val="none"/>
          <w:lang w:val="en-US" w:eastAsia="zh-CN"/>
        </w:rPr>
        <w:t>根据</w:t>
      </w:r>
      <w:r>
        <w:rPr>
          <w:rFonts w:hint="eastAsia"/>
          <w:b w:val="0"/>
          <w:bCs/>
          <w:color w:val="auto"/>
          <w:sz w:val="24"/>
          <w:highlight w:val="none"/>
          <w:lang w:val="en-US" w:eastAsia="zh-CN"/>
        </w:rPr>
        <w:t>《四川省挥发性有机物治理之活性炭使用管理常见问题工具书》，按1吨VOCs需用5吨活性炭吸附计，本项目活性炭吸附装置需处理的VOCs约0.17t/a，则活性炭年用量至少为0.17×5=0.85t。</w:t>
      </w:r>
    </w:p>
    <w:p w14:paraId="1C82767F">
      <w:pPr>
        <w:bidi w:val="0"/>
        <w:ind w:left="0" w:leftChars="0" w:firstLine="480" w:firstLineChars="200"/>
        <w:rPr>
          <w:rFonts w:hint="eastAsia"/>
          <w:color w:val="auto"/>
          <w:lang w:val="en-US" w:eastAsia="zh-CN"/>
        </w:rPr>
      </w:pPr>
      <w:r>
        <w:rPr>
          <w:rFonts w:hint="eastAsia"/>
          <w:color w:val="auto"/>
          <w:sz w:val="24"/>
          <w:highlight w:val="none"/>
          <w:lang w:val="en-US" w:eastAsia="zh-CN"/>
        </w:rPr>
        <w:t>同时，根据</w:t>
      </w:r>
      <w:r>
        <w:rPr>
          <w:rFonts w:hint="eastAsia" w:ascii="Times New Roman" w:hAnsi="Times New Roman" w:cs="Times New Roman"/>
          <w:b w:val="0"/>
          <w:bCs/>
          <w:color w:val="auto"/>
          <w:sz w:val="24"/>
          <w:highlight w:val="none"/>
          <w:lang w:val="en-US" w:eastAsia="zh-CN"/>
        </w:rPr>
        <w:t>《工业有机废气活性炭治理技术规范》（征求意见稿），</w:t>
      </w:r>
      <w:r>
        <w:rPr>
          <w:rFonts w:hint="eastAsia"/>
          <w:color w:val="auto"/>
          <w:sz w:val="24"/>
          <w:highlight w:val="none"/>
        </w:rPr>
        <w:t>本项目活性炭更换周期T计算如下：</w:t>
      </w:r>
    </w:p>
    <w:p w14:paraId="75C0C112">
      <w:pPr>
        <w:spacing w:line="360" w:lineRule="auto"/>
        <w:jc w:val="center"/>
        <w:rPr>
          <w:color w:val="auto"/>
          <w:sz w:val="24"/>
          <w:highlight w:val="none"/>
        </w:rPr>
      </w:pPr>
      <w:r>
        <w:rPr>
          <w:color w:val="auto"/>
          <w:sz w:val="24"/>
          <w:highlight w:val="none"/>
        </w:rPr>
        <w:t>T=m×s×10</w:t>
      </w:r>
      <w:r>
        <w:rPr>
          <w:color w:val="auto"/>
          <w:sz w:val="24"/>
          <w:highlight w:val="none"/>
          <w:vertAlign w:val="superscript"/>
        </w:rPr>
        <w:t>6</w:t>
      </w:r>
      <w:r>
        <w:rPr>
          <w:color w:val="auto"/>
          <w:sz w:val="24"/>
          <w:highlight w:val="none"/>
        </w:rPr>
        <w:t>÷（c×Q×t）</w:t>
      </w:r>
    </w:p>
    <w:p w14:paraId="36669F5D">
      <w:pPr>
        <w:spacing w:line="360" w:lineRule="auto"/>
        <w:ind w:firstLine="480" w:firstLineChars="200"/>
        <w:rPr>
          <w:rFonts w:hint="eastAsia"/>
          <w:color w:val="auto"/>
          <w:sz w:val="24"/>
          <w:highlight w:val="none"/>
        </w:rPr>
      </w:pPr>
      <w:r>
        <w:rPr>
          <w:rFonts w:hint="eastAsia"/>
          <w:color w:val="auto"/>
          <w:sz w:val="24"/>
          <w:highlight w:val="none"/>
        </w:rPr>
        <w:t>式中，T</w:t>
      </w:r>
      <w:r>
        <w:rPr>
          <w:color w:val="auto"/>
          <w:sz w:val="24"/>
          <w:highlight w:val="none"/>
        </w:rPr>
        <w:t>——</w:t>
      </w:r>
      <w:r>
        <w:rPr>
          <w:rFonts w:hint="eastAsia"/>
          <w:color w:val="auto"/>
          <w:sz w:val="24"/>
          <w:highlight w:val="none"/>
        </w:rPr>
        <w:t>更换周期，天；</w:t>
      </w:r>
    </w:p>
    <w:p w14:paraId="56F18026">
      <w:pPr>
        <w:spacing w:line="360" w:lineRule="auto"/>
        <w:ind w:firstLine="1200" w:firstLineChars="500"/>
        <w:rPr>
          <w:rFonts w:hint="eastAsia"/>
          <w:color w:val="auto"/>
          <w:sz w:val="24"/>
          <w:highlight w:val="none"/>
        </w:rPr>
      </w:pPr>
      <w:r>
        <w:rPr>
          <w:rFonts w:hint="eastAsia"/>
          <w:color w:val="auto"/>
          <w:sz w:val="24"/>
          <w:highlight w:val="none"/>
          <w:lang w:val="en-US" w:eastAsia="zh-CN"/>
        </w:rPr>
        <w:t>m</w:t>
      </w:r>
      <w:r>
        <w:rPr>
          <w:color w:val="auto"/>
          <w:sz w:val="24"/>
          <w:highlight w:val="none"/>
        </w:rPr>
        <w:t>——</w:t>
      </w:r>
      <w:r>
        <w:rPr>
          <w:rFonts w:hint="eastAsia"/>
          <w:color w:val="auto"/>
          <w:sz w:val="24"/>
          <w:highlight w:val="none"/>
        </w:rPr>
        <w:t>活性炭的用量，kg，</w:t>
      </w:r>
      <w:r>
        <w:rPr>
          <w:rFonts w:hint="eastAsia"/>
          <w:color w:val="auto"/>
          <w:sz w:val="24"/>
          <w:highlight w:val="none"/>
          <w:lang w:val="en-US" w:eastAsia="zh-CN"/>
        </w:rPr>
        <w:t>为</w:t>
      </w:r>
      <w:r>
        <w:rPr>
          <w:rFonts w:hint="eastAsia"/>
          <w:b w:val="0"/>
          <w:bCs/>
          <w:color w:val="auto"/>
          <w:sz w:val="24"/>
          <w:highlight w:val="none"/>
          <w:lang w:val="en-US" w:eastAsia="zh-CN"/>
        </w:rPr>
        <w:t>850kg</w:t>
      </w:r>
      <w:r>
        <w:rPr>
          <w:rFonts w:hint="eastAsia"/>
          <w:color w:val="auto"/>
          <w:sz w:val="24"/>
          <w:highlight w:val="none"/>
        </w:rPr>
        <w:t>；</w:t>
      </w:r>
    </w:p>
    <w:p w14:paraId="0BCBC4A7">
      <w:pPr>
        <w:spacing w:line="360" w:lineRule="auto"/>
        <w:ind w:firstLine="1200" w:firstLineChars="500"/>
        <w:rPr>
          <w:rFonts w:hint="eastAsia"/>
          <w:color w:val="auto"/>
          <w:sz w:val="24"/>
          <w:highlight w:val="none"/>
        </w:rPr>
      </w:pPr>
      <w:r>
        <w:rPr>
          <w:rFonts w:hint="eastAsia"/>
          <w:color w:val="auto"/>
          <w:sz w:val="24"/>
          <w:highlight w:val="none"/>
        </w:rPr>
        <w:t>s</w:t>
      </w:r>
      <w:r>
        <w:rPr>
          <w:color w:val="auto"/>
          <w:sz w:val="24"/>
          <w:highlight w:val="none"/>
        </w:rPr>
        <w:t>——</w:t>
      </w:r>
      <w:r>
        <w:rPr>
          <w:rFonts w:hint="eastAsia"/>
          <w:color w:val="auto"/>
          <w:sz w:val="24"/>
          <w:highlight w:val="none"/>
        </w:rPr>
        <w:t>动态吸附量，%；取10%；</w:t>
      </w:r>
    </w:p>
    <w:p w14:paraId="74D20D9E">
      <w:pPr>
        <w:spacing w:line="360" w:lineRule="auto"/>
        <w:ind w:firstLine="1200" w:firstLineChars="500"/>
        <w:rPr>
          <w:rFonts w:hint="eastAsia"/>
          <w:color w:val="auto"/>
          <w:sz w:val="24"/>
          <w:highlight w:val="none"/>
        </w:rPr>
      </w:pPr>
      <w:r>
        <w:rPr>
          <w:rFonts w:hint="eastAsia"/>
          <w:color w:val="auto"/>
          <w:sz w:val="24"/>
          <w:highlight w:val="none"/>
        </w:rPr>
        <w:t>c</w:t>
      </w:r>
      <w:r>
        <w:rPr>
          <w:color w:val="auto"/>
          <w:sz w:val="24"/>
          <w:highlight w:val="none"/>
        </w:rPr>
        <w:t>——</w:t>
      </w:r>
      <w:r>
        <w:rPr>
          <w:rFonts w:hint="eastAsia"/>
          <w:color w:val="auto"/>
          <w:sz w:val="24"/>
          <w:highlight w:val="none"/>
        </w:rPr>
        <w:t>活性炭削减的VOCs浓度，mg/m</w:t>
      </w:r>
      <w:r>
        <w:rPr>
          <w:rFonts w:hint="eastAsia"/>
          <w:color w:val="auto"/>
          <w:sz w:val="24"/>
          <w:highlight w:val="none"/>
          <w:vertAlign w:val="superscript"/>
        </w:rPr>
        <w:t>3</w:t>
      </w:r>
      <w:r>
        <w:rPr>
          <w:rFonts w:hint="eastAsia"/>
          <w:color w:val="auto"/>
          <w:sz w:val="24"/>
          <w:highlight w:val="none"/>
        </w:rPr>
        <w:t>，为</w:t>
      </w:r>
      <w:r>
        <w:rPr>
          <w:rFonts w:hint="eastAsia"/>
          <w:color w:val="auto"/>
          <w:sz w:val="24"/>
          <w:highlight w:val="none"/>
          <w:lang w:val="en-US" w:eastAsia="zh-CN"/>
        </w:rPr>
        <w:t>2.65</w:t>
      </w:r>
      <w:r>
        <w:rPr>
          <w:rFonts w:hint="eastAsia"/>
          <w:color w:val="auto"/>
          <w:sz w:val="24"/>
          <w:highlight w:val="none"/>
        </w:rPr>
        <w:t>mg/m</w:t>
      </w:r>
      <w:r>
        <w:rPr>
          <w:rFonts w:hint="eastAsia"/>
          <w:color w:val="auto"/>
          <w:sz w:val="24"/>
          <w:highlight w:val="none"/>
          <w:vertAlign w:val="superscript"/>
        </w:rPr>
        <w:t>3</w:t>
      </w:r>
      <w:r>
        <w:rPr>
          <w:rFonts w:hint="eastAsia"/>
          <w:color w:val="auto"/>
          <w:sz w:val="24"/>
          <w:highlight w:val="none"/>
        </w:rPr>
        <w:t>；</w:t>
      </w:r>
    </w:p>
    <w:p w14:paraId="35D2F95F">
      <w:pPr>
        <w:spacing w:line="360" w:lineRule="auto"/>
        <w:ind w:firstLine="1200" w:firstLineChars="500"/>
        <w:rPr>
          <w:rFonts w:hint="eastAsia"/>
          <w:color w:val="auto"/>
          <w:sz w:val="24"/>
          <w:highlight w:val="none"/>
        </w:rPr>
      </w:pPr>
      <w:r>
        <w:rPr>
          <w:rFonts w:hint="eastAsia"/>
          <w:color w:val="auto"/>
          <w:sz w:val="24"/>
          <w:highlight w:val="none"/>
        </w:rPr>
        <w:t>Q</w:t>
      </w:r>
      <w:r>
        <w:rPr>
          <w:color w:val="auto"/>
          <w:sz w:val="24"/>
          <w:highlight w:val="none"/>
        </w:rPr>
        <w:t>——</w:t>
      </w:r>
      <w:r>
        <w:rPr>
          <w:rFonts w:hint="eastAsia"/>
          <w:color w:val="auto"/>
          <w:sz w:val="24"/>
          <w:highlight w:val="none"/>
        </w:rPr>
        <w:t>风量，单位m</w:t>
      </w:r>
      <w:r>
        <w:rPr>
          <w:rFonts w:hint="eastAsia"/>
          <w:color w:val="auto"/>
          <w:sz w:val="24"/>
          <w:highlight w:val="none"/>
          <w:vertAlign w:val="superscript"/>
        </w:rPr>
        <w:t>3</w:t>
      </w:r>
      <w:r>
        <w:rPr>
          <w:rFonts w:hint="eastAsia"/>
          <w:color w:val="auto"/>
          <w:sz w:val="24"/>
          <w:highlight w:val="none"/>
        </w:rPr>
        <w:t>/h，</w:t>
      </w:r>
      <w:r>
        <w:rPr>
          <w:rFonts w:hint="eastAsia"/>
          <w:color w:val="auto"/>
          <w:sz w:val="24"/>
          <w:highlight w:val="none"/>
          <w:lang w:val="en-US" w:eastAsia="zh-CN"/>
        </w:rPr>
        <w:t>为20</w:t>
      </w:r>
      <w:r>
        <w:rPr>
          <w:rFonts w:hint="eastAsia"/>
          <w:color w:val="auto"/>
          <w:sz w:val="24"/>
          <w:highlight w:val="none"/>
        </w:rPr>
        <w:t>000m</w:t>
      </w:r>
      <w:r>
        <w:rPr>
          <w:rFonts w:hint="eastAsia"/>
          <w:color w:val="auto"/>
          <w:sz w:val="24"/>
          <w:highlight w:val="none"/>
          <w:vertAlign w:val="superscript"/>
        </w:rPr>
        <w:t>3</w:t>
      </w:r>
      <w:r>
        <w:rPr>
          <w:rFonts w:hint="eastAsia"/>
          <w:color w:val="auto"/>
          <w:sz w:val="24"/>
          <w:highlight w:val="none"/>
        </w:rPr>
        <w:t>/h；</w:t>
      </w:r>
    </w:p>
    <w:p w14:paraId="10CBB660">
      <w:pPr>
        <w:spacing w:line="360" w:lineRule="auto"/>
        <w:ind w:firstLine="1200" w:firstLineChars="500"/>
        <w:rPr>
          <w:rFonts w:hint="eastAsia"/>
          <w:color w:val="auto"/>
          <w:sz w:val="24"/>
          <w:highlight w:val="none"/>
        </w:rPr>
      </w:pPr>
      <w:r>
        <w:rPr>
          <w:rFonts w:hint="eastAsia"/>
          <w:color w:val="auto"/>
          <w:sz w:val="24"/>
          <w:highlight w:val="none"/>
        </w:rPr>
        <w:t>t</w:t>
      </w:r>
      <w:r>
        <w:rPr>
          <w:color w:val="auto"/>
          <w:sz w:val="24"/>
          <w:highlight w:val="none"/>
        </w:rPr>
        <w:t>——</w:t>
      </w:r>
      <w:r>
        <w:rPr>
          <w:rFonts w:hint="eastAsia"/>
          <w:color w:val="auto"/>
          <w:sz w:val="24"/>
          <w:highlight w:val="none"/>
        </w:rPr>
        <w:t>运行时间，单位h/d，</w:t>
      </w:r>
      <w:r>
        <w:rPr>
          <w:rFonts w:hint="eastAsia"/>
          <w:color w:val="auto"/>
          <w:sz w:val="24"/>
          <w:highlight w:val="none"/>
          <w:lang w:val="en-US" w:eastAsia="zh-CN"/>
        </w:rPr>
        <w:t>为8</w:t>
      </w:r>
      <w:r>
        <w:rPr>
          <w:rFonts w:hint="eastAsia"/>
          <w:color w:val="auto"/>
          <w:sz w:val="24"/>
          <w:highlight w:val="none"/>
        </w:rPr>
        <w:t>h/d。</w:t>
      </w:r>
    </w:p>
    <w:p w14:paraId="23A41542">
      <w:pPr>
        <w:bidi w:val="0"/>
        <w:ind w:left="0" w:leftChars="0" w:firstLine="480" w:firstLineChars="200"/>
        <w:rPr>
          <w:rFonts w:hint="eastAsia"/>
          <w:color w:val="auto"/>
          <w:lang w:val="en-US" w:eastAsia="zh-CN"/>
        </w:rPr>
      </w:pPr>
      <w:r>
        <w:rPr>
          <w:rFonts w:hint="eastAsia"/>
          <w:color w:val="auto"/>
          <w:sz w:val="24"/>
          <w:highlight w:val="none"/>
        </w:rPr>
        <w:t>经计算：T=</w:t>
      </w:r>
      <w:r>
        <w:rPr>
          <w:rFonts w:hint="eastAsia"/>
          <w:b w:val="0"/>
          <w:bCs/>
          <w:color w:val="auto"/>
          <w:sz w:val="24"/>
          <w:highlight w:val="none"/>
          <w:lang w:val="en-US" w:eastAsia="zh-CN"/>
        </w:rPr>
        <w:t>850</w:t>
      </w:r>
      <w:r>
        <w:rPr>
          <w:rFonts w:hint="eastAsia"/>
          <w:color w:val="auto"/>
          <w:sz w:val="24"/>
          <w:highlight w:val="none"/>
        </w:rPr>
        <w:t>×10%×10</w:t>
      </w:r>
      <w:r>
        <w:rPr>
          <w:rFonts w:hint="eastAsia"/>
          <w:color w:val="auto"/>
          <w:sz w:val="24"/>
          <w:highlight w:val="none"/>
          <w:vertAlign w:val="superscript"/>
        </w:rPr>
        <w:t>6</w:t>
      </w:r>
      <w:r>
        <w:rPr>
          <w:rFonts w:hint="eastAsia"/>
          <w:color w:val="auto"/>
          <w:sz w:val="24"/>
          <w:highlight w:val="none"/>
        </w:rPr>
        <w:t>÷（</w:t>
      </w:r>
      <w:r>
        <w:rPr>
          <w:rFonts w:hint="eastAsia"/>
          <w:color w:val="auto"/>
          <w:sz w:val="24"/>
          <w:highlight w:val="none"/>
          <w:lang w:val="en-US" w:eastAsia="zh-CN"/>
        </w:rPr>
        <w:t>2.65</w:t>
      </w:r>
      <w:r>
        <w:rPr>
          <w:rFonts w:hint="eastAsia"/>
          <w:color w:val="auto"/>
          <w:sz w:val="24"/>
          <w:highlight w:val="none"/>
        </w:rPr>
        <w:t>×</w:t>
      </w:r>
      <w:r>
        <w:rPr>
          <w:rFonts w:hint="eastAsia"/>
          <w:color w:val="auto"/>
          <w:sz w:val="24"/>
          <w:highlight w:val="none"/>
          <w:lang w:val="en-US" w:eastAsia="zh-CN"/>
        </w:rPr>
        <w:t>20</w:t>
      </w:r>
      <w:r>
        <w:rPr>
          <w:rFonts w:hint="eastAsia"/>
          <w:color w:val="auto"/>
          <w:sz w:val="24"/>
          <w:highlight w:val="none"/>
        </w:rPr>
        <w:t>000×</w:t>
      </w:r>
      <w:r>
        <w:rPr>
          <w:rFonts w:hint="eastAsia"/>
          <w:color w:val="auto"/>
          <w:sz w:val="24"/>
          <w:highlight w:val="none"/>
          <w:lang w:val="en-US" w:eastAsia="zh-CN"/>
        </w:rPr>
        <w:t>8</w:t>
      </w:r>
      <w:r>
        <w:rPr>
          <w:rFonts w:hint="eastAsia"/>
          <w:color w:val="auto"/>
          <w:sz w:val="24"/>
          <w:highlight w:val="none"/>
        </w:rPr>
        <w:t>）≈</w:t>
      </w:r>
      <w:r>
        <w:rPr>
          <w:rFonts w:hint="eastAsia"/>
          <w:color w:val="auto"/>
          <w:sz w:val="24"/>
          <w:highlight w:val="none"/>
          <w:lang w:val="en-US" w:eastAsia="zh-CN"/>
        </w:rPr>
        <w:t>200</w:t>
      </w:r>
      <w:r>
        <w:rPr>
          <w:rFonts w:hint="eastAsia"/>
          <w:color w:val="auto"/>
          <w:sz w:val="24"/>
          <w:highlight w:val="none"/>
        </w:rPr>
        <w:t>（天），即活性炭更换周期约为</w:t>
      </w:r>
      <w:r>
        <w:rPr>
          <w:rFonts w:hint="eastAsia"/>
          <w:color w:val="auto"/>
          <w:sz w:val="24"/>
          <w:highlight w:val="none"/>
          <w:lang w:val="en-US" w:eastAsia="zh-CN"/>
        </w:rPr>
        <w:t>200</w:t>
      </w:r>
      <w:r>
        <w:rPr>
          <w:rFonts w:hint="eastAsia"/>
          <w:color w:val="auto"/>
          <w:sz w:val="24"/>
          <w:highlight w:val="none"/>
        </w:rPr>
        <w:t>天。</w:t>
      </w:r>
    </w:p>
    <w:p w14:paraId="0D5F5E3A">
      <w:pPr>
        <w:bidi w:val="0"/>
        <w:ind w:left="0" w:leftChars="0" w:firstLine="480" w:firstLineChars="200"/>
        <w:rPr>
          <w:rFonts w:hint="eastAsia"/>
          <w:color w:val="auto"/>
          <w:lang w:val="en-US" w:eastAsia="zh-CN"/>
        </w:rPr>
      </w:pPr>
      <w:r>
        <w:rPr>
          <w:rFonts w:hint="eastAsia"/>
          <w:color w:val="auto"/>
          <w:lang w:val="en-US" w:eastAsia="zh-CN"/>
        </w:rPr>
        <w:t>同时，根据《四川省挥发性有机物治理之活性炭使用管理常见问题工具书》中“一般来说，活性炭在累计使用500小时或填装3个月后便需要换新。”，本项目两级活性炭吸附装置内活性炭更换周期按3个月计。</w:t>
      </w:r>
    </w:p>
    <w:p w14:paraId="2B8DFE21">
      <w:pPr>
        <w:bidi w:val="0"/>
        <w:ind w:left="0" w:leftChars="0" w:firstLine="480" w:firstLineChars="200"/>
        <w:rPr>
          <w:rFonts w:hint="default"/>
          <w:color w:val="auto"/>
          <w:lang w:val="en-US" w:eastAsia="zh-CN"/>
        </w:rPr>
      </w:pPr>
      <w:r>
        <w:rPr>
          <w:rFonts w:hint="eastAsia"/>
          <w:color w:val="auto"/>
          <w:lang w:val="en-US" w:eastAsia="zh-CN"/>
        </w:rPr>
        <w:t>综上，本项目两级活性炭吸附装置活性炭单次</w:t>
      </w:r>
      <w:r>
        <w:rPr>
          <w:rFonts w:hint="eastAsia"/>
          <w:color w:val="auto"/>
        </w:rPr>
        <w:t>填充量</w:t>
      </w:r>
      <w:r>
        <w:rPr>
          <w:rFonts w:hint="eastAsia"/>
          <w:color w:val="auto"/>
          <w:lang w:val="en-US" w:eastAsia="zh-CN"/>
        </w:rPr>
        <w:t>为3t（</w:t>
      </w:r>
      <w:r>
        <w:rPr>
          <w:rFonts w:hint="eastAsia"/>
          <w:color w:val="auto"/>
        </w:rPr>
        <w:t>单个活性炭装填量</w:t>
      </w:r>
      <w:r>
        <w:rPr>
          <w:rFonts w:hint="eastAsia"/>
          <w:color w:val="auto"/>
          <w:lang w:val="en-US" w:eastAsia="zh-CN"/>
        </w:rPr>
        <w:t>1.5t），活性炭更换周期为3个月，活性炭用量为12t/a。</w:t>
      </w:r>
    </w:p>
    <w:p w14:paraId="6EE38FC7">
      <w:pPr>
        <w:bidi w:val="0"/>
        <w:rPr>
          <w:rFonts w:hint="eastAsia"/>
          <w:color w:val="auto"/>
        </w:rPr>
      </w:pPr>
      <w:r>
        <w:rPr>
          <w:rFonts w:hint="eastAsia"/>
          <w:color w:val="auto"/>
          <w:lang w:val="en-US" w:eastAsia="zh-CN"/>
        </w:rPr>
        <w:t>C.</w:t>
      </w:r>
      <w:r>
        <w:rPr>
          <w:rFonts w:hint="eastAsia"/>
          <w:color w:val="auto"/>
        </w:rPr>
        <w:t>活性炭吸附装置设置情况</w:t>
      </w:r>
    </w:p>
    <w:p w14:paraId="74295C79">
      <w:pPr>
        <w:bidi w:val="0"/>
        <w:rPr>
          <w:rFonts w:hint="eastAsia"/>
          <w:color w:val="auto"/>
        </w:rPr>
      </w:pPr>
      <w:r>
        <w:rPr>
          <w:rFonts w:hint="eastAsia"/>
          <w:color w:val="auto"/>
        </w:rPr>
        <w:t>本项目</w:t>
      </w:r>
      <w:r>
        <w:rPr>
          <w:rFonts w:hint="eastAsia"/>
          <w:color w:val="auto"/>
          <w:lang w:val="en-US" w:eastAsia="zh-CN"/>
        </w:rPr>
        <w:t>工艺废气</w:t>
      </w:r>
      <w:r>
        <w:rPr>
          <w:rFonts w:hint="eastAsia"/>
          <w:color w:val="auto"/>
        </w:rPr>
        <w:t>拟采用</w:t>
      </w:r>
      <w:r>
        <w:rPr>
          <w:rFonts w:hint="eastAsia"/>
          <w:color w:val="auto"/>
          <w:lang w:val="en-US" w:eastAsia="zh-CN"/>
        </w:rPr>
        <w:t>的两级活性炭</w:t>
      </w:r>
      <w:r>
        <w:rPr>
          <w:rFonts w:hint="eastAsia"/>
          <w:color w:val="auto"/>
        </w:rPr>
        <w:t>装置主要参数如下：</w:t>
      </w:r>
    </w:p>
    <w:p w14:paraId="3BF62080">
      <w:pPr>
        <w:bidi w:val="0"/>
        <w:rPr>
          <w:rFonts w:hint="eastAsia"/>
          <w:color w:val="auto"/>
        </w:rPr>
      </w:pPr>
      <w:r>
        <w:rPr>
          <w:rFonts w:hint="eastAsia"/>
          <w:color w:val="auto"/>
        </w:rPr>
        <w:t>活性炭吸附箱数量：</w:t>
      </w:r>
      <w:r>
        <w:rPr>
          <w:rFonts w:hint="eastAsia"/>
          <w:color w:val="auto"/>
          <w:lang w:val="en-US" w:eastAsia="zh-CN"/>
        </w:rPr>
        <w:t>2</w:t>
      </w:r>
      <w:r>
        <w:rPr>
          <w:rFonts w:hint="eastAsia"/>
          <w:color w:val="auto"/>
        </w:rPr>
        <w:t>个；        风量：</w:t>
      </w:r>
      <w:r>
        <w:rPr>
          <w:rFonts w:hint="eastAsia"/>
          <w:color w:val="auto"/>
          <w:lang w:val="en-US" w:eastAsia="zh-CN"/>
        </w:rPr>
        <w:t>20000</w:t>
      </w:r>
      <w:r>
        <w:rPr>
          <w:rFonts w:hint="eastAsia"/>
          <w:color w:val="auto"/>
        </w:rPr>
        <w:t>m</w:t>
      </w:r>
      <w:r>
        <w:rPr>
          <w:rFonts w:hint="eastAsia"/>
          <w:color w:val="auto"/>
          <w:vertAlign w:val="superscript"/>
        </w:rPr>
        <w:t>3</w:t>
      </w:r>
      <w:r>
        <w:rPr>
          <w:rFonts w:hint="eastAsia"/>
          <w:color w:val="auto"/>
        </w:rPr>
        <w:t>/h；</w:t>
      </w:r>
    </w:p>
    <w:p w14:paraId="3F8B1B64">
      <w:pPr>
        <w:bidi w:val="0"/>
        <w:rPr>
          <w:rFonts w:hint="eastAsia"/>
          <w:color w:val="auto"/>
        </w:rPr>
      </w:pPr>
      <w:r>
        <w:rPr>
          <w:rFonts w:hint="eastAsia"/>
          <w:color w:val="auto"/>
        </w:rPr>
        <w:t>填充活性炭类型：</w:t>
      </w:r>
      <w:r>
        <w:rPr>
          <w:rFonts w:hint="eastAsia"/>
          <w:color w:val="auto"/>
          <w:lang w:val="en-US" w:eastAsia="zh-CN"/>
        </w:rPr>
        <w:t>颗粒状活性炭</w:t>
      </w:r>
      <w:r>
        <w:rPr>
          <w:rFonts w:hint="eastAsia"/>
          <w:color w:val="auto"/>
        </w:rPr>
        <w:t>；</w:t>
      </w:r>
      <w:r>
        <w:rPr>
          <w:rFonts w:hint="eastAsia"/>
          <w:color w:val="auto"/>
          <w:lang w:val="en-US" w:eastAsia="zh-CN"/>
        </w:rPr>
        <w:t xml:space="preserve">  </w:t>
      </w:r>
      <w:r>
        <w:rPr>
          <w:rFonts w:hint="eastAsia"/>
          <w:color w:val="auto"/>
        </w:rPr>
        <w:t>活性炭碘值：</w:t>
      </w:r>
      <w:r>
        <w:rPr>
          <w:rFonts w:hint="eastAsia"/>
          <w:color w:val="auto"/>
          <w:lang w:val="en-US" w:eastAsia="zh-CN"/>
        </w:rPr>
        <w:t>800mg/g</w:t>
      </w:r>
      <w:r>
        <w:rPr>
          <w:rFonts w:hint="eastAsia"/>
          <w:color w:val="auto"/>
        </w:rPr>
        <w:t>；</w:t>
      </w:r>
    </w:p>
    <w:p w14:paraId="32D4DDBE">
      <w:pPr>
        <w:bidi w:val="0"/>
        <w:rPr>
          <w:rFonts w:hint="eastAsia"/>
          <w:color w:val="auto"/>
        </w:rPr>
      </w:pPr>
      <w:r>
        <w:rPr>
          <w:rFonts w:hint="eastAsia"/>
          <w:color w:val="auto"/>
        </w:rPr>
        <w:t>活性炭动态吸附率：10%；        活性炭密度：0.45g/cm</w:t>
      </w:r>
      <w:r>
        <w:rPr>
          <w:rFonts w:hint="eastAsia"/>
          <w:color w:val="auto"/>
          <w:vertAlign w:val="superscript"/>
        </w:rPr>
        <w:t>3</w:t>
      </w:r>
      <w:r>
        <w:rPr>
          <w:rFonts w:hint="eastAsia"/>
          <w:color w:val="auto"/>
        </w:rPr>
        <w:t>；</w:t>
      </w:r>
    </w:p>
    <w:p w14:paraId="5474D6DA">
      <w:pPr>
        <w:bidi w:val="0"/>
        <w:rPr>
          <w:rFonts w:hint="eastAsia"/>
          <w:color w:val="auto"/>
        </w:rPr>
      </w:pPr>
      <w:r>
        <w:rPr>
          <w:rFonts w:hint="eastAsia"/>
          <w:color w:val="auto"/>
        </w:rPr>
        <w:t>单个活性炭装填量：</w:t>
      </w:r>
      <w:r>
        <w:rPr>
          <w:rFonts w:hint="eastAsia"/>
          <w:color w:val="auto"/>
          <w:lang w:val="en-US" w:eastAsia="zh-CN"/>
        </w:rPr>
        <w:t>1.5t</w:t>
      </w:r>
      <w:r>
        <w:rPr>
          <w:rFonts w:hint="eastAsia"/>
          <w:color w:val="auto"/>
        </w:rPr>
        <w:t xml:space="preserve">/次；   </w:t>
      </w:r>
      <w:r>
        <w:rPr>
          <w:rFonts w:hint="eastAsia"/>
          <w:color w:val="auto"/>
          <w:lang w:val="en-US" w:eastAsia="zh-CN"/>
        </w:rPr>
        <w:t xml:space="preserve"> </w:t>
      </w:r>
      <w:r>
        <w:rPr>
          <w:rFonts w:hint="eastAsia"/>
          <w:color w:val="auto"/>
        </w:rPr>
        <w:t>更换周期：</w:t>
      </w:r>
      <w:r>
        <w:rPr>
          <w:rFonts w:hint="eastAsia"/>
          <w:color w:val="auto"/>
          <w:lang w:val="en-US" w:eastAsia="zh-CN"/>
        </w:rPr>
        <w:t>3</w:t>
      </w:r>
      <w:r>
        <w:rPr>
          <w:rFonts w:hint="eastAsia"/>
          <w:color w:val="auto"/>
        </w:rPr>
        <w:t>个月/次。</w:t>
      </w:r>
    </w:p>
    <w:p w14:paraId="2F553630">
      <w:pPr>
        <w:bidi w:val="0"/>
        <w:rPr>
          <w:rFonts w:hint="eastAsia"/>
          <w:color w:val="auto"/>
          <w:lang w:val="en-US" w:eastAsia="zh-CN"/>
        </w:rPr>
      </w:pPr>
      <w:r>
        <w:rPr>
          <w:rFonts w:hint="eastAsia"/>
          <w:color w:val="auto"/>
          <w:lang w:val="en-US" w:eastAsia="zh-CN"/>
        </w:rPr>
        <w:t>同时，活性炭吸附装置前端安装压差计，活性炭吸附装置过风风速0.5m/s。</w:t>
      </w:r>
    </w:p>
    <w:p w14:paraId="4A822499">
      <w:pPr>
        <w:bidi w:val="0"/>
        <w:rPr>
          <w:rFonts w:hint="eastAsia"/>
          <w:b/>
          <w:bCs/>
          <w:color w:val="auto"/>
          <w:lang w:val="en-US" w:eastAsia="zh-CN"/>
        </w:rPr>
      </w:pPr>
      <w:r>
        <w:rPr>
          <w:rFonts w:hint="eastAsia"/>
          <w:b/>
          <w:bCs/>
          <w:color w:val="auto"/>
          <w:lang w:val="en-US" w:eastAsia="zh-CN"/>
        </w:rPr>
        <w:t>（3）排放情况</w:t>
      </w:r>
    </w:p>
    <w:p w14:paraId="119226C8">
      <w:pPr>
        <w:bidi w:val="0"/>
        <w:rPr>
          <w:rFonts w:hint="eastAsia"/>
          <w:color w:val="auto"/>
          <w:lang w:val="en-US" w:eastAsia="zh-CN"/>
        </w:rPr>
      </w:pPr>
      <w:r>
        <w:rPr>
          <w:rFonts w:hint="eastAsia"/>
          <w:color w:val="auto"/>
          <w:lang w:val="en-US" w:eastAsia="zh-CN"/>
        </w:rPr>
        <w:t>①有组织排放情况</w:t>
      </w:r>
    </w:p>
    <w:p w14:paraId="316059D3">
      <w:pPr>
        <w:bidi w:val="0"/>
        <w:rPr>
          <w:rFonts w:hint="eastAsia"/>
          <w:color w:val="auto"/>
          <w:lang w:val="en-US" w:eastAsia="zh-CN"/>
        </w:rPr>
      </w:pPr>
      <w:r>
        <w:rPr>
          <w:rFonts w:hint="eastAsia"/>
          <w:color w:val="auto"/>
          <w:lang w:val="en-US" w:eastAsia="zh-CN"/>
        </w:rPr>
        <w:t>工艺废气经收集处理后有组织排放情况见下表。</w:t>
      </w:r>
    </w:p>
    <w:p w14:paraId="067F5881">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工艺废气有组织排放情况</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635"/>
        <w:gridCol w:w="646"/>
        <w:gridCol w:w="692"/>
        <w:gridCol w:w="635"/>
        <w:gridCol w:w="1006"/>
        <w:gridCol w:w="913"/>
        <w:gridCol w:w="723"/>
        <w:gridCol w:w="727"/>
        <w:gridCol w:w="762"/>
        <w:gridCol w:w="747"/>
        <w:gridCol w:w="764"/>
        <w:gridCol w:w="742"/>
      </w:tblGrid>
      <w:tr w14:paraId="77F2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vMerge w:val="restart"/>
            <w:shd w:val="clear" w:color="auto" w:fill="auto"/>
            <w:vAlign w:val="center"/>
          </w:tcPr>
          <w:p w14:paraId="650D1138">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排放源</w:t>
            </w:r>
          </w:p>
        </w:tc>
        <w:tc>
          <w:tcPr>
            <w:tcW w:w="1900" w:type="pct"/>
            <w:gridSpan w:val="5"/>
            <w:vAlign w:val="center"/>
          </w:tcPr>
          <w:p w14:paraId="2C685C0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排气筒参数</w:t>
            </w:r>
          </w:p>
        </w:tc>
        <w:tc>
          <w:tcPr>
            <w:tcW w:w="480" w:type="pct"/>
            <w:vMerge w:val="restart"/>
            <w:shd w:val="clear" w:color="auto" w:fill="auto"/>
            <w:vAlign w:val="center"/>
          </w:tcPr>
          <w:p w14:paraId="5290FEC8">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w:t>
            </w:r>
          </w:p>
        </w:tc>
        <w:tc>
          <w:tcPr>
            <w:tcW w:w="1163" w:type="pct"/>
            <w:gridSpan w:val="3"/>
            <w:shd w:val="clear" w:color="auto" w:fill="auto"/>
            <w:vAlign w:val="center"/>
          </w:tcPr>
          <w:p w14:paraId="084C51A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产生情况</w:t>
            </w:r>
          </w:p>
        </w:tc>
        <w:tc>
          <w:tcPr>
            <w:tcW w:w="1184" w:type="pct"/>
            <w:gridSpan w:val="3"/>
            <w:shd w:val="clear" w:color="auto" w:fill="auto"/>
            <w:vAlign w:val="center"/>
          </w:tcPr>
          <w:p w14:paraId="2B72E071">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排放情况</w:t>
            </w:r>
          </w:p>
        </w:tc>
      </w:tr>
      <w:tr w14:paraId="34F9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vMerge w:val="continue"/>
            <w:shd w:val="clear" w:color="auto" w:fill="auto"/>
            <w:vAlign w:val="center"/>
          </w:tcPr>
          <w:p w14:paraId="218CA777">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33" w:type="pct"/>
            <w:vAlign w:val="center"/>
          </w:tcPr>
          <w:p w14:paraId="2A3A65A9">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编号</w:t>
            </w:r>
          </w:p>
        </w:tc>
        <w:tc>
          <w:tcPr>
            <w:tcW w:w="339" w:type="pct"/>
            <w:vAlign w:val="center"/>
          </w:tcPr>
          <w:p w14:paraId="1F82686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高度</w:t>
            </w:r>
          </w:p>
        </w:tc>
        <w:tc>
          <w:tcPr>
            <w:tcW w:w="363" w:type="pct"/>
            <w:vAlign w:val="center"/>
          </w:tcPr>
          <w:p w14:paraId="748368B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风量</w:t>
            </w:r>
          </w:p>
        </w:tc>
        <w:tc>
          <w:tcPr>
            <w:tcW w:w="333" w:type="pct"/>
            <w:vAlign w:val="center"/>
          </w:tcPr>
          <w:p w14:paraId="17BDB0EC">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内径</w:t>
            </w:r>
          </w:p>
        </w:tc>
        <w:tc>
          <w:tcPr>
            <w:tcW w:w="529" w:type="pct"/>
            <w:vAlign w:val="center"/>
          </w:tcPr>
          <w:p w14:paraId="537CCA8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烟气流速</w:t>
            </w:r>
          </w:p>
        </w:tc>
        <w:tc>
          <w:tcPr>
            <w:tcW w:w="480" w:type="pct"/>
            <w:vMerge w:val="continue"/>
            <w:shd w:val="clear" w:color="auto" w:fill="auto"/>
            <w:vAlign w:val="center"/>
          </w:tcPr>
          <w:p w14:paraId="0BD1750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80" w:type="pct"/>
            <w:shd w:val="clear" w:color="auto" w:fill="auto"/>
            <w:vAlign w:val="center"/>
          </w:tcPr>
          <w:p w14:paraId="6070D8EC">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382" w:type="pct"/>
            <w:shd w:val="clear" w:color="auto" w:fill="auto"/>
            <w:vAlign w:val="center"/>
          </w:tcPr>
          <w:p w14:paraId="3A4B2B58">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kg/h</w:t>
            </w:r>
          </w:p>
        </w:tc>
        <w:tc>
          <w:tcPr>
            <w:tcW w:w="400" w:type="pct"/>
            <w:shd w:val="clear" w:color="auto" w:fill="auto"/>
            <w:vAlign w:val="center"/>
          </w:tcPr>
          <w:p w14:paraId="0E64AC7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mg/m</w:t>
            </w:r>
            <w:r>
              <w:rPr>
                <w:rFonts w:hint="eastAsia" w:ascii="Times New Roman" w:hAnsi="Times New Roman" w:eastAsia="宋体" w:cs="Times New Roman"/>
                <w:b/>
                <w:bCs/>
                <w:color w:val="auto"/>
                <w:sz w:val="18"/>
                <w:szCs w:val="18"/>
                <w:highlight w:val="none"/>
                <w:vertAlign w:val="superscript"/>
                <w:lang w:val="en-US" w:eastAsia="zh-CN"/>
              </w:rPr>
              <w:t>3</w:t>
            </w:r>
          </w:p>
        </w:tc>
        <w:tc>
          <w:tcPr>
            <w:tcW w:w="392" w:type="pct"/>
            <w:shd w:val="clear" w:color="auto" w:fill="auto"/>
            <w:vAlign w:val="center"/>
          </w:tcPr>
          <w:p w14:paraId="48ED28B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401" w:type="pct"/>
            <w:shd w:val="clear" w:color="auto" w:fill="auto"/>
            <w:vAlign w:val="center"/>
          </w:tcPr>
          <w:p w14:paraId="5B46DE5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kg/h</w:t>
            </w:r>
          </w:p>
        </w:tc>
        <w:tc>
          <w:tcPr>
            <w:tcW w:w="390" w:type="pct"/>
            <w:shd w:val="clear" w:color="auto" w:fill="auto"/>
            <w:vAlign w:val="center"/>
          </w:tcPr>
          <w:p w14:paraId="4BE8018A">
            <w:pPr>
              <w:pStyle w:val="24"/>
              <w:bidi w:val="0"/>
              <w:ind w:left="0" w:leftChars="0"/>
              <w:jc w:val="center"/>
              <w:rPr>
                <w:rFonts w:hint="eastAsia" w:ascii="Times New Roman" w:hAnsi="Times New Roman" w:eastAsia="宋体" w:cs="Times New Roman"/>
                <w:b/>
                <w:bCs/>
                <w:color w:val="auto"/>
                <w:sz w:val="18"/>
                <w:szCs w:val="18"/>
                <w:highlight w:val="none"/>
                <w:vertAlign w:val="superscript"/>
                <w:lang w:val="en-US" w:eastAsia="zh-CN"/>
              </w:rPr>
            </w:pPr>
            <w:r>
              <w:rPr>
                <w:rFonts w:hint="eastAsia" w:ascii="Times New Roman" w:hAnsi="Times New Roman" w:eastAsia="宋体" w:cs="Times New Roman"/>
                <w:b/>
                <w:bCs/>
                <w:color w:val="auto"/>
                <w:sz w:val="18"/>
                <w:szCs w:val="18"/>
                <w:highlight w:val="none"/>
                <w:lang w:val="en-US" w:eastAsia="zh-CN"/>
              </w:rPr>
              <w:t>mg/m</w:t>
            </w:r>
            <w:r>
              <w:rPr>
                <w:rFonts w:hint="eastAsia" w:ascii="Times New Roman" w:hAnsi="Times New Roman" w:eastAsia="宋体" w:cs="Times New Roman"/>
                <w:b/>
                <w:bCs/>
                <w:color w:val="auto"/>
                <w:sz w:val="18"/>
                <w:szCs w:val="18"/>
                <w:highlight w:val="none"/>
                <w:vertAlign w:val="superscript"/>
                <w:lang w:val="en-US" w:eastAsia="zh-CN"/>
              </w:rPr>
              <w:t>3</w:t>
            </w:r>
          </w:p>
        </w:tc>
      </w:tr>
      <w:tr w14:paraId="690E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restart"/>
            <w:shd w:val="clear" w:color="auto" w:fill="auto"/>
            <w:vAlign w:val="center"/>
          </w:tcPr>
          <w:p w14:paraId="5A98B7F4">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工艺废气</w:t>
            </w:r>
          </w:p>
        </w:tc>
        <w:tc>
          <w:tcPr>
            <w:tcW w:w="333" w:type="pct"/>
            <w:vMerge w:val="restart"/>
            <w:vAlign w:val="center"/>
          </w:tcPr>
          <w:p w14:paraId="1ADC6F99">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DA001</w:t>
            </w:r>
          </w:p>
        </w:tc>
        <w:tc>
          <w:tcPr>
            <w:tcW w:w="339" w:type="pct"/>
            <w:vMerge w:val="restart"/>
            <w:vAlign w:val="center"/>
          </w:tcPr>
          <w:p w14:paraId="57E4B0D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15</w:t>
            </w:r>
            <w:r>
              <w:rPr>
                <w:rFonts w:hint="eastAsia" w:ascii="Times New Roman" w:hAnsi="Times New Roman" w:eastAsia="宋体" w:cs="Times New Roman"/>
                <w:b w:val="0"/>
                <w:bCs w:val="0"/>
                <w:color w:val="auto"/>
                <w:sz w:val="18"/>
                <w:szCs w:val="18"/>
                <w:highlight w:val="none"/>
                <w:lang w:val="en-US" w:eastAsia="zh-CN"/>
              </w:rPr>
              <w:t>m</w:t>
            </w:r>
          </w:p>
        </w:tc>
        <w:tc>
          <w:tcPr>
            <w:tcW w:w="363" w:type="pct"/>
            <w:vMerge w:val="restart"/>
            <w:vAlign w:val="center"/>
          </w:tcPr>
          <w:p w14:paraId="76AA9C4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20000</w:t>
            </w:r>
            <w:r>
              <w:rPr>
                <w:rFonts w:hint="eastAsia" w:ascii="Times New Roman" w:hAnsi="Times New Roman" w:eastAsia="宋体" w:cs="Times New Roman"/>
                <w:b w:val="0"/>
                <w:bCs w:val="0"/>
                <w:color w:val="auto"/>
                <w:sz w:val="18"/>
                <w:szCs w:val="18"/>
                <w:highlight w:val="none"/>
                <w:lang w:val="en-US" w:eastAsia="zh-CN"/>
              </w:rPr>
              <w:t xml:space="preserve"> m</w:t>
            </w:r>
            <w:r>
              <w:rPr>
                <w:rFonts w:hint="eastAsia" w:ascii="Times New Roman" w:hAnsi="Times New Roman" w:eastAsia="宋体" w:cs="Times New Roman"/>
                <w:b w:val="0"/>
                <w:bCs w:val="0"/>
                <w:color w:val="auto"/>
                <w:sz w:val="18"/>
                <w:szCs w:val="18"/>
                <w:highlight w:val="none"/>
                <w:vertAlign w:val="superscript"/>
                <w:lang w:val="en-US" w:eastAsia="zh-CN"/>
              </w:rPr>
              <w:t>3</w:t>
            </w:r>
            <w:r>
              <w:rPr>
                <w:rFonts w:hint="eastAsia" w:ascii="Times New Roman" w:hAnsi="Times New Roman" w:eastAsia="宋体" w:cs="Times New Roman"/>
                <w:b w:val="0"/>
                <w:bCs w:val="0"/>
                <w:color w:val="auto"/>
                <w:sz w:val="18"/>
                <w:szCs w:val="18"/>
                <w:highlight w:val="none"/>
                <w:lang w:val="en-US" w:eastAsia="zh-CN"/>
              </w:rPr>
              <w:t>/h</w:t>
            </w:r>
          </w:p>
        </w:tc>
        <w:tc>
          <w:tcPr>
            <w:tcW w:w="333" w:type="pct"/>
            <w:vMerge w:val="restart"/>
            <w:vAlign w:val="center"/>
          </w:tcPr>
          <w:p w14:paraId="123E34D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w:t>
            </w:r>
            <w:r>
              <w:rPr>
                <w:rFonts w:hint="eastAsia" w:cs="Times New Roman"/>
                <w:b w:val="0"/>
                <w:bCs w:val="0"/>
                <w:color w:val="auto"/>
                <w:sz w:val="18"/>
                <w:szCs w:val="18"/>
                <w:highlight w:val="none"/>
                <w:lang w:val="en-US" w:eastAsia="zh-CN"/>
              </w:rPr>
              <w:t>8</w:t>
            </w:r>
            <w:r>
              <w:rPr>
                <w:rFonts w:hint="eastAsia" w:ascii="Times New Roman" w:hAnsi="Times New Roman" w:eastAsia="宋体" w:cs="Times New Roman"/>
                <w:b w:val="0"/>
                <w:bCs w:val="0"/>
                <w:color w:val="auto"/>
                <w:sz w:val="18"/>
                <w:szCs w:val="18"/>
                <w:highlight w:val="none"/>
                <w:lang w:val="en-US" w:eastAsia="zh-CN"/>
              </w:rPr>
              <w:t>m</w:t>
            </w:r>
          </w:p>
        </w:tc>
        <w:tc>
          <w:tcPr>
            <w:tcW w:w="529" w:type="pct"/>
            <w:vMerge w:val="restart"/>
            <w:vAlign w:val="center"/>
          </w:tcPr>
          <w:p w14:paraId="6B57BE4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11.05</w:t>
            </w:r>
            <w:r>
              <w:rPr>
                <w:rFonts w:hint="eastAsia" w:ascii="Times New Roman" w:hAnsi="Times New Roman" w:eastAsia="宋体" w:cs="Times New Roman"/>
                <w:b w:val="0"/>
                <w:bCs w:val="0"/>
                <w:color w:val="auto"/>
                <w:sz w:val="18"/>
                <w:szCs w:val="18"/>
                <w:highlight w:val="none"/>
                <w:lang w:val="en-US" w:eastAsia="zh-CN"/>
              </w:rPr>
              <w:t>m/s</w:t>
            </w:r>
          </w:p>
        </w:tc>
        <w:tc>
          <w:tcPr>
            <w:tcW w:w="480" w:type="pct"/>
            <w:shd w:val="clear" w:color="auto" w:fill="auto"/>
            <w:vAlign w:val="center"/>
          </w:tcPr>
          <w:p w14:paraId="7B2814AB">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颗粒物</w:t>
            </w:r>
          </w:p>
        </w:tc>
        <w:tc>
          <w:tcPr>
            <w:tcW w:w="380" w:type="pct"/>
            <w:shd w:val="clear" w:color="auto" w:fill="auto"/>
            <w:vAlign w:val="center"/>
          </w:tcPr>
          <w:p w14:paraId="413AD497">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0.03</w:t>
            </w:r>
          </w:p>
        </w:tc>
        <w:tc>
          <w:tcPr>
            <w:tcW w:w="382" w:type="pct"/>
            <w:shd w:val="clear" w:color="auto" w:fill="auto"/>
            <w:vAlign w:val="center"/>
          </w:tcPr>
          <w:p w14:paraId="16D5F812">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0.05</w:t>
            </w:r>
          </w:p>
        </w:tc>
        <w:tc>
          <w:tcPr>
            <w:tcW w:w="400" w:type="pct"/>
            <w:shd w:val="clear" w:color="auto" w:fill="auto"/>
            <w:vAlign w:val="center"/>
          </w:tcPr>
          <w:p w14:paraId="09D060C2">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2.5</w:t>
            </w:r>
          </w:p>
        </w:tc>
        <w:tc>
          <w:tcPr>
            <w:tcW w:w="392" w:type="pct"/>
            <w:shd w:val="clear" w:color="auto" w:fill="auto"/>
            <w:vAlign w:val="center"/>
          </w:tcPr>
          <w:p w14:paraId="4FBF85A9">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0.0024</w:t>
            </w:r>
          </w:p>
        </w:tc>
        <w:tc>
          <w:tcPr>
            <w:tcW w:w="401" w:type="pct"/>
            <w:shd w:val="clear" w:color="auto" w:fill="auto"/>
            <w:vAlign w:val="center"/>
          </w:tcPr>
          <w:p w14:paraId="334DE8DD">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0.004</w:t>
            </w:r>
          </w:p>
        </w:tc>
        <w:tc>
          <w:tcPr>
            <w:tcW w:w="390" w:type="pct"/>
            <w:shd w:val="clear" w:color="auto" w:fill="auto"/>
            <w:vAlign w:val="center"/>
          </w:tcPr>
          <w:p w14:paraId="173BD181">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0.2</w:t>
            </w:r>
          </w:p>
        </w:tc>
      </w:tr>
      <w:tr w14:paraId="41FF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1" w:type="pct"/>
            <w:vMerge w:val="continue"/>
            <w:shd w:val="clear" w:color="auto" w:fill="auto"/>
            <w:vAlign w:val="center"/>
          </w:tcPr>
          <w:p w14:paraId="173EA7AA">
            <w:pPr>
              <w:pStyle w:val="24"/>
              <w:bidi w:val="0"/>
              <w:ind w:left="0" w:leftChars="0"/>
              <w:jc w:val="center"/>
              <w:rPr>
                <w:rFonts w:hint="eastAsia" w:cs="Times New Roman"/>
                <w:b w:val="0"/>
                <w:bCs w:val="0"/>
                <w:color w:val="auto"/>
                <w:sz w:val="18"/>
                <w:szCs w:val="18"/>
                <w:highlight w:val="none"/>
                <w:lang w:val="en-US" w:eastAsia="zh-CN"/>
              </w:rPr>
            </w:pPr>
          </w:p>
        </w:tc>
        <w:tc>
          <w:tcPr>
            <w:tcW w:w="333" w:type="pct"/>
            <w:vMerge w:val="continue"/>
            <w:vAlign w:val="center"/>
          </w:tcPr>
          <w:p w14:paraId="3223D09C">
            <w:pPr>
              <w:pStyle w:val="24"/>
              <w:bidi w:val="0"/>
              <w:ind w:left="0" w:leftChars="0"/>
              <w:jc w:val="center"/>
              <w:rPr>
                <w:rFonts w:hint="eastAsia" w:cs="Times New Roman"/>
                <w:b w:val="0"/>
                <w:bCs w:val="0"/>
                <w:color w:val="auto"/>
                <w:sz w:val="18"/>
                <w:szCs w:val="18"/>
                <w:highlight w:val="none"/>
                <w:lang w:val="en-US" w:eastAsia="zh-CN"/>
              </w:rPr>
            </w:pPr>
          </w:p>
        </w:tc>
        <w:tc>
          <w:tcPr>
            <w:tcW w:w="339" w:type="pct"/>
            <w:vMerge w:val="continue"/>
            <w:vAlign w:val="center"/>
          </w:tcPr>
          <w:p w14:paraId="29FD09F7">
            <w:pPr>
              <w:pStyle w:val="24"/>
              <w:bidi w:val="0"/>
              <w:ind w:left="0" w:leftChars="0"/>
              <w:jc w:val="center"/>
              <w:rPr>
                <w:rFonts w:hint="eastAsia" w:cs="Times New Roman"/>
                <w:b w:val="0"/>
                <w:bCs w:val="0"/>
                <w:color w:val="auto"/>
                <w:sz w:val="18"/>
                <w:szCs w:val="18"/>
                <w:highlight w:val="none"/>
                <w:lang w:val="en-US" w:eastAsia="zh-CN"/>
              </w:rPr>
            </w:pPr>
          </w:p>
        </w:tc>
        <w:tc>
          <w:tcPr>
            <w:tcW w:w="363" w:type="pct"/>
            <w:vMerge w:val="continue"/>
            <w:vAlign w:val="center"/>
          </w:tcPr>
          <w:p w14:paraId="028D3C09">
            <w:pPr>
              <w:pStyle w:val="24"/>
              <w:bidi w:val="0"/>
              <w:ind w:left="0" w:leftChars="0"/>
              <w:jc w:val="center"/>
              <w:rPr>
                <w:rFonts w:hint="eastAsia" w:cs="Times New Roman"/>
                <w:b w:val="0"/>
                <w:bCs w:val="0"/>
                <w:color w:val="auto"/>
                <w:sz w:val="18"/>
                <w:szCs w:val="18"/>
                <w:highlight w:val="none"/>
                <w:lang w:val="en-US" w:eastAsia="zh-CN"/>
              </w:rPr>
            </w:pPr>
          </w:p>
        </w:tc>
        <w:tc>
          <w:tcPr>
            <w:tcW w:w="333" w:type="pct"/>
            <w:vMerge w:val="continue"/>
            <w:vAlign w:val="center"/>
          </w:tcPr>
          <w:p w14:paraId="023B464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29" w:type="pct"/>
            <w:vMerge w:val="continue"/>
            <w:vAlign w:val="center"/>
          </w:tcPr>
          <w:p w14:paraId="0FCCB6AC">
            <w:pPr>
              <w:pStyle w:val="24"/>
              <w:bidi w:val="0"/>
              <w:ind w:left="0" w:leftChars="0"/>
              <w:jc w:val="center"/>
              <w:rPr>
                <w:rFonts w:hint="eastAsia" w:cs="Times New Roman"/>
                <w:b w:val="0"/>
                <w:bCs w:val="0"/>
                <w:color w:val="auto"/>
                <w:sz w:val="18"/>
                <w:szCs w:val="18"/>
                <w:highlight w:val="none"/>
                <w:lang w:val="en-US" w:eastAsia="zh-CN"/>
              </w:rPr>
            </w:pPr>
          </w:p>
        </w:tc>
        <w:tc>
          <w:tcPr>
            <w:tcW w:w="480" w:type="pct"/>
            <w:shd w:val="clear" w:color="auto" w:fill="auto"/>
            <w:vAlign w:val="center"/>
          </w:tcPr>
          <w:p w14:paraId="68D522D3">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硫酸雾</w:t>
            </w:r>
          </w:p>
        </w:tc>
        <w:tc>
          <w:tcPr>
            <w:tcW w:w="380" w:type="pct"/>
            <w:shd w:val="clear" w:color="auto" w:fill="auto"/>
            <w:vAlign w:val="center"/>
          </w:tcPr>
          <w:p w14:paraId="6AA99416">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0.</w:t>
            </w:r>
            <w:r>
              <w:rPr>
                <w:rFonts w:hint="eastAsia" w:cs="Times New Roman"/>
                <w:b w:val="0"/>
                <w:bCs w:val="0"/>
                <w:color w:val="auto"/>
                <w:sz w:val="18"/>
                <w:szCs w:val="18"/>
                <w:highlight w:val="none"/>
                <w:lang w:val="en-US" w:eastAsia="zh-CN"/>
              </w:rPr>
              <w:t>1003</w:t>
            </w:r>
          </w:p>
        </w:tc>
        <w:tc>
          <w:tcPr>
            <w:tcW w:w="382" w:type="pct"/>
            <w:shd w:val="clear" w:color="auto" w:fill="auto"/>
            <w:vAlign w:val="center"/>
          </w:tcPr>
          <w:p w14:paraId="6BB07CC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0.0418 </w:t>
            </w:r>
          </w:p>
        </w:tc>
        <w:tc>
          <w:tcPr>
            <w:tcW w:w="400" w:type="pct"/>
            <w:shd w:val="clear" w:color="auto" w:fill="auto"/>
            <w:vAlign w:val="center"/>
          </w:tcPr>
          <w:p w14:paraId="7CBB433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2.09 </w:t>
            </w:r>
          </w:p>
        </w:tc>
        <w:tc>
          <w:tcPr>
            <w:tcW w:w="392" w:type="pct"/>
            <w:shd w:val="clear" w:color="auto" w:fill="auto"/>
            <w:vAlign w:val="center"/>
          </w:tcPr>
          <w:p w14:paraId="0E72099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0.0095 </w:t>
            </w:r>
          </w:p>
        </w:tc>
        <w:tc>
          <w:tcPr>
            <w:tcW w:w="401" w:type="pct"/>
            <w:shd w:val="clear" w:color="auto" w:fill="auto"/>
            <w:vAlign w:val="center"/>
          </w:tcPr>
          <w:p w14:paraId="2B35612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0.0040 </w:t>
            </w:r>
          </w:p>
        </w:tc>
        <w:tc>
          <w:tcPr>
            <w:tcW w:w="390" w:type="pct"/>
            <w:shd w:val="clear" w:color="auto" w:fill="auto"/>
            <w:vAlign w:val="center"/>
          </w:tcPr>
          <w:p w14:paraId="439CFF5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0.2 </w:t>
            </w:r>
          </w:p>
        </w:tc>
      </w:tr>
      <w:tr w14:paraId="2686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continue"/>
            <w:shd w:val="clear" w:color="auto" w:fill="auto"/>
            <w:vAlign w:val="center"/>
          </w:tcPr>
          <w:p w14:paraId="3B6E2BE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6608E32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9" w:type="pct"/>
            <w:vMerge w:val="continue"/>
            <w:vAlign w:val="center"/>
          </w:tcPr>
          <w:p w14:paraId="5F9E1D1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3" w:type="pct"/>
            <w:vMerge w:val="continue"/>
            <w:vAlign w:val="center"/>
          </w:tcPr>
          <w:p w14:paraId="10AB1DE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661E1E5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29" w:type="pct"/>
            <w:vMerge w:val="continue"/>
            <w:vAlign w:val="center"/>
          </w:tcPr>
          <w:p w14:paraId="19F1523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480" w:type="pct"/>
            <w:shd w:val="clear" w:color="auto" w:fill="auto"/>
            <w:vAlign w:val="center"/>
          </w:tcPr>
          <w:p w14:paraId="3D64015A">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氟化物</w:t>
            </w:r>
          </w:p>
        </w:tc>
        <w:tc>
          <w:tcPr>
            <w:tcW w:w="380" w:type="pct"/>
            <w:shd w:val="clear" w:color="auto" w:fill="auto"/>
            <w:vAlign w:val="center"/>
          </w:tcPr>
          <w:p w14:paraId="654C33AA">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0.2053</w:t>
            </w:r>
          </w:p>
        </w:tc>
        <w:tc>
          <w:tcPr>
            <w:tcW w:w="382" w:type="pct"/>
            <w:shd w:val="clear" w:color="auto" w:fill="auto"/>
            <w:vAlign w:val="center"/>
          </w:tcPr>
          <w:p w14:paraId="5ADDA97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0.0855 </w:t>
            </w:r>
          </w:p>
        </w:tc>
        <w:tc>
          <w:tcPr>
            <w:tcW w:w="400" w:type="pct"/>
            <w:shd w:val="clear" w:color="auto" w:fill="auto"/>
            <w:vAlign w:val="center"/>
          </w:tcPr>
          <w:p w14:paraId="151479A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4.28 </w:t>
            </w:r>
          </w:p>
        </w:tc>
        <w:tc>
          <w:tcPr>
            <w:tcW w:w="392" w:type="pct"/>
            <w:shd w:val="clear" w:color="auto" w:fill="auto"/>
            <w:vAlign w:val="center"/>
          </w:tcPr>
          <w:p w14:paraId="0B67C41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0.0195 </w:t>
            </w:r>
          </w:p>
        </w:tc>
        <w:tc>
          <w:tcPr>
            <w:tcW w:w="401" w:type="pct"/>
            <w:shd w:val="clear" w:color="auto" w:fill="auto"/>
            <w:vAlign w:val="center"/>
          </w:tcPr>
          <w:p w14:paraId="5451F69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0.0081 </w:t>
            </w:r>
          </w:p>
        </w:tc>
        <w:tc>
          <w:tcPr>
            <w:tcW w:w="390" w:type="pct"/>
            <w:shd w:val="clear" w:color="auto" w:fill="auto"/>
            <w:vAlign w:val="center"/>
          </w:tcPr>
          <w:p w14:paraId="2C65A6E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0.41 </w:t>
            </w:r>
          </w:p>
        </w:tc>
      </w:tr>
      <w:tr w14:paraId="3EE5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continue"/>
            <w:shd w:val="clear" w:color="auto" w:fill="auto"/>
            <w:vAlign w:val="center"/>
          </w:tcPr>
          <w:p w14:paraId="4A6CF94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7168DDE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9" w:type="pct"/>
            <w:vMerge w:val="continue"/>
            <w:vAlign w:val="center"/>
          </w:tcPr>
          <w:p w14:paraId="7117AD1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3" w:type="pct"/>
            <w:vMerge w:val="continue"/>
            <w:vAlign w:val="center"/>
          </w:tcPr>
          <w:p w14:paraId="3D22689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21ED57A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29" w:type="pct"/>
            <w:vMerge w:val="continue"/>
            <w:vAlign w:val="center"/>
          </w:tcPr>
          <w:p w14:paraId="46DA651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480" w:type="pct"/>
            <w:shd w:val="clear" w:color="auto" w:fill="auto"/>
            <w:vAlign w:val="center"/>
          </w:tcPr>
          <w:p w14:paraId="221D2632">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VOCs</w:t>
            </w:r>
          </w:p>
        </w:tc>
        <w:tc>
          <w:tcPr>
            <w:tcW w:w="380" w:type="pct"/>
            <w:shd w:val="clear" w:color="auto" w:fill="auto"/>
            <w:vAlign w:val="center"/>
          </w:tcPr>
          <w:p w14:paraId="704AB953">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0.3638</w:t>
            </w:r>
          </w:p>
        </w:tc>
        <w:tc>
          <w:tcPr>
            <w:tcW w:w="382" w:type="pct"/>
            <w:shd w:val="clear" w:color="auto" w:fill="auto"/>
            <w:vAlign w:val="center"/>
          </w:tcPr>
          <w:p w14:paraId="24077245">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0.1516 </w:t>
            </w:r>
          </w:p>
        </w:tc>
        <w:tc>
          <w:tcPr>
            <w:tcW w:w="400" w:type="pct"/>
            <w:shd w:val="clear" w:color="auto" w:fill="auto"/>
            <w:vAlign w:val="center"/>
          </w:tcPr>
          <w:p w14:paraId="7A233C5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7.58 </w:t>
            </w:r>
          </w:p>
        </w:tc>
        <w:tc>
          <w:tcPr>
            <w:tcW w:w="392" w:type="pct"/>
            <w:shd w:val="clear" w:color="auto" w:fill="auto"/>
            <w:vAlign w:val="center"/>
          </w:tcPr>
          <w:p w14:paraId="2133FE2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0.0423 </w:t>
            </w:r>
          </w:p>
        </w:tc>
        <w:tc>
          <w:tcPr>
            <w:tcW w:w="401" w:type="pct"/>
            <w:shd w:val="clear" w:color="auto" w:fill="auto"/>
            <w:vAlign w:val="center"/>
          </w:tcPr>
          <w:p w14:paraId="70ABC656">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0.0176 </w:t>
            </w:r>
          </w:p>
        </w:tc>
        <w:tc>
          <w:tcPr>
            <w:tcW w:w="390" w:type="pct"/>
            <w:shd w:val="clear" w:color="auto" w:fill="auto"/>
            <w:vAlign w:val="center"/>
          </w:tcPr>
          <w:p w14:paraId="23F90012">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0.88 </w:t>
            </w:r>
          </w:p>
        </w:tc>
      </w:tr>
      <w:tr w14:paraId="2AC6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continue"/>
            <w:shd w:val="clear" w:color="auto" w:fill="auto"/>
            <w:vAlign w:val="center"/>
          </w:tcPr>
          <w:p w14:paraId="6F42EED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661C20F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9" w:type="pct"/>
            <w:vMerge w:val="continue"/>
            <w:vAlign w:val="center"/>
          </w:tcPr>
          <w:p w14:paraId="3D23283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3" w:type="pct"/>
            <w:vMerge w:val="continue"/>
            <w:vAlign w:val="center"/>
          </w:tcPr>
          <w:p w14:paraId="1486A05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338D4BB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29" w:type="pct"/>
            <w:vMerge w:val="continue"/>
            <w:vAlign w:val="center"/>
          </w:tcPr>
          <w:p w14:paraId="3E0170D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480" w:type="pct"/>
            <w:shd w:val="clear" w:color="auto" w:fill="auto"/>
            <w:vAlign w:val="center"/>
          </w:tcPr>
          <w:p w14:paraId="05E55A38">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NH</w:t>
            </w:r>
            <w:r>
              <w:rPr>
                <w:rFonts w:hint="eastAsia" w:cs="Times New Roman"/>
                <w:b w:val="0"/>
                <w:bCs w:val="0"/>
                <w:color w:val="auto"/>
                <w:sz w:val="18"/>
                <w:szCs w:val="18"/>
                <w:highlight w:val="none"/>
                <w:vertAlign w:val="subscript"/>
                <w:lang w:val="en-US" w:eastAsia="zh-CN"/>
              </w:rPr>
              <w:t>3</w:t>
            </w:r>
          </w:p>
        </w:tc>
        <w:tc>
          <w:tcPr>
            <w:tcW w:w="380" w:type="pct"/>
            <w:shd w:val="clear" w:color="auto" w:fill="auto"/>
            <w:vAlign w:val="center"/>
          </w:tcPr>
          <w:p w14:paraId="51534A14">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82" w:type="pct"/>
            <w:shd w:val="clear" w:color="auto" w:fill="auto"/>
            <w:vAlign w:val="center"/>
          </w:tcPr>
          <w:p w14:paraId="469B8595">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400" w:type="pct"/>
            <w:shd w:val="clear" w:color="auto" w:fill="auto"/>
            <w:vAlign w:val="center"/>
          </w:tcPr>
          <w:p w14:paraId="28B68D34">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92" w:type="pct"/>
            <w:shd w:val="clear" w:color="auto" w:fill="auto"/>
            <w:vAlign w:val="center"/>
          </w:tcPr>
          <w:p w14:paraId="1F91DF6B">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401" w:type="pct"/>
            <w:shd w:val="clear" w:color="auto" w:fill="auto"/>
            <w:vAlign w:val="center"/>
          </w:tcPr>
          <w:p w14:paraId="6D297796">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90" w:type="pct"/>
            <w:shd w:val="clear" w:color="auto" w:fill="auto"/>
            <w:vAlign w:val="center"/>
          </w:tcPr>
          <w:p w14:paraId="5AB6C5F1">
            <w:pPr>
              <w:pStyle w:val="24"/>
              <w:bidi w:val="0"/>
              <w:ind w:left="0" w:leftChars="0"/>
              <w:jc w:val="center"/>
              <w:rPr>
                <w:rFonts w:hint="eastAsia"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r>
      <w:tr w14:paraId="7504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continue"/>
            <w:shd w:val="clear" w:color="auto" w:fill="auto"/>
            <w:vAlign w:val="center"/>
          </w:tcPr>
          <w:p w14:paraId="55B11D2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64A08F7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9" w:type="pct"/>
            <w:vMerge w:val="continue"/>
            <w:vAlign w:val="center"/>
          </w:tcPr>
          <w:p w14:paraId="6E755EB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3" w:type="pct"/>
            <w:vMerge w:val="continue"/>
            <w:vAlign w:val="center"/>
          </w:tcPr>
          <w:p w14:paraId="547BD0E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3" w:type="pct"/>
            <w:vMerge w:val="continue"/>
            <w:vAlign w:val="center"/>
          </w:tcPr>
          <w:p w14:paraId="227E6DE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29" w:type="pct"/>
            <w:vMerge w:val="continue"/>
            <w:vAlign w:val="center"/>
          </w:tcPr>
          <w:p w14:paraId="2F85627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480" w:type="pct"/>
            <w:shd w:val="clear" w:color="auto" w:fill="auto"/>
            <w:vAlign w:val="center"/>
          </w:tcPr>
          <w:p w14:paraId="61F5A355">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kern w:val="2"/>
                <w:sz w:val="18"/>
                <w:szCs w:val="18"/>
                <w:highlight w:val="none"/>
                <w:lang w:val="en-US" w:eastAsia="zh-CN" w:bidi="ar-SA"/>
              </w:rPr>
              <w:t>臭气浓度</w:t>
            </w:r>
          </w:p>
        </w:tc>
        <w:tc>
          <w:tcPr>
            <w:tcW w:w="380" w:type="pct"/>
            <w:shd w:val="clear" w:color="auto" w:fill="auto"/>
            <w:vAlign w:val="center"/>
          </w:tcPr>
          <w:p w14:paraId="1FBC81BE">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w:t>
            </w:r>
          </w:p>
        </w:tc>
        <w:tc>
          <w:tcPr>
            <w:tcW w:w="382" w:type="pct"/>
            <w:shd w:val="clear" w:color="auto" w:fill="auto"/>
            <w:vAlign w:val="center"/>
          </w:tcPr>
          <w:p w14:paraId="6E055C9D">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w:t>
            </w:r>
          </w:p>
        </w:tc>
        <w:tc>
          <w:tcPr>
            <w:tcW w:w="400" w:type="pct"/>
            <w:shd w:val="clear" w:color="auto" w:fill="auto"/>
            <w:vAlign w:val="center"/>
          </w:tcPr>
          <w:p w14:paraId="00988AB8">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w:t>
            </w:r>
          </w:p>
        </w:tc>
        <w:tc>
          <w:tcPr>
            <w:tcW w:w="392" w:type="pct"/>
            <w:shd w:val="clear" w:color="auto" w:fill="auto"/>
            <w:vAlign w:val="center"/>
          </w:tcPr>
          <w:p w14:paraId="2B4B017A">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w:t>
            </w:r>
          </w:p>
        </w:tc>
        <w:tc>
          <w:tcPr>
            <w:tcW w:w="401" w:type="pct"/>
            <w:shd w:val="clear" w:color="auto" w:fill="auto"/>
            <w:vAlign w:val="center"/>
          </w:tcPr>
          <w:p w14:paraId="1B9D967D">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w:t>
            </w:r>
          </w:p>
        </w:tc>
        <w:tc>
          <w:tcPr>
            <w:tcW w:w="390" w:type="pct"/>
            <w:shd w:val="clear" w:color="auto" w:fill="auto"/>
            <w:vAlign w:val="center"/>
          </w:tcPr>
          <w:p w14:paraId="4EE7D763">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w:t>
            </w:r>
          </w:p>
        </w:tc>
      </w:tr>
      <w:tr w14:paraId="112F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13"/>
            <w:shd w:val="clear" w:color="auto" w:fill="auto"/>
            <w:vAlign w:val="center"/>
          </w:tcPr>
          <w:p w14:paraId="46C27AA0">
            <w:pPr>
              <w:pStyle w:val="24"/>
              <w:bidi w:val="0"/>
              <w:ind w:left="0" w:leftChars="0"/>
              <w:jc w:val="both"/>
              <w:rPr>
                <w:rFonts w:hint="eastAsia" w:ascii="Times New Roman" w:hAnsi="Times New Roman"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注：</w:t>
            </w:r>
            <w:r>
              <w:rPr>
                <w:rFonts w:hint="eastAsia" w:cs="Times New Roman"/>
                <w:b w:val="0"/>
                <w:bCs w:val="0"/>
                <w:color w:val="auto"/>
                <w:sz w:val="21"/>
                <w:szCs w:val="21"/>
                <w:highlight w:val="none"/>
                <w:lang w:val="en-US" w:eastAsia="zh-CN"/>
              </w:rPr>
              <w:t>本项目固态粉末状原料最大投料时间按2h/d计</w:t>
            </w:r>
            <w:r>
              <w:rPr>
                <w:rFonts w:hint="eastAsia" w:ascii="Times New Roman" w:hAnsi="Times New Roman" w:eastAsia="宋体" w:cs="Times New Roman"/>
                <w:b w:val="0"/>
                <w:bCs w:val="0"/>
                <w:color w:val="auto"/>
                <w:sz w:val="21"/>
                <w:szCs w:val="21"/>
                <w:highlight w:val="none"/>
                <w:lang w:val="en-US" w:eastAsia="zh-CN"/>
              </w:rPr>
              <w:t>。</w:t>
            </w:r>
          </w:p>
        </w:tc>
      </w:tr>
    </w:tbl>
    <w:p w14:paraId="4EA0CCF6">
      <w:pPr>
        <w:bidi w:val="0"/>
        <w:ind w:left="0" w:leftChars="0" w:firstLine="480" w:firstLineChars="200"/>
        <w:rPr>
          <w:rFonts w:hint="default"/>
          <w:color w:val="auto"/>
          <w:lang w:val="en-US" w:eastAsia="zh-CN"/>
        </w:rPr>
      </w:pPr>
      <w:r>
        <w:rPr>
          <w:rFonts w:hint="eastAsia"/>
          <w:color w:val="auto"/>
          <w:lang w:val="en-US" w:eastAsia="zh-CN"/>
        </w:rPr>
        <w:t>由上表可知，本项目工艺废气经收集处理后颗粒物有组织排放速率、排放浓度满足《大气污染物排放标准》（GB 16297-1996）表2中二级标准限值，硫酸雾、氟化物有组织排放浓度满足《无机化学工业污染物排放标准》（GB 31573-2015）表3中排放限值，VOCs有组织排放速率、排放浓度满足《四川省固定污染源大气挥发性有机物排放标准》（DB51/2377-2017）表3中排放限值，可以实现达标排放。</w:t>
      </w:r>
    </w:p>
    <w:p w14:paraId="05AAD97D">
      <w:pPr>
        <w:bidi w:val="0"/>
        <w:rPr>
          <w:rFonts w:hint="default"/>
          <w:color w:val="auto"/>
          <w:lang w:val="en-US" w:eastAsia="zh-CN"/>
        </w:rPr>
      </w:pPr>
      <w:r>
        <w:rPr>
          <w:rFonts w:hint="default"/>
          <w:color w:val="auto"/>
          <w:lang w:val="en-US" w:eastAsia="zh-CN"/>
        </w:rPr>
        <w:t>②</w:t>
      </w:r>
      <w:r>
        <w:rPr>
          <w:rFonts w:hint="eastAsia"/>
          <w:color w:val="auto"/>
          <w:lang w:val="en-US" w:eastAsia="zh-CN"/>
        </w:rPr>
        <w:t>无组织排放情况</w:t>
      </w:r>
    </w:p>
    <w:p w14:paraId="62D9AAC9">
      <w:pPr>
        <w:bidi w:val="0"/>
        <w:rPr>
          <w:rFonts w:hint="eastAsia"/>
          <w:color w:val="auto"/>
          <w:lang w:val="en-US" w:eastAsia="zh-CN"/>
        </w:rPr>
      </w:pPr>
      <w:r>
        <w:rPr>
          <w:rFonts w:hint="eastAsia"/>
          <w:color w:val="auto"/>
          <w:lang w:val="en-US" w:eastAsia="zh-CN"/>
        </w:rPr>
        <w:t>工艺废气经收集处理后无组织排放情况见下表。</w:t>
      </w:r>
    </w:p>
    <w:p w14:paraId="03EBC178">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工艺废气无组织排放情况</w:t>
      </w:r>
    </w:p>
    <w:tbl>
      <w:tblPr>
        <w:tblStyle w:val="20"/>
        <w:tblW w:w="50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67"/>
        <w:gridCol w:w="1658"/>
        <w:gridCol w:w="1293"/>
        <w:gridCol w:w="1309"/>
        <w:gridCol w:w="1293"/>
        <w:gridCol w:w="1287"/>
      </w:tblGrid>
      <w:tr w14:paraId="61FE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 w:hRule="atLeast"/>
        </w:trPr>
        <w:tc>
          <w:tcPr>
            <w:tcW w:w="1365" w:type="pct"/>
            <w:vMerge w:val="restart"/>
            <w:shd w:val="clear" w:color="auto" w:fill="auto"/>
            <w:vAlign w:val="center"/>
          </w:tcPr>
          <w:p w14:paraId="4375BF01">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排放源</w:t>
            </w:r>
          </w:p>
        </w:tc>
        <w:tc>
          <w:tcPr>
            <w:tcW w:w="881" w:type="pct"/>
            <w:vMerge w:val="restart"/>
            <w:shd w:val="clear" w:color="auto" w:fill="auto"/>
            <w:vAlign w:val="center"/>
          </w:tcPr>
          <w:p w14:paraId="5F1BD954">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污染物</w:t>
            </w:r>
          </w:p>
        </w:tc>
        <w:tc>
          <w:tcPr>
            <w:tcW w:w="1383" w:type="pct"/>
            <w:gridSpan w:val="2"/>
            <w:vAlign w:val="center"/>
          </w:tcPr>
          <w:p w14:paraId="4A6D60B4">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产生情况</w:t>
            </w:r>
          </w:p>
        </w:tc>
        <w:tc>
          <w:tcPr>
            <w:tcW w:w="1369" w:type="pct"/>
            <w:gridSpan w:val="2"/>
            <w:shd w:val="clear" w:color="auto" w:fill="auto"/>
            <w:vAlign w:val="center"/>
          </w:tcPr>
          <w:p w14:paraId="6123B686">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排放情况</w:t>
            </w:r>
          </w:p>
        </w:tc>
      </w:tr>
      <w:tr w14:paraId="7AF7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trPr>
        <w:tc>
          <w:tcPr>
            <w:tcW w:w="1365" w:type="pct"/>
            <w:vMerge w:val="continue"/>
            <w:shd w:val="clear" w:color="auto" w:fill="auto"/>
            <w:vAlign w:val="center"/>
          </w:tcPr>
          <w:p w14:paraId="4A4E0863">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881" w:type="pct"/>
            <w:vMerge w:val="continue"/>
            <w:shd w:val="clear" w:color="auto" w:fill="auto"/>
            <w:vAlign w:val="center"/>
          </w:tcPr>
          <w:p w14:paraId="7C1B6319">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687" w:type="pct"/>
            <w:vAlign w:val="center"/>
          </w:tcPr>
          <w:p w14:paraId="41B5B682">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c>
          <w:tcPr>
            <w:tcW w:w="695" w:type="pct"/>
            <w:vAlign w:val="center"/>
          </w:tcPr>
          <w:p w14:paraId="73277FF3">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kg/h</w:t>
            </w:r>
          </w:p>
        </w:tc>
        <w:tc>
          <w:tcPr>
            <w:tcW w:w="687" w:type="pct"/>
            <w:shd w:val="clear" w:color="auto" w:fill="auto"/>
            <w:vAlign w:val="center"/>
          </w:tcPr>
          <w:p w14:paraId="4D648E9A">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c>
          <w:tcPr>
            <w:tcW w:w="681" w:type="pct"/>
            <w:shd w:val="clear" w:color="auto" w:fill="auto"/>
            <w:vAlign w:val="center"/>
          </w:tcPr>
          <w:p w14:paraId="25BF9791">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kg/h</w:t>
            </w:r>
          </w:p>
        </w:tc>
      </w:tr>
      <w:tr w14:paraId="5CF8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65" w:type="pct"/>
            <w:vMerge w:val="restart"/>
            <w:shd w:val="clear" w:color="auto" w:fill="auto"/>
            <w:vAlign w:val="center"/>
          </w:tcPr>
          <w:p w14:paraId="56129DD3">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生产车间</w:t>
            </w:r>
          </w:p>
        </w:tc>
        <w:tc>
          <w:tcPr>
            <w:tcW w:w="881" w:type="pct"/>
            <w:shd w:val="clear" w:color="auto" w:fill="auto"/>
            <w:vAlign w:val="center"/>
          </w:tcPr>
          <w:p w14:paraId="0B32DE37">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颗粒物</w:t>
            </w:r>
          </w:p>
        </w:tc>
        <w:tc>
          <w:tcPr>
            <w:tcW w:w="687" w:type="pct"/>
            <w:shd w:val="clear" w:color="auto" w:fill="auto"/>
            <w:vAlign w:val="center"/>
          </w:tcPr>
          <w:p w14:paraId="39839163">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0.03</w:t>
            </w:r>
          </w:p>
        </w:tc>
        <w:tc>
          <w:tcPr>
            <w:tcW w:w="695" w:type="pct"/>
            <w:shd w:val="clear" w:color="auto" w:fill="auto"/>
            <w:vAlign w:val="center"/>
          </w:tcPr>
          <w:p w14:paraId="076D5FA8">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0.05</w:t>
            </w:r>
          </w:p>
        </w:tc>
        <w:tc>
          <w:tcPr>
            <w:tcW w:w="687" w:type="pct"/>
            <w:shd w:val="clear" w:color="auto" w:fill="auto"/>
            <w:vAlign w:val="center"/>
          </w:tcPr>
          <w:p w14:paraId="09FB5799">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0.006</w:t>
            </w:r>
          </w:p>
        </w:tc>
        <w:tc>
          <w:tcPr>
            <w:tcW w:w="681" w:type="pct"/>
            <w:shd w:val="clear" w:color="auto" w:fill="auto"/>
            <w:vAlign w:val="center"/>
          </w:tcPr>
          <w:p w14:paraId="0A5C3877">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0.01</w:t>
            </w:r>
          </w:p>
        </w:tc>
      </w:tr>
      <w:tr w14:paraId="71BD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65" w:type="pct"/>
            <w:vMerge w:val="continue"/>
            <w:shd w:val="clear" w:color="auto" w:fill="auto"/>
            <w:vAlign w:val="center"/>
          </w:tcPr>
          <w:p w14:paraId="6E04485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1" w:type="pct"/>
            <w:shd w:val="clear" w:color="auto" w:fill="auto"/>
            <w:vAlign w:val="center"/>
          </w:tcPr>
          <w:p w14:paraId="7FE2D807">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687" w:type="pct"/>
            <w:vAlign w:val="center"/>
          </w:tcPr>
          <w:p w14:paraId="56F816AE">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0.0383</w:t>
            </w:r>
          </w:p>
        </w:tc>
        <w:tc>
          <w:tcPr>
            <w:tcW w:w="695" w:type="pct"/>
            <w:vAlign w:val="center"/>
          </w:tcPr>
          <w:p w14:paraId="50C5379B">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0.0160 </w:t>
            </w:r>
          </w:p>
        </w:tc>
        <w:tc>
          <w:tcPr>
            <w:tcW w:w="687" w:type="pct"/>
            <w:shd w:val="clear" w:color="auto" w:fill="auto"/>
            <w:vAlign w:val="center"/>
          </w:tcPr>
          <w:p w14:paraId="5E6A25CE">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0.0019 </w:t>
            </w:r>
          </w:p>
        </w:tc>
        <w:tc>
          <w:tcPr>
            <w:tcW w:w="681" w:type="pct"/>
            <w:shd w:val="clear" w:color="auto" w:fill="auto"/>
            <w:vAlign w:val="center"/>
          </w:tcPr>
          <w:p w14:paraId="757B29B1">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0.0008 </w:t>
            </w:r>
          </w:p>
        </w:tc>
      </w:tr>
      <w:tr w14:paraId="0F44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trPr>
        <w:tc>
          <w:tcPr>
            <w:tcW w:w="1365" w:type="pct"/>
            <w:vMerge w:val="continue"/>
            <w:shd w:val="clear" w:color="auto" w:fill="auto"/>
            <w:vAlign w:val="center"/>
          </w:tcPr>
          <w:p w14:paraId="26EAAC8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1" w:type="pct"/>
            <w:shd w:val="clear" w:color="auto" w:fill="auto"/>
            <w:vAlign w:val="center"/>
          </w:tcPr>
          <w:p w14:paraId="7C5ED58C">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87" w:type="pct"/>
            <w:vAlign w:val="center"/>
          </w:tcPr>
          <w:p w14:paraId="1C4D6CAA">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0.097</w:t>
            </w:r>
          </w:p>
        </w:tc>
        <w:tc>
          <w:tcPr>
            <w:tcW w:w="695" w:type="pct"/>
            <w:vAlign w:val="center"/>
          </w:tcPr>
          <w:p w14:paraId="2120B362">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0.0404 </w:t>
            </w:r>
          </w:p>
        </w:tc>
        <w:tc>
          <w:tcPr>
            <w:tcW w:w="687" w:type="pct"/>
            <w:shd w:val="clear" w:color="auto" w:fill="auto"/>
            <w:vAlign w:val="center"/>
          </w:tcPr>
          <w:p w14:paraId="338315E2">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0.0049 </w:t>
            </w:r>
          </w:p>
        </w:tc>
        <w:tc>
          <w:tcPr>
            <w:tcW w:w="681" w:type="pct"/>
            <w:shd w:val="clear" w:color="auto" w:fill="auto"/>
            <w:vAlign w:val="center"/>
          </w:tcPr>
          <w:p w14:paraId="7CFBA0EA">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0.0020 </w:t>
            </w:r>
          </w:p>
        </w:tc>
      </w:tr>
      <w:tr w14:paraId="68E8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trPr>
        <w:tc>
          <w:tcPr>
            <w:tcW w:w="1365" w:type="pct"/>
            <w:vMerge w:val="continue"/>
            <w:shd w:val="clear" w:color="auto" w:fill="auto"/>
            <w:vAlign w:val="center"/>
          </w:tcPr>
          <w:p w14:paraId="5C4CB32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1" w:type="pct"/>
            <w:shd w:val="clear" w:color="auto" w:fill="auto"/>
            <w:vAlign w:val="center"/>
          </w:tcPr>
          <w:p w14:paraId="143E0A3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VOCs</w:t>
            </w:r>
          </w:p>
        </w:tc>
        <w:tc>
          <w:tcPr>
            <w:tcW w:w="687" w:type="pct"/>
            <w:shd w:val="clear" w:color="auto" w:fill="auto"/>
            <w:vAlign w:val="center"/>
          </w:tcPr>
          <w:p w14:paraId="5CF55E3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0.284</w:t>
            </w:r>
          </w:p>
        </w:tc>
        <w:tc>
          <w:tcPr>
            <w:tcW w:w="695" w:type="pct"/>
            <w:shd w:val="clear" w:color="auto" w:fill="auto"/>
            <w:vAlign w:val="center"/>
          </w:tcPr>
          <w:p w14:paraId="54EEE64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0.1183 </w:t>
            </w:r>
          </w:p>
        </w:tc>
        <w:tc>
          <w:tcPr>
            <w:tcW w:w="687" w:type="pct"/>
            <w:shd w:val="clear" w:color="auto" w:fill="auto"/>
            <w:vAlign w:val="center"/>
          </w:tcPr>
          <w:p w14:paraId="1A364B1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0.0142 </w:t>
            </w:r>
          </w:p>
        </w:tc>
        <w:tc>
          <w:tcPr>
            <w:tcW w:w="681" w:type="pct"/>
            <w:shd w:val="clear" w:color="auto" w:fill="auto"/>
            <w:vAlign w:val="center"/>
          </w:tcPr>
          <w:p w14:paraId="6EBC4A2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0.0059 </w:t>
            </w:r>
          </w:p>
        </w:tc>
      </w:tr>
      <w:tr w14:paraId="28A8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trPr>
        <w:tc>
          <w:tcPr>
            <w:tcW w:w="1365" w:type="pct"/>
            <w:vMerge w:val="continue"/>
            <w:shd w:val="clear" w:color="auto" w:fill="auto"/>
            <w:vAlign w:val="center"/>
          </w:tcPr>
          <w:p w14:paraId="2A0DCD8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1" w:type="pct"/>
            <w:shd w:val="clear" w:color="auto" w:fill="auto"/>
            <w:vAlign w:val="center"/>
          </w:tcPr>
          <w:p w14:paraId="34621EA4">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87" w:type="pct"/>
            <w:vAlign w:val="center"/>
          </w:tcPr>
          <w:p w14:paraId="5E30BD13">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95" w:type="pct"/>
            <w:vAlign w:val="center"/>
          </w:tcPr>
          <w:p w14:paraId="2CB5BE13">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87" w:type="pct"/>
            <w:shd w:val="clear" w:color="auto" w:fill="auto"/>
            <w:vAlign w:val="center"/>
          </w:tcPr>
          <w:p w14:paraId="17147F8C">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47E3031D">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247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5" w:hRule="atLeast"/>
        </w:trPr>
        <w:tc>
          <w:tcPr>
            <w:tcW w:w="1365" w:type="pct"/>
            <w:vMerge w:val="continue"/>
            <w:shd w:val="clear" w:color="auto" w:fill="auto"/>
            <w:vAlign w:val="center"/>
          </w:tcPr>
          <w:p w14:paraId="027CDEB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1" w:type="pct"/>
            <w:shd w:val="clear" w:color="auto" w:fill="auto"/>
            <w:vAlign w:val="center"/>
          </w:tcPr>
          <w:p w14:paraId="02C84A9F">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臭气浓度</w:t>
            </w:r>
          </w:p>
        </w:tc>
        <w:tc>
          <w:tcPr>
            <w:tcW w:w="687" w:type="pct"/>
            <w:vAlign w:val="center"/>
          </w:tcPr>
          <w:p w14:paraId="58E355FB">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95" w:type="pct"/>
            <w:vAlign w:val="center"/>
          </w:tcPr>
          <w:p w14:paraId="24665C13">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87" w:type="pct"/>
            <w:shd w:val="clear" w:color="auto" w:fill="auto"/>
            <w:vAlign w:val="center"/>
          </w:tcPr>
          <w:p w14:paraId="05E6FFE0">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09F2E5FB">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BBF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vMerge w:val="restart"/>
            <w:shd w:val="clear" w:color="auto" w:fill="auto"/>
            <w:vAlign w:val="center"/>
          </w:tcPr>
          <w:p w14:paraId="4F5C5DAF">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1#罐区</w:t>
            </w:r>
          </w:p>
        </w:tc>
        <w:tc>
          <w:tcPr>
            <w:tcW w:w="881" w:type="pct"/>
            <w:shd w:val="clear" w:color="auto" w:fill="auto"/>
            <w:vAlign w:val="center"/>
          </w:tcPr>
          <w:p w14:paraId="1129DD2A">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687" w:type="pct"/>
            <w:vAlign w:val="center"/>
          </w:tcPr>
          <w:p w14:paraId="566DB329">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0.062</w:t>
            </w:r>
          </w:p>
        </w:tc>
        <w:tc>
          <w:tcPr>
            <w:tcW w:w="695" w:type="pct"/>
            <w:vAlign w:val="center"/>
          </w:tcPr>
          <w:p w14:paraId="5A159E31">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0.0258 </w:t>
            </w:r>
          </w:p>
        </w:tc>
        <w:tc>
          <w:tcPr>
            <w:tcW w:w="687" w:type="pct"/>
            <w:shd w:val="clear" w:color="auto" w:fill="auto"/>
            <w:vAlign w:val="center"/>
          </w:tcPr>
          <w:p w14:paraId="65AE078D">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0.0031 </w:t>
            </w:r>
          </w:p>
        </w:tc>
        <w:tc>
          <w:tcPr>
            <w:tcW w:w="681" w:type="pct"/>
            <w:shd w:val="clear" w:color="auto" w:fill="auto"/>
            <w:vAlign w:val="center"/>
          </w:tcPr>
          <w:p w14:paraId="38D9A8AF">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0.0013 </w:t>
            </w:r>
          </w:p>
        </w:tc>
      </w:tr>
      <w:tr w14:paraId="5007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vMerge w:val="continue"/>
            <w:shd w:val="clear" w:color="auto" w:fill="auto"/>
            <w:vAlign w:val="center"/>
          </w:tcPr>
          <w:p w14:paraId="05E83EC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p>
        </w:tc>
        <w:tc>
          <w:tcPr>
            <w:tcW w:w="881" w:type="pct"/>
            <w:shd w:val="clear" w:color="auto" w:fill="auto"/>
            <w:vAlign w:val="center"/>
          </w:tcPr>
          <w:p w14:paraId="5660EC44">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87" w:type="pct"/>
            <w:vAlign w:val="center"/>
          </w:tcPr>
          <w:p w14:paraId="109DA3FB">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0.1083</w:t>
            </w:r>
          </w:p>
        </w:tc>
        <w:tc>
          <w:tcPr>
            <w:tcW w:w="695" w:type="pct"/>
            <w:vAlign w:val="center"/>
          </w:tcPr>
          <w:p w14:paraId="77F8E445">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0.0451 </w:t>
            </w:r>
          </w:p>
        </w:tc>
        <w:tc>
          <w:tcPr>
            <w:tcW w:w="687" w:type="pct"/>
            <w:shd w:val="clear" w:color="auto" w:fill="auto"/>
            <w:vAlign w:val="center"/>
          </w:tcPr>
          <w:p w14:paraId="70170BBF">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0.0054 </w:t>
            </w:r>
          </w:p>
        </w:tc>
        <w:tc>
          <w:tcPr>
            <w:tcW w:w="681" w:type="pct"/>
            <w:shd w:val="clear" w:color="auto" w:fill="auto"/>
            <w:vAlign w:val="center"/>
          </w:tcPr>
          <w:p w14:paraId="4498849D">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0.0023 </w:t>
            </w:r>
          </w:p>
        </w:tc>
      </w:tr>
      <w:tr w14:paraId="57C1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shd w:val="clear" w:color="auto" w:fill="auto"/>
            <w:vAlign w:val="center"/>
          </w:tcPr>
          <w:p w14:paraId="4815FD2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2#罐区</w:t>
            </w:r>
          </w:p>
        </w:tc>
        <w:tc>
          <w:tcPr>
            <w:tcW w:w="881" w:type="pct"/>
            <w:shd w:val="clear" w:color="auto" w:fill="auto"/>
            <w:vAlign w:val="center"/>
          </w:tcPr>
          <w:p w14:paraId="1A621A8E">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VOCs</w:t>
            </w:r>
          </w:p>
        </w:tc>
        <w:tc>
          <w:tcPr>
            <w:tcW w:w="687" w:type="pct"/>
            <w:vAlign w:val="center"/>
          </w:tcPr>
          <w:p w14:paraId="1F739CD1">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0.0798</w:t>
            </w:r>
          </w:p>
        </w:tc>
        <w:tc>
          <w:tcPr>
            <w:tcW w:w="695" w:type="pct"/>
            <w:vAlign w:val="center"/>
          </w:tcPr>
          <w:p w14:paraId="3FCD0BD9">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0.0333 </w:t>
            </w:r>
          </w:p>
        </w:tc>
        <w:tc>
          <w:tcPr>
            <w:tcW w:w="687" w:type="pct"/>
            <w:shd w:val="clear" w:color="auto" w:fill="auto"/>
            <w:vAlign w:val="center"/>
          </w:tcPr>
          <w:p w14:paraId="51F65091">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0.0040 </w:t>
            </w:r>
          </w:p>
        </w:tc>
        <w:tc>
          <w:tcPr>
            <w:tcW w:w="681" w:type="pct"/>
            <w:shd w:val="clear" w:color="auto" w:fill="auto"/>
            <w:vAlign w:val="center"/>
          </w:tcPr>
          <w:p w14:paraId="68DF2D0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0.0017 </w:t>
            </w:r>
          </w:p>
        </w:tc>
      </w:tr>
      <w:tr w14:paraId="5BF7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shd w:val="clear" w:color="auto" w:fill="auto"/>
            <w:vAlign w:val="center"/>
          </w:tcPr>
          <w:p w14:paraId="34A1C681">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3#罐区</w:t>
            </w:r>
          </w:p>
        </w:tc>
        <w:tc>
          <w:tcPr>
            <w:tcW w:w="881" w:type="pct"/>
            <w:shd w:val="clear" w:color="auto" w:fill="auto"/>
            <w:vAlign w:val="center"/>
          </w:tcPr>
          <w:p w14:paraId="3DA2CA2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687" w:type="pct"/>
            <w:shd w:val="clear" w:color="auto" w:fill="auto"/>
            <w:vAlign w:val="center"/>
          </w:tcPr>
          <w:p w14:paraId="1CBA9FD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95" w:type="pct"/>
            <w:shd w:val="clear" w:color="auto" w:fill="auto"/>
            <w:vAlign w:val="center"/>
          </w:tcPr>
          <w:p w14:paraId="2091B36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7" w:type="pct"/>
            <w:shd w:val="clear" w:color="auto" w:fill="auto"/>
            <w:vAlign w:val="center"/>
          </w:tcPr>
          <w:p w14:paraId="4DA453E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589E218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6965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65" w:type="pct"/>
            <w:vMerge w:val="restart"/>
            <w:shd w:val="clear" w:color="auto" w:fill="auto"/>
            <w:vAlign w:val="center"/>
          </w:tcPr>
          <w:p w14:paraId="28017422">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合计</w:t>
            </w:r>
          </w:p>
        </w:tc>
        <w:tc>
          <w:tcPr>
            <w:tcW w:w="881" w:type="pct"/>
            <w:shd w:val="clear" w:color="auto" w:fill="auto"/>
            <w:vAlign w:val="center"/>
          </w:tcPr>
          <w:p w14:paraId="14848CA0">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颗粒物</w:t>
            </w:r>
          </w:p>
        </w:tc>
        <w:tc>
          <w:tcPr>
            <w:tcW w:w="687" w:type="pct"/>
            <w:vAlign w:val="center"/>
          </w:tcPr>
          <w:p w14:paraId="304356D5">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0.03</w:t>
            </w:r>
          </w:p>
        </w:tc>
        <w:tc>
          <w:tcPr>
            <w:tcW w:w="695" w:type="pct"/>
            <w:vAlign w:val="center"/>
          </w:tcPr>
          <w:p w14:paraId="7F02F3E6">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0.05</w:t>
            </w:r>
          </w:p>
        </w:tc>
        <w:tc>
          <w:tcPr>
            <w:tcW w:w="687" w:type="pct"/>
            <w:shd w:val="clear" w:color="auto" w:fill="auto"/>
            <w:vAlign w:val="center"/>
          </w:tcPr>
          <w:p w14:paraId="59CA77BB">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0.006</w:t>
            </w:r>
          </w:p>
        </w:tc>
        <w:tc>
          <w:tcPr>
            <w:tcW w:w="681" w:type="pct"/>
            <w:shd w:val="clear" w:color="auto" w:fill="auto"/>
            <w:vAlign w:val="center"/>
          </w:tcPr>
          <w:p w14:paraId="4BD354C0">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0.01</w:t>
            </w:r>
          </w:p>
        </w:tc>
      </w:tr>
      <w:tr w14:paraId="7C8B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65" w:type="pct"/>
            <w:vMerge w:val="continue"/>
            <w:shd w:val="clear" w:color="auto" w:fill="auto"/>
            <w:vAlign w:val="center"/>
          </w:tcPr>
          <w:p w14:paraId="6DC85758">
            <w:pPr>
              <w:pStyle w:val="24"/>
              <w:bidi w:val="0"/>
              <w:ind w:left="0" w:leftChars="0"/>
              <w:jc w:val="center"/>
              <w:rPr>
                <w:rFonts w:hint="eastAsia" w:cs="Times New Roman"/>
                <w:b w:val="0"/>
                <w:bCs w:val="0"/>
                <w:color w:val="auto"/>
                <w:sz w:val="21"/>
                <w:szCs w:val="21"/>
                <w:highlight w:val="none"/>
                <w:lang w:val="en-US" w:eastAsia="zh-CN"/>
              </w:rPr>
            </w:pPr>
          </w:p>
        </w:tc>
        <w:tc>
          <w:tcPr>
            <w:tcW w:w="881" w:type="pct"/>
            <w:shd w:val="clear" w:color="auto" w:fill="auto"/>
            <w:vAlign w:val="center"/>
          </w:tcPr>
          <w:p w14:paraId="10272981">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687" w:type="pct"/>
            <w:vAlign w:val="center"/>
          </w:tcPr>
          <w:p w14:paraId="07DCA3AE">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0.1003</w:t>
            </w:r>
          </w:p>
        </w:tc>
        <w:tc>
          <w:tcPr>
            <w:tcW w:w="695" w:type="pct"/>
            <w:vAlign w:val="center"/>
          </w:tcPr>
          <w:p w14:paraId="3188CC1F">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0.0418 </w:t>
            </w:r>
          </w:p>
        </w:tc>
        <w:tc>
          <w:tcPr>
            <w:tcW w:w="687" w:type="pct"/>
            <w:shd w:val="clear" w:color="auto" w:fill="auto"/>
            <w:vAlign w:val="center"/>
          </w:tcPr>
          <w:p w14:paraId="044B802D">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0.0050 </w:t>
            </w:r>
          </w:p>
        </w:tc>
        <w:tc>
          <w:tcPr>
            <w:tcW w:w="681" w:type="pct"/>
            <w:shd w:val="clear" w:color="auto" w:fill="auto"/>
            <w:vAlign w:val="center"/>
          </w:tcPr>
          <w:p w14:paraId="6247B665">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0.0021 </w:t>
            </w:r>
          </w:p>
        </w:tc>
      </w:tr>
      <w:tr w14:paraId="6867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vMerge w:val="continue"/>
            <w:shd w:val="clear" w:color="auto" w:fill="auto"/>
            <w:vAlign w:val="center"/>
          </w:tcPr>
          <w:p w14:paraId="3A934785">
            <w:pPr>
              <w:pStyle w:val="24"/>
              <w:bidi w:val="0"/>
              <w:ind w:left="0" w:leftChars="0"/>
              <w:jc w:val="center"/>
              <w:rPr>
                <w:rFonts w:hint="eastAsia" w:cs="Times New Roman"/>
                <w:b w:val="0"/>
                <w:bCs w:val="0"/>
                <w:color w:val="auto"/>
                <w:sz w:val="21"/>
                <w:szCs w:val="21"/>
                <w:highlight w:val="none"/>
                <w:lang w:val="en-US" w:eastAsia="zh-CN"/>
              </w:rPr>
            </w:pPr>
          </w:p>
        </w:tc>
        <w:tc>
          <w:tcPr>
            <w:tcW w:w="881" w:type="pct"/>
            <w:shd w:val="clear" w:color="auto" w:fill="auto"/>
            <w:vAlign w:val="center"/>
          </w:tcPr>
          <w:p w14:paraId="143C241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687" w:type="pct"/>
            <w:shd w:val="clear" w:color="auto" w:fill="auto"/>
            <w:vAlign w:val="center"/>
          </w:tcPr>
          <w:p w14:paraId="510E0B2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0.2053</w:t>
            </w:r>
          </w:p>
        </w:tc>
        <w:tc>
          <w:tcPr>
            <w:tcW w:w="695" w:type="pct"/>
            <w:shd w:val="clear" w:color="auto" w:fill="auto"/>
            <w:vAlign w:val="center"/>
          </w:tcPr>
          <w:p w14:paraId="0E4EA40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0.0855 </w:t>
            </w:r>
          </w:p>
        </w:tc>
        <w:tc>
          <w:tcPr>
            <w:tcW w:w="687" w:type="pct"/>
            <w:shd w:val="clear" w:color="auto" w:fill="auto"/>
            <w:vAlign w:val="center"/>
          </w:tcPr>
          <w:p w14:paraId="17A0FA3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0.0103 </w:t>
            </w:r>
          </w:p>
        </w:tc>
        <w:tc>
          <w:tcPr>
            <w:tcW w:w="681" w:type="pct"/>
            <w:shd w:val="clear" w:color="auto" w:fill="auto"/>
            <w:vAlign w:val="center"/>
          </w:tcPr>
          <w:p w14:paraId="6FFB54B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0.0043 </w:t>
            </w:r>
          </w:p>
        </w:tc>
      </w:tr>
      <w:tr w14:paraId="7CA0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vMerge w:val="continue"/>
            <w:shd w:val="clear" w:color="auto" w:fill="auto"/>
            <w:vAlign w:val="center"/>
          </w:tcPr>
          <w:p w14:paraId="066C503D">
            <w:pPr>
              <w:pStyle w:val="24"/>
              <w:bidi w:val="0"/>
              <w:ind w:left="0" w:leftChars="0"/>
              <w:jc w:val="center"/>
              <w:rPr>
                <w:rFonts w:hint="eastAsia" w:cs="Times New Roman"/>
                <w:b w:val="0"/>
                <w:bCs w:val="0"/>
                <w:color w:val="auto"/>
                <w:sz w:val="21"/>
                <w:szCs w:val="21"/>
                <w:highlight w:val="none"/>
                <w:lang w:val="en-US" w:eastAsia="zh-CN"/>
              </w:rPr>
            </w:pPr>
          </w:p>
        </w:tc>
        <w:tc>
          <w:tcPr>
            <w:tcW w:w="881" w:type="pct"/>
            <w:shd w:val="clear" w:color="auto" w:fill="auto"/>
            <w:vAlign w:val="center"/>
          </w:tcPr>
          <w:p w14:paraId="1D1A4C5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VOCs</w:t>
            </w:r>
          </w:p>
        </w:tc>
        <w:tc>
          <w:tcPr>
            <w:tcW w:w="687" w:type="pct"/>
            <w:shd w:val="clear" w:color="auto" w:fill="auto"/>
            <w:vAlign w:val="center"/>
          </w:tcPr>
          <w:p w14:paraId="0036D10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0.3638</w:t>
            </w:r>
          </w:p>
        </w:tc>
        <w:tc>
          <w:tcPr>
            <w:tcW w:w="695" w:type="pct"/>
            <w:shd w:val="clear" w:color="auto" w:fill="auto"/>
            <w:vAlign w:val="center"/>
          </w:tcPr>
          <w:p w14:paraId="3E18D93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0.1516 </w:t>
            </w:r>
          </w:p>
        </w:tc>
        <w:tc>
          <w:tcPr>
            <w:tcW w:w="687" w:type="pct"/>
            <w:shd w:val="clear" w:color="auto" w:fill="auto"/>
            <w:vAlign w:val="center"/>
          </w:tcPr>
          <w:p w14:paraId="4D598AE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0.0182 </w:t>
            </w:r>
          </w:p>
        </w:tc>
        <w:tc>
          <w:tcPr>
            <w:tcW w:w="681" w:type="pct"/>
            <w:shd w:val="clear" w:color="auto" w:fill="auto"/>
            <w:vAlign w:val="center"/>
          </w:tcPr>
          <w:p w14:paraId="6F85B26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0.0076 </w:t>
            </w:r>
          </w:p>
        </w:tc>
      </w:tr>
      <w:tr w14:paraId="5F99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vMerge w:val="continue"/>
            <w:shd w:val="clear" w:color="auto" w:fill="auto"/>
            <w:vAlign w:val="center"/>
          </w:tcPr>
          <w:p w14:paraId="18F30183">
            <w:pPr>
              <w:pStyle w:val="24"/>
              <w:bidi w:val="0"/>
              <w:ind w:left="0" w:leftChars="0"/>
              <w:jc w:val="center"/>
              <w:rPr>
                <w:rFonts w:hint="eastAsia" w:cs="Times New Roman"/>
                <w:b w:val="0"/>
                <w:bCs w:val="0"/>
                <w:color w:val="auto"/>
                <w:sz w:val="21"/>
                <w:szCs w:val="21"/>
                <w:highlight w:val="none"/>
                <w:lang w:val="en-US" w:eastAsia="zh-CN"/>
              </w:rPr>
            </w:pPr>
          </w:p>
        </w:tc>
        <w:tc>
          <w:tcPr>
            <w:tcW w:w="881" w:type="pct"/>
            <w:shd w:val="clear" w:color="auto" w:fill="auto"/>
            <w:vAlign w:val="center"/>
          </w:tcPr>
          <w:p w14:paraId="0B63116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87" w:type="pct"/>
            <w:shd w:val="clear" w:color="auto" w:fill="auto"/>
            <w:vAlign w:val="center"/>
          </w:tcPr>
          <w:p w14:paraId="6517D36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95" w:type="pct"/>
            <w:shd w:val="clear" w:color="auto" w:fill="auto"/>
            <w:vAlign w:val="center"/>
          </w:tcPr>
          <w:p w14:paraId="75C5AEC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7" w:type="pct"/>
            <w:shd w:val="clear" w:color="auto" w:fill="auto"/>
            <w:vAlign w:val="center"/>
          </w:tcPr>
          <w:p w14:paraId="6F4688F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0795E77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5A5F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1365" w:type="pct"/>
            <w:vMerge w:val="continue"/>
            <w:shd w:val="clear" w:color="auto" w:fill="auto"/>
            <w:vAlign w:val="center"/>
          </w:tcPr>
          <w:p w14:paraId="2C26F73B">
            <w:pPr>
              <w:pStyle w:val="24"/>
              <w:bidi w:val="0"/>
              <w:ind w:left="0" w:leftChars="0"/>
              <w:jc w:val="center"/>
              <w:rPr>
                <w:rFonts w:hint="eastAsia" w:cs="Times New Roman"/>
                <w:b w:val="0"/>
                <w:bCs w:val="0"/>
                <w:color w:val="auto"/>
                <w:sz w:val="21"/>
                <w:szCs w:val="21"/>
                <w:highlight w:val="none"/>
                <w:lang w:val="en-US" w:eastAsia="zh-CN"/>
              </w:rPr>
            </w:pPr>
          </w:p>
        </w:tc>
        <w:tc>
          <w:tcPr>
            <w:tcW w:w="881" w:type="pct"/>
            <w:shd w:val="clear" w:color="auto" w:fill="auto"/>
            <w:vAlign w:val="center"/>
          </w:tcPr>
          <w:p w14:paraId="0B7456A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687" w:type="pct"/>
            <w:shd w:val="clear" w:color="auto" w:fill="auto"/>
            <w:vAlign w:val="center"/>
          </w:tcPr>
          <w:p w14:paraId="166FF99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95" w:type="pct"/>
            <w:shd w:val="clear" w:color="auto" w:fill="auto"/>
            <w:vAlign w:val="center"/>
          </w:tcPr>
          <w:p w14:paraId="4A3B908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7" w:type="pct"/>
            <w:shd w:val="clear" w:color="auto" w:fill="auto"/>
            <w:vAlign w:val="center"/>
          </w:tcPr>
          <w:p w14:paraId="796EF69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681" w:type="pct"/>
            <w:shd w:val="clear" w:color="auto" w:fill="auto"/>
            <w:vAlign w:val="center"/>
          </w:tcPr>
          <w:p w14:paraId="65C5A4F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7773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5000" w:type="pct"/>
            <w:gridSpan w:val="6"/>
            <w:shd w:val="clear" w:color="auto" w:fill="auto"/>
            <w:vAlign w:val="center"/>
          </w:tcPr>
          <w:p w14:paraId="12FC8A07">
            <w:pPr>
              <w:pStyle w:val="24"/>
              <w:bidi w:val="0"/>
              <w:ind w:left="0" w:leftChars="0"/>
              <w:jc w:val="both"/>
              <w:rPr>
                <w:rFonts w:hint="eastAsia"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注：</w:t>
            </w:r>
            <w:r>
              <w:rPr>
                <w:rFonts w:hint="eastAsia" w:cs="Times New Roman"/>
                <w:b w:val="0"/>
                <w:bCs w:val="0"/>
                <w:color w:val="auto"/>
                <w:sz w:val="21"/>
                <w:szCs w:val="21"/>
                <w:highlight w:val="none"/>
                <w:lang w:val="en-US" w:eastAsia="zh-CN"/>
              </w:rPr>
              <w:t>本项目固态粉末状原料最大投料时间按2h/d计</w:t>
            </w:r>
            <w:r>
              <w:rPr>
                <w:rFonts w:hint="eastAsia" w:ascii="Times New Roman" w:hAnsi="Times New Roman" w:eastAsia="宋体" w:cs="Times New Roman"/>
                <w:b w:val="0"/>
                <w:bCs w:val="0"/>
                <w:color w:val="auto"/>
                <w:sz w:val="21"/>
                <w:szCs w:val="21"/>
                <w:highlight w:val="none"/>
                <w:lang w:val="en-US" w:eastAsia="zh-CN"/>
              </w:rPr>
              <w:t>。</w:t>
            </w:r>
          </w:p>
        </w:tc>
      </w:tr>
    </w:tbl>
    <w:p w14:paraId="0B8DF90A">
      <w:pPr>
        <w:pStyle w:val="6"/>
        <w:ind w:firstLine="482"/>
        <w:rPr>
          <w:rFonts w:hint="eastAsia" w:cs="Times New Roman"/>
          <w:b/>
          <w:bCs/>
          <w:color w:val="auto"/>
          <w:highlight w:val="none"/>
          <w:lang w:val="en-US" w:eastAsia="zh-CN"/>
        </w:rPr>
      </w:pPr>
      <w:r>
        <w:rPr>
          <w:rFonts w:hint="eastAsia" w:eastAsia="宋体" w:cs="Times New Roman"/>
          <w:b/>
          <w:bCs/>
          <w:color w:val="auto"/>
          <w:highlight w:val="none"/>
          <w:lang w:val="en-US" w:eastAsia="zh-CN"/>
        </w:rPr>
        <w:t>2</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质检废气</w:t>
      </w:r>
    </w:p>
    <w:p w14:paraId="313C36D6">
      <w:pPr>
        <w:pStyle w:val="30"/>
        <w:bidi w:val="0"/>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产生情况</w:t>
      </w:r>
    </w:p>
    <w:p w14:paraId="36E6E753">
      <w:pPr>
        <w:bidi w:val="0"/>
        <w:ind w:left="0" w:leftChars="0" w:firstLine="480" w:firstLineChars="200"/>
        <w:rPr>
          <w:rFonts w:hint="eastAsia"/>
          <w:color w:val="auto"/>
          <w:lang w:val="en-US" w:eastAsia="zh-CN"/>
        </w:rPr>
      </w:pPr>
      <w:r>
        <w:rPr>
          <w:rFonts w:hint="eastAsia"/>
          <w:color w:val="auto"/>
          <w:lang w:val="en-US" w:eastAsia="zh-CN"/>
        </w:rPr>
        <w:t>本项目质检过程中，盐酸、硫酸、氢氟酸会挥发产生少量酸雾，主要污染物为氯化氢、硫酸雾、氟化物。</w:t>
      </w:r>
    </w:p>
    <w:p w14:paraId="6269B445">
      <w:pPr>
        <w:spacing w:line="360" w:lineRule="auto"/>
        <w:ind w:left="0" w:leftChars="0" w:firstLine="480" w:firstLineChars="200"/>
        <w:rPr>
          <w:color w:val="auto"/>
          <w:sz w:val="24"/>
        </w:rPr>
      </w:pPr>
      <w:r>
        <w:rPr>
          <w:rFonts w:hint="eastAsia" w:cs="Times New Roman"/>
          <w:color w:val="auto"/>
          <w:sz w:val="24"/>
          <w:szCs w:val="24"/>
          <w:highlight w:val="none"/>
          <w:lang w:val="en-US" w:eastAsia="zh-CN"/>
        </w:rPr>
        <w:t>酸雾产生量</w:t>
      </w:r>
      <w:r>
        <w:rPr>
          <w:rFonts w:hint="eastAsia" w:cs="Times New Roman"/>
          <w:color w:val="auto"/>
          <w:highlight w:val="none"/>
          <w:lang w:val="en-US" w:eastAsia="zh-CN"/>
        </w:rPr>
        <w:t>参考《环境统计手册》中有关酸液蒸发量的经验公式进行计算</w:t>
      </w:r>
      <w:r>
        <w:rPr>
          <w:rFonts w:hint="eastAsia"/>
          <w:color w:val="auto"/>
          <w:sz w:val="24"/>
        </w:rPr>
        <w:t>：</w:t>
      </w:r>
    </w:p>
    <w:p w14:paraId="4E36F4B6">
      <w:pPr>
        <w:spacing w:line="360" w:lineRule="auto"/>
        <w:ind w:left="0" w:leftChars="0" w:firstLine="0" w:firstLineChars="0"/>
        <w:jc w:val="center"/>
        <w:rPr>
          <w:rFonts w:hint="eastAsia"/>
          <w:color w:val="auto"/>
          <w:sz w:val="24"/>
        </w:rPr>
      </w:pPr>
      <w:r>
        <w:rPr>
          <w:rFonts w:hint="eastAsia"/>
          <w:color w:val="auto"/>
          <w:sz w:val="24"/>
        </w:rPr>
        <w:t>G</w:t>
      </w:r>
      <w:r>
        <w:rPr>
          <w:color w:val="auto"/>
          <w:sz w:val="24"/>
        </w:rPr>
        <w:t>z</w:t>
      </w:r>
      <w:r>
        <w:rPr>
          <w:rFonts w:hint="eastAsia"/>
          <w:color w:val="auto"/>
          <w:sz w:val="24"/>
        </w:rPr>
        <w:t>=</w:t>
      </w:r>
      <w:r>
        <w:rPr>
          <w:color w:val="auto"/>
          <w:sz w:val="24"/>
        </w:rPr>
        <w:t>M</w:t>
      </w:r>
      <w:r>
        <w:rPr>
          <w:rFonts w:hint="eastAsia"/>
          <w:color w:val="auto"/>
          <w:sz w:val="24"/>
        </w:rPr>
        <w:t>×（0</w:t>
      </w:r>
      <w:r>
        <w:rPr>
          <w:color w:val="auto"/>
          <w:sz w:val="24"/>
        </w:rPr>
        <w:t>.000352+0.000786</w:t>
      </w:r>
      <w:r>
        <w:rPr>
          <w:rFonts w:hint="eastAsia"/>
          <w:color w:val="auto"/>
          <w:sz w:val="24"/>
        </w:rPr>
        <w:t>×U）×P×F</w:t>
      </w:r>
    </w:p>
    <w:p w14:paraId="16F2E8B2">
      <w:pPr>
        <w:spacing w:line="360" w:lineRule="auto"/>
        <w:ind w:left="0" w:leftChars="0" w:firstLine="480" w:firstLineChars="200"/>
        <w:rPr>
          <w:color w:val="auto"/>
          <w:sz w:val="24"/>
        </w:rPr>
      </w:pPr>
      <w:r>
        <w:rPr>
          <w:rFonts w:hint="eastAsia"/>
          <w:color w:val="auto"/>
          <w:sz w:val="24"/>
        </w:rPr>
        <w:t>式中：G</w:t>
      </w:r>
      <w:r>
        <w:rPr>
          <w:color w:val="auto"/>
          <w:sz w:val="24"/>
        </w:rPr>
        <w:t>z</w:t>
      </w:r>
      <w:r>
        <w:rPr>
          <w:rFonts w:hint="eastAsia"/>
          <w:color w:val="auto"/>
          <w:sz w:val="24"/>
        </w:rPr>
        <w:t>——酸雾量，k</w:t>
      </w:r>
      <w:r>
        <w:rPr>
          <w:color w:val="auto"/>
          <w:sz w:val="24"/>
        </w:rPr>
        <w:t>g/h</w:t>
      </w:r>
      <w:r>
        <w:rPr>
          <w:rFonts w:hint="eastAsia"/>
          <w:color w:val="auto"/>
          <w:sz w:val="24"/>
        </w:rPr>
        <w:t>；</w:t>
      </w:r>
    </w:p>
    <w:p w14:paraId="0CD1C202">
      <w:pPr>
        <w:spacing w:line="360" w:lineRule="auto"/>
        <w:ind w:firstLine="480" w:firstLineChars="200"/>
        <w:rPr>
          <w:color w:val="auto"/>
          <w:sz w:val="24"/>
        </w:rPr>
      </w:pPr>
      <w:r>
        <w:rPr>
          <w:rFonts w:hint="eastAsia"/>
          <w:color w:val="auto"/>
          <w:sz w:val="24"/>
        </w:rPr>
        <w:t xml:space="preserve"> </w:t>
      </w:r>
      <w:r>
        <w:rPr>
          <w:color w:val="auto"/>
          <w:sz w:val="24"/>
        </w:rPr>
        <w:t xml:space="preserve"> M</w:t>
      </w:r>
      <w:r>
        <w:rPr>
          <w:rFonts w:hint="eastAsia"/>
          <w:color w:val="auto"/>
          <w:sz w:val="24"/>
        </w:rPr>
        <w:t>——液体分子量；</w:t>
      </w:r>
    </w:p>
    <w:p w14:paraId="269A0889">
      <w:pPr>
        <w:spacing w:line="360" w:lineRule="auto"/>
        <w:ind w:left="0" w:leftChars="0" w:firstLine="1200" w:firstLineChars="500"/>
        <w:rPr>
          <w:color w:val="auto"/>
          <w:sz w:val="24"/>
        </w:rPr>
      </w:pPr>
      <w:r>
        <w:rPr>
          <w:rFonts w:hint="eastAsia"/>
          <w:color w:val="auto"/>
          <w:sz w:val="24"/>
        </w:rPr>
        <w:t>U——蒸发液体表面上的空气流速（m/s），应以实测数据为准。无条件实测时，可取0</w:t>
      </w:r>
      <w:r>
        <w:rPr>
          <w:color w:val="auto"/>
          <w:sz w:val="24"/>
        </w:rPr>
        <w:t>.2</w:t>
      </w:r>
      <w:r>
        <w:rPr>
          <w:rFonts w:hint="eastAsia"/>
          <w:color w:val="auto"/>
          <w:sz w:val="24"/>
        </w:rPr>
        <w:t>~</w:t>
      </w:r>
      <w:r>
        <w:rPr>
          <w:color w:val="auto"/>
          <w:sz w:val="24"/>
        </w:rPr>
        <w:t>0.5</w:t>
      </w:r>
      <w:r>
        <w:rPr>
          <w:rFonts w:hint="eastAsia"/>
          <w:color w:val="auto"/>
          <w:sz w:val="24"/>
        </w:rPr>
        <w:t>m/s或查表计算，本次取0</w:t>
      </w:r>
      <w:r>
        <w:rPr>
          <w:color w:val="auto"/>
          <w:sz w:val="24"/>
        </w:rPr>
        <w:t>.35</w:t>
      </w:r>
      <w:r>
        <w:rPr>
          <w:rFonts w:hint="eastAsia"/>
          <w:color w:val="auto"/>
          <w:sz w:val="24"/>
        </w:rPr>
        <w:t>m/s；</w:t>
      </w:r>
    </w:p>
    <w:p w14:paraId="6DE38977">
      <w:pPr>
        <w:spacing w:line="360" w:lineRule="auto"/>
        <w:ind w:left="0" w:leftChars="0" w:firstLine="1200" w:firstLineChars="500"/>
        <w:rPr>
          <w:rFonts w:hint="eastAsia"/>
          <w:color w:val="auto"/>
          <w:sz w:val="24"/>
        </w:rPr>
      </w:pPr>
      <w:r>
        <w:rPr>
          <w:rFonts w:hint="eastAsia"/>
          <w:color w:val="auto"/>
          <w:sz w:val="24"/>
        </w:rPr>
        <w:t>P——相应于液体温度下空气中的饱和蒸汽分压力（m</w:t>
      </w:r>
      <w:r>
        <w:rPr>
          <w:color w:val="auto"/>
          <w:sz w:val="24"/>
        </w:rPr>
        <w:t>mHg</w:t>
      </w:r>
      <w:r>
        <w:rPr>
          <w:rFonts w:hint="eastAsia"/>
          <w:color w:val="auto"/>
          <w:sz w:val="24"/>
        </w:rPr>
        <w:t>），</w:t>
      </w:r>
      <w:r>
        <w:rPr>
          <w:rFonts w:hint="eastAsia"/>
          <w:color w:val="auto"/>
          <w:sz w:val="24"/>
          <w:lang w:val="en-US" w:eastAsia="zh-CN"/>
        </w:rPr>
        <w:t>本项目涉及盐酸、硫酸、氢氟酸实验的最高温度为60℃，</w:t>
      </w:r>
      <w:r>
        <w:rPr>
          <w:rFonts w:hint="eastAsia"/>
          <w:color w:val="auto"/>
          <w:sz w:val="24"/>
        </w:rPr>
        <w:t>饱和蒸汽分压力</w:t>
      </w:r>
      <w:r>
        <w:rPr>
          <w:rFonts w:hint="eastAsia"/>
          <w:color w:val="auto"/>
          <w:sz w:val="24"/>
          <w:lang w:val="en-US" w:eastAsia="zh-CN"/>
        </w:rPr>
        <w:t>分别</w:t>
      </w:r>
      <w:r>
        <w:rPr>
          <w:rFonts w:hint="eastAsia"/>
          <w:color w:val="auto"/>
          <w:sz w:val="24"/>
        </w:rPr>
        <w:t>为</w:t>
      </w:r>
      <w:r>
        <w:rPr>
          <w:rFonts w:hint="eastAsia"/>
          <w:color w:val="auto"/>
          <w:sz w:val="24"/>
          <w:lang w:val="en-US" w:eastAsia="zh-CN"/>
        </w:rPr>
        <w:t>0.16</w:t>
      </w:r>
      <w:r>
        <w:rPr>
          <w:rFonts w:hint="eastAsia"/>
          <w:color w:val="auto"/>
          <w:sz w:val="24"/>
        </w:rPr>
        <w:t>m</w:t>
      </w:r>
      <w:r>
        <w:rPr>
          <w:color w:val="auto"/>
          <w:sz w:val="24"/>
        </w:rPr>
        <w:t>mHg</w:t>
      </w:r>
      <w:r>
        <w:rPr>
          <w:rFonts w:hint="eastAsia"/>
          <w:color w:val="auto"/>
          <w:sz w:val="24"/>
          <w:lang w:eastAsia="zh-CN"/>
        </w:rPr>
        <w:t>、</w:t>
      </w:r>
      <w:r>
        <w:rPr>
          <w:rFonts w:hint="eastAsia"/>
          <w:color w:val="auto"/>
          <w:sz w:val="24"/>
          <w:lang w:val="en-US" w:eastAsia="zh-CN"/>
        </w:rPr>
        <w:t>0.01</w:t>
      </w:r>
      <w:r>
        <w:rPr>
          <w:rFonts w:hint="eastAsia"/>
          <w:color w:val="auto"/>
          <w:sz w:val="24"/>
        </w:rPr>
        <w:t>m</w:t>
      </w:r>
      <w:r>
        <w:rPr>
          <w:color w:val="auto"/>
          <w:sz w:val="24"/>
        </w:rPr>
        <w:t>mHg</w:t>
      </w:r>
      <w:r>
        <w:rPr>
          <w:rFonts w:hint="eastAsia"/>
          <w:color w:val="auto"/>
          <w:sz w:val="24"/>
          <w:lang w:eastAsia="zh-CN"/>
        </w:rPr>
        <w:t>、</w:t>
      </w:r>
      <w:r>
        <w:rPr>
          <w:rFonts w:hint="eastAsia"/>
          <w:color w:val="auto"/>
          <w:sz w:val="24"/>
          <w:lang w:val="en-US" w:eastAsia="zh-CN"/>
        </w:rPr>
        <w:t>30</w:t>
      </w:r>
      <w:r>
        <w:rPr>
          <w:rFonts w:hint="eastAsia"/>
          <w:color w:val="auto"/>
          <w:sz w:val="24"/>
        </w:rPr>
        <w:t>m</w:t>
      </w:r>
      <w:r>
        <w:rPr>
          <w:color w:val="auto"/>
          <w:sz w:val="24"/>
        </w:rPr>
        <w:t>mHg</w:t>
      </w:r>
      <w:r>
        <w:rPr>
          <w:rFonts w:hint="eastAsia"/>
          <w:color w:val="auto"/>
          <w:sz w:val="24"/>
        </w:rPr>
        <w:t>；</w:t>
      </w:r>
    </w:p>
    <w:p w14:paraId="0D7924DC">
      <w:pPr>
        <w:spacing w:line="360" w:lineRule="auto"/>
        <w:ind w:left="0" w:leftChars="0" w:firstLine="1200" w:firstLineChars="500"/>
        <w:rPr>
          <w:rFonts w:hint="eastAsia" w:eastAsia="宋体"/>
          <w:color w:val="auto"/>
          <w:sz w:val="24"/>
          <w:lang w:eastAsia="zh-CN"/>
        </w:rPr>
      </w:pPr>
      <w:r>
        <w:rPr>
          <w:rFonts w:hint="eastAsia"/>
          <w:color w:val="auto"/>
          <w:sz w:val="24"/>
        </w:rPr>
        <w:t>F——蒸发面的面积，m</w:t>
      </w:r>
      <w:r>
        <w:rPr>
          <w:color w:val="auto"/>
          <w:sz w:val="24"/>
          <w:vertAlign w:val="superscript"/>
        </w:rPr>
        <w:t>2</w:t>
      </w:r>
      <w:r>
        <w:rPr>
          <w:rFonts w:hint="eastAsia"/>
          <w:color w:val="auto"/>
          <w:sz w:val="24"/>
        </w:rPr>
        <w:t>，</w:t>
      </w:r>
      <w:r>
        <w:rPr>
          <w:rFonts w:hint="eastAsia"/>
          <w:color w:val="auto"/>
          <w:sz w:val="24"/>
          <w:lang w:val="en-US" w:eastAsia="zh-CN"/>
        </w:rPr>
        <w:t>本项目盐酸、硫酸、氢氟酸采用密闭瓶装储存，</w:t>
      </w:r>
      <w:r>
        <w:rPr>
          <w:rFonts w:hint="eastAsia"/>
          <w:color w:val="auto"/>
          <w:sz w:val="24"/>
        </w:rPr>
        <w:t>蒸发面面积</w:t>
      </w:r>
      <w:r>
        <w:rPr>
          <w:rFonts w:hint="eastAsia"/>
          <w:color w:val="auto"/>
          <w:sz w:val="24"/>
          <w:lang w:val="en-US" w:eastAsia="zh-CN"/>
        </w:rPr>
        <w:t>取锥形瓶使用时开口面积，</w:t>
      </w:r>
      <w:r>
        <w:rPr>
          <w:color w:val="auto"/>
          <w:sz w:val="24"/>
        </w:rPr>
        <w:t>0.</w:t>
      </w:r>
      <w:r>
        <w:rPr>
          <w:rFonts w:hint="eastAsia"/>
          <w:color w:val="auto"/>
          <w:sz w:val="24"/>
          <w:lang w:val="en-US" w:eastAsia="zh-CN"/>
        </w:rPr>
        <w:t>0013</w:t>
      </w:r>
      <w:r>
        <w:rPr>
          <w:color w:val="auto"/>
          <w:sz w:val="24"/>
        </w:rPr>
        <w:t>m</w:t>
      </w:r>
      <w:r>
        <w:rPr>
          <w:color w:val="auto"/>
          <w:sz w:val="24"/>
          <w:vertAlign w:val="superscript"/>
        </w:rPr>
        <w:t>2</w:t>
      </w:r>
      <w:r>
        <w:rPr>
          <w:rFonts w:hint="eastAsia"/>
          <w:color w:val="auto"/>
          <w:sz w:val="24"/>
          <w:lang w:eastAsia="zh-CN"/>
        </w:rPr>
        <w:t>。</w:t>
      </w:r>
    </w:p>
    <w:p w14:paraId="092C245D">
      <w:pPr>
        <w:spacing w:line="360" w:lineRule="auto"/>
        <w:ind w:left="0" w:leftChars="0" w:firstLine="480" w:firstLineChars="200"/>
        <w:rPr>
          <w:rFonts w:hint="eastAsia"/>
          <w:color w:val="auto"/>
          <w:highlight w:val="none"/>
          <w:lang w:val="en-US" w:eastAsia="zh-CN"/>
        </w:rPr>
      </w:pPr>
      <w:r>
        <w:rPr>
          <w:rFonts w:hint="eastAsia"/>
          <w:color w:val="auto"/>
          <w:sz w:val="24"/>
        </w:rPr>
        <w:t>由上述公示计算可得，G</w:t>
      </w:r>
      <w:r>
        <w:rPr>
          <w:color w:val="auto"/>
          <w:sz w:val="24"/>
        </w:rPr>
        <w:t>z</w:t>
      </w:r>
      <w:r>
        <w:rPr>
          <w:rFonts w:hint="eastAsia"/>
          <w:color w:val="auto"/>
          <w:sz w:val="24"/>
          <w:vertAlign w:val="subscript"/>
          <w:lang w:val="en-US" w:eastAsia="zh-CN"/>
        </w:rPr>
        <w:t>氯化氢</w:t>
      </w:r>
      <w:r>
        <w:rPr>
          <w:rFonts w:hint="eastAsia"/>
          <w:color w:val="auto"/>
          <w:sz w:val="24"/>
        </w:rPr>
        <w:t>=</w:t>
      </w:r>
      <w:r>
        <w:rPr>
          <w:rFonts w:hint="eastAsia"/>
          <w:color w:val="auto"/>
          <w:sz w:val="24"/>
          <w:lang w:val="en-US" w:eastAsia="zh-CN"/>
        </w:rPr>
        <w:t>4.76E-06</w:t>
      </w:r>
      <w:r>
        <w:rPr>
          <w:rFonts w:hint="eastAsia"/>
          <w:color w:val="auto"/>
          <w:sz w:val="24"/>
        </w:rPr>
        <w:t>k</w:t>
      </w:r>
      <w:r>
        <w:rPr>
          <w:color w:val="auto"/>
          <w:sz w:val="24"/>
        </w:rPr>
        <w:t>g/h</w:t>
      </w:r>
      <w:r>
        <w:rPr>
          <w:rFonts w:hint="eastAsia"/>
          <w:color w:val="auto"/>
          <w:sz w:val="24"/>
          <w:lang w:eastAsia="zh-CN"/>
        </w:rPr>
        <w:t>、</w:t>
      </w:r>
      <w:r>
        <w:rPr>
          <w:rFonts w:hint="eastAsia"/>
          <w:color w:val="auto"/>
          <w:sz w:val="24"/>
        </w:rPr>
        <w:t>G</w:t>
      </w:r>
      <w:r>
        <w:rPr>
          <w:color w:val="auto"/>
          <w:sz w:val="24"/>
        </w:rPr>
        <w:t>z</w:t>
      </w:r>
      <w:r>
        <w:rPr>
          <w:rFonts w:hint="eastAsia"/>
          <w:color w:val="auto"/>
          <w:sz w:val="24"/>
          <w:vertAlign w:val="subscript"/>
          <w:lang w:val="en-US" w:eastAsia="zh-CN"/>
        </w:rPr>
        <w:t>硫酸雾</w:t>
      </w:r>
      <w:r>
        <w:rPr>
          <w:rFonts w:hint="eastAsia"/>
          <w:color w:val="auto"/>
          <w:sz w:val="24"/>
        </w:rPr>
        <w:t>=</w:t>
      </w:r>
      <w:r>
        <w:rPr>
          <w:rFonts w:hint="eastAsia"/>
          <w:color w:val="auto"/>
          <w:sz w:val="24"/>
          <w:lang w:val="en-US" w:eastAsia="zh-CN"/>
        </w:rPr>
        <w:t>7.80E-07</w:t>
      </w:r>
      <w:r>
        <w:rPr>
          <w:rFonts w:hint="eastAsia"/>
          <w:color w:val="auto"/>
          <w:sz w:val="24"/>
        </w:rPr>
        <w:t>k</w:t>
      </w:r>
      <w:r>
        <w:rPr>
          <w:color w:val="auto"/>
          <w:sz w:val="24"/>
        </w:rPr>
        <w:t>g/h</w:t>
      </w:r>
      <w:r>
        <w:rPr>
          <w:rFonts w:hint="eastAsia"/>
          <w:color w:val="auto"/>
          <w:sz w:val="24"/>
          <w:lang w:eastAsia="zh-CN"/>
        </w:rPr>
        <w:t>、</w:t>
      </w:r>
      <w:r>
        <w:rPr>
          <w:rFonts w:hint="eastAsia"/>
          <w:color w:val="auto"/>
          <w:sz w:val="24"/>
        </w:rPr>
        <w:t>G</w:t>
      </w:r>
      <w:r>
        <w:rPr>
          <w:color w:val="auto"/>
          <w:sz w:val="24"/>
        </w:rPr>
        <w:t>z</w:t>
      </w:r>
      <w:r>
        <w:rPr>
          <w:rFonts w:hint="eastAsia"/>
          <w:color w:val="auto"/>
          <w:sz w:val="24"/>
          <w:vertAlign w:val="subscript"/>
          <w:lang w:val="en-US" w:eastAsia="zh-CN"/>
        </w:rPr>
        <w:t>氟化物</w:t>
      </w:r>
      <w:r>
        <w:rPr>
          <w:rFonts w:hint="eastAsia"/>
          <w:color w:val="auto"/>
          <w:sz w:val="24"/>
        </w:rPr>
        <w:t>=</w:t>
      </w:r>
      <w:r>
        <w:rPr>
          <w:rFonts w:hint="eastAsia"/>
          <w:color w:val="auto"/>
          <w:sz w:val="24"/>
          <w:lang w:val="en-US" w:eastAsia="zh-CN"/>
        </w:rPr>
        <w:t>0.0005</w:t>
      </w:r>
      <w:r>
        <w:rPr>
          <w:rFonts w:hint="eastAsia"/>
          <w:color w:val="auto"/>
          <w:sz w:val="24"/>
        </w:rPr>
        <w:t>k</w:t>
      </w:r>
      <w:r>
        <w:rPr>
          <w:color w:val="auto"/>
          <w:sz w:val="24"/>
        </w:rPr>
        <w:t>g/h</w:t>
      </w:r>
      <w:r>
        <w:rPr>
          <w:rFonts w:hint="eastAsia"/>
          <w:color w:val="auto"/>
          <w:sz w:val="24"/>
        </w:rPr>
        <w:t>，</w:t>
      </w:r>
      <w:r>
        <w:rPr>
          <w:rFonts w:hint="eastAsia"/>
          <w:color w:val="auto"/>
          <w:sz w:val="24"/>
          <w:lang w:val="en-US" w:eastAsia="zh-CN"/>
        </w:rPr>
        <w:t>本项目涉及酸使用的实验时间为4h/d，则氯化氢</w:t>
      </w:r>
      <w:r>
        <w:rPr>
          <w:rFonts w:hint="eastAsia"/>
          <w:color w:val="auto"/>
          <w:highlight w:val="none"/>
          <w:lang w:val="en-US" w:eastAsia="zh-CN"/>
        </w:rPr>
        <w:t>产生量为5.71E-06t/a、</w:t>
      </w:r>
      <w:r>
        <w:rPr>
          <w:rFonts w:hint="eastAsia"/>
          <w:color w:val="auto"/>
          <w:sz w:val="24"/>
          <w:lang w:val="en-US" w:eastAsia="zh-CN"/>
        </w:rPr>
        <w:t>硫酸雾</w:t>
      </w:r>
      <w:r>
        <w:rPr>
          <w:rFonts w:hint="eastAsia"/>
          <w:color w:val="auto"/>
          <w:highlight w:val="none"/>
          <w:lang w:val="en-US" w:eastAsia="zh-CN"/>
        </w:rPr>
        <w:t>产生量为9.59E-07t/a、</w:t>
      </w:r>
      <w:r>
        <w:rPr>
          <w:rFonts w:hint="eastAsia"/>
          <w:color w:val="auto"/>
          <w:sz w:val="24"/>
          <w:lang w:val="en-US" w:eastAsia="zh-CN"/>
        </w:rPr>
        <w:t>氟化物</w:t>
      </w:r>
      <w:r>
        <w:rPr>
          <w:rFonts w:hint="eastAsia"/>
          <w:color w:val="auto"/>
          <w:highlight w:val="none"/>
          <w:lang w:val="en-US" w:eastAsia="zh-CN"/>
        </w:rPr>
        <w:t>产生量为0.0006t/a。</w:t>
      </w:r>
    </w:p>
    <w:p w14:paraId="7FB3BFB9">
      <w:pPr>
        <w:spacing w:line="360" w:lineRule="auto"/>
        <w:ind w:left="0" w:leftChars="0" w:firstLine="482" w:firstLineChars="20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（2）治理措施</w:t>
      </w:r>
    </w:p>
    <w:p w14:paraId="1A3A0117">
      <w:pPr>
        <w:spacing w:line="360" w:lineRule="auto"/>
        <w:ind w:left="0" w:leftChars="0" w:firstLine="480" w:firstLineChars="200"/>
        <w:rPr>
          <w:rFonts w:hint="default" w:ascii="Times New Roman" w:hAnsi="Times New Roman" w:eastAsia="宋体" w:cs="Times New Roman"/>
          <w:b/>
          <w:bCs/>
          <w:color w:val="auto"/>
          <w:highlight w:val="none"/>
          <w:lang w:val="en-US" w:eastAsia="zh-CN"/>
        </w:rPr>
      </w:pPr>
      <w:r>
        <w:rPr>
          <w:rFonts w:hint="eastAsia" w:cs="Courier New"/>
          <w:b w:val="0"/>
          <w:color w:val="auto"/>
          <w:highlight w:val="none"/>
          <w:lang w:val="en-US" w:eastAsia="zh-CN"/>
        </w:rPr>
        <w:t>质检室设2个试剂柜、2个1500mm×800mm通风橱、8个Φ300mm万向罩，质检室内涉及废气产生的操作均在通风橱内或万向罩下进行，并设1套</w:t>
      </w:r>
      <w:r>
        <w:rPr>
          <w:rFonts w:hint="default" w:ascii="Times New Roman" w:hAnsi="Times New Roman" w:eastAsia="宋体" w:cs="Courier New"/>
          <w:b w:val="0"/>
          <w:color w:val="auto"/>
          <w:highlight w:val="none"/>
          <w:lang w:val="en-US" w:eastAsia="zh-CN"/>
        </w:rPr>
        <w:t>碱喷淋装置</w:t>
      </w:r>
      <w:r>
        <w:rPr>
          <w:rFonts w:hint="eastAsia" w:ascii="Times New Roman" w:hAnsi="Times New Roman" w:eastAsia="宋体" w:cs="Courier New"/>
          <w:b w:val="0"/>
          <w:color w:val="auto"/>
          <w:highlight w:val="none"/>
          <w:lang w:val="en-US" w:eastAsia="zh-CN"/>
        </w:rPr>
        <w:t>（TA0</w:t>
      </w:r>
      <w:r>
        <w:rPr>
          <w:rFonts w:hint="eastAsia" w:eastAsia="宋体" w:cs="Courier New"/>
          <w:b w:val="0"/>
          <w:color w:val="auto"/>
          <w:highlight w:val="none"/>
          <w:lang w:val="en-US" w:eastAsia="zh-CN"/>
        </w:rPr>
        <w:t>02</w:t>
      </w:r>
      <w:r>
        <w:rPr>
          <w:rFonts w:hint="eastAsia" w:ascii="Times New Roman" w:hAnsi="Times New Roman" w:eastAsia="宋体" w:cs="Courier New"/>
          <w:b w:val="0"/>
          <w:color w:val="auto"/>
          <w:highlight w:val="none"/>
          <w:lang w:val="en-US" w:eastAsia="zh-CN"/>
        </w:rPr>
        <w:t>），</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废气经收集</w:t>
      </w:r>
      <w:r>
        <w:rPr>
          <w:rFonts w:hint="default" w:ascii="Times New Roman" w:hAnsi="Times New Roman" w:eastAsia="宋体" w:cs="Courier New"/>
          <w:b w:val="0"/>
          <w:color w:val="auto"/>
          <w:highlight w:val="none"/>
          <w:lang w:val="en-US" w:eastAsia="zh-CN"/>
        </w:rPr>
        <w:t>处理后通过</w:t>
      </w:r>
      <w:r>
        <w:rPr>
          <w:rFonts w:hint="eastAsia" w:ascii="Times New Roman" w:hAnsi="Times New Roman" w:eastAsia="宋体"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ascii="Times New Roman" w:hAnsi="Times New Roman" w:eastAsia="宋体" w:cs="Courier New"/>
          <w:b w:val="0"/>
          <w:color w:val="auto"/>
          <w:highlight w:val="none"/>
          <w:lang w:val="en-US" w:eastAsia="zh-CN"/>
        </w:rPr>
        <w:t>（DA00</w:t>
      </w:r>
      <w:r>
        <w:rPr>
          <w:rFonts w:hint="eastAsia" w:eastAsia="宋体" w:cs="Courier New"/>
          <w:b w:val="0"/>
          <w:color w:val="auto"/>
          <w:highlight w:val="none"/>
          <w:lang w:val="en-US" w:eastAsia="zh-CN"/>
        </w:rPr>
        <w:t>2</w:t>
      </w:r>
      <w:r>
        <w:rPr>
          <w:rFonts w:hint="eastAsia" w:ascii="Times New Roman" w:hAnsi="Times New Roman" w:eastAsia="宋体" w:cs="Courier New"/>
          <w:b w:val="0"/>
          <w:color w:val="auto"/>
          <w:highlight w:val="none"/>
          <w:lang w:val="en-US" w:eastAsia="zh-CN"/>
        </w:rPr>
        <w:t>）</w:t>
      </w:r>
      <w:r>
        <w:rPr>
          <w:rFonts w:hint="default" w:ascii="Times New Roman" w:hAnsi="Times New Roman" w:eastAsia="宋体" w:cs="Courier New"/>
          <w:b w:val="0"/>
          <w:color w:val="auto"/>
          <w:highlight w:val="none"/>
          <w:lang w:val="en-US" w:eastAsia="zh-CN"/>
        </w:rPr>
        <w:t>排放</w:t>
      </w:r>
      <w:r>
        <w:rPr>
          <w:rFonts w:hint="eastAsia" w:ascii="Times New Roman" w:hAnsi="Times New Roman" w:eastAsia="宋体" w:cs="Courier New"/>
          <w:b w:val="0"/>
          <w:color w:val="auto"/>
          <w:highlight w:val="none"/>
          <w:lang w:val="en-US" w:eastAsia="zh-CN"/>
        </w:rPr>
        <w:t>。</w:t>
      </w:r>
      <w:r>
        <w:rPr>
          <w:rFonts w:hint="eastAsia"/>
          <w:color w:val="auto"/>
          <w:highlight w:val="none"/>
          <w:lang w:val="en-US" w:eastAsia="zh-CN"/>
        </w:rPr>
        <w:t>该系统收集效率按80%计、处理效率按90%计，风量按8000m</w:t>
      </w:r>
      <w:r>
        <w:rPr>
          <w:rFonts w:hint="eastAsia"/>
          <w:color w:val="auto"/>
          <w:highlight w:val="none"/>
          <w:vertAlign w:val="superscript"/>
          <w:lang w:val="en-US" w:eastAsia="zh-CN"/>
        </w:rPr>
        <w:t>3</w:t>
      </w:r>
      <w:r>
        <w:rPr>
          <w:rFonts w:hint="eastAsia"/>
          <w:color w:val="auto"/>
          <w:highlight w:val="none"/>
          <w:lang w:val="en-US" w:eastAsia="zh-CN"/>
        </w:rPr>
        <w:t>/h计。</w:t>
      </w:r>
    </w:p>
    <w:p w14:paraId="45B9318A">
      <w:pPr>
        <w:bidi w:val="0"/>
        <w:ind w:left="0" w:leftChars="0" w:firstLine="482" w:firstLineChars="200"/>
        <w:rPr>
          <w:rFonts w:hint="eastAsia"/>
          <w:b w:val="0"/>
          <w:bCs w:val="0"/>
          <w:color w:val="auto"/>
          <w:lang w:eastAsia="zh-CN"/>
        </w:rPr>
      </w:pPr>
      <w:r>
        <w:rPr>
          <w:rFonts w:hint="eastAsia"/>
          <w:b/>
          <w:bCs/>
          <w:color w:val="auto"/>
          <w:lang w:val="en-US" w:eastAsia="zh-CN"/>
        </w:rPr>
        <w:t>①收集效率：</w:t>
      </w:r>
      <w:r>
        <w:rPr>
          <w:rFonts w:hint="eastAsia"/>
          <w:b w:val="0"/>
          <w:bCs w:val="0"/>
          <w:color w:val="auto"/>
          <w:lang w:val="en-US" w:eastAsia="zh-CN"/>
        </w:rPr>
        <w:t>根据关于印发《主要污染物总量减排核算技术指南（2022年修订）》的通知（环办综合函〔2022〕350号）中表2-3VOCs废气收集率和治理设施去除率通用系数，本项目质检废气分别采用试剂柜密闭管道收集，收集效率可达95%；通风橱负压收集，收集效率可达90%；万向罩正压收集，收集效率可达80%。本次按最不利计，取收集效率80%。</w:t>
      </w:r>
    </w:p>
    <w:p w14:paraId="123EC08C">
      <w:pPr>
        <w:bidi w:val="0"/>
        <w:ind w:left="0" w:leftChars="0" w:firstLine="482" w:firstLineChars="200"/>
        <w:rPr>
          <w:rFonts w:hint="default"/>
          <w:color w:val="auto"/>
          <w:lang w:val="en-US" w:eastAsia="zh-CN"/>
        </w:rPr>
      </w:pPr>
      <w:r>
        <w:rPr>
          <w:rFonts w:hint="eastAsia"/>
          <w:b/>
          <w:bCs/>
          <w:color w:val="auto"/>
          <w:lang w:val="en-US" w:eastAsia="zh-CN"/>
        </w:rPr>
        <w:t>②处理效率：</w:t>
      </w:r>
      <w:r>
        <w:rPr>
          <w:rFonts w:hint="eastAsia"/>
          <w:color w:val="auto"/>
          <w:lang w:val="en-US" w:eastAsia="zh-CN"/>
        </w:rPr>
        <w:t>参照《污染源源强核算技术指南 电镀》（HJ984-2018）中表F.1电镀废气污染治理技术及效果，采用喷淋塔中和法去除酸碱废气中硫酸雾、氮氧化物、氯化物、氟化物，去除效率参考值为85%~95%，本次取酸雾处理效率为90%。</w:t>
      </w:r>
    </w:p>
    <w:p w14:paraId="72C40EB0">
      <w:pPr>
        <w:bidi w:val="0"/>
        <w:rPr>
          <w:rFonts w:hint="default"/>
          <w:b/>
          <w:bCs/>
          <w:color w:val="auto"/>
          <w:lang w:val="en-US" w:eastAsia="zh-CN"/>
        </w:rPr>
      </w:pPr>
      <w:r>
        <w:rPr>
          <w:rFonts w:hint="default"/>
          <w:b/>
          <w:bCs/>
          <w:color w:val="auto"/>
          <w:lang w:val="en-US" w:eastAsia="zh-CN"/>
        </w:rPr>
        <w:t>③风量</w:t>
      </w:r>
    </w:p>
    <w:p w14:paraId="206E792C">
      <w:pPr>
        <w:spacing w:line="360" w:lineRule="auto"/>
        <w:ind w:left="0" w:leftChars="0" w:firstLine="480" w:firstLineChars="200"/>
        <w:rPr>
          <w:rFonts w:hint="default"/>
          <w:b w:val="0"/>
          <w:bCs/>
          <w:color w:val="auto"/>
          <w:sz w:val="24"/>
          <w:lang w:val="en-US" w:eastAsia="zh-CN"/>
        </w:rPr>
      </w:pPr>
      <w:r>
        <w:rPr>
          <w:rFonts w:hint="eastAsia"/>
          <w:color w:val="auto"/>
          <w:lang w:val="en-US" w:eastAsia="zh-CN"/>
        </w:rPr>
        <w:t>A.通风橱：</w:t>
      </w:r>
      <w:r>
        <w:rPr>
          <w:rFonts w:hint="default"/>
          <w:b w:val="0"/>
          <w:bCs/>
          <w:color w:val="auto"/>
          <w:sz w:val="24"/>
          <w:lang w:val="en-US" w:eastAsia="zh-CN"/>
        </w:rPr>
        <w:t>根据《废气处理工程技术手册（新废气卷）》，</w:t>
      </w:r>
      <w:r>
        <w:rPr>
          <w:rFonts w:hint="eastAsia"/>
          <w:b w:val="0"/>
          <w:bCs/>
          <w:color w:val="auto"/>
          <w:sz w:val="24"/>
          <w:lang w:val="en-US" w:eastAsia="zh-CN"/>
        </w:rPr>
        <w:t>通风橱</w:t>
      </w:r>
      <w:r>
        <w:rPr>
          <w:rFonts w:hint="default"/>
          <w:b w:val="0"/>
          <w:bCs/>
          <w:color w:val="auto"/>
          <w:sz w:val="24"/>
          <w:lang w:val="en-US" w:eastAsia="zh-CN"/>
        </w:rPr>
        <w:t>风量按下述公式进行计算：</w:t>
      </w:r>
    </w:p>
    <w:p w14:paraId="3292592E">
      <w:pPr>
        <w:widowControl w:val="0"/>
        <w:numPr>
          <w:ilvl w:val="0"/>
          <w:numId w:val="0"/>
        </w:numPr>
        <w:spacing w:line="360" w:lineRule="auto"/>
        <w:jc w:val="center"/>
        <w:rPr>
          <w:rFonts w:hint="default"/>
          <w:b w:val="0"/>
          <w:bCs/>
          <w:color w:val="auto"/>
          <w:sz w:val="24"/>
          <w:lang w:val="en-US" w:eastAsia="zh-CN"/>
        </w:rPr>
      </w:pPr>
      <w:r>
        <w:rPr>
          <w:color w:val="auto"/>
        </w:rPr>
        <w:drawing>
          <wp:inline distT="0" distB="0" distL="114300" distR="114300">
            <wp:extent cx="988695" cy="265430"/>
            <wp:effectExtent l="0" t="0" r="1905" b="127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pic:cNvPicPr>
                  </pic:nvPicPr>
                  <pic:blipFill>
                    <a:blip r:embed="rId41"/>
                    <a:stretch>
                      <a:fillRect/>
                    </a:stretch>
                  </pic:blipFill>
                  <pic:spPr>
                    <a:xfrm>
                      <a:off x="0" y="0"/>
                      <a:ext cx="988695" cy="265430"/>
                    </a:xfrm>
                    <a:prstGeom prst="rect">
                      <a:avLst/>
                    </a:prstGeom>
                    <a:noFill/>
                    <a:ln>
                      <a:noFill/>
                    </a:ln>
                  </pic:spPr>
                </pic:pic>
              </a:graphicData>
            </a:graphic>
          </wp:inline>
        </w:drawing>
      </w:r>
    </w:p>
    <w:p w14:paraId="7C4FE85B">
      <w:pPr>
        <w:widowControl w:val="0"/>
        <w:numPr>
          <w:ilvl w:val="0"/>
          <w:numId w:val="0"/>
        </w:numPr>
        <w:spacing w:line="360" w:lineRule="auto"/>
        <w:ind w:firstLine="480" w:firstLineChars="200"/>
        <w:jc w:val="both"/>
        <w:rPr>
          <w:rFonts w:hint="default"/>
          <w:b w:val="0"/>
          <w:bCs/>
          <w:color w:val="auto"/>
          <w:sz w:val="24"/>
          <w:lang w:val="en-US" w:eastAsia="zh-CN"/>
        </w:rPr>
      </w:pPr>
      <w:r>
        <w:rPr>
          <w:rFonts w:hint="default"/>
          <w:b w:val="0"/>
          <w:bCs/>
          <w:color w:val="auto"/>
          <w:sz w:val="24"/>
          <w:lang w:val="en-US" w:eastAsia="zh-CN"/>
        </w:rPr>
        <w:t>式中： L—风量，m</w:t>
      </w:r>
      <w:r>
        <w:rPr>
          <w:rFonts w:hint="default"/>
          <w:b w:val="0"/>
          <w:bCs/>
          <w:color w:val="auto"/>
          <w:sz w:val="24"/>
          <w:vertAlign w:val="superscript"/>
          <w:lang w:val="en-US" w:eastAsia="zh-CN"/>
        </w:rPr>
        <w:t>3</w:t>
      </w:r>
      <w:r>
        <w:rPr>
          <w:rFonts w:hint="default"/>
          <w:b w:val="0"/>
          <w:bCs/>
          <w:color w:val="auto"/>
          <w:sz w:val="24"/>
          <w:lang w:val="en-US" w:eastAsia="zh-CN"/>
        </w:rPr>
        <w:t xml:space="preserve">/h； </w:t>
      </w:r>
    </w:p>
    <w:p w14:paraId="42AFA4C1">
      <w:pPr>
        <w:widowControl w:val="0"/>
        <w:numPr>
          <w:ilvl w:val="0"/>
          <w:numId w:val="0"/>
        </w:numPr>
        <w:spacing w:line="360" w:lineRule="auto"/>
        <w:ind w:firstLine="1200" w:firstLineChars="500"/>
        <w:jc w:val="both"/>
        <w:rPr>
          <w:rFonts w:hint="default"/>
          <w:b w:val="0"/>
          <w:bCs/>
          <w:color w:val="auto"/>
          <w:sz w:val="24"/>
          <w:lang w:val="en-US" w:eastAsia="zh-CN"/>
        </w:rPr>
      </w:pPr>
      <w:r>
        <w:rPr>
          <w:rFonts w:hint="default"/>
          <w:b w:val="0"/>
          <w:bCs/>
          <w:color w:val="auto"/>
          <w:sz w:val="24"/>
          <w:lang w:val="en-US" w:eastAsia="zh-CN"/>
        </w:rPr>
        <w:t>Vx— 操作口处空气吸入速度（控制风速），m/s；</w:t>
      </w:r>
    </w:p>
    <w:p w14:paraId="7355F6DA">
      <w:pPr>
        <w:widowControl w:val="0"/>
        <w:numPr>
          <w:ilvl w:val="0"/>
          <w:numId w:val="0"/>
        </w:numPr>
        <w:spacing w:line="360" w:lineRule="auto"/>
        <w:ind w:firstLine="1200" w:firstLineChars="500"/>
        <w:jc w:val="both"/>
        <w:rPr>
          <w:rFonts w:hint="default"/>
          <w:b w:val="0"/>
          <w:bCs/>
          <w:color w:val="auto"/>
          <w:sz w:val="24"/>
          <w:lang w:val="en-US" w:eastAsia="zh-CN"/>
        </w:rPr>
      </w:pPr>
      <w:r>
        <w:rPr>
          <w:rFonts w:hint="default"/>
          <w:b w:val="0"/>
          <w:bCs/>
          <w:color w:val="auto"/>
          <w:sz w:val="24"/>
          <w:lang w:val="en-US" w:eastAsia="zh-CN"/>
        </w:rPr>
        <w:t xml:space="preserve"> F——操作口实际开启面积</w:t>
      </w:r>
      <w:r>
        <w:rPr>
          <w:rFonts w:hint="eastAsia"/>
          <w:b w:val="0"/>
          <w:bCs/>
          <w:color w:val="auto"/>
          <w:sz w:val="24"/>
          <w:lang w:val="en-US" w:eastAsia="zh-CN"/>
        </w:rPr>
        <w:t>，</w:t>
      </w:r>
      <w:r>
        <w:rPr>
          <w:rFonts w:hint="default"/>
          <w:b w:val="0"/>
          <w:bCs/>
          <w:color w:val="auto"/>
          <w:sz w:val="24"/>
          <w:lang w:val="en-US" w:eastAsia="zh-CN"/>
        </w:rPr>
        <w:t>m</w:t>
      </w:r>
      <w:r>
        <w:rPr>
          <w:rFonts w:hint="default"/>
          <w:b w:val="0"/>
          <w:bCs/>
          <w:color w:val="auto"/>
          <w:sz w:val="24"/>
          <w:vertAlign w:val="superscript"/>
          <w:lang w:val="en-US" w:eastAsia="zh-CN"/>
        </w:rPr>
        <w:t>2</w:t>
      </w:r>
      <w:r>
        <w:rPr>
          <w:rFonts w:hint="default"/>
          <w:b w:val="0"/>
          <w:bCs/>
          <w:color w:val="auto"/>
          <w:sz w:val="24"/>
          <w:lang w:val="en-US" w:eastAsia="zh-CN"/>
        </w:rPr>
        <w:t>；</w:t>
      </w:r>
    </w:p>
    <w:p w14:paraId="52A4F0F4">
      <w:pPr>
        <w:widowControl w:val="0"/>
        <w:numPr>
          <w:ilvl w:val="0"/>
          <w:numId w:val="0"/>
        </w:numPr>
        <w:spacing w:line="360" w:lineRule="auto"/>
        <w:ind w:firstLine="1200" w:firstLineChars="500"/>
        <w:jc w:val="both"/>
        <w:rPr>
          <w:rFonts w:hint="default"/>
          <w:b w:val="0"/>
          <w:bCs/>
          <w:color w:val="auto"/>
          <w:sz w:val="24"/>
          <w:lang w:val="en-US" w:eastAsia="zh-CN"/>
        </w:rPr>
      </w:pPr>
      <w:r>
        <w:rPr>
          <w:rFonts w:hint="default"/>
          <w:b w:val="0"/>
          <w:bCs/>
          <w:color w:val="auto"/>
          <w:sz w:val="24"/>
          <w:lang w:val="en-US" w:eastAsia="zh-CN"/>
        </w:rPr>
        <w:t xml:space="preserve"> β——考虑到工作面（孔）上速度分布不均匀性的安全系数，1.05~1.5。</w:t>
      </w:r>
    </w:p>
    <w:p w14:paraId="381D92F8">
      <w:pPr>
        <w:bidi w:val="0"/>
        <w:ind w:left="0" w:leftChars="0" w:firstLine="480" w:firstLineChars="200"/>
        <w:rPr>
          <w:rFonts w:hint="default"/>
          <w:color w:val="auto"/>
          <w:lang w:val="en-US" w:eastAsia="zh-CN"/>
        </w:rPr>
      </w:pPr>
      <w:r>
        <w:rPr>
          <w:rFonts w:hint="default"/>
          <w:b w:val="0"/>
          <w:bCs/>
          <w:color w:val="auto"/>
          <w:sz w:val="24"/>
          <w:lang w:val="en-US" w:eastAsia="zh-CN"/>
        </w:rPr>
        <w:t>在较稳定状态下，以轻微的速度散发到空气中的吸入速度</w:t>
      </w:r>
      <w:r>
        <w:rPr>
          <w:rFonts w:hint="eastAsia"/>
          <w:b w:val="0"/>
          <w:bCs/>
          <w:color w:val="auto"/>
          <w:sz w:val="24"/>
          <w:lang w:val="en-US" w:eastAsia="zh-CN"/>
        </w:rPr>
        <w:t>V</w:t>
      </w:r>
      <w:r>
        <w:rPr>
          <w:rFonts w:hint="default"/>
          <w:b w:val="0"/>
          <w:bCs/>
          <w:color w:val="auto"/>
          <w:sz w:val="24"/>
          <w:lang w:val="en-US" w:eastAsia="zh-CN"/>
        </w:rPr>
        <w:t>为0.25～0.5m/s，</w:t>
      </w:r>
      <w:r>
        <w:rPr>
          <w:rFonts w:hint="eastAsia"/>
          <w:b w:val="0"/>
          <w:bCs/>
          <w:color w:val="auto"/>
          <w:sz w:val="24"/>
          <w:lang w:val="en-US" w:eastAsia="zh-CN"/>
        </w:rPr>
        <w:t>本次取</w:t>
      </w:r>
      <w:r>
        <w:rPr>
          <w:rFonts w:hint="default"/>
          <w:b w:val="0"/>
          <w:bCs/>
          <w:color w:val="auto"/>
          <w:sz w:val="24"/>
          <w:lang w:val="en-US" w:eastAsia="zh-CN"/>
        </w:rPr>
        <w:t>0.</w:t>
      </w:r>
      <w:r>
        <w:rPr>
          <w:rFonts w:hint="eastAsia"/>
          <w:b w:val="0"/>
          <w:bCs/>
          <w:color w:val="auto"/>
          <w:sz w:val="24"/>
          <w:lang w:val="en-US" w:eastAsia="zh-CN"/>
        </w:rPr>
        <w:t>35</w:t>
      </w:r>
      <w:r>
        <w:rPr>
          <w:rFonts w:hint="default"/>
          <w:b w:val="0"/>
          <w:bCs/>
          <w:color w:val="auto"/>
          <w:sz w:val="24"/>
          <w:lang w:val="en-US" w:eastAsia="zh-CN"/>
        </w:rPr>
        <w:t>m/s；根据</w:t>
      </w:r>
      <w:r>
        <w:rPr>
          <w:rFonts w:hint="eastAsia"/>
          <w:b w:val="0"/>
          <w:bCs/>
          <w:color w:val="auto"/>
          <w:sz w:val="24"/>
          <w:lang w:val="en-US" w:eastAsia="zh-CN"/>
        </w:rPr>
        <w:t>建设单位</w:t>
      </w:r>
      <w:r>
        <w:rPr>
          <w:rFonts w:hint="default"/>
          <w:b w:val="0"/>
          <w:bCs/>
          <w:color w:val="auto"/>
          <w:sz w:val="24"/>
          <w:lang w:val="en-US" w:eastAsia="zh-CN"/>
        </w:rPr>
        <w:t>提供</w:t>
      </w:r>
      <w:r>
        <w:rPr>
          <w:rFonts w:hint="eastAsia"/>
          <w:b w:val="0"/>
          <w:bCs/>
          <w:color w:val="auto"/>
          <w:sz w:val="24"/>
          <w:lang w:val="en-US" w:eastAsia="zh-CN"/>
        </w:rPr>
        <w:t>的</w:t>
      </w:r>
      <w:r>
        <w:rPr>
          <w:rFonts w:hint="default"/>
          <w:b w:val="0"/>
          <w:bCs/>
          <w:color w:val="auto"/>
          <w:sz w:val="24"/>
          <w:lang w:val="en-US" w:eastAsia="zh-CN"/>
        </w:rPr>
        <w:t>资料，本项目</w:t>
      </w:r>
      <w:r>
        <w:rPr>
          <w:rFonts w:hint="eastAsia"/>
          <w:b w:val="0"/>
          <w:bCs/>
          <w:color w:val="auto"/>
          <w:sz w:val="24"/>
          <w:lang w:val="en-US" w:eastAsia="zh-CN"/>
        </w:rPr>
        <w:t>单个</w:t>
      </w:r>
      <w:r>
        <w:rPr>
          <w:rFonts w:hint="default"/>
          <w:b w:val="0"/>
          <w:bCs/>
          <w:color w:val="auto"/>
          <w:sz w:val="24"/>
          <w:lang w:val="en-US" w:eastAsia="zh-CN"/>
        </w:rPr>
        <w:t>通风橱</w:t>
      </w:r>
      <w:r>
        <w:rPr>
          <w:rFonts w:hint="eastAsia"/>
          <w:b w:val="0"/>
          <w:bCs/>
          <w:color w:val="auto"/>
          <w:sz w:val="24"/>
          <w:lang w:val="en-US" w:eastAsia="zh-CN"/>
        </w:rPr>
        <w:t>总开启</w:t>
      </w:r>
      <w:r>
        <w:rPr>
          <w:rFonts w:hint="default"/>
          <w:b w:val="0"/>
          <w:bCs/>
          <w:color w:val="auto"/>
          <w:sz w:val="24"/>
          <w:lang w:val="en-US" w:eastAsia="zh-CN"/>
        </w:rPr>
        <w:t>面积为</w:t>
      </w:r>
      <w:r>
        <w:rPr>
          <w:rFonts w:hint="eastAsia"/>
          <w:b w:val="0"/>
          <w:bCs/>
          <w:color w:val="auto"/>
          <w:sz w:val="24"/>
          <w:lang w:val="en-US" w:eastAsia="zh-CN"/>
        </w:rPr>
        <w:t>1.2m</w:t>
      </w:r>
      <w:r>
        <w:rPr>
          <w:rFonts w:hint="eastAsia"/>
          <w:b w:val="0"/>
          <w:bCs/>
          <w:color w:val="auto"/>
          <w:sz w:val="24"/>
          <w:vertAlign w:val="superscript"/>
          <w:lang w:val="en-US" w:eastAsia="zh-CN"/>
        </w:rPr>
        <w:t>2</w:t>
      </w:r>
      <w:r>
        <w:rPr>
          <w:rFonts w:hint="default"/>
          <w:b w:val="0"/>
          <w:bCs/>
          <w:color w:val="auto"/>
          <w:sz w:val="24"/>
          <w:lang w:val="en-US" w:eastAsia="zh-CN"/>
        </w:rPr>
        <w:t>；安全系数取1</w:t>
      </w:r>
      <w:r>
        <w:rPr>
          <w:rFonts w:hint="eastAsia"/>
          <w:b w:val="0"/>
          <w:bCs/>
          <w:color w:val="auto"/>
          <w:sz w:val="24"/>
          <w:lang w:val="en-US" w:eastAsia="zh-CN"/>
        </w:rPr>
        <w:t>.25</w:t>
      </w:r>
      <w:r>
        <w:rPr>
          <w:rFonts w:hint="default"/>
          <w:b w:val="0"/>
          <w:bCs/>
          <w:color w:val="auto"/>
          <w:sz w:val="24"/>
          <w:lang w:val="en-US" w:eastAsia="zh-CN"/>
        </w:rPr>
        <w:t>。</w:t>
      </w:r>
      <w:r>
        <w:rPr>
          <w:rFonts w:hint="eastAsia"/>
          <w:b w:val="0"/>
          <w:bCs/>
          <w:color w:val="auto"/>
          <w:sz w:val="24"/>
          <w:lang w:val="en-US" w:eastAsia="zh-CN"/>
        </w:rPr>
        <w:t>经计算，单个通风橱</w:t>
      </w:r>
      <w:r>
        <w:rPr>
          <w:rFonts w:hint="default"/>
          <w:b w:val="0"/>
          <w:bCs/>
          <w:color w:val="auto"/>
          <w:sz w:val="24"/>
          <w:lang w:val="en-US" w:eastAsia="zh-CN"/>
        </w:rPr>
        <w:t>排风量为</w:t>
      </w:r>
      <w:r>
        <w:rPr>
          <w:rFonts w:hint="eastAsia"/>
          <w:b w:val="0"/>
          <w:bCs/>
          <w:color w:val="auto"/>
          <w:sz w:val="24"/>
          <w:lang w:val="en-US" w:eastAsia="zh-CN"/>
        </w:rPr>
        <w:t>1890</w:t>
      </w:r>
      <w:r>
        <w:rPr>
          <w:rFonts w:hint="default"/>
          <w:b w:val="0"/>
          <w:bCs/>
          <w:color w:val="auto"/>
          <w:sz w:val="24"/>
          <w:lang w:val="en-US" w:eastAsia="zh-CN"/>
        </w:rPr>
        <w:t>m³/h</w:t>
      </w:r>
      <w:r>
        <w:rPr>
          <w:rFonts w:hint="eastAsia"/>
          <w:b w:val="0"/>
          <w:bCs/>
          <w:color w:val="auto"/>
          <w:sz w:val="24"/>
          <w:lang w:val="en-US" w:eastAsia="zh-CN"/>
        </w:rPr>
        <w:t>，本项目共设</w:t>
      </w:r>
      <w:r>
        <w:rPr>
          <w:rFonts w:hint="eastAsia"/>
          <w:color w:val="auto"/>
          <w:highlight w:val="none"/>
          <w:lang w:val="en-US" w:eastAsia="zh-CN"/>
        </w:rPr>
        <w:t>2个通风橱，总</w:t>
      </w:r>
      <w:r>
        <w:rPr>
          <w:rFonts w:hint="default"/>
          <w:b w:val="0"/>
          <w:bCs/>
          <w:color w:val="auto"/>
          <w:sz w:val="24"/>
          <w:lang w:val="en-US" w:eastAsia="zh-CN"/>
        </w:rPr>
        <w:t>排风量为</w:t>
      </w:r>
      <w:r>
        <w:rPr>
          <w:rFonts w:hint="eastAsia"/>
          <w:b w:val="0"/>
          <w:bCs/>
          <w:color w:val="auto"/>
          <w:sz w:val="24"/>
          <w:lang w:val="en-US" w:eastAsia="zh-CN"/>
        </w:rPr>
        <w:t>3780</w:t>
      </w:r>
      <w:r>
        <w:rPr>
          <w:rFonts w:hint="default"/>
          <w:b w:val="0"/>
          <w:bCs/>
          <w:color w:val="auto"/>
          <w:sz w:val="24"/>
          <w:lang w:val="en-US" w:eastAsia="zh-CN"/>
        </w:rPr>
        <w:t>m³/h。</w:t>
      </w:r>
    </w:p>
    <w:p w14:paraId="0C2AEEF3">
      <w:pPr>
        <w:bidi w:val="0"/>
        <w:rPr>
          <w:color w:val="auto"/>
        </w:rPr>
      </w:pPr>
      <w:r>
        <w:rPr>
          <w:rFonts w:hint="eastAsia"/>
          <w:color w:val="auto"/>
          <w:lang w:val="en-US" w:eastAsia="zh-CN"/>
        </w:rPr>
        <w:t>B.万向罩：根据</w:t>
      </w:r>
      <w:r>
        <w:rPr>
          <w:rFonts w:hint="default"/>
          <w:color w:val="auto"/>
          <w:lang w:val="en-US" w:eastAsia="zh-CN"/>
        </w:rPr>
        <w:t>《</w:t>
      </w:r>
      <w:r>
        <w:rPr>
          <w:rFonts w:hint="eastAsia"/>
          <w:color w:val="auto"/>
          <w:lang w:val="en-US" w:eastAsia="zh-CN"/>
        </w:rPr>
        <w:t>环境工程设计手册</w:t>
      </w:r>
      <w:r>
        <w:rPr>
          <w:rFonts w:hint="default"/>
          <w:color w:val="auto"/>
          <w:lang w:val="en-US" w:eastAsia="zh-CN"/>
        </w:rPr>
        <w:t>》</w:t>
      </w:r>
      <w:r>
        <w:rPr>
          <w:color w:val="auto"/>
        </w:rPr>
        <w:t>（2002年版）</w:t>
      </w:r>
      <w:r>
        <w:rPr>
          <w:rFonts w:hint="default"/>
          <w:color w:val="auto"/>
          <w:lang w:val="en-US" w:eastAsia="zh-CN"/>
        </w:rPr>
        <w:t>，</w:t>
      </w:r>
      <w:r>
        <w:rPr>
          <w:rFonts w:hint="eastAsia"/>
          <w:color w:val="auto"/>
        </w:rPr>
        <w:t>排风罩</w:t>
      </w:r>
      <w:r>
        <w:rPr>
          <w:color w:val="auto"/>
        </w:rPr>
        <w:t>设置在污染源上方的排风量计算公式为：</w:t>
      </w:r>
    </w:p>
    <w:p w14:paraId="57B7BD33">
      <w:pPr>
        <w:spacing w:line="360" w:lineRule="auto"/>
        <w:ind w:left="0" w:leftChars="0" w:firstLine="0" w:firstLineChars="0"/>
        <w:jc w:val="center"/>
        <w:rPr>
          <w:bCs/>
          <w:color w:val="auto"/>
          <w:sz w:val="24"/>
        </w:rPr>
      </w:pPr>
      <w:r>
        <w:rPr>
          <w:bCs/>
          <w:color w:val="auto"/>
          <w:sz w:val="24"/>
        </w:rPr>
        <w:t>L=k*P*H*Vr</w:t>
      </w:r>
    </w:p>
    <w:p w14:paraId="09671028">
      <w:pPr>
        <w:spacing w:line="360" w:lineRule="auto"/>
        <w:rPr>
          <w:bCs/>
          <w:color w:val="auto"/>
          <w:sz w:val="24"/>
        </w:rPr>
      </w:pPr>
      <w:r>
        <w:rPr>
          <w:bCs/>
          <w:color w:val="auto"/>
          <w:sz w:val="24"/>
        </w:rPr>
        <w:t>式中：L——</w:t>
      </w:r>
      <w:r>
        <w:rPr>
          <w:rFonts w:hint="eastAsia"/>
          <w:bCs/>
          <w:color w:val="auto"/>
          <w:sz w:val="24"/>
        </w:rPr>
        <w:t>排</w:t>
      </w:r>
      <w:r>
        <w:rPr>
          <w:bCs/>
          <w:color w:val="auto"/>
          <w:sz w:val="24"/>
        </w:rPr>
        <w:t>风量，m</w:t>
      </w:r>
      <w:r>
        <w:rPr>
          <w:bCs/>
          <w:color w:val="auto"/>
          <w:sz w:val="24"/>
          <w:vertAlign w:val="superscript"/>
        </w:rPr>
        <w:t>3</w:t>
      </w:r>
      <w:r>
        <w:rPr>
          <w:bCs/>
          <w:color w:val="auto"/>
          <w:sz w:val="24"/>
        </w:rPr>
        <w:t>/s；</w:t>
      </w:r>
    </w:p>
    <w:p w14:paraId="0AD606A5">
      <w:pPr>
        <w:spacing w:line="360" w:lineRule="auto"/>
        <w:ind w:firstLine="480" w:firstLineChars="200"/>
        <w:rPr>
          <w:bCs/>
          <w:color w:val="auto"/>
          <w:sz w:val="24"/>
        </w:rPr>
      </w:pPr>
      <w:r>
        <w:rPr>
          <w:bCs/>
          <w:color w:val="auto"/>
          <w:sz w:val="24"/>
        </w:rPr>
        <w:t xml:space="preserve">  k——</w:t>
      </w:r>
      <w:r>
        <w:rPr>
          <w:rFonts w:hint="eastAsia"/>
          <w:bCs/>
          <w:color w:val="auto"/>
          <w:sz w:val="24"/>
        </w:rPr>
        <w:t>安全系数</w:t>
      </w:r>
      <w:r>
        <w:rPr>
          <w:bCs/>
          <w:color w:val="auto"/>
          <w:sz w:val="24"/>
        </w:rPr>
        <w:t>，</w:t>
      </w:r>
      <w:r>
        <w:rPr>
          <w:rFonts w:hint="eastAsia"/>
          <w:bCs/>
          <w:color w:val="auto"/>
          <w:sz w:val="24"/>
          <w:lang w:val="en-US" w:eastAsia="zh-CN"/>
        </w:rPr>
        <w:t>一般</w:t>
      </w:r>
      <w:r>
        <w:rPr>
          <w:rFonts w:hint="eastAsia"/>
          <w:b w:val="0"/>
          <w:bCs/>
          <w:color w:val="auto"/>
          <w:sz w:val="24"/>
          <w:lang w:val="en-US" w:eastAsia="zh-CN"/>
        </w:rPr>
        <w:t>取1.4</w:t>
      </w:r>
      <w:r>
        <w:rPr>
          <w:bCs/>
          <w:color w:val="auto"/>
          <w:sz w:val="24"/>
        </w:rPr>
        <w:t>；</w:t>
      </w:r>
    </w:p>
    <w:p w14:paraId="4FCEC0BD">
      <w:pPr>
        <w:spacing w:line="360" w:lineRule="auto"/>
        <w:ind w:firstLine="480" w:firstLineChars="200"/>
        <w:rPr>
          <w:bCs/>
          <w:color w:val="auto"/>
          <w:sz w:val="24"/>
        </w:rPr>
      </w:pPr>
      <w:r>
        <w:rPr>
          <w:bCs/>
          <w:color w:val="auto"/>
          <w:sz w:val="24"/>
        </w:rPr>
        <w:t xml:space="preserve">  P——</w:t>
      </w:r>
      <w:r>
        <w:rPr>
          <w:rFonts w:hint="eastAsia"/>
          <w:bCs/>
          <w:color w:val="auto"/>
          <w:sz w:val="24"/>
        </w:rPr>
        <w:t>排风罩口</w:t>
      </w:r>
      <w:r>
        <w:rPr>
          <w:bCs/>
          <w:color w:val="auto"/>
          <w:sz w:val="24"/>
        </w:rPr>
        <w:t>敞开面的周长，m；</w:t>
      </w:r>
    </w:p>
    <w:p w14:paraId="0087B935">
      <w:pPr>
        <w:spacing w:line="360" w:lineRule="auto"/>
        <w:ind w:firstLine="480" w:firstLineChars="200"/>
        <w:rPr>
          <w:bCs/>
          <w:color w:val="auto"/>
          <w:sz w:val="24"/>
        </w:rPr>
      </w:pPr>
      <w:r>
        <w:rPr>
          <w:rFonts w:hint="eastAsia"/>
          <w:bCs/>
          <w:color w:val="auto"/>
          <w:sz w:val="24"/>
        </w:rPr>
        <w:t xml:space="preserve">  H</w:t>
      </w:r>
      <w:r>
        <w:rPr>
          <w:bCs/>
          <w:color w:val="auto"/>
          <w:sz w:val="24"/>
        </w:rPr>
        <w:t>——</w:t>
      </w:r>
      <w:r>
        <w:rPr>
          <w:rFonts w:hint="eastAsia"/>
          <w:bCs/>
          <w:color w:val="auto"/>
          <w:sz w:val="24"/>
        </w:rPr>
        <w:t>罩口至</w:t>
      </w:r>
      <w:r>
        <w:rPr>
          <w:bCs/>
          <w:color w:val="auto"/>
          <w:sz w:val="24"/>
        </w:rPr>
        <w:t>污染源的距离，</w:t>
      </w:r>
      <w:r>
        <w:rPr>
          <w:rFonts w:hint="eastAsia"/>
          <w:bCs/>
          <w:color w:val="auto"/>
          <w:sz w:val="24"/>
        </w:rPr>
        <w:t>m</w:t>
      </w:r>
      <w:r>
        <w:rPr>
          <w:rFonts w:hint="eastAsia"/>
          <w:bCs/>
          <w:color w:val="auto"/>
          <w:sz w:val="24"/>
          <w:lang w:eastAsia="zh-CN"/>
        </w:rPr>
        <w:t>，</w:t>
      </w:r>
      <w:r>
        <w:rPr>
          <w:rFonts w:hint="eastAsia"/>
          <w:bCs/>
          <w:color w:val="auto"/>
          <w:sz w:val="24"/>
          <w:lang w:val="en-US" w:eastAsia="zh-CN"/>
        </w:rPr>
        <w:t>本次取0.2</w:t>
      </w:r>
      <w:r>
        <w:rPr>
          <w:rFonts w:hint="eastAsia"/>
          <w:bCs/>
          <w:color w:val="auto"/>
          <w:sz w:val="24"/>
        </w:rPr>
        <w:t>；</w:t>
      </w:r>
    </w:p>
    <w:p w14:paraId="233719C6">
      <w:pPr>
        <w:widowControl w:val="0"/>
        <w:numPr>
          <w:ilvl w:val="0"/>
          <w:numId w:val="0"/>
        </w:numPr>
        <w:spacing w:line="360" w:lineRule="auto"/>
        <w:ind w:firstLine="1200" w:firstLineChars="500"/>
        <w:jc w:val="both"/>
        <w:rPr>
          <w:rFonts w:hint="default"/>
          <w:b w:val="0"/>
          <w:bCs/>
          <w:color w:val="auto"/>
          <w:sz w:val="24"/>
          <w:lang w:val="en-US" w:eastAsia="zh-CN"/>
        </w:rPr>
      </w:pPr>
      <w:r>
        <w:rPr>
          <w:bCs/>
          <w:color w:val="auto"/>
          <w:sz w:val="24"/>
        </w:rPr>
        <w:t>V</w:t>
      </w:r>
      <w:r>
        <w:rPr>
          <w:bCs/>
          <w:color w:val="auto"/>
          <w:sz w:val="24"/>
          <w:vertAlign w:val="subscript"/>
        </w:rPr>
        <w:t>r</w:t>
      </w:r>
      <w:r>
        <w:rPr>
          <w:bCs/>
          <w:color w:val="auto"/>
          <w:sz w:val="24"/>
        </w:rPr>
        <w:t>——</w:t>
      </w:r>
      <w:r>
        <w:rPr>
          <w:rFonts w:hint="eastAsia"/>
          <w:bCs/>
          <w:color w:val="auto"/>
          <w:sz w:val="24"/>
        </w:rPr>
        <w:t>污染源</w:t>
      </w:r>
      <w:r>
        <w:rPr>
          <w:bCs/>
          <w:color w:val="auto"/>
          <w:sz w:val="24"/>
        </w:rPr>
        <w:t>边缘</w:t>
      </w:r>
      <w:r>
        <w:rPr>
          <w:rFonts w:hint="eastAsia"/>
          <w:bCs/>
          <w:color w:val="auto"/>
          <w:sz w:val="24"/>
        </w:rPr>
        <w:t>控制</w:t>
      </w:r>
      <w:r>
        <w:rPr>
          <w:bCs/>
          <w:color w:val="auto"/>
          <w:sz w:val="24"/>
        </w:rPr>
        <w:t>风速，m/s（根据《环境工程设计手册》（2002年版），在</w:t>
      </w:r>
      <w:r>
        <w:rPr>
          <w:rFonts w:hint="eastAsia"/>
          <w:bCs/>
          <w:color w:val="auto"/>
          <w:sz w:val="24"/>
          <w:lang w:val="en-US" w:eastAsia="zh-CN"/>
        </w:rPr>
        <w:t>较稳定的状态下、</w:t>
      </w:r>
      <w:r>
        <w:rPr>
          <w:bCs/>
          <w:color w:val="auto"/>
          <w:sz w:val="24"/>
        </w:rPr>
        <w:t>废气扩散速度</w:t>
      </w:r>
      <w:r>
        <w:rPr>
          <w:rFonts w:hint="eastAsia"/>
          <w:bCs/>
          <w:color w:val="auto"/>
          <w:sz w:val="24"/>
          <w:lang w:val="en-US" w:eastAsia="zh-CN"/>
        </w:rPr>
        <w:t>较</w:t>
      </w:r>
      <w:r>
        <w:rPr>
          <w:bCs/>
          <w:color w:val="auto"/>
          <w:sz w:val="24"/>
        </w:rPr>
        <w:t>低，</w:t>
      </w:r>
      <w:r>
        <w:rPr>
          <w:rFonts w:hint="eastAsia"/>
          <w:bCs/>
          <w:color w:val="auto"/>
          <w:sz w:val="24"/>
        </w:rPr>
        <w:t>控制</w:t>
      </w:r>
      <w:r>
        <w:rPr>
          <w:bCs/>
          <w:color w:val="auto"/>
          <w:sz w:val="24"/>
        </w:rPr>
        <w:t>风速</w:t>
      </w:r>
      <w:r>
        <w:rPr>
          <w:rFonts w:hint="eastAsia"/>
          <w:bCs/>
          <w:color w:val="auto"/>
          <w:sz w:val="24"/>
        </w:rPr>
        <w:t>取</w:t>
      </w:r>
      <w:r>
        <w:rPr>
          <w:rFonts w:hint="default"/>
          <w:b w:val="0"/>
          <w:bCs/>
          <w:color w:val="auto"/>
          <w:sz w:val="24"/>
          <w:lang w:val="en-US" w:eastAsia="zh-CN"/>
        </w:rPr>
        <w:t>0.</w:t>
      </w:r>
      <w:r>
        <w:rPr>
          <w:rFonts w:hint="eastAsia"/>
          <w:b w:val="0"/>
          <w:bCs/>
          <w:color w:val="auto"/>
          <w:sz w:val="24"/>
          <w:lang w:val="en-US" w:eastAsia="zh-CN"/>
        </w:rPr>
        <w:t>5</w:t>
      </w:r>
      <w:r>
        <w:rPr>
          <w:rFonts w:hint="default"/>
          <w:b w:val="0"/>
          <w:bCs/>
          <w:color w:val="auto"/>
          <w:sz w:val="24"/>
          <w:lang w:val="en-US" w:eastAsia="zh-CN"/>
        </w:rPr>
        <w:t>～</w:t>
      </w:r>
      <w:r>
        <w:rPr>
          <w:rFonts w:hint="eastAsia"/>
          <w:b w:val="0"/>
          <w:bCs/>
          <w:color w:val="auto"/>
          <w:sz w:val="24"/>
          <w:lang w:val="en-US" w:eastAsia="zh-CN"/>
        </w:rPr>
        <w:t>1.0</w:t>
      </w:r>
      <w:r>
        <w:rPr>
          <w:bCs/>
          <w:color w:val="auto"/>
          <w:sz w:val="24"/>
        </w:rPr>
        <w:t>m/s，本次取</w:t>
      </w:r>
      <w:r>
        <w:rPr>
          <w:rFonts w:hint="eastAsia"/>
          <w:bCs/>
          <w:color w:val="auto"/>
          <w:sz w:val="24"/>
          <w:lang w:val="en-US" w:eastAsia="zh-CN"/>
        </w:rPr>
        <w:t>0.5</w:t>
      </w:r>
      <w:r>
        <w:rPr>
          <w:bCs/>
          <w:color w:val="auto"/>
          <w:sz w:val="24"/>
        </w:rPr>
        <w:t>）。</w:t>
      </w:r>
    </w:p>
    <w:p w14:paraId="686F8E57">
      <w:pPr>
        <w:spacing w:line="360" w:lineRule="auto"/>
        <w:ind w:left="0" w:leftChars="0" w:firstLine="480" w:firstLineChars="200"/>
        <w:rPr>
          <w:rFonts w:hint="default" w:ascii="Times New Roman" w:hAnsi="Times New Roman" w:eastAsia="宋体" w:cs="Times New Roman"/>
          <w:color w:val="auto"/>
          <w:highlight w:val="none"/>
        </w:rPr>
      </w:pPr>
      <w:r>
        <w:rPr>
          <w:rFonts w:hint="eastAsia"/>
          <w:b w:val="0"/>
          <w:bCs/>
          <w:color w:val="auto"/>
          <w:sz w:val="24"/>
          <w:lang w:val="en-US" w:eastAsia="zh-CN"/>
        </w:rPr>
        <w:t>经计算，单个集气罩</w:t>
      </w:r>
      <w:r>
        <w:rPr>
          <w:rFonts w:hint="default"/>
          <w:b w:val="0"/>
          <w:bCs/>
          <w:color w:val="auto"/>
          <w:sz w:val="24"/>
          <w:lang w:val="en-US" w:eastAsia="zh-CN"/>
        </w:rPr>
        <w:t>排风量为</w:t>
      </w:r>
      <w:r>
        <w:rPr>
          <w:rFonts w:hint="eastAsia"/>
          <w:b w:val="0"/>
          <w:bCs/>
          <w:color w:val="auto"/>
          <w:sz w:val="24"/>
          <w:lang w:val="en-US" w:eastAsia="zh-CN"/>
        </w:rPr>
        <w:t>475</w:t>
      </w:r>
      <w:r>
        <w:rPr>
          <w:rFonts w:hint="default"/>
          <w:b w:val="0"/>
          <w:bCs/>
          <w:color w:val="auto"/>
          <w:sz w:val="24"/>
          <w:lang w:val="en-US" w:eastAsia="zh-CN"/>
        </w:rPr>
        <w:t>m³/h</w:t>
      </w:r>
      <w:r>
        <w:rPr>
          <w:rFonts w:hint="eastAsia"/>
          <w:b w:val="0"/>
          <w:bCs/>
          <w:color w:val="auto"/>
          <w:sz w:val="24"/>
          <w:lang w:val="en-US" w:eastAsia="zh-CN"/>
        </w:rPr>
        <w:t>，本项目共设</w:t>
      </w:r>
      <w:r>
        <w:rPr>
          <w:rFonts w:hint="eastAsia"/>
          <w:color w:val="auto"/>
          <w:highlight w:val="none"/>
          <w:lang w:val="en-US" w:eastAsia="zh-CN"/>
        </w:rPr>
        <w:t>8个万向罩，总</w:t>
      </w:r>
      <w:r>
        <w:rPr>
          <w:rFonts w:hint="default"/>
          <w:b w:val="0"/>
          <w:bCs/>
          <w:color w:val="auto"/>
          <w:sz w:val="24"/>
          <w:lang w:val="en-US" w:eastAsia="zh-CN"/>
        </w:rPr>
        <w:t>排风量为</w:t>
      </w:r>
      <w:r>
        <w:rPr>
          <w:rFonts w:hint="eastAsia"/>
          <w:b w:val="0"/>
          <w:bCs/>
          <w:color w:val="auto"/>
          <w:sz w:val="24"/>
          <w:lang w:val="en-US" w:eastAsia="zh-CN"/>
        </w:rPr>
        <w:t>3800</w:t>
      </w:r>
      <w:r>
        <w:rPr>
          <w:rFonts w:hint="default"/>
          <w:b w:val="0"/>
          <w:bCs/>
          <w:color w:val="auto"/>
          <w:sz w:val="24"/>
          <w:lang w:val="en-US" w:eastAsia="zh-CN"/>
        </w:rPr>
        <w:t>m³/h。</w:t>
      </w:r>
    </w:p>
    <w:p w14:paraId="5C2272A1">
      <w:pPr>
        <w:bidi w:val="0"/>
        <w:rPr>
          <w:rFonts w:hint="default"/>
          <w:color w:val="auto"/>
          <w:lang w:val="en-US" w:eastAsia="zh-CN"/>
        </w:rPr>
      </w:pPr>
      <w:r>
        <w:rPr>
          <w:rFonts w:hint="eastAsia"/>
          <w:color w:val="auto"/>
          <w:lang w:val="en-US" w:eastAsia="zh-CN"/>
        </w:rPr>
        <w:t>C.试剂柜：单个试剂柜排风量为200</w:t>
      </w:r>
      <w:r>
        <w:rPr>
          <w:rFonts w:hint="default"/>
          <w:color w:val="auto"/>
          <w:lang w:val="en-US" w:eastAsia="zh-CN"/>
        </w:rPr>
        <w:t>m³/h</w:t>
      </w:r>
      <w:r>
        <w:rPr>
          <w:rFonts w:hint="eastAsia"/>
          <w:color w:val="auto"/>
          <w:lang w:val="en-US" w:eastAsia="zh-CN"/>
        </w:rPr>
        <w:t>，本项目共设2个试剂柜，总</w:t>
      </w:r>
      <w:r>
        <w:rPr>
          <w:rFonts w:hint="default"/>
          <w:color w:val="auto"/>
          <w:lang w:val="en-US" w:eastAsia="zh-CN"/>
        </w:rPr>
        <w:t>排风量为</w:t>
      </w:r>
      <w:r>
        <w:rPr>
          <w:rFonts w:hint="eastAsia"/>
          <w:color w:val="auto"/>
          <w:lang w:val="en-US" w:eastAsia="zh-CN"/>
        </w:rPr>
        <w:t>400</w:t>
      </w:r>
      <w:r>
        <w:rPr>
          <w:rFonts w:hint="default"/>
          <w:color w:val="auto"/>
          <w:lang w:val="en-US" w:eastAsia="zh-CN"/>
        </w:rPr>
        <w:t>m³/h</w:t>
      </w:r>
      <w:r>
        <w:rPr>
          <w:rFonts w:hint="eastAsia"/>
          <w:color w:val="auto"/>
          <w:lang w:val="en-US" w:eastAsia="zh-CN"/>
        </w:rPr>
        <w:t>。</w:t>
      </w:r>
    </w:p>
    <w:p w14:paraId="4AC3912A">
      <w:pPr>
        <w:ind w:left="0" w:leftChars="0" w:firstLine="480" w:firstLineChars="200"/>
        <w:rPr>
          <w:rFonts w:hint="eastAsia"/>
          <w:b w:val="0"/>
          <w:bCs/>
          <w:color w:val="auto"/>
          <w:sz w:val="24"/>
          <w:lang w:val="en-US" w:eastAsia="zh-CN"/>
        </w:rPr>
      </w:pPr>
      <w:r>
        <w:rPr>
          <w:rFonts w:hint="eastAsia"/>
          <w:b w:val="0"/>
          <w:bCs/>
          <w:color w:val="auto"/>
          <w:sz w:val="24"/>
          <w:lang w:val="en-US" w:eastAsia="zh-CN"/>
        </w:rPr>
        <w:t>综上，本项目质检室总排风量为7980</w:t>
      </w:r>
      <w:r>
        <w:rPr>
          <w:rFonts w:hint="default"/>
          <w:b w:val="0"/>
          <w:bCs/>
          <w:color w:val="auto"/>
          <w:sz w:val="24"/>
          <w:lang w:val="en-US" w:eastAsia="zh-CN"/>
        </w:rPr>
        <w:t>m³/h</w:t>
      </w:r>
      <w:r>
        <w:rPr>
          <w:rFonts w:hint="eastAsia"/>
          <w:b w:val="0"/>
          <w:bCs/>
          <w:color w:val="auto"/>
          <w:sz w:val="24"/>
          <w:lang w:val="en-US" w:eastAsia="zh-CN"/>
        </w:rPr>
        <w:t>。</w:t>
      </w:r>
      <w:r>
        <w:rPr>
          <w:rFonts w:hint="default"/>
          <w:b w:val="0"/>
          <w:bCs/>
          <w:color w:val="auto"/>
          <w:sz w:val="24"/>
          <w:lang w:val="en-US" w:eastAsia="zh-CN"/>
        </w:rPr>
        <w:t>因此，考虑管道风量损失后，该系统风量按</w:t>
      </w:r>
      <w:r>
        <w:rPr>
          <w:rFonts w:hint="eastAsia"/>
          <w:b w:val="0"/>
          <w:bCs/>
          <w:color w:val="auto"/>
          <w:sz w:val="24"/>
          <w:lang w:val="en-US" w:eastAsia="zh-CN"/>
        </w:rPr>
        <w:t>8000</w:t>
      </w:r>
      <w:r>
        <w:rPr>
          <w:rFonts w:hint="default"/>
          <w:b w:val="0"/>
          <w:bCs/>
          <w:color w:val="auto"/>
          <w:sz w:val="24"/>
          <w:lang w:val="en-US" w:eastAsia="zh-CN"/>
        </w:rPr>
        <w:t>m</w:t>
      </w:r>
      <w:r>
        <w:rPr>
          <w:rFonts w:hint="default"/>
          <w:b w:val="0"/>
          <w:bCs/>
          <w:color w:val="auto"/>
          <w:sz w:val="24"/>
          <w:vertAlign w:val="superscript"/>
          <w:lang w:val="en-US" w:eastAsia="zh-CN"/>
        </w:rPr>
        <w:t>3</w:t>
      </w:r>
      <w:r>
        <w:rPr>
          <w:rFonts w:hint="default"/>
          <w:b w:val="0"/>
          <w:bCs/>
          <w:color w:val="auto"/>
          <w:sz w:val="24"/>
          <w:lang w:val="en-US" w:eastAsia="zh-CN"/>
        </w:rPr>
        <w:t>/h设计</w:t>
      </w:r>
      <w:r>
        <w:rPr>
          <w:rFonts w:hint="eastAsia"/>
          <w:b w:val="0"/>
          <w:bCs/>
          <w:color w:val="auto"/>
          <w:sz w:val="24"/>
          <w:lang w:val="en-US" w:eastAsia="zh-CN"/>
        </w:rPr>
        <w:t>。</w:t>
      </w:r>
    </w:p>
    <w:p w14:paraId="791E4811">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质检废气风量一览表</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1084"/>
        <w:gridCol w:w="1101"/>
        <w:gridCol w:w="2070"/>
        <w:gridCol w:w="1971"/>
        <w:gridCol w:w="1384"/>
        <w:gridCol w:w="1217"/>
      </w:tblGrid>
      <w:tr w14:paraId="63D7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gridSpan w:val="2"/>
            <w:noWrap w:val="0"/>
            <w:vAlign w:val="center"/>
          </w:tcPr>
          <w:p w14:paraId="6ABD9CA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位置</w:t>
            </w:r>
          </w:p>
        </w:tc>
        <w:tc>
          <w:tcPr>
            <w:tcW w:w="579" w:type="pct"/>
            <w:noWrap w:val="0"/>
            <w:vAlign w:val="center"/>
          </w:tcPr>
          <w:p w14:paraId="5504391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数量</w:t>
            </w:r>
          </w:p>
        </w:tc>
        <w:tc>
          <w:tcPr>
            <w:tcW w:w="1089" w:type="pct"/>
            <w:noWrap w:val="0"/>
            <w:vAlign w:val="center"/>
          </w:tcPr>
          <w:p w14:paraId="2B9F72F4">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规格（长</w:t>
            </w:r>
            <w:r>
              <w:rPr>
                <w:rFonts w:hint="eastAsia"/>
                <w:b/>
                <w:bCs/>
                <w:color w:val="auto"/>
                <w:highlight w:val="none"/>
                <w:lang w:val="en-US" w:eastAsia="zh-CN"/>
              </w:rPr>
              <w:t>×宽/直径</w:t>
            </w:r>
            <w:r>
              <w:rPr>
                <w:rFonts w:hint="eastAsia" w:ascii="Times New Roman" w:hAnsi="Times New Roman" w:eastAsia="宋体" w:cs="Times New Roman"/>
                <w:b/>
                <w:bCs/>
                <w:color w:val="auto"/>
                <w:sz w:val="21"/>
                <w:szCs w:val="21"/>
                <w:highlight w:val="none"/>
                <w:lang w:val="en-US" w:eastAsia="zh-CN"/>
              </w:rPr>
              <w:t>）</w:t>
            </w:r>
          </w:p>
        </w:tc>
        <w:tc>
          <w:tcPr>
            <w:tcW w:w="1037" w:type="pct"/>
            <w:noWrap w:val="0"/>
            <w:vAlign w:val="center"/>
          </w:tcPr>
          <w:p w14:paraId="16148DC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单个</w:t>
            </w:r>
            <w:r>
              <w:rPr>
                <w:rFonts w:hint="eastAsia" w:ascii="Times New Roman" w:hAnsi="Times New Roman" w:eastAsia="宋体" w:cs="Times New Roman"/>
                <w:b/>
                <w:bCs/>
                <w:color w:val="auto"/>
                <w:sz w:val="21"/>
                <w:szCs w:val="21"/>
                <w:highlight w:val="none"/>
                <w:lang w:val="en-US" w:eastAsia="zh-CN"/>
              </w:rPr>
              <w:t>开启面积</w:t>
            </w:r>
            <w:r>
              <w:rPr>
                <w:rFonts w:hint="eastAsia" w:cs="Times New Roman"/>
                <w:b/>
                <w:bCs/>
                <w:color w:val="auto"/>
                <w:sz w:val="21"/>
                <w:szCs w:val="21"/>
                <w:highlight w:val="none"/>
                <w:lang w:val="en-US" w:eastAsia="zh-CN"/>
              </w:rPr>
              <w:t>/周长</w:t>
            </w:r>
          </w:p>
        </w:tc>
        <w:tc>
          <w:tcPr>
            <w:tcW w:w="727" w:type="pct"/>
            <w:noWrap w:val="0"/>
            <w:vAlign w:val="center"/>
          </w:tcPr>
          <w:p w14:paraId="251E323A">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单个风量</w:t>
            </w:r>
          </w:p>
        </w:tc>
        <w:tc>
          <w:tcPr>
            <w:tcW w:w="640" w:type="pct"/>
            <w:noWrap w:val="0"/>
            <w:vAlign w:val="center"/>
          </w:tcPr>
          <w:p w14:paraId="2A19CE3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总风量</w:t>
            </w:r>
          </w:p>
        </w:tc>
      </w:tr>
      <w:tr w14:paraId="5AC1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 w:type="pct"/>
            <w:vMerge w:val="restart"/>
            <w:shd w:val="clear" w:color="auto" w:fill="auto"/>
            <w:noWrap w:val="0"/>
            <w:vAlign w:val="center"/>
          </w:tcPr>
          <w:p w14:paraId="2F03D9F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质检室</w:t>
            </w:r>
          </w:p>
        </w:tc>
        <w:tc>
          <w:tcPr>
            <w:tcW w:w="570" w:type="pct"/>
            <w:shd w:val="clear" w:color="auto" w:fill="auto"/>
            <w:noWrap w:val="0"/>
            <w:vAlign w:val="center"/>
          </w:tcPr>
          <w:p w14:paraId="5CF2849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试剂柜</w:t>
            </w:r>
          </w:p>
        </w:tc>
        <w:tc>
          <w:tcPr>
            <w:tcW w:w="579" w:type="pct"/>
            <w:shd w:val="clear" w:color="auto" w:fill="auto"/>
            <w:noWrap w:val="0"/>
            <w:vAlign w:val="center"/>
          </w:tcPr>
          <w:p w14:paraId="41273CE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kern w:val="2"/>
                <w:sz w:val="21"/>
                <w:szCs w:val="21"/>
                <w:highlight w:val="none"/>
                <w:lang w:val="en-US" w:eastAsia="zh-CN" w:bidi="ar-SA"/>
              </w:rPr>
              <w:t>2</w:t>
            </w:r>
          </w:p>
        </w:tc>
        <w:tc>
          <w:tcPr>
            <w:tcW w:w="1089" w:type="pct"/>
            <w:shd w:val="clear" w:color="auto" w:fill="auto"/>
            <w:noWrap w:val="0"/>
            <w:vAlign w:val="center"/>
          </w:tcPr>
          <w:p w14:paraId="6F744A3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olor w:val="auto"/>
                <w:highlight w:val="none"/>
                <w:lang w:val="en-US" w:eastAsia="zh-CN"/>
              </w:rPr>
              <w:t>900</w:t>
            </w:r>
            <w:r>
              <w:rPr>
                <w:rFonts w:hint="default"/>
                <w:b w:val="0"/>
                <w:bCs/>
                <w:color w:val="auto"/>
                <w:sz w:val="24"/>
                <w:lang w:val="en-US" w:eastAsia="zh-CN"/>
              </w:rPr>
              <w:t>mm</w:t>
            </w:r>
            <w:r>
              <w:rPr>
                <w:rFonts w:hint="eastAsia"/>
                <w:color w:val="auto"/>
                <w:highlight w:val="none"/>
                <w:lang w:val="en-US" w:eastAsia="zh-CN"/>
              </w:rPr>
              <w:t>×450</w:t>
            </w:r>
            <w:r>
              <w:rPr>
                <w:rFonts w:hint="default"/>
                <w:b w:val="0"/>
                <w:bCs/>
                <w:color w:val="auto"/>
                <w:sz w:val="24"/>
                <w:lang w:val="en-US" w:eastAsia="zh-CN"/>
              </w:rPr>
              <w:t>mm</w:t>
            </w:r>
          </w:p>
        </w:tc>
        <w:tc>
          <w:tcPr>
            <w:tcW w:w="1037" w:type="pct"/>
            <w:shd w:val="clear" w:color="auto" w:fill="auto"/>
            <w:noWrap w:val="0"/>
            <w:vAlign w:val="center"/>
          </w:tcPr>
          <w:p w14:paraId="6582CA71">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w:t>
            </w:r>
          </w:p>
        </w:tc>
        <w:tc>
          <w:tcPr>
            <w:tcW w:w="727" w:type="pct"/>
            <w:shd w:val="clear" w:color="auto" w:fill="auto"/>
            <w:noWrap w:val="0"/>
            <w:vAlign w:val="center"/>
          </w:tcPr>
          <w:p w14:paraId="6A53535F">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200</w:t>
            </w:r>
          </w:p>
        </w:tc>
        <w:tc>
          <w:tcPr>
            <w:tcW w:w="640" w:type="pct"/>
            <w:shd w:val="clear" w:color="auto" w:fill="auto"/>
            <w:noWrap w:val="0"/>
            <w:vAlign w:val="center"/>
          </w:tcPr>
          <w:p w14:paraId="4EBC26EB">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400</w:t>
            </w:r>
          </w:p>
        </w:tc>
      </w:tr>
      <w:tr w14:paraId="5D98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 w:type="pct"/>
            <w:vMerge w:val="continue"/>
            <w:noWrap w:val="0"/>
            <w:vAlign w:val="center"/>
          </w:tcPr>
          <w:p w14:paraId="61B6D670">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70" w:type="pct"/>
            <w:shd w:val="clear" w:color="auto" w:fill="auto"/>
            <w:noWrap w:val="0"/>
            <w:vAlign w:val="center"/>
          </w:tcPr>
          <w:p w14:paraId="0D24EDB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通风橱</w:t>
            </w:r>
          </w:p>
        </w:tc>
        <w:tc>
          <w:tcPr>
            <w:tcW w:w="579" w:type="pct"/>
            <w:shd w:val="clear" w:color="auto" w:fill="auto"/>
            <w:noWrap w:val="0"/>
            <w:vAlign w:val="center"/>
          </w:tcPr>
          <w:p w14:paraId="63C8AB3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kern w:val="2"/>
                <w:sz w:val="21"/>
                <w:szCs w:val="21"/>
                <w:highlight w:val="none"/>
                <w:lang w:val="en-US" w:eastAsia="zh-CN" w:bidi="ar-SA"/>
              </w:rPr>
              <w:t>2</w:t>
            </w:r>
          </w:p>
        </w:tc>
        <w:tc>
          <w:tcPr>
            <w:tcW w:w="1089" w:type="pct"/>
            <w:shd w:val="clear" w:color="auto" w:fill="auto"/>
            <w:noWrap w:val="0"/>
            <w:vAlign w:val="center"/>
          </w:tcPr>
          <w:p w14:paraId="7D3479B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olor w:val="auto"/>
                <w:highlight w:val="none"/>
                <w:lang w:val="en-US" w:eastAsia="zh-CN"/>
              </w:rPr>
              <w:t>1500</w:t>
            </w:r>
            <w:r>
              <w:rPr>
                <w:rFonts w:hint="default"/>
                <w:b w:val="0"/>
                <w:bCs/>
                <w:color w:val="auto"/>
                <w:sz w:val="24"/>
                <w:lang w:val="en-US" w:eastAsia="zh-CN"/>
              </w:rPr>
              <w:t>mm</w:t>
            </w:r>
            <w:r>
              <w:rPr>
                <w:rFonts w:hint="eastAsia"/>
                <w:color w:val="auto"/>
                <w:highlight w:val="none"/>
                <w:lang w:val="en-US" w:eastAsia="zh-CN"/>
              </w:rPr>
              <w:t>×800</w:t>
            </w:r>
            <w:r>
              <w:rPr>
                <w:rFonts w:hint="default"/>
                <w:b w:val="0"/>
                <w:bCs/>
                <w:color w:val="auto"/>
                <w:sz w:val="24"/>
                <w:lang w:val="en-US" w:eastAsia="zh-CN"/>
              </w:rPr>
              <w:t>mm</w:t>
            </w:r>
          </w:p>
        </w:tc>
        <w:tc>
          <w:tcPr>
            <w:tcW w:w="1037" w:type="pct"/>
            <w:shd w:val="clear" w:color="auto" w:fill="auto"/>
            <w:noWrap w:val="0"/>
            <w:vAlign w:val="center"/>
          </w:tcPr>
          <w:p w14:paraId="3042918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1.2</w:t>
            </w:r>
          </w:p>
        </w:tc>
        <w:tc>
          <w:tcPr>
            <w:tcW w:w="727" w:type="pct"/>
            <w:shd w:val="clear" w:color="auto" w:fill="auto"/>
            <w:noWrap w:val="0"/>
            <w:vAlign w:val="center"/>
          </w:tcPr>
          <w:p w14:paraId="7956795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kern w:val="2"/>
                <w:sz w:val="21"/>
                <w:szCs w:val="21"/>
                <w:highlight w:val="none"/>
                <w:lang w:val="en-US" w:eastAsia="zh-CN" w:bidi="ar-SA"/>
              </w:rPr>
              <w:t>1890</w:t>
            </w:r>
          </w:p>
        </w:tc>
        <w:tc>
          <w:tcPr>
            <w:tcW w:w="640" w:type="pct"/>
            <w:shd w:val="clear" w:color="auto" w:fill="auto"/>
            <w:noWrap w:val="0"/>
            <w:vAlign w:val="center"/>
          </w:tcPr>
          <w:p w14:paraId="005F7D73">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3780</w:t>
            </w:r>
          </w:p>
        </w:tc>
      </w:tr>
      <w:tr w14:paraId="5EFE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 w:type="pct"/>
            <w:vMerge w:val="continue"/>
            <w:noWrap w:val="0"/>
            <w:vAlign w:val="center"/>
          </w:tcPr>
          <w:p w14:paraId="09D44AC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p>
        </w:tc>
        <w:tc>
          <w:tcPr>
            <w:tcW w:w="570" w:type="pct"/>
            <w:shd w:val="clear" w:color="auto" w:fill="auto"/>
            <w:noWrap w:val="0"/>
            <w:vAlign w:val="center"/>
          </w:tcPr>
          <w:p w14:paraId="3D5370A4">
            <w:pPr>
              <w:pStyle w:val="24"/>
              <w:bidi w:val="0"/>
              <w:ind w:left="0" w:leftChars="0"/>
              <w:jc w:val="center"/>
              <w:rPr>
                <w:rFonts w:hint="default" w:ascii="Times New Roman" w:hAnsi="Times New Roman" w:eastAsia="宋体" w:cs="Courier New"/>
                <w:color w:val="auto"/>
                <w:kern w:val="2"/>
                <w:sz w:val="21"/>
                <w:szCs w:val="24"/>
                <w:highlight w:val="none"/>
                <w:lang w:val="en-US" w:eastAsia="zh-CN" w:bidi="ar-SA"/>
              </w:rPr>
            </w:pPr>
            <w:r>
              <w:rPr>
                <w:rFonts w:hint="eastAsia" w:cs="Courier New"/>
                <w:color w:val="auto"/>
                <w:kern w:val="2"/>
                <w:sz w:val="21"/>
                <w:szCs w:val="24"/>
                <w:highlight w:val="none"/>
                <w:lang w:val="en-US" w:eastAsia="zh-CN" w:bidi="ar-SA"/>
              </w:rPr>
              <w:t>万向罩</w:t>
            </w:r>
          </w:p>
        </w:tc>
        <w:tc>
          <w:tcPr>
            <w:tcW w:w="579" w:type="pct"/>
            <w:shd w:val="clear" w:color="auto" w:fill="auto"/>
            <w:noWrap w:val="0"/>
            <w:vAlign w:val="center"/>
          </w:tcPr>
          <w:p w14:paraId="796F5ED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kern w:val="2"/>
                <w:sz w:val="21"/>
                <w:szCs w:val="21"/>
                <w:highlight w:val="none"/>
                <w:lang w:val="en-US" w:eastAsia="zh-CN" w:bidi="ar-SA"/>
              </w:rPr>
              <w:t>8</w:t>
            </w:r>
          </w:p>
        </w:tc>
        <w:tc>
          <w:tcPr>
            <w:tcW w:w="1089" w:type="pct"/>
            <w:shd w:val="clear" w:color="auto" w:fill="auto"/>
            <w:noWrap w:val="0"/>
            <w:vAlign w:val="center"/>
          </w:tcPr>
          <w:p w14:paraId="4F021985">
            <w:pPr>
              <w:pStyle w:val="24"/>
              <w:bidi w:val="0"/>
              <w:ind w:left="0" w:leftChars="0"/>
              <w:jc w:val="center"/>
              <w:rPr>
                <w:rFonts w:hint="eastAsia" w:ascii="Times New Roman" w:hAnsi="Times New Roman" w:eastAsia="宋体" w:cs="Courier New"/>
                <w:color w:val="auto"/>
                <w:kern w:val="2"/>
                <w:sz w:val="21"/>
                <w:szCs w:val="24"/>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Φ3</w:t>
            </w:r>
            <w:r>
              <w:rPr>
                <w:rFonts w:hint="eastAsia" w:cs="Times New Roman"/>
                <w:b w:val="0"/>
                <w:bCs w:val="0"/>
                <w:color w:val="auto"/>
                <w:sz w:val="21"/>
                <w:szCs w:val="21"/>
                <w:highlight w:val="none"/>
                <w:lang w:val="en-US" w:eastAsia="zh-CN"/>
              </w:rPr>
              <w:t>0</w:t>
            </w:r>
            <w:r>
              <w:rPr>
                <w:rFonts w:hint="default" w:ascii="Times New Roman" w:hAnsi="Times New Roman" w:eastAsia="宋体" w:cs="Times New Roman"/>
                <w:b w:val="0"/>
                <w:bCs w:val="0"/>
                <w:color w:val="auto"/>
                <w:sz w:val="21"/>
                <w:szCs w:val="21"/>
                <w:highlight w:val="none"/>
                <w:lang w:val="en-US" w:eastAsia="zh-CN"/>
              </w:rPr>
              <w:t>0mm</w:t>
            </w:r>
          </w:p>
        </w:tc>
        <w:tc>
          <w:tcPr>
            <w:tcW w:w="1037" w:type="pct"/>
            <w:shd w:val="clear" w:color="auto" w:fill="auto"/>
            <w:noWrap w:val="0"/>
            <w:vAlign w:val="center"/>
          </w:tcPr>
          <w:p w14:paraId="03FAE242">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0.942</w:t>
            </w:r>
          </w:p>
        </w:tc>
        <w:tc>
          <w:tcPr>
            <w:tcW w:w="727" w:type="pct"/>
            <w:shd w:val="clear" w:color="auto" w:fill="auto"/>
            <w:noWrap w:val="0"/>
            <w:vAlign w:val="center"/>
          </w:tcPr>
          <w:p w14:paraId="6496916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kern w:val="2"/>
                <w:sz w:val="21"/>
                <w:szCs w:val="21"/>
                <w:highlight w:val="none"/>
                <w:lang w:val="en-US" w:eastAsia="zh-CN" w:bidi="ar-SA"/>
              </w:rPr>
              <w:t>475</w:t>
            </w:r>
          </w:p>
        </w:tc>
        <w:tc>
          <w:tcPr>
            <w:tcW w:w="640" w:type="pct"/>
            <w:shd w:val="clear" w:color="auto" w:fill="auto"/>
            <w:noWrap w:val="0"/>
            <w:vAlign w:val="center"/>
          </w:tcPr>
          <w:p w14:paraId="60EFF69D">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3800</w:t>
            </w:r>
          </w:p>
        </w:tc>
      </w:tr>
      <w:tr w14:paraId="06F3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4359" w:type="pct"/>
            <w:gridSpan w:val="6"/>
            <w:noWrap w:val="0"/>
            <w:vAlign w:val="center"/>
          </w:tcPr>
          <w:p w14:paraId="4D858982">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合计</w:t>
            </w:r>
          </w:p>
        </w:tc>
        <w:tc>
          <w:tcPr>
            <w:tcW w:w="640" w:type="pct"/>
            <w:shd w:val="clear" w:color="auto" w:fill="auto"/>
            <w:noWrap w:val="0"/>
            <w:vAlign w:val="center"/>
          </w:tcPr>
          <w:p w14:paraId="3DBDF244">
            <w:pPr>
              <w:pStyle w:val="24"/>
              <w:bidi w:val="0"/>
              <w:ind w:left="0" w:leftChars="0"/>
              <w:jc w:val="center"/>
              <w:rPr>
                <w:rFonts w:hint="default" w:cs="Times New Roman"/>
                <w:b w:val="0"/>
                <w:bCs w:val="0"/>
                <w:color w:val="auto"/>
                <w:kern w:val="2"/>
                <w:sz w:val="21"/>
                <w:szCs w:val="21"/>
                <w:highlight w:val="none"/>
                <w:lang w:val="en-US" w:eastAsia="zh-CN" w:bidi="ar-SA"/>
              </w:rPr>
            </w:pPr>
          </w:p>
        </w:tc>
      </w:tr>
    </w:tbl>
    <w:p w14:paraId="0DC24F9D">
      <w:pPr>
        <w:bidi w:val="0"/>
        <w:rPr>
          <w:rFonts w:hint="eastAsia"/>
          <w:b/>
          <w:bCs/>
          <w:color w:val="auto"/>
          <w:lang w:val="en-US" w:eastAsia="zh-CN"/>
        </w:rPr>
      </w:pPr>
      <w:r>
        <w:rPr>
          <w:rFonts w:hint="eastAsia"/>
          <w:b/>
          <w:bCs/>
          <w:color w:val="auto"/>
          <w:lang w:val="en-US" w:eastAsia="zh-CN"/>
        </w:rPr>
        <w:t>（3）排放情况</w:t>
      </w:r>
    </w:p>
    <w:p w14:paraId="31EB2A5C">
      <w:pPr>
        <w:bidi w:val="0"/>
        <w:rPr>
          <w:rFonts w:hint="eastAsia"/>
          <w:color w:val="auto"/>
          <w:lang w:val="en-US" w:eastAsia="zh-CN"/>
        </w:rPr>
      </w:pPr>
      <w:r>
        <w:rPr>
          <w:rFonts w:hint="eastAsia"/>
          <w:color w:val="auto"/>
          <w:lang w:val="en-US" w:eastAsia="zh-CN"/>
        </w:rPr>
        <w:t>①有组织排放情况</w:t>
      </w:r>
    </w:p>
    <w:p w14:paraId="4C0040B1">
      <w:pPr>
        <w:bidi w:val="0"/>
        <w:rPr>
          <w:rFonts w:hint="eastAsia"/>
          <w:color w:val="auto"/>
          <w:lang w:val="en-US" w:eastAsia="zh-CN"/>
        </w:rPr>
      </w:pPr>
      <w:r>
        <w:rPr>
          <w:rFonts w:hint="eastAsia"/>
          <w:color w:val="auto"/>
          <w:lang w:val="en-US" w:eastAsia="zh-CN"/>
        </w:rPr>
        <w:t>质检废气经收集处理后有组织排放情况见下表。</w:t>
      </w:r>
    </w:p>
    <w:p w14:paraId="73324578">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质检废气有组织排放情况</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655"/>
        <w:gridCol w:w="627"/>
        <w:gridCol w:w="614"/>
        <w:gridCol w:w="600"/>
        <w:gridCol w:w="1022"/>
        <w:gridCol w:w="805"/>
        <w:gridCol w:w="709"/>
        <w:gridCol w:w="736"/>
        <w:gridCol w:w="928"/>
        <w:gridCol w:w="781"/>
        <w:gridCol w:w="773"/>
        <w:gridCol w:w="742"/>
      </w:tblGrid>
      <w:tr w14:paraId="5E97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vMerge w:val="restart"/>
            <w:shd w:val="clear" w:color="auto" w:fill="auto"/>
            <w:vAlign w:val="center"/>
          </w:tcPr>
          <w:p w14:paraId="65011E4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排放源</w:t>
            </w:r>
          </w:p>
        </w:tc>
        <w:tc>
          <w:tcPr>
            <w:tcW w:w="1850" w:type="pct"/>
            <w:gridSpan w:val="5"/>
            <w:vAlign w:val="center"/>
          </w:tcPr>
          <w:p w14:paraId="4CAFB20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排气筒参数</w:t>
            </w:r>
          </w:p>
        </w:tc>
        <w:tc>
          <w:tcPr>
            <w:tcW w:w="423" w:type="pct"/>
            <w:vMerge w:val="restart"/>
            <w:shd w:val="clear" w:color="auto" w:fill="auto"/>
            <w:vAlign w:val="center"/>
          </w:tcPr>
          <w:p w14:paraId="7E5F443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w:t>
            </w:r>
          </w:p>
        </w:tc>
        <w:tc>
          <w:tcPr>
            <w:tcW w:w="1247" w:type="pct"/>
            <w:gridSpan w:val="3"/>
            <w:shd w:val="clear" w:color="auto" w:fill="auto"/>
            <w:vAlign w:val="center"/>
          </w:tcPr>
          <w:p w14:paraId="290ECFD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产生情况</w:t>
            </w:r>
          </w:p>
        </w:tc>
        <w:tc>
          <w:tcPr>
            <w:tcW w:w="1207" w:type="pct"/>
            <w:gridSpan w:val="3"/>
            <w:shd w:val="clear" w:color="auto" w:fill="auto"/>
            <w:vAlign w:val="center"/>
          </w:tcPr>
          <w:p w14:paraId="6CA13E1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排放情况</w:t>
            </w:r>
          </w:p>
        </w:tc>
      </w:tr>
      <w:tr w14:paraId="00EF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vMerge w:val="continue"/>
            <w:shd w:val="clear" w:color="auto" w:fill="auto"/>
            <w:vAlign w:val="center"/>
          </w:tcPr>
          <w:p w14:paraId="4EF27507">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44" w:type="pct"/>
            <w:vAlign w:val="center"/>
          </w:tcPr>
          <w:p w14:paraId="4F8B35B8">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编号</w:t>
            </w:r>
          </w:p>
        </w:tc>
        <w:tc>
          <w:tcPr>
            <w:tcW w:w="329" w:type="pct"/>
            <w:vAlign w:val="center"/>
          </w:tcPr>
          <w:p w14:paraId="643B1FC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高度</w:t>
            </w:r>
          </w:p>
        </w:tc>
        <w:tc>
          <w:tcPr>
            <w:tcW w:w="322" w:type="pct"/>
            <w:vAlign w:val="center"/>
          </w:tcPr>
          <w:p w14:paraId="64FBC01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风量</w:t>
            </w:r>
          </w:p>
        </w:tc>
        <w:tc>
          <w:tcPr>
            <w:tcW w:w="315" w:type="pct"/>
            <w:vAlign w:val="center"/>
          </w:tcPr>
          <w:p w14:paraId="6924C56D">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内径</w:t>
            </w:r>
          </w:p>
        </w:tc>
        <w:tc>
          <w:tcPr>
            <w:tcW w:w="537" w:type="pct"/>
            <w:vAlign w:val="center"/>
          </w:tcPr>
          <w:p w14:paraId="0E8A068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烟气流速</w:t>
            </w:r>
          </w:p>
        </w:tc>
        <w:tc>
          <w:tcPr>
            <w:tcW w:w="423" w:type="pct"/>
            <w:vMerge w:val="continue"/>
            <w:shd w:val="clear" w:color="auto" w:fill="auto"/>
            <w:vAlign w:val="center"/>
          </w:tcPr>
          <w:p w14:paraId="20A1FE3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72" w:type="pct"/>
            <w:shd w:val="clear" w:color="auto" w:fill="auto"/>
            <w:vAlign w:val="center"/>
          </w:tcPr>
          <w:p w14:paraId="087CEC61">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387" w:type="pct"/>
            <w:shd w:val="clear" w:color="auto" w:fill="auto"/>
            <w:vAlign w:val="center"/>
          </w:tcPr>
          <w:p w14:paraId="0DBAF53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kg/h</w:t>
            </w:r>
          </w:p>
        </w:tc>
        <w:tc>
          <w:tcPr>
            <w:tcW w:w="488" w:type="pct"/>
            <w:shd w:val="clear" w:color="auto" w:fill="auto"/>
            <w:vAlign w:val="center"/>
          </w:tcPr>
          <w:p w14:paraId="0AE97BBD">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mg/m</w:t>
            </w:r>
            <w:r>
              <w:rPr>
                <w:rFonts w:hint="eastAsia" w:ascii="Times New Roman" w:hAnsi="Times New Roman" w:eastAsia="宋体" w:cs="Times New Roman"/>
                <w:b/>
                <w:bCs/>
                <w:color w:val="auto"/>
                <w:sz w:val="18"/>
                <w:szCs w:val="18"/>
                <w:highlight w:val="none"/>
                <w:vertAlign w:val="superscript"/>
                <w:lang w:val="en-US" w:eastAsia="zh-CN"/>
              </w:rPr>
              <w:t>3</w:t>
            </w:r>
          </w:p>
        </w:tc>
        <w:tc>
          <w:tcPr>
            <w:tcW w:w="410" w:type="pct"/>
            <w:shd w:val="clear" w:color="auto" w:fill="auto"/>
            <w:vAlign w:val="center"/>
          </w:tcPr>
          <w:p w14:paraId="0FB24D0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406" w:type="pct"/>
            <w:shd w:val="clear" w:color="auto" w:fill="auto"/>
            <w:vAlign w:val="center"/>
          </w:tcPr>
          <w:p w14:paraId="4AECA21D">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kg/h</w:t>
            </w:r>
          </w:p>
        </w:tc>
        <w:tc>
          <w:tcPr>
            <w:tcW w:w="390" w:type="pct"/>
            <w:shd w:val="clear" w:color="auto" w:fill="auto"/>
            <w:vAlign w:val="center"/>
          </w:tcPr>
          <w:p w14:paraId="647551A0">
            <w:pPr>
              <w:pStyle w:val="24"/>
              <w:bidi w:val="0"/>
              <w:ind w:left="0" w:leftChars="0"/>
              <w:jc w:val="center"/>
              <w:rPr>
                <w:rFonts w:hint="eastAsia" w:ascii="Times New Roman" w:hAnsi="Times New Roman" w:eastAsia="宋体" w:cs="Times New Roman"/>
                <w:b/>
                <w:bCs/>
                <w:color w:val="auto"/>
                <w:sz w:val="18"/>
                <w:szCs w:val="18"/>
                <w:highlight w:val="none"/>
                <w:vertAlign w:val="superscript"/>
                <w:lang w:val="en-US" w:eastAsia="zh-CN"/>
              </w:rPr>
            </w:pPr>
            <w:r>
              <w:rPr>
                <w:rFonts w:hint="eastAsia" w:ascii="Times New Roman" w:hAnsi="Times New Roman" w:eastAsia="宋体" w:cs="Times New Roman"/>
                <w:b/>
                <w:bCs/>
                <w:color w:val="auto"/>
                <w:sz w:val="18"/>
                <w:szCs w:val="18"/>
                <w:highlight w:val="none"/>
                <w:lang w:val="en-US" w:eastAsia="zh-CN"/>
              </w:rPr>
              <w:t>mg/m</w:t>
            </w:r>
            <w:r>
              <w:rPr>
                <w:rFonts w:hint="eastAsia" w:ascii="Times New Roman" w:hAnsi="Times New Roman" w:eastAsia="宋体" w:cs="Times New Roman"/>
                <w:b/>
                <w:bCs/>
                <w:color w:val="auto"/>
                <w:sz w:val="18"/>
                <w:szCs w:val="18"/>
                <w:highlight w:val="none"/>
                <w:vertAlign w:val="superscript"/>
                <w:lang w:val="en-US" w:eastAsia="zh-CN"/>
              </w:rPr>
              <w:t>3</w:t>
            </w:r>
          </w:p>
        </w:tc>
      </w:tr>
      <w:tr w14:paraId="17D4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restart"/>
            <w:shd w:val="clear" w:color="auto" w:fill="auto"/>
            <w:vAlign w:val="center"/>
          </w:tcPr>
          <w:p w14:paraId="1227A888">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质检废气</w:t>
            </w:r>
          </w:p>
        </w:tc>
        <w:tc>
          <w:tcPr>
            <w:tcW w:w="344" w:type="pct"/>
            <w:vMerge w:val="restart"/>
            <w:vAlign w:val="center"/>
          </w:tcPr>
          <w:p w14:paraId="6DD4223D">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DA002</w:t>
            </w:r>
          </w:p>
        </w:tc>
        <w:tc>
          <w:tcPr>
            <w:tcW w:w="329" w:type="pct"/>
            <w:vMerge w:val="restart"/>
            <w:vAlign w:val="center"/>
          </w:tcPr>
          <w:p w14:paraId="015AEB3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15</w:t>
            </w:r>
            <w:r>
              <w:rPr>
                <w:rFonts w:hint="eastAsia" w:ascii="Times New Roman" w:hAnsi="Times New Roman" w:eastAsia="宋体" w:cs="Times New Roman"/>
                <w:b w:val="0"/>
                <w:bCs w:val="0"/>
                <w:color w:val="auto"/>
                <w:sz w:val="18"/>
                <w:szCs w:val="18"/>
                <w:highlight w:val="none"/>
                <w:lang w:val="en-US" w:eastAsia="zh-CN"/>
              </w:rPr>
              <w:t>m</w:t>
            </w:r>
          </w:p>
        </w:tc>
        <w:tc>
          <w:tcPr>
            <w:tcW w:w="322" w:type="pct"/>
            <w:vMerge w:val="restart"/>
            <w:vAlign w:val="center"/>
          </w:tcPr>
          <w:p w14:paraId="2EE2DB1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8000</w:t>
            </w:r>
            <w:r>
              <w:rPr>
                <w:rFonts w:hint="eastAsia" w:ascii="Times New Roman" w:hAnsi="Times New Roman" w:eastAsia="宋体" w:cs="Times New Roman"/>
                <w:b w:val="0"/>
                <w:bCs w:val="0"/>
                <w:color w:val="auto"/>
                <w:sz w:val="18"/>
                <w:szCs w:val="18"/>
                <w:highlight w:val="none"/>
                <w:lang w:val="en-US" w:eastAsia="zh-CN"/>
              </w:rPr>
              <w:t xml:space="preserve"> m</w:t>
            </w:r>
            <w:r>
              <w:rPr>
                <w:rFonts w:hint="eastAsia" w:ascii="Times New Roman" w:hAnsi="Times New Roman" w:eastAsia="宋体" w:cs="Times New Roman"/>
                <w:b w:val="0"/>
                <w:bCs w:val="0"/>
                <w:color w:val="auto"/>
                <w:sz w:val="18"/>
                <w:szCs w:val="18"/>
                <w:highlight w:val="none"/>
                <w:vertAlign w:val="superscript"/>
                <w:lang w:val="en-US" w:eastAsia="zh-CN"/>
              </w:rPr>
              <w:t>3</w:t>
            </w:r>
            <w:r>
              <w:rPr>
                <w:rFonts w:hint="eastAsia" w:ascii="Times New Roman" w:hAnsi="Times New Roman" w:eastAsia="宋体" w:cs="Times New Roman"/>
                <w:b w:val="0"/>
                <w:bCs w:val="0"/>
                <w:color w:val="auto"/>
                <w:sz w:val="18"/>
                <w:szCs w:val="18"/>
                <w:highlight w:val="none"/>
                <w:lang w:val="en-US" w:eastAsia="zh-CN"/>
              </w:rPr>
              <w:t>/h</w:t>
            </w:r>
          </w:p>
        </w:tc>
        <w:tc>
          <w:tcPr>
            <w:tcW w:w="315" w:type="pct"/>
            <w:vMerge w:val="restart"/>
            <w:vAlign w:val="center"/>
          </w:tcPr>
          <w:p w14:paraId="6E2BE07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w:t>
            </w:r>
            <w:r>
              <w:rPr>
                <w:rFonts w:hint="eastAsia" w:eastAsia="宋体" w:cs="Times New Roman"/>
                <w:b w:val="0"/>
                <w:bCs w:val="0"/>
                <w:color w:val="auto"/>
                <w:sz w:val="18"/>
                <w:szCs w:val="18"/>
                <w:highlight w:val="none"/>
                <w:lang w:val="en-US" w:eastAsia="zh-CN"/>
              </w:rPr>
              <w:t>4</w:t>
            </w:r>
            <w:r>
              <w:rPr>
                <w:rFonts w:hint="eastAsia" w:ascii="Times New Roman" w:hAnsi="Times New Roman" w:eastAsia="宋体" w:cs="Times New Roman"/>
                <w:b w:val="0"/>
                <w:bCs w:val="0"/>
                <w:color w:val="auto"/>
                <w:sz w:val="18"/>
                <w:szCs w:val="18"/>
                <w:highlight w:val="none"/>
                <w:lang w:val="en-US" w:eastAsia="zh-CN"/>
              </w:rPr>
              <w:t>m</w:t>
            </w:r>
          </w:p>
        </w:tc>
        <w:tc>
          <w:tcPr>
            <w:tcW w:w="537" w:type="pct"/>
            <w:vMerge w:val="restart"/>
            <w:vAlign w:val="center"/>
          </w:tcPr>
          <w:p w14:paraId="155930C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17.69</w:t>
            </w:r>
            <w:r>
              <w:rPr>
                <w:rFonts w:hint="eastAsia" w:ascii="Times New Roman" w:hAnsi="Times New Roman" w:eastAsia="宋体" w:cs="Times New Roman"/>
                <w:b w:val="0"/>
                <w:bCs w:val="0"/>
                <w:color w:val="auto"/>
                <w:sz w:val="18"/>
                <w:szCs w:val="18"/>
                <w:highlight w:val="none"/>
                <w:lang w:val="en-US" w:eastAsia="zh-CN"/>
              </w:rPr>
              <w:t>m/s</w:t>
            </w:r>
          </w:p>
        </w:tc>
        <w:tc>
          <w:tcPr>
            <w:tcW w:w="423" w:type="pct"/>
            <w:shd w:val="clear" w:color="auto" w:fill="auto"/>
            <w:vAlign w:val="center"/>
          </w:tcPr>
          <w:p w14:paraId="3D40482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氯化氢</w:t>
            </w:r>
          </w:p>
        </w:tc>
        <w:tc>
          <w:tcPr>
            <w:tcW w:w="372" w:type="pct"/>
            <w:shd w:val="clear" w:color="auto" w:fill="auto"/>
            <w:vAlign w:val="center"/>
          </w:tcPr>
          <w:p w14:paraId="4784987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5.71E-06</w:t>
            </w:r>
          </w:p>
        </w:tc>
        <w:tc>
          <w:tcPr>
            <w:tcW w:w="387" w:type="pct"/>
            <w:shd w:val="clear" w:color="auto" w:fill="auto"/>
            <w:vAlign w:val="center"/>
          </w:tcPr>
          <w:p w14:paraId="3FF12079">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4.76E-06</w:t>
            </w:r>
          </w:p>
        </w:tc>
        <w:tc>
          <w:tcPr>
            <w:tcW w:w="488" w:type="pct"/>
            <w:shd w:val="clear" w:color="auto" w:fill="auto"/>
            <w:vAlign w:val="center"/>
          </w:tcPr>
          <w:p w14:paraId="5AEEDC56">
            <w:pPr>
              <w:pStyle w:val="24"/>
              <w:bidi w:val="0"/>
              <w:ind w:left="0" w:left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0.0006</w:t>
            </w:r>
          </w:p>
        </w:tc>
        <w:tc>
          <w:tcPr>
            <w:tcW w:w="410" w:type="pct"/>
            <w:shd w:val="clear" w:color="auto" w:fill="auto"/>
            <w:vAlign w:val="center"/>
          </w:tcPr>
          <w:p w14:paraId="7BE80F5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4.57E-07</w:t>
            </w:r>
          </w:p>
        </w:tc>
        <w:tc>
          <w:tcPr>
            <w:tcW w:w="406" w:type="pct"/>
            <w:shd w:val="clear" w:color="auto" w:fill="auto"/>
            <w:vAlign w:val="center"/>
          </w:tcPr>
          <w:p w14:paraId="408106B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3.81E-07</w:t>
            </w:r>
          </w:p>
        </w:tc>
        <w:tc>
          <w:tcPr>
            <w:tcW w:w="390" w:type="pct"/>
            <w:shd w:val="clear" w:color="auto" w:fill="auto"/>
            <w:vAlign w:val="center"/>
          </w:tcPr>
          <w:p w14:paraId="5ECB64B5">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4.76E-05</w:t>
            </w:r>
          </w:p>
        </w:tc>
      </w:tr>
      <w:tr w14:paraId="2FB5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1" w:type="pct"/>
            <w:vMerge w:val="continue"/>
            <w:shd w:val="clear" w:color="auto" w:fill="auto"/>
            <w:vAlign w:val="center"/>
          </w:tcPr>
          <w:p w14:paraId="77548C90">
            <w:pPr>
              <w:pStyle w:val="24"/>
              <w:bidi w:val="0"/>
              <w:ind w:left="0" w:leftChars="0"/>
              <w:jc w:val="center"/>
              <w:rPr>
                <w:rFonts w:hint="eastAsia" w:cs="Times New Roman"/>
                <w:b w:val="0"/>
                <w:bCs w:val="0"/>
                <w:color w:val="auto"/>
                <w:sz w:val="18"/>
                <w:szCs w:val="18"/>
                <w:highlight w:val="none"/>
                <w:lang w:val="en-US" w:eastAsia="zh-CN"/>
              </w:rPr>
            </w:pPr>
          </w:p>
        </w:tc>
        <w:tc>
          <w:tcPr>
            <w:tcW w:w="344" w:type="pct"/>
            <w:vMerge w:val="continue"/>
            <w:vAlign w:val="center"/>
          </w:tcPr>
          <w:p w14:paraId="49C17A0F">
            <w:pPr>
              <w:pStyle w:val="24"/>
              <w:bidi w:val="0"/>
              <w:ind w:left="0" w:leftChars="0"/>
              <w:jc w:val="center"/>
              <w:rPr>
                <w:rFonts w:hint="eastAsia" w:cs="Times New Roman"/>
                <w:b w:val="0"/>
                <w:bCs w:val="0"/>
                <w:color w:val="auto"/>
                <w:sz w:val="18"/>
                <w:szCs w:val="18"/>
                <w:highlight w:val="none"/>
                <w:lang w:val="en-US" w:eastAsia="zh-CN"/>
              </w:rPr>
            </w:pPr>
          </w:p>
        </w:tc>
        <w:tc>
          <w:tcPr>
            <w:tcW w:w="329" w:type="pct"/>
            <w:vMerge w:val="continue"/>
            <w:vAlign w:val="center"/>
          </w:tcPr>
          <w:p w14:paraId="0F58E996">
            <w:pPr>
              <w:pStyle w:val="24"/>
              <w:bidi w:val="0"/>
              <w:ind w:left="0" w:leftChars="0"/>
              <w:jc w:val="center"/>
              <w:rPr>
                <w:rFonts w:hint="eastAsia" w:cs="Times New Roman"/>
                <w:b w:val="0"/>
                <w:bCs w:val="0"/>
                <w:color w:val="auto"/>
                <w:sz w:val="18"/>
                <w:szCs w:val="18"/>
                <w:highlight w:val="none"/>
                <w:lang w:val="en-US" w:eastAsia="zh-CN"/>
              </w:rPr>
            </w:pPr>
          </w:p>
        </w:tc>
        <w:tc>
          <w:tcPr>
            <w:tcW w:w="322" w:type="pct"/>
            <w:vMerge w:val="continue"/>
            <w:vAlign w:val="center"/>
          </w:tcPr>
          <w:p w14:paraId="4043C4EC">
            <w:pPr>
              <w:pStyle w:val="24"/>
              <w:bidi w:val="0"/>
              <w:ind w:left="0" w:leftChars="0"/>
              <w:jc w:val="center"/>
              <w:rPr>
                <w:rFonts w:hint="eastAsia" w:cs="Times New Roman"/>
                <w:b w:val="0"/>
                <w:bCs w:val="0"/>
                <w:color w:val="auto"/>
                <w:sz w:val="18"/>
                <w:szCs w:val="18"/>
                <w:highlight w:val="none"/>
                <w:lang w:val="en-US" w:eastAsia="zh-CN"/>
              </w:rPr>
            </w:pPr>
          </w:p>
        </w:tc>
        <w:tc>
          <w:tcPr>
            <w:tcW w:w="315" w:type="pct"/>
            <w:vMerge w:val="continue"/>
            <w:vAlign w:val="center"/>
          </w:tcPr>
          <w:p w14:paraId="27E3A04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37" w:type="pct"/>
            <w:vMerge w:val="continue"/>
            <w:vAlign w:val="center"/>
          </w:tcPr>
          <w:p w14:paraId="61BF7EB0">
            <w:pPr>
              <w:pStyle w:val="24"/>
              <w:bidi w:val="0"/>
              <w:ind w:left="0" w:leftChars="0"/>
              <w:jc w:val="center"/>
              <w:rPr>
                <w:rFonts w:hint="eastAsia" w:cs="Times New Roman"/>
                <w:b w:val="0"/>
                <w:bCs w:val="0"/>
                <w:color w:val="auto"/>
                <w:sz w:val="18"/>
                <w:szCs w:val="18"/>
                <w:highlight w:val="none"/>
                <w:lang w:val="en-US" w:eastAsia="zh-CN"/>
              </w:rPr>
            </w:pPr>
          </w:p>
        </w:tc>
        <w:tc>
          <w:tcPr>
            <w:tcW w:w="423" w:type="pct"/>
            <w:shd w:val="clear" w:color="auto" w:fill="auto"/>
            <w:vAlign w:val="center"/>
          </w:tcPr>
          <w:p w14:paraId="5BF95CE7">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硫酸雾</w:t>
            </w:r>
          </w:p>
        </w:tc>
        <w:tc>
          <w:tcPr>
            <w:tcW w:w="372" w:type="pct"/>
            <w:shd w:val="clear" w:color="auto" w:fill="auto"/>
            <w:vAlign w:val="center"/>
          </w:tcPr>
          <w:p w14:paraId="5F6324A1">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9.59E-07</w:t>
            </w:r>
          </w:p>
        </w:tc>
        <w:tc>
          <w:tcPr>
            <w:tcW w:w="387" w:type="pct"/>
            <w:shd w:val="clear" w:color="auto" w:fill="auto"/>
            <w:vAlign w:val="center"/>
          </w:tcPr>
          <w:p w14:paraId="1CBB107A">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7.80E-07</w:t>
            </w:r>
          </w:p>
        </w:tc>
        <w:tc>
          <w:tcPr>
            <w:tcW w:w="488" w:type="pct"/>
            <w:shd w:val="clear" w:color="auto" w:fill="auto"/>
            <w:vAlign w:val="center"/>
          </w:tcPr>
          <w:p w14:paraId="7EC47B02">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9.75E-05</w:t>
            </w:r>
          </w:p>
        </w:tc>
        <w:tc>
          <w:tcPr>
            <w:tcW w:w="410" w:type="pct"/>
            <w:shd w:val="clear" w:color="auto" w:fill="auto"/>
            <w:vAlign w:val="center"/>
          </w:tcPr>
          <w:p w14:paraId="353D8D0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7.67E-08</w:t>
            </w:r>
          </w:p>
        </w:tc>
        <w:tc>
          <w:tcPr>
            <w:tcW w:w="406" w:type="pct"/>
            <w:shd w:val="clear" w:color="auto" w:fill="auto"/>
            <w:vAlign w:val="center"/>
          </w:tcPr>
          <w:p w14:paraId="74EFAE7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6.39E-08</w:t>
            </w:r>
          </w:p>
        </w:tc>
        <w:tc>
          <w:tcPr>
            <w:tcW w:w="390" w:type="pct"/>
            <w:shd w:val="clear" w:color="auto" w:fill="auto"/>
            <w:vAlign w:val="center"/>
          </w:tcPr>
          <w:p w14:paraId="3FEAB9C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7.99E-06</w:t>
            </w:r>
          </w:p>
        </w:tc>
      </w:tr>
      <w:tr w14:paraId="31F0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71" w:type="pct"/>
            <w:vMerge w:val="continue"/>
            <w:shd w:val="clear" w:color="auto" w:fill="auto"/>
            <w:vAlign w:val="center"/>
          </w:tcPr>
          <w:p w14:paraId="10F2277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4" w:type="pct"/>
            <w:vMerge w:val="continue"/>
            <w:vAlign w:val="center"/>
          </w:tcPr>
          <w:p w14:paraId="60BCA8E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vMerge w:val="continue"/>
            <w:vAlign w:val="center"/>
          </w:tcPr>
          <w:p w14:paraId="43FD5DC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2" w:type="pct"/>
            <w:vMerge w:val="continue"/>
            <w:vAlign w:val="center"/>
          </w:tcPr>
          <w:p w14:paraId="5775A98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5" w:type="pct"/>
            <w:vMerge w:val="continue"/>
            <w:vAlign w:val="center"/>
          </w:tcPr>
          <w:p w14:paraId="542FF09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37" w:type="pct"/>
            <w:vMerge w:val="continue"/>
            <w:vAlign w:val="center"/>
          </w:tcPr>
          <w:p w14:paraId="1DCA63D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423" w:type="pct"/>
            <w:shd w:val="clear" w:color="auto" w:fill="auto"/>
            <w:vAlign w:val="center"/>
          </w:tcPr>
          <w:p w14:paraId="139B33C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氟化物</w:t>
            </w:r>
          </w:p>
        </w:tc>
        <w:tc>
          <w:tcPr>
            <w:tcW w:w="372" w:type="pct"/>
            <w:shd w:val="clear" w:color="auto" w:fill="auto"/>
            <w:vAlign w:val="center"/>
          </w:tcPr>
          <w:p w14:paraId="52088B5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0.0006</w:t>
            </w:r>
          </w:p>
        </w:tc>
        <w:tc>
          <w:tcPr>
            <w:tcW w:w="387" w:type="pct"/>
            <w:shd w:val="clear" w:color="auto" w:fill="auto"/>
            <w:vAlign w:val="center"/>
          </w:tcPr>
          <w:p w14:paraId="25D5FAD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0.0005</w:t>
            </w:r>
          </w:p>
        </w:tc>
        <w:tc>
          <w:tcPr>
            <w:tcW w:w="488" w:type="pct"/>
            <w:shd w:val="clear" w:color="auto" w:fill="auto"/>
            <w:vAlign w:val="center"/>
          </w:tcPr>
          <w:p w14:paraId="4717B1B3">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0.06</w:t>
            </w:r>
          </w:p>
        </w:tc>
        <w:tc>
          <w:tcPr>
            <w:tcW w:w="410" w:type="pct"/>
            <w:shd w:val="clear" w:color="auto" w:fill="auto"/>
            <w:vAlign w:val="center"/>
          </w:tcPr>
          <w:p w14:paraId="57F5973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4.80E-05</w:t>
            </w:r>
          </w:p>
        </w:tc>
        <w:tc>
          <w:tcPr>
            <w:tcW w:w="406" w:type="pct"/>
            <w:shd w:val="clear" w:color="auto" w:fill="auto"/>
            <w:vAlign w:val="center"/>
          </w:tcPr>
          <w:p w14:paraId="10F9D89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4.00E-05</w:t>
            </w:r>
          </w:p>
        </w:tc>
        <w:tc>
          <w:tcPr>
            <w:tcW w:w="390" w:type="pct"/>
            <w:shd w:val="clear" w:color="auto" w:fill="auto"/>
            <w:vAlign w:val="center"/>
          </w:tcPr>
          <w:p w14:paraId="7C6D403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0.005</w:t>
            </w:r>
          </w:p>
        </w:tc>
      </w:tr>
      <w:tr w14:paraId="2536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13"/>
            <w:shd w:val="clear" w:color="auto" w:fill="auto"/>
            <w:vAlign w:val="center"/>
          </w:tcPr>
          <w:p w14:paraId="63B90030">
            <w:pPr>
              <w:pStyle w:val="24"/>
              <w:bidi w:val="0"/>
              <w:ind w:left="0" w:leftChars="0"/>
              <w:jc w:val="both"/>
              <w:rPr>
                <w:rFonts w:hint="eastAsia" w:ascii="Times New Roman" w:hAnsi="Times New Roman"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注：</w:t>
            </w:r>
            <w:r>
              <w:rPr>
                <w:rFonts w:hint="eastAsia" w:cs="Times New Roman"/>
                <w:b w:val="0"/>
                <w:bCs w:val="0"/>
                <w:color w:val="auto"/>
                <w:sz w:val="21"/>
                <w:szCs w:val="21"/>
                <w:highlight w:val="none"/>
                <w:lang w:val="en-US" w:eastAsia="zh-CN"/>
              </w:rPr>
              <w:t>本项目涉及酸使用的实验时间按4h/d计</w:t>
            </w:r>
            <w:r>
              <w:rPr>
                <w:rFonts w:hint="eastAsia" w:ascii="Times New Roman" w:hAnsi="Times New Roman" w:eastAsia="宋体" w:cs="Times New Roman"/>
                <w:b w:val="0"/>
                <w:bCs w:val="0"/>
                <w:color w:val="auto"/>
                <w:sz w:val="21"/>
                <w:szCs w:val="21"/>
                <w:highlight w:val="none"/>
                <w:lang w:val="en-US" w:eastAsia="zh-CN"/>
              </w:rPr>
              <w:t>。</w:t>
            </w:r>
          </w:p>
        </w:tc>
      </w:tr>
    </w:tbl>
    <w:p w14:paraId="0F40F460">
      <w:pPr>
        <w:bidi w:val="0"/>
        <w:ind w:left="0" w:leftChars="0" w:firstLine="480" w:firstLineChars="200"/>
        <w:rPr>
          <w:rFonts w:hint="default"/>
          <w:color w:val="auto"/>
          <w:lang w:val="en-US" w:eastAsia="zh-CN"/>
        </w:rPr>
      </w:pPr>
      <w:r>
        <w:rPr>
          <w:rFonts w:hint="eastAsia"/>
          <w:color w:val="auto"/>
          <w:lang w:val="en-US" w:eastAsia="zh-CN"/>
        </w:rPr>
        <w:t>由上表可知，本项目</w:t>
      </w:r>
      <w:r>
        <w:rPr>
          <w:rFonts w:hint="eastAsia" w:cs="Times New Roman"/>
          <w:b w:val="0"/>
          <w:bCs/>
          <w:color w:val="auto"/>
          <w:sz w:val="24"/>
          <w:lang w:val="en-US" w:eastAsia="zh-CN"/>
        </w:rPr>
        <w:t>质检</w:t>
      </w:r>
      <w:r>
        <w:rPr>
          <w:rFonts w:hint="eastAsia"/>
          <w:color w:val="auto"/>
          <w:lang w:val="en-US" w:eastAsia="zh-CN"/>
        </w:rPr>
        <w:t>废气经收集处理后氯化氢、硫酸雾、氟化物有组织排放速率、排放浓度满足《大气污染物排放标准》（GB 16297-1996）表2中二级标准限值，可以实现达标排放。</w:t>
      </w:r>
    </w:p>
    <w:p w14:paraId="472129C7">
      <w:pPr>
        <w:bidi w:val="0"/>
        <w:rPr>
          <w:rFonts w:hint="default"/>
          <w:color w:val="auto"/>
          <w:lang w:val="en-US" w:eastAsia="zh-CN"/>
        </w:rPr>
      </w:pPr>
      <w:r>
        <w:rPr>
          <w:rFonts w:hint="default"/>
          <w:color w:val="auto"/>
          <w:lang w:val="en-US" w:eastAsia="zh-CN"/>
        </w:rPr>
        <w:t>②</w:t>
      </w:r>
      <w:r>
        <w:rPr>
          <w:rFonts w:hint="eastAsia"/>
          <w:color w:val="auto"/>
          <w:lang w:val="en-US" w:eastAsia="zh-CN"/>
        </w:rPr>
        <w:t>无组织排放情况</w:t>
      </w:r>
    </w:p>
    <w:p w14:paraId="1A621A91">
      <w:pPr>
        <w:bidi w:val="0"/>
        <w:rPr>
          <w:rFonts w:hint="eastAsia"/>
          <w:color w:val="auto"/>
          <w:lang w:val="en-US" w:eastAsia="zh-CN"/>
        </w:rPr>
      </w:pPr>
      <w:r>
        <w:rPr>
          <w:rFonts w:hint="eastAsia"/>
          <w:color w:val="auto"/>
          <w:lang w:val="en-US" w:eastAsia="zh-CN"/>
        </w:rPr>
        <w:t>质检废气经收集处理后无组织排放情况见下表。</w:t>
      </w:r>
    </w:p>
    <w:p w14:paraId="2F78900F">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质检废气无组织排放情况</w:t>
      </w:r>
    </w:p>
    <w:tbl>
      <w:tblPr>
        <w:tblStyle w:val="20"/>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66"/>
        <w:gridCol w:w="1656"/>
        <w:gridCol w:w="1292"/>
        <w:gridCol w:w="1307"/>
        <w:gridCol w:w="1292"/>
        <w:gridCol w:w="1275"/>
      </w:tblGrid>
      <w:tr w14:paraId="29C4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 w:hRule="atLeast"/>
        </w:trPr>
        <w:tc>
          <w:tcPr>
            <w:tcW w:w="1367" w:type="pct"/>
            <w:vMerge w:val="restart"/>
            <w:shd w:val="clear" w:color="auto" w:fill="auto"/>
            <w:vAlign w:val="center"/>
          </w:tcPr>
          <w:p w14:paraId="3C6C4A92">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排放源</w:t>
            </w:r>
          </w:p>
        </w:tc>
        <w:tc>
          <w:tcPr>
            <w:tcW w:w="882" w:type="pct"/>
            <w:vMerge w:val="restart"/>
            <w:shd w:val="clear" w:color="auto" w:fill="auto"/>
            <w:vAlign w:val="center"/>
          </w:tcPr>
          <w:p w14:paraId="720C506E">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污染物</w:t>
            </w:r>
          </w:p>
        </w:tc>
        <w:tc>
          <w:tcPr>
            <w:tcW w:w="1384" w:type="pct"/>
            <w:gridSpan w:val="2"/>
            <w:vAlign w:val="center"/>
          </w:tcPr>
          <w:p w14:paraId="700A8955">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产生情况</w:t>
            </w:r>
          </w:p>
        </w:tc>
        <w:tc>
          <w:tcPr>
            <w:tcW w:w="1365" w:type="pct"/>
            <w:gridSpan w:val="2"/>
            <w:shd w:val="clear" w:color="auto" w:fill="auto"/>
            <w:vAlign w:val="center"/>
          </w:tcPr>
          <w:p w14:paraId="47EE258B">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排放情况</w:t>
            </w:r>
          </w:p>
        </w:tc>
      </w:tr>
      <w:tr w14:paraId="3C7AE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trPr>
        <w:tc>
          <w:tcPr>
            <w:tcW w:w="1367" w:type="pct"/>
            <w:vMerge w:val="continue"/>
            <w:shd w:val="clear" w:color="auto" w:fill="auto"/>
            <w:vAlign w:val="center"/>
          </w:tcPr>
          <w:p w14:paraId="383896D6">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882" w:type="pct"/>
            <w:vMerge w:val="continue"/>
            <w:shd w:val="clear" w:color="auto" w:fill="auto"/>
            <w:vAlign w:val="center"/>
          </w:tcPr>
          <w:p w14:paraId="746555B1">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p>
        </w:tc>
        <w:tc>
          <w:tcPr>
            <w:tcW w:w="688" w:type="pct"/>
            <w:vAlign w:val="center"/>
          </w:tcPr>
          <w:p w14:paraId="4A0C5930">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c>
          <w:tcPr>
            <w:tcW w:w="696" w:type="pct"/>
            <w:vAlign w:val="center"/>
          </w:tcPr>
          <w:p w14:paraId="5D0C803C">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kg/h</w:t>
            </w:r>
          </w:p>
        </w:tc>
        <w:tc>
          <w:tcPr>
            <w:tcW w:w="688" w:type="pct"/>
            <w:shd w:val="clear" w:color="auto" w:fill="auto"/>
            <w:vAlign w:val="center"/>
          </w:tcPr>
          <w:p w14:paraId="46030EED">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c>
          <w:tcPr>
            <w:tcW w:w="677" w:type="pct"/>
            <w:shd w:val="clear" w:color="auto" w:fill="auto"/>
            <w:vAlign w:val="center"/>
          </w:tcPr>
          <w:p w14:paraId="329FC498">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kg/h</w:t>
            </w:r>
          </w:p>
        </w:tc>
      </w:tr>
      <w:tr w14:paraId="5283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67" w:type="pct"/>
            <w:vMerge w:val="restart"/>
            <w:shd w:val="clear" w:color="auto" w:fill="auto"/>
            <w:vAlign w:val="center"/>
          </w:tcPr>
          <w:p w14:paraId="4A82BAFD">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质检室</w:t>
            </w:r>
          </w:p>
        </w:tc>
        <w:tc>
          <w:tcPr>
            <w:tcW w:w="882" w:type="pct"/>
            <w:shd w:val="clear" w:color="auto" w:fill="auto"/>
            <w:vAlign w:val="center"/>
          </w:tcPr>
          <w:p w14:paraId="5501B50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氯化氢</w:t>
            </w:r>
          </w:p>
        </w:tc>
        <w:tc>
          <w:tcPr>
            <w:tcW w:w="688" w:type="pct"/>
            <w:shd w:val="clear" w:color="auto" w:fill="auto"/>
            <w:vAlign w:val="center"/>
          </w:tcPr>
          <w:p w14:paraId="39C428A7">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5.71E-06</w:t>
            </w:r>
          </w:p>
        </w:tc>
        <w:tc>
          <w:tcPr>
            <w:tcW w:w="696" w:type="pct"/>
            <w:shd w:val="clear" w:color="auto" w:fill="auto"/>
            <w:vAlign w:val="center"/>
          </w:tcPr>
          <w:p w14:paraId="6D19D74D">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4.76E-06</w:t>
            </w:r>
          </w:p>
        </w:tc>
        <w:tc>
          <w:tcPr>
            <w:tcW w:w="688" w:type="pct"/>
            <w:shd w:val="clear" w:color="auto" w:fill="auto"/>
            <w:vAlign w:val="bottom"/>
          </w:tcPr>
          <w:p w14:paraId="1C739309">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1.14E-06</w:t>
            </w:r>
          </w:p>
        </w:tc>
        <w:tc>
          <w:tcPr>
            <w:tcW w:w="677" w:type="pct"/>
            <w:shd w:val="clear" w:color="auto" w:fill="auto"/>
            <w:vAlign w:val="bottom"/>
          </w:tcPr>
          <w:p w14:paraId="38EF57E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9.52E-07</w:t>
            </w:r>
          </w:p>
        </w:tc>
      </w:tr>
      <w:tr w14:paraId="2ACD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67" w:type="pct"/>
            <w:vMerge w:val="continue"/>
            <w:shd w:val="clear" w:color="auto" w:fill="auto"/>
            <w:vAlign w:val="center"/>
          </w:tcPr>
          <w:p w14:paraId="6F48D1E7">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2" w:type="pct"/>
            <w:shd w:val="clear" w:color="auto" w:fill="auto"/>
            <w:vAlign w:val="center"/>
          </w:tcPr>
          <w:p w14:paraId="4456D61D">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硫酸雾</w:t>
            </w:r>
          </w:p>
        </w:tc>
        <w:tc>
          <w:tcPr>
            <w:tcW w:w="688" w:type="pct"/>
            <w:vAlign w:val="center"/>
          </w:tcPr>
          <w:p w14:paraId="5B912AE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9.59E-07</w:t>
            </w:r>
          </w:p>
        </w:tc>
        <w:tc>
          <w:tcPr>
            <w:tcW w:w="696" w:type="pct"/>
            <w:vAlign w:val="center"/>
          </w:tcPr>
          <w:p w14:paraId="5A9D39C1">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7.80E-07</w:t>
            </w:r>
          </w:p>
        </w:tc>
        <w:tc>
          <w:tcPr>
            <w:tcW w:w="688" w:type="pct"/>
            <w:shd w:val="clear" w:color="auto" w:fill="auto"/>
            <w:vAlign w:val="bottom"/>
          </w:tcPr>
          <w:p w14:paraId="7EE96B3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1.92E-07</w:t>
            </w:r>
          </w:p>
        </w:tc>
        <w:tc>
          <w:tcPr>
            <w:tcW w:w="677" w:type="pct"/>
            <w:shd w:val="clear" w:color="auto" w:fill="auto"/>
            <w:vAlign w:val="bottom"/>
          </w:tcPr>
          <w:p w14:paraId="5064741C">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1.60E-07</w:t>
            </w:r>
          </w:p>
        </w:tc>
      </w:tr>
      <w:tr w14:paraId="3B52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trPr>
        <w:tc>
          <w:tcPr>
            <w:tcW w:w="1367" w:type="pct"/>
            <w:vMerge w:val="continue"/>
            <w:shd w:val="clear" w:color="auto" w:fill="auto"/>
            <w:vAlign w:val="center"/>
          </w:tcPr>
          <w:p w14:paraId="66ECD77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p>
        </w:tc>
        <w:tc>
          <w:tcPr>
            <w:tcW w:w="882" w:type="pct"/>
            <w:shd w:val="clear" w:color="auto" w:fill="auto"/>
            <w:vAlign w:val="center"/>
          </w:tcPr>
          <w:p w14:paraId="4D367B2D">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88" w:type="pct"/>
            <w:vAlign w:val="center"/>
          </w:tcPr>
          <w:p w14:paraId="1FC7E1B7">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0.0006</w:t>
            </w:r>
          </w:p>
        </w:tc>
        <w:tc>
          <w:tcPr>
            <w:tcW w:w="696" w:type="pct"/>
            <w:vAlign w:val="center"/>
          </w:tcPr>
          <w:p w14:paraId="60E12931">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0.0005</w:t>
            </w:r>
          </w:p>
        </w:tc>
        <w:tc>
          <w:tcPr>
            <w:tcW w:w="688" w:type="pct"/>
            <w:shd w:val="clear" w:color="auto" w:fill="auto"/>
            <w:vAlign w:val="bottom"/>
          </w:tcPr>
          <w:p w14:paraId="2841B4BE">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1.20E-04</w:t>
            </w:r>
          </w:p>
        </w:tc>
        <w:tc>
          <w:tcPr>
            <w:tcW w:w="677" w:type="pct"/>
            <w:shd w:val="clear" w:color="auto" w:fill="auto"/>
            <w:vAlign w:val="bottom"/>
          </w:tcPr>
          <w:p w14:paraId="76116935">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1.00E-04</w:t>
            </w:r>
          </w:p>
        </w:tc>
      </w:tr>
      <w:tr w14:paraId="7F57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trPr>
        <w:tc>
          <w:tcPr>
            <w:tcW w:w="5000" w:type="pct"/>
            <w:gridSpan w:val="6"/>
            <w:shd w:val="clear" w:color="auto" w:fill="auto"/>
            <w:vAlign w:val="center"/>
          </w:tcPr>
          <w:p w14:paraId="07A73577">
            <w:pPr>
              <w:pStyle w:val="24"/>
              <w:bidi w:val="0"/>
              <w:ind w:left="0" w:leftChars="0"/>
              <w:jc w:val="both"/>
              <w:rPr>
                <w:rFonts w:hint="eastAsia"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注：</w:t>
            </w:r>
            <w:r>
              <w:rPr>
                <w:rFonts w:hint="eastAsia" w:cs="Times New Roman"/>
                <w:b w:val="0"/>
                <w:bCs w:val="0"/>
                <w:color w:val="auto"/>
                <w:sz w:val="21"/>
                <w:szCs w:val="21"/>
                <w:highlight w:val="none"/>
                <w:lang w:val="en-US" w:eastAsia="zh-CN"/>
              </w:rPr>
              <w:t>本项目涉及酸使用的实验时间按4h/d计</w:t>
            </w:r>
            <w:r>
              <w:rPr>
                <w:rFonts w:hint="eastAsia" w:ascii="Times New Roman" w:hAnsi="Times New Roman" w:eastAsia="宋体" w:cs="Times New Roman"/>
                <w:b w:val="0"/>
                <w:bCs w:val="0"/>
                <w:color w:val="auto"/>
                <w:sz w:val="21"/>
                <w:szCs w:val="21"/>
                <w:highlight w:val="none"/>
                <w:lang w:val="en-US" w:eastAsia="zh-CN"/>
              </w:rPr>
              <w:t>。</w:t>
            </w:r>
          </w:p>
        </w:tc>
      </w:tr>
    </w:tbl>
    <w:p w14:paraId="155BD5F1">
      <w:pPr>
        <w:pStyle w:val="6"/>
        <w:ind w:firstLine="482"/>
        <w:rPr>
          <w:rFonts w:hint="eastAsia" w:cs="Times New Roman"/>
          <w:b/>
          <w:bCs/>
          <w:color w:val="auto"/>
          <w:highlight w:val="none"/>
          <w:lang w:val="en-US" w:eastAsia="zh-CN"/>
        </w:rPr>
      </w:pPr>
      <w:r>
        <w:rPr>
          <w:rFonts w:hint="eastAsia" w:eastAsia="宋体" w:cs="Times New Roman"/>
          <w:b/>
          <w:bCs/>
          <w:color w:val="auto"/>
          <w:highlight w:val="none"/>
          <w:lang w:val="en-US" w:eastAsia="zh-CN"/>
        </w:rPr>
        <w:t>3</w:t>
      </w:r>
      <w:r>
        <w:rPr>
          <w:rFonts w:hint="eastAsia" w:ascii="Times New Roman" w:hAnsi="Times New Roman" w:eastAsia="宋体" w:cs="Times New Roman"/>
          <w:b/>
          <w:bCs/>
          <w:color w:val="auto"/>
          <w:highlight w:val="none"/>
          <w:lang w:val="en-US" w:eastAsia="zh-CN"/>
        </w:rPr>
        <w:t>、危废暂存间废气</w:t>
      </w:r>
    </w:p>
    <w:p w14:paraId="6E12FCE8">
      <w:pPr>
        <w:pStyle w:val="30"/>
        <w:bidi w:val="0"/>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产生情况</w:t>
      </w:r>
    </w:p>
    <w:p w14:paraId="41756119">
      <w:pPr>
        <w:ind w:left="0" w:leftChars="0" w:firstLine="480" w:firstLineChars="200"/>
        <w:rPr>
          <w:rFonts w:hint="eastAsia"/>
          <w:bCs/>
          <w:color w:val="auto"/>
          <w:sz w:val="24"/>
          <w:highlight w:val="none"/>
          <w:lang w:val="en-US" w:eastAsia="zh-CN"/>
        </w:rPr>
      </w:pPr>
      <w:r>
        <w:rPr>
          <w:rFonts w:hint="eastAsia"/>
          <w:bCs/>
          <w:color w:val="auto"/>
          <w:sz w:val="24"/>
          <w:highlight w:val="none"/>
          <w:lang w:val="en-US" w:eastAsia="zh-CN"/>
        </w:rPr>
        <w:t>危险废物中</w:t>
      </w:r>
      <w:r>
        <w:rPr>
          <w:rFonts w:hint="eastAsia" w:ascii="Times New Roman" w:hAnsi="Times New Roman" w:eastAsia="宋体" w:cs="Times New Roman"/>
          <w:color w:val="auto"/>
          <w:sz w:val="24"/>
          <w:szCs w:val="24"/>
          <w:highlight w:val="none"/>
          <w:lang w:val="en-US" w:eastAsia="zh-CN"/>
        </w:rPr>
        <w:t>沾染化学品的废包装材料、</w:t>
      </w:r>
      <w:r>
        <w:rPr>
          <w:rFonts w:hint="eastAsia" w:cs="Times New Roman"/>
          <w:color w:val="auto"/>
          <w:sz w:val="24"/>
          <w:szCs w:val="24"/>
          <w:highlight w:val="none"/>
          <w:lang w:val="en-US" w:eastAsia="zh-CN"/>
        </w:rPr>
        <w:t>废活性炭等</w:t>
      </w:r>
      <w:r>
        <w:rPr>
          <w:rFonts w:hint="eastAsia"/>
          <w:bCs/>
          <w:color w:val="auto"/>
          <w:sz w:val="24"/>
          <w:highlight w:val="none"/>
          <w:lang w:val="en-US" w:eastAsia="zh-CN"/>
        </w:rPr>
        <w:t>会产生极少量有机废气、酸雾等，</w:t>
      </w:r>
      <w:r>
        <w:rPr>
          <w:rFonts w:hint="eastAsia"/>
          <w:bCs/>
          <w:color w:val="auto"/>
          <w:sz w:val="24"/>
          <w:highlight w:val="none"/>
        </w:rPr>
        <w:t>本项目</w:t>
      </w:r>
      <w:r>
        <w:rPr>
          <w:rFonts w:hint="eastAsia"/>
          <w:bCs/>
          <w:color w:val="auto"/>
          <w:sz w:val="24"/>
          <w:highlight w:val="none"/>
          <w:lang w:val="en-US" w:eastAsia="zh-CN"/>
        </w:rPr>
        <w:t>危废采用密闭袋装或密闭桶装，危废暂存过程中废气几乎不会逸散至外环境，且前文已针对本项目使用的原辅料产生的废气进行了计算，此处不再对</w:t>
      </w:r>
      <w:r>
        <w:rPr>
          <w:rFonts w:hint="eastAsia" w:cs="Times New Roman"/>
          <w:b w:val="0"/>
          <w:bCs w:val="0"/>
          <w:color w:val="auto"/>
          <w:highlight w:val="none"/>
          <w:lang w:val="en-US" w:eastAsia="zh-CN"/>
        </w:rPr>
        <w:t>危废暂存间</w:t>
      </w:r>
      <w:r>
        <w:rPr>
          <w:rFonts w:hint="eastAsia"/>
          <w:bCs/>
          <w:color w:val="auto"/>
          <w:sz w:val="24"/>
          <w:highlight w:val="none"/>
          <w:lang w:val="en-US" w:eastAsia="zh-CN"/>
        </w:rPr>
        <w:t>废气进行重复计算，本次仅进行定性分析。</w:t>
      </w:r>
    </w:p>
    <w:p w14:paraId="69626D59">
      <w:pPr>
        <w:ind w:left="0" w:leftChars="0" w:firstLine="482" w:firstLineChars="200"/>
        <w:rPr>
          <w:rFonts w:hint="eastAsia"/>
          <w:bCs/>
          <w:color w:val="auto"/>
          <w:sz w:val="24"/>
          <w:highlight w:val="none"/>
          <w:lang w:val="en-US" w:eastAsia="zh-CN"/>
        </w:rPr>
      </w:pPr>
      <w:r>
        <w:rPr>
          <w:rFonts w:hint="eastAsia"/>
          <w:b/>
          <w:color w:val="auto"/>
          <w:sz w:val="24"/>
          <w:szCs w:val="24"/>
          <w:lang w:eastAsia="zh-CN"/>
        </w:rPr>
        <w:t>（</w:t>
      </w:r>
      <w:r>
        <w:rPr>
          <w:rFonts w:hint="eastAsia"/>
          <w:b/>
          <w:color w:val="auto"/>
          <w:sz w:val="24"/>
          <w:szCs w:val="24"/>
          <w:lang w:val="en-US" w:eastAsia="zh-CN"/>
        </w:rPr>
        <w:t>2</w:t>
      </w:r>
      <w:r>
        <w:rPr>
          <w:rFonts w:hint="eastAsia"/>
          <w:b/>
          <w:color w:val="auto"/>
          <w:sz w:val="24"/>
          <w:szCs w:val="24"/>
          <w:lang w:eastAsia="zh-CN"/>
        </w:rPr>
        <w:t>）</w:t>
      </w:r>
      <w:r>
        <w:rPr>
          <w:rFonts w:hint="eastAsia"/>
          <w:b/>
          <w:color w:val="auto"/>
          <w:sz w:val="24"/>
          <w:szCs w:val="24"/>
        </w:rPr>
        <w:t>治理</w:t>
      </w:r>
      <w:r>
        <w:rPr>
          <w:b/>
          <w:color w:val="auto"/>
          <w:sz w:val="24"/>
          <w:szCs w:val="24"/>
        </w:rPr>
        <w:t>措施</w:t>
      </w:r>
    </w:p>
    <w:p w14:paraId="0A58DF32">
      <w:pPr>
        <w:ind w:left="0" w:leftChars="0" w:firstLine="480" w:firstLineChars="200"/>
        <w:rPr>
          <w:rFonts w:hint="eastAsia"/>
          <w:color w:val="auto"/>
          <w:highlight w:val="none"/>
          <w:lang w:val="en-US" w:eastAsia="zh-CN"/>
        </w:rPr>
      </w:pPr>
      <w:r>
        <w:rPr>
          <w:rFonts w:hint="eastAsia"/>
          <w:color w:val="auto"/>
          <w:lang w:val="en-US" w:eastAsia="zh-CN"/>
        </w:rPr>
        <w:t>危废暂存间在保证安全的前提下密闭设置</w:t>
      </w:r>
      <w:r>
        <w:rPr>
          <w:rFonts w:hint="eastAsia"/>
          <w:bCs/>
          <w:color w:val="auto"/>
          <w:sz w:val="24"/>
          <w:highlight w:val="none"/>
          <w:lang w:val="en-US" w:eastAsia="zh-CN"/>
        </w:rPr>
        <w:t>，负压抽风，并</w:t>
      </w:r>
      <w:r>
        <w:rPr>
          <w:rFonts w:hint="eastAsia" w:cs="Courier New"/>
          <w:b w:val="0"/>
          <w:color w:val="auto"/>
          <w:highlight w:val="none"/>
          <w:lang w:val="en-US" w:eastAsia="zh-CN"/>
        </w:rPr>
        <w:t>设1套</w:t>
      </w:r>
      <w:r>
        <w:rPr>
          <w:rFonts w:hint="eastAsia" w:ascii="Times New Roman" w:hAnsi="Times New Roman" w:eastAsia="宋体" w:cs="Courier New"/>
          <w:b w:val="0"/>
          <w:color w:val="auto"/>
          <w:highlight w:val="none"/>
          <w:lang w:val="en-US" w:eastAsia="zh-CN"/>
        </w:rPr>
        <w:t>活性炭吸附装置（TA00</w:t>
      </w:r>
      <w:r>
        <w:rPr>
          <w:rFonts w:hint="eastAsia" w:eastAsia="宋体" w:cs="Courier New"/>
          <w:b w:val="0"/>
          <w:color w:val="auto"/>
          <w:highlight w:val="none"/>
          <w:lang w:val="en-US" w:eastAsia="zh-CN"/>
        </w:rPr>
        <w:t>3</w:t>
      </w:r>
      <w:r>
        <w:rPr>
          <w:rFonts w:hint="eastAsia" w:ascii="Times New Roman" w:hAnsi="Times New Roman" w:eastAsia="宋体" w:cs="Courier New"/>
          <w:b w:val="0"/>
          <w:color w:val="auto"/>
          <w:highlight w:val="none"/>
          <w:lang w:val="en-US" w:eastAsia="zh-CN"/>
        </w:rPr>
        <w:t>），</w:t>
      </w:r>
      <w:r>
        <w:rPr>
          <w:rFonts w:hint="eastAsia" w:ascii="Times New Roman" w:hAnsi="Times New Roman" w:eastAsia="宋体" w:cs="Courier New"/>
          <w:b w:val="0"/>
          <w:color w:val="auto"/>
          <w:kern w:val="2"/>
          <w:sz w:val="24"/>
          <w:szCs w:val="24"/>
          <w:highlight w:val="none"/>
          <w:lang w:val="en-US" w:eastAsia="zh-CN" w:bidi="ar-SA"/>
        </w:rPr>
        <w:t>危废暂存间</w:t>
      </w:r>
      <w:r>
        <w:rPr>
          <w:rFonts w:hint="eastAsia" w:ascii="Times New Roman" w:hAnsi="Times New Roman" w:eastAsia="宋体" w:cs="Courier New"/>
          <w:b w:val="0"/>
          <w:color w:val="auto"/>
          <w:highlight w:val="none"/>
          <w:lang w:val="en-US" w:eastAsia="zh-CN"/>
        </w:rPr>
        <w:t>废气经收集</w:t>
      </w:r>
      <w:r>
        <w:rPr>
          <w:rFonts w:hint="default" w:ascii="Times New Roman" w:hAnsi="Times New Roman" w:eastAsia="宋体" w:cs="Courier New"/>
          <w:b w:val="0"/>
          <w:color w:val="auto"/>
          <w:highlight w:val="none"/>
          <w:lang w:val="en-US" w:eastAsia="zh-CN"/>
        </w:rPr>
        <w:t>处理后直接排放</w:t>
      </w:r>
      <w:r>
        <w:rPr>
          <w:rFonts w:hint="eastAsia" w:ascii="Times New Roman" w:hAnsi="Times New Roman" w:eastAsia="宋体" w:cs="Courier New"/>
          <w:b w:val="0"/>
          <w:color w:val="auto"/>
          <w:highlight w:val="none"/>
          <w:lang w:val="en-US" w:eastAsia="zh-CN"/>
        </w:rPr>
        <w:t>。</w:t>
      </w:r>
      <w:r>
        <w:rPr>
          <w:rFonts w:hint="eastAsia"/>
          <w:color w:val="auto"/>
          <w:lang w:val="en-US" w:eastAsia="zh-CN"/>
        </w:rPr>
        <w:t>危废暂存间</w:t>
      </w:r>
      <w:r>
        <w:rPr>
          <w:rFonts w:hint="eastAsia" w:ascii="Times New Roman" w:hAnsi="Times New Roman" w:eastAsia="宋体" w:cs="Courier New"/>
          <w:b w:val="0"/>
          <w:color w:val="auto"/>
          <w:highlight w:val="none"/>
          <w:lang w:val="en-US" w:eastAsia="zh-CN"/>
        </w:rPr>
        <w:t>建筑面积</w:t>
      </w:r>
      <w:r>
        <w:rPr>
          <w:rFonts w:hint="eastAsia" w:cs="Courier New"/>
          <w:b w:val="0"/>
          <w:color w:val="auto"/>
          <w:highlight w:val="none"/>
          <w:lang w:val="en-US" w:eastAsia="zh-CN"/>
        </w:rPr>
        <w:t>20</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2</w:t>
      </w:r>
      <w:r>
        <w:rPr>
          <w:rFonts w:hint="eastAsia" w:ascii="Times New Roman" w:hAnsi="Times New Roman" w:eastAsia="宋体" w:cs="Courier New"/>
          <w:b w:val="0"/>
          <w:color w:val="auto"/>
          <w:highlight w:val="none"/>
          <w:lang w:val="en-US" w:eastAsia="zh-CN"/>
        </w:rPr>
        <w:t>，H=</w:t>
      </w:r>
      <w:r>
        <w:rPr>
          <w:rFonts w:hint="eastAsia" w:eastAsia="宋体" w:cs="Courier New"/>
          <w:b w:val="0"/>
          <w:color w:val="auto"/>
          <w:highlight w:val="none"/>
          <w:lang w:val="en-US" w:eastAsia="zh-CN"/>
        </w:rPr>
        <w:t>10.3</w:t>
      </w:r>
      <w:r>
        <w:rPr>
          <w:rFonts w:hint="eastAsia" w:ascii="Times New Roman" w:hAnsi="Times New Roman" w:eastAsia="宋体" w:cs="Courier New"/>
          <w:b w:val="0"/>
          <w:color w:val="auto"/>
          <w:highlight w:val="none"/>
          <w:lang w:val="en-US" w:eastAsia="zh-CN"/>
        </w:rPr>
        <w:t>m，换气次数为</w:t>
      </w:r>
      <w:r>
        <w:rPr>
          <w:rFonts w:hint="eastAsia" w:cs="Courier New"/>
          <w:b w:val="0"/>
          <w:color w:val="auto"/>
          <w:highlight w:val="none"/>
          <w:lang w:val="en-US" w:eastAsia="zh-CN"/>
        </w:rPr>
        <w:t>20</w:t>
      </w:r>
      <w:r>
        <w:rPr>
          <w:rFonts w:hint="eastAsia" w:ascii="Times New Roman" w:hAnsi="Times New Roman" w:eastAsia="宋体" w:cs="Courier New"/>
          <w:b w:val="0"/>
          <w:color w:val="auto"/>
          <w:highlight w:val="none"/>
          <w:lang w:val="en-US" w:eastAsia="zh-CN"/>
        </w:rPr>
        <w:t>次/h，则</w:t>
      </w:r>
      <w:r>
        <w:rPr>
          <w:rFonts w:hint="eastAsia"/>
          <w:color w:val="auto"/>
          <w:highlight w:val="none"/>
          <w:lang w:val="en-US" w:eastAsia="zh-CN"/>
        </w:rPr>
        <w:t>该系统风量按4120m</w:t>
      </w:r>
      <w:r>
        <w:rPr>
          <w:rFonts w:hint="eastAsia"/>
          <w:color w:val="auto"/>
          <w:highlight w:val="none"/>
          <w:vertAlign w:val="superscript"/>
          <w:lang w:val="en-US" w:eastAsia="zh-CN"/>
        </w:rPr>
        <w:t>3</w:t>
      </w:r>
      <w:r>
        <w:rPr>
          <w:rFonts w:hint="eastAsia"/>
          <w:color w:val="auto"/>
          <w:highlight w:val="none"/>
          <w:lang w:val="en-US" w:eastAsia="zh-CN"/>
        </w:rPr>
        <w:t>/h计。</w:t>
      </w:r>
    </w:p>
    <w:p w14:paraId="6F01B1AD">
      <w:pPr>
        <w:ind w:left="0" w:leftChars="0" w:firstLine="482"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
          <w:bCs w:val="0"/>
          <w:color w:val="auto"/>
          <w:sz w:val="24"/>
          <w:lang w:val="en-US" w:eastAsia="zh-CN"/>
        </w:rPr>
        <w:t>活性炭吸附装置设置情况：</w:t>
      </w:r>
    </w:p>
    <w:p w14:paraId="24B8E99E">
      <w:pPr>
        <w:spacing w:line="360" w:lineRule="auto"/>
        <w:rPr>
          <w:rFonts w:hint="eastAsia"/>
          <w:color w:val="auto"/>
          <w:sz w:val="24"/>
          <w:highlight w:val="none"/>
        </w:rPr>
      </w:pPr>
      <w:r>
        <w:rPr>
          <w:rFonts w:hint="eastAsia"/>
          <w:color w:val="auto"/>
          <w:sz w:val="24"/>
          <w:highlight w:val="none"/>
        </w:rPr>
        <w:t>本项目</w:t>
      </w:r>
      <w:r>
        <w:rPr>
          <w:rFonts w:hint="eastAsia"/>
          <w:color w:val="auto"/>
          <w:lang w:val="en-US" w:eastAsia="zh-CN"/>
        </w:rPr>
        <w:t>危废暂存间</w:t>
      </w:r>
      <w:r>
        <w:rPr>
          <w:rFonts w:hint="eastAsia"/>
          <w:color w:val="auto"/>
          <w:sz w:val="24"/>
          <w:highlight w:val="none"/>
        </w:rPr>
        <w:t>拟采用的</w:t>
      </w:r>
      <w:r>
        <w:rPr>
          <w:rFonts w:hint="eastAsia"/>
          <w:color w:val="auto"/>
          <w:sz w:val="24"/>
          <w:highlight w:val="none"/>
          <w:lang w:val="en-US" w:eastAsia="zh-CN"/>
        </w:rPr>
        <w:t>活性炭</w:t>
      </w:r>
      <w:r>
        <w:rPr>
          <w:rFonts w:hint="eastAsia"/>
          <w:color w:val="auto"/>
          <w:sz w:val="24"/>
          <w:highlight w:val="none"/>
        </w:rPr>
        <w:t>装置主要参数如下：</w:t>
      </w:r>
    </w:p>
    <w:p w14:paraId="3BE2096D">
      <w:pPr>
        <w:spacing w:line="360" w:lineRule="auto"/>
        <w:rPr>
          <w:rFonts w:hint="eastAsia"/>
          <w:color w:val="auto"/>
          <w:sz w:val="24"/>
          <w:highlight w:val="none"/>
        </w:rPr>
      </w:pPr>
      <w:r>
        <w:rPr>
          <w:rFonts w:hint="eastAsia"/>
          <w:color w:val="auto"/>
          <w:sz w:val="24"/>
          <w:highlight w:val="none"/>
        </w:rPr>
        <w:t>活性炭吸附箱数量：</w:t>
      </w:r>
      <w:r>
        <w:rPr>
          <w:rFonts w:hint="eastAsia"/>
          <w:color w:val="auto"/>
          <w:sz w:val="24"/>
          <w:highlight w:val="none"/>
          <w:lang w:val="en-US" w:eastAsia="zh-CN"/>
        </w:rPr>
        <w:t>1</w:t>
      </w:r>
      <w:r>
        <w:rPr>
          <w:rFonts w:hint="eastAsia"/>
          <w:color w:val="auto"/>
          <w:sz w:val="24"/>
          <w:highlight w:val="none"/>
        </w:rPr>
        <w:t>个；        风量：</w:t>
      </w:r>
      <w:r>
        <w:rPr>
          <w:rFonts w:hint="eastAsia"/>
          <w:color w:val="auto"/>
          <w:sz w:val="24"/>
          <w:highlight w:val="none"/>
          <w:lang w:val="en-US" w:eastAsia="zh-CN"/>
        </w:rPr>
        <w:t>4120</w:t>
      </w:r>
      <w:r>
        <w:rPr>
          <w:rFonts w:hint="eastAsia"/>
          <w:color w:val="auto"/>
          <w:sz w:val="24"/>
          <w:highlight w:val="none"/>
        </w:rPr>
        <w:t>m</w:t>
      </w:r>
      <w:r>
        <w:rPr>
          <w:rFonts w:hint="eastAsia"/>
          <w:color w:val="auto"/>
          <w:sz w:val="24"/>
          <w:highlight w:val="none"/>
          <w:vertAlign w:val="superscript"/>
        </w:rPr>
        <w:t>3</w:t>
      </w:r>
      <w:r>
        <w:rPr>
          <w:rFonts w:hint="eastAsia"/>
          <w:color w:val="auto"/>
          <w:sz w:val="24"/>
          <w:highlight w:val="none"/>
        </w:rPr>
        <w:t>/h；</w:t>
      </w:r>
    </w:p>
    <w:p w14:paraId="4D7D69BB">
      <w:pPr>
        <w:spacing w:line="360" w:lineRule="auto"/>
        <w:rPr>
          <w:rFonts w:hint="eastAsia"/>
          <w:color w:val="auto"/>
          <w:sz w:val="24"/>
          <w:highlight w:val="none"/>
        </w:rPr>
      </w:pPr>
      <w:r>
        <w:rPr>
          <w:rFonts w:hint="eastAsia"/>
          <w:color w:val="auto"/>
          <w:sz w:val="24"/>
          <w:highlight w:val="none"/>
        </w:rPr>
        <w:t>填充活性炭类型：</w:t>
      </w:r>
      <w:r>
        <w:rPr>
          <w:rFonts w:hint="eastAsia"/>
          <w:color w:val="auto"/>
          <w:sz w:val="24"/>
          <w:highlight w:val="none"/>
          <w:lang w:val="en-US" w:eastAsia="zh-CN"/>
        </w:rPr>
        <w:t>颗粒状活性炭</w:t>
      </w:r>
      <w:r>
        <w:rPr>
          <w:rFonts w:hint="eastAsia"/>
          <w:color w:val="auto"/>
          <w:sz w:val="24"/>
          <w:highlight w:val="none"/>
        </w:rPr>
        <w:t>；</w:t>
      </w:r>
      <w:r>
        <w:rPr>
          <w:rFonts w:hint="eastAsia"/>
          <w:color w:val="auto"/>
          <w:sz w:val="24"/>
          <w:highlight w:val="none"/>
          <w:lang w:val="en-US" w:eastAsia="zh-CN"/>
        </w:rPr>
        <w:t xml:space="preserve">  </w:t>
      </w:r>
      <w:r>
        <w:rPr>
          <w:rFonts w:hint="eastAsia"/>
          <w:color w:val="auto"/>
          <w:sz w:val="24"/>
          <w:highlight w:val="none"/>
        </w:rPr>
        <w:t>活性炭碘值：</w:t>
      </w:r>
      <w:r>
        <w:rPr>
          <w:rFonts w:hint="eastAsia"/>
          <w:color w:val="auto"/>
          <w:sz w:val="24"/>
          <w:highlight w:val="none"/>
          <w:lang w:val="en-US" w:eastAsia="zh-CN"/>
        </w:rPr>
        <w:t>800mg/g</w:t>
      </w:r>
      <w:r>
        <w:rPr>
          <w:rFonts w:hint="eastAsia"/>
          <w:color w:val="auto"/>
          <w:sz w:val="24"/>
          <w:highlight w:val="none"/>
        </w:rPr>
        <w:t>；</w:t>
      </w:r>
    </w:p>
    <w:p w14:paraId="4A60BEC5">
      <w:pPr>
        <w:spacing w:line="360" w:lineRule="auto"/>
        <w:rPr>
          <w:rFonts w:hint="eastAsia"/>
          <w:color w:val="auto"/>
          <w:sz w:val="24"/>
          <w:highlight w:val="none"/>
        </w:rPr>
      </w:pPr>
      <w:r>
        <w:rPr>
          <w:rFonts w:hint="eastAsia"/>
          <w:color w:val="auto"/>
          <w:sz w:val="24"/>
          <w:highlight w:val="none"/>
        </w:rPr>
        <w:t>活性炭动态吸附率：10%；        活性炭密度：0.45g/cm</w:t>
      </w:r>
      <w:r>
        <w:rPr>
          <w:rFonts w:hint="eastAsia"/>
          <w:color w:val="auto"/>
          <w:sz w:val="24"/>
          <w:highlight w:val="none"/>
          <w:vertAlign w:val="superscript"/>
        </w:rPr>
        <w:t>3</w:t>
      </w:r>
      <w:r>
        <w:rPr>
          <w:rFonts w:hint="eastAsia"/>
          <w:color w:val="auto"/>
          <w:sz w:val="24"/>
          <w:highlight w:val="none"/>
        </w:rPr>
        <w:t>；</w:t>
      </w:r>
    </w:p>
    <w:p w14:paraId="311F7A4D">
      <w:pPr>
        <w:spacing w:line="360" w:lineRule="auto"/>
        <w:rPr>
          <w:rFonts w:hint="eastAsia"/>
          <w:color w:val="auto"/>
          <w:sz w:val="24"/>
          <w:highlight w:val="none"/>
        </w:rPr>
      </w:pPr>
      <w:r>
        <w:rPr>
          <w:rFonts w:hint="eastAsia"/>
          <w:color w:val="auto"/>
          <w:sz w:val="24"/>
          <w:highlight w:val="none"/>
        </w:rPr>
        <w:t>活性炭装填量：</w:t>
      </w:r>
      <w:r>
        <w:rPr>
          <w:rFonts w:hint="eastAsia"/>
          <w:color w:val="auto"/>
          <w:sz w:val="24"/>
          <w:highlight w:val="none"/>
          <w:lang w:val="en-US" w:eastAsia="zh-CN"/>
        </w:rPr>
        <w:t>0.5t</w:t>
      </w:r>
      <w:r>
        <w:rPr>
          <w:rFonts w:hint="eastAsia"/>
          <w:color w:val="auto"/>
          <w:sz w:val="24"/>
          <w:highlight w:val="none"/>
        </w:rPr>
        <w:t xml:space="preserve">/次；   </w:t>
      </w:r>
      <w:r>
        <w:rPr>
          <w:rFonts w:hint="eastAsia"/>
          <w:color w:val="auto"/>
          <w:sz w:val="24"/>
          <w:highlight w:val="none"/>
          <w:lang w:val="en-US" w:eastAsia="zh-CN"/>
        </w:rPr>
        <w:t xml:space="preserve"> </w:t>
      </w:r>
      <w:r>
        <w:rPr>
          <w:rFonts w:hint="eastAsia"/>
          <w:color w:val="auto"/>
          <w:sz w:val="24"/>
          <w:highlight w:val="none"/>
        </w:rPr>
        <w:t>更换周期：</w:t>
      </w:r>
      <w:r>
        <w:rPr>
          <w:rFonts w:hint="eastAsia"/>
          <w:color w:val="auto"/>
          <w:sz w:val="24"/>
          <w:highlight w:val="none"/>
          <w:lang w:val="en-US" w:eastAsia="zh-CN"/>
        </w:rPr>
        <w:t>3</w:t>
      </w:r>
      <w:r>
        <w:rPr>
          <w:rFonts w:hint="eastAsia"/>
          <w:color w:val="auto"/>
          <w:sz w:val="24"/>
          <w:highlight w:val="none"/>
        </w:rPr>
        <w:t>个月/次。</w:t>
      </w:r>
    </w:p>
    <w:p w14:paraId="0B379DB6">
      <w:pPr>
        <w:ind w:left="0" w:leftChars="0" w:firstLine="480" w:firstLineChars="200"/>
        <w:rPr>
          <w:rFonts w:hint="eastAsia" w:ascii="Times New Roman" w:hAnsi="Times New Roman" w:eastAsia="宋体" w:cs="Times New Roman"/>
          <w:color w:val="auto"/>
          <w:sz w:val="24"/>
          <w:highlight w:val="none"/>
          <w:lang w:val="en-US" w:eastAsia="zh-CN"/>
        </w:rPr>
      </w:pPr>
      <w:r>
        <w:rPr>
          <w:rFonts w:hint="eastAsia"/>
          <w:color w:val="auto"/>
          <w:sz w:val="24"/>
          <w:highlight w:val="none"/>
          <w:lang w:val="en-US" w:eastAsia="zh-CN"/>
        </w:rPr>
        <w:t>本项目活性炭吸附装置活性炭单次</w:t>
      </w:r>
      <w:r>
        <w:rPr>
          <w:rFonts w:hint="eastAsia"/>
          <w:color w:val="auto"/>
          <w:sz w:val="24"/>
          <w:highlight w:val="none"/>
        </w:rPr>
        <w:t>填充量</w:t>
      </w:r>
      <w:r>
        <w:rPr>
          <w:rFonts w:hint="eastAsia"/>
          <w:color w:val="auto"/>
          <w:sz w:val="24"/>
          <w:highlight w:val="none"/>
          <w:lang w:val="en-US" w:eastAsia="zh-CN"/>
        </w:rPr>
        <w:t>为0.5t，活性炭更换周期为3个月，活性炭用量为2t/a。</w:t>
      </w:r>
      <w:r>
        <w:rPr>
          <w:rFonts w:hint="eastAsia" w:ascii="Times New Roman" w:hAnsi="Times New Roman" w:eastAsia="宋体" w:cs="Times New Roman"/>
          <w:color w:val="auto"/>
          <w:sz w:val="24"/>
          <w:highlight w:val="none"/>
          <w:lang w:val="en-US" w:eastAsia="zh-CN"/>
        </w:rPr>
        <w:t>同时，活性炭吸附装置前端安装压差计，活性炭吸附装置过风风速0.5m/s。</w:t>
      </w:r>
    </w:p>
    <w:p w14:paraId="4D081B22">
      <w:pPr>
        <w:pStyle w:val="6"/>
        <w:ind w:firstLine="482"/>
        <w:rPr>
          <w:rFonts w:hint="eastAsia" w:cs="Times New Roman"/>
          <w:b/>
          <w:bCs/>
          <w:color w:val="auto"/>
          <w:highlight w:val="none"/>
          <w:lang w:val="en-US" w:eastAsia="zh-CN"/>
        </w:rPr>
      </w:pPr>
      <w:r>
        <w:rPr>
          <w:rFonts w:hint="eastAsia" w:eastAsia="宋体"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、废气产生及排放情况</w:t>
      </w:r>
    </w:p>
    <w:p w14:paraId="009DD783">
      <w:pPr>
        <w:rPr>
          <w:rFonts w:hint="default" w:ascii="Times New Roman" w:hAnsi="Times New Roman" w:eastAsia="宋体"/>
          <w:color w:val="auto"/>
          <w:sz w:val="24"/>
          <w:szCs w:val="24"/>
          <w:highlight w:val="none"/>
          <w:lang w:val="en-US" w:eastAsia="zh-CN"/>
        </w:rPr>
      </w:pPr>
      <w:r>
        <w:rPr>
          <w:rFonts w:hint="eastAsia"/>
          <w:b/>
          <w:bCs/>
          <w:color w:val="auto"/>
          <w:sz w:val="24"/>
          <w:szCs w:val="24"/>
          <w:highlight w:val="none"/>
          <w:lang w:eastAsia="zh-CN"/>
        </w:rPr>
        <w:t>（</w:t>
      </w:r>
      <w:r>
        <w:rPr>
          <w:rFonts w:hint="eastAsia"/>
          <w:b/>
          <w:bCs/>
          <w:color w:val="auto"/>
          <w:sz w:val="24"/>
          <w:szCs w:val="24"/>
          <w:highlight w:val="none"/>
          <w:lang w:val="en-US" w:eastAsia="zh-CN"/>
        </w:rPr>
        <w:t>1</w:t>
      </w:r>
      <w:r>
        <w:rPr>
          <w:rFonts w:hint="eastAsia"/>
          <w:b/>
          <w:bCs/>
          <w:color w:val="auto"/>
          <w:sz w:val="24"/>
          <w:szCs w:val="24"/>
          <w:highlight w:val="none"/>
          <w:lang w:eastAsia="zh-CN"/>
        </w:rPr>
        <w:t>）</w:t>
      </w:r>
      <w:r>
        <w:rPr>
          <w:rFonts w:hint="eastAsia"/>
          <w:b/>
          <w:bCs/>
          <w:color w:val="auto"/>
          <w:sz w:val="24"/>
          <w:szCs w:val="24"/>
          <w:highlight w:val="none"/>
          <w:lang w:val="en-US" w:eastAsia="zh-CN"/>
        </w:rPr>
        <w:t>废气</w:t>
      </w:r>
      <w:r>
        <w:rPr>
          <w:rFonts w:hint="eastAsia" w:ascii="Times New Roman" w:hAnsi="Times New Roman" w:eastAsia="宋体" w:cs="Times New Roman"/>
          <w:b/>
          <w:bCs/>
          <w:color w:val="auto"/>
          <w:highlight w:val="none"/>
          <w:lang w:val="en-US" w:eastAsia="zh-CN"/>
        </w:rPr>
        <w:t>产生及排放情况</w:t>
      </w:r>
    </w:p>
    <w:p w14:paraId="052F69C2">
      <w:pPr>
        <w:ind w:left="0" w:leftChars="0" w:firstLine="480" w:firstLineChars="200"/>
        <w:rPr>
          <w:rFonts w:hint="eastAsia" w:ascii="Times New Roman" w:hAnsi="Times New Roman"/>
          <w:color w:val="auto"/>
          <w:sz w:val="24"/>
          <w:szCs w:val="24"/>
          <w:highlight w:val="none"/>
          <w:lang w:eastAsia="zh-CN"/>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ascii="Times New Roman" w:hAnsi="Times New Roman"/>
          <w:color w:val="auto"/>
          <w:sz w:val="24"/>
          <w:szCs w:val="24"/>
          <w:highlight w:val="none"/>
        </w:rPr>
        <w:t>根据计算</w:t>
      </w:r>
      <w:r>
        <w:rPr>
          <w:rFonts w:hint="eastAsia" w:ascii="Times New Roman" w:hAnsi="Times New Roman"/>
          <w:color w:val="auto"/>
          <w:sz w:val="24"/>
          <w:szCs w:val="24"/>
          <w:highlight w:val="none"/>
        </w:rPr>
        <w:t>，</w:t>
      </w:r>
      <w:r>
        <w:rPr>
          <w:rFonts w:hint="eastAsia" w:ascii="Times New Roman" w:hAnsi="Times New Roman" w:cs="Times New Roman"/>
          <w:color w:val="auto"/>
          <w:sz w:val="24"/>
          <w:szCs w:val="24"/>
          <w:highlight w:val="none"/>
          <w:lang w:val="en-US" w:eastAsia="zh-CN"/>
        </w:rPr>
        <w:t>本项目</w:t>
      </w:r>
      <w:r>
        <w:rPr>
          <w:rFonts w:hint="eastAsia" w:cs="Times New Roman"/>
          <w:color w:val="auto"/>
          <w:sz w:val="24"/>
          <w:szCs w:val="24"/>
          <w:highlight w:val="none"/>
          <w:lang w:val="en-US" w:eastAsia="zh-CN"/>
        </w:rPr>
        <w:t>废</w:t>
      </w:r>
      <w:r>
        <w:rPr>
          <w:rFonts w:hint="eastAsia" w:ascii="Times New Roman" w:hAnsi="Times New Roman" w:cs="Times New Roman"/>
          <w:color w:val="auto"/>
          <w:sz w:val="24"/>
          <w:szCs w:val="24"/>
          <w:highlight w:val="none"/>
          <w:lang w:val="en-US" w:eastAsia="zh-CN"/>
        </w:rPr>
        <w:t>气产生及</w:t>
      </w:r>
      <w:r>
        <w:rPr>
          <w:rFonts w:hint="eastAsia" w:ascii="Times New Roman" w:hAnsi="Times New Roman" w:cs="Times New Roman"/>
          <w:color w:val="auto"/>
          <w:sz w:val="24"/>
          <w:szCs w:val="24"/>
          <w:highlight w:val="none"/>
        </w:rPr>
        <w:t>经处理后排放情况</w:t>
      </w:r>
      <w:r>
        <w:rPr>
          <w:rFonts w:ascii="Times New Roman" w:hAnsi="Times New Roman"/>
          <w:color w:val="auto"/>
          <w:sz w:val="24"/>
          <w:szCs w:val="24"/>
          <w:highlight w:val="none"/>
        </w:rPr>
        <w:t>见下表</w:t>
      </w:r>
      <w:r>
        <w:rPr>
          <w:rFonts w:hint="eastAsia" w:ascii="Times New Roman" w:hAnsi="Times New Roman"/>
          <w:color w:val="auto"/>
          <w:sz w:val="24"/>
          <w:szCs w:val="24"/>
          <w:highlight w:val="none"/>
          <w:lang w:eastAsia="zh-CN"/>
        </w:rPr>
        <w:t>。</w:t>
      </w:r>
    </w:p>
    <w:p w14:paraId="22812ACD">
      <w:pPr>
        <w:pStyle w:val="27"/>
        <w:numPr>
          <w:ilvl w:val="0"/>
          <w:numId w:val="20"/>
        </w:numPr>
        <w:bidi w:val="0"/>
        <w:ind w:left="425" w:leftChars="0" w:hanging="425" w:firstLineChars="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本项目废气排放情况一览表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845"/>
        <w:gridCol w:w="691"/>
        <w:gridCol w:w="925"/>
        <w:gridCol w:w="725"/>
        <w:gridCol w:w="1581"/>
        <w:gridCol w:w="805"/>
        <w:gridCol w:w="763"/>
        <w:gridCol w:w="941"/>
        <w:gridCol w:w="900"/>
        <w:gridCol w:w="914"/>
        <w:gridCol w:w="914"/>
        <w:gridCol w:w="922"/>
        <w:gridCol w:w="988"/>
        <w:gridCol w:w="977"/>
        <w:gridCol w:w="666"/>
      </w:tblGrid>
      <w:tr w14:paraId="558F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vMerge w:val="restart"/>
            <w:noWrap w:val="0"/>
            <w:vAlign w:val="center"/>
          </w:tcPr>
          <w:p w14:paraId="297C8F1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污染源</w:t>
            </w:r>
          </w:p>
        </w:tc>
        <w:tc>
          <w:tcPr>
            <w:tcW w:w="296" w:type="pct"/>
            <w:vMerge w:val="restart"/>
            <w:noWrap w:val="0"/>
            <w:vAlign w:val="center"/>
          </w:tcPr>
          <w:p w14:paraId="06D70051">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w:t>
            </w:r>
          </w:p>
        </w:tc>
        <w:tc>
          <w:tcPr>
            <w:tcW w:w="242" w:type="pct"/>
            <w:vMerge w:val="restart"/>
            <w:noWrap w:val="0"/>
            <w:vAlign w:val="center"/>
          </w:tcPr>
          <w:p w14:paraId="021E5AF6">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核算方法</w:t>
            </w:r>
          </w:p>
        </w:tc>
        <w:tc>
          <w:tcPr>
            <w:tcW w:w="324" w:type="pct"/>
            <w:vMerge w:val="restart"/>
            <w:noWrap w:val="0"/>
            <w:vAlign w:val="center"/>
          </w:tcPr>
          <w:p w14:paraId="5E1D809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产生量(</w:t>
            </w: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1090" w:type="pct"/>
            <w:gridSpan w:val="3"/>
            <w:noWrap w:val="0"/>
            <w:vAlign w:val="center"/>
          </w:tcPr>
          <w:p w14:paraId="2D502BD6">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治理措施</w:t>
            </w:r>
          </w:p>
        </w:tc>
        <w:tc>
          <w:tcPr>
            <w:tcW w:w="2565" w:type="pct"/>
            <w:gridSpan w:val="8"/>
            <w:noWrap w:val="0"/>
            <w:vAlign w:val="center"/>
          </w:tcPr>
          <w:p w14:paraId="473B082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污染物排放</w:t>
            </w:r>
          </w:p>
        </w:tc>
        <w:tc>
          <w:tcPr>
            <w:tcW w:w="233" w:type="pct"/>
            <w:noWrap w:val="0"/>
            <w:vAlign w:val="center"/>
          </w:tcPr>
          <w:p w14:paraId="4C76D48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r>
      <w:tr w14:paraId="1029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vMerge w:val="continue"/>
            <w:noWrap w:val="0"/>
            <w:vAlign w:val="center"/>
          </w:tcPr>
          <w:p w14:paraId="0823B249">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96" w:type="pct"/>
            <w:vMerge w:val="continue"/>
            <w:noWrap w:val="0"/>
            <w:vAlign w:val="center"/>
          </w:tcPr>
          <w:p w14:paraId="263FA03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42" w:type="pct"/>
            <w:vMerge w:val="continue"/>
            <w:noWrap w:val="0"/>
            <w:vAlign w:val="center"/>
          </w:tcPr>
          <w:p w14:paraId="06BF80BD">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24" w:type="pct"/>
            <w:vMerge w:val="continue"/>
            <w:noWrap w:val="0"/>
            <w:vAlign w:val="center"/>
          </w:tcPr>
          <w:p w14:paraId="6AE1EC1D">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54" w:type="pct"/>
            <w:vMerge w:val="restart"/>
            <w:noWrap w:val="0"/>
            <w:vAlign w:val="center"/>
          </w:tcPr>
          <w:p w14:paraId="49DE83C8">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收集率(%)</w:t>
            </w:r>
          </w:p>
        </w:tc>
        <w:tc>
          <w:tcPr>
            <w:tcW w:w="554" w:type="pct"/>
            <w:vMerge w:val="restart"/>
            <w:noWrap w:val="0"/>
            <w:vAlign w:val="center"/>
          </w:tcPr>
          <w:p w14:paraId="4D0C1A5B">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治理</w:t>
            </w:r>
          </w:p>
          <w:p w14:paraId="5E216AB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工艺</w:t>
            </w:r>
          </w:p>
        </w:tc>
        <w:tc>
          <w:tcPr>
            <w:tcW w:w="282" w:type="pct"/>
            <w:vMerge w:val="restart"/>
            <w:noWrap w:val="0"/>
            <w:vAlign w:val="center"/>
          </w:tcPr>
          <w:p w14:paraId="1BE3C4C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去除率(%)</w:t>
            </w:r>
          </w:p>
        </w:tc>
        <w:tc>
          <w:tcPr>
            <w:tcW w:w="1233" w:type="pct"/>
            <w:gridSpan w:val="4"/>
            <w:noWrap w:val="0"/>
            <w:vAlign w:val="center"/>
          </w:tcPr>
          <w:p w14:paraId="5AF74F2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有组织</w:t>
            </w:r>
          </w:p>
        </w:tc>
        <w:tc>
          <w:tcPr>
            <w:tcW w:w="643" w:type="pct"/>
            <w:gridSpan w:val="2"/>
            <w:noWrap w:val="0"/>
            <w:vAlign w:val="center"/>
          </w:tcPr>
          <w:p w14:paraId="5769C34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无组织</w:t>
            </w:r>
          </w:p>
        </w:tc>
        <w:tc>
          <w:tcPr>
            <w:tcW w:w="688" w:type="pct"/>
            <w:gridSpan w:val="2"/>
            <w:noWrap w:val="0"/>
            <w:vAlign w:val="center"/>
          </w:tcPr>
          <w:p w14:paraId="2CE480E4">
            <w:pPr>
              <w:pStyle w:val="24"/>
              <w:bidi w:val="0"/>
              <w:ind w:left="0" w:leftChars="0"/>
              <w:jc w:val="center"/>
              <w:rPr>
                <w:rFonts w:hint="default"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排放限值</w:t>
            </w:r>
          </w:p>
        </w:tc>
        <w:tc>
          <w:tcPr>
            <w:tcW w:w="233" w:type="pct"/>
            <w:vMerge w:val="restart"/>
            <w:noWrap w:val="0"/>
            <w:vAlign w:val="center"/>
          </w:tcPr>
          <w:p w14:paraId="44E1EBD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排放口类型</w:t>
            </w:r>
          </w:p>
        </w:tc>
      </w:tr>
      <w:tr w14:paraId="6E74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vMerge w:val="continue"/>
            <w:noWrap w:val="0"/>
            <w:vAlign w:val="center"/>
          </w:tcPr>
          <w:p w14:paraId="571F53F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96" w:type="pct"/>
            <w:vMerge w:val="continue"/>
            <w:noWrap w:val="0"/>
            <w:vAlign w:val="center"/>
          </w:tcPr>
          <w:p w14:paraId="09780E66">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42" w:type="pct"/>
            <w:vMerge w:val="continue"/>
            <w:noWrap w:val="0"/>
            <w:vAlign w:val="center"/>
          </w:tcPr>
          <w:p w14:paraId="687AC61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24" w:type="pct"/>
            <w:vMerge w:val="continue"/>
            <w:noWrap w:val="0"/>
            <w:vAlign w:val="center"/>
          </w:tcPr>
          <w:p w14:paraId="23157C9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54" w:type="pct"/>
            <w:vMerge w:val="continue"/>
            <w:noWrap w:val="0"/>
            <w:vAlign w:val="center"/>
          </w:tcPr>
          <w:p w14:paraId="15D412B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554" w:type="pct"/>
            <w:vMerge w:val="continue"/>
            <w:noWrap w:val="0"/>
            <w:vAlign w:val="center"/>
          </w:tcPr>
          <w:p w14:paraId="6BF282A8">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82" w:type="pct"/>
            <w:vMerge w:val="continue"/>
            <w:noWrap w:val="0"/>
            <w:vAlign w:val="center"/>
          </w:tcPr>
          <w:p w14:paraId="228B18E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267" w:type="pct"/>
            <w:vMerge w:val="restart"/>
            <w:noWrap w:val="0"/>
            <w:vAlign w:val="center"/>
          </w:tcPr>
          <w:p w14:paraId="4372B892">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废气量(m</w:t>
            </w:r>
            <w:r>
              <w:rPr>
                <w:rFonts w:hint="eastAsia" w:ascii="Times New Roman" w:hAnsi="Times New Roman" w:eastAsia="宋体" w:cs="Times New Roman"/>
                <w:b/>
                <w:bCs/>
                <w:color w:val="auto"/>
                <w:sz w:val="18"/>
                <w:szCs w:val="18"/>
                <w:highlight w:val="none"/>
                <w:vertAlign w:val="superscript"/>
                <w:lang w:val="en-US" w:eastAsia="zh-CN"/>
              </w:rPr>
              <w:t>3</w:t>
            </w:r>
            <w:r>
              <w:rPr>
                <w:rFonts w:hint="eastAsia" w:ascii="Times New Roman" w:hAnsi="Times New Roman" w:eastAsia="宋体" w:cs="Times New Roman"/>
                <w:b/>
                <w:bCs/>
                <w:color w:val="auto"/>
                <w:sz w:val="18"/>
                <w:szCs w:val="18"/>
                <w:highlight w:val="none"/>
                <w:lang w:val="en-US" w:eastAsia="zh-CN"/>
              </w:rPr>
              <w:t>/h)</w:t>
            </w:r>
          </w:p>
        </w:tc>
        <w:tc>
          <w:tcPr>
            <w:tcW w:w="329" w:type="pct"/>
            <w:vMerge w:val="restart"/>
            <w:noWrap w:val="0"/>
            <w:vAlign w:val="center"/>
          </w:tcPr>
          <w:p w14:paraId="224D465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最大排放浓度(mg/m</w:t>
            </w:r>
            <w:r>
              <w:rPr>
                <w:rFonts w:hint="eastAsia" w:ascii="Times New Roman" w:hAnsi="Times New Roman" w:eastAsia="宋体" w:cs="Times New Roman"/>
                <w:b/>
                <w:bCs/>
                <w:color w:val="auto"/>
                <w:sz w:val="18"/>
                <w:szCs w:val="18"/>
                <w:highlight w:val="none"/>
                <w:vertAlign w:val="superscript"/>
                <w:lang w:val="en-US" w:eastAsia="zh-CN"/>
              </w:rPr>
              <w:t>3</w:t>
            </w:r>
            <w:r>
              <w:rPr>
                <w:rFonts w:hint="eastAsia" w:ascii="Times New Roman" w:hAnsi="Times New Roman" w:eastAsia="宋体" w:cs="Times New Roman"/>
                <w:b/>
                <w:bCs/>
                <w:color w:val="auto"/>
                <w:sz w:val="18"/>
                <w:szCs w:val="18"/>
                <w:highlight w:val="none"/>
                <w:lang w:val="en-US" w:eastAsia="zh-CN"/>
              </w:rPr>
              <w:t>)</w:t>
            </w:r>
          </w:p>
        </w:tc>
        <w:tc>
          <w:tcPr>
            <w:tcW w:w="635" w:type="pct"/>
            <w:gridSpan w:val="2"/>
            <w:noWrap w:val="0"/>
            <w:vAlign w:val="center"/>
          </w:tcPr>
          <w:p w14:paraId="69D7A7C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排放量</w:t>
            </w:r>
          </w:p>
        </w:tc>
        <w:tc>
          <w:tcPr>
            <w:tcW w:w="643" w:type="pct"/>
            <w:gridSpan w:val="2"/>
            <w:noWrap w:val="0"/>
            <w:vAlign w:val="center"/>
          </w:tcPr>
          <w:p w14:paraId="4840EA5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排放量</w:t>
            </w:r>
          </w:p>
        </w:tc>
        <w:tc>
          <w:tcPr>
            <w:tcW w:w="346" w:type="pct"/>
            <w:vMerge w:val="restart"/>
            <w:noWrap w:val="0"/>
            <w:vAlign w:val="center"/>
          </w:tcPr>
          <w:p w14:paraId="2D59358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最高允许排放浓度（mg/m</w:t>
            </w:r>
            <w:r>
              <w:rPr>
                <w:rFonts w:hint="eastAsia" w:ascii="Times New Roman" w:hAnsi="Times New Roman" w:eastAsia="宋体" w:cs="Times New Roman"/>
                <w:b/>
                <w:bCs/>
                <w:color w:val="auto"/>
                <w:sz w:val="18"/>
                <w:szCs w:val="18"/>
                <w:highlight w:val="none"/>
                <w:vertAlign w:val="superscript"/>
                <w:lang w:val="en-US" w:eastAsia="zh-CN"/>
              </w:rPr>
              <w:t>3</w:t>
            </w:r>
            <w:r>
              <w:rPr>
                <w:rFonts w:hint="eastAsia" w:ascii="Times New Roman" w:hAnsi="Times New Roman" w:eastAsia="宋体" w:cs="Times New Roman"/>
                <w:b/>
                <w:bCs/>
                <w:color w:val="auto"/>
                <w:sz w:val="18"/>
                <w:szCs w:val="18"/>
                <w:highlight w:val="none"/>
                <w:lang w:val="en-US" w:eastAsia="zh-CN"/>
              </w:rPr>
              <w:t>）</w:t>
            </w:r>
          </w:p>
        </w:tc>
        <w:tc>
          <w:tcPr>
            <w:tcW w:w="342" w:type="pct"/>
            <w:vMerge w:val="restart"/>
            <w:noWrap w:val="0"/>
            <w:vAlign w:val="center"/>
          </w:tcPr>
          <w:p w14:paraId="0BAB3C1C">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最高允许排放速率（kg/h）</w:t>
            </w:r>
          </w:p>
        </w:tc>
        <w:tc>
          <w:tcPr>
            <w:tcW w:w="233" w:type="pct"/>
            <w:vMerge w:val="continue"/>
            <w:noWrap w:val="0"/>
            <w:vAlign w:val="center"/>
          </w:tcPr>
          <w:p w14:paraId="3B5A354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5E7F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vMerge w:val="continue"/>
            <w:noWrap w:val="0"/>
            <w:vAlign w:val="center"/>
          </w:tcPr>
          <w:p w14:paraId="2B21861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96" w:type="pct"/>
            <w:vMerge w:val="continue"/>
            <w:noWrap w:val="0"/>
            <w:vAlign w:val="center"/>
          </w:tcPr>
          <w:p w14:paraId="437123E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42" w:type="pct"/>
            <w:vMerge w:val="continue"/>
            <w:noWrap w:val="0"/>
            <w:vAlign w:val="center"/>
          </w:tcPr>
          <w:p w14:paraId="652C0E0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vMerge w:val="continue"/>
            <w:noWrap w:val="0"/>
            <w:vAlign w:val="center"/>
          </w:tcPr>
          <w:p w14:paraId="0AC49F5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54" w:type="pct"/>
            <w:vMerge w:val="continue"/>
            <w:noWrap w:val="0"/>
            <w:vAlign w:val="center"/>
          </w:tcPr>
          <w:p w14:paraId="4F26CD6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73B8C47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69DDED3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6E410BB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vMerge w:val="continue"/>
            <w:noWrap w:val="0"/>
            <w:vAlign w:val="center"/>
          </w:tcPr>
          <w:p w14:paraId="27FD211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5" w:type="pct"/>
            <w:noWrap w:val="0"/>
            <w:vAlign w:val="center"/>
          </w:tcPr>
          <w:p w14:paraId="1EF3E3C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最大排放速率（kg/h）</w:t>
            </w:r>
          </w:p>
        </w:tc>
        <w:tc>
          <w:tcPr>
            <w:tcW w:w="320" w:type="pct"/>
            <w:noWrap w:val="0"/>
            <w:vAlign w:val="center"/>
          </w:tcPr>
          <w:p w14:paraId="4BA3C2A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排放量（</w:t>
            </w: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320" w:type="pct"/>
            <w:noWrap w:val="0"/>
            <w:vAlign w:val="center"/>
          </w:tcPr>
          <w:p w14:paraId="49975BF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最大排放速率（kg/h）</w:t>
            </w:r>
          </w:p>
        </w:tc>
        <w:tc>
          <w:tcPr>
            <w:tcW w:w="323" w:type="pct"/>
            <w:noWrap w:val="0"/>
            <w:vAlign w:val="center"/>
          </w:tcPr>
          <w:p w14:paraId="400CF95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排放量（</w:t>
            </w:r>
            <w:r>
              <w:rPr>
                <w:rFonts w:hint="eastAsia" w:cs="Times New Roman"/>
                <w:b/>
                <w:bCs/>
                <w:color w:val="auto"/>
                <w:sz w:val="18"/>
                <w:szCs w:val="18"/>
                <w:highlight w:val="none"/>
                <w:lang w:val="en-US" w:eastAsia="zh-CN"/>
              </w:rPr>
              <w:t>t</w:t>
            </w:r>
            <w:r>
              <w:rPr>
                <w:rFonts w:hint="eastAsia" w:ascii="Times New Roman" w:hAnsi="Times New Roman" w:eastAsia="宋体" w:cs="Times New Roman"/>
                <w:b/>
                <w:bCs/>
                <w:color w:val="auto"/>
                <w:sz w:val="18"/>
                <w:szCs w:val="18"/>
                <w:highlight w:val="none"/>
                <w:lang w:val="en-US" w:eastAsia="zh-CN"/>
              </w:rPr>
              <w:t>/a）</w:t>
            </w:r>
          </w:p>
        </w:tc>
        <w:tc>
          <w:tcPr>
            <w:tcW w:w="346" w:type="pct"/>
            <w:vMerge w:val="continue"/>
            <w:noWrap w:val="0"/>
            <w:vAlign w:val="center"/>
          </w:tcPr>
          <w:p w14:paraId="0A345F0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2" w:type="pct"/>
            <w:vMerge w:val="continue"/>
            <w:noWrap w:val="0"/>
            <w:vAlign w:val="center"/>
          </w:tcPr>
          <w:p w14:paraId="7F3BE12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33" w:type="pct"/>
            <w:vMerge w:val="continue"/>
            <w:noWrap w:val="0"/>
            <w:vAlign w:val="center"/>
          </w:tcPr>
          <w:p w14:paraId="2A84471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75E5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48" w:type="pct"/>
            <w:vMerge w:val="restart"/>
            <w:noWrap w:val="0"/>
            <w:vAlign w:val="center"/>
          </w:tcPr>
          <w:p w14:paraId="582FCE81">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工艺废气</w:t>
            </w:r>
          </w:p>
        </w:tc>
        <w:tc>
          <w:tcPr>
            <w:tcW w:w="296" w:type="pct"/>
            <w:shd w:val="clear" w:color="auto" w:fill="auto"/>
            <w:noWrap w:val="0"/>
            <w:vAlign w:val="center"/>
          </w:tcPr>
          <w:p w14:paraId="5D188BCC">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颗粒物</w:t>
            </w:r>
          </w:p>
        </w:tc>
        <w:tc>
          <w:tcPr>
            <w:tcW w:w="242" w:type="pct"/>
            <w:vMerge w:val="restart"/>
            <w:noWrap w:val="0"/>
            <w:vAlign w:val="center"/>
          </w:tcPr>
          <w:p w14:paraId="47942BE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产污系数法</w:t>
            </w:r>
          </w:p>
        </w:tc>
        <w:tc>
          <w:tcPr>
            <w:tcW w:w="324" w:type="pct"/>
            <w:shd w:val="clear" w:color="auto" w:fill="auto"/>
            <w:noWrap w:val="0"/>
            <w:vAlign w:val="center"/>
          </w:tcPr>
          <w:p w14:paraId="607DA45D">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0.03</w:t>
            </w:r>
          </w:p>
        </w:tc>
        <w:tc>
          <w:tcPr>
            <w:tcW w:w="254" w:type="pct"/>
            <w:vMerge w:val="restart"/>
            <w:noWrap w:val="0"/>
            <w:vAlign w:val="center"/>
          </w:tcPr>
          <w:p w14:paraId="7ED2776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集气罩80%，集气管道95%</w:t>
            </w:r>
          </w:p>
        </w:tc>
        <w:tc>
          <w:tcPr>
            <w:tcW w:w="554" w:type="pct"/>
            <w:vMerge w:val="restart"/>
            <w:noWrap w:val="0"/>
            <w:vAlign w:val="center"/>
          </w:tcPr>
          <w:p w14:paraId="39FF3B8E">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1套二级碱喷淋（自带除雾装置）+两级活性炭吸附装置（TA00</w:t>
            </w:r>
            <w:r>
              <w:rPr>
                <w:rFonts w:hint="eastAsia" w:eastAsia="宋体" w:cs="Times New Roman"/>
                <w:b w:val="0"/>
                <w:bCs w:val="0"/>
                <w:color w:val="auto"/>
                <w:sz w:val="18"/>
                <w:szCs w:val="18"/>
                <w:highlight w:val="none"/>
                <w:lang w:val="en-US" w:eastAsia="zh-CN"/>
              </w:rPr>
              <w:t>1</w:t>
            </w:r>
            <w:r>
              <w:rPr>
                <w:rFonts w:hint="eastAsia" w:ascii="Times New Roman" w:hAnsi="Times New Roman" w:eastAsia="宋体" w:cs="Times New Roman"/>
                <w:b w:val="0"/>
                <w:bCs w:val="0"/>
                <w:color w:val="auto"/>
                <w:sz w:val="18"/>
                <w:szCs w:val="18"/>
                <w:highlight w:val="none"/>
                <w:lang w:val="en-US" w:eastAsia="zh-CN"/>
              </w:rPr>
              <w:t>）+1根</w:t>
            </w:r>
            <w:r>
              <w:rPr>
                <w:rFonts w:hint="eastAsia" w:cs="Times New Roman"/>
                <w:b w:val="0"/>
                <w:bCs w:val="0"/>
                <w:color w:val="auto"/>
                <w:sz w:val="18"/>
                <w:szCs w:val="18"/>
                <w:highlight w:val="none"/>
                <w:lang w:val="en-US" w:eastAsia="zh-CN"/>
              </w:rPr>
              <w:t>距地面15</w:t>
            </w:r>
            <w:r>
              <w:rPr>
                <w:rFonts w:hint="eastAsia" w:ascii="Times New Roman" w:hAnsi="Times New Roman" w:eastAsia="宋体" w:cs="Times New Roman"/>
                <w:b w:val="0"/>
                <w:bCs w:val="0"/>
                <w:color w:val="auto"/>
                <w:sz w:val="18"/>
                <w:szCs w:val="18"/>
                <w:highlight w:val="none"/>
                <w:lang w:val="en-US" w:eastAsia="zh-CN"/>
              </w:rPr>
              <w:t>m高排气筒</w:t>
            </w:r>
            <w:r>
              <w:rPr>
                <w:rFonts w:hint="eastAsia" w:cs="Times New Roman"/>
                <w:b w:val="0"/>
                <w:bCs w:val="0"/>
                <w:color w:val="auto"/>
                <w:sz w:val="18"/>
                <w:szCs w:val="18"/>
                <w:highlight w:val="none"/>
                <w:lang w:val="en-US" w:eastAsia="zh-CN"/>
              </w:rPr>
              <w:t>（</w:t>
            </w:r>
            <w:r>
              <w:rPr>
                <w:rFonts w:hint="eastAsia" w:ascii="Times New Roman" w:hAnsi="Times New Roman" w:eastAsia="宋体" w:cs="Times New Roman"/>
                <w:b w:val="0"/>
                <w:bCs w:val="0"/>
                <w:color w:val="auto"/>
                <w:sz w:val="18"/>
                <w:szCs w:val="18"/>
                <w:highlight w:val="none"/>
                <w:lang w:val="en-US" w:eastAsia="zh-CN"/>
              </w:rPr>
              <w:t>DA0</w:t>
            </w:r>
            <w:r>
              <w:rPr>
                <w:rFonts w:hint="eastAsia" w:cs="Times New Roman"/>
                <w:b w:val="0"/>
                <w:bCs w:val="0"/>
                <w:color w:val="auto"/>
                <w:sz w:val="18"/>
                <w:szCs w:val="18"/>
                <w:highlight w:val="none"/>
                <w:lang w:val="en-US" w:eastAsia="zh-CN"/>
              </w:rPr>
              <w:t>01）</w:t>
            </w:r>
          </w:p>
        </w:tc>
        <w:tc>
          <w:tcPr>
            <w:tcW w:w="282" w:type="pct"/>
            <w:vMerge w:val="restart"/>
            <w:noWrap w:val="0"/>
            <w:vAlign w:val="center"/>
          </w:tcPr>
          <w:p w14:paraId="53221755">
            <w:pPr>
              <w:pStyle w:val="24"/>
              <w:bidi w:val="0"/>
              <w:ind w:left="0" w:left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颗粒物和酸雾90、VOCs</w:t>
            </w:r>
          </w:p>
          <w:p w14:paraId="755C47C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87.75%</w:t>
            </w:r>
          </w:p>
        </w:tc>
        <w:tc>
          <w:tcPr>
            <w:tcW w:w="267" w:type="pct"/>
            <w:vMerge w:val="restart"/>
            <w:noWrap w:val="0"/>
            <w:vAlign w:val="center"/>
          </w:tcPr>
          <w:p w14:paraId="60138FDC">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20000</w:t>
            </w:r>
          </w:p>
        </w:tc>
        <w:tc>
          <w:tcPr>
            <w:tcW w:w="329" w:type="pct"/>
            <w:shd w:val="clear" w:color="auto" w:fill="auto"/>
            <w:noWrap w:val="0"/>
            <w:vAlign w:val="center"/>
          </w:tcPr>
          <w:p w14:paraId="2711E631">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0.2</w:t>
            </w:r>
          </w:p>
        </w:tc>
        <w:tc>
          <w:tcPr>
            <w:tcW w:w="315" w:type="pct"/>
            <w:shd w:val="clear" w:color="auto" w:fill="auto"/>
            <w:noWrap w:val="0"/>
            <w:vAlign w:val="center"/>
          </w:tcPr>
          <w:p w14:paraId="15F36C2A">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0.004</w:t>
            </w:r>
          </w:p>
        </w:tc>
        <w:tc>
          <w:tcPr>
            <w:tcW w:w="320" w:type="pct"/>
            <w:shd w:val="clear" w:color="auto" w:fill="auto"/>
            <w:noWrap w:val="0"/>
            <w:vAlign w:val="center"/>
          </w:tcPr>
          <w:p w14:paraId="7D999865">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0.0024</w:t>
            </w:r>
          </w:p>
        </w:tc>
        <w:tc>
          <w:tcPr>
            <w:tcW w:w="320" w:type="pct"/>
            <w:shd w:val="clear" w:color="auto" w:fill="auto"/>
            <w:noWrap w:val="0"/>
            <w:vAlign w:val="center"/>
          </w:tcPr>
          <w:p w14:paraId="49E771AC">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0.01</w:t>
            </w:r>
          </w:p>
        </w:tc>
        <w:tc>
          <w:tcPr>
            <w:tcW w:w="323" w:type="pct"/>
            <w:shd w:val="clear" w:color="auto" w:fill="auto"/>
            <w:noWrap w:val="0"/>
            <w:vAlign w:val="center"/>
          </w:tcPr>
          <w:p w14:paraId="6E720B7D">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0.006</w:t>
            </w:r>
          </w:p>
        </w:tc>
        <w:tc>
          <w:tcPr>
            <w:tcW w:w="346" w:type="pct"/>
            <w:noWrap w:val="0"/>
            <w:vAlign w:val="center"/>
          </w:tcPr>
          <w:p w14:paraId="1A1D43EE">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120</w:t>
            </w:r>
          </w:p>
        </w:tc>
        <w:tc>
          <w:tcPr>
            <w:tcW w:w="342" w:type="pct"/>
            <w:noWrap w:val="0"/>
            <w:vAlign w:val="center"/>
          </w:tcPr>
          <w:p w14:paraId="3B5DF923">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3.5</w:t>
            </w:r>
          </w:p>
        </w:tc>
        <w:tc>
          <w:tcPr>
            <w:tcW w:w="233" w:type="pct"/>
            <w:vMerge w:val="restart"/>
            <w:noWrap w:val="0"/>
            <w:vAlign w:val="center"/>
          </w:tcPr>
          <w:p w14:paraId="61B0D02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一般排放口</w:t>
            </w:r>
          </w:p>
        </w:tc>
      </w:tr>
      <w:tr w14:paraId="352D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continue"/>
            <w:noWrap w:val="0"/>
            <w:vAlign w:val="center"/>
          </w:tcPr>
          <w:p w14:paraId="01DE688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96" w:type="pct"/>
            <w:shd w:val="clear" w:color="auto" w:fill="auto"/>
            <w:noWrap w:val="0"/>
            <w:vAlign w:val="center"/>
          </w:tcPr>
          <w:p w14:paraId="33D7E644">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硫酸雾</w:t>
            </w:r>
          </w:p>
        </w:tc>
        <w:tc>
          <w:tcPr>
            <w:tcW w:w="242" w:type="pct"/>
            <w:vMerge w:val="continue"/>
            <w:noWrap w:val="0"/>
            <w:vAlign w:val="center"/>
          </w:tcPr>
          <w:p w14:paraId="4D6896E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263460A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w:t>
            </w:r>
            <w:r>
              <w:rPr>
                <w:rFonts w:hint="eastAsia" w:cs="Times New Roman"/>
                <w:b w:val="0"/>
                <w:bCs w:val="0"/>
                <w:color w:val="auto"/>
                <w:sz w:val="18"/>
                <w:szCs w:val="18"/>
                <w:highlight w:val="none"/>
                <w:lang w:val="en-US" w:eastAsia="zh-CN"/>
              </w:rPr>
              <w:t>1003</w:t>
            </w:r>
          </w:p>
        </w:tc>
        <w:tc>
          <w:tcPr>
            <w:tcW w:w="254" w:type="pct"/>
            <w:vMerge w:val="continue"/>
            <w:noWrap w:val="0"/>
            <w:vAlign w:val="center"/>
          </w:tcPr>
          <w:p w14:paraId="2B53986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54B65F3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025BAB5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61E828E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shd w:val="clear" w:color="auto" w:fill="auto"/>
            <w:noWrap w:val="0"/>
            <w:vAlign w:val="center"/>
          </w:tcPr>
          <w:p w14:paraId="0B65D7E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 xml:space="preserve">0.2 </w:t>
            </w:r>
          </w:p>
        </w:tc>
        <w:tc>
          <w:tcPr>
            <w:tcW w:w="315" w:type="pct"/>
            <w:shd w:val="clear" w:color="auto" w:fill="auto"/>
            <w:noWrap w:val="0"/>
            <w:vAlign w:val="center"/>
          </w:tcPr>
          <w:p w14:paraId="45750C47">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 xml:space="preserve">0.0040 </w:t>
            </w:r>
          </w:p>
        </w:tc>
        <w:tc>
          <w:tcPr>
            <w:tcW w:w="320" w:type="pct"/>
            <w:shd w:val="clear" w:color="auto" w:fill="auto"/>
            <w:noWrap w:val="0"/>
            <w:vAlign w:val="center"/>
          </w:tcPr>
          <w:p w14:paraId="6AC36B2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 xml:space="preserve">0.0095 </w:t>
            </w:r>
          </w:p>
        </w:tc>
        <w:tc>
          <w:tcPr>
            <w:tcW w:w="320" w:type="pct"/>
            <w:shd w:val="clear" w:color="auto" w:fill="auto"/>
            <w:noWrap w:val="0"/>
            <w:vAlign w:val="center"/>
          </w:tcPr>
          <w:p w14:paraId="781B1434">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 xml:space="preserve">0.0021 </w:t>
            </w:r>
          </w:p>
        </w:tc>
        <w:tc>
          <w:tcPr>
            <w:tcW w:w="323" w:type="pct"/>
            <w:shd w:val="clear" w:color="auto" w:fill="auto"/>
            <w:noWrap w:val="0"/>
            <w:vAlign w:val="center"/>
          </w:tcPr>
          <w:p w14:paraId="5E72D5D1">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 xml:space="preserve">0.0050 </w:t>
            </w:r>
          </w:p>
        </w:tc>
        <w:tc>
          <w:tcPr>
            <w:tcW w:w="346" w:type="pct"/>
            <w:noWrap w:val="0"/>
            <w:vAlign w:val="center"/>
          </w:tcPr>
          <w:p w14:paraId="35ABCFE3">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20</w:t>
            </w:r>
          </w:p>
        </w:tc>
        <w:tc>
          <w:tcPr>
            <w:tcW w:w="342" w:type="pct"/>
            <w:noWrap w:val="0"/>
            <w:vAlign w:val="center"/>
          </w:tcPr>
          <w:p w14:paraId="6367A7F6">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233" w:type="pct"/>
            <w:vMerge w:val="continue"/>
            <w:noWrap w:val="0"/>
            <w:vAlign w:val="center"/>
          </w:tcPr>
          <w:p w14:paraId="28BDB50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2A17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continue"/>
            <w:noWrap w:val="0"/>
            <w:vAlign w:val="center"/>
          </w:tcPr>
          <w:p w14:paraId="169D1FF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96" w:type="pct"/>
            <w:shd w:val="clear" w:color="auto" w:fill="auto"/>
            <w:noWrap w:val="0"/>
            <w:vAlign w:val="center"/>
          </w:tcPr>
          <w:p w14:paraId="5599528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氟化物</w:t>
            </w:r>
          </w:p>
        </w:tc>
        <w:tc>
          <w:tcPr>
            <w:tcW w:w="242" w:type="pct"/>
            <w:vMerge w:val="continue"/>
            <w:noWrap w:val="0"/>
            <w:vAlign w:val="center"/>
          </w:tcPr>
          <w:p w14:paraId="511C048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5AB7EA92">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0.2053</w:t>
            </w:r>
          </w:p>
        </w:tc>
        <w:tc>
          <w:tcPr>
            <w:tcW w:w="254" w:type="pct"/>
            <w:vMerge w:val="continue"/>
            <w:noWrap w:val="0"/>
            <w:vAlign w:val="center"/>
          </w:tcPr>
          <w:p w14:paraId="3195F80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4F9695D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0357D57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6A28A2D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shd w:val="clear" w:color="auto" w:fill="auto"/>
            <w:noWrap w:val="0"/>
            <w:vAlign w:val="center"/>
          </w:tcPr>
          <w:p w14:paraId="2E441442">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 xml:space="preserve">0.41 </w:t>
            </w:r>
          </w:p>
        </w:tc>
        <w:tc>
          <w:tcPr>
            <w:tcW w:w="315" w:type="pct"/>
            <w:shd w:val="clear" w:color="auto" w:fill="auto"/>
            <w:noWrap w:val="0"/>
            <w:vAlign w:val="center"/>
          </w:tcPr>
          <w:p w14:paraId="47A3946F">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 xml:space="preserve">0.0081 </w:t>
            </w:r>
          </w:p>
        </w:tc>
        <w:tc>
          <w:tcPr>
            <w:tcW w:w="320" w:type="pct"/>
            <w:shd w:val="clear" w:color="auto" w:fill="auto"/>
            <w:noWrap w:val="0"/>
            <w:vAlign w:val="center"/>
          </w:tcPr>
          <w:p w14:paraId="3E430591">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 xml:space="preserve">0.0195 </w:t>
            </w:r>
          </w:p>
        </w:tc>
        <w:tc>
          <w:tcPr>
            <w:tcW w:w="320" w:type="pct"/>
            <w:shd w:val="clear" w:color="auto" w:fill="auto"/>
            <w:noWrap w:val="0"/>
            <w:vAlign w:val="center"/>
          </w:tcPr>
          <w:p w14:paraId="211ACADA">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 xml:space="preserve">0.0043 </w:t>
            </w:r>
          </w:p>
        </w:tc>
        <w:tc>
          <w:tcPr>
            <w:tcW w:w="323" w:type="pct"/>
            <w:shd w:val="clear" w:color="auto" w:fill="auto"/>
            <w:noWrap w:val="0"/>
            <w:vAlign w:val="center"/>
          </w:tcPr>
          <w:p w14:paraId="71083EE2">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 xml:space="preserve">0.0103 </w:t>
            </w:r>
          </w:p>
        </w:tc>
        <w:tc>
          <w:tcPr>
            <w:tcW w:w="346" w:type="pct"/>
            <w:noWrap w:val="0"/>
            <w:vAlign w:val="center"/>
          </w:tcPr>
          <w:p w14:paraId="6B4E274C">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6</w:t>
            </w:r>
          </w:p>
        </w:tc>
        <w:tc>
          <w:tcPr>
            <w:tcW w:w="342" w:type="pct"/>
            <w:noWrap w:val="0"/>
            <w:vAlign w:val="center"/>
          </w:tcPr>
          <w:p w14:paraId="3117A2BB">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233" w:type="pct"/>
            <w:vMerge w:val="continue"/>
            <w:noWrap w:val="0"/>
            <w:vAlign w:val="center"/>
          </w:tcPr>
          <w:p w14:paraId="62CF6D2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3C18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continue"/>
            <w:noWrap w:val="0"/>
            <w:vAlign w:val="center"/>
          </w:tcPr>
          <w:p w14:paraId="0A5B575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96" w:type="pct"/>
            <w:shd w:val="clear" w:color="auto" w:fill="auto"/>
            <w:noWrap w:val="0"/>
            <w:vAlign w:val="center"/>
          </w:tcPr>
          <w:p w14:paraId="5A2FC913">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VOCs</w:t>
            </w:r>
          </w:p>
        </w:tc>
        <w:tc>
          <w:tcPr>
            <w:tcW w:w="242" w:type="pct"/>
            <w:vMerge w:val="continue"/>
            <w:noWrap w:val="0"/>
            <w:vAlign w:val="center"/>
          </w:tcPr>
          <w:p w14:paraId="13A2A9F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4E38B196">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0.3638</w:t>
            </w:r>
          </w:p>
        </w:tc>
        <w:tc>
          <w:tcPr>
            <w:tcW w:w="254" w:type="pct"/>
            <w:vMerge w:val="continue"/>
            <w:noWrap w:val="0"/>
            <w:vAlign w:val="center"/>
          </w:tcPr>
          <w:p w14:paraId="7F7BF0F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7141B19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1789101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0447814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shd w:val="clear" w:color="auto" w:fill="auto"/>
            <w:noWrap w:val="0"/>
            <w:vAlign w:val="center"/>
          </w:tcPr>
          <w:p w14:paraId="5E82F77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0.88 </w:t>
            </w:r>
          </w:p>
        </w:tc>
        <w:tc>
          <w:tcPr>
            <w:tcW w:w="315" w:type="pct"/>
            <w:shd w:val="clear" w:color="auto" w:fill="auto"/>
            <w:noWrap w:val="0"/>
            <w:vAlign w:val="center"/>
          </w:tcPr>
          <w:p w14:paraId="3CE7771C">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0.0176 </w:t>
            </w:r>
          </w:p>
        </w:tc>
        <w:tc>
          <w:tcPr>
            <w:tcW w:w="320" w:type="pct"/>
            <w:shd w:val="clear" w:color="auto" w:fill="auto"/>
            <w:noWrap w:val="0"/>
            <w:vAlign w:val="center"/>
          </w:tcPr>
          <w:p w14:paraId="26D51AA3">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 w:val="0"/>
                <w:bCs w:val="0"/>
                <w:color w:val="auto"/>
                <w:sz w:val="18"/>
                <w:szCs w:val="18"/>
                <w:highlight w:val="none"/>
                <w:lang w:val="en-US" w:eastAsia="zh-CN"/>
              </w:rPr>
              <w:t xml:space="preserve">0.0423 </w:t>
            </w:r>
          </w:p>
        </w:tc>
        <w:tc>
          <w:tcPr>
            <w:tcW w:w="320" w:type="pct"/>
            <w:shd w:val="clear" w:color="auto" w:fill="auto"/>
            <w:noWrap w:val="0"/>
            <w:vAlign w:val="center"/>
          </w:tcPr>
          <w:p w14:paraId="196239E7">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 xml:space="preserve">0.0076 </w:t>
            </w:r>
          </w:p>
        </w:tc>
        <w:tc>
          <w:tcPr>
            <w:tcW w:w="323" w:type="pct"/>
            <w:shd w:val="clear" w:color="auto" w:fill="auto"/>
            <w:noWrap w:val="0"/>
            <w:vAlign w:val="center"/>
          </w:tcPr>
          <w:p w14:paraId="475E9604">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eastAsia="宋体" w:cs="Times New Roman"/>
                <w:b w:val="0"/>
                <w:bCs w:val="0"/>
                <w:color w:val="auto"/>
                <w:sz w:val="18"/>
                <w:szCs w:val="18"/>
                <w:highlight w:val="none"/>
                <w:lang w:val="en-US" w:eastAsia="zh-CN"/>
              </w:rPr>
              <w:t xml:space="preserve">0.0182 </w:t>
            </w:r>
          </w:p>
        </w:tc>
        <w:tc>
          <w:tcPr>
            <w:tcW w:w="346" w:type="pct"/>
            <w:shd w:val="clear" w:color="auto" w:fill="auto"/>
            <w:noWrap w:val="0"/>
            <w:vAlign w:val="center"/>
          </w:tcPr>
          <w:p w14:paraId="73C1DF6F">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60</w:t>
            </w:r>
          </w:p>
        </w:tc>
        <w:tc>
          <w:tcPr>
            <w:tcW w:w="342" w:type="pct"/>
            <w:shd w:val="clear" w:color="auto" w:fill="auto"/>
            <w:noWrap w:val="0"/>
            <w:vAlign w:val="center"/>
          </w:tcPr>
          <w:p w14:paraId="7A2F4288">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18"/>
                <w:szCs w:val="18"/>
                <w:highlight w:val="none"/>
                <w:lang w:val="en-US" w:eastAsia="zh-CN"/>
              </w:rPr>
              <w:t>3.4</w:t>
            </w:r>
          </w:p>
        </w:tc>
        <w:tc>
          <w:tcPr>
            <w:tcW w:w="233" w:type="pct"/>
            <w:vMerge w:val="continue"/>
            <w:noWrap w:val="0"/>
            <w:vAlign w:val="center"/>
          </w:tcPr>
          <w:p w14:paraId="0E46D79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1536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48" w:type="pct"/>
            <w:vMerge w:val="continue"/>
            <w:noWrap w:val="0"/>
            <w:vAlign w:val="center"/>
          </w:tcPr>
          <w:p w14:paraId="67E889C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845" w:type="dxa"/>
            <w:shd w:val="clear" w:color="auto" w:fill="auto"/>
            <w:noWrap w:val="0"/>
            <w:vAlign w:val="center"/>
          </w:tcPr>
          <w:p w14:paraId="697AA5DD">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NH</w:t>
            </w:r>
            <w:r>
              <w:rPr>
                <w:rFonts w:hint="eastAsia" w:eastAsia="宋体" w:cs="Times New Roman"/>
                <w:b w:val="0"/>
                <w:bCs w:val="0"/>
                <w:color w:val="auto"/>
                <w:sz w:val="18"/>
                <w:szCs w:val="18"/>
                <w:highlight w:val="none"/>
                <w:vertAlign w:val="subscript"/>
                <w:lang w:val="en-US" w:eastAsia="zh-CN"/>
              </w:rPr>
              <w:t>3</w:t>
            </w:r>
          </w:p>
        </w:tc>
        <w:tc>
          <w:tcPr>
            <w:tcW w:w="242" w:type="pct"/>
            <w:vMerge w:val="continue"/>
            <w:noWrap w:val="0"/>
            <w:vAlign w:val="center"/>
          </w:tcPr>
          <w:p w14:paraId="5715A59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324B6BD3">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254" w:type="pct"/>
            <w:vMerge w:val="continue"/>
            <w:noWrap w:val="0"/>
            <w:vAlign w:val="center"/>
          </w:tcPr>
          <w:p w14:paraId="092947E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5943BC6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74E64F3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66FB88E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941" w:type="dxa"/>
            <w:shd w:val="clear" w:color="auto" w:fill="auto"/>
            <w:noWrap w:val="0"/>
            <w:vAlign w:val="center"/>
          </w:tcPr>
          <w:p w14:paraId="4546136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00" w:type="dxa"/>
            <w:shd w:val="clear" w:color="auto" w:fill="auto"/>
            <w:noWrap w:val="0"/>
            <w:vAlign w:val="center"/>
          </w:tcPr>
          <w:p w14:paraId="35620C4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14" w:type="dxa"/>
            <w:shd w:val="clear" w:color="auto" w:fill="auto"/>
            <w:noWrap w:val="0"/>
            <w:vAlign w:val="center"/>
          </w:tcPr>
          <w:p w14:paraId="48FAA01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14" w:type="dxa"/>
            <w:shd w:val="clear" w:color="auto" w:fill="auto"/>
            <w:noWrap w:val="0"/>
            <w:vAlign w:val="center"/>
          </w:tcPr>
          <w:p w14:paraId="60EB01AC">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22" w:type="dxa"/>
            <w:shd w:val="clear" w:color="auto" w:fill="auto"/>
            <w:noWrap w:val="0"/>
            <w:vAlign w:val="center"/>
          </w:tcPr>
          <w:p w14:paraId="710EA9B8">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88" w:type="dxa"/>
            <w:noWrap w:val="0"/>
            <w:vAlign w:val="center"/>
          </w:tcPr>
          <w:p w14:paraId="350EC051">
            <w:pPr>
              <w:pStyle w:val="24"/>
              <w:bidi w:val="0"/>
              <w:ind w:left="0" w:left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77" w:type="dxa"/>
            <w:noWrap w:val="0"/>
            <w:vAlign w:val="center"/>
          </w:tcPr>
          <w:p w14:paraId="39CBD8B0">
            <w:pPr>
              <w:pStyle w:val="24"/>
              <w:bidi w:val="0"/>
              <w:ind w:left="0" w:left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233" w:type="pct"/>
            <w:vMerge w:val="continue"/>
            <w:noWrap w:val="0"/>
            <w:vAlign w:val="center"/>
          </w:tcPr>
          <w:p w14:paraId="20BA2DD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26A8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continue"/>
            <w:noWrap w:val="0"/>
            <w:vAlign w:val="center"/>
          </w:tcPr>
          <w:p w14:paraId="4A4A1A5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845" w:type="dxa"/>
            <w:shd w:val="clear" w:color="auto" w:fill="auto"/>
            <w:noWrap w:val="0"/>
            <w:vAlign w:val="center"/>
          </w:tcPr>
          <w:p w14:paraId="783D34F2">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臭气浓度</w:t>
            </w:r>
          </w:p>
        </w:tc>
        <w:tc>
          <w:tcPr>
            <w:tcW w:w="242" w:type="pct"/>
            <w:vMerge w:val="continue"/>
            <w:noWrap w:val="0"/>
            <w:vAlign w:val="center"/>
          </w:tcPr>
          <w:p w14:paraId="15D3239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77FFCB36">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kern w:val="2"/>
                <w:sz w:val="18"/>
                <w:szCs w:val="18"/>
                <w:highlight w:val="none"/>
                <w:lang w:val="en-US" w:eastAsia="zh-CN" w:bidi="ar-SA"/>
              </w:rPr>
              <w:t>/</w:t>
            </w:r>
          </w:p>
        </w:tc>
        <w:tc>
          <w:tcPr>
            <w:tcW w:w="254" w:type="pct"/>
            <w:vMerge w:val="continue"/>
            <w:noWrap w:val="0"/>
            <w:vAlign w:val="center"/>
          </w:tcPr>
          <w:p w14:paraId="5ABFF8B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769009E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59FFC36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206037E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941" w:type="dxa"/>
            <w:shd w:val="clear" w:color="auto" w:fill="auto"/>
            <w:noWrap w:val="0"/>
            <w:vAlign w:val="center"/>
          </w:tcPr>
          <w:p w14:paraId="198706CE">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21"/>
                <w:szCs w:val="21"/>
                <w:highlight w:val="none"/>
                <w:lang w:val="en-US" w:eastAsia="zh-CN"/>
              </w:rPr>
              <w:t>/</w:t>
            </w:r>
          </w:p>
        </w:tc>
        <w:tc>
          <w:tcPr>
            <w:tcW w:w="900" w:type="dxa"/>
            <w:shd w:val="clear" w:color="auto" w:fill="auto"/>
            <w:noWrap w:val="0"/>
            <w:vAlign w:val="center"/>
          </w:tcPr>
          <w:p w14:paraId="4190DCDB">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21"/>
                <w:szCs w:val="21"/>
                <w:highlight w:val="none"/>
                <w:lang w:val="en-US" w:eastAsia="zh-CN"/>
              </w:rPr>
              <w:t>/</w:t>
            </w:r>
          </w:p>
        </w:tc>
        <w:tc>
          <w:tcPr>
            <w:tcW w:w="914" w:type="dxa"/>
            <w:shd w:val="clear" w:color="auto" w:fill="auto"/>
            <w:noWrap w:val="0"/>
            <w:vAlign w:val="center"/>
          </w:tcPr>
          <w:p w14:paraId="7C628BD9">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21"/>
                <w:szCs w:val="21"/>
                <w:highlight w:val="none"/>
                <w:lang w:val="en-US" w:eastAsia="zh-CN"/>
              </w:rPr>
              <w:t>/</w:t>
            </w:r>
          </w:p>
        </w:tc>
        <w:tc>
          <w:tcPr>
            <w:tcW w:w="914" w:type="dxa"/>
            <w:shd w:val="clear" w:color="auto" w:fill="auto"/>
            <w:noWrap w:val="0"/>
            <w:vAlign w:val="center"/>
          </w:tcPr>
          <w:p w14:paraId="76585712">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21"/>
                <w:szCs w:val="21"/>
                <w:highlight w:val="none"/>
                <w:lang w:val="en-US" w:eastAsia="zh-CN"/>
              </w:rPr>
              <w:t>/</w:t>
            </w:r>
          </w:p>
        </w:tc>
        <w:tc>
          <w:tcPr>
            <w:tcW w:w="922" w:type="dxa"/>
            <w:shd w:val="clear" w:color="auto" w:fill="auto"/>
            <w:noWrap w:val="0"/>
            <w:vAlign w:val="center"/>
          </w:tcPr>
          <w:p w14:paraId="0B34A419">
            <w:pPr>
              <w:pStyle w:val="24"/>
              <w:bidi w:val="0"/>
              <w:ind w:left="0" w:leftChars="0"/>
              <w:jc w:val="center"/>
              <w:rPr>
                <w:rFonts w:hint="eastAsia"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sz w:val="21"/>
                <w:szCs w:val="21"/>
                <w:highlight w:val="none"/>
                <w:lang w:val="en-US" w:eastAsia="zh-CN"/>
              </w:rPr>
              <w:t>/</w:t>
            </w:r>
          </w:p>
        </w:tc>
        <w:tc>
          <w:tcPr>
            <w:tcW w:w="988" w:type="dxa"/>
            <w:noWrap w:val="0"/>
            <w:vAlign w:val="center"/>
          </w:tcPr>
          <w:p w14:paraId="14F86F4C">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977" w:type="dxa"/>
            <w:noWrap w:val="0"/>
            <w:vAlign w:val="center"/>
          </w:tcPr>
          <w:p w14:paraId="21233AF2">
            <w:pPr>
              <w:pStyle w:val="24"/>
              <w:bidi w:val="0"/>
              <w:ind w:left="0" w:leftChars="0"/>
              <w:jc w:val="center"/>
              <w:rPr>
                <w:rFonts w:hint="default" w:cs="Times New Roman"/>
                <w:b w:val="0"/>
                <w:bCs w:val="0"/>
                <w:color w:val="auto"/>
                <w:sz w:val="18"/>
                <w:szCs w:val="18"/>
                <w:highlight w:val="none"/>
                <w:lang w:val="en-US" w:eastAsia="zh-CN"/>
              </w:rPr>
            </w:pPr>
            <w:r>
              <w:rPr>
                <w:rFonts w:hint="eastAsia" w:cs="Times New Roman"/>
                <w:b w:val="0"/>
                <w:bCs w:val="0"/>
                <w:color w:val="auto"/>
                <w:sz w:val="21"/>
                <w:szCs w:val="21"/>
                <w:highlight w:val="none"/>
                <w:lang w:val="en-US" w:eastAsia="zh-CN"/>
              </w:rPr>
              <w:t>/</w:t>
            </w:r>
          </w:p>
        </w:tc>
        <w:tc>
          <w:tcPr>
            <w:tcW w:w="233" w:type="pct"/>
            <w:vMerge w:val="continue"/>
            <w:noWrap w:val="0"/>
            <w:vAlign w:val="center"/>
          </w:tcPr>
          <w:p w14:paraId="1514D5C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4E85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restart"/>
            <w:noWrap w:val="0"/>
            <w:vAlign w:val="center"/>
          </w:tcPr>
          <w:p w14:paraId="350F809A">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质检</w:t>
            </w:r>
            <w:r>
              <w:rPr>
                <w:rFonts w:hint="eastAsia" w:ascii="Times New Roman" w:hAnsi="Times New Roman" w:eastAsia="宋体" w:cs="Times New Roman"/>
                <w:b w:val="0"/>
                <w:bCs w:val="0"/>
                <w:color w:val="auto"/>
                <w:sz w:val="18"/>
                <w:szCs w:val="18"/>
                <w:highlight w:val="none"/>
                <w:lang w:val="en-US" w:eastAsia="zh-CN"/>
              </w:rPr>
              <w:t>废气</w:t>
            </w:r>
          </w:p>
        </w:tc>
        <w:tc>
          <w:tcPr>
            <w:tcW w:w="296" w:type="pct"/>
            <w:noWrap w:val="0"/>
            <w:vAlign w:val="center"/>
          </w:tcPr>
          <w:p w14:paraId="21F88FEB">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氯化氢</w:t>
            </w:r>
          </w:p>
        </w:tc>
        <w:tc>
          <w:tcPr>
            <w:tcW w:w="242" w:type="pct"/>
            <w:vMerge w:val="restart"/>
            <w:noWrap w:val="0"/>
            <w:vAlign w:val="center"/>
          </w:tcPr>
          <w:p w14:paraId="74B167E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产污系数法</w:t>
            </w:r>
          </w:p>
        </w:tc>
        <w:tc>
          <w:tcPr>
            <w:tcW w:w="324" w:type="pct"/>
            <w:shd w:val="clear" w:color="auto" w:fill="auto"/>
            <w:noWrap w:val="0"/>
            <w:vAlign w:val="center"/>
          </w:tcPr>
          <w:p w14:paraId="4D84074A">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5.71E-06</w:t>
            </w:r>
          </w:p>
        </w:tc>
        <w:tc>
          <w:tcPr>
            <w:tcW w:w="254" w:type="pct"/>
            <w:vMerge w:val="restart"/>
            <w:noWrap w:val="0"/>
            <w:vAlign w:val="center"/>
          </w:tcPr>
          <w:p w14:paraId="2182CC4B">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80</w:t>
            </w:r>
          </w:p>
        </w:tc>
        <w:tc>
          <w:tcPr>
            <w:tcW w:w="554" w:type="pct"/>
            <w:vMerge w:val="restart"/>
            <w:noWrap w:val="0"/>
            <w:vAlign w:val="center"/>
          </w:tcPr>
          <w:p w14:paraId="39B6470D">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1套碱喷淋装置+1根</w:t>
            </w:r>
            <w:r>
              <w:rPr>
                <w:rFonts w:hint="eastAsia" w:cs="Times New Roman"/>
                <w:b w:val="0"/>
                <w:bCs w:val="0"/>
                <w:color w:val="auto"/>
                <w:sz w:val="18"/>
                <w:szCs w:val="18"/>
                <w:highlight w:val="none"/>
                <w:lang w:val="en-US" w:eastAsia="zh-CN"/>
              </w:rPr>
              <w:t>距地面15</w:t>
            </w:r>
            <w:r>
              <w:rPr>
                <w:rFonts w:hint="eastAsia" w:ascii="Times New Roman" w:hAnsi="Times New Roman" w:eastAsia="宋体" w:cs="Times New Roman"/>
                <w:b w:val="0"/>
                <w:bCs w:val="0"/>
                <w:color w:val="auto"/>
                <w:sz w:val="18"/>
                <w:szCs w:val="18"/>
                <w:highlight w:val="none"/>
                <w:lang w:val="en-US" w:eastAsia="zh-CN"/>
              </w:rPr>
              <w:t>m高排气筒</w:t>
            </w:r>
            <w:r>
              <w:rPr>
                <w:rFonts w:hint="eastAsia" w:cs="Times New Roman"/>
                <w:b w:val="0"/>
                <w:bCs w:val="0"/>
                <w:color w:val="auto"/>
                <w:sz w:val="18"/>
                <w:szCs w:val="18"/>
                <w:highlight w:val="none"/>
                <w:lang w:val="en-US" w:eastAsia="zh-CN"/>
              </w:rPr>
              <w:t>（</w:t>
            </w:r>
            <w:r>
              <w:rPr>
                <w:rFonts w:hint="eastAsia" w:ascii="Times New Roman" w:hAnsi="Times New Roman" w:eastAsia="宋体" w:cs="Times New Roman"/>
                <w:b w:val="0"/>
                <w:bCs w:val="0"/>
                <w:color w:val="auto"/>
                <w:sz w:val="18"/>
                <w:szCs w:val="18"/>
                <w:highlight w:val="none"/>
                <w:lang w:val="en-US" w:eastAsia="zh-CN"/>
              </w:rPr>
              <w:t>DA00</w:t>
            </w:r>
            <w:r>
              <w:rPr>
                <w:rFonts w:hint="eastAsia" w:cs="Times New Roman"/>
                <w:b w:val="0"/>
                <w:bCs w:val="0"/>
                <w:color w:val="auto"/>
                <w:sz w:val="18"/>
                <w:szCs w:val="18"/>
                <w:highlight w:val="none"/>
                <w:lang w:val="en-US" w:eastAsia="zh-CN"/>
              </w:rPr>
              <w:t>2）</w:t>
            </w:r>
          </w:p>
        </w:tc>
        <w:tc>
          <w:tcPr>
            <w:tcW w:w="282" w:type="pct"/>
            <w:vMerge w:val="restart"/>
            <w:noWrap w:val="0"/>
            <w:vAlign w:val="center"/>
          </w:tcPr>
          <w:p w14:paraId="5A90179B">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90</w:t>
            </w:r>
          </w:p>
        </w:tc>
        <w:tc>
          <w:tcPr>
            <w:tcW w:w="267" w:type="pct"/>
            <w:vMerge w:val="restart"/>
            <w:noWrap w:val="0"/>
            <w:vAlign w:val="center"/>
          </w:tcPr>
          <w:p w14:paraId="2EC24A2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8000</w:t>
            </w:r>
          </w:p>
        </w:tc>
        <w:tc>
          <w:tcPr>
            <w:tcW w:w="329" w:type="pct"/>
            <w:shd w:val="clear" w:color="auto" w:fill="auto"/>
            <w:noWrap w:val="0"/>
            <w:vAlign w:val="center"/>
          </w:tcPr>
          <w:p w14:paraId="07DF6D6D">
            <w:pPr>
              <w:pStyle w:val="24"/>
              <w:bidi w:val="0"/>
              <w:ind w:left="0" w:leftChars="0"/>
              <w:jc w:val="center"/>
              <w:rPr>
                <w:rFonts w:hint="default"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4.76E-05</w:t>
            </w:r>
          </w:p>
        </w:tc>
        <w:tc>
          <w:tcPr>
            <w:tcW w:w="315" w:type="pct"/>
            <w:shd w:val="clear" w:color="auto" w:fill="auto"/>
            <w:noWrap w:val="0"/>
            <w:vAlign w:val="center"/>
          </w:tcPr>
          <w:p w14:paraId="381FFB0F">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3.81E-07</w:t>
            </w:r>
          </w:p>
        </w:tc>
        <w:tc>
          <w:tcPr>
            <w:tcW w:w="320" w:type="pct"/>
            <w:shd w:val="clear" w:color="auto" w:fill="auto"/>
            <w:noWrap w:val="0"/>
            <w:vAlign w:val="center"/>
          </w:tcPr>
          <w:p w14:paraId="055D42B1">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4.57E-07</w:t>
            </w:r>
          </w:p>
        </w:tc>
        <w:tc>
          <w:tcPr>
            <w:tcW w:w="320" w:type="pct"/>
            <w:shd w:val="clear" w:color="auto" w:fill="auto"/>
            <w:noWrap w:val="0"/>
            <w:vAlign w:val="center"/>
          </w:tcPr>
          <w:p w14:paraId="6207890D">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9.52E-07</w:t>
            </w:r>
          </w:p>
        </w:tc>
        <w:tc>
          <w:tcPr>
            <w:tcW w:w="323" w:type="pct"/>
            <w:shd w:val="clear" w:color="auto" w:fill="auto"/>
            <w:noWrap w:val="0"/>
            <w:vAlign w:val="center"/>
          </w:tcPr>
          <w:p w14:paraId="5C992BDB">
            <w:pPr>
              <w:pStyle w:val="24"/>
              <w:bidi w:val="0"/>
              <w:ind w:left="0" w:leftChars="0"/>
              <w:jc w:val="center"/>
              <w:rPr>
                <w:rFonts w:hint="default"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1.14E-06</w:t>
            </w:r>
          </w:p>
        </w:tc>
        <w:tc>
          <w:tcPr>
            <w:tcW w:w="346" w:type="pct"/>
            <w:noWrap w:val="0"/>
            <w:vAlign w:val="center"/>
          </w:tcPr>
          <w:p w14:paraId="166A0700">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100</w:t>
            </w:r>
          </w:p>
        </w:tc>
        <w:tc>
          <w:tcPr>
            <w:tcW w:w="342" w:type="pct"/>
            <w:noWrap w:val="0"/>
            <w:vAlign w:val="center"/>
          </w:tcPr>
          <w:p w14:paraId="694ABF03">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0.26</w:t>
            </w:r>
          </w:p>
        </w:tc>
        <w:tc>
          <w:tcPr>
            <w:tcW w:w="233" w:type="pct"/>
            <w:vMerge w:val="restart"/>
            <w:noWrap w:val="0"/>
            <w:vAlign w:val="center"/>
          </w:tcPr>
          <w:p w14:paraId="38FFE512">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一般排放口</w:t>
            </w:r>
          </w:p>
        </w:tc>
      </w:tr>
      <w:tr w14:paraId="4E5C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continue"/>
            <w:noWrap w:val="0"/>
            <w:vAlign w:val="center"/>
          </w:tcPr>
          <w:p w14:paraId="1B85308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96" w:type="pct"/>
            <w:noWrap w:val="0"/>
            <w:vAlign w:val="center"/>
          </w:tcPr>
          <w:p w14:paraId="18D31A43">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硫酸雾</w:t>
            </w:r>
          </w:p>
        </w:tc>
        <w:tc>
          <w:tcPr>
            <w:tcW w:w="242" w:type="pct"/>
            <w:vMerge w:val="continue"/>
            <w:noWrap w:val="0"/>
            <w:vAlign w:val="center"/>
          </w:tcPr>
          <w:p w14:paraId="2723164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124FDE4E">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9.59E-07</w:t>
            </w:r>
          </w:p>
        </w:tc>
        <w:tc>
          <w:tcPr>
            <w:tcW w:w="254" w:type="pct"/>
            <w:vMerge w:val="continue"/>
            <w:noWrap w:val="0"/>
            <w:vAlign w:val="center"/>
          </w:tcPr>
          <w:p w14:paraId="0825849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5B996BE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5F37A74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3AA6CE3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shd w:val="clear" w:color="auto" w:fill="auto"/>
            <w:noWrap w:val="0"/>
            <w:vAlign w:val="center"/>
          </w:tcPr>
          <w:p w14:paraId="14525C93">
            <w:pPr>
              <w:pStyle w:val="24"/>
              <w:bidi w:val="0"/>
              <w:ind w:left="0" w:leftChars="0"/>
              <w:jc w:val="center"/>
              <w:rPr>
                <w:rFonts w:hint="default"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7.99E-06</w:t>
            </w:r>
          </w:p>
        </w:tc>
        <w:tc>
          <w:tcPr>
            <w:tcW w:w="315" w:type="pct"/>
            <w:shd w:val="clear" w:color="auto" w:fill="auto"/>
            <w:noWrap w:val="0"/>
            <w:vAlign w:val="center"/>
          </w:tcPr>
          <w:p w14:paraId="2BE5947F">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6.39E-08</w:t>
            </w:r>
          </w:p>
        </w:tc>
        <w:tc>
          <w:tcPr>
            <w:tcW w:w="320" w:type="pct"/>
            <w:shd w:val="clear" w:color="auto" w:fill="auto"/>
            <w:noWrap w:val="0"/>
            <w:vAlign w:val="center"/>
          </w:tcPr>
          <w:p w14:paraId="0BAEBB3B">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7.67E-08</w:t>
            </w:r>
          </w:p>
        </w:tc>
        <w:tc>
          <w:tcPr>
            <w:tcW w:w="320" w:type="pct"/>
            <w:shd w:val="clear" w:color="auto" w:fill="auto"/>
            <w:noWrap w:val="0"/>
            <w:vAlign w:val="center"/>
          </w:tcPr>
          <w:p w14:paraId="290F56D7">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1.60E-07</w:t>
            </w:r>
          </w:p>
        </w:tc>
        <w:tc>
          <w:tcPr>
            <w:tcW w:w="323" w:type="pct"/>
            <w:shd w:val="clear" w:color="auto" w:fill="auto"/>
            <w:noWrap w:val="0"/>
            <w:vAlign w:val="center"/>
          </w:tcPr>
          <w:p w14:paraId="095988DD">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1.92E-07</w:t>
            </w:r>
          </w:p>
        </w:tc>
        <w:tc>
          <w:tcPr>
            <w:tcW w:w="346" w:type="pct"/>
            <w:noWrap w:val="0"/>
            <w:vAlign w:val="center"/>
          </w:tcPr>
          <w:p w14:paraId="66A28B2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45</w:t>
            </w:r>
          </w:p>
        </w:tc>
        <w:tc>
          <w:tcPr>
            <w:tcW w:w="342" w:type="pct"/>
            <w:noWrap w:val="0"/>
            <w:vAlign w:val="center"/>
          </w:tcPr>
          <w:p w14:paraId="3E977CB8">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1.5</w:t>
            </w:r>
          </w:p>
        </w:tc>
        <w:tc>
          <w:tcPr>
            <w:tcW w:w="233" w:type="pct"/>
            <w:vMerge w:val="continue"/>
            <w:noWrap w:val="0"/>
            <w:vAlign w:val="center"/>
          </w:tcPr>
          <w:p w14:paraId="01FECEB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1C0E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 w:type="pct"/>
            <w:vMerge w:val="continue"/>
            <w:noWrap w:val="0"/>
            <w:vAlign w:val="center"/>
          </w:tcPr>
          <w:p w14:paraId="3C6906F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96" w:type="pct"/>
            <w:noWrap w:val="0"/>
            <w:vAlign w:val="center"/>
          </w:tcPr>
          <w:p w14:paraId="380D564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氟化物</w:t>
            </w:r>
          </w:p>
        </w:tc>
        <w:tc>
          <w:tcPr>
            <w:tcW w:w="242" w:type="pct"/>
            <w:vMerge w:val="continue"/>
            <w:noWrap w:val="0"/>
            <w:vAlign w:val="center"/>
          </w:tcPr>
          <w:p w14:paraId="6D5A0D4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4" w:type="pct"/>
            <w:shd w:val="clear" w:color="auto" w:fill="auto"/>
            <w:noWrap w:val="0"/>
            <w:vAlign w:val="center"/>
          </w:tcPr>
          <w:p w14:paraId="6E3AF6E5">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eastAsia="宋体" w:cs="Times New Roman"/>
                <w:b w:val="0"/>
                <w:bCs w:val="0"/>
                <w:color w:val="auto"/>
                <w:sz w:val="18"/>
                <w:szCs w:val="18"/>
                <w:highlight w:val="none"/>
                <w:lang w:val="en-US" w:eastAsia="zh-CN"/>
              </w:rPr>
              <w:t>0.0006</w:t>
            </w:r>
          </w:p>
        </w:tc>
        <w:tc>
          <w:tcPr>
            <w:tcW w:w="254" w:type="pct"/>
            <w:vMerge w:val="continue"/>
            <w:noWrap w:val="0"/>
            <w:vAlign w:val="center"/>
          </w:tcPr>
          <w:p w14:paraId="048F3A3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554" w:type="pct"/>
            <w:vMerge w:val="continue"/>
            <w:noWrap w:val="0"/>
            <w:vAlign w:val="center"/>
          </w:tcPr>
          <w:p w14:paraId="3348FE3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82" w:type="pct"/>
            <w:vMerge w:val="continue"/>
            <w:noWrap w:val="0"/>
            <w:vAlign w:val="center"/>
          </w:tcPr>
          <w:p w14:paraId="77046DB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267" w:type="pct"/>
            <w:vMerge w:val="continue"/>
            <w:noWrap w:val="0"/>
            <w:vAlign w:val="center"/>
          </w:tcPr>
          <w:p w14:paraId="2678EB0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29" w:type="pct"/>
            <w:shd w:val="clear" w:color="auto" w:fill="auto"/>
            <w:noWrap w:val="0"/>
            <w:vAlign w:val="center"/>
          </w:tcPr>
          <w:p w14:paraId="3A750FF9">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0.005</w:t>
            </w:r>
          </w:p>
        </w:tc>
        <w:tc>
          <w:tcPr>
            <w:tcW w:w="315" w:type="pct"/>
            <w:shd w:val="clear" w:color="auto" w:fill="auto"/>
            <w:noWrap w:val="0"/>
            <w:vAlign w:val="center"/>
          </w:tcPr>
          <w:p w14:paraId="31ADE502">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4.00E-05</w:t>
            </w:r>
          </w:p>
        </w:tc>
        <w:tc>
          <w:tcPr>
            <w:tcW w:w="320" w:type="pct"/>
            <w:shd w:val="clear" w:color="auto" w:fill="auto"/>
            <w:noWrap w:val="0"/>
            <w:vAlign w:val="center"/>
          </w:tcPr>
          <w:p w14:paraId="5919CCF1">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4.80E-05</w:t>
            </w:r>
          </w:p>
        </w:tc>
        <w:tc>
          <w:tcPr>
            <w:tcW w:w="320" w:type="pct"/>
            <w:shd w:val="clear" w:color="auto" w:fill="auto"/>
            <w:noWrap w:val="0"/>
            <w:vAlign w:val="center"/>
          </w:tcPr>
          <w:p w14:paraId="616745A2">
            <w:pPr>
              <w:pStyle w:val="24"/>
              <w:bidi w:val="0"/>
              <w:ind w:left="0" w:leftChars="0"/>
              <w:jc w:val="center"/>
              <w:rPr>
                <w:rFonts w:hint="eastAsia"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1.00E-04</w:t>
            </w:r>
          </w:p>
        </w:tc>
        <w:tc>
          <w:tcPr>
            <w:tcW w:w="323" w:type="pct"/>
            <w:shd w:val="clear" w:color="auto" w:fill="auto"/>
            <w:noWrap w:val="0"/>
            <w:vAlign w:val="center"/>
          </w:tcPr>
          <w:p w14:paraId="405D59B7">
            <w:pPr>
              <w:pStyle w:val="24"/>
              <w:bidi w:val="0"/>
              <w:ind w:left="0" w:leftChars="0"/>
              <w:jc w:val="center"/>
              <w:rPr>
                <w:rFonts w:hint="default"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1.20E-04</w:t>
            </w:r>
          </w:p>
        </w:tc>
        <w:tc>
          <w:tcPr>
            <w:tcW w:w="346" w:type="pct"/>
            <w:noWrap w:val="0"/>
            <w:vAlign w:val="center"/>
          </w:tcPr>
          <w:p w14:paraId="2743B155">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9.0</w:t>
            </w:r>
          </w:p>
        </w:tc>
        <w:tc>
          <w:tcPr>
            <w:tcW w:w="342" w:type="pct"/>
            <w:noWrap w:val="0"/>
            <w:vAlign w:val="center"/>
          </w:tcPr>
          <w:p w14:paraId="0284D07E">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0.10</w:t>
            </w:r>
          </w:p>
        </w:tc>
        <w:tc>
          <w:tcPr>
            <w:tcW w:w="233" w:type="pct"/>
            <w:vMerge w:val="continue"/>
            <w:noWrap w:val="0"/>
            <w:vAlign w:val="center"/>
          </w:tcPr>
          <w:p w14:paraId="1A42848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6E2B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48" w:type="pct"/>
            <w:noWrap w:val="0"/>
            <w:vAlign w:val="center"/>
          </w:tcPr>
          <w:p w14:paraId="16D39DCA">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危废暂存间废气</w:t>
            </w:r>
          </w:p>
        </w:tc>
        <w:tc>
          <w:tcPr>
            <w:tcW w:w="296" w:type="pct"/>
            <w:noWrap w:val="0"/>
            <w:vAlign w:val="center"/>
          </w:tcPr>
          <w:p w14:paraId="49FF0321">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氯化氢、硫酸雾、</w:t>
            </w:r>
            <w:r>
              <w:rPr>
                <w:rFonts w:hint="eastAsia" w:cs="Times New Roman"/>
                <w:b w:val="0"/>
                <w:bCs w:val="0"/>
                <w:color w:val="auto"/>
                <w:sz w:val="18"/>
                <w:szCs w:val="18"/>
                <w:highlight w:val="none"/>
                <w:lang w:val="en-US" w:eastAsia="zh-CN"/>
              </w:rPr>
              <w:t>氟化物</w:t>
            </w:r>
            <w:r>
              <w:rPr>
                <w:rFonts w:hint="eastAsia" w:eastAsia="宋体" w:cs="Times New Roman"/>
                <w:b w:val="0"/>
                <w:bCs w:val="0"/>
                <w:color w:val="auto"/>
                <w:sz w:val="18"/>
                <w:szCs w:val="18"/>
                <w:highlight w:val="none"/>
                <w:lang w:val="en-US" w:eastAsia="zh-CN"/>
              </w:rPr>
              <w:t>、VOCs等</w:t>
            </w:r>
          </w:p>
        </w:tc>
        <w:tc>
          <w:tcPr>
            <w:tcW w:w="242" w:type="pct"/>
            <w:noWrap w:val="0"/>
            <w:vAlign w:val="center"/>
          </w:tcPr>
          <w:p w14:paraId="308B9D0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24" w:type="pct"/>
            <w:shd w:val="clear" w:color="auto" w:fill="auto"/>
            <w:noWrap w:val="0"/>
            <w:vAlign w:val="center"/>
          </w:tcPr>
          <w:p w14:paraId="1745B9A3">
            <w:pPr>
              <w:pStyle w:val="24"/>
              <w:bidi w:val="0"/>
              <w:ind w:left="0" w:leftChars="0"/>
              <w:jc w:val="center"/>
              <w:rPr>
                <w:rFonts w:hint="eastAsia"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254" w:type="pct"/>
            <w:noWrap w:val="0"/>
            <w:vAlign w:val="center"/>
          </w:tcPr>
          <w:p w14:paraId="431C11D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554" w:type="pct"/>
            <w:noWrap w:val="0"/>
            <w:vAlign w:val="center"/>
          </w:tcPr>
          <w:p w14:paraId="701F9B6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cs="Courier New"/>
                <w:b w:val="0"/>
                <w:color w:val="auto"/>
                <w:sz w:val="18"/>
                <w:szCs w:val="18"/>
                <w:highlight w:val="none"/>
                <w:lang w:val="en-US" w:eastAsia="zh-CN"/>
              </w:rPr>
              <w:t>1套</w:t>
            </w:r>
            <w:r>
              <w:rPr>
                <w:rFonts w:hint="eastAsia" w:ascii="Times New Roman" w:hAnsi="Times New Roman" w:eastAsia="宋体" w:cs="Courier New"/>
                <w:b w:val="0"/>
                <w:color w:val="auto"/>
                <w:sz w:val="18"/>
                <w:szCs w:val="18"/>
                <w:highlight w:val="none"/>
                <w:lang w:val="en-US" w:eastAsia="zh-CN"/>
              </w:rPr>
              <w:t>活性炭吸附装置（TA00</w:t>
            </w:r>
            <w:r>
              <w:rPr>
                <w:rFonts w:hint="eastAsia" w:eastAsia="宋体" w:cs="Courier New"/>
                <w:b w:val="0"/>
                <w:color w:val="auto"/>
                <w:sz w:val="18"/>
                <w:szCs w:val="18"/>
                <w:highlight w:val="none"/>
                <w:lang w:val="en-US" w:eastAsia="zh-CN"/>
              </w:rPr>
              <w:t>3</w:t>
            </w:r>
            <w:r>
              <w:rPr>
                <w:rFonts w:hint="eastAsia" w:ascii="Times New Roman" w:hAnsi="Times New Roman" w:eastAsia="宋体" w:cs="Courier New"/>
                <w:b w:val="0"/>
                <w:color w:val="auto"/>
                <w:sz w:val="18"/>
                <w:szCs w:val="18"/>
                <w:highlight w:val="none"/>
                <w:lang w:val="en-US" w:eastAsia="zh-CN"/>
              </w:rPr>
              <w:t>）</w:t>
            </w:r>
          </w:p>
        </w:tc>
        <w:tc>
          <w:tcPr>
            <w:tcW w:w="282" w:type="pct"/>
            <w:noWrap w:val="0"/>
            <w:vAlign w:val="center"/>
          </w:tcPr>
          <w:p w14:paraId="1B04E97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267" w:type="pct"/>
            <w:noWrap w:val="0"/>
            <w:vAlign w:val="center"/>
          </w:tcPr>
          <w:p w14:paraId="28D96B9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29" w:type="pct"/>
            <w:shd w:val="clear" w:color="auto" w:fill="auto"/>
            <w:noWrap w:val="0"/>
            <w:vAlign w:val="center"/>
          </w:tcPr>
          <w:p w14:paraId="17EDFF30">
            <w:pPr>
              <w:pStyle w:val="24"/>
              <w:bidi w:val="0"/>
              <w:ind w:left="0" w:leftChars="0"/>
              <w:jc w:val="center"/>
              <w:rPr>
                <w:rFonts w:hint="eastAsia"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15" w:type="pct"/>
            <w:shd w:val="clear" w:color="auto" w:fill="auto"/>
            <w:noWrap w:val="0"/>
            <w:vAlign w:val="center"/>
          </w:tcPr>
          <w:p w14:paraId="215B2912">
            <w:pPr>
              <w:pStyle w:val="24"/>
              <w:bidi w:val="0"/>
              <w:ind w:left="0" w:leftChars="0"/>
              <w:jc w:val="center"/>
              <w:rPr>
                <w:rFonts w:hint="eastAsia"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20" w:type="pct"/>
            <w:shd w:val="clear" w:color="auto" w:fill="auto"/>
            <w:noWrap w:val="0"/>
            <w:vAlign w:val="center"/>
          </w:tcPr>
          <w:p w14:paraId="077774CB">
            <w:pPr>
              <w:pStyle w:val="24"/>
              <w:bidi w:val="0"/>
              <w:ind w:left="0" w:leftChars="0"/>
              <w:jc w:val="center"/>
              <w:rPr>
                <w:rFonts w:hint="eastAsia"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20" w:type="pct"/>
            <w:shd w:val="clear" w:color="auto" w:fill="auto"/>
            <w:noWrap w:val="0"/>
            <w:vAlign w:val="center"/>
          </w:tcPr>
          <w:p w14:paraId="4219982F">
            <w:pPr>
              <w:pStyle w:val="24"/>
              <w:bidi w:val="0"/>
              <w:ind w:left="0" w:leftChars="0"/>
              <w:jc w:val="center"/>
              <w:rPr>
                <w:rFonts w:hint="eastAsia"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23" w:type="pct"/>
            <w:shd w:val="clear" w:color="auto" w:fill="auto"/>
            <w:noWrap w:val="0"/>
            <w:vAlign w:val="center"/>
          </w:tcPr>
          <w:p w14:paraId="23452FBB">
            <w:pPr>
              <w:pStyle w:val="24"/>
              <w:bidi w:val="0"/>
              <w:ind w:left="0" w:leftChars="0"/>
              <w:jc w:val="center"/>
              <w:rPr>
                <w:rFonts w:hint="eastAsia"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46" w:type="pct"/>
            <w:noWrap w:val="0"/>
            <w:vAlign w:val="center"/>
          </w:tcPr>
          <w:p w14:paraId="5A62763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342" w:type="pct"/>
            <w:noWrap w:val="0"/>
            <w:vAlign w:val="center"/>
          </w:tcPr>
          <w:p w14:paraId="5BA9C83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olor w:val="auto"/>
                <w:sz w:val="18"/>
                <w:szCs w:val="18"/>
                <w:lang w:val="en-US" w:eastAsia="zh-CN"/>
              </w:rPr>
              <w:t>/</w:t>
            </w:r>
          </w:p>
        </w:tc>
        <w:tc>
          <w:tcPr>
            <w:tcW w:w="233" w:type="pct"/>
            <w:noWrap w:val="0"/>
            <w:vAlign w:val="center"/>
          </w:tcPr>
          <w:p w14:paraId="687CA79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w:t>
            </w:r>
          </w:p>
        </w:tc>
      </w:tr>
    </w:tbl>
    <w:p w14:paraId="275997FE">
      <w:pPr>
        <w:bidi w:val="0"/>
        <w:ind w:left="0" w:leftChars="0" w:firstLine="480" w:firstLineChars="200"/>
        <w:rPr>
          <w:rFonts w:hint="eastAsia" w:ascii="Times New Roman" w:hAnsi="Times New Roman" w:eastAsia="宋体" w:cs="Times New Roman"/>
          <w:b w:val="0"/>
          <w:bCs/>
          <w:color w:val="auto"/>
          <w:sz w:val="24"/>
          <w:lang w:val="en-US" w:eastAsia="zh-CN"/>
        </w:rPr>
      </w:pPr>
      <w:r>
        <w:rPr>
          <w:rFonts w:hint="eastAsia" w:ascii="Times New Roman" w:hAnsi="Times New Roman" w:cs="Times New Roman"/>
          <w:color w:val="auto"/>
          <w:highlight w:val="none"/>
          <w:lang w:val="en-US" w:eastAsia="zh-CN"/>
        </w:rPr>
        <w:t>由上表可知，</w:t>
      </w:r>
      <w:r>
        <w:rPr>
          <w:rFonts w:hint="default" w:ascii="Times New Roman" w:hAnsi="Times New Roman" w:cs="Times New Roman"/>
          <w:color w:val="auto"/>
          <w:highlight w:val="none"/>
        </w:rPr>
        <w:t>本项目</w:t>
      </w:r>
      <w:r>
        <w:rPr>
          <w:rFonts w:hint="eastAsia" w:cs="Times New Roman"/>
          <w:color w:val="auto"/>
          <w:highlight w:val="none"/>
          <w:lang w:val="en-US" w:eastAsia="zh-CN"/>
        </w:rPr>
        <w:t>工艺</w:t>
      </w:r>
      <w:r>
        <w:rPr>
          <w:rFonts w:hint="eastAsia" w:ascii="Times New Roman" w:hAnsi="Times New Roman" w:cs="Times New Roman"/>
          <w:color w:val="auto"/>
          <w:highlight w:val="none"/>
          <w:lang w:val="en-US" w:eastAsia="zh-CN"/>
        </w:rPr>
        <w:t>废气</w:t>
      </w:r>
      <w:r>
        <w:rPr>
          <w:rFonts w:hint="eastAsia" w:cs="Times New Roman"/>
          <w:color w:val="auto"/>
          <w:highlight w:val="none"/>
          <w:lang w:val="en-US" w:eastAsia="zh-CN"/>
        </w:rPr>
        <w:t>中</w:t>
      </w:r>
      <w:r>
        <w:rPr>
          <w:rFonts w:hint="eastAsia"/>
          <w:color w:val="auto"/>
          <w:lang w:val="en-US" w:eastAsia="zh-CN"/>
        </w:rPr>
        <w:t>颗粒物有组织排放速率、排放浓度满足《大气污染物排放标准》（GB 16297-1996）表2中二级标准限值，硫酸雾、氟化物有组织排放浓度满足《无机化学工业污染物排放标准》（GB 31573-2015）表3中排放限值，VOCs有组织排放速率、排放浓度满足《四川省固定污染源大气挥发性有机物排放标准》（DB51/2377-2017）表3中排放限值；</w:t>
      </w:r>
      <w:r>
        <w:rPr>
          <w:rFonts w:hint="eastAsia" w:cs="Times New Roman"/>
          <w:b w:val="0"/>
          <w:bCs/>
          <w:color w:val="auto"/>
          <w:sz w:val="24"/>
          <w:lang w:val="en-US" w:eastAsia="zh-CN"/>
        </w:rPr>
        <w:t>质检</w:t>
      </w:r>
      <w:r>
        <w:rPr>
          <w:rFonts w:hint="eastAsia"/>
          <w:color w:val="auto"/>
          <w:lang w:val="en-US" w:eastAsia="zh-CN"/>
        </w:rPr>
        <w:t>废气中氯化氢、硫酸雾、氟化物有组织排放速率、排放浓度满足《大气污染物排放标准》（GB 16297-1996）表2中二级标准限值</w:t>
      </w:r>
      <w:r>
        <w:rPr>
          <w:rFonts w:hint="eastAsia" w:ascii="Times New Roman" w:hAnsi="Times New Roman" w:eastAsia="宋体" w:cs="Times New Roman"/>
          <w:b w:val="0"/>
          <w:bCs/>
          <w:color w:val="auto"/>
          <w:sz w:val="24"/>
          <w:lang w:val="en-US" w:eastAsia="zh-CN"/>
        </w:rPr>
        <w:t>。</w:t>
      </w:r>
    </w:p>
    <w:p w14:paraId="00FCF80D">
      <w:pPr>
        <w:rPr>
          <w:rFonts w:hint="eastAsia"/>
          <w:b/>
          <w:bCs/>
          <w:color w:val="auto"/>
          <w:sz w:val="24"/>
          <w:szCs w:val="24"/>
          <w:highlight w:val="none"/>
          <w:lang w:val="en-US" w:eastAsia="zh-CN"/>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p>
    <w:p w14:paraId="26220028">
      <w:pPr>
        <w:ind w:left="0" w:leftChars="0" w:firstLine="482" w:firstLineChars="200"/>
        <w:rPr>
          <w:rFonts w:hint="eastAsia" w:ascii="Times New Roman" w:hAnsi="Times New Roman"/>
          <w:color w:val="auto"/>
          <w:sz w:val="24"/>
          <w:szCs w:val="24"/>
          <w:highlight w:val="none"/>
          <w:lang w:eastAsia="zh-CN"/>
        </w:rPr>
      </w:pPr>
      <w:r>
        <w:rPr>
          <w:rFonts w:hint="eastAsia"/>
          <w:b/>
          <w:bCs/>
          <w:color w:val="auto"/>
          <w:sz w:val="24"/>
          <w:szCs w:val="24"/>
          <w:highlight w:val="none"/>
          <w:lang w:eastAsia="zh-CN"/>
        </w:rPr>
        <w:t>（</w:t>
      </w:r>
      <w:r>
        <w:rPr>
          <w:rFonts w:hint="eastAsia"/>
          <w:b/>
          <w:bCs/>
          <w:color w:val="auto"/>
          <w:sz w:val="24"/>
          <w:szCs w:val="24"/>
          <w:highlight w:val="none"/>
          <w:lang w:val="en-US" w:eastAsia="zh-CN"/>
        </w:rPr>
        <w:t>2</w:t>
      </w:r>
      <w:r>
        <w:rPr>
          <w:rFonts w:hint="eastAsia"/>
          <w:b/>
          <w:bCs/>
          <w:color w:val="auto"/>
          <w:sz w:val="24"/>
          <w:szCs w:val="24"/>
          <w:highlight w:val="none"/>
          <w:lang w:eastAsia="zh-CN"/>
        </w:rPr>
        <w:t>）</w:t>
      </w:r>
      <w:r>
        <w:rPr>
          <w:rFonts w:hint="eastAsia"/>
          <w:b/>
          <w:bCs/>
          <w:color w:val="auto"/>
          <w:sz w:val="24"/>
          <w:szCs w:val="24"/>
          <w:highlight w:val="none"/>
          <w:lang w:val="en-US" w:eastAsia="zh-CN"/>
        </w:rPr>
        <w:t>废气排放量统计</w:t>
      </w:r>
    </w:p>
    <w:p w14:paraId="4659F32F">
      <w:pPr>
        <w:rPr>
          <w:rFonts w:hint="eastAsia" w:ascii="Times New Roman" w:hAnsi="Times New Roman" w:eastAsia="宋体" w:cs="Times New Roman"/>
          <w:color w:val="auto"/>
          <w:highlight w:val="none"/>
          <w:lang w:eastAsia="zh-CN"/>
        </w:rPr>
      </w:pPr>
      <w:r>
        <w:rPr>
          <w:rFonts w:hint="eastAsia" w:ascii="Times New Roman" w:hAnsi="Times New Roman"/>
          <w:color w:val="auto"/>
          <w:sz w:val="24"/>
          <w:szCs w:val="24"/>
          <w:highlight w:val="none"/>
          <w:lang w:eastAsia="zh-CN"/>
        </w:rPr>
        <w:t>本项目主要大气污染物排放统计表如下：</w:t>
      </w:r>
    </w:p>
    <w:p w14:paraId="7315EAAC">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本项目主要大气污染物排放统计表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2"/>
        <w:gridCol w:w="2375"/>
        <w:gridCol w:w="2377"/>
        <w:gridCol w:w="2379"/>
      </w:tblGrid>
      <w:tr w14:paraId="1132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48" w:type="pct"/>
            <w:vAlign w:val="center"/>
          </w:tcPr>
          <w:p w14:paraId="49E01B80">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污染物</w:t>
            </w:r>
          </w:p>
        </w:tc>
        <w:tc>
          <w:tcPr>
            <w:tcW w:w="1249" w:type="pct"/>
            <w:shd w:val="clear" w:color="auto" w:fill="auto"/>
            <w:vAlign w:val="center"/>
          </w:tcPr>
          <w:p w14:paraId="6907BF9F">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有组织排放量（</w:t>
            </w: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c>
          <w:tcPr>
            <w:tcW w:w="1250" w:type="pct"/>
            <w:shd w:val="clear" w:color="auto" w:fill="auto"/>
            <w:vAlign w:val="center"/>
          </w:tcPr>
          <w:p w14:paraId="33EF044F">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无组织排放量（</w:t>
            </w: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c>
          <w:tcPr>
            <w:tcW w:w="1251" w:type="pct"/>
            <w:shd w:val="clear" w:color="auto" w:fill="auto"/>
            <w:vAlign w:val="center"/>
          </w:tcPr>
          <w:p w14:paraId="1BF99D8A">
            <w:pPr>
              <w:pStyle w:val="24"/>
              <w:bidi w:val="0"/>
              <w:ind w:left="0" w:lef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合计（</w:t>
            </w:r>
            <w:r>
              <w:rPr>
                <w:rFonts w:hint="eastAsia" w:cs="Times New Roman"/>
                <w:b/>
                <w:bCs/>
                <w:color w:val="auto"/>
                <w:sz w:val="21"/>
                <w:szCs w:val="21"/>
                <w:highlight w:val="none"/>
                <w:lang w:val="en-US" w:eastAsia="zh-CN"/>
              </w:rPr>
              <w:t>t</w:t>
            </w:r>
            <w:r>
              <w:rPr>
                <w:rFonts w:hint="eastAsia" w:ascii="Times New Roman" w:hAnsi="Times New Roman" w:eastAsia="宋体" w:cs="Times New Roman"/>
                <w:b/>
                <w:bCs/>
                <w:color w:val="auto"/>
                <w:sz w:val="21"/>
                <w:szCs w:val="21"/>
                <w:highlight w:val="none"/>
                <w:lang w:val="en-US" w:eastAsia="zh-CN"/>
              </w:rPr>
              <w:t>/a）</w:t>
            </w:r>
          </w:p>
        </w:tc>
      </w:tr>
      <w:tr w14:paraId="4233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8" w:type="pct"/>
            <w:vAlign w:val="center"/>
          </w:tcPr>
          <w:p w14:paraId="1DDFA10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颗粒物</w:t>
            </w:r>
          </w:p>
        </w:tc>
        <w:tc>
          <w:tcPr>
            <w:tcW w:w="2375" w:type="dxa"/>
            <w:vAlign w:val="bottom"/>
          </w:tcPr>
          <w:p w14:paraId="1E806F07">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0.0024</w:t>
            </w:r>
          </w:p>
        </w:tc>
        <w:tc>
          <w:tcPr>
            <w:tcW w:w="2377" w:type="dxa"/>
            <w:vAlign w:val="bottom"/>
          </w:tcPr>
          <w:p w14:paraId="2FC93257">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0.006</w:t>
            </w:r>
          </w:p>
        </w:tc>
        <w:tc>
          <w:tcPr>
            <w:tcW w:w="2379" w:type="dxa"/>
            <w:vAlign w:val="bottom"/>
          </w:tcPr>
          <w:p w14:paraId="7F860B8C">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0.0084</w:t>
            </w:r>
          </w:p>
        </w:tc>
      </w:tr>
      <w:tr w14:paraId="00DE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8" w:type="pct"/>
            <w:shd w:val="clear" w:color="auto" w:fill="auto"/>
            <w:vAlign w:val="center"/>
          </w:tcPr>
          <w:p w14:paraId="38DB5069">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2375" w:type="dxa"/>
            <w:vAlign w:val="bottom"/>
          </w:tcPr>
          <w:p w14:paraId="186C581F">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0.0095 </w:t>
            </w:r>
          </w:p>
        </w:tc>
        <w:tc>
          <w:tcPr>
            <w:tcW w:w="2377" w:type="dxa"/>
            <w:vAlign w:val="bottom"/>
          </w:tcPr>
          <w:p w14:paraId="6A4F2DC4">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0.0050 </w:t>
            </w:r>
          </w:p>
        </w:tc>
        <w:tc>
          <w:tcPr>
            <w:tcW w:w="2379" w:type="dxa"/>
            <w:vAlign w:val="bottom"/>
          </w:tcPr>
          <w:p w14:paraId="2BD79F32">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0.0145 </w:t>
            </w:r>
          </w:p>
        </w:tc>
      </w:tr>
      <w:tr w14:paraId="56A0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shd w:val="clear" w:color="auto" w:fill="auto"/>
            <w:vAlign w:val="center"/>
          </w:tcPr>
          <w:p w14:paraId="54B62A6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2375" w:type="dxa"/>
            <w:vAlign w:val="bottom"/>
          </w:tcPr>
          <w:p w14:paraId="58912E57">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0.0195 </w:t>
            </w:r>
          </w:p>
        </w:tc>
        <w:tc>
          <w:tcPr>
            <w:tcW w:w="2377" w:type="dxa"/>
            <w:vAlign w:val="bottom"/>
          </w:tcPr>
          <w:p w14:paraId="62459501">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0.0104 </w:t>
            </w:r>
          </w:p>
        </w:tc>
        <w:tc>
          <w:tcPr>
            <w:tcW w:w="2379" w:type="dxa"/>
            <w:vAlign w:val="bottom"/>
          </w:tcPr>
          <w:p w14:paraId="1AA6E17B">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0.0300 </w:t>
            </w:r>
          </w:p>
        </w:tc>
      </w:tr>
      <w:tr w14:paraId="75AB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shd w:val="clear" w:color="auto" w:fill="auto"/>
            <w:vAlign w:val="center"/>
          </w:tcPr>
          <w:p w14:paraId="4B75451B">
            <w:pPr>
              <w:pStyle w:val="24"/>
              <w:bidi w:val="0"/>
              <w:ind w:left="0" w:left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氯化氢</w:t>
            </w:r>
          </w:p>
        </w:tc>
        <w:tc>
          <w:tcPr>
            <w:tcW w:w="2375" w:type="dxa"/>
            <w:vAlign w:val="bottom"/>
          </w:tcPr>
          <w:p w14:paraId="48D29B28">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4.57E-07</w:t>
            </w:r>
          </w:p>
        </w:tc>
        <w:tc>
          <w:tcPr>
            <w:tcW w:w="2377" w:type="dxa"/>
            <w:vAlign w:val="bottom"/>
          </w:tcPr>
          <w:p w14:paraId="39967CEA">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1.14E-06</w:t>
            </w:r>
          </w:p>
        </w:tc>
        <w:tc>
          <w:tcPr>
            <w:tcW w:w="2379" w:type="dxa"/>
            <w:vAlign w:val="bottom"/>
          </w:tcPr>
          <w:p w14:paraId="4300D618">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1.60E-06</w:t>
            </w:r>
          </w:p>
        </w:tc>
      </w:tr>
      <w:tr w14:paraId="4370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8" w:type="pct"/>
            <w:shd w:val="clear" w:color="auto" w:fill="auto"/>
            <w:vAlign w:val="center"/>
          </w:tcPr>
          <w:p w14:paraId="586261E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2375" w:type="dxa"/>
            <w:shd w:val="clear" w:color="auto" w:fill="auto"/>
            <w:vAlign w:val="bottom"/>
          </w:tcPr>
          <w:p w14:paraId="22443DE1">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0.0423</w:t>
            </w:r>
          </w:p>
        </w:tc>
        <w:tc>
          <w:tcPr>
            <w:tcW w:w="2377" w:type="dxa"/>
            <w:shd w:val="clear" w:color="auto" w:fill="auto"/>
            <w:vAlign w:val="bottom"/>
          </w:tcPr>
          <w:p w14:paraId="6A598D45">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0.0182</w:t>
            </w:r>
          </w:p>
        </w:tc>
        <w:tc>
          <w:tcPr>
            <w:tcW w:w="2379" w:type="dxa"/>
            <w:shd w:val="clear" w:color="auto" w:fill="auto"/>
            <w:vAlign w:val="bottom"/>
          </w:tcPr>
          <w:p w14:paraId="5D33750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0.0605</w:t>
            </w:r>
          </w:p>
        </w:tc>
      </w:tr>
      <w:tr w14:paraId="3593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2" w:type="dxa"/>
            <w:shd w:val="clear" w:color="auto" w:fill="auto"/>
            <w:vAlign w:val="center"/>
          </w:tcPr>
          <w:p w14:paraId="4FD0EB93">
            <w:pPr>
              <w:pStyle w:val="24"/>
              <w:bidi w:val="0"/>
              <w:ind w:left="0" w:leftChars="0"/>
              <w:jc w:val="center"/>
              <w:rPr>
                <w:rFonts w:hint="eastAsia"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2375" w:type="dxa"/>
            <w:shd w:val="clear" w:color="auto" w:fill="auto"/>
            <w:vAlign w:val="center"/>
          </w:tcPr>
          <w:p w14:paraId="32B25A4A">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377" w:type="dxa"/>
            <w:shd w:val="clear" w:color="auto" w:fill="auto"/>
            <w:vAlign w:val="center"/>
          </w:tcPr>
          <w:p w14:paraId="04A3281C">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379" w:type="dxa"/>
            <w:shd w:val="clear" w:color="auto" w:fill="auto"/>
            <w:vAlign w:val="center"/>
          </w:tcPr>
          <w:p w14:paraId="440109B3">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84C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2" w:type="dxa"/>
            <w:shd w:val="clear" w:color="auto" w:fill="auto"/>
            <w:vAlign w:val="center"/>
          </w:tcPr>
          <w:p w14:paraId="7A0D2FB7">
            <w:pPr>
              <w:pStyle w:val="24"/>
              <w:bidi w:val="0"/>
              <w:ind w:left="0" w:leftChars="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臭气浓度</w:t>
            </w:r>
          </w:p>
        </w:tc>
        <w:tc>
          <w:tcPr>
            <w:tcW w:w="2375" w:type="dxa"/>
            <w:shd w:val="clear" w:color="auto" w:fill="auto"/>
            <w:vAlign w:val="center"/>
          </w:tcPr>
          <w:p w14:paraId="4B50E5EE">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377" w:type="dxa"/>
            <w:shd w:val="clear" w:color="auto" w:fill="auto"/>
            <w:vAlign w:val="center"/>
          </w:tcPr>
          <w:p w14:paraId="3742BFBC">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2379" w:type="dxa"/>
            <w:shd w:val="clear" w:color="auto" w:fill="auto"/>
            <w:vAlign w:val="center"/>
          </w:tcPr>
          <w:p w14:paraId="608F6099">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0BD9B945">
      <w:pPr>
        <w:pStyle w:val="5"/>
        <w:bidi w:val="0"/>
        <w:rPr>
          <w:rFonts w:hint="eastAsia"/>
          <w:color w:val="auto"/>
          <w:highlight w:val="none"/>
          <w:lang w:eastAsia="zh-CN"/>
        </w:rPr>
      </w:pPr>
      <w:r>
        <w:rPr>
          <w:rFonts w:hint="eastAsia"/>
          <w:color w:val="auto"/>
          <w:highlight w:val="none"/>
          <w:lang w:val="en-US" w:eastAsia="zh-CN"/>
        </w:rPr>
        <w:t>水污染物</w:t>
      </w:r>
    </w:p>
    <w:p w14:paraId="40A3C490">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废水</w:t>
      </w:r>
      <w:r>
        <w:rPr>
          <w:rFonts w:hint="eastAsia" w:cs="Times New Roman"/>
          <w:b/>
          <w:bCs/>
          <w:color w:val="auto"/>
          <w:highlight w:val="none"/>
          <w:lang w:val="en-US" w:eastAsia="zh-CN"/>
        </w:rPr>
        <w:t>产生情况</w:t>
      </w:r>
    </w:p>
    <w:p w14:paraId="0EB5C3DD">
      <w:pPr>
        <w:bidi w:val="0"/>
        <w:ind w:left="0" w:leftChars="0" w:firstLine="480" w:firstLineChars="200"/>
        <w:rPr>
          <w:rFonts w:hint="eastAsia"/>
          <w:color w:val="auto"/>
          <w:lang w:eastAsia="zh-CN"/>
        </w:rPr>
      </w:pPr>
      <w:r>
        <w:rPr>
          <w:rFonts w:hint="eastAsia"/>
          <w:color w:val="auto"/>
          <w:highlight w:val="none"/>
          <w:lang w:val="en-US" w:eastAsia="zh-CN"/>
        </w:rPr>
        <w:t>本项目生产用水进入产品，无废水产生；蒸汽用水冷凝后循环使用；质检废液、涉及磷及重金属的器皿清洗废水及其余器皿前三次清洗废水经收集后作为危废处置。运营期废水包括其余器皿三次后清洗废水、车间地面清洁废水、反冲洗废水、循环排污水、喷淋废水、生活污水和初期雨水，</w:t>
      </w:r>
      <w:r>
        <w:rPr>
          <w:rFonts w:hint="eastAsia"/>
          <w:color w:val="auto"/>
          <w:lang w:eastAsia="zh-CN"/>
        </w:rPr>
        <w:t>废水</w:t>
      </w:r>
      <w:r>
        <w:rPr>
          <w:rFonts w:hint="eastAsia"/>
          <w:color w:val="auto"/>
          <w:lang w:val="en-US" w:eastAsia="zh-CN"/>
        </w:rPr>
        <w:t>产生</w:t>
      </w:r>
      <w:r>
        <w:rPr>
          <w:rFonts w:hint="eastAsia"/>
          <w:color w:val="auto"/>
          <w:lang w:eastAsia="zh-CN"/>
        </w:rPr>
        <w:t>情况见</w:t>
      </w:r>
      <w:r>
        <w:rPr>
          <w:rFonts w:hint="eastAsia"/>
          <w:color w:val="auto"/>
          <w:lang w:val="en-US" w:eastAsia="zh-CN"/>
        </w:rPr>
        <w:t>下</w:t>
      </w:r>
      <w:r>
        <w:rPr>
          <w:rFonts w:hint="eastAsia"/>
          <w:color w:val="auto"/>
          <w:lang w:eastAsia="zh-CN"/>
        </w:rPr>
        <w:t>表。</w:t>
      </w:r>
    </w:p>
    <w:p w14:paraId="299E73BB">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废水产生情况一览表</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1540"/>
        <w:gridCol w:w="2879"/>
        <w:gridCol w:w="1278"/>
        <w:gridCol w:w="1074"/>
      </w:tblGrid>
      <w:tr w14:paraId="24ED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pct"/>
            <w:vAlign w:val="center"/>
          </w:tcPr>
          <w:p w14:paraId="1B7F4147">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废水名称</w:t>
            </w:r>
          </w:p>
        </w:tc>
        <w:tc>
          <w:tcPr>
            <w:tcW w:w="810" w:type="pct"/>
            <w:vAlign w:val="center"/>
          </w:tcPr>
          <w:p w14:paraId="7299F90C">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排放频次</w:t>
            </w:r>
          </w:p>
        </w:tc>
        <w:tc>
          <w:tcPr>
            <w:tcW w:w="1514" w:type="pct"/>
            <w:vAlign w:val="center"/>
          </w:tcPr>
          <w:p w14:paraId="7BF7F337">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主要污染物</w:t>
            </w:r>
          </w:p>
        </w:tc>
        <w:tc>
          <w:tcPr>
            <w:tcW w:w="672" w:type="pct"/>
            <w:vAlign w:val="center"/>
          </w:tcPr>
          <w:p w14:paraId="6FF8EC54">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产生量</w:t>
            </w:r>
          </w:p>
        </w:tc>
        <w:tc>
          <w:tcPr>
            <w:tcW w:w="565" w:type="pct"/>
            <w:vAlign w:val="center"/>
          </w:tcPr>
          <w:p w14:paraId="5B8D862F">
            <w:pPr>
              <w:pStyle w:val="24"/>
              <w:bidi w:val="0"/>
              <w:ind w:left="0" w:left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产生方式</w:t>
            </w:r>
          </w:p>
        </w:tc>
      </w:tr>
      <w:tr w14:paraId="28B3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shd w:val="clear" w:color="auto" w:fill="auto"/>
            <w:vAlign w:val="center"/>
          </w:tcPr>
          <w:p w14:paraId="38C68FB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初期雨水</w:t>
            </w:r>
          </w:p>
        </w:tc>
        <w:tc>
          <w:tcPr>
            <w:tcW w:w="810" w:type="pct"/>
            <w:shd w:val="clear" w:color="auto" w:fill="auto"/>
            <w:vAlign w:val="center"/>
          </w:tcPr>
          <w:p w14:paraId="4EF182B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降雨时排放</w:t>
            </w:r>
          </w:p>
        </w:tc>
        <w:tc>
          <w:tcPr>
            <w:tcW w:w="1514" w:type="pct"/>
            <w:vMerge w:val="restart"/>
            <w:shd w:val="clear" w:color="auto" w:fill="auto"/>
            <w:vAlign w:val="center"/>
          </w:tcPr>
          <w:p w14:paraId="511FC45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-N、TN等</w:t>
            </w:r>
          </w:p>
        </w:tc>
        <w:tc>
          <w:tcPr>
            <w:tcW w:w="672" w:type="pct"/>
            <w:shd w:val="clear" w:color="auto" w:fill="auto"/>
            <w:vAlign w:val="center"/>
          </w:tcPr>
          <w:p w14:paraId="316B4EC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olor w:val="auto"/>
                <w:sz w:val="21"/>
                <w:szCs w:val="21"/>
                <w:lang w:val="en-US" w:eastAsia="zh-CN"/>
              </w:rPr>
              <w:t>234.58</w:t>
            </w:r>
            <w:r>
              <w:rPr>
                <w:rFonts w:ascii="Times New Roman" w:hAnsi="Times New Roman"/>
                <w:color w:val="auto"/>
                <w:sz w:val="21"/>
                <w:szCs w:val="21"/>
              </w:rPr>
              <w:t>m</w:t>
            </w:r>
            <w:r>
              <w:rPr>
                <w:rFonts w:ascii="Times New Roman" w:hAnsi="Times New Roman"/>
                <w:color w:val="auto"/>
                <w:sz w:val="21"/>
                <w:szCs w:val="21"/>
                <w:vertAlign w:val="superscript"/>
              </w:rPr>
              <w:t>3</w:t>
            </w:r>
            <w:r>
              <w:rPr>
                <w:rFonts w:ascii="Times New Roman" w:hAnsi="Times New Roman"/>
                <w:color w:val="auto"/>
                <w:sz w:val="21"/>
                <w:szCs w:val="21"/>
              </w:rPr>
              <w:t>/a</w:t>
            </w:r>
          </w:p>
        </w:tc>
        <w:tc>
          <w:tcPr>
            <w:tcW w:w="565" w:type="pct"/>
            <w:shd w:val="clear" w:color="auto" w:fill="auto"/>
            <w:vAlign w:val="center"/>
          </w:tcPr>
          <w:p w14:paraId="6EC6BCE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间断</w:t>
            </w:r>
          </w:p>
        </w:tc>
      </w:tr>
      <w:tr w14:paraId="6A33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vAlign w:val="center"/>
          </w:tcPr>
          <w:p w14:paraId="6EF30830">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其余器皿三次后清洗废水</w:t>
            </w:r>
          </w:p>
        </w:tc>
        <w:tc>
          <w:tcPr>
            <w:tcW w:w="810" w:type="pct"/>
            <w:vAlign w:val="center"/>
          </w:tcPr>
          <w:p w14:paraId="5588A19C">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连续排放</w:t>
            </w:r>
          </w:p>
        </w:tc>
        <w:tc>
          <w:tcPr>
            <w:tcW w:w="1514" w:type="pct"/>
            <w:vMerge w:val="continue"/>
            <w:shd w:val="clear" w:color="auto" w:fill="auto"/>
            <w:vAlign w:val="center"/>
          </w:tcPr>
          <w:p w14:paraId="3FAD4689">
            <w:pPr>
              <w:pStyle w:val="24"/>
              <w:bidi w:val="0"/>
              <w:ind w:left="0" w:leftChars="0"/>
              <w:jc w:val="center"/>
              <w:rPr>
                <w:rFonts w:hint="eastAsia" w:cs="Times New Roman"/>
                <w:b w:val="0"/>
                <w:bCs w:val="0"/>
                <w:color w:val="auto"/>
                <w:kern w:val="2"/>
                <w:sz w:val="21"/>
                <w:szCs w:val="21"/>
                <w:highlight w:val="none"/>
                <w:lang w:val="en-US" w:eastAsia="zh-CN" w:bidi="ar-SA"/>
              </w:rPr>
            </w:pPr>
          </w:p>
        </w:tc>
        <w:tc>
          <w:tcPr>
            <w:tcW w:w="672" w:type="pct"/>
            <w:vAlign w:val="center"/>
          </w:tcPr>
          <w:p w14:paraId="32A95C03">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color w:val="auto"/>
                <w:sz w:val="21"/>
                <w:szCs w:val="21"/>
                <w:lang w:val="en-US" w:eastAsia="zh-CN"/>
              </w:rPr>
              <w:t>115.32</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w:t>
            </w:r>
            <w:r>
              <w:rPr>
                <w:rFonts w:hint="eastAsia" w:cs="Times New Roman"/>
                <w:color w:val="auto"/>
                <w:sz w:val="21"/>
                <w:szCs w:val="21"/>
                <w:vertAlign w:val="baseline"/>
                <w:lang w:val="en-US" w:eastAsia="zh-CN"/>
              </w:rPr>
              <w:t>a</w:t>
            </w:r>
          </w:p>
        </w:tc>
        <w:tc>
          <w:tcPr>
            <w:tcW w:w="565" w:type="pct"/>
            <w:vAlign w:val="center"/>
          </w:tcPr>
          <w:p w14:paraId="4C453308">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连续</w:t>
            </w:r>
          </w:p>
        </w:tc>
      </w:tr>
      <w:tr w14:paraId="3918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vAlign w:val="center"/>
          </w:tcPr>
          <w:p w14:paraId="6CA787C6">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车间地面清洁废水</w:t>
            </w:r>
          </w:p>
        </w:tc>
        <w:tc>
          <w:tcPr>
            <w:tcW w:w="810" w:type="pct"/>
            <w:vAlign w:val="center"/>
          </w:tcPr>
          <w:p w14:paraId="7CF89435">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每周排放一次</w:t>
            </w:r>
          </w:p>
        </w:tc>
        <w:tc>
          <w:tcPr>
            <w:tcW w:w="1514" w:type="pct"/>
            <w:shd w:val="clear" w:color="auto" w:fill="auto"/>
            <w:vAlign w:val="center"/>
          </w:tcPr>
          <w:p w14:paraId="3142B6E5">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-N、TN、石油类、表面活性剂等</w:t>
            </w:r>
          </w:p>
        </w:tc>
        <w:tc>
          <w:tcPr>
            <w:tcW w:w="672" w:type="pct"/>
            <w:shd w:val="clear" w:color="auto" w:fill="auto"/>
            <w:vAlign w:val="center"/>
          </w:tcPr>
          <w:p w14:paraId="2BFD9DC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color w:val="auto"/>
                <w:sz w:val="21"/>
                <w:szCs w:val="21"/>
                <w:lang w:val="en-US" w:eastAsia="zh-CN"/>
              </w:rPr>
              <w:t>44.2</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w:t>
            </w:r>
            <w:r>
              <w:rPr>
                <w:rFonts w:hint="eastAsia" w:cs="Times New Roman"/>
                <w:color w:val="auto"/>
                <w:sz w:val="21"/>
                <w:szCs w:val="21"/>
                <w:vertAlign w:val="baseline"/>
                <w:lang w:val="en-US" w:eastAsia="zh-CN"/>
              </w:rPr>
              <w:t>a</w:t>
            </w:r>
          </w:p>
        </w:tc>
        <w:tc>
          <w:tcPr>
            <w:tcW w:w="565" w:type="pct"/>
            <w:shd w:val="clear" w:color="auto" w:fill="auto"/>
            <w:vAlign w:val="center"/>
          </w:tcPr>
          <w:p w14:paraId="3756B04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间断</w:t>
            </w:r>
          </w:p>
        </w:tc>
      </w:tr>
      <w:tr w14:paraId="616D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vAlign w:val="center"/>
          </w:tcPr>
          <w:p w14:paraId="192B58DB">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反冲洗废水</w:t>
            </w:r>
          </w:p>
        </w:tc>
        <w:tc>
          <w:tcPr>
            <w:tcW w:w="810" w:type="pct"/>
            <w:vAlign w:val="center"/>
          </w:tcPr>
          <w:p w14:paraId="6E80408A">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反冲洗时排放</w:t>
            </w:r>
          </w:p>
        </w:tc>
        <w:tc>
          <w:tcPr>
            <w:tcW w:w="1514" w:type="pct"/>
            <w:vMerge w:val="restart"/>
            <w:shd w:val="clear" w:color="auto" w:fill="auto"/>
            <w:vAlign w:val="center"/>
          </w:tcPr>
          <w:p w14:paraId="2D8A9B0A">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SS等</w:t>
            </w:r>
          </w:p>
        </w:tc>
        <w:tc>
          <w:tcPr>
            <w:tcW w:w="672" w:type="pct"/>
            <w:vAlign w:val="center"/>
          </w:tcPr>
          <w:p w14:paraId="23B07BBE">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351.3</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w:t>
            </w:r>
            <w:r>
              <w:rPr>
                <w:rFonts w:hint="eastAsia" w:cs="Times New Roman"/>
                <w:color w:val="auto"/>
                <w:sz w:val="21"/>
                <w:szCs w:val="21"/>
                <w:vertAlign w:val="baseline"/>
                <w:lang w:val="en-US" w:eastAsia="zh-CN"/>
              </w:rPr>
              <w:t>a</w:t>
            </w:r>
          </w:p>
        </w:tc>
        <w:tc>
          <w:tcPr>
            <w:tcW w:w="565" w:type="pct"/>
            <w:vAlign w:val="center"/>
          </w:tcPr>
          <w:p w14:paraId="16E241EC">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间断</w:t>
            </w:r>
          </w:p>
        </w:tc>
      </w:tr>
      <w:tr w14:paraId="133A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vAlign w:val="center"/>
          </w:tcPr>
          <w:p w14:paraId="2D3D2614">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循环排污水</w:t>
            </w:r>
          </w:p>
        </w:tc>
        <w:tc>
          <w:tcPr>
            <w:tcW w:w="810" w:type="pct"/>
            <w:vAlign w:val="center"/>
          </w:tcPr>
          <w:p w14:paraId="025D18F9">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连续排放</w:t>
            </w:r>
          </w:p>
        </w:tc>
        <w:tc>
          <w:tcPr>
            <w:tcW w:w="1514" w:type="pct"/>
            <w:vMerge w:val="continue"/>
            <w:shd w:val="clear" w:color="auto" w:fill="auto"/>
            <w:vAlign w:val="center"/>
          </w:tcPr>
          <w:p w14:paraId="2D772C1D">
            <w:pPr>
              <w:pStyle w:val="24"/>
              <w:bidi w:val="0"/>
              <w:ind w:left="0" w:leftChars="0"/>
              <w:jc w:val="center"/>
              <w:rPr>
                <w:rFonts w:hint="default" w:cs="Times New Roman"/>
                <w:b w:val="0"/>
                <w:bCs w:val="0"/>
                <w:color w:val="auto"/>
                <w:kern w:val="2"/>
                <w:sz w:val="21"/>
                <w:szCs w:val="21"/>
                <w:highlight w:val="none"/>
                <w:lang w:val="en-US" w:eastAsia="zh-CN" w:bidi="ar-SA"/>
              </w:rPr>
            </w:pPr>
          </w:p>
        </w:tc>
        <w:tc>
          <w:tcPr>
            <w:tcW w:w="672" w:type="pct"/>
            <w:vAlign w:val="center"/>
          </w:tcPr>
          <w:p w14:paraId="2F80B2C9">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olor w:val="auto"/>
                <w:sz w:val="21"/>
                <w:szCs w:val="21"/>
                <w:highlight w:val="none"/>
                <w:lang w:val="en-US" w:eastAsia="zh-CN"/>
              </w:rPr>
              <w:t>90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w:t>
            </w:r>
            <w:r>
              <w:rPr>
                <w:rFonts w:hint="eastAsia" w:cs="Times New Roman"/>
                <w:color w:val="auto"/>
                <w:sz w:val="21"/>
                <w:szCs w:val="21"/>
                <w:vertAlign w:val="baseline"/>
                <w:lang w:val="en-US" w:eastAsia="zh-CN"/>
              </w:rPr>
              <w:t>a</w:t>
            </w:r>
          </w:p>
        </w:tc>
        <w:tc>
          <w:tcPr>
            <w:tcW w:w="565" w:type="pct"/>
            <w:vAlign w:val="center"/>
          </w:tcPr>
          <w:p w14:paraId="583D12B7">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连续</w:t>
            </w:r>
          </w:p>
        </w:tc>
      </w:tr>
      <w:tr w14:paraId="645C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vAlign w:val="center"/>
          </w:tcPr>
          <w:p w14:paraId="394A8B85">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喷淋废水</w:t>
            </w:r>
          </w:p>
        </w:tc>
        <w:tc>
          <w:tcPr>
            <w:tcW w:w="810" w:type="pct"/>
            <w:vAlign w:val="center"/>
          </w:tcPr>
          <w:p w14:paraId="371EE5F1">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每周排放一次</w:t>
            </w:r>
          </w:p>
        </w:tc>
        <w:tc>
          <w:tcPr>
            <w:tcW w:w="1514" w:type="pct"/>
            <w:shd w:val="clear" w:color="auto" w:fill="auto"/>
            <w:vAlign w:val="center"/>
          </w:tcPr>
          <w:p w14:paraId="24D9AF01">
            <w:pPr>
              <w:pStyle w:val="24"/>
              <w:bidi w:val="0"/>
              <w:ind w:left="0" w:leftChars="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pH、COD、SS等</w:t>
            </w:r>
          </w:p>
        </w:tc>
        <w:tc>
          <w:tcPr>
            <w:tcW w:w="672" w:type="pct"/>
            <w:vAlign w:val="center"/>
          </w:tcPr>
          <w:p w14:paraId="7CDFD25F">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olor w:val="auto"/>
                <w:sz w:val="21"/>
                <w:szCs w:val="21"/>
                <w:highlight w:val="none"/>
                <w:lang w:val="en-US" w:eastAsia="zh-CN"/>
              </w:rPr>
              <w:t>0.34</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w:t>
            </w:r>
            <w:r>
              <w:rPr>
                <w:rFonts w:hint="eastAsia" w:cs="Times New Roman"/>
                <w:color w:val="auto"/>
                <w:sz w:val="21"/>
                <w:szCs w:val="21"/>
                <w:vertAlign w:val="baseline"/>
                <w:lang w:val="en-US" w:eastAsia="zh-CN"/>
              </w:rPr>
              <w:t>a</w:t>
            </w:r>
          </w:p>
        </w:tc>
        <w:tc>
          <w:tcPr>
            <w:tcW w:w="565" w:type="pct"/>
            <w:vAlign w:val="center"/>
          </w:tcPr>
          <w:p w14:paraId="31688669">
            <w:pPr>
              <w:pStyle w:val="24"/>
              <w:bidi w:val="0"/>
              <w:ind w:left="0" w:leftChars="0"/>
              <w:jc w:val="center"/>
              <w:rPr>
                <w:rFonts w:hint="eastAsia"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间断</w:t>
            </w:r>
          </w:p>
        </w:tc>
      </w:tr>
      <w:tr w14:paraId="00F9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437" w:type="pct"/>
            <w:vAlign w:val="center"/>
          </w:tcPr>
          <w:p w14:paraId="6F0239DF">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生活污水</w:t>
            </w:r>
          </w:p>
        </w:tc>
        <w:tc>
          <w:tcPr>
            <w:tcW w:w="810" w:type="pct"/>
            <w:vAlign w:val="center"/>
          </w:tcPr>
          <w:p w14:paraId="4EDC47D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连续排放</w:t>
            </w:r>
          </w:p>
        </w:tc>
        <w:tc>
          <w:tcPr>
            <w:tcW w:w="1514" w:type="pct"/>
            <w:shd w:val="clear" w:color="auto" w:fill="auto"/>
            <w:vAlign w:val="center"/>
          </w:tcPr>
          <w:p w14:paraId="43731AF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-N、TP、TN等</w:t>
            </w:r>
          </w:p>
        </w:tc>
        <w:tc>
          <w:tcPr>
            <w:tcW w:w="672" w:type="pct"/>
            <w:vAlign w:val="center"/>
          </w:tcPr>
          <w:p w14:paraId="31DE78C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lang w:val="en-US" w:eastAsia="zh-CN"/>
              </w:rPr>
              <w:t>1326</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w:t>
            </w:r>
            <w:r>
              <w:rPr>
                <w:rFonts w:hint="eastAsia" w:cs="Times New Roman"/>
                <w:color w:val="auto"/>
                <w:sz w:val="21"/>
                <w:szCs w:val="21"/>
                <w:vertAlign w:val="baseline"/>
                <w:lang w:val="en-US" w:eastAsia="zh-CN"/>
              </w:rPr>
              <w:t>a</w:t>
            </w:r>
          </w:p>
        </w:tc>
        <w:tc>
          <w:tcPr>
            <w:tcW w:w="565" w:type="pct"/>
            <w:vAlign w:val="center"/>
          </w:tcPr>
          <w:p w14:paraId="35DBC6F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连续</w:t>
            </w:r>
          </w:p>
        </w:tc>
      </w:tr>
    </w:tbl>
    <w:p w14:paraId="3A5481FC">
      <w:pPr>
        <w:ind w:left="0" w:leftChars="0" w:firstLine="480" w:firstLineChars="200"/>
        <w:rPr>
          <w:rFonts w:hint="default"/>
          <w:b/>
          <w:bCs/>
          <w:color w:val="auto"/>
          <w:sz w:val="24"/>
          <w:szCs w:val="24"/>
          <w:highlight w:val="none"/>
          <w:lang w:val="en-US" w:eastAsia="zh-CN"/>
        </w:rPr>
      </w:pPr>
      <w:r>
        <w:rPr>
          <w:rFonts w:hint="eastAsia" w:cs="Times New Roman"/>
          <w:color w:val="auto"/>
          <w:sz w:val="24"/>
          <w:szCs w:val="24"/>
          <w:lang w:val="en-US" w:eastAsia="zh-CN"/>
        </w:rPr>
        <w:t>本项目初期雨水（先经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作为回用水用于高性能聚羧酸减水剂复配。运营期外排废水为生活污水</w:t>
      </w:r>
      <w:r>
        <w:rPr>
          <w:rFonts w:hint="eastAsia"/>
          <w:color w:val="auto"/>
          <w:lang w:eastAsia="zh-CN"/>
        </w:rPr>
        <w:t>，</w:t>
      </w:r>
      <w:r>
        <w:rPr>
          <w:rFonts w:hint="eastAsia"/>
          <w:color w:val="auto"/>
          <w:lang w:val="en-US" w:eastAsia="zh-CN"/>
        </w:rPr>
        <w:t>排放量为</w:t>
      </w:r>
      <w:r>
        <w:rPr>
          <w:rFonts w:hint="eastAsia" w:cs="Times New Roman"/>
          <w:color w:val="auto"/>
          <w:sz w:val="24"/>
          <w:szCs w:val="24"/>
          <w:lang w:val="en-US" w:eastAsia="zh-CN"/>
        </w:rPr>
        <w:t>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cs="Times New Roman"/>
          <w:color w:val="auto"/>
          <w:sz w:val="24"/>
          <w:szCs w:val="24"/>
          <w:lang w:val="en-US" w:eastAsia="zh-CN"/>
        </w:rPr>
        <w:t>1326</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w:t>
      </w:r>
    </w:p>
    <w:p w14:paraId="12BA0D0D">
      <w:pPr>
        <w:ind w:left="0" w:leftChars="0" w:firstLine="482" w:firstLineChars="200"/>
        <w:rPr>
          <w:rFonts w:hint="default" w:ascii="Times New Roman" w:hAnsi="Times New Roman"/>
          <w:color w:val="auto"/>
          <w:sz w:val="24"/>
          <w:szCs w:val="24"/>
          <w:highlight w:val="none"/>
          <w:lang w:val="en-US" w:eastAsia="zh-CN"/>
        </w:rPr>
      </w:pPr>
      <w:r>
        <w:rPr>
          <w:rFonts w:hint="eastAsia"/>
          <w:b/>
          <w:bCs/>
          <w:color w:val="auto"/>
          <w:sz w:val="24"/>
          <w:szCs w:val="24"/>
          <w:highlight w:val="none"/>
          <w:lang w:val="en-US" w:eastAsia="zh-CN"/>
        </w:rPr>
        <w:t>废水源强：</w:t>
      </w:r>
      <w:r>
        <w:rPr>
          <w:rFonts w:hint="eastAsia"/>
          <w:b w:val="0"/>
          <w:bCs w:val="0"/>
          <w:color w:val="auto"/>
          <w:highlight w:val="none"/>
          <w:lang w:val="en-US" w:eastAsia="zh-CN"/>
        </w:rPr>
        <w:t>生活污水中主要污染物浓度根据《排放源统计调查产排污核算方法和系数手册》中“生活源产排污核算方法和系数手册”中表1-1中城镇生活源水污染物产生系数，废水水质为：COD：325mg/L、BOD</w:t>
      </w:r>
      <w:r>
        <w:rPr>
          <w:rFonts w:hint="eastAsia"/>
          <w:b w:val="0"/>
          <w:bCs w:val="0"/>
          <w:color w:val="auto"/>
          <w:highlight w:val="none"/>
          <w:vertAlign w:val="subscript"/>
          <w:lang w:val="en-US" w:eastAsia="zh-CN"/>
        </w:rPr>
        <w:t>5</w:t>
      </w:r>
      <w:r>
        <w:rPr>
          <w:rFonts w:hint="eastAsia"/>
          <w:b w:val="0"/>
          <w:bCs w:val="0"/>
          <w:color w:val="auto"/>
          <w:highlight w:val="none"/>
          <w:lang w:val="en-US" w:eastAsia="zh-CN"/>
        </w:rPr>
        <w:t>：140mg/L、SS：200mg/L、NH</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-N：37.7mg/L、TP：4.28mg/L、TN：49.8mg/L。</w:t>
      </w:r>
    </w:p>
    <w:p w14:paraId="7FD27202">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废水治理措施</w:t>
      </w:r>
    </w:p>
    <w:p w14:paraId="10D6482E">
      <w:pPr>
        <w:ind w:left="0" w:leftChars="0" w:firstLine="480" w:firstLineChars="200"/>
        <w:rPr>
          <w:rFonts w:hint="eastAsia"/>
          <w:color w:val="auto"/>
          <w:highlight w:val="none"/>
          <w:lang w:val="en-US" w:eastAsia="zh-CN"/>
        </w:rPr>
      </w:pPr>
      <w:r>
        <w:rPr>
          <w:rFonts w:hint="eastAsia"/>
          <w:color w:val="auto"/>
          <w:highlight w:val="none"/>
          <w:lang w:val="en-US" w:eastAsia="zh-CN"/>
        </w:rPr>
        <w:t>本项目排水采用“雨污分流、清污分流”，厂区设置</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w:t>
      </w:r>
      <w:r>
        <w:rPr>
          <w:rFonts w:hint="default" w:ascii="Times New Roman" w:hAnsi="Times New Roman" w:eastAsia="宋体" w:cs="Times New Roman"/>
          <w:color w:val="auto"/>
          <w:sz w:val="24"/>
          <w:szCs w:val="24"/>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vertAlign w:val="baseline"/>
          <w:lang w:val="en-US" w:eastAsia="zh-CN"/>
        </w:rPr>
        <w:t>沉淀池和</w:t>
      </w:r>
      <w:r>
        <w:rPr>
          <w:rFonts w:hint="default" w:ascii="Times New Roman" w:hAnsi="Times New Roman" w:cs="Times New Roman"/>
          <w:color w:val="auto"/>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预处理池</w:t>
      </w:r>
      <w:r>
        <w:rPr>
          <w:rFonts w:hint="eastAsia" w:cs="Times New Roman"/>
          <w:color w:val="auto"/>
          <w:lang w:val="en-US" w:eastAsia="zh-CN"/>
        </w:rPr>
        <w:t>。</w:t>
      </w:r>
      <w:r>
        <w:rPr>
          <w:rFonts w:hint="eastAsia" w:cs="Times New Roman"/>
          <w:color w:val="auto"/>
          <w:sz w:val="24"/>
          <w:szCs w:val="24"/>
          <w:lang w:val="en-US" w:eastAsia="zh-CN"/>
        </w:rPr>
        <w:t>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w:t>
      </w:r>
    </w:p>
    <w:p w14:paraId="71CEBD38">
      <w:pPr>
        <w:bidi w:val="0"/>
        <w:ind w:left="0" w:leftChars="0" w:firstLine="480" w:firstLineChars="200"/>
        <w:rPr>
          <w:rFonts w:hint="eastAsia"/>
          <w:color w:val="auto"/>
          <w:highlight w:val="none"/>
          <w:lang w:val="en-US" w:eastAsia="zh-CN"/>
        </w:rPr>
      </w:pPr>
      <w:r>
        <w:rPr>
          <w:rFonts w:hint="eastAsia"/>
          <w:color w:val="auto"/>
          <w:sz w:val="24"/>
          <w:lang w:val="en-US" w:eastAsia="zh-CN"/>
        </w:rPr>
        <w:t>根据巴中市生态环境局《关于通江县秋锦山产业园区综合污水处理厂及配套设施建设项目环境影响报告书的批复》（巴环境审〔2024〕34号），通江县秋锦山产业园区综合污水处理厂环境影响评价文件</w:t>
      </w:r>
      <w:r>
        <w:rPr>
          <w:rFonts w:hint="eastAsia"/>
          <w:color w:val="auto"/>
          <w:highlight w:val="none"/>
          <w:lang w:val="en-US" w:eastAsia="zh-CN"/>
        </w:rPr>
        <w:t>于2024年11月通过审批，出水标准为《城镇污水处理厂污染物排放标准》（GB18918-2002）中一级A标准；</w:t>
      </w: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因此，根据</w:t>
      </w:r>
      <w:r>
        <w:rPr>
          <w:rFonts w:hint="eastAsia"/>
          <w:color w:val="auto"/>
          <w:highlight w:val="none"/>
          <w:lang w:val="en-US" w:eastAsia="zh-CN"/>
        </w:rPr>
        <w:t>2025年7月1日实施的</w:t>
      </w:r>
      <w:r>
        <w:rPr>
          <w:rFonts w:hint="eastAsia"/>
          <w:color w:val="auto"/>
          <w:sz w:val="24"/>
          <w:lang w:val="en-US" w:eastAsia="zh-CN"/>
        </w:rPr>
        <w:t>《四川省化工园区水污染物排放标准》（DB51/3202-2024）中“4.2.1 新建排污单位自本文件实施之日起，现有排污单位自本文件实施之日起24个月后，应执行表1、表2和表3的规定及其他污染控制要求。”，</w:t>
      </w:r>
      <w:r>
        <w:rPr>
          <w:rFonts w:hint="eastAsia"/>
          <w:color w:val="auto"/>
          <w:lang w:val="en-US" w:eastAsia="zh-CN"/>
        </w:rPr>
        <w:t>通江县秋锦山产业园区综合污水处理厂</w:t>
      </w:r>
      <w:r>
        <w:rPr>
          <w:rFonts w:hint="eastAsia"/>
          <w:color w:val="auto"/>
          <w:sz w:val="24"/>
          <w:lang w:val="en-US" w:eastAsia="zh-CN"/>
        </w:rPr>
        <w:t>近期</w:t>
      </w:r>
      <w:r>
        <w:rPr>
          <w:rFonts w:hint="eastAsia"/>
          <w:color w:val="auto"/>
          <w:lang w:val="en-US" w:eastAsia="zh-CN"/>
        </w:rPr>
        <w:t>出水标准为</w:t>
      </w:r>
      <w:r>
        <w:rPr>
          <w:rFonts w:hint="eastAsia"/>
          <w:color w:val="auto"/>
          <w:highlight w:val="none"/>
          <w:lang w:val="en-US" w:eastAsia="zh-CN"/>
        </w:rPr>
        <w:t>《城镇污水处理厂污染物排放标准》（GB18918-2002）中一级A标准；2027年7月1日起，出水标准为</w:t>
      </w:r>
      <w:r>
        <w:rPr>
          <w:rFonts w:hint="eastAsia"/>
          <w:color w:val="auto"/>
          <w:sz w:val="24"/>
          <w:lang w:val="en-US" w:eastAsia="zh-CN"/>
        </w:rPr>
        <w:t>《四川省化工园区水污染物排放标准》（DB51/3202-2024）表2中直接排放二级标准</w:t>
      </w:r>
      <w:r>
        <w:rPr>
          <w:rFonts w:hint="eastAsia"/>
          <w:color w:val="auto"/>
          <w:highlight w:val="none"/>
          <w:lang w:val="en-US" w:eastAsia="zh-CN"/>
        </w:rPr>
        <w:t>。</w:t>
      </w:r>
    </w:p>
    <w:p w14:paraId="5C4F45C1">
      <w:pPr>
        <w:ind w:left="0" w:leftChars="0" w:firstLine="480" w:firstLineChars="200"/>
        <w:rPr>
          <w:rFonts w:hint="eastAsia"/>
          <w:b/>
          <w:bCs/>
          <w:color w:val="auto"/>
          <w:lang w:val="en-US" w:eastAsia="zh-CN"/>
        </w:rPr>
      </w:pPr>
      <w:r>
        <w:rPr>
          <w:rFonts w:hint="eastAsia"/>
          <w:color w:val="auto"/>
          <w:highlight w:val="none"/>
          <w:lang w:val="en-US" w:eastAsia="zh-CN"/>
        </w:rPr>
        <w:t>综上，本项目</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通过园区污水管网排入通江县秋锦山产业园区综合污水处理厂进行处理，近期水质达到《城镇污水处理厂污染物排放标准》（GB18918-2002）中一级A标准后排入通江河；2027年7月1日起，水质达到</w:t>
      </w:r>
      <w:r>
        <w:rPr>
          <w:rFonts w:hint="eastAsia"/>
          <w:color w:val="auto"/>
          <w:sz w:val="24"/>
          <w:lang w:val="en-US" w:eastAsia="zh-CN"/>
        </w:rPr>
        <w:t>《四川省化工园区水污染物排放标准》（DB51/3202-2024）表2中直接排放二级标准后</w:t>
      </w:r>
      <w:r>
        <w:rPr>
          <w:rFonts w:hint="eastAsia"/>
          <w:color w:val="auto"/>
          <w:highlight w:val="none"/>
          <w:lang w:val="en-US" w:eastAsia="zh-CN"/>
        </w:rPr>
        <w:t>排入通江河。</w:t>
      </w:r>
      <w:r>
        <w:rPr>
          <w:rFonts w:hint="eastAsia"/>
          <w:b/>
          <w:bCs/>
          <w:color w:val="auto"/>
          <w:lang w:val="en-US" w:eastAsia="zh-CN"/>
        </w:rPr>
        <w:t>环评要求：为确保项目外排废水得到可靠有效的处理，在通江县秋锦山产业园区综合污水处理厂建成投运前，本项目不得投产。同时，建设单位应尽快与污水处理厂业主单位签订污水接纳协议，确保项目外排废水得到有效处理。</w:t>
      </w:r>
    </w:p>
    <w:p w14:paraId="06A193BD">
      <w:pPr>
        <w:pStyle w:val="6"/>
        <w:ind w:firstLine="482"/>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废水产生及排放情况</w:t>
      </w:r>
    </w:p>
    <w:p w14:paraId="5A3D4555">
      <w:pPr>
        <w:ind w:left="0" w:leftChars="0" w:firstLine="480" w:firstLineChars="200"/>
        <w:rPr>
          <w:rFonts w:hint="eastAsia" w:ascii="Times New Roman" w:hAnsi="Times New Roman"/>
          <w:color w:val="auto"/>
          <w:sz w:val="24"/>
          <w:szCs w:val="24"/>
          <w:highlight w:val="none"/>
          <w:lang w:eastAsia="zh-CN"/>
        </w:rPr>
      </w:pPr>
      <w:r>
        <w:rPr>
          <w:rFonts w:hint="eastAsia"/>
          <w:color w:val="auto"/>
          <w:kern w:val="24"/>
          <w:sz w:val="24"/>
          <w:highlight w:val="none"/>
          <w:lang w:val="en-US" w:eastAsia="zh-CN"/>
        </w:rPr>
        <w:t>本项目废水产生及</w:t>
      </w:r>
      <w:r>
        <w:rPr>
          <w:rFonts w:hint="eastAsia" w:ascii="Times New Roman" w:hAnsi="Times New Roman" w:cs="Times New Roman"/>
          <w:color w:val="auto"/>
          <w:sz w:val="24"/>
          <w:szCs w:val="24"/>
          <w:highlight w:val="none"/>
        </w:rPr>
        <w:t>排放情况</w:t>
      </w:r>
      <w:r>
        <w:rPr>
          <w:rFonts w:ascii="Times New Roman" w:hAnsi="Times New Roman"/>
          <w:color w:val="auto"/>
          <w:sz w:val="24"/>
          <w:szCs w:val="24"/>
          <w:highlight w:val="none"/>
        </w:rPr>
        <w:t>见下表</w:t>
      </w:r>
      <w:r>
        <w:rPr>
          <w:rFonts w:hint="eastAsia" w:ascii="Times New Roman" w:hAnsi="Times New Roman"/>
          <w:color w:val="auto"/>
          <w:sz w:val="24"/>
          <w:szCs w:val="24"/>
          <w:highlight w:val="none"/>
          <w:lang w:eastAsia="zh-CN"/>
        </w:rPr>
        <w:t>。</w:t>
      </w:r>
    </w:p>
    <w:p w14:paraId="120D32FD">
      <w:pPr>
        <w:ind w:left="0" w:leftChars="0" w:firstLine="480" w:firstLineChars="200"/>
        <w:rPr>
          <w:rFonts w:hint="eastAsia" w:ascii="Times New Roman" w:hAnsi="Times New Roman"/>
          <w:color w:val="auto"/>
          <w:sz w:val="24"/>
          <w:szCs w:val="24"/>
          <w:highlight w:val="none"/>
          <w:lang w:eastAsia="zh-CN"/>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p>
    <w:p w14:paraId="2628680B">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本项目废水排放情况一览表</w:t>
      </w:r>
    </w:p>
    <w:tbl>
      <w:tblPr>
        <w:tblStyle w:val="2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70"/>
        <w:gridCol w:w="945"/>
        <w:gridCol w:w="1039"/>
        <w:gridCol w:w="996"/>
        <w:gridCol w:w="993"/>
        <w:gridCol w:w="1524"/>
        <w:gridCol w:w="956"/>
        <w:gridCol w:w="976"/>
        <w:gridCol w:w="945"/>
        <w:gridCol w:w="885"/>
        <w:gridCol w:w="856"/>
        <w:gridCol w:w="788"/>
        <w:gridCol w:w="875"/>
      </w:tblGrid>
      <w:tr w14:paraId="0F57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 w:type="pct"/>
            <w:vMerge w:val="restart"/>
            <w:vAlign w:val="center"/>
          </w:tcPr>
          <w:p w14:paraId="5B3B64FF">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类别</w:t>
            </w:r>
          </w:p>
        </w:tc>
        <w:tc>
          <w:tcPr>
            <w:tcW w:w="655" w:type="pct"/>
            <w:vMerge w:val="restart"/>
            <w:vAlign w:val="center"/>
          </w:tcPr>
          <w:p w14:paraId="7BFA699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w:t>
            </w:r>
          </w:p>
        </w:tc>
        <w:tc>
          <w:tcPr>
            <w:tcW w:w="1392" w:type="pct"/>
            <w:gridSpan w:val="4"/>
            <w:vAlign w:val="center"/>
          </w:tcPr>
          <w:p w14:paraId="32E845E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污染物产生</w:t>
            </w:r>
          </w:p>
        </w:tc>
        <w:tc>
          <w:tcPr>
            <w:tcW w:w="869" w:type="pct"/>
            <w:gridSpan w:val="2"/>
            <w:vAlign w:val="center"/>
          </w:tcPr>
          <w:p w14:paraId="7EE5135C">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治理措施</w:t>
            </w:r>
          </w:p>
        </w:tc>
        <w:tc>
          <w:tcPr>
            <w:tcW w:w="1865" w:type="pct"/>
            <w:gridSpan w:val="6"/>
            <w:vAlign w:val="center"/>
          </w:tcPr>
          <w:p w14:paraId="48DC74F6">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污染物排放</w:t>
            </w:r>
          </w:p>
        </w:tc>
      </w:tr>
      <w:tr w14:paraId="1C9F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 w:type="pct"/>
            <w:vMerge w:val="continue"/>
            <w:vAlign w:val="center"/>
          </w:tcPr>
          <w:p w14:paraId="430AECE3">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655" w:type="pct"/>
            <w:vMerge w:val="continue"/>
            <w:vAlign w:val="center"/>
          </w:tcPr>
          <w:p w14:paraId="52A1028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p>
        </w:tc>
        <w:tc>
          <w:tcPr>
            <w:tcW w:w="331" w:type="pct"/>
            <w:vAlign w:val="center"/>
          </w:tcPr>
          <w:p w14:paraId="25A66A4C">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核算方法</w:t>
            </w:r>
          </w:p>
        </w:tc>
        <w:tc>
          <w:tcPr>
            <w:tcW w:w="364" w:type="pct"/>
            <w:vAlign w:val="center"/>
          </w:tcPr>
          <w:p w14:paraId="530A5FF9">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废水量(m</w:t>
            </w:r>
            <w:r>
              <w:rPr>
                <w:rFonts w:hint="eastAsia" w:ascii="Times New Roman" w:hAnsi="Times New Roman" w:eastAsia="宋体" w:cs="Times New Roman"/>
                <w:b/>
                <w:bCs/>
                <w:color w:val="auto"/>
                <w:sz w:val="18"/>
                <w:szCs w:val="18"/>
                <w:highlight w:val="none"/>
                <w:vertAlign w:val="superscript"/>
                <w:lang w:val="en-US" w:eastAsia="zh-CN"/>
              </w:rPr>
              <w:t>3</w:t>
            </w:r>
            <w:r>
              <w:rPr>
                <w:rFonts w:hint="eastAsia" w:ascii="Times New Roman" w:hAnsi="Times New Roman" w:eastAsia="宋体" w:cs="Times New Roman"/>
                <w:b/>
                <w:bCs/>
                <w:color w:val="auto"/>
                <w:sz w:val="18"/>
                <w:szCs w:val="18"/>
                <w:highlight w:val="none"/>
                <w:lang w:val="en-US" w:eastAsia="zh-CN"/>
              </w:rPr>
              <w:t>/a)</w:t>
            </w:r>
          </w:p>
        </w:tc>
        <w:tc>
          <w:tcPr>
            <w:tcW w:w="349" w:type="pct"/>
            <w:vAlign w:val="center"/>
          </w:tcPr>
          <w:p w14:paraId="5FB15AB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浓度(mg/L)</w:t>
            </w:r>
          </w:p>
        </w:tc>
        <w:tc>
          <w:tcPr>
            <w:tcW w:w="348" w:type="pct"/>
            <w:vAlign w:val="center"/>
          </w:tcPr>
          <w:p w14:paraId="1B5F0749">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产生量(t/a)</w:t>
            </w:r>
          </w:p>
        </w:tc>
        <w:tc>
          <w:tcPr>
            <w:tcW w:w="534" w:type="pct"/>
            <w:vAlign w:val="center"/>
          </w:tcPr>
          <w:p w14:paraId="001BE1D4">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治理工艺</w:t>
            </w:r>
          </w:p>
        </w:tc>
        <w:tc>
          <w:tcPr>
            <w:tcW w:w="335" w:type="pct"/>
            <w:vAlign w:val="center"/>
          </w:tcPr>
          <w:p w14:paraId="1089E332">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处理效率(%)</w:t>
            </w:r>
          </w:p>
        </w:tc>
        <w:tc>
          <w:tcPr>
            <w:tcW w:w="342" w:type="pct"/>
            <w:vAlign w:val="center"/>
          </w:tcPr>
          <w:p w14:paraId="5140EF4E">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核算方法</w:t>
            </w:r>
          </w:p>
        </w:tc>
        <w:tc>
          <w:tcPr>
            <w:tcW w:w="331" w:type="pct"/>
            <w:vAlign w:val="center"/>
          </w:tcPr>
          <w:p w14:paraId="02325E97">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废水量(m</w:t>
            </w:r>
            <w:r>
              <w:rPr>
                <w:rFonts w:hint="eastAsia" w:ascii="Times New Roman" w:hAnsi="Times New Roman" w:eastAsia="宋体" w:cs="Times New Roman"/>
                <w:b/>
                <w:bCs/>
                <w:color w:val="auto"/>
                <w:sz w:val="18"/>
                <w:szCs w:val="18"/>
                <w:highlight w:val="none"/>
                <w:vertAlign w:val="superscript"/>
                <w:lang w:val="en-US" w:eastAsia="zh-CN"/>
              </w:rPr>
              <w:t>3</w:t>
            </w:r>
            <w:r>
              <w:rPr>
                <w:rFonts w:hint="eastAsia" w:ascii="Times New Roman" w:hAnsi="Times New Roman" w:eastAsia="宋体" w:cs="Times New Roman"/>
                <w:b/>
                <w:bCs/>
                <w:color w:val="auto"/>
                <w:sz w:val="18"/>
                <w:szCs w:val="18"/>
                <w:highlight w:val="none"/>
                <w:lang w:val="en-US" w:eastAsia="zh-CN"/>
              </w:rPr>
              <w:t>/a)</w:t>
            </w:r>
          </w:p>
        </w:tc>
        <w:tc>
          <w:tcPr>
            <w:tcW w:w="310" w:type="pct"/>
            <w:vAlign w:val="center"/>
          </w:tcPr>
          <w:p w14:paraId="0D5AB47D">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浓度(mg/L)</w:t>
            </w:r>
          </w:p>
        </w:tc>
        <w:tc>
          <w:tcPr>
            <w:tcW w:w="300" w:type="pct"/>
            <w:vAlign w:val="center"/>
          </w:tcPr>
          <w:p w14:paraId="09398FA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排放量(t/a)</w:t>
            </w:r>
          </w:p>
        </w:tc>
        <w:tc>
          <w:tcPr>
            <w:tcW w:w="276" w:type="pct"/>
            <w:vAlign w:val="center"/>
          </w:tcPr>
          <w:p w14:paraId="45A2777A">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排放口名称</w:t>
            </w:r>
          </w:p>
        </w:tc>
        <w:tc>
          <w:tcPr>
            <w:tcW w:w="305" w:type="pct"/>
            <w:vAlign w:val="center"/>
          </w:tcPr>
          <w:p w14:paraId="55960690">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排放口类型</w:t>
            </w:r>
          </w:p>
        </w:tc>
      </w:tr>
      <w:tr w14:paraId="7130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16" w:type="pct"/>
            <w:vMerge w:val="restart"/>
            <w:vAlign w:val="center"/>
          </w:tcPr>
          <w:p w14:paraId="072E57A5">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生活污水</w:t>
            </w:r>
          </w:p>
        </w:tc>
        <w:tc>
          <w:tcPr>
            <w:tcW w:w="655" w:type="pct"/>
            <w:vAlign w:val="center"/>
          </w:tcPr>
          <w:p w14:paraId="7077D55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pH</w:t>
            </w:r>
          </w:p>
        </w:tc>
        <w:tc>
          <w:tcPr>
            <w:tcW w:w="331" w:type="pct"/>
            <w:vMerge w:val="restart"/>
            <w:vAlign w:val="center"/>
          </w:tcPr>
          <w:p w14:paraId="0E53619F">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类比法</w:t>
            </w:r>
          </w:p>
        </w:tc>
        <w:tc>
          <w:tcPr>
            <w:tcW w:w="364" w:type="pct"/>
            <w:vMerge w:val="restart"/>
            <w:vAlign w:val="center"/>
          </w:tcPr>
          <w:p w14:paraId="2832B8B4">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1326</w:t>
            </w:r>
          </w:p>
        </w:tc>
        <w:tc>
          <w:tcPr>
            <w:tcW w:w="349" w:type="pct"/>
            <w:vAlign w:val="center"/>
          </w:tcPr>
          <w:p w14:paraId="603EC1B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6~8</w:t>
            </w:r>
          </w:p>
        </w:tc>
        <w:tc>
          <w:tcPr>
            <w:tcW w:w="348" w:type="pct"/>
            <w:vAlign w:val="center"/>
          </w:tcPr>
          <w:p w14:paraId="43DAF08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w:t>
            </w:r>
          </w:p>
        </w:tc>
        <w:tc>
          <w:tcPr>
            <w:tcW w:w="534" w:type="pct"/>
            <w:vMerge w:val="restart"/>
            <w:vAlign w:val="center"/>
          </w:tcPr>
          <w:p w14:paraId="344C0CAD">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生活污水经预处理池处理</w:t>
            </w:r>
          </w:p>
        </w:tc>
        <w:tc>
          <w:tcPr>
            <w:tcW w:w="335" w:type="pct"/>
            <w:vAlign w:val="center"/>
          </w:tcPr>
          <w:p w14:paraId="5B69A4C7">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w:t>
            </w:r>
          </w:p>
        </w:tc>
        <w:tc>
          <w:tcPr>
            <w:tcW w:w="342" w:type="pct"/>
            <w:vMerge w:val="restart"/>
            <w:vAlign w:val="center"/>
          </w:tcPr>
          <w:p w14:paraId="53466ED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类比法</w:t>
            </w:r>
          </w:p>
        </w:tc>
        <w:tc>
          <w:tcPr>
            <w:tcW w:w="331" w:type="pct"/>
            <w:vMerge w:val="restart"/>
            <w:vAlign w:val="center"/>
          </w:tcPr>
          <w:p w14:paraId="2BC40738">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1326</w:t>
            </w:r>
          </w:p>
        </w:tc>
        <w:tc>
          <w:tcPr>
            <w:tcW w:w="310" w:type="pct"/>
            <w:vAlign w:val="center"/>
          </w:tcPr>
          <w:p w14:paraId="402F1A6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w:t>
            </w:r>
          </w:p>
        </w:tc>
        <w:tc>
          <w:tcPr>
            <w:tcW w:w="300" w:type="pct"/>
            <w:vAlign w:val="center"/>
          </w:tcPr>
          <w:p w14:paraId="1C39F39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w:t>
            </w:r>
          </w:p>
        </w:tc>
        <w:tc>
          <w:tcPr>
            <w:tcW w:w="276" w:type="pct"/>
            <w:vMerge w:val="restart"/>
            <w:vAlign w:val="center"/>
          </w:tcPr>
          <w:p w14:paraId="48B7B43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企业总排口</w:t>
            </w:r>
          </w:p>
        </w:tc>
        <w:tc>
          <w:tcPr>
            <w:tcW w:w="305" w:type="pct"/>
            <w:vMerge w:val="restart"/>
            <w:vAlign w:val="center"/>
          </w:tcPr>
          <w:p w14:paraId="41BB3F5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cs="Times New Roman"/>
                <w:b w:val="0"/>
                <w:bCs w:val="0"/>
                <w:color w:val="auto"/>
                <w:sz w:val="18"/>
                <w:szCs w:val="18"/>
                <w:highlight w:val="none"/>
                <w:lang w:val="en-US" w:eastAsia="zh-CN"/>
              </w:rPr>
              <w:t>一般</w:t>
            </w:r>
            <w:r>
              <w:rPr>
                <w:rFonts w:hint="default" w:ascii="Times New Roman" w:hAnsi="Times New Roman" w:eastAsia="宋体" w:cs="Times New Roman"/>
                <w:b w:val="0"/>
                <w:bCs w:val="0"/>
                <w:color w:val="auto"/>
                <w:sz w:val="18"/>
                <w:szCs w:val="18"/>
                <w:highlight w:val="none"/>
                <w:lang w:val="en-US" w:eastAsia="zh-CN"/>
              </w:rPr>
              <w:t>排放口</w:t>
            </w:r>
          </w:p>
        </w:tc>
      </w:tr>
      <w:tr w14:paraId="396E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 w:type="pct"/>
            <w:vMerge w:val="continue"/>
            <w:vAlign w:val="center"/>
          </w:tcPr>
          <w:p w14:paraId="2B2410E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655" w:type="pct"/>
            <w:vAlign w:val="center"/>
          </w:tcPr>
          <w:p w14:paraId="05C46F28">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COD</w:t>
            </w:r>
          </w:p>
        </w:tc>
        <w:tc>
          <w:tcPr>
            <w:tcW w:w="331" w:type="pct"/>
            <w:vMerge w:val="continue"/>
            <w:vAlign w:val="center"/>
          </w:tcPr>
          <w:p w14:paraId="052A2C9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4" w:type="pct"/>
            <w:vMerge w:val="continue"/>
            <w:vAlign w:val="center"/>
          </w:tcPr>
          <w:p w14:paraId="282CE3F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9" w:type="pct"/>
            <w:vAlign w:val="center"/>
          </w:tcPr>
          <w:p w14:paraId="43638EEA">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325</w:t>
            </w:r>
          </w:p>
        </w:tc>
        <w:tc>
          <w:tcPr>
            <w:tcW w:w="993" w:type="dxa"/>
            <w:vAlign w:val="bottom"/>
          </w:tcPr>
          <w:p w14:paraId="58E5852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0.4310 </w:t>
            </w:r>
          </w:p>
        </w:tc>
        <w:tc>
          <w:tcPr>
            <w:tcW w:w="534" w:type="pct"/>
            <w:vMerge w:val="continue"/>
            <w:vAlign w:val="center"/>
          </w:tcPr>
          <w:p w14:paraId="591DF13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5" w:type="pct"/>
            <w:vAlign w:val="center"/>
          </w:tcPr>
          <w:p w14:paraId="4AB59C21">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15</w:t>
            </w:r>
          </w:p>
        </w:tc>
        <w:tc>
          <w:tcPr>
            <w:tcW w:w="342" w:type="pct"/>
            <w:vMerge w:val="continue"/>
            <w:vAlign w:val="center"/>
          </w:tcPr>
          <w:p w14:paraId="79E4762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1" w:type="pct"/>
            <w:vMerge w:val="continue"/>
            <w:vAlign w:val="center"/>
          </w:tcPr>
          <w:p w14:paraId="1582A09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0" w:type="pct"/>
            <w:vAlign w:val="center"/>
          </w:tcPr>
          <w:p w14:paraId="1F4D136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276.25</w:t>
            </w:r>
          </w:p>
        </w:tc>
        <w:tc>
          <w:tcPr>
            <w:tcW w:w="856" w:type="dxa"/>
            <w:vAlign w:val="bottom"/>
          </w:tcPr>
          <w:p w14:paraId="08623D2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0.3663 </w:t>
            </w:r>
          </w:p>
        </w:tc>
        <w:tc>
          <w:tcPr>
            <w:tcW w:w="276" w:type="pct"/>
            <w:vMerge w:val="continue"/>
            <w:vAlign w:val="center"/>
          </w:tcPr>
          <w:p w14:paraId="2B71FA4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05" w:type="pct"/>
            <w:vMerge w:val="continue"/>
            <w:vAlign w:val="center"/>
          </w:tcPr>
          <w:p w14:paraId="0AEA2CB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544A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 w:type="pct"/>
            <w:vMerge w:val="continue"/>
            <w:vAlign w:val="center"/>
          </w:tcPr>
          <w:p w14:paraId="0AD2358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655" w:type="pct"/>
            <w:vAlign w:val="center"/>
          </w:tcPr>
          <w:p w14:paraId="4FDE5490">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BOD</w:t>
            </w:r>
            <w:r>
              <w:rPr>
                <w:rFonts w:hint="default" w:ascii="Times New Roman" w:hAnsi="Times New Roman" w:eastAsia="宋体" w:cs="Times New Roman"/>
                <w:b w:val="0"/>
                <w:bCs w:val="0"/>
                <w:color w:val="auto"/>
                <w:sz w:val="18"/>
                <w:szCs w:val="18"/>
                <w:highlight w:val="none"/>
                <w:vertAlign w:val="subscript"/>
                <w:lang w:val="en-US" w:eastAsia="zh-CN"/>
              </w:rPr>
              <w:t>5</w:t>
            </w:r>
          </w:p>
        </w:tc>
        <w:tc>
          <w:tcPr>
            <w:tcW w:w="331" w:type="pct"/>
            <w:vMerge w:val="continue"/>
            <w:vAlign w:val="center"/>
          </w:tcPr>
          <w:p w14:paraId="70AAA7B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4" w:type="pct"/>
            <w:vMerge w:val="continue"/>
            <w:vAlign w:val="center"/>
          </w:tcPr>
          <w:p w14:paraId="35877C3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9" w:type="pct"/>
            <w:vAlign w:val="center"/>
          </w:tcPr>
          <w:p w14:paraId="1C53C789">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140</w:t>
            </w:r>
          </w:p>
        </w:tc>
        <w:tc>
          <w:tcPr>
            <w:tcW w:w="993" w:type="dxa"/>
            <w:vAlign w:val="bottom"/>
          </w:tcPr>
          <w:p w14:paraId="0970138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0.1856 </w:t>
            </w:r>
          </w:p>
        </w:tc>
        <w:tc>
          <w:tcPr>
            <w:tcW w:w="534" w:type="pct"/>
            <w:vMerge w:val="continue"/>
            <w:vAlign w:val="center"/>
          </w:tcPr>
          <w:p w14:paraId="0B2CF6C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5" w:type="pct"/>
            <w:vAlign w:val="center"/>
          </w:tcPr>
          <w:p w14:paraId="793D7B4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8</w:t>
            </w:r>
          </w:p>
        </w:tc>
        <w:tc>
          <w:tcPr>
            <w:tcW w:w="342" w:type="pct"/>
            <w:vMerge w:val="continue"/>
            <w:vAlign w:val="center"/>
          </w:tcPr>
          <w:p w14:paraId="5152C8A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1" w:type="pct"/>
            <w:vMerge w:val="continue"/>
            <w:vAlign w:val="center"/>
          </w:tcPr>
          <w:p w14:paraId="29A7926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0" w:type="pct"/>
            <w:vAlign w:val="center"/>
          </w:tcPr>
          <w:p w14:paraId="27CA2860">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128.8</w:t>
            </w:r>
          </w:p>
        </w:tc>
        <w:tc>
          <w:tcPr>
            <w:tcW w:w="856" w:type="dxa"/>
            <w:vAlign w:val="bottom"/>
          </w:tcPr>
          <w:p w14:paraId="129F6C0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0.1708 </w:t>
            </w:r>
          </w:p>
        </w:tc>
        <w:tc>
          <w:tcPr>
            <w:tcW w:w="276" w:type="pct"/>
            <w:vMerge w:val="continue"/>
            <w:vAlign w:val="center"/>
          </w:tcPr>
          <w:p w14:paraId="56082B2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05" w:type="pct"/>
            <w:vMerge w:val="continue"/>
            <w:vAlign w:val="center"/>
          </w:tcPr>
          <w:p w14:paraId="2AD1ACA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12A7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 w:type="pct"/>
            <w:vMerge w:val="continue"/>
            <w:vAlign w:val="center"/>
          </w:tcPr>
          <w:p w14:paraId="044AE80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655" w:type="pct"/>
            <w:vAlign w:val="center"/>
          </w:tcPr>
          <w:p w14:paraId="70CD6EF0">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SS</w:t>
            </w:r>
          </w:p>
        </w:tc>
        <w:tc>
          <w:tcPr>
            <w:tcW w:w="331" w:type="pct"/>
            <w:vMerge w:val="continue"/>
            <w:vAlign w:val="center"/>
          </w:tcPr>
          <w:p w14:paraId="30CB06F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4" w:type="pct"/>
            <w:vMerge w:val="continue"/>
            <w:vAlign w:val="center"/>
          </w:tcPr>
          <w:p w14:paraId="712C4F4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9" w:type="pct"/>
            <w:vAlign w:val="center"/>
          </w:tcPr>
          <w:p w14:paraId="0F6F8F5E">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200</w:t>
            </w:r>
          </w:p>
        </w:tc>
        <w:tc>
          <w:tcPr>
            <w:tcW w:w="993" w:type="dxa"/>
            <w:vAlign w:val="bottom"/>
          </w:tcPr>
          <w:p w14:paraId="12EFF6D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0.2652 </w:t>
            </w:r>
          </w:p>
        </w:tc>
        <w:tc>
          <w:tcPr>
            <w:tcW w:w="534" w:type="pct"/>
            <w:vMerge w:val="continue"/>
            <w:vAlign w:val="center"/>
          </w:tcPr>
          <w:p w14:paraId="50F3874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5" w:type="pct"/>
            <w:vAlign w:val="center"/>
          </w:tcPr>
          <w:p w14:paraId="20C96A0C">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30</w:t>
            </w:r>
          </w:p>
        </w:tc>
        <w:tc>
          <w:tcPr>
            <w:tcW w:w="342" w:type="pct"/>
            <w:vMerge w:val="continue"/>
            <w:vAlign w:val="center"/>
          </w:tcPr>
          <w:p w14:paraId="78466C8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1" w:type="pct"/>
            <w:vMerge w:val="continue"/>
            <w:vAlign w:val="center"/>
          </w:tcPr>
          <w:p w14:paraId="7470DD57">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0" w:type="pct"/>
            <w:vAlign w:val="center"/>
          </w:tcPr>
          <w:p w14:paraId="1227B2F8">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140</w:t>
            </w:r>
          </w:p>
        </w:tc>
        <w:tc>
          <w:tcPr>
            <w:tcW w:w="856" w:type="dxa"/>
            <w:vAlign w:val="bottom"/>
          </w:tcPr>
          <w:p w14:paraId="56F4184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0.1856 </w:t>
            </w:r>
          </w:p>
        </w:tc>
        <w:tc>
          <w:tcPr>
            <w:tcW w:w="276" w:type="pct"/>
            <w:vMerge w:val="continue"/>
            <w:vAlign w:val="center"/>
          </w:tcPr>
          <w:p w14:paraId="0258E6A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05" w:type="pct"/>
            <w:vMerge w:val="continue"/>
            <w:vAlign w:val="center"/>
          </w:tcPr>
          <w:p w14:paraId="3BFA37DD">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2F8A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16" w:type="pct"/>
            <w:vMerge w:val="continue"/>
            <w:vAlign w:val="center"/>
          </w:tcPr>
          <w:p w14:paraId="0AC6B5D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655" w:type="pct"/>
            <w:vAlign w:val="center"/>
          </w:tcPr>
          <w:p w14:paraId="0994230D">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NH</w:t>
            </w:r>
            <w:r>
              <w:rPr>
                <w:rFonts w:hint="default" w:ascii="Times New Roman" w:hAnsi="Times New Roman" w:eastAsia="宋体" w:cs="Times New Roman"/>
                <w:b w:val="0"/>
                <w:bCs w:val="0"/>
                <w:color w:val="auto"/>
                <w:sz w:val="18"/>
                <w:szCs w:val="18"/>
                <w:highlight w:val="none"/>
                <w:vertAlign w:val="subscript"/>
                <w:lang w:val="en-US" w:eastAsia="zh-CN"/>
              </w:rPr>
              <w:t>3</w:t>
            </w:r>
            <w:r>
              <w:rPr>
                <w:rFonts w:hint="default" w:ascii="Times New Roman" w:hAnsi="Times New Roman" w:eastAsia="宋体" w:cs="Times New Roman"/>
                <w:b w:val="0"/>
                <w:bCs w:val="0"/>
                <w:color w:val="auto"/>
                <w:sz w:val="18"/>
                <w:szCs w:val="18"/>
                <w:highlight w:val="none"/>
                <w:lang w:val="en-US" w:eastAsia="zh-CN"/>
              </w:rPr>
              <w:t>-N</w:t>
            </w:r>
          </w:p>
        </w:tc>
        <w:tc>
          <w:tcPr>
            <w:tcW w:w="331" w:type="pct"/>
            <w:vMerge w:val="continue"/>
            <w:vAlign w:val="center"/>
          </w:tcPr>
          <w:p w14:paraId="052753A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4" w:type="pct"/>
            <w:vMerge w:val="continue"/>
            <w:vAlign w:val="center"/>
          </w:tcPr>
          <w:p w14:paraId="1AC1E68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9" w:type="pct"/>
            <w:vAlign w:val="center"/>
          </w:tcPr>
          <w:p w14:paraId="23651E6C">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37.7</w:t>
            </w:r>
          </w:p>
        </w:tc>
        <w:tc>
          <w:tcPr>
            <w:tcW w:w="993" w:type="dxa"/>
            <w:vAlign w:val="bottom"/>
          </w:tcPr>
          <w:p w14:paraId="1125A0D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0.0500 </w:t>
            </w:r>
          </w:p>
        </w:tc>
        <w:tc>
          <w:tcPr>
            <w:tcW w:w="534" w:type="pct"/>
            <w:vMerge w:val="continue"/>
            <w:vAlign w:val="center"/>
          </w:tcPr>
          <w:p w14:paraId="34717BE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5" w:type="pct"/>
            <w:vAlign w:val="center"/>
          </w:tcPr>
          <w:p w14:paraId="5FC68E86">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10</w:t>
            </w:r>
          </w:p>
        </w:tc>
        <w:tc>
          <w:tcPr>
            <w:tcW w:w="342" w:type="pct"/>
            <w:vMerge w:val="continue"/>
            <w:vAlign w:val="center"/>
          </w:tcPr>
          <w:p w14:paraId="3CFFB75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1" w:type="pct"/>
            <w:vMerge w:val="continue"/>
            <w:vAlign w:val="center"/>
          </w:tcPr>
          <w:p w14:paraId="149A0B0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0" w:type="pct"/>
            <w:vAlign w:val="center"/>
          </w:tcPr>
          <w:p w14:paraId="5102657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33.93</w:t>
            </w:r>
          </w:p>
        </w:tc>
        <w:tc>
          <w:tcPr>
            <w:tcW w:w="856" w:type="dxa"/>
            <w:vAlign w:val="bottom"/>
          </w:tcPr>
          <w:p w14:paraId="205F3DA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0.0450 </w:t>
            </w:r>
          </w:p>
        </w:tc>
        <w:tc>
          <w:tcPr>
            <w:tcW w:w="276" w:type="pct"/>
            <w:vMerge w:val="continue"/>
            <w:vAlign w:val="center"/>
          </w:tcPr>
          <w:p w14:paraId="4420BB0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05" w:type="pct"/>
            <w:vMerge w:val="continue"/>
            <w:vAlign w:val="center"/>
          </w:tcPr>
          <w:p w14:paraId="463B3BE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4253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216" w:type="pct"/>
            <w:vMerge w:val="continue"/>
            <w:vAlign w:val="center"/>
          </w:tcPr>
          <w:p w14:paraId="3291614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655" w:type="pct"/>
            <w:shd w:val="clear" w:color="auto" w:fill="auto"/>
            <w:vAlign w:val="center"/>
          </w:tcPr>
          <w:p w14:paraId="068926EE">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TP</w:t>
            </w:r>
            <w:r>
              <w:rPr>
                <w:rFonts w:hint="eastAsia" w:ascii="Times New Roman" w:hAnsi="Times New Roman" w:eastAsia="宋体" w:cs="Times New Roman"/>
                <w:b w:val="0"/>
                <w:bCs w:val="0"/>
                <w:color w:val="auto"/>
                <w:sz w:val="18"/>
                <w:szCs w:val="18"/>
                <w:highlight w:val="none"/>
                <w:lang w:val="en-US" w:eastAsia="zh-CN"/>
              </w:rPr>
              <w:t>（来源于生活污水）</w:t>
            </w:r>
          </w:p>
        </w:tc>
        <w:tc>
          <w:tcPr>
            <w:tcW w:w="331" w:type="pct"/>
            <w:vMerge w:val="continue"/>
            <w:vAlign w:val="center"/>
          </w:tcPr>
          <w:p w14:paraId="3C27C69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4" w:type="pct"/>
            <w:vMerge w:val="continue"/>
            <w:vAlign w:val="center"/>
          </w:tcPr>
          <w:p w14:paraId="0FF4897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9" w:type="pct"/>
            <w:vAlign w:val="center"/>
          </w:tcPr>
          <w:p w14:paraId="3638524F">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4.28</w:t>
            </w:r>
          </w:p>
        </w:tc>
        <w:tc>
          <w:tcPr>
            <w:tcW w:w="993" w:type="dxa"/>
            <w:vAlign w:val="bottom"/>
          </w:tcPr>
          <w:p w14:paraId="449ABC51">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0.0057 </w:t>
            </w:r>
          </w:p>
        </w:tc>
        <w:tc>
          <w:tcPr>
            <w:tcW w:w="534" w:type="pct"/>
            <w:vMerge w:val="continue"/>
            <w:vAlign w:val="center"/>
          </w:tcPr>
          <w:p w14:paraId="442FA706">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5" w:type="pct"/>
            <w:vAlign w:val="center"/>
          </w:tcPr>
          <w:p w14:paraId="261214ED">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5</w:t>
            </w:r>
          </w:p>
        </w:tc>
        <w:tc>
          <w:tcPr>
            <w:tcW w:w="342" w:type="pct"/>
            <w:vMerge w:val="continue"/>
            <w:vAlign w:val="center"/>
          </w:tcPr>
          <w:p w14:paraId="5B4018AC">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1" w:type="pct"/>
            <w:vMerge w:val="continue"/>
            <w:vAlign w:val="center"/>
          </w:tcPr>
          <w:p w14:paraId="3A3C6EE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0" w:type="pct"/>
            <w:vAlign w:val="center"/>
          </w:tcPr>
          <w:p w14:paraId="2785AAF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4.07 </w:t>
            </w:r>
          </w:p>
        </w:tc>
        <w:tc>
          <w:tcPr>
            <w:tcW w:w="856" w:type="dxa"/>
            <w:vAlign w:val="bottom"/>
          </w:tcPr>
          <w:p w14:paraId="1002120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0.0054 </w:t>
            </w:r>
          </w:p>
        </w:tc>
        <w:tc>
          <w:tcPr>
            <w:tcW w:w="276" w:type="pct"/>
            <w:vMerge w:val="continue"/>
            <w:vAlign w:val="center"/>
          </w:tcPr>
          <w:p w14:paraId="4FA0E49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05" w:type="pct"/>
            <w:vMerge w:val="continue"/>
            <w:vAlign w:val="center"/>
          </w:tcPr>
          <w:p w14:paraId="420575F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r w14:paraId="71BE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216" w:type="pct"/>
            <w:vMerge w:val="continue"/>
            <w:vAlign w:val="center"/>
          </w:tcPr>
          <w:p w14:paraId="5F69D7FA">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655" w:type="pct"/>
            <w:shd w:val="clear" w:color="auto" w:fill="auto"/>
            <w:vAlign w:val="center"/>
          </w:tcPr>
          <w:p w14:paraId="4D48DF04">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TN</w:t>
            </w:r>
          </w:p>
        </w:tc>
        <w:tc>
          <w:tcPr>
            <w:tcW w:w="331" w:type="pct"/>
            <w:vMerge w:val="continue"/>
            <w:vAlign w:val="center"/>
          </w:tcPr>
          <w:p w14:paraId="65DA45C2">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64" w:type="pct"/>
            <w:vMerge w:val="continue"/>
            <w:vAlign w:val="center"/>
          </w:tcPr>
          <w:p w14:paraId="7A19694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49" w:type="pct"/>
            <w:shd w:val="clear" w:color="auto" w:fill="auto"/>
            <w:vAlign w:val="center"/>
          </w:tcPr>
          <w:p w14:paraId="29038568">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49.8</w:t>
            </w:r>
          </w:p>
        </w:tc>
        <w:tc>
          <w:tcPr>
            <w:tcW w:w="993" w:type="dxa"/>
            <w:shd w:val="clear" w:color="auto" w:fill="auto"/>
            <w:vAlign w:val="bottom"/>
          </w:tcPr>
          <w:p w14:paraId="4DC75A6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0.0660 </w:t>
            </w:r>
          </w:p>
        </w:tc>
        <w:tc>
          <w:tcPr>
            <w:tcW w:w="534" w:type="pct"/>
            <w:vMerge w:val="continue"/>
            <w:vAlign w:val="center"/>
          </w:tcPr>
          <w:p w14:paraId="148B1C59">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5" w:type="pct"/>
            <w:vAlign w:val="center"/>
          </w:tcPr>
          <w:p w14:paraId="191DF174">
            <w:pPr>
              <w:pStyle w:val="24"/>
              <w:bidi w:val="0"/>
              <w:ind w:left="0" w:left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12</w:t>
            </w:r>
          </w:p>
        </w:tc>
        <w:tc>
          <w:tcPr>
            <w:tcW w:w="342" w:type="pct"/>
            <w:vMerge w:val="continue"/>
            <w:vAlign w:val="center"/>
          </w:tcPr>
          <w:p w14:paraId="37C94AAB">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31" w:type="pct"/>
            <w:vMerge w:val="continue"/>
            <w:vAlign w:val="center"/>
          </w:tcPr>
          <w:p w14:paraId="69D2243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10" w:type="pct"/>
            <w:shd w:val="clear" w:color="auto" w:fill="auto"/>
            <w:vAlign w:val="center"/>
          </w:tcPr>
          <w:p w14:paraId="0CC75E33">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43.82 </w:t>
            </w:r>
          </w:p>
        </w:tc>
        <w:tc>
          <w:tcPr>
            <w:tcW w:w="856" w:type="dxa"/>
            <w:shd w:val="clear" w:color="auto" w:fill="auto"/>
            <w:vAlign w:val="bottom"/>
          </w:tcPr>
          <w:p w14:paraId="4008A71F">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 xml:space="preserve">0.0581 </w:t>
            </w:r>
          </w:p>
        </w:tc>
        <w:tc>
          <w:tcPr>
            <w:tcW w:w="276" w:type="pct"/>
            <w:vMerge w:val="continue"/>
            <w:vAlign w:val="center"/>
          </w:tcPr>
          <w:p w14:paraId="48CFCD80">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c>
          <w:tcPr>
            <w:tcW w:w="305" w:type="pct"/>
            <w:vMerge w:val="continue"/>
            <w:vAlign w:val="center"/>
          </w:tcPr>
          <w:p w14:paraId="6933BB15">
            <w:pPr>
              <w:pStyle w:val="24"/>
              <w:bidi w:val="0"/>
              <w:ind w:left="0" w:leftChars="0"/>
              <w:jc w:val="center"/>
              <w:rPr>
                <w:rFonts w:hint="eastAsia" w:ascii="Times New Roman" w:hAnsi="Times New Roman" w:eastAsia="宋体" w:cs="Times New Roman"/>
                <w:b w:val="0"/>
                <w:bCs w:val="0"/>
                <w:color w:val="auto"/>
                <w:sz w:val="18"/>
                <w:szCs w:val="18"/>
                <w:highlight w:val="none"/>
                <w:lang w:val="en-US" w:eastAsia="zh-CN"/>
              </w:rPr>
            </w:pPr>
          </w:p>
        </w:tc>
      </w:tr>
    </w:tbl>
    <w:p w14:paraId="7F2767B0">
      <w:pPr>
        <w:ind w:left="0" w:leftChars="0" w:firstLine="480" w:firstLineChars="200"/>
        <w:rPr>
          <w:rFonts w:hint="eastAsia"/>
          <w:color w:val="auto"/>
          <w:sz w:val="24"/>
          <w:lang w:val="en-US" w:eastAsia="zh-CN"/>
        </w:rPr>
      </w:pPr>
      <w:r>
        <w:rPr>
          <w:rFonts w:hint="eastAsia" w:ascii="Times New Roman" w:hAnsi="Times New Roman"/>
          <w:color w:val="auto"/>
          <w:sz w:val="24"/>
          <w:szCs w:val="24"/>
        </w:rPr>
        <w:t>由上表可知，本项目废水</w:t>
      </w:r>
      <w:r>
        <w:rPr>
          <w:rFonts w:hint="eastAsia"/>
          <w:color w:val="auto"/>
          <w:sz w:val="24"/>
          <w:lang w:val="en-US" w:eastAsia="zh-CN"/>
        </w:rPr>
        <w:t>经处理后可</w:t>
      </w:r>
      <w:r>
        <w:rPr>
          <w:rFonts w:hint="eastAsia"/>
          <w:color w:val="auto"/>
          <w:sz w:val="24"/>
        </w:rPr>
        <w:t>达到</w:t>
      </w:r>
      <w:r>
        <w:rPr>
          <w:rFonts w:hint="eastAsia"/>
          <w:color w:val="auto"/>
          <w:sz w:val="24"/>
          <w:lang w:val="en-US" w:eastAsia="zh-CN"/>
        </w:rPr>
        <w:t>《四川省化工园区水污染物排放标准》（DB51/3202-2024）表1中间接排放限值。</w:t>
      </w:r>
    </w:p>
    <w:p w14:paraId="6AAF17B7">
      <w:pPr>
        <w:pStyle w:val="5"/>
        <w:bidi w:val="0"/>
        <w:rPr>
          <w:rFonts w:hint="eastAsia"/>
          <w:color w:val="auto"/>
          <w:highlight w:val="none"/>
          <w:lang w:eastAsia="zh-CN"/>
        </w:rPr>
      </w:pPr>
      <w:r>
        <w:rPr>
          <w:rFonts w:hint="eastAsia"/>
          <w:color w:val="auto"/>
          <w:highlight w:val="none"/>
          <w:lang w:val="en-US" w:eastAsia="zh-CN"/>
        </w:rPr>
        <w:t>噪声污染物</w:t>
      </w:r>
    </w:p>
    <w:p w14:paraId="026335DC">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b/>
          <w:bCs/>
          <w:color w:val="auto"/>
          <w:highlight w:val="none"/>
          <w:lang w:val="en-US" w:eastAsia="zh-CN"/>
        </w:rPr>
        <w:t>、噪声产生情况</w:t>
      </w:r>
    </w:p>
    <w:p w14:paraId="51708EE2">
      <w:pPr>
        <w:ind w:left="0" w:leftChars="0" w:firstLine="480" w:firstLineChars="200"/>
        <w:rPr>
          <w:rFonts w:hint="eastAsia"/>
          <w:color w:val="auto"/>
          <w:highlight w:val="none"/>
          <w:lang w:val="en-US" w:eastAsia="zh-CN"/>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eastAsia"/>
          <w:color w:val="auto"/>
          <w:highlight w:val="none"/>
          <w:lang w:val="en-US" w:eastAsia="zh-CN"/>
        </w:rPr>
        <w:t>本项目运营期主要噪声来自生产设备运行噪声、各类泵机及风机等辅助设备运行噪声，噪声值在60~95dB（A）之间。</w:t>
      </w:r>
    </w:p>
    <w:p w14:paraId="74E32E77">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主要噪声污染源源强核算结果及相关参数表</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1620"/>
        <w:gridCol w:w="763"/>
        <w:gridCol w:w="854"/>
        <w:gridCol w:w="976"/>
        <w:gridCol w:w="1386"/>
        <w:gridCol w:w="1088"/>
        <w:gridCol w:w="894"/>
        <w:gridCol w:w="1021"/>
      </w:tblGrid>
      <w:tr w14:paraId="0A5C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restart"/>
            <w:noWrap w:val="0"/>
            <w:vAlign w:val="center"/>
          </w:tcPr>
          <w:p w14:paraId="4F92DCA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类别</w:t>
            </w:r>
          </w:p>
        </w:tc>
        <w:tc>
          <w:tcPr>
            <w:tcW w:w="852" w:type="pct"/>
            <w:vMerge w:val="restart"/>
            <w:noWrap w:val="0"/>
            <w:vAlign w:val="center"/>
          </w:tcPr>
          <w:p w14:paraId="5DF672C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噪声源</w:t>
            </w:r>
          </w:p>
        </w:tc>
        <w:tc>
          <w:tcPr>
            <w:tcW w:w="401" w:type="pct"/>
            <w:vMerge w:val="restart"/>
            <w:noWrap w:val="0"/>
            <w:vAlign w:val="center"/>
          </w:tcPr>
          <w:p w14:paraId="40617AC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声源类型</w:t>
            </w:r>
          </w:p>
        </w:tc>
        <w:tc>
          <w:tcPr>
            <w:tcW w:w="962" w:type="pct"/>
            <w:gridSpan w:val="2"/>
            <w:noWrap w:val="0"/>
            <w:vAlign w:val="center"/>
          </w:tcPr>
          <w:p w14:paraId="45E7C8E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噪声源强</w:t>
            </w:r>
          </w:p>
        </w:tc>
        <w:tc>
          <w:tcPr>
            <w:tcW w:w="1301" w:type="pct"/>
            <w:gridSpan w:val="2"/>
            <w:noWrap w:val="0"/>
            <w:vAlign w:val="center"/>
          </w:tcPr>
          <w:p w14:paraId="1754641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降噪措施</w:t>
            </w:r>
          </w:p>
        </w:tc>
        <w:tc>
          <w:tcPr>
            <w:tcW w:w="1007" w:type="pct"/>
            <w:gridSpan w:val="2"/>
            <w:noWrap w:val="0"/>
            <w:vAlign w:val="center"/>
          </w:tcPr>
          <w:p w14:paraId="0ACB1B1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噪声排放量</w:t>
            </w:r>
          </w:p>
        </w:tc>
      </w:tr>
      <w:tr w14:paraId="5407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474" w:type="pct"/>
            <w:vMerge w:val="continue"/>
            <w:noWrap w:val="0"/>
            <w:vAlign w:val="center"/>
          </w:tcPr>
          <w:p w14:paraId="501B9FA7">
            <w:pPr>
              <w:pStyle w:val="24"/>
              <w:bidi w:val="0"/>
              <w:rPr>
                <w:rFonts w:hint="eastAsia" w:ascii="Times New Roman" w:hAnsi="Times New Roman" w:eastAsia="宋体" w:cs="Courier New"/>
                <w:b/>
                <w:bCs/>
                <w:color w:val="auto"/>
                <w:highlight w:val="none"/>
                <w:lang w:val="en-US" w:eastAsia="zh-CN"/>
              </w:rPr>
            </w:pPr>
          </w:p>
        </w:tc>
        <w:tc>
          <w:tcPr>
            <w:tcW w:w="852" w:type="pct"/>
            <w:vMerge w:val="continue"/>
            <w:noWrap w:val="0"/>
            <w:vAlign w:val="center"/>
          </w:tcPr>
          <w:p w14:paraId="08AE6ADC">
            <w:pPr>
              <w:pStyle w:val="24"/>
              <w:bidi w:val="0"/>
              <w:rPr>
                <w:rFonts w:hint="eastAsia" w:ascii="Times New Roman" w:hAnsi="Times New Roman" w:eastAsia="宋体" w:cs="Courier New"/>
                <w:b/>
                <w:bCs/>
                <w:color w:val="auto"/>
                <w:highlight w:val="none"/>
                <w:lang w:val="en-US" w:eastAsia="zh-CN"/>
              </w:rPr>
            </w:pPr>
          </w:p>
        </w:tc>
        <w:tc>
          <w:tcPr>
            <w:tcW w:w="401" w:type="pct"/>
            <w:vMerge w:val="continue"/>
            <w:noWrap w:val="0"/>
            <w:vAlign w:val="center"/>
          </w:tcPr>
          <w:p w14:paraId="42152232">
            <w:pPr>
              <w:pStyle w:val="24"/>
              <w:bidi w:val="0"/>
              <w:rPr>
                <w:rFonts w:hint="eastAsia" w:ascii="Times New Roman" w:hAnsi="Times New Roman" w:eastAsia="宋体" w:cs="Courier New"/>
                <w:b/>
                <w:bCs/>
                <w:color w:val="auto"/>
                <w:highlight w:val="none"/>
                <w:lang w:val="en-US" w:eastAsia="zh-CN"/>
              </w:rPr>
            </w:pPr>
          </w:p>
        </w:tc>
        <w:tc>
          <w:tcPr>
            <w:tcW w:w="449" w:type="pct"/>
            <w:noWrap w:val="0"/>
            <w:vAlign w:val="center"/>
          </w:tcPr>
          <w:p w14:paraId="168092A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核算</w:t>
            </w:r>
          </w:p>
          <w:p w14:paraId="323FF03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方法</w:t>
            </w:r>
          </w:p>
        </w:tc>
        <w:tc>
          <w:tcPr>
            <w:tcW w:w="513" w:type="pct"/>
            <w:noWrap w:val="0"/>
            <w:vAlign w:val="center"/>
          </w:tcPr>
          <w:p w14:paraId="542FF91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声源值[dB(A)]</w:t>
            </w:r>
          </w:p>
        </w:tc>
        <w:tc>
          <w:tcPr>
            <w:tcW w:w="729" w:type="pct"/>
            <w:noWrap w:val="0"/>
            <w:vAlign w:val="center"/>
          </w:tcPr>
          <w:p w14:paraId="5789D24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工艺</w:t>
            </w:r>
          </w:p>
        </w:tc>
        <w:tc>
          <w:tcPr>
            <w:tcW w:w="572" w:type="pct"/>
            <w:noWrap w:val="0"/>
            <w:vAlign w:val="center"/>
          </w:tcPr>
          <w:p w14:paraId="11DC494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降噪效果[dB(A)]</w:t>
            </w:r>
          </w:p>
        </w:tc>
        <w:tc>
          <w:tcPr>
            <w:tcW w:w="470" w:type="pct"/>
            <w:noWrap w:val="0"/>
            <w:vAlign w:val="center"/>
          </w:tcPr>
          <w:p w14:paraId="090A16E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核算</w:t>
            </w:r>
          </w:p>
          <w:p w14:paraId="48F444A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方法</w:t>
            </w:r>
          </w:p>
        </w:tc>
        <w:tc>
          <w:tcPr>
            <w:tcW w:w="537" w:type="pct"/>
            <w:noWrap w:val="0"/>
            <w:vAlign w:val="center"/>
          </w:tcPr>
          <w:p w14:paraId="23F5355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声源值[dB(A)]</w:t>
            </w:r>
          </w:p>
        </w:tc>
      </w:tr>
      <w:tr w14:paraId="07E2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restart"/>
            <w:noWrap w:val="0"/>
            <w:vAlign w:val="center"/>
          </w:tcPr>
          <w:p w14:paraId="65319DFA">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生产车间</w:t>
            </w:r>
          </w:p>
        </w:tc>
        <w:tc>
          <w:tcPr>
            <w:tcW w:w="852" w:type="pct"/>
            <w:shd w:val="clear" w:color="auto" w:fill="auto"/>
            <w:noWrap w:val="0"/>
            <w:vAlign w:val="center"/>
          </w:tcPr>
          <w:p w14:paraId="13AE5DF1">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6953956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2674F86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2401160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151912C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3FAF699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7CD69F9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14D6952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64F5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74" w:type="pct"/>
            <w:vMerge w:val="continue"/>
            <w:noWrap w:val="0"/>
            <w:vAlign w:val="center"/>
          </w:tcPr>
          <w:p w14:paraId="62672FB6">
            <w:pPr>
              <w:pStyle w:val="24"/>
              <w:bidi w:val="0"/>
              <w:rPr>
                <w:rFonts w:hint="eastAsia" w:cs="Courier New"/>
                <w:b w:val="0"/>
                <w:bCs w:val="0"/>
                <w:color w:val="auto"/>
                <w:highlight w:val="none"/>
                <w:lang w:val="en-US" w:eastAsia="zh-CN"/>
              </w:rPr>
            </w:pPr>
          </w:p>
        </w:tc>
        <w:tc>
          <w:tcPr>
            <w:tcW w:w="852" w:type="pct"/>
            <w:shd w:val="clear" w:color="auto" w:fill="auto"/>
            <w:noWrap w:val="0"/>
            <w:vAlign w:val="center"/>
          </w:tcPr>
          <w:p w14:paraId="1E9138C1">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12ECDD7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49B0381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20F8621E">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3E40416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6586670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076E612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4346F2F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457C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4B330844">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45A905FD">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45D15964">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076E10B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79218698">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1CC48DA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3E6687C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43F57F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431F7829">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3CAF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55E97CEB">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5F268DFD">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2F629D1C">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2BD9046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03DF8673">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7D65C1F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34EE757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405CE5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378BEF3C">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1817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74" w:type="pct"/>
            <w:vMerge w:val="continue"/>
            <w:noWrap w:val="0"/>
            <w:vAlign w:val="center"/>
          </w:tcPr>
          <w:p w14:paraId="268F83D1">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039F09D1">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7E5B5C2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38390A0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0F4AA2C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6AE2F48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028D960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6AA0A33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6C310EF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3308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082E8EFE">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21027001">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0850074C">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2484C28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481295B1">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14A7C06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789BB75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2E6096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06232C9A">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45FC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15FE6F20">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43E139B8">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143AF082">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1B45481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23B3BFA0">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51308A6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6928C49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20FD8C3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18401613">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7518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76CE8FAF">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4B05486B">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3D9CBC43">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48596C3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447CF86C">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2F892C8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7EC47B6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190059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531F380E">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15DD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3FAB4CB1">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1929A25C">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711BBF07">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69ECB22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12A723E1">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0B4E2EC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24996DA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68E6BA1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2325F486">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3EBF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06A0F537">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053CC4EA">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2CC550AC">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33BC79F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245A1CD0">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5B6E369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2A8C9BE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5FBD529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09EF3471">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1F5D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00886CA8">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6776E1E0">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1FAB8F0C">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4B7ED3B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0565400C">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7E51E87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53F01DB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1AD3C53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2D420C66">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21DD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0B9F649B">
            <w:pPr>
              <w:pStyle w:val="24"/>
              <w:bidi w:val="0"/>
              <w:rPr>
                <w:rFonts w:hint="eastAsia" w:cs="Courier New"/>
                <w:b w:val="0"/>
                <w:bCs w:val="0"/>
                <w:color w:val="auto"/>
                <w:highlight w:val="none"/>
                <w:lang w:val="en-US" w:eastAsia="zh-CN"/>
              </w:rPr>
            </w:pPr>
          </w:p>
        </w:tc>
        <w:tc>
          <w:tcPr>
            <w:tcW w:w="1620" w:type="dxa"/>
            <w:shd w:val="clear" w:color="auto" w:fill="auto"/>
            <w:noWrap w:val="0"/>
            <w:vAlign w:val="center"/>
          </w:tcPr>
          <w:p w14:paraId="5146FA1F">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116B63BB">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52F38FF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03EA5024">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80</w:t>
            </w:r>
          </w:p>
        </w:tc>
        <w:tc>
          <w:tcPr>
            <w:tcW w:w="729" w:type="pct"/>
            <w:shd w:val="clear" w:color="auto" w:fill="auto"/>
            <w:noWrap w:val="0"/>
            <w:vAlign w:val="center"/>
          </w:tcPr>
          <w:p w14:paraId="31E678B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001AC62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5FF9DA7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01192F47">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60</w:t>
            </w:r>
          </w:p>
        </w:tc>
      </w:tr>
      <w:tr w14:paraId="3135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5D5B7E79">
            <w:pPr>
              <w:pStyle w:val="24"/>
              <w:bidi w:val="0"/>
              <w:rPr>
                <w:rFonts w:hint="eastAsia" w:ascii="Times New Roman" w:hAnsi="Times New Roman" w:eastAsia="宋体" w:cs="Courier New"/>
                <w:b w:val="0"/>
                <w:bCs w:val="0"/>
                <w:color w:val="auto"/>
                <w:highlight w:val="none"/>
                <w:lang w:val="en-US" w:eastAsia="zh-CN"/>
              </w:rPr>
            </w:pPr>
          </w:p>
        </w:tc>
        <w:tc>
          <w:tcPr>
            <w:tcW w:w="1620" w:type="dxa"/>
            <w:shd w:val="clear" w:color="auto" w:fill="auto"/>
            <w:noWrap w:val="0"/>
            <w:vAlign w:val="center"/>
          </w:tcPr>
          <w:p w14:paraId="7FDD5C10">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142849C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46269F2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035E99A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85</w:t>
            </w:r>
          </w:p>
        </w:tc>
        <w:tc>
          <w:tcPr>
            <w:tcW w:w="729" w:type="pct"/>
            <w:shd w:val="clear" w:color="auto" w:fill="auto"/>
            <w:noWrap w:val="0"/>
            <w:vAlign w:val="center"/>
          </w:tcPr>
          <w:p w14:paraId="737489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38B29B2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036B2FE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6033F60B">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65</w:t>
            </w:r>
          </w:p>
        </w:tc>
      </w:tr>
      <w:tr w14:paraId="4023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74" w:type="pct"/>
            <w:vMerge w:val="continue"/>
            <w:noWrap w:val="0"/>
            <w:vAlign w:val="center"/>
          </w:tcPr>
          <w:p w14:paraId="0284DBDC">
            <w:pPr>
              <w:pStyle w:val="24"/>
              <w:bidi w:val="0"/>
              <w:rPr>
                <w:rFonts w:hint="eastAsia" w:ascii="Times New Roman" w:hAnsi="Times New Roman" w:eastAsia="宋体" w:cs="Courier New"/>
                <w:b w:val="0"/>
                <w:bCs w:val="0"/>
                <w:color w:val="auto"/>
                <w:highlight w:val="none"/>
                <w:lang w:val="en-US" w:eastAsia="zh-CN"/>
              </w:rPr>
            </w:pPr>
          </w:p>
        </w:tc>
        <w:tc>
          <w:tcPr>
            <w:tcW w:w="1620" w:type="dxa"/>
            <w:shd w:val="clear" w:color="auto" w:fill="auto"/>
            <w:noWrap w:val="0"/>
            <w:vAlign w:val="center"/>
          </w:tcPr>
          <w:p w14:paraId="2E7967E5">
            <w:pPr>
              <w:pStyle w:val="24"/>
              <w:bidi w:val="0"/>
              <w:ind w:left="0" w:leftChars="0"/>
              <w:jc w:val="center"/>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00C5D002">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5D9078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572F7711">
            <w:pPr>
              <w:pStyle w:val="24"/>
              <w:bidi w:val="0"/>
              <w:ind w:left="0" w:leftChars="0"/>
              <w:rPr>
                <w:rFonts w:hint="eastAsia" w:cs="Courier New"/>
                <w:b w:val="0"/>
                <w:bCs w:val="0"/>
                <w:color w:val="auto"/>
                <w:highlight w:val="none"/>
                <w:lang w:val="en-US" w:eastAsia="zh-CN"/>
              </w:rPr>
            </w:pPr>
            <w:r>
              <w:rPr>
                <w:rFonts w:hint="eastAsia" w:cs="Courier New"/>
                <w:b w:val="0"/>
                <w:bCs w:val="0"/>
                <w:color w:val="auto"/>
                <w:kern w:val="2"/>
                <w:sz w:val="21"/>
                <w:szCs w:val="24"/>
                <w:highlight w:val="none"/>
                <w:lang w:val="en-US" w:eastAsia="zh-CN" w:bidi="ar-SA"/>
              </w:rPr>
              <w:t>85</w:t>
            </w:r>
          </w:p>
        </w:tc>
        <w:tc>
          <w:tcPr>
            <w:tcW w:w="729" w:type="pct"/>
            <w:shd w:val="clear" w:color="auto" w:fill="auto"/>
            <w:noWrap w:val="0"/>
            <w:vAlign w:val="center"/>
          </w:tcPr>
          <w:p w14:paraId="45C0992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476BEC6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717276A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16989EDD">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65</w:t>
            </w:r>
          </w:p>
        </w:tc>
      </w:tr>
      <w:tr w14:paraId="4B65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72C8E8CC">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1#罐区</w:t>
            </w:r>
          </w:p>
        </w:tc>
        <w:tc>
          <w:tcPr>
            <w:tcW w:w="1620" w:type="dxa"/>
            <w:shd w:val="clear" w:color="auto" w:fill="auto"/>
            <w:noWrap w:val="0"/>
            <w:vAlign w:val="center"/>
          </w:tcPr>
          <w:p w14:paraId="071D5DF9">
            <w:pPr>
              <w:pStyle w:val="24"/>
              <w:bidi w:val="0"/>
              <w:ind w:left="0" w:leftChars="0"/>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46E526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偶发</w:t>
            </w:r>
          </w:p>
        </w:tc>
        <w:tc>
          <w:tcPr>
            <w:tcW w:w="449" w:type="pct"/>
            <w:shd w:val="clear" w:color="auto" w:fill="auto"/>
            <w:noWrap w:val="0"/>
            <w:vAlign w:val="center"/>
          </w:tcPr>
          <w:p w14:paraId="11DECF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68D9A545">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85</w:t>
            </w:r>
          </w:p>
        </w:tc>
        <w:tc>
          <w:tcPr>
            <w:tcW w:w="729" w:type="pct"/>
            <w:shd w:val="clear" w:color="auto" w:fill="auto"/>
            <w:noWrap w:val="0"/>
            <w:vAlign w:val="center"/>
          </w:tcPr>
          <w:p w14:paraId="18CF3F4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p>
        </w:tc>
        <w:tc>
          <w:tcPr>
            <w:tcW w:w="572" w:type="pct"/>
            <w:shd w:val="clear" w:color="auto" w:fill="auto"/>
            <w:noWrap w:val="0"/>
            <w:vAlign w:val="center"/>
          </w:tcPr>
          <w:p w14:paraId="2BE06FB1">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w:t>
            </w:r>
          </w:p>
        </w:tc>
        <w:tc>
          <w:tcPr>
            <w:tcW w:w="470" w:type="pct"/>
            <w:shd w:val="clear" w:color="auto" w:fill="auto"/>
            <w:noWrap w:val="0"/>
            <w:vAlign w:val="center"/>
          </w:tcPr>
          <w:p w14:paraId="7605A2B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50550C01">
            <w:pPr>
              <w:pStyle w:val="24"/>
              <w:bidi w:val="0"/>
              <w:ind w:left="0" w:leftChars="0"/>
              <w:rPr>
                <w:rFonts w:hint="default" w:cs="Courier New"/>
                <w:b w:val="0"/>
                <w:bCs w:val="0"/>
                <w:color w:val="auto"/>
                <w:highlight w:val="none"/>
                <w:lang w:val="en-US" w:eastAsia="zh-CN"/>
              </w:rPr>
            </w:pPr>
            <w:r>
              <w:rPr>
                <w:rFonts w:hint="eastAsia" w:cs="Courier New"/>
                <w:b w:val="0"/>
                <w:bCs w:val="0"/>
                <w:color w:val="auto"/>
                <w:highlight w:val="none"/>
                <w:lang w:val="en-US" w:eastAsia="zh-CN"/>
              </w:rPr>
              <w:t>75</w:t>
            </w:r>
          </w:p>
        </w:tc>
      </w:tr>
      <w:tr w14:paraId="359D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0AD7D90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2#罐区</w:t>
            </w:r>
          </w:p>
        </w:tc>
        <w:tc>
          <w:tcPr>
            <w:tcW w:w="1620" w:type="dxa"/>
            <w:shd w:val="clear" w:color="auto" w:fill="auto"/>
            <w:noWrap w:val="0"/>
            <w:vAlign w:val="center"/>
          </w:tcPr>
          <w:p w14:paraId="637BC1C0">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247CEED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偶发</w:t>
            </w:r>
          </w:p>
        </w:tc>
        <w:tc>
          <w:tcPr>
            <w:tcW w:w="449" w:type="pct"/>
            <w:shd w:val="clear" w:color="auto" w:fill="auto"/>
            <w:noWrap w:val="0"/>
            <w:vAlign w:val="center"/>
          </w:tcPr>
          <w:p w14:paraId="611EA8D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31F960AC">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85</w:t>
            </w:r>
          </w:p>
        </w:tc>
        <w:tc>
          <w:tcPr>
            <w:tcW w:w="729" w:type="pct"/>
            <w:shd w:val="clear" w:color="auto" w:fill="auto"/>
            <w:noWrap w:val="0"/>
            <w:vAlign w:val="center"/>
          </w:tcPr>
          <w:p w14:paraId="364906C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p>
        </w:tc>
        <w:tc>
          <w:tcPr>
            <w:tcW w:w="572" w:type="pct"/>
            <w:shd w:val="clear" w:color="auto" w:fill="auto"/>
            <w:noWrap w:val="0"/>
            <w:vAlign w:val="center"/>
          </w:tcPr>
          <w:p w14:paraId="6531CA95">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w:t>
            </w:r>
          </w:p>
        </w:tc>
        <w:tc>
          <w:tcPr>
            <w:tcW w:w="470" w:type="pct"/>
            <w:shd w:val="clear" w:color="auto" w:fill="auto"/>
            <w:noWrap w:val="0"/>
            <w:vAlign w:val="center"/>
          </w:tcPr>
          <w:p w14:paraId="35A275F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49435CA8">
            <w:pPr>
              <w:pStyle w:val="24"/>
              <w:bidi w:val="0"/>
              <w:ind w:left="0" w:leftChars="0"/>
              <w:rPr>
                <w:rFonts w:hint="default" w:cs="Courier New"/>
                <w:b w:val="0"/>
                <w:bCs w:val="0"/>
                <w:color w:val="auto"/>
                <w:highlight w:val="none"/>
                <w:lang w:val="en-US" w:eastAsia="zh-CN"/>
              </w:rPr>
            </w:pPr>
            <w:r>
              <w:rPr>
                <w:rFonts w:hint="eastAsia" w:cs="Courier New"/>
                <w:b w:val="0"/>
                <w:bCs w:val="0"/>
                <w:color w:val="auto"/>
                <w:highlight w:val="none"/>
                <w:lang w:val="en-US" w:eastAsia="zh-CN"/>
              </w:rPr>
              <w:t>75</w:t>
            </w:r>
          </w:p>
        </w:tc>
      </w:tr>
      <w:tr w14:paraId="0DB0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016A25A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3#罐区</w:t>
            </w:r>
          </w:p>
        </w:tc>
        <w:tc>
          <w:tcPr>
            <w:tcW w:w="1620" w:type="dxa"/>
            <w:shd w:val="clear" w:color="auto" w:fill="auto"/>
            <w:noWrap w:val="0"/>
            <w:vAlign w:val="center"/>
          </w:tcPr>
          <w:p w14:paraId="53B9C801">
            <w:pPr>
              <w:pStyle w:val="24"/>
              <w:bidi w:val="0"/>
              <w:ind w:left="0" w:leftChars="0"/>
              <w:jc w:val="center"/>
              <w:rPr>
                <w:rFonts w:hint="eastAsia" w:ascii="Times New Roman" w:hAnsi="Times New Roman" w:eastAsia="宋体" w:cs="Times New Roman"/>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0986161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偶发</w:t>
            </w:r>
          </w:p>
        </w:tc>
        <w:tc>
          <w:tcPr>
            <w:tcW w:w="449" w:type="pct"/>
            <w:shd w:val="clear" w:color="auto" w:fill="auto"/>
            <w:noWrap w:val="0"/>
            <w:vAlign w:val="center"/>
          </w:tcPr>
          <w:p w14:paraId="1538F3C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549BD0DB">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85</w:t>
            </w:r>
          </w:p>
        </w:tc>
        <w:tc>
          <w:tcPr>
            <w:tcW w:w="729" w:type="pct"/>
            <w:shd w:val="clear" w:color="auto" w:fill="auto"/>
            <w:noWrap w:val="0"/>
            <w:vAlign w:val="center"/>
          </w:tcPr>
          <w:p w14:paraId="5EC9EE8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p>
        </w:tc>
        <w:tc>
          <w:tcPr>
            <w:tcW w:w="572" w:type="pct"/>
            <w:shd w:val="clear" w:color="auto" w:fill="auto"/>
            <w:noWrap w:val="0"/>
            <w:vAlign w:val="center"/>
          </w:tcPr>
          <w:p w14:paraId="06EC63E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w:t>
            </w:r>
          </w:p>
        </w:tc>
        <w:tc>
          <w:tcPr>
            <w:tcW w:w="470" w:type="pct"/>
            <w:shd w:val="clear" w:color="auto" w:fill="auto"/>
            <w:noWrap w:val="0"/>
            <w:vAlign w:val="center"/>
          </w:tcPr>
          <w:p w14:paraId="63828B7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5D8F8FF2">
            <w:pPr>
              <w:pStyle w:val="24"/>
              <w:bidi w:val="0"/>
              <w:ind w:left="0" w:leftChars="0"/>
              <w:rPr>
                <w:rFonts w:hint="default" w:cs="Courier New"/>
                <w:b w:val="0"/>
                <w:bCs w:val="0"/>
                <w:color w:val="auto"/>
                <w:highlight w:val="none"/>
                <w:lang w:val="en-US" w:eastAsia="zh-CN"/>
              </w:rPr>
            </w:pPr>
            <w:r>
              <w:rPr>
                <w:rFonts w:hint="eastAsia" w:cs="Courier New"/>
                <w:b w:val="0"/>
                <w:bCs w:val="0"/>
                <w:color w:val="auto"/>
                <w:highlight w:val="none"/>
                <w:lang w:val="en-US" w:eastAsia="zh-CN"/>
              </w:rPr>
              <w:t>75</w:t>
            </w:r>
          </w:p>
        </w:tc>
      </w:tr>
      <w:tr w14:paraId="39B8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19F8A30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质检</w:t>
            </w:r>
          </w:p>
        </w:tc>
        <w:tc>
          <w:tcPr>
            <w:tcW w:w="1620" w:type="dxa"/>
            <w:noWrap w:val="0"/>
            <w:vAlign w:val="center"/>
          </w:tcPr>
          <w:p w14:paraId="59C3F6D0">
            <w:pPr>
              <w:pStyle w:val="24"/>
              <w:bidi w:val="0"/>
              <w:ind w:left="0" w:leftChars="0"/>
              <w:jc w:val="center"/>
              <w:rPr>
                <w:rFonts w:hint="default" w:ascii="Times New Roman" w:hAnsi="Times New Roman" w:eastAsia="宋体" w:cs="Times New Roman"/>
                <w:b w:val="0"/>
                <w:bCs w:val="0"/>
                <w:color w:val="auto"/>
                <w:highlight w:val="none"/>
                <w:lang w:val="en-US" w:eastAsia="zh-CN"/>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70950E1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noWrap w:val="0"/>
            <w:vAlign w:val="center"/>
          </w:tcPr>
          <w:p w14:paraId="512E3AA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noWrap w:val="0"/>
            <w:vAlign w:val="center"/>
          </w:tcPr>
          <w:p w14:paraId="5E3D3E0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60</w:t>
            </w:r>
          </w:p>
        </w:tc>
        <w:tc>
          <w:tcPr>
            <w:tcW w:w="729" w:type="pct"/>
            <w:noWrap w:val="0"/>
            <w:vAlign w:val="center"/>
          </w:tcPr>
          <w:p w14:paraId="5BEA2D1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noWrap w:val="0"/>
            <w:vAlign w:val="center"/>
          </w:tcPr>
          <w:p w14:paraId="6A900B1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noWrap w:val="0"/>
            <w:vAlign w:val="center"/>
          </w:tcPr>
          <w:p w14:paraId="438B716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noWrap w:val="0"/>
            <w:vAlign w:val="center"/>
          </w:tcPr>
          <w:p w14:paraId="7A72C02A">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w:t>
            </w:r>
          </w:p>
        </w:tc>
      </w:tr>
      <w:tr w14:paraId="454B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restart"/>
            <w:noWrap w:val="0"/>
            <w:vAlign w:val="center"/>
          </w:tcPr>
          <w:p w14:paraId="2A94A657">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公辅</w:t>
            </w:r>
            <w:r>
              <w:rPr>
                <w:rFonts w:hint="eastAsia" w:cs="Courier New"/>
                <w:b w:val="0"/>
                <w:bCs w:val="0"/>
                <w:color w:val="auto"/>
                <w:highlight w:val="none"/>
                <w:lang w:val="en-US" w:eastAsia="zh-CN"/>
              </w:rPr>
              <w:t>设施</w:t>
            </w:r>
          </w:p>
        </w:tc>
        <w:tc>
          <w:tcPr>
            <w:tcW w:w="1620" w:type="dxa"/>
            <w:noWrap w:val="0"/>
            <w:vAlign w:val="center"/>
          </w:tcPr>
          <w:p w14:paraId="45E44FFB">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58D06AF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1B15A51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6F64CD6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85</w:t>
            </w:r>
          </w:p>
        </w:tc>
        <w:tc>
          <w:tcPr>
            <w:tcW w:w="729" w:type="pct"/>
            <w:shd w:val="clear" w:color="auto" w:fill="auto"/>
            <w:noWrap w:val="0"/>
            <w:vAlign w:val="center"/>
          </w:tcPr>
          <w:p w14:paraId="1082AD3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427021B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306774F2">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6D54364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65</w:t>
            </w:r>
          </w:p>
        </w:tc>
      </w:tr>
      <w:tr w14:paraId="2FD7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continue"/>
            <w:noWrap w:val="0"/>
            <w:vAlign w:val="center"/>
          </w:tcPr>
          <w:p w14:paraId="263FB76E">
            <w:pPr>
              <w:pStyle w:val="24"/>
              <w:bidi w:val="0"/>
              <w:rPr>
                <w:rFonts w:hint="eastAsia" w:ascii="Times New Roman" w:hAnsi="Times New Roman" w:eastAsia="宋体" w:cs="Courier New"/>
                <w:b w:val="0"/>
                <w:bCs w:val="0"/>
                <w:color w:val="auto"/>
                <w:highlight w:val="none"/>
                <w:lang w:val="en-US" w:eastAsia="zh-CN"/>
              </w:rPr>
            </w:pPr>
          </w:p>
        </w:tc>
        <w:tc>
          <w:tcPr>
            <w:tcW w:w="1620" w:type="dxa"/>
            <w:shd w:val="clear" w:color="auto" w:fill="auto"/>
            <w:noWrap w:val="0"/>
            <w:vAlign w:val="center"/>
          </w:tcPr>
          <w:p w14:paraId="4A26B645">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3A0F59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2CA01DF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7EC4D2B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95</w:t>
            </w:r>
          </w:p>
        </w:tc>
        <w:tc>
          <w:tcPr>
            <w:tcW w:w="729" w:type="pct"/>
            <w:shd w:val="clear" w:color="auto" w:fill="auto"/>
            <w:noWrap w:val="0"/>
            <w:vAlign w:val="center"/>
          </w:tcPr>
          <w:p w14:paraId="04261C4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1DD054C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0038E3D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4F382E4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75</w:t>
            </w:r>
          </w:p>
        </w:tc>
      </w:tr>
      <w:tr w14:paraId="59FC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continue"/>
            <w:noWrap w:val="0"/>
            <w:vAlign w:val="center"/>
          </w:tcPr>
          <w:p w14:paraId="469B0E2D">
            <w:pPr>
              <w:pStyle w:val="24"/>
              <w:bidi w:val="0"/>
              <w:rPr>
                <w:rFonts w:hint="eastAsia" w:ascii="Times New Roman" w:hAnsi="Times New Roman" w:eastAsia="宋体" w:cs="Courier New"/>
                <w:b w:val="0"/>
                <w:bCs w:val="0"/>
                <w:color w:val="auto"/>
                <w:highlight w:val="none"/>
                <w:lang w:val="en-US" w:eastAsia="zh-CN"/>
              </w:rPr>
            </w:pPr>
          </w:p>
        </w:tc>
        <w:tc>
          <w:tcPr>
            <w:tcW w:w="1620" w:type="dxa"/>
            <w:shd w:val="clear" w:color="auto" w:fill="auto"/>
            <w:noWrap w:val="0"/>
            <w:vAlign w:val="center"/>
          </w:tcPr>
          <w:p w14:paraId="24E50883">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3264D62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514B5D4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52BBD11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70</w:t>
            </w:r>
          </w:p>
        </w:tc>
        <w:tc>
          <w:tcPr>
            <w:tcW w:w="729" w:type="pct"/>
            <w:shd w:val="clear" w:color="auto" w:fill="auto"/>
            <w:noWrap w:val="0"/>
            <w:vAlign w:val="center"/>
          </w:tcPr>
          <w:p w14:paraId="7C510FA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49FAE0D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0E46DB6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3110AAC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50</w:t>
            </w:r>
          </w:p>
        </w:tc>
      </w:tr>
      <w:tr w14:paraId="7399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continue"/>
            <w:noWrap w:val="0"/>
            <w:vAlign w:val="center"/>
          </w:tcPr>
          <w:p w14:paraId="2D1A9282">
            <w:pPr>
              <w:pStyle w:val="24"/>
              <w:bidi w:val="0"/>
              <w:rPr>
                <w:rFonts w:hint="eastAsia" w:ascii="Times New Roman" w:hAnsi="Times New Roman" w:eastAsia="宋体" w:cs="Courier New"/>
                <w:b w:val="0"/>
                <w:bCs w:val="0"/>
                <w:color w:val="auto"/>
                <w:highlight w:val="none"/>
                <w:lang w:val="en-US" w:eastAsia="zh-CN"/>
              </w:rPr>
            </w:pPr>
          </w:p>
        </w:tc>
        <w:tc>
          <w:tcPr>
            <w:tcW w:w="1620" w:type="dxa"/>
            <w:noWrap w:val="0"/>
            <w:vAlign w:val="center"/>
          </w:tcPr>
          <w:p w14:paraId="3E2B1347">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4366F37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5B3388E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4DDC56E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70</w:t>
            </w:r>
          </w:p>
        </w:tc>
        <w:tc>
          <w:tcPr>
            <w:tcW w:w="729" w:type="pct"/>
            <w:shd w:val="clear" w:color="auto" w:fill="auto"/>
            <w:noWrap w:val="0"/>
            <w:vAlign w:val="center"/>
          </w:tcPr>
          <w:p w14:paraId="03AD541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572" w:type="pct"/>
            <w:shd w:val="clear" w:color="auto" w:fill="auto"/>
            <w:noWrap w:val="0"/>
            <w:vAlign w:val="center"/>
          </w:tcPr>
          <w:p w14:paraId="70F8A9D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75F3BBC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21A7FCA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50</w:t>
            </w:r>
          </w:p>
        </w:tc>
      </w:tr>
      <w:tr w14:paraId="6996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continue"/>
            <w:noWrap w:val="0"/>
            <w:vAlign w:val="center"/>
          </w:tcPr>
          <w:p w14:paraId="6AA67D63">
            <w:pPr>
              <w:pStyle w:val="24"/>
              <w:bidi w:val="0"/>
              <w:rPr>
                <w:rFonts w:hint="eastAsia" w:ascii="Times New Roman" w:hAnsi="Times New Roman" w:eastAsia="宋体" w:cs="Courier New"/>
                <w:b w:val="0"/>
                <w:bCs w:val="0"/>
                <w:color w:val="auto"/>
                <w:highlight w:val="none"/>
                <w:lang w:val="en-US" w:eastAsia="zh-CN"/>
              </w:rPr>
            </w:pPr>
          </w:p>
        </w:tc>
        <w:tc>
          <w:tcPr>
            <w:tcW w:w="1620" w:type="dxa"/>
            <w:noWrap w:val="0"/>
            <w:vAlign w:val="center"/>
          </w:tcPr>
          <w:p w14:paraId="65AED017">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108F8E6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7BCB288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436B17A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75</w:t>
            </w:r>
          </w:p>
        </w:tc>
        <w:tc>
          <w:tcPr>
            <w:tcW w:w="729" w:type="pct"/>
            <w:shd w:val="clear" w:color="auto" w:fill="auto"/>
            <w:noWrap w:val="0"/>
            <w:vAlign w:val="center"/>
          </w:tcPr>
          <w:p w14:paraId="0D51AD1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p>
        </w:tc>
        <w:tc>
          <w:tcPr>
            <w:tcW w:w="572" w:type="pct"/>
            <w:shd w:val="clear" w:color="auto" w:fill="auto"/>
            <w:noWrap w:val="0"/>
            <w:vAlign w:val="center"/>
          </w:tcPr>
          <w:p w14:paraId="5FA6EC3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470" w:type="pct"/>
            <w:shd w:val="clear" w:color="auto" w:fill="auto"/>
            <w:noWrap w:val="0"/>
            <w:vAlign w:val="center"/>
          </w:tcPr>
          <w:p w14:paraId="0ED43E9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12EFF60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55</w:t>
            </w:r>
          </w:p>
        </w:tc>
      </w:tr>
      <w:tr w14:paraId="59E0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continue"/>
            <w:noWrap w:val="0"/>
            <w:vAlign w:val="center"/>
          </w:tcPr>
          <w:p w14:paraId="4D7B28CF">
            <w:pPr>
              <w:pStyle w:val="24"/>
              <w:bidi w:val="0"/>
              <w:rPr>
                <w:rFonts w:hint="eastAsia" w:ascii="Times New Roman" w:hAnsi="Times New Roman" w:eastAsia="宋体" w:cs="Courier New"/>
                <w:b w:val="0"/>
                <w:bCs w:val="0"/>
                <w:color w:val="auto"/>
                <w:highlight w:val="none"/>
                <w:lang w:val="en-US" w:eastAsia="zh-CN"/>
              </w:rPr>
            </w:pPr>
          </w:p>
        </w:tc>
        <w:tc>
          <w:tcPr>
            <w:tcW w:w="1620" w:type="dxa"/>
            <w:shd w:val="clear" w:color="auto" w:fill="auto"/>
            <w:noWrap w:val="0"/>
            <w:vAlign w:val="center"/>
          </w:tcPr>
          <w:p w14:paraId="0A910270">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7586DF5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0A68430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4D1C807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95</w:t>
            </w:r>
          </w:p>
        </w:tc>
        <w:tc>
          <w:tcPr>
            <w:tcW w:w="729" w:type="pct"/>
            <w:shd w:val="clear" w:color="auto" w:fill="auto"/>
            <w:noWrap w:val="0"/>
            <w:vAlign w:val="center"/>
          </w:tcPr>
          <w:p w14:paraId="60A0381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基础减振+安装消声器</w:t>
            </w:r>
          </w:p>
        </w:tc>
        <w:tc>
          <w:tcPr>
            <w:tcW w:w="572" w:type="pct"/>
            <w:shd w:val="clear" w:color="auto" w:fill="auto"/>
            <w:noWrap w:val="0"/>
            <w:vAlign w:val="center"/>
          </w:tcPr>
          <w:p w14:paraId="1BA35237">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30</w:t>
            </w:r>
          </w:p>
        </w:tc>
        <w:tc>
          <w:tcPr>
            <w:tcW w:w="470" w:type="pct"/>
            <w:shd w:val="clear" w:color="auto" w:fill="auto"/>
            <w:noWrap w:val="0"/>
            <w:vAlign w:val="center"/>
          </w:tcPr>
          <w:p w14:paraId="206C0FA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类比法</w:t>
            </w:r>
          </w:p>
        </w:tc>
        <w:tc>
          <w:tcPr>
            <w:tcW w:w="537" w:type="pct"/>
            <w:shd w:val="clear" w:color="auto" w:fill="auto"/>
            <w:noWrap w:val="0"/>
            <w:vAlign w:val="center"/>
          </w:tcPr>
          <w:p w14:paraId="5432508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65</w:t>
            </w:r>
          </w:p>
        </w:tc>
      </w:tr>
      <w:tr w14:paraId="24C2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vMerge w:val="continue"/>
            <w:noWrap w:val="0"/>
            <w:vAlign w:val="center"/>
          </w:tcPr>
          <w:p w14:paraId="23C15C3D">
            <w:pPr>
              <w:pStyle w:val="24"/>
              <w:bidi w:val="0"/>
              <w:rPr>
                <w:rFonts w:hint="eastAsia" w:ascii="Times New Roman" w:hAnsi="Times New Roman" w:eastAsia="宋体" w:cs="Courier New"/>
                <w:b w:val="0"/>
                <w:bCs w:val="0"/>
                <w:color w:val="auto"/>
                <w:highlight w:val="none"/>
                <w:lang w:val="en-US" w:eastAsia="zh-CN"/>
              </w:rPr>
            </w:pPr>
          </w:p>
        </w:tc>
        <w:tc>
          <w:tcPr>
            <w:tcW w:w="1620" w:type="dxa"/>
            <w:noWrap w:val="0"/>
            <w:vAlign w:val="center"/>
          </w:tcPr>
          <w:p w14:paraId="4E601174">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401" w:type="pct"/>
            <w:shd w:val="clear" w:color="auto" w:fill="auto"/>
            <w:noWrap w:val="0"/>
            <w:vAlign w:val="center"/>
          </w:tcPr>
          <w:p w14:paraId="5E30E91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频发</w:t>
            </w:r>
          </w:p>
        </w:tc>
        <w:tc>
          <w:tcPr>
            <w:tcW w:w="449" w:type="pct"/>
            <w:shd w:val="clear" w:color="auto" w:fill="auto"/>
            <w:noWrap w:val="0"/>
            <w:vAlign w:val="center"/>
          </w:tcPr>
          <w:p w14:paraId="21E33B4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13" w:type="pct"/>
            <w:shd w:val="clear" w:color="auto" w:fill="auto"/>
            <w:noWrap w:val="0"/>
            <w:vAlign w:val="center"/>
          </w:tcPr>
          <w:p w14:paraId="6315188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85</w:t>
            </w:r>
          </w:p>
        </w:tc>
        <w:tc>
          <w:tcPr>
            <w:tcW w:w="729" w:type="pct"/>
            <w:shd w:val="clear" w:color="auto" w:fill="auto"/>
            <w:noWrap w:val="0"/>
            <w:vAlign w:val="center"/>
          </w:tcPr>
          <w:p w14:paraId="2E20702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p>
        </w:tc>
        <w:tc>
          <w:tcPr>
            <w:tcW w:w="572" w:type="pct"/>
            <w:shd w:val="clear" w:color="auto" w:fill="auto"/>
            <w:noWrap w:val="0"/>
            <w:vAlign w:val="center"/>
          </w:tcPr>
          <w:p w14:paraId="096A531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10</w:t>
            </w:r>
          </w:p>
        </w:tc>
        <w:tc>
          <w:tcPr>
            <w:tcW w:w="470" w:type="pct"/>
            <w:shd w:val="clear" w:color="auto" w:fill="auto"/>
            <w:noWrap w:val="0"/>
            <w:vAlign w:val="center"/>
          </w:tcPr>
          <w:p w14:paraId="60CA481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类比法</w:t>
            </w:r>
          </w:p>
        </w:tc>
        <w:tc>
          <w:tcPr>
            <w:tcW w:w="537" w:type="pct"/>
            <w:shd w:val="clear" w:color="auto" w:fill="auto"/>
            <w:noWrap w:val="0"/>
            <w:vAlign w:val="center"/>
          </w:tcPr>
          <w:p w14:paraId="09F2AA1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75</w:t>
            </w:r>
          </w:p>
        </w:tc>
      </w:tr>
    </w:tbl>
    <w:p w14:paraId="15C7E4C0">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2、噪声防治措施</w:t>
      </w:r>
    </w:p>
    <w:p w14:paraId="4AE2F5BF">
      <w:pPr>
        <w:bidi w:val="0"/>
        <w:rPr>
          <w:rFonts w:hint="eastAsia"/>
          <w:color w:val="auto"/>
          <w:lang w:val="en-US" w:eastAsia="zh-CN"/>
        </w:rPr>
      </w:pPr>
      <w:r>
        <w:rPr>
          <w:rFonts w:hint="eastAsia"/>
          <w:color w:val="auto"/>
          <w:lang w:val="en-US" w:eastAsia="zh-CN"/>
        </w:rPr>
        <w:t>本项目主要从以下几个方面进行噪声控制：</w:t>
      </w:r>
    </w:p>
    <w:p w14:paraId="71DF854C">
      <w:pPr>
        <w:bidi w:val="0"/>
        <w:ind w:left="0" w:leftChars="0" w:firstLine="480" w:firstLineChars="200"/>
        <w:rPr>
          <w:rFonts w:hint="eastAsia"/>
          <w:color w:val="auto"/>
          <w:lang w:val="en-US" w:eastAsia="zh-CN"/>
        </w:rPr>
      </w:pPr>
      <w:r>
        <w:rPr>
          <w:rFonts w:hint="eastAsia"/>
          <w:color w:val="auto"/>
          <w:lang w:val="en-US" w:eastAsia="zh-CN"/>
        </w:rPr>
        <w:t>①选用低噪声设备，定期进行设备检修，保证设备正常运行，减少故障性噪声排放概率。</w:t>
      </w:r>
    </w:p>
    <w:p w14:paraId="29CEA1A4">
      <w:pPr>
        <w:bidi w:val="0"/>
        <w:ind w:left="0" w:leftChars="0" w:firstLine="480" w:firstLineChars="200"/>
        <w:rPr>
          <w:rFonts w:hint="eastAsia"/>
          <w:color w:val="auto"/>
          <w:lang w:val="en-US" w:eastAsia="zh-CN"/>
        </w:rPr>
      </w:pPr>
      <w:r>
        <w:rPr>
          <w:rFonts w:hint="eastAsia"/>
          <w:color w:val="auto"/>
          <w:lang w:val="en-US" w:eastAsia="zh-CN"/>
        </w:rPr>
        <w:t>②合理进行设备布局，生产设备均布置于室内，底部采取基础减振措施，并利用墙体隔声。</w:t>
      </w:r>
    </w:p>
    <w:p w14:paraId="7AB015D3">
      <w:pPr>
        <w:bidi w:val="0"/>
        <w:ind w:left="0" w:leftChars="0" w:firstLine="480" w:firstLineChars="200"/>
        <w:rPr>
          <w:rFonts w:hint="default"/>
          <w:color w:val="auto"/>
          <w:lang w:val="en-US" w:eastAsia="zh-CN"/>
        </w:rPr>
      </w:pPr>
      <w:r>
        <w:rPr>
          <w:rFonts w:hint="eastAsia"/>
          <w:color w:val="auto"/>
          <w:lang w:val="en-US" w:eastAsia="zh-CN"/>
        </w:rPr>
        <w:t>③空压机组、软水机组、电蒸汽发生器均设置于密闭设备间内，且空压机组采用螺杆式空压机，从源头控制噪声源强。</w:t>
      </w:r>
    </w:p>
    <w:p w14:paraId="669D96AE">
      <w:pPr>
        <w:bidi w:val="0"/>
        <w:ind w:left="0" w:leftChars="0" w:firstLine="480" w:firstLineChars="200"/>
        <w:rPr>
          <w:rFonts w:hint="eastAsia"/>
          <w:color w:val="auto"/>
          <w:lang w:val="en-US" w:eastAsia="zh-CN"/>
        </w:rPr>
      </w:pPr>
      <w:r>
        <w:rPr>
          <w:rFonts w:hint="eastAsia"/>
          <w:color w:val="auto"/>
          <w:lang w:val="en-US" w:eastAsia="zh-CN"/>
        </w:rPr>
        <w:t>④风机安装消声器，管道进出口采用柔性连接。</w:t>
      </w:r>
    </w:p>
    <w:p w14:paraId="054C7C45">
      <w:pPr>
        <w:bidi w:val="0"/>
        <w:ind w:left="0" w:leftChars="0" w:firstLine="480" w:firstLineChars="200"/>
        <w:rPr>
          <w:rFonts w:hint="eastAsia"/>
          <w:color w:val="auto"/>
          <w:lang w:val="en-US" w:eastAsia="zh-CN"/>
        </w:rPr>
      </w:pPr>
      <w:r>
        <w:rPr>
          <w:rFonts w:hint="eastAsia"/>
          <w:color w:val="auto"/>
          <w:lang w:val="en-US" w:eastAsia="zh-CN"/>
        </w:rPr>
        <w:t>采取上述治理措施后，可有效降低噪声10~30dB（A），厂界噪声可满足《工业企业厂界环境噪声排放标准》（GB12348-2008）3类标准，实现达标排放。</w:t>
      </w:r>
    </w:p>
    <w:p w14:paraId="0DA3D476">
      <w:pPr>
        <w:pStyle w:val="5"/>
        <w:bidi w:val="0"/>
        <w:ind w:left="864" w:leftChars="0" w:hanging="864" w:firstLineChars="0"/>
        <w:rPr>
          <w:color w:val="auto"/>
          <w:highlight w:val="none"/>
        </w:rPr>
      </w:pPr>
      <w:r>
        <w:rPr>
          <w:rFonts w:hint="eastAsia"/>
          <w:color w:val="auto"/>
          <w:highlight w:val="none"/>
          <w:lang w:val="en-US" w:eastAsia="zh-CN"/>
        </w:rPr>
        <w:t>固体废物</w:t>
      </w:r>
      <w:r>
        <w:rPr>
          <w:color w:val="auto"/>
          <w:highlight w:val="none"/>
        </w:rPr>
        <w:t>污染物</w:t>
      </w:r>
    </w:p>
    <w:p w14:paraId="7FADB643">
      <w:pPr>
        <w:bidi w:val="0"/>
        <w:ind w:left="0" w:leftChars="0" w:firstLine="480" w:firstLineChars="200"/>
        <w:rPr>
          <w:rFonts w:hint="default"/>
          <w:color w:val="auto"/>
          <w:lang w:val="en-US" w:eastAsia="zh-CN"/>
        </w:rPr>
      </w:pPr>
      <w:r>
        <w:rPr>
          <w:rFonts w:hint="default"/>
          <w:color w:val="auto"/>
          <w:lang w:val="en-US" w:eastAsia="zh-CN"/>
        </w:rPr>
        <w:t>本项目产生的固废</w:t>
      </w:r>
      <w:r>
        <w:rPr>
          <w:rFonts w:hint="eastAsia"/>
          <w:color w:val="auto"/>
          <w:lang w:val="en-US" w:eastAsia="zh-CN"/>
        </w:rPr>
        <w:t>包括废离子交换树脂、未沾染化学品的废包装材料、生活垃圾、预处理池污泥及沉淀池沉渣等一般固废和沾染化学品的废包装材料、质检废液、剩余检验样品</w:t>
      </w:r>
      <w:r>
        <w:rPr>
          <w:rFonts w:hint="default"/>
          <w:color w:val="auto"/>
          <w:lang w:val="en-US" w:eastAsia="zh-CN"/>
        </w:rPr>
        <w:t>、</w:t>
      </w:r>
      <w:r>
        <w:rPr>
          <w:rFonts w:hint="eastAsia"/>
          <w:color w:val="auto"/>
          <w:lang w:val="en-US" w:eastAsia="zh-CN"/>
        </w:rPr>
        <w:t>涉及磷及重金属器皿清洗废水、喷淋废渣、废过滤棉、废活性炭、废润滑油、废油桶、含油废棉纱手套等危险废物</w:t>
      </w:r>
      <w:r>
        <w:rPr>
          <w:rFonts w:hint="default"/>
          <w:color w:val="auto"/>
          <w:lang w:val="en-US" w:eastAsia="zh-CN"/>
        </w:rPr>
        <w:t>。</w:t>
      </w:r>
    </w:p>
    <w:p w14:paraId="6827B15D">
      <w:pPr>
        <w:pStyle w:val="6"/>
        <w:bidi w:val="0"/>
        <w:spacing w:line="360" w:lineRule="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1、一般固废</w:t>
      </w:r>
    </w:p>
    <w:p w14:paraId="1A31C130">
      <w:pPr>
        <w:bidi w:val="0"/>
        <w:rPr>
          <w:rFonts w:hint="eastAsia"/>
          <w:b/>
          <w:bCs/>
          <w:color w:val="auto"/>
          <w:lang w:eastAsia="zh-CN"/>
        </w:rPr>
      </w:pPr>
      <w:r>
        <w:rPr>
          <w:rFonts w:hint="eastAsia"/>
          <w:b/>
          <w:bCs/>
          <w:color w:val="auto"/>
          <w:lang w:eastAsia="zh-CN"/>
        </w:rPr>
        <w:t>①产生情况</w:t>
      </w:r>
    </w:p>
    <w:p w14:paraId="49061C05">
      <w:pPr>
        <w:bidi w:val="0"/>
        <w:ind w:left="0" w:leftChars="0" w:firstLine="482" w:firstLineChars="200"/>
        <w:rPr>
          <w:rFonts w:hint="eastAsia"/>
          <w:color w:val="auto"/>
        </w:rPr>
      </w:pPr>
      <w:r>
        <w:rPr>
          <w:rFonts w:hint="eastAsia"/>
          <w:b/>
          <w:bCs/>
          <w:color w:val="auto"/>
          <w:lang w:val="en-US" w:eastAsia="zh-CN"/>
        </w:rPr>
        <w:t>废离子交换树脂：</w:t>
      </w:r>
      <w:r>
        <w:rPr>
          <w:rFonts w:hint="eastAsia"/>
          <w:color w:val="auto"/>
          <w:lang w:val="en-US" w:eastAsia="zh-CN"/>
        </w:rPr>
        <w:t>本项目设软水机组，采用</w:t>
      </w:r>
      <w:r>
        <w:rPr>
          <w:rFonts w:hint="eastAsia" w:ascii="Times New Roman" w:hAnsi="Times New Roman" w:eastAsia="宋体" w:cs="Times New Roman"/>
          <w:b w:val="0"/>
          <w:bCs w:val="0"/>
          <w:color w:val="auto"/>
          <w:highlight w:val="none"/>
          <w:lang w:val="en-US" w:eastAsia="zh-CN"/>
        </w:rPr>
        <w:t>离子交换树脂工艺</w:t>
      </w:r>
      <w:r>
        <w:rPr>
          <w:rFonts w:hint="eastAsia"/>
          <w:color w:val="auto"/>
          <w:lang w:val="en-US" w:eastAsia="zh-CN"/>
        </w:rPr>
        <w:t>，废离子交换树脂定期由厂家进行更换，</w:t>
      </w:r>
      <w:r>
        <w:rPr>
          <w:color w:val="auto"/>
        </w:rPr>
        <w:t>产生量为</w:t>
      </w:r>
      <w:r>
        <w:rPr>
          <w:rFonts w:hint="eastAsia"/>
          <w:color w:val="auto"/>
          <w:lang w:val="en-US" w:eastAsia="zh-CN"/>
        </w:rPr>
        <w:t>0.1</w:t>
      </w:r>
      <w:r>
        <w:rPr>
          <w:color w:val="auto"/>
        </w:rPr>
        <w:t>t/a</w:t>
      </w:r>
      <w:r>
        <w:rPr>
          <w:rFonts w:hint="eastAsia"/>
          <w:color w:val="auto"/>
          <w:lang w:eastAsia="zh-CN"/>
        </w:rPr>
        <w:t>。</w:t>
      </w:r>
    </w:p>
    <w:p w14:paraId="1B454D9D">
      <w:pPr>
        <w:bidi w:val="0"/>
        <w:ind w:left="0" w:leftChars="0" w:firstLine="482" w:firstLineChars="200"/>
        <w:rPr>
          <w:rFonts w:hint="eastAsia"/>
          <w:color w:val="auto"/>
        </w:rPr>
      </w:pPr>
      <w:r>
        <w:rPr>
          <w:rFonts w:hint="eastAsia"/>
          <w:b/>
          <w:bCs/>
          <w:color w:val="auto"/>
          <w:lang w:val="en-US" w:eastAsia="zh-CN"/>
        </w:rPr>
        <w:t>未沾染化学品的废包装材料：</w:t>
      </w:r>
      <w:r>
        <w:rPr>
          <w:color w:val="auto"/>
        </w:rPr>
        <w:t>产生于</w:t>
      </w:r>
      <w:r>
        <w:rPr>
          <w:rFonts w:hint="eastAsia"/>
          <w:color w:val="auto"/>
          <w:lang w:val="en-US" w:eastAsia="zh-CN"/>
        </w:rPr>
        <w:t>原料使用工序，</w:t>
      </w:r>
      <w:r>
        <w:rPr>
          <w:color w:val="auto"/>
        </w:rPr>
        <w:t>产生量为</w:t>
      </w:r>
      <w:r>
        <w:rPr>
          <w:rFonts w:hint="eastAsia"/>
          <w:color w:val="auto"/>
          <w:lang w:val="en-US" w:eastAsia="zh-CN"/>
        </w:rPr>
        <w:t>1t/a</w:t>
      </w:r>
      <w:r>
        <w:rPr>
          <w:rFonts w:hint="eastAsia"/>
          <w:color w:val="auto"/>
        </w:rPr>
        <w:t>。</w:t>
      </w:r>
    </w:p>
    <w:p w14:paraId="42B44130">
      <w:pPr>
        <w:bidi w:val="0"/>
        <w:ind w:left="0" w:leftChars="0" w:firstLine="482" w:firstLineChars="200"/>
        <w:rPr>
          <w:rFonts w:hint="eastAsia"/>
          <w:color w:val="auto"/>
        </w:rPr>
      </w:pPr>
      <w:r>
        <w:rPr>
          <w:rFonts w:hint="eastAsia"/>
          <w:b/>
          <w:bCs/>
          <w:color w:val="auto"/>
          <w:lang w:val="en-US" w:eastAsia="zh-CN"/>
        </w:rPr>
        <w:t>生活垃圾：</w:t>
      </w:r>
      <w:r>
        <w:rPr>
          <w:color w:val="auto"/>
        </w:rPr>
        <w:t>根据《城镇生活污染源产排污系数手册》，生活垃圾产生量按0.64kg/d人计，</w:t>
      </w:r>
      <w:r>
        <w:rPr>
          <w:rFonts w:hint="eastAsia"/>
          <w:color w:val="auto"/>
          <w:lang w:val="en-US" w:eastAsia="zh-CN"/>
        </w:rPr>
        <w:t>本项目劳动定员40人，则生活垃圾产生量为7.68t/a</w:t>
      </w:r>
      <w:r>
        <w:rPr>
          <w:rFonts w:hint="eastAsia"/>
          <w:color w:val="auto"/>
        </w:rPr>
        <w:t>。</w:t>
      </w:r>
    </w:p>
    <w:p w14:paraId="517FF7A2">
      <w:pPr>
        <w:bidi w:val="0"/>
        <w:ind w:left="0" w:leftChars="0" w:firstLine="482" w:firstLineChars="200"/>
        <w:rPr>
          <w:rFonts w:hint="eastAsia"/>
          <w:color w:val="auto"/>
        </w:rPr>
      </w:pPr>
      <w:r>
        <w:rPr>
          <w:rFonts w:hint="eastAsia"/>
          <w:b/>
          <w:bCs/>
          <w:color w:val="auto"/>
          <w:lang w:val="en-US" w:eastAsia="zh-CN"/>
        </w:rPr>
        <w:t>预处理池污泥及沉淀池沉渣：</w:t>
      </w:r>
      <w:r>
        <w:rPr>
          <w:color w:val="auto"/>
        </w:rPr>
        <w:t>污泥</w:t>
      </w:r>
      <w:r>
        <w:rPr>
          <w:rFonts w:hint="eastAsia"/>
          <w:color w:val="auto"/>
          <w:lang w:val="en-US" w:eastAsia="zh-CN"/>
        </w:rPr>
        <w:t>及沉渣</w:t>
      </w:r>
      <w:r>
        <w:rPr>
          <w:color w:val="auto"/>
        </w:rPr>
        <w:t>产生量按8kg/100m</w:t>
      </w:r>
      <w:r>
        <w:rPr>
          <w:color w:val="auto"/>
          <w:vertAlign w:val="superscript"/>
        </w:rPr>
        <w:t>3</w:t>
      </w:r>
      <w:r>
        <w:rPr>
          <w:color w:val="auto"/>
        </w:rPr>
        <w:t>·d（废水）计，</w:t>
      </w:r>
      <w:r>
        <w:rPr>
          <w:rFonts w:hint="eastAsia"/>
          <w:color w:val="auto"/>
          <w:lang w:val="en-US" w:eastAsia="zh-CN"/>
        </w:rPr>
        <w:t>本项目预处理池废水处理量为1326m</w:t>
      </w:r>
      <w:r>
        <w:rPr>
          <w:rFonts w:hint="eastAsia"/>
          <w:color w:val="auto"/>
          <w:vertAlign w:val="superscript"/>
          <w:lang w:val="en-US" w:eastAsia="zh-CN"/>
        </w:rPr>
        <w:t>3</w:t>
      </w:r>
      <w:r>
        <w:rPr>
          <w:rFonts w:hint="eastAsia"/>
          <w:color w:val="auto"/>
          <w:lang w:val="en-US" w:eastAsia="zh-CN"/>
        </w:rPr>
        <w:t>/a、沉淀池废水处理量为44.2m</w:t>
      </w:r>
      <w:r>
        <w:rPr>
          <w:rFonts w:hint="eastAsia"/>
          <w:color w:val="auto"/>
          <w:vertAlign w:val="superscript"/>
          <w:lang w:val="en-US" w:eastAsia="zh-CN"/>
        </w:rPr>
        <w:t>3</w:t>
      </w:r>
      <w:r>
        <w:rPr>
          <w:rFonts w:hint="eastAsia"/>
          <w:color w:val="auto"/>
          <w:lang w:val="en-US" w:eastAsia="zh-CN"/>
        </w:rPr>
        <w:t>/a，则预处理池污泥及沉淀池沉渣产生量为0.1t/a</w:t>
      </w:r>
      <w:r>
        <w:rPr>
          <w:rFonts w:hint="eastAsia"/>
          <w:color w:val="auto"/>
        </w:rPr>
        <w:t>。</w:t>
      </w:r>
    </w:p>
    <w:p w14:paraId="0235DCFC">
      <w:pPr>
        <w:bidi w:val="0"/>
        <w:rPr>
          <w:rFonts w:hint="eastAsia"/>
          <w:b/>
          <w:bCs/>
          <w:color w:val="auto"/>
          <w:lang w:val="en-US" w:eastAsia="zh-CN"/>
        </w:rPr>
      </w:pPr>
      <w:r>
        <w:rPr>
          <w:rFonts w:hint="eastAsia"/>
          <w:b/>
          <w:bCs/>
          <w:color w:val="auto"/>
        </w:rPr>
        <w:t>②</w:t>
      </w:r>
      <w:r>
        <w:rPr>
          <w:b/>
          <w:bCs/>
          <w:color w:val="auto"/>
        </w:rPr>
        <w:t>治理措施</w:t>
      </w:r>
    </w:p>
    <w:p w14:paraId="4A72EB4E">
      <w:pPr>
        <w:bidi w:val="0"/>
        <w:rPr>
          <w:rFonts w:hint="eastAsia"/>
          <w:color w:val="auto"/>
        </w:rPr>
      </w:pPr>
      <w:r>
        <w:rPr>
          <w:rFonts w:hint="eastAsia"/>
          <w:b/>
          <w:bCs/>
          <w:color w:val="auto"/>
          <w:lang w:val="en-US" w:eastAsia="zh-CN"/>
        </w:rPr>
        <w:t>废离子交换树脂：</w:t>
      </w:r>
      <w:r>
        <w:rPr>
          <w:rFonts w:hint="eastAsia"/>
          <w:color w:val="auto"/>
          <w:lang w:val="en-US" w:eastAsia="zh-CN"/>
        </w:rPr>
        <w:t>交由厂家回收处理</w:t>
      </w:r>
      <w:r>
        <w:rPr>
          <w:rFonts w:hint="eastAsia"/>
          <w:color w:val="auto"/>
          <w:lang w:eastAsia="zh-CN"/>
        </w:rPr>
        <w:t>。</w:t>
      </w:r>
    </w:p>
    <w:p w14:paraId="54B24D56">
      <w:pPr>
        <w:bidi w:val="0"/>
        <w:rPr>
          <w:rFonts w:hint="eastAsia"/>
          <w:color w:val="auto"/>
        </w:rPr>
      </w:pPr>
      <w:r>
        <w:rPr>
          <w:rFonts w:hint="eastAsia"/>
          <w:b/>
          <w:bCs/>
          <w:color w:val="auto"/>
          <w:lang w:val="en-US" w:eastAsia="zh-CN"/>
        </w:rPr>
        <w:t>未沾染化学品的废包装材料：</w:t>
      </w:r>
      <w:r>
        <w:rPr>
          <w:color w:val="auto"/>
        </w:rPr>
        <w:t>外售至废旧物资回收单位</w:t>
      </w:r>
      <w:r>
        <w:rPr>
          <w:rFonts w:hint="eastAsia"/>
          <w:color w:val="auto"/>
        </w:rPr>
        <w:t>。</w:t>
      </w:r>
    </w:p>
    <w:p w14:paraId="5AFB90C1">
      <w:pPr>
        <w:bidi w:val="0"/>
        <w:rPr>
          <w:rFonts w:hint="eastAsia"/>
          <w:color w:val="auto"/>
        </w:rPr>
      </w:pPr>
      <w:r>
        <w:rPr>
          <w:rFonts w:hint="eastAsia"/>
          <w:b/>
          <w:bCs/>
          <w:color w:val="auto"/>
          <w:lang w:val="en-US" w:eastAsia="zh-CN"/>
        </w:rPr>
        <w:t>生活垃圾：</w:t>
      </w:r>
      <w:r>
        <w:rPr>
          <w:color w:val="auto"/>
        </w:rPr>
        <w:t>交由环卫部门</w:t>
      </w:r>
      <w:r>
        <w:rPr>
          <w:rFonts w:hint="eastAsia"/>
          <w:color w:val="auto"/>
        </w:rPr>
        <w:t>清运</w:t>
      </w:r>
      <w:r>
        <w:rPr>
          <w:color w:val="auto"/>
        </w:rPr>
        <w:t>处理</w:t>
      </w:r>
      <w:r>
        <w:rPr>
          <w:rFonts w:hint="eastAsia"/>
          <w:color w:val="auto"/>
        </w:rPr>
        <w:t>。</w:t>
      </w:r>
    </w:p>
    <w:p w14:paraId="1987B04E">
      <w:pPr>
        <w:bidi w:val="0"/>
        <w:rPr>
          <w:rFonts w:hint="default"/>
          <w:color w:val="auto"/>
          <w:lang w:val="en-US" w:eastAsia="zh-CN"/>
        </w:rPr>
      </w:pPr>
      <w:r>
        <w:rPr>
          <w:rFonts w:hint="eastAsia"/>
          <w:b/>
          <w:bCs/>
          <w:color w:val="auto"/>
          <w:lang w:val="en-US" w:eastAsia="zh-CN"/>
        </w:rPr>
        <w:t>预处理池污泥及沉淀池沉渣：</w:t>
      </w:r>
      <w:r>
        <w:rPr>
          <w:rFonts w:hint="eastAsia"/>
          <w:color w:val="auto"/>
          <w:lang w:val="en-US" w:eastAsia="zh-CN"/>
        </w:rPr>
        <w:t>交由环卫部门清掏处理。</w:t>
      </w:r>
    </w:p>
    <w:p w14:paraId="4A53D7E3">
      <w:pPr>
        <w:bidi w:val="0"/>
        <w:rPr>
          <w:rFonts w:hint="default"/>
          <w:color w:val="auto"/>
          <w:lang w:val="en-US" w:eastAsia="zh-CN"/>
        </w:rPr>
      </w:pPr>
      <w:r>
        <w:rPr>
          <w:rFonts w:hint="eastAsia"/>
          <w:color w:val="auto"/>
          <w:lang w:val="en-US" w:eastAsia="zh-CN"/>
        </w:rPr>
        <w:t>由上述分析可知，本项目一般固废污染源源强核算结果及相关参数见下表。</w:t>
      </w:r>
    </w:p>
    <w:p w14:paraId="578D37C3">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一般固废污染源源强核算结果及相关参数表</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1717"/>
        <w:gridCol w:w="915"/>
        <w:gridCol w:w="1025"/>
        <w:gridCol w:w="968"/>
        <w:gridCol w:w="1145"/>
        <w:gridCol w:w="943"/>
        <w:gridCol w:w="1525"/>
      </w:tblGrid>
      <w:tr w14:paraId="692A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pct"/>
            <w:vMerge w:val="restart"/>
            <w:noWrap w:val="0"/>
            <w:vAlign w:val="center"/>
          </w:tcPr>
          <w:p w14:paraId="23316A9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产生源</w:t>
            </w:r>
          </w:p>
        </w:tc>
        <w:tc>
          <w:tcPr>
            <w:tcW w:w="903" w:type="pct"/>
            <w:vMerge w:val="restart"/>
            <w:noWrap w:val="0"/>
            <w:vAlign w:val="center"/>
          </w:tcPr>
          <w:p w14:paraId="2ACFB510">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废物名称</w:t>
            </w:r>
          </w:p>
        </w:tc>
        <w:tc>
          <w:tcPr>
            <w:tcW w:w="481" w:type="pct"/>
            <w:vMerge w:val="restart"/>
            <w:noWrap w:val="0"/>
            <w:vAlign w:val="center"/>
          </w:tcPr>
          <w:p w14:paraId="778820B7">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属性</w:t>
            </w:r>
          </w:p>
        </w:tc>
        <w:tc>
          <w:tcPr>
            <w:tcW w:w="1048" w:type="pct"/>
            <w:gridSpan w:val="2"/>
            <w:noWrap w:val="0"/>
            <w:vAlign w:val="center"/>
          </w:tcPr>
          <w:p w14:paraId="56179B0E">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产生量</w:t>
            </w:r>
          </w:p>
        </w:tc>
        <w:tc>
          <w:tcPr>
            <w:tcW w:w="1098" w:type="pct"/>
            <w:gridSpan w:val="2"/>
            <w:noWrap w:val="0"/>
            <w:vAlign w:val="center"/>
          </w:tcPr>
          <w:p w14:paraId="338F057E">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处置措施</w:t>
            </w:r>
          </w:p>
        </w:tc>
        <w:tc>
          <w:tcPr>
            <w:tcW w:w="802" w:type="pct"/>
            <w:vMerge w:val="restart"/>
            <w:noWrap w:val="0"/>
            <w:vAlign w:val="center"/>
          </w:tcPr>
          <w:p w14:paraId="53F81DE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最终去向</w:t>
            </w:r>
          </w:p>
        </w:tc>
      </w:tr>
      <w:tr w14:paraId="269C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665" w:type="pct"/>
            <w:vMerge w:val="continue"/>
            <w:noWrap w:val="0"/>
            <w:vAlign w:val="center"/>
          </w:tcPr>
          <w:p w14:paraId="5D60EA6F">
            <w:pPr>
              <w:pStyle w:val="24"/>
              <w:bidi w:val="0"/>
              <w:rPr>
                <w:rFonts w:hint="eastAsia" w:ascii="Times New Roman" w:hAnsi="Times New Roman" w:eastAsia="宋体" w:cs="Courier New"/>
                <w:b/>
                <w:bCs/>
                <w:color w:val="auto"/>
                <w:sz w:val="21"/>
                <w:szCs w:val="21"/>
                <w:highlight w:val="none"/>
                <w:lang w:val="en-US" w:eastAsia="zh-CN"/>
              </w:rPr>
            </w:pPr>
          </w:p>
        </w:tc>
        <w:tc>
          <w:tcPr>
            <w:tcW w:w="903" w:type="pct"/>
            <w:vMerge w:val="continue"/>
            <w:noWrap w:val="0"/>
            <w:vAlign w:val="center"/>
          </w:tcPr>
          <w:p w14:paraId="362D2B5B">
            <w:pPr>
              <w:pStyle w:val="24"/>
              <w:bidi w:val="0"/>
              <w:rPr>
                <w:rFonts w:hint="eastAsia" w:ascii="Times New Roman" w:hAnsi="Times New Roman" w:eastAsia="宋体" w:cs="Courier New"/>
                <w:b/>
                <w:bCs/>
                <w:color w:val="auto"/>
                <w:sz w:val="21"/>
                <w:szCs w:val="21"/>
                <w:highlight w:val="none"/>
                <w:lang w:val="en-US" w:eastAsia="zh-CN"/>
              </w:rPr>
            </w:pPr>
          </w:p>
        </w:tc>
        <w:tc>
          <w:tcPr>
            <w:tcW w:w="481" w:type="pct"/>
            <w:vMerge w:val="continue"/>
            <w:noWrap w:val="0"/>
            <w:vAlign w:val="center"/>
          </w:tcPr>
          <w:p w14:paraId="1A7FFFED">
            <w:pPr>
              <w:pStyle w:val="24"/>
              <w:bidi w:val="0"/>
              <w:rPr>
                <w:rFonts w:hint="eastAsia" w:ascii="Times New Roman" w:hAnsi="Times New Roman" w:eastAsia="宋体" w:cs="Courier New"/>
                <w:b/>
                <w:bCs/>
                <w:color w:val="auto"/>
                <w:sz w:val="21"/>
                <w:szCs w:val="21"/>
                <w:highlight w:val="none"/>
                <w:lang w:val="en-US" w:eastAsia="zh-CN"/>
              </w:rPr>
            </w:pPr>
          </w:p>
        </w:tc>
        <w:tc>
          <w:tcPr>
            <w:tcW w:w="539" w:type="pct"/>
            <w:noWrap w:val="0"/>
            <w:vAlign w:val="center"/>
          </w:tcPr>
          <w:p w14:paraId="0BB9C487">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核算方法</w:t>
            </w:r>
          </w:p>
        </w:tc>
        <w:tc>
          <w:tcPr>
            <w:tcW w:w="508" w:type="pct"/>
            <w:noWrap w:val="0"/>
            <w:vAlign w:val="center"/>
          </w:tcPr>
          <w:p w14:paraId="2D56E860">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产生量（t/a)</w:t>
            </w:r>
          </w:p>
        </w:tc>
        <w:tc>
          <w:tcPr>
            <w:tcW w:w="602" w:type="pct"/>
            <w:noWrap w:val="0"/>
            <w:vAlign w:val="center"/>
          </w:tcPr>
          <w:p w14:paraId="7642205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工艺</w:t>
            </w:r>
          </w:p>
        </w:tc>
        <w:tc>
          <w:tcPr>
            <w:tcW w:w="496" w:type="pct"/>
            <w:noWrap w:val="0"/>
            <w:vAlign w:val="center"/>
          </w:tcPr>
          <w:p w14:paraId="20B98887">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处置量（t/a)</w:t>
            </w:r>
          </w:p>
        </w:tc>
        <w:tc>
          <w:tcPr>
            <w:tcW w:w="802" w:type="pct"/>
            <w:vMerge w:val="continue"/>
            <w:noWrap w:val="0"/>
            <w:vAlign w:val="center"/>
          </w:tcPr>
          <w:p w14:paraId="5180FAF4">
            <w:pPr>
              <w:pStyle w:val="24"/>
              <w:bidi w:val="0"/>
              <w:rPr>
                <w:rFonts w:hint="eastAsia" w:ascii="Times New Roman" w:hAnsi="Times New Roman" w:eastAsia="宋体" w:cs="Courier New"/>
                <w:b w:val="0"/>
                <w:bCs w:val="0"/>
                <w:color w:val="auto"/>
                <w:sz w:val="21"/>
                <w:szCs w:val="21"/>
                <w:highlight w:val="none"/>
                <w:lang w:val="en-US" w:eastAsia="zh-CN"/>
              </w:rPr>
            </w:pPr>
          </w:p>
        </w:tc>
      </w:tr>
      <w:tr w14:paraId="4DF5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pct"/>
            <w:noWrap w:val="0"/>
            <w:vAlign w:val="center"/>
          </w:tcPr>
          <w:p w14:paraId="05DB584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Times New Roman"/>
                <w:color w:val="auto"/>
                <w:sz w:val="21"/>
                <w:szCs w:val="21"/>
                <w:highlight w:val="none"/>
                <w:lang w:val="en-US" w:eastAsia="zh-CN"/>
              </w:rPr>
              <w:t>软水机组</w:t>
            </w:r>
          </w:p>
        </w:tc>
        <w:tc>
          <w:tcPr>
            <w:tcW w:w="903" w:type="pct"/>
            <w:noWrap w:val="0"/>
            <w:vAlign w:val="center"/>
          </w:tcPr>
          <w:p w14:paraId="182F452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废离子交换树脂</w:t>
            </w:r>
          </w:p>
        </w:tc>
        <w:tc>
          <w:tcPr>
            <w:tcW w:w="481" w:type="pct"/>
            <w:vMerge w:val="restart"/>
            <w:noWrap w:val="0"/>
            <w:vAlign w:val="center"/>
          </w:tcPr>
          <w:p w14:paraId="672D977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一般固体废物</w:t>
            </w:r>
          </w:p>
        </w:tc>
        <w:tc>
          <w:tcPr>
            <w:tcW w:w="539" w:type="pct"/>
            <w:noWrap w:val="0"/>
            <w:vAlign w:val="center"/>
          </w:tcPr>
          <w:p w14:paraId="4FCC72D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类比法</w:t>
            </w:r>
          </w:p>
        </w:tc>
        <w:tc>
          <w:tcPr>
            <w:tcW w:w="508" w:type="pct"/>
            <w:noWrap w:val="0"/>
            <w:vAlign w:val="center"/>
          </w:tcPr>
          <w:p w14:paraId="705216E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0.1</w:t>
            </w:r>
          </w:p>
        </w:tc>
        <w:tc>
          <w:tcPr>
            <w:tcW w:w="602" w:type="pct"/>
            <w:noWrap w:val="0"/>
            <w:vAlign w:val="center"/>
          </w:tcPr>
          <w:p w14:paraId="026DDEF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委托处置</w:t>
            </w:r>
          </w:p>
        </w:tc>
        <w:tc>
          <w:tcPr>
            <w:tcW w:w="496" w:type="pct"/>
            <w:shd w:val="clear" w:color="auto" w:fill="auto"/>
            <w:noWrap w:val="0"/>
            <w:vAlign w:val="center"/>
          </w:tcPr>
          <w:p w14:paraId="3602E54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0.1</w:t>
            </w:r>
          </w:p>
        </w:tc>
        <w:tc>
          <w:tcPr>
            <w:tcW w:w="802" w:type="pct"/>
            <w:noWrap w:val="0"/>
            <w:vAlign w:val="center"/>
          </w:tcPr>
          <w:p w14:paraId="2F2E5ED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厂家回收处理</w:t>
            </w:r>
          </w:p>
        </w:tc>
      </w:tr>
      <w:tr w14:paraId="5FBC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pct"/>
            <w:shd w:val="clear" w:color="auto" w:fill="auto"/>
            <w:noWrap w:val="0"/>
            <w:vAlign w:val="center"/>
          </w:tcPr>
          <w:p w14:paraId="43F1A98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原料使用</w:t>
            </w:r>
          </w:p>
        </w:tc>
        <w:tc>
          <w:tcPr>
            <w:tcW w:w="903" w:type="pct"/>
            <w:shd w:val="clear" w:color="auto" w:fill="auto"/>
            <w:noWrap w:val="0"/>
            <w:vAlign w:val="center"/>
          </w:tcPr>
          <w:p w14:paraId="3007604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未沾染化学品的废包装材料</w:t>
            </w:r>
          </w:p>
        </w:tc>
        <w:tc>
          <w:tcPr>
            <w:tcW w:w="481" w:type="pct"/>
            <w:vMerge w:val="continue"/>
            <w:noWrap w:val="0"/>
            <w:vAlign w:val="center"/>
          </w:tcPr>
          <w:p w14:paraId="2A748352">
            <w:pPr>
              <w:pStyle w:val="24"/>
              <w:bidi w:val="0"/>
              <w:rPr>
                <w:rFonts w:hint="eastAsia" w:ascii="Times New Roman" w:hAnsi="Times New Roman" w:eastAsia="宋体" w:cs="Courier New"/>
                <w:b w:val="0"/>
                <w:bCs w:val="0"/>
                <w:color w:val="auto"/>
                <w:sz w:val="21"/>
                <w:szCs w:val="21"/>
                <w:highlight w:val="none"/>
                <w:lang w:val="en-US" w:eastAsia="zh-CN"/>
              </w:rPr>
            </w:pPr>
          </w:p>
        </w:tc>
        <w:tc>
          <w:tcPr>
            <w:tcW w:w="539" w:type="pct"/>
            <w:shd w:val="clear" w:color="auto" w:fill="auto"/>
            <w:noWrap w:val="0"/>
            <w:vAlign w:val="center"/>
          </w:tcPr>
          <w:p w14:paraId="5713862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类比法</w:t>
            </w:r>
          </w:p>
        </w:tc>
        <w:tc>
          <w:tcPr>
            <w:tcW w:w="508" w:type="pct"/>
            <w:shd w:val="clear" w:color="auto" w:fill="auto"/>
            <w:noWrap w:val="0"/>
            <w:vAlign w:val="center"/>
          </w:tcPr>
          <w:p w14:paraId="3072AA62">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w:t>
            </w:r>
          </w:p>
        </w:tc>
        <w:tc>
          <w:tcPr>
            <w:tcW w:w="602" w:type="pct"/>
            <w:shd w:val="clear" w:color="auto" w:fill="auto"/>
            <w:noWrap w:val="0"/>
            <w:vAlign w:val="center"/>
          </w:tcPr>
          <w:p w14:paraId="4B588F1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委托处置</w:t>
            </w:r>
          </w:p>
        </w:tc>
        <w:tc>
          <w:tcPr>
            <w:tcW w:w="496" w:type="pct"/>
            <w:shd w:val="clear" w:color="auto" w:fill="auto"/>
            <w:noWrap w:val="0"/>
            <w:vAlign w:val="center"/>
          </w:tcPr>
          <w:p w14:paraId="23EAA3E7">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w:t>
            </w:r>
          </w:p>
        </w:tc>
        <w:tc>
          <w:tcPr>
            <w:tcW w:w="802" w:type="pct"/>
            <w:shd w:val="clear" w:color="auto" w:fill="auto"/>
            <w:noWrap w:val="0"/>
            <w:vAlign w:val="center"/>
          </w:tcPr>
          <w:p w14:paraId="587F84D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外售至废旧物资回收单位</w:t>
            </w:r>
          </w:p>
        </w:tc>
      </w:tr>
      <w:tr w14:paraId="52A4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pct"/>
            <w:shd w:val="clear" w:color="auto" w:fill="auto"/>
            <w:noWrap w:val="0"/>
            <w:vAlign w:val="center"/>
          </w:tcPr>
          <w:p w14:paraId="4329BCD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劳动定员</w:t>
            </w:r>
          </w:p>
        </w:tc>
        <w:tc>
          <w:tcPr>
            <w:tcW w:w="903" w:type="pct"/>
            <w:shd w:val="clear" w:color="auto" w:fill="auto"/>
            <w:noWrap w:val="0"/>
            <w:vAlign w:val="center"/>
          </w:tcPr>
          <w:p w14:paraId="31EBEDD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生活垃圾</w:t>
            </w:r>
          </w:p>
        </w:tc>
        <w:tc>
          <w:tcPr>
            <w:tcW w:w="481" w:type="pct"/>
            <w:vMerge w:val="continue"/>
            <w:noWrap w:val="0"/>
            <w:vAlign w:val="center"/>
          </w:tcPr>
          <w:p w14:paraId="4237D80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39" w:type="pct"/>
            <w:shd w:val="clear" w:color="auto" w:fill="auto"/>
            <w:noWrap w:val="0"/>
            <w:vAlign w:val="center"/>
          </w:tcPr>
          <w:p w14:paraId="62811799">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产污系数法</w:t>
            </w:r>
          </w:p>
        </w:tc>
        <w:tc>
          <w:tcPr>
            <w:tcW w:w="508" w:type="pct"/>
            <w:shd w:val="clear" w:color="auto" w:fill="auto"/>
            <w:noWrap w:val="0"/>
            <w:vAlign w:val="center"/>
          </w:tcPr>
          <w:p w14:paraId="5C1A95A7">
            <w:pPr>
              <w:pStyle w:val="24"/>
              <w:bidi w:val="0"/>
              <w:ind w:left="0" w:leftChars="0"/>
              <w:rPr>
                <w:rFonts w:hint="default"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7.68</w:t>
            </w:r>
          </w:p>
        </w:tc>
        <w:tc>
          <w:tcPr>
            <w:tcW w:w="602" w:type="pct"/>
            <w:shd w:val="clear" w:color="auto" w:fill="auto"/>
            <w:noWrap w:val="0"/>
            <w:vAlign w:val="center"/>
          </w:tcPr>
          <w:p w14:paraId="08EE77E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委托处置</w:t>
            </w:r>
          </w:p>
        </w:tc>
        <w:tc>
          <w:tcPr>
            <w:tcW w:w="496" w:type="pct"/>
            <w:shd w:val="clear" w:color="auto" w:fill="auto"/>
            <w:noWrap w:val="0"/>
            <w:vAlign w:val="center"/>
          </w:tcPr>
          <w:p w14:paraId="22FEC13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7.68</w:t>
            </w:r>
          </w:p>
        </w:tc>
        <w:tc>
          <w:tcPr>
            <w:tcW w:w="802" w:type="pct"/>
            <w:shd w:val="clear" w:color="auto" w:fill="auto"/>
            <w:noWrap w:val="0"/>
            <w:vAlign w:val="center"/>
          </w:tcPr>
          <w:p w14:paraId="3D841F5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环卫部门清运处理</w:t>
            </w:r>
          </w:p>
        </w:tc>
      </w:tr>
      <w:tr w14:paraId="201B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pct"/>
            <w:noWrap w:val="0"/>
            <w:vAlign w:val="center"/>
          </w:tcPr>
          <w:p w14:paraId="085F1FB0">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预处理池、沉淀池</w:t>
            </w:r>
          </w:p>
        </w:tc>
        <w:tc>
          <w:tcPr>
            <w:tcW w:w="903" w:type="pct"/>
            <w:noWrap w:val="0"/>
            <w:vAlign w:val="center"/>
          </w:tcPr>
          <w:p w14:paraId="274B8C66">
            <w:pPr>
              <w:pStyle w:val="24"/>
              <w:bidi w:val="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污泥及沉渣</w:t>
            </w:r>
          </w:p>
        </w:tc>
        <w:tc>
          <w:tcPr>
            <w:tcW w:w="481" w:type="pct"/>
            <w:vMerge w:val="continue"/>
            <w:noWrap w:val="0"/>
            <w:vAlign w:val="center"/>
          </w:tcPr>
          <w:p w14:paraId="20411953">
            <w:pPr>
              <w:pStyle w:val="24"/>
              <w:bidi w:val="0"/>
              <w:rPr>
                <w:rFonts w:hint="eastAsia" w:ascii="Times New Roman" w:hAnsi="Times New Roman" w:eastAsia="宋体" w:cs="Courier New"/>
                <w:b w:val="0"/>
                <w:bCs w:val="0"/>
                <w:color w:val="auto"/>
                <w:sz w:val="21"/>
                <w:szCs w:val="21"/>
                <w:highlight w:val="none"/>
                <w:lang w:val="en-US" w:eastAsia="zh-CN"/>
              </w:rPr>
            </w:pPr>
          </w:p>
        </w:tc>
        <w:tc>
          <w:tcPr>
            <w:tcW w:w="539" w:type="pct"/>
            <w:shd w:val="clear" w:color="auto" w:fill="auto"/>
            <w:noWrap w:val="0"/>
            <w:vAlign w:val="center"/>
          </w:tcPr>
          <w:p w14:paraId="5548C0A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产污系数法</w:t>
            </w:r>
          </w:p>
        </w:tc>
        <w:tc>
          <w:tcPr>
            <w:tcW w:w="508" w:type="pct"/>
            <w:shd w:val="clear" w:color="auto" w:fill="auto"/>
            <w:noWrap w:val="0"/>
            <w:vAlign w:val="center"/>
          </w:tcPr>
          <w:p w14:paraId="2A452DE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0.1</w:t>
            </w:r>
          </w:p>
        </w:tc>
        <w:tc>
          <w:tcPr>
            <w:tcW w:w="602" w:type="pct"/>
            <w:shd w:val="clear" w:color="auto" w:fill="auto"/>
            <w:noWrap w:val="0"/>
            <w:vAlign w:val="center"/>
          </w:tcPr>
          <w:p w14:paraId="332ABD3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委托处置</w:t>
            </w:r>
          </w:p>
        </w:tc>
        <w:tc>
          <w:tcPr>
            <w:tcW w:w="496" w:type="pct"/>
            <w:shd w:val="clear" w:color="auto" w:fill="auto"/>
            <w:noWrap w:val="0"/>
            <w:vAlign w:val="center"/>
          </w:tcPr>
          <w:p w14:paraId="6C4B4B5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0.1</w:t>
            </w:r>
          </w:p>
        </w:tc>
        <w:tc>
          <w:tcPr>
            <w:tcW w:w="802" w:type="pct"/>
            <w:shd w:val="clear" w:color="auto" w:fill="auto"/>
            <w:noWrap w:val="0"/>
            <w:vAlign w:val="center"/>
          </w:tcPr>
          <w:p w14:paraId="2E7B3BA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环卫部门清掏处理</w:t>
            </w:r>
          </w:p>
        </w:tc>
      </w:tr>
    </w:tbl>
    <w:p w14:paraId="1D19EAC9">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2、危险废物</w:t>
      </w:r>
    </w:p>
    <w:p w14:paraId="3CD58639">
      <w:pPr>
        <w:bidi w:val="0"/>
        <w:ind w:left="0" w:leftChars="0" w:firstLine="482" w:firstLineChars="200"/>
        <w:rPr>
          <w:rFonts w:hint="eastAsia" w:ascii="Times New Roman" w:hAnsi="Times New Roman" w:cs="Times New Roman"/>
          <w:b/>
          <w:bCs/>
          <w:color w:val="auto"/>
          <w:highlight w:val="none"/>
          <w:lang w:eastAsia="zh-CN"/>
        </w:rPr>
      </w:pPr>
      <w:r>
        <w:rPr>
          <w:rFonts w:hint="eastAsia" w:ascii="Times New Roman" w:hAnsi="Times New Roman" w:cs="Times New Roman"/>
          <w:b/>
          <w:bCs/>
          <w:color w:val="auto"/>
          <w:highlight w:val="none"/>
          <w:lang w:eastAsia="zh-CN"/>
        </w:rPr>
        <w:t>①产生情况</w:t>
      </w:r>
    </w:p>
    <w:p w14:paraId="171DFE43">
      <w:pPr>
        <w:bidi w:val="0"/>
        <w:ind w:left="0" w:leftChars="0" w:firstLine="482" w:firstLineChars="200"/>
        <w:rPr>
          <w:rFonts w:hint="eastAsia"/>
          <w:color w:val="auto"/>
          <w:lang w:val="en-US" w:eastAsia="zh-CN"/>
        </w:rPr>
      </w:pPr>
      <w:r>
        <w:rPr>
          <w:rFonts w:hint="eastAsia"/>
          <w:b/>
          <w:bCs/>
          <w:color w:val="auto"/>
          <w:lang w:val="en-US" w:eastAsia="zh-CN"/>
        </w:rPr>
        <w:t>沾染化学品的废包装材料：</w:t>
      </w:r>
      <w:r>
        <w:rPr>
          <w:rFonts w:hint="eastAsia"/>
          <w:color w:val="auto"/>
          <w:lang w:val="en-US" w:eastAsia="zh-CN"/>
        </w:rPr>
        <w:t>产生于原料使用过程</w:t>
      </w:r>
      <w:r>
        <w:rPr>
          <w:rFonts w:hint="eastAsia"/>
          <w:color w:val="auto"/>
        </w:rPr>
        <w:t>，产生量</w:t>
      </w:r>
      <w:r>
        <w:rPr>
          <w:rFonts w:hint="eastAsia"/>
          <w:color w:val="auto"/>
          <w:lang w:val="en-US" w:eastAsia="zh-CN"/>
        </w:rPr>
        <w:t>为5t/a</w:t>
      </w:r>
      <w:r>
        <w:rPr>
          <w:rFonts w:hint="eastAsia"/>
          <w:color w:val="auto"/>
          <w:lang w:eastAsia="zh-CN"/>
        </w:rPr>
        <w:t>，</w:t>
      </w:r>
      <w:r>
        <w:rPr>
          <w:rFonts w:hint="eastAsia"/>
          <w:color w:val="auto"/>
          <w:lang w:val="en-US" w:eastAsia="zh-CN"/>
        </w:rPr>
        <w:t>属于《国家危险废物名录（2025年版）》</w:t>
      </w:r>
      <w:r>
        <w:rPr>
          <w:color w:val="auto"/>
        </w:rPr>
        <w:t>中</w:t>
      </w:r>
      <w:r>
        <w:rPr>
          <w:rFonts w:hint="eastAsia"/>
          <w:color w:val="auto"/>
        </w:rPr>
        <w:t>“</w:t>
      </w:r>
      <w:r>
        <w:rPr>
          <w:color w:val="auto"/>
        </w:rPr>
        <w:t xml:space="preserve">HW49 </w:t>
      </w:r>
      <w:r>
        <w:rPr>
          <w:rFonts w:hint="eastAsia"/>
          <w:color w:val="auto"/>
        </w:rPr>
        <w:t>其他废物</w:t>
      </w:r>
      <w:r>
        <w:rPr>
          <w:color w:val="auto"/>
        </w:rPr>
        <w:t>/</w:t>
      </w:r>
      <w:r>
        <w:rPr>
          <w:rFonts w:hint="eastAsia"/>
          <w:color w:val="auto"/>
        </w:rPr>
        <w:t>非特定行业</w:t>
      </w:r>
      <w:r>
        <w:rPr>
          <w:color w:val="auto"/>
        </w:rPr>
        <w:t>/900-041-49</w:t>
      </w:r>
      <w:r>
        <w:rPr>
          <w:rFonts w:hint="eastAsia"/>
          <w:color w:val="auto"/>
        </w:rPr>
        <w:t>含有或沾染毒性、感染性危险废物的</w:t>
      </w:r>
      <w:r>
        <w:rPr>
          <w:rFonts w:hint="eastAsia"/>
          <w:color w:val="auto"/>
          <w:lang w:val="en-US" w:eastAsia="zh-CN"/>
        </w:rPr>
        <w:t>废弃</w:t>
      </w:r>
      <w:r>
        <w:rPr>
          <w:rFonts w:hint="eastAsia"/>
          <w:color w:val="auto"/>
        </w:rPr>
        <w:t>包装物、容器、过滤吸附介质”</w:t>
      </w:r>
      <w:r>
        <w:rPr>
          <w:color w:val="auto"/>
        </w:rPr>
        <w:t>。</w:t>
      </w:r>
    </w:p>
    <w:p w14:paraId="48BA91A3">
      <w:pPr>
        <w:bidi w:val="0"/>
        <w:ind w:left="0" w:leftChars="0" w:firstLine="482" w:firstLineChars="200"/>
        <w:rPr>
          <w:rFonts w:hint="eastAsia"/>
          <w:color w:val="auto"/>
        </w:rPr>
      </w:pPr>
      <w:r>
        <w:rPr>
          <w:rFonts w:hint="eastAsia"/>
          <w:b/>
          <w:bCs/>
          <w:color w:val="auto"/>
          <w:lang w:val="en-US" w:eastAsia="zh-CN"/>
        </w:rPr>
        <w:t>质检废液、剩余检验样品、涉及磷及重金属器皿清洗废水：</w:t>
      </w:r>
      <w:r>
        <w:rPr>
          <w:rFonts w:hint="eastAsia"/>
          <w:color w:val="auto"/>
        </w:rPr>
        <w:t>产生于</w:t>
      </w:r>
      <w:r>
        <w:rPr>
          <w:rFonts w:hint="eastAsia"/>
          <w:color w:val="auto"/>
          <w:lang w:val="en-US" w:eastAsia="zh-CN"/>
        </w:rPr>
        <w:t>质检</w:t>
      </w:r>
      <w:r>
        <w:rPr>
          <w:rFonts w:hint="eastAsia"/>
          <w:color w:val="auto"/>
        </w:rPr>
        <w:t>过程，</w:t>
      </w:r>
      <w:r>
        <w:rPr>
          <w:rFonts w:hint="eastAsia"/>
          <w:color w:val="auto"/>
          <w:lang w:val="en-US" w:eastAsia="zh-CN"/>
        </w:rPr>
        <w:t>产生量</w:t>
      </w:r>
      <w:r>
        <w:rPr>
          <w:rFonts w:hint="eastAsia"/>
          <w:color w:val="auto"/>
        </w:rPr>
        <w:t>为</w:t>
      </w:r>
      <w:r>
        <w:rPr>
          <w:rFonts w:hint="eastAsia"/>
          <w:color w:val="auto"/>
          <w:lang w:val="en-US" w:eastAsia="zh-CN"/>
        </w:rPr>
        <w:t>13t/a</w:t>
      </w:r>
      <w:r>
        <w:rPr>
          <w:rFonts w:hint="eastAsia"/>
          <w:color w:val="auto"/>
          <w:lang w:eastAsia="zh-CN"/>
        </w:rPr>
        <w:t>，</w:t>
      </w:r>
      <w:r>
        <w:rPr>
          <w:rFonts w:hint="eastAsia"/>
          <w:color w:val="auto"/>
        </w:rPr>
        <w:t>属于</w:t>
      </w:r>
      <w:r>
        <w:rPr>
          <w:color w:val="auto"/>
        </w:rPr>
        <w:t>《国家危险废物名录（202</w:t>
      </w:r>
      <w:r>
        <w:rPr>
          <w:rFonts w:hint="eastAsia"/>
          <w:color w:val="auto"/>
          <w:lang w:val="en-US" w:eastAsia="zh-CN"/>
        </w:rPr>
        <w:t>5</w:t>
      </w:r>
      <w:r>
        <w:rPr>
          <w:color w:val="auto"/>
        </w:rPr>
        <w:t>版）》中</w:t>
      </w:r>
      <w:r>
        <w:rPr>
          <w:rFonts w:hint="eastAsia"/>
          <w:color w:val="auto"/>
        </w:rPr>
        <w:t>“HW</w:t>
      </w:r>
      <w:r>
        <w:rPr>
          <w:color w:val="auto"/>
        </w:rPr>
        <w:t xml:space="preserve">49 </w:t>
      </w:r>
      <w:r>
        <w:rPr>
          <w:rFonts w:hint="eastAsia"/>
          <w:color w:val="auto"/>
        </w:rPr>
        <w:t>其他废物/非特定行业/</w:t>
      </w:r>
      <w:r>
        <w:rPr>
          <w:color w:val="auto"/>
        </w:rPr>
        <w:t xml:space="preserve">900-047-49 </w:t>
      </w:r>
      <w:r>
        <w:rPr>
          <w:rFonts w:hint="eastAsia"/>
          <w:color w:val="auto"/>
        </w:rPr>
        <w:t>生产、研究、开发、教学、环境检测（监测）活动中，化学和生物实验室产生的含氰、氟、重金属无机废液及无机废液处理产生的残渣、残液，含矿物油、甲醛有机废液，废酸、废碱，具有危险特性的残留样品，以及沾染上述物质的一次性实验用品、包装物、过滤吸附介质等”。</w:t>
      </w:r>
    </w:p>
    <w:p w14:paraId="4D26F24D">
      <w:pPr>
        <w:bidi w:val="0"/>
        <w:ind w:left="0" w:leftChars="0" w:firstLine="482" w:firstLineChars="200"/>
        <w:rPr>
          <w:color w:val="auto"/>
        </w:rPr>
      </w:pPr>
      <w:r>
        <w:rPr>
          <w:rFonts w:hint="eastAsia"/>
          <w:b/>
          <w:bCs/>
          <w:color w:val="auto"/>
          <w:lang w:val="en-US" w:eastAsia="zh-CN"/>
        </w:rPr>
        <w:t>喷淋废渣：</w:t>
      </w:r>
      <w:r>
        <w:rPr>
          <w:rFonts w:hint="eastAsia"/>
          <w:color w:val="auto"/>
          <w:lang w:val="en-US" w:eastAsia="zh-CN"/>
        </w:rPr>
        <w:t>产生量</w:t>
      </w:r>
      <w:r>
        <w:rPr>
          <w:rFonts w:hint="eastAsia"/>
          <w:color w:val="auto"/>
        </w:rPr>
        <w:t>为</w:t>
      </w:r>
      <w:r>
        <w:rPr>
          <w:rFonts w:hint="eastAsia"/>
          <w:color w:val="auto"/>
          <w:lang w:val="en-US" w:eastAsia="zh-CN"/>
        </w:rPr>
        <w:t>0.0216t/a</w:t>
      </w:r>
      <w:r>
        <w:rPr>
          <w:rFonts w:hint="eastAsia"/>
          <w:color w:val="auto"/>
          <w:lang w:eastAsia="zh-CN"/>
        </w:rPr>
        <w:t>，</w:t>
      </w:r>
      <w:r>
        <w:rPr>
          <w:rFonts w:hint="eastAsia"/>
          <w:color w:val="auto"/>
          <w:lang w:val="en-US" w:eastAsia="zh-CN"/>
        </w:rPr>
        <w:t>属于</w:t>
      </w:r>
      <w:r>
        <w:rPr>
          <w:color w:val="auto"/>
        </w:rPr>
        <w:t>《国家危险废物名录（202</w:t>
      </w:r>
      <w:r>
        <w:rPr>
          <w:rFonts w:hint="eastAsia"/>
          <w:color w:val="auto"/>
          <w:lang w:val="en-US" w:eastAsia="zh-CN"/>
        </w:rPr>
        <w:t>5</w:t>
      </w:r>
      <w:r>
        <w:rPr>
          <w:color w:val="auto"/>
        </w:rPr>
        <w:t>版）》中</w:t>
      </w:r>
      <w:r>
        <w:rPr>
          <w:rFonts w:hint="eastAsia"/>
          <w:color w:val="auto"/>
        </w:rPr>
        <w:t>“</w:t>
      </w:r>
      <w:r>
        <w:rPr>
          <w:color w:val="auto"/>
        </w:rPr>
        <w:t xml:space="preserve">HW49 </w:t>
      </w:r>
      <w:r>
        <w:rPr>
          <w:rFonts w:hint="eastAsia"/>
          <w:color w:val="auto"/>
        </w:rPr>
        <w:t>其他废物</w:t>
      </w:r>
      <w:r>
        <w:rPr>
          <w:color w:val="auto"/>
        </w:rPr>
        <w:t>/</w:t>
      </w:r>
      <w:r>
        <w:rPr>
          <w:rFonts w:hint="eastAsia"/>
          <w:color w:val="auto"/>
        </w:rPr>
        <w:t>非特定行业</w:t>
      </w:r>
      <w:r>
        <w:rPr>
          <w:color w:val="auto"/>
        </w:rPr>
        <w:t>/900-041-49</w:t>
      </w:r>
      <w:r>
        <w:rPr>
          <w:rFonts w:hint="eastAsia"/>
          <w:color w:val="auto"/>
        </w:rPr>
        <w:t>含有或沾染毒性、感染性危险废物的</w:t>
      </w:r>
      <w:r>
        <w:rPr>
          <w:rFonts w:hint="eastAsia"/>
          <w:color w:val="auto"/>
          <w:lang w:val="en-US" w:eastAsia="zh-CN"/>
        </w:rPr>
        <w:t>废弃</w:t>
      </w:r>
      <w:r>
        <w:rPr>
          <w:rFonts w:hint="eastAsia"/>
          <w:color w:val="auto"/>
        </w:rPr>
        <w:t>包装物、容器、过滤吸附介质”</w:t>
      </w:r>
      <w:r>
        <w:rPr>
          <w:color w:val="auto"/>
        </w:rPr>
        <w:t>。</w:t>
      </w:r>
    </w:p>
    <w:p w14:paraId="50BB6AAE">
      <w:pPr>
        <w:bidi w:val="0"/>
        <w:ind w:left="0" w:leftChars="0" w:firstLine="482" w:firstLineChars="200"/>
        <w:rPr>
          <w:rFonts w:hint="eastAsia"/>
          <w:color w:val="auto"/>
          <w:lang w:val="en-US" w:eastAsia="zh-CN"/>
        </w:rPr>
      </w:pPr>
      <w:r>
        <w:rPr>
          <w:rFonts w:hint="eastAsia" w:cs="Times New Roman"/>
          <w:b/>
          <w:bCs/>
          <w:color w:val="auto"/>
          <w:sz w:val="24"/>
          <w:szCs w:val="24"/>
          <w:highlight w:val="none"/>
          <w:lang w:val="en-US" w:eastAsia="zh-CN"/>
        </w:rPr>
        <w:t>废过滤棉：</w:t>
      </w:r>
      <w:r>
        <w:rPr>
          <w:rFonts w:hint="eastAsia"/>
          <w:color w:val="auto"/>
          <w:lang w:val="en-US" w:eastAsia="zh-CN"/>
        </w:rPr>
        <w:t>产生于废气处理系统，产生量为0.1t/a，属于《国家危险废物名录（2025年版）》中“HW49 其他废物/非特定行业/900-041-49含有或沾染毒性、感染性危险废物的废弃包装物、容器、过滤吸附介质”。</w:t>
      </w:r>
    </w:p>
    <w:p w14:paraId="11A553E2">
      <w:pPr>
        <w:bidi w:val="0"/>
        <w:ind w:left="0" w:leftChars="0" w:firstLine="482" w:firstLineChars="200"/>
        <w:rPr>
          <w:rFonts w:hint="default"/>
          <w:color w:val="auto"/>
          <w:lang w:val="en-US" w:eastAsia="zh-CN"/>
        </w:rPr>
      </w:pPr>
      <w:r>
        <w:rPr>
          <w:rFonts w:hint="eastAsia"/>
          <w:b/>
          <w:bCs/>
          <w:color w:val="auto"/>
          <w:lang w:val="en-US" w:eastAsia="zh-CN"/>
        </w:rPr>
        <w:t>废活性炭：</w:t>
      </w:r>
      <w:r>
        <w:rPr>
          <w:rFonts w:hint="eastAsia"/>
          <w:color w:val="auto"/>
          <w:lang w:val="en-US" w:eastAsia="zh-CN"/>
        </w:rPr>
        <w:t>产生于废气处理系统，</w:t>
      </w:r>
      <w:r>
        <w:rPr>
          <w:rFonts w:hint="eastAsia"/>
          <w:color w:val="auto"/>
        </w:rPr>
        <w:t>产生量为</w:t>
      </w:r>
      <w:r>
        <w:rPr>
          <w:rFonts w:hint="eastAsia"/>
          <w:color w:val="auto"/>
          <w:lang w:val="en-US" w:eastAsia="zh-CN"/>
        </w:rPr>
        <w:t>14</w:t>
      </w:r>
      <w:r>
        <w:rPr>
          <w:rFonts w:hint="eastAsia"/>
          <w:color w:val="auto"/>
        </w:rPr>
        <w:t>t/a</w:t>
      </w:r>
      <w:r>
        <w:rPr>
          <w:rFonts w:hint="eastAsia"/>
          <w:color w:val="auto"/>
          <w:lang w:eastAsia="zh-CN"/>
        </w:rPr>
        <w:t>，</w:t>
      </w:r>
      <w:r>
        <w:rPr>
          <w:rFonts w:hint="eastAsia"/>
          <w:color w:val="auto"/>
        </w:rPr>
        <w:t>属于</w:t>
      </w:r>
      <w:r>
        <w:rPr>
          <w:color w:val="auto"/>
        </w:rPr>
        <w:t>《国家危险废物名录（202</w:t>
      </w:r>
      <w:r>
        <w:rPr>
          <w:rFonts w:hint="eastAsia"/>
          <w:color w:val="auto"/>
          <w:lang w:val="en-US" w:eastAsia="zh-CN"/>
        </w:rPr>
        <w:t>5</w:t>
      </w:r>
      <w:r>
        <w:rPr>
          <w:color w:val="auto"/>
        </w:rPr>
        <w:t>版）》中</w:t>
      </w:r>
      <w:r>
        <w:rPr>
          <w:rFonts w:hint="eastAsia"/>
          <w:color w:val="auto"/>
        </w:rPr>
        <w:t>“</w:t>
      </w:r>
      <w:r>
        <w:rPr>
          <w:color w:val="auto"/>
        </w:rPr>
        <w:t xml:space="preserve">HW49 </w:t>
      </w:r>
      <w:r>
        <w:rPr>
          <w:rFonts w:hint="eastAsia"/>
          <w:color w:val="auto"/>
        </w:rPr>
        <w:t>其他废物</w:t>
      </w:r>
      <w:r>
        <w:rPr>
          <w:color w:val="auto"/>
        </w:rPr>
        <w:t>/</w:t>
      </w:r>
      <w:r>
        <w:rPr>
          <w:rFonts w:hint="eastAsia"/>
          <w:color w:val="auto"/>
        </w:rPr>
        <w:t>非特定行业</w:t>
      </w:r>
      <w:r>
        <w:rPr>
          <w:color w:val="auto"/>
        </w:rPr>
        <w:t>/900-0</w:t>
      </w:r>
      <w:r>
        <w:rPr>
          <w:rFonts w:hint="eastAsia"/>
          <w:color w:val="auto"/>
          <w:lang w:val="en-US" w:eastAsia="zh-CN"/>
        </w:rPr>
        <w:t>39</w:t>
      </w:r>
      <w:r>
        <w:rPr>
          <w:color w:val="auto"/>
        </w:rPr>
        <w:t>-49</w:t>
      </w:r>
      <w:r>
        <w:rPr>
          <w:rFonts w:hint="eastAsia"/>
          <w:color w:val="auto"/>
          <w:lang w:val="en-US" w:eastAsia="zh-CN"/>
        </w:rPr>
        <w:t xml:space="preserve"> 烟气、VOCs 治理过程（不包括餐饮行业油烟治理过程）产生的废活性炭，化学原料和化学制品脱色（不包括有机合成食品添加剂脱色）、除杂、净化过程产生的废活性炭</w:t>
      </w:r>
      <w:r>
        <w:rPr>
          <w:rFonts w:hint="eastAsia"/>
          <w:color w:val="auto"/>
        </w:rPr>
        <w:t>”。</w:t>
      </w:r>
    </w:p>
    <w:p w14:paraId="165B42D4">
      <w:pPr>
        <w:bidi w:val="0"/>
        <w:ind w:left="0" w:leftChars="0" w:firstLine="482" w:firstLineChars="200"/>
        <w:rPr>
          <w:rFonts w:hint="eastAsia"/>
          <w:color w:val="auto"/>
        </w:rPr>
      </w:pPr>
      <w:r>
        <w:rPr>
          <w:rFonts w:hint="eastAsia"/>
          <w:b/>
          <w:bCs/>
          <w:color w:val="auto"/>
          <w:lang w:val="en-US" w:eastAsia="zh-CN"/>
        </w:rPr>
        <w:t>废润滑油：</w:t>
      </w:r>
      <w:r>
        <w:rPr>
          <w:rFonts w:hint="eastAsia"/>
          <w:color w:val="auto"/>
          <w:lang w:val="en-US" w:eastAsia="zh-CN"/>
        </w:rPr>
        <w:t>产生于设备维护保养过程，产生量</w:t>
      </w:r>
      <w:r>
        <w:rPr>
          <w:rFonts w:hint="eastAsia"/>
          <w:color w:val="auto"/>
        </w:rPr>
        <w:t>为</w:t>
      </w:r>
      <w:r>
        <w:rPr>
          <w:rFonts w:hint="eastAsia"/>
          <w:color w:val="auto"/>
          <w:lang w:val="en-US" w:eastAsia="zh-CN"/>
        </w:rPr>
        <w:t>0.1t/a</w:t>
      </w:r>
      <w:r>
        <w:rPr>
          <w:rFonts w:hint="eastAsia"/>
          <w:color w:val="auto"/>
          <w:lang w:eastAsia="zh-CN"/>
        </w:rPr>
        <w:t>，</w:t>
      </w:r>
      <w:r>
        <w:rPr>
          <w:rFonts w:hint="eastAsia"/>
          <w:color w:val="auto"/>
          <w:lang w:val="en-US" w:eastAsia="zh-CN"/>
        </w:rPr>
        <w:t>属于</w:t>
      </w:r>
      <w:r>
        <w:rPr>
          <w:color w:val="auto"/>
        </w:rPr>
        <w:t>《国家危险废物名录（202</w:t>
      </w:r>
      <w:r>
        <w:rPr>
          <w:rFonts w:hint="eastAsia"/>
          <w:color w:val="auto"/>
          <w:lang w:val="en-US" w:eastAsia="zh-CN"/>
        </w:rPr>
        <w:t>5</w:t>
      </w:r>
      <w:r>
        <w:rPr>
          <w:color w:val="auto"/>
        </w:rPr>
        <w:t>版）》中</w:t>
      </w:r>
      <w:r>
        <w:rPr>
          <w:rFonts w:hint="eastAsia"/>
          <w:color w:val="auto"/>
        </w:rPr>
        <w:t>“</w:t>
      </w:r>
      <w:r>
        <w:rPr>
          <w:color w:val="auto"/>
        </w:rPr>
        <w:t>HW</w:t>
      </w:r>
      <w:r>
        <w:rPr>
          <w:rFonts w:hint="eastAsia"/>
          <w:color w:val="auto"/>
          <w:lang w:val="en-US" w:eastAsia="zh-CN"/>
        </w:rPr>
        <w:t>08</w:t>
      </w:r>
      <w:r>
        <w:rPr>
          <w:color w:val="auto"/>
        </w:rPr>
        <w:t xml:space="preserve"> </w:t>
      </w:r>
      <w:r>
        <w:rPr>
          <w:rFonts w:hint="eastAsia"/>
          <w:color w:val="auto"/>
          <w:lang w:val="en-US" w:eastAsia="zh-CN"/>
        </w:rPr>
        <w:t>废矿物油与含矿物油废物/</w:t>
      </w:r>
      <w:r>
        <w:rPr>
          <w:rFonts w:hint="eastAsia"/>
          <w:color w:val="auto"/>
        </w:rPr>
        <w:t>非特定行业</w:t>
      </w:r>
      <w:r>
        <w:rPr>
          <w:color w:val="auto"/>
        </w:rPr>
        <w:t>/900-</w:t>
      </w:r>
      <w:r>
        <w:rPr>
          <w:rFonts w:hint="eastAsia"/>
          <w:color w:val="auto"/>
          <w:lang w:val="en-US" w:eastAsia="zh-CN"/>
        </w:rPr>
        <w:t>218</w:t>
      </w:r>
      <w:r>
        <w:rPr>
          <w:color w:val="auto"/>
        </w:rPr>
        <w:t>-</w:t>
      </w:r>
      <w:r>
        <w:rPr>
          <w:rFonts w:hint="eastAsia"/>
          <w:color w:val="auto"/>
          <w:lang w:val="en-US" w:eastAsia="zh-CN"/>
        </w:rPr>
        <w:t>08使用工业齿轮油进行机械设备润滑过程中产生的废润滑油</w:t>
      </w:r>
      <w:r>
        <w:rPr>
          <w:rFonts w:hint="eastAsia"/>
          <w:color w:val="auto"/>
        </w:rPr>
        <w:t>”。</w:t>
      </w:r>
    </w:p>
    <w:p w14:paraId="0160C0CC">
      <w:pPr>
        <w:bidi w:val="0"/>
        <w:ind w:left="0" w:leftChars="0" w:firstLine="482" w:firstLineChars="200"/>
        <w:rPr>
          <w:rFonts w:hint="eastAsia"/>
          <w:color w:val="auto"/>
          <w:lang w:val="en-US" w:eastAsia="zh-CN"/>
        </w:rPr>
      </w:pPr>
      <w:r>
        <w:rPr>
          <w:rFonts w:hint="eastAsia"/>
          <w:b/>
          <w:bCs/>
          <w:color w:val="auto"/>
          <w:lang w:val="en-US" w:eastAsia="zh-CN"/>
        </w:rPr>
        <w:t>废油桶：</w:t>
      </w:r>
      <w:r>
        <w:rPr>
          <w:rFonts w:hint="eastAsia"/>
          <w:color w:val="auto"/>
          <w:lang w:val="en-US" w:eastAsia="zh-CN"/>
        </w:rPr>
        <w:t>产生于设备维护保养过程，产生量</w:t>
      </w:r>
      <w:r>
        <w:rPr>
          <w:rFonts w:hint="eastAsia"/>
          <w:color w:val="auto"/>
        </w:rPr>
        <w:t>为</w:t>
      </w:r>
      <w:r>
        <w:rPr>
          <w:rFonts w:hint="eastAsia"/>
          <w:color w:val="auto"/>
          <w:lang w:val="en-US" w:eastAsia="zh-CN"/>
        </w:rPr>
        <w:t>0.01t/a</w:t>
      </w:r>
      <w:r>
        <w:rPr>
          <w:rFonts w:hint="eastAsia"/>
          <w:color w:val="auto"/>
          <w:lang w:eastAsia="zh-CN"/>
        </w:rPr>
        <w:t>，</w:t>
      </w:r>
      <w:r>
        <w:rPr>
          <w:rFonts w:hint="eastAsia"/>
          <w:color w:val="auto"/>
          <w:lang w:val="en-US" w:eastAsia="zh-CN"/>
        </w:rPr>
        <w:t>属于</w:t>
      </w:r>
      <w:r>
        <w:rPr>
          <w:color w:val="auto"/>
        </w:rPr>
        <w:t>《国家危险废物名录（202</w:t>
      </w:r>
      <w:r>
        <w:rPr>
          <w:rFonts w:hint="eastAsia"/>
          <w:color w:val="auto"/>
          <w:lang w:val="en-US" w:eastAsia="zh-CN"/>
        </w:rPr>
        <w:t>5</w:t>
      </w:r>
      <w:r>
        <w:rPr>
          <w:color w:val="auto"/>
        </w:rPr>
        <w:t>版）》中</w:t>
      </w:r>
      <w:r>
        <w:rPr>
          <w:rFonts w:hint="eastAsia"/>
          <w:color w:val="auto"/>
        </w:rPr>
        <w:t>“</w:t>
      </w:r>
      <w:r>
        <w:rPr>
          <w:color w:val="auto"/>
        </w:rPr>
        <w:t>HW</w:t>
      </w:r>
      <w:r>
        <w:rPr>
          <w:rFonts w:hint="eastAsia"/>
          <w:color w:val="auto"/>
          <w:lang w:val="en-US" w:eastAsia="zh-CN"/>
        </w:rPr>
        <w:t>08</w:t>
      </w:r>
      <w:r>
        <w:rPr>
          <w:color w:val="auto"/>
        </w:rPr>
        <w:t xml:space="preserve"> </w:t>
      </w:r>
      <w:r>
        <w:rPr>
          <w:rFonts w:hint="eastAsia"/>
          <w:color w:val="auto"/>
          <w:lang w:val="en-US" w:eastAsia="zh-CN"/>
        </w:rPr>
        <w:t>废矿物油与含矿物油废物/</w:t>
      </w:r>
      <w:r>
        <w:rPr>
          <w:rFonts w:hint="eastAsia"/>
          <w:color w:val="auto"/>
        </w:rPr>
        <w:t>非特定行业</w:t>
      </w:r>
      <w:r>
        <w:rPr>
          <w:color w:val="auto"/>
        </w:rPr>
        <w:t>/900-</w:t>
      </w:r>
      <w:r>
        <w:rPr>
          <w:rFonts w:hint="eastAsia"/>
          <w:color w:val="auto"/>
          <w:lang w:val="en-US" w:eastAsia="zh-CN"/>
        </w:rPr>
        <w:t>249</w:t>
      </w:r>
      <w:r>
        <w:rPr>
          <w:color w:val="auto"/>
        </w:rPr>
        <w:t>-</w:t>
      </w:r>
      <w:r>
        <w:rPr>
          <w:rFonts w:hint="eastAsia"/>
          <w:color w:val="auto"/>
          <w:lang w:val="en-US" w:eastAsia="zh-CN"/>
        </w:rPr>
        <w:t>08其他生产、销售、使用过程中产生的废矿物油及沾染矿物油的废弃包装物</w:t>
      </w:r>
      <w:r>
        <w:rPr>
          <w:rFonts w:hint="eastAsia"/>
          <w:color w:val="auto"/>
        </w:rPr>
        <w:t>”。</w:t>
      </w:r>
    </w:p>
    <w:p w14:paraId="6C0BDC4D">
      <w:pPr>
        <w:bidi w:val="0"/>
        <w:ind w:left="0" w:leftChars="0" w:firstLine="482" w:firstLineChars="200"/>
        <w:rPr>
          <w:rFonts w:hint="eastAsia"/>
          <w:color w:val="auto"/>
        </w:rPr>
      </w:pPr>
      <w:r>
        <w:rPr>
          <w:rFonts w:hint="eastAsia"/>
          <w:b/>
          <w:bCs/>
          <w:color w:val="auto"/>
          <w:lang w:val="en-US" w:eastAsia="zh-CN"/>
        </w:rPr>
        <w:t>含油废棉纱手套：</w:t>
      </w:r>
      <w:r>
        <w:rPr>
          <w:rFonts w:hint="eastAsia"/>
          <w:color w:val="auto"/>
          <w:lang w:val="en-US" w:eastAsia="zh-CN"/>
        </w:rPr>
        <w:t>产生于设备维护保养过程，产生量</w:t>
      </w:r>
      <w:r>
        <w:rPr>
          <w:rFonts w:hint="eastAsia"/>
          <w:color w:val="auto"/>
        </w:rPr>
        <w:t>为</w:t>
      </w:r>
      <w:r>
        <w:rPr>
          <w:rFonts w:hint="eastAsia"/>
          <w:color w:val="auto"/>
          <w:lang w:val="en-US" w:eastAsia="zh-CN"/>
        </w:rPr>
        <w:t>0.01t/a</w:t>
      </w:r>
      <w:r>
        <w:rPr>
          <w:rFonts w:hint="eastAsia"/>
          <w:color w:val="auto"/>
          <w:lang w:eastAsia="zh-CN"/>
        </w:rPr>
        <w:t>，</w:t>
      </w:r>
      <w:r>
        <w:rPr>
          <w:rFonts w:hint="eastAsia"/>
          <w:color w:val="auto"/>
          <w:lang w:val="en-US" w:eastAsia="zh-CN"/>
        </w:rPr>
        <w:t>属于</w:t>
      </w:r>
      <w:r>
        <w:rPr>
          <w:color w:val="auto"/>
        </w:rPr>
        <w:t>《国家危险废物名录（202</w:t>
      </w:r>
      <w:r>
        <w:rPr>
          <w:rFonts w:hint="eastAsia"/>
          <w:color w:val="auto"/>
          <w:lang w:val="en-US" w:eastAsia="zh-CN"/>
        </w:rPr>
        <w:t>5</w:t>
      </w:r>
      <w:r>
        <w:rPr>
          <w:color w:val="auto"/>
        </w:rPr>
        <w:t>版）》中</w:t>
      </w:r>
      <w:r>
        <w:rPr>
          <w:rFonts w:hint="eastAsia"/>
          <w:color w:val="auto"/>
        </w:rPr>
        <w:t>“</w:t>
      </w:r>
      <w:r>
        <w:rPr>
          <w:color w:val="auto"/>
        </w:rPr>
        <w:t xml:space="preserve">HW49 </w:t>
      </w:r>
      <w:r>
        <w:rPr>
          <w:rFonts w:hint="eastAsia"/>
          <w:color w:val="auto"/>
        </w:rPr>
        <w:t>其他废物</w:t>
      </w:r>
      <w:r>
        <w:rPr>
          <w:color w:val="auto"/>
        </w:rPr>
        <w:t>/</w:t>
      </w:r>
      <w:r>
        <w:rPr>
          <w:rFonts w:hint="eastAsia"/>
          <w:color w:val="auto"/>
        </w:rPr>
        <w:t>非特定行业</w:t>
      </w:r>
      <w:r>
        <w:rPr>
          <w:color w:val="auto"/>
        </w:rPr>
        <w:t>/900-041-49</w:t>
      </w:r>
      <w:r>
        <w:rPr>
          <w:rFonts w:hint="eastAsia"/>
          <w:color w:val="auto"/>
        </w:rPr>
        <w:t>含有或沾染毒性、感染性危险废物的</w:t>
      </w:r>
      <w:r>
        <w:rPr>
          <w:rFonts w:hint="eastAsia"/>
          <w:color w:val="auto"/>
          <w:lang w:val="en-US" w:eastAsia="zh-CN"/>
        </w:rPr>
        <w:t>废弃</w:t>
      </w:r>
      <w:r>
        <w:rPr>
          <w:rFonts w:hint="eastAsia"/>
          <w:color w:val="auto"/>
        </w:rPr>
        <w:t>包装物、容器、过滤吸附介质”。</w:t>
      </w:r>
    </w:p>
    <w:p w14:paraId="0581AEAD">
      <w:pPr>
        <w:bidi w:val="0"/>
        <w:rPr>
          <w:b/>
          <w:bCs/>
          <w:color w:val="auto"/>
        </w:rPr>
      </w:pPr>
      <w:r>
        <w:rPr>
          <w:rFonts w:hint="eastAsia"/>
          <w:b/>
          <w:bCs/>
          <w:color w:val="auto"/>
        </w:rPr>
        <w:t>②</w:t>
      </w:r>
      <w:r>
        <w:rPr>
          <w:b/>
          <w:bCs/>
          <w:color w:val="auto"/>
        </w:rPr>
        <w:t>治理措施</w:t>
      </w:r>
    </w:p>
    <w:p w14:paraId="10E9EA88">
      <w:pPr>
        <w:bidi w:val="0"/>
        <w:ind w:left="0" w:leftChars="0" w:firstLine="480" w:firstLineChars="200"/>
        <w:rPr>
          <w:rFonts w:hint="eastAsia"/>
          <w:color w:val="auto"/>
        </w:rPr>
      </w:pPr>
      <w:r>
        <w:rPr>
          <w:rFonts w:hint="eastAsia"/>
          <w:color w:val="auto"/>
          <w:lang w:val="en-US" w:eastAsia="zh-CN"/>
        </w:rPr>
        <w:t>厂区设1个危废暂存间，建筑面积20m</w:t>
      </w:r>
      <w:r>
        <w:rPr>
          <w:rFonts w:hint="eastAsia"/>
          <w:color w:val="auto"/>
          <w:vertAlign w:val="superscript"/>
          <w:lang w:val="en-US" w:eastAsia="zh-CN"/>
        </w:rPr>
        <w:t>2</w:t>
      </w:r>
      <w:r>
        <w:rPr>
          <w:rFonts w:hint="eastAsia"/>
          <w:color w:val="auto"/>
          <w:lang w:val="en-US" w:eastAsia="zh-CN"/>
        </w:rPr>
        <w:t>，地面采取压实填土+膜下保护层（长丝无纺土工布）+混凝土垫层+1.5厚高密度聚乙烯（HDPE）膜+膜上保护层（长丝无纺土工布）+200厚砂石层+混凝土垫层+界面剂+40厚C25细石混凝土表层（混凝土抗渗等级不低于P8）进行重点防渗，满足渗透系数K≤10</w:t>
      </w:r>
      <w:r>
        <w:rPr>
          <w:rFonts w:hint="eastAsia"/>
          <w:color w:val="auto"/>
          <w:vertAlign w:val="superscript"/>
          <w:lang w:val="en-US" w:eastAsia="zh-CN"/>
        </w:rPr>
        <w:t>-10</w:t>
      </w:r>
      <w:r>
        <w:rPr>
          <w:rFonts w:hint="eastAsia"/>
          <w:color w:val="auto"/>
          <w:lang w:val="en-US" w:eastAsia="zh-CN"/>
        </w:rPr>
        <w:t>cm/s的防渗技术要求。</w:t>
      </w:r>
      <w:r>
        <w:rPr>
          <w:rFonts w:hint="eastAsia"/>
          <w:color w:val="auto"/>
        </w:rPr>
        <w:t>同时，</w:t>
      </w:r>
      <w:r>
        <w:rPr>
          <w:rFonts w:hint="eastAsia"/>
          <w:color w:val="auto"/>
          <w:lang w:val="en-US" w:eastAsia="zh-CN"/>
        </w:rPr>
        <w:t>危废暂存间</w:t>
      </w:r>
      <w:r>
        <w:rPr>
          <w:color w:val="auto"/>
        </w:rPr>
        <w:t>设置警示标识，</w:t>
      </w:r>
      <w:r>
        <w:rPr>
          <w:rFonts w:hint="eastAsia"/>
          <w:color w:val="auto"/>
          <w:lang w:val="en-US" w:eastAsia="zh-CN"/>
        </w:rPr>
        <w:t>进出侧设防渗斜坡，并设置地漏，室外设置</w:t>
      </w:r>
      <w:r>
        <w:rPr>
          <w:rFonts w:hint="eastAsia" w:ascii="Times New Roman" w:hAnsi="Times New Roman" w:eastAsia="宋体"/>
          <w:color w:val="auto"/>
          <w:highlight w:val="none"/>
          <w:lang w:val="en-US" w:eastAsia="zh-CN"/>
        </w:rPr>
        <w:t>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color w:val="auto"/>
          <w:lang w:val="en-US" w:eastAsia="zh-CN"/>
        </w:rPr>
        <w:t>，</w:t>
      </w:r>
      <w:r>
        <w:rPr>
          <w:color w:val="auto"/>
        </w:rPr>
        <w:t>落实</w:t>
      </w:r>
      <w:r>
        <w:rPr>
          <w:rFonts w:hint="eastAsia"/>
          <w:color w:val="auto"/>
        </w:rPr>
        <w:t>防风、防晒、防雨、防漏、防渗、防腐的“六防”措施。</w:t>
      </w:r>
      <w:r>
        <w:rPr>
          <w:rFonts w:hint="eastAsia"/>
          <w:color w:val="auto"/>
          <w:lang w:val="en-US" w:eastAsia="zh-CN"/>
        </w:rPr>
        <w:t>危险废物经</w:t>
      </w:r>
      <w:r>
        <w:rPr>
          <w:color w:val="auto"/>
        </w:rPr>
        <w:t>分类收集</w:t>
      </w:r>
      <w:r>
        <w:rPr>
          <w:rFonts w:hint="eastAsia"/>
          <w:color w:val="auto"/>
          <w:lang w:val="en-US" w:eastAsia="zh-CN"/>
        </w:rPr>
        <w:t>至危废暂存间</w:t>
      </w:r>
      <w:r>
        <w:rPr>
          <w:color w:val="auto"/>
        </w:rPr>
        <w:t>暂存，定期交由具资质单位处理，并签订危废处置协议。</w:t>
      </w:r>
    </w:p>
    <w:p w14:paraId="7B5F20DB">
      <w:pPr>
        <w:bidi w:val="0"/>
        <w:rPr>
          <w:rFonts w:hint="eastAsia"/>
          <w:color w:val="auto"/>
          <w:lang w:eastAsia="zh-CN"/>
        </w:rPr>
      </w:pPr>
      <w:r>
        <w:rPr>
          <w:rFonts w:hint="eastAsia"/>
          <w:color w:val="auto"/>
        </w:rPr>
        <w:t>本项目</w:t>
      </w:r>
      <w:r>
        <w:rPr>
          <w:rFonts w:hint="eastAsia"/>
          <w:color w:val="auto"/>
          <w:lang w:val="en-US" w:eastAsia="zh-CN"/>
        </w:rPr>
        <w:t>危废暂存间</w:t>
      </w:r>
      <w:r>
        <w:rPr>
          <w:rFonts w:hint="eastAsia"/>
          <w:color w:val="auto"/>
        </w:rPr>
        <w:t>基本情况见</w:t>
      </w:r>
      <w:r>
        <w:rPr>
          <w:rFonts w:hint="eastAsia"/>
          <w:color w:val="auto"/>
          <w:lang w:val="en-US" w:eastAsia="zh-CN"/>
        </w:rPr>
        <w:t>下</w:t>
      </w:r>
      <w:r>
        <w:rPr>
          <w:rFonts w:hint="eastAsia"/>
          <w:color w:val="auto"/>
        </w:rPr>
        <w:t>表</w:t>
      </w:r>
      <w:r>
        <w:rPr>
          <w:rFonts w:hint="eastAsia"/>
          <w:color w:val="auto"/>
          <w:lang w:eastAsia="zh-CN"/>
        </w:rPr>
        <w:t>。</w:t>
      </w:r>
    </w:p>
    <w:p w14:paraId="195979F7">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危废暂存间</w:t>
      </w:r>
      <w:r>
        <w:rPr>
          <w:rFonts w:hint="eastAsia" w:ascii="Times New Roman" w:hAnsi="Times New Roman" w:cs="Times New Roman"/>
          <w:color w:val="auto"/>
          <w:kern w:val="2"/>
          <w:sz w:val="21"/>
          <w:szCs w:val="21"/>
          <w:highlight w:val="none"/>
          <w:lang w:val="en-US" w:eastAsia="zh-CN" w:bidi="ar-SA"/>
        </w:rPr>
        <w:t>基本情况表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919"/>
        <w:gridCol w:w="914"/>
        <w:gridCol w:w="1214"/>
        <w:gridCol w:w="695"/>
        <w:gridCol w:w="667"/>
        <w:gridCol w:w="1078"/>
        <w:gridCol w:w="644"/>
        <w:gridCol w:w="670"/>
      </w:tblGrid>
      <w:tr w14:paraId="3A55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noWrap w:val="0"/>
            <w:vAlign w:val="center"/>
          </w:tcPr>
          <w:p w14:paraId="35CCD23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贮存场所名称</w:t>
            </w:r>
          </w:p>
        </w:tc>
        <w:tc>
          <w:tcPr>
            <w:tcW w:w="1534" w:type="pct"/>
            <w:noWrap w:val="0"/>
            <w:vAlign w:val="center"/>
          </w:tcPr>
          <w:p w14:paraId="5C4CA81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危险废物名称</w:t>
            </w:r>
          </w:p>
        </w:tc>
        <w:tc>
          <w:tcPr>
            <w:tcW w:w="480" w:type="pct"/>
            <w:noWrap w:val="0"/>
            <w:vAlign w:val="center"/>
          </w:tcPr>
          <w:p w14:paraId="0B9AFF9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危险废物类别</w:t>
            </w:r>
          </w:p>
        </w:tc>
        <w:tc>
          <w:tcPr>
            <w:tcW w:w="638" w:type="pct"/>
            <w:noWrap w:val="0"/>
            <w:vAlign w:val="center"/>
          </w:tcPr>
          <w:p w14:paraId="2702FF6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危险废物</w:t>
            </w:r>
          </w:p>
          <w:p w14:paraId="571562C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代码</w:t>
            </w:r>
          </w:p>
        </w:tc>
        <w:tc>
          <w:tcPr>
            <w:tcW w:w="365" w:type="pct"/>
            <w:noWrap w:val="0"/>
            <w:vAlign w:val="center"/>
          </w:tcPr>
          <w:p w14:paraId="0647D27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位置</w:t>
            </w:r>
          </w:p>
        </w:tc>
        <w:tc>
          <w:tcPr>
            <w:tcW w:w="350" w:type="pct"/>
            <w:noWrap w:val="0"/>
            <w:vAlign w:val="center"/>
          </w:tcPr>
          <w:p w14:paraId="59C098F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占地面积</w:t>
            </w:r>
          </w:p>
        </w:tc>
        <w:tc>
          <w:tcPr>
            <w:tcW w:w="566" w:type="pct"/>
            <w:noWrap w:val="0"/>
            <w:vAlign w:val="center"/>
          </w:tcPr>
          <w:p w14:paraId="66D692E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贮存方式</w:t>
            </w:r>
          </w:p>
        </w:tc>
        <w:tc>
          <w:tcPr>
            <w:tcW w:w="338" w:type="pct"/>
            <w:noWrap w:val="0"/>
            <w:vAlign w:val="center"/>
          </w:tcPr>
          <w:p w14:paraId="79C9681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贮存</w:t>
            </w:r>
          </w:p>
          <w:p w14:paraId="3078BF2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能力</w:t>
            </w:r>
          </w:p>
        </w:tc>
        <w:tc>
          <w:tcPr>
            <w:tcW w:w="352" w:type="pct"/>
            <w:noWrap w:val="0"/>
            <w:vAlign w:val="center"/>
          </w:tcPr>
          <w:p w14:paraId="6578122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贮存</w:t>
            </w:r>
          </w:p>
          <w:p w14:paraId="08CA706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周期</w:t>
            </w:r>
          </w:p>
        </w:tc>
      </w:tr>
      <w:tr w14:paraId="4945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restart"/>
            <w:noWrap w:val="0"/>
            <w:vAlign w:val="center"/>
          </w:tcPr>
          <w:p w14:paraId="474C9325">
            <w:pPr>
              <w:pStyle w:val="24"/>
              <w:bidi w:val="0"/>
              <w:rPr>
                <w:rFonts w:hint="default" w:ascii="Times New Roman" w:hAnsi="Times New Roman" w:eastAsia="宋体" w:cs="Courier New"/>
                <w:b w:val="0"/>
                <w:bCs w:val="0"/>
                <w:color w:val="auto"/>
                <w:highlight w:val="none"/>
                <w:lang w:val="en-US" w:eastAsia="zh-CN"/>
              </w:rPr>
            </w:pPr>
            <w:r>
              <w:rPr>
                <w:rFonts w:hint="eastAsia" w:cs="Times New Roman"/>
                <w:b w:val="0"/>
                <w:bCs w:val="0"/>
                <w:color w:val="auto"/>
                <w:highlight w:val="none"/>
                <w:lang w:val="en-US" w:eastAsia="zh-CN"/>
              </w:rPr>
              <w:t>危废暂存间</w:t>
            </w:r>
          </w:p>
        </w:tc>
        <w:tc>
          <w:tcPr>
            <w:tcW w:w="1534" w:type="pct"/>
            <w:noWrap w:val="0"/>
            <w:vAlign w:val="center"/>
          </w:tcPr>
          <w:p w14:paraId="03EFF6F0">
            <w:pPr>
              <w:pStyle w:val="24"/>
              <w:bidi w:val="0"/>
              <w:ind w:left="0" w:leftChars="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沾染化学品的废包装材料</w:t>
            </w:r>
          </w:p>
        </w:tc>
        <w:tc>
          <w:tcPr>
            <w:tcW w:w="480" w:type="pct"/>
            <w:noWrap w:val="0"/>
            <w:vAlign w:val="center"/>
          </w:tcPr>
          <w:p w14:paraId="083B98D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HW49</w:t>
            </w:r>
          </w:p>
        </w:tc>
        <w:tc>
          <w:tcPr>
            <w:tcW w:w="638" w:type="pct"/>
            <w:noWrap w:val="0"/>
            <w:vAlign w:val="center"/>
          </w:tcPr>
          <w:p w14:paraId="1FAF8A1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900-041-49</w:t>
            </w:r>
          </w:p>
        </w:tc>
        <w:tc>
          <w:tcPr>
            <w:tcW w:w="365" w:type="pct"/>
            <w:vMerge w:val="restart"/>
            <w:noWrap w:val="0"/>
            <w:vAlign w:val="center"/>
          </w:tcPr>
          <w:p w14:paraId="7F6A45B7">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仓库内东南侧</w:t>
            </w:r>
          </w:p>
        </w:tc>
        <w:tc>
          <w:tcPr>
            <w:tcW w:w="350" w:type="pct"/>
            <w:vMerge w:val="restart"/>
            <w:noWrap w:val="0"/>
            <w:vAlign w:val="center"/>
          </w:tcPr>
          <w:p w14:paraId="65D22D0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20</w:t>
            </w:r>
          </w:p>
        </w:tc>
        <w:tc>
          <w:tcPr>
            <w:tcW w:w="566" w:type="pct"/>
            <w:shd w:val="clear" w:color="auto" w:fill="auto"/>
            <w:noWrap w:val="0"/>
            <w:vAlign w:val="center"/>
          </w:tcPr>
          <w:p w14:paraId="6B41F6B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密闭袋装</w:t>
            </w:r>
          </w:p>
        </w:tc>
        <w:tc>
          <w:tcPr>
            <w:tcW w:w="338" w:type="pct"/>
            <w:shd w:val="clear" w:color="auto" w:fill="auto"/>
            <w:noWrap w:val="0"/>
            <w:vAlign w:val="center"/>
          </w:tcPr>
          <w:p w14:paraId="1B2C00B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w:t>
            </w:r>
            <w:r>
              <w:rPr>
                <w:rFonts w:hint="eastAsia" w:ascii="Times New Roman" w:hAnsi="Times New Roman" w:eastAsia="宋体" w:cs="Courier New"/>
                <w:b w:val="0"/>
                <w:bCs w:val="0"/>
                <w:color w:val="auto"/>
                <w:highlight w:val="none"/>
                <w:lang w:val="en-US" w:eastAsia="zh-CN"/>
              </w:rPr>
              <w:t>t</w:t>
            </w:r>
          </w:p>
        </w:tc>
        <w:tc>
          <w:tcPr>
            <w:tcW w:w="352" w:type="pct"/>
            <w:shd w:val="clear" w:color="auto" w:fill="auto"/>
            <w:noWrap w:val="0"/>
            <w:vAlign w:val="center"/>
          </w:tcPr>
          <w:p w14:paraId="66C90D8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60</w:t>
            </w:r>
            <w:r>
              <w:rPr>
                <w:rFonts w:hint="eastAsia" w:ascii="Times New Roman" w:hAnsi="Times New Roman" w:eastAsia="宋体" w:cs="Courier New"/>
                <w:b w:val="0"/>
                <w:bCs w:val="0"/>
                <w:color w:val="auto"/>
                <w:highlight w:val="none"/>
                <w:lang w:val="en-US" w:eastAsia="zh-CN"/>
              </w:rPr>
              <w:t>d</w:t>
            </w:r>
          </w:p>
        </w:tc>
      </w:tr>
      <w:tr w14:paraId="6ACA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2300FBED">
            <w:pPr>
              <w:pStyle w:val="24"/>
              <w:bidi w:val="0"/>
              <w:rPr>
                <w:rFonts w:hint="eastAsia" w:ascii="Times New Roman" w:hAnsi="Times New Roman" w:eastAsia="宋体" w:cs="Courier New"/>
                <w:b w:val="0"/>
                <w:bCs w:val="0"/>
                <w:color w:val="auto"/>
                <w:highlight w:val="none"/>
                <w:lang w:val="en-US" w:eastAsia="zh-CN"/>
              </w:rPr>
            </w:pPr>
          </w:p>
        </w:tc>
        <w:tc>
          <w:tcPr>
            <w:tcW w:w="1534" w:type="pct"/>
            <w:shd w:val="clear" w:color="auto" w:fill="auto"/>
            <w:noWrap w:val="0"/>
            <w:vAlign w:val="center"/>
          </w:tcPr>
          <w:p w14:paraId="5605C481">
            <w:pPr>
              <w:pStyle w:val="24"/>
              <w:bidi w:val="0"/>
              <w:ind w:left="0" w:leftChars="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质检废液、剩余检验样品、涉及磷及重金属器皿清洗废水</w:t>
            </w:r>
          </w:p>
        </w:tc>
        <w:tc>
          <w:tcPr>
            <w:tcW w:w="480" w:type="pct"/>
            <w:shd w:val="clear" w:color="auto" w:fill="auto"/>
            <w:noWrap w:val="0"/>
            <w:vAlign w:val="center"/>
          </w:tcPr>
          <w:p w14:paraId="6981116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HW49</w:t>
            </w:r>
          </w:p>
        </w:tc>
        <w:tc>
          <w:tcPr>
            <w:tcW w:w="638" w:type="pct"/>
            <w:shd w:val="clear" w:color="auto" w:fill="auto"/>
            <w:noWrap w:val="0"/>
            <w:vAlign w:val="center"/>
          </w:tcPr>
          <w:p w14:paraId="3664A1D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900-047-49</w:t>
            </w:r>
          </w:p>
        </w:tc>
        <w:tc>
          <w:tcPr>
            <w:tcW w:w="365" w:type="pct"/>
            <w:vMerge w:val="continue"/>
            <w:noWrap w:val="0"/>
            <w:vAlign w:val="center"/>
          </w:tcPr>
          <w:p w14:paraId="3CFDB834">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48456546">
            <w:pPr>
              <w:pStyle w:val="24"/>
              <w:bidi w:val="0"/>
              <w:rPr>
                <w:rFonts w:hint="eastAsia" w:ascii="Times New Roman" w:hAnsi="Times New Roman" w:eastAsia="宋体" w:cs="Courier New"/>
                <w:b w:val="0"/>
                <w:bCs w:val="0"/>
                <w:color w:val="auto"/>
                <w:highlight w:val="none"/>
                <w:lang w:val="en-US" w:eastAsia="zh-CN"/>
              </w:rPr>
            </w:pPr>
          </w:p>
        </w:tc>
        <w:tc>
          <w:tcPr>
            <w:tcW w:w="566" w:type="pct"/>
            <w:shd w:val="clear" w:color="auto" w:fill="auto"/>
            <w:noWrap w:val="0"/>
            <w:vAlign w:val="center"/>
          </w:tcPr>
          <w:p w14:paraId="71F4823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密闭桶装</w:t>
            </w:r>
          </w:p>
        </w:tc>
        <w:tc>
          <w:tcPr>
            <w:tcW w:w="338" w:type="pct"/>
            <w:shd w:val="clear" w:color="auto" w:fill="auto"/>
            <w:noWrap w:val="0"/>
            <w:vAlign w:val="center"/>
          </w:tcPr>
          <w:p w14:paraId="75172D3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2</w:t>
            </w:r>
            <w:r>
              <w:rPr>
                <w:rFonts w:hint="eastAsia" w:ascii="Times New Roman" w:hAnsi="Times New Roman" w:eastAsia="宋体" w:cs="Courier New"/>
                <w:b w:val="0"/>
                <w:bCs w:val="0"/>
                <w:color w:val="auto"/>
                <w:highlight w:val="none"/>
                <w:lang w:val="en-US" w:eastAsia="zh-CN"/>
              </w:rPr>
              <w:t>t</w:t>
            </w:r>
          </w:p>
        </w:tc>
        <w:tc>
          <w:tcPr>
            <w:tcW w:w="352" w:type="pct"/>
            <w:shd w:val="clear" w:color="auto" w:fill="auto"/>
            <w:noWrap w:val="0"/>
            <w:vAlign w:val="center"/>
          </w:tcPr>
          <w:p w14:paraId="54A0FD5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30</w:t>
            </w:r>
            <w:r>
              <w:rPr>
                <w:rFonts w:hint="eastAsia" w:ascii="Times New Roman" w:hAnsi="Times New Roman" w:eastAsia="宋体" w:cs="Courier New"/>
                <w:b w:val="0"/>
                <w:bCs w:val="0"/>
                <w:color w:val="auto"/>
                <w:highlight w:val="none"/>
                <w:lang w:val="en-US" w:eastAsia="zh-CN"/>
              </w:rPr>
              <w:t>d</w:t>
            </w:r>
          </w:p>
        </w:tc>
      </w:tr>
      <w:tr w14:paraId="5352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7C15554E">
            <w:pPr>
              <w:pStyle w:val="24"/>
              <w:bidi w:val="0"/>
              <w:rPr>
                <w:rFonts w:hint="eastAsia" w:ascii="Times New Roman" w:hAnsi="Times New Roman" w:eastAsia="宋体" w:cs="Courier New"/>
                <w:b w:val="0"/>
                <w:bCs w:val="0"/>
                <w:color w:val="auto"/>
                <w:highlight w:val="none"/>
                <w:lang w:val="en-US" w:eastAsia="zh-CN"/>
              </w:rPr>
            </w:pPr>
          </w:p>
        </w:tc>
        <w:tc>
          <w:tcPr>
            <w:tcW w:w="1534" w:type="pct"/>
            <w:noWrap w:val="0"/>
            <w:vAlign w:val="center"/>
          </w:tcPr>
          <w:p w14:paraId="41766477">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喷淋废渣</w:t>
            </w:r>
          </w:p>
        </w:tc>
        <w:tc>
          <w:tcPr>
            <w:tcW w:w="480" w:type="pct"/>
            <w:noWrap w:val="0"/>
            <w:vAlign w:val="center"/>
          </w:tcPr>
          <w:p w14:paraId="7B630DE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HW49</w:t>
            </w:r>
          </w:p>
        </w:tc>
        <w:tc>
          <w:tcPr>
            <w:tcW w:w="638" w:type="pct"/>
            <w:noWrap w:val="0"/>
            <w:vAlign w:val="center"/>
          </w:tcPr>
          <w:p w14:paraId="494A96B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900-041-49</w:t>
            </w:r>
          </w:p>
        </w:tc>
        <w:tc>
          <w:tcPr>
            <w:tcW w:w="365" w:type="pct"/>
            <w:vMerge w:val="continue"/>
            <w:noWrap w:val="0"/>
            <w:vAlign w:val="center"/>
          </w:tcPr>
          <w:p w14:paraId="6E7F8043">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218BCDF0">
            <w:pPr>
              <w:pStyle w:val="24"/>
              <w:bidi w:val="0"/>
              <w:rPr>
                <w:rFonts w:hint="eastAsia" w:ascii="Times New Roman" w:hAnsi="Times New Roman" w:eastAsia="宋体" w:cs="Courier New"/>
                <w:b w:val="0"/>
                <w:bCs w:val="0"/>
                <w:color w:val="auto"/>
                <w:highlight w:val="none"/>
                <w:lang w:val="en-US" w:eastAsia="zh-CN"/>
              </w:rPr>
            </w:pPr>
          </w:p>
        </w:tc>
        <w:tc>
          <w:tcPr>
            <w:tcW w:w="566" w:type="pct"/>
            <w:noWrap w:val="0"/>
            <w:vAlign w:val="center"/>
          </w:tcPr>
          <w:p w14:paraId="20EA3E75">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密闭桶装</w:t>
            </w:r>
          </w:p>
        </w:tc>
        <w:tc>
          <w:tcPr>
            <w:tcW w:w="338" w:type="pct"/>
            <w:noWrap w:val="0"/>
            <w:vAlign w:val="center"/>
          </w:tcPr>
          <w:p w14:paraId="4C4A2D9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0.02</w:t>
            </w:r>
            <w:r>
              <w:rPr>
                <w:rFonts w:hint="eastAsia" w:ascii="Times New Roman" w:hAnsi="Times New Roman" w:eastAsia="宋体" w:cs="Courier New"/>
                <w:b w:val="0"/>
                <w:bCs w:val="0"/>
                <w:color w:val="auto"/>
                <w:highlight w:val="none"/>
                <w:lang w:val="en-US" w:eastAsia="zh-CN"/>
              </w:rPr>
              <w:t>t</w:t>
            </w:r>
          </w:p>
        </w:tc>
        <w:tc>
          <w:tcPr>
            <w:tcW w:w="352" w:type="pct"/>
            <w:noWrap w:val="0"/>
            <w:vAlign w:val="center"/>
          </w:tcPr>
          <w:p w14:paraId="2261E30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180</w:t>
            </w:r>
            <w:r>
              <w:rPr>
                <w:rFonts w:hint="eastAsia" w:ascii="Times New Roman" w:hAnsi="Times New Roman" w:eastAsia="宋体" w:cs="Courier New"/>
                <w:b w:val="0"/>
                <w:bCs w:val="0"/>
                <w:color w:val="auto"/>
                <w:highlight w:val="none"/>
                <w:lang w:val="en-US" w:eastAsia="zh-CN"/>
              </w:rPr>
              <w:t>d</w:t>
            </w:r>
          </w:p>
        </w:tc>
      </w:tr>
      <w:tr w14:paraId="0D71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3E89A5EC">
            <w:pPr>
              <w:pStyle w:val="24"/>
              <w:bidi w:val="0"/>
              <w:rPr>
                <w:rFonts w:hint="eastAsia" w:ascii="Times New Roman" w:hAnsi="Times New Roman" w:eastAsia="宋体" w:cs="Courier New"/>
                <w:b w:val="0"/>
                <w:bCs w:val="0"/>
                <w:color w:val="auto"/>
                <w:highlight w:val="none"/>
                <w:lang w:val="en-US" w:eastAsia="zh-CN"/>
              </w:rPr>
            </w:pPr>
          </w:p>
        </w:tc>
        <w:tc>
          <w:tcPr>
            <w:tcW w:w="1534" w:type="pct"/>
            <w:noWrap w:val="0"/>
            <w:vAlign w:val="center"/>
          </w:tcPr>
          <w:p w14:paraId="71D7C0BE">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废过滤棉</w:t>
            </w:r>
          </w:p>
        </w:tc>
        <w:tc>
          <w:tcPr>
            <w:tcW w:w="480" w:type="pct"/>
            <w:shd w:val="clear" w:color="auto" w:fill="auto"/>
            <w:noWrap w:val="0"/>
            <w:vAlign w:val="center"/>
          </w:tcPr>
          <w:p w14:paraId="56D0534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HW49</w:t>
            </w:r>
          </w:p>
        </w:tc>
        <w:tc>
          <w:tcPr>
            <w:tcW w:w="638" w:type="pct"/>
            <w:shd w:val="clear" w:color="auto" w:fill="auto"/>
            <w:noWrap w:val="0"/>
            <w:vAlign w:val="center"/>
          </w:tcPr>
          <w:p w14:paraId="50E57E3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900-041-49</w:t>
            </w:r>
          </w:p>
        </w:tc>
        <w:tc>
          <w:tcPr>
            <w:tcW w:w="365" w:type="pct"/>
            <w:vMerge w:val="continue"/>
            <w:noWrap w:val="0"/>
            <w:vAlign w:val="center"/>
          </w:tcPr>
          <w:p w14:paraId="5C9D063F">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25A03B7F">
            <w:pPr>
              <w:pStyle w:val="24"/>
              <w:bidi w:val="0"/>
              <w:rPr>
                <w:rFonts w:hint="eastAsia" w:ascii="Times New Roman" w:hAnsi="Times New Roman" w:eastAsia="宋体" w:cs="Courier New"/>
                <w:b w:val="0"/>
                <w:bCs w:val="0"/>
                <w:color w:val="auto"/>
                <w:highlight w:val="none"/>
                <w:lang w:val="en-US" w:eastAsia="zh-CN"/>
              </w:rPr>
            </w:pPr>
          </w:p>
        </w:tc>
        <w:tc>
          <w:tcPr>
            <w:tcW w:w="566" w:type="pct"/>
            <w:shd w:val="clear" w:color="auto" w:fill="auto"/>
            <w:noWrap w:val="0"/>
            <w:vAlign w:val="center"/>
          </w:tcPr>
          <w:p w14:paraId="07819D9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密闭袋装</w:t>
            </w:r>
          </w:p>
        </w:tc>
        <w:tc>
          <w:tcPr>
            <w:tcW w:w="338" w:type="pct"/>
            <w:shd w:val="clear" w:color="auto" w:fill="auto"/>
            <w:noWrap w:val="0"/>
            <w:vAlign w:val="center"/>
          </w:tcPr>
          <w:p w14:paraId="3BB5E0D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w:t>
            </w:r>
            <w:r>
              <w:rPr>
                <w:rFonts w:hint="eastAsia" w:cs="Courier New"/>
                <w:b w:val="0"/>
                <w:bCs w:val="0"/>
                <w:color w:val="auto"/>
                <w:highlight w:val="none"/>
                <w:lang w:val="en-US" w:eastAsia="zh-CN"/>
              </w:rPr>
              <w:t>05</w:t>
            </w:r>
            <w:r>
              <w:rPr>
                <w:rFonts w:hint="eastAsia" w:ascii="Times New Roman" w:hAnsi="Times New Roman" w:eastAsia="宋体" w:cs="Courier New"/>
                <w:b w:val="0"/>
                <w:bCs w:val="0"/>
                <w:color w:val="auto"/>
                <w:highlight w:val="none"/>
                <w:lang w:val="en-US" w:eastAsia="zh-CN"/>
              </w:rPr>
              <w:t>t</w:t>
            </w:r>
          </w:p>
        </w:tc>
        <w:tc>
          <w:tcPr>
            <w:tcW w:w="352" w:type="pct"/>
            <w:shd w:val="clear" w:color="auto" w:fill="auto"/>
            <w:noWrap w:val="0"/>
            <w:vAlign w:val="center"/>
          </w:tcPr>
          <w:p w14:paraId="48B7083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180</w:t>
            </w:r>
            <w:r>
              <w:rPr>
                <w:rFonts w:hint="eastAsia" w:ascii="Times New Roman" w:hAnsi="Times New Roman" w:eastAsia="宋体" w:cs="Courier New"/>
                <w:b w:val="0"/>
                <w:bCs w:val="0"/>
                <w:color w:val="auto"/>
                <w:highlight w:val="none"/>
                <w:lang w:val="en-US" w:eastAsia="zh-CN"/>
              </w:rPr>
              <w:t>d</w:t>
            </w:r>
          </w:p>
        </w:tc>
      </w:tr>
      <w:tr w14:paraId="6259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15561A59">
            <w:pPr>
              <w:pStyle w:val="24"/>
              <w:bidi w:val="0"/>
              <w:rPr>
                <w:rFonts w:hint="eastAsia" w:ascii="Times New Roman" w:hAnsi="Times New Roman" w:eastAsia="宋体" w:cs="Courier New"/>
                <w:b w:val="0"/>
                <w:bCs w:val="0"/>
                <w:color w:val="auto"/>
                <w:highlight w:val="none"/>
                <w:lang w:val="en-US" w:eastAsia="zh-CN"/>
              </w:rPr>
            </w:pPr>
          </w:p>
        </w:tc>
        <w:tc>
          <w:tcPr>
            <w:tcW w:w="1534" w:type="pct"/>
            <w:shd w:val="clear" w:color="auto" w:fill="auto"/>
            <w:noWrap w:val="0"/>
            <w:vAlign w:val="center"/>
          </w:tcPr>
          <w:p w14:paraId="3567D1D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highlight w:val="none"/>
                <w:lang w:val="en-US" w:eastAsia="zh-CN"/>
              </w:rPr>
              <w:t>废活性炭</w:t>
            </w:r>
          </w:p>
        </w:tc>
        <w:tc>
          <w:tcPr>
            <w:tcW w:w="480" w:type="pct"/>
            <w:shd w:val="clear" w:color="auto" w:fill="auto"/>
            <w:noWrap w:val="0"/>
            <w:vAlign w:val="center"/>
          </w:tcPr>
          <w:p w14:paraId="07EB2AE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HW49</w:t>
            </w:r>
          </w:p>
        </w:tc>
        <w:tc>
          <w:tcPr>
            <w:tcW w:w="638" w:type="pct"/>
            <w:shd w:val="clear" w:color="auto" w:fill="auto"/>
            <w:noWrap w:val="0"/>
            <w:vAlign w:val="center"/>
          </w:tcPr>
          <w:p w14:paraId="71F5875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900-0</w:t>
            </w:r>
            <w:r>
              <w:rPr>
                <w:rFonts w:hint="eastAsia" w:cs="Courier New"/>
                <w:b w:val="0"/>
                <w:bCs w:val="0"/>
                <w:color w:val="auto"/>
                <w:highlight w:val="none"/>
                <w:lang w:val="en-US" w:eastAsia="zh-CN"/>
              </w:rPr>
              <w:t>39</w:t>
            </w:r>
            <w:r>
              <w:rPr>
                <w:rFonts w:hint="eastAsia" w:ascii="Times New Roman" w:hAnsi="Times New Roman" w:eastAsia="宋体" w:cs="Courier New"/>
                <w:b w:val="0"/>
                <w:bCs w:val="0"/>
                <w:color w:val="auto"/>
                <w:highlight w:val="none"/>
                <w:lang w:val="en-US" w:eastAsia="zh-CN"/>
              </w:rPr>
              <w:t>-49</w:t>
            </w:r>
          </w:p>
        </w:tc>
        <w:tc>
          <w:tcPr>
            <w:tcW w:w="365" w:type="pct"/>
            <w:vMerge w:val="continue"/>
            <w:noWrap w:val="0"/>
            <w:vAlign w:val="center"/>
          </w:tcPr>
          <w:p w14:paraId="639BE888">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6D188467">
            <w:pPr>
              <w:pStyle w:val="24"/>
              <w:bidi w:val="0"/>
              <w:rPr>
                <w:rFonts w:hint="eastAsia" w:ascii="Times New Roman" w:hAnsi="Times New Roman" w:eastAsia="宋体" w:cs="Courier New"/>
                <w:b w:val="0"/>
                <w:bCs w:val="0"/>
                <w:color w:val="auto"/>
                <w:highlight w:val="none"/>
                <w:lang w:val="en-US" w:eastAsia="zh-CN"/>
              </w:rPr>
            </w:pPr>
          </w:p>
        </w:tc>
        <w:tc>
          <w:tcPr>
            <w:tcW w:w="566" w:type="pct"/>
            <w:shd w:val="clear" w:color="auto" w:fill="auto"/>
            <w:noWrap w:val="0"/>
            <w:vAlign w:val="center"/>
          </w:tcPr>
          <w:p w14:paraId="3F4F526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密闭袋装</w:t>
            </w:r>
          </w:p>
        </w:tc>
        <w:tc>
          <w:tcPr>
            <w:tcW w:w="338" w:type="pct"/>
            <w:shd w:val="clear" w:color="auto" w:fill="auto"/>
            <w:noWrap w:val="0"/>
            <w:vAlign w:val="center"/>
          </w:tcPr>
          <w:p w14:paraId="7AB404A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4</w:t>
            </w:r>
            <w:r>
              <w:rPr>
                <w:rFonts w:hint="eastAsia" w:ascii="Times New Roman" w:hAnsi="Times New Roman" w:eastAsia="宋体" w:cs="Courier New"/>
                <w:b w:val="0"/>
                <w:bCs w:val="0"/>
                <w:color w:val="auto"/>
                <w:highlight w:val="none"/>
                <w:lang w:val="en-US" w:eastAsia="zh-CN"/>
              </w:rPr>
              <w:t>t</w:t>
            </w:r>
          </w:p>
        </w:tc>
        <w:tc>
          <w:tcPr>
            <w:tcW w:w="352" w:type="pct"/>
            <w:shd w:val="clear" w:color="auto" w:fill="auto"/>
            <w:noWrap w:val="0"/>
            <w:vAlign w:val="center"/>
          </w:tcPr>
          <w:p w14:paraId="72C2071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90</w:t>
            </w:r>
            <w:r>
              <w:rPr>
                <w:rFonts w:hint="eastAsia" w:ascii="Times New Roman" w:hAnsi="Times New Roman" w:eastAsia="宋体" w:cs="Courier New"/>
                <w:b w:val="0"/>
                <w:bCs w:val="0"/>
                <w:color w:val="auto"/>
                <w:highlight w:val="none"/>
                <w:lang w:val="en-US" w:eastAsia="zh-CN"/>
              </w:rPr>
              <w:t>d</w:t>
            </w:r>
          </w:p>
        </w:tc>
      </w:tr>
      <w:tr w14:paraId="7183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5D7A7448">
            <w:pPr>
              <w:pStyle w:val="24"/>
              <w:bidi w:val="0"/>
              <w:rPr>
                <w:rFonts w:hint="eastAsia" w:ascii="Times New Roman" w:hAnsi="Times New Roman" w:eastAsia="宋体" w:cs="Courier New"/>
                <w:b w:val="0"/>
                <w:bCs w:val="0"/>
                <w:color w:val="auto"/>
                <w:highlight w:val="none"/>
                <w:lang w:val="en-US" w:eastAsia="zh-CN"/>
              </w:rPr>
            </w:pPr>
          </w:p>
        </w:tc>
        <w:tc>
          <w:tcPr>
            <w:tcW w:w="1534" w:type="pct"/>
            <w:noWrap w:val="0"/>
            <w:vAlign w:val="center"/>
          </w:tcPr>
          <w:p w14:paraId="509AC6D0">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废润滑油</w:t>
            </w:r>
          </w:p>
        </w:tc>
        <w:tc>
          <w:tcPr>
            <w:tcW w:w="480" w:type="pct"/>
            <w:shd w:val="clear" w:color="auto" w:fill="auto"/>
            <w:noWrap w:val="0"/>
            <w:vAlign w:val="center"/>
          </w:tcPr>
          <w:p w14:paraId="294F7E9D">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HW08</w:t>
            </w:r>
          </w:p>
        </w:tc>
        <w:tc>
          <w:tcPr>
            <w:tcW w:w="638" w:type="pct"/>
            <w:shd w:val="clear" w:color="auto" w:fill="auto"/>
            <w:noWrap w:val="0"/>
            <w:vAlign w:val="center"/>
          </w:tcPr>
          <w:p w14:paraId="4EF2D4E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900-218-08</w:t>
            </w:r>
          </w:p>
        </w:tc>
        <w:tc>
          <w:tcPr>
            <w:tcW w:w="365" w:type="pct"/>
            <w:vMerge w:val="continue"/>
            <w:noWrap w:val="0"/>
            <w:vAlign w:val="center"/>
          </w:tcPr>
          <w:p w14:paraId="3B25A391">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42FE338C">
            <w:pPr>
              <w:pStyle w:val="24"/>
              <w:bidi w:val="0"/>
              <w:rPr>
                <w:rFonts w:hint="eastAsia" w:ascii="Times New Roman" w:hAnsi="Times New Roman" w:eastAsia="宋体" w:cs="Courier New"/>
                <w:b w:val="0"/>
                <w:bCs w:val="0"/>
                <w:color w:val="auto"/>
                <w:highlight w:val="none"/>
                <w:lang w:val="en-US" w:eastAsia="zh-CN"/>
              </w:rPr>
            </w:pPr>
          </w:p>
        </w:tc>
        <w:tc>
          <w:tcPr>
            <w:tcW w:w="566" w:type="pct"/>
            <w:shd w:val="clear" w:color="auto" w:fill="auto"/>
            <w:noWrap w:val="0"/>
            <w:vAlign w:val="center"/>
          </w:tcPr>
          <w:p w14:paraId="07BE2FB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密闭桶装</w:t>
            </w:r>
          </w:p>
        </w:tc>
        <w:tc>
          <w:tcPr>
            <w:tcW w:w="338" w:type="pct"/>
            <w:shd w:val="clear" w:color="auto" w:fill="auto"/>
            <w:noWrap w:val="0"/>
            <w:vAlign w:val="center"/>
          </w:tcPr>
          <w:p w14:paraId="034764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0.05t</w:t>
            </w:r>
          </w:p>
        </w:tc>
        <w:tc>
          <w:tcPr>
            <w:tcW w:w="352" w:type="pct"/>
            <w:shd w:val="clear" w:color="auto" w:fill="auto"/>
            <w:noWrap w:val="0"/>
            <w:vAlign w:val="center"/>
          </w:tcPr>
          <w:p w14:paraId="2CC3352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180</w:t>
            </w:r>
            <w:r>
              <w:rPr>
                <w:rFonts w:hint="eastAsia" w:ascii="Times New Roman" w:hAnsi="Times New Roman" w:eastAsia="宋体" w:cs="Courier New"/>
                <w:b w:val="0"/>
                <w:bCs w:val="0"/>
                <w:color w:val="auto"/>
                <w:highlight w:val="none"/>
                <w:lang w:val="en-US" w:eastAsia="zh-CN"/>
              </w:rPr>
              <w:t>d</w:t>
            </w:r>
          </w:p>
        </w:tc>
      </w:tr>
      <w:tr w14:paraId="10B5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18E08EA8">
            <w:pPr>
              <w:pStyle w:val="24"/>
              <w:bidi w:val="0"/>
              <w:rPr>
                <w:rFonts w:hint="eastAsia" w:ascii="Times New Roman" w:hAnsi="Times New Roman" w:eastAsia="宋体" w:cs="Courier New"/>
                <w:b w:val="0"/>
                <w:bCs w:val="0"/>
                <w:color w:val="auto"/>
                <w:highlight w:val="none"/>
                <w:lang w:val="en-US" w:eastAsia="zh-CN"/>
              </w:rPr>
            </w:pPr>
          </w:p>
        </w:tc>
        <w:tc>
          <w:tcPr>
            <w:tcW w:w="1534" w:type="pct"/>
            <w:noWrap w:val="0"/>
            <w:vAlign w:val="center"/>
          </w:tcPr>
          <w:p w14:paraId="63CF3F36">
            <w:pPr>
              <w:pStyle w:val="24"/>
              <w:bidi w:val="0"/>
              <w:rPr>
                <w:rFonts w:hint="default" w:cs="Courier New"/>
                <w:b w:val="0"/>
                <w:bCs w:val="0"/>
                <w:color w:val="auto"/>
                <w:highlight w:val="none"/>
                <w:lang w:val="en-US" w:eastAsia="zh-CN"/>
              </w:rPr>
            </w:pPr>
            <w:r>
              <w:rPr>
                <w:rFonts w:hint="eastAsia" w:cs="Courier New"/>
                <w:b w:val="0"/>
                <w:bCs w:val="0"/>
                <w:color w:val="auto"/>
                <w:highlight w:val="none"/>
                <w:lang w:val="en-US" w:eastAsia="zh-CN"/>
              </w:rPr>
              <w:t>废油桶</w:t>
            </w:r>
          </w:p>
        </w:tc>
        <w:tc>
          <w:tcPr>
            <w:tcW w:w="480" w:type="pct"/>
            <w:shd w:val="clear" w:color="auto" w:fill="auto"/>
            <w:noWrap w:val="0"/>
            <w:vAlign w:val="center"/>
          </w:tcPr>
          <w:p w14:paraId="5F68560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HW08</w:t>
            </w:r>
          </w:p>
        </w:tc>
        <w:tc>
          <w:tcPr>
            <w:tcW w:w="638" w:type="pct"/>
            <w:shd w:val="clear" w:color="auto" w:fill="auto"/>
            <w:noWrap w:val="0"/>
            <w:vAlign w:val="center"/>
          </w:tcPr>
          <w:p w14:paraId="67FB7D5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900-249-08</w:t>
            </w:r>
          </w:p>
        </w:tc>
        <w:tc>
          <w:tcPr>
            <w:tcW w:w="365" w:type="pct"/>
            <w:vMerge w:val="continue"/>
            <w:noWrap w:val="0"/>
            <w:vAlign w:val="center"/>
          </w:tcPr>
          <w:p w14:paraId="461893FF">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6E842155">
            <w:pPr>
              <w:pStyle w:val="24"/>
              <w:bidi w:val="0"/>
              <w:rPr>
                <w:rFonts w:hint="eastAsia" w:ascii="Times New Roman" w:hAnsi="Times New Roman" w:eastAsia="宋体" w:cs="Courier New"/>
                <w:b w:val="0"/>
                <w:bCs w:val="0"/>
                <w:color w:val="auto"/>
                <w:highlight w:val="none"/>
                <w:lang w:val="en-US" w:eastAsia="zh-CN"/>
              </w:rPr>
            </w:pPr>
          </w:p>
        </w:tc>
        <w:tc>
          <w:tcPr>
            <w:tcW w:w="566" w:type="pct"/>
            <w:shd w:val="clear" w:color="auto" w:fill="auto"/>
            <w:noWrap w:val="0"/>
            <w:vAlign w:val="center"/>
          </w:tcPr>
          <w:p w14:paraId="5FBD43E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密闭袋装</w:t>
            </w:r>
          </w:p>
        </w:tc>
        <w:tc>
          <w:tcPr>
            <w:tcW w:w="338" w:type="pct"/>
            <w:shd w:val="clear" w:color="auto" w:fill="auto"/>
            <w:noWrap w:val="0"/>
            <w:vAlign w:val="center"/>
          </w:tcPr>
          <w:p w14:paraId="226F785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0.01</w:t>
            </w:r>
            <w:r>
              <w:rPr>
                <w:rFonts w:hint="eastAsia" w:ascii="Times New Roman" w:hAnsi="Times New Roman" w:eastAsia="宋体" w:cs="Courier New"/>
                <w:b w:val="0"/>
                <w:bCs w:val="0"/>
                <w:color w:val="auto"/>
                <w:highlight w:val="none"/>
                <w:lang w:val="en-US" w:eastAsia="zh-CN"/>
              </w:rPr>
              <w:t>t</w:t>
            </w:r>
          </w:p>
        </w:tc>
        <w:tc>
          <w:tcPr>
            <w:tcW w:w="352" w:type="pct"/>
            <w:shd w:val="clear" w:color="auto" w:fill="auto"/>
            <w:noWrap w:val="0"/>
            <w:vAlign w:val="center"/>
          </w:tcPr>
          <w:p w14:paraId="0C14AA2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360</w:t>
            </w:r>
            <w:r>
              <w:rPr>
                <w:rFonts w:hint="eastAsia" w:ascii="Times New Roman" w:hAnsi="Times New Roman" w:eastAsia="宋体" w:cs="Courier New"/>
                <w:b w:val="0"/>
                <w:bCs w:val="0"/>
                <w:color w:val="auto"/>
                <w:highlight w:val="none"/>
                <w:lang w:val="en-US" w:eastAsia="zh-CN"/>
              </w:rPr>
              <w:t>d</w:t>
            </w:r>
          </w:p>
        </w:tc>
      </w:tr>
      <w:tr w14:paraId="4A02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Merge w:val="continue"/>
            <w:noWrap w:val="0"/>
            <w:vAlign w:val="center"/>
          </w:tcPr>
          <w:p w14:paraId="03664665">
            <w:pPr>
              <w:pStyle w:val="24"/>
              <w:bidi w:val="0"/>
              <w:rPr>
                <w:rFonts w:hint="eastAsia" w:ascii="Times New Roman" w:hAnsi="Times New Roman" w:eastAsia="宋体" w:cs="Courier New"/>
                <w:b w:val="0"/>
                <w:bCs w:val="0"/>
                <w:color w:val="auto"/>
                <w:highlight w:val="none"/>
                <w:lang w:val="en-US" w:eastAsia="zh-CN"/>
              </w:rPr>
            </w:pPr>
          </w:p>
        </w:tc>
        <w:tc>
          <w:tcPr>
            <w:tcW w:w="1534" w:type="pct"/>
            <w:shd w:val="clear" w:color="auto" w:fill="auto"/>
            <w:noWrap w:val="0"/>
            <w:vAlign w:val="center"/>
          </w:tcPr>
          <w:p w14:paraId="3E6CB89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highlight w:val="none"/>
                <w:lang w:val="en-US" w:eastAsia="zh-CN"/>
              </w:rPr>
              <w:t>含油废棉纱手套</w:t>
            </w:r>
          </w:p>
        </w:tc>
        <w:tc>
          <w:tcPr>
            <w:tcW w:w="480" w:type="pct"/>
            <w:shd w:val="clear" w:color="auto" w:fill="auto"/>
            <w:noWrap w:val="0"/>
            <w:vAlign w:val="center"/>
          </w:tcPr>
          <w:p w14:paraId="31D2A05E">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HW49</w:t>
            </w:r>
          </w:p>
        </w:tc>
        <w:tc>
          <w:tcPr>
            <w:tcW w:w="638" w:type="pct"/>
            <w:shd w:val="clear" w:color="auto" w:fill="auto"/>
            <w:noWrap w:val="0"/>
            <w:vAlign w:val="center"/>
          </w:tcPr>
          <w:p w14:paraId="70E4537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highlight w:val="none"/>
                <w:lang w:val="en-US" w:eastAsia="zh-CN"/>
              </w:rPr>
              <w:t>900-041-49</w:t>
            </w:r>
          </w:p>
        </w:tc>
        <w:tc>
          <w:tcPr>
            <w:tcW w:w="365" w:type="pct"/>
            <w:vMerge w:val="continue"/>
            <w:noWrap w:val="0"/>
            <w:vAlign w:val="center"/>
          </w:tcPr>
          <w:p w14:paraId="04517E5E">
            <w:pPr>
              <w:pStyle w:val="24"/>
              <w:bidi w:val="0"/>
              <w:rPr>
                <w:rFonts w:hint="eastAsia" w:ascii="Times New Roman" w:hAnsi="Times New Roman" w:eastAsia="宋体" w:cs="Courier New"/>
                <w:b w:val="0"/>
                <w:bCs w:val="0"/>
                <w:color w:val="auto"/>
                <w:highlight w:val="none"/>
                <w:lang w:val="en-US" w:eastAsia="zh-CN"/>
              </w:rPr>
            </w:pPr>
          </w:p>
        </w:tc>
        <w:tc>
          <w:tcPr>
            <w:tcW w:w="350" w:type="pct"/>
            <w:vMerge w:val="continue"/>
            <w:noWrap w:val="0"/>
            <w:vAlign w:val="center"/>
          </w:tcPr>
          <w:p w14:paraId="7B030D96">
            <w:pPr>
              <w:pStyle w:val="24"/>
              <w:bidi w:val="0"/>
              <w:rPr>
                <w:rFonts w:hint="eastAsia" w:ascii="Times New Roman" w:hAnsi="Times New Roman" w:eastAsia="宋体" w:cs="Courier New"/>
                <w:b w:val="0"/>
                <w:bCs w:val="0"/>
                <w:color w:val="auto"/>
                <w:highlight w:val="none"/>
                <w:lang w:val="en-US" w:eastAsia="zh-CN"/>
              </w:rPr>
            </w:pPr>
          </w:p>
        </w:tc>
        <w:tc>
          <w:tcPr>
            <w:tcW w:w="566" w:type="pct"/>
            <w:noWrap w:val="0"/>
            <w:vAlign w:val="center"/>
          </w:tcPr>
          <w:p w14:paraId="43560CD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密闭袋装</w:t>
            </w:r>
          </w:p>
        </w:tc>
        <w:tc>
          <w:tcPr>
            <w:tcW w:w="338" w:type="pct"/>
            <w:noWrap w:val="0"/>
            <w:vAlign w:val="center"/>
          </w:tcPr>
          <w:p w14:paraId="0CB4D991">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0.01</w:t>
            </w:r>
            <w:r>
              <w:rPr>
                <w:rFonts w:hint="eastAsia" w:ascii="Times New Roman" w:hAnsi="Times New Roman" w:eastAsia="宋体" w:cs="Courier New"/>
                <w:b w:val="0"/>
                <w:bCs w:val="0"/>
                <w:color w:val="auto"/>
                <w:highlight w:val="none"/>
                <w:lang w:val="en-US" w:eastAsia="zh-CN"/>
              </w:rPr>
              <w:t>t</w:t>
            </w:r>
          </w:p>
        </w:tc>
        <w:tc>
          <w:tcPr>
            <w:tcW w:w="352" w:type="pct"/>
            <w:noWrap w:val="0"/>
            <w:vAlign w:val="center"/>
          </w:tcPr>
          <w:p w14:paraId="2161547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90d</w:t>
            </w:r>
          </w:p>
        </w:tc>
      </w:tr>
    </w:tbl>
    <w:p w14:paraId="602A3737">
      <w:pPr>
        <w:bidi w:val="0"/>
        <w:rPr>
          <w:color w:val="auto"/>
        </w:rPr>
      </w:pPr>
      <w:r>
        <w:rPr>
          <w:color w:val="auto"/>
        </w:rPr>
        <w:t>同时，危险废物在收集、暂存、转运过程中，需严格按照下列要求进行：</w:t>
      </w:r>
    </w:p>
    <w:p w14:paraId="61AAA4F9">
      <w:pPr>
        <w:bidi w:val="0"/>
        <w:ind w:left="0" w:leftChars="0" w:firstLine="480" w:firstLineChars="200"/>
        <w:rPr>
          <w:rFonts w:hint="eastAsia"/>
          <w:color w:val="auto"/>
        </w:rPr>
      </w:pPr>
      <w:r>
        <w:rPr>
          <w:rFonts w:hint="eastAsia"/>
          <w:color w:val="auto"/>
          <w:lang w:val="en-US" w:eastAsia="zh-CN"/>
        </w:rPr>
        <w:t>a.</w:t>
      </w:r>
      <w:r>
        <w:rPr>
          <w:rFonts w:hint="eastAsia"/>
          <w:color w:val="auto"/>
        </w:rPr>
        <w:t>危险废物的收集必须按照相关规定进行，禁止在非贮存地点（容器）倾倒、堆放危险废物或者将危险废物混入其他一般工业固体废物和生活垃圾，各废物贮存需按照国家相应要求处置，贮存场所按照《危险废物识别标志设置技术规范》（</w:t>
      </w:r>
      <w:r>
        <w:rPr>
          <w:color w:val="auto"/>
        </w:rPr>
        <w:t>HJ1276-2022</w:t>
      </w:r>
      <w:r>
        <w:rPr>
          <w:rFonts w:hint="eastAsia"/>
          <w:color w:val="auto"/>
        </w:rPr>
        <w:t>）设置警示标识，样式如下</w:t>
      </w:r>
      <w:r>
        <w:rPr>
          <w:rFonts w:hint="eastAsia"/>
          <w:color w:val="auto"/>
          <w:lang w:eastAsia="zh-CN"/>
        </w:rPr>
        <w:t>：</w:t>
      </w:r>
    </w:p>
    <w:p w14:paraId="38CB8187">
      <w:pPr>
        <w:pStyle w:val="24"/>
        <w:bidi w:val="0"/>
        <w:rPr>
          <w:color w:val="auto"/>
          <w:highlight w:val="none"/>
        </w:rPr>
      </w:pPr>
      <w:r>
        <w:rPr>
          <w:color w:val="auto"/>
          <w:highlight w:val="none"/>
        </w:rPr>
        <w:drawing>
          <wp:inline distT="0" distB="0" distL="114300" distR="114300">
            <wp:extent cx="2693670" cy="1732915"/>
            <wp:effectExtent l="0" t="0" r="11430" b="635"/>
            <wp:docPr id="1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4"/>
                    <pic:cNvPicPr>
                      <a:picLocks noChangeAspect="1"/>
                    </pic:cNvPicPr>
                  </pic:nvPicPr>
                  <pic:blipFill>
                    <a:blip r:embed="rId42"/>
                    <a:stretch>
                      <a:fillRect/>
                    </a:stretch>
                  </pic:blipFill>
                  <pic:spPr>
                    <a:xfrm>
                      <a:off x="0" y="0"/>
                      <a:ext cx="2693670" cy="1732915"/>
                    </a:xfrm>
                    <a:prstGeom prst="rect">
                      <a:avLst/>
                    </a:prstGeom>
                    <a:noFill/>
                    <a:ln>
                      <a:noFill/>
                    </a:ln>
                  </pic:spPr>
                </pic:pic>
              </a:graphicData>
            </a:graphic>
          </wp:inline>
        </w:drawing>
      </w:r>
    </w:p>
    <w:p w14:paraId="52E65828">
      <w:pPr>
        <w:numPr>
          <w:ilvl w:val="0"/>
          <w:numId w:val="21"/>
        </w:numPr>
        <w:bidi w:val="0"/>
        <w:jc w:val="center"/>
        <w:rPr>
          <w:rFonts w:hint="eastAsia"/>
          <w:color w:val="auto"/>
          <w:lang w:val="en-US" w:eastAsia="zh-CN"/>
        </w:rPr>
      </w:pPr>
      <w:r>
        <w:rPr>
          <w:rFonts w:hint="eastAsia" w:ascii="Times New Roman" w:hAnsi="Times New Roman" w:eastAsia="黑体" w:cs="Times New Roman"/>
          <w:color w:val="auto"/>
          <w:kern w:val="2"/>
          <w:sz w:val="21"/>
          <w:szCs w:val="21"/>
          <w:highlight w:val="none"/>
          <w:lang w:val="en-US" w:eastAsia="zh-CN" w:bidi="ar-SA"/>
        </w:rPr>
        <w:t>危险废物贮存设施标志样式示意图</w:t>
      </w:r>
    </w:p>
    <w:p w14:paraId="56530B3A">
      <w:pPr>
        <w:bidi w:val="0"/>
        <w:ind w:left="0" w:leftChars="0" w:firstLine="480" w:firstLineChars="200"/>
        <w:rPr>
          <w:color w:val="auto"/>
        </w:rPr>
      </w:pPr>
      <w:r>
        <w:rPr>
          <w:color w:val="auto"/>
        </w:rPr>
        <w:t>b</w:t>
      </w:r>
      <w:r>
        <w:rPr>
          <w:rFonts w:hint="eastAsia"/>
          <w:color w:val="auto"/>
        </w:rPr>
        <w:t>.危险废物转运时必须安全转移，防止撒漏，且由</w:t>
      </w:r>
      <w:r>
        <w:rPr>
          <w:rFonts w:hint="eastAsia"/>
          <w:color w:val="auto"/>
          <w:lang w:val="en-US" w:eastAsia="zh-CN"/>
        </w:rPr>
        <w:t>具有危险废物处置</w:t>
      </w:r>
      <w:r>
        <w:rPr>
          <w:rFonts w:hint="eastAsia"/>
          <w:color w:val="auto"/>
        </w:rPr>
        <w:t>资质的单位</w:t>
      </w:r>
      <w:r>
        <w:rPr>
          <w:rFonts w:hint="eastAsia"/>
          <w:color w:val="auto"/>
          <w:lang w:eastAsia="zh-CN"/>
        </w:rPr>
        <w:t>接收</w:t>
      </w:r>
      <w:r>
        <w:rPr>
          <w:rFonts w:hint="eastAsia"/>
          <w:color w:val="auto"/>
        </w:rPr>
        <w:t>。危险废物的处置需严格按照</w:t>
      </w:r>
      <w:r>
        <w:rPr>
          <w:rFonts w:hint="eastAsia"/>
          <w:color w:val="auto"/>
          <w:lang w:val="en-US" w:eastAsia="zh-CN"/>
        </w:rPr>
        <w:t>《危险废物转移管理办法》（部令第23号）</w:t>
      </w:r>
      <w:r>
        <w:rPr>
          <w:rFonts w:hint="eastAsia"/>
          <w:color w:val="auto"/>
        </w:rPr>
        <w:t>规定办理危险废物转移手续，并严格执行</w:t>
      </w:r>
      <w:r>
        <w:rPr>
          <w:rFonts w:hint="eastAsia"/>
          <w:color w:val="auto"/>
          <w:lang w:val="en-US" w:eastAsia="zh-CN"/>
        </w:rPr>
        <w:t>《危险废物转移管理办法》（部令第23号）</w:t>
      </w:r>
      <w:r>
        <w:rPr>
          <w:rFonts w:hint="eastAsia"/>
          <w:color w:val="auto"/>
        </w:rPr>
        <w:t>规定，防止二次污染。</w:t>
      </w:r>
    </w:p>
    <w:p w14:paraId="4CE9DF55">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由上述分析可知</w:t>
      </w:r>
      <w:r>
        <w:rPr>
          <w:rFonts w:hint="eastAsia" w:ascii="Times New Roman" w:hAnsi="Times New Roman" w:eastAsia="宋体" w:cs="Times New Roman"/>
          <w:color w:val="auto"/>
          <w:highlight w:val="none"/>
          <w:lang w:val="en-US" w:eastAsia="zh-CN"/>
        </w:rPr>
        <w:t>，本项目危险废物污染源源强核算结果及相关参数见下表。</w:t>
      </w:r>
    </w:p>
    <w:p w14:paraId="54F10FEF">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危险废物污染源源强核算结果及相关参数表</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73"/>
        <w:gridCol w:w="1214"/>
        <w:gridCol w:w="873"/>
        <w:gridCol w:w="1213"/>
        <w:gridCol w:w="682"/>
        <w:gridCol w:w="709"/>
        <w:gridCol w:w="723"/>
        <w:gridCol w:w="668"/>
        <w:gridCol w:w="733"/>
        <w:gridCol w:w="665"/>
      </w:tblGrid>
      <w:tr w14:paraId="19BD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05" w:type="pct"/>
            <w:noWrap w:val="0"/>
            <w:vAlign w:val="center"/>
          </w:tcPr>
          <w:p w14:paraId="33C2029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危险废物名称</w:t>
            </w:r>
          </w:p>
        </w:tc>
        <w:tc>
          <w:tcPr>
            <w:tcW w:w="459" w:type="pct"/>
            <w:noWrap w:val="0"/>
            <w:vAlign w:val="center"/>
          </w:tcPr>
          <w:p w14:paraId="74F424F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危险废物类别</w:t>
            </w:r>
          </w:p>
        </w:tc>
        <w:tc>
          <w:tcPr>
            <w:tcW w:w="638" w:type="pct"/>
            <w:noWrap w:val="0"/>
            <w:vAlign w:val="center"/>
          </w:tcPr>
          <w:p w14:paraId="48FDA14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危险废物代码</w:t>
            </w:r>
          </w:p>
        </w:tc>
        <w:tc>
          <w:tcPr>
            <w:tcW w:w="459" w:type="pct"/>
            <w:noWrap w:val="0"/>
            <w:vAlign w:val="center"/>
          </w:tcPr>
          <w:p w14:paraId="0B42C8E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产生量（t/a）</w:t>
            </w:r>
          </w:p>
        </w:tc>
        <w:tc>
          <w:tcPr>
            <w:tcW w:w="638" w:type="pct"/>
            <w:noWrap w:val="0"/>
            <w:vAlign w:val="center"/>
          </w:tcPr>
          <w:p w14:paraId="452561B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产生工序及装置</w:t>
            </w:r>
          </w:p>
        </w:tc>
        <w:tc>
          <w:tcPr>
            <w:tcW w:w="358" w:type="pct"/>
            <w:noWrap w:val="0"/>
            <w:vAlign w:val="center"/>
          </w:tcPr>
          <w:p w14:paraId="2174986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形态</w:t>
            </w:r>
          </w:p>
        </w:tc>
        <w:tc>
          <w:tcPr>
            <w:tcW w:w="373" w:type="pct"/>
            <w:noWrap w:val="0"/>
            <w:vAlign w:val="center"/>
          </w:tcPr>
          <w:p w14:paraId="4969FA3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主要成分</w:t>
            </w:r>
          </w:p>
        </w:tc>
        <w:tc>
          <w:tcPr>
            <w:tcW w:w="380" w:type="pct"/>
            <w:noWrap w:val="0"/>
            <w:vAlign w:val="center"/>
          </w:tcPr>
          <w:p w14:paraId="77DD6BC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有害成分</w:t>
            </w:r>
          </w:p>
        </w:tc>
        <w:tc>
          <w:tcPr>
            <w:tcW w:w="351" w:type="pct"/>
            <w:noWrap w:val="0"/>
            <w:vAlign w:val="center"/>
          </w:tcPr>
          <w:p w14:paraId="21B75E3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产废周期</w:t>
            </w:r>
          </w:p>
        </w:tc>
        <w:tc>
          <w:tcPr>
            <w:tcW w:w="385" w:type="pct"/>
            <w:noWrap w:val="0"/>
            <w:vAlign w:val="center"/>
          </w:tcPr>
          <w:p w14:paraId="1E45AC7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危险特性</w:t>
            </w:r>
          </w:p>
        </w:tc>
        <w:tc>
          <w:tcPr>
            <w:tcW w:w="349" w:type="pct"/>
            <w:noWrap w:val="0"/>
            <w:vAlign w:val="center"/>
          </w:tcPr>
          <w:p w14:paraId="2661D5F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污染防治措施</w:t>
            </w:r>
          </w:p>
        </w:tc>
      </w:tr>
      <w:tr w14:paraId="6B35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05" w:type="pct"/>
            <w:noWrap w:val="0"/>
            <w:vAlign w:val="center"/>
          </w:tcPr>
          <w:p w14:paraId="740D3B23">
            <w:pPr>
              <w:pStyle w:val="24"/>
              <w:bidi w:val="0"/>
              <w:ind w:left="0" w:leftChars="0"/>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沾染化学品的废包装材料</w:t>
            </w:r>
          </w:p>
        </w:tc>
        <w:tc>
          <w:tcPr>
            <w:tcW w:w="459" w:type="pct"/>
            <w:noWrap w:val="0"/>
            <w:vAlign w:val="center"/>
          </w:tcPr>
          <w:p w14:paraId="0075E38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HW49</w:t>
            </w:r>
          </w:p>
        </w:tc>
        <w:tc>
          <w:tcPr>
            <w:tcW w:w="638" w:type="pct"/>
            <w:noWrap w:val="0"/>
            <w:vAlign w:val="center"/>
          </w:tcPr>
          <w:p w14:paraId="67D9F4A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900-041-49</w:t>
            </w:r>
          </w:p>
        </w:tc>
        <w:tc>
          <w:tcPr>
            <w:tcW w:w="459" w:type="pct"/>
            <w:noWrap w:val="0"/>
            <w:vAlign w:val="center"/>
          </w:tcPr>
          <w:p w14:paraId="4C38984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5</w:t>
            </w:r>
          </w:p>
        </w:tc>
        <w:tc>
          <w:tcPr>
            <w:tcW w:w="638" w:type="pct"/>
            <w:noWrap w:val="0"/>
            <w:vAlign w:val="center"/>
          </w:tcPr>
          <w:p w14:paraId="0E1EC450">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原料使用</w:t>
            </w:r>
          </w:p>
        </w:tc>
        <w:tc>
          <w:tcPr>
            <w:tcW w:w="358" w:type="pct"/>
            <w:noWrap w:val="0"/>
            <w:vAlign w:val="center"/>
          </w:tcPr>
          <w:p w14:paraId="35ABF4F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固态</w:t>
            </w:r>
          </w:p>
        </w:tc>
        <w:tc>
          <w:tcPr>
            <w:tcW w:w="373" w:type="pct"/>
            <w:noWrap w:val="0"/>
            <w:vAlign w:val="center"/>
          </w:tcPr>
          <w:p w14:paraId="2FF1B746">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化学物质</w:t>
            </w:r>
          </w:p>
        </w:tc>
        <w:tc>
          <w:tcPr>
            <w:tcW w:w="380" w:type="pct"/>
            <w:noWrap w:val="0"/>
            <w:vAlign w:val="center"/>
          </w:tcPr>
          <w:p w14:paraId="4E1FC2B5">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化学物质</w:t>
            </w:r>
          </w:p>
        </w:tc>
        <w:tc>
          <w:tcPr>
            <w:tcW w:w="351" w:type="pct"/>
            <w:noWrap w:val="0"/>
            <w:vAlign w:val="center"/>
          </w:tcPr>
          <w:p w14:paraId="3F516A7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每天</w:t>
            </w:r>
          </w:p>
        </w:tc>
        <w:tc>
          <w:tcPr>
            <w:tcW w:w="385" w:type="pct"/>
            <w:noWrap w:val="0"/>
            <w:vAlign w:val="center"/>
          </w:tcPr>
          <w:p w14:paraId="3607A4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T</w:t>
            </w:r>
          </w:p>
        </w:tc>
        <w:tc>
          <w:tcPr>
            <w:tcW w:w="349" w:type="pct"/>
            <w:vMerge w:val="restart"/>
            <w:noWrap w:val="0"/>
            <w:vAlign w:val="center"/>
          </w:tcPr>
          <w:p w14:paraId="74AD09A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交由具有危险废物处置资质单位处理</w:t>
            </w:r>
          </w:p>
        </w:tc>
      </w:tr>
      <w:tr w14:paraId="643A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05" w:type="pct"/>
            <w:shd w:val="clear" w:color="auto" w:fill="auto"/>
            <w:noWrap w:val="0"/>
            <w:vAlign w:val="center"/>
          </w:tcPr>
          <w:p w14:paraId="6B1AB0D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highlight w:val="none"/>
                <w:lang w:val="en-US" w:eastAsia="zh-CN"/>
              </w:rPr>
              <w:t>质检废液、剩余检验样品、涉及磷及重金属器皿清洗废水</w:t>
            </w:r>
          </w:p>
        </w:tc>
        <w:tc>
          <w:tcPr>
            <w:tcW w:w="459" w:type="pct"/>
            <w:shd w:val="clear" w:color="auto" w:fill="auto"/>
            <w:noWrap w:val="0"/>
            <w:vAlign w:val="center"/>
          </w:tcPr>
          <w:p w14:paraId="1C3F257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HW49</w:t>
            </w:r>
          </w:p>
        </w:tc>
        <w:tc>
          <w:tcPr>
            <w:tcW w:w="638" w:type="pct"/>
            <w:shd w:val="clear" w:color="auto" w:fill="auto"/>
            <w:noWrap w:val="0"/>
            <w:vAlign w:val="center"/>
          </w:tcPr>
          <w:p w14:paraId="0B2AB61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900-047-49</w:t>
            </w:r>
          </w:p>
        </w:tc>
        <w:tc>
          <w:tcPr>
            <w:tcW w:w="459" w:type="pct"/>
            <w:shd w:val="clear" w:color="auto" w:fill="auto"/>
            <w:noWrap w:val="0"/>
            <w:vAlign w:val="center"/>
          </w:tcPr>
          <w:p w14:paraId="277EAE42">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13</w:t>
            </w:r>
          </w:p>
        </w:tc>
        <w:tc>
          <w:tcPr>
            <w:tcW w:w="638" w:type="pct"/>
            <w:shd w:val="clear" w:color="auto" w:fill="auto"/>
            <w:noWrap w:val="0"/>
            <w:vAlign w:val="center"/>
          </w:tcPr>
          <w:p w14:paraId="1A4A23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质检</w:t>
            </w:r>
          </w:p>
        </w:tc>
        <w:tc>
          <w:tcPr>
            <w:tcW w:w="358" w:type="pct"/>
            <w:shd w:val="clear" w:color="auto" w:fill="auto"/>
            <w:noWrap w:val="0"/>
            <w:vAlign w:val="center"/>
          </w:tcPr>
          <w:p w14:paraId="724C65E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液态</w:t>
            </w:r>
          </w:p>
        </w:tc>
        <w:tc>
          <w:tcPr>
            <w:tcW w:w="373" w:type="pct"/>
            <w:shd w:val="clear" w:color="auto" w:fill="auto"/>
            <w:noWrap w:val="0"/>
            <w:vAlign w:val="center"/>
          </w:tcPr>
          <w:p w14:paraId="034496A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化学物质</w:t>
            </w:r>
            <w:r>
              <w:rPr>
                <w:rFonts w:hint="eastAsia" w:cs="Courier New"/>
                <w:b w:val="0"/>
                <w:bCs w:val="0"/>
                <w:color w:val="auto"/>
                <w:highlight w:val="none"/>
                <w:lang w:val="en-US" w:eastAsia="zh-CN"/>
              </w:rPr>
              <w:t>、重金属</w:t>
            </w:r>
          </w:p>
        </w:tc>
        <w:tc>
          <w:tcPr>
            <w:tcW w:w="380" w:type="pct"/>
            <w:shd w:val="clear" w:color="auto" w:fill="auto"/>
            <w:noWrap w:val="0"/>
            <w:vAlign w:val="center"/>
          </w:tcPr>
          <w:p w14:paraId="7C93E76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化学物质</w:t>
            </w:r>
            <w:r>
              <w:rPr>
                <w:rFonts w:hint="eastAsia" w:cs="Courier New"/>
                <w:b w:val="0"/>
                <w:bCs w:val="0"/>
                <w:color w:val="auto"/>
                <w:highlight w:val="none"/>
                <w:lang w:val="en-US" w:eastAsia="zh-CN"/>
              </w:rPr>
              <w:t>、重金属</w:t>
            </w:r>
          </w:p>
        </w:tc>
        <w:tc>
          <w:tcPr>
            <w:tcW w:w="351" w:type="pct"/>
            <w:shd w:val="clear" w:color="auto" w:fill="auto"/>
            <w:noWrap w:val="0"/>
            <w:vAlign w:val="center"/>
          </w:tcPr>
          <w:p w14:paraId="462E96C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每天</w:t>
            </w:r>
          </w:p>
        </w:tc>
        <w:tc>
          <w:tcPr>
            <w:tcW w:w="385" w:type="pct"/>
            <w:shd w:val="clear" w:color="auto" w:fill="auto"/>
            <w:noWrap w:val="0"/>
            <w:vAlign w:val="center"/>
          </w:tcPr>
          <w:p w14:paraId="5215BB1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T,C</w:t>
            </w:r>
          </w:p>
        </w:tc>
        <w:tc>
          <w:tcPr>
            <w:tcW w:w="349" w:type="pct"/>
            <w:vMerge w:val="continue"/>
            <w:noWrap w:val="0"/>
            <w:vAlign w:val="center"/>
          </w:tcPr>
          <w:p w14:paraId="5EDEEBCA">
            <w:pPr>
              <w:pStyle w:val="24"/>
              <w:bidi w:val="0"/>
              <w:rPr>
                <w:rFonts w:hint="eastAsia" w:ascii="Times New Roman" w:hAnsi="Times New Roman" w:eastAsia="宋体" w:cs="Courier New"/>
                <w:b w:val="0"/>
                <w:bCs w:val="0"/>
                <w:color w:val="auto"/>
                <w:highlight w:val="none"/>
                <w:lang w:val="en-US" w:eastAsia="zh-CN"/>
              </w:rPr>
            </w:pPr>
          </w:p>
        </w:tc>
      </w:tr>
      <w:tr w14:paraId="67FA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605" w:type="pct"/>
            <w:noWrap w:val="0"/>
            <w:vAlign w:val="center"/>
          </w:tcPr>
          <w:p w14:paraId="2B2C01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喷淋废渣</w:t>
            </w:r>
          </w:p>
        </w:tc>
        <w:tc>
          <w:tcPr>
            <w:tcW w:w="459" w:type="pct"/>
            <w:noWrap w:val="0"/>
            <w:vAlign w:val="center"/>
          </w:tcPr>
          <w:p w14:paraId="6C92C93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HW49</w:t>
            </w:r>
          </w:p>
        </w:tc>
        <w:tc>
          <w:tcPr>
            <w:tcW w:w="638" w:type="pct"/>
            <w:noWrap w:val="0"/>
            <w:vAlign w:val="center"/>
          </w:tcPr>
          <w:p w14:paraId="62BEA60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900-041-49</w:t>
            </w:r>
          </w:p>
        </w:tc>
        <w:tc>
          <w:tcPr>
            <w:tcW w:w="459" w:type="pct"/>
            <w:noWrap w:val="0"/>
            <w:vAlign w:val="center"/>
          </w:tcPr>
          <w:p w14:paraId="2F2AF8F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0.0216</w:t>
            </w:r>
          </w:p>
        </w:tc>
        <w:tc>
          <w:tcPr>
            <w:tcW w:w="638" w:type="pct"/>
            <w:noWrap w:val="0"/>
            <w:vAlign w:val="center"/>
          </w:tcPr>
          <w:p w14:paraId="74E6BBE8">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废气</w:t>
            </w:r>
            <w:r>
              <w:rPr>
                <w:rFonts w:hint="default" w:ascii="Times New Roman" w:hAnsi="Times New Roman" w:eastAsia="宋体" w:cs="Courier New"/>
                <w:b w:val="0"/>
                <w:bCs w:val="0"/>
                <w:color w:val="auto"/>
                <w:highlight w:val="none"/>
                <w:lang w:val="en-US" w:eastAsia="zh-CN"/>
              </w:rPr>
              <w:t>喷淋</w:t>
            </w:r>
          </w:p>
        </w:tc>
        <w:tc>
          <w:tcPr>
            <w:tcW w:w="358" w:type="pct"/>
            <w:noWrap w:val="0"/>
            <w:vAlign w:val="center"/>
          </w:tcPr>
          <w:p w14:paraId="569683C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固态</w:t>
            </w:r>
          </w:p>
        </w:tc>
        <w:tc>
          <w:tcPr>
            <w:tcW w:w="373" w:type="pct"/>
            <w:noWrap w:val="0"/>
            <w:vAlign w:val="center"/>
          </w:tcPr>
          <w:p w14:paraId="3BBD3174">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化学物质</w:t>
            </w:r>
          </w:p>
        </w:tc>
        <w:tc>
          <w:tcPr>
            <w:tcW w:w="380" w:type="pct"/>
            <w:noWrap w:val="0"/>
            <w:vAlign w:val="center"/>
          </w:tcPr>
          <w:p w14:paraId="23968DA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化学物质</w:t>
            </w:r>
          </w:p>
        </w:tc>
        <w:tc>
          <w:tcPr>
            <w:tcW w:w="351" w:type="pct"/>
            <w:noWrap w:val="0"/>
            <w:vAlign w:val="center"/>
          </w:tcPr>
          <w:p w14:paraId="51BDBC6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每</w:t>
            </w:r>
            <w:r>
              <w:rPr>
                <w:rFonts w:hint="eastAsia" w:cs="Courier New"/>
                <w:b w:val="0"/>
                <w:bCs w:val="0"/>
                <w:color w:val="auto"/>
                <w:highlight w:val="none"/>
                <w:lang w:val="en-US" w:eastAsia="zh-CN"/>
              </w:rPr>
              <w:t>周</w:t>
            </w:r>
          </w:p>
        </w:tc>
        <w:tc>
          <w:tcPr>
            <w:tcW w:w="385" w:type="pct"/>
            <w:noWrap w:val="0"/>
            <w:vAlign w:val="center"/>
          </w:tcPr>
          <w:p w14:paraId="187157F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T</w:t>
            </w:r>
          </w:p>
        </w:tc>
        <w:tc>
          <w:tcPr>
            <w:tcW w:w="349" w:type="pct"/>
            <w:vMerge w:val="continue"/>
            <w:noWrap w:val="0"/>
            <w:vAlign w:val="center"/>
          </w:tcPr>
          <w:p w14:paraId="7124E8BD">
            <w:pPr>
              <w:jc w:val="center"/>
              <w:rPr>
                <w:rFonts w:ascii="Times New Roman" w:hAnsi="Times New Roman" w:cs="Times New Roman"/>
                <w:b w:val="0"/>
                <w:bCs w:val="0"/>
                <w:color w:val="auto"/>
                <w:szCs w:val="21"/>
                <w:highlight w:val="none"/>
              </w:rPr>
            </w:pPr>
          </w:p>
        </w:tc>
      </w:tr>
      <w:tr w14:paraId="1730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noWrap w:val="0"/>
            <w:vAlign w:val="center"/>
          </w:tcPr>
          <w:p w14:paraId="2E2F5E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废过滤棉</w:t>
            </w:r>
          </w:p>
        </w:tc>
        <w:tc>
          <w:tcPr>
            <w:tcW w:w="459" w:type="pct"/>
            <w:noWrap w:val="0"/>
            <w:vAlign w:val="center"/>
          </w:tcPr>
          <w:p w14:paraId="1511D6D6">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HW49</w:t>
            </w:r>
          </w:p>
        </w:tc>
        <w:tc>
          <w:tcPr>
            <w:tcW w:w="638" w:type="pct"/>
            <w:noWrap w:val="0"/>
            <w:vAlign w:val="center"/>
          </w:tcPr>
          <w:p w14:paraId="75D795DA">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900-041-49</w:t>
            </w:r>
          </w:p>
        </w:tc>
        <w:tc>
          <w:tcPr>
            <w:tcW w:w="459" w:type="pct"/>
            <w:noWrap w:val="0"/>
            <w:vAlign w:val="center"/>
          </w:tcPr>
          <w:p w14:paraId="5017745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0.1</w:t>
            </w:r>
          </w:p>
        </w:tc>
        <w:tc>
          <w:tcPr>
            <w:tcW w:w="638" w:type="pct"/>
            <w:noWrap w:val="0"/>
            <w:vAlign w:val="center"/>
          </w:tcPr>
          <w:p w14:paraId="3A3BA63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有机废气处理</w:t>
            </w:r>
          </w:p>
        </w:tc>
        <w:tc>
          <w:tcPr>
            <w:tcW w:w="358" w:type="pct"/>
            <w:noWrap w:val="0"/>
            <w:vAlign w:val="center"/>
          </w:tcPr>
          <w:p w14:paraId="48D15BF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固态</w:t>
            </w:r>
          </w:p>
        </w:tc>
        <w:tc>
          <w:tcPr>
            <w:tcW w:w="373" w:type="pct"/>
            <w:noWrap w:val="0"/>
            <w:vAlign w:val="center"/>
          </w:tcPr>
          <w:p w14:paraId="42BC011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有机废气</w:t>
            </w:r>
          </w:p>
        </w:tc>
        <w:tc>
          <w:tcPr>
            <w:tcW w:w="380" w:type="pct"/>
            <w:noWrap w:val="0"/>
            <w:vAlign w:val="center"/>
          </w:tcPr>
          <w:p w14:paraId="3743584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有机废气</w:t>
            </w:r>
          </w:p>
        </w:tc>
        <w:tc>
          <w:tcPr>
            <w:tcW w:w="351" w:type="pct"/>
            <w:noWrap w:val="0"/>
            <w:vAlign w:val="center"/>
          </w:tcPr>
          <w:p w14:paraId="6AA215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每三个月</w:t>
            </w:r>
          </w:p>
        </w:tc>
        <w:tc>
          <w:tcPr>
            <w:tcW w:w="385" w:type="pct"/>
            <w:noWrap w:val="0"/>
            <w:vAlign w:val="center"/>
          </w:tcPr>
          <w:p w14:paraId="502A0B4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T</w:t>
            </w:r>
          </w:p>
        </w:tc>
        <w:tc>
          <w:tcPr>
            <w:tcW w:w="349" w:type="pct"/>
            <w:vMerge w:val="continue"/>
            <w:noWrap w:val="0"/>
            <w:vAlign w:val="center"/>
          </w:tcPr>
          <w:p w14:paraId="7D2217B2">
            <w:pPr>
              <w:jc w:val="center"/>
              <w:rPr>
                <w:rFonts w:ascii="Times New Roman" w:hAnsi="Times New Roman" w:cs="Times New Roman"/>
                <w:b w:val="0"/>
                <w:bCs w:val="0"/>
                <w:color w:val="auto"/>
                <w:szCs w:val="21"/>
                <w:highlight w:val="none"/>
              </w:rPr>
            </w:pPr>
          </w:p>
        </w:tc>
      </w:tr>
      <w:tr w14:paraId="16A3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noWrap w:val="0"/>
            <w:vAlign w:val="center"/>
          </w:tcPr>
          <w:p w14:paraId="5FE0A4F5">
            <w:pPr>
              <w:pStyle w:val="24"/>
              <w:bidi w:val="0"/>
              <w:ind w:left="0" w:leftChars="0"/>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废活性炭</w:t>
            </w:r>
          </w:p>
        </w:tc>
        <w:tc>
          <w:tcPr>
            <w:tcW w:w="459" w:type="pct"/>
            <w:noWrap w:val="0"/>
            <w:vAlign w:val="center"/>
          </w:tcPr>
          <w:p w14:paraId="2CDF32B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HW49</w:t>
            </w:r>
          </w:p>
        </w:tc>
        <w:tc>
          <w:tcPr>
            <w:tcW w:w="638" w:type="pct"/>
            <w:noWrap w:val="0"/>
            <w:vAlign w:val="center"/>
          </w:tcPr>
          <w:p w14:paraId="0C99D1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900-0</w:t>
            </w:r>
            <w:r>
              <w:rPr>
                <w:rFonts w:hint="eastAsia" w:cs="Courier New"/>
                <w:b w:val="0"/>
                <w:bCs w:val="0"/>
                <w:color w:val="auto"/>
                <w:highlight w:val="none"/>
                <w:lang w:val="en-US" w:eastAsia="zh-CN"/>
              </w:rPr>
              <w:t>39</w:t>
            </w:r>
            <w:r>
              <w:rPr>
                <w:rFonts w:hint="eastAsia" w:ascii="Times New Roman" w:hAnsi="Times New Roman" w:eastAsia="宋体" w:cs="Courier New"/>
                <w:b w:val="0"/>
                <w:bCs w:val="0"/>
                <w:color w:val="auto"/>
                <w:highlight w:val="none"/>
                <w:lang w:val="en-US" w:eastAsia="zh-CN"/>
              </w:rPr>
              <w:t>-49</w:t>
            </w:r>
          </w:p>
        </w:tc>
        <w:tc>
          <w:tcPr>
            <w:tcW w:w="459" w:type="pct"/>
            <w:noWrap w:val="0"/>
            <w:vAlign w:val="center"/>
          </w:tcPr>
          <w:p w14:paraId="68868897">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14</w:t>
            </w:r>
          </w:p>
        </w:tc>
        <w:tc>
          <w:tcPr>
            <w:tcW w:w="638" w:type="pct"/>
            <w:noWrap w:val="0"/>
            <w:vAlign w:val="center"/>
          </w:tcPr>
          <w:p w14:paraId="48EF7508">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有机废气处理</w:t>
            </w:r>
          </w:p>
        </w:tc>
        <w:tc>
          <w:tcPr>
            <w:tcW w:w="358" w:type="pct"/>
            <w:noWrap w:val="0"/>
            <w:vAlign w:val="center"/>
          </w:tcPr>
          <w:p w14:paraId="661BACC8">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固态</w:t>
            </w:r>
          </w:p>
        </w:tc>
        <w:tc>
          <w:tcPr>
            <w:tcW w:w="373" w:type="pct"/>
            <w:shd w:val="clear" w:color="auto" w:fill="auto"/>
            <w:noWrap w:val="0"/>
            <w:vAlign w:val="center"/>
          </w:tcPr>
          <w:p w14:paraId="7608993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有机废气</w:t>
            </w:r>
          </w:p>
        </w:tc>
        <w:tc>
          <w:tcPr>
            <w:tcW w:w="380" w:type="pct"/>
            <w:shd w:val="clear" w:color="auto" w:fill="auto"/>
            <w:noWrap w:val="0"/>
            <w:vAlign w:val="center"/>
          </w:tcPr>
          <w:p w14:paraId="72D030C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有机废气</w:t>
            </w:r>
          </w:p>
        </w:tc>
        <w:tc>
          <w:tcPr>
            <w:tcW w:w="351" w:type="pct"/>
            <w:noWrap w:val="0"/>
            <w:vAlign w:val="center"/>
          </w:tcPr>
          <w:p w14:paraId="41BF22A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每三个月</w:t>
            </w:r>
          </w:p>
        </w:tc>
        <w:tc>
          <w:tcPr>
            <w:tcW w:w="385" w:type="pct"/>
            <w:noWrap w:val="0"/>
            <w:vAlign w:val="center"/>
          </w:tcPr>
          <w:p w14:paraId="48DE79A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T</w:t>
            </w:r>
          </w:p>
        </w:tc>
        <w:tc>
          <w:tcPr>
            <w:tcW w:w="349" w:type="pct"/>
            <w:vMerge w:val="continue"/>
            <w:noWrap w:val="0"/>
            <w:vAlign w:val="center"/>
          </w:tcPr>
          <w:p w14:paraId="0E89369E">
            <w:pPr>
              <w:jc w:val="center"/>
              <w:rPr>
                <w:rFonts w:ascii="Times New Roman" w:hAnsi="Times New Roman" w:cs="Times New Roman"/>
                <w:b w:val="0"/>
                <w:bCs w:val="0"/>
                <w:color w:val="auto"/>
                <w:szCs w:val="21"/>
                <w:highlight w:val="none"/>
              </w:rPr>
            </w:pPr>
          </w:p>
        </w:tc>
      </w:tr>
      <w:tr w14:paraId="0AFC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noWrap w:val="0"/>
            <w:vAlign w:val="center"/>
          </w:tcPr>
          <w:p w14:paraId="6EDAEA6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废润滑油</w:t>
            </w:r>
          </w:p>
        </w:tc>
        <w:tc>
          <w:tcPr>
            <w:tcW w:w="459" w:type="pct"/>
            <w:noWrap w:val="0"/>
            <w:vAlign w:val="center"/>
          </w:tcPr>
          <w:p w14:paraId="2A973F8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HW08</w:t>
            </w:r>
          </w:p>
        </w:tc>
        <w:tc>
          <w:tcPr>
            <w:tcW w:w="638" w:type="pct"/>
            <w:noWrap w:val="0"/>
            <w:vAlign w:val="center"/>
          </w:tcPr>
          <w:p w14:paraId="0FCFF16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900-218-08</w:t>
            </w:r>
          </w:p>
        </w:tc>
        <w:tc>
          <w:tcPr>
            <w:tcW w:w="459" w:type="pct"/>
            <w:noWrap w:val="0"/>
            <w:vAlign w:val="center"/>
          </w:tcPr>
          <w:p w14:paraId="243C4B2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0.1</w:t>
            </w:r>
          </w:p>
        </w:tc>
        <w:tc>
          <w:tcPr>
            <w:tcW w:w="638" w:type="pct"/>
            <w:shd w:val="clear" w:color="auto" w:fill="auto"/>
            <w:noWrap w:val="0"/>
            <w:vAlign w:val="center"/>
          </w:tcPr>
          <w:p w14:paraId="67BAA06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设备维护保养</w:t>
            </w:r>
          </w:p>
        </w:tc>
        <w:tc>
          <w:tcPr>
            <w:tcW w:w="358" w:type="pct"/>
            <w:shd w:val="clear" w:color="auto" w:fill="auto"/>
            <w:noWrap w:val="0"/>
            <w:vAlign w:val="center"/>
          </w:tcPr>
          <w:p w14:paraId="65A9DAC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液态</w:t>
            </w:r>
          </w:p>
        </w:tc>
        <w:tc>
          <w:tcPr>
            <w:tcW w:w="373" w:type="pct"/>
            <w:shd w:val="clear" w:color="auto" w:fill="auto"/>
            <w:noWrap w:val="0"/>
            <w:vAlign w:val="center"/>
          </w:tcPr>
          <w:p w14:paraId="107EE64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矿物油</w:t>
            </w:r>
          </w:p>
        </w:tc>
        <w:tc>
          <w:tcPr>
            <w:tcW w:w="380" w:type="pct"/>
            <w:shd w:val="clear" w:color="auto" w:fill="auto"/>
            <w:noWrap w:val="0"/>
            <w:vAlign w:val="center"/>
          </w:tcPr>
          <w:p w14:paraId="2C96E4C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矿物油</w:t>
            </w:r>
          </w:p>
        </w:tc>
        <w:tc>
          <w:tcPr>
            <w:tcW w:w="351" w:type="pct"/>
            <w:noWrap w:val="0"/>
            <w:vAlign w:val="center"/>
          </w:tcPr>
          <w:p w14:paraId="65202C4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每天</w:t>
            </w:r>
          </w:p>
        </w:tc>
        <w:tc>
          <w:tcPr>
            <w:tcW w:w="385" w:type="pct"/>
            <w:noWrap w:val="0"/>
            <w:vAlign w:val="center"/>
          </w:tcPr>
          <w:p w14:paraId="2E766E3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T</w:t>
            </w:r>
            <w:r>
              <w:rPr>
                <w:rFonts w:hint="eastAsia" w:cs="Courier New"/>
                <w:b w:val="0"/>
                <w:bCs w:val="0"/>
                <w:color w:val="auto"/>
                <w:highlight w:val="none"/>
                <w:lang w:val="en-US" w:eastAsia="zh-CN"/>
              </w:rPr>
              <w:t>,I</w:t>
            </w:r>
          </w:p>
        </w:tc>
        <w:tc>
          <w:tcPr>
            <w:tcW w:w="349" w:type="pct"/>
            <w:vMerge w:val="continue"/>
            <w:noWrap w:val="0"/>
            <w:vAlign w:val="center"/>
          </w:tcPr>
          <w:p w14:paraId="3B638105">
            <w:pPr>
              <w:jc w:val="center"/>
              <w:rPr>
                <w:rFonts w:ascii="Times New Roman" w:hAnsi="Times New Roman" w:cs="Times New Roman"/>
                <w:b w:val="0"/>
                <w:bCs w:val="0"/>
                <w:color w:val="auto"/>
                <w:szCs w:val="21"/>
                <w:highlight w:val="none"/>
              </w:rPr>
            </w:pPr>
          </w:p>
        </w:tc>
      </w:tr>
      <w:tr w14:paraId="4DD0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shd w:val="clear" w:color="auto" w:fill="auto"/>
            <w:noWrap w:val="0"/>
            <w:vAlign w:val="center"/>
          </w:tcPr>
          <w:p w14:paraId="1C04B50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废油桶</w:t>
            </w:r>
          </w:p>
        </w:tc>
        <w:tc>
          <w:tcPr>
            <w:tcW w:w="459" w:type="pct"/>
            <w:shd w:val="clear" w:color="auto" w:fill="auto"/>
            <w:noWrap w:val="0"/>
            <w:vAlign w:val="center"/>
          </w:tcPr>
          <w:p w14:paraId="2CEF0B9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HW08</w:t>
            </w:r>
          </w:p>
        </w:tc>
        <w:tc>
          <w:tcPr>
            <w:tcW w:w="638" w:type="pct"/>
            <w:shd w:val="clear" w:color="auto" w:fill="auto"/>
            <w:noWrap w:val="0"/>
            <w:vAlign w:val="center"/>
          </w:tcPr>
          <w:p w14:paraId="31B216F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900-249-08</w:t>
            </w:r>
          </w:p>
        </w:tc>
        <w:tc>
          <w:tcPr>
            <w:tcW w:w="459" w:type="pct"/>
            <w:noWrap w:val="0"/>
            <w:vAlign w:val="center"/>
          </w:tcPr>
          <w:p w14:paraId="22A2877C">
            <w:pPr>
              <w:pStyle w:val="24"/>
              <w:bidi w:val="0"/>
              <w:rPr>
                <w:rFonts w:hint="default" w:cs="Courier New"/>
                <w:b w:val="0"/>
                <w:bCs w:val="0"/>
                <w:color w:val="auto"/>
                <w:highlight w:val="none"/>
                <w:lang w:val="en-US" w:eastAsia="zh-CN"/>
              </w:rPr>
            </w:pPr>
            <w:r>
              <w:rPr>
                <w:rFonts w:hint="eastAsia" w:cs="Courier New"/>
                <w:b w:val="0"/>
                <w:bCs w:val="0"/>
                <w:color w:val="auto"/>
                <w:highlight w:val="none"/>
                <w:lang w:val="en-US" w:eastAsia="zh-CN"/>
              </w:rPr>
              <w:t>0.01</w:t>
            </w:r>
          </w:p>
        </w:tc>
        <w:tc>
          <w:tcPr>
            <w:tcW w:w="638" w:type="pct"/>
            <w:shd w:val="clear" w:color="auto" w:fill="auto"/>
            <w:noWrap w:val="0"/>
            <w:vAlign w:val="center"/>
          </w:tcPr>
          <w:p w14:paraId="08185DB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设备维护保养</w:t>
            </w:r>
          </w:p>
        </w:tc>
        <w:tc>
          <w:tcPr>
            <w:tcW w:w="358" w:type="pct"/>
            <w:shd w:val="clear" w:color="auto" w:fill="auto"/>
            <w:noWrap w:val="0"/>
            <w:vAlign w:val="center"/>
          </w:tcPr>
          <w:p w14:paraId="4264E6E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固态</w:t>
            </w:r>
          </w:p>
        </w:tc>
        <w:tc>
          <w:tcPr>
            <w:tcW w:w="373" w:type="pct"/>
            <w:shd w:val="clear" w:color="auto" w:fill="auto"/>
            <w:noWrap w:val="0"/>
            <w:vAlign w:val="center"/>
          </w:tcPr>
          <w:p w14:paraId="2D71A2F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矿物油</w:t>
            </w:r>
          </w:p>
        </w:tc>
        <w:tc>
          <w:tcPr>
            <w:tcW w:w="380" w:type="pct"/>
            <w:shd w:val="clear" w:color="auto" w:fill="auto"/>
            <w:noWrap w:val="0"/>
            <w:vAlign w:val="center"/>
          </w:tcPr>
          <w:p w14:paraId="7851169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矿物油</w:t>
            </w:r>
          </w:p>
        </w:tc>
        <w:tc>
          <w:tcPr>
            <w:tcW w:w="351" w:type="pct"/>
            <w:shd w:val="clear" w:color="auto" w:fill="auto"/>
            <w:noWrap w:val="0"/>
            <w:vAlign w:val="center"/>
          </w:tcPr>
          <w:p w14:paraId="6D3D85C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每天</w:t>
            </w:r>
          </w:p>
        </w:tc>
        <w:tc>
          <w:tcPr>
            <w:tcW w:w="385" w:type="pct"/>
            <w:shd w:val="clear" w:color="auto" w:fill="auto"/>
            <w:noWrap w:val="0"/>
            <w:vAlign w:val="center"/>
          </w:tcPr>
          <w:p w14:paraId="580309C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T</w:t>
            </w:r>
            <w:r>
              <w:rPr>
                <w:rFonts w:hint="eastAsia" w:cs="Courier New"/>
                <w:b w:val="0"/>
                <w:bCs w:val="0"/>
                <w:color w:val="auto"/>
                <w:highlight w:val="none"/>
                <w:lang w:val="en-US" w:eastAsia="zh-CN"/>
              </w:rPr>
              <w:t>,I</w:t>
            </w:r>
          </w:p>
        </w:tc>
        <w:tc>
          <w:tcPr>
            <w:tcW w:w="349" w:type="pct"/>
            <w:vMerge w:val="continue"/>
            <w:noWrap w:val="0"/>
            <w:vAlign w:val="center"/>
          </w:tcPr>
          <w:p w14:paraId="2F9C4D2E">
            <w:pPr>
              <w:jc w:val="center"/>
              <w:rPr>
                <w:rFonts w:ascii="Times New Roman" w:hAnsi="Times New Roman" w:cs="Times New Roman"/>
                <w:b w:val="0"/>
                <w:bCs w:val="0"/>
                <w:color w:val="auto"/>
                <w:szCs w:val="21"/>
                <w:highlight w:val="none"/>
              </w:rPr>
            </w:pPr>
          </w:p>
        </w:tc>
      </w:tr>
      <w:tr w14:paraId="37E4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shd w:val="clear" w:color="auto" w:fill="auto"/>
            <w:noWrap w:val="0"/>
            <w:vAlign w:val="center"/>
          </w:tcPr>
          <w:p w14:paraId="37FBE890">
            <w:pPr>
              <w:pStyle w:val="24"/>
              <w:bidi w:val="0"/>
              <w:ind w:left="0" w:leftChars="0"/>
              <w:rPr>
                <w:rFonts w:hint="default"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含油废棉纱手套</w:t>
            </w:r>
          </w:p>
        </w:tc>
        <w:tc>
          <w:tcPr>
            <w:tcW w:w="459" w:type="pct"/>
            <w:shd w:val="clear" w:color="auto" w:fill="auto"/>
            <w:noWrap w:val="0"/>
            <w:vAlign w:val="center"/>
          </w:tcPr>
          <w:p w14:paraId="308C1DA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HW49</w:t>
            </w:r>
          </w:p>
        </w:tc>
        <w:tc>
          <w:tcPr>
            <w:tcW w:w="638" w:type="pct"/>
            <w:shd w:val="clear" w:color="auto" w:fill="auto"/>
            <w:noWrap w:val="0"/>
            <w:vAlign w:val="center"/>
          </w:tcPr>
          <w:p w14:paraId="7C37115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900-041-49</w:t>
            </w:r>
          </w:p>
        </w:tc>
        <w:tc>
          <w:tcPr>
            <w:tcW w:w="459" w:type="pct"/>
            <w:shd w:val="clear" w:color="auto" w:fill="auto"/>
            <w:noWrap w:val="0"/>
            <w:vAlign w:val="center"/>
          </w:tcPr>
          <w:p w14:paraId="7A15AF6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0.01</w:t>
            </w:r>
          </w:p>
        </w:tc>
        <w:tc>
          <w:tcPr>
            <w:tcW w:w="638" w:type="pct"/>
            <w:shd w:val="clear" w:color="auto" w:fill="auto"/>
            <w:noWrap w:val="0"/>
            <w:vAlign w:val="center"/>
          </w:tcPr>
          <w:p w14:paraId="6E9FD3D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设备维护保养</w:t>
            </w:r>
          </w:p>
        </w:tc>
        <w:tc>
          <w:tcPr>
            <w:tcW w:w="358" w:type="pct"/>
            <w:shd w:val="clear" w:color="auto" w:fill="auto"/>
            <w:noWrap w:val="0"/>
            <w:vAlign w:val="center"/>
          </w:tcPr>
          <w:p w14:paraId="1CC4384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固态</w:t>
            </w:r>
          </w:p>
        </w:tc>
        <w:tc>
          <w:tcPr>
            <w:tcW w:w="373" w:type="pct"/>
            <w:shd w:val="clear" w:color="auto" w:fill="auto"/>
            <w:noWrap w:val="0"/>
            <w:vAlign w:val="center"/>
          </w:tcPr>
          <w:p w14:paraId="4097AA6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矿物油</w:t>
            </w:r>
          </w:p>
        </w:tc>
        <w:tc>
          <w:tcPr>
            <w:tcW w:w="380" w:type="pct"/>
            <w:shd w:val="clear" w:color="auto" w:fill="auto"/>
            <w:noWrap w:val="0"/>
            <w:vAlign w:val="center"/>
          </w:tcPr>
          <w:p w14:paraId="7FB306F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矿物油</w:t>
            </w:r>
          </w:p>
        </w:tc>
        <w:tc>
          <w:tcPr>
            <w:tcW w:w="351" w:type="pct"/>
            <w:shd w:val="clear" w:color="auto" w:fill="auto"/>
            <w:noWrap w:val="0"/>
            <w:vAlign w:val="center"/>
          </w:tcPr>
          <w:p w14:paraId="665235C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每天</w:t>
            </w:r>
          </w:p>
        </w:tc>
        <w:tc>
          <w:tcPr>
            <w:tcW w:w="385" w:type="pct"/>
            <w:shd w:val="clear" w:color="auto" w:fill="auto"/>
            <w:noWrap w:val="0"/>
            <w:vAlign w:val="center"/>
          </w:tcPr>
          <w:p w14:paraId="72331E0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T</w:t>
            </w:r>
            <w:r>
              <w:rPr>
                <w:rFonts w:hint="eastAsia" w:cs="Courier New"/>
                <w:b w:val="0"/>
                <w:bCs w:val="0"/>
                <w:color w:val="auto"/>
                <w:highlight w:val="none"/>
                <w:lang w:val="en-US" w:eastAsia="zh-CN"/>
              </w:rPr>
              <w:t>,I</w:t>
            </w:r>
          </w:p>
        </w:tc>
        <w:tc>
          <w:tcPr>
            <w:tcW w:w="349" w:type="pct"/>
            <w:vMerge w:val="continue"/>
            <w:noWrap w:val="0"/>
            <w:vAlign w:val="center"/>
          </w:tcPr>
          <w:p w14:paraId="5DB79F59">
            <w:pPr>
              <w:jc w:val="center"/>
              <w:rPr>
                <w:rFonts w:ascii="Times New Roman" w:hAnsi="Times New Roman" w:cs="Times New Roman"/>
                <w:b w:val="0"/>
                <w:bCs w:val="0"/>
                <w:color w:val="auto"/>
                <w:szCs w:val="21"/>
                <w:highlight w:val="none"/>
              </w:rPr>
            </w:pPr>
          </w:p>
        </w:tc>
      </w:tr>
    </w:tbl>
    <w:p w14:paraId="28AD2658">
      <w:pPr>
        <w:pStyle w:val="5"/>
        <w:bidi w:val="0"/>
        <w:rPr>
          <w:color w:val="auto"/>
          <w:highlight w:val="none"/>
        </w:rPr>
      </w:pPr>
      <w:r>
        <w:rPr>
          <w:rFonts w:hint="eastAsia"/>
          <w:color w:val="auto"/>
          <w:highlight w:val="none"/>
          <w:lang w:val="en-US" w:eastAsia="zh-CN"/>
        </w:rPr>
        <w:t>地下水污染防治措施</w:t>
      </w:r>
    </w:p>
    <w:p w14:paraId="66079711">
      <w:pPr>
        <w:pStyle w:val="6"/>
        <w:bidi w:val="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1、地下水污染途径</w:t>
      </w:r>
    </w:p>
    <w:p w14:paraId="5D9C54C4">
      <w:pPr>
        <w:bidi w:val="0"/>
        <w:ind w:left="0" w:leftChars="0" w:firstLine="480" w:firstLineChars="200"/>
        <w:rPr>
          <w:color w:val="auto"/>
        </w:rPr>
      </w:pPr>
      <w:r>
        <w:rPr>
          <w:rFonts w:hint="eastAsia"/>
          <w:color w:val="auto"/>
          <w:lang w:eastAsia="zh-CN"/>
        </w:rPr>
        <w:t>运营期</w:t>
      </w:r>
      <w:r>
        <w:rPr>
          <w:rFonts w:hint="eastAsia"/>
          <w:color w:val="auto"/>
        </w:rPr>
        <w:t>污染物进入地下水环境的途径主要是由废水或物料泄漏等通过垂直渗透进入包气带，进入包气带的污染物在物理、化学和生物作用下经吸附、转化、迁移和分解后输入地下水。</w:t>
      </w:r>
      <w:r>
        <w:rPr>
          <w:rFonts w:hint="eastAsia"/>
          <w:color w:val="auto"/>
          <w:lang w:eastAsia="zh-CN"/>
        </w:rPr>
        <w:t>运营期</w:t>
      </w:r>
      <w:r>
        <w:rPr>
          <w:rFonts w:hint="eastAsia"/>
          <w:color w:val="auto"/>
        </w:rPr>
        <w:t>因渗漏可能产生的污染地下水环节为</w:t>
      </w:r>
      <w:r>
        <w:rPr>
          <w:rFonts w:hint="eastAsia"/>
          <w:color w:val="auto"/>
          <w:lang w:val="en-US" w:eastAsia="zh-CN"/>
        </w:rPr>
        <w:t>生产车间</w:t>
      </w:r>
      <w:r>
        <w:rPr>
          <w:rFonts w:hint="eastAsia"/>
          <w:color w:val="auto"/>
        </w:rPr>
        <w:t>、</w:t>
      </w:r>
      <w:r>
        <w:rPr>
          <w:rFonts w:hint="eastAsia"/>
          <w:color w:val="auto"/>
          <w:lang w:val="en-US" w:eastAsia="zh-CN"/>
        </w:rPr>
        <w:t>罐区、仓库、危废暂存间等</w:t>
      </w:r>
      <w:r>
        <w:rPr>
          <w:rFonts w:hint="eastAsia"/>
          <w:color w:val="auto"/>
        </w:rPr>
        <w:t>发生“跑、冒、滴、漏”使污染物进入地下水环境。</w:t>
      </w:r>
    </w:p>
    <w:p w14:paraId="09A41D5B">
      <w:pPr>
        <w:pStyle w:val="6"/>
        <w:bidi w:val="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2、地下水防渗分区</w:t>
      </w:r>
    </w:p>
    <w:p w14:paraId="3780CD7E">
      <w:pPr>
        <w:bidi w:val="0"/>
        <w:ind w:left="0" w:leftChars="0" w:firstLine="480" w:firstLineChars="200"/>
        <w:rPr>
          <w:rFonts w:hint="eastAsia"/>
          <w:color w:val="auto"/>
          <w:lang w:eastAsia="zh-CN"/>
        </w:rPr>
      </w:pPr>
      <w:r>
        <w:rPr>
          <w:rFonts w:hint="eastAsia"/>
          <w:color w:val="auto"/>
        </w:rPr>
        <w:t>根据《环境影响评价技术导则 地下水环境》（HJ610-2016）</w:t>
      </w:r>
      <w:r>
        <w:rPr>
          <w:color w:val="auto"/>
        </w:rPr>
        <w:t>防渗分区原则</w:t>
      </w:r>
      <w:r>
        <w:rPr>
          <w:rFonts w:hint="eastAsia"/>
          <w:color w:val="auto"/>
        </w:rPr>
        <w:t>，将</w:t>
      </w:r>
      <w:r>
        <w:rPr>
          <w:color w:val="auto"/>
        </w:rPr>
        <w:t>本项目</w:t>
      </w:r>
      <w:r>
        <w:rPr>
          <w:rFonts w:hint="eastAsia"/>
          <w:color w:val="auto"/>
          <w:lang w:eastAsia="zh-CN"/>
        </w:rPr>
        <w:t>划分</w:t>
      </w:r>
      <w:r>
        <w:rPr>
          <w:color w:val="auto"/>
        </w:rPr>
        <w:t>为</w:t>
      </w:r>
      <w:r>
        <w:rPr>
          <w:rFonts w:hint="eastAsia"/>
          <w:color w:val="auto"/>
        </w:rPr>
        <w:t>重点</w:t>
      </w:r>
      <w:r>
        <w:rPr>
          <w:color w:val="auto"/>
        </w:rPr>
        <w:t>防渗区</w:t>
      </w:r>
      <w:r>
        <w:rPr>
          <w:rFonts w:hint="eastAsia"/>
          <w:color w:val="auto"/>
        </w:rPr>
        <w:t>、</w:t>
      </w:r>
      <w:r>
        <w:rPr>
          <w:color w:val="auto"/>
        </w:rPr>
        <w:t>一般防渗区和简单防渗区</w:t>
      </w:r>
      <w:r>
        <w:rPr>
          <w:rFonts w:hint="eastAsia"/>
          <w:color w:val="auto"/>
        </w:rPr>
        <w:t>，划分</w:t>
      </w:r>
      <w:r>
        <w:rPr>
          <w:color w:val="auto"/>
        </w:rPr>
        <w:t>区域如下</w:t>
      </w:r>
      <w:r>
        <w:rPr>
          <w:rFonts w:hint="eastAsia"/>
          <w:color w:val="auto"/>
          <w:lang w:eastAsia="zh-CN"/>
        </w:rPr>
        <w:t>。</w:t>
      </w:r>
    </w:p>
    <w:p w14:paraId="17D92329">
      <w:pPr>
        <w:bidi w:val="0"/>
        <w:ind w:left="0" w:leftChars="0" w:firstLine="480" w:firstLineChars="200"/>
        <w:rPr>
          <w:rFonts w:hint="eastAsia"/>
          <w:color w:val="auto"/>
          <w:lang w:eastAsia="zh-CN"/>
        </w:rPr>
      </w:pPr>
    </w:p>
    <w:p w14:paraId="558B2C7B">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地下水防渗分区表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4455"/>
        <w:gridCol w:w="3782"/>
      </w:tblGrid>
      <w:tr w14:paraId="0459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666" w:type="pct"/>
            <w:noWrap w:val="0"/>
            <w:vAlign w:val="center"/>
          </w:tcPr>
          <w:p w14:paraId="287B3AB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防渗分区</w:t>
            </w:r>
          </w:p>
        </w:tc>
        <w:tc>
          <w:tcPr>
            <w:tcW w:w="2343" w:type="pct"/>
            <w:noWrap w:val="0"/>
            <w:vAlign w:val="center"/>
          </w:tcPr>
          <w:p w14:paraId="5EF82E3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涉及区域</w:t>
            </w:r>
          </w:p>
        </w:tc>
        <w:tc>
          <w:tcPr>
            <w:tcW w:w="1989" w:type="pct"/>
            <w:noWrap w:val="0"/>
            <w:vAlign w:val="center"/>
          </w:tcPr>
          <w:p w14:paraId="142A814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防渗要求</w:t>
            </w:r>
          </w:p>
        </w:tc>
      </w:tr>
      <w:tr w14:paraId="714F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pct"/>
            <w:noWrap w:val="0"/>
            <w:vAlign w:val="center"/>
          </w:tcPr>
          <w:p w14:paraId="6814704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重点防渗区</w:t>
            </w:r>
          </w:p>
        </w:tc>
        <w:tc>
          <w:tcPr>
            <w:tcW w:w="2343" w:type="pct"/>
            <w:shd w:val="clear" w:color="auto" w:fill="auto"/>
            <w:noWrap w:val="0"/>
            <w:vAlign w:val="center"/>
          </w:tcPr>
          <w:p w14:paraId="08CE1BA1">
            <w:pPr>
              <w:pStyle w:val="24"/>
              <w:bidi w:val="0"/>
              <w:ind w:left="0" w:leftChars="0"/>
              <w:rPr>
                <w:rFonts w:hint="eastAsia" w:ascii="Times New Roman" w:hAnsi="Times New Roman" w:eastAsia="宋体" w:cs="Times New Roman"/>
                <w:b w:val="0"/>
                <w:bCs/>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生产车间、液体库区和</w:t>
            </w:r>
            <w:r>
              <w:rPr>
                <w:rFonts w:hint="eastAsia"/>
                <w:color w:val="auto"/>
                <w:highlight w:val="none"/>
                <w:lang w:val="en-US" w:eastAsia="zh-CN"/>
              </w:rPr>
              <w:t>双氧水库房、罐区、危废暂存间、初期雨水池、事故应急池、围堰及集水池</w:t>
            </w:r>
          </w:p>
        </w:tc>
        <w:tc>
          <w:tcPr>
            <w:tcW w:w="1989" w:type="pct"/>
            <w:shd w:val="clear" w:color="auto" w:fill="auto"/>
            <w:noWrap w:val="0"/>
            <w:vAlign w:val="center"/>
          </w:tcPr>
          <w:p w14:paraId="0A18A94F">
            <w:pPr>
              <w:pStyle w:val="24"/>
              <w:bidi w:val="0"/>
              <w:ind w:left="0" w:leftChars="0"/>
              <w:rPr>
                <w:rFonts w:hint="eastAsia" w:ascii="Times New Roman" w:hAnsi="Times New Roman" w:eastAsia="宋体" w:cs="Courier New"/>
                <w:b w:val="0"/>
                <w:bCs/>
                <w:color w:val="auto"/>
                <w:kern w:val="2"/>
                <w:sz w:val="21"/>
                <w:szCs w:val="21"/>
                <w:highlight w:val="none"/>
                <w:lang w:val="en-US" w:eastAsia="zh-CN" w:bidi="ar-SA"/>
              </w:rPr>
            </w:pPr>
            <w:r>
              <w:rPr>
                <w:rFonts w:hint="eastAsia"/>
                <w:color w:val="auto"/>
              </w:rPr>
              <w:t>危废暂存间需满足渗透系数K≤10</w:t>
            </w:r>
            <w:r>
              <w:rPr>
                <w:rFonts w:hint="eastAsia"/>
                <w:color w:val="auto"/>
                <w:vertAlign w:val="superscript"/>
              </w:rPr>
              <w:t>-10</w:t>
            </w:r>
            <w:r>
              <w:rPr>
                <w:rFonts w:hint="eastAsia"/>
                <w:color w:val="auto"/>
              </w:rPr>
              <w:t>cm/s的要求；其他区域需满足等效黏土防渗层Mb≥6.0m，渗透系数K≤10</w:t>
            </w:r>
            <w:r>
              <w:rPr>
                <w:rFonts w:hint="eastAsia"/>
                <w:color w:val="auto"/>
                <w:vertAlign w:val="superscript"/>
              </w:rPr>
              <w:t>-7</w:t>
            </w:r>
            <w:r>
              <w:rPr>
                <w:rFonts w:hint="eastAsia"/>
                <w:color w:val="auto"/>
              </w:rPr>
              <w:t>cm/s的要求</w:t>
            </w:r>
          </w:p>
        </w:tc>
      </w:tr>
      <w:tr w14:paraId="4B69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pct"/>
            <w:noWrap w:val="0"/>
            <w:vAlign w:val="center"/>
          </w:tcPr>
          <w:p w14:paraId="02CF0D5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一般防渗区</w:t>
            </w:r>
          </w:p>
        </w:tc>
        <w:tc>
          <w:tcPr>
            <w:tcW w:w="2343" w:type="pct"/>
            <w:noWrap w:val="0"/>
            <w:vAlign w:val="center"/>
          </w:tcPr>
          <w:p w14:paraId="11AC5BFF">
            <w:pPr>
              <w:pStyle w:val="24"/>
              <w:bidi w:val="0"/>
              <w:rPr>
                <w:rFonts w:hint="default" w:ascii="Times New Roman" w:hAnsi="Times New Roman" w:eastAsia="宋体" w:cs="Courier New"/>
                <w:b w:val="0"/>
                <w:bCs/>
                <w:color w:val="auto"/>
                <w:highlight w:val="none"/>
                <w:lang w:val="en-US" w:eastAsia="zh-CN"/>
              </w:rPr>
            </w:pPr>
            <w:r>
              <w:rPr>
                <w:rFonts w:hint="eastAsia" w:ascii="Times New Roman" w:hAnsi="Times New Roman"/>
                <w:color w:val="auto"/>
                <w:sz w:val="21"/>
                <w:szCs w:val="21"/>
                <w:lang w:val="en-US" w:eastAsia="zh-CN"/>
              </w:rPr>
              <w:t>仓库</w:t>
            </w:r>
            <w:r>
              <w:rPr>
                <w:rFonts w:hint="eastAsia"/>
                <w:color w:val="auto"/>
                <w:sz w:val="21"/>
                <w:szCs w:val="21"/>
                <w:lang w:val="en-US" w:eastAsia="zh-CN"/>
              </w:rPr>
              <w:t>（</w:t>
            </w:r>
            <w:r>
              <w:rPr>
                <w:rFonts w:hint="eastAsia" w:cs="Times New Roman"/>
                <w:b w:val="0"/>
                <w:bCs w:val="0"/>
                <w:color w:val="auto"/>
                <w:sz w:val="21"/>
                <w:szCs w:val="21"/>
                <w:highlight w:val="none"/>
                <w:lang w:val="en-US" w:eastAsia="zh-CN"/>
              </w:rPr>
              <w:t>液体库区、</w:t>
            </w:r>
            <w:r>
              <w:rPr>
                <w:rFonts w:hint="eastAsia"/>
                <w:color w:val="auto"/>
                <w:highlight w:val="none"/>
                <w:lang w:val="en-US" w:eastAsia="zh-CN"/>
              </w:rPr>
              <w:t>双氧水库房和危废暂存间</w:t>
            </w:r>
            <w:r>
              <w:rPr>
                <w:rFonts w:hint="eastAsia" w:cs="Times New Roman"/>
                <w:b w:val="0"/>
                <w:bCs w:val="0"/>
                <w:color w:val="auto"/>
                <w:sz w:val="21"/>
                <w:szCs w:val="21"/>
                <w:highlight w:val="none"/>
                <w:lang w:val="en-US" w:eastAsia="zh-CN"/>
              </w:rPr>
              <w:t>外</w:t>
            </w:r>
            <w:r>
              <w:rPr>
                <w:rFonts w:hint="eastAsia" w:ascii="Times New Roman" w:hAnsi="Times New Roman"/>
                <w:color w:val="auto"/>
                <w:sz w:val="21"/>
                <w:szCs w:val="21"/>
                <w:lang w:val="en-US" w:eastAsia="zh-CN"/>
              </w:rPr>
              <w:t>）、</w:t>
            </w:r>
            <w:r>
              <w:rPr>
                <w:rFonts w:hint="eastAsia"/>
                <w:color w:val="auto"/>
                <w:sz w:val="21"/>
                <w:szCs w:val="21"/>
                <w:lang w:val="en-US" w:eastAsia="zh-CN"/>
              </w:rPr>
              <w:t>设备间、质检室、</w:t>
            </w:r>
            <w:r>
              <w:rPr>
                <w:rFonts w:hint="eastAsia" w:ascii="Times New Roman" w:hAnsi="Times New Roman"/>
                <w:color w:val="auto"/>
                <w:sz w:val="21"/>
                <w:szCs w:val="21"/>
              </w:rPr>
              <w:t>预处理池</w:t>
            </w:r>
            <w:r>
              <w:rPr>
                <w:rFonts w:hint="eastAsia"/>
                <w:color w:val="auto"/>
                <w:sz w:val="21"/>
                <w:szCs w:val="21"/>
                <w:lang w:eastAsia="zh-CN"/>
              </w:rPr>
              <w:t>、</w:t>
            </w:r>
            <w:r>
              <w:rPr>
                <w:rFonts w:hint="eastAsia"/>
                <w:color w:val="auto"/>
                <w:sz w:val="21"/>
                <w:szCs w:val="21"/>
                <w:lang w:val="en-US" w:eastAsia="zh-CN"/>
              </w:rPr>
              <w:t>沉淀池</w:t>
            </w:r>
          </w:p>
        </w:tc>
        <w:tc>
          <w:tcPr>
            <w:tcW w:w="1989" w:type="pct"/>
            <w:noWrap w:val="0"/>
            <w:vAlign w:val="center"/>
          </w:tcPr>
          <w:p w14:paraId="205B6C51">
            <w:pPr>
              <w:pStyle w:val="24"/>
              <w:bidi w:val="0"/>
              <w:ind w:left="0" w:leftChars="0"/>
              <w:rPr>
                <w:rFonts w:hint="eastAsia" w:ascii="Times New Roman" w:hAnsi="Times New Roman" w:eastAsia="宋体" w:cs="Courier New"/>
                <w:b w:val="0"/>
                <w:bCs/>
                <w:color w:val="auto"/>
                <w:highlight w:val="none"/>
                <w:lang w:val="en-US" w:eastAsia="zh-CN"/>
              </w:rPr>
            </w:pPr>
            <w:r>
              <w:rPr>
                <w:rFonts w:hint="eastAsia" w:cs="Times New Roman"/>
                <w:b w:val="0"/>
                <w:bCs w:val="0"/>
                <w:color w:val="auto"/>
                <w:sz w:val="21"/>
                <w:szCs w:val="21"/>
                <w:highlight w:val="none"/>
                <w:lang w:val="en-US" w:eastAsia="zh-CN"/>
              </w:rPr>
              <w:t>需满足等效黏土防渗层Mb≥1.5m，渗透系数K≤10</w:t>
            </w:r>
            <w:r>
              <w:rPr>
                <w:rFonts w:hint="eastAsia" w:cs="Times New Roman"/>
                <w:b w:val="0"/>
                <w:bCs w:val="0"/>
                <w:color w:val="auto"/>
                <w:sz w:val="21"/>
                <w:szCs w:val="21"/>
                <w:highlight w:val="none"/>
                <w:vertAlign w:val="superscript"/>
                <w:lang w:val="en-US" w:eastAsia="zh-CN"/>
              </w:rPr>
              <w:t>-7</w:t>
            </w:r>
            <w:r>
              <w:rPr>
                <w:rFonts w:hint="eastAsia" w:cs="Times New Roman"/>
                <w:b w:val="0"/>
                <w:bCs w:val="0"/>
                <w:color w:val="auto"/>
                <w:sz w:val="21"/>
                <w:szCs w:val="21"/>
                <w:highlight w:val="none"/>
                <w:lang w:val="en-US" w:eastAsia="zh-CN"/>
              </w:rPr>
              <w:t>cm/s的要求</w:t>
            </w:r>
          </w:p>
        </w:tc>
      </w:tr>
      <w:tr w14:paraId="4184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pct"/>
            <w:noWrap w:val="0"/>
            <w:vAlign w:val="center"/>
          </w:tcPr>
          <w:p w14:paraId="77F0344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简单防渗区</w:t>
            </w:r>
          </w:p>
        </w:tc>
        <w:tc>
          <w:tcPr>
            <w:tcW w:w="2343" w:type="pct"/>
            <w:noWrap w:val="0"/>
            <w:vAlign w:val="center"/>
          </w:tcPr>
          <w:p w14:paraId="5DD5D4C2">
            <w:pPr>
              <w:pStyle w:val="24"/>
              <w:bidi w:val="0"/>
              <w:rPr>
                <w:rFonts w:hint="eastAsia" w:ascii="Times New Roman" w:hAnsi="Times New Roman" w:eastAsia="宋体" w:cs="Courier New"/>
                <w:b w:val="0"/>
                <w:bCs/>
                <w:color w:val="auto"/>
                <w:highlight w:val="none"/>
                <w:lang w:val="en-US" w:eastAsia="zh-CN"/>
              </w:rPr>
            </w:pPr>
            <w:r>
              <w:rPr>
                <w:rFonts w:hint="eastAsia" w:cs="Times New Roman"/>
                <w:b w:val="0"/>
                <w:bCs w:val="0"/>
                <w:color w:val="auto"/>
                <w:sz w:val="21"/>
                <w:szCs w:val="21"/>
                <w:highlight w:val="none"/>
                <w:lang w:val="en-US" w:eastAsia="zh-CN"/>
              </w:rPr>
              <w:t>公用工程间（除设备间外）、</w:t>
            </w:r>
            <w:r>
              <w:rPr>
                <w:rFonts w:hint="eastAsia"/>
                <w:color w:val="auto"/>
                <w:sz w:val="21"/>
                <w:szCs w:val="21"/>
                <w:lang w:val="en-US" w:eastAsia="zh-CN"/>
              </w:rPr>
              <w:t>综合楼（除质检室</w:t>
            </w:r>
            <w:r>
              <w:rPr>
                <w:rFonts w:hint="eastAsia" w:cs="Times New Roman"/>
                <w:b w:val="0"/>
                <w:bCs w:val="0"/>
                <w:color w:val="auto"/>
                <w:sz w:val="21"/>
                <w:szCs w:val="21"/>
                <w:highlight w:val="none"/>
                <w:lang w:val="en-US" w:eastAsia="zh-CN"/>
              </w:rPr>
              <w:t>外</w:t>
            </w:r>
            <w:r>
              <w:rPr>
                <w:rFonts w:hint="eastAsia"/>
                <w:color w:val="auto"/>
                <w:sz w:val="21"/>
                <w:szCs w:val="21"/>
                <w:lang w:val="en-US" w:eastAsia="zh-CN"/>
              </w:rPr>
              <w:t>）</w:t>
            </w:r>
            <w:r>
              <w:rPr>
                <w:rFonts w:hint="eastAsia" w:ascii="Times New Roman" w:hAnsi="Times New Roman"/>
                <w:color w:val="auto"/>
                <w:sz w:val="21"/>
                <w:szCs w:val="21"/>
                <w:lang w:val="en-US" w:eastAsia="zh-CN"/>
              </w:rPr>
              <w:t>、</w:t>
            </w:r>
            <w:r>
              <w:rPr>
                <w:rFonts w:hint="eastAsia"/>
                <w:color w:val="auto"/>
                <w:sz w:val="21"/>
                <w:szCs w:val="21"/>
                <w:lang w:val="en-US" w:eastAsia="zh-CN"/>
              </w:rPr>
              <w:t>装卸区</w:t>
            </w:r>
            <w:r>
              <w:rPr>
                <w:rFonts w:hint="eastAsia" w:ascii="Times New Roman" w:hAnsi="Times New Roman"/>
                <w:color w:val="auto"/>
                <w:sz w:val="21"/>
                <w:szCs w:val="21"/>
                <w:lang w:val="en-US" w:eastAsia="zh-CN"/>
              </w:rPr>
              <w:t>、</w:t>
            </w:r>
            <w:r>
              <w:rPr>
                <w:rFonts w:hint="eastAsia"/>
                <w:color w:val="auto"/>
                <w:sz w:val="21"/>
                <w:szCs w:val="21"/>
                <w:lang w:val="en-US" w:eastAsia="zh-CN"/>
              </w:rPr>
              <w:t>消防</w:t>
            </w:r>
            <w:r>
              <w:rPr>
                <w:rFonts w:hint="eastAsia" w:ascii="Times New Roman" w:hAnsi="Times New Roman"/>
                <w:color w:val="auto"/>
                <w:sz w:val="21"/>
                <w:szCs w:val="21"/>
                <w:lang w:val="en-US" w:eastAsia="zh-CN"/>
              </w:rPr>
              <w:t>控制室、门卫室及厂区除重点防渗区、一般防渗区、绿化以外的区域</w:t>
            </w:r>
            <w:r>
              <w:rPr>
                <w:rFonts w:hint="eastAsia" w:ascii="Times New Roman" w:hAnsi="Times New Roman"/>
                <w:color w:val="auto"/>
                <w:sz w:val="21"/>
                <w:szCs w:val="21"/>
              </w:rPr>
              <w:t>等</w:t>
            </w:r>
          </w:p>
        </w:tc>
        <w:tc>
          <w:tcPr>
            <w:tcW w:w="1989" w:type="pct"/>
            <w:noWrap w:val="0"/>
            <w:vAlign w:val="center"/>
          </w:tcPr>
          <w:p w14:paraId="06ECEB31">
            <w:pPr>
              <w:pStyle w:val="24"/>
              <w:bidi w:val="0"/>
              <w:rPr>
                <w:rFonts w:hint="eastAsia" w:ascii="Times New Roman" w:hAnsi="Times New Roman" w:eastAsia="宋体" w:cs="Courier New"/>
                <w:b w:val="0"/>
                <w:bCs/>
                <w:color w:val="auto"/>
                <w:highlight w:val="none"/>
                <w:lang w:val="en-US" w:eastAsia="zh-CN"/>
              </w:rPr>
            </w:pPr>
            <w:r>
              <w:rPr>
                <w:rFonts w:hint="eastAsia" w:ascii="Times New Roman" w:hAnsi="Times New Roman" w:eastAsia="宋体" w:cs="Courier New"/>
                <w:b w:val="0"/>
                <w:bCs/>
                <w:color w:val="auto"/>
                <w:highlight w:val="none"/>
                <w:lang w:val="en-US" w:eastAsia="zh-CN"/>
              </w:rPr>
              <w:t>一般地面硬化</w:t>
            </w:r>
          </w:p>
        </w:tc>
      </w:tr>
    </w:tbl>
    <w:p w14:paraId="15015805">
      <w:pPr>
        <w:pStyle w:val="6"/>
        <w:bidi w:val="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3、地下水污染防治措施</w:t>
      </w:r>
    </w:p>
    <w:p w14:paraId="21D8F4FE">
      <w:pPr>
        <w:spacing w:line="360" w:lineRule="auto"/>
        <w:ind w:left="0" w:leftChars="0" w:firstLine="482" w:firstLineChars="200"/>
        <w:rPr>
          <w:rFonts w:ascii="Times New Roman" w:hAnsi="Times New Roman"/>
          <w:b/>
          <w:color w:val="auto"/>
          <w:sz w:val="24"/>
          <w:szCs w:val="24"/>
          <w:highlight w:val="none"/>
        </w:rPr>
      </w:pPr>
      <w:r>
        <w:rPr>
          <w:rFonts w:ascii="Times New Roman" w:hAnsi="Times New Roman"/>
          <w:b/>
          <w:color w:val="auto"/>
          <w:sz w:val="24"/>
          <w:szCs w:val="24"/>
          <w:highlight w:val="none"/>
        </w:rPr>
        <w:t>（1</w:t>
      </w:r>
      <w:r>
        <w:rPr>
          <w:rFonts w:hint="eastAsia" w:ascii="Times New Roman" w:hAnsi="Times New Roman"/>
          <w:b/>
          <w:color w:val="auto"/>
          <w:sz w:val="24"/>
          <w:szCs w:val="24"/>
          <w:highlight w:val="none"/>
        </w:rPr>
        <w:t>）源头控制措施</w:t>
      </w:r>
    </w:p>
    <w:p w14:paraId="61E736E2">
      <w:pPr>
        <w:bidi w:val="0"/>
        <w:ind w:left="0" w:leftChars="0" w:firstLine="480" w:firstLineChars="200"/>
        <w:rPr>
          <w:color w:val="auto"/>
        </w:rPr>
      </w:pPr>
      <w:r>
        <w:rPr>
          <w:rFonts w:hint="eastAsia"/>
          <w:color w:val="auto"/>
        </w:rPr>
        <w:t>本项目采用国内先进的工艺，</w:t>
      </w:r>
      <w:r>
        <w:rPr>
          <w:rFonts w:hint="eastAsia"/>
          <w:color w:val="auto"/>
          <w:lang w:val="en-US" w:eastAsia="zh-CN"/>
        </w:rPr>
        <w:t>生产过程中采用密闭管罐系统，</w:t>
      </w:r>
      <w:r>
        <w:rPr>
          <w:rFonts w:hint="eastAsia"/>
          <w:color w:val="auto"/>
        </w:rPr>
        <w:t>工艺设备、管道、</w:t>
      </w:r>
      <w:r>
        <w:rPr>
          <w:rFonts w:hint="eastAsia"/>
          <w:color w:val="auto"/>
          <w:lang w:val="en-US" w:eastAsia="zh-CN"/>
        </w:rPr>
        <w:t>罐体</w:t>
      </w:r>
      <w:r>
        <w:rPr>
          <w:rFonts w:hint="eastAsia"/>
          <w:color w:val="auto"/>
        </w:rPr>
        <w:t>均</w:t>
      </w:r>
      <w:r>
        <w:rPr>
          <w:color w:val="auto"/>
        </w:rPr>
        <w:t>采取防腐、防渗漏措施</w:t>
      </w:r>
      <w:r>
        <w:rPr>
          <w:rFonts w:hint="eastAsia"/>
          <w:color w:val="auto"/>
        </w:rPr>
        <w:t>，</w:t>
      </w:r>
      <w:r>
        <w:rPr>
          <w:rFonts w:hint="eastAsia"/>
          <w:color w:val="auto"/>
          <w:lang w:val="en-US" w:eastAsia="zh-CN"/>
        </w:rPr>
        <w:t>化学品输送管道可视化，</w:t>
      </w:r>
      <w:r>
        <w:rPr>
          <w:color w:val="auto"/>
        </w:rPr>
        <w:t>定期检查</w:t>
      </w:r>
      <w:r>
        <w:rPr>
          <w:rFonts w:hint="eastAsia"/>
          <w:color w:val="auto"/>
        </w:rPr>
        <w:t>工艺</w:t>
      </w:r>
      <w:r>
        <w:rPr>
          <w:rFonts w:hint="eastAsia"/>
          <w:color w:val="auto"/>
          <w:lang w:val="en-US" w:eastAsia="zh-CN"/>
        </w:rPr>
        <w:t>设备、</w:t>
      </w:r>
      <w:r>
        <w:rPr>
          <w:color w:val="auto"/>
        </w:rPr>
        <w:t>管道、</w:t>
      </w:r>
      <w:r>
        <w:rPr>
          <w:rFonts w:hint="eastAsia"/>
          <w:color w:val="auto"/>
          <w:lang w:val="en-US" w:eastAsia="zh-CN"/>
        </w:rPr>
        <w:t>罐体</w:t>
      </w:r>
      <w:r>
        <w:rPr>
          <w:color w:val="auto"/>
        </w:rPr>
        <w:t>状态，防止污染物“跑、冒、滴、漏”</w:t>
      </w:r>
      <w:r>
        <w:rPr>
          <w:rFonts w:hint="eastAsia"/>
          <w:color w:val="auto"/>
        </w:rPr>
        <w:t>，将污染物泄漏的环境风险事故降到最低程度。</w:t>
      </w:r>
    </w:p>
    <w:p w14:paraId="7D98E8BB">
      <w:pPr>
        <w:spacing w:line="360" w:lineRule="auto"/>
        <w:rPr>
          <w:rFonts w:ascii="Times New Roman" w:hAnsi="Times New Roman"/>
          <w:b/>
          <w:color w:val="auto"/>
          <w:sz w:val="24"/>
          <w:szCs w:val="24"/>
          <w:highlight w:val="none"/>
        </w:rPr>
      </w:pPr>
      <w:r>
        <w:rPr>
          <w:rFonts w:ascii="Times New Roman" w:hAnsi="Times New Roman"/>
          <w:b/>
          <w:color w:val="auto"/>
          <w:sz w:val="24"/>
          <w:szCs w:val="24"/>
          <w:highlight w:val="none"/>
        </w:rPr>
        <w:t>（2</w:t>
      </w:r>
      <w:r>
        <w:rPr>
          <w:rFonts w:hint="eastAsia" w:ascii="Times New Roman" w:hAnsi="Times New Roman"/>
          <w:b/>
          <w:color w:val="auto"/>
          <w:sz w:val="24"/>
          <w:szCs w:val="24"/>
          <w:highlight w:val="none"/>
        </w:rPr>
        <w:t>）分区防渗措施</w:t>
      </w:r>
    </w:p>
    <w:p w14:paraId="42612477">
      <w:pPr>
        <w:bidi w:val="0"/>
        <w:ind w:left="0" w:leftChars="0" w:firstLine="480" w:firstLineChars="200"/>
        <w:rPr>
          <w:color w:val="auto"/>
        </w:rPr>
      </w:pPr>
      <w:r>
        <w:rPr>
          <w:rFonts w:hint="eastAsia"/>
          <w:color w:val="auto"/>
          <w:lang w:val="en-US" w:eastAsia="zh-CN"/>
        </w:rPr>
        <w:t>根据项目初步设计资料，各防渗分区拟采取以下防渗措施：</w:t>
      </w:r>
    </w:p>
    <w:p w14:paraId="320C44B6">
      <w:pPr>
        <w:bidi w:val="0"/>
        <w:ind w:left="0" w:leftChars="0" w:firstLine="482" w:firstLineChars="200"/>
        <w:rPr>
          <w:rFonts w:hint="eastAsia" w:eastAsia="System"/>
          <w:b w:val="0"/>
          <w:bCs w:val="0"/>
          <w:color w:val="auto"/>
          <w:lang w:val="en-US" w:eastAsia="zh-CN"/>
        </w:rPr>
      </w:pPr>
      <w:r>
        <w:rPr>
          <w:b/>
          <w:bCs/>
          <w:color w:val="auto"/>
        </w:rPr>
        <w:t>重点防渗区：</w:t>
      </w:r>
      <w:r>
        <w:rPr>
          <w:rFonts w:hint="eastAsia"/>
          <w:b w:val="0"/>
          <w:bCs w:val="0"/>
          <w:color w:val="auto"/>
          <w:lang w:val="en-US" w:eastAsia="zh-CN"/>
        </w:rPr>
        <w:t>危废暂存间</w:t>
      </w:r>
      <w:r>
        <w:rPr>
          <w:rFonts w:hint="eastAsia"/>
          <w:color w:val="auto"/>
          <w:lang w:val="en-US" w:eastAsia="zh-CN"/>
        </w:rPr>
        <w:t>地面采取压实填土+膜下保护层（长丝无纺土工布）+混凝土垫层+1.5厚高密度聚乙烯（HDPE）膜+膜上保护层（长丝无纺土工布）+200厚砂石层+混凝土垫层+界面剂+40厚C25细石混凝土表层（混凝土抗渗等级不低于P8）；生产车间、液体库区和双氧水库房采取压实填土+80厚C25混凝土垫层+界面剂+40厚C25细石混凝土表层（混凝土抗渗等级不低于P8）；2#罐区、围堰及集水池采取素土夯实+100厚砂垫层+1.5厚高密度聚乙烯（HDPE）膜+200厚粗砂垫层+120厚C30抗渗混凝土（P8）垫层+素水泥浆+20厚1:25不发火水泥砂浆抹平压光；1#罐区、3#罐区、围堰及集水池采取素土夯实+100厚砂垫层+1.5厚高密度聚乙烯（HDPE）膜+200厚粗砂垫层+120厚C30抗渗混凝土（P8）垫层+素水泥浆；初期雨水池、事故应急池四周采取</w:t>
      </w:r>
      <w:r>
        <w:rPr>
          <w:rFonts w:hint="eastAsia"/>
          <w:color w:val="auto"/>
          <w:lang w:val="zh-CN" w:eastAsia="zh-CN"/>
        </w:rPr>
        <w:t>双酚A型不饱和聚酯封面料</w:t>
      </w:r>
      <w:r>
        <w:rPr>
          <w:rFonts w:hint="eastAsia"/>
          <w:color w:val="auto"/>
          <w:lang w:val="en-US" w:eastAsia="zh-CN"/>
        </w:rPr>
        <w:t>+结合层+隔离层+20厚1：2.5水泥砂浆+0.9厚</w:t>
      </w:r>
      <w:r>
        <w:rPr>
          <w:rFonts w:hint="eastAsia"/>
          <w:color w:val="auto"/>
          <w:lang w:val="zh-CN" w:eastAsia="zh-CN"/>
        </w:rPr>
        <w:t>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w:t>
      </w:r>
      <w:r>
        <w:rPr>
          <w:rFonts w:hint="eastAsia"/>
          <w:color w:val="auto"/>
          <w:lang w:val="zh-CN" w:eastAsia="zh-CN"/>
        </w:rPr>
        <w:t>15厚1:2水泥砂浆找平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池顶采取10厚</w:t>
      </w:r>
      <w:r>
        <w:rPr>
          <w:rFonts w:hint="eastAsia"/>
          <w:color w:val="auto"/>
          <w:lang w:val="zh-CN" w:eastAsia="zh-CN"/>
        </w:rPr>
        <w:t>双酚A型不饱和聚酯</w:t>
      </w:r>
      <w:r>
        <w:rPr>
          <w:rFonts w:hint="eastAsia"/>
          <w:color w:val="auto"/>
          <w:lang w:val="en-US" w:eastAsia="zh-CN"/>
        </w:rPr>
        <w:t>砂浆+结合层+隔离层+20厚C30细石混凝土+0.9厚</w:t>
      </w:r>
      <w:r>
        <w:rPr>
          <w:rFonts w:hint="eastAsia"/>
          <w:color w:val="auto"/>
          <w:lang w:val="zh-CN" w:eastAsia="zh-CN"/>
        </w:rPr>
        <w:t>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+20</w:t>
      </w:r>
      <w:r>
        <w:rPr>
          <w:rFonts w:hint="eastAsia"/>
          <w:color w:val="auto"/>
          <w:lang w:val="zh-CN" w:eastAsia="zh-CN"/>
        </w:rPr>
        <w:t>厚1:</w:t>
      </w:r>
      <w:r>
        <w:rPr>
          <w:rFonts w:hint="eastAsia"/>
          <w:color w:val="auto"/>
          <w:lang w:val="en-US" w:eastAsia="zh-CN"/>
        </w:rPr>
        <w:t>3</w:t>
      </w:r>
      <w:r>
        <w:rPr>
          <w:rFonts w:hint="eastAsia"/>
          <w:color w:val="auto"/>
          <w:lang w:val="zh-CN" w:eastAsia="zh-CN"/>
        </w:rPr>
        <w:t>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池底采取地基基础+100厚C20混凝土+</w:t>
      </w:r>
      <w:r>
        <w:rPr>
          <w:rFonts w:hint="eastAsia"/>
          <w:color w:val="auto"/>
          <w:lang w:val="zh-CN" w:eastAsia="zh-CN"/>
        </w:rPr>
        <w:t>4mm厚SBS改性沥青防水卷材</w:t>
      </w:r>
      <w:r>
        <w:rPr>
          <w:rFonts w:hint="eastAsia"/>
          <w:color w:val="auto"/>
          <w:lang w:val="en-US" w:eastAsia="zh-CN"/>
        </w:rPr>
        <w:t>+</w:t>
      </w:r>
      <w:r>
        <w:rPr>
          <w:rFonts w:hint="eastAsia"/>
          <w:color w:val="auto"/>
          <w:lang w:val="zh-CN" w:eastAsia="zh-CN"/>
        </w:rPr>
        <w:t>10厚低强度等级砂浆隔离层</w:t>
      </w:r>
      <w:r>
        <w:rPr>
          <w:rFonts w:hint="eastAsia"/>
          <w:color w:val="auto"/>
          <w:lang w:val="en-US" w:eastAsia="zh-CN"/>
        </w:rPr>
        <w:t>+</w:t>
      </w:r>
      <w:r>
        <w:rPr>
          <w:rFonts w:hint="eastAsia"/>
          <w:color w:val="auto"/>
          <w:lang w:val="zh-CN" w:eastAsia="zh-CN"/>
        </w:rPr>
        <w:t>50厚C20细石混凝土保护层</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p>
    <w:p w14:paraId="595CB4A6">
      <w:pPr>
        <w:bidi w:val="0"/>
        <w:ind w:left="0" w:leftChars="0" w:firstLine="482" w:firstLineChars="200"/>
        <w:rPr>
          <w:rFonts w:hint="default"/>
          <w:color w:val="auto"/>
          <w:lang w:val="en-US"/>
        </w:rPr>
      </w:pPr>
      <w:r>
        <w:rPr>
          <w:b/>
          <w:bCs/>
          <w:color w:val="auto"/>
        </w:rPr>
        <w:t>一般防渗区：</w:t>
      </w:r>
      <w:r>
        <w:rPr>
          <w:rFonts w:hint="eastAsia"/>
          <w:b w:val="0"/>
          <w:bCs w:val="0"/>
          <w:color w:val="auto"/>
          <w:lang w:val="en-US" w:eastAsia="zh-CN"/>
        </w:rPr>
        <w:t>仓库（液体库区、双氧水库房和危废暂存间外）</w:t>
      </w:r>
      <w:r>
        <w:rPr>
          <w:rFonts w:hint="eastAsia"/>
          <w:color w:val="auto"/>
          <w:lang w:val="en-US" w:eastAsia="zh-CN"/>
        </w:rPr>
        <w:t>地面采取压实填土+80厚C25混凝土垫层+界面剂+40厚C25细石混凝土表层；</w:t>
      </w:r>
      <w:r>
        <w:rPr>
          <w:rFonts w:hint="eastAsia"/>
          <w:b w:val="0"/>
          <w:bCs w:val="0"/>
          <w:color w:val="auto"/>
          <w:lang w:val="en-US" w:eastAsia="zh-CN"/>
        </w:rPr>
        <w:t>设备间、质检室地面采取</w:t>
      </w:r>
      <w:r>
        <w:rPr>
          <w:rFonts w:hint="eastAsia"/>
          <w:color w:val="auto"/>
          <w:lang w:val="en-US" w:eastAsia="zh-CN"/>
        </w:rPr>
        <w:t>抗渗混凝土；预处理池、沉淀池四周采取</w:t>
      </w:r>
      <w:r>
        <w:rPr>
          <w:rFonts w:hint="eastAsia"/>
          <w:color w:val="auto"/>
          <w:lang w:val="zh-CN" w:eastAsia="zh-CN"/>
        </w:rPr>
        <w:t>20厚1:2.5水泥砂浆</w:t>
      </w:r>
      <w:r>
        <w:rPr>
          <w:rFonts w:hint="eastAsia"/>
          <w:color w:val="auto"/>
          <w:lang w:val="en-US" w:eastAsia="zh-CN"/>
        </w:rPr>
        <w:t>+</w:t>
      </w:r>
      <w:r>
        <w:rPr>
          <w:rFonts w:hint="eastAsia"/>
          <w:color w:val="auto"/>
          <w:lang w:val="zh-CN" w:eastAsia="zh-CN"/>
        </w:rPr>
        <w:t>0.9厚聚乙烯丙纶防水卷材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w:t>
      </w:r>
      <w:r>
        <w:rPr>
          <w:rFonts w:hint="eastAsia"/>
          <w:color w:val="auto"/>
          <w:lang w:val="zh-CN" w:eastAsia="zh-CN"/>
        </w:rPr>
        <w:t>15厚1:2水泥砂浆找平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池顶采取20厚C30细石混凝土+0.9厚</w:t>
      </w:r>
      <w:r>
        <w:rPr>
          <w:rFonts w:hint="eastAsia"/>
          <w:color w:val="auto"/>
          <w:lang w:val="zh-CN" w:eastAsia="zh-CN"/>
        </w:rPr>
        <w:t>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+20</w:t>
      </w:r>
      <w:r>
        <w:rPr>
          <w:rFonts w:hint="eastAsia"/>
          <w:color w:val="auto"/>
          <w:lang w:val="zh-CN" w:eastAsia="zh-CN"/>
        </w:rPr>
        <w:t>厚1:</w:t>
      </w:r>
      <w:r>
        <w:rPr>
          <w:rFonts w:hint="eastAsia"/>
          <w:color w:val="auto"/>
          <w:lang w:val="en-US" w:eastAsia="zh-CN"/>
        </w:rPr>
        <w:t>3</w:t>
      </w:r>
      <w:r>
        <w:rPr>
          <w:rFonts w:hint="eastAsia"/>
          <w:color w:val="auto"/>
          <w:lang w:val="zh-CN" w:eastAsia="zh-CN"/>
        </w:rPr>
        <w:t>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池底采取地基基础+100厚C20混凝土+</w:t>
      </w:r>
      <w:r>
        <w:rPr>
          <w:rFonts w:hint="eastAsia"/>
          <w:color w:val="auto"/>
          <w:lang w:val="zh-CN" w:eastAsia="zh-CN"/>
        </w:rPr>
        <w:t>4mm厚SBS改性沥青防水卷材</w:t>
      </w:r>
      <w:r>
        <w:rPr>
          <w:rFonts w:hint="eastAsia"/>
          <w:color w:val="auto"/>
          <w:lang w:val="en-US" w:eastAsia="zh-CN"/>
        </w:rPr>
        <w:t>+</w:t>
      </w:r>
      <w:r>
        <w:rPr>
          <w:rFonts w:hint="eastAsia"/>
          <w:color w:val="auto"/>
          <w:lang w:val="zh-CN" w:eastAsia="zh-CN"/>
        </w:rPr>
        <w:t>10厚低强度等级砂浆隔离层</w:t>
      </w:r>
      <w:r>
        <w:rPr>
          <w:rFonts w:hint="eastAsia"/>
          <w:color w:val="auto"/>
          <w:lang w:val="en-US" w:eastAsia="zh-CN"/>
        </w:rPr>
        <w:t>+</w:t>
      </w:r>
      <w:r>
        <w:rPr>
          <w:rFonts w:hint="eastAsia"/>
          <w:color w:val="auto"/>
          <w:lang w:val="zh-CN" w:eastAsia="zh-CN"/>
        </w:rPr>
        <w:t>50厚C20细石混凝土保护层</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w:t>
      </w:r>
    </w:p>
    <w:p w14:paraId="4AB77243">
      <w:pPr>
        <w:bidi w:val="0"/>
        <w:ind w:left="0" w:leftChars="0" w:firstLine="482" w:firstLineChars="200"/>
        <w:rPr>
          <w:rFonts w:hint="eastAsia"/>
          <w:color w:val="auto"/>
        </w:rPr>
      </w:pPr>
      <w:r>
        <w:rPr>
          <w:b/>
          <w:bCs/>
          <w:color w:val="auto"/>
        </w:rPr>
        <w:t>简单防渗区</w:t>
      </w:r>
      <w:r>
        <w:rPr>
          <w:rFonts w:hint="eastAsia"/>
          <w:b/>
          <w:bCs/>
          <w:color w:val="auto"/>
        </w:rPr>
        <w:t>：</w:t>
      </w:r>
      <w:r>
        <w:rPr>
          <w:rFonts w:hint="eastAsia"/>
          <w:color w:val="auto"/>
          <w:lang w:val="en-US" w:eastAsia="zh-CN"/>
        </w:rPr>
        <w:t>公用工程间（除设备间外）、综合楼（除质检室外）、装卸区、消防控制室、门卫室及厂区除重点防渗区、一般防渗区、绿化以外的区域采取</w:t>
      </w:r>
      <w:r>
        <w:rPr>
          <w:rFonts w:hint="eastAsia"/>
          <w:color w:val="auto"/>
        </w:rPr>
        <w:t>一般地面硬化。</w:t>
      </w:r>
    </w:p>
    <w:p w14:paraId="7105C4C5">
      <w:pPr>
        <w:bidi w:val="0"/>
        <w:ind w:left="0" w:leftChars="0" w:firstLine="480" w:firstLineChars="200"/>
        <w:rPr>
          <w:rFonts w:hint="eastAsia" w:ascii="Times New Roman" w:hAnsi="Times New Roman" w:cs="Times New Roman"/>
          <w:color w:val="auto"/>
          <w:szCs w:val="24"/>
          <w:highlight w:val="none"/>
        </w:rPr>
      </w:pPr>
      <w:r>
        <w:rPr>
          <w:rFonts w:hint="eastAsia"/>
          <w:color w:val="auto"/>
        </w:rPr>
        <w:t>各防渗分区的防渗结构应由专业设计单位根据相关要求进行设计</w:t>
      </w:r>
      <w:r>
        <w:rPr>
          <w:rFonts w:hint="eastAsia"/>
          <w:color w:val="auto"/>
          <w:lang w:val="en-US" w:eastAsia="zh-CN"/>
        </w:rPr>
        <w:t>后最终确定</w:t>
      </w:r>
      <w:r>
        <w:rPr>
          <w:rFonts w:hint="eastAsia"/>
          <w:color w:val="auto"/>
        </w:rPr>
        <w:t>，不应低于环评提出的防渗要求；建设单位及施工监理单位应做好防渗工程的监管工作，确保防渗工程符合要求，并记录留档。</w:t>
      </w:r>
    </w:p>
    <w:p w14:paraId="69EA63C4">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4、跟踪监测与管理</w:t>
      </w:r>
    </w:p>
    <w:p w14:paraId="53BC6788">
      <w:pPr>
        <w:bidi w:val="0"/>
        <w:ind w:left="0" w:leftChars="0" w:firstLine="480" w:firstLineChars="200"/>
        <w:rPr>
          <w:rFonts w:hint="default"/>
          <w:color w:val="auto"/>
          <w:lang w:val="en-US" w:eastAsia="zh-CN"/>
        </w:rPr>
      </w:pPr>
      <w:r>
        <w:rPr>
          <w:rFonts w:hint="eastAsia"/>
          <w:color w:val="auto"/>
        </w:rPr>
        <w:t>①</w:t>
      </w:r>
      <w:r>
        <w:rPr>
          <w:rFonts w:hint="default" w:ascii="Times New Roman" w:hAnsi="Times New Roman" w:eastAsia="宋体" w:cs="Times New Roman"/>
          <w:b w:val="0"/>
          <w:bCs w:val="0"/>
          <w:color w:val="auto"/>
          <w:sz w:val="24"/>
          <w:szCs w:val="24"/>
          <w:highlight w:val="none"/>
          <w:lang w:val="en-US" w:eastAsia="zh-CN"/>
        </w:rPr>
        <w:t>厂区内化学品输送管道</w:t>
      </w:r>
      <w:r>
        <w:rPr>
          <w:rFonts w:hint="eastAsia" w:cs="Times New Roman"/>
          <w:b w:val="0"/>
          <w:bCs w:val="0"/>
          <w:color w:val="auto"/>
          <w:sz w:val="24"/>
          <w:szCs w:val="24"/>
          <w:highlight w:val="none"/>
          <w:lang w:val="en-US" w:eastAsia="zh-CN"/>
        </w:rPr>
        <w:t>、生产废水输送管道</w:t>
      </w:r>
      <w:r>
        <w:rPr>
          <w:rFonts w:hint="default" w:ascii="Times New Roman" w:hAnsi="Times New Roman" w:eastAsia="宋体" w:cs="Times New Roman"/>
          <w:b w:val="0"/>
          <w:bCs w:val="0"/>
          <w:color w:val="auto"/>
          <w:sz w:val="24"/>
          <w:szCs w:val="24"/>
          <w:highlight w:val="none"/>
          <w:lang w:val="en-US" w:eastAsia="zh-CN"/>
        </w:rPr>
        <w:t>均可视化架空设置</w:t>
      </w:r>
      <w:r>
        <w:rPr>
          <w:rFonts w:hint="eastAsia" w:cs="Times New Roman"/>
          <w:b w:val="0"/>
          <w:bCs w:val="0"/>
          <w:color w:val="auto"/>
          <w:sz w:val="24"/>
          <w:szCs w:val="24"/>
          <w:highlight w:val="none"/>
          <w:lang w:val="en-US" w:eastAsia="zh-CN"/>
        </w:rPr>
        <w:t>，且设置事故废水架空收集管道。</w:t>
      </w:r>
      <w:r>
        <w:rPr>
          <w:rFonts w:hint="eastAsia"/>
          <w:color w:val="auto"/>
        </w:rPr>
        <w:t>加强各管路</w:t>
      </w:r>
      <w:r>
        <w:rPr>
          <w:rFonts w:hint="eastAsia"/>
          <w:color w:val="auto"/>
          <w:lang w:eastAsia="zh-CN"/>
        </w:rPr>
        <w:t>、</w:t>
      </w:r>
      <w:r>
        <w:rPr>
          <w:rFonts w:hint="eastAsia"/>
          <w:color w:val="auto"/>
          <w:lang w:val="en-US" w:eastAsia="zh-CN"/>
        </w:rPr>
        <w:t>设备</w:t>
      </w:r>
      <w:r>
        <w:rPr>
          <w:rFonts w:hint="eastAsia"/>
          <w:color w:val="auto"/>
        </w:rPr>
        <w:t>的检修，避免工艺过程中溶液的漏滴。</w:t>
      </w:r>
    </w:p>
    <w:p w14:paraId="4C726483">
      <w:pPr>
        <w:bidi w:val="0"/>
        <w:ind w:left="0" w:leftChars="0" w:firstLine="480" w:firstLineChars="200"/>
        <w:rPr>
          <w:rFonts w:hint="eastAsia"/>
          <w:color w:val="auto"/>
        </w:rPr>
      </w:pPr>
      <w:r>
        <w:rPr>
          <w:rFonts w:hint="eastAsia"/>
          <w:color w:val="auto"/>
        </w:rPr>
        <w:t>②</w:t>
      </w:r>
      <w:r>
        <w:rPr>
          <w:rFonts w:hint="eastAsia"/>
          <w:color w:val="auto"/>
          <w:lang w:val="en-US" w:eastAsia="zh-CN"/>
        </w:rPr>
        <w:t>地面防渗工程在满足工程和防渗层结构标准要求的前提下，尽量在地表面实施防渗措施，便于泄漏物质的收集和及时发现破损的防渗层。加强对防渗工程的检查，定期进行检漏监测，若发现防渗密封材料老化或损坏，及时维修更换。</w:t>
      </w:r>
    </w:p>
    <w:p w14:paraId="365FE5BB">
      <w:pPr>
        <w:bidi w:val="0"/>
        <w:ind w:left="0" w:leftChars="0" w:firstLine="480" w:firstLineChars="200"/>
        <w:rPr>
          <w:rFonts w:hint="eastAsia"/>
          <w:color w:val="auto"/>
          <w:lang w:val="en-US" w:eastAsia="zh-CN"/>
        </w:rPr>
      </w:pPr>
      <w:r>
        <w:rPr>
          <w:rFonts w:hint="eastAsia"/>
          <w:color w:val="auto"/>
        </w:rPr>
        <w:t>③</w:t>
      </w:r>
      <w:r>
        <w:rPr>
          <w:rFonts w:hint="eastAsia" w:ascii="Times New Roman" w:hAnsi="Times New Roman" w:eastAsia="宋体"/>
          <w:color w:val="auto"/>
          <w:highlight w:val="none"/>
          <w:lang w:val="en-US" w:eastAsia="zh-CN"/>
        </w:rPr>
        <w:t>1#罐区四周设</w:t>
      </w:r>
      <w:r>
        <w:rPr>
          <w:rFonts w:hint="eastAsia"/>
          <w:color w:val="auto"/>
          <w:highlight w:val="none"/>
          <w:lang w:val="en-US" w:eastAsia="zh-CN"/>
        </w:rPr>
        <w:t>0.6</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w:t>
      </w:r>
      <w:r>
        <w:rPr>
          <w:rFonts w:hint="eastAsia"/>
          <w:color w:val="auto"/>
          <w:highlight w:val="none"/>
          <w:lang w:val="en-US" w:eastAsia="zh-CN"/>
        </w:rPr>
        <w:t>、2</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1.1</w:t>
      </w:r>
      <w:r>
        <w:rPr>
          <w:rFonts w:hint="eastAsia" w:ascii="Times New Roman" w:hAnsi="Times New Roman" w:eastAsia="宋体"/>
          <w:color w:val="auto"/>
          <w:highlight w:val="none"/>
          <w:lang w:val="en-US" w:eastAsia="zh-CN"/>
        </w:rPr>
        <w:t>m高防火堤（与围堰合建）</w:t>
      </w:r>
      <w:r>
        <w:rPr>
          <w:rFonts w:hint="eastAsia"/>
          <w:color w:val="auto"/>
          <w:highlight w:val="none"/>
          <w:lang w:val="en-US" w:eastAsia="zh-CN"/>
        </w:rPr>
        <w:t>、3</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0.4</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堤（与围堰合建），且</w:t>
      </w:r>
      <w:r>
        <w:rPr>
          <w:rFonts w:hint="eastAsia"/>
          <w:color w:val="auto"/>
          <w:highlight w:val="none"/>
          <w:lang w:val="en-US" w:eastAsia="zh-CN"/>
        </w:rPr>
        <w:t>1#和2#</w:t>
      </w:r>
      <w:r>
        <w:rPr>
          <w:rFonts w:hint="eastAsia" w:ascii="Times New Roman" w:hAnsi="Times New Roman" w:eastAsia="宋体"/>
          <w:color w:val="auto"/>
          <w:highlight w:val="none"/>
          <w:lang w:val="en-US" w:eastAsia="zh-CN"/>
        </w:rPr>
        <w:t>罐区内各区域均设1个容积</w:t>
      </w:r>
      <w:r>
        <w:rPr>
          <w:rFonts w:hint="eastAsia"/>
          <w:color w:val="auto"/>
          <w:highlight w:val="none"/>
          <w:lang w:val="en-US" w:eastAsia="zh-CN"/>
        </w:rPr>
        <w:t>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池、3#</w:t>
      </w:r>
      <w:r>
        <w:rPr>
          <w:rFonts w:hint="eastAsia" w:ascii="Times New Roman" w:hAnsi="Times New Roman" w:eastAsia="宋体"/>
          <w:color w:val="auto"/>
          <w:highlight w:val="none"/>
          <w:lang w:val="en-US" w:eastAsia="zh-CN"/>
        </w:rPr>
        <w:t>罐区内设1个容积</w:t>
      </w:r>
      <w:r>
        <w:rPr>
          <w:rFonts w:hint="eastAsia"/>
          <w:color w:val="auto"/>
          <w:highlight w:val="none"/>
          <w:lang w:val="en-US" w:eastAsia="zh-CN"/>
        </w:rPr>
        <w:t>1.44</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p w14:paraId="24BD451E">
      <w:pPr>
        <w:bidi w:val="0"/>
        <w:ind w:left="0" w:leftChars="0" w:firstLine="480" w:firstLineChars="200"/>
        <w:rPr>
          <w:rFonts w:hint="eastAsia"/>
          <w:color w:val="auto"/>
          <w:lang w:val="en-US" w:eastAsia="zh-CN"/>
        </w:rPr>
      </w:pPr>
      <w:r>
        <w:rPr>
          <w:rFonts w:hint="eastAsia"/>
          <w:color w:val="auto"/>
          <w:sz w:val="24"/>
          <w:szCs w:val="24"/>
          <w:lang w:val="en-US" w:eastAsia="zh-CN"/>
        </w:rPr>
        <w:t>④</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ascii="Times New Roman" w:hAnsi="Times New Roman" w:eastAsia="宋体" w:cs="Times New Roman"/>
          <w:b w:val="0"/>
          <w:bCs w:val="0"/>
          <w:color w:val="auto"/>
          <w:highlight w:val="none"/>
          <w:lang w:val="en-US" w:eastAsia="zh-CN"/>
        </w:rPr>
        <w:t>。</w:t>
      </w:r>
    </w:p>
    <w:p w14:paraId="02722715">
      <w:pPr>
        <w:bidi w:val="0"/>
        <w:ind w:left="0" w:leftChars="0" w:firstLine="480" w:firstLineChars="200"/>
        <w:rPr>
          <w:rFonts w:hint="eastAsia"/>
          <w:color w:val="auto"/>
          <w:sz w:val="24"/>
          <w:szCs w:val="24"/>
          <w:lang w:val="en-US" w:eastAsia="zh-CN"/>
        </w:rPr>
      </w:pPr>
      <w:r>
        <w:rPr>
          <w:rFonts w:hint="eastAsia"/>
          <w:color w:val="auto"/>
          <w:lang w:val="en-US" w:eastAsia="zh-CN"/>
        </w:rPr>
        <w:t>⑤仓库内液体库</w:t>
      </w:r>
      <w:r>
        <w:rPr>
          <w:rFonts w:hint="eastAsia"/>
          <w:color w:val="auto"/>
          <w:sz w:val="24"/>
          <w:szCs w:val="24"/>
          <w:lang w:val="en-US" w:eastAsia="zh-CN"/>
        </w:rPr>
        <w:t>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w:t>
      </w:r>
    </w:p>
    <w:p w14:paraId="5C143212">
      <w:pPr>
        <w:bidi w:val="0"/>
        <w:ind w:left="0" w:leftChars="0" w:firstLine="480" w:firstLineChars="200"/>
        <w:rPr>
          <w:rFonts w:hint="default"/>
          <w:color w:val="auto"/>
          <w:sz w:val="24"/>
          <w:szCs w:val="24"/>
          <w:lang w:val="en-US" w:eastAsia="zh-CN"/>
        </w:rPr>
      </w:pPr>
      <w:r>
        <w:rPr>
          <w:rFonts w:hint="eastAsia"/>
          <w:color w:val="auto"/>
          <w:sz w:val="24"/>
          <w:szCs w:val="24"/>
        </w:rPr>
        <w:t>⑥</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，用于事故</w:t>
      </w:r>
      <w:r>
        <w:rPr>
          <w:rFonts w:hint="eastAsia" w:cs="Times New Roman"/>
          <w:b w:val="0"/>
          <w:bCs w:val="0"/>
          <w:color w:val="auto"/>
          <w:sz w:val="24"/>
          <w:szCs w:val="24"/>
          <w:highlight w:val="none"/>
          <w:lang w:val="en-US" w:eastAsia="zh-CN"/>
        </w:rPr>
        <w:t>废水</w:t>
      </w:r>
      <w:r>
        <w:rPr>
          <w:rFonts w:hint="default" w:ascii="Times New Roman" w:hAnsi="Times New Roman" w:eastAsia="宋体" w:cs="Times New Roman"/>
          <w:b w:val="0"/>
          <w:bCs w:val="0"/>
          <w:color w:val="auto"/>
          <w:sz w:val="24"/>
          <w:szCs w:val="24"/>
          <w:highlight w:val="none"/>
          <w:lang w:val="en-US" w:eastAsia="zh-CN"/>
        </w:rPr>
        <w:t>的收集。</w:t>
      </w:r>
    </w:p>
    <w:p w14:paraId="4ACC6DCE">
      <w:pPr>
        <w:bidi w:val="0"/>
        <w:ind w:left="0" w:leftChars="0" w:firstLine="480" w:firstLineChars="200"/>
        <w:rPr>
          <w:rFonts w:hint="eastAsia"/>
          <w:color w:val="auto"/>
        </w:rPr>
      </w:pPr>
      <w:r>
        <w:rPr>
          <w:rFonts w:hint="eastAsia"/>
          <w:color w:val="auto"/>
          <w:sz w:val="24"/>
          <w:szCs w:val="24"/>
        </w:rPr>
        <w:t>⑦</w:t>
      </w:r>
      <w:r>
        <w:rPr>
          <w:rFonts w:hint="eastAsia"/>
          <w:color w:val="auto"/>
        </w:rPr>
        <w:t>厂区</w:t>
      </w:r>
      <w:r>
        <w:rPr>
          <w:rFonts w:hint="eastAsia"/>
          <w:color w:val="auto"/>
          <w:lang w:val="en-US" w:eastAsia="zh-CN"/>
        </w:rPr>
        <w:t>设3口</w:t>
      </w:r>
      <w:r>
        <w:rPr>
          <w:rFonts w:hint="eastAsia"/>
          <w:color w:val="auto"/>
        </w:rPr>
        <w:t>地下水跟踪监测井</w:t>
      </w:r>
      <w:r>
        <w:rPr>
          <w:rFonts w:hint="eastAsia"/>
          <w:color w:val="auto"/>
          <w:lang w:eastAsia="zh-CN"/>
        </w:rPr>
        <w:t>，</w:t>
      </w:r>
      <w:r>
        <w:rPr>
          <w:rFonts w:hint="eastAsia"/>
          <w:color w:val="auto"/>
        </w:rPr>
        <w:t>建立地下水环境监测管理体系，严格按照环评要求对</w:t>
      </w:r>
      <w:r>
        <w:rPr>
          <w:rFonts w:hint="eastAsia"/>
          <w:color w:val="auto"/>
          <w:lang w:val="en-US" w:eastAsia="zh-CN"/>
        </w:rPr>
        <w:t>区域地下水</w:t>
      </w:r>
      <w:r>
        <w:rPr>
          <w:rFonts w:hint="eastAsia"/>
          <w:color w:val="auto"/>
        </w:rPr>
        <w:t>水质监测井进行监测，一旦发现水质异常，立刻采取有效措施（如采用水动力隔离技术）阻止污染羽的扩散迁移，将地下水控制在局部范围，避免对厂区下游地下水造成污染。</w:t>
      </w:r>
    </w:p>
    <w:p w14:paraId="6B74076C">
      <w:pPr>
        <w:pStyle w:val="4"/>
        <w:bidi w:val="0"/>
        <w:ind w:left="1855" w:leftChars="0" w:hanging="1855"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运营期非正常排放源分析</w:t>
      </w:r>
    </w:p>
    <w:p w14:paraId="61A78D15">
      <w:pPr>
        <w:pStyle w:val="6"/>
        <w:bidi w:val="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1、非正常排放情形</w:t>
      </w:r>
    </w:p>
    <w:p w14:paraId="185AD5A8">
      <w:pPr>
        <w:bidi w:val="0"/>
        <w:ind w:left="0" w:leftChars="0" w:firstLine="480" w:firstLineChars="200"/>
        <w:rPr>
          <w:rFonts w:hint="eastAsia"/>
          <w:color w:val="auto"/>
        </w:rPr>
      </w:pPr>
      <w:r>
        <w:rPr>
          <w:color w:val="auto"/>
        </w:rPr>
        <w:t>非正常</w:t>
      </w:r>
      <w:r>
        <w:rPr>
          <w:rFonts w:hint="eastAsia"/>
          <w:color w:val="auto"/>
        </w:rPr>
        <w:t>排放</w:t>
      </w:r>
      <w:r>
        <w:rPr>
          <w:color w:val="auto"/>
        </w:rPr>
        <w:t>是指生产过程中开停工</w:t>
      </w:r>
      <w:r>
        <w:rPr>
          <w:rFonts w:hint="eastAsia"/>
          <w:color w:val="auto"/>
        </w:rPr>
        <w:t>、</w:t>
      </w:r>
      <w:r>
        <w:rPr>
          <w:color w:val="auto"/>
        </w:rPr>
        <w:t>设备检修</w:t>
      </w:r>
      <w:r>
        <w:rPr>
          <w:rFonts w:hint="eastAsia"/>
          <w:color w:val="auto"/>
        </w:rPr>
        <w:t>、</w:t>
      </w:r>
      <w:r>
        <w:rPr>
          <w:color w:val="auto"/>
        </w:rPr>
        <w:t>工艺设备运转异常等非正常工况下的污染物排放</w:t>
      </w:r>
      <w:r>
        <w:rPr>
          <w:rFonts w:hint="eastAsia"/>
          <w:color w:val="auto"/>
        </w:rPr>
        <w:t>，</w:t>
      </w:r>
      <w:r>
        <w:rPr>
          <w:color w:val="auto"/>
        </w:rPr>
        <w:t>以及污染物排放控制措施达不到应有效率等情况下的排放</w:t>
      </w:r>
      <w:r>
        <w:rPr>
          <w:rFonts w:hint="eastAsia"/>
          <w:color w:val="auto"/>
        </w:rPr>
        <w:t>。</w:t>
      </w:r>
      <w:r>
        <w:rPr>
          <w:rFonts w:hint="eastAsia"/>
          <w:color w:val="auto"/>
          <w:lang w:val="en-US" w:eastAsia="zh-CN"/>
        </w:rPr>
        <w:t xml:space="preserve">项目发生非正常排放主要为以下情形： </w:t>
      </w:r>
    </w:p>
    <w:p w14:paraId="5B39E3F3">
      <w:pPr>
        <w:bidi w:val="0"/>
        <w:ind w:left="0" w:leftChars="0" w:firstLine="480" w:firstLineChars="200"/>
        <w:rPr>
          <w:rFonts w:hint="eastAsia"/>
          <w:color w:val="auto"/>
          <w:lang w:val="en-US" w:eastAsia="zh-CN"/>
        </w:rPr>
      </w:pPr>
      <w:r>
        <w:rPr>
          <w:rFonts w:hint="eastAsia"/>
          <w:color w:val="auto"/>
          <w:lang w:val="en-US" w:eastAsia="zh-CN"/>
        </w:rPr>
        <w:t>运营期废气处理设施故障主要表现在未及时更换活性炭或喷淋介质导致废气治理效果达不到处理要求甚至处理效率为零的情况，每年故障的累计发生次数不超过1次，每次持续时间不超过1小时。</w:t>
      </w:r>
    </w:p>
    <w:p w14:paraId="321647C2">
      <w:pPr>
        <w:pStyle w:val="6"/>
        <w:bidi w:val="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2、非正常排放源</w:t>
      </w:r>
    </w:p>
    <w:p w14:paraId="6D2B91C6">
      <w:pPr>
        <w:bidi w:val="0"/>
        <w:rPr>
          <w:rFonts w:hint="default"/>
          <w:color w:val="auto"/>
          <w:lang w:val="en-US" w:eastAsia="zh-CN"/>
        </w:rPr>
      </w:pPr>
      <w:r>
        <w:rPr>
          <w:rFonts w:hint="eastAsia"/>
          <w:color w:val="auto"/>
          <w:lang w:val="en-US" w:eastAsia="zh-CN"/>
        </w:rPr>
        <w:t>本项目</w:t>
      </w:r>
      <w:r>
        <w:rPr>
          <w:rFonts w:hint="eastAsia"/>
          <w:color w:val="auto"/>
        </w:rPr>
        <w:t>非正常排放源核算情况见</w:t>
      </w:r>
      <w:r>
        <w:rPr>
          <w:rFonts w:hint="eastAsia"/>
          <w:color w:val="auto"/>
          <w:lang w:val="en-US" w:eastAsia="zh-CN"/>
        </w:rPr>
        <w:t>下表</w:t>
      </w:r>
      <w:r>
        <w:rPr>
          <w:rFonts w:hint="eastAsia"/>
          <w:color w:val="auto"/>
        </w:rPr>
        <w:t>。</w:t>
      </w:r>
    </w:p>
    <w:p w14:paraId="4EF1F113">
      <w:pPr>
        <w:pStyle w:val="27"/>
        <w:numPr>
          <w:ilvl w:val="0"/>
          <w:numId w:val="20"/>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非正常排放源核算表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2078"/>
        <w:gridCol w:w="2216"/>
        <w:gridCol w:w="1725"/>
        <w:gridCol w:w="1187"/>
        <w:gridCol w:w="1185"/>
      </w:tblGrid>
      <w:tr w14:paraId="3912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85" w:type="pct"/>
            <w:noWrap w:val="0"/>
            <w:vAlign w:val="center"/>
          </w:tcPr>
          <w:p w14:paraId="30EC7AA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非正常排放源</w:t>
            </w:r>
          </w:p>
        </w:tc>
        <w:tc>
          <w:tcPr>
            <w:tcW w:w="1093" w:type="pct"/>
            <w:noWrap w:val="0"/>
            <w:vAlign w:val="center"/>
          </w:tcPr>
          <w:p w14:paraId="146442C5">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非正常排放原因</w:t>
            </w:r>
          </w:p>
        </w:tc>
        <w:tc>
          <w:tcPr>
            <w:tcW w:w="1165" w:type="pct"/>
            <w:noWrap w:val="0"/>
            <w:vAlign w:val="center"/>
          </w:tcPr>
          <w:p w14:paraId="63779B70">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tc>
        <w:tc>
          <w:tcPr>
            <w:tcW w:w="907" w:type="pct"/>
            <w:noWrap w:val="0"/>
            <w:vAlign w:val="center"/>
          </w:tcPr>
          <w:p w14:paraId="100C3E2E">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非正常排放速率（kg/h）</w:t>
            </w:r>
          </w:p>
        </w:tc>
        <w:tc>
          <w:tcPr>
            <w:tcW w:w="624" w:type="pct"/>
            <w:noWrap w:val="0"/>
            <w:vAlign w:val="center"/>
          </w:tcPr>
          <w:p w14:paraId="455CBDD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单次持续时间（h）</w:t>
            </w:r>
          </w:p>
        </w:tc>
        <w:tc>
          <w:tcPr>
            <w:tcW w:w="623" w:type="pct"/>
            <w:noWrap w:val="0"/>
            <w:vAlign w:val="center"/>
          </w:tcPr>
          <w:p w14:paraId="0504389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年发生频次（次）</w:t>
            </w:r>
          </w:p>
        </w:tc>
      </w:tr>
      <w:tr w14:paraId="184F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restart"/>
            <w:noWrap w:val="0"/>
            <w:vAlign w:val="center"/>
          </w:tcPr>
          <w:p w14:paraId="62DA660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DA0</w:t>
            </w:r>
            <w:r>
              <w:rPr>
                <w:rFonts w:hint="eastAsia" w:cs="Courier New"/>
                <w:b w:val="0"/>
                <w:bCs w:val="0"/>
                <w:color w:val="auto"/>
                <w:sz w:val="21"/>
                <w:szCs w:val="21"/>
                <w:highlight w:val="none"/>
                <w:lang w:val="en-US" w:eastAsia="zh-CN"/>
              </w:rPr>
              <w:t>01</w:t>
            </w:r>
          </w:p>
        </w:tc>
        <w:tc>
          <w:tcPr>
            <w:tcW w:w="1093" w:type="pct"/>
            <w:vMerge w:val="restart"/>
            <w:noWrap w:val="0"/>
            <w:vAlign w:val="center"/>
          </w:tcPr>
          <w:p w14:paraId="4EAE6D9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废气处理系统故障，未及时更换活性炭</w:t>
            </w:r>
            <w:r>
              <w:rPr>
                <w:rFonts w:hint="eastAsia" w:cs="Courier New"/>
                <w:b w:val="0"/>
                <w:bCs w:val="0"/>
                <w:color w:val="auto"/>
                <w:sz w:val="21"/>
                <w:szCs w:val="21"/>
                <w:highlight w:val="none"/>
                <w:lang w:val="en-US" w:eastAsia="zh-CN"/>
              </w:rPr>
              <w:t>或喷淋介质</w:t>
            </w:r>
            <w:r>
              <w:rPr>
                <w:rFonts w:hint="eastAsia" w:ascii="Times New Roman" w:hAnsi="Times New Roman" w:eastAsia="宋体" w:cs="Courier New"/>
                <w:b w:val="0"/>
                <w:bCs w:val="0"/>
                <w:color w:val="auto"/>
                <w:sz w:val="21"/>
                <w:szCs w:val="21"/>
                <w:highlight w:val="none"/>
                <w:lang w:val="en-US" w:eastAsia="zh-CN"/>
              </w:rPr>
              <w:t>，</w:t>
            </w:r>
            <w:r>
              <w:rPr>
                <w:rFonts w:hint="eastAsia"/>
                <w:color w:val="auto"/>
                <w:sz w:val="21"/>
                <w:szCs w:val="21"/>
                <w:highlight w:val="none"/>
              </w:rPr>
              <w:t>污染物</w:t>
            </w:r>
            <w:r>
              <w:rPr>
                <w:rFonts w:hint="eastAsia"/>
                <w:color w:val="auto"/>
                <w:sz w:val="21"/>
                <w:szCs w:val="21"/>
                <w:highlight w:val="none"/>
                <w:lang w:val="en-US" w:eastAsia="zh-CN"/>
              </w:rPr>
              <w:t>处理</w:t>
            </w:r>
            <w:r>
              <w:rPr>
                <w:rFonts w:hint="eastAsia"/>
                <w:color w:val="auto"/>
                <w:sz w:val="21"/>
                <w:szCs w:val="21"/>
                <w:highlight w:val="none"/>
              </w:rPr>
              <w:t>效率</w:t>
            </w:r>
            <w:r>
              <w:rPr>
                <w:rFonts w:hint="eastAsia"/>
                <w:color w:val="auto"/>
                <w:sz w:val="21"/>
                <w:szCs w:val="21"/>
                <w:highlight w:val="none"/>
                <w:lang w:val="en-US" w:eastAsia="zh-CN"/>
              </w:rPr>
              <w:t>为50%</w:t>
            </w:r>
          </w:p>
        </w:tc>
        <w:tc>
          <w:tcPr>
            <w:tcW w:w="1165" w:type="pct"/>
            <w:noWrap w:val="0"/>
            <w:vAlign w:val="center"/>
          </w:tcPr>
          <w:p w14:paraId="5DFACA72">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颗粒物</w:t>
            </w:r>
          </w:p>
        </w:tc>
        <w:tc>
          <w:tcPr>
            <w:tcW w:w="907" w:type="pct"/>
            <w:noWrap w:val="0"/>
            <w:vAlign w:val="bottom"/>
          </w:tcPr>
          <w:p w14:paraId="5D4D44CB">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624" w:type="pct"/>
            <w:vMerge w:val="restart"/>
            <w:noWrap w:val="0"/>
            <w:vAlign w:val="center"/>
          </w:tcPr>
          <w:p w14:paraId="04E29718">
            <w:pPr>
              <w:pStyle w:val="24"/>
              <w:bidi w:val="0"/>
              <w:ind w:left="0" w:leftChars="0"/>
              <w:rPr>
                <w:rFonts w:hint="default" w:cs="Calibri"/>
                <w:b w:val="0"/>
                <w:bCs w:val="0"/>
                <w:color w:val="auto"/>
                <w:sz w:val="21"/>
                <w:szCs w:val="21"/>
                <w:highlight w:val="none"/>
                <w:lang w:val="en-US"/>
              </w:rPr>
            </w:pPr>
            <w:r>
              <w:rPr>
                <w:rFonts w:hint="eastAsia" w:ascii="Times New Roman" w:hAnsi="Times New Roman" w:eastAsia="宋体" w:cs="Courier New"/>
                <w:b w:val="0"/>
                <w:bCs w:val="0"/>
                <w:color w:val="auto"/>
                <w:sz w:val="21"/>
                <w:szCs w:val="21"/>
                <w:highlight w:val="none"/>
                <w:lang w:val="en-US" w:eastAsia="zh-CN"/>
              </w:rPr>
              <w:t>1</w:t>
            </w:r>
          </w:p>
        </w:tc>
        <w:tc>
          <w:tcPr>
            <w:tcW w:w="623" w:type="pct"/>
            <w:vMerge w:val="restart"/>
            <w:noWrap w:val="0"/>
            <w:vAlign w:val="center"/>
          </w:tcPr>
          <w:p w14:paraId="2778F9AC">
            <w:pPr>
              <w:pStyle w:val="24"/>
              <w:bidi w:val="0"/>
              <w:ind w:left="0" w:leftChars="0"/>
              <w:rPr>
                <w:rFonts w:hint="default" w:cs="Calibri"/>
                <w:b w:val="0"/>
                <w:bCs w:val="0"/>
                <w:color w:val="auto"/>
                <w:sz w:val="21"/>
                <w:szCs w:val="21"/>
                <w:highlight w:val="none"/>
                <w:lang w:val="en-US"/>
              </w:rPr>
            </w:pPr>
            <w:r>
              <w:rPr>
                <w:rFonts w:hint="eastAsia" w:ascii="Times New Roman" w:hAnsi="Times New Roman" w:eastAsia="宋体" w:cs="Courier New"/>
                <w:b w:val="0"/>
                <w:bCs w:val="0"/>
                <w:color w:val="auto"/>
                <w:sz w:val="21"/>
                <w:szCs w:val="21"/>
                <w:highlight w:val="none"/>
                <w:lang w:val="en-US" w:eastAsia="zh-CN"/>
              </w:rPr>
              <w:t>1</w:t>
            </w:r>
          </w:p>
        </w:tc>
      </w:tr>
      <w:tr w14:paraId="789B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39FD7225">
            <w:pPr>
              <w:pStyle w:val="24"/>
              <w:bidi w:val="0"/>
              <w:rPr>
                <w:rFonts w:hint="default"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386708BC">
            <w:pPr>
              <w:pStyle w:val="24"/>
              <w:bidi w:val="0"/>
              <w:rPr>
                <w:rFonts w:hint="default"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487F345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907" w:type="pct"/>
            <w:noWrap w:val="0"/>
            <w:vAlign w:val="bottom"/>
          </w:tcPr>
          <w:p w14:paraId="30CBC0C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0.0199 </w:t>
            </w:r>
          </w:p>
        </w:tc>
        <w:tc>
          <w:tcPr>
            <w:tcW w:w="624" w:type="pct"/>
            <w:vMerge w:val="continue"/>
            <w:noWrap w:val="0"/>
            <w:vAlign w:val="center"/>
          </w:tcPr>
          <w:p w14:paraId="6D85EB67">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11B3B60F">
            <w:pPr>
              <w:pStyle w:val="24"/>
              <w:bidi w:val="0"/>
              <w:rPr>
                <w:rFonts w:hint="eastAsia" w:ascii="Times New Roman" w:hAnsi="Times New Roman" w:eastAsia="宋体" w:cs="Courier New"/>
                <w:b w:val="0"/>
                <w:bCs w:val="0"/>
                <w:color w:val="auto"/>
                <w:sz w:val="21"/>
                <w:szCs w:val="21"/>
                <w:highlight w:val="none"/>
                <w:lang w:val="en-US" w:eastAsia="zh-CN"/>
              </w:rPr>
            </w:pPr>
          </w:p>
        </w:tc>
      </w:tr>
      <w:tr w14:paraId="4313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4916C91B">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271C06F2">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1E9A92F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907" w:type="pct"/>
            <w:noWrap w:val="0"/>
            <w:vAlign w:val="bottom"/>
          </w:tcPr>
          <w:p w14:paraId="6ED6AC8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0.0406 </w:t>
            </w:r>
          </w:p>
        </w:tc>
        <w:tc>
          <w:tcPr>
            <w:tcW w:w="624" w:type="pct"/>
            <w:vMerge w:val="continue"/>
            <w:noWrap w:val="0"/>
            <w:vAlign w:val="center"/>
          </w:tcPr>
          <w:p w14:paraId="1945966F">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771973C2">
            <w:pPr>
              <w:pStyle w:val="24"/>
              <w:bidi w:val="0"/>
              <w:rPr>
                <w:rFonts w:hint="eastAsia" w:ascii="Times New Roman" w:hAnsi="Times New Roman" w:eastAsia="宋体" w:cs="Courier New"/>
                <w:b w:val="0"/>
                <w:bCs w:val="0"/>
                <w:color w:val="auto"/>
                <w:sz w:val="21"/>
                <w:szCs w:val="21"/>
                <w:highlight w:val="none"/>
                <w:lang w:val="en-US" w:eastAsia="zh-CN"/>
              </w:rPr>
            </w:pPr>
          </w:p>
        </w:tc>
      </w:tr>
      <w:tr w14:paraId="6A19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29DEBFCD">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7B575B4E">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4E632DA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VOCs</w:t>
            </w:r>
          </w:p>
        </w:tc>
        <w:tc>
          <w:tcPr>
            <w:tcW w:w="907" w:type="pct"/>
            <w:noWrap w:val="0"/>
            <w:vAlign w:val="bottom"/>
          </w:tcPr>
          <w:p w14:paraId="40628D98">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0.0720 </w:t>
            </w:r>
          </w:p>
        </w:tc>
        <w:tc>
          <w:tcPr>
            <w:tcW w:w="624" w:type="pct"/>
            <w:vMerge w:val="continue"/>
            <w:noWrap w:val="0"/>
            <w:vAlign w:val="center"/>
          </w:tcPr>
          <w:p w14:paraId="0340F36F">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1669F5F3">
            <w:pPr>
              <w:pStyle w:val="24"/>
              <w:bidi w:val="0"/>
              <w:rPr>
                <w:rFonts w:hint="eastAsia" w:ascii="Times New Roman" w:hAnsi="Times New Roman" w:eastAsia="宋体" w:cs="Courier New"/>
                <w:b w:val="0"/>
                <w:bCs w:val="0"/>
                <w:color w:val="auto"/>
                <w:sz w:val="21"/>
                <w:szCs w:val="21"/>
                <w:highlight w:val="none"/>
                <w:lang w:val="en-US" w:eastAsia="zh-CN"/>
              </w:rPr>
            </w:pPr>
          </w:p>
        </w:tc>
      </w:tr>
      <w:tr w14:paraId="7E6D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44827932">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0DE68F80">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1C5EFA1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NH</w:t>
            </w:r>
            <w:r>
              <w:rPr>
                <w:rFonts w:hint="eastAsia" w:ascii="Times New Roman" w:hAnsi="Times New Roman" w:eastAsia="宋体" w:cs="Courier New"/>
                <w:b w:val="0"/>
                <w:bCs w:val="0"/>
                <w:color w:val="auto"/>
                <w:sz w:val="21"/>
                <w:szCs w:val="21"/>
                <w:highlight w:val="none"/>
                <w:vertAlign w:val="subscript"/>
                <w:lang w:val="en-US" w:eastAsia="zh-CN"/>
              </w:rPr>
              <w:t>3</w:t>
            </w:r>
          </w:p>
        </w:tc>
        <w:tc>
          <w:tcPr>
            <w:tcW w:w="907" w:type="pct"/>
            <w:shd w:val="clear" w:color="auto" w:fill="auto"/>
            <w:noWrap w:val="0"/>
            <w:vAlign w:val="center"/>
          </w:tcPr>
          <w:p w14:paraId="4E84E6F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624" w:type="pct"/>
            <w:vMerge w:val="continue"/>
            <w:noWrap w:val="0"/>
            <w:vAlign w:val="center"/>
          </w:tcPr>
          <w:p w14:paraId="4E1380CB">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69A23B76">
            <w:pPr>
              <w:pStyle w:val="24"/>
              <w:bidi w:val="0"/>
              <w:rPr>
                <w:rFonts w:hint="eastAsia" w:ascii="Times New Roman" w:hAnsi="Times New Roman" w:eastAsia="宋体" w:cs="Courier New"/>
                <w:b w:val="0"/>
                <w:bCs w:val="0"/>
                <w:color w:val="auto"/>
                <w:sz w:val="21"/>
                <w:szCs w:val="21"/>
                <w:highlight w:val="none"/>
                <w:lang w:val="en-US" w:eastAsia="zh-CN"/>
              </w:rPr>
            </w:pPr>
          </w:p>
        </w:tc>
      </w:tr>
      <w:tr w14:paraId="482C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12D2F2A8">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6BF1EFE1">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18F33BA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臭气浓度</w:t>
            </w:r>
          </w:p>
        </w:tc>
        <w:tc>
          <w:tcPr>
            <w:tcW w:w="907" w:type="pct"/>
            <w:shd w:val="clear" w:color="auto" w:fill="auto"/>
            <w:noWrap w:val="0"/>
            <w:vAlign w:val="center"/>
          </w:tcPr>
          <w:p w14:paraId="05E7C76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624" w:type="pct"/>
            <w:vMerge w:val="continue"/>
            <w:noWrap w:val="0"/>
            <w:vAlign w:val="center"/>
          </w:tcPr>
          <w:p w14:paraId="546335C5">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7978AB91">
            <w:pPr>
              <w:pStyle w:val="24"/>
              <w:bidi w:val="0"/>
              <w:rPr>
                <w:rFonts w:hint="eastAsia" w:ascii="Times New Roman" w:hAnsi="Times New Roman" w:eastAsia="宋体" w:cs="Courier New"/>
                <w:b w:val="0"/>
                <w:bCs w:val="0"/>
                <w:color w:val="auto"/>
                <w:sz w:val="21"/>
                <w:szCs w:val="21"/>
                <w:highlight w:val="none"/>
                <w:lang w:val="en-US" w:eastAsia="zh-CN"/>
              </w:rPr>
            </w:pPr>
          </w:p>
        </w:tc>
      </w:tr>
      <w:tr w14:paraId="694B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restart"/>
            <w:noWrap w:val="0"/>
            <w:vAlign w:val="center"/>
          </w:tcPr>
          <w:p w14:paraId="5080AA1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DA00</w:t>
            </w:r>
            <w:r>
              <w:rPr>
                <w:rFonts w:hint="eastAsia" w:cs="Courier New"/>
                <w:b w:val="0"/>
                <w:bCs w:val="0"/>
                <w:color w:val="auto"/>
                <w:sz w:val="21"/>
                <w:szCs w:val="21"/>
                <w:highlight w:val="none"/>
                <w:lang w:val="en-US" w:eastAsia="zh-CN"/>
              </w:rPr>
              <w:t>2</w:t>
            </w:r>
          </w:p>
        </w:tc>
        <w:tc>
          <w:tcPr>
            <w:tcW w:w="1093" w:type="pct"/>
            <w:vMerge w:val="restart"/>
            <w:noWrap w:val="0"/>
            <w:vAlign w:val="center"/>
          </w:tcPr>
          <w:p w14:paraId="40FCFF5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废气处理系统故障，未及时更换</w:t>
            </w:r>
            <w:r>
              <w:rPr>
                <w:rFonts w:hint="eastAsia" w:cs="Courier New"/>
                <w:b w:val="0"/>
                <w:bCs w:val="0"/>
                <w:color w:val="auto"/>
                <w:sz w:val="21"/>
                <w:szCs w:val="21"/>
                <w:highlight w:val="none"/>
                <w:lang w:val="en-US" w:eastAsia="zh-CN"/>
              </w:rPr>
              <w:t>喷淋介质</w:t>
            </w:r>
            <w:r>
              <w:rPr>
                <w:rFonts w:hint="eastAsia" w:ascii="Times New Roman" w:hAnsi="Times New Roman" w:eastAsia="宋体" w:cs="Courier New"/>
                <w:b w:val="0"/>
                <w:bCs w:val="0"/>
                <w:color w:val="auto"/>
                <w:sz w:val="21"/>
                <w:szCs w:val="21"/>
                <w:highlight w:val="none"/>
                <w:lang w:val="en-US" w:eastAsia="zh-CN"/>
              </w:rPr>
              <w:t>，</w:t>
            </w:r>
            <w:r>
              <w:rPr>
                <w:rFonts w:hint="eastAsia"/>
                <w:color w:val="auto"/>
                <w:sz w:val="21"/>
                <w:szCs w:val="21"/>
                <w:highlight w:val="none"/>
              </w:rPr>
              <w:t>污染物</w:t>
            </w:r>
            <w:r>
              <w:rPr>
                <w:rFonts w:hint="eastAsia"/>
                <w:color w:val="auto"/>
                <w:sz w:val="21"/>
                <w:szCs w:val="21"/>
                <w:highlight w:val="none"/>
                <w:lang w:val="en-US" w:eastAsia="zh-CN"/>
              </w:rPr>
              <w:t>处理</w:t>
            </w:r>
            <w:r>
              <w:rPr>
                <w:rFonts w:hint="eastAsia"/>
                <w:color w:val="auto"/>
                <w:sz w:val="21"/>
                <w:szCs w:val="21"/>
                <w:highlight w:val="none"/>
              </w:rPr>
              <w:t>效率</w:t>
            </w:r>
            <w:r>
              <w:rPr>
                <w:rFonts w:hint="eastAsia"/>
                <w:color w:val="auto"/>
                <w:sz w:val="21"/>
                <w:szCs w:val="21"/>
                <w:highlight w:val="none"/>
                <w:lang w:val="en-US" w:eastAsia="zh-CN"/>
              </w:rPr>
              <w:t>为50%</w:t>
            </w:r>
          </w:p>
        </w:tc>
        <w:tc>
          <w:tcPr>
            <w:tcW w:w="2216" w:type="dxa"/>
            <w:noWrap w:val="0"/>
            <w:vAlign w:val="center"/>
          </w:tcPr>
          <w:p w14:paraId="3C508CD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氯化氢</w:t>
            </w:r>
          </w:p>
        </w:tc>
        <w:tc>
          <w:tcPr>
            <w:tcW w:w="1725" w:type="dxa"/>
            <w:noWrap w:val="0"/>
            <w:vAlign w:val="bottom"/>
          </w:tcPr>
          <w:p w14:paraId="6937A37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1.90E-06</w:t>
            </w:r>
          </w:p>
        </w:tc>
        <w:tc>
          <w:tcPr>
            <w:tcW w:w="624" w:type="pct"/>
            <w:vMerge w:val="continue"/>
            <w:noWrap w:val="0"/>
            <w:vAlign w:val="center"/>
          </w:tcPr>
          <w:p w14:paraId="004FD9DE">
            <w:pPr>
              <w:pStyle w:val="24"/>
              <w:bidi w:val="0"/>
              <w:ind w:left="0" w:leftChars="0"/>
              <w:rPr>
                <w:rFonts w:cs="Calibri"/>
                <w:b w:val="0"/>
                <w:bCs w:val="0"/>
                <w:color w:val="auto"/>
                <w:sz w:val="21"/>
                <w:szCs w:val="21"/>
                <w:highlight w:val="none"/>
              </w:rPr>
            </w:pPr>
          </w:p>
        </w:tc>
        <w:tc>
          <w:tcPr>
            <w:tcW w:w="623" w:type="pct"/>
            <w:vMerge w:val="continue"/>
            <w:noWrap w:val="0"/>
            <w:vAlign w:val="center"/>
          </w:tcPr>
          <w:p w14:paraId="60A45A50">
            <w:pPr>
              <w:pStyle w:val="24"/>
              <w:bidi w:val="0"/>
              <w:ind w:left="0" w:leftChars="0"/>
              <w:rPr>
                <w:rFonts w:cs="Calibri"/>
                <w:b w:val="0"/>
                <w:bCs w:val="0"/>
                <w:color w:val="auto"/>
                <w:sz w:val="21"/>
                <w:szCs w:val="21"/>
                <w:highlight w:val="none"/>
              </w:rPr>
            </w:pPr>
          </w:p>
        </w:tc>
      </w:tr>
      <w:tr w14:paraId="0FB1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268C5C79">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010D23F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216" w:type="dxa"/>
            <w:noWrap w:val="0"/>
            <w:vAlign w:val="center"/>
          </w:tcPr>
          <w:p w14:paraId="72DA420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1725" w:type="dxa"/>
            <w:noWrap w:val="0"/>
            <w:vAlign w:val="bottom"/>
          </w:tcPr>
          <w:p w14:paraId="6015B79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3.20E-07</w:t>
            </w:r>
          </w:p>
        </w:tc>
        <w:tc>
          <w:tcPr>
            <w:tcW w:w="624" w:type="pct"/>
            <w:vMerge w:val="continue"/>
            <w:noWrap w:val="0"/>
            <w:vAlign w:val="center"/>
          </w:tcPr>
          <w:p w14:paraId="61F935C7">
            <w:pPr>
              <w:pStyle w:val="24"/>
              <w:bidi w:val="0"/>
              <w:ind w:left="0" w:leftChars="0"/>
              <w:rPr>
                <w:rFonts w:cs="Calibri"/>
                <w:b w:val="0"/>
                <w:bCs w:val="0"/>
                <w:color w:val="auto"/>
                <w:sz w:val="21"/>
                <w:szCs w:val="21"/>
                <w:highlight w:val="none"/>
              </w:rPr>
            </w:pPr>
          </w:p>
        </w:tc>
        <w:tc>
          <w:tcPr>
            <w:tcW w:w="623" w:type="pct"/>
            <w:vMerge w:val="continue"/>
            <w:noWrap w:val="0"/>
            <w:vAlign w:val="center"/>
          </w:tcPr>
          <w:p w14:paraId="666A2520">
            <w:pPr>
              <w:pStyle w:val="24"/>
              <w:bidi w:val="0"/>
              <w:ind w:left="0" w:leftChars="0"/>
              <w:rPr>
                <w:rFonts w:cs="Calibri"/>
                <w:b w:val="0"/>
                <w:bCs w:val="0"/>
                <w:color w:val="auto"/>
                <w:sz w:val="21"/>
                <w:szCs w:val="21"/>
                <w:highlight w:val="none"/>
              </w:rPr>
            </w:pPr>
          </w:p>
        </w:tc>
      </w:tr>
      <w:tr w14:paraId="49F1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85" w:type="pct"/>
            <w:vMerge w:val="continue"/>
            <w:noWrap w:val="0"/>
            <w:vAlign w:val="center"/>
          </w:tcPr>
          <w:p w14:paraId="1F41475A">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29CED168">
            <w:pPr>
              <w:pStyle w:val="24"/>
              <w:bidi w:val="0"/>
              <w:rPr>
                <w:rFonts w:hint="eastAsia" w:ascii="Times New Roman" w:hAnsi="Times New Roman" w:eastAsia="宋体" w:cs="Courier New"/>
                <w:b w:val="0"/>
                <w:bCs w:val="0"/>
                <w:color w:val="auto"/>
                <w:sz w:val="21"/>
                <w:szCs w:val="21"/>
                <w:highlight w:val="none"/>
                <w:lang w:val="en-US" w:eastAsia="zh-CN"/>
              </w:rPr>
            </w:pPr>
          </w:p>
        </w:tc>
        <w:tc>
          <w:tcPr>
            <w:tcW w:w="2216" w:type="dxa"/>
            <w:noWrap w:val="0"/>
            <w:vAlign w:val="center"/>
          </w:tcPr>
          <w:p w14:paraId="690FBD7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1725" w:type="dxa"/>
            <w:noWrap w:val="0"/>
            <w:vAlign w:val="bottom"/>
          </w:tcPr>
          <w:p w14:paraId="6C48186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2.00E-04</w:t>
            </w:r>
          </w:p>
        </w:tc>
        <w:tc>
          <w:tcPr>
            <w:tcW w:w="624" w:type="pct"/>
            <w:vMerge w:val="continue"/>
            <w:noWrap w:val="0"/>
            <w:vAlign w:val="center"/>
          </w:tcPr>
          <w:p w14:paraId="1D074243">
            <w:pPr>
              <w:jc w:val="center"/>
              <w:rPr>
                <w:rFonts w:cs="Calibri"/>
                <w:b w:val="0"/>
                <w:bCs w:val="0"/>
                <w:color w:val="auto"/>
                <w:sz w:val="21"/>
                <w:szCs w:val="21"/>
                <w:highlight w:val="none"/>
              </w:rPr>
            </w:pPr>
          </w:p>
        </w:tc>
        <w:tc>
          <w:tcPr>
            <w:tcW w:w="623" w:type="pct"/>
            <w:vMerge w:val="continue"/>
            <w:noWrap w:val="0"/>
            <w:vAlign w:val="center"/>
          </w:tcPr>
          <w:p w14:paraId="46C17347">
            <w:pPr>
              <w:jc w:val="center"/>
              <w:rPr>
                <w:rFonts w:cs="Calibri"/>
                <w:b w:val="0"/>
                <w:bCs w:val="0"/>
                <w:color w:val="auto"/>
                <w:sz w:val="21"/>
                <w:szCs w:val="21"/>
                <w:highlight w:val="none"/>
              </w:rPr>
            </w:pPr>
          </w:p>
        </w:tc>
      </w:tr>
    </w:tbl>
    <w:p w14:paraId="5C6202EB">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3、非正常排放处理措施</w:t>
      </w:r>
    </w:p>
    <w:p w14:paraId="3582D2A8">
      <w:pPr>
        <w:bidi w:val="0"/>
        <w:ind w:left="0" w:leftChars="0" w:firstLine="480" w:firstLineChars="200"/>
        <w:rPr>
          <w:rFonts w:hint="eastAsia"/>
          <w:color w:val="auto"/>
          <w:highlight w:val="none"/>
          <w:lang w:eastAsia="zh-CN"/>
        </w:rPr>
      </w:pPr>
      <w:r>
        <w:rPr>
          <w:rFonts w:hint="eastAsia" w:ascii="Times New Roman" w:hAnsi="Times New Roman"/>
          <w:color w:val="auto"/>
          <w:sz w:val="24"/>
          <w:szCs w:val="24"/>
          <w:highlight w:val="none"/>
          <w:lang w:val="en-US" w:eastAsia="zh-CN"/>
        </w:rPr>
        <w:t>当废气处理</w:t>
      </w:r>
      <w:r>
        <w:rPr>
          <w:rFonts w:hint="eastAsia"/>
          <w:color w:val="auto"/>
          <w:sz w:val="24"/>
          <w:szCs w:val="24"/>
          <w:highlight w:val="none"/>
          <w:lang w:val="en-US" w:eastAsia="zh-CN"/>
        </w:rPr>
        <w:t>系统</w:t>
      </w:r>
      <w:r>
        <w:rPr>
          <w:rFonts w:hint="eastAsia" w:ascii="Times New Roman" w:hAnsi="Times New Roman"/>
          <w:color w:val="auto"/>
          <w:sz w:val="24"/>
          <w:szCs w:val="24"/>
          <w:highlight w:val="none"/>
          <w:lang w:val="en-US" w:eastAsia="zh-CN"/>
        </w:rPr>
        <w:t>出现故障时，</w:t>
      </w:r>
      <w:r>
        <w:rPr>
          <w:rFonts w:hint="eastAsia"/>
          <w:color w:val="auto"/>
          <w:sz w:val="24"/>
          <w:szCs w:val="24"/>
          <w:highlight w:val="none"/>
          <w:lang w:val="en-US" w:eastAsia="zh-CN"/>
        </w:rPr>
        <w:t>为防止</w:t>
      </w:r>
      <w:r>
        <w:rPr>
          <w:rFonts w:hint="eastAsia" w:ascii="Times New Roman" w:hAnsi="Times New Roman"/>
          <w:color w:val="auto"/>
          <w:sz w:val="24"/>
          <w:szCs w:val="24"/>
          <w:highlight w:val="none"/>
          <w:lang w:val="en-US" w:eastAsia="zh-CN"/>
        </w:rPr>
        <w:t>项目运营过程排放的废气未经处理直接排入大气，</w:t>
      </w:r>
      <w:r>
        <w:rPr>
          <w:rFonts w:hint="eastAsia"/>
          <w:color w:val="auto"/>
          <w:sz w:val="24"/>
          <w:szCs w:val="24"/>
          <w:highlight w:val="none"/>
          <w:lang w:val="en-US" w:eastAsia="zh-CN"/>
        </w:rPr>
        <w:t>应立即停止生产/实验，确保无污染物产生；同时，</w:t>
      </w:r>
      <w:r>
        <w:rPr>
          <w:rFonts w:hint="eastAsia"/>
          <w:color w:val="auto"/>
          <w:highlight w:val="none"/>
        </w:rPr>
        <w:t>应加强</w:t>
      </w:r>
      <w:r>
        <w:rPr>
          <w:rFonts w:hint="eastAsia"/>
          <w:color w:val="auto"/>
          <w:highlight w:val="none"/>
          <w:lang w:val="en-US" w:eastAsia="zh-CN"/>
        </w:rPr>
        <w:t>废气处理系统</w:t>
      </w:r>
      <w:r>
        <w:rPr>
          <w:rFonts w:hint="eastAsia"/>
          <w:color w:val="auto"/>
          <w:highlight w:val="none"/>
        </w:rPr>
        <w:t>的日常维护和保养，关键设备和零部件应配备足够的备用件，</w:t>
      </w:r>
      <w:r>
        <w:rPr>
          <w:rFonts w:hint="eastAsia"/>
          <w:color w:val="auto"/>
          <w:highlight w:val="none"/>
          <w:lang w:val="en-US" w:eastAsia="zh-CN"/>
        </w:rPr>
        <w:t>及时更换活性炭和喷淋介质，</w:t>
      </w:r>
      <w:r>
        <w:rPr>
          <w:rFonts w:hint="eastAsia"/>
          <w:color w:val="auto"/>
          <w:highlight w:val="none"/>
        </w:rPr>
        <w:t>确保其稳定、正常运行</w:t>
      </w:r>
      <w:r>
        <w:rPr>
          <w:rFonts w:hint="eastAsia"/>
          <w:color w:val="auto"/>
          <w:highlight w:val="none"/>
          <w:lang w:eastAsia="zh-CN"/>
        </w:rPr>
        <w:t>。</w:t>
      </w:r>
    </w:p>
    <w:p w14:paraId="2419BA9A">
      <w:pPr>
        <w:pStyle w:val="3"/>
        <w:bidi w:val="0"/>
        <w:ind w:left="576" w:leftChars="0" w:hanging="576" w:firstLineChars="0"/>
        <w:rPr>
          <w:rFonts w:hint="default"/>
          <w:color w:val="auto"/>
          <w:highlight w:val="none"/>
        </w:rPr>
      </w:pPr>
      <w:bookmarkStart w:id="73" w:name="_Toc1395"/>
      <w:bookmarkStart w:id="74" w:name="_Toc979"/>
      <w:bookmarkStart w:id="75" w:name="_Toc10234"/>
      <w:bookmarkStart w:id="76" w:name="_Toc10005"/>
      <w:r>
        <w:rPr>
          <w:rFonts w:hint="eastAsia" w:ascii="Times New Roman" w:hAnsi="Times New Roman"/>
          <w:color w:val="auto"/>
          <w:highlight w:val="none"/>
        </w:rPr>
        <w:t>工程“</w:t>
      </w:r>
      <w:r>
        <w:rPr>
          <w:rFonts w:ascii="Times New Roman" w:hAnsi="Times New Roman"/>
          <w:color w:val="auto"/>
          <w:highlight w:val="none"/>
        </w:rPr>
        <w:t>三废</w:t>
      </w:r>
      <w:r>
        <w:rPr>
          <w:rFonts w:hint="eastAsia" w:ascii="Times New Roman" w:hAnsi="Times New Roman"/>
          <w:color w:val="auto"/>
          <w:highlight w:val="none"/>
        </w:rPr>
        <w:t>”治理</w:t>
      </w:r>
      <w:r>
        <w:rPr>
          <w:rFonts w:ascii="Times New Roman" w:hAnsi="Times New Roman"/>
          <w:color w:val="auto"/>
          <w:highlight w:val="none"/>
        </w:rPr>
        <w:t>措施</w:t>
      </w:r>
      <w:r>
        <w:rPr>
          <w:rFonts w:hint="eastAsia" w:ascii="Times New Roman" w:hAnsi="Times New Roman"/>
          <w:color w:val="auto"/>
          <w:highlight w:val="none"/>
        </w:rPr>
        <w:t>汇总</w:t>
      </w:r>
      <w:bookmarkEnd w:id="73"/>
      <w:bookmarkEnd w:id="74"/>
      <w:bookmarkEnd w:id="75"/>
      <w:bookmarkEnd w:id="76"/>
    </w:p>
    <w:p w14:paraId="49FE64AD">
      <w:pPr>
        <w:bidi w:val="0"/>
        <w:rPr>
          <w:rFonts w:hint="eastAsia"/>
          <w:color w:val="auto"/>
        </w:rPr>
      </w:pPr>
      <w:r>
        <w:rPr>
          <w:rFonts w:hint="eastAsia"/>
          <w:color w:val="auto"/>
        </w:rPr>
        <w:t>本项目废气</w:t>
      </w:r>
      <w:r>
        <w:rPr>
          <w:color w:val="auto"/>
        </w:rPr>
        <w:t>、废水、固废</w:t>
      </w:r>
      <w:r>
        <w:rPr>
          <w:rFonts w:hint="eastAsia"/>
          <w:color w:val="auto"/>
        </w:rPr>
        <w:t>治理措施汇总</w:t>
      </w:r>
      <w:r>
        <w:rPr>
          <w:color w:val="auto"/>
        </w:rPr>
        <w:t>情况见</w:t>
      </w:r>
      <w:r>
        <w:rPr>
          <w:rFonts w:hint="eastAsia"/>
          <w:color w:val="auto"/>
          <w:lang w:val="en-US" w:eastAsia="zh-CN"/>
        </w:rPr>
        <w:t>下</w:t>
      </w:r>
      <w:r>
        <w:rPr>
          <w:rFonts w:hint="eastAsia"/>
          <w:color w:val="auto"/>
        </w:rPr>
        <w:t>表。</w:t>
      </w:r>
    </w:p>
    <w:p w14:paraId="7FD215D2">
      <w:pPr>
        <w:pStyle w:val="27"/>
        <w:numPr>
          <w:ilvl w:val="0"/>
          <w:numId w:val="22"/>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工程“三废”治理措施汇总表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249"/>
        <w:gridCol w:w="1077"/>
        <w:gridCol w:w="1050"/>
        <w:gridCol w:w="1036"/>
        <w:gridCol w:w="1023"/>
        <w:gridCol w:w="3291"/>
      </w:tblGrid>
      <w:tr w14:paraId="4CAA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noWrap w:val="0"/>
            <w:vAlign w:val="center"/>
          </w:tcPr>
          <w:p w14:paraId="7A25337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类型</w:t>
            </w:r>
          </w:p>
        </w:tc>
        <w:tc>
          <w:tcPr>
            <w:tcW w:w="656" w:type="pct"/>
            <w:noWrap w:val="0"/>
            <w:vAlign w:val="center"/>
          </w:tcPr>
          <w:p w14:paraId="54D5379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污染物名称</w:t>
            </w:r>
          </w:p>
        </w:tc>
        <w:tc>
          <w:tcPr>
            <w:tcW w:w="565" w:type="pct"/>
            <w:noWrap w:val="0"/>
            <w:vAlign w:val="center"/>
          </w:tcPr>
          <w:p w14:paraId="06230D0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污染因子</w:t>
            </w:r>
          </w:p>
        </w:tc>
        <w:tc>
          <w:tcPr>
            <w:tcW w:w="551" w:type="pct"/>
            <w:noWrap w:val="0"/>
            <w:vAlign w:val="center"/>
          </w:tcPr>
          <w:p w14:paraId="30F64C2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产生量（</w:t>
            </w:r>
            <w:r>
              <w:rPr>
                <w:rFonts w:hint="eastAsia" w:cs="Courier New"/>
                <w:b/>
                <w:bCs/>
                <w:color w:val="auto"/>
                <w:sz w:val="21"/>
                <w:szCs w:val="21"/>
                <w:highlight w:val="none"/>
                <w:lang w:val="en-US" w:eastAsia="zh-CN"/>
              </w:rPr>
              <w:t>t</w:t>
            </w:r>
            <w:r>
              <w:rPr>
                <w:rFonts w:hint="eastAsia" w:ascii="Times New Roman" w:hAnsi="Times New Roman" w:eastAsia="宋体" w:cs="Courier New"/>
                <w:b/>
                <w:bCs/>
                <w:color w:val="auto"/>
                <w:sz w:val="21"/>
                <w:szCs w:val="21"/>
                <w:highlight w:val="none"/>
                <w:lang w:val="en-US" w:eastAsia="zh-CN"/>
              </w:rPr>
              <w:t>/a）</w:t>
            </w:r>
          </w:p>
        </w:tc>
        <w:tc>
          <w:tcPr>
            <w:tcW w:w="544" w:type="pct"/>
            <w:noWrap w:val="0"/>
            <w:vAlign w:val="center"/>
          </w:tcPr>
          <w:p w14:paraId="745376D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削减量（</w:t>
            </w:r>
            <w:r>
              <w:rPr>
                <w:rFonts w:hint="eastAsia" w:cs="Courier New"/>
                <w:b/>
                <w:bCs/>
                <w:color w:val="auto"/>
                <w:sz w:val="21"/>
                <w:szCs w:val="21"/>
                <w:highlight w:val="none"/>
                <w:lang w:val="en-US" w:eastAsia="zh-CN"/>
              </w:rPr>
              <w:t>t</w:t>
            </w:r>
            <w:r>
              <w:rPr>
                <w:rFonts w:hint="eastAsia" w:ascii="Times New Roman" w:hAnsi="Times New Roman" w:eastAsia="宋体" w:cs="Courier New"/>
                <w:b/>
                <w:bCs/>
                <w:color w:val="auto"/>
                <w:sz w:val="21"/>
                <w:szCs w:val="21"/>
                <w:highlight w:val="none"/>
                <w:lang w:val="en-US" w:eastAsia="zh-CN"/>
              </w:rPr>
              <w:t>/a）</w:t>
            </w:r>
          </w:p>
        </w:tc>
        <w:tc>
          <w:tcPr>
            <w:tcW w:w="537" w:type="pct"/>
            <w:noWrap w:val="0"/>
            <w:vAlign w:val="center"/>
          </w:tcPr>
          <w:p w14:paraId="490E9BC4">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排放量（</w:t>
            </w:r>
            <w:r>
              <w:rPr>
                <w:rFonts w:hint="eastAsia" w:cs="Courier New"/>
                <w:b/>
                <w:bCs/>
                <w:color w:val="auto"/>
                <w:sz w:val="21"/>
                <w:szCs w:val="21"/>
                <w:highlight w:val="none"/>
                <w:lang w:val="en-US" w:eastAsia="zh-CN"/>
              </w:rPr>
              <w:t>t</w:t>
            </w:r>
            <w:r>
              <w:rPr>
                <w:rFonts w:hint="eastAsia" w:ascii="Times New Roman" w:hAnsi="Times New Roman" w:eastAsia="宋体" w:cs="Courier New"/>
                <w:b/>
                <w:bCs/>
                <w:color w:val="auto"/>
                <w:sz w:val="21"/>
                <w:szCs w:val="21"/>
                <w:highlight w:val="none"/>
                <w:lang w:val="en-US" w:eastAsia="zh-CN"/>
              </w:rPr>
              <w:t>/a）</w:t>
            </w:r>
          </w:p>
        </w:tc>
        <w:tc>
          <w:tcPr>
            <w:tcW w:w="1729" w:type="pct"/>
            <w:noWrap w:val="0"/>
            <w:vAlign w:val="center"/>
          </w:tcPr>
          <w:p w14:paraId="7D3A1FA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治理措施及处理效率</w:t>
            </w:r>
          </w:p>
        </w:tc>
      </w:tr>
      <w:tr w14:paraId="4921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restart"/>
            <w:noWrap w:val="0"/>
            <w:vAlign w:val="center"/>
          </w:tcPr>
          <w:p w14:paraId="637DBF8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废气</w:t>
            </w:r>
          </w:p>
        </w:tc>
        <w:tc>
          <w:tcPr>
            <w:tcW w:w="656" w:type="pct"/>
            <w:vMerge w:val="restart"/>
            <w:shd w:val="clear" w:color="auto" w:fill="auto"/>
            <w:noWrap w:val="0"/>
            <w:vAlign w:val="center"/>
          </w:tcPr>
          <w:p w14:paraId="059B0869">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r>
              <w:rPr>
                <w:rFonts w:hint="eastAsia" w:cs="Courier New"/>
                <w:b w:val="0"/>
                <w:color w:val="auto"/>
                <w:sz w:val="21"/>
                <w:szCs w:val="21"/>
                <w:highlight w:val="none"/>
                <w:lang w:val="en-US" w:eastAsia="zh-CN"/>
              </w:rPr>
              <w:t>工艺废气</w:t>
            </w:r>
          </w:p>
        </w:tc>
        <w:tc>
          <w:tcPr>
            <w:tcW w:w="565" w:type="pct"/>
            <w:noWrap w:val="0"/>
            <w:vAlign w:val="center"/>
          </w:tcPr>
          <w:p w14:paraId="2F3D713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颗粒物</w:t>
            </w:r>
          </w:p>
        </w:tc>
        <w:tc>
          <w:tcPr>
            <w:tcW w:w="551" w:type="pct"/>
            <w:shd w:val="clear" w:color="auto" w:fill="auto"/>
            <w:noWrap w:val="0"/>
            <w:vAlign w:val="center"/>
          </w:tcPr>
          <w:p w14:paraId="630CE302">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0.03</w:t>
            </w:r>
          </w:p>
        </w:tc>
        <w:tc>
          <w:tcPr>
            <w:tcW w:w="544" w:type="pct"/>
            <w:shd w:val="clear" w:color="auto" w:fill="auto"/>
            <w:noWrap w:val="0"/>
            <w:vAlign w:val="center"/>
          </w:tcPr>
          <w:p w14:paraId="23C3003F">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0.0216</w:t>
            </w:r>
          </w:p>
        </w:tc>
        <w:tc>
          <w:tcPr>
            <w:tcW w:w="537" w:type="pct"/>
            <w:shd w:val="clear" w:color="auto" w:fill="auto"/>
            <w:noWrap w:val="0"/>
            <w:vAlign w:val="center"/>
          </w:tcPr>
          <w:p w14:paraId="020310B4">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0.0084</w:t>
            </w:r>
          </w:p>
        </w:tc>
        <w:tc>
          <w:tcPr>
            <w:tcW w:w="1729" w:type="pct"/>
            <w:vMerge w:val="restart"/>
            <w:shd w:val="clear" w:color="auto" w:fill="auto"/>
            <w:noWrap w:val="0"/>
            <w:vAlign w:val="center"/>
          </w:tcPr>
          <w:p w14:paraId="70FEAC8C">
            <w:pPr>
              <w:pStyle w:val="24"/>
              <w:bidi w:val="0"/>
              <w:jc w:val="center"/>
              <w:rPr>
                <w:rFonts w:hint="eastAsia" w:ascii="Times New Roman" w:hAnsi="Times New Roman" w:cs="Times New Roman"/>
                <w:b w:val="0"/>
                <w:bCs w:val="0"/>
                <w:color w:val="auto"/>
                <w:sz w:val="21"/>
                <w:szCs w:val="21"/>
                <w:highlight w:val="none"/>
                <w:lang w:val="en-US" w:eastAsia="zh-CN"/>
              </w:rPr>
            </w:pPr>
            <w:r>
              <w:rPr>
                <w:rFonts w:hint="eastAsia" w:cs="Courier New"/>
                <w:b w:val="0"/>
                <w:color w:val="auto"/>
                <w:highlight w:val="none"/>
                <w:lang w:val="en-US" w:eastAsia="zh-CN"/>
              </w:rPr>
              <w:t>投料孔上方设集气罩，罐体和反应釜排气阀设密闭集气管道，并设</w:t>
            </w:r>
            <w:r>
              <w:rPr>
                <w:rFonts w:hint="default" w:ascii="Times New Roman" w:hAnsi="Times New Roman" w:eastAsia="宋体" w:cs="Courier New"/>
                <w:b w:val="0"/>
                <w:color w:val="auto"/>
                <w:highlight w:val="none"/>
                <w:lang w:val="en-US" w:eastAsia="zh-CN"/>
              </w:rPr>
              <w:t>1套</w:t>
            </w:r>
            <w:r>
              <w:rPr>
                <w:rFonts w:hint="eastAsia" w:cs="Courier New"/>
                <w:b w:val="0"/>
                <w:color w:val="auto"/>
                <w:highlight w:val="none"/>
                <w:lang w:val="en-US" w:eastAsia="zh-CN"/>
              </w:rPr>
              <w:t>二级</w:t>
            </w:r>
            <w:r>
              <w:rPr>
                <w:rFonts w:hint="default" w:ascii="Times New Roman" w:hAnsi="Times New Roman" w:eastAsia="宋体" w:cs="Courier New"/>
                <w:b w:val="0"/>
                <w:color w:val="auto"/>
                <w:highlight w:val="none"/>
                <w:lang w:val="en-US" w:eastAsia="zh-CN"/>
              </w:rPr>
              <w:t>碱喷淋（自带除雾装置）+</w:t>
            </w:r>
            <w:r>
              <w:rPr>
                <w:rFonts w:hint="eastAsia" w:cs="Courier New"/>
                <w:b w:val="0"/>
                <w:color w:val="auto"/>
                <w:highlight w:val="none"/>
                <w:lang w:val="en-US" w:eastAsia="zh-CN"/>
              </w:rPr>
              <w:t>两级</w:t>
            </w:r>
            <w:r>
              <w:rPr>
                <w:rFonts w:hint="default" w:ascii="Times New Roman" w:hAnsi="Times New Roman" w:eastAsia="宋体" w:cs="Courier New"/>
                <w:b w:val="0"/>
                <w:color w:val="auto"/>
                <w:highlight w:val="none"/>
                <w:lang w:val="en-US" w:eastAsia="zh-CN"/>
              </w:rPr>
              <w:t>活性炭吸附装置</w:t>
            </w:r>
            <w:r>
              <w:rPr>
                <w:rFonts w:hint="eastAsia" w:cs="Courier New"/>
                <w:b w:val="0"/>
                <w:color w:val="auto"/>
                <w:highlight w:val="none"/>
                <w:lang w:val="en-US" w:eastAsia="zh-CN"/>
              </w:rPr>
              <w:t>（TA001），</w:t>
            </w:r>
            <w:r>
              <w:rPr>
                <w:rFonts w:hint="eastAsia" w:cs="Courier New"/>
                <w:b w:val="0"/>
                <w:color w:val="auto"/>
                <w:kern w:val="2"/>
                <w:sz w:val="21"/>
                <w:szCs w:val="24"/>
                <w:highlight w:val="none"/>
                <w:lang w:val="en-US" w:eastAsia="zh-CN" w:bidi="ar-SA"/>
              </w:rPr>
              <w:t>工艺</w:t>
            </w:r>
            <w:r>
              <w:rPr>
                <w:rFonts w:hint="default" w:ascii="Times New Roman" w:hAnsi="Times New Roman" w:eastAsia="宋体" w:cs="Courier New"/>
                <w:b w:val="0"/>
                <w:color w:val="auto"/>
                <w:kern w:val="2"/>
                <w:sz w:val="21"/>
                <w:szCs w:val="24"/>
                <w:highlight w:val="none"/>
                <w:lang w:val="en-US" w:eastAsia="zh-CN" w:bidi="ar-SA"/>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处理后通过</w:t>
            </w:r>
            <w:r>
              <w:rPr>
                <w:rFonts w:hint="eastAsia"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cs="Courier New"/>
                <w:b w:val="0"/>
                <w:color w:val="auto"/>
                <w:highlight w:val="none"/>
                <w:lang w:val="en-US" w:eastAsia="zh-CN"/>
              </w:rPr>
              <w:t>（DA001）</w:t>
            </w:r>
            <w:r>
              <w:rPr>
                <w:rFonts w:hint="default" w:ascii="Times New Roman" w:hAnsi="Times New Roman" w:eastAsia="宋体" w:cs="Courier New"/>
                <w:b w:val="0"/>
                <w:color w:val="auto"/>
                <w:highlight w:val="none"/>
                <w:lang w:val="en-US" w:eastAsia="zh-CN"/>
              </w:rPr>
              <w:t>排放</w:t>
            </w:r>
          </w:p>
        </w:tc>
      </w:tr>
      <w:tr w14:paraId="3882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6FA89C5B">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1AA8FEEF">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p>
        </w:tc>
        <w:tc>
          <w:tcPr>
            <w:tcW w:w="565" w:type="pct"/>
            <w:shd w:val="clear" w:color="auto" w:fill="auto"/>
            <w:noWrap w:val="0"/>
            <w:vAlign w:val="center"/>
          </w:tcPr>
          <w:p w14:paraId="77DF9A4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551" w:type="pct"/>
            <w:shd w:val="clear" w:color="auto" w:fill="auto"/>
            <w:noWrap w:val="0"/>
            <w:vAlign w:val="center"/>
          </w:tcPr>
          <w:p w14:paraId="59EE812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0.1003</w:t>
            </w:r>
          </w:p>
        </w:tc>
        <w:tc>
          <w:tcPr>
            <w:tcW w:w="544" w:type="pct"/>
            <w:shd w:val="clear" w:color="auto" w:fill="auto"/>
            <w:noWrap w:val="0"/>
            <w:vAlign w:val="center"/>
          </w:tcPr>
          <w:p w14:paraId="3F1EC868">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0.0858</w:t>
            </w:r>
          </w:p>
        </w:tc>
        <w:tc>
          <w:tcPr>
            <w:tcW w:w="537" w:type="pct"/>
            <w:shd w:val="clear" w:color="auto" w:fill="auto"/>
            <w:noWrap w:val="0"/>
            <w:vAlign w:val="center"/>
          </w:tcPr>
          <w:p w14:paraId="7C5A6D6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0.0145</w:t>
            </w:r>
          </w:p>
        </w:tc>
        <w:tc>
          <w:tcPr>
            <w:tcW w:w="1729" w:type="pct"/>
            <w:vMerge w:val="continue"/>
            <w:noWrap w:val="0"/>
            <w:vAlign w:val="center"/>
          </w:tcPr>
          <w:p w14:paraId="359D5CB8">
            <w:pPr>
              <w:pStyle w:val="24"/>
              <w:bidi w:val="0"/>
              <w:jc w:val="center"/>
              <w:rPr>
                <w:rFonts w:hint="eastAsia" w:ascii="Times New Roman" w:hAnsi="Times New Roman" w:cs="Times New Roman"/>
                <w:b w:val="0"/>
                <w:bCs w:val="0"/>
                <w:color w:val="auto"/>
                <w:sz w:val="21"/>
                <w:szCs w:val="21"/>
                <w:highlight w:val="none"/>
                <w:lang w:val="en-US" w:eastAsia="zh-CN"/>
              </w:rPr>
            </w:pPr>
          </w:p>
        </w:tc>
      </w:tr>
      <w:tr w14:paraId="5630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5E496B9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5B0E0C61">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p>
        </w:tc>
        <w:tc>
          <w:tcPr>
            <w:tcW w:w="565" w:type="pct"/>
            <w:shd w:val="clear" w:color="auto" w:fill="auto"/>
            <w:noWrap w:val="0"/>
            <w:vAlign w:val="center"/>
          </w:tcPr>
          <w:p w14:paraId="7575128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551" w:type="pct"/>
            <w:shd w:val="clear" w:color="auto" w:fill="auto"/>
            <w:noWrap w:val="0"/>
            <w:vAlign w:val="center"/>
          </w:tcPr>
          <w:p w14:paraId="2299F5E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0.2053</w:t>
            </w:r>
          </w:p>
        </w:tc>
        <w:tc>
          <w:tcPr>
            <w:tcW w:w="544" w:type="pct"/>
            <w:shd w:val="clear" w:color="auto" w:fill="auto"/>
            <w:noWrap w:val="0"/>
            <w:vAlign w:val="center"/>
          </w:tcPr>
          <w:p w14:paraId="36AD392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0.1755</w:t>
            </w:r>
          </w:p>
        </w:tc>
        <w:tc>
          <w:tcPr>
            <w:tcW w:w="537" w:type="pct"/>
            <w:shd w:val="clear" w:color="auto" w:fill="auto"/>
            <w:noWrap w:val="0"/>
            <w:vAlign w:val="center"/>
          </w:tcPr>
          <w:p w14:paraId="13F18DA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0.0298</w:t>
            </w:r>
          </w:p>
        </w:tc>
        <w:tc>
          <w:tcPr>
            <w:tcW w:w="1729" w:type="pct"/>
            <w:vMerge w:val="continue"/>
            <w:noWrap w:val="0"/>
            <w:vAlign w:val="center"/>
          </w:tcPr>
          <w:p w14:paraId="1B88E138">
            <w:pPr>
              <w:pStyle w:val="24"/>
              <w:bidi w:val="0"/>
              <w:jc w:val="center"/>
              <w:rPr>
                <w:rFonts w:hint="eastAsia" w:ascii="Times New Roman" w:hAnsi="Times New Roman" w:cs="Times New Roman"/>
                <w:b w:val="0"/>
                <w:bCs w:val="0"/>
                <w:color w:val="auto"/>
                <w:sz w:val="21"/>
                <w:szCs w:val="21"/>
                <w:highlight w:val="none"/>
                <w:lang w:val="en-US" w:eastAsia="zh-CN"/>
              </w:rPr>
            </w:pPr>
          </w:p>
        </w:tc>
      </w:tr>
      <w:tr w14:paraId="3084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25A6C8F0">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4B965279">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p>
        </w:tc>
        <w:tc>
          <w:tcPr>
            <w:tcW w:w="565" w:type="pct"/>
            <w:shd w:val="clear" w:color="auto" w:fill="auto"/>
            <w:noWrap w:val="0"/>
            <w:vAlign w:val="center"/>
          </w:tcPr>
          <w:p w14:paraId="3F19BB1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VOCs</w:t>
            </w:r>
          </w:p>
        </w:tc>
        <w:tc>
          <w:tcPr>
            <w:tcW w:w="551" w:type="pct"/>
            <w:shd w:val="clear" w:color="auto" w:fill="auto"/>
            <w:noWrap w:val="0"/>
            <w:vAlign w:val="center"/>
          </w:tcPr>
          <w:p w14:paraId="12BAAB8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0.3638</w:t>
            </w:r>
          </w:p>
        </w:tc>
        <w:tc>
          <w:tcPr>
            <w:tcW w:w="544" w:type="pct"/>
            <w:shd w:val="clear" w:color="auto" w:fill="auto"/>
            <w:noWrap w:val="0"/>
            <w:vAlign w:val="center"/>
          </w:tcPr>
          <w:p w14:paraId="63E60AB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0.3033</w:t>
            </w:r>
          </w:p>
        </w:tc>
        <w:tc>
          <w:tcPr>
            <w:tcW w:w="537" w:type="pct"/>
            <w:shd w:val="clear" w:color="auto" w:fill="auto"/>
            <w:noWrap w:val="0"/>
            <w:vAlign w:val="center"/>
          </w:tcPr>
          <w:p w14:paraId="5E136C5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0.0605</w:t>
            </w:r>
          </w:p>
        </w:tc>
        <w:tc>
          <w:tcPr>
            <w:tcW w:w="1729" w:type="pct"/>
            <w:vMerge w:val="continue"/>
            <w:noWrap w:val="0"/>
            <w:vAlign w:val="center"/>
          </w:tcPr>
          <w:p w14:paraId="51E32AA4">
            <w:pPr>
              <w:pStyle w:val="24"/>
              <w:bidi w:val="0"/>
              <w:jc w:val="center"/>
              <w:rPr>
                <w:rFonts w:hint="eastAsia" w:ascii="Times New Roman" w:hAnsi="Times New Roman" w:cs="Times New Roman"/>
                <w:b w:val="0"/>
                <w:bCs w:val="0"/>
                <w:color w:val="auto"/>
                <w:sz w:val="21"/>
                <w:szCs w:val="21"/>
                <w:highlight w:val="none"/>
                <w:lang w:val="en-US" w:eastAsia="zh-CN"/>
              </w:rPr>
            </w:pPr>
          </w:p>
        </w:tc>
      </w:tr>
      <w:tr w14:paraId="7636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28853A02">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0CD20EAB">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p>
        </w:tc>
        <w:tc>
          <w:tcPr>
            <w:tcW w:w="565" w:type="pct"/>
            <w:shd w:val="clear" w:color="auto" w:fill="auto"/>
            <w:noWrap w:val="0"/>
            <w:vAlign w:val="center"/>
          </w:tcPr>
          <w:p w14:paraId="5CDCB2C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551" w:type="pct"/>
            <w:shd w:val="clear" w:color="auto" w:fill="auto"/>
            <w:noWrap w:val="0"/>
            <w:vAlign w:val="center"/>
          </w:tcPr>
          <w:p w14:paraId="6E110EF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44" w:type="pct"/>
            <w:shd w:val="clear" w:color="auto" w:fill="auto"/>
            <w:noWrap w:val="0"/>
            <w:vAlign w:val="center"/>
          </w:tcPr>
          <w:p w14:paraId="041A288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537" w:type="pct"/>
            <w:shd w:val="clear" w:color="auto" w:fill="auto"/>
            <w:noWrap w:val="0"/>
            <w:vAlign w:val="center"/>
          </w:tcPr>
          <w:p w14:paraId="12A570C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1729" w:type="pct"/>
            <w:vMerge w:val="continue"/>
            <w:noWrap w:val="0"/>
            <w:vAlign w:val="center"/>
          </w:tcPr>
          <w:p w14:paraId="378CD23D">
            <w:pPr>
              <w:pStyle w:val="24"/>
              <w:bidi w:val="0"/>
              <w:jc w:val="center"/>
              <w:rPr>
                <w:rFonts w:hint="eastAsia" w:ascii="Times New Roman" w:hAnsi="Times New Roman" w:cs="Times New Roman"/>
                <w:b w:val="0"/>
                <w:bCs w:val="0"/>
                <w:color w:val="auto"/>
                <w:sz w:val="21"/>
                <w:szCs w:val="21"/>
                <w:highlight w:val="none"/>
                <w:lang w:val="en-US" w:eastAsia="zh-CN"/>
              </w:rPr>
            </w:pPr>
          </w:p>
        </w:tc>
      </w:tr>
      <w:tr w14:paraId="5487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528ABE57">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39F5FAA4">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p>
        </w:tc>
        <w:tc>
          <w:tcPr>
            <w:tcW w:w="565" w:type="pct"/>
            <w:shd w:val="clear" w:color="auto" w:fill="auto"/>
            <w:noWrap w:val="0"/>
            <w:vAlign w:val="center"/>
          </w:tcPr>
          <w:p w14:paraId="142E560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551" w:type="pct"/>
            <w:shd w:val="clear" w:color="auto" w:fill="auto"/>
            <w:noWrap w:val="0"/>
            <w:vAlign w:val="center"/>
          </w:tcPr>
          <w:p w14:paraId="1EF4773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44" w:type="pct"/>
            <w:shd w:val="clear" w:color="auto" w:fill="auto"/>
            <w:noWrap w:val="0"/>
            <w:vAlign w:val="center"/>
          </w:tcPr>
          <w:p w14:paraId="166775C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537" w:type="pct"/>
            <w:shd w:val="clear" w:color="auto" w:fill="auto"/>
            <w:noWrap w:val="0"/>
            <w:vAlign w:val="center"/>
          </w:tcPr>
          <w:p w14:paraId="1E3A287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1729" w:type="pct"/>
            <w:vMerge w:val="continue"/>
            <w:noWrap w:val="0"/>
            <w:vAlign w:val="center"/>
          </w:tcPr>
          <w:p w14:paraId="38407587">
            <w:pPr>
              <w:pStyle w:val="24"/>
              <w:bidi w:val="0"/>
              <w:jc w:val="center"/>
              <w:rPr>
                <w:rFonts w:hint="eastAsia" w:ascii="Times New Roman" w:hAnsi="Times New Roman" w:cs="Times New Roman"/>
                <w:b w:val="0"/>
                <w:bCs w:val="0"/>
                <w:color w:val="auto"/>
                <w:sz w:val="21"/>
                <w:szCs w:val="21"/>
                <w:highlight w:val="none"/>
                <w:lang w:val="en-US" w:eastAsia="zh-CN"/>
              </w:rPr>
            </w:pPr>
          </w:p>
        </w:tc>
      </w:tr>
      <w:tr w14:paraId="163F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493B70B4">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restart"/>
            <w:shd w:val="clear" w:color="auto" w:fill="auto"/>
            <w:noWrap w:val="0"/>
            <w:vAlign w:val="center"/>
          </w:tcPr>
          <w:p w14:paraId="46B8DE03">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r>
              <w:rPr>
                <w:rFonts w:hint="eastAsia" w:cs="Courier New"/>
                <w:b w:val="0"/>
                <w:color w:val="auto"/>
                <w:sz w:val="21"/>
                <w:szCs w:val="21"/>
                <w:highlight w:val="none"/>
                <w:lang w:val="en-US" w:eastAsia="zh-CN"/>
              </w:rPr>
              <w:t>质检</w:t>
            </w:r>
            <w:r>
              <w:rPr>
                <w:rFonts w:hint="eastAsia" w:ascii="Times New Roman" w:hAnsi="Times New Roman" w:eastAsia="宋体" w:cs="Courier New"/>
                <w:b w:val="0"/>
                <w:color w:val="auto"/>
                <w:sz w:val="21"/>
                <w:szCs w:val="21"/>
                <w:highlight w:val="none"/>
                <w:lang w:val="en-US" w:eastAsia="zh-CN"/>
              </w:rPr>
              <w:t>废气</w:t>
            </w:r>
          </w:p>
        </w:tc>
        <w:tc>
          <w:tcPr>
            <w:tcW w:w="565" w:type="pct"/>
            <w:noWrap w:val="0"/>
            <w:vAlign w:val="center"/>
          </w:tcPr>
          <w:p w14:paraId="2700A16F">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氯化氢</w:t>
            </w:r>
          </w:p>
        </w:tc>
        <w:tc>
          <w:tcPr>
            <w:tcW w:w="551" w:type="pct"/>
            <w:noWrap w:val="0"/>
            <w:vAlign w:val="center"/>
          </w:tcPr>
          <w:p w14:paraId="03F9BCA6">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5.71E-06</w:t>
            </w:r>
          </w:p>
        </w:tc>
        <w:tc>
          <w:tcPr>
            <w:tcW w:w="544" w:type="pct"/>
            <w:shd w:val="clear" w:color="auto" w:fill="auto"/>
            <w:noWrap w:val="0"/>
            <w:vAlign w:val="center"/>
          </w:tcPr>
          <w:p w14:paraId="5CE13D74">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4.11E-06</w:t>
            </w:r>
          </w:p>
        </w:tc>
        <w:tc>
          <w:tcPr>
            <w:tcW w:w="537" w:type="pct"/>
            <w:shd w:val="clear" w:color="auto" w:fill="auto"/>
            <w:noWrap w:val="0"/>
            <w:vAlign w:val="center"/>
          </w:tcPr>
          <w:p w14:paraId="0B247BD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1.60E-06</w:t>
            </w:r>
          </w:p>
        </w:tc>
        <w:tc>
          <w:tcPr>
            <w:tcW w:w="1729" w:type="pct"/>
            <w:vMerge w:val="restart"/>
            <w:noWrap w:val="0"/>
            <w:vAlign w:val="center"/>
          </w:tcPr>
          <w:p w14:paraId="152FC1F8">
            <w:pPr>
              <w:pStyle w:val="24"/>
              <w:bidi w:val="0"/>
              <w:jc w:val="center"/>
              <w:rPr>
                <w:rFonts w:hint="default" w:ascii="Times New Roman" w:hAnsi="Times New Roman" w:eastAsia="宋体" w:cs="Courier New"/>
                <w:b w:val="0"/>
                <w:bCs w:val="0"/>
                <w:color w:val="auto"/>
                <w:sz w:val="21"/>
                <w:szCs w:val="21"/>
                <w:highlight w:val="none"/>
                <w:lang w:val="en-US" w:eastAsia="zh-CN"/>
              </w:rPr>
            </w:pPr>
            <w:r>
              <w:rPr>
                <w:rFonts w:hint="eastAsia" w:cs="Courier New"/>
                <w:b w:val="0"/>
                <w:color w:val="auto"/>
                <w:highlight w:val="none"/>
                <w:lang w:val="en-US" w:eastAsia="zh-CN"/>
              </w:rPr>
              <w:t>质检室设2个试剂柜、2个通风橱、8个万向罩，并设1套</w:t>
            </w:r>
            <w:r>
              <w:rPr>
                <w:rFonts w:hint="default" w:ascii="Times New Roman" w:hAnsi="Times New Roman" w:eastAsia="宋体" w:cs="Courier New"/>
                <w:b w:val="0"/>
                <w:color w:val="auto"/>
                <w:highlight w:val="none"/>
                <w:lang w:val="en-US" w:eastAsia="zh-CN"/>
              </w:rPr>
              <w:t>碱喷淋</w:t>
            </w:r>
            <w:r>
              <w:rPr>
                <w:rFonts w:hint="eastAsia" w:cs="Courier New"/>
                <w:b w:val="0"/>
                <w:color w:val="auto"/>
                <w:highlight w:val="none"/>
                <w:lang w:val="en-US" w:eastAsia="zh-CN"/>
              </w:rPr>
              <w:t>装置</w:t>
            </w:r>
            <w:r>
              <w:rPr>
                <w:rFonts w:hint="eastAsia" w:ascii="Times New Roman" w:hAnsi="Times New Roman" w:eastAsia="宋体" w:cs="Courier New"/>
                <w:b w:val="0"/>
                <w:color w:val="auto"/>
                <w:highlight w:val="none"/>
                <w:lang w:val="en-US" w:eastAsia="zh-CN"/>
              </w:rPr>
              <w:t>（TA00</w:t>
            </w:r>
            <w:r>
              <w:rPr>
                <w:rFonts w:hint="eastAsia" w:cs="Courier New"/>
                <w:b w:val="0"/>
                <w:color w:val="auto"/>
                <w:highlight w:val="none"/>
                <w:lang w:val="en-US" w:eastAsia="zh-CN"/>
              </w:rPr>
              <w:t>2</w:t>
            </w:r>
            <w:r>
              <w:rPr>
                <w:rFonts w:hint="eastAsia" w:ascii="Times New Roman" w:hAnsi="Times New Roman" w:eastAsia="宋体" w:cs="Courier New"/>
                <w:b w:val="0"/>
                <w:color w:val="auto"/>
                <w:highlight w:val="none"/>
                <w:lang w:val="en-US" w:eastAsia="zh-CN"/>
              </w:rPr>
              <w:t>），</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处理后通过</w:t>
            </w:r>
            <w:r>
              <w:rPr>
                <w:rFonts w:hint="eastAsia"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cs="Courier New"/>
                <w:b w:val="0"/>
                <w:color w:val="auto"/>
                <w:highlight w:val="none"/>
                <w:lang w:val="en-US" w:eastAsia="zh-CN"/>
              </w:rPr>
              <w:t>（DA002）</w:t>
            </w:r>
            <w:r>
              <w:rPr>
                <w:rFonts w:hint="default" w:ascii="Times New Roman" w:hAnsi="Times New Roman" w:eastAsia="宋体" w:cs="Courier New"/>
                <w:b w:val="0"/>
                <w:color w:val="auto"/>
                <w:highlight w:val="none"/>
                <w:lang w:val="en-US" w:eastAsia="zh-CN"/>
              </w:rPr>
              <w:t>排放</w:t>
            </w:r>
          </w:p>
        </w:tc>
      </w:tr>
      <w:tr w14:paraId="7DEE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13C4D784">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2B783756">
            <w:pPr>
              <w:pStyle w:val="24"/>
              <w:bidi w:val="0"/>
              <w:ind w:left="0" w:leftChars="0"/>
              <w:rPr>
                <w:rFonts w:hint="eastAsia" w:cs="Courier New"/>
                <w:b w:val="0"/>
                <w:color w:val="auto"/>
                <w:sz w:val="21"/>
                <w:szCs w:val="21"/>
                <w:highlight w:val="none"/>
                <w:lang w:val="en-US" w:eastAsia="zh-CN"/>
              </w:rPr>
            </w:pPr>
          </w:p>
        </w:tc>
        <w:tc>
          <w:tcPr>
            <w:tcW w:w="565" w:type="pct"/>
            <w:noWrap w:val="0"/>
            <w:vAlign w:val="center"/>
          </w:tcPr>
          <w:p w14:paraId="12FD0C23">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551" w:type="pct"/>
            <w:noWrap w:val="0"/>
            <w:vAlign w:val="center"/>
          </w:tcPr>
          <w:p w14:paraId="4F37B1E5">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9.59E-07</w:t>
            </w:r>
          </w:p>
        </w:tc>
        <w:tc>
          <w:tcPr>
            <w:tcW w:w="544" w:type="pct"/>
            <w:shd w:val="clear" w:color="auto" w:fill="auto"/>
            <w:noWrap w:val="0"/>
            <w:vAlign w:val="center"/>
          </w:tcPr>
          <w:p w14:paraId="6D0A0D1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6.90E-07</w:t>
            </w:r>
          </w:p>
        </w:tc>
        <w:tc>
          <w:tcPr>
            <w:tcW w:w="537" w:type="pct"/>
            <w:shd w:val="clear" w:color="auto" w:fill="auto"/>
            <w:noWrap w:val="0"/>
            <w:vAlign w:val="center"/>
          </w:tcPr>
          <w:p w14:paraId="7C7E307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2.69E-07</w:t>
            </w:r>
          </w:p>
        </w:tc>
        <w:tc>
          <w:tcPr>
            <w:tcW w:w="1729" w:type="pct"/>
            <w:vMerge w:val="continue"/>
            <w:noWrap w:val="0"/>
            <w:vAlign w:val="center"/>
          </w:tcPr>
          <w:p w14:paraId="2B25E515">
            <w:pPr>
              <w:pStyle w:val="24"/>
              <w:bidi w:val="0"/>
              <w:jc w:val="center"/>
              <w:rPr>
                <w:rFonts w:hint="eastAsia" w:cs="Courier New"/>
                <w:b w:val="0"/>
                <w:color w:val="auto"/>
                <w:sz w:val="21"/>
                <w:szCs w:val="21"/>
                <w:highlight w:val="none"/>
                <w:lang w:val="en-US" w:eastAsia="zh-CN"/>
              </w:rPr>
            </w:pPr>
          </w:p>
        </w:tc>
      </w:tr>
      <w:tr w14:paraId="0E49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7FF4D3BB">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shd w:val="clear" w:color="auto" w:fill="auto"/>
            <w:noWrap w:val="0"/>
            <w:vAlign w:val="center"/>
          </w:tcPr>
          <w:p w14:paraId="5094959D">
            <w:pPr>
              <w:pStyle w:val="24"/>
              <w:bidi w:val="0"/>
              <w:ind w:left="0" w:leftChars="0"/>
              <w:rPr>
                <w:rFonts w:hint="eastAsia" w:cs="Courier New"/>
                <w:b w:val="0"/>
                <w:color w:val="auto"/>
                <w:sz w:val="21"/>
                <w:szCs w:val="21"/>
                <w:highlight w:val="none"/>
                <w:lang w:val="en-US" w:eastAsia="zh-CN"/>
              </w:rPr>
            </w:pPr>
          </w:p>
        </w:tc>
        <w:tc>
          <w:tcPr>
            <w:tcW w:w="565" w:type="pct"/>
            <w:noWrap w:val="0"/>
            <w:vAlign w:val="center"/>
          </w:tcPr>
          <w:p w14:paraId="4DEE2C02">
            <w:pPr>
              <w:pStyle w:val="24"/>
              <w:bidi w:val="0"/>
              <w:ind w:left="0" w:leftChars="0"/>
              <w:jc w:val="center"/>
              <w:rPr>
                <w:rFonts w:hint="eastAsia"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551" w:type="pct"/>
            <w:noWrap w:val="0"/>
            <w:vAlign w:val="center"/>
          </w:tcPr>
          <w:p w14:paraId="59E3C295">
            <w:pPr>
              <w:pStyle w:val="24"/>
              <w:bidi w:val="0"/>
              <w:ind w:left="0" w:leftChars="0"/>
              <w:jc w:val="center"/>
              <w:rPr>
                <w:rFonts w:hint="default"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0.0006</w:t>
            </w:r>
          </w:p>
        </w:tc>
        <w:tc>
          <w:tcPr>
            <w:tcW w:w="544" w:type="pct"/>
            <w:shd w:val="clear" w:color="auto" w:fill="auto"/>
            <w:noWrap w:val="0"/>
            <w:vAlign w:val="center"/>
          </w:tcPr>
          <w:p w14:paraId="0940BA1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 xml:space="preserve">0.0004 </w:t>
            </w:r>
          </w:p>
        </w:tc>
        <w:tc>
          <w:tcPr>
            <w:tcW w:w="537" w:type="pct"/>
            <w:shd w:val="clear" w:color="auto" w:fill="auto"/>
            <w:noWrap w:val="0"/>
            <w:vAlign w:val="center"/>
          </w:tcPr>
          <w:p w14:paraId="003D62D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 xml:space="preserve">0.0002 </w:t>
            </w:r>
          </w:p>
        </w:tc>
        <w:tc>
          <w:tcPr>
            <w:tcW w:w="1729" w:type="pct"/>
            <w:vMerge w:val="continue"/>
            <w:noWrap w:val="0"/>
            <w:vAlign w:val="center"/>
          </w:tcPr>
          <w:p w14:paraId="10047C72">
            <w:pPr>
              <w:pStyle w:val="24"/>
              <w:bidi w:val="0"/>
              <w:jc w:val="center"/>
              <w:rPr>
                <w:rFonts w:hint="default" w:ascii="Times New Roman" w:hAnsi="Times New Roman" w:eastAsia="宋体" w:cs="Courier New"/>
                <w:b w:val="0"/>
                <w:bCs w:val="0"/>
                <w:color w:val="auto"/>
                <w:sz w:val="21"/>
                <w:szCs w:val="21"/>
                <w:highlight w:val="none"/>
                <w:lang w:val="en-US" w:eastAsia="zh-CN"/>
              </w:rPr>
            </w:pPr>
          </w:p>
        </w:tc>
      </w:tr>
      <w:tr w14:paraId="2EEB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5E18DFD1">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shd w:val="clear" w:color="auto" w:fill="auto"/>
            <w:noWrap w:val="0"/>
            <w:vAlign w:val="center"/>
          </w:tcPr>
          <w:p w14:paraId="737FADD3">
            <w:pPr>
              <w:pStyle w:val="24"/>
              <w:bidi w:val="0"/>
              <w:ind w:left="0" w:leftChars="0"/>
              <w:rPr>
                <w:rFonts w:hint="default" w:ascii="Times New Roman" w:hAnsi="Times New Roman" w:eastAsia="宋体" w:cs="Courier New"/>
                <w:b w:val="0"/>
                <w:color w:val="auto"/>
                <w:kern w:val="2"/>
                <w:sz w:val="21"/>
                <w:szCs w:val="21"/>
                <w:highlight w:val="none"/>
                <w:lang w:val="en-US" w:eastAsia="zh-CN" w:bidi="ar-SA"/>
              </w:rPr>
            </w:pPr>
            <w:r>
              <w:rPr>
                <w:rFonts w:hint="eastAsia" w:cs="Times New Roman"/>
                <w:b w:val="0"/>
                <w:bCs w:val="0"/>
                <w:color w:val="auto"/>
                <w:highlight w:val="none"/>
                <w:lang w:val="en-US" w:eastAsia="zh-CN"/>
              </w:rPr>
              <w:t>危废暂存间</w:t>
            </w:r>
            <w:r>
              <w:rPr>
                <w:rFonts w:hint="eastAsia" w:ascii="Times New Roman" w:hAnsi="Times New Roman" w:eastAsia="宋体" w:cs="Courier New"/>
                <w:b w:val="0"/>
                <w:color w:val="auto"/>
                <w:sz w:val="21"/>
                <w:szCs w:val="21"/>
                <w:highlight w:val="none"/>
                <w:lang w:val="en-US" w:eastAsia="zh-CN"/>
              </w:rPr>
              <w:t>废气</w:t>
            </w:r>
          </w:p>
        </w:tc>
        <w:tc>
          <w:tcPr>
            <w:tcW w:w="565" w:type="pct"/>
            <w:noWrap w:val="0"/>
            <w:vAlign w:val="center"/>
          </w:tcPr>
          <w:p w14:paraId="62B68AD6">
            <w:pPr>
              <w:pStyle w:val="24"/>
              <w:bidi w:val="0"/>
              <w:ind w:left="0" w:leftChars="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有机废气、酸雾等</w:t>
            </w:r>
          </w:p>
        </w:tc>
        <w:tc>
          <w:tcPr>
            <w:tcW w:w="551" w:type="pct"/>
            <w:shd w:val="clear" w:color="auto" w:fill="auto"/>
            <w:noWrap w:val="0"/>
            <w:vAlign w:val="center"/>
          </w:tcPr>
          <w:p w14:paraId="2A330A2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544" w:type="pct"/>
            <w:shd w:val="clear" w:color="auto" w:fill="auto"/>
            <w:noWrap w:val="0"/>
            <w:vAlign w:val="center"/>
          </w:tcPr>
          <w:p w14:paraId="2889B60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537" w:type="pct"/>
            <w:shd w:val="clear" w:color="auto" w:fill="auto"/>
            <w:noWrap w:val="0"/>
            <w:vAlign w:val="center"/>
          </w:tcPr>
          <w:p w14:paraId="4A21B41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1729" w:type="pct"/>
            <w:noWrap w:val="0"/>
            <w:vAlign w:val="center"/>
          </w:tcPr>
          <w:p w14:paraId="1166ABC8">
            <w:pPr>
              <w:pStyle w:val="24"/>
              <w:bidi w:val="0"/>
              <w:jc w:val="center"/>
              <w:rPr>
                <w:rFonts w:hint="default" w:ascii="Times New Roman" w:hAnsi="Times New Roman" w:eastAsia="宋体" w:cs="Courier New"/>
                <w:b w:val="0"/>
                <w:bCs w:val="0"/>
                <w:color w:val="auto"/>
                <w:sz w:val="21"/>
                <w:szCs w:val="21"/>
                <w:highlight w:val="none"/>
                <w:lang w:val="en-US" w:eastAsia="zh-CN"/>
              </w:rPr>
            </w:pPr>
            <w:r>
              <w:rPr>
                <w:rFonts w:hint="eastAsia" w:cs="Times New Roman"/>
                <w:b w:val="0"/>
                <w:bCs w:val="0"/>
                <w:color w:val="auto"/>
                <w:highlight w:val="none"/>
                <w:lang w:val="en-US" w:eastAsia="zh-CN"/>
              </w:rPr>
              <w:t>危废暂存间</w:t>
            </w:r>
            <w:r>
              <w:rPr>
                <w:rFonts w:hint="eastAsia"/>
                <w:color w:val="auto"/>
                <w:lang w:val="en-US" w:eastAsia="zh-CN"/>
              </w:rPr>
              <w:t>在保证安全的前提下</w:t>
            </w:r>
            <w:r>
              <w:rPr>
                <w:rFonts w:hint="eastAsia" w:cs="Courier New"/>
                <w:b w:val="0"/>
                <w:color w:val="auto"/>
                <w:highlight w:val="none"/>
                <w:lang w:val="en-US" w:eastAsia="zh-CN"/>
              </w:rPr>
              <w:t>密闭设置，负压</w:t>
            </w:r>
            <w:r>
              <w:rPr>
                <w:rFonts w:hint="eastAsia" w:ascii="Times New Roman" w:hAnsi="Times New Roman" w:cs="Times New Roman"/>
                <w:bCs/>
                <w:color w:val="auto"/>
                <w:kern w:val="0"/>
                <w:szCs w:val="21"/>
              </w:rPr>
              <w:t>抽风，并设1套活性炭吸附装置（T</w:t>
            </w:r>
            <w:r>
              <w:rPr>
                <w:rFonts w:ascii="Times New Roman" w:hAnsi="Times New Roman" w:cs="Times New Roman"/>
                <w:bCs/>
                <w:color w:val="auto"/>
                <w:kern w:val="0"/>
                <w:szCs w:val="21"/>
              </w:rPr>
              <w:t>A0</w:t>
            </w:r>
            <w:r>
              <w:rPr>
                <w:rFonts w:hint="eastAsia" w:ascii="Times New Roman" w:hAnsi="Times New Roman" w:cs="Times New Roman"/>
                <w:bCs/>
                <w:color w:val="auto"/>
                <w:kern w:val="0"/>
                <w:szCs w:val="21"/>
                <w:lang w:val="en-US" w:eastAsia="zh-CN"/>
              </w:rPr>
              <w:t>0</w:t>
            </w:r>
            <w:r>
              <w:rPr>
                <w:rFonts w:hint="eastAsia" w:cs="Times New Roman"/>
                <w:bCs/>
                <w:color w:val="auto"/>
                <w:kern w:val="0"/>
                <w:szCs w:val="21"/>
                <w:lang w:val="en-US" w:eastAsia="zh-CN"/>
              </w:rPr>
              <w:t>3</w:t>
            </w:r>
            <w:r>
              <w:rPr>
                <w:rFonts w:hint="eastAsia" w:ascii="Times New Roman" w:hAnsi="Times New Roman" w:cs="Times New Roman"/>
                <w:bCs/>
                <w:color w:val="auto"/>
                <w:kern w:val="0"/>
                <w:szCs w:val="21"/>
              </w:rPr>
              <w:t>）</w:t>
            </w:r>
            <w:r>
              <w:rPr>
                <w:rFonts w:hint="eastAsia" w:ascii="Times New Roman" w:hAnsi="Times New Roman" w:cs="Times New Roman"/>
                <w:bCs/>
                <w:color w:val="auto"/>
                <w:kern w:val="0"/>
                <w:szCs w:val="21"/>
                <w:lang w:eastAsia="zh-CN"/>
              </w:rPr>
              <w:t>，</w:t>
            </w:r>
            <w:r>
              <w:rPr>
                <w:rFonts w:hint="eastAsia" w:cs="Times New Roman"/>
                <w:b w:val="0"/>
                <w:bCs w:val="0"/>
                <w:color w:val="auto"/>
                <w:highlight w:val="none"/>
                <w:lang w:val="en-US" w:eastAsia="zh-CN"/>
              </w:rPr>
              <w:t>危废暂存间</w:t>
            </w:r>
            <w:r>
              <w:rPr>
                <w:rFonts w:hint="default" w:ascii="Times New Roman" w:hAnsi="Times New Roman" w:eastAsia="宋体" w:cs="Courier New"/>
                <w:b w:val="0"/>
                <w:color w:val="auto"/>
                <w:kern w:val="2"/>
                <w:sz w:val="21"/>
                <w:szCs w:val="24"/>
                <w:highlight w:val="none"/>
                <w:lang w:val="en-US" w:eastAsia="zh-CN" w:bidi="ar-SA"/>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w:t>
            </w:r>
            <w:r>
              <w:rPr>
                <w:rFonts w:hint="eastAsia" w:cs="Courier New"/>
                <w:b w:val="0"/>
                <w:color w:val="auto"/>
                <w:highlight w:val="none"/>
                <w:lang w:val="en-US" w:eastAsia="zh-CN"/>
              </w:rPr>
              <w:t>直接</w:t>
            </w:r>
            <w:r>
              <w:rPr>
                <w:rFonts w:hint="default" w:ascii="Times New Roman" w:hAnsi="Times New Roman" w:eastAsia="宋体" w:cs="Courier New"/>
                <w:b w:val="0"/>
                <w:color w:val="auto"/>
                <w:highlight w:val="none"/>
                <w:lang w:val="en-US" w:eastAsia="zh-CN"/>
              </w:rPr>
              <w:t>排放</w:t>
            </w:r>
          </w:p>
        </w:tc>
      </w:tr>
      <w:tr w14:paraId="2DF9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restart"/>
            <w:noWrap w:val="0"/>
            <w:vAlign w:val="center"/>
          </w:tcPr>
          <w:p w14:paraId="1BD748C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废水</w:t>
            </w:r>
          </w:p>
        </w:tc>
        <w:tc>
          <w:tcPr>
            <w:tcW w:w="656" w:type="pct"/>
            <w:noWrap w:val="0"/>
            <w:vAlign w:val="center"/>
          </w:tcPr>
          <w:p w14:paraId="1EFEE23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初期雨水、其余器皿三次后清洗废水、车间地面清洁废水、反冲洗废水、循环排污水、喷淋废水</w:t>
            </w:r>
          </w:p>
        </w:tc>
        <w:tc>
          <w:tcPr>
            <w:tcW w:w="565" w:type="pct"/>
            <w:noWrap w:val="0"/>
            <w:vAlign w:val="center"/>
          </w:tcPr>
          <w:p w14:paraId="4365E27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水量</w:t>
            </w:r>
          </w:p>
        </w:tc>
        <w:tc>
          <w:tcPr>
            <w:tcW w:w="551" w:type="pct"/>
            <w:noWrap w:val="0"/>
            <w:vAlign w:val="center"/>
          </w:tcPr>
          <w:p w14:paraId="4A531509">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835.74m</w:t>
            </w:r>
            <w:r>
              <w:rPr>
                <w:rFonts w:hint="eastAsia" w:cs="Courier New"/>
                <w:b w:val="0"/>
                <w:bCs w:val="0"/>
                <w:color w:val="auto"/>
                <w:sz w:val="21"/>
                <w:szCs w:val="21"/>
                <w:highlight w:val="none"/>
                <w:vertAlign w:val="superscript"/>
                <w:lang w:val="en-US" w:eastAsia="zh-CN"/>
              </w:rPr>
              <w:t>3</w:t>
            </w:r>
            <w:r>
              <w:rPr>
                <w:rFonts w:hint="eastAsia" w:cs="Courier New"/>
                <w:b w:val="0"/>
                <w:bCs w:val="0"/>
                <w:color w:val="auto"/>
                <w:sz w:val="21"/>
                <w:szCs w:val="21"/>
                <w:highlight w:val="none"/>
                <w:lang w:val="en-US" w:eastAsia="zh-CN"/>
              </w:rPr>
              <w:t>/a</w:t>
            </w:r>
          </w:p>
        </w:tc>
        <w:tc>
          <w:tcPr>
            <w:tcW w:w="544" w:type="pct"/>
            <w:noWrap w:val="0"/>
            <w:vAlign w:val="center"/>
          </w:tcPr>
          <w:p w14:paraId="408DB87A">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835.744m</w:t>
            </w:r>
            <w:r>
              <w:rPr>
                <w:rFonts w:hint="eastAsia" w:cs="Courier New"/>
                <w:b w:val="0"/>
                <w:bCs w:val="0"/>
                <w:color w:val="auto"/>
                <w:sz w:val="21"/>
                <w:szCs w:val="21"/>
                <w:highlight w:val="none"/>
                <w:vertAlign w:val="superscript"/>
                <w:lang w:val="en-US" w:eastAsia="zh-CN"/>
              </w:rPr>
              <w:t>3</w:t>
            </w:r>
            <w:r>
              <w:rPr>
                <w:rFonts w:hint="eastAsia" w:cs="Courier New"/>
                <w:b w:val="0"/>
                <w:bCs w:val="0"/>
                <w:color w:val="auto"/>
                <w:sz w:val="21"/>
                <w:szCs w:val="21"/>
                <w:highlight w:val="none"/>
                <w:lang w:val="en-US" w:eastAsia="zh-CN"/>
              </w:rPr>
              <w:t>/a</w:t>
            </w:r>
          </w:p>
        </w:tc>
        <w:tc>
          <w:tcPr>
            <w:tcW w:w="537" w:type="pct"/>
            <w:noWrap w:val="0"/>
            <w:vAlign w:val="center"/>
          </w:tcPr>
          <w:p w14:paraId="6A1D5171">
            <w:pPr>
              <w:pStyle w:val="24"/>
              <w:bidi w:val="0"/>
              <w:rPr>
                <w:rFonts w:hint="eastAsia"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noWrap w:val="0"/>
            <w:vAlign w:val="center"/>
          </w:tcPr>
          <w:p w14:paraId="12BC6E87">
            <w:pPr>
              <w:pStyle w:val="24"/>
              <w:bidi w:val="0"/>
              <w:ind w:left="0" w:left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作为回用水用于高性能聚羧酸减水剂复配</w:t>
            </w:r>
          </w:p>
        </w:tc>
      </w:tr>
      <w:tr w14:paraId="48E8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49B19E3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restart"/>
            <w:noWrap w:val="0"/>
            <w:vAlign w:val="center"/>
          </w:tcPr>
          <w:p w14:paraId="2C8AB36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生活污水</w:t>
            </w:r>
          </w:p>
        </w:tc>
        <w:tc>
          <w:tcPr>
            <w:tcW w:w="565" w:type="pct"/>
            <w:noWrap w:val="0"/>
            <w:vAlign w:val="center"/>
          </w:tcPr>
          <w:p w14:paraId="13A1ED8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水量</w:t>
            </w:r>
          </w:p>
        </w:tc>
        <w:tc>
          <w:tcPr>
            <w:tcW w:w="551" w:type="pct"/>
            <w:noWrap w:val="0"/>
            <w:vAlign w:val="center"/>
          </w:tcPr>
          <w:p w14:paraId="392C6BC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1326m</w:t>
            </w:r>
            <w:r>
              <w:rPr>
                <w:rFonts w:hint="eastAsia" w:cs="Courier New"/>
                <w:b w:val="0"/>
                <w:bCs w:val="0"/>
                <w:color w:val="auto"/>
                <w:sz w:val="21"/>
                <w:szCs w:val="21"/>
                <w:highlight w:val="none"/>
                <w:vertAlign w:val="superscript"/>
                <w:lang w:val="en-US" w:eastAsia="zh-CN"/>
              </w:rPr>
              <w:t>3</w:t>
            </w:r>
            <w:r>
              <w:rPr>
                <w:rFonts w:hint="eastAsia" w:cs="Courier New"/>
                <w:b w:val="0"/>
                <w:bCs w:val="0"/>
                <w:color w:val="auto"/>
                <w:sz w:val="21"/>
                <w:szCs w:val="21"/>
                <w:highlight w:val="none"/>
                <w:lang w:val="en-US" w:eastAsia="zh-CN"/>
              </w:rPr>
              <w:t>/a</w:t>
            </w:r>
          </w:p>
        </w:tc>
        <w:tc>
          <w:tcPr>
            <w:tcW w:w="544" w:type="pct"/>
            <w:noWrap w:val="0"/>
            <w:vAlign w:val="center"/>
          </w:tcPr>
          <w:p w14:paraId="41DEA27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537" w:type="pct"/>
            <w:noWrap w:val="0"/>
            <w:vAlign w:val="center"/>
          </w:tcPr>
          <w:p w14:paraId="1DB8B7C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1326m</w:t>
            </w:r>
            <w:r>
              <w:rPr>
                <w:rFonts w:hint="eastAsia" w:cs="Courier New"/>
                <w:b w:val="0"/>
                <w:bCs w:val="0"/>
                <w:color w:val="auto"/>
                <w:sz w:val="21"/>
                <w:szCs w:val="21"/>
                <w:highlight w:val="none"/>
                <w:vertAlign w:val="superscript"/>
                <w:lang w:val="en-US" w:eastAsia="zh-CN"/>
              </w:rPr>
              <w:t>3</w:t>
            </w:r>
            <w:r>
              <w:rPr>
                <w:rFonts w:hint="eastAsia" w:cs="Courier New"/>
                <w:b w:val="0"/>
                <w:bCs w:val="0"/>
                <w:color w:val="auto"/>
                <w:sz w:val="21"/>
                <w:szCs w:val="21"/>
                <w:highlight w:val="none"/>
                <w:lang w:val="en-US" w:eastAsia="zh-CN"/>
              </w:rPr>
              <w:t>/a</w:t>
            </w:r>
          </w:p>
        </w:tc>
        <w:tc>
          <w:tcPr>
            <w:tcW w:w="1729" w:type="pct"/>
            <w:vMerge w:val="restart"/>
            <w:noWrap w:val="0"/>
            <w:vAlign w:val="center"/>
          </w:tcPr>
          <w:p w14:paraId="474E3A9C">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cs="Times New Roman"/>
                <w:color w:val="auto"/>
                <w:sz w:val="21"/>
                <w:szCs w:val="21"/>
                <w:lang w:val="en-US" w:eastAsia="zh-CN"/>
              </w:rPr>
              <w:t>设置1</w:t>
            </w:r>
            <w:r>
              <w:rPr>
                <w:rFonts w:hint="eastAsia" w:cs="Times New Roman"/>
                <w:color w:val="auto"/>
                <w:sz w:val="21"/>
                <w:szCs w:val="21"/>
                <w:lang w:val="en-US" w:eastAsia="zh-CN"/>
              </w:rPr>
              <w:t>座8</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eastAsia" w:cs="Times New Roman"/>
                <w:color w:val="auto"/>
                <w:sz w:val="21"/>
                <w:szCs w:val="21"/>
                <w:lang w:val="en-US" w:eastAsia="zh-CN"/>
              </w:rPr>
              <w:t>预处理池</w:t>
            </w:r>
            <w:r>
              <w:rPr>
                <w:rFonts w:hint="eastAsia" w:ascii="Times New Roman" w:hAnsi="Times New Roman" w:eastAsia="宋体" w:cs="Times New Roman"/>
                <w:color w:val="auto"/>
                <w:sz w:val="21"/>
                <w:szCs w:val="21"/>
                <w:lang w:val="en-US" w:eastAsia="zh-CN"/>
              </w:rPr>
              <w:t>，生活污水经预处理池处理</w:t>
            </w:r>
            <w:r>
              <w:rPr>
                <w:rFonts w:hint="eastAsia" w:cs="Times New Roman"/>
                <w:color w:val="auto"/>
                <w:sz w:val="21"/>
                <w:szCs w:val="21"/>
                <w:lang w:val="en-US" w:eastAsia="zh-CN"/>
              </w:rPr>
              <w:t>达到</w:t>
            </w:r>
            <w:r>
              <w:rPr>
                <w:rFonts w:hint="eastAsia"/>
                <w:color w:val="auto"/>
                <w:sz w:val="21"/>
                <w:szCs w:val="21"/>
                <w:lang w:val="en-US" w:eastAsia="zh-CN"/>
              </w:rPr>
              <w:t>《四川省化工园区水污染物排放标准》（DB51/3202-2024）表1中间接排放标准</w:t>
            </w:r>
            <w:r>
              <w:rPr>
                <w:rFonts w:hint="eastAsia" w:cs="Times New Roman"/>
                <w:color w:val="auto"/>
                <w:sz w:val="21"/>
                <w:szCs w:val="21"/>
                <w:lang w:val="en-US" w:eastAsia="zh-CN"/>
              </w:rPr>
              <w:t>后</w:t>
            </w:r>
            <w:r>
              <w:rPr>
                <w:rFonts w:hint="eastAsia"/>
                <w:color w:val="auto"/>
                <w:sz w:val="21"/>
                <w:szCs w:val="21"/>
                <w:highlight w:val="none"/>
                <w:lang w:val="en-US" w:eastAsia="zh-CN"/>
              </w:rPr>
              <w:t>通过园区污水管网排入通江县秋锦山产业园区综合污水处理厂进一步处理</w:t>
            </w:r>
          </w:p>
        </w:tc>
      </w:tr>
      <w:tr w14:paraId="07AE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5FC004DA">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5C35512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641F3BE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bCs/>
                <w:color w:val="auto"/>
                <w:sz w:val="21"/>
                <w:szCs w:val="21"/>
                <w:highlight w:val="none"/>
              </w:rPr>
              <w:t>COD</w:t>
            </w:r>
          </w:p>
        </w:tc>
        <w:tc>
          <w:tcPr>
            <w:tcW w:w="551" w:type="pct"/>
            <w:noWrap w:val="0"/>
            <w:vAlign w:val="center"/>
          </w:tcPr>
          <w:p w14:paraId="4D8B3970">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0.4310</w:t>
            </w:r>
          </w:p>
        </w:tc>
        <w:tc>
          <w:tcPr>
            <w:tcW w:w="544" w:type="pct"/>
            <w:noWrap w:val="0"/>
            <w:vAlign w:val="center"/>
          </w:tcPr>
          <w:p w14:paraId="0DA2E58C">
            <w:pPr>
              <w:pStyle w:val="24"/>
              <w:bidi w:val="0"/>
              <w:rPr>
                <w:rFonts w:hint="default" w:cs="Courier New"/>
                <w:b w:val="0"/>
                <w:bCs w:val="0"/>
                <w:color w:val="auto"/>
                <w:sz w:val="21"/>
                <w:szCs w:val="21"/>
                <w:highlight w:val="none"/>
                <w:lang w:val="en-US" w:eastAsia="zh-CN"/>
              </w:rPr>
            </w:pPr>
            <w:r>
              <w:rPr>
                <w:rFonts w:hint="default" w:cs="Courier New"/>
                <w:b w:val="0"/>
                <w:bCs w:val="0"/>
                <w:color w:val="auto"/>
                <w:sz w:val="21"/>
                <w:szCs w:val="21"/>
                <w:highlight w:val="none"/>
                <w:lang w:val="en-US" w:eastAsia="zh-CN"/>
              </w:rPr>
              <w:t>0.0647</w:t>
            </w:r>
          </w:p>
        </w:tc>
        <w:tc>
          <w:tcPr>
            <w:tcW w:w="537" w:type="pct"/>
            <w:noWrap w:val="0"/>
            <w:vAlign w:val="center"/>
          </w:tcPr>
          <w:p w14:paraId="649ACB1F">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0.3663</w:t>
            </w:r>
          </w:p>
        </w:tc>
        <w:tc>
          <w:tcPr>
            <w:tcW w:w="1729" w:type="pct"/>
            <w:vMerge w:val="continue"/>
            <w:noWrap w:val="0"/>
            <w:vAlign w:val="center"/>
          </w:tcPr>
          <w:p w14:paraId="1C267D17">
            <w:pPr>
              <w:pStyle w:val="24"/>
              <w:bidi w:val="0"/>
              <w:rPr>
                <w:rFonts w:hint="eastAsia"/>
                <w:color w:val="auto"/>
                <w:sz w:val="21"/>
                <w:szCs w:val="21"/>
                <w:highlight w:val="none"/>
                <w:lang w:val="en-US" w:eastAsia="zh-CN"/>
              </w:rPr>
            </w:pPr>
          </w:p>
        </w:tc>
      </w:tr>
      <w:tr w14:paraId="7B96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30E5E69E">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2481F0C3">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1C0C56B2">
            <w:pPr>
              <w:pStyle w:val="24"/>
              <w:bidi w:val="0"/>
              <w:rPr>
                <w:rFonts w:hint="eastAsia" w:ascii="Times New Roman" w:hAnsi="Times New Roman" w:eastAsia="宋体" w:cs="Courier New"/>
                <w:b w:val="0"/>
                <w:bCs w:val="0"/>
                <w:color w:val="auto"/>
                <w:sz w:val="21"/>
                <w:szCs w:val="21"/>
                <w:highlight w:val="none"/>
                <w:lang w:val="en-US" w:eastAsia="zh-CN"/>
              </w:rPr>
            </w:pPr>
            <w:r>
              <w:rPr>
                <w:bCs/>
                <w:color w:val="auto"/>
                <w:sz w:val="21"/>
                <w:szCs w:val="21"/>
                <w:highlight w:val="none"/>
              </w:rPr>
              <w:t>NH</w:t>
            </w:r>
            <w:r>
              <w:rPr>
                <w:bCs/>
                <w:color w:val="auto"/>
                <w:sz w:val="21"/>
                <w:szCs w:val="21"/>
                <w:highlight w:val="none"/>
                <w:vertAlign w:val="subscript"/>
              </w:rPr>
              <w:t>3</w:t>
            </w:r>
            <w:r>
              <w:rPr>
                <w:bCs/>
                <w:color w:val="auto"/>
                <w:sz w:val="21"/>
                <w:szCs w:val="21"/>
                <w:highlight w:val="none"/>
              </w:rPr>
              <w:t>-N</w:t>
            </w:r>
          </w:p>
        </w:tc>
        <w:tc>
          <w:tcPr>
            <w:tcW w:w="551" w:type="pct"/>
            <w:noWrap w:val="0"/>
            <w:vAlign w:val="center"/>
          </w:tcPr>
          <w:p w14:paraId="3CC31AF1">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 xml:space="preserve">0.0500 </w:t>
            </w:r>
          </w:p>
        </w:tc>
        <w:tc>
          <w:tcPr>
            <w:tcW w:w="544" w:type="pct"/>
            <w:noWrap w:val="0"/>
            <w:vAlign w:val="center"/>
          </w:tcPr>
          <w:p w14:paraId="425A04E9">
            <w:pPr>
              <w:pStyle w:val="24"/>
              <w:bidi w:val="0"/>
              <w:rPr>
                <w:rFonts w:hint="default" w:cs="Courier New"/>
                <w:b w:val="0"/>
                <w:bCs w:val="0"/>
                <w:color w:val="auto"/>
                <w:sz w:val="21"/>
                <w:szCs w:val="21"/>
                <w:highlight w:val="none"/>
                <w:lang w:val="en-US" w:eastAsia="zh-CN"/>
              </w:rPr>
            </w:pPr>
            <w:r>
              <w:rPr>
                <w:rFonts w:hint="default" w:cs="Courier New"/>
                <w:b w:val="0"/>
                <w:bCs w:val="0"/>
                <w:color w:val="auto"/>
                <w:sz w:val="21"/>
                <w:szCs w:val="21"/>
                <w:highlight w:val="none"/>
                <w:lang w:val="en-US" w:eastAsia="zh-CN"/>
              </w:rPr>
              <w:t>0.005</w:t>
            </w:r>
          </w:p>
        </w:tc>
        <w:tc>
          <w:tcPr>
            <w:tcW w:w="537" w:type="pct"/>
            <w:noWrap w:val="0"/>
            <w:vAlign w:val="center"/>
          </w:tcPr>
          <w:p w14:paraId="0B5223E4">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 xml:space="preserve">0.0450 </w:t>
            </w:r>
          </w:p>
        </w:tc>
        <w:tc>
          <w:tcPr>
            <w:tcW w:w="1729" w:type="pct"/>
            <w:vMerge w:val="continue"/>
            <w:noWrap w:val="0"/>
            <w:vAlign w:val="center"/>
          </w:tcPr>
          <w:p w14:paraId="7962C1B1">
            <w:pPr>
              <w:pStyle w:val="24"/>
              <w:bidi w:val="0"/>
              <w:rPr>
                <w:rFonts w:hint="eastAsia"/>
                <w:color w:val="auto"/>
                <w:sz w:val="21"/>
                <w:szCs w:val="21"/>
                <w:highlight w:val="none"/>
                <w:lang w:val="en-US" w:eastAsia="zh-CN"/>
              </w:rPr>
            </w:pPr>
          </w:p>
        </w:tc>
      </w:tr>
      <w:tr w14:paraId="2A9B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5958C59C">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13118929">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7ADF03A8">
            <w:pPr>
              <w:pStyle w:val="24"/>
              <w:bidi w:val="0"/>
              <w:rPr>
                <w:rFonts w:hint="eastAsia" w:ascii="Times New Roman" w:hAnsi="Times New Roman" w:eastAsia="宋体" w:cs="Courier New"/>
                <w:b w:val="0"/>
                <w:bCs w:val="0"/>
                <w:color w:val="auto"/>
                <w:sz w:val="21"/>
                <w:szCs w:val="21"/>
                <w:highlight w:val="none"/>
                <w:lang w:val="en-US" w:eastAsia="zh-CN"/>
              </w:rPr>
            </w:pPr>
            <w:r>
              <w:rPr>
                <w:bCs/>
                <w:color w:val="auto"/>
                <w:sz w:val="21"/>
                <w:szCs w:val="21"/>
                <w:highlight w:val="none"/>
              </w:rPr>
              <w:t>TP</w:t>
            </w:r>
          </w:p>
        </w:tc>
        <w:tc>
          <w:tcPr>
            <w:tcW w:w="551" w:type="pct"/>
            <w:noWrap w:val="0"/>
            <w:vAlign w:val="center"/>
          </w:tcPr>
          <w:p w14:paraId="052EB316">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 xml:space="preserve">0.0057 </w:t>
            </w:r>
          </w:p>
        </w:tc>
        <w:tc>
          <w:tcPr>
            <w:tcW w:w="544" w:type="pct"/>
            <w:noWrap w:val="0"/>
            <w:vAlign w:val="center"/>
          </w:tcPr>
          <w:p w14:paraId="3C7F25EB">
            <w:pPr>
              <w:pStyle w:val="24"/>
              <w:bidi w:val="0"/>
              <w:rPr>
                <w:rFonts w:hint="default" w:cs="Courier New"/>
                <w:b w:val="0"/>
                <w:bCs w:val="0"/>
                <w:color w:val="auto"/>
                <w:sz w:val="21"/>
                <w:szCs w:val="21"/>
                <w:highlight w:val="none"/>
                <w:lang w:val="en-US" w:eastAsia="zh-CN"/>
              </w:rPr>
            </w:pPr>
            <w:r>
              <w:rPr>
                <w:rFonts w:hint="default" w:cs="Courier New"/>
                <w:b w:val="0"/>
                <w:bCs w:val="0"/>
                <w:color w:val="auto"/>
                <w:sz w:val="21"/>
                <w:szCs w:val="21"/>
                <w:highlight w:val="none"/>
                <w:lang w:val="en-US" w:eastAsia="zh-CN"/>
              </w:rPr>
              <w:t>0.0003</w:t>
            </w:r>
          </w:p>
        </w:tc>
        <w:tc>
          <w:tcPr>
            <w:tcW w:w="537" w:type="pct"/>
            <w:noWrap w:val="0"/>
            <w:vAlign w:val="center"/>
          </w:tcPr>
          <w:p w14:paraId="205759EA">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 xml:space="preserve">0.0054 </w:t>
            </w:r>
          </w:p>
        </w:tc>
        <w:tc>
          <w:tcPr>
            <w:tcW w:w="1729" w:type="pct"/>
            <w:vMerge w:val="continue"/>
            <w:noWrap w:val="0"/>
            <w:vAlign w:val="center"/>
          </w:tcPr>
          <w:p w14:paraId="4A0F9647">
            <w:pPr>
              <w:pStyle w:val="24"/>
              <w:bidi w:val="0"/>
              <w:rPr>
                <w:rFonts w:hint="eastAsia"/>
                <w:color w:val="auto"/>
                <w:sz w:val="21"/>
                <w:szCs w:val="21"/>
                <w:highlight w:val="none"/>
                <w:lang w:val="en-US" w:eastAsia="zh-CN"/>
              </w:rPr>
            </w:pPr>
          </w:p>
        </w:tc>
      </w:tr>
      <w:tr w14:paraId="4ABA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restart"/>
            <w:noWrap w:val="0"/>
            <w:vAlign w:val="center"/>
          </w:tcPr>
          <w:p w14:paraId="75DC5C1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固体废物</w:t>
            </w:r>
          </w:p>
        </w:tc>
        <w:tc>
          <w:tcPr>
            <w:tcW w:w="656" w:type="pct"/>
            <w:vMerge w:val="restart"/>
            <w:noWrap w:val="0"/>
            <w:vAlign w:val="center"/>
          </w:tcPr>
          <w:p w14:paraId="6C78946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一般废物</w:t>
            </w:r>
          </w:p>
        </w:tc>
        <w:tc>
          <w:tcPr>
            <w:tcW w:w="565" w:type="pct"/>
            <w:shd w:val="clear" w:color="auto" w:fill="auto"/>
            <w:noWrap w:val="0"/>
            <w:vAlign w:val="center"/>
          </w:tcPr>
          <w:p w14:paraId="23CD433F">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废离子交换树脂</w:t>
            </w:r>
          </w:p>
        </w:tc>
        <w:tc>
          <w:tcPr>
            <w:tcW w:w="551" w:type="pct"/>
            <w:shd w:val="clear" w:color="auto" w:fill="auto"/>
            <w:noWrap w:val="0"/>
            <w:vAlign w:val="center"/>
          </w:tcPr>
          <w:p w14:paraId="1C63E7C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0.1</w:t>
            </w:r>
          </w:p>
        </w:tc>
        <w:tc>
          <w:tcPr>
            <w:tcW w:w="544" w:type="pct"/>
            <w:shd w:val="clear" w:color="auto" w:fill="auto"/>
            <w:noWrap w:val="0"/>
            <w:vAlign w:val="center"/>
          </w:tcPr>
          <w:p w14:paraId="07DFEEE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0.1</w:t>
            </w:r>
          </w:p>
        </w:tc>
        <w:tc>
          <w:tcPr>
            <w:tcW w:w="537" w:type="pct"/>
            <w:noWrap w:val="0"/>
            <w:vAlign w:val="center"/>
          </w:tcPr>
          <w:p w14:paraId="061DF76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shd w:val="clear" w:color="auto" w:fill="auto"/>
            <w:noWrap w:val="0"/>
            <w:vAlign w:val="center"/>
          </w:tcPr>
          <w:p w14:paraId="2C3B71C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厂家回收处理</w:t>
            </w:r>
          </w:p>
        </w:tc>
      </w:tr>
      <w:tr w14:paraId="7013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4500D5C2">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4ED0774E">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shd w:val="clear" w:color="auto" w:fill="auto"/>
            <w:noWrap w:val="0"/>
            <w:vAlign w:val="center"/>
          </w:tcPr>
          <w:p w14:paraId="41BBB7B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未沾染化学品的废包装材料</w:t>
            </w:r>
          </w:p>
        </w:tc>
        <w:tc>
          <w:tcPr>
            <w:tcW w:w="551" w:type="pct"/>
            <w:shd w:val="clear" w:color="auto" w:fill="auto"/>
            <w:noWrap w:val="0"/>
            <w:vAlign w:val="center"/>
          </w:tcPr>
          <w:p w14:paraId="2FA03808">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w:t>
            </w:r>
          </w:p>
        </w:tc>
        <w:tc>
          <w:tcPr>
            <w:tcW w:w="544" w:type="pct"/>
            <w:shd w:val="clear" w:color="auto" w:fill="auto"/>
            <w:noWrap w:val="0"/>
            <w:vAlign w:val="center"/>
          </w:tcPr>
          <w:p w14:paraId="35780DB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w:t>
            </w:r>
          </w:p>
        </w:tc>
        <w:tc>
          <w:tcPr>
            <w:tcW w:w="537" w:type="pct"/>
            <w:noWrap w:val="0"/>
            <w:vAlign w:val="center"/>
          </w:tcPr>
          <w:p w14:paraId="3EE1BC49">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shd w:val="clear" w:color="auto" w:fill="auto"/>
            <w:noWrap w:val="0"/>
            <w:vAlign w:val="center"/>
          </w:tcPr>
          <w:p w14:paraId="0972C53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外售至废旧物资回收单位</w:t>
            </w:r>
          </w:p>
        </w:tc>
      </w:tr>
      <w:tr w14:paraId="09A1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2CC388C4">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7A8AEC4A">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shd w:val="clear" w:color="auto" w:fill="auto"/>
            <w:noWrap w:val="0"/>
            <w:vAlign w:val="center"/>
          </w:tcPr>
          <w:p w14:paraId="2DAE4B2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生活垃圾</w:t>
            </w:r>
          </w:p>
        </w:tc>
        <w:tc>
          <w:tcPr>
            <w:tcW w:w="551" w:type="pct"/>
            <w:shd w:val="clear" w:color="auto" w:fill="auto"/>
            <w:noWrap w:val="0"/>
            <w:vAlign w:val="center"/>
          </w:tcPr>
          <w:p w14:paraId="70A77B55">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7.68</w:t>
            </w:r>
          </w:p>
        </w:tc>
        <w:tc>
          <w:tcPr>
            <w:tcW w:w="544" w:type="pct"/>
            <w:shd w:val="clear" w:color="auto" w:fill="auto"/>
            <w:noWrap w:val="0"/>
            <w:vAlign w:val="center"/>
          </w:tcPr>
          <w:p w14:paraId="20AE9F0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7.68</w:t>
            </w:r>
          </w:p>
        </w:tc>
        <w:tc>
          <w:tcPr>
            <w:tcW w:w="537" w:type="pct"/>
            <w:noWrap w:val="0"/>
            <w:vAlign w:val="center"/>
          </w:tcPr>
          <w:p w14:paraId="7C185CF2">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shd w:val="clear" w:color="auto" w:fill="auto"/>
            <w:noWrap w:val="0"/>
            <w:vAlign w:val="center"/>
          </w:tcPr>
          <w:p w14:paraId="09A881F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环卫部门清运处理</w:t>
            </w:r>
          </w:p>
        </w:tc>
      </w:tr>
      <w:tr w14:paraId="5FB6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75C9A9B2">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46FD07BA">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shd w:val="clear" w:color="auto" w:fill="auto"/>
            <w:noWrap w:val="0"/>
            <w:vAlign w:val="center"/>
          </w:tcPr>
          <w:p w14:paraId="45F030D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sz w:val="21"/>
                <w:szCs w:val="21"/>
                <w:highlight w:val="none"/>
                <w:lang w:val="en-US" w:eastAsia="zh-CN"/>
              </w:rPr>
              <w:t>污泥及沉渣</w:t>
            </w:r>
          </w:p>
        </w:tc>
        <w:tc>
          <w:tcPr>
            <w:tcW w:w="551" w:type="pct"/>
            <w:shd w:val="clear" w:color="auto" w:fill="auto"/>
            <w:noWrap w:val="0"/>
            <w:vAlign w:val="center"/>
          </w:tcPr>
          <w:p w14:paraId="34FE995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0.1</w:t>
            </w:r>
          </w:p>
        </w:tc>
        <w:tc>
          <w:tcPr>
            <w:tcW w:w="544" w:type="pct"/>
            <w:shd w:val="clear" w:color="auto" w:fill="auto"/>
            <w:noWrap w:val="0"/>
            <w:vAlign w:val="center"/>
          </w:tcPr>
          <w:p w14:paraId="4878FB4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0.1</w:t>
            </w:r>
          </w:p>
        </w:tc>
        <w:tc>
          <w:tcPr>
            <w:tcW w:w="537" w:type="pct"/>
            <w:noWrap w:val="0"/>
            <w:vAlign w:val="center"/>
          </w:tcPr>
          <w:p w14:paraId="1106CAE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shd w:val="clear" w:color="auto" w:fill="auto"/>
            <w:noWrap w:val="0"/>
            <w:vAlign w:val="center"/>
          </w:tcPr>
          <w:p w14:paraId="260B2EEE">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环卫部门清掏处理</w:t>
            </w:r>
          </w:p>
        </w:tc>
      </w:tr>
      <w:tr w14:paraId="7EF0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2EC1B856">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restart"/>
            <w:noWrap w:val="0"/>
            <w:vAlign w:val="center"/>
          </w:tcPr>
          <w:p w14:paraId="50E5D13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危险废物</w:t>
            </w:r>
          </w:p>
        </w:tc>
        <w:tc>
          <w:tcPr>
            <w:tcW w:w="565" w:type="pct"/>
            <w:shd w:val="clear" w:color="auto" w:fill="auto"/>
            <w:noWrap w:val="0"/>
            <w:vAlign w:val="center"/>
          </w:tcPr>
          <w:p w14:paraId="4C7846F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highlight w:val="none"/>
                <w:lang w:val="en-US" w:eastAsia="zh-CN"/>
              </w:rPr>
              <w:t>沾染化学品的废包装材料</w:t>
            </w:r>
          </w:p>
        </w:tc>
        <w:tc>
          <w:tcPr>
            <w:tcW w:w="551" w:type="pct"/>
            <w:noWrap w:val="0"/>
            <w:vAlign w:val="center"/>
          </w:tcPr>
          <w:p w14:paraId="1B11599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5</w:t>
            </w:r>
          </w:p>
        </w:tc>
        <w:tc>
          <w:tcPr>
            <w:tcW w:w="544" w:type="pct"/>
            <w:shd w:val="clear" w:color="auto" w:fill="auto"/>
            <w:noWrap w:val="0"/>
            <w:vAlign w:val="center"/>
          </w:tcPr>
          <w:p w14:paraId="7214CE5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5</w:t>
            </w:r>
          </w:p>
        </w:tc>
        <w:tc>
          <w:tcPr>
            <w:tcW w:w="537" w:type="pct"/>
            <w:noWrap w:val="0"/>
            <w:vAlign w:val="center"/>
          </w:tcPr>
          <w:p w14:paraId="4F6B0E4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vMerge w:val="restart"/>
            <w:noWrap w:val="0"/>
            <w:vAlign w:val="center"/>
          </w:tcPr>
          <w:p w14:paraId="3B74E84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交由具有危险废物处置资质单位处理</w:t>
            </w:r>
          </w:p>
        </w:tc>
      </w:tr>
      <w:tr w14:paraId="0701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2892A3B5">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7BA4C22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shd w:val="clear" w:color="auto" w:fill="auto"/>
            <w:noWrap w:val="0"/>
            <w:vAlign w:val="center"/>
          </w:tcPr>
          <w:p w14:paraId="75E5A01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highlight w:val="none"/>
                <w:lang w:val="en-US" w:eastAsia="zh-CN"/>
              </w:rPr>
              <w:t>质检废液、剩余检验样品、涉及磷及重金属器皿清洗废水</w:t>
            </w:r>
          </w:p>
        </w:tc>
        <w:tc>
          <w:tcPr>
            <w:tcW w:w="551" w:type="pct"/>
            <w:shd w:val="clear" w:color="auto" w:fill="auto"/>
            <w:noWrap w:val="0"/>
            <w:vAlign w:val="center"/>
          </w:tcPr>
          <w:p w14:paraId="6E34893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4"/>
                <w:highlight w:val="none"/>
                <w:lang w:val="en-US" w:eastAsia="zh-CN" w:bidi="ar-SA"/>
              </w:rPr>
              <w:t>13</w:t>
            </w:r>
          </w:p>
        </w:tc>
        <w:tc>
          <w:tcPr>
            <w:tcW w:w="544" w:type="pct"/>
            <w:shd w:val="clear" w:color="auto" w:fill="auto"/>
            <w:noWrap w:val="0"/>
            <w:vAlign w:val="center"/>
          </w:tcPr>
          <w:p w14:paraId="650CBFCB">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4"/>
                <w:highlight w:val="none"/>
                <w:lang w:val="en-US" w:eastAsia="zh-CN" w:bidi="ar-SA"/>
              </w:rPr>
              <w:t>13</w:t>
            </w:r>
          </w:p>
        </w:tc>
        <w:tc>
          <w:tcPr>
            <w:tcW w:w="537" w:type="pct"/>
            <w:shd w:val="clear" w:color="auto" w:fill="auto"/>
            <w:noWrap w:val="0"/>
            <w:vAlign w:val="center"/>
          </w:tcPr>
          <w:p w14:paraId="5817001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0</w:t>
            </w:r>
          </w:p>
        </w:tc>
        <w:tc>
          <w:tcPr>
            <w:tcW w:w="1729" w:type="pct"/>
            <w:vMerge w:val="continue"/>
            <w:noWrap w:val="0"/>
            <w:vAlign w:val="center"/>
          </w:tcPr>
          <w:p w14:paraId="42154774">
            <w:pPr>
              <w:pStyle w:val="24"/>
              <w:bidi w:val="0"/>
              <w:rPr>
                <w:rFonts w:hint="eastAsia" w:ascii="Times New Roman" w:hAnsi="Times New Roman" w:eastAsia="宋体" w:cs="Courier New"/>
                <w:b w:val="0"/>
                <w:bCs w:val="0"/>
                <w:color w:val="auto"/>
                <w:sz w:val="21"/>
                <w:szCs w:val="21"/>
                <w:highlight w:val="none"/>
                <w:lang w:val="en-US" w:eastAsia="zh-CN"/>
              </w:rPr>
            </w:pPr>
          </w:p>
        </w:tc>
      </w:tr>
      <w:tr w14:paraId="067F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21D5C99B">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4570615F">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shd w:val="clear" w:color="auto" w:fill="auto"/>
            <w:noWrap w:val="0"/>
            <w:vAlign w:val="center"/>
          </w:tcPr>
          <w:p w14:paraId="3F396B5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喷淋废渣</w:t>
            </w:r>
          </w:p>
        </w:tc>
        <w:tc>
          <w:tcPr>
            <w:tcW w:w="551" w:type="pct"/>
            <w:noWrap w:val="0"/>
            <w:vAlign w:val="center"/>
          </w:tcPr>
          <w:p w14:paraId="20D9542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0.0216</w:t>
            </w:r>
          </w:p>
        </w:tc>
        <w:tc>
          <w:tcPr>
            <w:tcW w:w="544" w:type="pct"/>
            <w:shd w:val="clear" w:color="auto" w:fill="auto"/>
            <w:noWrap w:val="0"/>
            <w:vAlign w:val="center"/>
          </w:tcPr>
          <w:p w14:paraId="640B55A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0.0216</w:t>
            </w:r>
          </w:p>
        </w:tc>
        <w:tc>
          <w:tcPr>
            <w:tcW w:w="537" w:type="pct"/>
            <w:noWrap w:val="0"/>
            <w:vAlign w:val="center"/>
          </w:tcPr>
          <w:p w14:paraId="6B05242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vMerge w:val="continue"/>
            <w:noWrap w:val="0"/>
            <w:vAlign w:val="center"/>
          </w:tcPr>
          <w:p w14:paraId="0C5293A4">
            <w:pPr>
              <w:pStyle w:val="24"/>
              <w:bidi w:val="0"/>
              <w:rPr>
                <w:rFonts w:hint="eastAsia" w:ascii="Times New Roman" w:hAnsi="Times New Roman" w:eastAsia="宋体" w:cs="Courier New"/>
                <w:b w:val="0"/>
                <w:bCs w:val="0"/>
                <w:color w:val="auto"/>
                <w:sz w:val="21"/>
                <w:szCs w:val="21"/>
                <w:highlight w:val="none"/>
                <w:lang w:val="en-US" w:eastAsia="zh-CN"/>
              </w:rPr>
            </w:pPr>
          </w:p>
        </w:tc>
      </w:tr>
      <w:tr w14:paraId="3D6A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5F041D6A">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1523D554">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75F1DEB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废过滤棉</w:t>
            </w:r>
          </w:p>
        </w:tc>
        <w:tc>
          <w:tcPr>
            <w:tcW w:w="551" w:type="pct"/>
            <w:noWrap w:val="0"/>
            <w:vAlign w:val="center"/>
          </w:tcPr>
          <w:p w14:paraId="768F3BA7">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0.1</w:t>
            </w:r>
          </w:p>
        </w:tc>
        <w:tc>
          <w:tcPr>
            <w:tcW w:w="544" w:type="pct"/>
            <w:shd w:val="clear" w:color="auto" w:fill="auto"/>
            <w:noWrap w:val="0"/>
            <w:vAlign w:val="center"/>
          </w:tcPr>
          <w:p w14:paraId="0734FDB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0.1</w:t>
            </w:r>
          </w:p>
        </w:tc>
        <w:tc>
          <w:tcPr>
            <w:tcW w:w="537" w:type="pct"/>
            <w:noWrap w:val="0"/>
            <w:vAlign w:val="center"/>
          </w:tcPr>
          <w:p w14:paraId="6FECD1B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w:t>
            </w:r>
          </w:p>
        </w:tc>
        <w:tc>
          <w:tcPr>
            <w:tcW w:w="1729" w:type="pct"/>
            <w:vMerge w:val="continue"/>
            <w:noWrap w:val="0"/>
            <w:vAlign w:val="center"/>
          </w:tcPr>
          <w:p w14:paraId="6B458013">
            <w:pPr>
              <w:pStyle w:val="24"/>
              <w:bidi w:val="0"/>
              <w:rPr>
                <w:rFonts w:hint="eastAsia" w:ascii="Times New Roman" w:hAnsi="Times New Roman" w:eastAsia="宋体" w:cs="Courier New"/>
                <w:b w:val="0"/>
                <w:bCs w:val="0"/>
                <w:color w:val="auto"/>
                <w:sz w:val="21"/>
                <w:szCs w:val="21"/>
                <w:highlight w:val="none"/>
                <w:lang w:val="en-US" w:eastAsia="zh-CN"/>
              </w:rPr>
            </w:pPr>
          </w:p>
        </w:tc>
      </w:tr>
      <w:tr w14:paraId="257E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6FA830C0">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36E4B9F3">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0DBE687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highlight w:val="none"/>
                <w:lang w:val="en-US" w:eastAsia="zh-CN"/>
              </w:rPr>
              <w:t>废活性炭</w:t>
            </w:r>
          </w:p>
        </w:tc>
        <w:tc>
          <w:tcPr>
            <w:tcW w:w="551" w:type="pct"/>
            <w:noWrap w:val="0"/>
            <w:vAlign w:val="center"/>
          </w:tcPr>
          <w:p w14:paraId="6314EE0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14</w:t>
            </w:r>
          </w:p>
        </w:tc>
        <w:tc>
          <w:tcPr>
            <w:tcW w:w="544" w:type="pct"/>
            <w:shd w:val="clear" w:color="auto" w:fill="auto"/>
            <w:noWrap w:val="0"/>
            <w:vAlign w:val="center"/>
          </w:tcPr>
          <w:p w14:paraId="7DDCD10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14</w:t>
            </w:r>
          </w:p>
        </w:tc>
        <w:tc>
          <w:tcPr>
            <w:tcW w:w="537" w:type="pct"/>
            <w:noWrap w:val="0"/>
            <w:vAlign w:val="center"/>
          </w:tcPr>
          <w:p w14:paraId="22E7BB7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w:t>
            </w:r>
          </w:p>
        </w:tc>
        <w:tc>
          <w:tcPr>
            <w:tcW w:w="1729" w:type="pct"/>
            <w:vMerge w:val="continue"/>
            <w:noWrap w:val="0"/>
            <w:vAlign w:val="center"/>
          </w:tcPr>
          <w:p w14:paraId="7D48F641">
            <w:pPr>
              <w:pStyle w:val="24"/>
              <w:bidi w:val="0"/>
              <w:rPr>
                <w:rFonts w:hint="eastAsia" w:ascii="Times New Roman" w:hAnsi="Times New Roman" w:eastAsia="宋体" w:cs="Courier New"/>
                <w:b w:val="0"/>
                <w:bCs w:val="0"/>
                <w:color w:val="auto"/>
                <w:sz w:val="21"/>
                <w:szCs w:val="21"/>
                <w:highlight w:val="none"/>
                <w:lang w:val="en-US" w:eastAsia="zh-CN"/>
              </w:rPr>
            </w:pPr>
          </w:p>
        </w:tc>
      </w:tr>
      <w:tr w14:paraId="74BA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66B1EBE3">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102DAF35">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719D157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废润滑油</w:t>
            </w:r>
          </w:p>
        </w:tc>
        <w:tc>
          <w:tcPr>
            <w:tcW w:w="551" w:type="pct"/>
            <w:noWrap w:val="0"/>
            <w:vAlign w:val="center"/>
          </w:tcPr>
          <w:p w14:paraId="3C2DCBC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highlight w:val="none"/>
                <w:lang w:val="en-US" w:eastAsia="zh-CN"/>
              </w:rPr>
              <w:t>0.1</w:t>
            </w:r>
          </w:p>
        </w:tc>
        <w:tc>
          <w:tcPr>
            <w:tcW w:w="544" w:type="pct"/>
            <w:shd w:val="clear" w:color="auto" w:fill="auto"/>
            <w:noWrap w:val="0"/>
            <w:vAlign w:val="center"/>
          </w:tcPr>
          <w:p w14:paraId="5708222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highlight w:val="none"/>
                <w:lang w:val="en-US" w:eastAsia="zh-CN"/>
              </w:rPr>
              <w:t>0.1</w:t>
            </w:r>
          </w:p>
        </w:tc>
        <w:tc>
          <w:tcPr>
            <w:tcW w:w="537" w:type="pct"/>
            <w:noWrap w:val="0"/>
            <w:vAlign w:val="center"/>
          </w:tcPr>
          <w:p w14:paraId="2F72050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w:t>
            </w:r>
          </w:p>
        </w:tc>
        <w:tc>
          <w:tcPr>
            <w:tcW w:w="1729" w:type="pct"/>
            <w:vMerge w:val="continue"/>
            <w:noWrap w:val="0"/>
            <w:vAlign w:val="center"/>
          </w:tcPr>
          <w:p w14:paraId="0851F0BD">
            <w:pPr>
              <w:pStyle w:val="24"/>
              <w:bidi w:val="0"/>
              <w:rPr>
                <w:rFonts w:hint="eastAsia" w:ascii="Times New Roman" w:hAnsi="Times New Roman" w:eastAsia="宋体" w:cs="Courier New"/>
                <w:b w:val="0"/>
                <w:bCs w:val="0"/>
                <w:color w:val="auto"/>
                <w:sz w:val="21"/>
                <w:szCs w:val="21"/>
                <w:highlight w:val="none"/>
                <w:lang w:val="en-US" w:eastAsia="zh-CN"/>
              </w:rPr>
            </w:pPr>
          </w:p>
        </w:tc>
      </w:tr>
      <w:tr w14:paraId="20A3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0994349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38D06A77">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1E8A3291">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废油桶</w:t>
            </w:r>
          </w:p>
        </w:tc>
        <w:tc>
          <w:tcPr>
            <w:tcW w:w="551" w:type="pct"/>
            <w:noWrap w:val="0"/>
            <w:vAlign w:val="center"/>
          </w:tcPr>
          <w:p w14:paraId="70B50B56">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highlight w:val="none"/>
                <w:lang w:val="en-US" w:eastAsia="zh-CN"/>
              </w:rPr>
              <w:t>0.01</w:t>
            </w:r>
          </w:p>
        </w:tc>
        <w:tc>
          <w:tcPr>
            <w:tcW w:w="544" w:type="pct"/>
            <w:shd w:val="clear" w:color="auto" w:fill="auto"/>
            <w:noWrap w:val="0"/>
            <w:vAlign w:val="center"/>
          </w:tcPr>
          <w:p w14:paraId="68BFC2CC">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highlight w:val="none"/>
                <w:lang w:val="en-US" w:eastAsia="zh-CN"/>
              </w:rPr>
              <w:t>0.01</w:t>
            </w:r>
          </w:p>
        </w:tc>
        <w:tc>
          <w:tcPr>
            <w:tcW w:w="537" w:type="pct"/>
            <w:noWrap w:val="0"/>
            <w:vAlign w:val="center"/>
          </w:tcPr>
          <w:p w14:paraId="5143849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vMerge w:val="continue"/>
            <w:noWrap w:val="0"/>
            <w:vAlign w:val="center"/>
          </w:tcPr>
          <w:p w14:paraId="55F436BD">
            <w:pPr>
              <w:pStyle w:val="24"/>
              <w:bidi w:val="0"/>
              <w:rPr>
                <w:rFonts w:hint="eastAsia" w:ascii="Times New Roman" w:hAnsi="Times New Roman" w:eastAsia="宋体" w:cs="Courier New"/>
                <w:b w:val="0"/>
                <w:bCs w:val="0"/>
                <w:color w:val="auto"/>
                <w:sz w:val="21"/>
                <w:szCs w:val="21"/>
                <w:highlight w:val="none"/>
                <w:lang w:val="en-US" w:eastAsia="zh-CN"/>
              </w:rPr>
            </w:pPr>
          </w:p>
        </w:tc>
      </w:tr>
      <w:tr w14:paraId="2F40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 w:type="pct"/>
            <w:vMerge w:val="continue"/>
            <w:noWrap w:val="0"/>
            <w:vAlign w:val="center"/>
          </w:tcPr>
          <w:p w14:paraId="41749DB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56" w:type="pct"/>
            <w:vMerge w:val="continue"/>
            <w:noWrap w:val="0"/>
            <w:vAlign w:val="center"/>
          </w:tcPr>
          <w:p w14:paraId="7D42BEC9">
            <w:pPr>
              <w:pStyle w:val="24"/>
              <w:bidi w:val="0"/>
              <w:rPr>
                <w:rFonts w:hint="eastAsia" w:ascii="Times New Roman" w:hAnsi="Times New Roman" w:eastAsia="宋体" w:cs="Courier New"/>
                <w:b w:val="0"/>
                <w:bCs w:val="0"/>
                <w:color w:val="auto"/>
                <w:sz w:val="21"/>
                <w:szCs w:val="21"/>
                <w:highlight w:val="none"/>
                <w:lang w:val="en-US" w:eastAsia="zh-CN"/>
              </w:rPr>
            </w:pPr>
          </w:p>
        </w:tc>
        <w:tc>
          <w:tcPr>
            <w:tcW w:w="565" w:type="pct"/>
            <w:noWrap w:val="0"/>
            <w:vAlign w:val="center"/>
          </w:tcPr>
          <w:p w14:paraId="6B17E95A">
            <w:pPr>
              <w:pStyle w:val="24"/>
              <w:bidi w:val="0"/>
              <w:ind w:left="0" w:leftChars="0"/>
              <w:rPr>
                <w:rFonts w:hint="default"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含油废棉纱手套</w:t>
            </w:r>
          </w:p>
        </w:tc>
        <w:tc>
          <w:tcPr>
            <w:tcW w:w="551" w:type="pct"/>
            <w:noWrap w:val="0"/>
            <w:vAlign w:val="center"/>
          </w:tcPr>
          <w:p w14:paraId="5B546559">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kern w:val="2"/>
                <w:sz w:val="21"/>
                <w:szCs w:val="24"/>
                <w:highlight w:val="none"/>
                <w:lang w:val="en-US" w:eastAsia="zh-CN" w:bidi="ar-SA"/>
              </w:rPr>
              <w:t>0.01</w:t>
            </w:r>
          </w:p>
        </w:tc>
        <w:tc>
          <w:tcPr>
            <w:tcW w:w="544" w:type="pct"/>
            <w:shd w:val="clear" w:color="auto" w:fill="auto"/>
            <w:noWrap w:val="0"/>
            <w:vAlign w:val="center"/>
          </w:tcPr>
          <w:p w14:paraId="3D885816">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kern w:val="2"/>
                <w:sz w:val="21"/>
                <w:szCs w:val="24"/>
                <w:highlight w:val="none"/>
                <w:lang w:val="en-US" w:eastAsia="zh-CN" w:bidi="ar-SA"/>
              </w:rPr>
              <w:t>0.01</w:t>
            </w:r>
          </w:p>
        </w:tc>
        <w:tc>
          <w:tcPr>
            <w:tcW w:w="537" w:type="pct"/>
            <w:noWrap w:val="0"/>
            <w:vAlign w:val="center"/>
          </w:tcPr>
          <w:p w14:paraId="7F6374CA">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w:t>
            </w:r>
          </w:p>
        </w:tc>
        <w:tc>
          <w:tcPr>
            <w:tcW w:w="1729" w:type="pct"/>
            <w:vMerge w:val="continue"/>
            <w:noWrap w:val="0"/>
            <w:vAlign w:val="center"/>
          </w:tcPr>
          <w:p w14:paraId="5D82DB8B">
            <w:pPr>
              <w:pStyle w:val="24"/>
              <w:bidi w:val="0"/>
              <w:rPr>
                <w:rFonts w:hint="eastAsia" w:ascii="Times New Roman" w:hAnsi="Times New Roman" w:eastAsia="宋体" w:cs="Courier New"/>
                <w:b w:val="0"/>
                <w:bCs w:val="0"/>
                <w:color w:val="auto"/>
                <w:sz w:val="21"/>
                <w:szCs w:val="21"/>
                <w:highlight w:val="none"/>
                <w:lang w:val="en-US" w:eastAsia="zh-CN"/>
              </w:rPr>
            </w:pPr>
          </w:p>
        </w:tc>
      </w:tr>
    </w:tbl>
    <w:p w14:paraId="26A3D057">
      <w:pPr>
        <w:pStyle w:val="3"/>
        <w:bidi w:val="0"/>
        <w:rPr>
          <w:rFonts w:hint="default"/>
          <w:color w:val="auto"/>
          <w:highlight w:val="none"/>
        </w:rPr>
      </w:pPr>
      <w:bookmarkStart w:id="77" w:name="_Toc11229"/>
      <w:r>
        <w:rPr>
          <w:rFonts w:hint="eastAsia"/>
          <w:color w:val="auto"/>
          <w:highlight w:val="none"/>
          <w:lang w:val="en-US" w:eastAsia="zh-CN"/>
        </w:rPr>
        <w:t>碳排放</w:t>
      </w:r>
      <w:bookmarkEnd w:id="77"/>
    </w:p>
    <w:p w14:paraId="1C74C4A7">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根据《工业其他行业企业温室气体排放核算方法与报告指南</w:t>
      </w:r>
      <w:r>
        <w:rPr>
          <w:rFonts w:hint="eastAsia"/>
          <w:color w:val="auto"/>
          <w:sz w:val="24"/>
          <w:szCs w:val="24"/>
          <w:lang w:eastAsia="zh-CN"/>
        </w:rPr>
        <w:t>（</w:t>
      </w:r>
      <w:r>
        <w:rPr>
          <w:rFonts w:hint="eastAsia"/>
          <w:color w:val="auto"/>
          <w:sz w:val="24"/>
          <w:szCs w:val="24"/>
          <w:lang w:val="en-US" w:eastAsia="zh-CN"/>
        </w:rPr>
        <w:t>试行</w:t>
      </w:r>
      <w:r>
        <w:rPr>
          <w:rFonts w:hint="eastAsia"/>
          <w:color w:val="auto"/>
          <w:sz w:val="24"/>
          <w:szCs w:val="24"/>
          <w:lang w:eastAsia="zh-CN"/>
        </w:rPr>
        <w:t>）</w:t>
      </w:r>
      <w:r>
        <w:rPr>
          <w:rFonts w:hint="eastAsia" w:ascii="Times New Roman" w:hAnsi="Times New Roman"/>
          <w:color w:val="auto"/>
          <w:sz w:val="24"/>
          <w:szCs w:val="24"/>
        </w:rPr>
        <w:t>》，温室气体核算包括生产场所、生产设施、辅助生产系统和附属生产系统产生的温室气体排放，大体分为化石燃料燃烧、碳酸盐使用、废水厌氧处理、CH</w:t>
      </w:r>
      <w:r>
        <w:rPr>
          <w:rFonts w:hint="eastAsia" w:ascii="Times New Roman" w:hAnsi="Times New Roman"/>
          <w:color w:val="auto"/>
          <w:sz w:val="24"/>
          <w:szCs w:val="24"/>
          <w:vertAlign w:val="subscript"/>
        </w:rPr>
        <w:t>4</w:t>
      </w:r>
      <w:r>
        <w:rPr>
          <w:rFonts w:hint="eastAsia" w:ascii="Times New Roman" w:hAnsi="Times New Roman"/>
          <w:color w:val="auto"/>
          <w:sz w:val="24"/>
          <w:szCs w:val="24"/>
        </w:rPr>
        <w:t>回收与销毁和购入电力、热力的隐含排放。本项目</w:t>
      </w:r>
      <w:r>
        <w:rPr>
          <w:rFonts w:hint="eastAsia"/>
          <w:color w:val="auto"/>
          <w:sz w:val="24"/>
          <w:szCs w:val="24"/>
          <w:lang w:val="en-US" w:eastAsia="zh-CN"/>
        </w:rPr>
        <w:t>不涉及</w:t>
      </w:r>
      <w:r>
        <w:rPr>
          <w:rFonts w:hint="eastAsia" w:ascii="Times New Roman" w:hAnsi="Times New Roman"/>
          <w:color w:val="auto"/>
          <w:sz w:val="24"/>
          <w:szCs w:val="24"/>
        </w:rPr>
        <w:t>天然气</w:t>
      </w:r>
      <w:r>
        <w:rPr>
          <w:rFonts w:hint="eastAsia"/>
          <w:color w:val="auto"/>
          <w:sz w:val="24"/>
          <w:szCs w:val="24"/>
          <w:lang w:val="en-US" w:eastAsia="zh-CN"/>
        </w:rPr>
        <w:t>使用</w:t>
      </w:r>
      <w:r>
        <w:rPr>
          <w:rFonts w:hint="eastAsia"/>
          <w:color w:val="auto"/>
          <w:sz w:val="24"/>
          <w:szCs w:val="24"/>
          <w:lang w:eastAsia="zh-CN"/>
        </w:rPr>
        <w:t>、</w:t>
      </w:r>
      <w:r>
        <w:rPr>
          <w:rFonts w:hint="eastAsia" w:ascii="Times New Roman" w:hAnsi="Times New Roman"/>
          <w:color w:val="auto"/>
          <w:sz w:val="24"/>
          <w:szCs w:val="24"/>
        </w:rPr>
        <w:t>碳酸盐使用、废水厌氧处理、CH</w:t>
      </w:r>
      <w:r>
        <w:rPr>
          <w:rFonts w:hint="eastAsia" w:ascii="Times New Roman" w:hAnsi="Times New Roman"/>
          <w:color w:val="auto"/>
          <w:sz w:val="24"/>
          <w:szCs w:val="24"/>
          <w:vertAlign w:val="subscript"/>
        </w:rPr>
        <w:t>4</w:t>
      </w:r>
      <w:r>
        <w:rPr>
          <w:rFonts w:hint="eastAsia" w:ascii="Times New Roman" w:hAnsi="Times New Roman"/>
          <w:color w:val="auto"/>
          <w:sz w:val="24"/>
          <w:szCs w:val="24"/>
        </w:rPr>
        <w:t>回收与销毁，因此本项目产生的温室气体主要来源于购电隐含排放的CO</w:t>
      </w:r>
      <w:r>
        <w:rPr>
          <w:rFonts w:hint="eastAsia" w:ascii="Times New Roman" w:hAnsi="Times New Roman"/>
          <w:color w:val="auto"/>
          <w:sz w:val="24"/>
          <w:szCs w:val="24"/>
          <w:vertAlign w:val="subscript"/>
        </w:rPr>
        <w:t>2</w:t>
      </w:r>
      <w:r>
        <w:rPr>
          <w:rFonts w:hint="eastAsia"/>
          <w:color w:val="auto"/>
          <w:sz w:val="24"/>
          <w:szCs w:val="24"/>
          <w:lang w:eastAsia="zh-CN"/>
        </w:rPr>
        <w:t>，</w:t>
      </w:r>
      <w:r>
        <w:rPr>
          <w:rFonts w:hint="eastAsia" w:ascii="Times New Roman" w:hAnsi="Times New Roman"/>
          <w:color w:val="auto"/>
          <w:sz w:val="24"/>
          <w:szCs w:val="24"/>
        </w:rPr>
        <w:t>该部分排放实际上发生在生产电力的企业，但是由本项目主体的消费活动引起，因此计入本项目名下。</w:t>
      </w:r>
    </w:p>
    <w:p w14:paraId="5CF24E83">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本项目建成</w:t>
      </w:r>
      <w:r>
        <w:rPr>
          <w:rFonts w:hint="eastAsia"/>
          <w:color w:val="auto"/>
          <w:sz w:val="24"/>
          <w:szCs w:val="24"/>
          <w:lang w:val="en-US" w:eastAsia="zh-CN"/>
        </w:rPr>
        <w:t>后，</w:t>
      </w:r>
      <w:r>
        <w:rPr>
          <w:rFonts w:hint="eastAsia" w:ascii="Times New Roman" w:hAnsi="Times New Roman"/>
          <w:color w:val="auto"/>
          <w:sz w:val="24"/>
          <w:szCs w:val="24"/>
        </w:rPr>
        <w:t>满负荷运行</w:t>
      </w:r>
      <w:r>
        <w:rPr>
          <w:rFonts w:hint="eastAsia"/>
          <w:color w:val="auto"/>
          <w:sz w:val="24"/>
          <w:szCs w:val="24"/>
          <w:lang w:val="en-US" w:eastAsia="zh-CN"/>
        </w:rPr>
        <w:t>时</w:t>
      </w:r>
      <w:r>
        <w:rPr>
          <w:rFonts w:hint="eastAsia" w:ascii="Times New Roman" w:hAnsi="Times New Roman"/>
          <w:color w:val="auto"/>
          <w:sz w:val="24"/>
          <w:szCs w:val="24"/>
        </w:rPr>
        <w:t>，年消耗电力</w:t>
      </w:r>
      <w:r>
        <w:rPr>
          <w:rFonts w:hint="eastAsia" w:ascii="Times New Roman" w:hAnsi="Times New Roman"/>
          <w:color w:val="auto"/>
          <w:sz w:val="24"/>
          <w:szCs w:val="24"/>
          <w:lang w:val="en-US" w:eastAsia="zh-CN"/>
        </w:rPr>
        <w:t>300000</w:t>
      </w:r>
      <w:r>
        <w:rPr>
          <w:rFonts w:hint="eastAsia" w:ascii="Times New Roman" w:hAnsi="Times New Roman"/>
          <w:color w:val="auto"/>
          <w:sz w:val="24"/>
          <w:szCs w:val="24"/>
        </w:rPr>
        <w:t>kW·h</w:t>
      </w:r>
      <w:r>
        <w:rPr>
          <w:rFonts w:hint="eastAsia"/>
          <w:color w:val="auto"/>
          <w:sz w:val="24"/>
          <w:szCs w:val="24"/>
          <w:lang w:eastAsia="zh-CN"/>
        </w:rPr>
        <w:t>，</w:t>
      </w:r>
      <w:r>
        <w:rPr>
          <w:rFonts w:hint="eastAsia" w:ascii="Times New Roman" w:hAnsi="Times New Roman"/>
          <w:color w:val="auto"/>
          <w:sz w:val="24"/>
          <w:szCs w:val="24"/>
        </w:rPr>
        <w:t>项目碳排放主要来源于净调入电力的间接排放的二氧化碳。根据碳排放因子法计算项目碳排放量为：</w:t>
      </w:r>
    </w:p>
    <w:p w14:paraId="21D58FC9">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AE净调入电力=</w:t>
      </w:r>
      <w:r>
        <w:rPr>
          <w:rFonts w:hint="eastAsia" w:ascii="Times New Roman" w:hAnsi="Times New Roman"/>
          <w:color w:val="auto"/>
          <w:sz w:val="24"/>
          <w:szCs w:val="24"/>
          <w:lang w:val="en-US" w:eastAsia="zh-CN"/>
        </w:rPr>
        <w:t>300000</w:t>
      </w:r>
      <w:r>
        <w:rPr>
          <w:rFonts w:hint="eastAsia" w:ascii="Times New Roman" w:hAnsi="Times New Roman"/>
          <w:color w:val="auto"/>
          <w:sz w:val="24"/>
          <w:szCs w:val="24"/>
        </w:rPr>
        <w:t>kW·h×</w:t>
      </w:r>
      <w:r>
        <w:rPr>
          <w:rFonts w:hint="eastAsia"/>
          <w:color w:val="auto"/>
          <w:sz w:val="24"/>
          <w:szCs w:val="24"/>
          <w:lang w:val="en-US" w:eastAsia="zh-CN"/>
        </w:rPr>
        <w:t>0.1229</w:t>
      </w:r>
      <w:r>
        <w:rPr>
          <w:rFonts w:hint="eastAsia" w:ascii="Times New Roman" w:hAnsi="Times New Roman"/>
          <w:color w:val="auto"/>
          <w:sz w:val="24"/>
          <w:szCs w:val="24"/>
        </w:rPr>
        <w:t>kgce/</w:t>
      </w:r>
      <w:r>
        <w:rPr>
          <w:rFonts w:hint="eastAsia"/>
          <w:color w:val="auto"/>
          <w:sz w:val="24"/>
          <w:szCs w:val="24"/>
          <w:lang w:eastAsia="zh-CN"/>
        </w:rPr>
        <w:t>（</w:t>
      </w:r>
      <w:r>
        <w:rPr>
          <w:rFonts w:hint="eastAsia" w:ascii="Times New Roman" w:hAnsi="Times New Roman"/>
          <w:color w:val="auto"/>
          <w:sz w:val="24"/>
          <w:szCs w:val="24"/>
        </w:rPr>
        <w:t>kW·h</w:t>
      </w:r>
      <w:r>
        <w:rPr>
          <w:rFonts w:hint="eastAsia"/>
          <w:color w:val="auto"/>
          <w:sz w:val="24"/>
          <w:szCs w:val="24"/>
          <w:lang w:eastAsia="zh-CN"/>
        </w:rPr>
        <w:t>）</w:t>
      </w:r>
      <w:r>
        <w:rPr>
          <w:rFonts w:hint="eastAsia" w:ascii="Times New Roman" w:hAnsi="Times New Roman"/>
          <w:color w:val="auto"/>
          <w:sz w:val="24"/>
          <w:szCs w:val="24"/>
        </w:rPr>
        <w:t>×0.1</w:t>
      </w:r>
      <w:r>
        <w:rPr>
          <w:rFonts w:hint="eastAsia"/>
          <w:color w:val="auto"/>
          <w:sz w:val="24"/>
          <w:szCs w:val="24"/>
          <w:lang w:val="en-US" w:eastAsia="zh-CN"/>
        </w:rPr>
        <w:t>031</w:t>
      </w:r>
      <w:r>
        <w:rPr>
          <w:rFonts w:hint="eastAsia" w:ascii="Times New Roman" w:hAnsi="Times New Roman"/>
          <w:color w:val="auto"/>
          <w:sz w:val="24"/>
          <w:szCs w:val="24"/>
        </w:rPr>
        <w:t>tCO</w:t>
      </w:r>
      <w:r>
        <w:rPr>
          <w:rFonts w:hint="eastAsia" w:ascii="Times New Roman" w:hAnsi="Times New Roman"/>
          <w:color w:val="auto"/>
          <w:sz w:val="24"/>
          <w:szCs w:val="24"/>
          <w:vertAlign w:val="subscript"/>
        </w:rPr>
        <w:t>2</w:t>
      </w:r>
      <w:r>
        <w:rPr>
          <w:rFonts w:hint="eastAsia" w:ascii="Times New Roman" w:hAnsi="Times New Roman"/>
          <w:color w:val="auto"/>
          <w:sz w:val="24"/>
          <w:szCs w:val="24"/>
        </w:rPr>
        <w:t>e/MWh=</w:t>
      </w:r>
      <w:r>
        <w:rPr>
          <w:rFonts w:hint="eastAsia"/>
          <w:color w:val="auto"/>
          <w:sz w:val="24"/>
          <w:szCs w:val="24"/>
          <w:lang w:val="en-US" w:eastAsia="zh-CN"/>
        </w:rPr>
        <w:t>3.80</w:t>
      </w:r>
      <w:r>
        <w:rPr>
          <w:rFonts w:hint="eastAsia" w:ascii="Times New Roman" w:hAnsi="Times New Roman"/>
          <w:color w:val="auto"/>
          <w:sz w:val="24"/>
          <w:szCs w:val="24"/>
        </w:rPr>
        <w:t>tCO</w:t>
      </w:r>
      <w:r>
        <w:rPr>
          <w:rFonts w:hint="eastAsia" w:ascii="Times New Roman" w:hAnsi="Times New Roman"/>
          <w:color w:val="auto"/>
          <w:sz w:val="24"/>
          <w:szCs w:val="24"/>
          <w:vertAlign w:val="subscript"/>
        </w:rPr>
        <w:t>2</w:t>
      </w:r>
      <w:r>
        <w:rPr>
          <w:rFonts w:hint="eastAsia" w:ascii="Times New Roman" w:hAnsi="Times New Roman"/>
          <w:color w:val="auto"/>
          <w:sz w:val="24"/>
          <w:szCs w:val="24"/>
        </w:rPr>
        <w:t>e</w:t>
      </w:r>
    </w:p>
    <w:p w14:paraId="41202A8D">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根据中共中央</w:t>
      </w:r>
      <w:r>
        <w:rPr>
          <w:rFonts w:hint="eastAsia"/>
          <w:color w:val="auto"/>
          <w:sz w:val="24"/>
          <w:szCs w:val="24"/>
          <w:lang w:eastAsia="zh-CN"/>
        </w:rPr>
        <w:t>、</w:t>
      </w:r>
      <w:r>
        <w:rPr>
          <w:rFonts w:hint="eastAsia" w:ascii="Times New Roman" w:hAnsi="Times New Roman"/>
          <w:color w:val="auto"/>
          <w:sz w:val="24"/>
          <w:szCs w:val="24"/>
        </w:rPr>
        <w:t>国务院《关于完整准确全面贯彻新发展理念做好碳达峰碳中和工作的意见》（中发</w:t>
      </w:r>
      <w:r>
        <w:rPr>
          <w:rFonts w:hint="eastAsia"/>
          <w:color w:val="auto"/>
          <w:sz w:val="24"/>
          <w:szCs w:val="24"/>
          <w:lang w:eastAsia="zh-CN"/>
        </w:rPr>
        <w:t>〔</w:t>
      </w:r>
      <w:r>
        <w:rPr>
          <w:rFonts w:hint="eastAsia"/>
          <w:color w:val="auto"/>
          <w:sz w:val="24"/>
          <w:szCs w:val="24"/>
          <w:lang w:val="en-US" w:eastAsia="zh-CN"/>
        </w:rPr>
        <w:t>2021</w:t>
      </w:r>
      <w:r>
        <w:rPr>
          <w:rFonts w:hint="eastAsia"/>
          <w:color w:val="auto"/>
          <w:sz w:val="24"/>
          <w:szCs w:val="24"/>
          <w:lang w:eastAsia="zh-CN"/>
        </w:rPr>
        <w:t>〕</w:t>
      </w:r>
      <w:r>
        <w:rPr>
          <w:rFonts w:hint="eastAsia"/>
          <w:color w:val="auto"/>
          <w:sz w:val="24"/>
          <w:szCs w:val="24"/>
          <w:lang w:val="en-US" w:eastAsia="zh-CN"/>
        </w:rPr>
        <w:t>36</w:t>
      </w:r>
      <w:r>
        <w:rPr>
          <w:rFonts w:hint="eastAsia" w:ascii="Times New Roman" w:hAnsi="Times New Roman"/>
          <w:color w:val="auto"/>
          <w:sz w:val="24"/>
          <w:szCs w:val="24"/>
        </w:rPr>
        <w:t>号），目前本行业碳排放标准未颁发，也未有相关有效治理措施，项目应采取节能、节水、资源综合利用等方式，减少碳排放。</w:t>
      </w:r>
    </w:p>
    <w:p w14:paraId="642E36C6">
      <w:pPr>
        <w:bidi w:val="0"/>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本项目建成后预计年可实现工业增加值约</w:t>
      </w:r>
      <w:r>
        <w:rPr>
          <w:rFonts w:hint="eastAsia"/>
          <w:color w:val="auto"/>
          <w:sz w:val="24"/>
          <w:szCs w:val="24"/>
          <w:lang w:val="en-US" w:eastAsia="zh-CN"/>
        </w:rPr>
        <w:t>3870</w:t>
      </w:r>
      <w:r>
        <w:rPr>
          <w:rFonts w:hint="eastAsia" w:ascii="Times New Roman" w:hAnsi="Times New Roman"/>
          <w:color w:val="auto"/>
          <w:sz w:val="24"/>
          <w:szCs w:val="24"/>
        </w:rPr>
        <w:t>万元，则项目增加值碳排放指标为</w:t>
      </w:r>
      <w:r>
        <w:rPr>
          <w:rFonts w:hint="eastAsia"/>
          <w:color w:val="auto"/>
          <w:sz w:val="24"/>
          <w:szCs w:val="24"/>
          <w:lang w:val="en-US" w:eastAsia="zh-CN"/>
        </w:rPr>
        <w:t>9.82E-04</w:t>
      </w:r>
      <w:r>
        <w:rPr>
          <w:rFonts w:hint="eastAsia" w:ascii="Times New Roman" w:hAnsi="Times New Roman"/>
          <w:color w:val="auto"/>
          <w:sz w:val="24"/>
          <w:szCs w:val="24"/>
        </w:rPr>
        <w:t>tCO</w:t>
      </w:r>
      <w:r>
        <w:rPr>
          <w:rFonts w:hint="eastAsia" w:ascii="Times New Roman" w:hAnsi="Times New Roman"/>
          <w:color w:val="auto"/>
          <w:sz w:val="24"/>
          <w:szCs w:val="24"/>
          <w:vertAlign w:val="subscript"/>
        </w:rPr>
        <w:t>2</w:t>
      </w:r>
      <w:r>
        <w:rPr>
          <w:rFonts w:hint="eastAsia" w:ascii="Times New Roman" w:hAnsi="Times New Roman"/>
          <w:color w:val="auto"/>
          <w:sz w:val="24"/>
          <w:szCs w:val="24"/>
        </w:rPr>
        <w:t>e/万元。</w:t>
      </w:r>
    </w:p>
    <w:p w14:paraId="432F54C6">
      <w:pPr>
        <w:pStyle w:val="3"/>
        <w:bidi w:val="0"/>
        <w:rPr>
          <w:rFonts w:hint="default"/>
          <w:color w:val="auto"/>
          <w:highlight w:val="none"/>
          <w:lang w:val="en-US" w:eastAsia="zh-CN"/>
        </w:rPr>
      </w:pPr>
      <w:bookmarkStart w:id="78" w:name="_Toc29744"/>
      <w:r>
        <w:rPr>
          <w:rFonts w:hint="eastAsia"/>
          <w:color w:val="auto"/>
          <w:highlight w:val="none"/>
          <w:lang w:val="en-US" w:eastAsia="zh-CN"/>
        </w:rPr>
        <w:t>清洁生产</w:t>
      </w:r>
      <w:bookmarkEnd w:id="78"/>
    </w:p>
    <w:p w14:paraId="309ABC4D">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清洁生产是将污染物消除或削减在生产过程中，使生产末端处于无废或少废状态的一种全新生产工艺，它着重于过程控制和源头削减，通过清洁的生产工艺、强化管理等种种手段，在生产过程中减少污染物的产生。实行清洁生产，走可持续发展的道路，是企业污染防治的基本原则。清洁生产是将整体预防的环境战略持续应用于生产过程、产品和服务中，以期增加生产效率并减少对社会和环境的风险，其实质是生产过程中，坚持采用新工艺、新技术，通过生产全过程的控制和资源、能源的合理配置，并尽可能采用环保型生产设备及原料，最大限度地把原料转化为产品，实现经济和环境保护的协调发展。</w:t>
      </w:r>
    </w:p>
    <w:p w14:paraId="25370694">
      <w:pPr>
        <w:pStyle w:val="4"/>
        <w:bidi w:val="0"/>
        <w:ind w:left="1855" w:leftChars="0" w:hanging="1855" w:firstLineChars="0"/>
        <w:rPr>
          <w:rFonts w:hint="eastAsia" w:ascii="Times New Roman" w:hAnsi="Times New Roman" w:cs="Courier New"/>
          <w:bCs/>
          <w:color w:val="auto"/>
          <w:highlight w:val="none"/>
          <w:lang w:val="en-US" w:eastAsia="zh-CN"/>
        </w:rPr>
      </w:pPr>
      <w:bookmarkStart w:id="79" w:name="_Toc12697"/>
      <w:r>
        <w:rPr>
          <w:rFonts w:hint="eastAsia" w:ascii="Times New Roman" w:hAnsi="Times New Roman" w:cs="Courier New"/>
          <w:bCs/>
          <w:color w:val="auto"/>
          <w:highlight w:val="none"/>
          <w:lang w:val="en-US" w:eastAsia="zh-CN"/>
        </w:rPr>
        <w:t>清洁生产的主要内容</w:t>
      </w:r>
      <w:bookmarkEnd w:id="79"/>
    </w:p>
    <w:p w14:paraId="18A0D977">
      <w:pPr>
        <w:spacing w:line="360" w:lineRule="auto"/>
        <w:ind w:left="0" w:leftChars="0" w:firstLine="480" w:firstLineChars="200"/>
        <w:rPr>
          <w:color w:val="auto"/>
          <w:sz w:val="24"/>
          <w:szCs w:val="24"/>
        </w:rPr>
      </w:pPr>
      <w:r>
        <w:rPr>
          <w:rFonts w:hint="eastAsia"/>
          <w:color w:val="auto"/>
          <w:sz w:val="24"/>
          <w:szCs w:val="24"/>
        </w:rPr>
        <w:t>清洁生产的内容，可归纳为“三清一控制”，即清洁的原料与能源、清洁的生产过程、清洁的产品，以及贯穿于清洁生产的全过程控制。</w:t>
      </w:r>
    </w:p>
    <w:p w14:paraId="1E9D696D">
      <w:pPr>
        <w:spacing w:line="360" w:lineRule="auto"/>
        <w:ind w:left="0" w:leftChars="0" w:firstLine="482" w:firstLineChars="200"/>
        <w:rPr>
          <w:b/>
          <w:color w:val="auto"/>
          <w:sz w:val="24"/>
          <w:szCs w:val="24"/>
        </w:rPr>
      </w:pPr>
      <w:r>
        <w:rPr>
          <w:rFonts w:hint="eastAsia"/>
          <w:b/>
          <w:color w:val="auto"/>
          <w:sz w:val="24"/>
          <w:szCs w:val="24"/>
        </w:rPr>
        <w:t>1、清洁的原料与能源</w:t>
      </w:r>
    </w:p>
    <w:p w14:paraId="28CDA15B">
      <w:pPr>
        <w:spacing w:line="360" w:lineRule="auto"/>
        <w:ind w:left="0" w:leftChars="0" w:firstLine="480" w:firstLineChars="200"/>
        <w:rPr>
          <w:color w:val="auto"/>
          <w:sz w:val="24"/>
          <w:szCs w:val="24"/>
        </w:rPr>
      </w:pPr>
      <w:r>
        <w:rPr>
          <w:rFonts w:hint="eastAsia"/>
          <w:color w:val="auto"/>
          <w:sz w:val="24"/>
          <w:szCs w:val="24"/>
        </w:rPr>
        <w:t>清洁的原料与能源是指在生产中能被充分利用而极少产生废物和污染的原材料和能源。实施清洁的原料与能源</w:t>
      </w:r>
      <w:r>
        <w:rPr>
          <w:color w:val="auto"/>
          <w:sz w:val="24"/>
          <w:szCs w:val="24"/>
        </w:rPr>
        <w:t>的措施主要包括</w:t>
      </w:r>
      <w:r>
        <w:rPr>
          <w:rFonts w:hint="eastAsia"/>
          <w:color w:val="auto"/>
          <w:sz w:val="24"/>
          <w:szCs w:val="24"/>
        </w:rPr>
        <w:t>：</w:t>
      </w:r>
    </w:p>
    <w:p w14:paraId="6A2D6FB7">
      <w:pPr>
        <w:spacing w:line="360" w:lineRule="auto"/>
        <w:ind w:left="0" w:leftChars="0" w:firstLine="480" w:firstLineChars="200"/>
        <w:rPr>
          <w:color w:val="auto"/>
          <w:sz w:val="24"/>
          <w:szCs w:val="24"/>
        </w:rPr>
      </w:pPr>
      <w:r>
        <w:rPr>
          <w:rFonts w:hint="eastAsia"/>
          <w:color w:val="auto"/>
          <w:sz w:val="24"/>
          <w:szCs w:val="24"/>
        </w:rPr>
        <w:t>①少用或不用有毒、有害及稀缺原料，选用品位高的较纯洁的原材料。</w:t>
      </w:r>
    </w:p>
    <w:p w14:paraId="713066CF">
      <w:pPr>
        <w:spacing w:line="360" w:lineRule="auto"/>
        <w:ind w:left="0" w:leftChars="0" w:firstLine="480" w:firstLineChars="200"/>
        <w:rPr>
          <w:color w:val="auto"/>
          <w:sz w:val="24"/>
          <w:szCs w:val="24"/>
        </w:rPr>
      </w:pPr>
      <w:r>
        <w:rPr>
          <w:rFonts w:hint="eastAsia"/>
          <w:color w:val="auto"/>
          <w:sz w:val="24"/>
          <w:szCs w:val="24"/>
        </w:rPr>
        <w:t>②常规能源的清洁利用，如何用清洁煤技术，逐步提高液体燃料、天然气的使用比例。</w:t>
      </w:r>
    </w:p>
    <w:p w14:paraId="03E55050">
      <w:pPr>
        <w:spacing w:line="360" w:lineRule="auto"/>
        <w:ind w:left="0" w:leftChars="0" w:firstLine="480" w:firstLineChars="200"/>
        <w:rPr>
          <w:rFonts w:hint="eastAsia"/>
          <w:color w:val="auto"/>
          <w:sz w:val="24"/>
          <w:szCs w:val="24"/>
        </w:rPr>
      </w:pPr>
      <w:r>
        <w:rPr>
          <w:rFonts w:hint="eastAsia"/>
          <w:color w:val="auto"/>
          <w:sz w:val="24"/>
          <w:szCs w:val="24"/>
        </w:rPr>
        <w:t>③新能源的开发，如太阳能、生物能、风能、潮汐能、地热能的开发利用。</w:t>
      </w:r>
    </w:p>
    <w:p w14:paraId="5D76378A">
      <w:pPr>
        <w:spacing w:line="360" w:lineRule="auto"/>
        <w:ind w:left="0" w:leftChars="0" w:firstLine="480" w:firstLineChars="200"/>
        <w:rPr>
          <w:rFonts w:hint="eastAsia" w:eastAsia="宋体"/>
          <w:color w:val="auto"/>
          <w:highlight w:val="none"/>
          <w:lang w:eastAsia="zh-CN"/>
        </w:rPr>
      </w:pPr>
      <w:r>
        <w:rPr>
          <w:rFonts w:hint="eastAsia"/>
          <w:color w:val="auto"/>
          <w:sz w:val="24"/>
          <w:szCs w:val="24"/>
        </w:rPr>
        <w:t>④各种节能技术和措施等，提高能源利用率</w:t>
      </w:r>
      <w:r>
        <w:rPr>
          <w:rFonts w:hint="eastAsia"/>
          <w:color w:val="auto"/>
          <w:sz w:val="24"/>
          <w:szCs w:val="24"/>
          <w:lang w:eastAsia="zh-CN"/>
        </w:rPr>
        <w:t>。</w:t>
      </w:r>
    </w:p>
    <w:p w14:paraId="2190788D">
      <w:pPr>
        <w:spacing w:line="360" w:lineRule="auto"/>
        <w:ind w:left="0" w:leftChars="0" w:firstLine="482" w:firstLineChars="200"/>
        <w:rPr>
          <w:b/>
          <w:color w:val="auto"/>
          <w:sz w:val="24"/>
          <w:szCs w:val="24"/>
        </w:rPr>
      </w:pPr>
      <w:r>
        <w:rPr>
          <w:b/>
          <w:color w:val="auto"/>
          <w:sz w:val="24"/>
          <w:szCs w:val="24"/>
        </w:rPr>
        <w:t>2</w:t>
      </w:r>
      <w:r>
        <w:rPr>
          <w:rFonts w:hint="eastAsia"/>
          <w:b/>
          <w:color w:val="auto"/>
          <w:sz w:val="24"/>
          <w:szCs w:val="24"/>
        </w:rPr>
        <w:t>、清洁的生产过程</w:t>
      </w:r>
    </w:p>
    <w:p w14:paraId="257780CC">
      <w:pPr>
        <w:spacing w:line="360" w:lineRule="auto"/>
        <w:ind w:left="0" w:leftChars="0" w:firstLine="480" w:firstLineChars="200"/>
        <w:rPr>
          <w:color w:val="auto"/>
          <w:sz w:val="24"/>
          <w:szCs w:val="24"/>
        </w:rPr>
      </w:pPr>
      <w:r>
        <w:rPr>
          <w:rFonts w:hint="eastAsia"/>
          <w:color w:val="auto"/>
          <w:sz w:val="24"/>
          <w:szCs w:val="24"/>
        </w:rPr>
        <w:t>生产过程就是物料加工和转换的过程，清洁的生产过程，要求选用一定的技术工艺，将废物减量化、资源化、无害化、直至将废物消灭在生产过程之中。废物减量化就是要改善生产技术、工艺和设备，以提高原料利用率，使原材料尽可能转化为产品，从而使废物达到最小量；废物资源化是将生产环节中的废物综合利用，转化为进一步生产的资源，变废为宝；废物无害化就是减少或消除将要离开生产过程的废物的毒性，使之不危害环境和人类。实现清洁生产过程的措施为：</w:t>
      </w:r>
    </w:p>
    <w:p w14:paraId="571FD0DD">
      <w:pPr>
        <w:spacing w:line="360" w:lineRule="auto"/>
        <w:ind w:left="0" w:leftChars="0" w:firstLine="480" w:firstLineChars="200"/>
        <w:rPr>
          <w:color w:val="auto"/>
          <w:sz w:val="24"/>
          <w:szCs w:val="24"/>
        </w:rPr>
      </w:pPr>
      <w:r>
        <w:rPr>
          <w:rFonts w:hint="eastAsia"/>
          <w:color w:val="auto"/>
          <w:sz w:val="24"/>
          <w:szCs w:val="24"/>
        </w:rPr>
        <w:t>①尽量少用或不用有毒、有害的原料。</w:t>
      </w:r>
    </w:p>
    <w:p w14:paraId="3676DDB4">
      <w:pPr>
        <w:spacing w:line="360" w:lineRule="auto"/>
        <w:ind w:left="0" w:leftChars="0" w:firstLine="480" w:firstLineChars="200"/>
        <w:rPr>
          <w:color w:val="auto"/>
          <w:sz w:val="24"/>
          <w:szCs w:val="24"/>
        </w:rPr>
      </w:pPr>
      <w:r>
        <w:rPr>
          <w:rFonts w:hint="eastAsia"/>
          <w:color w:val="auto"/>
          <w:sz w:val="24"/>
          <w:szCs w:val="24"/>
        </w:rPr>
        <w:t>②减少或消除生产过程的各种危险性因素，如高温、高压、低温、低压、易燃、易爆、强噪声、强</w:t>
      </w:r>
      <w:r>
        <w:rPr>
          <w:rFonts w:hint="eastAsia"/>
          <w:color w:val="auto"/>
          <w:sz w:val="24"/>
          <w:szCs w:val="24"/>
          <w:lang w:val="en-US" w:eastAsia="zh-CN"/>
        </w:rPr>
        <w:t>振动</w:t>
      </w:r>
      <w:r>
        <w:rPr>
          <w:rFonts w:hint="eastAsia"/>
          <w:color w:val="auto"/>
          <w:sz w:val="24"/>
          <w:szCs w:val="24"/>
        </w:rPr>
        <w:t>。</w:t>
      </w:r>
    </w:p>
    <w:p w14:paraId="7A7FAA76">
      <w:pPr>
        <w:spacing w:line="360" w:lineRule="auto"/>
        <w:ind w:left="0" w:leftChars="0" w:firstLine="480" w:firstLineChars="200"/>
        <w:rPr>
          <w:color w:val="auto"/>
          <w:sz w:val="24"/>
          <w:szCs w:val="24"/>
        </w:rPr>
      </w:pPr>
      <w:r>
        <w:rPr>
          <w:rFonts w:hint="eastAsia"/>
          <w:color w:val="auto"/>
          <w:sz w:val="24"/>
          <w:szCs w:val="24"/>
        </w:rPr>
        <w:t>③采用少废、无废的工艺，选用高效的设备和装置，做到物料的再循环。</w:t>
      </w:r>
    </w:p>
    <w:p w14:paraId="60C9FF2E">
      <w:pPr>
        <w:spacing w:line="360" w:lineRule="auto"/>
        <w:ind w:left="0" w:leftChars="0" w:firstLine="480" w:firstLineChars="200"/>
        <w:rPr>
          <w:rFonts w:ascii="Times New Roman" w:hAnsi="Times New Roman"/>
          <w:color w:val="auto"/>
          <w:sz w:val="24"/>
          <w:szCs w:val="24"/>
        </w:rPr>
      </w:pPr>
      <w:r>
        <w:rPr>
          <w:rFonts w:hint="eastAsia"/>
          <w:color w:val="auto"/>
          <w:sz w:val="24"/>
          <w:szCs w:val="24"/>
        </w:rPr>
        <w:t>④简便、可靠的操作和控制，完善的管理等</w:t>
      </w:r>
      <w:r>
        <w:rPr>
          <w:rFonts w:hint="eastAsia" w:ascii="Times New Roman" w:hAnsi="Times New Roman"/>
          <w:color w:val="auto"/>
          <w:sz w:val="24"/>
          <w:szCs w:val="24"/>
        </w:rPr>
        <w:t>。</w:t>
      </w:r>
    </w:p>
    <w:p w14:paraId="4F5AD5BA">
      <w:pPr>
        <w:spacing w:line="360" w:lineRule="auto"/>
        <w:ind w:left="0" w:leftChars="0" w:firstLine="482" w:firstLineChars="200"/>
        <w:rPr>
          <w:b/>
          <w:color w:val="auto"/>
          <w:sz w:val="24"/>
          <w:szCs w:val="24"/>
        </w:rPr>
      </w:pPr>
      <w:r>
        <w:rPr>
          <w:b/>
          <w:color w:val="auto"/>
          <w:sz w:val="24"/>
          <w:szCs w:val="24"/>
        </w:rPr>
        <w:t>3</w:t>
      </w:r>
      <w:r>
        <w:rPr>
          <w:rFonts w:hint="eastAsia"/>
          <w:b/>
          <w:color w:val="auto"/>
          <w:sz w:val="24"/>
          <w:szCs w:val="24"/>
        </w:rPr>
        <w:t>、清洁的产品</w:t>
      </w:r>
    </w:p>
    <w:p w14:paraId="3237AB30">
      <w:pPr>
        <w:spacing w:line="360" w:lineRule="auto"/>
        <w:ind w:left="0" w:leftChars="0" w:firstLine="480" w:firstLineChars="200"/>
        <w:rPr>
          <w:color w:val="auto"/>
          <w:sz w:val="24"/>
          <w:szCs w:val="24"/>
        </w:rPr>
      </w:pPr>
      <w:r>
        <w:rPr>
          <w:rFonts w:hint="eastAsia"/>
          <w:color w:val="auto"/>
          <w:sz w:val="24"/>
          <w:szCs w:val="24"/>
        </w:rPr>
        <w:t>清洁的产品是指有利于资源的有效利用，在生产、使用和处置的全过程中不产生有害影响的产品。清洁产品又叫绿色产品、可持续产品等。为使产品有利于资源的有效利用，产品的设计工艺应使产品功能性强，既满足人们需要又省料耐用，应遵循三个原则：精简零件、容易拆卸；稍经整修即可重复作用；经过改进能够实现创新。为使产品避免危害人和环境，在设计产品时应遵循下列三原则：产品生产周期的环境影响最小，争取实现零排放；产品对生产人员和消费者无害；最终废弃物易于分解成无害物。清洁产品具体应具备以下几方面的条件：</w:t>
      </w:r>
    </w:p>
    <w:p w14:paraId="6CE6265A">
      <w:pPr>
        <w:spacing w:line="360" w:lineRule="auto"/>
        <w:rPr>
          <w:color w:val="auto"/>
          <w:sz w:val="24"/>
          <w:szCs w:val="24"/>
        </w:rPr>
      </w:pPr>
      <w:r>
        <w:rPr>
          <w:rFonts w:hint="eastAsia"/>
          <w:color w:val="auto"/>
          <w:sz w:val="24"/>
          <w:szCs w:val="24"/>
        </w:rPr>
        <w:t>①节约原料和能源，少用昂贵和稀缺原料，尽可能“废物”利用。</w:t>
      </w:r>
    </w:p>
    <w:p w14:paraId="6A2801BC">
      <w:pPr>
        <w:spacing w:line="360" w:lineRule="auto"/>
        <w:rPr>
          <w:color w:val="auto"/>
          <w:sz w:val="24"/>
          <w:szCs w:val="24"/>
        </w:rPr>
      </w:pPr>
      <w:r>
        <w:rPr>
          <w:rFonts w:hint="eastAsia"/>
          <w:color w:val="auto"/>
          <w:sz w:val="24"/>
          <w:szCs w:val="24"/>
        </w:rPr>
        <w:t>②产品在使用过程中，以及使用后不含有危害人体健康和生态环境的因素。</w:t>
      </w:r>
    </w:p>
    <w:p w14:paraId="6362126F">
      <w:pPr>
        <w:spacing w:line="360" w:lineRule="auto"/>
        <w:rPr>
          <w:color w:val="auto"/>
          <w:sz w:val="24"/>
          <w:szCs w:val="24"/>
        </w:rPr>
      </w:pPr>
      <w:r>
        <w:rPr>
          <w:rFonts w:hint="eastAsia"/>
          <w:color w:val="auto"/>
          <w:sz w:val="24"/>
          <w:szCs w:val="24"/>
        </w:rPr>
        <w:t>③易于回收、复用和再生，合理包装。</w:t>
      </w:r>
    </w:p>
    <w:p w14:paraId="3985AC49">
      <w:pPr>
        <w:spacing w:line="360" w:lineRule="auto"/>
        <w:rPr>
          <w:color w:val="auto"/>
          <w:sz w:val="24"/>
          <w:szCs w:val="24"/>
        </w:rPr>
      </w:pPr>
      <w:r>
        <w:rPr>
          <w:rFonts w:hint="eastAsia"/>
          <w:color w:val="auto"/>
          <w:sz w:val="24"/>
          <w:szCs w:val="24"/>
        </w:rPr>
        <w:t>④合理的使用功能，节能、节水、降低噪声的功能，及合理的使用寿命。</w:t>
      </w:r>
    </w:p>
    <w:p w14:paraId="370A2517">
      <w:pPr>
        <w:spacing w:line="360" w:lineRule="auto"/>
        <w:rPr>
          <w:color w:val="auto"/>
          <w:sz w:val="24"/>
          <w:szCs w:val="24"/>
        </w:rPr>
      </w:pPr>
      <w:r>
        <w:rPr>
          <w:rFonts w:hint="eastAsia"/>
          <w:color w:val="auto"/>
          <w:sz w:val="24"/>
          <w:szCs w:val="24"/>
        </w:rPr>
        <w:t>⑤产品报废后易处理、易降解等。</w:t>
      </w:r>
    </w:p>
    <w:p w14:paraId="7583005A">
      <w:pPr>
        <w:spacing w:line="360" w:lineRule="auto"/>
        <w:ind w:left="0" w:leftChars="0" w:firstLine="482" w:firstLineChars="200"/>
        <w:rPr>
          <w:b/>
          <w:color w:val="auto"/>
          <w:sz w:val="24"/>
          <w:szCs w:val="24"/>
        </w:rPr>
      </w:pPr>
      <w:r>
        <w:rPr>
          <w:b/>
          <w:color w:val="auto"/>
          <w:sz w:val="24"/>
          <w:szCs w:val="24"/>
        </w:rPr>
        <w:t>4</w:t>
      </w:r>
      <w:r>
        <w:rPr>
          <w:rFonts w:hint="eastAsia"/>
          <w:b/>
          <w:color w:val="auto"/>
          <w:sz w:val="24"/>
          <w:szCs w:val="24"/>
        </w:rPr>
        <w:t>、全过程控制</w:t>
      </w:r>
    </w:p>
    <w:p w14:paraId="4F01B4A5">
      <w:pPr>
        <w:spacing w:line="360" w:lineRule="auto"/>
        <w:ind w:left="0" w:leftChars="0" w:firstLine="480" w:firstLineChars="200"/>
        <w:rPr>
          <w:color w:val="auto"/>
          <w:sz w:val="24"/>
          <w:szCs w:val="24"/>
        </w:rPr>
      </w:pPr>
      <w:r>
        <w:rPr>
          <w:rFonts w:hint="eastAsia"/>
          <w:color w:val="auto"/>
          <w:sz w:val="24"/>
          <w:szCs w:val="24"/>
        </w:rPr>
        <w:t>贯穿于清洁生产中的全过程控制，包括两方面的内容：生产原料或物料转化的全过程控制和生产组织的全过程控制。</w:t>
      </w:r>
    </w:p>
    <w:p w14:paraId="07DE66F1">
      <w:pPr>
        <w:spacing w:line="360" w:lineRule="auto"/>
        <w:ind w:left="0" w:leftChars="0" w:firstLine="480" w:firstLineChars="200"/>
        <w:rPr>
          <w:color w:val="auto"/>
          <w:sz w:val="24"/>
          <w:szCs w:val="24"/>
        </w:rPr>
      </w:pPr>
      <w:r>
        <w:rPr>
          <w:rFonts w:hint="eastAsia"/>
          <w:color w:val="auto"/>
          <w:sz w:val="24"/>
          <w:szCs w:val="24"/>
        </w:rPr>
        <w:t>生产原料或物料转化的全过程控制也称为产品的生命周期的全过程控制，它是指从原料的加工、提炼到生产出产品、产品的使用直到报废处置的各个环节所采取的必要的污染预防控制措施。</w:t>
      </w:r>
    </w:p>
    <w:p w14:paraId="45C21B3C">
      <w:pPr>
        <w:spacing w:line="360" w:lineRule="auto"/>
        <w:ind w:left="0" w:leftChars="0" w:firstLine="480" w:firstLineChars="200"/>
        <w:rPr>
          <w:rFonts w:ascii="Times New Roman" w:hAnsi="Times New Roman"/>
          <w:color w:val="auto"/>
          <w:sz w:val="24"/>
          <w:szCs w:val="24"/>
        </w:rPr>
      </w:pPr>
      <w:r>
        <w:rPr>
          <w:rFonts w:hint="eastAsia"/>
          <w:color w:val="auto"/>
          <w:sz w:val="24"/>
          <w:szCs w:val="24"/>
        </w:rPr>
        <w:t>生产组织的全过程控制也就是工业生产的全过程控制，它是指从产品的开发、规划、设计、建设到运营管理，所采取的防止污染发生的必要措施</w:t>
      </w:r>
      <w:r>
        <w:rPr>
          <w:rFonts w:hint="eastAsia" w:ascii="Times New Roman" w:hAnsi="Times New Roman"/>
          <w:color w:val="auto"/>
          <w:sz w:val="24"/>
          <w:szCs w:val="24"/>
        </w:rPr>
        <w:t>。</w:t>
      </w:r>
    </w:p>
    <w:p w14:paraId="3C189CBB">
      <w:pPr>
        <w:pStyle w:val="4"/>
        <w:bidi w:val="0"/>
        <w:ind w:left="1855" w:leftChars="0" w:hanging="1855" w:firstLineChars="0"/>
        <w:rPr>
          <w:rFonts w:hint="eastAsia" w:ascii="Times New Roman" w:hAnsi="Times New Roman" w:cs="Courier New"/>
          <w:bCs/>
          <w:color w:val="auto"/>
          <w:highlight w:val="none"/>
          <w:lang w:val="en-US" w:eastAsia="zh-CN"/>
        </w:rPr>
      </w:pPr>
      <w:bookmarkStart w:id="80" w:name="_Toc30879"/>
      <w:r>
        <w:rPr>
          <w:rFonts w:hint="eastAsia" w:ascii="Times New Roman" w:hAnsi="Times New Roman" w:cs="Courier New"/>
          <w:bCs/>
          <w:color w:val="auto"/>
          <w:highlight w:val="none"/>
          <w:lang w:val="en-US" w:eastAsia="zh-CN"/>
        </w:rPr>
        <w:t>清洁生产的目标</w:t>
      </w:r>
      <w:bookmarkEnd w:id="80"/>
    </w:p>
    <w:p w14:paraId="758D5A9E">
      <w:pPr>
        <w:spacing w:line="360" w:lineRule="auto"/>
        <w:ind w:left="0" w:leftChars="0" w:firstLine="480" w:firstLineChars="200"/>
        <w:rPr>
          <w:color w:val="auto"/>
          <w:sz w:val="24"/>
          <w:szCs w:val="24"/>
        </w:rPr>
      </w:pPr>
      <w:r>
        <w:rPr>
          <w:rFonts w:hint="eastAsia"/>
          <w:color w:val="auto"/>
          <w:sz w:val="24"/>
          <w:szCs w:val="24"/>
        </w:rPr>
        <w:t>通过实施清洁生产，以谋求达到以下两个目标：</w:t>
      </w:r>
    </w:p>
    <w:p w14:paraId="07076ADD">
      <w:pPr>
        <w:spacing w:line="360" w:lineRule="auto"/>
        <w:ind w:left="0" w:leftChars="0" w:firstLine="480" w:firstLineChars="200"/>
        <w:rPr>
          <w:color w:val="auto"/>
          <w:sz w:val="24"/>
          <w:szCs w:val="24"/>
        </w:rPr>
      </w:pPr>
      <w:r>
        <w:rPr>
          <w:rFonts w:hint="eastAsia"/>
          <w:color w:val="auto"/>
          <w:sz w:val="24"/>
          <w:szCs w:val="24"/>
        </w:rPr>
        <w:t>①通过资源的综合利用，短缺资源的代用，二次能源的利用，以及节能、降耗、节水，合理利用自然资源，减缓资源的耗竭。</w:t>
      </w:r>
    </w:p>
    <w:p w14:paraId="6C9C85BD">
      <w:pPr>
        <w:spacing w:line="360" w:lineRule="auto"/>
        <w:ind w:left="0" w:leftChars="0" w:firstLine="480" w:firstLineChars="200"/>
        <w:rPr>
          <w:rFonts w:ascii="Times New Roman" w:hAnsi="Times New Roman"/>
          <w:color w:val="auto"/>
          <w:sz w:val="24"/>
          <w:szCs w:val="24"/>
        </w:rPr>
      </w:pPr>
      <w:r>
        <w:rPr>
          <w:rFonts w:hint="eastAsia"/>
          <w:color w:val="auto"/>
          <w:sz w:val="24"/>
          <w:szCs w:val="24"/>
        </w:rPr>
        <w:t>②减少废物和污染物的排放，促进工业产品的生产、消耗过程与环境相融，降低工业活动对人类和环境的风险</w:t>
      </w:r>
      <w:r>
        <w:rPr>
          <w:rFonts w:hint="eastAsia" w:ascii="Times New Roman" w:hAnsi="Times New Roman"/>
          <w:color w:val="auto"/>
          <w:sz w:val="24"/>
          <w:szCs w:val="24"/>
        </w:rPr>
        <w:t>。</w:t>
      </w:r>
    </w:p>
    <w:p w14:paraId="227A256C">
      <w:pPr>
        <w:pStyle w:val="4"/>
        <w:bidi w:val="0"/>
        <w:ind w:left="1855" w:leftChars="0" w:hanging="1855" w:firstLineChars="0"/>
        <w:rPr>
          <w:rFonts w:hint="eastAsia" w:ascii="Times New Roman" w:hAnsi="Times New Roman" w:cs="Courier New"/>
          <w:bCs/>
          <w:color w:val="auto"/>
          <w:highlight w:val="none"/>
          <w:lang w:val="en-US" w:eastAsia="zh-CN"/>
        </w:rPr>
      </w:pPr>
      <w:bookmarkStart w:id="81" w:name="_Toc26802"/>
      <w:r>
        <w:rPr>
          <w:rFonts w:hint="eastAsia" w:ascii="Times New Roman" w:hAnsi="Times New Roman" w:cs="Courier New"/>
          <w:bCs/>
          <w:color w:val="auto"/>
          <w:highlight w:val="none"/>
          <w:lang w:val="en-US" w:eastAsia="zh-CN"/>
        </w:rPr>
        <w:t>清洁生产分析</w:t>
      </w:r>
      <w:bookmarkEnd w:id="81"/>
    </w:p>
    <w:p w14:paraId="25A50FB9">
      <w:pPr>
        <w:bidi w:val="0"/>
        <w:ind w:left="0" w:leftChars="0" w:firstLine="480" w:firstLineChars="200"/>
        <w:rPr>
          <w:rFonts w:hint="eastAsia"/>
          <w:color w:val="auto"/>
        </w:rPr>
      </w:pPr>
      <w:r>
        <w:rPr>
          <w:rFonts w:hint="eastAsia"/>
          <w:color w:val="auto"/>
          <w:lang w:val="en-US" w:eastAsia="zh-CN"/>
        </w:rPr>
        <w:t>国家暂未制定本项目相关行业清洁生产评价指标体系，</w:t>
      </w:r>
      <w:r>
        <w:rPr>
          <w:rFonts w:hint="eastAsia"/>
          <w:color w:val="auto"/>
        </w:rPr>
        <w:t>根据《中华人民共和国清洁生产促进法》（2012年7月1日）的要求，本次评价从生产工艺与装备要求指标、产品指标、原辅材料的选用、资源与能源利用、末端治理措施、环境管理等六个方面进行清洁生产分析。</w:t>
      </w:r>
    </w:p>
    <w:p w14:paraId="5EB95FE7">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1、生产工艺与装备要求指标</w:t>
      </w:r>
    </w:p>
    <w:p w14:paraId="0E7F874D">
      <w:pPr>
        <w:bidi w:val="0"/>
        <w:ind w:left="0" w:leftChars="0" w:firstLine="480" w:firstLineChars="200"/>
        <w:rPr>
          <w:rFonts w:hint="eastAsia"/>
          <w:color w:val="auto"/>
          <w:lang w:val="en-US" w:eastAsia="zh-CN"/>
        </w:rPr>
      </w:pPr>
      <w:r>
        <w:rPr>
          <w:rFonts w:hint="eastAsia"/>
          <w:color w:val="auto"/>
          <w:lang w:val="en-US" w:eastAsia="zh-CN"/>
        </w:rPr>
        <w:t>本项目</w:t>
      </w:r>
      <w:r>
        <w:rPr>
          <w:rFonts w:hint="eastAsia"/>
          <w:color w:val="auto"/>
        </w:rPr>
        <w:t>采用国内先进的工艺，</w:t>
      </w:r>
      <w:r>
        <w:rPr>
          <w:rFonts w:hint="eastAsia"/>
          <w:color w:val="auto"/>
          <w:lang w:val="en-US" w:eastAsia="zh-CN"/>
        </w:rPr>
        <w:t>生产过程中采用密闭管罐系统；</w:t>
      </w:r>
      <w:r>
        <w:rPr>
          <w:rFonts w:hint="eastAsia"/>
          <w:color w:val="auto"/>
        </w:rPr>
        <w:t>工艺设备、管道、</w:t>
      </w:r>
      <w:r>
        <w:rPr>
          <w:rFonts w:hint="eastAsia"/>
          <w:color w:val="auto"/>
          <w:lang w:val="en-US" w:eastAsia="zh-CN"/>
        </w:rPr>
        <w:t>罐体</w:t>
      </w:r>
      <w:r>
        <w:rPr>
          <w:rFonts w:hint="eastAsia"/>
          <w:color w:val="auto"/>
        </w:rPr>
        <w:t>均</w:t>
      </w:r>
      <w:r>
        <w:rPr>
          <w:color w:val="auto"/>
        </w:rPr>
        <w:t>采取防腐、防渗漏措施</w:t>
      </w:r>
      <w:r>
        <w:rPr>
          <w:rFonts w:hint="eastAsia"/>
          <w:color w:val="auto"/>
        </w:rPr>
        <w:t>，</w:t>
      </w:r>
      <w:r>
        <w:rPr>
          <w:rFonts w:hint="eastAsia"/>
          <w:color w:val="auto"/>
          <w:lang w:val="en-US" w:eastAsia="zh-CN"/>
        </w:rPr>
        <w:t>并采用DCS分散型控制系统对泵、罐体和生产设备等的重要参数（如温度、压力、液位、流量等）进行监视、控制及报警，自动化程度高。</w:t>
      </w:r>
    </w:p>
    <w:p w14:paraId="7B8A3EC0">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2、产品指标</w:t>
      </w:r>
    </w:p>
    <w:p w14:paraId="4855BC0A">
      <w:pPr>
        <w:bidi w:val="0"/>
        <w:ind w:left="0" w:leftChars="0" w:firstLine="480" w:firstLineChars="200"/>
        <w:rPr>
          <w:rFonts w:hint="eastAsia"/>
          <w:color w:val="auto"/>
          <w:lang w:eastAsia="zh-CN"/>
        </w:rPr>
      </w:pPr>
      <w:r>
        <w:rPr>
          <w:rFonts w:hint="eastAsia"/>
          <w:color w:val="auto"/>
          <w:lang w:val="en-US" w:eastAsia="zh-CN"/>
        </w:rPr>
        <w:t>本项目产品为混凝土添加剂，聚羧酸减水剂母液产品质量满足企业内部产品质量标准、高性能聚羧酸减水剂产品质量满足中华人民共和国建筑工业行业标准《聚羧酸系高性能减水剂》（JG/T223-2017）、无碱速凝剂产品质量满足中华人民共和国国家标准《喷射混凝土用速凝剂》（GB/T35159-2017）、乳化型脱模剂产品质量满足中华人民共和国建材行业标准《混凝土制品用脱模剂》（JC/T949-2021），且本项目不涉及《环境保护综合名录（2021年版）》中高污染、高环境风险产品。</w:t>
      </w:r>
    </w:p>
    <w:p w14:paraId="3778DF67">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3、原辅材料的选用</w:t>
      </w:r>
    </w:p>
    <w:p w14:paraId="7EFAA1EC">
      <w:pPr>
        <w:bidi w:val="0"/>
        <w:ind w:left="0" w:leftChars="0" w:firstLine="480" w:firstLineChars="200"/>
        <w:rPr>
          <w:rFonts w:hint="default"/>
          <w:color w:val="auto"/>
          <w:lang w:val="en-US" w:eastAsia="zh-CN"/>
        </w:rPr>
      </w:pPr>
      <w:r>
        <w:rPr>
          <w:rFonts w:hint="eastAsia"/>
          <w:color w:val="auto"/>
          <w:lang w:val="en-US" w:eastAsia="zh-CN"/>
        </w:rPr>
        <w:t>本项目使用的原辅材料均为混凝土添加剂行业通用的物料，外购原辅材料的纯度应达到相应要求，且各原辅材料中杂质含量应满足该原辅材料对应的产品质量要求；同时，对照《有毒有害大气污染物名录（2018年）》、《有毒有害⽔污染物名录》第⼀批、第二批》、《重点管控新污染物清单（2023年版）》、《优先控制化学品名录（第一批、第二批）》、《关于持久性有机污染物的斯德哥尔摩公约（2009修订）》、《四川省优先评估化学物质清单（第一批）》，本项目生产使用的原辅材料不涉及上述文件中有毒有害大气污染物及新污染物。</w:t>
      </w:r>
    </w:p>
    <w:p w14:paraId="155BE66F">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4、资源与能源利用</w:t>
      </w:r>
    </w:p>
    <w:p w14:paraId="5B43DB33">
      <w:pPr>
        <w:bidi w:val="0"/>
        <w:ind w:left="0" w:leftChars="0" w:firstLine="480" w:firstLineChars="200"/>
        <w:rPr>
          <w:rFonts w:hint="default"/>
          <w:color w:val="auto"/>
          <w:lang w:val="en-US" w:eastAsia="zh-CN"/>
        </w:rPr>
      </w:pPr>
      <w:r>
        <w:rPr>
          <w:rFonts w:hint="eastAsia"/>
          <w:color w:val="auto"/>
          <w:lang w:val="en-US" w:eastAsia="zh-CN"/>
        </w:rPr>
        <w:t>本项目无碱速凝剂生产过程中反应升温采用电蒸汽发生器，减少天然气的使用，从源头降低污染；初期雨水、其余器皿三次后清洗废水、车间地面清洁废水、反冲洗废水、循环排污水、喷淋废水作为回用水用于高性能聚羧酸减水剂复配，减少废水的排放。同时，根据四川省发展和改革委员会 四川省经济和信息化厅关于印发《四川省“两高”项目管理目录（试行）》的通知（川发改环资函〔2024〕259号），本项目不属于纳入“两高”管理范围的产品或工艺（工序）。</w:t>
      </w:r>
    </w:p>
    <w:p w14:paraId="6DB725E2">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5、末端治理措施</w:t>
      </w:r>
    </w:p>
    <w:p w14:paraId="24BD5BAE">
      <w:pPr>
        <w:bidi w:val="0"/>
        <w:ind w:left="0" w:leftChars="0" w:firstLine="480" w:firstLineChars="200"/>
        <w:rPr>
          <w:rFonts w:hint="eastAsia"/>
          <w:color w:val="auto"/>
          <w:lang w:eastAsia="zh-CN"/>
        </w:rPr>
      </w:pPr>
      <w:r>
        <w:rPr>
          <w:rFonts w:hint="eastAsia"/>
          <w:color w:val="auto"/>
          <w:lang w:val="en-US" w:eastAsia="zh-CN"/>
        </w:rPr>
        <w:t>本项目含VOCs物料储存于密闭包装桶或储罐中，含VOCs物料输送全程采用密闭管罐系统，涉及VOCs产生的各罐体和反应釜排气阀设密闭集气管道，并设1套二级碱喷淋（自带除雾装置）+两级活性炭吸附装置。</w:t>
      </w:r>
    </w:p>
    <w:p w14:paraId="79FA71BD">
      <w:pPr>
        <w:pStyle w:val="6"/>
        <w:bidi w:val="0"/>
        <w:spacing w:line="360" w:lineRule="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6、环境管理</w:t>
      </w:r>
    </w:p>
    <w:p w14:paraId="618E1740">
      <w:pPr>
        <w:bidi w:val="0"/>
        <w:ind w:left="0" w:leftChars="0" w:firstLine="480" w:firstLineChars="200"/>
        <w:rPr>
          <w:rFonts w:hint="eastAsia"/>
          <w:color w:val="auto"/>
          <w:lang w:val="en-US" w:eastAsia="zh-CN"/>
        </w:rPr>
      </w:pPr>
      <w:r>
        <w:rPr>
          <w:rFonts w:hint="eastAsia"/>
          <w:color w:val="auto"/>
          <w:lang w:val="en-US" w:eastAsia="zh-CN"/>
        </w:rPr>
        <w:t>本项目建设阶段严格落实环保“三同时”的要求，实现环保设施与主体工程同时设计、同时施工和同时投产；加强工艺设备自动化控制管理，优化原料、生产、工艺条件，降低能耗、物耗和减少污染物的产生。</w:t>
      </w:r>
    </w:p>
    <w:p w14:paraId="2BA66EC6">
      <w:pPr>
        <w:pStyle w:val="6"/>
        <w:bidi w:val="0"/>
        <w:spacing w:line="360" w:lineRule="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7、清洁生产水平</w:t>
      </w:r>
    </w:p>
    <w:p w14:paraId="619F15E4">
      <w:pPr>
        <w:bidi w:val="0"/>
        <w:ind w:left="0" w:leftChars="0" w:firstLine="480" w:firstLineChars="200"/>
        <w:rPr>
          <w:rFonts w:hint="eastAsia"/>
          <w:color w:val="auto"/>
          <w:lang w:val="en-US" w:eastAsia="zh-CN"/>
        </w:rPr>
      </w:pPr>
      <w:r>
        <w:rPr>
          <w:rFonts w:hint="eastAsia"/>
          <w:color w:val="auto"/>
          <w:lang w:val="en-US" w:eastAsia="zh-CN"/>
        </w:rPr>
        <w:t>通过上述分析，本项目从生产工艺与装备要求指标、产品指标、原辅材料的选用、资源与能源利用、末端治理措施、环境管理等方面贯彻了清洁生产的原则，可达到国内先进水平。</w:t>
      </w:r>
    </w:p>
    <w:p w14:paraId="0109BA38">
      <w:pPr>
        <w:pStyle w:val="3"/>
        <w:bidi w:val="0"/>
        <w:rPr>
          <w:rFonts w:hint="default"/>
          <w:color w:val="auto"/>
          <w:highlight w:val="none"/>
        </w:rPr>
      </w:pPr>
      <w:bookmarkStart w:id="82" w:name="_Toc18706"/>
      <w:r>
        <w:rPr>
          <w:rFonts w:hint="eastAsia"/>
          <w:color w:val="auto"/>
          <w:highlight w:val="none"/>
          <w:lang w:val="en-US" w:eastAsia="zh-CN"/>
        </w:rPr>
        <w:t>总量控制</w:t>
      </w:r>
      <w:bookmarkEnd w:id="82"/>
    </w:p>
    <w:p w14:paraId="67A4B1FE">
      <w:pPr>
        <w:bidi w:val="0"/>
        <w:ind w:left="0" w:leftChars="0" w:firstLine="480" w:firstLineChars="200"/>
        <w:rPr>
          <w:rFonts w:hint="eastAsia"/>
          <w:color w:val="auto"/>
          <w:lang w:val="en-US" w:eastAsia="zh-CN"/>
        </w:rPr>
      </w:pPr>
      <w:r>
        <w:rPr>
          <w:rFonts w:hint="eastAsia"/>
          <w:color w:val="auto"/>
        </w:rPr>
        <w:t>总量控制是指以控制一定时段内一定区域内排污单位排放污染物总量为核心的环境管理方法体系，根据国家环境保护规划的相关规定，项目涉及总量控制指标</w:t>
      </w:r>
      <w:r>
        <w:rPr>
          <w:rFonts w:hint="eastAsia"/>
          <w:color w:val="auto"/>
          <w:lang w:val="en-US" w:eastAsia="zh-CN"/>
        </w:rPr>
        <w:t>为：</w:t>
      </w:r>
    </w:p>
    <w:p w14:paraId="72642D23">
      <w:pPr>
        <w:spacing w:beforeLines="0" w:afterLines="0"/>
        <w:jc w:val="left"/>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rPr>
        <w:t>废水总量控制指标：</w:t>
      </w:r>
      <w:r>
        <w:rPr>
          <w:rFonts w:hint="default" w:ascii="Times New Roman" w:hAnsi="Times New Roman" w:eastAsia="Times New Roman"/>
          <w:color w:val="auto"/>
          <w:sz w:val="24"/>
          <w:szCs w:val="24"/>
          <w:highlight w:val="none"/>
        </w:rPr>
        <w:t>COD</w:t>
      </w:r>
      <w:r>
        <w:rPr>
          <w:rFonts w:hint="eastAsia" w:ascii="宋体" w:hAnsi="宋体" w:eastAsia="宋体"/>
          <w:color w:val="auto"/>
          <w:sz w:val="24"/>
          <w:szCs w:val="24"/>
          <w:highlight w:val="none"/>
        </w:rPr>
        <w:t>、</w:t>
      </w:r>
      <w:r>
        <w:rPr>
          <w:bCs/>
          <w:color w:val="auto"/>
          <w:sz w:val="24"/>
          <w:highlight w:val="none"/>
        </w:rPr>
        <w:t>NH</w:t>
      </w:r>
      <w:r>
        <w:rPr>
          <w:bCs/>
          <w:color w:val="auto"/>
          <w:sz w:val="24"/>
          <w:highlight w:val="none"/>
          <w:vertAlign w:val="subscript"/>
        </w:rPr>
        <w:t>3</w:t>
      </w:r>
      <w:r>
        <w:rPr>
          <w:bCs/>
          <w:color w:val="auto"/>
          <w:sz w:val="24"/>
          <w:highlight w:val="none"/>
        </w:rPr>
        <w:t>-N</w:t>
      </w:r>
    </w:p>
    <w:p w14:paraId="67B5D5B7">
      <w:pPr>
        <w:bidi w:val="0"/>
        <w:rPr>
          <w:rFonts w:hint="eastAsia"/>
          <w:color w:val="auto"/>
          <w:lang w:val="en-US" w:eastAsia="zh-CN"/>
        </w:rPr>
      </w:pPr>
      <w:r>
        <w:rPr>
          <w:rFonts w:hint="eastAsia"/>
          <w:color w:val="auto"/>
        </w:rPr>
        <w:t>废气总量控制指标：</w:t>
      </w:r>
      <w:r>
        <w:rPr>
          <w:rFonts w:hint="eastAsia"/>
          <w:color w:val="auto"/>
          <w:lang w:val="en-US" w:eastAsia="zh-CN"/>
        </w:rPr>
        <w:t>VOCs</w:t>
      </w:r>
    </w:p>
    <w:p w14:paraId="6D0A855D">
      <w:pPr>
        <w:pStyle w:val="4"/>
        <w:bidi w:val="0"/>
        <w:rPr>
          <w:rFonts w:hint="default"/>
          <w:color w:val="auto"/>
          <w:highlight w:val="none"/>
          <w:lang w:val="en-US" w:eastAsia="zh-CN"/>
        </w:rPr>
      </w:pPr>
      <w:r>
        <w:rPr>
          <w:rFonts w:hint="default"/>
          <w:color w:val="auto"/>
          <w:highlight w:val="none"/>
          <w:lang w:val="en-US" w:eastAsia="zh-CN"/>
        </w:rPr>
        <w:t>水污染物</w:t>
      </w:r>
      <w:r>
        <w:rPr>
          <w:rFonts w:hint="eastAsia"/>
          <w:color w:val="auto"/>
          <w:highlight w:val="none"/>
          <w:lang w:val="en-US" w:eastAsia="zh-CN"/>
        </w:rPr>
        <w:t>总量控制</w:t>
      </w:r>
    </w:p>
    <w:p w14:paraId="134AAB72">
      <w:pPr>
        <w:bidi w:val="0"/>
        <w:ind w:left="0" w:leftChars="0" w:firstLine="480" w:firstLineChars="200"/>
        <w:rPr>
          <w:rFonts w:hint="eastAsia"/>
          <w:color w:val="auto"/>
          <w:kern w:val="24"/>
          <w:sz w:val="24"/>
          <w:highlight w:val="none"/>
          <w:lang w:val="en-US" w:eastAsia="zh-CN"/>
        </w:rPr>
      </w:pPr>
      <w:r>
        <w:rPr>
          <w:rFonts w:hint="eastAsia"/>
          <w:color w:val="auto"/>
          <w:highlight w:val="none"/>
          <w:lang w:val="en-US" w:eastAsia="zh-CN"/>
        </w:rPr>
        <w:t>本项目排水采用“雨污分流、清污分流”，厂区设置</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w:t>
      </w:r>
      <w:r>
        <w:rPr>
          <w:rFonts w:hint="default" w:ascii="Times New Roman" w:hAnsi="Times New Roman" w:eastAsia="宋体" w:cs="Times New Roman"/>
          <w:color w:val="auto"/>
          <w:sz w:val="24"/>
          <w:szCs w:val="24"/>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vertAlign w:val="baseline"/>
          <w:lang w:val="en-US" w:eastAsia="zh-CN"/>
        </w:rPr>
        <w:t>沉淀池和</w:t>
      </w:r>
      <w:r>
        <w:rPr>
          <w:rFonts w:hint="default" w:ascii="Times New Roman" w:hAnsi="Times New Roman" w:cs="Times New Roman"/>
          <w:color w:val="auto"/>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预处理池</w:t>
      </w:r>
      <w:r>
        <w:rPr>
          <w:rFonts w:hint="eastAsia" w:cs="Times New Roman"/>
          <w:color w:val="auto"/>
          <w:lang w:val="en-US" w:eastAsia="zh-CN"/>
        </w:rPr>
        <w:t>。</w:t>
      </w:r>
      <w:r>
        <w:rPr>
          <w:rFonts w:hint="eastAsia" w:cs="Times New Roman"/>
          <w:color w:val="auto"/>
          <w:sz w:val="24"/>
          <w:szCs w:val="24"/>
          <w:lang w:val="en-US" w:eastAsia="zh-CN"/>
        </w:rPr>
        <w:t>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w:t>
      </w:r>
    </w:p>
    <w:p w14:paraId="20087D52">
      <w:pPr>
        <w:bidi w:val="0"/>
        <w:ind w:left="0" w:leftChars="0" w:firstLine="480" w:firstLineChars="200"/>
        <w:rPr>
          <w:rFonts w:hint="eastAsia"/>
          <w:color w:val="auto"/>
          <w:highlight w:val="none"/>
          <w:lang w:val="en-US" w:eastAsia="zh-CN"/>
        </w:rPr>
      </w:pPr>
      <w:r>
        <w:rPr>
          <w:rFonts w:hint="eastAsia"/>
          <w:color w:val="auto"/>
          <w:sz w:val="24"/>
          <w:lang w:val="en-US" w:eastAsia="zh-CN"/>
        </w:rPr>
        <w:t>根据巴中市生态环境局《关于通江县秋锦山产业园区综合污水处理厂及配套设施建设项目环境影响报告书的批复》（巴环境审〔2024〕34号），通江县秋锦山产业园区综合污水处理厂环境影响评价文件</w:t>
      </w:r>
      <w:r>
        <w:rPr>
          <w:rFonts w:hint="eastAsia"/>
          <w:color w:val="auto"/>
          <w:highlight w:val="none"/>
          <w:lang w:val="en-US" w:eastAsia="zh-CN"/>
        </w:rPr>
        <w:t>于2024年11月通过审批，出水标准为《城镇污水处理厂污染物排放标准》（GB18918-2002）中一级A标准；</w:t>
      </w: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因此，根据</w:t>
      </w:r>
      <w:r>
        <w:rPr>
          <w:rFonts w:hint="eastAsia"/>
          <w:color w:val="auto"/>
          <w:highlight w:val="none"/>
          <w:lang w:val="en-US" w:eastAsia="zh-CN"/>
        </w:rPr>
        <w:t>2025年7月1日实施的</w:t>
      </w:r>
      <w:r>
        <w:rPr>
          <w:rFonts w:hint="eastAsia"/>
          <w:color w:val="auto"/>
          <w:sz w:val="24"/>
          <w:lang w:val="en-US" w:eastAsia="zh-CN"/>
        </w:rPr>
        <w:t>《四川省化工园区水污染物排放标准》（DB51/3202-2024）中“4.2.1 新建排污单位自本文件实施之日起，现有排污单位自本文件实施之日起24个月后，应执行表1、表2和表3的规定及其他污染控制要求。”，</w:t>
      </w:r>
      <w:r>
        <w:rPr>
          <w:rFonts w:hint="eastAsia"/>
          <w:color w:val="auto"/>
          <w:lang w:val="en-US" w:eastAsia="zh-CN"/>
        </w:rPr>
        <w:t>通江县秋锦山产业园区综合污水处理厂</w:t>
      </w:r>
      <w:r>
        <w:rPr>
          <w:rFonts w:hint="eastAsia"/>
          <w:color w:val="auto"/>
          <w:sz w:val="24"/>
          <w:lang w:val="en-US" w:eastAsia="zh-CN"/>
        </w:rPr>
        <w:t>近期</w:t>
      </w:r>
      <w:r>
        <w:rPr>
          <w:rFonts w:hint="eastAsia"/>
          <w:color w:val="auto"/>
          <w:lang w:val="en-US" w:eastAsia="zh-CN"/>
        </w:rPr>
        <w:t>出水标准为</w:t>
      </w:r>
      <w:r>
        <w:rPr>
          <w:rFonts w:hint="eastAsia"/>
          <w:color w:val="auto"/>
          <w:highlight w:val="none"/>
          <w:lang w:val="en-US" w:eastAsia="zh-CN"/>
        </w:rPr>
        <w:t>《城镇污水处理厂污染物排放标准》（GB18918-2002）中一级A标准；2027年7月1日起，出水标准为</w:t>
      </w:r>
      <w:r>
        <w:rPr>
          <w:rFonts w:hint="eastAsia"/>
          <w:color w:val="auto"/>
          <w:sz w:val="24"/>
          <w:lang w:val="en-US" w:eastAsia="zh-CN"/>
        </w:rPr>
        <w:t>《四川省化工园区水污染物排放标准》（DB51/3202-2024）表2中直接排放二级标准</w:t>
      </w:r>
      <w:r>
        <w:rPr>
          <w:rFonts w:hint="eastAsia"/>
          <w:color w:val="auto"/>
          <w:highlight w:val="none"/>
          <w:lang w:val="en-US" w:eastAsia="zh-CN"/>
        </w:rPr>
        <w:t>。</w:t>
      </w:r>
    </w:p>
    <w:p w14:paraId="6C3F7D14">
      <w:pPr>
        <w:bidi w:val="0"/>
        <w:ind w:left="0" w:leftChars="0" w:firstLine="480" w:firstLineChars="200"/>
        <w:rPr>
          <w:rFonts w:hint="eastAsia"/>
          <w:color w:val="auto"/>
          <w:lang w:val="en-US" w:eastAsia="zh-CN"/>
        </w:rPr>
      </w:pPr>
      <w:r>
        <w:rPr>
          <w:rFonts w:hint="eastAsia"/>
          <w:color w:val="auto"/>
          <w:highlight w:val="none"/>
          <w:lang w:val="en-US" w:eastAsia="zh-CN"/>
        </w:rPr>
        <w:t>综上，本项目</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通过园区污水管网排入通江县秋锦山产业园区综合污水处理厂进行处理，近期水质达到《城镇污水处理厂污染物排放标准》（GB18918-2002）中一级A标准后排入通江河；2027年7月1日起，水质达到</w:t>
      </w:r>
      <w:r>
        <w:rPr>
          <w:rFonts w:hint="eastAsia"/>
          <w:color w:val="auto"/>
          <w:sz w:val="24"/>
          <w:lang w:val="en-US" w:eastAsia="zh-CN"/>
        </w:rPr>
        <w:t>《四川省化工园区水污染物排放标准》（DB51/3202-2024）表2中直接排放二级标准后</w:t>
      </w:r>
      <w:r>
        <w:rPr>
          <w:rFonts w:hint="eastAsia"/>
          <w:color w:val="auto"/>
          <w:highlight w:val="none"/>
          <w:lang w:val="en-US" w:eastAsia="zh-CN"/>
        </w:rPr>
        <w:t>排入通江河。</w:t>
      </w:r>
    </w:p>
    <w:p w14:paraId="2F9A93A4">
      <w:pPr>
        <w:bidi w:val="0"/>
        <w:rPr>
          <w:color w:val="auto"/>
        </w:rPr>
      </w:pPr>
      <w:r>
        <w:rPr>
          <w:rFonts w:hint="eastAsia"/>
          <w:color w:val="auto"/>
        </w:rPr>
        <w:t>（1）企业排口总量</w:t>
      </w:r>
    </w:p>
    <w:p w14:paraId="2EBD3342">
      <w:pPr>
        <w:bidi w:val="0"/>
        <w:ind w:left="0" w:leftChars="0" w:firstLine="480" w:firstLineChars="200"/>
        <w:rPr>
          <w:rFonts w:hint="eastAsia"/>
          <w:color w:val="auto"/>
          <w:lang w:eastAsia="zh-CN"/>
        </w:rPr>
      </w:pPr>
      <w:r>
        <w:rPr>
          <w:rFonts w:hint="eastAsia"/>
          <w:color w:val="auto"/>
        </w:rPr>
        <w:t>企业排口总量按</w:t>
      </w:r>
      <w:r>
        <w:rPr>
          <w:rFonts w:hint="eastAsia"/>
          <w:color w:val="auto"/>
          <w:lang w:val="en-US" w:eastAsia="zh-CN"/>
        </w:rPr>
        <w:t>《四川省化工园区水污染物排放标准》（DB51/3202-2024）表1中间接排放限值</w:t>
      </w:r>
      <w:r>
        <w:rPr>
          <w:rFonts w:hint="eastAsia"/>
          <w:color w:val="auto"/>
        </w:rPr>
        <w:t>（COD：</w:t>
      </w:r>
      <w:r>
        <w:rPr>
          <w:rFonts w:hint="eastAsia"/>
          <w:color w:val="auto"/>
          <w:lang w:val="en-US" w:eastAsia="zh-CN"/>
        </w:rPr>
        <w:t>5</w:t>
      </w:r>
      <w:r>
        <w:rPr>
          <w:color w:val="auto"/>
        </w:rPr>
        <w:t>00</w:t>
      </w:r>
      <w:r>
        <w:rPr>
          <w:rFonts w:hint="eastAsia"/>
          <w:color w:val="auto"/>
        </w:rPr>
        <w:t>mg/L</w:t>
      </w:r>
      <w:r>
        <w:rPr>
          <w:rFonts w:hint="eastAsia"/>
          <w:color w:val="auto"/>
          <w:lang w:eastAsia="zh-CN"/>
        </w:rPr>
        <w:t>、</w:t>
      </w:r>
      <w:r>
        <w:rPr>
          <w:rFonts w:hint="eastAsia"/>
          <w:color w:val="auto"/>
        </w:rPr>
        <w:t>NH</w:t>
      </w:r>
      <w:r>
        <w:rPr>
          <w:color w:val="auto"/>
          <w:vertAlign w:val="subscript"/>
        </w:rPr>
        <w:t>3</w:t>
      </w:r>
      <w:r>
        <w:rPr>
          <w:color w:val="auto"/>
        </w:rPr>
        <w:t>-N：</w:t>
      </w:r>
      <w:r>
        <w:rPr>
          <w:rFonts w:hint="eastAsia"/>
          <w:color w:val="auto"/>
          <w:lang w:val="en-US" w:eastAsia="zh-CN"/>
        </w:rPr>
        <w:t>45</w:t>
      </w:r>
      <w:r>
        <w:rPr>
          <w:rFonts w:hint="eastAsia"/>
          <w:color w:val="auto"/>
        </w:rPr>
        <w:t>mg/L）进行计算</w:t>
      </w:r>
      <w:r>
        <w:rPr>
          <w:rFonts w:hint="eastAsia"/>
          <w:color w:val="auto"/>
          <w:lang w:eastAsia="zh-CN"/>
        </w:rPr>
        <w:t>：</w:t>
      </w:r>
    </w:p>
    <w:p w14:paraId="1DEBC898">
      <w:pPr>
        <w:bidi w:val="0"/>
        <w:rPr>
          <w:color w:val="auto"/>
        </w:rPr>
      </w:pPr>
      <w:r>
        <w:rPr>
          <w:rFonts w:hint="eastAsia"/>
          <w:color w:val="auto"/>
        </w:rPr>
        <w:t>COD</w:t>
      </w:r>
      <w:r>
        <w:rPr>
          <w:color w:val="auto"/>
        </w:rPr>
        <w:t>：</w:t>
      </w:r>
      <w:r>
        <w:rPr>
          <w:rFonts w:hint="eastAsia"/>
          <w:color w:val="auto"/>
          <w:lang w:val="en-US" w:eastAsia="zh-CN"/>
        </w:rPr>
        <w:t>1326</w:t>
      </w:r>
      <w:r>
        <w:rPr>
          <w:color w:val="auto"/>
        </w:rPr>
        <w:t>m</w:t>
      </w:r>
      <w:r>
        <w:rPr>
          <w:color w:val="auto"/>
          <w:vertAlign w:val="superscript"/>
        </w:rPr>
        <w:t>3</w:t>
      </w:r>
      <w:r>
        <w:rPr>
          <w:color w:val="auto"/>
        </w:rPr>
        <w:t>/a×</w:t>
      </w:r>
      <w:r>
        <w:rPr>
          <w:rFonts w:hint="eastAsia"/>
          <w:color w:val="auto"/>
          <w:lang w:val="en-US" w:eastAsia="zh-CN"/>
        </w:rPr>
        <w:t>5</w:t>
      </w:r>
      <w:r>
        <w:rPr>
          <w:color w:val="auto"/>
        </w:rPr>
        <w:t>00mg/L×10</w:t>
      </w:r>
      <w:r>
        <w:rPr>
          <w:color w:val="auto"/>
          <w:vertAlign w:val="superscript"/>
        </w:rPr>
        <w:t>-6</w:t>
      </w:r>
      <w:r>
        <w:rPr>
          <w:color w:val="auto"/>
        </w:rPr>
        <w:t>=</w:t>
      </w:r>
      <w:r>
        <w:rPr>
          <w:rFonts w:hint="eastAsia"/>
          <w:color w:val="auto"/>
          <w:lang w:val="en-US" w:eastAsia="zh-CN"/>
        </w:rPr>
        <w:t>0.6630t</w:t>
      </w:r>
      <w:r>
        <w:rPr>
          <w:color w:val="auto"/>
        </w:rPr>
        <w:t>/a</w:t>
      </w:r>
    </w:p>
    <w:p w14:paraId="6E5372EF">
      <w:pPr>
        <w:bidi w:val="0"/>
        <w:rPr>
          <w:color w:val="auto"/>
        </w:rPr>
      </w:pPr>
      <w:r>
        <w:rPr>
          <w:color w:val="auto"/>
        </w:rPr>
        <w:t>NH3-N：</w:t>
      </w:r>
      <w:r>
        <w:rPr>
          <w:rFonts w:hint="eastAsia"/>
          <w:color w:val="auto"/>
          <w:lang w:val="en-US" w:eastAsia="zh-CN"/>
        </w:rPr>
        <w:t>1326</w:t>
      </w:r>
      <w:r>
        <w:rPr>
          <w:color w:val="auto"/>
        </w:rPr>
        <w:t>m</w:t>
      </w:r>
      <w:r>
        <w:rPr>
          <w:color w:val="auto"/>
          <w:vertAlign w:val="superscript"/>
        </w:rPr>
        <w:t>3</w:t>
      </w:r>
      <w:r>
        <w:rPr>
          <w:color w:val="auto"/>
        </w:rPr>
        <w:t>/a×</w:t>
      </w:r>
      <w:r>
        <w:rPr>
          <w:rFonts w:hint="eastAsia"/>
          <w:color w:val="auto"/>
          <w:lang w:val="en-US" w:eastAsia="zh-CN"/>
        </w:rPr>
        <w:t>45</w:t>
      </w:r>
      <w:r>
        <w:rPr>
          <w:color w:val="auto"/>
        </w:rPr>
        <w:t>mg/L×10</w:t>
      </w:r>
      <w:r>
        <w:rPr>
          <w:color w:val="auto"/>
          <w:vertAlign w:val="superscript"/>
        </w:rPr>
        <w:t>-6</w:t>
      </w:r>
      <w:r>
        <w:rPr>
          <w:color w:val="auto"/>
        </w:rPr>
        <w:t>=</w:t>
      </w:r>
      <w:r>
        <w:rPr>
          <w:rFonts w:hint="eastAsia"/>
          <w:color w:val="auto"/>
          <w:lang w:val="en-US" w:eastAsia="zh-CN"/>
        </w:rPr>
        <w:t>0.0597</w:t>
      </w:r>
      <w:r>
        <w:rPr>
          <w:color w:val="auto"/>
        </w:rPr>
        <w:t>t/a</w:t>
      </w:r>
    </w:p>
    <w:p w14:paraId="59654A6A">
      <w:pPr>
        <w:bidi w:val="0"/>
        <w:rPr>
          <w:color w:val="auto"/>
        </w:rPr>
      </w:pPr>
      <w:r>
        <w:rPr>
          <w:rFonts w:hint="eastAsia"/>
          <w:color w:val="auto"/>
        </w:rPr>
        <w:t>（</w:t>
      </w:r>
      <w:r>
        <w:rPr>
          <w:color w:val="auto"/>
        </w:rPr>
        <w:t>2</w:t>
      </w:r>
      <w:r>
        <w:rPr>
          <w:rFonts w:hint="eastAsia"/>
          <w:color w:val="auto"/>
        </w:rPr>
        <w:t>）污水处理厂排口总量</w:t>
      </w:r>
    </w:p>
    <w:p w14:paraId="4BE56E43">
      <w:pPr>
        <w:bidi w:val="0"/>
        <w:ind w:left="0" w:leftChars="0" w:firstLine="480" w:firstLineChars="200"/>
        <w:rPr>
          <w:rFonts w:hint="eastAsia"/>
          <w:color w:val="auto"/>
          <w:lang w:eastAsia="zh-CN"/>
        </w:rPr>
      </w:pPr>
      <w:r>
        <w:rPr>
          <w:rFonts w:hint="eastAsia"/>
          <w:color w:val="auto"/>
        </w:rPr>
        <w:t>根据污水处理厂排口出水标准计算，</w:t>
      </w:r>
      <w:r>
        <w:rPr>
          <w:rFonts w:hint="eastAsia"/>
          <w:color w:val="auto"/>
          <w:highlight w:val="none"/>
          <w:lang w:val="en-US" w:eastAsia="zh-CN"/>
        </w:rPr>
        <w:t>近期执行《城镇污水处理厂污染物排放标准》（GB18918-2002）中一级A标准</w:t>
      </w:r>
      <w:r>
        <w:rPr>
          <w:rFonts w:hint="eastAsia"/>
          <w:color w:val="auto"/>
        </w:rPr>
        <w:t>（</w:t>
      </w:r>
      <w:r>
        <w:rPr>
          <w:rFonts w:hint="eastAsia"/>
          <w:color w:val="auto"/>
          <w:lang w:val="en-US" w:eastAsia="zh-CN"/>
        </w:rPr>
        <w:t>即</w:t>
      </w:r>
      <w:r>
        <w:rPr>
          <w:rFonts w:hint="eastAsia"/>
          <w:color w:val="auto"/>
        </w:rPr>
        <w:t>COD：</w:t>
      </w:r>
      <w:r>
        <w:rPr>
          <w:rFonts w:hint="eastAsia"/>
          <w:color w:val="auto"/>
          <w:lang w:val="en-US" w:eastAsia="zh-CN"/>
        </w:rPr>
        <w:t>50</w:t>
      </w:r>
      <w:r>
        <w:rPr>
          <w:rFonts w:hint="eastAsia"/>
          <w:color w:val="auto"/>
        </w:rPr>
        <w:t>mg/L</w:t>
      </w:r>
      <w:r>
        <w:rPr>
          <w:rFonts w:hint="eastAsia"/>
          <w:color w:val="auto"/>
          <w:lang w:eastAsia="zh-CN"/>
        </w:rPr>
        <w:t>、</w:t>
      </w:r>
      <w:r>
        <w:rPr>
          <w:rFonts w:hint="default"/>
          <w:color w:val="auto"/>
        </w:rPr>
        <w:t>NH</w:t>
      </w:r>
      <w:r>
        <w:rPr>
          <w:rFonts w:hint="default"/>
          <w:color w:val="auto"/>
          <w:vertAlign w:val="subscript"/>
        </w:rPr>
        <w:t>3</w:t>
      </w:r>
      <w:r>
        <w:rPr>
          <w:rFonts w:hint="default"/>
          <w:color w:val="auto"/>
        </w:rPr>
        <w:t>-N：</w:t>
      </w:r>
      <w:r>
        <w:rPr>
          <w:rFonts w:hint="eastAsia"/>
          <w:color w:val="auto"/>
          <w:lang w:val="en-US" w:eastAsia="zh-CN"/>
        </w:rPr>
        <w:t>5</w:t>
      </w:r>
      <w:r>
        <w:rPr>
          <w:rFonts w:hint="default"/>
          <w:color w:val="auto"/>
        </w:rPr>
        <w:t>mg/L</w:t>
      </w:r>
      <w:r>
        <w:rPr>
          <w:rFonts w:hint="eastAsia"/>
          <w:color w:val="auto"/>
          <w:lang w:eastAsia="zh-CN"/>
        </w:rPr>
        <w:t>）</w:t>
      </w:r>
      <w:r>
        <w:rPr>
          <w:rFonts w:hint="eastAsia"/>
          <w:color w:val="auto"/>
          <w:highlight w:val="none"/>
          <w:lang w:val="en-US" w:eastAsia="zh-CN"/>
        </w:rPr>
        <w:t>；2027年7月1日起，</w:t>
      </w:r>
      <w:r>
        <w:rPr>
          <w:rFonts w:hint="eastAsia"/>
          <w:color w:val="auto"/>
        </w:rPr>
        <w:t>执行</w:t>
      </w:r>
      <w:r>
        <w:rPr>
          <w:rFonts w:hint="eastAsia"/>
          <w:color w:val="auto"/>
          <w:lang w:val="en-US" w:eastAsia="zh-CN"/>
        </w:rPr>
        <w:t>《四川省化工园区水污染物排放标准》（DB51/3202-2024）表2中直接排放二级标准</w:t>
      </w:r>
      <w:r>
        <w:rPr>
          <w:rFonts w:hint="eastAsia"/>
          <w:color w:val="auto"/>
        </w:rPr>
        <w:t>（</w:t>
      </w:r>
      <w:r>
        <w:rPr>
          <w:rFonts w:hint="eastAsia"/>
          <w:color w:val="auto"/>
          <w:lang w:val="en-US" w:eastAsia="zh-CN"/>
        </w:rPr>
        <w:t>即</w:t>
      </w:r>
      <w:r>
        <w:rPr>
          <w:rFonts w:hint="eastAsia"/>
          <w:color w:val="auto"/>
        </w:rPr>
        <w:t>COD：</w:t>
      </w:r>
      <w:r>
        <w:rPr>
          <w:rFonts w:hint="eastAsia"/>
          <w:color w:val="auto"/>
          <w:lang w:val="en-US" w:eastAsia="zh-CN"/>
        </w:rPr>
        <w:t>5</w:t>
      </w:r>
      <w:r>
        <w:rPr>
          <w:rFonts w:hint="eastAsia"/>
          <w:color w:val="auto"/>
        </w:rPr>
        <w:t>0mg/L</w:t>
      </w:r>
      <w:r>
        <w:rPr>
          <w:rFonts w:hint="eastAsia"/>
          <w:color w:val="auto"/>
          <w:lang w:eastAsia="zh-CN"/>
        </w:rPr>
        <w:t>、</w:t>
      </w:r>
      <w:r>
        <w:rPr>
          <w:rFonts w:hint="default"/>
          <w:color w:val="auto"/>
        </w:rPr>
        <w:t>NH</w:t>
      </w:r>
      <w:r>
        <w:rPr>
          <w:rFonts w:hint="default"/>
          <w:color w:val="auto"/>
          <w:vertAlign w:val="subscript"/>
        </w:rPr>
        <w:t>3</w:t>
      </w:r>
      <w:r>
        <w:rPr>
          <w:rFonts w:hint="default"/>
          <w:color w:val="auto"/>
        </w:rPr>
        <w:t>-N：</w:t>
      </w:r>
      <w:r>
        <w:rPr>
          <w:rFonts w:hint="eastAsia"/>
          <w:color w:val="auto"/>
          <w:lang w:val="en-US" w:eastAsia="zh-CN"/>
        </w:rPr>
        <w:t>5</w:t>
      </w:r>
      <w:r>
        <w:rPr>
          <w:rFonts w:hint="default"/>
          <w:color w:val="auto"/>
        </w:rPr>
        <w:t>mg/L</w:t>
      </w:r>
      <w:r>
        <w:rPr>
          <w:rFonts w:hint="eastAsia"/>
          <w:color w:val="auto"/>
          <w:lang w:eastAsia="zh-CN"/>
        </w:rPr>
        <w:t>）：</w:t>
      </w:r>
    </w:p>
    <w:p w14:paraId="672DBF9D">
      <w:pPr>
        <w:bidi w:val="0"/>
        <w:rPr>
          <w:color w:val="auto"/>
        </w:rPr>
      </w:pPr>
      <w:r>
        <w:rPr>
          <w:rFonts w:hint="eastAsia"/>
          <w:color w:val="auto"/>
        </w:rPr>
        <w:t>COD</w:t>
      </w:r>
      <w:r>
        <w:rPr>
          <w:color w:val="auto"/>
        </w:rPr>
        <w:t>：</w:t>
      </w:r>
      <w:r>
        <w:rPr>
          <w:rFonts w:hint="eastAsia"/>
          <w:color w:val="auto"/>
          <w:lang w:val="en-US" w:eastAsia="zh-CN"/>
        </w:rPr>
        <w:t>1326</w:t>
      </w:r>
      <w:r>
        <w:rPr>
          <w:color w:val="auto"/>
        </w:rPr>
        <w:t>m</w:t>
      </w:r>
      <w:r>
        <w:rPr>
          <w:color w:val="auto"/>
          <w:vertAlign w:val="superscript"/>
        </w:rPr>
        <w:t>3</w:t>
      </w:r>
      <w:r>
        <w:rPr>
          <w:color w:val="auto"/>
        </w:rPr>
        <w:t>/a×</w:t>
      </w:r>
      <w:r>
        <w:rPr>
          <w:rFonts w:hint="eastAsia"/>
          <w:color w:val="auto"/>
          <w:lang w:val="en-US" w:eastAsia="zh-CN"/>
        </w:rPr>
        <w:t>5</w:t>
      </w:r>
      <w:r>
        <w:rPr>
          <w:color w:val="auto"/>
        </w:rPr>
        <w:t>0mg/L×10</w:t>
      </w:r>
      <w:r>
        <w:rPr>
          <w:color w:val="auto"/>
          <w:vertAlign w:val="superscript"/>
        </w:rPr>
        <w:t>-6</w:t>
      </w:r>
      <w:r>
        <w:rPr>
          <w:color w:val="auto"/>
        </w:rPr>
        <w:t>=</w:t>
      </w:r>
      <w:r>
        <w:rPr>
          <w:rFonts w:hint="eastAsia"/>
          <w:color w:val="auto"/>
          <w:lang w:val="en-US" w:eastAsia="zh-CN"/>
        </w:rPr>
        <w:t>0.0663t</w:t>
      </w:r>
      <w:r>
        <w:rPr>
          <w:color w:val="auto"/>
        </w:rPr>
        <w:t>/a</w:t>
      </w:r>
    </w:p>
    <w:p w14:paraId="2C7B77AE">
      <w:pPr>
        <w:bidi w:val="0"/>
        <w:rPr>
          <w:rFonts w:hint="default"/>
          <w:color w:val="auto"/>
          <w:lang w:val="en-US" w:eastAsia="zh-CN"/>
        </w:rPr>
      </w:pPr>
      <w:r>
        <w:rPr>
          <w:color w:val="auto"/>
        </w:rPr>
        <w:t>NH3-N：</w:t>
      </w:r>
      <w:r>
        <w:rPr>
          <w:rFonts w:hint="eastAsia"/>
          <w:color w:val="auto"/>
          <w:lang w:val="en-US" w:eastAsia="zh-CN"/>
        </w:rPr>
        <w:t>1326</w:t>
      </w:r>
      <w:r>
        <w:rPr>
          <w:color w:val="auto"/>
        </w:rPr>
        <w:t>m</w:t>
      </w:r>
      <w:r>
        <w:rPr>
          <w:color w:val="auto"/>
          <w:vertAlign w:val="superscript"/>
        </w:rPr>
        <w:t>3</w:t>
      </w:r>
      <w:r>
        <w:rPr>
          <w:color w:val="auto"/>
        </w:rPr>
        <w:t>/a×</w:t>
      </w:r>
      <w:r>
        <w:rPr>
          <w:rFonts w:hint="eastAsia"/>
          <w:color w:val="auto"/>
          <w:lang w:val="en-US" w:eastAsia="zh-CN"/>
        </w:rPr>
        <w:t>5</w:t>
      </w:r>
      <w:r>
        <w:rPr>
          <w:color w:val="auto"/>
        </w:rPr>
        <w:t>mg/L×10</w:t>
      </w:r>
      <w:r>
        <w:rPr>
          <w:color w:val="auto"/>
          <w:vertAlign w:val="superscript"/>
        </w:rPr>
        <w:t>-6</w:t>
      </w:r>
      <w:r>
        <w:rPr>
          <w:color w:val="auto"/>
        </w:rPr>
        <w:t>=</w:t>
      </w:r>
      <w:r>
        <w:rPr>
          <w:rFonts w:hint="eastAsia"/>
          <w:color w:val="auto"/>
          <w:lang w:val="en-US" w:eastAsia="zh-CN"/>
        </w:rPr>
        <w:t>0.0066</w:t>
      </w:r>
      <w:r>
        <w:rPr>
          <w:color w:val="auto"/>
        </w:rPr>
        <w:t>t/a</w:t>
      </w:r>
    </w:p>
    <w:p w14:paraId="6DCB673E">
      <w:pPr>
        <w:pStyle w:val="4"/>
        <w:bidi w:val="0"/>
        <w:rPr>
          <w:rFonts w:hint="default"/>
          <w:color w:val="auto"/>
          <w:highlight w:val="none"/>
          <w:lang w:val="en-US" w:eastAsia="zh-CN"/>
        </w:rPr>
      </w:pPr>
      <w:r>
        <w:rPr>
          <w:rFonts w:hint="eastAsia"/>
          <w:color w:val="auto"/>
          <w:highlight w:val="none"/>
          <w:lang w:val="en-US" w:eastAsia="zh-CN"/>
        </w:rPr>
        <w:t>大气</w:t>
      </w:r>
      <w:r>
        <w:rPr>
          <w:rFonts w:hint="default"/>
          <w:color w:val="auto"/>
          <w:highlight w:val="none"/>
          <w:lang w:val="en-US" w:eastAsia="zh-CN"/>
        </w:rPr>
        <w:t>污染物</w:t>
      </w:r>
      <w:r>
        <w:rPr>
          <w:rFonts w:hint="eastAsia"/>
          <w:color w:val="auto"/>
          <w:highlight w:val="none"/>
          <w:lang w:val="en-US" w:eastAsia="zh-CN"/>
        </w:rPr>
        <w:t>总量控制</w:t>
      </w:r>
    </w:p>
    <w:p w14:paraId="07CE0147">
      <w:pPr>
        <w:bidi w:val="0"/>
        <w:rPr>
          <w:rFonts w:hint="eastAsia"/>
          <w:color w:val="auto"/>
          <w:lang w:val="en-US" w:eastAsia="zh-CN"/>
        </w:rPr>
      </w:pPr>
      <w:r>
        <w:rPr>
          <w:rFonts w:hint="eastAsia"/>
          <w:color w:val="auto"/>
          <w:lang w:val="en-US" w:eastAsia="zh-CN"/>
        </w:rPr>
        <w:t>根据前文计算，本项目大气</w:t>
      </w:r>
      <w:r>
        <w:rPr>
          <w:rFonts w:hint="default"/>
          <w:color w:val="auto"/>
          <w:lang w:val="en-US" w:eastAsia="zh-CN"/>
        </w:rPr>
        <w:t>污染物</w:t>
      </w:r>
      <w:r>
        <w:rPr>
          <w:rFonts w:hint="eastAsia"/>
          <w:color w:val="auto"/>
          <w:lang w:val="en-US" w:eastAsia="zh-CN"/>
        </w:rPr>
        <w:t>总量控制指标如下：</w:t>
      </w:r>
    </w:p>
    <w:p w14:paraId="645C6F21">
      <w:pPr>
        <w:bidi w:val="0"/>
        <w:rPr>
          <w:rFonts w:hint="eastAsia"/>
          <w:color w:val="auto"/>
          <w:lang w:val="en-US" w:eastAsia="zh-CN"/>
        </w:rPr>
      </w:pPr>
      <w:r>
        <w:rPr>
          <w:rFonts w:hint="eastAsia"/>
          <w:color w:val="auto"/>
          <w:lang w:val="en-US" w:eastAsia="zh-CN"/>
        </w:rPr>
        <w:t>VOCs（有组织）：0.3638t/a×95%×（1-87.75%）=0.0423t/a</w:t>
      </w:r>
    </w:p>
    <w:p w14:paraId="45BB35E4">
      <w:pPr>
        <w:pStyle w:val="4"/>
        <w:bidi w:val="0"/>
        <w:rPr>
          <w:rFonts w:hint="default"/>
          <w:color w:val="auto"/>
          <w:highlight w:val="none"/>
          <w:lang w:val="en-US" w:eastAsia="zh-CN"/>
        </w:rPr>
      </w:pPr>
      <w:r>
        <w:rPr>
          <w:rFonts w:hint="eastAsia"/>
          <w:color w:val="auto"/>
          <w:highlight w:val="none"/>
          <w:lang w:val="en-US" w:eastAsia="zh-CN"/>
        </w:rPr>
        <w:t>总量控制建议</w:t>
      </w:r>
    </w:p>
    <w:p w14:paraId="6357C8E0">
      <w:pPr>
        <w:bidi w:val="0"/>
        <w:rPr>
          <w:rFonts w:hint="eastAsia"/>
          <w:color w:val="auto"/>
          <w:lang w:eastAsia="zh-CN"/>
        </w:rPr>
      </w:pPr>
      <w:r>
        <w:rPr>
          <w:rFonts w:hint="eastAsia"/>
          <w:color w:val="auto"/>
          <w:lang w:val="en-US" w:eastAsia="zh-CN"/>
        </w:rPr>
        <w:t>根据上述计算，</w:t>
      </w:r>
      <w:r>
        <w:rPr>
          <w:rFonts w:hint="eastAsia"/>
          <w:color w:val="auto"/>
        </w:rPr>
        <w:t>本</w:t>
      </w:r>
      <w:r>
        <w:rPr>
          <w:rFonts w:hint="eastAsia"/>
          <w:color w:val="auto"/>
          <w:lang w:val="en-US" w:eastAsia="zh-CN"/>
        </w:rPr>
        <w:t>项目建成后废水、废气总量控制指标</w:t>
      </w:r>
      <w:r>
        <w:rPr>
          <w:rFonts w:hint="eastAsia"/>
          <w:color w:val="auto"/>
        </w:rPr>
        <w:t>见下表</w:t>
      </w:r>
      <w:r>
        <w:rPr>
          <w:rFonts w:hint="eastAsia"/>
          <w:color w:val="auto"/>
          <w:lang w:eastAsia="zh-CN"/>
        </w:rPr>
        <w:t>。</w:t>
      </w:r>
    </w:p>
    <w:p w14:paraId="45ACB2CF">
      <w:pPr>
        <w:pStyle w:val="27"/>
        <w:numPr>
          <w:ilvl w:val="0"/>
          <w:numId w:val="23"/>
        </w:numPr>
        <w:bidi w:val="0"/>
        <w:ind w:left="425" w:leftChars="0" w:hanging="425" w:firstLineChars="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污染物排放总量表</w:t>
      </w:r>
    </w:p>
    <w:tbl>
      <w:tblPr>
        <w:tblStyle w:val="2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867"/>
        <w:gridCol w:w="2126"/>
        <w:gridCol w:w="1980"/>
        <w:gridCol w:w="2706"/>
      </w:tblGrid>
      <w:tr w14:paraId="4A12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1416" w:type="pct"/>
            <w:gridSpan w:val="2"/>
            <w:noWrap w:val="0"/>
            <w:vAlign w:val="center"/>
          </w:tcPr>
          <w:p w14:paraId="464D978A">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bCs/>
                <w:color w:val="auto"/>
                <w:highlight w:val="none"/>
                <w:lang w:val="en-US" w:eastAsia="zh-CN"/>
              </w:rPr>
              <w:t>类型</w:t>
            </w:r>
          </w:p>
        </w:tc>
        <w:tc>
          <w:tcPr>
            <w:tcW w:w="1118" w:type="pct"/>
            <w:noWrap w:val="0"/>
            <w:vAlign w:val="center"/>
          </w:tcPr>
          <w:p w14:paraId="59940944">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bCs/>
                <w:color w:val="auto"/>
                <w:highlight w:val="none"/>
                <w:lang w:val="en-US" w:eastAsia="zh-CN"/>
              </w:rPr>
              <w:t>污染物</w:t>
            </w:r>
          </w:p>
        </w:tc>
        <w:tc>
          <w:tcPr>
            <w:tcW w:w="1041" w:type="pct"/>
            <w:noWrap w:val="0"/>
            <w:vAlign w:val="center"/>
          </w:tcPr>
          <w:p w14:paraId="4BECCE83">
            <w:pPr>
              <w:pStyle w:val="24"/>
              <w:bidi w:val="0"/>
              <w:ind w:left="0" w:leftChars="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总量控制</w:t>
            </w:r>
            <w:r>
              <w:rPr>
                <w:rFonts w:hint="eastAsia" w:cs="Courier New"/>
                <w:b/>
                <w:bCs/>
                <w:color w:val="auto"/>
                <w:highlight w:val="none"/>
                <w:lang w:val="en-US" w:eastAsia="zh-CN"/>
              </w:rPr>
              <w:t>（t/a）</w:t>
            </w:r>
          </w:p>
        </w:tc>
        <w:tc>
          <w:tcPr>
            <w:tcW w:w="1423" w:type="pct"/>
            <w:noWrap w:val="0"/>
            <w:vAlign w:val="center"/>
          </w:tcPr>
          <w:p w14:paraId="6B00A677">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bCs/>
                <w:color w:val="auto"/>
                <w:highlight w:val="none"/>
                <w:lang w:val="en-US" w:eastAsia="zh-CN"/>
              </w:rPr>
              <w:t>排放去向</w:t>
            </w:r>
          </w:p>
        </w:tc>
      </w:tr>
      <w:tr w14:paraId="283F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restart"/>
            <w:noWrap w:val="0"/>
            <w:vAlign w:val="center"/>
          </w:tcPr>
          <w:p w14:paraId="2DFE41A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废水</w:t>
            </w:r>
          </w:p>
        </w:tc>
        <w:tc>
          <w:tcPr>
            <w:tcW w:w="981" w:type="pct"/>
            <w:vMerge w:val="restart"/>
            <w:noWrap w:val="0"/>
            <w:vAlign w:val="center"/>
          </w:tcPr>
          <w:p w14:paraId="7197774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企业排口</w:t>
            </w:r>
          </w:p>
        </w:tc>
        <w:tc>
          <w:tcPr>
            <w:tcW w:w="1118" w:type="pct"/>
            <w:noWrap w:val="0"/>
            <w:vAlign w:val="center"/>
          </w:tcPr>
          <w:p w14:paraId="075DE94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COD</w:t>
            </w:r>
          </w:p>
        </w:tc>
        <w:tc>
          <w:tcPr>
            <w:tcW w:w="1041" w:type="pct"/>
            <w:noWrap w:val="0"/>
            <w:vAlign w:val="center"/>
          </w:tcPr>
          <w:p w14:paraId="6AFB8D1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0.6630</w:t>
            </w:r>
          </w:p>
        </w:tc>
        <w:tc>
          <w:tcPr>
            <w:tcW w:w="1423" w:type="pct"/>
            <w:vMerge w:val="restart"/>
            <w:noWrap w:val="0"/>
            <w:vAlign w:val="center"/>
          </w:tcPr>
          <w:p w14:paraId="0343F1A7">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通江县秋锦山产业园区综合污水处理厂</w:t>
            </w:r>
          </w:p>
        </w:tc>
      </w:tr>
      <w:tr w14:paraId="3DB1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continue"/>
            <w:noWrap w:val="0"/>
            <w:vAlign w:val="center"/>
          </w:tcPr>
          <w:p w14:paraId="3761E047">
            <w:pPr>
              <w:pStyle w:val="24"/>
              <w:bidi w:val="0"/>
              <w:rPr>
                <w:rFonts w:hint="eastAsia" w:ascii="Times New Roman" w:hAnsi="Times New Roman" w:eastAsia="宋体" w:cs="Courier New"/>
                <w:b w:val="0"/>
                <w:bCs w:val="0"/>
                <w:color w:val="auto"/>
                <w:highlight w:val="none"/>
                <w:lang w:val="en-US" w:eastAsia="zh-CN"/>
              </w:rPr>
            </w:pPr>
          </w:p>
        </w:tc>
        <w:tc>
          <w:tcPr>
            <w:tcW w:w="981" w:type="pct"/>
            <w:vMerge w:val="continue"/>
            <w:noWrap w:val="0"/>
            <w:vAlign w:val="center"/>
          </w:tcPr>
          <w:p w14:paraId="3A3143EC">
            <w:pPr>
              <w:pStyle w:val="24"/>
              <w:bidi w:val="0"/>
              <w:rPr>
                <w:rFonts w:hint="eastAsia" w:ascii="Times New Roman" w:hAnsi="Times New Roman" w:eastAsia="宋体" w:cs="Courier New"/>
                <w:b w:val="0"/>
                <w:bCs w:val="0"/>
                <w:color w:val="auto"/>
                <w:highlight w:val="none"/>
                <w:lang w:val="en-US" w:eastAsia="zh-CN"/>
              </w:rPr>
            </w:pPr>
          </w:p>
        </w:tc>
        <w:tc>
          <w:tcPr>
            <w:tcW w:w="1118" w:type="pct"/>
            <w:shd w:val="clear" w:color="auto" w:fill="auto"/>
            <w:noWrap w:val="0"/>
            <w:vAlign w:val="center"/>
          </w:tcPr>
          <w:p w14:paraId="4B23199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NH</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-N</w:t>
            </w:r>
          </w:p>
        </w:tc>
        <w:tc>
          <w:tcPr>
            <w:tcW w:w="1041" w:type="pct"/>
            <w:shd w:val="clear" w:color="auto" w:fill="auto"/>
            <w:noWrap w:val="0"/>
            <w:vAlign w:val="center"/>
          </w:tcPr>
          <w:p w14:paraId="0BF16E7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0.0597</w:t>
            </w:r>
          </w:p>
        </w:tc>
        <w:tc>
          <w:tcPr>
            <w:tcW w:w="1423" w:type="pct"/>
            <w:vMerge w:val="continue"/>
            <w:noWrap w:val="0"/>
            <w:vAlign w:val="center"/>
          </w:tcPr>
          <w:p w14:paraId="2E68C265">
            <w:pPr>
              <w:pStyle w:val="24"/>
              <w:bidi w:val="0"/>
              <w:rPr>
                <w:rFonts w:hint="eastAsia" w:ascii="Times New Roman" w:hAnsi="Times New Roman" w:eastAsia="宋体" w:cs="Courier New"/>
                <w:b w:val="0"/>
                <w:bCs w:val="0"/>
                <w:color w:val="auto"/>
                <w:highlight w:val="none"/>
                <w:lang w:val="en-US" w:eastAsia="zh-CN"/>
              </w:rPr>
            </w:pPr>
          </w:p>
        </w:tc>
      </w:tr>
      <w:tr w14:paraId="1998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continue"/>
            <w:noWrap w:val="0"/>
            <w:vAlign w:val="center"/>
          </w:tcPr>
          <w:p w14:paraId="581C8C6A">
            <w:pPr>
              <w:pStyle w:val="24"/>
              <w:bidi w:val="0"/>
              <w:rPr>
                <w:rFonts w:hint="eastAsia" w:ascii="Times New Roman" w:hAnsi="Times New Roman" w:eastAsia="宋体" w:cs="Courier New"/>
                <w:b w:val="0"/>
                <w:bCs w:val="0"/>
                <w:color w:val="auto"/>
                <w:highlight w:val="none"/>
                <w:lang w:val="en-US" w:eastAsia="zh-CN"/>
              </w:rPr>
            </w:pPr>
          </w:p>
        </w:tc>
        <w:tc>
          <w:tcPr>
            <w:tcW w:w="981" w:type="pct"/>
            <w:vMerge w:val="restart"/>
            <w:noWrap w:val="0"/>
            <w:vAlign w:val="center"/>
          </w:tcPr>
          <w:p w14:paraId="5FB1844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污水处理厂排口</w:t>
            </w:r>
          </w:p>
        </w:tc>
        <w:tc>
          <w:tcPr>
            <w:tcW w:w="1118" w:type="pct"/>
            <w:noWrap w:val="0"/>
            <w:vAlign w:val="center"/>
          </w:tcPr>
          <w:p w14:paraId="63FCB06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COD</w:t>
            </w:r>
          </w:p>
        </w:tc>
        <w:tc>
          <w:tcPr>
            <w:tcW w:w="1041" w:type="pct"/>
            <w:noWrap w:val="0"/>
            <w:vAlign w:val="center"/>
          </w:tcPr>
          <w:p w14:paraId="57BE528C">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0.0663</w:t>
            </w:r>
          </w:p>
        </w:tc>
        <w:tc>
          <w:tcPr>
            <w:tcW w:w="1423" w:type="pct"/>
            <w:vMerge w:val="restart"/>
            <w:noWrap w:val="0"/>
            <w:vAlign w:val="center"/>
          </w:tcPr>
          <w:p w14:paraId="2C4E12E0">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通江河</w:t>
            </w:r>
          </w:p>
        </w:tc>
      </w:tr>
      <w:tr w14:paraId="1F81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continue"/>
            <w:noWrap w:val="0"/>
            <w:vAlign w:val="center"/>
          </w:tcPr>
          <w:p w14:paraId="69794750">
            <w:pPr>
              <w:pStyle w:val="24"/>
              <w:bidi w:val="0"/>
              <w:rPr>
                <w:rFonts w:hint="eastAsia" w:ascii="Times New Roman" w:hAnsi="Times New Roman" w:eastAsia="宋体" w:cs="Courier New"/>
                <w:b w:val="0"/>
                <w:bCs w:val="0"/>
                <w:color w:val="auto"/>
                <w:highlight w:val="none"/>
                <w:lang w:val="en-US" w:eastAsia="zh-CN"/>
              </w:rPr>
            </w:pPr>
          </w:p>
        </w:tc>
        <w:tc>
          <w:tcPr>
            <w:tcW w:w="981" w:type="pct"/>
            <w:vMerge w:val="continue"/>
            <w:noWrap w:val="0"/>
            <w:vAlign w:val="center"/>
          </w:tcPr>
          <w:p w14:paraId="74CC2A5D">
            <w:pPr>
              <w:pStyle w:val="24"/>
              <w:bidi w:val="0"/>
              <w:rPr>
                <w:rFonts w:hint="eastAsia" w:ascii="Times New Roman" w:hAnsi="Times New Roman" w:eastAsia="宋体" w:cs="Courier New"/>
                <w:b w:val="0"/>
                <w:bCs w:val="0"/>
                <w:color w:val="auto"/>
                <w:highlight w:val="none"/>
                <w:lang w:val="en-US" w:eastAsia="zh-CN"/>
              </w:rPr>
            </w:pPr>
          </w:p>
        </w:tc>
        <w:tc>
          <w:tcPr>
            <w:tcW w:w="1118" w:type="pct"/>
            <w:shd w:val="clear" w:color="auto" w:fill="auto"/>
            <w:noWrap w:val="0"/>
            <w:vAlign w:val="center"/>
          </w:tcPr>
          <w:p w14:paraId="42B3F61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NH</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-N</w:t>
            </w:r>
          </w:p>
        </w:tc>
        <w:tc>
          <w:tcPr>
            <w:tcW w:w="1041" w:type="pct"/>
            <w:shd w:val="clear" w:color="auto" w:fill="auto"/>
            <w:noWrap w:val="0"/>
            <w:vAlign w:val="center"/>
          </w:tcPr>
          <w:p w14:paraId="7825B79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0.0066</w:t>
            </w:r>
          </w:p>
        </w:tc>
        <w:tc>
          <w:tcPr>
            <w:tcW w:w="1423" w:type="pct"/>
            <w:vMerge w:val="continue"/>
            <w:noWrap w:val="0"/>
            <w:vAlign w:val="center"/>
          </w:tcPr>
          <w:p w14:paraId="04F27662">
            <w:pPr>
              <w:pStyle w:val="24"/>
              <w:bidi w:val="0"/>
              <w:rPr>
                <w:rFonts w:hint="eastAsia" w:cs="Courier New"/>
                <w:b w:val="0"/>
                <w:bCs w:val="0"/>
                <w:color w:val="auto"/>
                <w:highlight w:val="none"/>
                <w:lang w:val="en-US" w:eastAsia="zh-CN"/>
              </w:rPr>
            </w:pPr>
          </w:p>
        </w:tc>
      </w:tr>
      <w:tr w14:paraId="6B80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416" w:type="pct"/>
            <w:gridSpan w:val="2"/>
            <w:noWrap w:val="0"/>
            <w:vAlign w:val="center"/>
          </w:tcPr>
          <w:p w14:paraId="02173B0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废气</w:t>
            </w:r>
          </w:p>
        </w:tc>
        <w:tc>
          <w:tcPr>
            <w:tcW w:w="1118" w:type="pct"/>
            <w:noWrap w:val="0"/>
            <w:vAlign w:val="center"/>
          </w:tcPr>
          <w:p w14:paraId="613C66E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VOCs</w:t>
            </w:r>
          </w:p>
        </w:tc>
        <w:tc>
          <w:tcPr>
            <w:tcW w:w="1041" w:type="pct"/>
            <w:noWrap w:val="0"/>
            <w:vAlign w:val="center"/>
          </w:tcPr>
          <w:p w14:paraId="3A700EE5">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0.0423</w:t>
            </w:r>
          </w:p>
        </w:tc>
        <w:tc>
          <w:tcPr>
            <w:tcW w:w="1423" w:type="pct"/>
            <w:noWrap w:val="0"/>
            <w:vAlign w:val="center"/>
          </w:tcPr>
          <w:p w14:paraId="04DDB24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大气环境</w:t>
            </w:r>
          </w:p>
        </w:tc>
      </w:tr>
    </w:tbl>
    <w:p w14:paraId="3F22C2F1">
      <w:pPr>
        <w:bidi w:val="0"/>
        <w:ind w:left="0" w:leftChars="0" w:firstLine="480" w:firstLineChars="200"/>
        <w:rPr>
          <w:rFonts w:hint="default" w:ascii="Times New Roman" w:hAnsi="Times New Roman"/>
          <w:color w:val="auto"/>
          <w:sz w:val="24"/>
          <w:szCs w:val="24"/>
          <w:lang w:val="en-US" w:eastAsia="zh-CN"/>
        </w:rPr>
        <w:sectPr>
          <w:footerReference r:id="rId10" w:type="default"/>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728B8802">
      <w:pPr>
        <w:pStyle w:val="2"/>
        <w:bidi w:val="0"/>
        <w:rPr>
          <w:rFonts w:hint="default" w:ascii="Times New Roman" w:hAnsi="Times New Roman" w:cs="Times New Roman"/>
          <w:color w:val="auto"/>
          <w:highlight w:val="none"/>
        </w:rPr>
      </w:pPr>
      <w:bookmarkStart w:id="83" w:name="_Toc23748"/>
      <w:bookmarkStart w:id="84" w:name="_Toc13134"/>
      <w:bookmarkStart w:id="85" w:name="_Toc1344"/>
      <w:bookmarkStart w:id="86" w:name="_Toc631"/>
      <w:bookmarkStart w:id="87" w:name="_Toc32396"/>
      <w:r>
        <w:rPr>
          <w:rFonts w:hint="default" w:ascii="Times New Roman" w:hAnsi="Times New Roman" w:cs="Times New Roman"/>
          <w:color w:val="auto"/>
          <w:highlight w:val="none"/>
        </w:rPr>
        <w:t>环境现状调查与评价</w:t>
      </w:r>
      <w:bookmarkEnd w:id="83"/>
      <w:bookmarkEnd w:id="84"/>
    </w:p>
    <w:p w14:paraId="0AE84E09">
      <w:pPr>
        <w:pStyle w:val="3"/>
        <w:bidi w:val="0"/>
        <w:rPr>
          <w:rFonts w:hint="default" w:ascii="Times New Roman" w:hAnsi="Times New Roman" w:cs="Times New Roman"/>
          <w:color w:val="auto"/>
          <w:highlight w:val="none"/>
        </w:rPr>
      </w:pPr>
      <w:bookmarkStart w:id="88" w:name="_Toc8866"/>
      <w:bookmarkStart w:id="89" w:name="_Toc59"/>
      <w:r>
        <w:rPr>
          <w:rFonts w:hint="default" w:ascii="Times New Roman" w:hAnsi="Times New Roman" w:cs="Times New Roman"/>
          <w:color w:val="auto"/>
          <w:highlight w:val="none"/>
        </w:rPr>
        <w:t>自然环境概况</w:t>
      </w:r>
      <w:bookmarkEnd w:id="88"/>
      <w:bookmarkEnd w:id="89"/>
    </w:p>
    <w:p w14:paraId="5F28202D">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地理位置</w:t>
      </w:r>
    </w:p>
    <w:p w14:paraId="4BC059B5">
      <w:pPr>
        <w:pStyle w:val="44"/>
        <w:bidi w:val="0"/>
        <w:rPr>
          <w:rFonts w:hint="default"/>
          <w:color w:val="auto"/>
          <w:lang w:val="en-US" w:eastAsia="zh-CN"/>
        </w:rPr>
      </w:pPr>
      <w:r>
        <w:rPr>
          <w:rFonts w:hint="default"/>
          <w:color w:val="auto"/>
          <w:lang w:val="en-US" w:eastAsia="zh-CN"/>
        </w:rPr>
        <w:t>巴中市位于四川盆地东北部，地处大巴山系米仓山南麓，中国秦岭-淮河南北分界线南，东邻达州，南接南充，西抵广元，北与陕西省汉中市接壤，是秦巴山片区中心城市之一。巴中市地理坐标介于东经106°20'至107°49'，</w:t>
      </w:r>
      <w:r>
        <w:rPr>
          <w:rFonts w:hint="eastAsia"/>
          <w:color w:val="auto"/>
          <w:lang w:val="en-US" w:eastAsia="zh-CN"/>
        </w:rPr>
        <w:t>*</w:t>
      </w:r>
      <w:r>
        <w:rPr>
          <w:rFonts w:hint="default"/>
          <w:color w:val="auto"/>
          <w:lang w:val="en-US" w:eastAsia="zh-CN"/>
        </w:rPr>
        <w:t>北纬31°15'至32°45'之间，东西宽126km，南北长165km，辖巴州区、恩阳区2个市辖区，</w:t>
      </w:r>
      <w:r>
        <w:rPr>
          <w:rFonts w:hint="eastAsia"/>
          <w:color w:val="auto"/>
          <w:lang w:val="en-US" w:eastAsia="zh-CN"/>
        </w:rPr>
        <w:t>和</w:t>
      </w:r>
      <w:r>
        <w:rPr>
          <w:rFonts w:hint="default"/>
          <w:color w:val="auto"/>
          <w:lang w:val="en-US" w:eastAsia="zh-CN"/>
        </w:rPr>
        <w:t>平昌县、通江县、南江县3个县</w:t>
      </w:r>
      <w:r>
        <w:rPr>
          <w:rFonts w:hint="eastAsia"/>
          <w:color w:val="auto"/>
          <w:lang w:val="en-US" w:eastAsia="zh-CN"/>
        </w:rPr>
        <w:t>，设两个省级经济开发区（巴中经济开发区、平昌经济开发区），市域</w:t>
      </w:r>
      <w:r>
        <w:rPr>
          <w:rFonts w:hint="default"/>
          <w:color w:val="auto"/>
          <w:lang w:val="en-US" w:eastAsia="zh-CN"/>
        </w:rPr>
        <w:t>面积12298.08km</w:t>
      </w:r>
      <w:r>
        <w:rPr>
          <w:rFonts w:hint="default"/>
          <w:color w:val="auto"/>
          <w:vertAlign w:val="superscript"/>
          <w:lang w:val="en-US" w:eastAsia="zh-CN"/>
        </w:rPr>
        <w:t>2</w:t>
      </w:r>
      <w:r>
        <w:rPr>
          <w:rFonts w:hint="default"/>
          <w:color w:val="auto"/>
          <w:lang w:val="en-US" w:eastAsia="zh-CN"/>
        </w:rPr>
        <w:t>。</w:t>
      </w:r>
    </w:p>
    <w:p w14:paraId="2BA1863F">
      <w:pPr>
        <w:pStyle w:val="44"/>
        <w:bidi w:val="0"/>
        <w:rPr>
          <w:rFonts w:hint="default"/>
          <w:color w:val="auto"/>
          <w:lang w:val="en-US" w:eastAsia="zh-CN"/>
        </w:rPr>
      </w:pPr>
      <w:r>
        <w:rPr>
          <w:rFonts w:hint="default"/>
          <w:color w:val="auto"/>
          <w:lang w:val="en-US" w:eastAsia="zh-CN"/>
        </w:rPr>
        <w:t>通江县位于四川省巴中市东北部、米仓山东段南麓大巴山缺口处，居北纬31°39′~32°33′，东经106°59′~107°46′之间，旧时有“依三巴之旧域，控全蜀之左隅”之称。县域东接万源市，南邻平昌县，西靠巴州、南江二区县，北连陕西省南郑、西乡、镇巴三县。县人民政府驻地壁州街道，南距达州市约140km，距重庆市约330km；西距巴中市约70km，距成都市约400km；东距万源市约113km；北距陕西省镇巴县约170km。</w:t>
      </w:r>
    </w:p>
    <w:p w14:paraId="7B4F3AE1">
      <w:pPr>
        <w:pStyle w:val="4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本项目位于</w:t>
      </w:r>
      <w:r>
        <w:rPr>
          <w:rFonts w:hint="eastAsia" w:cs="Times New Roman"/>
          <w:color w:val="auto"/>
          <w:highlight w:val="none"/>
          <w:lang w:val="en-US" w:eastAsia="zh-CN"/>
        </w:rPr>
        <w:t>巴中市通江县境内的</w:t>
      </w:r>
      <w:r>
        <w:rPr>
          <w:rFonts w:hint="default" w:ascii="Times New Roman" w:hAnsi="Times New Roman" w:cs="Times New Roman"/>
          <w:color w:val="auto"/>
          <w:highlight w:val="none"/>
          <w:lang w:val="en-US" w:eastAsia="zh-CN"/>
        </w:rPr>
        <w:t>四川巴中经济开发区金堂区块（巴中曾口-金堂化工园区）</w:t>
      </w:r>
      <w:r>
        <w:rPr>
          <w:rFonts w:hint="eastAsia" w:cs="Times New Roman"/>
          <w:color w:val="auto"/>
          <w:highlight w:val="none"/>
          <w:lang w:val="en-US" w:eastAsia="zh-CN"/>
        </w:rPr>
        <w:t>内，</w:t>
      </w:r>
      <w:r>
        <w:rPr>
          <w:rFonts w:hint="default" w:ascii="Times New Roman" w:hAnsi="Times New Roman" w:cs="Times New Roman"/>
          <w:color w:val="auto"/>
          <w:highlight w:val="none"/>
        </w:rPr>
        <w:t>地理位置见附图2。</w:t>
      </w:r>
    </w:p>
    <w:p w14:paraId="1EEA1FF4">
      <w:pPr>
        <w:pStyle w:val="4"/>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地形地貌</w:t>
      </w:r>
    </w:p>
    <w:p w14:paraId="593D71A8">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通江县属中低山区</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包括中切割低山、中切割中山和深切割中山。呈"三山夹两谷"地形。通江县地貌具有以下基本特征:</w:t>
      </w:r>
    </w:p>
    <w:p w14:paraId="799482F0">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①低、中山界限明显</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均受三个二级构造单元的构造线控制。涪阳一一五龙山鼻状构造轴线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为县境低、中山的分界线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此线以南为中长初割低山。川北台陷与米仓山、大巴山交界线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形成县境中切割中山与深切割中山的分界线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此线以北为深切割中山。</w:t>
      </w:r>
    </w:p>
    <w:p w14:paraId="3180F69F">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米仓山台穹中楼子庙--空山坝挠曲褶皱带之南端</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为县境岩溶地貌的分界线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此线以北为中山岩溶地貌。</w:t>
      </w:r>
    </w:p>
    <w:p w14:paraId="558860A7">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②切割深</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多窄谷、峡谷。中切割低山切割深度一般为600m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多"V"型谷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平底谷:中切割中山切割一为般700~900m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多窄谷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深切割中山切割高达1200m以上</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多峡谷。</w:t>
      </w:r>
    </w:p>
    <w:p w14:paraId="7120E630">
      <w:pPr>
        <w:pStyle w:val="44"/>
        <w:bidi w:val="0"/>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highlight w:val="none"/>
          <w:lang w:val="en-US" w:eastAsia="zh-CN"/>
        </w:rPr>
        <w:t>③三级阶梯状构造</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从北至南逐渐降低。北部深切割中山海扬发1500~2000m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中部中切割中山海拔1300~1500m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南部中切割低山海拔800~1000m。地貌成因类型的分布详见通江县地貌类型图</w:t>
      </w:r>
      <w:r>
        <w:rPr>
          <w:rFonts w:hint="default" w:ascii="Times New Roman" w:hAnsi="Times New Roman" w:cs="Times New Roman"/>
          <w:color w:val="auto"/>
          <w:highlight w:val="none"/>
          <w:lang w:val="en-US" w:eastAsia="zh-CN"/>
        </w:rPr>
        <w:t>。</w:t>
      </w:r>
    </w:p>
    <w:p w14:paraId="57FC50D8">
      <w:pPr>
        <w:pStyle w:val="4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根据《聚羧酸减水剂和无碱速凝剂生产项目岩土工程勘察报告》，拟建场地地貌类型单一，场地大地貌属低山区构造剥蚀地貌，场地地貌单元为缓～中坡坡地。</w:t>
      </w:r>
    </w:p>
    <w:p w14:paraId="130E386E">
      <w:pPr>
        <w:pStyle w:val="4"/>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地层岩性</w:t>
      </w:r>
    </w:p>
    <w:p w14:paraId="5737DA1C">
      <w:pPr>
        <w:adjustRightInd w:val="0"/>
        <w:snapToGrid w:val="0"/>
        <w:spacing w:line="360" w:lineRule="auto"/>
        <w:ind w:left="0" w:leftChars="0" w:firstLine="480" w:firstLineChars="200"/>
        <w:rPr>
          <w:rFonts w:ascii="Times New Roman" w:hAnsi="Times New Roman"/>
          <w:color w:val="auto"/>
          <w:szCs w:val="20"/>
          <w:highlight w:val="none"/>
        </w:rPr>
      </w:pPr>
      <w:r>
        <w:rPr>
          <w:rFonts w:ascii="Times New Roman" w:hAnsi="Times New Roman"/>
          <w:color w:val="auto"/>
          <w:szCs w:val="20"/>
          <w:highlight w:val="none"/>
        </w:rPr>
        <w:t>根据</w:t>
      </w:r>
      <w:r>
        <w:rPr>
          <w:rFonts w:hint="eastAsia" w:ascii="Times New Roman" w:hAnsi="Times New Roman"/>
          <w:color w:val="auto"/>
          <w:szCs w:val="20"/>
          <w:highlight w:val="none"/>
        </w:rPr>
        <w:t>《聚羧酸减水剂和无碱速凝剂生产项目岩土工程勘察报告》</w:t>
      </w:r>
      <w:r>
        <w:rPr>
          <w:rFonts w:ascii="Times New Roman" w:hAnsi="Times New Roman"/>
          <w:color w:val="auto"/>
          <w:szCs w:val="20"/>
          <w:highlight w:val="none"/>
        </w:rPr>
        <w:t>，</w:t>
      </w:r>
      <w:r>
        <w:rPr>
          <w:rFonts w:hint="eastAsia" w:ascii="Times New Roman" w:hAnsi="Times New Roman"/>
          <w:color w:val="auto"/>
          <w:szCs w:val="20"/>
          <w:highlight w:val="none"/>
        </w:rPr>
        <w:t>根据钻探揭露</w:t>
      </w:r>
      <w:r>
        <w:rPr>
          <w:rFonts w:hint="eastAsia"/>
          <w:color w:val="auto"/>
          <w:szCs w:val="20"/>
          <w:highlight w:val="none"/>
          <w:lang w:eastAsia="zh-CN"/>
        </w:rPr>
        <w:t>，</w:t>
      </w:r>
      <w:r>
        <w:rPr>
          <w:rFonts w:hint="eastAsia" w:ascii="Times New Roman" w:hAnsi="Times New Roman"/>
          <w:color w:val="auto"/>
          <w:szCs w:val="20"/>
          <w:highlight w:val="none"/>
        </w:rPr>
        <w:t>勘探深度范围内场地地层结构较复杂</w:t>
      </w:r>
      <w:r>
        <w:rPr>
          <w:rFonts w:hint="eastAsia"/>
          <w:color w:val="auto"/>
          <w:szCs w:val="20"/>
          <w:highlight w:val="none"/>
          <w:lang w:eastAsia="zh-CN"/>
        </w:rPr>
        <w:t>，</w:t>
      </w:r>
      <w:r>
        <w:rPr>
          <w:rFonts w:hint="eastAsia" w:ascii="Times New Roman" w:hAnsi="Times New Roman"/>
          <w:color w:val="auto"/>
          <w:szCs w:val="20"/>
          <w:highlight w:val="none"/>
        </w:rPr>
        <w:t>连线读性较差</w:t>
      </w:r>
      <w:r>
        <w:rPr>
          <w:rFonts w:hint="eastAsia"/>
          <w:color w:val="auto"/>
          <w:szCs w:val="20"/>
          <w:highlight w:val="none"/>
          <w:lang w:eastAsia="zh-CN"/>
        </w:rPr>
        <w:t>，</w:t>
      </w:r>
      <w:r>
        <w:rPr>
          <w:rFonts w:hint="eastAsia" w:ascii="Times New Roman" w:hAnsi="Times New Roman"/>
          <w:color w:val="auto"/>
          <w:szCs w:val="20"/>
          <w:highlight w:val="none"/>
        </w:rPr>
        <w:t>上覆第四系土层主要由全新统人工填土层</w:t>
      </w:r>
      <w:r>
        <w:rPr>
          <w:rFonts w:hint="eastAsia"/>
          <w:color w:val="auto"/>
          <w:szCs w:val="20"/>
          <w:highlight w:val="none"/>
          <w:lang w:eastAsia="zh-CN"/>
        </w:rPr>
        <w:t>（</w:t>
      </w:r>
      <w:r>
        <w:rPr>
          <w:rFonts w:hint="eastAsia" w:ascii="Times New Roman" w:hAnsi="Times New Roman"/>
          <w:color w:val="auto"/>
          <w:szCs w:val="20"/>
          <w:highlight w:val="none"/>
        </w:rPr>
        <w:t>Q</w:t>
      </w:r>
      <w:r>
        <w:rPr>
          <w:rFonts w:hint="eastAsia"/>
          <w:color w:val="auto"/>
          <w:szCs w:val="20"/>
          <w:highlight w:val="none"/>
          <w:vertAlign w:val="subscript"/>
          <w:lang w:val="en-US" w:eastAsia="zh-CN"/>
        </w:rPr>
        <w:t>4</w:t>
      </w:r>
      <w:r>
        <w:rPr>
          <w:rFonts w:hint="eastAsia"/>
          <w:color w:val="auto"/>
          <w:szCs w:val="20"/>
          <w:highlight w:val="none"/>
          <w:vertAlign w:val="superscript"/>
          <w:lang w:val="en-US" w:eastAsia="zh-CN"/>
        </w:rPr>
        <w:t>ml</w:t>
      </w:r>
      <w:r>
        <w:rPr>
          <w:rFonts w:hint="eastAsia"/>
          <w:color w:val="auto"/>
          <w:szCs w:val="20"/>
          <w:highlight w:val="none"/>
          <w:lang w:eastAsia="zh-CN"/>
        </w:rPr>
        <w:t>）</w:t>
      </w:r>
      <w:r>
        <w:rPr>
          <w:rFonts w:hint="eastAsia" w:ascii="Times New Roman" w:hAnsi="Times New Roman"/>
          <w:color w:val="auto"/>
          <w:szCs w:val="20"/>
          <w:highlight w:val="none"/>
        </w:rPr>
        <w:t>素填土、第四系全新统崩积粉质粘土</w:t>
      </w:r>
      <w:r>
        <w:rPr>
          <w:rFonts w:hint="eastAsia"/>
          <w:color w:val="auto"/>
          <w:szCs w:val="20"/>
          <w:highlight w:val="none"/>
          <w:lang w:eastAsia="zh-CN"/>
        </w:rPr>
        <w:t>（</w:t>
      </w:r>
      <w:r>
        <w:rPr>
          <w:rFonts w:hint="eastAsia" w:ascii="Times New Roman" w:hAnsi="Times New Roman"/>
          <w:color w:val="auto"/>
          <w:szCs w:val="20"/>
          <w:highlight w:val="none"/>
        </w:rPr>
        <w:t>Q</w:t>
      </w:r>
      <w:r>
        <w:rPr>
          <w:rFonts w:hint="eastAsia"/>
          <w:color w:val="auto"/>
          <w:szCs w:val="20"/>
          <w:highlight w:val="none"/>
          <w:vertAlign w:val="subscript"/>
          <w:lang w:val="en-US" w:eastAsia="zh-CN"/>
        </w:rPr>
        <w:t>4</w:t>
      </w:r>
      <w:r>
        <w:rPr>
          <w:rFonts w:hint="eastAsia"/>
          <w:color w:val="auto"/>
          <w:szCs w:val="20"/>
          <w:highlight w:val="none"/>
          <w:vertAlign w:val="superscript"/>
          <w:lang w:val="en-US" w:eastAsia="zh-CN"/>
        </w:rPr>
        <w:t>col</w:t>
      </w:r>
      <w:r>
        <w:rPr>
          <w:rFonts w:hint="eastAsia"/>
          <w:color w:val="auto"/>
          <w:szCs w:val="20"/>
          <w:highlight w:val="none"/>
          <w:lang w:eastAsia="zh-CN"/>
        </w:rPr>
        <w:t>）</w:t>
      </w:r>
      <w:r>
        <w:rPr>
          <w:rFonts w:hint="eastAsia" w:ascii="Times New Roman" w:hAnsi="Times New Roman"/>
          <w:color w:val="auto"/>
          <w:szCs w:val="20"/>
          <w:highlight w:val="none"/>
        </w:rPr>
        <w:t>组成</w:t>
      </w:r>
      <w:r>
        <w:rPr>
          <w:rFonts w:hint="eastAsia"/>
          <w:color w:val="auto"/>
          <w:szCs w:val="20"/>
          <w:highlight w:val="none"/>
          <w:lang w:eastAsia="zh-CN"/>
        </w:rPr>
        <w:t>，</w:t>
      </w:r>
      <w:r>
        <w:rPr>
          <w:rFonts w:hint="eastAsia" w:ascii="Times New Roman" w:hAnsi="Times New Roman"/>
          <w:color w:val="auto"/>
          <w:szCs w:val="20"/>
          <w:highlight w:val="none"/>
        </w:rPr>
        <w:t>下伏基岩为白垩系白龙组(K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)泥岩与砂岩</w:t>
      </w:r>
      <w:r>
        <w:rPr>
          <w:rFonts w:ascii="Times New Roman" w:hAnsi="Times New Roman"/>
          <w:color w:val="auto"/>
          <w:szCs w:val="20"/>
          <w:highlight w:val="none"/>
        </w:rPr>
        <w:t>。地层从上到下分别描述如下：</w:t>
      </w:r>
    </w:p>
    <w:p w14:paraId="3CFC1FDA">
      <w:pPr>
        <w:adjustRightInd w:val="0"/>
        <w:snapToGrid w:val="0"/>
        <w:spacing w:line="360" w:lineRule="auto"/>
        <w:ind w:left="0" w:leftChars="0" w:firstLine="480" w:firstLineChars="200"/>
        <w:rPr>
          <w:rFonts w:hint="eastAsia" w:ascii="Times New Roman" w:hAnsi="Times New Roman" w:eastAsia="宋体"/>
          <w:color w:val="auto"/>
          <w:szCs w:val="20"/>
          <w:highlight w:val="none"/>
          <w:lang w:val="en-US" w:eastAsia="zh-CN"/>
        </w:rPr>
      </w:pPr>
      <w:r>
        <w:rPr>
          <w:rFonts w:ascii="Times New Roman" w:hAnsi="Times New Roman"/>
          <w:color w:val="auto"/>
          <w:szCs w:val="20"/>
          <w:highlight w:val="none"/>
        </w:rPr>
        <w:t>（1）第四系全新统人工填土（Q</w:t>
      </w:r>
      <w:r>
        <w:rPr>
          <w:rFonts w:ascii="Times New Roman" w:hAnsi="Times New Roman"/>
          <w:color w:val="auto"/>
          <w:szCs w:val="20"/>
          <w:highlight w:val="none"/>
          <w:vertAlign w:val="subscript"/>
        </w:rPr>
        <w:t>4</w:t>
      </w:r>
      <w:r>
        <w:rPr>
          <w:rFonts w:ascii="Times New Roman" w:hAnsi="Times New Roman"/>
          <w:color w:val="auto"/>
          <w:szCs w:val="20"/>
          <w:highlight w:val="none"/>
          <w:vertAlign w:val="superscript"/>
        </w:rPr>
        <w:t>ml</w:t>
      </w:r>
      <w:r>
        <w:rPr>
          <w:rFonts w:ascii="Times New Roman" w:hAnsi="Times New Roman"/>
          <w:color w:val="auto"/>
          <w:szCs w:val="20"/>
          <w:highlight w:val="none"/>
        </w:rPr>
        <w:t>）</w:t>
      </w:r>
      <w:r>
        <w:rPr>
          <w:rFonts w:hint="eastAsia"/>
          <w:color w:val="auto"/>
          <w:szCs w:val="20"/>
          <w:highlight w:val="none"/>
          <w:lang w:val="en-US" w:eastAsia="zh-CN"/>
        </w:rPr>
        <w:t>层</w:t>
      </w:r>
    </w:p>
    <w:p w14:paraId="23590B91">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ascii="Times New Roman" w:hAnsi="Times New Roman"/>
          <w:color w:val="auto"/>
          <w:szCs w:val="20"/>
          <w:highlight w:val="none"/>
        </w:rPr>
        <w:t>松散状</w:t>
      </w:r>
      <w:r>
        <w:rPr>
          <w:rFonts w:hint="eastAsia"/>
          <w:color w:val="auto"/>
          <w:szCs w:val="20"/>
          <w:highlight w:val="none"/>
          <w:lang w:eastAsia="zh-CN"/>
        </w:rPr>
        <w:t>，</w:t>
      </w:r>
      <w:r>
        <w:rPr>
          <w:rFonts w:hint="eastAsia" w:ascii="Times New Roman" w:hAnsi="Times New Roman"/>
          <w:color w:val="auto"/>
          <w:szCs w:val="20"/>
          <w:highlight w:val="none"/>
        </w:rPr>
        <w:t>杂色(颜色较混乱)</w:t>
      </w:r>
      <w:r>
        <w:rPr>
          <w:rFonts w:hint="eastAsia"/>
          <w:color w:val="auto"/>
          <w:szCs w:val="20"/>
          <w:highlight w:val="none"/>
          <w:lang w:eastAsia="zh-CN"/>
        </w:rPr>
        <w:t>，</w:t>
      </w:r>
      <w:r>
        <w:rPr>
          <w:rFonts w:hint="eastAsia" w:ascii="Times New Roman" w:hAnsi="Times New Roman"/>
          <w:color w:val="auto"/>
          <w:szCs w:val="20"/>
          <w:highlight w:val="none"/>
        </w:rPr>
        <w:t>稍湿</w:t>
      </w:r>
      <w:r>
        <w:rPr>
          <w:rFonts w:hint="eastAsia"/>
          <w:color w:val="auto"/>
          <w:szCs w:val="20"/>
          <w:highlight w:val="none"/>
          <w:lang w:eastAsia="zh-CN"/>
        </w:rPr>
        <w:t>，</w:t>
      </w:r>
      <w:r>
        <w:rPr>
          <w:rFonts w:hint="eastAsia" w:ascii="Times New Roman" w:hAnsi="Times New Roman"/>
          <w:color w:val="auto"/>
          <w:szCs w:val="20"/>
          <w:highlight w:val="none"/>
        </w:rPr>
        <w:t>欠固结(不均匀</w:t>
      </w:r>
      <w:r>
        <w:rPr>
          <w:rFonts w:hint="eastAsia"/>
          <w:color w:val="auto"/>
          <w:szCs w:val="20"/>
          <w:highlight w:val="none"/>
          <w:lang w:eastAsia="zh-CN"/>
        </w:rPr>
        <w:t>，</w:t>
      </w:r>
      <w:r>
        <w:rPr>
          <w:rFonts w:hint="eastAsia" w:ascii="Times New Roman" w:hAnsi="Times New Roman"/>
          <w:color w:val="auto"/>
          <w:szCs w:val="20"/>
          <w:highlight w:val="none"/>
        </w:rPr>
        <w:t>级配较差</w:t>
      </w:r>
      <w:r>
        <w:rPr>
          <w:rFonts w:hint="eastAsia"/>
          <w:color w:val="auto"/>
          <w:szCs w:val="20"/>
          <w:highlight w:val="none"/>
          <w:lang w:eastAsia="zh-CN"/>
        </w:rPr>
        <w:t>，</w:t>
      </w:r>
      <w:r>
        <w:rPr>
          <w:rFonts w:hint="eastAsia" w:ascii="Times New Roman" w:hAnsi="Times New Roman"/>
          <w:color w:val="auto"/>
          <w:szCs w:val="20"/>
          <w:highlight w:val="none"/>
        </w:rPr>
        <w:t>局部地段粒径不连续</w:t>
      </w:r>
      <w:r>
        <w:rPr>
          <w:rFonts w:hint="eastAsia"/>
          <w:color w:val="auto"/>
          <w:szCs w:val="20"/>
          <w:highlight w:val="none"/>
          <w:lang w:eastAsia="zh-CN"/>
        </w:rPr>
        <w:t>，</w:t>
      </w:r>
      <w:r>
        <w:rPr>
          <w:rFonts w:hint="eastAsia" w:ascii="Times New Roman" w:hAnsi="Times New Roman"/>
          <w:color w:val="auto"/>
          <w:szCs w:val="20"/>
          <w:highlight w:val="none"/>
        </w:rPr>
        <w:t>勘探中在勘探孔位置未见架空现象)</w:t>
      </w:r>
      <w:r>
        <w:rPr>
          <w:rFonts w:hint="eastAsia"/>
          <w:color w:val="auto"/>
          <w:szCs w:val="20"/>
          <w:highlight w:val="none"/>
          <w:lang w:eastAsia="zh-CN"/>
        </w:rPr>
        <w:t>，</w:t>
      </w:r>
      <w:r>
        <w:rPr>
          <w:rFonts w:hint="eastAsia" w:ascii="Times New Roman" w:hAnsi="Times New Roman"/>
          <w:color w:val="auto"/>
          <w:szCs w:val="20"/>
          <w:highlight w:val="none"/>
        </w:rPr>
        <w:t>该层主要分布在拟建场地的北东角、南西角、南东角</w:t>
      </w:r>
      <w:r>
        <w:rPr>
          <w:rFonts w:hint="eastAsia"/>
          <w:color w:val="auto"/>
          <w:szCs w:val="20"/>
          <w:highlight w:val="none"/>
          <w:lang w:eastAsia="zh-CN"/>
        </w:rPr>
        <w:t>，</w:t>
      </w:r>
      <w:r>
        <w:rPr>
          <w:rFonts w:hint="eastAsia" w:ascii="Times New Roman" w:hAnsi="Times New Roman"/>
          <w:color w:val="auto"/>
          <w:szCs w:val="20"/>
          <w:highlight w:val="none"/>
        </w:rPr>
        <w:t>主要由粉质粘土含大量的泥岩、砂岩块石组成</w:t>
      </w:r>
      <w:r>
        <w:rPr>
          <w:rFonts w:hint="eastAsia"/>
          <w:color w:val="auto"/>
          <w:szCs w:val="20"/>
          <w:highlight w:val="none"/>
          <w:lang w:eastAsia="zh-CN"/>
        </w:rPr>
        <w:t>，</w:t>
      </w:r>
      <w:r>
        <w:rPr>
          <w:rFonts w:hint="eastAsia" w:ascii="Times New Roman" w:hAnsi="Times New Roman"/>
          <w:color w:val="auto"/>
          <w:szCs w:val="20"/>
          <w:highlight w:val="none"/>
        </w:rPr>
        <w:t>块石粒径在0.05~0.50m、块石含量在25~30%</w:t>
      </w:r>
      <w:r>
        <w:rPr>
          <w:rFonts w:hint="eastAsia"/>
          <w:color w:val="auto"/>
          <w:szCs w:val="20"/>
          <w:highlight w:val="none"/>
          <w:lang w:eastAsia="zh-CN"/>
        </w:rPr>
        <w:t>，</w:t>
      </w:r>
      <w:r>
        <w:rPr>
          <w:rFonts w:hint="eastAsia" w:ascii="Times New Roman" w:hAnsi="Times New Roman"/>
          <w:color w:val="auto"/>
          <w:szCs w:val="20"/>
          <w:highlight w:val="none"/>
        </w:rPr>
        <w:t>局部地段块石含量达35~40%</w:t>
      </w:r>
      <w:r>
        <w:rPr>
          <w:rFonts w:hint="eastAsia"/>
          <w:color w:val="auto"/>
          <w:szCs w:val="20"/>
          <w:highlight w:val="none"/>
          <w:lang w:eastAsia="zh-CN"/>
        </w:rPr>
        <w:t>，</w:t>
      </w:r>
      <w:r>
        <w:rPr>
          <w:rFonts w:hint="eastAsia" w:ascii="Times New Roman" w:hAnsi="Times New Roman"/>
          <w:color w:val="auto"/>
          <w:szCs w:val="20"/>
          <w:highlight w:val="none"/>
        </w:rPr>
        <w:t>素填土为场地开挖整平时堆填</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未分层回填</w:t>
      </w:r>
      <w:r>
        <w:rPr>
          <w:rFonts w:hint="eastAsia"/>
          <w:color w:val="auto"/>
          <w:szCs w:val="20"/>
          <w:highlight w:val="none"/>
          <w:lang w:eastAsia="zh-CN"/>
        </w:rPr>
        <w:t>，</w:t>
      </w:r>
      <w:r>
        <w:rPr>
          <w:rFonts w:hint="eastAsia" w:ascii="Times New Roman" w:hAnsi="Times New Roman"/>
          <w:color w:val="auto"/>
          <w:szCs w:val="20"/>
          <w:highlight w:val="none"/>
        </w:rPr>
        <w:t>回填过程经轻微碾压</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堆填时间约为1个月</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时间为2025年12月</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为新近填土</w:t>
      </w:r>
      <w:r>
        <w:rPr>
          <w:rFonts w:hint="eastAsia"/>
          <w:color w:val="auto"/>
          <w:szCs w:val="20"/>
          <w:highlight w:val="none"/>
          <w:lang w:eastAsia="zh-CN"/>
        </w:rPr>
        <w:t>，</w:t>
      </w:r>
      <w:r>
        <w:rPr>
          <w:rFonts w:hint="eastAsia" w:ascii="Times New Roman" w:hAnsi="Times New Roman"/>
          <w:color w:val="auto"/>
          <w:szCs w:val="20"/>
          <w:highlight w:val="none"/>
        </w:rPr>
        <w:t>层厚0.50~2.90m</w:t>
      </w:r>
      <w:r>
        <w:rPr>
          <w:rFonts w:hint="eastAsia"/>
          <w:color w:val="auto"/>
          <w:szCs w:val="20"/>
          <w:highlight w:val="none"/>
          <w:lang w:eastAsia="zh-CN"/>
        </w:rPr>
        <w:t>，</w:t>
      </w:r>
      <w:r>
        <w:rPr>
          <w:rFonts w:hint="eastAsia" w:ascii="Times New Roman" w:hAnsi="Times New Roman"/>
          <w:color w:val="auto"/>
          <w:szCs w:val="20"/>
          <w:highlight w:val="none"/>
        </w:rPr>
        <w:t>层底标高</w:t>
      </w:r>
      <w:r>
        <w:rPr>
          <w:rFonts w:hint="eastAsia"/>
          <w:color w:val="auto"/>
          <w:szCs w:val="20"/>
          <w:highlight w:val="none"/>
          <w:lang w:val="en-US" w:eastAsia="zh-CN"/>
        </w:rPr>
        <w:t>5</w:t>
      </w:r>
      <w:r>
        <w:rPr>
          <w:rFonts w:hint="eastAsia" w:ascii="Times New Roman" w:hAnsi="Times New Roman"/>
          <w:color w:val="auto"/>
          <w:szCs w:val="20"/>
          <w:highlight w:val="none"/>
        </w:rPr>
        <w:t>16.88~523.39m。</w:t>
      </w:r>
    </w:p>
    <w:p w14:paraId="740E75BB">
      <w:pPr>
        <w:adjustRightInd w:val="0"/>
        <w:snapToGrid w:val="0"/>
        <w:spacing w:line="360" w:lineRule="auto"/>
        <w:ind w:left="0" w:leftChars="0" w:firstLine="480" w:firstLineChars="200"/>
        <w:rPr>
          <w:rFonts w:hint="eastAsia" w:ascii="Times New Roman" w:hAnsi="Times New Roman"/>
          <w:color w:val="auto"/>
          <w:szCs w:val="20"/>
          <w:highlight w:val="none"/>
        </w:rPr>
      </w:pPr>
      <w:r>
        <w:rPr>
          <w:rFonts w:hint="eastAsia"/>
          <w:color w:val="auto"/>
          <w:szCs w:val="20"/>
          <w:highlight w:val="none"/>
          <w:lang w:eastAsia="zh-CN"/>
        </w:rPr>
        <w:t>（</w:t>
      </w:r>
      <w:r>
        <w:rPr>
          <w:rFonts w:hint="eastAsia"/>
          <w:color w:val="auto"/>
          <w:szCs w:val="20"/>
          <w:highlight w:val="none"/>
          <w:lang w:val="en-US" w:eastAsia="zh-CN"/>
        </w:rPr>
        <w:t>2</w:t>
      </w:r>
      <w:r>
        <w:rPr>
          <w:rFonts w:hint="eastAsia"/>
          <w:color w:val="auto"/>
          <w:szCs w:val="20"/>
          <w:highlight w:val="none"/>
          <w:lang w:eastAsia="zh-CN"/>
        </w:rPr>
        <w:t>）</w:t>
      </w:r>
      <w:r>
        <w:rPr>
          <w:rFonts w:hint="eastAsia" w:ascii="Times New Roman" w:hAnsi="Times New Roman"/>
          <w:color w:val="auto"/>
          <w:szCs w:val="20"/>
          <w:highlight w:val="none"/>
        </w:rPr>
        <w:t>第四系全新统崩积层(Q</w:t>
      </w:r>
      <w:r>
        <w:rPr>
          <w:rFonts w:hint="eastAsia"/>
          <w:color w:val="auto"/>
          <w:szCs w:val="20"/>
          <w:highlight w:val="none"/>
          <w:vertAlign w:val="subscript"/>
          <w:lang w:val="en-US" w:eastAsia="zh-CN"/>
        </w:rPr>
        <w:t>4</w:t>
      </w:r>
      <w:r>
        <w:rPr>
          <w:rFonts w:hint="eastAsia"/>
          <w:color w:val="auto"/>
          <w:szCs w:val="20"/>
          <w:highlight w:val="none"/>
          <w:vertAlign w:val="superscript"/>
          <w:lang w:val="en-US" w:eastAsia="zh-CN"/>
        </w:rPr>
        <w:t>col</w:t>
      </w:r>
      <w:r>
        <w:rPr>
          <w:rFonts w:hint="eastAsia" w:ascii="Times New Roman" w:hAnsi="Times New Roman"/>
          <w:color w:val="auto"/>
          <w:szCs w:val="20"/>
          <w:highlight w:val="none"/>
        </w:rPr>
        <w:t>)</w:t>
      </w:r>
    </w:p>
    <w:p w14:paraId="25313712">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ascii="Times New Roman" w:hAnsi="Times New Roman"/>
          <w:color w:val="auto"/>
          <w:szCs w:val="20"/>
          <w:highlight w:val="none"/>
        </w:rPr>
        <w:t>黄褐色、灰褐色</w:t>
      </w:r>
      <w:r>
        <w:rPr>
          <w:rFonts w:hint="eastAsia"/>
          <w:color w:val="auto"/>
          <w:szCs w:val="20"/>
          <w:highlight w:val="none"/>
          <w:lang w:eastAsia="zh-CN"/>
        </w:rPr>
        <w:t>，</w:t>
      </w:r>
      <w:r>
        <w:rPr>
          <w:rFonts w:hint="eastAsia" w:ascii="Times New Roman" w:hAnsi="Times New Roman"/>
          <w:color w:val="auto"/>
          <w:szCs w:val="20"/>
          <w:highlight w:val="none"/>
        </w:rPr>
        <w:t>稍湿</w:t>
      </w:r>
      <w:r>
        <w:rPr>
          <w:rFonts w:hint="eastAsia"/>
          <w:color w:val="auto"/>
          <w:szCs w:val="20"/>
          <w:highlight w:val="none"/>
          <w:lang w:eastAsia="zh-CN"/>
        </w:rPr>
        <w:t>，</w:t>
      </w:r>
      <w:r>
        <w:rPr>
          <w:rFonts w:hint="eastAsia" w:ascii="Times New Roman" w:hAnsi="Times New Roman"/>
          <w:color w:val="auto"/>
          <w:szCs w:val="20"/>
          <w:highlight w:val="none"/>
        </w:rPr>
        <w:t>呈可塑状态</w:t>
      </w:r>
      <w:r>
        <w:rPr>
          <w:rFonts w:hint="eastAsia"/>
          <w:color w:val="auto"/>
          <w:szCs w:val="20"/>
          <w:highlight w:val="none"/>
          <w:lang w:eastAsia="zh-CN"/>
        </w:rPr>
        <w:t>，</w:t>
      </w:r>
      <w:r>
        <w:rPr>
          <w:rFonts w:hint="eastAsia" w:ascii="Times New Roman" w:hAnsi="Times New Roman"/>
          <w:color w:val="auto"/>
          <w:szCs w:val="20"/>
          <w:highlight w:val="none"/>
        </w:rPr>
        <w:t>主要由粘粒组成</w:t>
      </w:r>
      <w:r>
        <w:rPr>
          <w:rFonts w:hint="eastAsia"/>
          <w:color w:val="auto"/>
          <w:szCs w:val="20"/>
          <w:highlight w:val="none"/>
          <w:lang w:eastAsia="zh-CN"/>
        </w:rPr>
        <w:t>，</w:t>
      </w:r>
      <w:r>
        <w:rPr>
          <w:rFonts w:hint="eastAsia" w:ascii="Times New Roman" w:hAnsi="Times New Roman"/>
          <w:color w:val="auto"/>
          <w:szCs w:val="20"/>
          <w:highlight w:val="none"/>
        </w:rPr>
        <w:t>含铁核包含物</w:t>
      </w:r>
      <w:r>
        <w:rPr>
          <w:rFonts w:hint="eastAsia"/>
          <w:color w:val="auto"/>
          <w:szCs w:val="20"/>
          <w:highlight w:val="none"/>
          <w:lang w:eastAsia="zh-CN"/>
        </w:rPr>
        <w:t>，</w:t>
      </w:r>
      <w:r>
        <w:rPr>
          <w:rFonts w:hint="eastAsia" w:ascii="Times New Roman" w:hAnsi="Times New Roman"/>
          <w:color w:val="auto"/>
          <w:szCs w:val="20"/>
          <w:highlight w:val="none"/>
        </w:rPr>
        <w:t>局部含块石与孤石</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块石含量最大达10%</w:t>
      </w:r>
      <w:r>
        <w:rPr>
          <w:rFonts w:hint="eastAsia"/>
          <w:color w:val="auto"/>
          <w:szCs w:val="20"/>
          <w:highlight w:val="none"/>
          <w:lang w:eastAsia="zh-CN"/>
        </w:rPr>
        <w:t>，</w:t>
      </w:r>
      <w:r>
        <w:rPr>
          <w:rFonts w:hint="eastAsia" w:ascii="Times New Roman" w:hAnsi="Times New Roman"/>
          <w:color w:val="auto"/>
          <w:szCs w:val="20"/>
          <w:highlight w:val="none"/>
        </w:rPr>
        <w:t>勘察中查明孤石直径最大达2.10m</w:t>
      </w:r>
      <w:r>
        <w:rPr>
          <w:rFonts w:hint="eastAsia"/>
          <w:color w:val="auto"/>
          <w:szCs w:val="20"/>
          <w:highlight w:val="none"/>
          <w:lang w:eastAsia="zh-CN"/>
        </w:rPr>
        <w:t>，</w:t>
      </w:r>
      <w:r>
        <w:rPr>
          <w:rFonts w:hint="eastAsia" w:ascii="Times New Roman" w:hAnsi="Times New Roman"/>
          <w:color w:val="auto"/>
          <w:szCs w:val="20"/>
          <w:highlight w:val="none"/>
        </w:rPr>
        <w:t>孤石母岩主要为砂岩</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切面光滑</w:t>
      </w:r>
      <w:r>
        <w:rPr>
          <w:rFonts w:hint="eastAsia"/>
          <w:color w:val="auto"/>
          <w:szCs w:val="20"/>
          <w:highlight w:val="none"/>
          <w:lang w:eastAsia="zh-CN"/>
        </w:rPr>
        <w:t>，</w:t>
      </w:r>
      <w:r>
        <w:rPr>
          <w:rFonts w:hint="eastAsia" w:ascii="Times New Roman" w:hAnsi="Times New Roman"/>
          <w:color w:val="auto"/>
          <w:szCs w:val="20"/>
          <w:highlight w:val="none"/>
        </w:rPr>
        <w:t>摇振反应无</w:t>
      </w:r>
      <w:r>
        <w:rPr>
          <w:rFonts w:hint="eastAsia"/>
          <w:color w:val="auto"/>
          <w:szCs w:val="20"/>
          <w:highlight w:val="none"/>
          <w:lang w:eastAsia="zh-CN"/>
        </w:rPr>
        <w:t>，</w:t>
      </w:r>
      <w:r>
        <w:rPr>
          <w:rFonts w:hint="eastAsia" w:ascii="Times New Roman" w:hAnsi="Times New Roman"/>
          <w:color w:val="auto"/>
          <w:szCs w:val="20"/>
          <w:highlight w:val="none"/>
        </w:rPr>
        <w:t>干强度较高</w:t>
      </w:r>
      <w:r>
        <w:rPr>
          <w:rFonts w:hint="eastAsia"/>
          <w:color w:val="auto"/>
          <w:szCs w:val="20"/>
          <w:highlight w:val="none"/>
          <w:lang w:eastAsia="zh-CN"/>
        </w:rPr>
        <w:t>，</w:t>
      </w:r>
      <w:r>
        <w:rPr>
          <w:rFonts w:hint="eastAsia" w:ascii="Times New Roman" w:hAnsi="Times New Roman"/>
          <w:color w:val="auto"/>
          <w:szCs w:val="20"/>
          <w:highlight w:val="none"/>
        </w:rPr>
        <w:t>韧性较好</w:t>
      </w:r>
      <w:r>
        <w:rPr>
          <w:rFonts w:hint="eastAsia"/>
          <w:color w:val="auto"/>
          <w:szCs w:val="20"/>
          <w:highlight w:val="none"/>
          <w:lang w:eastAsia="zh-CN"/>
        </w:rPr>
        <w:t>，</w:t>
      </w:r>
      <w:r>
        <w:rPr>
          <w:rFonts w:hint="eastAsia" w:ascii="Times New Roman" w:hAnsi="Times New Roman"/>
          <w:color w:val="auto"/>
          <w:szCs w:val="20"/>
          <w:highlight w:val="none"/>
        </w:rPr>
        <w:t>属崩积成因。该层在勘察场地内普遍分布</w:t>
      </w:r>
      <w:r>
        <w:rPr>
          <w:rFonts w:hint="eastAsia"/>
          <w:color w:val="auto"/>
          <w:szCs w:val="20"/>
          <w:highlight w:val="none"/>
          <w:lang w:eastAsia="zh-CN"/>
        </w:rPr>
        <w:t>，</w:t>
      </w:r>
      <w:r>
        <w:rPr>
          <w:rFonts w:hint="eastAsia" w:ascii="Times New Roman" w:hAnsi="Times New Roman"/>
          <w:color w:val="auto"/>
          <w:szCs w:val="20"/>
          <w:highlight w:val="none"/>
        </w:rPr>
        <w:t>层厚2.90~15.70m</w:t>
      </w:r>
      <w:r>
        <w:rPr>
          <w:rFonts w:hint="eastAsia"/>
          <w:color w:val="auto"/>
          <w:szCs w:val="20"/>
          <w:highlight w:val="none"/>
          <w:lang w:eastAsia="zh-CN"/>
        </w:rPr>
        <w:t>，</w:t>
      </w:r>
      <w:r>
        <w:rPr>
          <w:rFonts w:hint="eastAsia" w:ascii="Times New Roman" w:hAnsi="Times New Roman"/>
          <w:color w:val="auto"/>
          <w:szCs w:val="20"/>
          <w:highlight w:val="none"/>
        </w:rPr>
        <w:t>层底标高505.94~521.73m。</w:t>
      </w:r>
    </w:p>
    <w:p w14:paraId="4230B2C6">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eastAsia="zh-CN"/>
        </w:rPr>
        <w:t>（</w:t>
      </w:r>
      <w:r>
        <w:rPr>
          <w:rFonts w:hint="eastAsia"/>
          <w:color w:val="auto"/>
          <w:szCs w:val="20"/>
          <w:highlight w:val="none"/>
          <w:lang w:val="en-US" w:eastAsia="zh-CN"/>
        </w:rPr>
        <w:t>3</w:t>
      </w:r>
      <w:r>
        <w:rPr>
          <w:rFonts w:hint="eastAsia"/>
          <w:color w:val="auto"/>
          <w:szCs w:val="20"/>
          <w:highlight w:val="none"/>
          <w:lang w:eastAsia="zh-CN"/>
        </w:rPr>
        <w:t>）</w:t>
      </w: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p>
    <w:p w14:paraId="70DB0020">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val="en-US" w:eastAsia="zh-CN"/>
        </w:rPr>
        <w:t>1）</w:t>
      </w:r>
      <w:r>
        <w:rPr>
          <w:rFonts w:hint="eastAsia" w:ascii="Times New Roman" w:hAnsi="Times New Roman"/>
          <w:color w:val="auto"/>
          <w:szCs w:val="20"/>
          <w:highlight w:val="none"/>
        </w:rPr>
        <w:t>强风化泥岩(K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):岩体呈强风化状态</w:t>
      </w:r>
      <w:r>
        <w:rPr>
          <w:rFonts w:hint="eastAsia"/>
          <w:color w:val="auto"/>
          <w:szCs w:val="20"/>
          <w:highlight w:val="none"/>
          <w:lang w:eastAsia="zh-CN"/>
        </w:rPr>
        <w:t>，</w:t>
      </w:r>
      <w:r>
        <w:rPr>
          <w:rFonts w:hint="eastAsia" w:ascii="Times New Roman" w:hAnsi="Times New Roman"/>
          <w:color w:val="auto"/>
          <w:szCs w:val="20"/>
          <w:highlight w:val="none"/>
        </w:rPr>
        <w:t>红褐色</w:t>
      </w:r>
      <w:r>
        <w:rPr>
          <w:rFonts w:hint="eastAsia"/>
          <w:color w:val="auto"/>
          <w:szCs w:val="20"/>
          <w:highlight w:val="none"/>
          <w:lang w:eastAsia="zh-CN"/>
        </w:rPr>
        <w:t>，</w:t>
      </w:r>
      <w:r>
        <w:rPr>
          <w:rFonts w:hint="eastAsia" w:ascii="Times New Roman" w:hAnsi="Times New Roman"/>
          <w:color w:val="auto"/>
          <w:szCs w:val="20"/>
          <w:highlight w:val="none"/>
        </w:rPr>
        <w:t>层状构造</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170°∠2°</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粘粒结构</w:t>
      </w:r>
      <w:r>
        <w:rPr>
          <w:rFonts w:hint="eastAsia"/>
          <w:color w:val="auto"/>
          <w:szCs w:val="20"/>
          <w:highlight w:val="none"/>
          <w:lang w:eastAsia="zh-CN"/>
        </w:rPr>
        <w:t>，</w:t>
      </w:r>
      <w:r>
        <w:rPr>
          <w:rFonts w:hint="eastAsia" w:ascii="Times New Roman" w:hAnsi="Times New Roman"/>
          <w:color w:val="auto"/>
          <w:szCs w:val="20"/>
          <w:highlight w:val="none"/>
        </w:rPr>
        <w:t>泥质胶结</w:t>
      </w:r>
      <w:r>
        <w:rPr>
          <w:rFonts w:hint="eastAsia"/>
          <w:color w:val="auto"/>
          <w:szCs w:val="20"/>
          <w:highlight w:val="none"/>
          <w:lang w:eastAsia="zh-CN"/>
        </w:rPr>
        <w:t>，</w:t>
      </w:r>
      <w:r>
        <w:rPr>
          <w:rFonts w:hint="eastAsia" w:ascii="Times New Roman" w:hAnsi="Times New Roman"/>
          <w:color w:val="auto"/>
          <w:szCs w:val="20"/>
          <w:highlight w:val="none"/>
        </w:rPr>
        <w:t>主要矿物成份为粘土矿物。该层在E勘察场地内普遍分布</w:t>
      </w:r>
      <w:r>
        <w:rPr>
          <w:rFonts w:hint="eastAsia"/>
          <w:color w:val="auto"/>
          <w:szCs w:val="20"/>
          <w:highlight w:val="none"/>
          <w:lang w:eastAsia="zh-CN"/>
        </w:rPr>
        <w:t>，</w:t>
      </w:r>
      <w:r>
        <w:rPr>
          <w:rFonts w:hint="eastAsia" w:ascii="Times New Roman" w:hAnsi="Times New Roman"/>
          <w:color w:val="auto"/>
          <w:szCs w:val="20"/>
          <w:highlight w:val="none"/>
        </w:rPr>
        <w:t>层厚0.50~2.00m</w:t>
      </w:r>
      <w:r>
        <w:rPr>
          <w:rFonts w:hint="eastAsia"/>
          <w:color w:val="auto"/>
          <w:szCs w:val="20"/>
          <w:highlight w:val="none"/>
          <w:lang w:eastAsia="zh-CN"/>
        </w:rPr>
        <w:t>，</w:t>
      </w:r>
      <w:r>
        <w:rPr>
          <w:rFonts w:hint="eastAsia" w:ascii="Times New Roman" w:hAnsi="Times New Roman"/>
          <w:color w:val="auto"/>
          <w:szCs w:val="20"/>
          <w:highlight w:val="none"/>
        </w:rPr>
        <w:t>层底标高507.28~522.38m。强风化泥岩岩体破碎</w:t>
      </w:r>
      <w:r>
        <w:rPr>
          <w:rFonts w:hint="eastAsia"/>
          <w:color w:val="auto"/>
          <w:szCs w:val="20"/>
          <w:highlight w:val="none"/>
          <w:lang w:eastAsia="zh-CN"/>
        </w:rPr>
        <w:t>，</w:t>
      </w:r>
      <w:r>
        <w:rPr>
          <w:rFonts w:hint="eastAsia" w:ascii="Times New Roman" w:hAnsi="Times New Roman"/>
          <w:color w:val="auto"/>
          <w:szCs w:val="20"/>
          <w:highlight w:val="none"/>
        </w:rPr>
        <w:t>用镐可挖</w:t>
      </w:r>
      <w:r>
        <w:rPr>
          <w:rFonts w:hint="eastAsia"/>
          <w:color w:val="auto"/>
          <w:szCs w:val="20"/>
          <w:highlight w:val="none"/>
          <w:lang w:eastAsia="zh-CN"/>
        </w:rPr>
        <w:t>，</w:t>
      </w:r>
      <w:r>
        <w:rPr>
          <w:rFonts w:hint="eastAsia" w:ascii="Times New Roman" w:hAnsi="Times New Roman"/>
          <w:color w:val="auto"/>
          <w:szCs w:val="20"/>
          <w:highlight w:val="none"/>
        </w:rPr>
        <w:t>干钻不易钻进</w:t>
      </w:r>
      <w:r>
        <w:rPr>
          <w:rFonts w:hint="eastAsia"/>
          <w:color w:val="auto"/>
          <w:szCs w:val="20"/>
          <w:highlight w:val="none"/>
          <w:lang w:eastAsia="zh-CN"/>
        </w:rPr>
        <w:t>，</w:t>
      </w:r>
      <w:r>
        <w:rPr>
          <w:rFonts w:hint="eastAsia" w:ascii="Times New Roman" w:hAnsi="Times New Roman"/>
          <w:color w:val="auto"/>
          <w:szCs w:val="20"/>
          <w:highlight w:val="none"/>
        </w:rPr>
        <w:t>岩芯多呈碎块状、短柱状</w:t>
      </w:r>
      <w:r>
        <w:rPr>
          <w:rFonts w:hint="eastAsia"/>
          <w:color w:val="auto"/>
          <w:szCs w:val="20"/>
          <w:highlight w:val="none"/>
          <w:lang w:eastAsia="zh-CN"/>
        </w:rPr>
        <w:t>，</w:t>
      </w:r>
      <w:r>
        <w:rPr>
          <w:rFonts w:hint="eastAsia" w:ascii="Times New Roman" w:hAnsi="Times New Roman"/>
          <w:color w:val="auto"/>
          <w:szCs w:val="20"/>
          <w:highlight w:val="none"/>
        </w:rPr>
        <w:t>岩芯采取率65~70%。依据现场钻勘资料与试验可知:其坚硬程度分类为极软岩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岩体完整程度分类为砂破碎</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岩体基本质量等级分类为V类。</w:t>
      </w:r>
    </w:p>
    <w:p w14:paraId="4AE0FEE7">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val="en-US" w:eastAsia="zh-CN"/>
        </w:rPr>
        <w:t>2）</w:t>
      </w:r>
      <w:r>
        <w:rPr>
          <w:rFonts w:hint="eastAsia" w:ascii="Times New Roman" w:hAnsi="Times New Roman"/>
          <w:color w:val="auto"/>
          <w:szCs w:val="20"/>
          <w:highlight w:val="none"/>
        </w:rPr>
        <w:t>中等风化泥岩(K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):岩体呈中等风化状态</w:t>
      </w:r>
      <w:r>
        <w:rPr>
          <w:rFonts w:hint="eastAsia"/>
          <w:color w:val="auto"/>
          <w:szCs w:val="20"/>
          <w:highlight w:val="none"/>
          <w:lang w:eastAsia="zh-CN"/>
        </w:rPr>
        <w:t>，</w:t>
      </w:r>
      <w:r>
        <w:rPr>
          <w:rFonts w:hint="eastAsia" w:ascii="Times New Roman" w:hAnsi="Times New Roman"/>
          <w:color w:val="auto"/>
          <w:szCs w:val="20"/>
          <w:highlight w:val="none"/>
        </w:rPr>
        <w:t>红褐色</w:t>
      </w:r>
      <w:r>
        <w:rPr>
          <w:rFonts w:hint="eastAsia"/>
          <w:color w:val="auto"/>
          <w:szCs w:val="20"/>
          <w:highlight w:val="none"/>
          <w:lang w:eastAsia="zh-CN"/>
        </w:rPr>
        <w:t>，</w:t>
      </w:r>
      <w:r>
        <w:rPr>
          <w:rFonts w:hint="eastAsia" w:ascii="Times New Roman" w:hAnsi="Times New Roman"/>
          <w:color w:val="auto"/>
          <w:szCs w:val="20"/>
          <w:highlight w:val="none"/>
        </w:rPr>
        <w:t>层状构造</w:t>
      </w:r>
      <w:r>
        <w:rPr>
          <w:rFonts w:hint="eastAsia"/>
          <w:color w:val="auto"/>
          <w:szCs w:val="20"/>
          <w:highlight w:val="none"/>
          <w:lang w:eastAsia="zh-CN"/>
        </w:rPr>
        <w:t>，</w:t>
      </w:r>
      <w:r>
        <w:rPr>
          <w:rFonts w:hint="eastAsia" w:ascii="Times New Roman" w:hAnsi="Times New Roman"/>
          <w:color w:val="auto"/>
          <w:szCs w:val="20"/>
          <w:highlight w:val="none"/>
        </w:rPr>
        <w:t>粘粒结构</w:t>
      </w:r>
      <w:r>
        <w:rPr>
          <w:rFonts w:hint="eastAsia"/>
          <w:color w:val="auto"/>
          <w:szCs w:val="20"/>
          <w:highlight w:val="none"/>
          <w:lang w:eastAsia="zh-CN"/>
        </w:rPr>
        <w:t>，</w:t>
      </w:r>
      <w:r>
        <w:rPr>
          <w:rFonts w:hint="eastAsia" w:ascii="Times New Roman" w:hAnsi="Times New Roman"/>
          <w:color w:val="auto"/>
          <w:szCs w:val="20"/>
          <w:highlight w:val="none"/>
        </w:rPr>
        <w:t>泥质胶结</w:t>
      </w:r>
      <w:r>
        <w:rPr>
          <w:rFonts w:hint="eastAsia"/>
          <w:color w:val="auto"/>
          <w:szCs w:val="20"/>
          <w:highlight w:val="none"/>
          <w:lang w:eastAsia="zh-CN"/>
        </w:rPr>
        <w:t>，</w:t>
      </w:r>
      <w:r>
        <w:rPr>
          <w:rFonts w:hint="eastAsia" w:ascii="Times New Roman" w:hAnsi="Times New Roman"/>
          <w:color w:val="auto"/>
          <w:szCs w:val="20"/>
          <w:highlight w:val="none"/>
        </w:rPr>
        <w:t>岩层产状呈170°/2°</w:t>
      </w:r>
      <w:r>
        <w:rPr>
          <w:rFonts w:hint="eastAsia"/>
          <w:color w:val="auto"/>
          <w:szCs w:val="20"/>
          <w:highlight w:val="none"/>
          <w:lang w:eastAsia="zh-CN"/>
        </w:rPr>
        <w:t>，</w:t>
      </w:r>
      <w:r>
        <w:rPr>
          <w:rFonts w:hint="eastAsia" w:ascii="Times New Roman" w:hAnsi="Times New Roman"/>
          <w:color w:val="auto"/>
          <w:szCs w:val="20"/>
          <w:highlight w:val="none"/>
        </w:rPr>
        <w:t>主要矿物成份为粘土矿物</w:t>
      </w:r>
      <w:r>
        <w:rPr>
          <w:rFonts w:hint="eastAsia"/>
          <w:color w:val="auto"/>
          <w:szCs w:val="20"/>
          <w:highlight w:val="none"/>
          <w:lang w:eastAsia="zh-CN"/>
        </w:rPr>
        <w:t>，</w:t>
      </w:r>
      <w:r>
        <w:rPr>
          <w:rFonts w:hint="eastAsia" w:ascii="Times New Roman" w:hAnsi="Times New Roman"/>
          <w:color w:val="auto"/>
          <w:szCs w:val="20"/>
          <w:highlight w:val="none"/>
        </w:rPr>
        <w:t>该层在勘察场地内普遍分布</w:t>
      </w:r>
      <w:r>
        <w:rPr>
          <w:rFonts w:hint="eastAsia"/>
          <w:color w:val="auto"/>
          <w:szCs w:val="20"/>
          <w:highlight w:val="none"/>
          <w:lang w:eastAsia="zh-CN"/>
        </w:rPr>
        <w:t>，</w:t>
      </w:r>
      <w:r>
        <w:rPr>
          <w:rFonts w:hint="eastAsia" w:ascii="Times New Roman" w:hAnsi="Times New Roman"/>
          <w:color w:val="auto"/>
          <w:szCs w:val="20"/>
          <w:highlight w:val="none"/>
        </w:rPr>
        <w:t>层厚1.10~6.50m</w:t>
      </w:r>
      <w:r>
        <w:rPr>
          <w:rFonts w:hint="eastAsia"/>
          <w:color w:val="auto"/>
          <w:szCs w:val="20"/>
          <w:highlight w:val="none"/>
          <w:lang w:eastAsia="zh-CN"/>
        </w:rPr>
        <w:t>，</w:t>
      </w:r>
      <w:r>
        <w:rPr>
          <w:rFonts w:hint="eastAsia" w:ascii="Times New Roman" w:hAnsi="Times New Roman"/>
          <w:color w:val="auto"/>
          <w:szCs w:val="20"/>
          <w:highlight w:val="none"/>
        </w:rPr>
        <w:t>未揭穿</w:t>
      </w:r>
      <w:r>
        <w:rPr>
          <w:rFonts w:hint="eastAsia"/>
          <w:color w:val="auto"/>
          <w:szCs w:val="20"/>
          <w:highlight w:val="none"/>
          <w:lang w:eastAsia="zh-CN"/>
        </w:rPr>
        <w:t>，</w:t>
      </w:r>
      <w:r>
        <w:rPr>
          <w:rFonts w:hint="eastAsia" w:ascii="Times New Roman" w:hAnsi="Times New Roman"/>
          <w:color w:val="auto"/>
          <w:szCs w:val="20"/>
          <w:highlight w:val="none"/>
        </w:rPr>
        <w:t>层底标高503.70~517.63m。中等风化泥岩用镐难挖</w:t>
      </w:r>
      <w:r>
        <w:rPr>
          <w:rFonts w:hint="eastAsia"/>
          <w:color w:val="auto"/>
          <w:szCs w:val="20"/>
          <w:highlight w:val="none"/>
          <w:lang w:eastAsia="zh-CN"/>
        </w:rPr>
        <w:t>，</w:t>
      </w:r>
      <w:r>
        <w:rPr>
          <w:rFonts w:hint="eastAsia" w:ascii="Times New Roman" w:hAnsi="Times New Roman"/>
          <w:color w:val="auto"/>
          <w:szCs w:val="20"/>
          <w:highlight w:val="none"/>
        </w:rPr>
        <w:t>岩芯多呈短柱状、长柱状</w:t>
      </w:r>
      <w:r>
        <w:rPr>
          <w:rFonts w:hint="eastAsia"/>
          <w:color w:val="auto"/>
          <w:szCs w:val="20"/>
          <w:highlight w:val="none"/>
          <w:lang w:eastAsia="zh-CN"/>
        </w:rPr>
        <w:t>，</w:t>
      </w:r>
      <w:r>
        <w:rPr>
          <w:rFonts w:hint="eastAsia" w:ascii="Times New Roman" w:hAnsi="Times New Roman"/>
          <w:color w:val="auto"/>
          <w:szCs w:val="20"/>
          <w:highlight w:val="none"/>
        </w:rPr>
        <w:t>岩芯采取率80~85%</w:t>
      </w:r>
      <w:r>
        <w:rPr>
          <w:rFonts w:hint="eastAsia"/>
          <w:color w:val="auto"/>
          <w:szCs w:val="20"/>
          <w:highlight w:val="none"/>
          <w:lang w:eastAsia="zh-CN"/>
        </w:rPr>
        <w:t>，</w:t>
      </w:r>
      <w:r>
        <w:rPr>
          <w:rFonts w:hint="eastAsia" w:ascii="Times New Roman" w:hAnsi="Times New Roman"/>
          <w:color w:val="auto"/>
          <w:szCs w:val="20"/>
          <w:highlight w:val="none"/>
        </w:rPr>
        <w:t>RQD=55~75。依据现场钻勘资料与试验判定中等风化泥岩坚硬程度分类为极软岩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岩体完整程度分类为较完整</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岩体基本质量等级分类为V类</w:t>
      </w:r>
      <w:r>
        <w:rPr>
          <w:rFonts w:hint="eastAsia"/>
          <w:color w:val="auto"/>
          <w:szCs w:val="20"/>
          <w:highlight w:val="none"/>
          <w:lang w:eastAsia="zh-CN"/>
        </w:rPr>
        <w:t>，</w:t>
      </w:r>
      <w:r>
        <w:rPr>
          <w:rFonts w:hint="eastAsia" w:ascii="Times New Roman" w:hAnsi="Times New Roman"/>
          <w:color w:val="auto"/>
          <w:szCs w:val="20"/>
          <w:highlight w:val="none"/>
        </w:rPr>
        <w:t>软化系数小于0.75</w:t>
      </w:r>
      <w:r>
        <w:rPr>
          <w:rFonts w:hint="eastAsia"/>
          <w:color w:val="auto"/>
          <w:szCs w:val="20"/>
          <w:highlight w:val="none"/>
          <w:lang w:eastAsia="zh-CN"/>
        </w:rPr>
        <w:t>，</w:t>
      </w:r>
      <w:r>
        <w:rPr>
          <w:rFonts w:hint="eastAsia" w:ascii="Times New Roman" w:hAnsi="Times New Roman"/>
          <w:color w:val="auto"/>
          <w:szCs w:val="20"/>
          <w:highlight w:val="none"/>
        </w:rPr>
        <w:t>为软化岩石。</w:t>
      </w:r>
    </w:p>
    <w:p w14:paraId="6C174876">
      <w:pPr>
        <w:adjustRightInd w:val="0"/>
        <w:snapToGrid w:val="0"/>
        <w:spacing w:line="360" w:lineRule="auto"/>
        <w:ind w:left="0" w:leftChars="0" w:firstLine="480" w:firstLineChars="200"/>
        <w:jc w:val="both"/>
        <w:rPr>
          <w:rFonts w:hint="eastAsia" w:ascii="Times New Roman" w:hAnsi="Times New Roman"/>
          <w:color w:val="auto"/>
          <w:szCs w:val="20"/>
          <w:highlight w:val="none"/>
          <w:lang w:eastAsia="zh-CN"/>
        </w:rPr>
      </w:pPr>
      <w:r>
        <w:rPr>
          <w:rFonts w:hint="eastAsia"/>
          <w:color w:val="auto"/>
          <w:szCs w:val="20"/>
          <w:highlight w:val="none"/>
          <w:lang w:val="en-US" w:eastAsia="zh-CN"/>
        </w:rPr>
        <w:t>3）</w:t>
      </w:r>
      <w:r>
        <w:rPr>
          <w:rFonts w:hint="eastAsia" w:ascii="Times New Roman" w:hAnsi="Times New Roman"/>
          <w:color w:val="auto"/>
          <w:szCs w:val="20"/>
          <w:highlight w:val="none"/>
        </w:rPr>
        <w:t>强风化砂岩(K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):岩体呈强风化状态</w:t>
      </w:r>
      <w:r>
        <w:rPr>
          <w:rFonts w:hint="eastAsia"/>
          <w:color w:val="auto"/>
          <w:szCs w:val="20"/>
          <w:highlight w:val="none"/>
          <w:lang w:eastAsia="zh-CN"/>
        </w:rPr>
        <w:t>，</w:t>
      </w:r>
      <w:r>
        <w:rPr>
          <w:rFonts w:hint="eastAsia" w:ascii="Times New Roman" w:hAnsi="Times New Roman"/>
          <w:color w:val="auto"/>
          <w:szCs w:val="20"/>
          <w:highlight w:val="none"/>
        </w:rPr>
        <w:t>灰白色</w:t>
      </w:r>
      <w:r>
        <w:rPr>
          <w:rFonts w:hint="eastAsia"/>
          <w:color w:val="auto"/>
          <w:szCs w:val="20"/>
          <w:highlight w:val="none"/>
          <w:lang w:eastAsia="zh-CN"/>
        </w:rPr>
        <w:t>，</w:t>
      </w:r>
      <w:r>
        <w:rPr>
          <w:rFonts w:hint="eastAsia" w:ascii="Times New Roman" w:hAnsi="Times New Roman"/>
          <w:color w:val="auto"/>
          <w:szCs w:val="20"/>
          <w:highlight w:val="none"/>
        </w:rPr>
        <w:t>层状构造</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170°∠2°</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细粒结构</w:t>
      </w:r>
      <w:r>
        <w:rPr>
          <w:rFonts w:hint="eastAsia"/>
          <w:color w:val="auto"/>
          <w:szCs w:val="20"/>
          <w:highlight w:val="none"/>
          <w:lang w:eastAsia="zh-CN"/>
        </w:rPr>
        <w:t>，</w:t>
      </w:r>
      <w:r>
        <w:rPr>
          <w:rFonts w:hint="eastAsia" w:ascii="Times New Roman" w:hAnsi="Times New Roman"/>
          <w:color w:val="auto"/>
          <w:szCs w:val="20"/>
          <w:highlight w:val="none"/>
        </w:rPr>
        <w:t>钙、硅质胶结</w:t>
      </w:r>
      <w:r>
        <w:rPr>
          <w:rFonts w:hint="eastAsia"/>
          <w:color w:val="auto"/>
          <w:szCs w:val="20"/>
          <w:highlight w:val="none"/>
          <w:lang w:eastAsia="zh-CN"/>
        </w:rPr>
        <w:t>，</w:t>
      </w:r>
      <w:r>
        <w:rPr>
          <w:rFonts w:hint="eastAsia" w:ascii="Times New Roman" w:hAnsi="Times New Roman"/>
          <w:color w:val="auto"/>
          <w:szCs w:val="20"/>
          <w:highlight w:val="none"/>
        </w:rPr>
        <w:t>主要矿物成份为长石、石英、云母等原生矿物。该层主要分布在场地南东角(仅zk39见)</w:t>
      </w:r>
      <w:r>
        <w:rPr>
          <w:rFonts w:hint="eastAsia"/>
          <w:color w:val="auto"/>
          <w:szCs w:val="20"/>
          <w:highlight w:val="none"/>
          <w:lang w:eastAsia="zh-CN"/>
        </w:rPr>
        <w:t>，</w:t>
      </w:r>
      <w:r>
        <w:rPr>
          <w:rFonts w:hint="eastAsia" w:ascii="Times New Roman" w:hAnsi="Times New Roman"/>
          <w:color w:val="auto"/>
          <w:szCs w:val="20"/>
          <w:highlight w:val="none"/>
        </w:rPr>
        <w:t>层厚0.60m</w:t>
      </w:r>
      <w:r>
        <w:rPr>
          <w:rFonts w:hint="eastAsia"/>
          <w:color w:val="auto"/>
          <w:szCs w:val="20"/>
          <w:highlight w:val="none"/>
          <w:lang w:eastAsia="zh-CN"/>
        </w:rPr>
        <w:t>，</w:t>
      </w:r>
      <w:r>
        <w:rPr>
          <w:rFonts w:hint="eastAsia" w:ascii="Times New Roman" w:hAnsi="Times New Roman"/>
          <w:color w:val="auto"/>
          <w:szCs w:val="20"/>
          <w:highlight w:val="none"/>
        </w:rPr>
        <w:t>层底标高505.34m。强风化砂岩岩体破碎</w:t>
      </w:r>
      <w:r>
        <w:rPr>
          <w:rFonts w:hint="eastAsia"/>
          <w:color w:val="auto"/>
          <w:szCs w:val="20"/>
          <w:highlight w:val="none"/>
          <w:lang w:eastAsia="zh-CN"/>
        </w:rPr>
        <w:t>，</w:t>
      </w:r>
      <w:r>
        <w:rPr>
          <w:rFonts w:hint="eastAsia" w:ascii="Times New Roman" w:hAnsi="Times New Roman"/>
          <w:color w:val="auto"/>
          <w:szCs w:val="20"/>
          <w:highlight w:val="none"/>
        </w:rPr>
        <w:t>用镐可挖</w:t>
      </w:r>
      <w:r>
        <w:rPr>
          <w:rFonts w:hint="eastAsia"/>
          <w:color w:val="auto"/>
          <w:szCs w:val="20"/>
          <w:highlight w:val="none"/>
          <w:lang w:eastAsia="zh-CN"/>
        </w:rPr>
        <w:t>，</w:t>
      </w:r>
      <w:r>
        <w:rPr>
          <w:rFonts w:hint="eastAsia" w:ascii="Times New Roman" w:hAnsi="Times New Roman"/>
          <w:color w:val="auto"/>
          <w:szCs w:val="20"/>
          <w:highlight w:val="none"/>
        </w:rPr>
        <w:t>干钻不易钻进</w:t>
      </w:r>
      <w:r>
        <w:rPr>
          <w:rFonts w:hint="eastAsia"/>
          <w:color w:val="auto"/>
          <w:szCs w:val="20"/>
          <w:highlight w:val="none"/>
          <w:lang w:eastAsia="zh-CN"/>
        </w:rPr>
        <w:t>，</w:t>
      </w:r>
      <w:r>
        <w:rPr>
          <w:rFonts w:hint="eastAsia" w:ascii="Times New Roman" w:hAnsi="Times New Roman"/>
          <w:color w:val="auto"/>
          <w:szCs w:val="20"/>
          <w:highlight w:val="none"/>
        </w:rPr>
        <w:t>岩芯多呈碎块状、短柱状</w:t>
      </w:r>
      <w:r>
        <w:rPr>
          <w:rFonts w:hint="eastAsia"/>
          <w:color w:val="auto"/>
          <w:szCs w:val="20"/>
          <w:highlight w:val="none"/>
          <w:lang w:eastAsia="zh-CN"/>
        </w:rPr>
        <w:t>，</w:t>
      </w:r>
      <w:r>
        <w:rPr>
          <w:rFonts w:hint="eastAsia" w:ascii="Times New Roman" w:hAnsi="Times New Roman"/>
          <w:color w:val="auto"/>
          <w:szCs w:val="20"/>
          <w:highlight w:val="none"/>
        </w:rPr>
        <w:t>岩芯采取率70~75%。依据现场钻勘资料可知:其坚硬程度分类为材吸软岩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岩体完整程度分类为破碎</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岩体基本质量等级分类为V类</w:t>
      </w:r>
      <w:r>
        <w:rPr>
          <w:rFonts w:hint="eastAsia" w:ascii="Times New Roman" w:hAnsi="Times New Roman"/>
          <w:color w:val="auto"/>
          <w:szCs w:val="20"/>
          <w:highlight w:val="none"/>
          <w:lang w:eastAsia="zh-CN"/>
        </w:rPr>
        <w:t>。</w:t>
      </w:r>
    </w:p>
    <w:p w14:paraId="4436E086">
      <w:pPr>
        <w:adjustRightInd w:val="0"/>
        <w:snapToGrid w:val="0"/>
        <w:spacing w:line="360" w:lineRule="auto"/>
        <w:ind w:left="0" w:leftChars="0" w:firstLine="480" w:firstLineChars="20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4）中等风化砂岩(K</w:t>
      </w:r>
      <w:r>
        <w:rPr>
          <w:rFonts w:hint="eastAsia" w:ascii="Times New Roman" w:hAnsi="Times New Roman" w:eastAsia="宋体" w:cs="Times New Roman"/>
          <w:color w:val="auto"/>
          <w:highlight w:val="none"/>
          <w:vertAlign w:val="subscript"/>
          <w:lang w:val="en-US" w:eastAsia="zh-CN"/>
        </w:rPr>
        <w:t>1</w:t>
      </w:r>
      <w:r>
        <w:rPr>
          <w:rFonts w:hint="eastAsia" w:ascii="Times New Roman" w:hAnsi="Times New Roman" w:eastAsia="宋体" w:cs="Times New Roman"/>
          <w:color w:val="auto"/>
          <w:highlight w:val="none"/>
          <w:lang w:val="en-US" w:eastAsia="zh-CN"/>
        </w:rPr>
        <w:t>b):岩体呈中等风化状态，灰白色，房层状构造，细粒结构，钙、硅质胶结，岩层产状呈170°/2°，主要矿物成份为长石、石英、云母等原生矿物。该层主要分布在场地南东角(仅zk39见)，月层厚3.90m，层底标高501.44m。中等风化砂岩用镐难挖，岩芯多呈短柱状、长柱状，岩芯采取率85~90%，RQD=75~85。依据现场钻勘资料可知:其坚硬程度分类为较软岩，岩体完整程度分类为完整，岩体基本质量等级分类为III类。依据国地区经验判断其软化系数大于0.75，为非软化岩石。</w:t>
      </w:r>
    </w:p>
    <w:p w14:paraId="39CBC958">
      <w:pPr>
        <w:pStyle w:val="4"/>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地质构造</w:t>
      </w:r>
    </w:p>
    <w:p w14:paraId="416ADE96">
      <w:pPr>
        <w:adjustRightInd w:val="0"/>
        <w:snapToGrid w:val="0"/>
        <w:spacing w:line="360" w:lineRule="auto"/>
        <w:ind w:left="0" w:leftChars="0" w:firstLine="480" w:firstLineChars="200"/>
        <w:jc w:val="left"/>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通江县处于大巴山歹字型构造中段的南侧，与川东新华厦系构造，巴（中）-平（昌）莲花状构造的复合交接部位，因而，区内构造线展向多变，构造形迹总的是以褶皱为主，而断裂不发育。根据构造在区内的分布及其水文地质意义以大巴山弧形构造和川东新华夏系构造较为重要。在复杂的区域构造旋扭应力的作用下，使区内褶皱轴线多呈弧形，岩层倾角变化频繁，并常有挠曲现象，从而在一定程度上影响和决定了通江县地质灾害的分布发育特征。岩层平缓，产状155°∠5°，岩性单一，无断层分布、发育。勘察区新构造运动仅表现为大面积的整体抬升，未发现断裂活动迹象。地震危险性主要受外围地震波及影响，在区域上属相对稳定区。通江县地层岩性及地质构造分布如下图所示。</w:t>
      </w:r>
    </w:p>
    <w:p w14:paraId="580D6373">
      <w:pPr>
        <w:adjustRightInd w:val="0"/>
        <w:snapToGrid w:val="0"/>
        <w:spacing w:line="360" w:lineRule="auto"/>
        <w:ind w:left="0" w:leftChars="0" w:firstLine="480" w:firstLineChars="200"/>
        <w:jc w:val="left"/>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场地内岩层产状呈172°∠2°，无断层分布、发育，层间裂隙与卸荷裂隙发育。</w:t>
      </w:r>
    </w:p>
    <w:p w14:paraId="6C4E09D9">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气候气象</w:t>
      </w:r>
    </w:p>
    <w:p w14:paraId="26D55C03">
      <w:pPr>
        <w:pStyle w:val="26"/>
        <w:bidi w:val="0"/>
        <w:rPr>
          <w:rFonts w:hint="default" w:ascii="Times New Roman" w:hAnsi="Times New Roman" w:cs="Times New Roman"/>
          <w:color w:val="auto"/>
        </w:rPr>
      </w:pPr>
      <w:r>
        <w:rPr>
          <w:rFonts w:hint="default" w:ascii="Times New Roman" w:hAnsi="Times New Roman" w:cs="Times New Roman"/>
          <w:color w:val="auto"/>
        </w:rPr>
        <w:t>通江县属中亚热带湿润季风气候区，气候受海拔影响大，海拔500m以下地区属四川盆地亚热带气候，全年四季分明，雨量充沛，气候温和，雨水集中在夏季，冬暖雪少</w:t>
      </w:r>
      <w:r>
        <w:rPr>
          <w:rFonts w:hint="eastAsia" w:ascii="Times New Roman" w:hAnsi="Times New Roman" w:cs="Times New Roman"/>
          <w:color w:val="auto"/>
          <w:lang w:eastAsia="zh-CN"/>
        </w:rPr>
        <w:t>。</w:t>
      </w:r>
      <w:r>
        <w:rPr>
          <w:rFonts w:hint="eastAsia"/>
          <w:color w:val="auto"/>
        </w:rPr>
        <w:t>根据统计，</w:t>
      </w:r>
      <w:r>
        <w:rPr>
          <w:rFonts w:hint="eastAsia"/>
          <w:color w:val="auto"/>
          <w:lang w:eastAsia="zh-CN"/>
        </w:rPr>
        <w:t>通江气象站</w:t>
      </w:r>
      <w:r>
        <w:rPr>
          <w:rFonts w:hint="eastAsia"/>
          <w:color w:val="auto"/>
        </w:rPr>
        <w:t>近</w:t>
      </w:r>
      <w:r>
        <w:rPr>
          <w:color w:val="auto"/>
        </w:rPr>
        <w:t>20</w:t>
      </w:r>
      <w:r>
        <w:rPr>
          <w:rFonts w:hint="eastAsia"/>
          <w:color w:val="auto"/>
        </w:rPr>
        <w:t>年地面气象资料</w:t>
      </w:r>
      <w:r>
        <w:rPr>
          <w:rFonts w:hint="default" w:ascii="Times New Roman" w:hAnsi="Times New Roman" w:cs="Times New Roman"/>
          <w:color w:val="auto"/>
        </w:rPr>
        <w:t>：</w:t>
      </w:r>
    </w:p>
    <w:p w14:paraId="09B4B56A">
      <w:pPr>
        <w:pStyle w:val="26"/>
        <w:bidi w:val="0"/>
        <w:rPr>
          <w:rFonts w:hint="default" w:ascii="Times New Roman" w:hAnsi="Times New Roman" w:cs="Times New Roman"/>
          <w:color w:val="auto"/>
        </w:rPr>
      </w:pPr>
      <w:r>
        <w:rPr>
          <w:rFonts w:hint="default" w:ascii="Times New Roman" w:hAnsi="Times New Roman" w:cs="Times New Roman"/>
          <w:color w:val="auto"/>
        </w:rPr>
        <w:t>①气温：多年平均气温16.</w:t>
      </w:r>
      <w:r>
        <w:rPr>
          <w:rFonts w:hint="eastAsia" w:ascii="Times New Roman" w:hAnsi="Times New Roman" w:cs="Times New Roman"/>
          <w:color w:val="auto"/>
          <w:lang w:val="en-US" w:eastAsia="zh-CN"/>
        </w:rPr>
        <w:t>8</w:t>
      </w:r>
      <w:r>
        <w:rPr>
          <w:rFonts w:hint="default" w:ascii="Times New Roman" w:hAnsi="Times New Roman" w:cs="Times New Roman"/>
          <w:color w:val="auto"/>
        </w:rPr>
        <w:t>度，极端最高气温</w:t>
      </w:r>
      <w:r>
        <w:rPr>
          <w:rFonts w:hint="eastAsia" w:ascii="Times New Roman" w:hAnsi="Times New Roman" w:cs="Times New Roman"/>
          <w:color w:val="auto"/>
          <w:lang w:val="en-US" w:eastAsia="zh-CN"/>
        </w:rPr>
        <w:t>41.1</w:t>
      </w:r>
      <w:r>
        <w:rPr>
          <w:rFonts w:hint="default" w:ascii="Times New Roman" w:hAnsi="Times New Roman" w:cs="Times New Roman"/>
          <w:color w:val="auto"/>
        </w:rPr>
        <w:t>度，极端</w:t>
      </w:r>
      <w:r>
        <w:rPr>
          <w:rFonts w:hint="default" w:ascii="Times New Roman" w:hAnsi="Times New Roman" w:cs="Times New Roman"/>
          <w:color w:val="auto"/>
          <w:lang w:eastAsia="zh-CN"/>
        </w:rPr>
        <w:t>最低气温</w:t>
      </w:r>
      <w:r>
        <w:rPr>
          <w:rFonts w:hint="eastAsia" w:ascii="Times New Roman" w:hAnsi="Times New Roman" w:cs="Times New Roman"/>
          <w:color w:val="auto"/>
          <w:lang w:val="en-US" w:eastAsia="zh-CN"/>
        </w:rPr>
        <w:t>-7.2</w:t>
      </w:r>
      <w:r>
        <w:rPr>
          <w:rFonts w:hint="default" w:ascii="Times New Roman" w:hAnsi="Times New Roman" w:cs="Times New Roman"/>
          <w:color w:val="auto"/>
        </w:rPr>
        <w:t>度。</w:t>
      </w:r>
    </w:p>
    <w:p w14:paraId="7A6F4941">
      <w:pPr>
        <w:pStyle w:val="26"/>
        <w:bidi w:val="0"/>
        <w:rPr>
          <w:rFonts w:hint="default" w:ascii="Times New Roman" w:hAnsi="Times New Roman" w:cs="Times New Roman"/>
          <w:color w:val="auto"/>
        </w:rPr>
      </w:pPr>
      <w:r>
        <w:rPr>
          <w:rFonts w:hint="default" w:ascii="Times New Roman" w:hAnsi="Times New Roman" w:cs="Times New Roman"/>
          <w:color w:val="auto"/>
        </w:rPr>
        <w:t>②降雨量：多年平均降雨量</w:t>
      </w:r>
      <w:r>
        <w:rPr>
          <w:rFonts w:hint="eastAsia" w:ascii="Times New Roman" w:hAnsi="Times New Roman" w:cs="Times New Roman"/>
          <w:color w:val="auto"/>
          <w:lang w:val="en-US" w:eastAsia="zh-CN"/>
        </w:rPr>
        <w:t>1251.1</w:t>
      </w:r>
      <w:r>
        <w:rPr>
          <w:rFonts w:hint="default" w:ascii="Times New Roman" w:hAnsi="Times New Roman" w:cs="Times New Roman"/>
          <w:color w:val="auto"/>
        </w:rPr>
        <w:t>mm，</w:t>
      </w:r>
      <w:r>
        <w:rPr>
          <w:rFonts w:hint="default" w:ascii="Times New Roman" w:hAnsi="Times New Roman" w:cs="Times New Roman"/>
          <w:color w:val="auto"/>
          <w:lang w:val="en-US" w:eastAsia="zh-CN"/>
        </w:rPr>
        <w:t>最大年降水量</w:t>
      </w:r>
      <w:r>
        <w:rPr>
          <w:rFonts w:hint="eastAsia" w:ascii="Times New Roman" w:hAnsi="Times New Roman" w:cs="Times New Roman"/>
          <w:color w:val="auto"/>
          <w:lang w:val="en-US" w:eastAsia="zh-CN"/>
        </w:rPr>
        <w:t>1729.3mm，</w:t>
      </w:r>
      <w:r>
        <w:rPr>
          <w:rFonts w:hint="default" w:ascii="Times New Roman" w:hAnsi="Times New Roman" w:cs="Times New Roman"/>
          <w:color w:val="auto"/>
          <w:lang w:val="en-US" w:eastAsia="zh-CN"/>
        </w:rPr>
        <w:t>最</w:t>
      </w:r>
      <w:r>
        <w:rPr>
          <w:rFonts w:hint="eastAsia" w:ascii="Times New Roman" w:hAnsi="Times New Roman" w:cs="Times New Roman"/>
          <w:color w:val="auto"/>
          <w:lang w:val="en-US" w:eastAsia="zh-CN"/>
        </w:rPr>
        <w:t>小</w:t>
      </w:r>
      <w:r>
        <w:rPr>
          <w:rFonts w:hint="default" w:ascii="Times New Roman" w:hAnsi="Times New Roman" w:cs="Times New Roman"/>
          <w:color w:val="auto"/>
          <w:lang w:val="en-US" w:eastAsia="zh-CN"/>
        </w:rPr>
        <w:t>年降水量</w:t>
      </w:r>
      <w:r>
        <w:rPr>
          <w:rFonts w:hint="eastAsia" w:ascii="Times New Roman" w:hAnsi="Times New Roman" w:cs="Times New Roman"/>
          <w:color w:val="auto"/>
          <w:lang w:val="en-US" w:eastAsia="zh-CN"/>
        </w:rPr>
        <w:t>854.8mm</w:t>
      </w:r>
      <w:r>
        <w:rPr>
          <w:rFonts w:hint="default" w:ascii="Times New Roman" w:hAnsi="Times New Roman" w:cs="Times New Roman"/>
          <w:color w:val="auto"/>
        </w:rPr>
        <w:t>。</w:t>
      </w:r>
    </w:p>
    <w:p w14:paraId="6B0658F3">
      <w:pPr>
        <w:pStyle w:val="26"/>
        <w:bidi w:val="0"/>
        <w:rPr>
          <w:rFonts w:hint="default" w:ascii="Times New Roman" w:hAnsi="Times New Roman" w:cs="Times New Roman"/>
          <w:color w:val="auto"/>
        </w:rPr>
      </w:pPr>
      <w:r>
        <w:rPr>
          <w:rFonts w:hint="default" w:ascii="Times New Roman" w:hAnsi="Times New Roman" w:cs="Times New Roman"/>
          <w:color w:val="auto"/>
        </w:rPr>
        <w:t>③日照：</w:t>
      </w:r>
      <w:r>
        <w:rPr>
          <w:rFonts w:hint="default" w:ascii="Times New Roman" w:hAnsi="Times New Roman" w:cs="Times New Roman"/>
          <w:color w:val="auto"/>
          <w:lang w:val="en-US" w:eastAsia="zh-CN"/>
        </w:rPr>
        <w:t>年日照时数</w:t>
      </w:r>
      <w:r>
        <w:rPr>
          <w:rFonts w:hint="default" w:ascii="Times New Roman" w:hAnsi="Times New Roman" w:cs="Times New Roman"/>
          <w:color w:val="auto"/>
        </w:rPr>
        <w:t>为</w:t>
      </w:r>
      <w:r>
        <w:rPr>
          <w:rFonts w:hint="eastAsia" w:ascii="Times New Roman" w:hAnsi="Times New Roman" w:cs="Times New Roman"/>
          <w:color w:val="auto"/>
          <w:lang w:val="en-US" w:eastAsia="zh-CN"/>
        </w:rPr>
        <w:t>1414.9</w:t>
      </w:r>
      <w:r>
        <w:rPr>
          <w:rFonts w:hint="default" w:ascii="Times New Roman" w:hAnsi="Times New Roman" w:cs="Times New Roman"/>
          <w:color w:val="auto"/>
        </w:rPr>
        <w:t>h。</w:t>
      </w:r>
    </w:p>
    <w:p w14:paraId="191E1C28">
      <w:pPr>
        <w:pStyle w:val="26"/>
        <w:bidi w:val="0"/>
        <w:rPr>
          <w:rFonts w:hint="default" w:ascii="Times New Roman" w:hAnsi="Times New Roman" w:cs="Times New Roman"/>
          <w:color w:val="auto"/>
          <w:highlight w:val="none"/>
        </w:rPr>
      </w:pPr>
      <w:r>
        <w:rPr>
          <w:rFonts w:hint="default" w:ascii="Times New Roman" w:hAnsi="Times New Roman" w:cs="Times New Roman"/>
          <w:color w:val="auto"/>
        </w:rPr>
        <w:t>④风向：全年主导风向为</w:t>
      </w:r>
      <w:r>
        <w:rPr>
          <w:rFonts w:hint="default" w:ascii="Times New Roman" w:hAnsi="Times New Roman" w:cs="Times New Roman"/>
          <w:color w:val="auto"/>
          <w:lang w:val="en-US" w:eastAsia="zh-CN"/>
        </w:rPr>
        <w:t>NNW</w:t>
      </w:r>
      <w:r>
        <w:rPr>
          <w:rFonts w:hint="default" w:ascii="Times New Roman" w:hAnsi="Times New Roman" w:cs="Times New Roman"/>
          <w:color w:val="auto"/>
        </w:rPr>
        <w:t>，年平均风速1.2m/s。</w:t>
      </w:r>
    </w:p>
    <w:p w14:paraId="5325F0D1">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水文特征</w:t>
      </w:r>
    </w:p>
    <w:p w14:paraId="72535D8A">
      <w:pPr>
        <w:pStyle w:val="5"/>
        <w:bidi w:val="0"/>
        <w:rPr>
          <w:rFonts w:hint="eastAsia"/>
          <w:color w:val="auto"/>
          <w:highlight w:val="none"/>
          <w:lang w:eastAsia="zh-CN"/>
        </w:rPr>
      </w:pPr>
      <w:r>
        <w:rPr>
          <w:rFonts w:hint="eastAsia"/>
          <w:color w:val="auto"/>
          <w:highlight w:val="none"/>
          <w:lang w:val="en-US" w:eastAsia="zh-CN"/>
        </w:rPr>
        <w:t>地表水</w:t>
      </w:r>
    </w:p>
    <w:p w14:paraId="34734DAB">
      <w:pPr>
        <w:pStyle w:val="26"/>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通江县水系呈网状发育，河谷溪沟密布，宕（大通江）、诺（小通江）二水从北至南，纵贯北部中部区域。境内流域面积50km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以上的河流27条，其中流域面积在100km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以上的14条，流域面积在1000km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以上的4条。境内地表水多年平均径流总量为26.9亿m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。其中境内地下水年出露量为2.260亿m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。县过境地表水数量较大，多年平均年径量32.8亿m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。县水能理论蕴藏总量36.70万千瓦，可开发水能资源20.22万千瓦，占总蕴藏量的55%。</w:t>
      </w:r>
    </w:p>
    <w:p w14:paraId="70C09BC5">
      <w:pPr>
        <w:pStyle w:val="26"/>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sz w:val="24"/>
          <w:szCs w:val="24"/>
        </w:rPr>
        <w:t>通江河</w:t>
      </w:r>
      <w:r>
        <w:rPr>
          <w:rFonts w:hint="default" w:ascii="Times New Roman" w:hAnsi="Times New Roman" w:cs="Times New Roman"/>
          <w:color w:val="auto"/>
          <w:sz w:val="24"/>
          <w:szCs w:val="24"/>
        </w:rPr>
        <w:t>发源于陕西省西乡县米仓山栗儿坪，是巴河的主要支流，也是通江全县主要河流。通江河分为大通江河和小通江河，大、小通江河在通江县城小江口汇合称为通江河。大通江河为通江河主流，也是通江县主河道，于两河口乡左纳简池河、又南右纳柳林溪，流经檬坝、石包店，左纳铁溪。西南过长坪乡，右纳郭家河；又至泥溪乡，右纳马家河、铜匠河；西南过永安、碧溪、毛浴在小江口与小通江汇合，又曲折西南过广纳镇，以下有一河曲，至三溪乡东有杜家河水文站，控制流域面积6742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，再曲折西南过云台、荔枝，向西于平昌县城东，在江口镇注入巴河，流域面积8972km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（其中四川省内6085km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），落差370m，河流长度220km（其中四川省内194km），平均比降1.58‰。</w:t>
      </w:r>
    </w:p>
    <w:p w14:paraId="6CCF51DD">
      <w:pPr>
        <w:pStyle w:val="26"/>
        <w:widowControl w:val="0"/>
        <w:numPr>
          <w:ilvl w:val="0"/>
          <w:numId w:val="0"/>
        </w:numPr>
        <w:bidi w:val="0"/>
        <w:adjustRightInd w:val="0"/>
        <w:spacing w:line="360" w:lineRule="auto"/>
        <w:ind w:firstLine="482" w:firstLineChars="200"/>
        <w:contextualSpacing/>
        <w:jc w:val="both"/>
        <w:rPr>
          <w:rFonts w:hint="default" w:cs="Times New Roman"/>
          <w:color w:val="auto"/>
          <w:highlight w:val="none"/>
          <w:lang w:val="en-US" w:eastAsia="zh-CN"/>
        </w:rPr>
      </w:pPr>
      <w:r>
        <w:rPr>
          <w:rFonts w:hint="eastAsia" w:cstheme="minorHAnsi"/>
          <w:b/>
          <w:bCs/>
          <w:color w:val="auto"/>
          <w:sz w:val="24"/>
          <w:lang w:val="en-US" w:eastAsia="zh-CN"/>
        </w:rPr>
        <w:t>通江河位</w:t>
      </w:r>
      <w:r>
        <w:rPr>
          <w:rFonts w:hint="eastAsia" w:cstheme="minorHAnsi"/>
          <w:b/>
          <w:bCs/>
          <w:color w:val="auto"/>
          <w:sz w:val="24"/>
        </w:rPr>
        <w:t>于</w:t>
      </w:r>
      <w:r>
        <w:rPr>
          <w:rFonts w:hint="eastAsia" w:cstheme="minorHAnsi"/>
          <w:b/>
          <w:bCs/>
          <w:color w:val="auto"/>
          <w:sz w:val="24"/>
          <w:lang w:val="en-US" w:eastAsia="zh-CN"/>
        </w:rPr>
        <w:t>本</w:t>
      </w:r>
      <w:r>
        <w:rPr>
          <w:rFonts w:cstheme="minorHAnsi"/>
          <w:b/>
          <w:bCs/>
          <w:color w:val="auto"/>
          <w:sz w:val="24"/>
        </w:rPr>
        <w:t>项目</w:t>
      </w:r>
      <w:r>
        <w:rPr>
          <w:rFonts w:hint="eastAsia" w:cstheme="minorHAnsi"/>
          <w:b/>
          <w:bCs/>
          <w:color w:val="auto"/>
          <w:sz w:val="24"/>
          <w:lang w:val="en-US" w:eastAsia="zh-CN"/>
        </w:rPr>
        <w:t>南侧约2650m</w:t>
      </w:r>
      <w:r>
        <w:rPr>
          <w:rFonts w:cstheme="minorHAnsi"/>
          <w:b/>
          <w:bCs/>
          <w:color w:val="auto"/>
          <w:sz w:val="24"/>
        </w:rPr>
        <w:t>处，</w:t>
      </w:r>
      <w:r>
        <w:rPr>
          <w:rFonts w:hint="eastAsia" w:cstheme="minorHAnsi"/>
          <w:b/>
          <w:bCs/>
          <w:color w:val="auto"/>
          <w:sz w:val="24"/>
          <w:lang w:val="en-US" w:eastAsia="zh-CN"/>
        </w:rPr>
        <w:t>通江河（诺江镇- 广纳镇段）水体功能为城镇及工业用水，</w:t>
      </w:r>
      <w:r>
        <w:rPr>
          <w:rFonts w:hint="eastAsia" w:cstheme="minorHAnsi"/>
          <w:b/>
          <w:bCs/>
          <w:color w:val="auto"/>
          <w:sz w:val="24"/>
        </w:rPr>
        <w:t>水质</w:t>
      </w:r>
      <w:r>
        <w:rPr>
          <w:rFonts w:cstheme="minorHAnsi"/>
          <w:b/>
          <w:bCs/>
          <w:color w:val="auto"/>
          <w:sz w:val="24"/>
        </w:rPr>
        <w:t>保护目标为</w:t>
      </w:r>
      <w:r>
        <w:rPr>
          <w:rFonts w:hint="eastAsia" w:cstheme="minorHAnsi"/>
          <w:b/>
          <w:bCs/>
          <w:color w:val="auto"/>
          <w:sz w:val="24"/>
        </w:rPr>
        <w:t>Ⅲ类</w:t>
      </w:r>
      <w:r>
        <w:rPr>
          <w:rFonts w:cstheme="minorHAnsi"/>
          <w:b/>
          <w:bCs/>
          <w:color w:val="auto"/>
          <w:sz w:val="24"/>
        </w:rPr>
        <w:t>水域</w:t>
      </w:r>
      <w:r>
        <w:rPr>
          <w:rFonts w:cstheme="minorHAnsi"/>
          <w:b/>
          <w:color w:val="auto"/>
          <w:sz w:val="24"/>
        </w:rPr>
        <w:t>。</w:t>
      </w:r>
    </w:p>
    <w:p w14:paraId="36F9A841">
      <w:pPr>
        <w:pStyle w:val="5"/>
        <w:bidi w:val="0"/>
        <w:rPr>
          <w:rFonts w:hint="default"/>
          <w:color w:val="auto"/>
          <w:highlight w:val="none"/>
          <w:lang w:val="en-US" w:eastAsia="zh-CN"/>
        </w:rPr>
      </w:pPr>
      <w:r>
        <w:rPr>
          <w:rFonts w:hint="default"/>
          <w:color w:val="auto"/>
          <w:highlight w:val="none"/>
          <w:lang w:val="en-US" w:eastAsia="zh-CN"/>
        </w:rPr>
        <w:t>地下水</w:t>
      </w:r>
    </w:p>
    <w:p w14:paraId="50B52280">
      <w:pPr>
        <w:pStyle w:val="26"/>
        <w:bidi w:val="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依据地下水赋存条件、水动力特征、含水介质等因素的组合情况，</w:t>
      </w:r>
      <w:r>
        <w:rPr>
          <w:rFonts w:hint="eastAsia" w:cs="Times New Roman"/>
          <w:color w:val="auto"/>
          <w:highlight w:val="none"/>
          <w:lang w:val="en-US" w:eastAsia="zh-CN"/>
        </w:rPr>
        <w:t>本</w:t>
      </w:r>
      <w:r>
        <w:rPr>
          <w:rFonts w:hint="eastAsia" w:ascii="Times New Roman" w:hAnsi="Times New Roman" w:cs="Times New Roman"/>
          <w:color w:val="auto"/>
          <w:highlight w:val="none"/>
          <w:lang w:eastAsia="zh-CN"/>
        </w:rPr>
        <w:t>项目评价范围内地下水类型主要为</w:t>
      </w:r>
      <w:r>
        <w:rPr>
          <w:rFonts w:hint="eastAsia"/>
          <w:color w:val="auto"/>
          <w:highlight w:val="none"/>
          <w:lang w:val="en-US" w:eastAsia="zh-CN"/>
        </w:rPr>
        <w:t>第四系松散岩类孔隙潜水和</w:t>
      </w: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r>
        <w:rPr>
          <w:rFonts w:hint="eastAsia"/>
          <w:color w:val="auto"/>
          <w:szCs w:val="20"/>
          <w:highlight w:val="none"/>
          <w:lang w:val="en-US" w:eastAsia="zh-CN"/>
        </w:rPr>
        <w:t>基岩裂隙水</w:t>
      </w:r>
      <w:r>
        <w:rPr>
          <w:rFonts w:hint="eastAsia" w:ascii="Times New Roman" w:hAnsi="Times New Roman" w:cs="Times New Roman"/>
          <w:color w:val="auto"/>
          <w:highlight w:val="none"/>
          <w:lang w:eastAsia="zh-CN"/>
        </w:rPr>
        <w:t>。</w:t>
      </w:r>
    </w:p>
    <w:p w14:paraId="609D8E35">
      <w:pPr>
        <w:pStyle w:val="26"/>
        <w:bidi w:val="0"/>
        <w:rPr>
          <w:rFonts w:hint="eastAsia" w:ascii="Times New Roman" w:hAnsi="Times New Roman" w:cs="Times New Roman"/>
          <w:color w:val="auto"/>
          <w:highlight w:val="none"/>
          <w:lang w:eastAsia="zh-CN"/>
        </w:rPr>
      </w:pPr>
      <w:r>
        <w:rPr>
          <w:rFonts w:ascii="Times New Roman" w:hAnsi="Times New Roman" w:cs="Times New Roman"/>
          <w:color w:val="auto"/>
          <w:highlight w:val="none"/>
        </w:rPr>
        <w:t>赋存于评价区范围内所有区域，含水岩组主要为</w:t>
      </w:r>
      <w:r>
        <w:rPr>
          <w:rFonts w:hint="eastAsia" w:cs="Times New Roman"/>
          <w:color w:val="auto"/>
          <w:szCs w:val="20"/>
          <w:highlight w:val="none"/>
          <w:lang w:val="en-US" w:eastAsia="zh-CN"/>
        </w:rPr>
        <w:t>白垩系下统白龙组（K</w:t>
      </w:r>
      <w:r>
        <w:rPr>
          <w:rFonts w:hint="eastAsia" w:cs="Times New Roman"/>
          <w:color w:val="auto"/>
          <w:szCs w:val="20"/>
          <w:highlight w:val="none"/>
          <w:vertAlign w:val="subscript"/>
          <w:lang w:val="en-US" w:eastAsia="zh-CN"/>
        </w:rPr>
        <w:t>1</w:t>
      </w:r>
      <w:r>
        <w:rPr>
          <w:rFonts w:hint="eastAsia" w:cs="Times New Roman"/>
          <w:color w:val="auto"/>
          <w:szCs w:val="20"/>
          <w:highlight w:val="none"/>
          <w:lang w:val="en-US" w:eastAsia="zh-CN"/>
        </w:rPr>
        <w:t>b）砂泥岩</w:t>
      </w:r>
      <w:r>
        <w:rPr>
          <w:rFonts w:ascii="Times New Roman" w:hAnsi="Times New Roman" w:cs="Times New Roman"/>
          <w:color w:val="auto"/>
          <w:highlight w:val="none"/>
        </w:rPr>
        <w:t>，该含水岩组</w:t>
      </w:r>
      <w:r>
        <w:rPr>
          <w:rFonts w:hint="eastAsia" w:ascii="Times New Roman" w:hAnsi="Times New Roman" w:cs="Times New Roman"/>
          <w:color w:val="auto"/>
          <w:highlight w:val="none"/>
        </w:rPr>
        <w:t>富</w:t>
      </w:r>
      <w:r>
        <w:rPr>
          <w:rFonts w:ascii="Times New Roman" w:hAnsi="Times New Roman" w:cs="Times New Roman"/>
          <w:color w:val="auto"/>
          <w:highlight w:val="none"/>
        </w:rPr>
        <w:t>水性较</w:t>
      </w:r>
      <w:r>
        <w:rPr>
          <w:rFonts w:hint="eastAsia" w:cs="Times New Roman"/>
          <w:color w:val="auto"/>
          <w:highlight w:val="none"/>
          <w:lang w:val="en-US" w:eastAsia="zh-CN"/>
        </w:rPr>
        <w:t>弱</w:t>
      </w:r>
      <w:r>
        <w:rPr>
          <w:rFonts w:ascii="Times New Roman" w:hAnsi="Times New Roman" w:cs="Times New Roman"/>
          <w:color w:val="auto"/>
          <w:highlight w:val="none"/>
        </w:rPr>
        <w:t>，</w:t>
      </w:r>
      <w:r>
        <w:rPr>
          <w:rFonts w:hint="eastAsia" w:cs="Times New Roman"/>
          <w:color w:val="auto"/>
          <w:highlight w:val="none"/>
          <w:lang w:val="en-US" w:eastAsia="zh-CN"/>
        </w:rPr>
        <w:t>泉流量</w:t>
      </w:r>
      <w:r>
        <w:rPr>
          <w:rFonts w:hint="eastAsia" w:ascii="Times New Roman" w:hAnsi="Times New Roman" w:cs="Times New Roman"/>
          <w:color w:val="auto"/>
          <w:highlight w:val="none"/>
        </w:rPr>
        <w:t>为</w:t>
      </w:r>
      <w:r>
        <w:rPr>
          <w:rFonts w:hint="eastAsia" w:cs="Times New Roman"/>
          <w:color w:val="auto"/>
          <w:highlight w:val="none"/>
          <w:lang w:val="en-US" w:eastAsia="zh-CN"/>
        </w:rPr>
        <w:t>0.01</w:t>
      </w:r>
      <w:r>
        <w:rPr>
          <w:rFonts w:hint="eastAsia" w:ascii="Times New Roman" w:hAnsi="Times New Roman" w:cs="Times New Roman"/>
          <w:color w:val="auto"/>
          <w:highlight w:val="none"/>
        </w:rPr>
        <w:t>-</w:t>
      </w:r>
      <w:r>
        <w:rPr>
          <w:rFonts w:hint="eastAsia" w:cs="Times New Roman"/>
          <w:color w:val="auto"/>
          <w:highlight w:val="none"/>
          <w:lang w:val="en-US" w:eastAsia="zh-CN"/>
        </w:rPr>
        <w:t>0.1L</w:t>
      </w:r>
      <w:r>
        <w:rPr>
          <w:rFonts w:hint="eastAsia" w:ascii="Times New Roman" w:hAnsi="Times New Roman" w:cs="Times New Roman"/>
          <w:color w:val="auto"/>
          <w:highlight w:val="none"/>
        </w:rPr>
        <w:t>/</w:t>
      </w:r>
      <w:r>
        <w:rPr>
          <w:rFonts w:hint="eastAsia" w:cs="Times New Roman"/>
          <w:color w:val="auto"/>
          <w:highlight w:val="none"/>
          <w:lang w:val="en-US" w:eastAsia="zh-CN"/>
        </w:rPr>
        <w:t>s</w:t>
      </w:r>
      <w:r>
        <w:rPr>
          <w:rFonts w:ascii="Times New Roman" w:hAnsi="Times New Roman" w:cs="Times New Roman"/>
          <w:color w:val="auto"/>
          <w:highlight w:val="none"/>
        </w:rPr>
        <w:t>，该类地下水主要接受大气降水及上游地下水径流补给。水化学类型主要为重碳酸钙型水，矿化度一般为0.1-0.</w:t>
      </w:r>
      <w:r>
        <w:rPr>
          <w:rFonts w:hint="eastAsia" w:cs="Times New Roman"/>
          <w:color w:val="auto"/>
          <w:highlight w:val="none"/>
          <w:lang w:val="en-US" w:eastAsia="zh-CN"/>
        </w:rPr>
        <w:t>3</w:t>
      </w:r>
      <w:r>
        <w:rPr>
          <w:rFonts w:ascii="Times New Roman" w:hAnsi="Times New Roman" w:cs="Times New Roman"/>
          <w:color w:val="auto"/>
          <w:highlight w:val="none"/>
        </w:rPr>
        <w:t>g/L</w:t>
      </w:r>
      <w:r>
        <w:rPr>
          <w:rFonts w:hint="eastAsia" w:ascii="Times New Roman" w:hAnsi="Times New Roman" w:cs="Times New Roman"/>
          <w:color w:val="auto"/>
          <w:highlight w:val="none"/>
          <w:lang w:eastAsia="zh-CN"/>
        </w:rPr>
        <w:t>。</w:t>
      </w:r>
    </w:p>
    <w:p w14:paraId="7800ECF8">
      <w:pPr>
        <w:pStyle w:val="4"/>
        <w:bidi w:val="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自然资源</w:t>
      </w:r>
    </w:p>
    <w:p w14:paraId="750A005D">
      <w:pPr>
        <w:pStyle w:val="26"/>
        <w:bidi w:val="0"/>
        <w:rPr>
          <w:rFonts w:hint="eastAsia" w:ascii="Times New Roman" w:hAnsi="Times New Roman" w:cs="Times New Roman"/>
          <w:color w:val="auto"/>
          <w:lang w:eastAsia="zh-CN"/>
        </w:rPr>
      </w:pPr>
      <w:r>
        <w:rPr>
          <w:rFonts w:hint="default" w:ascii="Times New Roman" w:hAnsi="Times New Roman" w:cs="Times New Roman"/>
          <w:color w:val="auto"/>
        </w:rPr>
        <w:t>通江县境内植物、动物资源丰富，全县有植物</w:t>
      </w:r>
      <w:r>
        <w:rPr>
          <w:rFonts w:hint="default" w:ascii="Times New Roman" w:hAnsi="Times New Roman" w:cs="Times New Roman"/>
          <w:color w:val="auto"/>
          <w:lang w:eastAsia="zh-CN"/>
        </w:rPr>
        <w:t>乔灌木</w:t>
      </w:r>
      <w:r>
        <w:rPr>
          <w:rFonts w:hint="default" w:ascii="Times New Roman" w:hAnsi="Times New Roman" w:cs="Times New Roman"/>
          <w:color w:val="auto"/>
        </w:rPr>
        <w:t>77科308种，其中果木类13种，竹类8种，属国家一、二、三级保护树种主要有水杉、三尖杉、银杏、</w:t>
      </w:r>
      <w:r>
        <w:rPr>
          <w:rFonts w:hint="default" w:ascii="Times New Roman" w:hAnsi="Times New Roman" w:cs="Times New Roman"/>
          <w:color w:val="auto"/>
          <w:lang w:eastAsia="zh-CN"/>
        </w:rPr>
        <w:t>鹅掌楸</w:t>
      </w:r>
      <w:r>
        <w:rPr>
          <w:rFonts w:hint="default" w:ascii="Times New Roman" w:hAnsi="Times New Roman" w:cs="Times New Roman"/>
          <w:color w:val="auto"/>
        </w:rPr>
        <w:t>、红豆树、须春木、华榛等14种。有野生动物（不含昆虫）331种，其中列</w:t>
      </w:r>
      <w:r>
        <w:rPr>
          <w:rFonts w:hint="default" w:ascii="Times New Roman" w:hAnsi="Times New Roman" w:cs="Times New Roman"/>
          <w:color w:val="auto"/>
          <w:lang w:val="en-US" w:eastAsia="zh-CN"/>
        </w:rPr>
        <w:t>入</w:t>
      </w:r>
      <w:r>
        <w:rPr>
          <w:rFonts w:hint="default" w:ascii="Times New Roman" w:hAnsi="Times New Roman" w:cs="Times New Roman"/>
          <w:color w:val="auto"/>
        </w:rPr>
        <w:t>国家一、二类保护的动物主要有毛冠鹿、金雕、云豹、金钱豹、猕猴、苏门羚、林麝、大</w:t>
      </w:r>
      <w:r>
        <w:rPr>
          <w:rFonts w:hint="default" w:ascii="Times New Roman" w:hAnsi="Times New Roman" w:cs="Times New Roman"/>
          <w:color w:val="auto"/>
          <w:lang w:eastAsia="zh-CN"/>
        </w:rPr>
        <w:t>鲵</w:t>
      </w:r>
      <w:r>
        <w:rPr>
          <w:rFonts w:hint="default" w:ascii="Times New Roman" w:hAnsi="Times New Roman" w:cs="Times New Roman"/>
          <w:color w:val="auto"/>
        </w:rPr>
        <w:t>、白冠长尾雉、红腹锦鸡等21余种</w:t>
      </w:r>
      <w:r>
        <w:rPr>
          <w:rFonts w:hint="eastAsia" w:ascii="Times New Roman" w:hAnsi="Times New Roman" w:cs="Times New Roman"/>
          <w:color w:val="auto"/>
          <w:lang w:eastAsia="zh-CN"/>
        </w:rPr>
        <w:t>。</w:t>
      </w:r>
    </w:p>
    <w:p w14:paraId="564FD3C6">
      <w:pPr>
        <w:pStyle w:val="26"/>
        <w:bidi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通江县播种耕地面积89693hm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县内土壤共有6个土类、10个亚类、16个土属、36个土种。其中有31个土种是农业土壤，7个土种是森林土。水稻土是全县农业土壤中最大的土类，面积406858亩，占农业土壤的54%；次为紫色土类，面积194108亩，占25.8%；再次为黄棕壤、黄壤、石灰岩土、新积土等4个土类。水稻土类有3个亚类、7个土属、15个土种，其中淹育型水稻土亚类紫泥土田土属是最大的土属，有3个土种，面积193840亩，占水稻土的47.6%；次为潴育型水稻土亚类紫黄泥田土属，有4个土种，面积177021亩，占43.5%。旱作土壤有5个土类、7个亚类、9个土属、16个土种，其中最大的土类是紫色土类，面积194108亩，占旱地面积的56%。</w:t>
      </w:r>
    </w:p>
    <w:p w14:paraId="4C7E37D9">
      <w:pPr>
        <w:pStyle w:val="26"/>
        <w:bidi w:val="0"/>
        <w:rPr>
          <w:rFonts w:hint="eastAsia" w:ascii="Times New Roman" w:hAnsi="Times New Roman" w:cs="Times New Roman"/>
          <w:color w:val="auto"/>
          <w:lang w:val="en-US" w:eastAsia="zh-CN"/>
        </w:rPr>
      </w:pPr>
      <w:r>
        <w:rPr>
          <w:rFonts w:hint="default" w:ascii="Times New Roman" w:hAnsi="Times New Roman" w:cs="Times New Roman"/>
          <w:color w:val="auto"/>
          <w:sz w:val="24"/>
          <w:szCs w:val="24"/>
        </w:rPr>
        <w:t>通江县境内金属矿藏有菱铁矿、赤铁矿、铅土矿、银矿等，能源矿藏有煤、石油、铀等，此外，石灰石、白云岩，石英石、石膏、大理石、硫铁矿、钾矿石、膨润土均有一定的分布。已探明县境天然气储量5501亿m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p>
    <w:p w14:paraId="66B12C55">
      <w:pPr>
        <w:pStyle w:val="26"/>
        <w:bidi w:val="0"/>
        <w:rPr>
          <w:rFonts w:hint="default" w:cs="Times New Roman"/>
          <w:b/>
          <w:bCs/>
          <w:color w:val="auto"/>
          <w:highlight w:val="none"/>
          <w:lang w:val="en-US" w:eastAsia="zh-CN"/>
        </w:rPr>
      </w:pPr>
      <w:r>
        <w:rPr>
          <w:rFonts w:hint="eastAsia" w:cs="Times New Roman"/>
          <w:b/>
          <w:bCs/>
          <w:color w:val="auto"/>
          <w:highlight w:val="none"/>
          <w:lang w:val="en-US" w:eastAsia="zh-CN"/>
        </w:rPr>
        <w:t>根据调查，本项目所在区域不涉及自然保护区、风景名胜区、通江特有鱼类国家级水产种质资源保护区等生态敏感区，无列入国家及地方保护名录的珍稀濒危动植物及古、大、珍、奇树木分布。</w:t>
      </w:r>
    </w:p>
    <w:p w14:paraId="275D5C4B">
      <w:pPr>
        <w:pStyle w:val="3"/>
        <w:bidi w:val="0"/>
        <w:rPr>
          <w:rFonts w:hint="default" w:ascii="Times New Roman" w:hAnsi="Times New Roman" w:cs="Times New Roman"/>
          <w:color w:val="auto"/>
          <w:highlight w:val="none"/>
        </w:rPr>
      </w:pPr>
      <w:bookmarkStart w:id="90" w:name="_Toc20603"/>
      <w:r>
        <w:rPr>
          <w:rFonts w:hint="eastAsia" w:cs="Times New Roman"/>
          <w:color w:val="auto"/>
          <w:highlight w:val="none"/>
          <w:lang w:val="en-US" w:eastAsia="zh-CN"/>
        </w:rPr>
        <w:t>四川巴中经济开发区简介</w:t>
      </w:r>
      <w:bookmarkEnd w:id="90"/>
    </w:p>
    <w:p w14:paraId="25BCAB95">
      <w:pPr>
        <w:pStyle w:val="4"/>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园区概况</w:t>
      </w:r>
    </w:p>
    <w:p w14:paraId="6E2B19E5">
      <w:pPr>
        <w:pStyle w:val="26"/>
        <w:bidi w:val="0"/>
        <w:rPr>
          <w:rFonts w:hint="default" w:ascii="Times New Roman"/>
          <w:color w:val="auto"/>
          <w:sz w:val="24"/>
          <w:lang w:val="en-US" w:eastAsia="zh-CN"/>
        </w:rPr>
      </w:pPr>
      <w:r>
        <w:rPr>
          <w:rFonts w:hint="eastAsia"/>
          <w:color w:val="auto"/>
          <w:lang w:val="en-US" w:eastAsia="zh-CN"/>
        </w:rPr>
        <w:t>2003年，原四川省发展计划委员会以川计综函〔2003〕168号批准成立四川巴中经济技术开发区；2006年，国家发展和改革委员会公告（2006 年第 23 号）核定四川巴中经济开发区（原四川巴中经济技术开发区）为省级开发区。后期历经多次区位调整、扩区调位、规划修编，至2022年9月，经巴中市委市政府研究决定，分别在巴州区曾口镇城镇开发边界范围内设立曾口工业园、通江县诺江镇城镇开发边界范围内设立金堂工业园，作为天然气资源就地转化基地，重点发展天然气化工和新能源新材料，并纳入巴中经开区托管。</w:t>
      </w:r>
      <w:r>
        <w:rPr>
          <w:rFonts w:hint="default"/>
          <w:color w:val="auto"/>
          <w:lang w:val="en-US" w:eastAsia="zh-CN"/>
        </w:rPr>
        <w:t>2022年11月</w:t>
      </w:r>
      <w:r>
        <w:rPr>
          <w:rFonts w:hint="eastAsia"/>
          <w:color w:val="auto"/>
          <w:lang w:val="en-US" w:eastAsia="zh-CN"/>
        </w:rPr>
        <w:t>，四川巴中经济开发区管理委员会</w:t>
      </w:r>
      <w:r>
        <w:rPr>
          <w:rFonts w:hint="default"/>
          <w:color w:val="auto"/>
          <w:lang w:val="en-US" w:eastAsia="zh-CN"/>
        </w:rPr>
        <w:t>组织编制了《四川巴中经济开发区规划修编》，规划</w:t>
      </w:r>
      <w:r>
        <w:rPr>
          <w:rFonts w:hint="eastAsia"/>
          <w:color w:val="auto"/>
          <w:lang w:val="en-US" w:eastAsia="zh-CN"/>
        </w:rPr>
        <w:t>总</w:t>
      </w:r>
      <w:r>
        <w:rPr>
          <w:rFonts w:hint="default"/>
          <w:color w:val="auto"/>
          <w:lang w:val="en-US" w:eastAsia="zh-CN"/>
        </w:rPr>
        <w:t>面积1677.3513hm</w:t>
      </w:r>
      <w:r>
        <w:rPr>
          <w:rFonts w:hint="default"/>
          <w:color w:val="auto"/>
          <w:vertAlign w:val="superscript"/>
          <w:lang w:val="en-US" w:eastAsia="zh-CN"/>
        </w:rPr>
        <w:t>2</w:t>
      </w:r>
      <w:r>
        <w:rPr>
          <w:rFonts w:hint="eastAsia"/>
          <w:color w:val="auto"/>
          <w:lang w:val="en-US" w:eastAsia="zh-CN"/>
        </w:rPr>
        <w:t>，包括</w:t>
      </w:r>
      <w:r>
        <w:rPr>
          <w:rFonts w:hint="default"/>
          <w:color w:val="auto"/>
          <w:lang w:val="en-US" w:eastAsia="zh-CN"/>
        </w:rPr>
        <w:t>核心区</w:t>
      </w:r>
      <w:r>
        <w:rPr>
          <w:rFonts w:hint="eastAsia"/>
          <w:color w:val="auto"/>
          <w:lang w:val="en-US" w:eastAsia="zh-CN"/>
        </w:rPr>
        <w:t>、</w:t>
      </w:r>
      <w:r>
        <w:rPr>
          <w:rFonts w:hint="default"/>
          <w:color w:val="auto"/>
          <w:lang w:val="en-US" w:eastAsia="zh-CN"/>
        </w:rPr>
        <w:t>曾口区块</w:t>
      </w:r>
      <w:r>
        <w:rPr>
          <w:rFonts w:hint="eastAsia"/>
          <w:color w:val="auto"/>
          <w:lang w:val="en-US" w:eastAsia="zh-CN"/>
        </w:rPr>
        <w:t>、金堂区块，其中</w:t>
      </w:r>
      <w:r>
        <w:rPr>
          <w:rFonts w:hint="default"/>
          <w:color w:val="auto"/>
          <w:lang w:val="en-US" w:eastAsia="zh-CN"/>
        </w:rPr>
        <w:t>曾口区块</w:t>
      </w:r>
      <w:r>
        <w:rPr>
          <w:rFonts w:hint="eastAsia"/>
          <w:color w:val="auto"/>
          <w:lang w:val="en-US" w:eastAsia="zh-CN"/>
        </w:rPr>
        <w:t>和</w:t>
      </w:r>
      <w:r>
        <w:rPr>
          <w:rFonts w:hint="default"/>
          <w:color w:val="auto"/>
          <w:lang w:val="en-US" w:eastAsia="zh-CN"/>
        </w:rPr>
        <w:t>金堂区块</w:t>
      </w:r>
      <w:r>
        <w:rPr>
          <w:rFonts w:hint="eastAsia" w:ascii="Times New Roman"/>
          <w:color w:val="auto"/>
          <w:sz w:val="24"/>
          <w:lang w:val="en-US" w:eastAsia="zh-CN"/>
        </w:rPr>
        <w:t>经《四川省经济和信息化厅等7部门关于公布盐亭巨龙等4家化工园区及达州普光化工园区扩区调整的通知》（川经信化工</w:t>
      </w:r>
      <w:r>
        <w:rPr>
          <w:rFonts w:hint="eastAsia"/>
          <w:color w:val="auto"/>
          <w:sz w:val="24"/>
          <w:lang w:val="en-US" w:eastAsia="zh-CN"/>
        </w:rPr>
        <w:t>〔</w:t>
      </w:r>
      <w:r>
        <w:rPr>
          <w:rFonts w:hint="eastAsia" w:ascii="Times New Roman"/>
          <w:color w:val="auto"/>
          <w:sz w:val="24"/>
          <w:lang w:val="en-US" w:eastAsia="zh-CN"/>
        </w:rPr>
        <w:t>2025</w:t>
      </w:r>
      <w:r>
        <w:rPr>
          <w:rFonts w:hint="eastAsia"/>
          <w:color w:val="auto"/>
          <w:sz w:val="24"/>
          <w:lang w:val="en-US" w:eastAsia="zh-CN"/>
        </w:rPr>
        <w:t>〕</w:t>
      </w:r>
      <w:r>
        <w:rPr>
          <w:rFonts w:hint="eastAsia" w:ascii="Times New Roman"/>
          <w:color w:val="auto"/>
          <w:sz w:val="24"/>
          <w:lang w:val="en-US" w:eastAsia="zh-CN"/>
        </w:rPr>
        <w:t>192号）认定</w:t>
      </w:r>
      <w:r>
        <w:rPr>
          <w:rFonts w:hint="eastAsia"/>
          <w:color w:val="auto"/>
          <w:sz w:val="24"/>
          <w:lang w:val="en-US" w:eastAsia="zh-CN"/>
        </w:rPr>
        <w:t>为巴中曾口-金堂化工园区。</w:t>
      </w:r>
    </w:p>
    <w:p w14:paraId="21B92ECB">
      <w:pPr>
        <w:pStyle w:val="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规划范围及面积</w:t>
      </w:r>
    </w:p>
    <w:p w14:paraId="7573F2C9">
      <w:pPr>
        <w:pStyle w:val="26"/>
        <w:bidi w:val="0"/>
        <w:ind w:left="0" w:leftChars="0" w:firstLine="480" w:firstLineChars="200"/>
        <w:rPr>
          <w:rFonts w:hint="eastAsia" w:ascii="Times New Roman"/>
          <w:color w:val="auto"/>
          <w:sz w:val="24"/>
          <w:lang w:val="en-US" w:eastAsia="zh-CN"/>
        </w:rPr>
      </w:pPr>
      <w:r>
        <w:rPr>
          <w:rFonts w:hint="eastAsia"/>
          <w:color w:val="auto"/>
          <w:lang w:val="en-US" w:eastAsia="zh-CN"/>
        </w:rPr>
        <w:t>四至范围为东至诺江镇秋锦山村青山湾，南至广纳镇金堂村大弯梁，西至诺江镇亮垭村曹家沟，北至诺江镇秋锦山村佛儿岩</w:t>
      </w:r>
      <w:r>
        <w:rPr>
          <w:rFonts w:hint="eastAsia" w:ascii="Times New Roman"/>
          <w:color w:val="auto"/>
          <w:sz w:val="24"/>
          <w:lang w:val="en-US" w:eastAsia="zh-CN"/>
        </w:rPr>
        <w:t>，规划及</w:t>
      </w:r>
      <w:r>
        <w:rPr>
          <w:rFonts w:hint="eastAsia"/>
          <w:color w:val="auto"/>
          <w:sz w:val="24"/>
          <w:lang w:val="en-US" w:eastAsia="zh-CN"/>
        </w:rPr>
        <w:t>认定面积为</w:t>
      </w:r>
      <w:r>
        <w:rPr>
          <w:rFonts w:hint="eastAsia"/>
          <w:color w:val="auto"/>
          <w:lang w:val="en-US" w:eastAsia="zh-CN"/>
        </w:rPr>
        <w:t>95.5343</w:t>
      </w:r>
      <w:r>
        <w:rPr>
          <w:rFonts w:hint="default"/>
          <w:color w:val="auto"/>
          <w:lang w:val="en-US" w:eastAsia="zh-CN"/>
        </w:rPr>
        <w:t>hm</w:t>
      </w:r>
      <w:r>
        <w:rPr>
          <w:rFonts w:hint="default"/>
          <w:color w:val="auto"/>
          <w:vertAlign w:val="superscript"/>
          <w:lang w:val="en-US" w:eastAsia="zh-CN"/>
        </w:rPr>
        <w:t>2</w:t>
      </w:r>
      <w:r>
        <w:rPr>
          <w:rFonts w:hint="eastAsia"/>
          <w:color w:val="auto"/>
          <w:sz w:val="24"/>
          <w:lang w:val="en-US" w:eastAsia="zh-CN"/>
        </w:rPr>
        <w:t>。</w:t>
      </w:r>
    </w:p>
    <w:p w14:paraId="2E30C950">
      <w:pPr>
        <w:pStyle w:val="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规划时限</w:t>
      </w:r>
    </w:p>
    <w:p w14:paraId="5375BFBE">
      <w:pPr>
        <w:pStyle w:val="26"/>
        <w:bidi w:val="0"/>
        <w:rPr>
          <w:rFonts w:hint="eastAsia" w:ascii="Times New Roman"/>
          <w:color w:val="auto"/>
          <w:sz w:val="24"/>
          <w:lang w:val="en-US" w:eastAsia="zh-CN"/>
        </w:rPr>
      </w:pPr>
      <w:r>
        <w:rPr>
          <w:rFonts w:hint="eastAsia" w:ascii="Times New Roman"/>
          <w:color w:val="auto"/>
          <w:sz w:val="24"/>
          <w:lang w:val="en-US" w:eastAsia="zh-CN"/>
        </w:rPr>
        <w:t>规划期限为2022-2035年，其中近期2022-2025年，中期2026年-2035年。</w:t>
      </w:r>
    </w:p>
    <w:p w14:paraId="6367889C">
      <w:pPr>
        <w:pStyle w:val="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规划产业及目标</w:t>
      </w:r>
    </w:p>
    <w:p w14:paraId="5D150A58">
      <w:pPr>
        <w:pStyle w:val="5"/>
        <w:bidi w:val="0"/>
        <w:rPr>
          <w:rFonts w:hint="default" w:ascii="Times New Roman"/>
          <w:color w:val="auto"/>
          <w:sz w:val="24"/>
          <w:lang w:val="en-US" w:eastAsia="zh-CN"/>
        </w:rPr>
      </w:pPr>
      <w:r>
        <w:rPr>
          <w:rFonts w:hint="eastAsia"/>
          <w:color w:val="auto"/>
          <w:sz w:val="24"/>
          <w:lang w:val="en-US" w:eastAsia="zh-CN"/>
        </w:rPr>
        <w:t>发展目标</w:t>
      </w:r>
    </w:p>
    <w:p w14:paraId="3983A611">
      <w:pPr>
        <w:pStyle w:val="26"/>
        <w:bidi w:val="0"/>
        <w:ind w:left="0" w:leftChars="0" w:firstLine="480" w:firstLineChars="200"/>
        <w:rPr>
          <w:rFonts w:hint="default" w:ascii="Times New Roman"/>
          <w:color w:val="auto"/>
          <w:sz w:val="24"/>
          <w:lang w:val="en-US" w:eastAsia="zh-CN"/>
        </w:rPr>
      </w:pPr>
      <w:r>
        <w:rPr>
          <w:rFonts w:hint="default" w:ascii="Times New Roman"/>
          <w:color w:val="auto"/>
          <w:sz w:val="24"/>
          <w:lang w:val="en-US" w:eastAsia="zh-CN"/>
        </w:rPr>
        <w:t>金堂区块：到2025年，总产值达40亿元。到203</w:t>
      </w:r>
      <w:r>
        <w:rPr>
          <w:rFonts w:hint="eastAsia" w:ascii="Times New Roman"/>
          <w:color w:val="auto"/>
          <w:sz w:val="24"/>
          <w:lang w:val="en-US" w:eastAsia="zh-CN"/>
        </w:rPr>
        <w:t>5</w:t>
      </w:r>
      <w:r>
        <w:rPr>
          <w:rFonts w:hint="default" w:ascii="Times New Roman"/>
          <w:color w:val="auto"/>
          <w:sz w:val="24"/>
          <w:lang w:val="en-US" w:eastAsia="zh-CN"/>
        </w:rPr>
        <w:t>年，总产值达150亿元。</w:t>
      </w:r>
    </w:p>
    <w:p w14:paraId="22546886">
      <w:pPr>
        <w:pStyle w:val="5"/>
        <w:bidi w:val="0"/>
        <w:rPr>
          <w:rFonts w:hint="default" w:ascii="Times New Roman"/>
          <w:color w:val="auto"/>
          <w:sz w:val="24"/>
          <w:lang w:val="en-US" w:eastAsia="zh-CN"/>
        </w:rPr>
      </w:pPr>
      <w:r>
        <w:rPr>
          <w:rFonts w:hint="eastAsia"/>
          <w:color w:val="auto"/>
          <w:sz w:val="24"/>
          <w:lang w:val="en-US" w:eastAsia="zh-CN"/>
        </w:rPr>
        <w:t>产业定位</w:t>
      </w:r>
    </w:p>
    <w:p w14:paraId="5948AC27">
      <w:pPr>
        <w:pStyle w:val="26"/>
        <w:bidi w:val="0"/>
        <w:ind w:left="0" w:leftChars="0" w:firstLine="480" w:firstLineChars="200"/>
        <w:rPr>
          <w:rFonts w:hint="default" w:ascii="Times New Roman"/>
          <w:color w:val="auto"/>
          <w:sz w:val="24"/>
          <w:lang w:val="en-US" w:eastAsia="zh-CN"/>
        </w:rPr>
      </w:pPr>
      <w:r>
        <w:rPr>
          <w:rFonts w:hint="eastAsia"/>
          <w:color w:val="auto"/>
          <w:lang w:val="en-US" w:eastAsia="zh-CN"/>
        </w:rPr>
        <w:t>金堂区块：以天然气就地转化为重点，发展天然气化工</w:t>
      </w:r>
      <w:r>
        <w:rPr>
          <w:rFonts w:hint="default" w:ascii="Times New Roman"/>
          <w:color w:val="auto"/>
          <w:sz w:val="24"/>
          <w:lang w:val="en-US" w:eastAsia="zh-CN"/>
        </w:rPr>
        <w:t>。</w:t>
      </w:r>
    </w:p>
    <w:p w14:paraId="0530D108">
      <w:pPr>
        <w:pStyle w:val="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规划结构</w:t>
      </w:r>
    </w:p>
    <w:p w14:paraId="24173710">
      <w:pPr>
        <w:pStyle w:val="26"/>
        <w:bidi w:val="0"/>
        <w:ind w:left="0" w:leftChars="0" w:firstLine="480" w:firstLineChars="200"/>
        <w:rPr>
          <w:rFonts w:hint="eastAsia" w:ascii="Times New Roman"/>
          <w:color w:val="auto"/>
          <w:sz w:val="24"/>
          <w:lang w:val="en-US" w:eastAsia="zh-CN"/>
        </w:rPr>
      </w:pPr>
      <w:r>
        <w:rPr>
          <w:rFonts w:hint="default" w:ascii="Times New Roman"/>
          <w:color w:val="auto"/>
          <w:sz w:val="24"/>
          <w:lang w:val="en-US" w:eastAsia="zh-CN"/>
        </w:rPr>
        <w:t>规划形成“一区三园”，即巴中经济开发区，包含核心区以及曾口区块、金堂区块两个组团共三个园区</w:t>
      </w:r>
      <w:r>
        <w:rPr>
          <w:rFonts w:hint="eastAsia" w:ascii="Times New Roman"/>
          <w:color w:val="auto"/>
          <w:sz w:val="24"/>
          <w:lang w:val="en-US" w:eastAsia="zh-CN"/>
        </w:rPr>
        <w:t>，其中金堂区块规划形成两大功能组团-天然气化工产品链组团和基础设施服务配套组团。</w:t>
      </w:r>
    </w:p>
    <w:p w14:paraId="598027D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给排水规划</w:t>
      </w:r>
    </w:p>
    <w:p w14:paraId="20B7A67F">
      <w:pPr>
        <w:pStyle w:val="5"/>
        <w:bidi w:val="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供水工程规划</w:t>
      </w:r>
    </w:p>
    <w:p w14:paraId="0C0AA5F0">
      <w:pPr>
        <w:keepNext w:val="0"/>
        <w:keepLines w:val="0"/>
        <w:widowControl/>
        <w:suppressLineNumbers w:val="0"/>
        <w:ind w:left="0" w:leftChars="0" w:firstLine="480" w:firstLineChars="20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在金堂区块规划在园区外东侧新建自来水厂一处，供水规模为2.9万t/d，水源引自通江河。</w:t>
      </w:r>
    </w:p>
    <w:p w14:paraId="24848667">
      <w:pPr>
        <w:pStyle w:val="5"/>
        <w:bidi w:val="0"/>
        <w:rPr>
          <w:rFonts w:hint="default" w:ascii="Times New Roman"/>
          <w:color w:val="auto"/>
          <w:sz w:val="24"/>
          <w:lang w:val="en-US" w:eastAsia="zh-CN"/>
        </w:rPr>
      </w:pPr>
      <w:r>
        <w:rPr>
          <w:rFonts w:hint="eastAsia"/>
          <w:color w:val="auto"/>
          <w:sz w:val="24"/>
          <w:lang w:val="en-US" w:eastAsia="zh-CN"/>
        </w:rPr>
        <w:t>雨水工程规划</w:t>
      </w:r>
    </w:p>
    <w:p w14:paraId="254E65E8">
      <w:pPr>
        <w:keepNext w:val="0"/>
        <w:keepLines w:val="0"/>
        <w:widowControl/>
        <w:suppressLineNumbers w:val="0"/>
        <w:ind w:left="0" w:leftChars="0" w:firstLine="480" w:firstLineChars="200"/>
        <w:jc w:val="left"/>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规划采用雨污分流制排水体系，即管道分别收集雨水和污水，各自独立形成系统。其中：雨水按照“分区分片，就近排放”的原则，由雨水干管汇集后统一排入周边自然水体。</w:t>
      </w:r>
    </w:p>
    <w:p w14:paraId="535FC1D6">
      <w:pPr>
        <w:pStyle w:val="5"/>
        <w:bidi w:val="0"/>
        <w:rPr>
          <w:rFonts w:hint="default" w:ascii="Times New Roman"/>
          <w:color w:val="auto"/>
          <w:sz w:val="24"/>
          <w:lang w:val="en-US" w:eastAsia="zh-CN"/>
        </w:rPr>
      </w:pPr>
      <w:r>
        <w:rPr>
          <w:rFonts w:hint="eastAsia"/>
          <w:color w:val="auto"/>
          <w:sz w:val="24"/>
          <w:lang w:val="en-US" w:eastAsia="zh-CN"/>
        </w:rPr>
        <w:t>污水工程规划</w:t>
      </w:r>
    </w:p>
    <w:p w14:paraId="61FA9671">
      <w:pPr>
        <w:pStyle w:val="6"/>
        <w:ind w:firstLine="482"/>
        <w:rPr>
          <w:rFonts w:hint="eastAsia" w:cs="Times New Roman"/>
          <w:b/>
          <w:bCs/>
          <w:color w:val="auto"/>
          <w:highlight w:val="none"/>
          <w:lang w:val="en-US" w:eastAsia="zh-CN"/>
        </w:rPr>
      </w:pPr>
      <w:r>
        <w:rPr>
          <w:rFonts w:hint="default" w:cs="Times New Roman"/>
          <w:b/>
          <w:bCs/>
          <w:color w:val="auto"/>
          <w:highlight w:val="none"/>
          <w:lang w:val="en-US" w:eastAsia="zh-CN"/>
        </w:rPr>
        <w:t>1</w:t>
      </w:r>
      <w:r>
        <w:rPr>
          <w:rFonts w:hint="eastAsia" w:cs="Times New Roman"/>
          <w:b/>
          <w:bCs/>
          <w:color w:val="auto"/>
          <w:highlight w:val="none"/>
          <w:lang w:val="en-US" w:eastAsia="zh-CN"/>
        </w:rPr>
        <w:t xml:space="preserve">、污水处理设施规划 </w:t>
      </w:r>
    </w:p>
    <w:p w14:paraId="2F2D31BB">
      <w:pPr>
        <w:keepNext w:val="0"/>
        <w:keepLines w:val="0"/>
        <w:widowControl/>
        <w:suppressLineNumbers w:val="0"/>
        <w:ind w:left="0" w:leftChars="0" w:firstLine="480" w:firstLineChars="20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 xml:space="preserve">金堂区块规划新建1座工业污水处理厂。 </w:t>
      </w:r>
    </w:p>
    <w:p w14:paraId="30031046">
      <w:pPr>
        <w:pStyle w:val="6"/>
        <w:ind w:firstLine="482"/>
        <w:rPr>
          <w:rFonts w:hint="default" w:cs="Times New Roman"/>
          <w:b/>
          <w:bCs/>
          <w:color w:val="auto"/>
          <w:highlight w:val="none"/>
          <w:lang w:val="en-US" w:eastAsia="zh-CN"/>
        </w:rPr>
      </w:pPr>
      <w:r>
        <w:rPr>
          <w:rFonts w:hint="default" w:cs="Times New Roman"/>
          <w:b/>
          <w:bCs/>
          <w:color w:val="auto"/>
          <w:highlight w:val="none"/>
          <w:lang w:val="en-US" w:eastAsia="zh-CN"/>
        </w:rPr>
        <w:t>2</w:t>
      </w:r>
      <w:r>
        <w:rPr>
          <w:rFonts w:hint="eastAsia" w:cs="Times New Roman"/>
          <w:b/>
          <w:bCs/>
          <w:color w:val="auto"/>
          <w:highlight w:val="none"/>
          <w:lang w:val="en-US" w:eastAsia="zh-CN"/>
        </w:rPr>
        <w:t xml:space="preserve">、排水分区规划 </w:t>
      </w:r>
    </w:p>
    <w:p w14:paraId="61543A9D">
      <w:pPr>
        <w:keepNext w:val="0"/>
        <w:keepLines w:val="0"/>
        <w:widowControl/>
        <w:suppressLineNumbers w:val="0"/>
        <w:ind w:left="0" w:leftChars="0"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服务范围为处理金堂区块内入驻企业的工业废水和生活污水。 </w:t>
      </w:r>
    </w:p>
    <w:p w14:paraId="5BD59768">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3、污水管网及污水处理厂建设情况</w:t>
      </w:r>
    </w:p>
    <w:p w14:paraId="4261A522">
      <w:pPr>
        <w:keepNext w:val="0"/>
        <w:keepLines w:val="0"/>
        <w:widowControl/>
        <w:numPr>
          <w:ilvl w:val="0"/>
          <w:numId w:val="0"/>
        </w:numPr>
        <w:suppressLineNumbers w:val="0"/>
        <w:ind w:leftChars="0" w:firstLine="480" w:firstLineChars="200"/>
        <w:jc w:val="left"/>
        <w:rPr>
          <w:rFonts w:hint="default" w:ascii="Times New Roman" w:hAnsi="Times New Roman" w:eastAsia="宋体" w:cs="Times New Roman"/>
          <w:b/>
          <w:bCs/>
          <w:color w:val="auto"/>
          <w:kern w:val="0"/>
          <w:sz w:val="24"/>
          <w:szCs w:val="24"/>
          <w:lang w:val="en-US" w:eastAsia="zh-CN" w:bidi="ar"/>
        </w:rPr>
      </w:pPr>
      <w:r>
        <w:rPr>
          <w:rFonts w:hint="eastAsia"/>
          <w:color w:val="auto"/>
          <w:lang w:val="en-US" w:eastAsia="zh-CN"/>
        </w:rPr>
        <w:t>根据调查，规划区污水管网已基本建成。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w:t>
      </w:r>
      <w:r>
        <w:rPr>
          <w:rFonts w:hint="default" w:ascii="Times New Roman" w:hAnsi="Times New Roman" w:cs="Times New Roman"/>
          <w:color w:val="auto"/>
          <w:lang w:val="en-US" w:eastAsia="zh-CN"/>
        </w:rPr>
        <w:t>年8月建成投运。</w:t>
      </w:r>
    </w:p>
    <w:p w14:paraId="4E91DA77">
      <w:pPr>
        <w:pStyle w:val="6"/>
        <w:ind w:firstLine="482"/>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 xml:space="preserve">4、排水去向 </w:t>
      </w:r>
    </w:p>
    <w:p w14:paraId="7B5806AF">
      <w:pPr>
        <w:keepNext w:val="0"/>
        <w:keepLines w:val="0"/>
        <w:widowControl/>
        <w:suppressLineNumbers w:val="0"/>
        <w:ind w:left="0" w:leftChars="0" w:firstLine="480" w:firstLineChars="20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污水处理厂处理达标的尾水经</w:t>
      </w:r>
      <w:r>
        <w:rPr>
          <w:rFonts w:hint="eastAsia" w:ascii="Times New Roman" w:hAnsi="Times New Roman" w:eastAsia="宋体" w:cs="Times New Roman"/>
          <w:color w:val="auto"/>
          <w:kern w:val="0"/>
          <w:sz w:val="24"/>
          <w:szCs w:val="24"/>
          <w:lang w:val="en-US" w:eastAsia="zh-CN" w:bidi="ar"/>
        </w:rPr>
        <w:t>约</w:t>
      </w:r>
      <w:r>
        <w:rPr>
          <w:rFonts w:hint="default" w:ascii="Times New Roman" w:hAnsi="Times New Roman" w:eastAsia="宋体" w:cs="Times New Roman"/>
          <w:color w:val="auto"/>
          <w:kern w:val="0"/>
          <w:sz w:val="24"/>
          <w:szCs w:val="24"/>
          <w:lang w:val="en-US" w:eastAsia="zh-CN" w:bidi="ar"/>
        </w:rPr>
        <w:t>2kmDN600尾水管道排入通江河。</w:t>
      </w:r>
    </w:p>
    <w:p w14:paraId="1C394FDB">
      <w:pPr>
        <w:pStyle w:val="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安全应急规划</w:t>
      </w:r>
    </w:p>
    <w:p w14:paraId="52AA22DD">
      <w:pPr>
        <w:pStyle w:val="5"/>
        <w:bidi w:val="0"/>
        <w:rPr>
          <w:rFonts w:hint="eastAsia"/>
          <w:color w:val="auto"/>
          <w:sz w:val="24"/>
          <w:lang w:val="en-US" w:eastAsia="zh-CN"/>
        </w:rPr>
      </w:pPr>
      <w:r>
        <w:rPr>
          <w:rFonts w:hint="eastAsia"/>
          <w:color w:val="auto"/>
          <w:sz w:val="24"/>
          <w:lang w:val="en-US" w:eastAsia="zh-CN"/>
        </w:rPr>
        <w:t xml:space="preserve">事故应急池 </w:t>
      </w:r>
    </w:p>
    <w:p w14:paraId="3613363C">
      <w:pPr>
        <w:keepNext w:val="0"/>
        <w:keepLines w:val="0"/>
        <w:widowControl/>
        <w:suppressLineNumbers w:val="0"/>
        <w:ind w:firstLine="480" w:firstLineChars="200"/>
        <w:jc w:val="left"/>
        <w:rPr>
          <w:color w:val="auto"/>
        </w:rPr>
      </w:pPr>
      <w:r>
        <w:rPr>
          <w:rFonts w:hint="eastAsia" w:ascii="宋体" w:hAnsi="宋体" w:eastAsia="宋体" w:cs="宋体"/>
          <w:color w:val="auto"/>
          <w:kern w:val="0"/>
          <w:sz w:val="24"/>
          <w:szCs w:val="24"/>
          <w:lang w:val="en-US" w:eastAsia="zh-CN" w:bidi="ar"/>
        </w:rPr>
        <w:t>规划区设置“生产单元</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企业</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 xml:space="preserve">园区”的三级事故废水防范体系： </w:t>
      </w:r>
    </w:p>
    <w:p w14:paraId="2B413AD4">
      <w:pPr>
        <w:keepNext w:val="0"/>
        <w:keepLines w:val="0"/>
        <w:widowControl/>
        <w:suppressLineNumbers w:val="0"/>
        <w:ind w:firstLine="482" w:firstLineChars="200"/>
        <w:jc w:val="left"/>
        <w:rPr>
          <w:color w:val="auto"/>
        </w:rPr>
      </w:pPr>
      <w:r>
        <w:rPr>
          <w:rFonts w:hint="eastAsia" w:ascii="宋体" w:hAnsi="宋体" w:eastAsia="宋体" w:cs="宋体"/>
          <w:b/>
          <w:bCs/>
          <w:color w:val="auto"/>
          <w:kern w:val="0"/>
          <w:sz w:val="24"/>
          <w:szCs w:val="24"/>
          <w:lang w:val="en-US" w:eastAsia="zh-CN" w:bidi="ar"/>
        </w:rPr>
        <w:t>第一级：</w:t>
      </w:r>
      <w:r>
        <w:rPr>
          <w:rFonts w:hint="eastAsia" w:ascii="宋体" w:hAnsi="宋体" w:eastAsia="宋体" w:cs="宋体"/>
          <w:b w:val="0"/>
          <w:bCs w:val="0"/>
          <w:color w:val="auto"/>
          <w:kern w:val="0"/>
          <w:sz w:val="24"/>
          <w:szCs w:val="24"/>
          <w:lang w:val="en-US" w:eastAsia="zh-CN" w:bidi="ar"/>
        </w:rPr>
        <w:t>要求企业生产装置区和储罐区均要求设立围堰（防火堤）和排水沟</w:t>
      </w:r>
      <w:r>
        <w:rPr>
          <w:rFonts w:hint="eastAsia" w:ascii="宋体" w:hAnsi="宋体" w:eastAsia="宋体" w:cs="宋体"/>
          <w:color w:val="auto"/>
          <w:kern w:val="0"/>
          <w:sz w:val="24"/>
          <w:szCs w:val="24"/>
          <w:lang w:val="en-US" w:eastAsia="zh-CN" w:bidi="ar"/>
        </w:rPr>
        <w:t xml:space="preserve">； </w:t>
      </w:r>
    </w:p>
    <w:p w14:paraId="556990A0">
      <w:pPr>
        <w:keepNext w:val="0"/>
        <w:keepLines w:val="0"/>
        <w:widowControl/>
        <w:suppressLineNumbers w:val="0"/>
        <w:ind w:firstLine="482" w:firstLineChars="200"/>
        <w:jc w:val="left"/>
        <w:rPr>
          <w:color w:val="auto"/>
        </w:rPr>
      </w:pPr>
      <w:r>
        <w:rPr>
          <w:rFonts w:hint="eastAsia" w:ascii="宋体" w:hAnsi="宋体" w:eastAsia="宋体" w:cs="宋体"/>
          <w:b/>
          <w:bCs/>
          <w:color w:val="auto"/>
          <w:kern w:val="0"/>
          <w:sz w:val="24"/>
          <w:szCs w:val="24"/>
          <w:lang w:val="en-US" w:eastAsia="zh-CN" w:bidi="ar"/>
        </w:rPr>
        <w:t>第二级：</w:t>
      </w:r>
      <w:r>
        <w:rPr>
          <w:rFonts w:hint="eastAsia" w:ascii="宋体" w:hAnsi="宋体" w:eastAsia="宋体" w:cs="宋体"/>
          <w:b w:val="0"/>
          <w:bCs w:val="0"/>
          <w:color w:val="auto"/>
          <w:kern w:val="0"/>
          <w:sz w:val="24"/>
          <w:szCs w:val="24"/>
          <w:lang w:val="en-US" w:eastAsia="zh-CN" w:bidi="ar"/>
        </w:rPr>
        <w:t>要求企业设置事故排水收集、储存和处置系统</w:t>
      </w:r>
      <w:r>
        <w:rPr>
          <w:rFonts w:hint="eastAsia" w:ascii="宋体" w:hAnsi="宋体" w:eastAsia="宋体" w:cs="宋体"/>
          <w:color w:val="auto"/>
          <w:kern w:val="0"/>
          <w:sz w:val="24"/>
          <w:szCs w:val="24"/>
          <w:lang w:val="en-US" w:eastAsia="zh-CN" w:bidi="ar"/>
        </w:rPr>
        <w:t xml:space="preserve">； </w:t>
      </w:r>
    </w:p>
    <w:p w14:paraId="54D727E8">
      <w:pPr>
        <w:keepNext w:val="0"/>
        <w:keepLines w:val="0"/>
        <w:widowControl/>
        <w:suppressLineNumbers w:val="0"/>
        <w:ind w:left="0" w:leftChars="0" w:firstLine="482" w:firstLineChars="200"/>
        <w:jc w:val="left"/>
        <w:rPr>
          <w:color w:val="auto"/>
        </w:rPr>
      </w:pPr>
      <w:r>
        <w:rPr>
          <w:rFonts w:hint="eastAsia" w:ascii="宋体" w:hAnsi="宋体" w:eastAsia="宋体" w:cs="宋体"/>
          <w:b/>
          <w:bCs/>
          <w:color w:val="auto"/>
          <w:kern w:val="0"/>
          <w:sz w:val="24"/>
          <w:szCs w:val="24"/>
          <w:lang w:val="en-US" w:eastAsia="zh-CN" w:bidi="ar"/>
        </w:rPr>
        <w:t>第三级：</w:t>
      </w:r>
      <w:r>
        <w:rPr>
          <w:rFonts w:hint="eastAsia" w:ascii="宋体" w:hAnsi="宋体" w:eastAsia="宋体" w:cs="宋体"/>
          <w:b w:val="0"/>
          <w:bCs w:val="0"/>
          <w:color w:val="auto"/>
          <w:kern w:val="0"/>
          <w:sz w:val="24"/>
          <w:szCs w:val="24"/>
          <w:lang w:val="en-US" w:eastAsia="zh-CN" w:bidi="ar"/>
        </w:rPr>
        <w:t>完善园区配套污水处理厂事故废水防范措施</w:t>
      </w:r>
      <w:r>
        <w:rPr>
          <w:rFonts w:hint="eastAsia" w:ascii="宋体" w:hAnsi="宋体" w:eastAsia="宋体" w:cs="宋体"/>
          <w:color w:val="auto"/>
          <w:kern w:val="0"/>
          <w:sz w:val="24"/>
          <w:szCs w:val="24"/>
          <w:lang w:val="en-US" w:eastAsia="zh-CN" w:bidi="ar"/>
        </w:rPr>
        <w:t xml:space="preserve">。 </w:t>
      </w:r>
    </w:p>
    <w:p w14:paraId="07183046">
      <w:pPr>
        <w:pStyle w:val="5"/>
        <w:bidi w:val="0"/>
        <w:rPr>
          <w:rFonts w:hint="eastAsia"/>
          <w:color w:val="auto"/>
          <w:sz w:val="24"/>
          <w:lang w:val="en-US" w:eastAsia="zh-CN"/>
        </w:rPr>
      </w:pPr>
      <w:r>
        <w:rPr>
          <w:rFonts w:hint="eastAsia"/>
          <w:color w:val="auto"/>
          <w:sz w:val="24"/>
          <w:lang w:val="en-US" w:eastAsia="zh-CN"/>
        </w:rPr>
        <w:t xml:space="preserve">应急救援大队 </w:t>
      </w:r>
    </w:p>
    <w:p w14:paraId="4B0B6281">
      <w:pPr>
        <w:keepNext w:val="0"/>
        <w:keepLines w:val="0"/>
        <w:widowControl/>
        <w:suppressLineNumbers w:val="0"/>
        <w:ind w:left="0" w:leftChars="0" w:firstLine="480" w:firstLineChars="200"/>
        <w:jc w:val="left"/>
        <w:rPr>
          <w:rFonts w:hint="eastAsia" w:ascii="宋体" w:hAnsi="宋体" w:eastAsia="宋体" w:cs="宋体"/>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金堂区块规划建设1</w:t>
      </w:r>
      <w:r>
        <w:rPr>
          <w:rFonts w:hint="default" w:ascii="Times New Roman" w:hAnsi="Times New Roman" w:eastAsia="宋体" w:cs="Times New Roman"/>
          <w:color w:val="auto"/>
          <w:kern w:val="0"/>
          <w:sz w:val="24"/>
          <w:szCs w:val="24"/>
          <w:lang w:val="en-US" w:eastAsia="zh-CN" w:bidi="ar"/>
        </w:rPr>
        <w:t>个消防站，位于</w:t>
      </w:r>
      <w:r>
        <w:rPr>
          <w:rFonts w:hint="eastAsia" w:cs="Times New Roman"/>
          <w:color w:val="auto"/>
          <w:kern w:val="0"/>
          <w:sz w:val="24"/>
          <w:szCs w:val="24"/>
          <w:lang w:val="en-US" w:eastAsia="zh-CN" w:bidi="ar"/>
        </w:rPr>
        <w:t>园区</w:t>
      </w:r>
      <w:r>
        <w:rPr>
          <w:rFonts w:hint="default" w:ascii="Times New Roman" w:hAnsi="Times New Roman" w:eastAsia="宋体" w:cs="Times New Roman"/>
          <w:color w:val="auto"/>
          <w:kern w:val="0"/>
          <w:sz w:val="24"/>
          <w:szCs w:val="24"/>
          <w:lang w:val="en-US" w:eastAsia="zh-CN" w:bidi="ar"/>
        </w:rPr>
        <w:t>东侧金春路与纬一路交口处。</w:t>
      </w:r>
    </w:p>
    <w:p w14:paraId="003186F2">
      <w:pPr>
        <w:pStyle w:val="5"/>
        <w:bidi w:val="0"/>
        <w:rPr>
          <w:rFonts w:hint="eastAsia"/>
          <w:color w:val="auto"/>
          <w:sz w:val="24"/>
          <w:lang w:val="en-US" w:eastAsia="zh-CN"/>
        </w:rPr>
      </w:pPr>
      <w:r>
        <w:rPr>
          <w:rFonts w:hint="eastAsia"/>
          <w:color w:val="auto"/>
          <w:sz w:val="24"/>
          <w:lang w:val="en-US" w:eastAsia="zh-CN"/>
        </w:rPr>
        <w:t xml:space="preserve">危险品运输通道 </w:t>
      </w:r>
    </w:p>
    <w:p w14:paraId="732B3F30">
      <w:pPr>
        <w:keepNext w:val="0"/>
        <w:keepLines w:val="0"/>
        <w:widowControl/>
        <w:suppressLineNumbers w:val="0"/>
        <w:ind w:firstLine="480" w:firstLineChars="200"/>
        <w:jc w:val="left"/>
        <w:rPr>
          <w:rFonts w:hint="eastAsia" w:ascii="宋体" w:hAnsi="宋体" w:eastAsia="宋体" w:cs="宋体"/>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危险品化学品的运输线路、运输时间须按有关规范的规定，避开交通高峰期进行，并沿过境公路而行，严禁穿越居住密集区。通行时间由23:00至次日凌晨6:00。</w:t>
      </w:r>
      <w:r>
        <w:rPr>
          <w:rFonts w:hint="eastAsia" w:ascii="宋体" w:hAnsi="宋体" w:eastAsia="宋体" w:cs="宋体"/>
          <w:color w:val="auto"/>
          <w:kern w:val="0"/>
          <w:sz w:val="24"/>
          <w:szCs w:val="24"/>
          <w:lang w:val="en-US" w:eastAsia="zh-CN" w:bidi="ar"/>
        </w:rPr>
        <w:t xml:space="preserve"> </w:t>
      </w:r>
    </w:p>
    <w:p w14:paraId="29458400">
      <w:pPr>
        <w:keepNext w:val="0"/>
        <w:keepLines w:val="0"/>
        <w:widowControl/>
        <w:suppressLineNumbers w:val="0"/>
        <w:ind w:left="0" w:leftChars="0" w:firstLine="480" w:firstLineChars="200"/>
        <w:jc w:val="left"/>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金堂区块运输线路为：沿园区金春路、金堂路运输。</w:t>
      </w:r>
    </w:p>
    <w:p w14:paraId="3C285BC3">
      <w:pPr>
        <w:pStyle w:val="3"/>
        <w:bidi w:val="0"/>
        <w:rPr>
          <w:rFonts w:hint="default" w:ascii="Times New Roman" w:hAnsi="Times New Roman" w:cs="Times New Roman"/>
          <w:color w:val="auto"/>
          <w:highlight w:val="none"/>
        </w:rPr>
      </w:pPr>
      <w:bookmarkStart w:id="91" w:name="_Toc518"/>
      <w:bookmarkStart w:id="92" w:name="_Toc417"/>
      <w:r>
        <w:rPr>
          <w:rFonts w:hint="default" w:ascii="Times New Roman" w:hAnsi="Times New Roman" w:cs="Times New Roman"/>
          <w:color w:val="auto"/>
          <w:highlight w:val="none"/>
        </w:rPr>
        <w:t>环境质量现状评价</w:t>
      </w:r>
      <w:bookmarkEnd w:id="91"/>
      <w:bookmarkEnd w:id="92"/>
    </w:p>
    <w:p w14:paraId="5BBECC53">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环境空气质量现状调查与评价</w:t>
      </w:r>
    </w:p>
    <w:p w14:paraId="76A8F3CA">
      <w:pPr>
        <w:pStyle w:val="26"/>
        <w:ind w:firstLine="480"/>
        <w:rPr>
          <w:rFonts w:cs="Times New Roman"/>
          <w:color w:val="auto"/>
          <w:lang w:bidi="ar"/>
        </w:rPr>
      </w:pPr>
      <w:r>
        <w:rPr>
          <w:rFonts w:cs="Times New Roman"/>
          <w:color w:val="auto"/>
        </w:rPr>
        <w:t>根据</w:t>
      </w:r>
      <w:r>
        <w:rPr>
          <w:rFonts w:cs="Times New Roman"/>
          <w:color w:val="auto"/>
          <w:lang w:bidi="ar"/>
        </w:rPr>
        <w:t>《环境影响评价技术导则 大气环境》（HJ2.2-2018）的要求，城市环境空气质量达标情况评价指标为SO</w:t>
      </w:r>
      <w:r>
        <w:rPr>
          <w:rFonts w:cs="Times New Roman"/>
          <w:color w:val="auto"/>
          <w:vertAlign w:val="subscript"/>
          <w:lang w:bidi="ar"/>
        </w:rPr>
        <w:t>2</w:t>
      </w:r>
      <w:r>
        <w:rPr>
          <w:rFonts w:cs="Times New Roman"/>
          <w:color w:val="auto"/>
          <w:lang w:bidi="ar"/>
        </w:rPr>
        <w:t>、NO</w:t>
      </w:r>
      <w:r>
        <w:rPr>
          <w:rFonts w:cs="Times New Roman"/>
          <w:color w:val="auto"/>
          <w:vertAlign w:val="subscript"/>
          <w:lang w:bidi="ar"/>
        </w:rPr>
        <w:t>2</w:t>
      </w:r>
      <w:r>
        <w:rPr>
          <w:rFonts w:cs="Times New Roman"/>
          <w:color w:val="auto"/>
          <w:lang w:bidi="ar"/>
        </w:rPr>
        <w:t>、PM</w:t>
      </w:r>
      <w:r>
        <w:rPr>
          <w:rFonts w:cs="Times New Roman"/>
          <w:color w:val="auto"/>
          <w:vertAlign w:val="subscript"/>
          <w:lang w:bidi="ar"/>
        </w:rPr>
        <w:t>10</w:t>
      </w:r>
      <w:r>
        <w:rPr>
          <w:rFonts w:cs="Times New Roman"/>
          <w:color w:val="auto"/>
          <w:lang w:bidi="ar"/>
        </w:rPr>
        <w:t>、PM</w:t>
      </w:r>
      <w:r>
        <w:rPr>
          <w:rFonts w:cs="Times New Roman"/>
          <w:color w:val="auto"/>
          <w:vertAlign w:val="subscript"/>
          <w:lang w:bidi="ar"/>
        </w:rPr>
        <w:t>2.5</w:t>
      </w:r>
      <w:r>
        <w:rPr>
          <w:rFonts w:cs="Times New Roman"/>
          <w:color w:val="auto"/>
          <w:lang w:bidi="ar"/>
        </w:rPr>
        <w:t>、CO和O</w:t>
      </w:r>
      <w:r>
        <w:rPr>
          <w:rFonts w:cs="Times New Roman"/>
          <w:color w:val="auto"/>
          <w:vertAlign w:val="subscript"/>
          <w:lang w:bidi="ar"/>
        </w:rPr>
        <w:t>3</w:t>
      </w:r>
      <w:r>
        <w:rPr>
          <w:rFonts w:cs="Times New Roman"/>
          <w:color w:val="auto"/>
          <w:lang w:bidi="ar"/>
        </w:rPr>
        <w:t>，六项污染物全部达标即为城市环境空气质量达标。根据国家或地方生态环境主管部门公开发布的城市环境空气质量达标情况，判断项目所在区域是否属于达标区。国家或地方生态环境主管部门未发布城市环境空气质量达标情况的，可按照HJ 663中各评价项目的年评价指标进行判定。</w:t>
      </w:r>
    </w:p>
    <w:p w14:paraId="30359522">
      <w:pPr>
        <w:pStyle w:val="5"/>
        <w:bidi w:val="0"/>
        <w:rPr>
          <w:rFonts w:hint="default"/>
          <w:color w:val="auto"/>
          <w:highlight w:val="none"/>
          <w:lang w:val="en-US" w:eastAsia="zh-CN"/>
        </w:rPr>
      </w:pPr>
      <w:r>
        <w:rPr>
          <w:rFonts w:hint="eastAsia"/>
          <w:color w:val="auto"/>
          <w:highlight w:val="none"/>
          <w:lang w:val="en-US" w:eastAsia="zh-CN"/>
        </w:rPr>
        <w:t>空气质量达标区判定</w:t>
      </w:r>
    </w:p>
    <w:p w14:paraId="49B7C42A">
      <w:pPr>
        <w:pStyle w:val="26"/>
        <w:numPr>
          <w:ilvl w:val="0"/>
          <w:numId w:val="0"/>
        </w:numPr>
        <w:bidi w:val="0"/>
        <w:ind w:left="0" w:leftChars="0" w:firstLine="480" w:firstLineChars="20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根据《环境影响评价导则 大气环境》（HJ2.2-2018）中有关基本污染物环境质量现状数据的规定，优先采用国家或地方生态环境主管部门公布的评价基准年（近3年中1个完整日历年）环境质量公告或环境质量报告中的数据或结论</w:t>
      </w:r>
      <w:r>
        <w:rPr>
          <w:rFonts w:hint="eastAsia" w:cs="Times New Roman"/>
          <w:bCs/>
          <w:color w:val="auto"/>
          <w:sz w:val="24"/>
          <w:szCs w:val="24"/>
          <w:highlight w:val="none"/>
          <w:lang w:eastAsia="zh-CN"/>
        </w:rPr>
        <w:t>；</w:t>
      </w:r>
      <w:r>
        <w:rPr>
          <w:rFonts w:hint="eastAsia" w:cs="Times New Roman"/>
          <w:bCs/>
          <w:color w:val="auto"/>
          <w:sz w:val="24"/>
          <w:szCs w:val="24"/>
          <w:highlight w:val="none"/>
          <w:lang w:val="en-US" w:eastAsia="zh-CN"/>
        </w:rPr>
        <w:t>采用评价范围内国家或地方环境空气质量监测网中评价基准年连续1年的监测数据，或采用生态环境主管部门公开发布的环境空气质量现状数据；评价范围内没有环境空气质量监测网数据或公开发布的环境空气质量现状数据的，可选择符合HJ664规定，并且与评价范围地理位置邻近，地形、气候条件相近的环境空气质量城市点或区域点监测数据</w:t>
      </w:r>
      <w:r>
        <w:rPr>
          <w:rFonts w:hint="default" w:ascii="Times New Roman" w:hAnsi="Times New Roman" w:cs="Times New Roman"/>
          <w:bCs/>
          <w:color w:val="auto"/>
          <w:sz w:val="24"/>
          <w:szCs w:val="24"/>
          <w:highlight w:val="none"/>
        </w:rPr>
        <w:t>。</w:t>
      </w:r>
    </w:p>
    <w:p w14:paraId="09454A2D">
      <w:pPr>
        <w:pStyle w:val="26"/>
        <w:numPr>
          <w:ilvl w:val="0"/>
          <w:numId w:val="0"/>
        </w:numPr>
        <w:bidi w:val="0"/>
        <w:ind w:left="0" w:leftChars="0" w:firstLine="480" w:firstLineChars="200"/>
        <w:rPr>
          <w:rFonts w:hint="default" w:cs="Times New Roman"/>
          <w:color w:val="auto"/>
          <w:sz w:val="24"/>
          <w:szCs w:val="24"/>
          <w:highlight w:val="none"/>
          <w:lang w:val="en-US" w:eastAsia="zh-CN" w:bidi="ar"/>
        </w:rPr>
      </w:pPr>
      <w:r>
        <w:rPr>
          <w:rFonts w:hint="eastAsia" w:cs="Times New Roman"/>
          <w:color w:val="auto"/>
          <w:sz w:val="24"/>
          <w:szCs w:val="24"/>
          <w:highlight w:val="none"/>
          <w:lang w:val="en-US" w:eastAsia="zh-CN" w:bidi="ar"/>
        </w:rPr>
        <w:t>本项目位于巴中市通江县境内，</w:t>
      </w:r>
      <w:r>
        <w:rPr>
          <w:rFonts w:hint="eastAsia" w:ascii="Times New Roman" w:hAnsi="Times New Roman" w:cs="Times New Roman"/>
          <w:color w:val="auto"/>
          <w:sz w:val="24"/>
          <w:szCs w:val="24"/>
          <w:highlight w:val="none"/>
          <w:lang w:val="en-US" w:eastAsia="zh-CN" w:bidi="ar"/>
        </w:rPr>
        <w:t>本次环评</w:t>
      </w:r>
      <w:r>
        <w:rPr>
          <w:rFonts w:hint="default" w:ascii="Times New Roman" w:hAnsi="Times New Roman" w:cs="Times New Roman"/>
          <w:color w:val="auto"/>
          <w:sz w:val="24"/>
          <w:szCs w:val="24"/>
          <w:highlight w:val="none"/>
          <w:lang w:bidi="ar"/>
        </w:rPr>
        <w:t>采用</w:t>
      </w:r>
      <w:r>
        <w:rPr>
          <w:rFonts w:hint="eastAsia" w:ascii="Times New Roman" w:hAnsi="Times New Roman" w:cs="Times New Roman"/>
          <w:color w:val="auto"/>
          <w:sz w:val="24"/>
          <w:szCs w:val="24"/>
          <w:highlight w:val="none"/>
          <w:lang w:val="en-US" w:eastAsia="zh-CN" w:bidi="ar"/>
        </w:rPr>
        <w:t>巴中</w:t>
      </w:r>
      <w:r>
        <w:rPr>
          <w:rFonts w:hint="default" w:ascii="Times New Roman" w:hAnsi="Times New Roman" w:cs="Times New Roman"/>
          <w:color w:val="auto"/>
          <w:sz w:val="24"/>
          <w:szCs w:val="24"/>
          <w:highlight w:val="none"/>
          <w:lang w:val="en-US" w:eastAsia="zh-CN" w:bidi="ar"/>
        </w:rPr>
        <w:t>市</w:t>
      </w:r>
      <w:r>
        <w:rPr>
          <w:rFonts w:hint="default" w:ascii="Times New Roman" w:hAnsi="Times New Roman" w:cs="Times New Roman"/>
          <w:color w:val="auto"/>
          <w:sz w:val="24"/>
          <w:szCs w:val="24"/>
          <w:highlight w:val="none"/>
          <w:lang w:bidi="ar"/>
        </w:rPr>
        <w:t>生态环境局公布的</w:t>
      </w:r>
      <w:r>
        <w:rPr>
          <w:rFonts w:hint="default" w:ascii="Times New Roman" w:hAnsi="Times New Roman" w:eastAsia="宋体" w:cs="Times New Roman"/>
          <w:bCs/>
          <w:color w:val="auto"/>
          <w:sz w:val="24"/>
        </w:rPr>
        <w:t>《2024年</w:t>
      </w:r>
      <w:r>
        <w:rPr>
          <w:rFonts w:hint="eastAsia" w:cs="Times New Roman"/>
          <w:bCs/>
          <w:color w:val="auto"/>
          <w:sz w:val="24"/>
          <w:lang w:val="en-US" w:eastAsia="zh-CN"/>
        </w:rPr>
        <w:t>巴中市生态</w:t>
      </w:r>
      <w:r>
        <w:rPr>
          <w:rFonts w:hint="default" w:ascii="Times New Roman" w:hAnsi="Times New Roman" w:eastAsia="宋体" w:cs="Times New Roman"/>
          <w:bCs/>
          <w:color w:val="auto"/>
          <w:sz w:val="24"/>
        </w:rPr>
        <w:t>环境</w:t>
      </w:r>
      <w:r>
        <w:rPr>
          <w:rFonts w:hint="eastAsia" w:cs="Times New Roman"/>
          <w:bCs/>
          <w:color w:val="auto"/>
          <w:sz w:val="24"/>
          <w:lang w:val="en-US" w:eastAsia="zh-CN"/>
        </w:rPr>
        <w:t>状况</w:t>
      </w:r>
      <w:r>
        <w:rPr>
          <w:rFonts w:hint="default" w:ascii="Times New Roman" w:hAnsi="Times New Roman" w:eastAsia="宋体" w:cs="Times New Roman"/>
          <w:bCs/>
          <w:color w:val="auto"/>
          <w:sz w:val="24"/>
        </w:rPr>
        <w:t>公报</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highlight w:val="none"/>
          <w:lang w:bidi="ar"/>
        </w:rPr>
        <w:t>中</w:t>
      </w:r>
      <w:r>
        <w:rPr>
          <w:rFonts w:hint="default" w:ascii="Times New Roman" w:hAnsi="Times New Roman" w:cs="Times New Roman"/>
          <w:color w:val="auto"/>
          <w:sz w:val="24"/>
          <w:szCs w:val="24"/>
        </w:rPr>
        <w:t>空气质量数据</w:t>
      </w:r>
      <w:r>
        <w:rPr>
          <w:rFonts w:hint="eastAsia" w:cs="Times New Roman"/>
          <w:color w:val="auto"/>
          <w:sz w:val="24"/>
          <w:szCs w:val="24"/>
          <w:highlight w:val="none"/>
          <w:lang w:val="en-US" w:eastAsia="zh-CN" w:bidi="ar"/>
        </w:rPr>
        <w:t>和“通江中学（</w:t>
      </w:r>
      <w:r>
        <w:rPr>
          <w:rFonts w:hint="eastAsia" w:ascii="Times New Roman" w:hAnsi="Times New Roman" w:cs="Times New Roman"/>
          <w:color w:val="auto"/>
          <w:sz w:val="24"/>
          <w:szCs w:val="24"/>
          <w:highlight w:val="none"/>
          <w:lang w:val="en-US" w:eastAsia="zh-CN" w:bidi="ar"/>
        </w:rPr>
        <w:t>站点位置：</w:t>
      </w:r>
      <w:r>
        <w:rPr>
          <w:rFonts w:hint="default" w:ascii="Times New Roman" w:hAnsi="Times New Roman" w:cs="Times New Roman"/>
          <w:color w:val="auto"/>
          <w:highlight w:val="none"/>
          <w:lang w:val="en-US" w:eastAsia="zh-CN"/>
        </w:rPr>
        <w:t>107.2491°</w:t>
      </w:r>
      <w:r>
        <w:rPr>
          <w:rFonts w:hint="eastAsia" w:ascii="Times New Roman" w:hAnsi="Times New Roman" w:cs="Times New Roman"/>
          <w:color w:val="auto"/>
          <w:highlight w:val="none"/>
          <w:lang w:val="en-US" w:eastAsia="zh-CN"/>
        </w:rPr>
        <w:t>、31.9121</w:t>
      </w:r>
      <w:r>
        <w:rPr>
          <w:rFonts w:hint="default" w:ascii="Times New Roman" w:hAnsi="Times New Roman" w:cs="Times New Roman"/>
          <w:color w:val="auto"/>
          <w:highlight w:val="none"/>
          <w:lang w:val="en-US" w:eastAsia="zh-CN"/>
        </w:rPr>
        <w:t>°</w:t>
      </w:r>
      <w:r>
        <w:rPr>
          <w:rFonts w:hint="eastAsia" w:cs="Times New Roman"/>
          <w:color w:val="auto"/>
          <w:sz w:val="24"/>
          <w:szCs w:val="24"/>
          <w:highlight w:val="none"/>
          <w:lang w:val="en-US" w:eastAsia="zh-CN" w:bidi="ar"/>
        </w:rPr>
        <w:t>，位于本项目东北侧约3.96km处，不在本项目评价范围内，系距本项目最近、且地形气候条件与本项目相近的环境空气质量城市点）”自动监测站站点2025年例行监测数据进行评价。</w:t>
      </w:r>
    </w:p>
    <w:p w14:paraId="255AE5E0">
      <w:pPr>
        <w:pStyle w:val="26"/>
        <w:bidi w:val="0"/>
        <w:rPr>
          <w:rFonts w:hint="default" w:ascii="Times New Roman" w:hAnsi="Times New Roman" w:cs="Times New Roman"/>
          <w:color w:val="auto"/>
          <w:highlight w:val="none"/>
          <w:lang w:bidi="ar"/>
        </w:rPr>
      </w:pPr>
      <w:r>
        <w:rPr>
          <w:rFonts w:hint="default" w:ascii="Times New Roman" w:hAnsi="Times New Roman" w:cs="Times New Roman"/>
          <w:color w:val="auto"/>
          <w:sz w:val="24"/>
          <w:szCs w:val="24"/>
        </w:rPr>
        <w:t>根据</w:t>
      </w:r>
      <w:r>
        <w:rPr>
          <w:rFonts w:hint="default" w:ascii="Times New Roman" w:hAnsi="Times New Roman" w:eastAsia="宋体" w:cs="Times New Roman"/>
          <w:bCs/>
          <w:color w:val="auto"/>
          <w:sz w:val="24"/>
        </w:rPr>
        <w:t>《2024年</w:t>
      </w:r>
      <w:r>
        <w:rPr>
          <w:rFonts w:hint="eastAsia" w:cs="Times New Roman"/>
          <w:bCs/>
          <w:color w:val="auto"/>
          <w:sz w:val="24"/>
          <w:lang w:val="en-US" w:eastAsia="zh-CN"/>
        </w:rPr>
        <w:t>巴中市生态</w:t>
      </w:r>
      <w:r>
        <w:rPr>
          <w:rFonts w:hint="default" w:ascii="Times New Roman" w:hAnsi="Times New Roman" w:eastAsia="宋体" w:cs="Times New Roman"/>
          <w:bCs/>
          <w:color w:val="auto"/>
          <w:sz w:val="24"/>
        </w:rPr>
        <w:t>环境</w:t>
      </w:r>
      <w:r>
        <w:rPr>
          <w:rFonts w:hint="eastAsia" w:cs="Times New Roman"/>
          <w:bCs/>
          <w:color w:val="auto"/>
          <w:sz w:val="24"/>
          <w:lang w:val="en-US" w:eastAsia="zh-CN"/>
        </w:rPr>
        <w:t>状况</w:t>
      </w:r>
      <w:r>
        <w:rPr>
          <w:rFonts w:hint="default" w:ascii="Times New Roman" w:hAnsi="Times New Roman" w:eastAsia="宋体" w:cs="Times New Roman"/>
          <w:bCs/>
          <w:color w:val="auto"/>
          <w:sz w:val="24"/>
        </w:rPr>
        <w:t>公报</w:t>
      </w:r>
      <w:r>
        <w:rPr>
          <w:rFonts w:hint="default" w:ascii="Times New Roman" w:hAnsi="Times New Roman" w:cs="Times New Roman"/>
          <w:color w:val="auto"/>
          <w:sz w:val="24"/>
          <w:szCs w:val="24"/>
        </w:rPr>
        <w:t>》，2024年，巴城环境空气质量优良率为95.6%，同比上升2.4个百分点，污染天数同比减少9天。环境空气六项主要污染物年均浓度全部达到国家环境空气质量二级标准，空气质量综合指数为2.99，同比下降0.16。根据</w:t>
      </w:r>
      <w:r>
        <w:rPr>
          <w:rFonts w:hint="default" w:ascii="Times New Roman" w:hAnsi="Times New Roman" w:cs="Times New Roman"/>
          <w:color w:val="auto"/>
          <w:sz w:val="24"/>
          <w:szCs w:val="24"/>
          <w:lang w:val="en-US" w:eastAsia="zh-CN"/>
        </w:rPr>
        <w:t>该</w:t>
      </w:r>
      <w:r>
        <w:rPr>
          <w:rFonts w:hint="default" w:ascii="Times New Roman" w:hAnsi="Times New Roman" w:cs="Times New Roman"/>
          <w:color w:val="auto"/>
          <w:sz w:val="24"/>
          <w:szCs w:val="24"/>
        </w:rPr>
        <w:t>公报，</w:t>
      </w:r>
      <w:r>
        <w:rPr>
          <w:rFonts w:hint="eastAsia" w:cs="Times New Roman"/>
          <w:color w:val="auto"/>
          <w:sz w:val="24"/>
          <w:szCs w:val="24"/>
          <w:lang w:val="en-US" w:eastAsia="zh-CN"/>
        </w:rPr>
        <w:t>巴中市</w:t>
      </w:r>
      <w:r>
        <w:rPr>
          <w:rFonts w:hint="default" w:ascii="Times New Roman" w:hAnsi="Times New Roman" w:cs="Times New Roman"/>
          <w:color w:val="auto"/>
          <w:sz w:val="24"/>
          <w:szCs w:val="24"/>
        </w:rPr>
        <w:t>202</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年</w:t>
      </w:r>
      <w:r>
        <w:rPr>
          <w:rFonts w:hint="default" w:ascii="Times New Roman" w:hAnsi="Times New Roman" w:cs="Times New Roman"/>
          <w:color w:val="auto"/>
          <w:sz w:val="24"/>
          <w:szCs w:val="24"/>
          <w:lang w:val="en-US" w:eastAsia="zh-CN"/>
        </w:rPr>
        <w:t>环境空气</w:t>
      </w:r>
      <w:r>
        <w:rPr>
          <w:rFonts w:hint="default" w:ascii="Times New Roman" w:hAnsi="Times New Roman" w:cs="Times New Roman"/>
          <w:color w:val="auto"/>
          <w:sz w:val="24"/>
          <w:szCs w:val="24"/>
        </w:rPr>
        <w:t>主要污染物年均浓度</w:t>
      </w:r>
      <w:r>
        <w:rPr>
          <w:rFonts w:hint="default" w:ascii="Times New Roman" w:hAnsi="Times New Roman" w:cs="Times New Roman"/>
          <w:color w:val="auto"/>
          <w:sz w:val="24"/>
          <w:szCs w:val="24"/>
          <w:lang w:val="en-US" w:eastAsia="zh-CN"/>
        </w:rPr>
        <w:t>见下表</w:t>
      </w:r>
      <w:r>
        <w:rPr>
          <w:rFonts w:hint="default" w:ascii="Times New Roman" w:hAnsi="Times New Roman" w:cs="Times New Roman"/>
          <w:color w:val="auto"/>
          <w:highlight w:val="none"/>
          <w:lang w:bidi="ar"/>
        </w:rPr>
        <w:t>。</w:t>
      </w:r>
    </w:p>
    <w:p w14:paraId="6B4C301F">
      <w:pPr>
        <w:pStyle w:val="28"/>
        <w:numPr>
          <w:ilvl w:val="0"/>
          <w:numId w:val="24"/>
        </w:numPr>
        <w:bidi w:val="0"/>
        <w:ind w:left="425" w:leftChars="0" w:hanging="425" w:firstLineChars="0"/>
        <w:rPr>
          <w:rFonts w:hint="default" w:ascii="Times New Roman" w:hAnsi="Times New Roman" w:cs="Times New Roman"/>
          <w:color w:val="auto"/>
          <w:highlight w:val="none"/>
        </w:rPr>
      </w:pPr>
      <w:r>
        <w:rPr>
          <w:rFonts w:hint="eastAsia" w:cs="Times New Roman"/>
          <w:color w:val="auto"/>
          <w:highlight w:val="none"/>
          <w:lang w:val="en-US" w:eastAsia="zh-CN"/>
        </w:rPr>
        <w:t>巴中市环境空气</w:t>
      </w:r>
      <w:r>
        <w:rPr>
          <w:rFonts w:hint="default" w:ascii="Times New Roman" w:hAnsi="Times New Roman" w:cs="Times New Roman"/>
          <w:color w:val="auto"/>
          <w:highlight w:val="none"/>
        </w:rPr>
        <w:t>质量现状评价表</w:t>
      </w:r>
    </w:p>
    <w:tbl>
      <w:tblPr>
        <w:tblStyle w:val="2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013"/>
        <w:gridCol w:w="2323"/>
        <w:gridCol w:w="1355"/>
        <w:gridCol w:w="1355"/>
        <w:gridCol w:w="1194"/>
        <w:gridCol w:w="1261"/>
      </w:tblGrid>
      <w:tr w14:paraId="75D7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tcBorders>
              <w:top w:val="single" w:color="auto" w:sz="4" w:space="0"/>
              <w:left w:val="single" w:color="auto" w:sz="4" w:space="0"/>
              <w:bottom w:val="single" w:color="auto" w:sz="4" w:space="0"/>
              <w:right w:val="single" w:color="auto" w:sz="4" w:space="0"/>
            </w:tcBorders>
            <w:noWrap w:val="0"/>
            <w:vAlign w:val="center"/>
          </w:tcPr>
          <w:p w14:paraId="418EAB1E">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行政区</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67F180B6">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7EE249D1">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年评价指标</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77BCB583">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现状浓度（</w:t>
            </w:r>
            <w:r>
              <w:rPr>
                <w:rFonts w:hint="default" w:ascii="Times New Roman" w:hAnsi="Times New Roman" w:cs="Times New Roman"/>
                <w:b/>
                <w:bCs/>
                <w:color w:val="auto"/>
                <w:highlight w:val="none"/>
                <w:lang w:eastAsia="zh-CN"/>
              </w:rPr>
              <w:t>μg/m</w:t>
            </w:r>
            <w:r>
              <w:rPr>
                <w:rFonts w:hint="default" w:ascii="Times New Roman" w:hAnsi="Times New Roman" w:cs="Times New Roman"/>
                <w:b/>
                <w:bCs/>
                <w:color w:val="auto"/>
                <w:highlight w:val="none"/>
                <w:vertAlign w:val="superscript"/>
                <w:lang w:eastAsia="zh-CN"/>
              </w:rPr>
              <w:t>3</w:t>
            </w:r>
            <w:r>
              <w:rPr>
                <w:rFonts w:hint="default" w:ascii="Times New Roman" w:hAnsi="Times New Roman" w:cs="Times New Roman"/>
                <w:b/>
                <w:bCs/>
                <w:color w:val="auto"/>
                <w:highlight w:val="none"/>
              </w:rPr>
              <w:t>）</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24A5384A">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标准值（</w:t>
            </w:r>
            <w:r>
              <w:rPr>
                <w:rFonts w:hint="default" w:ascii="Times New Roman" w:hAnsi="Times New Roman" w:cs="Times New Roman"/>
                <w:b/>
                <w:bCs/>
                <w:color w:val="auto"/>
                <w:highlight w:val="none"/>
                <w:lang w:eastAsia="zh-CN"/>
              </w:rPr>
              <w:t>μg/m</w:t>
            </w:r>
            <w:r>
              <w:rPr>
                <w:rFonts w:hint="default" w:ascii="Times New Roman" w:hAnsi="Times New Roman" w:cs="Times New Roman"/>
                <w:b/>
                <w:bCs/>
                <w:color w:val="auto"/>
                <w:highlight w:val="none"/>
                <w:vertAlign w:val="superscript"/>
                <w:lang w:eastAsia="zh-CN"/>
              </w:rPr>
              <w:t>3</w:t>
            </w:r>
            <w:r>
              <w:rPr>
                <w:rFonts w:hint="default" w:ascii="Times New Roman" w:hAnsi="Times New Roman" w:cs="Times New Roman"/>
                <w:b/>
                <w:bCs/>
                <w:color w:val="auto"/>
                <w:highlight w:val="none"/>
              </w:rPr>
              <w:t>）</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0D38407A">
            <w:pPr>
              <w:pStyle w:val="24"/>
              <w:keepNext w:val="0"/>
              <w:keepLines w:val="0"/>
              <w:suppressLineNumbers w:val="0"/>
              <w:spacing w:before="31" w:beforeAutospacing="0" w:after="31" w:afterAutospacing="0"/>
              <w:ind w:left="0" w:right="0"/>
              <w:rPr>
                <w:rFonts w:hint="eastAsia"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rPr>
              <w:t>占标率</w:t>
            </w:r>
            <w:r>
              <w:rPr>
                <w:rFonts w:hint="eastAsia" w:cs="Times New Roman"/>
                <w:b/>
                <w:bCs/>
                <w:color w:val="auto"/>
                <w:highlight w:val="none"/>
                <w:lang w:eastAsia="zh-CN"/>
              </w:rPr>
              <w:t>（</w:t>
            </w:r>
            <w:r>
              <w:rPr>
                <w:rFonts w:hint="eastAsia" w:cs="Times New Roman"/>
                <w:b/>
                <w:bCs/>
                <w:color w:val="auto"/>
                <w:highlight w:val="none"/>
                <w:lang w:val="en-US" w:eastAsia="zh-CN"/>
              </w:rPr>
              <w:t>%</w:t>
            </w:r>
            <w:r>
              <w:rPr>
                <w:rFonts w:hint="eastAsia" w:cs="Times New Roman"/>
                <w:b/>
                <w:bCs/>
                <w:color w:val="auto"/>
                <w:highlight w:val="none"/>
                <w:lang w:eastAsia="zh-CN"/>
              </w:rPr>
              <w:t>）</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3C0D1F1B">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达标情况</w:t>
            </w:r>
          </w:p>
        </w:tc>
      </w:tr>
      <w:tr w14:paraId="340E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vMerge w:val="restart"/>
            <w:tcBorders>
              <w:top w:val="single" w:color="auto" w:sz="4" w:space="0"/>
              <w:left w:val="single" w:color="auto" w:sz="4" w:space="0"/>
              <w:bottom w:val="single" w:color="auto" w:sz="4" w:space="0"/>
              <w:right w:val="single" w:color="auto" w:sz="4" w:space="0"/>
            </w:tcBorders>
            <w:noWrap w:val="0"/>
            <w:vAlign w:val="center"/>
          </w:tcPr>
          <w:p w14:paraId="6182B383">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eastAsia" w:cs="Times New Roman"/>
                <w:color w:val="auto"/>
                <w:highlight w:val="none"/>
                <w:lang w:val="en-US" w:eastAsia="zh-CN"/>
              </w:rPr>
              <w:t>巴中</w:t>
            </w:r>
            <w:r>
              <w:rPr>
                <w:rFonts w:hint="default" w:ascii="Times New Roman" w:hAnsi="Times New Roman" w:cs="Times New Roman"/>
                <w:color w:val="auto"/>
                <w:highlight w:val="none"/>
              </w:rPr>
              <w:t>市</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1BDEF7DA">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24242ECD">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年平均质量浓度</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7971801B">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4.3</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7D617701">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29575588">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7.17</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379103BD">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63C6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vMerge w:val="continue"/>
            <w:tcBorders>
              <w:top w:val="single" w:color="auto" w:sz="4" w:space="0"/>
              <w:left w:val="single" w:color="auto" w:sz="4" w:space="0"/>
              <w:bottom w:val="single" w:color="auto" w:sz="4" w:space="0"/>
              <w:right w:val="single" w:color="auto" w:sz="4" w:space="0"/>
            </w:tcBorders>
            <w:noWrap w:val="0"/>
            <w:vAlign w:val="center"/>
          </w:tcPr>
          <w:p w14:paraId="5FCE0092">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p>
        </w:tc>
        <w:tc>
          <w:tcPr>
            <w:tcW w:w="532" w:type="pct"/>
            <w:tcBorders>
              <w:top w:val="single" w:color="auto" w:sz="4" w:space="0"/>
              <w:left w:val="single" w:color="auto" w:sz="4" w:space="0"/>
              <w:bottom w:val="single" w:color="auto" w:sz="4" w:space="0"/>
              <w:right w:val="single" w:color="auto" w:sz="4" w:space="0"/>
            </w:tcBorders>
            <w:noWrap w:val="0"/>
            <w:vAlign w:val="center"/>
          </w:tcPr>
          <w:p w14:paraId="2377545B">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0058A2EF">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年平均质量浓度</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0D3E01A4">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20.9</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21CFA1EB">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1F0C30AE">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52.25</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295838F0">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0BDB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vMerge w:val="continue"/>
            <w:tcBorders>
              <w:top w:val="single" w:color="auto" w:sz="4" w:space="0"/>
              <w:left w:val="single" w:color="auto" w:sz="4" w:space="0"/>
              <w:bottom w:val="single" w:color="auto" w:sz="4" w:space="0"/>
              <w:right w:val="single" w:color="auto" w:sz="4" w:space="0"/>
            </w:tcBorders>
            <w:noWrap w:val="0"/>
            <w:vAlign w:val="center"/>
          </w:tcPr>
          <w:p w14:paraId="7A0F82E6">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p>
        </w:tc>
        <w:tc>
          <w:tcPr>
            <w:tcW w:w="532" w:type="pct"/>
            <w:tcBorders>
              <w:top w:val="single" w:color="auto" w:sz="4" w:space="0"/>
              <w:left w:val="single" w:color="auto" w:sz="4" w:space="0"/>
              <w:bottom w:val="single" w:color="auto" w:sz="4" w:space="0"/>
              <w:right w:val="single" w:color="auto" w:sz="4" w:space="0"/>
            </w:tcBorders>
            <w:noWrap w:val="0"/>
            <w:vAlign w:val="center"/>
          </w:tcPr>
          <w:p w14:paraId="0C3B25CC">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65E99D05">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年平均质量浓度</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064F4B55">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40.3</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0FB8C720">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6392309B">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57.57</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1D5DDA11">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5850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vMerge w:val="continue"/>
            <w:tcBorders>
              <w:top w:val="single" w:color="auto" w:sz="4" w:space="0"/>
              <w:left w:val="single" w:color="auto" w:sz="4" w:space="0"/>
              <w:bottom w:val="single" w:color="auto" w:sz="4" w:space="0"/>
              <w:right w:val="single" w:color="auto" w:sz="4" w:space="0"/>
            </w:tcBorders>
            <w:noWrap w:val="0"/>
            <w:vAlign w:val="center"/>
          </w:tcPr>
          <w:p w14:paraId="68A6C867">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p>
        </w:tc>
        <w:tc>
          <w:tcPr>
            <w:tcW w:w="532" w:type="pct"/>
            <w:tcBorders>
              <w:top w:val="single" w:color="auto" w:sz="4" w:space="0"/>
              <w:left w:val="single" w:color="auto" w:sz="4" w:space="0"/>
              <w:bottom w:val="single" w:color="auto" w:sz="4" w:space="0"/>
              <w:right w:val="single" w:color="auto" w:sz="4" w:space="0"/>
            </w:tcBorders>
            <w:noWrap w:val="0"/>
            <w:vAlign w:val="center"/>
          </w:tcPr>
          <w:p w14:paraId="728AC21D">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6B7E04A0">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年平均质量浓度</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6C0F8321">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28.5</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767D6A30">
            <w:pPr>
              <w:pStyle w:val="24"/>
              <w:keepNext w:val="0"/>
              <w:keepLines w:val="0"/>
              <w:suppressLineNumbers w:val="0"/>
              <w:spacing w:before="31" w:beforeAutospacing="0" w:after="31" w:afterAutospacing="0"/>
              <w:ind w:left="0" w:right="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35</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7F14F644">
            <w:pPr>
              <w:pStyle w:val="24"/>
              <w:keepNext w:val="0"/>
              <w:keepLines w:val="0"/>
              <w:suppressLineNumbers w:val="0"/>
              <w:spacing w:before="31" w:beforeAutospacing="0" w:after="31" w:afterAutospacing="0"/>
              <w:ind w:left="0" w:right="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81.43</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265A3A49">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highlight w:val="none"/>
              </w:rPr>
            </w:pPr>
            <w:r>
              <w:rPr>
                <w:rFonts w:hint="default" w:ascii="Times New Roman" w:hAnsi="Times New Roman" w:cs="Times New Roman"/>
                <w:color w:val="auto"/>
                <w:highlight w:val="none"/>
              </w:rPr>
              <w:t>达标</w:t>
            </w:r>
          </w:p>
        </w:tc>
      </w:tr>
      <w:tr w14:paraId="1D23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vMerge w:val="continue"/>
            <w:tcBorders>
              <w:top w:val="single" w:color="auto" w:sz="4" w:space="0"/>
              <w:left w:val="single" w:color="auto" w:sz="4" w:space="0"/>
              <w:bottom w:val="single" w:color="auto" w:sz="4" w:space="0"/>
              <w:right w:val="single" w:color="auto" w:sz="4" w:space="0"/>
            </w:tcBorders>
            <w:noWrap w:val="0"/>
            <w:vAlign w:val="center"/>
          </w:tcPr>
          <w:p w14:paraId="60215225">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p>
        </w:tc>
        <w:tc>
          <w:tcPr>
            <w:tcW w:w="532" w:type="pct"/>
            <w:tcBorders>
              <w:top w:val="single" w:color="auto" w:sz="4" w:space="0"/>
              <w:left w:val="single" w:color="auto" w:sz="4" w:space="0"/>
              <w:bottom w:val="single" w:color="auto" w:sz="4" w:space="0"/>
              <w:right w:val="single" w:color="auto" w:sz="4" w:space="0"/>
            </w:tcBorders>
            <w:noWrap w:val="0"/>
            <w:vAlign w:val="center"/>
          </w:tcPr>
          <w:p w14:paraId="29ACFCC9">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O</w:t>
            </w:r>
            <w:r>
              <w:rPr>
                <w:rFonts w:hint="default" w:ascii="Times New Roman" w:hAnsi="Times New Roman" w:cs="Times New Roman"/>
                <w:color w:val="auto"/>
                <w:highlight w:val="none"/>
                <w:vertAlign w:val="subscript"/>
              </w:rPr>
              <w:t>3</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0D964AE0">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日最大8小时平均第90百分位数</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6912C8A9">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121.5</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31546541">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160</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74890B79">
            <w:pPr>
              <w:pStyle w:val="24"/>
              <w:keepNext w:val="0"/>
              <w:keepLines w:val="0"/>
              <w:suppressLineNumbers w:val="0"/>
              <w:spacing w:before="31" w:beforeAutospacing="0" w:after="31" w:afterAutospacing="0"/>
              <w:ind w:left="0" w:right="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75.94</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025A7A1F">
            <w:pPr>
              <w:pStyle w:val="24"/>
              <w:keepNext w:val="0"/>
              <w:keepLines w:val="0"/>
              <w:suppressLineNumbers w:val="0"/>
              <w:spacing w:before="31" w:beforeAutospacing="0" w:after="31" w:afterAutospacing="0"/>
              <w:ind w:left="0" w:right="0"/>
              <w:rPr>
                <w:rFonts w:hint="eastAsia" w:ascii="Times New Roman" w:hAnsi="Times New Roman" w:eastAsia="宋体" w:cs="Times New Roman"/>
                <w:b w:val="0"/>
                <w:bCs w:val="0"/>
                <w:color w:val="auto"/>
                <w:highlight w:val="none"/>
                <w:lang w:eastAsia="zh-CN"/>
              </w:rPr>
            </w:pPr>
            <w:r>
              <w:rPr>
                <w:rFonts w:hint="eastAsia" w:cs="Times New Roman"/>
                <w:b w:val="0"/>
                <w:bCs w:val="0"/>
                <w:color w:val="auto"/>
                <w:highlight w:val="none"/>
                <w:lang w:val="en-US" w:eastAsia="zh-CN"/>
              </w:rPr>
              <w:t>达标</w:t>
            </w:r>
          </w:p>
        </w:tc>
      </w:tr>
      <w:tr w14:paraId="408C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0" w:type="pct"/>
            <w:vMerge w:val="continue"/>
            <w:tcBorders>
              <w:top w:val="single" w:color="auto" w:sz="4" w:space="0"/>
              <w:left w:val="single" w:color="auto" w:sz="4" w:space="0"/>
              <w:bottom w:val="single" w:color="auto" w:sz="4" w:space="0"/>
              <w:right w:val="single" w:color="auto" w:sz="4" w:space="0"/>
            </w:tcBorders>
            <w:noWrap w:val="0"/>
            <w:vAlign w:val="center"/>
          </w:tcPr>
          <w:p w14:paraId="1660DB62">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p>
        </w:tc>
        <w:tc>
          <w:tcPr>
            <w:tcW w:w="532" w:type="pct"/>
            <w:tcBorders>
              <w:top w:val="single" w:color="auto" w:sz="4" w:space="0"/>
              <w:left w:val="single" w:color="auto" w:sz="4" w:space="0"/>
              <w:bottom w:val="single" w:color="auto" w:sz="4" w:space="0"/>
              <w:right w:val="single" w:color="auto" w:sz="4" w:space="0"/>
            </w:tcBorders>
            <w:noWrap w:val="0"/>
            <w:vAlign w:val="center"/>
          </w:tcPr>
          <w:p w14:paraId="210F9507">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CO</w:t>
            </w:r>
          </w:p>
        </w:tc>
        <w:tc>
          <w:tcPr>
            <w:tcW w:w="1221" w:type="pct"/>
            <w:tcBorders>
              <w:top w:val="single" w:color="auto" w:sz="4" w:space="0"/>
              <w:left w:val="single" w:color="auto" w:sz="4" w:space="0"/>
              <w:bottom w:val="single" w:color="auto" w:sz="4" w:space="0"/>
              <w:right w:val="single" w:color="auto" w:sz="4" w:space="0"/>
            </w:tcBorders>
            <w:noWrap w:val="0"/>
            <w:vAlign w:val="center"/>
          </w:tcPr>
          <w:p w14:paraId="56B70D2F">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日均值第95百分位数</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6AAE12EA">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900</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224915CB">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4000</w:t>
            </w:r>
          </w:p>
        </w:tc>
        <w:tc>
          <w:tcPr>
            <w:tcW w:w="627" w:type="pct"/>
            <w:tcBorders>
              <w:top w:val="single" w:color="auto" w:sz="4" w:space="0"/>
              <w:left w:val="single" w:color="auto" w:sz="4" w:space="0"/>
              <w:bottom w:val="single" w:color="auto" w:sz="4" w:space="0"/>
              <w:right w:val="single" w:color="auto" w:sz="4" w:space="0"/>
            </w:tcBorders>
            <w:noWrap w:val="0"/>
            <w:vAlign w:val="center"/>
          </w:tcPr>
          <w:p w14:paraId="6F111E60">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22.50</w:t>
            </w:r>
          </w:p>
        </w:tc>
        <w:tc>
          <w:tcPr>
            <w:tcW w:w="662" w:type="pct"/>
            <w:tcBorders>
              <w:top w:val="single" w:color="auto" w:sz="4" w:space="0"/>
              <w:left w:val="single" w:color="auto" w:sz="4" w:space="0"/>
              <w:bottom w:val="single" w:color="auto" w:sz="4" w:space="0"/>
              <w:right w:val="single" w:color="auto" w:sz="4" w:space="0"/>
            </w:tcBorders>
            <w:noWrap w:val="0"/>
            <w:vAlign w:val="center"/>
          </w:tcPr>
          <w:p w14:paraId="39F0FFE2">
            <w:pPr>
              <w:pStyle w:val="24"/>
              <w:keepNext w:val="0"/>
              <w:keepLines w:val="0"/>
              <w:suppressLineNumbers w:val="0"/>
              <w:spacing w:before="31" w:beforeAutospacing="0" w:after="31"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bl>
    <w:p w14:paraId="76BEAF3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 大气环境》（HJ2.2-2018）中达标判断要求，本项目区域为达标区。</w:t>
      </w:r>
    </w:p>
    <w:p w14:paraId="431BB7C1">
      <w:pPr>
        <w:pStyle w:val="5"/>
        <w:bidi w:val="0"/>
        <w:rPr>
          <w:rFonts w:hint="default"/>
          <w:color w:val="auto"/>
          <w:lang w:eastAsia="zh-CN"/>
        </w:rPr>
      </w:pPr>
      <w:r>
        <w:rPr>
          <w:rFonts w:hint="eastAsia"/>
          <w:color w:val="auto"/>
          <w:lang w:val="en-US" w:eastAsia="zh-CN"/>
        </w:rPr>
        <w:t>基本污染物环境质量现状</w:t>
      </w:r>
    </w:p>
    <w:p w14:paraId="184B2493">
      <w:pPr>
        <w:pStyle w:val="26"/>
        <w:numPr>
          <w:ilvl w:val="0"/>
          <w:numId w:val="0"/>
        </w:numPr>
        <w:bidi w:val="0"/>
        <w:ind w:left="0" w:leftChars="0" w:firstLine="480" w:firstLineChars="200"/>
        <w:rPr>
          <w:rFonts w:hint="eastAsia" w:cs="Times New Roman"/>
          <w:color w:val="auto"/>
          <w:lang w:eastAsia="zh-CN" w:bidi="ar"/>
        </w:rPr>
      </w:pPr>
      <w:r>
        <w:rPr>
          <w:rFonts w:hint="eastAsia" w:cs="Times New Roman"/>
          <w:color w:val="auto"/>
          <w:sz w:val="24"/>
          <w:szCs w:val="24"/>
          <w:highlight w:val="none"/>
          <w:lang w:val="en-US" w:eastAsia="zh-CN" w:bidi="ar"/>
        </w:rPr>
        <w:t>通江中学位于本项目东北侧约3.96km处</w:t>
      </w:r>
      <w:r>
        <w:rPr>
          <w:rFonts w:hint="eastAsia" w:ascii="Times New Roman" w:hAnsi="Times New Roman" w:cs="Times New Roman"/>
          <w:color w:val="auto"/>
          <w:sz w:val="24"/>
          <w:szCs w:val="24"/>
          <w:highlight w:val="none"/>
          <w:lang w:val="en-US" w:eastAsia="zh-CN" w:bidi="ar"/>
        </w:rPr>
        <w:t>，站点位置：</w:t>
      </w:r>
      <w:r>
        <w:rPr>
          <w:rFonts w:hint="default" w:ascii="Times New Roman" w:hAnsi="Times New Roman" w:cs="Times New Roman"/>
          <w:color w:val="auto"/>
          <w:highlight w:val="none"/>
          <w:lang w:val="en-US" w:eastAsia="zh-CN"/>
        </w:rPr>
        <w:t>107.2491°</w:t>
      </w:r>
      <w:r>
        <w:rPr>
          <w:rFonts w:hint="eastAsia" w:ascii="Times New Roman" w:hAnsi="Times New Roman" w:cs="Times New Roman"/>
          <w:color w:val="auto"/>
          <w:highlight w:val="none"/>
          <w:lang w:val="en-US" w:eastAsia="zh-CN"/>
        </w:rPr>
        <w:t>、31.9121</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sz w:val="24"/>
          <w:szCs w:val="24"/>
          <w:highlight w:val="none"/>
          <w:lang w:val="en-US" w:eastAsia="zh-CN" w:bidi="ar"/>
        </w:rPr>
        <w:t>。</w:t>
      </w:r>
      <w:r>
        <w:rPr>
          <w:rFonts w:cs="Times New Roman"/>
          <w:color w:val="auto"/>
          <w:lang w:bidi="ar"/>
        </w:rPr>
        <w:t>根据</w:t>
      </w:r>
      <w:r>
        <w:rPr>
          <w:rFonts w:hint="eastAsia" w:ascii="宋体" w:hAnsi="宋体" w:eastAsia="宋体" w:cs="宋体"/>
          <w:color w:val="auto"/>
          <w:lang w:bidi="ar"/>
        </w:rPr>
        <w:t>“</w:t>
      </w:r>
      <w:r>
        <w:rPr>
          <w:rFonts w:hint="eastAsia" w:cs="Times New Roman"/>
          <w:color w:val="auto"/>
          <w:sz w:val="24"/>
          <w:szCs w:val="24"/>
          <w:highlight w:val="none"/>
          <w:lang w:val="en-US" w:eastAsia="zh-CN" w:bidi="ar"/>
        </w:rPr>
        <w:t>通江中学</w:t>
      </w:r>
      <w:r>
        <w:rPr>
          <w:rFonts w:hint="eastAsia" w:ascii="宋体" w:hAnsi="宋体" w:eastAsia="宋体" w:cs="宋体"/>
          <w:color w:val="auto"/>
          <w:lang w:bidi="ar"/>
        </w:rPr>
        <w:t>”</w:t>
      </w:r>
      <w:r>
        <w:rPr>
          <w:rFonts w:cs="Times New Roman"/>
          <w:color w:val="auto"/>
          <w:lang w:bidi="ar"/>
        </w:rPr>
        <w:t>自动监测站站点</w:t>
      </w:r>
      <w:r>
        <w:rPr>
          <w:rFonts w:hint="default" w:ascii="Times New Roman" w:hAnsi="Times New Roman" w:cs="Times New Roman"/>
          <w:color w:val="auto"/>
          <w:lang w:val="en-US" w:eastAsia="zh-CN" w:bidi="ar"/>
        </w:rPr>
        <w:t>20</w:t>
      </w:r>
      <w:r>
        <w:rPr>
          <w:rFonts w:hint="eastAsia" w:ascii="Times New Roman" w:hAnsi="Times New Roman" w:cs="Times New Roman"/>
          <w:color w:val="auto"/>
          <w:lang w:val="en-US" w:eastAsia="zh-CN" w:bidi="ar"/>
        </w:rPr>
        <w:t>25</w:t>
      </w:r>
      <w:r>
        <w:rPr>
          <w:rFonts w:hint="default" w:ascii="Times New Roman" w:hAnsi="Times New Roman" w:cs="Times New Roman"/>
          <w:color w:val="auto"/>
          <w:lang w:val="en-US" w:eastAsia="zh-CN" w:bidi="ar"/>
        </w:rPr>
        <w:t>年</w:t>
      </w:r>
      <w:r>
        <w:rPr>
          <w:rFonts w:cs="Times New Roman"/>
          <w:color w:val="auto"/>
          <w:lang w:bidi="ar"/>
        </w:rPr>
        <w:t>例行监测数据，环境空气各</w:t>
      </w:r>
      <w:r>
        <w:rPr>
          <w:rFonts w:hint="eastAsia" w:cs="Times New Roman"/>
          <w:color w:val="auto"/>
          <w:lang w:val="en-US" w:eastAsia="zh-CN" w:bidi="ar"/>
        </w:rPr>
        <w:t>污染物</w:t>
      </w:r>
      <w:r>
        <w:rPr>
          <w:rFonts w:cs="Times New Roman"/>
          <w:color w:val="auto"/>
          <w:lang w:bidi="ar"/>
        </w:rPr>
        <w:t>评价因子的浓度、标准及达标判定结果见下表</w:t>
      </w:r>
      <w:r>
        <w:rPr>
          <w:rFonts w:hint="eastAsia" w:cs="Times New Roman"/>
          <w:color w:val="auto"/>
          <w:lang w:eastAsia="zh-CN" w:bidi="ar"/>
        </w:rPr>
        <w:t>。</w:t>
      </w:r>
    </w:p>
    <w:p w14:paraId="58C7A796">
      <w:pPr>
        <w:pStyle w:val="26"/>
        <w:numPr>
          <w:ilvl w:val="0"/>
          <w:numId w:val="0"/>
        </w:numPr>
        <w:bidi w:val="0"/>
        <w:ind w:left="0" w:leftChars="0" w:firstLine="480" w:firstLineChars="200"/>
        <w:rPr>
          <w:rFonts w:hint="default" w:cs="Times New Roman"/>
          <w:color w:val="auto"/>
          <w:lang w:val="en-US" w:eastAsia="zh-CN" w:bidi="ar"/>
        </w:rPr>
      </w:pPr>
      <w:r>
        <w:rPr>
          <w:rFonts w:hint="eastAsia" w:cs="Times New Roman"/>
          <w:color w:val="auto"/>
          <w:lang w:val="en-US" w:eastAsia="zh-CN" w:bidi="ar"/>
        </w:rPr>
        <w:t>略。</w:t>
      </w:r>
    </w:p>
    <w:p w14:paraId="5F0EFE13">
      <w:pPr>
        <w:pStyle w:val="5"/>
        <w:bidi w:val="0"/>
        <w:rPr>
          <w:rFonts w:hint="default"/>
          <w:color w:val="auto"/>
          <w:highlight w:val="none"/>
        </w:rPr>
      </w:pPr>
      <w:r>
        <w:rPr>
          <w:rFonts w:hint="default"/>
          <w:color w:val="auto"/>
          <w:highlight w:val="none"/>
        </w:rPr>
        <w:t>其他污染物环境质量现状评价</w:t>
      </w:r>
    </w:p>
    <w:p w14:paraId="397A8747">
      <w:pPr>
        <w:pStyle w:val="26"/>
        <w:bidi w:val="0"/>
        <w:rPr>
          <w:rFonts w:hint="default"/>
          <w:color w:val="auto"/>
          <w:highlight w:val="none"/>
        </w:rPr>
      </w:pPr>
      <w:r>
        <w:rPr>
          <w:rFonts w:hint="default"/>
          <w:color w:val="auto"/>
          <w:highlight w:val="none"/>
        </w:rPr>
        <w:t>为了解</w:t>
      </w:r>
      <w:r>
        <w:rPr>
          <w:rFonts w:hint="eastAsia"/>
          <w:color w:val="auto"/>
          <w:highlight w:val="none"/>
          <w:lang w:val="en-US" w:eastAsia="zh-CN"/>
        </w:rPr>
        <w:t>项目所在</w:t>
      </w:r>
      <w:r>
        <w:rPr>
          <w:rFonts w:hint="default"/>
          <w:color w:val="auto"/>
          <w:highlight w:val="none"/>
        </w:rPr>
        <w:t>区域环境</w:t>
      </w:r>
      <w:r>
        <w:rPr>
          <w:rFonts w:hint="eastAsia"/>
          <w:color w:val="auto"/>
          <w:highlight w:val="none"/>
          <w:lang w:val="en-US" w:eastAsia="zh-CN"/>
        </w:rPr>
        <w:t>空气</w:t>
      </w:r>
      <w:r>
        <w:rPr>
          <w:rFonts w:hint="default"/>
          <w:color w:val="auto"/>
          <w:highlight w:val="none"/>
        </w:rPr>
        <w:t>质量现状，</w:t>
      </w:r>
      <w:r>
        <w:rPr>
          <w:rFonts w:hint="eastAsia"/>
          <w:color w:val="auto"/>
          <w:highlight w:val="none"/>
          <w:lang w:val="en-US" w:eastAsia="zh-CN"/>
        </w:rPr>
        <w:t>本项目</w:t>
      </w:r>
      <w:r>
        <w:rPr>
          <w:rFonts w:hint="default"/>
          <w:color w:val="auto"/>
          <w:highlight w:val="none"/>
        </w:rPr>
        <w:t>委托四川华皓检测技术有限公司</w:t>
      </w:r>
      <w:r>
        <w:rPr>
          <w:rFonts w:hint="eastAsia"/>
          <w:color w:val="auto"/>
          <w:highlight w:val="none"/>
          <w:lang w:val="en-US" w:eastAsia="zh-CN"/>
        </w:rPr>
        <w:t>对</w:t>
      </w:r>
      <w:r>
        <w:rPr>
          <w:rFonts w:hint="eastAsia" w:ascii="Times New Roman" w:hAnsi="Times New Roman" w:cs="Times New Roman"/>
          <w:color w:val="auto"/>
          <w:sz w:val="24"/>
          <w:szCs w:val="24"/>
        </w:rPr>
        <w:t>TSP</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氟化物、氯化氢、硫酸、氨、TVOC、臭气浓度</w:t>
      </w:r>
      <w:r>
        <w:rPr>
          <w:rFonts w:hint="default"/>
          <w:color w:val="auto"/>
          <w:highlight w:val="none"/>
        </w:rPr>
        <w:t>进行了补充监测</w:t>
      </w:r>
      <w:r>
        <w:rPr>
          <w:rFonts w:hint="eastAsia" w:ascii="Times New Roman" w:hAnsi="Times New Roman" w:eastAsia="宋体" w:cs="Times New Roman"/>
          <w:color w:val="auto"/>
          <w:sz w:val="24"/>
          <w:szCs w:val="24"/>
        </w:rPr>
        <w:t>。</w:t>
      </w:r>
    </w:p>
    <w:p w14:paraId="19B5C40D">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b/>
          <w:bCs/>
          <w:color w:val="auto"/>
          <w:highlight w:val="none"/>
          <w:lang w:val="en-US" w:eastAsia="zh-CN"/>
        </w:rPr>
        <w:t>其他污染物现状监测</w:t>
      </w:r>
    </w:p>
    <w:p w14:paraId="668C24D6">
      <w:pPr>
        <w:pStyle w:val="30"/>
        <w:bidi w:val="0"/>
        <w:rPr>
          <w:rFonts w:hint="default"/>
          <w:color w:val="auto"/>
          <w:highlight w:val="none"/>
        </w:rPr>
      </w:pPr>
      <w:bookmarkStart w:id="93" w:name="_Toc18466"/>
      <w:r>
        <w:rPr>
          <w:rFonts w:hint="eastAsia"/>
          <w:color w:val="auto"/>
          <w:highlight w:val="none"/>
          <w:lang w:val="en-US" w:eastAsia="zh-CN"/>
        </w:rPr>
        <w:t>（1）</w:t>
      </w:r>
      <w:r>
        <w:rPr>
          <w:rFonts w:hint="default"/>
          <w:color w:val="auto"/>
          <w:highlight w:val="none"/>
        </w:rPr>
        <w:t>监测点位</w:t>
      </w:r>
      <w:bookmarkEnd w:id="93"/>
    </w:p>
    <w:p w14:paraId="29231928">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w:t>
      </w:r>
      <w:r>
        <w:rPr>
          <w:rFonts w:hint="eastAsia" w:cs="Times New Roman"/>
          <w:color w:val="auto"/>
          <w:highlight w:val="none"/>
          <w:lang w:val="en-US" w:eastAsia="zh-CN"/>
        </w:rPr>
        <w:t>环评</w:t>
      </w:r>
      <w:r>
        <w:rPr>
          <w:rFonts w:hint="default" w:ascii="Times New Roman" w:hAnsi="Times New Roman" w:cs="Times New Roman"/>
          <w:color w:val="auto"/>
          <w:highlight w:val="none"/>
        </w:rPr>
        <w:t>共设环境空气监测点2个，监测点位设置情况见下表。</w:t>
      </w:r>
    </w:p>
    <w:p w14:paraId="4B1FCA64">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其他污染物补充监测点位位置</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4117"/>
        <w:gridCol w:w="4117"/>
      </w:tblGrid>
      <w:tr w14:paraId="1463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tcBorders>
              <w:top w:val="single" w:color="auto" w:sz="4" w:space="0"/>
              <w:left w:val="single" w:color="auto" w:sz="4" w:space="0"/>
              <w:bottom w:val="single" w:color="auto" w:sz="4" w:space="0"/>
              <w:right w:val="single" w:color="auto" w:sz="4" w:space="0"/>
            </w:tcBorders>
            <w:noWrap w:val="0"/>
            <w:vAlign w:val="center"/>
          </w:tcPr>
          <w:p w14:paraId="6A3077FB">
            <w:pPr>
              <w:pStyle w:val="31"/>
              <w:bidi w:val="0"/>
              <w:rPr>
                <w:rFonts w:hint="default"/>
                <w:color w:val="auto"/>
                <w:highlight w:val="none"/>
              </w:rPr>
            </w:pPr>
            <w:r>
              <w:rPr>
                <w:rFonts w:hint="default"/>
                <w:color w:val="auto"/>
                <w:highlight w:val="none"/>
              </w:rPr>
              <w:t>编号</w:t>
            </w:r>
          </w:p>
        </w:tc>
        <w:tc>
          <w:tcPr>
            <w:tcW w:w="4118" w:type="dxa"/>
            <w:tcBorders>
              <w:top w:val="single" w:color="auto" w:sz="4" w:space="0"/>
              <w:left w:val="single" w:color="auto" w:sz="4" w:space="0"/>
              <w:bottom w:val="single" w:color="auto" w:sz="4" w:space="0"/>
              <w:right w:val="single" w:color="auto" w:sz="4" w:space="0"/>
            </w:tcBorders>
            <w:noWrap w:val="0"/>
            <w:vAlign w:val="center"/>
          </w:tcPr>
          <w:p w14:paraId="4D6A9E39">
            <w:pPr>
              <w:pStyle w:val="31"/>
              <w:bidi w:val="0"/>
              <w:rPr>
                <w:rFonts w:hint="default"/>
                <w:color w:val="auto"/>
                <w:highlight w:val="none"/>
              </w:rPr>
            </w:pPr>
            <w:r>
              <w:rPr>
                <w:rFonts w:hint="default"/>
                <w:color w:val="auto"/>
                <w:highlight w:val="none"/>
              </w:rPr>
              <w:t>监测点位</w:t>
            </w:r>
          </w:p>
        </w:tc>
        <w:tc>
          <w:tcPr>
            <w:tcW w:w="4118" w:type="dxa"/>
            <w:tcBorders>
              <w:top w:val="single" w:color="auto" w:sz="4" w:space="0"/>
              <w:left w:val="single" w:color="auto" w:sz="4" w:space="0"/>
              <w:bottom w:val="single" w:color="auto" w:sz="4" w:space="0"/>
              <w:right w:val="single" w:color="auto" w:sz="4" w:space="0"/>
            </w:tcBorders>
            <w:noWrap w:val="0"/>
            <w:vAlign w:val="center"/>
          </w:tcPr>
          <w:p w14:paraId="00B0B573">
            <w:pPr>
              <w:pStyle w:val="31"/>
              <w:bidi w:val="0"/>
              <w:rPr>
                <w:rFonts w:hint="eastAsia" w:eastAsia="宋体"/>
                <w:color w:val="auto"/>
                <w:highlight w:val="none"/>
                <w:lang w:val="en-US" w:eastAsia="zh-CN"/>
              </w:rPr>
            </w:pPr>
            <w:r>
              <w:rPr>
                <w:rFonts w:hint="eastAsia"/>
                <w:color w:val="auto"/>
                <w:highlight w:val="none"/>
                <w:lang w:val="en-US" w:eastAsia="zh-CN"/>
              </w:rPr>
              <w:t>备注</w:t>
            </w:r>
          </w:p>
        </w:tc>
      </w:tr>
      <w:tr w14:paraId="728F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tcBorders>
              <w:top w:val="single" w:color="auto" w:sz="4" w:space="0"/>
              <w:left w:val="single" w:color="auto" w:sz="4" w:space="0"/>
              <w:bottom w:val="single" w:color="auto" w:sz="4" w:space="0"/>
              <w:right w:val="single" w:color="auto" w:sz="4" w:space="0"/>
            </w:tcBorders>
            <w:noWrap w:val="0"/>
            <w:vAlign w:val="center"/>
          </w:tcPr>
          <w:p w14:paraId="06748335">
            <w:pPr>
              <w:pStyle w:val="31"/>
              <w:bidi w:val="0"/>
              <w:rPr>
                <w:rFonts w:hint="default" w:ascii="Times New Roman" w:hAnsi="Times New Roman" w:eastAsia="宋体" w:cs="宋体"/>
                <w:b w:val="0"/>
                <w:bCs/>
                <w:color w:val="auto"/>
                <w:highlight w:val="none"/>
              </w:rPr>
            </w:pPr>
            <w:r>
              <w:rPr>
                <w:rFonts w:hint="eastAsia" w:ascii="Times New Roman" w:hAnsi="Times New Roman" w:eastAsia="宋体" w:cs="宋体"/>
                <w:b w:val="0"/>
                <w:bCs/>
                <w:color w:val="auto"/>
                <w:highlight w:val="none"/>
                <w:lang w:val="en-US" w:eastAsia="zh-CN"/>
              </w:rPr>
              <w:t>HG</w:t>
            </w:r>
            <w:r>
              <w:rPr>
                <w:rFonts w:hint="default" w:ascii="Times New Roman" w:hAnsi="Times New Roman" w:eastAsia="宋体" w:cs="宋体"/>
                <w:b w:val="0"/>
                <w:bCs/>
                <w:color w:val="auto"/>
                <w:highlight w:val="none"/>
              </w:rPr>
              <w:t>1</w:t>
            </w:r>
          </w:p>
        </w:tc>
        <w:tc>
          <w:tcPr>
            <w:tcW w:w="4118" w:type="dxa"/>
            <w:tcBorders>
              <w:top w:val="single" w:color="auto" w:sz="4" w:space="0"/>
              <w:left w:val="single" w:color="auto" w:sz="4" w:space="0"/>
              <w:bottom w:val="single" w:color="auto" w:sz="4" w:space="0"/>
              <w:right w:val="single" w:color="auto" w:sz="4" w:space="0"/>
            </w:tcBorders>
            <w:noWrap w:val="0"/>
            <w:vAlign w:val="center"/>
          </w:tcPr>
          <w:p w14:paraId="32C95C30">
            <w:pPr>
              <w:pStyle w:val="31"/>
              <w:bidi w:val="0"/>
              <w:rPr>
                <w:rFonts w:hint="default" w:ascii="Times New Roman" w:hAnsi="Times New Roman" w:eastAsia="宋体" w:cs="宋体"/>
                <w:b w:val="0"/>
                <w:bCs/>
                <w:color w:val="auto"/>
                <w:highlight w:val="none"/>
              </w:rPr>
            </w:pPr>
            <w:r>
              <w:rPr>
                <w:rFonts w:hint="eastAsia" w:ascii="Times New Roman" w:hAnsi="Times New Roman" w:eastAsia="宋体" w:cs="宋体"/>
                <w:b w:val="0"/>
                <w:bCs/>
                <w:color w:val="auto"/>
                <w:highlight w:val="none"/>
              </w:rPr>
              <w:t>项目厂址</w:t>
            </w:r>
          </w:p>
        </w:tc>
        <w:tc>
          <w:tcPr>
            <w:tcW w:w="4118" w:type="dxa"/>
            <w:tcBorders>
              <w:top w:val="single" w:color="auto" w:sz="4" w:space="0"/>
              <w:left w:val="single" w:color="auto" w:sz="4" w:space="0"/>
              <w:bottom w:val="single" w:color="auto" w:sz="4" w:space="0"/>
              <w:right w:val="single" w:color="auto" w:sz="4" w:space="0"/>
            </w:tcBorders>
            <w:noWrap w:val="0"/>
            <w:vAlign w:val="center"/>
          </w:tcPr>
          <w:p w14:paraId="7ED515BB">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rPr>
              <w:t>107.230702,31.879327</w:t>
            </w:r>
          </w:p>
        </w:tc>
      </w:tr>
      <w:tr w14:paraId="59BF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tcBorders>
              <w:top w:val="single" w:color="auto" w:sz="4" w:space="0"/>
              <w:left w:val="single" w:color="auto" w:sz="4" w:space="0"/>
              <w:bottom w:val="single" w:color="auto" w:sz="4" w:space="0"/>
              <w:right w:val="single" w:color="auto" w:sz="4" w:space="0"/>
            </w:tcBorders>
            <w:noWrap w:val="0"/>
            <w:vAlign w:val="center"/>
          </w:tcPr>
          <w:p w14:paraId="18F706CC">
            <w:pPr>
              <w:pStyle w:val="31"/>
              <w:bidi w:val="0"/>
              <w:rPr>
                <w:rFonts w:hint="default" w:ascii="Times New Roman" w:hAnsi="Times New Roman" w:eastAsia="宋体" w:cs="宋体"/>
                <w:b w:val="0"/>
                <w:bCs/>
                <w:color w:val="auto"/>
                <w:highlight w:val="none"/>
              </w:rPr>
            </w:pPr>
            <w:r>
              <w:rPr>
                <w:rFonts w:hint="eastAsia" w:ascii="Times New Roman" w:hAnsi="Times New Roman" w:eastAsia="宋体" w:cs="宋体"/>
                <w:b w:val="0"/>
                <w:bCs/>
                <w:color w:val="auto"/>
                <w:highlight w:val="none"/>
                <w:lang w:val="en-US" w:eastAsia="zh-CN"/>
              </w:rPr>
              <w:t>HG2</w:t>
            </w:r>
          </w:p>
        </w:tc>
        <w:tc>
          <w:tcPr>
            <w:tcW w:w="4118" w:type="dxa"/>
            <w:tcBorders>
              <w:top w:val="single" w:color="auto" w:sz="4" w:space="0"/>
              <w:left w:val="single" w:color="auto" w:sz="4" w:space="0"/>
              <w:bottom w:val="single" w:color="auto" w:sz="4" w:space="0"/>
              <w:right w:val="single" w:color="auto" w:sz="4" w:space="0"/>
            </w:tcBorders>
            <w:noWrap w:val="0"/>
            <w:vAlign w:val="center"/>
          </w:tcPr>
          <w:p w14:paraId="2F66DBD3">
            <w:pPr>
              <w:pStyle w:val="31"/>
              <w:bidi w:val="0"/>
              <w:rPr>
                <w:rFonts w:hint="default" w:ascii="Times New Roman" w:hAnsi="Times New Roman" w:eastAsia="宋体" w:cs="宋体"/>
                <w:b w:val="0"/>
                <w:bCs/>
                <w:color w:val="auto"/>
                <w:highlight w:val="none"/>
                <w:lang w:val="en-US"/>
              </w:rPr>
            </w:pPr>
            <w:r>
              <w:rPr>
                <w:rFonts w:hint="eastAsia" w:ascii="Times New Roman" w:hAnsi="Times New Roman" w:eastAsia="宋体" w:cs="宋体"/>
                <w:b w:val="0"/>
                <w:bCs/>
                <w:color w:val="auto"/>
                <w:highlight w:val="none"/>
                <w:lang w:val="en-US" w:eastAsia="zh-CN"/>
              </w:rPr>
              <w:t>项目下风向约1.7km金堂村处</w:t>
            </w:r>
          </w:p>
        </w:tc>
        <w:tc>
          <w:tcPr>
            <w:tcW w:w="4118" w:type="dxa"/>
            <w:tcBorders>
              <w:top w:val="single" w:color="auto" w:sz="4" w:space="0"/>
              <w:left w:val="single" w:color="auto" w:sz="4" w:space="0"/>
              <w:bottom w:val="single" w:color="auto" w:sz="4" w:space="0"/>
              <w:right w:val="single" w:color="auto" w:sz="4" w:space="0"/>
            </w:tcBorders>
            <w:noWrap w:val="0"/>
            <w:vAlign w:val="center"/>
          </w:tcPr>
          <w:p w14:paraId="3080DDAE">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107.235077,31.863585</w:t>
            </w:r>
          </w:p>
        </w:tc>
      </w:tr>
    </w:tbl>
    <w:p w14:paraId="37053B81">
      <w:pPr>
        <w:pStyle w:val="30"/>
        <w:bidi w:val="0"/>
        <w:rPr>
          <w:rFonts w:hint="default"/>
          <w:color w:val="auto"/>
          <w:highlight w:val="none"/>
        </w:rPr>
      </w:pPr>
      <w:bookmarkStart w:id="94" w:name="_Toc19172"/>
      <w:r>
        <w:rPr>
          <w:rFonts w:hint="eastAsia"/>
          <w:color w:val="auto"/>
          <w:highlight w:val="none"/>
          <w:lang w:val="en-US" w:eastAsia="zh-CN"/>
        </w:rPr>
        <w:t>（2）</w:t>
      </w:r>
      <w:r>
        <w:rPr>
          <w:rFonts w:hint="default"/>
          <w:color w:val="auto"/>
          <w:highlight w:val="none"/>
        </w:rPr>
        <w:t>监测因子</w:t>
      </w:r>
      <w:bookmarkEnd w:id="94"/>
    </w:p>
    <w:p w14:paraId="795826B4">
      <w:pPr>
        <w:pStyle w:val="26"/>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TSP</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氟化物、氯化氢、硫酸、氨、TVOC、臭气浓度</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sz w:val="24"/>
          <w:szCs w:val="24"/>
        </w:rPr>
        <w:t>其中TSP</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氟化物、氯化氢、硫酸</w:t>
      </w:r>
      <w:r>
        <w:rPr>
          <w:rFonts w:ascii="Times New Roman" w:hAnsi="Times New Roman" w:cs="Times New Roman"/>
          <w:color w:val="auto"/>
          <w:sz w:val="24"/>
          <w:szCs w:val="24"/>
        </w:rPr>
        <w:t>采样监测24</w:t>
      </w:r>
      <w:r>
        <w:rPr>
          <w:rFonts w:hint="eastAsia" w:ascii="Times New Roman" w:hAnsi="Times New Roman" w:cs="Times New Roman"/>
          <w:color w:val="auto"/>
          <w:sz w:val="24"/>
          <w:szCs w:val="24"/>
        </w:rPr>
        <w:t>小时</w:t>
      </w:r>
      <w:r>
        <w:rPr>
          <w:rFonts w:ascii="Times New Roman" w:hAnsi="Times New Roman" w:cs="Times New Roman"/>
          <w:color w:val="auto"/>
          <w:sz w:val="24"/>
          <w:szCs w:val="24"/>
        </w:rPr>
        <w:t>均值</w:t>
      </w:r>
      <w:r>
        <w:rPr>
          <w:rFonts w:hint="eastAsia"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且氟化物、氯化氢、硫酸</w:t>
      </w:r>
      <w:r>
        <w:rPr>
          <w:rFonts w:hint="eastAsia" w:ascii="Times New Roman" w:hAnsi="Times New Roman" w:cs="Times New Roman"/>
          <w:color w:val="auto"/>
          <w:sz w:val="24"/>
          <w:szCs w:val="24"/>
        </w:rPr>
        <w:t>分别在4个时段采样监测1小时</w:t>
      </w:r>
      <w:r>
        <w:rPr>
          <w:rFonts w:ascii="Times New Roman" w:hAnsi="Times New Roman" w:cs="Times New Roman"/>
          <w:color w:val="auto"/>
          <w:sz w:val="24"/>
          <w:szCs w:val="24"/>
        </w:rPr>
        <w:t>均值</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TVOC</w:t>
      </w:r>
      <w:r>
        <w:rPr>
          <w:rFonts w:hint="eastAsia" w:ascii="Times New Roman" w:hAnsi="Times New Roman" w:cs="Times New Roman"/>
          <w:color w:val="auto"/>
          <w:sz w:val="24"/>
          <w:szCs w:val="24"/>
        </w:rPr>
        <w:t>采样监测</w:t>
      </w:r>
      <w:r>
        <w:rPr>
          <w:rFonts w:hint="eastAsia" w:ascii="Times New Roman" w:hAnsi="Times New Roman" w:cs="Times New Roman"/>
          <w:color w:val="auto"/>
          <w:sz w:val="24"/>
          <w:szCs w:val="24"/>
          <w:lang w:val="en-US" w:eastAsia="zh-CN"/>
        </w:rPr>
        <w:t>8</w:t>
      </w:r>
      <w:r>
        <w:rPr>
          <w:rFonts w:hint="eastAsia" w:ascii="Times New Roman" w:hAnsi="Times New Roman" w:cs="Times New Roman"/>
          <w:color w:val="auto"/>
          <w:sz w:val="24"/>
          <w:szCs w:val="24"/>
        </w:rPr>
        <w:t>小时</w:t>
      </w:r>
      <w:r>
        <w:rPr>
          <w:rFonts w:ascii="Times New Roman" w:hAnsi="Times New Roman" w:cs="Times New Roman"/>
          <w:color w:val="auto"/>
          <w:sz w:val="24"/>
          <w:szCs w:val="24"/>
        </w:rPr>
        <w:t>均值</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氨、臭气浓度</w:t>
      </w:r>
      <w:r>
        <w:rPr>
          <w:rFonts w:hint="eastAsia" w:ascii="Times New Roman" w:hAnsi="Times New Roman" w:cs="Times New Roman"/>
          <w:color w:val="auto"/>
          <w:sz w:val="24"/>
          <w:szCs w:val="24"/>
        </w:rPr>
        <w:t>分别在4个时段采样监测1小时</w:t>
      </w:r>
      <w:r>
        <w:rPr>
          <w:rFonts w:ascii="Times New Roman" w:hAnsi="Times New Roman" w:cs="Times New Roman"/>
          <w:color w:val="auto"/>
          <w:sz w:val="24"/>
          <w:szCs w:val="24"/>
        </w:rPr>
        <w:t>均值</w:t>
      </w:r>
      <w:r>
        <w:rPr>
          <w:rFonts w:hint="default" w:ascii="Times New Roman" w:hAnsi="Times New Roman" w:cs="Times New Roman"/>
          <w:color w:val="auto"/>
          <w:highlight w:val="none"/>
        </w:rPr>
        <w:t>。</w:t>
      </w:r>
    </w:p>
    <w:p w14:paraId="16003CBC">
      <w:pPr>
        <w:pStyle w:val="30"/>
        <w:bidi w:val="0"/>
        <w:rPr>
          <w:rFonts w:hint="eastAsia" w:eastAsia="宋体"/>
          <w:color w:val="auto"/>
          <w:highlight w:val="none"/>
          <w:lang w:val="en-US" w:eastAsia="zh-CN"/>
        </w:rPr>
      </w:pPr>
      <w:bookmarkStart w:id="95" w:name="_Toc16397"/>
      <w:r>
        <w:rPr>
          <w:rFonts w:hint="eastAsia"/>
          <w:color w:val="auto"/>
          <w:highlight w:val="none"/>
          <w:lang w:val="en-US" w:eastAsia="zh-CN"/>
        </w:rPr>
        <w:t>（3）</w:t>
      </w:r>
      <w:r>
        <w:rPr>
          <w:rFonts w:hint="default"/>
          <w:color w:val="auto"/>
          <w:highlight w:val="none"/>
        </w:rPr>
        <w:t>监测</w:t>
      </w:r>
      <w:bookmarkEnd w:id="95"/>
      <w:r>
        <w:rPr>
          <w:rFonts w:hint="eastAsia"/>
          <w:color w:val="auto"/>
          <w:highlight w:val="none"/>
          <w:lang w:val="en-US" w:eastAsia="zh-CN"/>
        </w:rPr>
        <w:t>时间</w:t>
      </w:r>
    </w:p>
    <w:p w14:paraId="32A1159E">
      <w:pPr>
        <w:pStyle w:val="26"/>
        <w:ind w:firstLine="480"/>
        <w:rPr>
          <w:rFonts w:ascii="Times New Roman" w:hAnsi="Times New Roman" w:cs="Times New Roman"/>
          <w:color w:val="auto"/>
          <w:sz w:val="24"/>
          <w:szCs w:val="24"/>
        </w:rPr>
      </w:pPr>
      <w:r>
        <w:rPr>
          <w:rFonts w:hint="eastAsia" w:ascii="Times New Roman" w:hAnsi="Times New Roman" w:eastAsia="宋体"/>
          <w:color w:val="auto"/>
          <w:highlight w:val="none"/>
          <w:lang w:val="en-US" w:eastAsia="zh-CN"/>
        </w:rPr>
        <w:t>2026年2月26日~2026年3月4日，</w:t>
      </w:r>
      <w:r>
        <w:rPr>
          <w:rFonts w:ascii="Times New Roman" w:hAnsi="Times New Roman" w:cs="Times New Roman"/>
          <w:color w:val="auto"/>
          <w:sz w:val="24"/>
          <w:szCs w:val="24"/>
        </w:rPr>
        <w:t>连续监测7天。</w:t>
      </w:r>
    </w:p>
    <w:p w14:paraId="6B758C78">
      <w:pPr>
        <w:pStyle w:val="30"/>
        <w:bidi w:val="0"/>
        <w:rPr>
          <w:rFonts w:hint="default"/>
          <w:color w:val="auto"/>
          <w:highlight w:val="none"/>
        </w:rPr>
      </w:pPr>
      <w:bookmarkStart w:id="96" w:name="_Toc25655"/>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default"/>
          <w:color w:val="auto"/>
          <w:highlight w:val="none"/>
        </w:rPr>
        <w:t>监测结果</w:t>
      </w:r>
      <w:bookmarkEnd w:id="96"/>
    </w:p>
    <w:p w14:paraId="6C08323A">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区域环境空气现状监测结果见下表</w:t>
      </w:r>
      <w:r>
        <w:rPr>
          <w:rFonts w:hint="eastAsia" w:ascii="Times New Roman" w:hAnsi="Times New Roman" w:cs="Times New Roman"/>
          <w:color w:val="auto"/>
          <w:highlight w:val="none"/>
          <w:lang w:eastAsia="zh-CN"/>
        </w:rPr>
        <w:t>。</w:t>
      </w:r>
    </w:p>
    <w:p w14:paraId="683B0BB3">
      <w:pPr>
        <w:rPr>
          <w:rFonts w:hint="default" w:ascii="Times New Roman" w:hAnsi="Times New Roman" w:cs="Times New Roman"/>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r>
        <w:rPr>
          <w:rFonts w:hint="eastAsia" w:cs="Times New Roman"/>
          <w:color w:val="auto"/>
          <w:lang w:val="en-US" w:eastAsia="zh-CN" w:bidi="ar"/>
        </w:rPr>
        <w:t>略。</w:t>
      </w:r>
    </w:p>
    <w:p w14:paraId="41697BF1">
      <w:pPr>
        <w:pStyle w:val="6"/>
        <w:ind w:firstLine="482"/>
        <w:rPr>
          <w:rFonts w:hint="default" w:ascii="Times New Roman" w:hAnsi="Times New Roman" w:eastAsia="宋体" w:cs="Times New Roman"/>
          <w:b/>
          <w:bCs/>
          <w:color w:val="auto"/>
          <w:highlight w:val="none"/>
          <w:lang w:val="en-US" w:eastAsia="zh-CN"/>
        </w:rPr>
      </w:pPr>
      <w:bookmarkStart w:id="97" w:name="_Toc21089"/>
      <w:bookmarkStart w:id="98" w:name="_Toc6497"/>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其他污染物现状评价</w:t>
      </w:r>
      <w:bookmarkEnd w:id="97"/>
      <w:bookmarkEnd w:id="98"/>
    </w:p>
    <w:p w14:paraId="17B073B2">
      <w:pPr>
        <w:pStyle w:val="30"/>
        <w:bidi w:val="0"/>
        <w:rPr>
          <w:rFonts w:hint="default"/>
          <w:color w:val="auto"/>
          <w:highlight w:val="none"/>
        </w:rPr>
      </w:pPr>
      <w:bookmarkStart w:id="99" w:name="_Toc27853"/>
      <w:r>
        <w:rPr>
          <w:rFonts w:hint="eastAsia"/>
          <w:color w:val="auto"/>
          <w:highlight w:val="none"/>
          <w:lang w:val="en-US" w:eastAsia="zh-CN"/>
        </w:rPr>
        <w:t>（1）</w:t>
      </w:r>
      <w:r>
        <w:rPr>
          <w:rFonts w:hint="default"/>
          <w:color w:val="auto"/>
          <w:highlight w:val="none"/>
        </w:rPr>
        <w:t>评价因子</w:t>
      </w:r>
      <w:bookmarkEnd w:id="99"/>
    </w:p>
    <w:p w14:paraId="3F1EA795">
      <w:pPr>
        <w:pStyle w:val="26"/>
        <w:ind w:firstLine="480"/>
        <w:rPr>
          <w:rFonts w:hint="default" w:ascii="Times New Roman" w:hAnsi="Times New Roman" w:cs="Times New Roman"/>
          <w:color w:val="auto"/>
          <w:highlight w:val="none"/>
        </w:rPr>
      </w:pPr>
      <w:r>
        <w:rPr>
          <w:rFonts w:hint="eastAsia" w:ascii="Times New Roman" w:hAnsi="Times New Roman" w:cs="Times New Roman"/>
          <w:color w:val="auto"/>
          <w:sz w:val="24"/>
          <w:szCs w:val="24"/>
        </w:rPr>
        <w:t>TSP</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氟化物、氯化氢、硫酸、氨、TVOC</w:t>
      </w:r>
      <w:r>
        <w:rPr>
          <w:rFonts w:hint="default" w:ascii="Times New Roman" w:hAnsi="Times New Roman" w:cs="Times New Roman"/>
          <w:color w:val="auto"/>
          <w:highlight w:val="none"/>
        </w:rPr>
        <w:t>。</w:t>
      </w:r>
    </w:p>
    <w:p w14:paraId="57C4E45D">
      <w:pPr>
        <w:pStyle w:val="30"/>
        <w:bidi w:val="0"/>
        <w:rPr>
          <w:rFonts w:hint="default" w:ascii="Times New Roman" w:hAnsi="Times New Roman" w:cs="Times New Roman"/>
          <w:color w:val="auto"/>
          <w:highlight w:val="none"/>
        </w:rPr>
      </w:pPr>
      <w:bookmarkStart w:id="100" w:name="_Toc8341"/>
      <w:r>
        <w:rPr>
          <w:rFonts w:hint="eastAsia" w:cs="Times New Roman"/>
          <w:color w:val="auto"/>
          <w:highlight w:val="none"/>
          <w:lang w:val="en-US" w:eastAsia="zh-CN"/>
        </w:rPr>
        <w:t>（2）</w:t>
      </w:r>
      <w:r>
        <w:rPr>
          <w:rFonts w:hint="default" w:ascii="Times New Roman" w:hAnsi="Times New Roman" w:cs="Times New Roman"/>
          <w:color w:val="auto"/>
          <w:highlight w:val="none"/>
        </w:rPr>
        <w:t>评价标准</w:t>
      </w:r>
      <w:bookmarkEnd w:id="100"/>
    </w:p>
    <w:p w14:paraId="603DDED8">
      <w:pPr>
        <w:pStyle w:val="26"/>
        <w:ind w:firstLine="480"/>
        <w:rPr>
          <w:rFonts w:hint="default" w:ascii="Times New Roman" w:hAnsi="Times New Roman" w:cs="Times New Roman"/>
          <w:color w:val="auto"/>
          <w:highlight w:val="none"/>
        </w:rPr>
      </w:pPr>
      <w:r>
        <w:rPr>
          <w:rFonts w:hint="eastAsia"/>
          <w:color w:val="auto"/>
          <w:szCs w:val="24"/>
          <w:lang w:val="en-US" w:eastAsia="zh-CN"/>
        </w:rPr>
        <w:t>TSP执行</w:t>
      </w:r>
      <w:r>
        <w:rPr>
          <w:color w:val="auto"/>
          <w:szCs w:val="24"/>
        </w:rPr>
        <w:t>《环境空气质量标准》（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表2中</w:t>
      </w:r>
      <w:r>
        <w:rPr>
          <w:color w:val="auto"/>
          <w:szCs w:val="24"/>
        </w:rPr>
        <w:t>二级标准，</w:t>
      </w:r>
      <w:r>
        <w:rPr>
          <w:rFonts w:hint="eastAsia" w:ascii="Times New Roman" w:hAnsi="Times New Roman" w:cs="Times New Roman"/>
          <w:color w:val="auto"/>
          <w:sz w:val="24"/>
          <w:szCs w:val="24"/>
          <w:lang w:val="en-US" w:eastAsia="zh-CN"/>
        </w:rPr>
        <w:t>氟化物执行《环境空气质量标准》（GB3095-2026）附录A中浓度限值，氯化氢、硫酸、氨、TVOC</w:t>
      </w:r>
      <w:r>
        <w:rPr>
          <w:rFonts w:hint="eastAsia" w:ascii="Times New Roman" w:hAnsi="Times New Roman" w:cs="Times New Roman"/>
          <w:color w:val="auto"/>
          <w:sz w:val="24"/>
          <w:szCs w:val="24"/>
        </w:rPr>
        <w:t>执行《环境</w:t>
      </w:r>
      <w:r>
        <w:rPr>
          <w:rFonts w:ascii="Times New Roman" w:hAnsi="Times New Roman" w:cs="Times New Roman"/>
          <w:color w:val="auto"/>
          <w:sz w:val="24"/>
          <w:szCs w:val="24"/>
        </w:rPr>
        <w:t>影响评价技术导则</w:t>
      </w:r>
      <w:r>
        <w:rPr>
          <w:rFonts w:hint="eastAsia" w:ascii="Times New Roman" w:hAnsi="Times New Roman" w:cs="Times New Roman"/>
          <w:color w:val="auto"/>
          <w:sz w:val="24"/>
          <w:szCs w:val="24"/>
        </w:rPr>
        <w:t xml:space="preserve"> 大气导则》（HJ2.2</w:t>
      </w:r>
      <w:r>
        <w:rPr>
          <w:rFonts w:ascii="Times New Roman" w:hAnsi="Times New Roman" w:cs="Times New Roman"/>
          <w:color w:val="auto"/>
          <w:sz w:val="24"/>
          <w:szCs w:val="24"/>
        </w:rPr>
        <w:t>-2018</w:t>
      </w:r>
      <w:r>
        <w:rPr>
          <w:rFonts w:hint="eastAsia" w:ascii="Times New Roman" w:hAnsi="Times New Roman" w:cs="Times New Roman"/>
          <w:color w:val="auto"/>
          <w:sz w:val="24"/>
          <w:szCs w:val="24"/>
        </w:rPr>
        <w:t>）附录D中相关</w:t>
      </w:r>
      <w:r>
        <w:rPr>
          <w:rFonts w:ascii="Times New Roman" w:hAnsi="Times New Roman" w:cs="Times New Roman"/>
          <w:color w:val="auto"/>
          <w:sz w:val="24"/>
          <w:szCs w:val="24"/>
        </w:rPr>
        <w:t>限值</w:t>
      </w:r>
      <w:r>
        <w:rPr>
          <w:rFonts w:hint="default" w:ascii="Times New Roman" w:hAnsi="Times New Roman" w:cs="Times New Roman"/>
          <w:color w:val="auto"/>
          <w:highlight w:val="none"/>
        </w:rPr>
        <w:t>。</w:t>
      </w:r>
    </w:p>
    <w:p w14:paraId="088D6AE1">
      <w:pPr>
        <w:pStyle w:val="30"/>
        <w:bidi w:val="0"/>
        <w:rPr>
          <w:rFonts w:hint="default"/>
          <w:color w:val="auto"/>
          <w:highlight w:val="none"/>
        </w:rPr>
      </w:pPr>
      <w:bookmarkStart w:id="101" w:name="_Toc5958"/>
      <w:r>
        <w:rPr>
          <w:rFonts w:hint="eastAsia"/>
          <w:color w:val="auto"/>
          <w:highlight w:val="none"/>
          <w:lang w:val="en-US" w:eastAsia="zh-CN"/>
        </w:rPr>
        <w:t>（3）</w:t>
      </w:r>
      <w:r>
        <w:rPr>
          <w:rFonts w:hint="default"/>
          <w:color w:val="auto"/>
          <w:highlight w:val="none"/>
        </w:rPr>
        <w:t>评价方法</w:t>
      </w:r>
      <w:bookmarkEnd w:id="101"/>
    </w:p>
    <w:p w14:paraId="7C9A152D">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采用单项质量指数法，公式为：</w:t>
      </w:r>
    </w:p>
    <w:p w14:paraId="46EF8D26">
      <w:pPr>
        <w:pStyle w:val="26"/>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638175" cy="228600"/>
            <wp:effectExtent l="0" t="0" r="9525" b="0"/>
            <wp:docPr id="4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0"/>
                    <pic:cNvPicPr>
                      <a:picLocks noChangeAspect="1"/>
                    </pic:cNvPicPr>
                  </pic:nvPicPr>
                  <pic:blipFill>
                    <a:blip r:embed="rId43"/>
                    <a:stretch>
                      <a:fillRect/>
                    </a:stretch>
                  </pic:blipFill>
                  <pic:spPr>
                    <a:xfrm>
                      <a:off x="0" y="0"/>
                      <a:ext cx="638175" cy="228600"/>
                    </a:xfrm>
                    <a:prstGeom prst="rect">
                      <a:avLst/>
                    </a:prstGeom>
                    <a:noFill/>
                    <a:ln>
                      <a:noFill/>
                    </a:ln>
                  </pic:spPr>
                </pic:pic>
              </a:graphicData>
            </a:graphic>
          </wp:inline>
        </w:drawing>
      </w:r>
    </w:p>
    <w:p w14:paraId="23F55879">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i/>
          <w:color w:val="auto"/>
          <w:highlight w:val="none"/>
        </w:rPr>
        <w:t>P</w:t>
      </w:r>
      <w:r>
        <w:rPr>
          <w:rFonts w:hint="default" w:ascii="Times New Roman" w:hAnsi="Times New Roman" w:cs="Times New Roman"/>
          <w:i/>
          <w:color w:val="auto"/>
          <w:highlight w:val="none"/>
          <w:vertAlign w:val="subscript"/>
        </w:rPr>
        <w:t>i</w:t>
      </w:r>
      <w:r>
        <w:rPr>
          <w:rFonts w:hint="default" w:ascii="Times New Roman" w:hAnsi="Times New Roman" w:cs="Times New Roman"/>
          <w:color w:val="auto"/>
          <w:highlight w:val="none"/>
        </w:rPr>
        <w:t>——第</w:t>
      </w:r>
      <w:r>
        <w:rPr>
          <w:rFonts w:hint="default" w:ascii="Times New Roman" w:hAnsi="Times New Roman" w:cs="Times New Roman"/>
          <w:i/>
          <w:color w:val="auto"/>
          <w:highlight w:val="none"/>
        </w:rPr>
        <w:t>i</w:t>
      </w:r>
      <w:r>
        <w:rPr>
          <w:rFonts w:hint="default" w:ascii="Times New Roman" w:hAnsi="Times New Roman" w:cs="Times New Roman"/>
          <w:color w:val="auto"/>
          <w:highlight w:val="none"/>
        </w:rPr>
        <w:t>个污染物标准指数值；</w:t>
      </w:r>
    </w:p>
    <w:p w14:paraId="0B1CB5C3">
      <w:pPr>
        <w:pStyle w:val="26"/>
        <w:ind w:firstLine="1200" w:firstLineChars="500"/>
        <w:rPr>
          <w:rFonts w:hint="default" w:ascii="Times New Roman" w:hAnsi="Times New Roman" w:cs="Times New Roman"/>
          <w:color w:val="auto"/>
          <w:highlight w:val="none"/>
        </w:rPr>
      </w:pPr>
      <w:r>
        <w:rPr>
          <w:rFonts w:hint="default" w:ascii="Times New Roman" w:hAnsi="Times New Roman" w:cs="Times New Roman"/>
          <w:i/>
          <w:color w:val="auto"/>
          <w:highlight w:val="none"/>
        </w:rPr>
        <w:t>C</w:t>
      </w:r>
      <w:r>
        <w:rPr>
          <w:rFonts w:hint="default" w:ascii="Times New Roman" w:hAnsi="Times New Roman" w:cs="Times New Roman"/>
          <w:i/>
          <w:color w:val="auto"/>
          <w:highlight w:val="none"/>
          <w:vertAlign w:val="subscript"/>
        </w:rPr>
        <w:t>i</w:t>
      </w:r>
      <w:r>
        <w:rPr>
          <w:rFonts w:hint="default" w:ascii="Times New Roman" w:hAnsi="Times New Roman" w:cs="Times New Roman"/>
          <w:color w:val="auto"/>
          <w:highlight w:val="none"/>
        </w:rPr>
        <w:t>——第</w:t>
      </w:r>
      <w:r>
        <w:rPr>
          <w:rFonts w:hint="default" w:ascii="Times New Roman" w:hAnsi="Times New Roman" w:cs="Times New Roman"/>
          <w:i/>
          <w:color w:val="auto"/>
          <w:highlight w:val="none"/>
        </w:rPr>
        <w:t>i</w:t>
      </w:r>
      <w:r>
        <w:rPr>
          <w:rFonts w:hint="default" w:ascii="Times New Roman" w:hAnsi="Times New Roman" w:cs="Times New Roman"/>
          <w:color w:val="auto"/>
          <w:highlight w:val="none"/>
        </w:rPr>
        <w:t>个污染物实测浓度值，mg/m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28AF81DB">
      <w:pPr>
        <w:pStyle w:val="26"/>
        <w:ind w:firstLine="1200" w:firstLineChars="500"/>
        <w:rPr>
          <w:rFonts w:hint="default" w:ascii="Times New Roman" w:hAnsi="Times New Roman" w:cs="Times New Roman"/>
          <w:color w:val="auto"/>
          <w:highlight w:val="none"/>
        </w:rPr>
      </w:pPr>
      <w:r>
        <w:rPr>
          <w:rFonts w:hint="default" w:ascii="Times New Roman" w:hAnsi="Times New Roman" w:cs="Times New Roman"/>
          <w:i/>
          <w:color w:val="auto"/>
          <w:highlight w:val="none"/>
        </w:rPr>
        <w:t>S</w:t>
      </w:r>
      <w:r>
        <w:rPr>
          <w:rFonts w:hint="default" w:ascii="Times New Roman" w:hAnsi="Times New Roman" w:cs="Times New Roman"/>
          <w:i/>
          <w:color w:val="auto"/>
          <w:highlight w:val="none"/>
          <w:vertAlign w:val="subscript"/>
        </w:rPr>
        <w:t>i</w:t>
      </w:r>
      <w:r>
        <w:rPr>
          <w:rFonts w:hint="default" w:ascii="Times New Roman" w:hAnsi="Times New Roman" w:cs="Times New Roman"/>
          <w:color w:val="auto"/>
          <w:highlight w:val="none"/>
        </w:rPr>
        <w:t>——第</w:t>
      </w:r>
      <w:r>
        <w:rPr>
          <w:rFonts w:hint="default" w:ascii="Times New Roman" w:hAnsi="Times New Roman" w:cs="Times New Roman"/>
          <w:i/>
          <w:color w:val="auto"/>
          <w:highlight w:val="none"/>
        </w:rPr>
        <w:t>i</w:t>
      </w:r>
      <w:r>
        <w:rPr>
          <w:rFonts w:hint="default" w:ascii="Times New Roman" w:hAnsi="Times New Roman" w:cs="Times New Roman"/>
          <w:color w:val="auto"/>
          <w:highlight w:val="none"/>
        </w:rPr>
        <w:t>个污染物评价标准限值，mg/m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4512AEE5">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当</w:t>
      </w:r>
      <w:r>
        <w:rPr>
          <w:rFonts w:hint="default" w:ascii="Times New Roman" w:hAnsi="Times New Roman" w:cs="Times New Roman"/>
          <w:i/>
          <w:color w:val="auto"/>
          <w:highlight w:val="none"/>
        </w:rPr>
        <w:t>P</w:t>
      </w:r>
      <w:r>
        <w:rPr>
          <w:rFonts w:hint="default" w:ascii="Times New Roman" w:hAnsi="Times New Roman" w:cs="Times New Roman"/>
          <w:i/>
          <w:color w:val="auto"/>
          <w:highlight w:val="none"/>
          <w:vertAlign w:val="subscript"/>
        </w:rPr>
        <w:t>i</w:t>
      </w:r>
      <w:r>
        <w:rPr>
          <w:rFonts w:hint="default" w:ascii="Times New Roman" w:hAnsi="Times New Roman" w:cs="Times New Roman"/>
          <w:color w:val="auto"/>
          <w:highlight w:val="none"/>
        </w:rPr>
        <w:t>值大于1.0时，表明大气环境已受到该项评价因子所表征的污染物的污染。</w:t>
      </w:r>
      <w:r>
        <w:rPr>
          <w:rFonts w:hint="default" w:ascii="Times New Roman" w:hAnsi="Times New Roman" w:cs="Times New Roman"/>
          <w:i/>
          <w:color w:val="auto"/>
          <w:highlight w:val="none"/>
        </w:rPr>
        <w:t>P</w:t>
      </w:r>
      <w:r>
        <w:rPr>
          <w:rFonts w:hint="default" w:ascii="Times New Roman" w:hAnsi="Times New Roman" w:cs="Times New Roman"/>
          <w:i/>
          <w:color w:val="auto"/>
          <w:highlight w:val="none"/>
          <w:vertAlign w:val="subscript"/>
        </w:rPr>
        <w:t>i</w:t>
      </w:r>
      <w:r>
        <w:rPr>
          <w:rFonts w:hint="default" w:ascii="Times New Roman" w:hAnsi="Times New Roman" w:cs="Times New Roman"/>
          <w:color w:val="auto"/>
          <w:highlight w:val="none"/>
        </w:rPr>
        <w:t>值越大，受污染程度越重；</w:t>
      </w:r>
      <w:r>
        <w:rPr>
          <w:rFonts w:hint="default" w:ascii="Times New Roman" w:hAnsi="Times New Roman" w:cs="Times New Roman"/>
          <w:i/>
          <w:color w:val="auto"/>
          <w:highlight w:val="none"/>
        </w:rPr>
        <w:t>P</w:t>
      </w:r>
      <w:r>
        <w:rPr>
          <w:rFonts w:hint="default" w:ascii="Times New Roman" w:hAnsi="Times New Roman" w:cs="Times New Roman"/>
          <w:i/>
          <w:color w:val="auto"/>
          <w:highlight w:val="none"/>
          <w:vertAlign w:val="subscript"/>
        </w:rPr>
        <w:t>i</w:t>
      </w:r>
      <w:r>
        <w:rPr>
          <w:rFonts w:hint="default" w:ascii="Times New Roman" w:hAnsi="Times New Roman" w:cs="Times New Roman"/>
          <w:color w:val="auto"/>
          <w:highlight w:val="none"/>
        </w:rPr>
        <w:t>值越小，受污染程度越轻。</w:t>
      </w:r>
    </w:p>
    <w:p w14:paraId="21A44F6A">
      <w:pPr>
        <w:pStyle w:val="30"/>
        <w:bidi w:val="0"/>
        <w:rPr>
          <w:rFonts w:hint="default"/>
          <w:color w:val="auto"/>
          <w:highlight w:val="none"/>
        </w:rPr>
      </w:pPr>
      <w:bookmarkStart w:id="102" w:name="_Toc27527"/>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default"/>
          <w:color w:val="auto"/>
          <w:highlight w:val="none"/>
        </w:rPr>
        <w:t>评价结果</w:t>
      </w:r>
      <w:bookmarkEnd w:id="102"/>
    </w:p>
    <w:p w14:paraId="794C5179">
      <w:pPr>
        <w:spacing w:line="360" w:lineRule="auto"/>
        <w:ind w:left="0" w:leftChars="0" w:firstLine="480" w:firstLineChars="200"/>
        <w:rPr>
          <w:rFonts w:hint="eastAsia" w:ascii="Times New Roman" w:hAnsi="Times New Roman"/>
          <w:color w:val="auto"/>
          <w:sz w:val="24"/>
        </w:rPr>
      </w:pPr>
      <w:r>
        <w:rPr>
          <w:rFonts w:ascii="Times New Roman" w:hAnsi="Times New Roman" w:cs="Times New Roman"/>
          <w:color w:val="auto"/>
          <w:sz w:val="24"/>
        </w:rPr>
        <w:t>区域环境空气</w:t>
      </w:r>
      <w:r>
        <w:rPr>
          <w:rFonts w:hint="eastAsia" w:ascii="Times New Roman" w:hAnsi="Times New Roman" w:cs="Times New Roman"/>
          <w:color w:val="auto"/>
          <w:sz w:val="24"/>
        </w:rPr>
        <w:t>其他</w:t>
      </w:r>
      <w:r>
        <w:rPr>
          <w:rFonts w:ascii="Times New Roman" w:hAnsi="Times New Roman" w:cs="Times New Roman"/>
          <w:color w:val="auto"/>
          <w:sz w:val="24"/>
        </w:rPr>
        <w:t>污染物现状评价结果见</w:t>
      </w:r>
      <w:r>
        <w:rPr>
          <w:rFonts w:hint="eastAsia" w:cs="Times New Roman"/>
          <w:color w:val="auto"/>
          <w:sz w:val="24"/>
          <w:lang w:val="en-US" w:eastAsia="zh-CN"/>
        </w:rPr>
        <w:t>下</w:t>
      </w:r>
      <w:r>
        <w:rPr>
          <w:rFonts w:ascii="Times New Roman" w:hAnsi="Times New Roman" w:cs="Times New Roman"/>
          <w:color w:val="auto"/>
          <w:sz w:val="24"/>
        </w:rPr>
        <w:t>表</w:t>
      </w:r>
      <w:r>
        <w:rPr>
          <w:rFonts w:hint="eastAsia" w:ascii="Times New Roman" w:hAnsi="Times New Roman"/>
          <w:color w:val="auto"/>
          <w:sz w:val="24"/>
        </w:rPr>
        <w:t>。</w:t>
      </w:r>
    </w:p>
    <w:p w14:paraId="5B79332E">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其他污染物现状评价结果</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8"/>
        <w:gridCol w:w="2290"/>
        <w:gridCol w:w="2935"/>
        <w:gridCol w:w="3532"/>
        <w:gridCol w:w="3235"/>
      </w:tblGrid>
      <w:tr w14:paraId="5FD8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98" w:type="pct"/>
            <w:vAlign w:val="center"/>
          </w:tcPr>
          <w:p w14:paraId="2E0E0F5A">
            <w:pPr>
              <w:pStyle w:val="31"/>
              <w:bidi w:val="0"/>
              <w:rPr>
                <w:rFonts w:hint="default" w:ascii="Times New Roman" w:hAnsi="Times New Roman" w:eastAsia="宋体" w:cs="宋体"/>
                <w:color w:val="auto"/>
                <w:highlight w:val="none"/>
                <w:lang w:val="en-US" w:eastAsia="zh-CN"/>
              </w:rPr>
            </w:pPr>
            <w:r>
              <w:rPr>
                <w:rFonts w:hint="eastAsia" w:ascii="Times New Roman" w:hAnsi="Times New Roman" w:eastAsia="宋体" w:cs="宋体"/>
                <w:color w:val="auto"/>
                <w:highlight w:val="none"/>
                <w:lang w:val="en-US" w:eastAsia="zh-CN"/>
              </w:rPr>
              <w:t>监测项目</w:t>
            </w:r>
          </w:p>
        </w:tc>
        <w:tc>
          <w:tcPr>
            <w:tcW w:w="802" w:type="pct"/>
            <w:vAlign w:val="center"/>
          </w:tcPr>
          <w:p w14:paraId="47E9A656">
            <w:pPr>
              <w:pStyle w:val="31"/>
              <w:bidi w:val="0"/>
              <w:rPr>
                <w:rFonts w:hint="default" w:ascii="Times New Roman" w:hAnsi="Times New Roman" w:eastAsia="宋体" w:cs="宋体"/>
                <w:color w:val="auto"/>
                <w:highlight w:val="none"/>
                <w:lang w:val="en-US" w:eastAsia="zh-CN"/>
              </w:rPr>
            </w:pPr>
            <w:r>
              <w:rPr>
                <w:rFonts w:hint="eastAsia" w:ascii="Times New Roman" w:hAnsi="Times New Roman" w:eastAsia="宋体" w:cs="宋体"/>
                <w:color w:val="auto"/>
                <w:highlight w:val="none"/>
                <w:lang w:val="en-US" w:eastAsia="zh-CN"/>
              </w:rPr>
              <w:t>平均时间</w:t>
            </w:r>
          </w:p>
        </w:tc>
        <w:tc>
          <w:tcPr>
            <w:tcW w:w="1028" w:type="pct"/>
            <w:vAlign w:val="center"/>
          </w:tcPr>
          <w:p w14:paraId="7247ADA6">
            <w:pPr>
              <w:pStyle w:val="31"/>
              <w:bidi w:val="0"/>
              <w:rPr>
                <w:rFonts w:hint="default" w:ascii="Times New Roman" w:hAnsi="Times New Roman" w:eastAsia="宋体" w:cs="宋体"/>
                <w:color w:val="auto"/>
                <w:highlight w:val="none"/>
                <w:lang w:val="en-US" w:eastAsia="zh-CN"/>
              </w:rPr>
            </w:pPr>
            <w:r>
              <w:rPr>
                <w:rFonts w:hint="eastAsia" w:ascii="Times New Roman" w:hAnsi="Times New Roman" w:eastAsia="宋体" w:cs="宋体"/>
                <w:color w:val="auto"/>
                <w:highlight w:val="none"/>
                <w:lang w:val="en-US" w:eastAsia="zh-CN"/>
              </w:rPr>
              <w:t>评价</w:t>
            </w:r>
            <w:r>
              <w:rPr>
                <w:rFonts w:hint="default" w:ascii="Times New Roman" w:hAnsi="Times New Roman" w:eastAsia="宋体" w:cs="宋体"/>
                <w:color w:val="auto"/>
                <w:highlight w:val="none"/>
                <w:lang w:val="en-US" w:eastAsia="zh-CN"/>
              </w:rPr>
              <w:t>标准（mg/m</w:t>
            </w:r>
            <w:r>
              <w:rPr>
                <w:rFonts w:hint="default" w:ascii="Times New Roman" w:hAnsi="Times New Roman" w:eastAsia="宋体" w:cs="宋体"/>
                <w:color w:val="auto"/>
                <w:highlight w:val="none"/>
                <w:vertAlign w:val="superscript"/>
                <w:lang w:val="en-US" w:eastAsia="zh-CN"/>
              </w:rPr>
              <w:t>3</w:t>
            </w:r>
            <w:r>
              <w:rPr>
                <w:rFonts w:hint="default" w:ascii="Times New Roman" w:hAnsi="Times New Roman" w:eastAsia="宋体" w:cs="宋体"/>
                <w:color w:val="auto"/>
                <w:highlight w:val="none"/>
                <w:lang w:val="en-US" w:eastAsia="zh-CN"/>
              </w:rPr>
              <w:t>）</w:t>
            </w:r>
          </w:p>
        </w:tc>
        <w:tc>
          <w:tcPr>
            <w:tcW w:w="1237" w:type="pct"/>
            <w:vAlign w:val="center"/>
          </w:tcPr>
          <w:p w14:paraId="0885D8A5">
            <w:pPr>
              <w:pStyle w:val="31"/>
              <w:bidi w:val="0"/>
              <w:rPr>
                <w:rFonts w:hint="default" w:ascii="Times New Roman" w:hAnsi="Times New Roman" w:eastAsia="宋体" w:cs="宋体"/>
                <w:color w:val="auto"/>
                <w:highlight w:val="none"/>
                <w:lang w:val="en-US" w:eastAsia="zh-CN"/>
              </w:rPr>
            </w:pPr>
            <w:r>
              <w:rPr>
                <w:rFonts w:hint="eastAsia" w:ascii="Times New Roman" w:hAnsi="Times New Roman" w:eastAsia="宋体" w:cs="宋体"/>
                <w:color w:val="auto"/>
                <w:highlight w:val="none"/>
                <w:lang w:val="en-US" w:eastAsia="zh-CN"/>
              </w:rPr>
              <w:t>监测浓度</w:t>
            </w:r>
            <w:r>
              <w:rPr>
                <w:rFonts w:hint="default" w:ascii="Times New Roman" w:hAnsi="Times New Roman" w:eastAsia="宋体" w:cs="宋体"/>
                <w:color w:val="auto"/>
                <w:highlight w:val="none"/>
                <w:lang w:val="en-US" w:eastAsia="zh-CN"/>
              </w:rPr>
              <w:t>（mg/m</w:t>
            </w:r>
            <w:r>
              <w:rPr>
                <w:rFonts w:hint="default" w:ascii="Times New Roman" w:hAnsi="Times New Roman" w:eastAsia="宋体" w:cs="宋体"/>
                <w:color w:val="auto"/>
                <w:highlight w:val="none"/>
                <w:vertAlign w:val="superscript"/>
                <w:lang w:val="en-US" w:eastAsia="zh-CN"/>
              </w:rPr>
              <w:t>3</w:t>
            </w:r>
            <w:r>
              <w:rPr>
                <w:rFonts w:hint="default" w:ascii="Times New Roman" w:hAnsi="Times New Roman" w:eastAsia="宋体" w:cs="宋体"/>
                <w:color w:val="auto"/>
                <w:highlight w:val="none"/>
                <w:lang w:val="en-US" w:eastAsia="zh-CN"/>
              </w:rPr>
              <w:t>）</w:t>
            </w:r>
          </w:p>
        </w:tc>
        <w:tc>
          <w:tcPr>
            <w:tcW w:w="1133" w:type="pct"/>
            <w:vAlign w:val="center"/>
          </w:tcPr>
          <w:p w14:paraId="09BA2225">
            <w:pPr>
              <w:pStyle w:val="31"/>
              <w:bidi w:val="0"/>
              <w:rPr>
                <w:rFonts w:hint="default" w:ascii="Times New Roman" w:hAnsi="Times New Roman" w:eastAsia="宋体" w:cs="宋体"/>
                <w:color w:val="auto"/>
                <w:highlight w:val="none"/>
                <w:lang w:val="en-US" w:eastAsia="zh-CN"/>
              </w:rPr>
            </w:pPr>
            <w:r>
              <w:rPr>
                <w:rFonts w:hint="default" w:ascii="Times New Roman" w:hAnsi="Times New Roman" w:eastAsia="宋体" w:cs="宋体"/>
                <w:color w:val="auto"/>
                <w:highlight w:val="none"/>
                <w:lang w:val="en-US" w:eastAsia="zh-CN"/>
              </w:rPr>
              <w:t>标准指数（Pimax）</w:t>
            </w:r>
          </w:p>
        </w:tc>
      </w:tr>
      <w:tr w14:paraId="0A7F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Align w:val="center"/>
          </w:tcPr>
          <w:p w14:paraId="4C2F2E88">
            <w:pPr>
              <w:pStyle w:val="31"/>
              <w:bidi w:val="0"/>
              <w:rPr>
                <w:rFonts w:hint="default" w:ascii="Times New Roman" w:hAnsi="Times New Roman" w:eastAsia="宋体" w:cs="宋体"/>
                <w:b w:val="0"/>
                <w:bCs/>
                <w:color w:val="auto"/>
                <w:highlight w:val="none"/>
                <w:lang w:val="en-US" w:eastAsia="zh-CN"/>
              </w:rPr>
            </w:pPr>
            <w:r>
              <w:rPr>
                <w:rFonts w:hint="default" w:ascii="Times New Roman" w:hAnsi="Times New Roman" w:eastAsia="宋体" w:cs="宋体"/>
                <w:b w:val="0"/>
                <w:bCs/>
                <w:color w:val="auto"/>
                <w:highlight w:val="none"/>
                <w:lang w:val="en-US" w:eastAsia="zh-CN"/>
              </w:rPr>
              <w:t>TSP</w:t>
            </w:r>
          </w:p>
        </w:tc>
        <w:tc>
          <w:tcPr>
            <w:tcW w:w="802" w:type="pct"/>
            <w:vAlign w:val="center"/>
          </w:tcPr>
          <w:p w14:paraId="7952D6A6">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24h平均</w:t>
            </w:r>
          </w:p>
        </w:tc>
        <w:tc>
          <w:tcPr>
            <w:tcW w:w="1028" w:type="pct"/>
            <w:vAlign w:val="center"/>
          </w:tcPr>
          <w:p w14:paraId="4F7A252F">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0.300</w:t>
            </w:r>
          </w:p>
        </w:tc>
        <w:tc>
          <w:tcPr>
            <w:tcW w:w="1237" w:type="pct"/>
            <w:vAlign w:val="center"/>
          </w:tcPr>
          <w:p w14:paraId="2B4896F1">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0.08~0.09</w:t>
            </w:r>
          </w:p>
        </w:tc>
        <w:tc>
          <w:tcPr>
            <w:tcW w:w="1133" w:type="pct"/>
            <w:vAlign w:val="center"/>
          </w:tcPr>
          <w:p w14:paraId="62E7A459">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0.3</w:t>
            </w:r>
          </w:p>
        </w:tc>
      </w:tr>
      <w:tr w14:paraId="7FCD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restart"/>
            <w:vAlign w:val="center"/>
          </w:tcPr>
          <w:p w14:paraId="6CAC2E46">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氟化物</w:t>
            </w:r>
          </w:p>
        </w:tc>
        <w:tc>
          <w:tcPr>
            <w:tcW w:w="802" w:type="pct"/>
            <w:vAlign w:val="center"/>
          </w:tcPr>
          <w:p w14:paraId="0D5ABF89">
            <w:pPr>
              <w:pStyle w:val="31"/>
              <w:bidi w:val="0"/>
              <w:ind w:left="0" w:leftChars="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24h</w:t>
            </w:r>
            <w:r>
              <w:rPr>
                <w:rFonts w:hint="default" w:ascii="Times New Roman" w:hAnsi="Times New Roman" w:eastAsia="宋体" w:cs="宋体"/>
                <w:b w:val="0"/>
                <w:bCs/>
                <w:color w:val="auto"/>
                <w:highlight w:val="none"/>
                <w:lang w:val="en-US" w:eastAsia="zh-CN"/>
              </w:rPr>
              <w:t>平均</w:t>
            </w:r>
          </w:p>
        </w:tc>
        <w:tc>
          <w:tcPr>
            <w:tcW w:w="1028" w:type="pct"/>
            <w:vAlign w:val="center"/>
          </w:tcPr>
          <w:p w14:paraId="4867026D">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0.007</w:t>
            </w:r>
          </w:p>
        </w:tc>
        <w:tc>
          <w:tcPr>
            <w:tcW w:w="1237" w:type="pct"/>
            <w:vAlign w:val="center"/>
          </w:tcPr>
          <w:p w14:paraId="5F0E37FF">
            <w:pPr>
              <w:pStyle w:val="24"/>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133" w:type="pct"/>
            <w:vAlign w:val="center"/>
          </w:tcPr>
          <w:p w14:paraId="2765F3F2">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w:t>
            </w:r>
          </w:p>
        </w:tc>
      </w:tr>
      <w:tr w14:paraId="3474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vAlign w:val="center"/>
          </w:tcPr>
          <w:p w14:paraId="4785999B">
            <w:pPr>
              <w:pStyle w:val="31"/>
              <w:bidi w:val="0"/>
              <w:rPr>
                <w:rFonts w:hint="default" w:ascii="Times New Roman" w:hAnsi="Times New Roman" w:eastAsia="宋体" w:cs="宋体"/>
                <w:b w:val="0"/>
                <w:bCs/>
                <w:color w:val="auto"/>
                <w:highlight w:val="none"/>
                <w:lang w:val="en-US" w:eastAsia="zh-CN"/>
              </w:rPr>
            </w:pPr>
          </w:p>
        </w:tc>
        <w:tc>
          <w:tcPr>
            <w:tcW w:w="802" w:type="pct"/>
            <w:vAlign w:val="center"/>
          </w:tcPr>
          <w:p w14:paraId="0556AC8A">
            <w:pPr>
              <w:pStyle w:val="31"/>
              <w:bidi w:val="0"/>
              <w:ind w:left="0" w:leftChars="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1h平均</w:t>
            </w:r>
          </w:p>
        </w:tc>
        <w:tc>
          <w:tcPr>
            <w:tcW w:w="1028" w:type="pct"/>
            <w:vAlign w:val="center"/>
          </w:tcPr>
          <w:p w14:paraId="00ED4E97">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0.020</w:t>
            </w:r>
          </w:p>
        </w:tc>
        <w:tc>
          <w:tcPr>
            <w:tcW w:w="1237" w:type="pct"/>
            <w:vAlign w:val="center"/>
          </w:tcPr>
          <w:p w14:paraId="712418BA">
            <w:pPr>
              <w:pStyle w:val="24"/>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133" w:type="pct"/>
            <w:vAlign w:val="center"/>
          </w:tcPr>
          <w:p w14:paraId="12C7DF77">
            <w:pPr>
              <w:pStyle w:val="31"/>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w:t>
            </w:r>
          </w:p>
        </w:tc>
      </w:tr>
      <w:tr w14:paraId="39123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restart"/>
            <w:vAlign w:val="center"/>
          </w:tcPr>
          <w:p w14:paraId="5AA5AEC4">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氯化物</w:t>
            </w:r>
          </w:p>
        </w:tc>
        <w:tc>
          <w:tcPr>
            <w:tcW w:w="802" w:type="pct"/>
            <w:shd w:val="clear" w:color="auto" w:fill="auto"/>
            <w:vAlign w:val="center"/>
          </w:tcPr>
          <w:p w14:paraId="7D129DA1">
            <w:pPr>
              <w:pStyle w:val="31"/>
              <w:bidi w:val="0"/>
              <w:ind w:left="0" w:leftChars="0"/>
              <w:rPr>
                <w:rFonts w:hint="eastAsia" w:ascii="Times New Roman" w:hAnsi="Times New Roman" w:eastAsia="宋体" w:cs="宋体"/>
                <w:b w:val="0"/>
                <w:bCs/>
                <w:color w:val="auto"/>
                <w:kern w:val="2"/>
                <w:sz w:val="21"/>
                <w:szCs w:val="20"/>
                <w:highlight w:val="none"/>
                <w:lang w:val="en-US" w:eastAsia="zh-CN" w:bidi="ar-SA"/>
              </w:rPr>
            </w:pPr>
            <w:r>
              <w:rPr>
                <w:rFonts w:hint="eastAsia" w:ascii="Times New Roman" w:hAnsi="Times New Roman" w:eastAsia="宋体" w:cs="宋体"/>
                <w:b w:val="0"/>
                <w:bCs/>
                <w:color w:val="auto"/>
                <w:highlight w:val="none"/>
                <w:lang w:val="en-US" w:eastAsia="zh-CN"/>
              </w:rPr>
              <w:t>24h</w:t>
            </w:r>
            <w:r>
              <w:rPr>
                <w:rFonts w:hint="default" w:ascii="Times New Roman" w:hAnsi="Times New Roman" w:eastAsia="宋体" w:cs="宋体"/>
                <w:b w:val="0"/>
                <w:bCs/>
                <w:color w:val="auto"/>
                <w:highlight w:val="none"/>
                <w:lang w:val="en-US" w:eastAsia="zh-CN"/>
              </w:rPr>
              <w:t>平均</w:t>
            </w:r>
          </w:p>
        </w:tc>
        <w:tc>
          <w:tcPr>
            <w:tcW w:w="1028" w:type="pct"/>
            <w:vAlign w:val="center"/>
          </w:tcPr>
          <w:p w14:paraId="368083C1">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0.015</w:t>
            </w:r>
          </w:p>
        </w:tc>
        <w:tc>
          <w:tcPr>
            <w:tcW w:w="1237" w:type="pct"/>
            <w:shd w:val="clear" w:color="auto" w:fill="auto"/>
            <w:vAlign w:val="center"/>
          </w:tcPr>
          <w:p w14:paraId="3D9EA80C">
            <w:pPr>
              <w:pStyle w:val="24"/>
              <w:bidi w:val="0"/>
              <w:ind w:left="0" w:leftChars="0"/>
              <w:rPr>
                <w:rFonts w:hint="eastAsia" w:ascii="Times New Roman" w:hAnsi="Times New Roman" w:eastAsia="宋体" w:cs="宋体"/>
                <w:b w:val="0"/>
                <w:bCs/>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未检出</w:t>
            </w:r>
          </w:p>
        </w:tc>
        <w:tc>
          <w:tcPr>
            <w:tcW w:w="1133" w:type="pct"/>
            <w:shd w:val="clear" w:color="auto" w:fill="auto"/>
            <w:vAlign w:val="center"/>
          </w:tcPr>
          <w:p w14:paraId="4BA30586">
            <w:pPr>
              <w:pStyle w:val="31"/>
              <w:bidi w:val="0"/>
              <w:ind w:left="0" w:leftChars="0"/>
              <w:rPr>
                <w:rFonts w:hint="eastAsia" w:ascii="Times New Roman" w:hAnsi="Times New Roman" w:eastAsia="宋体" w:cs="宋体"/>
                <w:b w:val="0"/>
                <w:bCs/>
                <w:color w:val="auto"/>
                <w:kern w:val="2"/>
                <w:sz w:val="21"/>
                <w:szCs w:val="20"/>
                <w:highlight w:val="none"/>
                <w:lang w:val="en-US" w:eastAsia="zh-CN" w:bidi="ar-SA"/>
              </w:rPr>
            </w:pPr>
            <w:r>
              <w:rPr>
                <w:rFonts w:hint="eastAsia" w:ascii="Times New Roman" w:hAnsi="Times New Roman" w:eastAsia="宋体" w:cs="宋体"/>
                <w:b w:val="0"/>
                <w:bCs/>
                <w:color w:val="auto"/>
                <w:highlight w:val="none"/>
                <w:lang w:val="en-US" w:eastAsia="zh-CN"/>
              </w:rPr>
              <w:t>/</w:t>
            </w:r>
          </w:p>
        </w:tc>
      </w:tr>
      <w:tr w14:paraId="58D9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vAlign w:val="center"/>
          </w:tcPr>
          <w:p w14:paraId="298926BC">
            <w:pPr>
              <w:pStyle w:val="31"/>
              <w:bidi w:val="0"/>
              <w:rPr>
                <w:rFonts w:hint="default" w:ascii="Times New Roman" w:hAnsi="Times New Roman" w:eastAsia="宋体" w:cs="宋体"/>
                <w:b w:val="0"/>
                <w:bCs/>
                <w:color w:val="auto"/>
                <w:highlight w:val="none"/>
                <w:lang w:val="en-US" w:eastAsia="zh-CN"/>
              </w:rPr>
            </w:pPr>
          </w:p>
        </w:tc>
        <w:tc>
          <w:tcPr>
            <w:tcW w:w="802" w:type="pct"/>
            <w:shd w:val="clear" w:color="auto" w:fill="auto"/>
            <w:vAlign w:val="center"/>
          </w:tcPr>
          <w:p w14:paraId="1A04025D">
            <w:pPr>
              <w:pStyle w:val="31"/>
              <w:bidi w:val="0"/>
              <w:ind w:left="0" w:leftChars="0"/>
              <w:rPr>
                <w:rFonts w:hint="eastAsia" w:ascii="Times New Roman" w:hAnsi="Times New Roman" w:eastAsia="宋体" w:cs="宋体"/>
                <w:b w:val="0"/>
                <w:bCs/>
                <w:color w:val="auto"/>
                <w:kern w:val="2"/>
                <w:sz w:val="21"/>
                <w:szCs w:val="20"/>
                <w:highlight w:val="none"/>
                <w:lang w:val="en-US" w:eastAsia="zh-CN" w:bidi="ar-SA"/>
              </w:rPr>
            </w:pPr>
            <w:r>
              <w:rPr>
                <w:rFonts w:hint="eastAsia" w:ascii="Times New Roman" w:hAnsi="Times New Roman" w:eastAsia="宋体" w:cs="宋体"/>
                <w:b w:val="0"/>
                <w:bCs/>
                <w:color w:val="auto"/>
                <w:highlight w:val="none"/>
                <w:lang w:val="en-US" w:eastAsia="zh-CN"/>
              </w:rPr>
              <w:t>1h平均</w:t>
            </w:r>
          </w:p>
        </w:tc>
        <w:tc>
          <w:tcPr>
            <w:tcW w:w="1028" w:type="pct"/>
            <w:vAlign w:val="center"/>
          </w:tcPr>
          <w:p w14:paraId="76795582">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0.050</w:t>
            </w:r>
          </w:p>
        </w:tc>
        <w:tc>
          <w:tcPr>
            <w:tcW w:w="1237" w:type="pct"/>
            <w:shd w:val="clear" w:color="auto" w:fill="auto"/>
            <w:vAlign w:val="center"/>
          </w:tcPr>
          <w:p w14:paraId="6DC31062">
            <w:pPr>
              <w:pStyle w:val="24"/>
              <w:bidi w:val="0"/>
              <w:ind w:left="0" w:leftChars="0"/>
              <w:rPr>
                <w:rFonts w:hint="eastAsia" w:ascii="Times New Roman" w:hAnsi="Times New Roman" w:eastAsia="宋体" w:cs="宋体"/>
                <w:b w:val="0"/>
                <w:bCs/>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未检出</w:t>
            </w:r>
          </w:p>
        </w:tc>
        <w:tc>
          <w:tcPr>
            <w:tcW w:w="1133" w:type="pct"/>
            <w:shd w:val="clear" w:color="auto" w:fill="auto"/>
            <w:vAlign w:val="center"/>
          </w:tcPr>
          <w:p w14:paraId="67C45C8B">
            <w:pPr>
              <w:pStyle w:val="31"/>
              <w:bidi w:val="0"/>
              <w:ind w:left="0" w:leftChars="0"/>
              <w:rPr>
                <w:rFonts w:hint="eastAsia" w:ascii="Times New Roman" w:hAnsi="Times New Roman" w:eastAsia="宋体" w:cs="宋体"/>
                <w:b w:val="0"/>
                <w:bCs/>
                <w:color w:val="auto"/>
                <w:kern w:val="2"/>
                <w:sz w:val="21"/>
                <w:szCs w:val="20"/>
                <w:highlight w:val="none"/>
                <w:lang w:val="en-US" w:eastAsia="zh-CN" w:bidi="ar-SA"/>
              </w:rPr>
            </w:pPr>
            <w:r>
              <w:rPr>
                <w:rFonts w:hint="eastAsia" w:ascii="Times New Roman" w:hAnsi="Times New Roman" w:eastAsia="宋体" w:cs="宋体"/>
                <w:b w:val="0"/>
                <w:bCs/>
                <w:color w:val="auto"/>
                <w:highlight w:val="none"/>
                <w:lang w:val="en-US" w:eastAsia="zh-CN"/>
              </w:rPr>
              <w:t>/</w:t>
            </w:r>
          </w:p>
        </w:tc>
      </w:tr>
      <w:tr w14:paraId="4EDD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restart"/>
            <w:vAlign w:val="center"/>
          </w:tcPr>
          <w:p w14:paraId="43DE67A9">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硫酸</w:t>
            </w:r>
          </w:p>
        </w:tc>
        <w:tc>
          <w:tcPr>
            <w:tcW w:w="802" w:type="pct"/>
            <w:vAlign w:val="center"/>
          </w:tcPr>
          <w:p w14:paraId="6584C7B6">
            <w:pPr>
              <w:pStyle w:val="31"/>
              <w:bidi w:val="0"/>
              <w:ind w:left="0" w:leftChars="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24h</w:t>
            </w:r>
            <w:r>
              <w:rPr>
                <w:rFonts w:hint="default" w:ascii="Times New Roman" w:hAnsi="Times New Roman" w:eastAsia="宋体" w:cs="宋体"/>
                <w:b w:val="0"/>
                <w:bCs/>
                <w:color w:val="auto"/>
                <w:highlight w:val="none"/>
                <w:lang w:val="en-US" w:eastAsia="zh-CN"/>
              </w:rPr>
              <w:t>平均</w:t>
            </w:r>
          </w:p>
        </w:tc>
        <w:tc>
          <w:tcPr>
            <w:tcW w:w="1028" w:type="pct"/>
            <w:vAlign w:val="center"/>
          </w:tcPr>
          <w:p w14:paraId="5E07B074">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0.100</w:t>
            </w:r>
          </w:p>
        </w:tc>
        <w:tc>
          <w:tcPr>
            <w:tcW w:w="1237" w:type="pct"/>
            <w:vAlign w:val="center"/>
          </w:tcPr>
          <w:p w14:paraId="0A64D8D4">
            <w:pPr>
              <w:pStyle w:val="24"/>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133" w:type="pct"/>
            <w:vAlign w:val="center"/>
          </w:tcPr>
          <w:p w14:paraId="340D2BCB">
            <w:pPr>
              <w:pStyle w:val="31"/>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w:t>
            </w:r>
          </w:p>
        </w:tc>
      </w:tr>
      <w:tr w14:paraId="76AD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Merge w:val="continue"/>
            <w:vAlign w:val="center"/>
          </w:tcPr>
          <w:p w14:paraId="3BCDD706">
            <w:pPr>
              <w:pStyle w:val="31"/>
              <w:bidi w:val="0"/>
              <w:rPr>
                <w:rFonts w:hint="eastAsia" w:ascii="Times New Roman" w:hAnsi="Times New Roman" w:eastAsia="宋体" w:cs="宋体"/>
                <w:b w:val="0"/>
                <w:bCs/>
                <w:color w:val="auto"/>
                <w:highlight w:val="none"/>
                <w:lang w:val="en-US" w:eastAsia="zh-CN"/>
              </w:rPr>
            </w:pPr>
          </w:p>
        </w:tc>
        <w:tc>
          <w:tcPr>
            <w:tcW w:w="802" w:type="pct"/>
            <w:vAlign w:val="center"/>
          </w:tcPr>
          <w:p w14:paraId="6D7082E6">
            <w:pPr>
              <w:pStyle w:val="31"/>
              <w:bidi w:val="0"/>
              <w:ind w:left="0" w:leftChars="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1h平均</w:t>
            </w:r>
          </w:p>
        </w:tc>
        <w:tc>
          <w:tcPr>
            <w:tcW w:w="1028" w:type="pct"/>
            <w:vAlign w:val="center"/>
          </w:tcPr>
          <w:p w14:paraId="266A677C">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0.300</w:t>
            </w:r>
          </w:p>
        </w:tc>
        <w:tc>
          <w:tcPr>
            <w:tcW w:w="1237" w:type="pct"/>
            <w:vAlign w:val="center"/>
          </w:tcPr>
          <w:p w14:paraId="1DFB5139">
            <w:pPr>
              <w:pStyle w:val="24"/>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133" w:type="pct"/>
            <w:vAlign w:val="center"/>
          </w:tcPr>
          <w:p w14:paraId="56BF8E86">
            <w:pPr>
              <w:pStyle w:val="31"/>
              <w:bidi w:val="0"/>
              <w:ind w:left="0" w:leftChars="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w:t>
            </w:r>
          </w:p>
        </w:tc>
      </w:tr>
      <w:tr w14:paraId="7D54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Align w:val="center"/>
          </w:tcPr>
          <w:p w14:paraId="61B9FE31">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氨</w:t>
            </w:r>
          </w:p>
        </w:tc>
        <w:tc>
          <w:tcPr>
            <w:tcW w:w="802" w:type="pct"/>
            <w:vAlign w:val="center"/>
          </w:tcPr>
          <w:p w14:paraId="2E394833">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1h</w:t>
            </w:r>
            <w:r>
              <w:rPr>
                <w:rFonts w:hint="default" w:ascii="Times New Roman" w:hAnsi="Times New Roman" w:eastAsia="宋体" w:cs="宋体"/>
                <w:b w:val="0"/>
                <w:bCs/>
                <w:color w:val="auto"/>
                <w:highlight w:val="none"/>
                <w:lang w:val="en-US" w:eastAsia="zh-CN"/>
              </w:rPr>
              <w:t>平均</w:t>
            </w:r>
          </w:p>
        </w:tc>
        <w:tc>
          <w:tcPr>
            <w:tcW w:w="1028" w:type="pct"/>
            <w:vAlign w:val="center"/>
          </w:tcPr>
          <w:p w14:paraId="4616067D">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0.200</w:t>
            </w:r>
          </w:p>
        </w:tc>
        <w:tc>
          <w:tcPr>
            <w:tcW w:w="1237" w:type="pct"/>
            <w:vAlign w:val="center"/>
          </w:tcPr>
          <w:p w14:paraId="20444296">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0.09~0.16</w:t>
            </w:r>
          </w:p>
        </w:tc>
        <w:tc>
          <w:tcPr>
            <w:tcW w:w="1133" w:type="pct"/>
            <w:vAlign w:val="center"/>
          </w:tcPr>
          <w:p w14:paraId="769EBF9D">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0.8</w:t>
            </w:r>
          </w:p>
        </w:tc>
      </w:tr>
      <w:tr w14:paraId="4E0B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pct"/>
            <w:vAlign w:val="center"/>
          </w:tcPr>
          <w:p w14:paraId="620F9EF7">
            <w:pPr>
              <w:pStyle w:val="31"/>
              <w:bidi w:val="0"/>
              <w:rPr>
                <w:rFonts w:hint="default" w:ascii="Times New Roman" w:hAnsi="Times New Roman" w:eastAsia="宋体" w:cs="宋体"/>
                <w:b w:val="0"/>
                <w:bCs/>
                <w:color w:val="auto"/>
                <w:highlight w:val="none"/>
                <w:lang w:val="en-US" w:eastAsia="zh-CN"/>
              </w:rPr>
            </w:pPr>
            <w:r>
              <w:rPr>
                <w:rFonts w:hint="eastAsia" w:cs="宋体"/>
                <w:b w:val="0"/>
                <w:bCs/>
                <w:color w:val="auto"/>
                <w:highlight w:val="none"/>
                <w:lang w:val="en-US" w:eastAsia="zh-CN"/>
              </w:rPr>
              <w:t>TVOC</w:t>
            </w:r>
          </w:p>
        </w:tc>
        <w:tc>
          <w:tcPr>
            <w:tcW w:w="802" w:type="pct"/>
            <w:vAlign w:val="center"/>
          </w:tcPr>
          <w:p w14:paraId="4E2B48C6">
            <w:pPr>
              <w:pStyle w:val="31"/>
              <w:bidi w:val="0"/>
              <w:rPr>
                <w:rFonts w:hint="default" w:ascii="Times New Roman" w:hAnsi="Times New Roman" w:eastAsia="宋体" w:cs="宋体"/>
                <w:b w:val="0"/>
                <w:bCs/>
                <w:color w:val="auto"/>
                <w:highlight w:val="none"/>
                <w:lang w:val="en-US" w:eastAsia="zh-CN"/>
              </w:rPr>
            </w:pPr>
            <w:r>
              <w:rPr>
                <w:rFonts w:hint="eastAsia" w:cs="宋体"/>
                <w:b w:val="0"/>
                <w:bCs/>
                <w:color w:val="auto"/>
                <w:highlight w:val="none"/>
                <w:lang w:val="en-US" w:eastAsia="zh-CN"/>
              </w:rPr>
              <w:t>8h平均</w:t>
            </w:r>
          </w:p>
        </w:tc>
        <w:tc>
          <w:tcPr>
            <w:tcW w:w="1028" w:type="pct"/>
            <w:vAlign w:val="center"/>
          </w:tcPr>
          <w:p w14:paraId="33F1F8A2">
            <w:pPr>
              <w:pStyle w:val="31"/>
              <w:bidi w:val="0"/>
              <w:rPr>
                <w:rFonts w:hint="default" w:ascii="Times New Roman" w:hAnsi="Times New Roman" w:eastAsia="宋体" w:cs="宋体"/>
                <w:b w:val="0"/>
                <w:bCs/>
                <w:color w:val="auto"/>
                <w:highlight w:val="none"/>
                <w:lang w:val="en-US" w:eastAsia="zh-CN"/>
              </w:rPr>
            </w:pPr>
            <w:r>
              <w:rPr>
                <w:rFonts w:hint="eastAsia" w:cs="宋体"/>
                <w:b w:val="0"/>
                <w:bCs/>
                <w:color w:val="auto"/>
                <w:highlight w:val="none"/>
                <w:lang w:val="en-US" w:eastAsia="zh-CN"/>
              </w:rPr>
              <w:t>0.600</w:t>
            </w:r>
          </w:p>
        </w:tc>
        <w:tc>
          <w:tcPr>
            <w:tcW w:w="1237" w:type="pct"/>
            <w:vAlign w:val="center"/>
          </w:tcPr>
          <w:p w14:paraId="0E145F54">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0.0285~0.0442</w:t>
            </w:r>
          </w:p>
        </w:tc>
        <w:tc>
          <w:tcPr>
            <w:tcW w:w="1133" w:type="pct"/>
            <w:vAlign w:val="center"/>
          </w:tcPr>
          <w:p w14:paraId="3F09817B">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0.074</w:t>
            </w:r>
          </w:p>
        </w:tc>
      </w:tr>
    </w:tbl>
    <w:p w14:paraId="18E74638">
      <w:pPr>
        <w:pStyle w:val="26"/>
        <w:ind w:firstLine="480"/>
        <w:rPr>
          <w:rFonts w:hint="default" w:ascii="Times New Roman" w:hAnsi="Times New Roman" w:cs="Times New Roman"/>
          <w:color w:val="auto"/>
          <w:highlight w:val="none"/>
        </w:rPr>
      </w:pPr>
      <w:r>
        <w:rPr>
          <w:rFonts w:hint="eastAsia" w:cs="Times New Roman"/>
          <w:color w:val="auto"/>
          <w:highlight w:val="none"/>
          <w:lang w:val="en-US" w:eastAsia="zh-CN"/>
        </w:rPr>
        <w:t>结果表明</w:t>
      </w:r>
      <w:r>
        <w:rPr>
          <w:rFonts w:hint="default" w:ascii="Times New Roman" w:hAnsi="Times New Roman" w:cs="Times New Roman"/>
          <w:color w:val="auto"/>
          <w:highlight w:val="none"/>
          <w:lang w:val="en-US" w:eastAsia="zh-CN"/>
        </w:rPr>
        <w:t>，评价区域环境空气中</w:t>
      </w:r>
      <w:r>
        <w:rPr>
          <w:rFonts w:hint="eastAsia"/>
          <w:color w:val="auto"/>
          <w:szCs w:val="24"/>
          <w:lang w:val="en-US" w:eastAsia="zh-CN"/>
        </w:rPr>
        <w:t>TSP满足</w:t>
      </w:r>
      <w:r>
        <w:rPr>
          <w:color w:val="auto"/>
          <w:szCs w:val="24"/>
        </w:rPr>
        <w:t>《环境空气质量标准》（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表2中</w:t>
      </w:r>
      <w:r>
        <w:rPr>
          <w:color w:val="auto"/>
          <w:szCs w:val="24"/>
        </w:rPr>
        <w:t>二级标准，</w:t>
      </w:r>
      <w:r>
        <w:rPr>
          <w:rFonts w:hint="eastAsia" w:ascii="Times New Roman" w:hAnsi="Times New Roman" w:cs="Times New Roman"/>
          <w:color w:val="auto"/>
          <w:sz w:val="24"/>
          <w:szCs w:val="24"/>
          <w:lang w:val="en-US" w:eastAsia="zh-CN"/>
        </w:rPr>
        <w:t>氟化物</w:t>
      </w:r>
      <w:r>
        <w:rPr>
          <w:rFonts w:hint="eastAsia"/>
          <w:color w:val="auto"/>
          <w:szCs w:val="24"/>
          <w:lang w:val="en-US" w:eastAsia="zh-CN"/>
        </w:rPr>
        <w:t>满足</w:t>
      </w:r>
      <w:r>
        <w:rPr>
          <w:rFonts w:hint="eastAsia" w:ascii="Times New Roman" w:hAnsi="Times New Roman" w:cs="Times New Roman"/>
          <w:color w:val="auto"/>
          <w:sz w:val="24"/>
          <w:szCs w:val="24"/>
          <w:lang w:val="en-US" w:eastAsia="zh-CN"/>
        </w:rPr>
        <w:t>《环境空气质量标准》（GB3095-2026）附录A中浓度限值，氯化氢、硫酸、氨、TVOC</w:t>
      </w:r>
      <w:r>
        <w:rPr>
          <w:rFonts w:hint="eastAsia"/>
          <w:color w:val="auto"/>
          <w:szCs w:val="24"/>
          <w:lang w:val="en-US" w:eastAsia="zh-CN"/>
        </w:rPr>
        <w:t>满足</w:t>
      </w:r>
      <w:r>
        <w:rPr>
          <w:rFonts w:hint="eastAsia" w:ascii="Times New Roman" w:hAnsi="Times New Roman" w:cs="Times New Roman"/>
          <w:color w:val="auto"/>
          <w:sz w:val="24"/>
          <w:szCs w:val="24"/>
        </w:rPr>
        <w:t>《环境</w:t>
      </w:r>
      <w:r>
        <w:rPr>
          <w:rFonts w:ascii="Times New Roman" w:hAnsi="Times New Roman" w:cs="Times New Roman"/>
          <w:color w:val="auto"/>
          <w:sz w:val="24"/>
          <w:szCs w:val="24"/>
        </w:rPr>
        <w:t>影响评价技术导则</w:t>
      </w:r>
      <w:r>
        <w:rPr>
          <w:rFonts w:hint="eastAsia" w:ascii="Times New Roman" w:hAnsi="Times New Roman" w:cs="Times New Roman"/>
          <w:color w:val="auto"/>
          <w:sz w:val="24"/>
          <w:szCs w:val="24"/>
        </w:rPr>
        <w:t xml:space="preserve"> 大气导则》（HJ2.2</w:t>
      </w:r>
      <w:r>
        <w:rPr>
          <w:rFonts w:ascii="Times New Roman" w:hAnsi="Times New Roman" w:cs="Times New Roman"/>
          <w:color w:val="auto"/>
          <w:sz w:val="24"/>
          <w:szCs w:val="24"/>
        </w:rPr>
        <w:t>-2018</w:t>
      </w:r>
      <w:r>
        <w:rPr>
          <w:rFonts w:hint="eastAsia" w:ascii="Times New Roman" w:hAnsi="Times New Roman" w:cs="Times New Roman"/>
          <w:color w:val="auto"/>
          <w:sz w:val="24"/>
          <w:szCs w:val="24"/>
        </w:rPr>
        <w:t>）附录D中相关</w:t>
      </w:r>
      <w:r>
        <w:rPr>
          <w:rFonts w:ascii="Times New Roman" w:hAnsi="Times New Roman" w:cs="Times New Roman"/>
          <w:color w:val="auto"/>
          <w:sz w:val="24"/>
          <w:szCs w:val="24"/>
        </w:rPr>
        <w:t>限值</w:t>
      </w:r>
      <w:r>
        <w:rPr>
          <w:rFonts w:hint="default" w:ascii="Times New Roman" w:hAnsi="Times New Roman" w:cs="Times New Roman"/>
          <w:color w:val="auto"/>
          <w:highlight w:val="none"/>
        </w:rPr>
        <w:t>。</w:t>
      </w:r>
    </w:p>
    <w:p w14:paraId="55EA10D2">
      <w:pPr>
        <w:pStyle w:val="4"/>
        <w:bidi w:val="0"/>
        <w:rPr>
          <w:rFonts w:hint="default"/>
          <w:color w:val="auto"/>
          <w:highlight w:val="none"/>
        </w:rPr>
      </w:pPr>
      <w:r>
        <w:rPr>
          <w:rFonts w:hint="default"/>
          <w:color w:val="auto"/>
          <w:highlight w:val="none"/>
        </w:rPr>
        <w:t>地表水环境质量现状评价</w:t>
      </w:r>
    </w:p>
    <w:p w14:paraId="3B0A7C27">
      <w:pPr>
        <w:pStyle w:val="26"/>
        <w:bidi w:val="0"/>
        <w:rPr>
          <w:rFonts w:hint="eastAsia" w:ascii="Times New Roman" w:hAnsi="Times New Roman" w:eastAsia="宋体" w:cs="Times New Roman"/>
          <w:color w:val="auto"/>
          <w:highlight w:val="none"/>
          <w:lang w:val="en-US" w:eastAsia="zh-CN" w:bidi="ar"/>
        </w:rPr>
      </w:pPr>
      <w:r>
        <w:rPr>
          <w:rFonts w:hint="default" w:ascii="Times New Roman" w:hAnsi="Times New Roman" w:cs="Times New Roman"/>
          <w:color w:val="auto"/>
          <w:highlight w:val="none"/>
          <w:lang w:bidi="ar"/>
        </w:rPr>
        <w:t>根据《环境影响评价技术导则 地表水环境》（HJ2.3-2018）</w:t>
      </w:r>
      <w:r>
        <w:rPr>
          <w:rFonts w:hint="eastAsia" w:ascii="Times New Roman" w:hAnsi="Times New Roman" w:cs="Times New Roman"/>
          <w:color w:val="auto"/>
          <w:highlight w:val="none"/>
          <w:lang w:eastAsia="zh-CN" w:bidi="ar"/>
        </w:rPr>
        <w:t>，</w:t>
      </w:r>
      <w:r>
        <w:rPr>
          <w:rFonts w:hint="eastAsia" w:ascii="Times New Roman" w:hAnsi="Times New Roman" w:cs="Times New Roman"/>
          <w:color w:val="auto"/>
          <w:highlight w:val="none"/>
          <w:lang w:val="en-US" w:eastAsia="zh-CN" w:bidi="ar"/>
        </w:rPr>
        <w:t>地表水环境现状调查与评价中规定</w:t>
      </w:r>
      <w:r>
        <w:rPr>
          <w:rFonts w:hint="eastAsia" w:ascii="宋体" w:hAnsi="宋体" w:eastAsia="宋体" w:cs="宋体"/>
          <w:color w:val="auto"/>
          <w:highlight w:val="none"/>
          <w:lang w:bidi="ar"/>
        </w:rPr>
        <w:t>“</w:t>
      </w:r>
      <w:r>
        <w:rPr>
          <w:rFonts w:hint="default" w:ascii="Times New Roman" w:hAnsi="Times New Roman" w:cs="Times New Roman"/>
          <w:i/>
          <w:color w:val="auto"/>
          <w:highlight w:val="none"/>
          <w:lang w:bidi="ar"/>
        </w:rPr>
        <w:t>应优先采用国务院生态环境保护主管部门统一发布的水环境状况信息</w:t>
      </w:r>
      <w:r>
        <w:rPr>
          <w:rFonts w:hint="eastAsia" w:ascii="宋体" w:hAnsi="宋体" w:eastAsia="宋体" w:cs="宋体"/>
          <w:color w:val="auto"/>
          <w:highlight w:val="none"/>
          <w:lang w:bidi="ar"/>
        </w:rPr>
        <w:t>”</w:t>
      </w:r>
      <w:r>
        <w:rPr>
          <w:rFonts w:hint="eastAsia" w:ascii="Times New Roman" w:hAnsi="Times New Roman" w:eastAsia="宋体" w:cs="Times New Roman"/>
          <w:color w:val="auto"/>
          <w:highlight w:val="none"/>
          <w:lang w:eastAsia="zh-CN" w:bidi="ar"/>
        </w:rPr>
        <w:t>。</w:t>
      </w:r>
      <w:r>
        <w:rPr>
          <w:rFonts w:hint="eastAsia" w:cs="Times New Roman"/>
          <w:color w:val="auto"/>
          <w:highlight w:val="none"/>
          <w:lang w:val="en-US" w:eastAsia="zh-CN" w:bidi="ar"/>
        </w:rPr>
        <w:t>本项目受纳水体为通江河，系巴河一级支流</w:t>
      </w:r>
      <w:r>
        <w:rPr>
          <w:rFonts w:hint="eastAsia" w:ascii="Times New Roman" w:hAnsi="Times New Roman" w:eastAsia="宋体" w:cs="Times New Roman"/>
          <w:color w:val="auto"/>
          <w:highlight w:val="none"/>
          <w:lang w:val="en-US" w:eastAsia="zh-CN" w:bidi="ar"/>
        </w:rPr>
        <w:t>。</w:t>
      </w:r>
    </w:p>
    <w:p w14:paraId="238497E0">
      <w:pPr>
        <w:pStyle w:val="26"/>
        <w:bidi w:val="0"/>
        <w:rPr>
          <w:rFonts w:hint="default" w:ascii="Times New Roman" w:hAnsi="Times New Roman" w:cs="Times New Roman"/>
          <w:color w:val="auto"/>
        </w:rPr>
      </w:pPr>
      <w:r>
        <w:rPr>
          <w:rFonts w:hint="default" w:ascii="Times New Roman" w:hAnsi="Times New Roman" w:cs="Times New Roman"/>
          <w:color w:val="auto"/>
        </w:rPr>
        <w:t>根据</w:t>
      </w:r>
      <w:r>
        <w:rPr>
          <w:rFonts w:hint="default" w:ascii="Times New Roman" w:hAnsi="Times New Roman" w:eastAsia="宋体" w:cs="Times New Roman"/>
          <w:bCs/>
          <w:color w:val="auto"/>
          <w:sz w:val="24"/>
        </w:rPr>
        <w:t>《2024年</w:t>
      </w:r>
      <w:r>
        <w:rPr>
          <w:rFonts w:hint="eastAsia" w:cs="Times New Roman"/>
          <w:bCs/>
          <w:color w:val="auto"/>
          <w:sz w:val="24"/>
          <w:lang w:val="en-US" w:eastAsia="zh-CN"/>
        </w:rPr>
        <w:t>巴中市生态</w:t>
      </w:r>
      <w:r>
        <w:rPr>
          <w:rFonts w:hint="default" w:ascii="Times New Roman" w:hAnsi="Times New Roman" w:eastAsia="宋体" w:cs="Times New Roman"/>
          <w:bCs/>
          <w:color w:val="auto"/>
          <w:sz w:val="24"/>
        </w:rPr>
        <w:t>环境</w:t>
      </w:r>
      <w:r>
        <w:rPr>
          <w:rFonts w:hint="eastAsia" w:cs="Times New Roman"/>
          <w:bCs/>
          <w:color w:val="auto"/>
          <w:sz w:val="24"/>
          <w:lang w:val="en-US" w:eastAsia="zh-CN"/>
        </w:rPr>
        <w:t>状况</w:t>
      </w:r>
      <w:r>
        <w:rPr>
          <w:rFonts w:hint="default" w:ascii="Times New Roman" w:hAnsi="Times New Roman" w:eastAsia="宋体" w:cs="Times New Roman"/>
          <w:bCs/>
          <w:color w:val="auto"/>
          <w:sz w:val="24"/>
        </w:rPr>
        <w:t>公报</w:t>
      </w:r>
      <w:r>
        <w:rPr>
          <w:rFonts w:hint="default" w:ascii="Times New Roman" w:hAnsi="Times New Roman" w:cs="Times New Roman"/>
          <w:color w:val="auto"/>
          <w:sz w:val="24"/>
          <w:szCs w:val="24"/>
        </w:rPr>
        <w:t>》</w:t>
      </w:r>
      <w:r>
        <w:rPr>
          <w:rFonts w:hint="default" w:ascii="Times New Roman" w:hAnsi="Times New Roman" w:cs="Times New Roman"/>
          <w:color w:val="auto"/>
        </w:rPr>
        <w:t>，2024年，巴河总体水质为优，10个国省控断面和2个入境断面均达到或优于Ⅲ类水质。6个国控断面I-Ⅱ类水质占比100%，4个省控断面I-Ⅱ类水质占比75%，仅徐家河断面水质为Ⅲ类。</w:t>
      </w:r>
    </w:p>
    <w:p w14:paraId="052C1188">
      <w:pPr>
        <w:pStyle w:val="26"/>
        <w:bidi w:val="0"/>
        <w:rPr>
          <w:rFonts w:hint="default" w:ascii="Times New Roman" w:hAnsi="Times New Roman" w:cs="Times New Roman"/>
          <w:color w:val="auto"/>
        </w:rPr>
      </w:pPr>
      <w:r>
        <w:rPr>
          <w:rFonts w:hint="eastAsia" w:cs="Times New Roman"/>
          <w:color w:val="auto"/>
          <w:lang w:val="en-US" w:eastAsia="zh-CN"/>
        </w:rPr>
        <w:t>通江河控制断面为纳溪口</w:t>
      </w:r>
      <w:r>
        <w:rPr>
          <w:rFonts w:hint="default" w:ascii="Times New Roman" w:hAnsi="Times New Roman" w:cs="Times New Roman"/>
          <w:color w:val="auto"/>
        </w:rPr>
        <w:t>，2024年</w:t>
      </w:r>
      <w:r>
        <w:rPr>
          <w:rFonts w:hint="eastAsia" w:cs="Times New Roman"/>
          <w:color w:val="auto"/>
          <w:lang w:val="en-US" w:eastAsia="zh-CN"/>
        </w:rPr>
        <w:t>水质类别</w:t>
      </w:r>
      <w:r>
        <w:rPr>
          <w:rFonts w:hint="default" w:ascii="Times New Roman" w:hAnsi="Times New Roman" w:cs="Times New Roman"/>
          <w:color w:val="auto"/>
        </w:rPr>
        <w:t>为Ⅱ类，</w:t>
      </w:r>
      <w:r>
        <w:rPr>
          <w:rFonts w:hint="eastAsia" w:cs="Times New Roman"/>
          <w:color w:val="auto"/>
          <w:lang w:val="en-US" w:eastAsia="zh-CN"/>
        </w:rPr>
        <w:t>达标率100%，</w:t>
      </w:r>
      <w:r>
        <w:rPr>
          <w:rFonts w:hint="default" w:ascii="Times New Roman" w:hAnsi="Times New Roman" w:cs="Times New Roman"/>
          <w:color w:val="auto"/>
        </w:rPr>
        <w:t>与</w:t>
      </w:r>
      <w:r>
        <w:rPr>
          <w:rFonts w:hint="eastAsia" w:cs="Times New Roman"/>
          <w:color w:val="auto"/>
          <w:lang w:val="en-US" w:eastAsia="zh-CN"/>
        </w:rPr>
        <w:t>2023年</w:t>
      </w:r>
      <w:r>
        <w:rPr>
          <w:rFonts w:hint="default" w:ascii="Times New Roman" w:hAnsi="Times New Roman" w:cs="Times New Roman"/>
          <w:color w:val="auto"/>
        </w:rPr>
        <w:t>相比，</w:t>
      </w:r>
      <w:r>
        <w:rPr>
          <w:rFonts w:hint="eastAsia" w:cs="Times New Roman"/>
          <w:color w:val="auto"/>
          <w:lang w:val="en-US" w:eastAsia="zh-CN"/>
        </w:rPr>
        <w:t>无明显变化</w:t>
      </w:r>
      <w:r>
        <w:rPr>
          <w:rFonts w:hint="default" w:ascii="Times New Roman" w:hAnsi="Times New Roman" w:cs="Times New Roman"/>
          <w:color w:val="auto"/>
        </w:rPr>
        <w:t>。</w:t>
      </w:r>
    </w:p>
    <w:p w14:paraId="6B6753F3">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通江河断面地表水水质状况</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1118"/>
        <w:gridCol w:w="1146"/>
        <w:gridCol w:w="900"/>
        <w:gridCol w:w="940"/>
        <w:gridCol w:w="1323"/>
        <w:gridCol w:w="887"/>
        <w:gridCol w:w="927"/>
        <w:gridCol w:w="1127"/>
      </w:tblGrid>
      <w:tr w14:paraId="3468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Merge w:val="restart"/>
            <w:vAlign w:val="center"/>
          </w:tcPr>
          <w:p w14:paraId="7DB9F13A">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河流名称</w:t>
            </w:r>
          </w:p>
        </w:tc>
        <w:tc>
          <w:tcPr>
            <w:tcW w:w="1118" w:type="dxa"/>
            <w:vMerge w:val="restart"/>
            <w:vAlign w:val="center"/>
          </w:tcPr>
          <w:p w14:paraId="034D4E18">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断面名称</w:t>
            </w:r>
          </w:p>
        </w:tc>
        <w:tc>
          <w:tcPr>
            <w:tcW w:w="1146" w:type="dxa"/>
            <w:vMerge w:val="restart"/>
            <w:vAlign w:val="center"/>
          </w:tcPr>
          <w:p w14:paraId="56461736">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水质目标</w:t>
            </w:r>
          </w:p>
        </w:tc>
        <w:tc>
          <w:tcPr>
            <w:tcW w:w="3163" w:type="dxa"/>
            <w:gridSpan w:val="3"/>
            <w:vAlign w:val="center"/>
          </w:tcPr>
          <w:p w14:paraId="2BCF1F7F">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水质类别</w:t>
            </w:r>
          </w:p>
        </w:tc>
        <w:tc>
          <w:tcPr>
            <w:tcW w:w="2941" w:type="dxa"/>
            <w:gridSpan w:val="3"/>
            <w:vAlign w:val="center"/>
          </w:tcPr>
          <w:p w14:paraId="66D93DD9">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频次达标率</w:t>
            </w:r>
          </w:p>
        </w:tc>
      </w:tr>
      <w:tr w14:paraId="74F9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Merge w:val="continue"/>
            <w:vAlign w:val="center"/>
          </w:tcPr>
          <w:p w14:paraId="11442D94">
            <w:pPr>
              <w:pStyle w:val="24"/>
              <w:bidi w:val="0"/>
              <w:ind w:left="0" w:leftChars="0"/>
              <w:rPr>
                <w:rFonts w:hint="default" w:ascii="Times New Roman" w:hAnsi="Times New Roman" w:eastAsia="宋体"/>
                <w:b/>
                <w:bCs/>
                <w:color w:val="auto"/>
                <w:highlight w:val="none"/>
                <w:lang w:val="en-US" w:eastAsia="zh-CN"/>
              </w:rPr>
            </w:pPr>
          </w:p>
        </w:tc>
        <w:tc>
          <w:tcPr>
            <w:tcW w:w="1118" w:type="dxa"/>
            <w:vMerge w:val="continue"/>
            <w:vAlign w:val="center"/>
          </w:tcPr>
          <w:p w14:paraId="56BEEF4D">
            <w:pPr>
              <w:pStyle w:val="24"/>
              <w:bidi w:val="0"/>
              <w:ind w:left="0" w:leftChars="0"/>
              <w:rPr>
                <w:rFonts w:hint="default" w:ascii="Times New Roman" w:hAnsi="Times New Roman" w:eastAsia="宋体"/>
                <w:b/>
                <w:bCs/>
                <w:color w:val="auto"/>
                <w:highlight w:val="none"/>
                <w:lang w:val="en-US" w:eastAsia="zh-CN"/>
              </w:rPr>
            </w:pPr>
          </w:p>
        </w:tc>
        <w:tc>
          <w:tcPr>
            <w:tcW w:w="1146" w:type="dxa"/>
            <w:vMerge w:val="continue"/>
            <w:vAlign w:val="center"/>
          </w:tcPr>
          <w:p w14:paraId="692F51A0">
            <w:pPr>
              <w:pStyle w:val="24"/>
              <w:bidi w:val="0"/>
              <w:ind w:left="0" w:leftChars="0"/>
              <w:rPr>
                <w:rFonts w:hint="default" w:ascii="Times New Roman" w:hAnsi="Times New Roman" w:eastAsia="宋体"/>
                <w:b/>
                <w:bCs/>
                <w:color w:val="auto"/>
                <w:highlight w:val="none"/>
                <w:lang w:val="en-US" w:eastAsia="zh-CN"/>
              </w:rPr>
            </w:pPr>
          </w:p>
        </w:tc>
        <w:tc>
          <w:tcPr>
            <w:tcW w:w="900" w:type="dxa"/>
            <w:vAlign w:val="center"/>
          </w:tcPr>
          <w:p w14:paraId="3AC4D51F">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2023年</w:t>
            </w:r>
          </w:p>
        </w:tc>
        <w:tc>
          <w:tcPr>
            <w:tcW w:w="940" w:type="dxa"/>
            <w:vAlign w:val="center"/>
          </w:tcPr>
          <w:p w14:paraId="64CEF419">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2024年</w:t>
            </w:r>
          </w:p>
        </w:tc>
        <w:tc>
          <w:tcPr>
            <w:tcW w:w="1323" w:type="dxa"/>
            <w:vAlign w:val="center"/>
          </w:tcPr>
          <w:p w14:paraId="4017088A">
            <w:pPr>
              <w:pStyle w:val="24"/>
              <w:bidi w:val="0"/>
              <w:ind w:left="0" w:leftChars="0"/>
              <w:rPr>
                <w:rFonts w:hint="default" w:ascii="Times New Roman" w:hAnsi="Times New Roman" w:eastAsia="宋体"/>
                <w:b/>
                <w:bCs/>
                <w:color w:val="auto"/>
                <w:highlight w:val="none"/>
                <w:lang w:val="en-US" w:eastAsia="zh-CN"/>
              </w:rPr>
            </w:pPr>
            <w:r>
              <w:rPr>
                <w:rFonts w:hint="eastAsia" w:ascii="Times New Roman" w:hAnsi="Times New Roman" w:eastAsia="宋体"/>
                <w:b/>
                <w:bCs/>
                <w:color w:val="auto"/>
                <w:highlight w:val="none"/>
                <w:lang w:val="en-US" w:eastAsia="zh-CN"/>
              </w:rPr>
              <w:t>同比变化</w:t>
            </w:r>
          </w:p>
        </w:tc>
        <w:tc>
          <w:tcPr>
            <w:tcW w:w="887" w:type="dxa"/>
            <w:shd w:val="clear" w:color="auto" w:fill="auto"/>
            <w:vAlign w:val="center"/>
          </w:tcPr>
          <w:p w14:paraId="1DF682D9">
            <w:pPr>
              <w:pStyle w:val="24"/>
              <w:bidi w:val="0"/>
              <w:ind w:left="0" w:leftChars="0"/>
              <w:rPr>
                <w:rFonts w:hint="default"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b/>
                <w:bCs/>
                <w:color w:val="auto"/>
                <w:highlight w:val="none"/>
                <w:lang w:val="en-US" w:eastAsia="zh-CN"/>
              </w:rPr>
              <w:t>2023年</w:t>
            </w:r>
          </w:p>
        </w:tc>
        <w:tc>
          <w:tcPr>
            <w:tcW w:w="927" w:type="dxa"/>
            <w:shd w:val="clear" w:color="auto" w:fill="auto"/>
            <w:vAlign w:val="center"/>
          </w:tcPr>
          <w:p w14:paraId="6194DAF3">
            <w:pPr>
              <w:pStyle w:val="24"/>
              <w:bidi w:val="0"/>
              <w:ind w:left="0" w:leftChars="0"/>
              <w:rPr>
                <w:rFonts w:hint="default"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b/>
                <w:bCs/>
                <w:color w:val="auto"/>
                <w:highlight w:val="none"/>
                <w:lang w:val="en-US" w:eastAsia="zh-CN"/>
              </w:rPr>
              <w:t>2024年</w:t>
            </w:r>
          </w:p>
        </w:tc>
        <w:tc>
          <w:tcPr>
            <w:tcW w:w="1127" w:type="dxa"/>
            <w:shd w:val="clear" w:color="auto" w:fill="auto"/>
            <w:vAlign w:val="center"/>
          </w:tcPr>
          <w:p w14:paraId="0E1DE6C9">
            <w:pPr>
              <w:pStyle w:val="24"/>
              <w:bidi w:val="0"/>
              <w:ind w:left="0" w:leftChars="0"/>
              <w:rPr>
                <w:rFonts w:hint="default"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b/>
                <w:bCs/>
                <w:color w:val="auto"/>
                <w:highlight w:val="none"/>
                <w:lang w:val="en-US" w:eastAsia="zh-CN"/>
              </w:rPr>
              <w:t>同比变化</w:t>
            </w:r>
          </w:p>
        </w:tc>
      </w:tr>
      <w:tr w14:paraId="3B2E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vAlign w:val="center"/>
          </w:tcPr>
          <w:p w14:paraId="090E03E4">
            <w:pPr>
              <w:pStyle w:val="24"/>
              <w:bidi w:val="0"/>
              <w:ind w:left="0" w:leftChars="0"/>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通江</w:t>
            </w:r>
          </w:p>
        </w:tc>
        <w:tc>
          <w:tcPr>
            <w:tcW w:w="1118" w:type="dxa"/>
            <w:vAlign w:val="center"/>
          </w:tcPr>
          <w:p w14:paraId="43549BEC">
            <w:pPr>
              <w:pStyle w:val="24"/>
              <w:bidi w:val="0"/>
              <w:ind w:left="0" w:leftChars="0"/>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纳溪口</w:t>
            </w:r>
          </w:p>
        </w:tc>
        <w:tc>
          <w:tcPr>
            <w:tcW w:w="1146" w:type="dxa"/>
            <w:vAlign w:val="center"/>
          </w:tcPr>
          <w:p w14:paraId="44EC3752">
            <w:pPr>
              <w:pStyle w:val="24"/>
              <w:bidi w:val="0"/>
              <w:ind w:left="0" w:leftChars="0"/>
              <w:rPr>
                <w:rFonts w:hint="default" w:ascii="Times New Roman" w:hAnsi="Times New Roman" w:eastAsia="宋体"/>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Ⅱ</w:t>
            </w:r>
          </w:p>
        </w:tc>
        <w:tc>
          <w:tcPr>
            <w:tcW w:w="900" w:type="dxa"/>
            <w:vAlign w:val="center"/>
          </w:tcPr>
          <w:p w14:paraId="577B9480">
            <w:pPr>
              <w:pStyle w:val="24"/>
              <w:bidi w:val="0"/>
              <w:ind w:left="0" w:leftChars="0"/>
              <w:rPr>
                <w:rFonts w:hint="default" w:ascii="Times New Roman" w:hAnsi="Times New Roman" w:eastAsia="宋体"/>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Ⅱ</w:t>
            </w:r>
          </w:p>
        </w:tc>
        <w:tc>
          <w:tcPr>
            <w:tcW w:w="940" w:type="dxa"/>
            <w:vAlign w:val="center"/>
          </w:tcPr>
          <w:p w14:paraId="513BAFFE">
            <w:pPr>
              <w:pStyle w:val="24"/>
              <w:bidi w:val="0"/>
              <w:ind w:left="0" w:leftChars="0"/>
              <w:rPr>
                <w:rFonts w:hint="default" w:ascii="Times New Roman" w:hAnsi="Times New Roman" w:eastAsia="宋体"/>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Ⅱ</w:t>
            </w:r>
          </w:p>
        </w:tc>
        <w:tc>
          <w:tcPr>
            <w:tcW w:w="1323" w:type="dxa"/>
            <w:vAlign w:val="center"/>
          </w:tcPr>
          <w:p w14:paraId="59311A99">
            <w:pPr>
              <w:pStyle w:val="24"/>
              <w:bidi w:val="0"/>
              <w:ind w:left="0" w:leftChars="0"/>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无明显变化</w:t>
            </w:r>
          </w:p>
        </w:tc>
        <w:tc>
          <w:tcPr>
            <w:tcW w:w="887" w:type="dxa"/>
            <w:vAlign w:val="center"/>
          </w:tcPr>
          <w:p w14:paraId="59C4FC0A">
            <w:pPr>
              <w:pStyle w:val="24"/>
              <w:bidi w:val="0"/>
              <w:ind w:left="0" w:leftChars="0"/>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100%</w:t>
            </w:r>
          </w:p>
        </w:tc>
        <w:tc>
          <w:tcPr>
            <w:tcW w:w="927" w:type="dxa"/>
            <w:vAlign w:val="center"/>
          </w:tcPr>
          <w:p w14:paraId="727EB6DB">
            <w:pPr>
              <w:pStyle w:val="24"/>
              <w:bidi w:val="0"/>
              <w:ind w:left="0" w:leftChars="0"/>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100%</w:t>
            </w:r>
          </w:p>
        </w:tc>
        <w:tc>
          <w:tcPr>
            <w:tcW w:w="1127" w:type="dxa"/>
            <w:vAlign w:val="center"/>
          </w:tcPr>
          <w:p w14:paraId="24CCE29D">
            <w:pPr>
              <w:pStyle w:val="24"/>
              <w:bidi w:val="0"/>
              <w:ind w:left="0" w:leftChars="0"/>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无明显变化</w:t>
            </w:r>
          </w:p>
        </w:tc>
      </w:tr>
    </w:tbl>
    <w:p w14:paraId="52DE8827">
      <w:pPr>
        <w:pStyle w:val="26"/>
        <w:bidi w:val="0"/>
        <w:rPr>
          <w:rFonts w:hint="default"/>
          <w:color w:val="auto"/>
          <w:highlight w:val="none"/>
        </w:rPr>
      </w:pPr>
      <w:r>
        <w:rPr>
          <w:rFonts w:hint="default"/>
          <w:color w:val="auto"/>
          <w:highlight w:val="none"/>
        </w:rPr>
        <w:t>因此，本项目所在地表水环境评价区域为达标区。</w:t>
      </w:r>
    </w:p>
    <w:p w14:paraId="250D4560">
      <w:pPr>
        <w:pStyle w:val="4"/>
        <w:bidi w:val="0"/>
        <w:rPr>
          <w:rFonts w:hint="default"/>
          <w:color w:val="auto"/>
          <w:highlight w:val="none"/>
        </w:rPr>
      </w:pPr>
      <w:r>
        <w:rPr>
          <w:rFonts w:hint="default"/>
          <w:color w:val="auto"/>
          <w:highlight w:val="none"/>
        </w:rPr>
        <w:t>地下水环境质量现状评价</w:t>
      </w:r>
    </w:p>
    <w:p w14:paraId="7E7D5D43">
      <w:pPr>
        <w:pStyle w:val="26"/>
        <w:bidi w:val="0"/>
        <w:rPr>
          <w:rFonts w:hint="default"/>
          <w:color w:val="auto"/>
          <w:highlight w:val="none"/>
        </w:rPr>
      </w:pPr>
      <w:r>
        <w:rPr>
          <w:rFonts w:hint="default"/>
          <w:color w:val="auto"/>
          <w:highlight w:val="none"/>
        </w:rPr>
        <w:t>为了解区域地下水环境质量现状，</w:t>
      </w:r>
      <w:r>
        <w:rPr>
          <w:rFonts w:hint="eastAsia"/>
          <w:color w:val="auto"/>
          <w:highlight w:val="none"/>
          <w:lang w:val="en-US" w:eastAsia="zh-CN"/>
        </w:rPr>
        <w:t>本项目</w:t>
      </w:r>
      <w:r>
        <w:rPr>
          <w:rFonts w:hint="default"/>
          <w:color w:val="auto"/>
          <w:highlight w:val="none"/>
        </w:rPr>
        <w:t>委托四川华皓检测技术有限公司对区域地下水</w:t>
      </w:r>
      <w:r>
        <w:rPr>
          <w:rFonts w:hint="eastAsia"/>
          <w:color w:val="auto"/>
          <w:highlight w:val="none"/>
          <w:lang w:val="en-US" w:eastAsia="zh-CN"/>
        </w:rPr>
        <w:t>水质</w:t>
      </w:r>
      <w:r>
        <w:rPr>
          <w:rFonts w:hint="default"/>
          <w:color w:val="auto"/>
          <w:highlight w:val="none"/>
        </w:rPr>
        <w:t>进行了现状监测</w:t>
      </w:r>
      <w:r>
        <w:rPr>
          <w:rFonts w:hint="eastAsia"/>
          <w:color w:val="auto"/>
          <w:highlight w:val="none"/>
          <w:lang w:eastAsia="zh-CN"/>
        </w:rPr>
        <w:t>，</w:t>
      </w:r>
      <w:r>
        <w:rPr>
          <w:rFonts w:hint="eastAsia"/>
          <w:color w:val="auto"/>
          <w:highlight w:val="none"/>
          <w:lang w:val="en-US" w:eastAsia="zh-CN"/>
        </w:rPr>
        <w:t>并分别在枯、丰水期开展了区域地下水水位调查</w:t>
      </w:r>
      <w:r>
        <w:rPr>
          <w:rFonts w:hint="default"/>
          <w:color w:val="auto"/>
          <w:highlight w:val="none"/>
        </w:rPr>
        <w:t>。</w:t>
      </w:r>
    </w:p>
    <w:p w14:paraId="232212A0">
      <w:pPr>
        <w:pStyle w:val="5"/>
        <w:bidi w:val="0"/>
        <w:rPr>
          <w:rFonts w:hint="default"/>
          <w:color w:val="auto"/>
          <w:highlight w:val="none"/>
          <w:lang w:val="en-US" w:eastAsia="zh-CN"/>
        </w:rPr>
      </w:pPr>
      <w:r>
        <w:rPr>
          <w:rFonts w:hint="eastAsia"/>
          <w:color w:val="auto"/>
          <w:highlight w:val="none"/>
          <w:lang w:val="en-US" w:eastAsia="zh-CN"/>
        </w:rPr>
        <w:t>枯、丰水期地下水水位调查结果</w:t>
      </w:r>
    </w:p>
    <w:p w14:paraId="20030001">
      <w:pPr>
        <w:pStyle w:val="26"/>
        <w:bidi w:val="0"/>
        <w:rPr>
          <w:rFonts w:hint="eastAsia"/>
          <w:color w:val="auto"/>
          <w:highlight w:val="none"/>
          <w:lang w:val="en-US" w:eastAsia="zh-CN"/>
        </w:rPr>
      </w:pPr>
      <w:r>
        <w:rPr>
          <w:rFonts w:hint="eastAsia"/>
          <w:color w:val="auto"/>
          <w:highlight w:val="none"/>
          <w:lang w:val="en-US" w:eastAsia="zh-CN"/>
        </w:rPr>
        <w:t>本次在项目所在地按区域地下水水流方向上游、两侧和下游设置地下水水位监测点位共计14个，调查时间分别为2026年2日和2026年5月。区域2026年枯、丰水期地下水水位统计如下：</w:t>
      </w:r>
    </w:p>
    <w:p w14:paraId="761577B1">
      <w:pPr>
        <w:pStyle w:val="26"/>
        <w:bidi w:val="0"/>
        <w:rPr>
          <w:rFonts w:hint="default"/>
          <w:color w:val="auto"/>
          <w:highlight w:val="none"/>
          <w:lang w:val="en-US" w:eastAsia="zh-CN"/>
        </w:rPr>
      </w:pPr>
      <w:r>
        <w:rPr>
          <w:rFonts w:hint="eastAsia" w:cs="Times New Roman"/>
          <w:color w:val="auto"/>
          <w:lang w:val="en-US" w:eastAsia="zh-CN" w:bidi="ar"/>
        </w:rPr>
        <w:t>略。</w:t>
      </w:r>
    </w:p>
    <w:p w14:paraId="0F6514F7">
      <w:pPr>
        <w:pStyle w:val="5"/>
        <w:bidi w:val="0"/>
        <w:rPr>
          <w:rFonts w:hint="default"/>
          <w:color w:val="auto"/>
          <w:highlight w:val="none"/>
          <w:lang w:val="en-US" w:eastAsia="zh-CN"/>
        </w:rPr>
      </w:pPr>
      <w:r>
        <w:rPr>
          <w:rFonts w:hint="default"/>
          <w:color w:val="auto"/>
          <w:highlight w:val="none"/>
          <w:lang w:val="en-US" w:eastAsia="zh-CN"/>
        </w:rPr>
        <w:t>地下水环境质量现状评价</w:t>
      </w:r>
    </w:p>
    <w:p w14:paraId="3FE2CC7A">
      <w:pPr>
        <w:pStyle w:val="6"/>
        <w:ind w:firstLine="482"/>
        <w:rPr>
          <w:rFonts w:hint="default" w:ascii="Times New Roman" w:hAnsi="Times New Roman" w:eastAsia="宋体" w:cs="Times New Roman"/>
          <w:b/>
          <w:bCs/>
          <w:color w:val="auto"/>
          <w:highlight w:val="none"/>
          <w:lang w:val="en-US" w:eastAsia="zh-CN"/>
        </w:rPr>
      </w:pPr>
      <w:bookmarkStart w:id="103" w:name="_Toc19601"/>
      <w:bookmarkStart w:id="104" w:name="_Toc29512"/>
      <w:r>
        <w:rPr>
          <w:rFonts w:hint="default" w:ascii="Times New Roman" w:hAnsi="Times New Roman" w:eastAsia="宋体" w:cs="Times New Roman"/>
          <w:b/>
          <w:bCs/>
          <w:color w:val="auto"/>
          <w:highlight w:val="none"/>
          <w:lang w:val="en-US" w:eastAsia="zh-CN"/>
        </w:rPr>
        <w:t>1、地下水环境质量现状监测</w:t>
      </w:r>
      <w:bookmarkEnd w:id="103"/>
      <w:bookmarkEnd w:id="104"/>
    </w:p>
    <w:p w14:paraId="63AB6E68">
      <w:pPr>
        <w:pStyle w:val="30"/>
        <w:bidi w:val="0"/>
        <w:rPr>
          <w:rFonts w:hint="default"/>
          <w:color w:val="auto"/>
          <w:highlight w:val="none"/>
        </w:rPr>
      </w:pPr>
      <w:bookmarkStart w:id="105" w:name="_Toc13254"/>
      <w:r>
        <w:rPr>
          <w:rFonts w:hint="default"/>
          <w:color w:val="auto"/>
          <w:highlight w:val="none"/>
        </w:rPr>
        <w:t>（1）监测点位</w:t>
      </w:r>
      <w:bookmarkEnd w:id="105"/>
    </w:p>
    <w:p w14:paraId="394354AF">
      <w:pPr>
        <w:pStyle w:val="26"/>
        <w:bidi w:val="0"/>
        <w:rPr>
          <w:rFonts w:hint="default"/>
          <w:color w:val="auto"/>
          <w:highlight w:val="none"/>
        </w:rPr>
      </w:pPr>
      <w:r>
        <w:rPr>
          <w:rFonts w:hint="default"/>
          <w:color w:val="auto"/>
          <w:highlight w:val="none"/>
        </w:rPr>
        <w:t>本次</w:t>
      </w:r>
      <w:r>
        <w:rPr>
          <w:rFonts w:hint="eastAsia"/>
          <w:color w:val="auto"/>
          <w:highlight w:val="none"/>
          <w:lang w:val="en-US" w:eastAsia="zh-CN"/>
        </w:rPr>
        <w:t>环评</w:t>
      </w:r>
      <w:r>
        <w:rPr>
          <w:rFonts w:hint="default"/>
          <w:color w:val="auto"/>
          <w:highlight w:val="none"/>
        </w:rPr>
        <w:t>共设</w:t>
      </w:r>
      <w:r>
        <w:rPr>
          <w:rFonts w:hint="eastAsia"/>
          <w:color w:val="auto"/>
          <w:highlight w:val="none"/>
          <w:lang w:val="en-US" w:eastAsia="zh-CN"/>
        </w:rPr>
        <w:t>7</w:t>
      </w:r>
      <w:r>
        <w:rPr>
          <w:rFonts w:hint="default"/>
          <w:color w:val="auto"/>
          <w:highlight w:val="none"/>
        </w:rPr>
        <w:t>个地下水水质监测点位，监测点位置见下表。</w:t>
      </w:r>
    </w:p>
    <w:p w14:paraId="45560A37">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地下水环境质量现状监测点位置</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2"/>
        <w:gridCol w:w="7141"/>
      </w:tblGrid>
      <w:tr w14:paraId="47E9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vAlign w:val="center"/>
          </w:tcPr>
          <w:p w14:paraId="72380EDD">
            <w:pPr>
              <w:pStyle w:val="24"/>
              <w:bidi w:val="0"/>
              <w:rPr>
                <w:rFonts w:hint="default" w:ascii="Times New Roman" w:hAnsi="Times New Roman" w:eastAsia="宋体" w:cs="Courier New"/>
                <w:b/>
                <w:bCs/>
                <w:color w:val="auto"/>
                <w:highlight w:val="none"/>
                <w:lang w:val="en-US" w:eastAsia="zh-CN"/>
              </w:rPr>
            </w:pPr>
            <w:bookmarkStart w:id="106" w:name="_Toc5869"/>
            <w:r>
              <w:rPr>
                <w:rFonts w:hint="eastAsia" w:ascii="Times New Roman" w:hAnsi="Times New Roman" w:eastAsia="宋体" w:cs="Courier New"/>
                <w:b/>
                <w:bCs/>
                <w:color w:val="auto"/>
                <w:highlight w:val="none"/>
                <w:lang w:val="en-US" w:eastAsia="zh-CN"/>
              </w:rPr>
              <w:t>编号</w:t>
            </w:r>
          </w:p>
        </w:tc>
        <w:tc>
          <w:tcPr>
            <w:tcW w:w="2501" w:type="pct"/>
            <w:vAlign w:val="center"/>
          </w:tcPr>
          <w:p w14:paraId="3479CA23">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监测点位</w:t>
            </w:r>
          </w:p>
        </w:tc>
      </w:tr>
      <w:tr w14:paraId="329D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shd w:val="clear" w:color="auto" w:fill="auto"/>
            <w:vAlign w:val="center"/>
          </w:tcPr>
          <w:p w14:paraId="31462A2D">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cs="Times New Roman"/>
                <w:color w:val="auto"/>
                <w:kern w:val="0"/>
                <w:sz w:val="21"/>
                <w:szCs w:val="21"/>
                <w:highlight w:val="none"/>
                <w:lang w:val="en-US" w:eastAsia="zh-CN" w:bidi="ar-SA"/>
              </w:rPr>
              <w:t>WX1</w:t>
            </w:r>
          </w:p>
        </w:tc>
        <w:tc>
          <w:tcPr>
            <w:tcW w:w="4764" w:type="dxa"/>
            <w:vAlign w:val="center"/>
          </w:tcPr>
          <w:p w14:paraId="655A07A7">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项目东北侧分散式饮用水取水点</w:t>
            </w:r>
          </w:p>
        </w:tc>
      </w:tr>
      <w:tr w14:paraId="5AA7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8" w:type="pct"/>
            <w:shd w:val="clear" w:color="auto" w:fill="auto"/>
            <w:vAlign w:val="center"/>
          </w:tcPr>
          <w:p w14:paraId="5BC2E90B">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cs="Times New Roman"/>
                <w:color w:val="auto"/>
                <w:kern w:val="0"/>
                <w:sz w:val="21"/>
                <w:szCs w:val="21"/>
                <w:highlight w:val="none"/>
                <w:lang w:val="en-US" w:eastAsia="zh-CN" w:bidi="ar-SA"/>
              </w:rPr>
              <w:t>WX2</w:t>
            </w:r>
          </w:p>
        </w:tc>
        <w:tc>
          <w:tcPr>
            <w:tcW w:w="4764" w:type="dxa"/>
            <w:vAlign w:val="center"/>
          </w:tcPr>
          <w:p w14:paraId="71E8D052">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项目西南侧分散式饮用水取水点</w:t>
            </w:r>
          </w:p>
        </w:tc>
      </w:tr>
      <w:tr w14:paraId="6BBE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2498" w:type="pct"/>
            <w:shd w:val="clear" w:color="auto" w:fill="auto"/>
            <w:vAlign w:val="center"/>
          </w:tcPr>
          <w:p w14:paraId="6B5027B0">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cs="Times New Roman"/>
                <w:color w:val="auto"/>
                <w:kern w:val="0"/>
                <w:sz w:val="21"/>
                <w:szCs w:val="21"/>
                <w:highlight w:val="none"/>
                <w:lang w:val="en-US" w:eastAsia="zh-CN" w:bidi="ar-SA"/>
              </w:rPr>
              <w:t>WX3</w:t>
            </w:r>
          </w:p>
        </w:tc>
        <w:tc>
          <w:tcPr>
            <w:tcW w:w="4764" w:type="dxa"/>
            <w:shd w:val="clear" w:color="auto" w:fill="auto"/>
            <w:vAlign w:val="center"/>
          </w:tcPr>
          <w:p w14:paraId="33FBEEED">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项目西南侧分散式饮用水取水点</w:t>
            </w:r>
          </w:p>
        </w:tc>
      </w:tr>
      <w:tr w14:paraId="1CAB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shd w:val="clear" w:color="auto" w:fill="auto"/>
            <w:vAlign w:val="center"/>
          </w:tcPr>
          <w:p w14:paraId="568ADDC5">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cs="Times New Roman"/>
                <w:color w:val="auto"/>
                <w:kern w:val="0"/>
                <w:sz w:val="21"/>
                <w:szCs w:val="21"/>
                <w:highlight w:val="none"/>
                <w:lang w:val="en-US" w:eastAsia="zh-CN" w:bidi="ar-SA"/>
              </w:rPr>
              <w:t>WX4</w:t>
            </w:r>
          </w:p>
        </w:tc>
        <w:tc>
          <w:tcPr>
            <w:tcW w:w="4764" w:type="dxa"/>
            <w:shd w:val="clear" w:color="auto" w:fill="auto"/>
            <w:vAlign w:val="center"/>
          </w:tcPr>
          <w:p w14:paraId="08E81905">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项目西南侧分散式饮用水取水点</w:t>
            </w:r>
          </w:p>
        </w:tc>
      </w:tr>
      <w:tr w14:paraId="7D71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shd w:val="clear" w:color="auto" w:fill="auto"/>
            <w:vAlign w:val="center"/>
          </w:tcPr>
          <w:p w14:paraId="4B17773E">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cs="Times New Roman"/>
                <w:color w:val="auto"/>
                <w:kern w:val="0"/>
                <w:sz w:val="21"/>
                <w:szCs w:val="21"/>
                <w:highlight w:val="none"/>
                <w:lang w:val="en-US" w:eastAsia="zh-CN" w:bidi="ar-SA"/>
              </w:rPr>
              <w:t>WX5</w:t>
            </w:r>
          </w:p>
        </w:tc>
        <w:tc>
          <w:tcPr>
            <w:tcW w:w="4764" w:type="dxa"/>
            <w:shd w:val="clear" w:color="auto" w:fill="auto"/>
            <w:vAlign w:val="center"/>
          </w:tcPr>
          <w:p w14:paraId="1967A996">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项目西南侧分散式饮用水取水点</w:t>
            </w:r>
          </w:p>
        </w:tc>
      </w:tr>
      <w:tr w14:paraId="5E44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shd w:val="clear" w:color="auto" w:fill="auto"/>
            <w:vAlign w:val="center"/>
          </w:tcPr>
          <w:p w14:paraId="00591846">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default" w:ascii="Times New Roman" w:hAnsi="Times New Roman" w:eastAsia="宋体" w:cs="Courier New"/>
                <w:b w:val="0"/>
                <w:bCs w:val="0"/>
                <w:color w:val="auto"/>
                <w:sz w:val="24"/>
                <w:szCs w:val="24"/>
                <w:highlight w:val="none"/>
                <w:lang w:val="en-US" w:eastAsia="zh-CN" w:bidi="ar-SA"/>
              </w:rPr>
            </w:pPr>
            <w:r>
              <w:rPr>
                <w:rFonts w:hint="eastAsia" w:ascii="Times New Roman" w:cs="Times New Roman"/>
                <w:color w:val="auto"/>
                <w:kern w:val="0"/>
                <w:sz w:val="21"/>
                <w:szCs w:val="21"/>
                <w:highlight w:val="none"/>
                <w:lang w:val="en-US" w:eastAsia="zh-CN" w:bidi="ar-SA"/>
              </w:rPr>
              <w:t>WX6</w:t>
            </w:r>
          </w:p>
        </w:tc>
        <w:tc>
          <w:tcPr>
            <w:tcW w:w="4764" w:type="dxa"/>
            <w:shd w:val="clear" w:color="auto" w:fill="auto"/>
            <w:vAlign w:val="center"/>
          </w:tcPr>
          <w:p w14:paraId="3FBACB3D">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项目西北侧分散式饮用水取水点</w:t>
            </w:r>
          </w:p>
        </w:tc>
      </w:tr>
      <w:tr w14:paraId="597D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shd w:val="clear" w:color="auto" w:fill="auto"/>
            <w:vAlign w:val="center"/>
          </w:tcPr>
          <w:p w14:paraId="7B65E23B">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default" w:ascii="Times New Roman" w:hAnsi="Times New Roman" w:eastAsia="宋体" w:cs="Courier New"/>
                <w:b w:val="0"/>
                <w:bCs w:val="0"/>
                <w:color w:val="auto"/>
                <w:sz w:val="24"/>
                <w:szCs w:val="24"/>
                <w:highlight w:val="none"/>
                <w:lang w:val="en-US" w:eastAsia="zh-CN" w:bidi="ar-SA"/>
              </w:rPr>
            </w:pPr>
            <w:r>
              <w:rPr>
                <w:rFonts w:hint="eastAsia" w:ascii="Times New Roman" w:cs="Times New Roman"/>
                <w:color w:val="auto"/>
                <w:kern w:val="0"/>
                <w:sz w:val="21"/>
                <w:szCs w:val="21"/>
                <w:highlight w:val="none"/>
                <w:lang w:val="en-US" w:eastAsia="zh-CN" w:bidi="ar-SA"/>
              </w:rPr>
              <w:t>WX7</w:t>
            </w:r>
          </w:p>
        </w:tc>
        <w:tc>
          <w:tcPr>
            <w:tcW w:w="4764" w:type="dxa"/>
            <w:shd w:val="clear" w:color="auto" w:fill="auto"/>
            <w:vAlign w:val="center"/>
          </w:tcPr>
          <w:p w14:paraId="1AF6C36E">
            <w:pPr>
              <w:pStyle w:val="35"/>
              <w:keepNext w:val="0"/>
              <w:keepLines w:val="0"/>
              <w:pageBreakBefore w:val="0"/>
              <w:widowControl w:val="0"/>
              <w:kinsoku/>
              <w:wordWrap/>
              <w:overflowPunct/>
              <w:topLinePunct w:val="0"/>
              <w:autoSpaceDE w:val="0"/>
              <w:autoSpaceDN w:val="0"/>
              <w:bidi w:val="0"/>
              <w:adjustRightInd w:val="0"/>
              <w:snapToGrid/>
              <w:spacing w:line="240" w:lineRule="auto"/>
              <w:ind w:left="48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项目东南侧分散式饮用水取水点</w:t>
            </w:r>
          </w:p>
        </w:tc>
      </w:tr>
    </w:tbl>
    <w:p w14:paraId="0ADD6A68">
      <w:pPr>
        <w:pStyle w:val="30"/>
        <w:bidi w:val="0"/>
        <w:rPr>
          <w:rFonts w:hint="default"/>
          <w:color w:val="auto"/>
          <w:highlight w:val="none"/>
        </w:rPr>
      </w:pPr>
      <w:r>
        <w:rPr>
          <w:rFonts w:hint="default"/>
          <w:color w:val="auto"/>
          <w:highlight w:val="none"/>
        </w:rPr>
        <w:t>（2）监测因子</w:t>
      </w:r>
      <w:bookmarkEnd w:id="106"/>
    </w:p>
    <w:p w14:paraId="6A440F16">
      <w:pPr>
        <w:pStyle w:val="26"/>
        <w:ind w:firstLine="480"/>
        <w:rPr>
          <w:rFonts w:hint="default" w:ascii="Times New Roman" w:hAnsi="Times New Roman" w:eastAsia="宋体" w:cs="Times New Roman"/>
          <w:color w:val="auto"/>
          <w:kern w:val="0"/>
          <w:sz w:val="24"/>
          <w:szCs w:val="24"/>
          <w:lang w:val="en-US" w:eastAsia="zh-CN"/>
        </w:rPr>
      </w:pPr>
      <w:r>
        <w:rPr>
          <w:color w:val="auto"/>
          <w:kern w:val="0"/>
          <w:sz w:val="24"/>
          <w:szCs w:val="24"/>
        </w:rPr>
        <w:t>K</w:t>
      </w:r>
      <w:r>
        <w:rPr>
          <w:color w:val="auto"/>
          <w:kern w:val="0"/>
          <w:sz w:val="24"/>
          <w:szCs w:val="24"/>
          <w:vertAlign w:val="superscript"/>
        </w:rPr>
        <w:t>+</w:t>
      </w:r>
      <w:r>
        <w:rPr>
          <w:color w:val="auto"/>
          <w:kern w:val="0"/>
          <w:sz w:val="24"/>
          <w:szCs w:val="24"/>
        </w:rPr>
        <w:t>、Na</w:t>
      </w:r>
      <w:r>
        <w:rPr>
          <w:color w:val="auto"/>
          <w:kern w:val="0"/>
          <w:sz w:val="24"/>
          <w:szCs w:val="24"/>
          <w:vertAlign w:val="superscript"/>
        </w:rPr>
        <w:t>+</w:t>
      </w:r>
      <w:r>
        <w:rPr>
          <w:color w:val="auto"/>
          <w:kern w:val="0"/>
          <w:sz w:val="24"/>
          <w:szCs w:val="24"/>
        </w:rPr>
        <w:t>、Ca</w:t>
      </w:r>
      <w:r>
        <w:rPr>
          <w:color w:val="auto"/>
          <w:kern w:val="0"/>
          <w:sz w:val="24"/>
          <w:szCs w:val="24"/>
          <w:vertAlign w:val="superscript"/>
        </w:rPr>
        <w:t>2+</w:t>
      </w:r>
      <w:r>
        <w:rPr>
          <w:color w:val="auto"/>
          <w:kern w:val="0"/>
          <w:sz w:val="24"/>
          <w:szCs w:val="24"/>
        </w:rPr>
        <w:t>、Mg</w:t>
      </w:r>
      <w:r>
        <w:rPr>
          <w:color w:val="auto"/>
          <w:kern w:val="0"/>
          <w:sz w:val="24"/>
          <w:szCs w:val="24"/>
          <w:vertAlign w:val="superscript"/>
        </w:rPr>
        <w:t>2+</w:t>
      </w:r>
      <w:r>
        <w:rPr>
          <w:color w:val="auto"/>
          <w:kern w:val="0"/>
          <w:sz w:val="24"/>
          <w:szCs w:val="24"/>
        </w:rPr>
        <w:t>、CO</w:t>
      </w:r>
      <w:r>
        <w:rPr>
          <w:color w:val="auto"/>
          <w:kern w:val="0"/>
          <w:sz w:val="24"/>
          <w:szCs w:val="24"/>
          <w:vertAlign w:val="subscript"/>
        </w:rPr>
        <w:t>3</w:t>
      </w:r>
      <w:r>
        <w:rPr>
          <w:color w:val="auto"/>
          <w:kern w:val="0"/>
          <w:sz w:val="24"/>
          <w:szCs w:val="24"/>
          <w:vertAlign w:val="superscript"/>
        </w:rPr>
        <w:t>2-</w:t>
      </w:r>
      <w:r>
        <w:rPr>
          <w:color w:val="auto"/>
          <w:kern w:val="0"/>
          <w:sz w:val="24"/>
          <w:szCs w:val="24"/>
        </w:rPr>
        <w:t>、HCO</w:t>
      </w:r>
      <w:r>
        <w:rPr>
          <w:color w:val="auto"/>
          <w:kern w:val="0"/>
          <w:sz w:val="24"/>
          <w:szCs w:val="24"/>
          <w:vertAlign w:val="subscript"/>
        </w:rPr>
        <w:t>3</w:t>
      </w:r>
      <w:r>
        <w:rPr>
          <w:color w:val="auto"/>
          <w:kern w:val="0"/>
          <w:sz w:val="24"/>
          <w:szCs w:val="24"/>
          <w:vertAlign w:val="superscript"/>
        </w:rPr>
        <w:t>-</w:t>
      </w:r>
      <w:r>
        <w:rPr>
          <w:color w:val="auto"/>
          <w:kern w:val="0"/>
          <w:sz w:val="24"/>
          <w:szCs w:val="24"/>
        </w:rPr>
        <w:t>、Cl</w:t>
      </w:r>
      <w:r>
        <w:rPr>
          <w:color w:val="auto"/>
          <w:kern w:val="0"/>
          <w:sz w:val="24"/>
          <w:szCs w:val="24"/>
          <w:vertAlign w:val="superscript"/>
        </w:rPr>
        <w:t>-</w:t>
      </w:r>
      <w:r>
        <w:rPr>
          <w:color w:val="auto"/>
          <w:kern w:val="0"/>
          <w:sz w:val="24"/>
          <w:szCs w:val="24"/>
        </w:rPr>
        <w:t>、SO4</w:t>
      </w:r>
      <w:r>
        <w:rPr>
          <w:color w:val="auto"/>
          <w:kern w:val="0"/>
          <w:sz w:val="24"/>
          <w:szCs w:val="24"/>
          <w:vertAlign w:val="superscript"/>
        </w:rPr>
        <w:t>2-</w:t>
      </w:r>
      <w:r>
        <w:rPr>
          <w:color w:val="auto"/>
          <w:kern w:val="0"/>
          <w:sz w:val="24"/>
          <w:szCs w:val="24"/>
        </w:rPr>
        <w:t>、</w:t>
      </w:r>
      <w:r>
        <w:rPr>
          <w:rFonts w:ascii="Times New Roman" w:hAnsi="Times New Roman"/>
          <w:color w:val="auto"/>
          <w:sz w:val="24"/>
          <w:szCs w:val="24"/>
        </w:rPr>
        <w:t>pH</w:t>
      </w:r>
      <w:r>
        <w:rPr>
          <w:rFonts w:ascii="Times New Roman" w:hAnsi="Times New Roman" w:cs="Times New Roman"/>
          <w:color w:val="auto"/>
          <w:sz w:val="24"/>
          <w:szCs w:val="24"/>
        </w:rPr>
        <w:t>、</w:t>
      </w:r>
      <w:r>
        <w:rPr>
          <w:rFonts w:hint="eastAsia" w:ascii="Times New Roman" w:hAnsi="Times New Roman" w:cs="Times New Roman"/>
          <w:color w:val="auto"/>
          <w:sz w:val="24"/>
          <w:szCs w:val="24"/>
        </w:rPr>
        <w:t>氨氮</w:t>
      </w:r>
      <w:r>
        <w:rPr>
          <w:rFonts w:ascii="Times New Roman" w:hAnsi="Times New Roman" w:cs="Times New Roman"/>
          <w:color w:val="auto"/>
          <w:sz w:val="24"/>
          <w:szCs w:val="24"/>
        </w:rPr>
        <w:t>、硝酸盐、亚硝酸盐、挥发性酚类、氰化物、砷、汞、六价铬</w:t>
      </w:r>
      <w:r>
        <w:rPr>
          <w:rFonts w:hint="eastAsia" w:ascii="Times New Roman" w:hAnsi="Times New Roman" w:cs="Times New Roman"/>
          <w:color w:val="auto"/>
          <w:sz w:val="24"/>
          <w:szCs w:val="24"/>
        </w:rPr>
        <w:t>、总硬度</w:t>
      </w:r>
      <w:r>
        <w:rPr>
          <w:rFonts w:ascii="Times New Roman" w:hAnsi="Times New Roman" w:cs="Times New Roman"/>
          <w:color w:val="auto"/>
          <w:sz w:val="24"/>
          <w:szCs w:val="24"/>
        </w:rPr>
        <w:t>、</w:t>
      </w:r>
      <w:r>
        <w:rPr>
          <w:rFonts w:hint="eastAsia" w:ascii="Times New Roman" w:hAnsi="Times New Roman" w:cs="Times New Roman"/>
          <w:color w:val="auto"/>
          <w:sz w:val="24"/>
          <w:szCs w:val="24"/>
        </w:rPr>
        <w:t>铅</w:t>
      </w:r>
      <w:r>
        <w:rPr>
          <w:rFonts w:ascii="Times New Roman" w:hAnsi="Times New Roman" w:cs="Times New Roman"/>
          <w:color w:val="auto"/>
          <w:sz w:val="24"/>
          <w:szCs w:val="24"/>
        </w:rPr>
        <w:t>、</w:t>
      </w:r>
      <w:r>
        <w:rPr>
          <w:rFonts w:hint="eastAsia" w:ascii="Times New Roman" w:hAnsi="Times New Roman" w:cs="Times New Roman"/>
          <w:color w:val="auto"/>
          <w:sz w:val="24"/>
          <w:szCs w:val="24"/>
        </w:rPr>
        <w:t>氟化物</w:t>
      </w:r>
      <w:r>
        <w:rPr>
          <w:rFonts w:ascii="Times New Roman" w:hAnsi="Times New Roman" w:cs="Times New Roman"/>
          <w:color w:val="auto"/>
          <w:sz w:val="24"/>
          <w:szCs w:val="24"/>
        </w:rPr>
        <w:t>、</w:t>
      </w:r>
      <w:r>
        <w:rPr>
          <w:rFonts w:hint="eastAsia" w:ascii="Times New Roman" w:hAnsi="Times New Roman" w:cs="Times New Roman"/>
          <w:color w:val="auto"/>
          <w:sz w:val="24"/>
          <w:szCs w:val="24"/>
        </w:rPr>
        <w:t>镉</w:t>
      </w:r>
      <w:r>
        <w:rPr>
          <w:rFonts w:ascii="Times New Roman" w:hAnsi="Times New Roman" w:cs="Times New Roman"/>
          <w:color w:val="auto"/>
          <w:sz w:val="24"/>
          <w:szCs w:val="24"/>
        </w:rPr>
        <w:t>、铁、锰、溶解性总固体、</w:t>
      </w:r>
      <w:r>
        <w:rPr>
          <w:rFonts w:hint="eastAsia" w:ascii="Times New Roman" w:hAnsi="Times New Roman" w:cs="Times New Roman"/>
          <w:color w:val="auto"/>
          <w:sz w:val="24"/>
          <w:szCs w:val="24"/>
          <w:lang w:val="en-US" w:eastAsia="zh-CN"/>
        </w:rPr>
        <w:t>高锰酸盐指数、硫酸盐、氯化物、</w:t>
      </w:r>
      <w:r>
        <w:rPr>
          <w:rFonts w:hint="eastAsia" w:ascii="Times New Roman" w:hAnsi="Times New Roman" w:cs="Times New Roman"/>
          <w:color w:val="auto"/>
          <w:sz w:val="24"/>
          <w:szCs w:val="24"/>
        </w:rPr>
        <w:t>总</w:t>
      </w:r>
      <w:r>
        <w:rPr>
          <w:rFonts w:ascii="Times New Roman" w:hAnsi="Times New Roman" w:cs="Times New Roman"/>
          <w:color w:val="auto"/>
          <w:sz w:val="24"/>
          <w:szCs w:val="24"/>
        </w:rPr>
        <w:t>大肠菌群</w:t>
      </w:r>
      <w:r>
        <w:rPr>
          <w:rFonts w:hint="eastAsia" w:ascii="Times New Roman" w:hAnsi="Times New Roman" w:cs="Times New Roman"/>
          <w:color w:val="auto"/>
          <w:sz w:val="24"/>
          <w:szCs w:val="24"/>
        </w:rPr>
        <w:t>、</w:t>
      </w:r>
      <w:r>
        <w:rPr>
          <w:rFonts w:ascii="Times New Roman" w:hAnsi="Times New Roman" w:cs="Times New Roman"/>
          <w:color w:val="auto"/>
          <w:sz w:val="24"/>
          <w:szCs w:val="24"/>
        </w:rPr>
        <w:t>细菌总数</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铝、钠</w:t>
      </w:r>
      <w:r>
        <w:rPr>
          <w:rFonts w:hint="eastAsia" w:ascii="Times New Roman" w:hAnsi="Times New Roman" w:eastAsia="宋体" w:cs="Times New Roman"/>
          <w:color w:val="auto"/>
          <w:kern w:val="0"/>
          <w:sz w:val="24"/>
          <w:szCs w:val="24"/>
          <w:lang w:val="en-US" w:eastAsia="zh-CN"/>
        </w:rPr>
        <w:t>。</w:t>
      </w:r>
    </w:p>
    <w:p w14:paraId="79AAD901">
      <w:pPr>
        <w:pStyle w:val="30"/>
        <w:bidi w:val="0"/>
        <w:rPr>
          <w:rFonts w:hint="default"/>
          <w:color w:val="auto"/>
          <w:highlight w:val="none"/>
        </w:rPr>
      </w:pPr>
      <w:bookmarkStart w:id="107" w:name="_Toc3794"/>
      <w:r>
        <w:rPr>
          <w:rFonts w:hint="default"/>
          <w:color w:val="auto"/>
          <w:highlight w:val="none"/>
        </w:rPr>
        <w:t>（3）监测时段</w:t>
      </w:r>
      <w:bookmarkEnd w:id="107"/>
    </w:p>
    <w:p w14:paraId="422CC89C">
      <w:pPr>
        <w:pStyle w:val="26"/>
        <w:bidi w:val="0"/>
        <w:rPr>
          <w:rFonts w:ascii="Times New Roman" w:hAnsi="Times New Roman" w:cs="Times New Roman"/>
          <w:color w:val="auto"/>
          <w:sz w:val="24"/>
          <w:szCs w:val="24"/>
        </w:rPr>
      </w:pPr>
      <w:r>
        <w:rPr>
          <w:rFonts w:hint="eastAsia" w:ascii="Times New Roman" w:hAnsi="Times New Roman" w:eastAsia="宋体"/>
          <w:color w:val="auto"/>
          <w:highlight w:val="none"/>
          <w:lang w:val="en-US" w:eastAsia="zh-CN"/>
        </w:rPr>
        <w:t>2026年2月26日~2026年3月4日，</w:t>
      </w:r>
      <w:r>
        <w:rPr>
          <w:rFonts w:cstheme="minorHAnsi"/>
          <w:color w:val="auto"/>
          <w:sz w:val="24"/>
          <w:szCs w:val="24"/>
        </w:rPr>
        <w:t>监测1天</w:t>
      </w:r>
      <w:r>
        <w:rPr>
          <w:rFonts w:hint="eastAsia" w:cstheme="minorHAnsi"/>
          <w:color w:val="auto"/>
          <w:sz w:val="24"/>
          <w:szCs w:val="24"/>
        </w:rPr>
        <w:t>，</w:t>
      </w:r>
      <w:r>
        <w:rPr>
          <w:rFonts w:cstheme="minorHAnsi"/>
          <w:color w:val="auto"/>
          <w:sz w:val="24"/>
          <w:szCs w:val="24"/>
        </w:rPr>
        <w:t>每天监测</w:t>
      </w:r>
      <w:r>
        <w:rPr>
          <w:rFonts w:hint="eastAsia" w:cstheme="minorHAnsi"/>
          <w:color w:val="auto"/>
          <w:sz w:val="24"/>
          <w:szCs w:val="24"/>
        </w:rPr>
        <w:t>1次</w:t>
      </w:r>
      <w:r>
        <w:rPr>
          <w:rFonts w:ascii="Times New Roman" w:hAnsi="Times New Roman" w:cs="Times New Roman"/>
          <w:color w:val="auto"/>
          <w:sz w:val="24"/>
          <w:szCs w:val="24"/>
        </w:rPr>
        <w:t>。</w:t>
      </w:r>
    </w:p>
    <w:p w14:paraId="289DAC94">
      <w:pPr>
        <w:pStyle w:val="30"/>
        <w:bidi w:val="0"/>
        <w:rPr>
          <w:rFonts w:hint="default"/>
          <w:color w:val="auto"/>
          <w:highlight w:val="none"/>
        </w:rPr>
      </w:pPr>
      <w:bookmarkStart w:id="108" w:name="_Toc16388"/>
      <w:r>
        <w:rPr>
          <w:rFonts w:hint="default"/>
          <w:color w:val="auto"/>
          <w:highlight w:val="none"/>
        </w:rPr>
        <w:t>（4）监测结果</w:t>
      </w:r>
      <w:bookmarkEnd w:id="108"/>
    </w:p>
    <w:p w14:paraId="316A8157">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区域地下水环境质量现状监测结果见下表。</w:t>
      </w:r>
    </w:p>
    <w:p w14:paraId="2E130C2B">
      <w:pPr>
        <w:pStyle w:val="26"/>
        <w:ind w:firstLine="480"/>
        <w:rPr>
          <w:rFonts w:hint="default" w:ascii="Times New Roman" w:hAnsi="Times New Roman" w:cs="Times New Roman"/>
          <w:color w:val="auto"/>
          <w:highlight w:val="none"/>
        </w:rPr>
      </w:pPr>
      <w:r>
        <w:rPr>
          <w:rFonts w:hint="eastAsia" w:cs="Times New Roman"/>
          <w:color w:val="auto"/>
          <w:lang w:val="en-US" w:eastAsia="zh-CN" w:bidi="ar"/>
        </w:rPr>
        <w:t>略。</w:t>
      </w:r>
    </w:p>
    <w:p w14:paraId="386682E5">
      <w:pPr>
        <w:pStyle w:val="6"/>
        <w:ind w:firstLine="482"/>
        <w:rPr>
          <w:rFonts w:hint="default" w:ascii="Times New Roman" w:hAnsi="Times New Roman" w:eastAsia="宋体" w:cs="Times New Roman"/>
          <w:b/>
          <w:bCs/>
          <w:color w:val="auto"/>
          <w:highlight w:val="none"/>
          <w:lang w:val="en-US" w:eastAsia="zh-CN"/>
        </w:rPr>
      </w:pPr>
      <w:bookmarkStart w:id="109" w:name="_Toc10619"/>
      <w:bookmarkStart w:id="110" w:name="_Toc11004"/>
      <w:r>
        <w:rPr>
          <w:rFonts w:hint="default" w:ascii="Times New Roman" w:hAnsi="Times New Roman" w:eastAsia="宋体" w:cs="Times New Roman"/>
          <w:b/>
          <w:bCs/>
          <w:color w:val="auto"/>
          <w:highlight w:val="none"/>
          <w:lang w:val="en-US" w:eastAsia="zh-CN"/>
        </w:rPr>
        <w:t>2、地下水环境质量现状评价</w:t>
      </w:r>
      <w:bookmarkEnd w:id="109"/>
      <w:bookmarkEnd w:id="110"/>
    </w:p>
    <w:p w14:paraId="7AE7486E">
      <w:pPr>
        <w:pStyle w:val="30"/>
        <w:bidi w:val="0"/>
        <w:rPr>
          <w:rFonts w:hint="default"/>
          <w:color w:val="auto"/>
          <w:highlight w:val="none"/>
        </w:rPr>
      </w:pPr>
      <w:bookmarkStart w:id="111" w:name="_Toc21210"/>
      <w:r>
        <w:rPr>
          <w:rFonts w:hint="default"/>
          <w:color w:val="auto"/>
          <w:highlight w:val="none"/>
        </w:rPr>
        <w:t>（1）评价因子</w:t>
      </w:r>
      <w:bookmarkEnd w:id="111"/>
    </w:p>
    <w:p w14:paraId="4AF962C2">
      <w:pPr>
        <w:pStyle w:val="26"/>
        <w:ind w:firstLine="480"/>
        <w:rPr>
          <w:rFonts w:hint="eastAsia" w:ascii="Times New Roman" w:hAnsi="Times New Roman" w:eastAsia="宋体" w:cs="Times New Roman"/>
          <w:color w:val="auto"/>
          <w:highlight w:val="none"/>
          <w:lang w:eastAsia="zh-CN"/>
        </w:rPr>
      </w:pPr>
      <w:r>
        <w:rPr>
          <w:rFonts w:ascii="Times New Roman" w:hAnsi="Times New Roman"/>
          <w:color w:val="auto"/>
          <w:sz w:val="24"/>
          <w:szCs w:val="24"/>
        </w:rPr>
        <w:t>pH</w:t>
      </w:r>
      <w:r>
        <w:rPr>
          <w:rFonts w:ascii="Times New Roman" w:hAnsi="Times New Roman" w:cs="Times New Roman"/>
          <w:color w:val="auto"/>
          <w:sz w:val="24"/>
          <w:szCs w:val="24"/>
        </w:rPr>
        <w:t>、</w:t>
      </w:r>
      <w:r>
        <w:rPr>
          <w:rFonts w:hint="eastAsia" w:ascii="Times New Roman" w:hAnsi="Times New Roman" w:cs="Times New Roman"/>
          <w:color w:val="auto"/>
          <w:sz w:val="24"/>
          <w:szCs w:val="24"/>
        </w:rPr>
        <w:t>氨氮</w:t>
      </w:r>
      <w:r>
        <w:rPr>
          <w:rFonts w:ascii="Times New Roman" w:hAnsi="Times New Roman" w:cs="Times New Roman"/>
          <w:color w:val="auto"/>
          <w:sz w:val="24"/>
          <w:szCs w:val="24"/>
        </w:rPr>
        <w:t>、硝酸盐、亚硝酸盐、挥发性酚类、氰化物、砷、汞、六价铬</w:t>
      </w:r>
      <w:r>
        <w:rPr>
          <w:rFonts w:hint="eastAsia" w:ascii="Times New Roman" w:hAnsi="Times New Roman" w:cs="Times New Roman"/>
          <w:color w:val="auto"/>
          <w:sz w:val="24"/>
          <w:szCs w:val="24"/>
        </w:rPr>
        <w:t>、总硬度</w:t>
      </w:r>
      <w:r>
        <w:rPr>
          <w:rFonts w:ascii="Times New Roman" w:hAnsi="Times New Roman" w:cs="Times New Roman"/>
          <w:color w:val="auto"/>
          <w:sz w:val="24"/>
          <w:szCs w:val="24"/>
        </w:rPr>
        <w:t>、</w:t>
      </w:r>
      <w:r>
        <w:rPr>
          <w:rFonts w:hint="eastAsia" w:ascii="Times New Roman" w:hAnsi="Times New Roman" w:cs="Times New Roman"/>
          <w:color w:val="auto"/>
          <w:sz w:val="24"/>
          <w:szCs w:val="24"/>
        </w:rPr>
        <w:t>铅</w:t>
      </w:r>
      <w:r>
        <w:rPr>
          <w:rFonts w:ascii="Times New Roman" w:hAnsi="Times New Roman" w:cs="Times New Roman"/>
          <w:color w:val="auto"/>
          <w:sz w:val="24"/>
          <w:szCs w:val="24"/>
        </w:rPr>
        <w:t>、</w:t>
      </w:r>
      <w:r>
        <w:rPr>
          <w:rFonts w:hint="eastAsia" w:ascii="Times New Roman" w:hAnsi="Times New Roman" w:cs="Times New Roman"/>
          <w:color w:val="auto"/>
          <w:sz w:val="24"/>
          <w:szCs w:val="24"/>
        </w:rPr>
        <w:t>氟化物</w:t>
      </w:r>
      <w:r>
        <w:rPr>
          <w:rFonts w:ascii="Times New Roman" w:hAnsi="Times New Roman" w:cs="Times New Roman"/>
          <w:color w:val="auto"/>
          <w:sz w:val="24"/>
          <w:szCs w:val="24"/>
        </w:rPr>
        <w:t>、</w:t>
      </w:r>
      <w:r>
        <w:rPr>
          <w:rFonts w:hint="eastAsia" w:ascii="Times New Roman" w:hAnsi="Times New Roman" w:cs="Times New Roman"/>
          <w:color w:val="auto"/>
          <w:sz w:val="24"/>
          <w:szCs w:val="24"/>
        </w:rPr>
        <w:t>镉</w:t>
      </w:r>
      <w:r>
        <w:rPr>
          <w:rFonts w:ascii="Times New Roman" w:hAnsi="Times New Roman" w:cs="Times New Roman"/>
          <w:color w:val="auto"/>
          <w:sz w:val="24"/>
          <w:szCs w:val="24"/>
        </w:rPr>
        <w:t>、铁、锰、溶解性总固体、</w:t>
      </w:r>
      <w:r>
        <w:rPr>
          <w:rFonts w:hint="eastAsia" w:ascii="Times New Roman" w:hAnsi="Times New Roman" w:cs="Times New Roman"/>
          <w:color w:val="auto"/>
          <w:sz w:val="24"/>
          <w:szCs w:val="24"/>
          <w:lang w:val="en-US" w:eastAsia="zh-CN"/>
        </w:rPr>
        <w:t>耗氧量、</w:t>
      </w:r>
      <w:r>
        <w:rPr>
          <w:rFonts w:hint="eastAsia" w:ascii="Times New Roman" w:hAnsi="Times New Roman"/>
          <w:color w:val="auto"/>
          <w:sz w:val="24"/>
          <w:szCs w:val="24"/>
        </w:rPr>
        <w:t>硫酸盐</w:t>
      </w:r>
      <w:r>
        <w:rPr>
          <w:rFonts w:ascii="Times New Roman" w:hAnsi="Times New Roman"/>
          <w:color w:val="auto"/>
          <w:sz w:val="24"/>
          <w:szCs w:val="24"/>
        </w:rPr>
        <w:t>、</w:t>
      </w:r>
      <w:r>
        <w:rPr>
          <w:rFonts w:hint="eastAsia" w:ascii="Times New Roman" w:hAnsi="Times New Roman"/>
          <w:color w:val="auto"/>
          <w:sz w:val="24"/>
          <w:szCs w:val="24"/>
        </w:rPr>
        <w:t>氯化物</w:t>
      </w:r>
      <w:r>
        <w:rPr>
          <w:rFonts w:ascii="Times New Roman" w:hAnsi="Times New Roman"/>
          <w:color w:val="auto"/>
          <w:sz w:val="24"/>
          <w:szCs w:val="24"/>
        </w:rPr>
        <w:t>、</w:t>
      </w:r>
      <w:r>
        <w:rPr>
          <w:rFonts w:hint="eastAsia" w:ascii="Times New Roman" w:hAnsi="Times New Roman" w:cs="Times New Roman"/>
          <w:color w:val="auto"/>
          <w:sz w:val="24"/>
          <w:szCs w:val="24"/>
        </w:rPr>
        <w:t>总</w:t>
      </w:r>
      <w:r>
        <w:rPr>
          <w:rFonts w:ascii="Times New Roman" w:hAnsi="Times New Roman" w:cs="Times New Roman"/>
          <w:color w:val="auto"/>
          <w:sz w:val="24"/>
          <w:szCs w:val="24"/>
        </w:rPr>
        <w:t>大肠菌群</w:t>
      </w:r>
      <w:r>
        <w:rPr>
          <w:rFonts w:hint="eastAsia" w:ascii="Times New Roman" w:hAnsi="Times New Roman" w:cs="Times New Roman"/>
          <w:color w:val="auto"/>
          <w:sz w:val="24"/>
          <w:szCs w:val="24"/>
        </w:rPr>
        <w:t>、</w:t>
      </w:r>
      <w:r>
        <w:rPr>
          <w:rFonts w:ascii="Times New Roman" w:hAnsi="Times New Roman" w:cs="Times New Roman"/>
          <w:color w:val="auto"/>
          <w:sz w:val="24"/>
          <w:szCs w:val="24"/>
        </w:rPr>
        <w:t>细菌总数</w:t>
      </w:r>
      <w:r>
        <w:rPr>
          <w:rFonts w:hint="eastAsia" w:cs="Times New Roman"/>
          <w:color w:val="auto"/>
          <w:sz w:val="24"/>
          <w:szCs w:val="24"/>
          <w:lang w:eastAsia="zh-CN"/>
        </w:rPr>
        <w:t>、</w:t>
      </w:r>
      <w:r>
        <w:rPr>
          <w:rFonts w:hint="eastAsia" w:cs="Times New Roman"/>
          <w:color w:val="auto"/>
          <w:sz w:val="24"/>
          <w:szCs w:val="24"/>
          <w:lang w:val="en-US" w:eastAsia="zh-CN"/>
        </w:rPr>
        <w:t>铝、</w:t>
      </w:r>
      <w:r>
        <w:rPr>
          <w:rFonts w:hint="eastAsia" w:ascii="Times New Roman" w:hAnsi="Times New Roman"/>
          <w:color w:val="auto"/>
          <w:sz w:val="24"/>
          <w:szCs w:val="24"/>
        </w:rPr>
        <w:t>钠</w:t>
      </w:r>
      <w:r>
        <w:rPr>
          <w:rFonts w:hint="eastAsia" w:ascii="宋体" w:hAnsi="宋体"/>
          <w:color w:val="auto"/>
          <w:sz w:val="24"/>
          <w:szCs w:val="24"/>
        </w:rPr>
        <w:t>。</w:t>
      </w:r>
    </w:p>
    <w:p w14:paraId="196FABEF">
      <w:pPr>
        <w:pStyle w:val="30"/>
        <w:bidi w:val="0"/>
        <w:rPr>
          <w:rFonts w:hint="default"/>
          <w:color w:val="auto"/>
          <w:highlight w:val="none"/>
        </w:rPr>
      </w:pPr>
      <w:bookmarkStart w:id="112" w:name="_Toc13218"/>
      <w:r>
        <w:rPr>
          <w:rFonts w:hint="default"/>
          <w:color w:val="auto"/>
          <w:highlight w:val="none"/>
        </w:rPr>
        <w:t>（2）评价标准</w:t>
      </w:r>
      <w:bookmarkEnd w:id="112"/>
    </w:p>
    <w:p w14:paraId="4CF63297">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执行《地下水质量标准》（GB/T14848-2017）III类标准。</w:t>
      </w:r>
    </w:p>
    <w:p w14:paraId="54232F41">
      <w:pPr>
        <w:pStyle w:val="30"/>
        <w:bidi w:val="0"/>
        <w:rPr>
          <w:rFonts w:hint="default"/>
          <w:color w:val="auto"/>
          <w:highlight w:val="none"/>
        </w:rPr>
      </w:pPr>
      <w:bookmarkStart w:id="113" w:name="_Toc4118"/>
      <w:r>
        <w:rPr>
          <w:rFonts w:hint="default"/>
          <w:color w:val="auto"/>
          <w:highlight w:val="none"/>
        </w:rPr>
        <w:t>（3）评价方法</w:t>
      </w:r>
      <w:bookmarkEnd w:id="113"/>
    </w:p>
    <w:p w14:paraId="6429ED6C">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采用单项水质指数评价法，公式为：</w:t>
      </w:r>
    </w:p>
    <w:p w14:paraId="4D8A041B">
      <w:pPr>
        <w:pStyle w:val="26"/>
        <w:ind w:firstLine="480"/>
        <w:jc w:val="center"/>
        <w:rPr>
          <w:rFonts w:hint="default" w:ascii="Times New Roman" w:hAnsi="Times New Roman" w:cs="Times New Roman"/>
          <w:i/>
          <w:color w:val="auto"/>
          <w:szCs w:val="22"/>
          <w:highlight w:val="none"/>
        </w:rPr>
      </w:pPr>
      <w:r>
        <w:rPr>
          <w:rFonts w:hint="default" w:ascii="Times New Roman" w:hAnsi="Times New Roman" w:cs="Times New Roman"/>
          <w:color w:val="auto"/>
          <w:highlight w:val="none"/>
        </w:rPr>
        <w:drawing>
          <wp:inline distT="0" distB="0" distL="114300" distR="114300">
            <wp:extent cx="704850" cy="228600"/>
            <wp:effectExtent l="0" t="0" r="0" b="0"/>
            <wp:docPr id="16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6"/>
                    <pic:cNvPicPr>
                      <a:picLocks noChangeAspect="1"/>
                    </pic:cNvPicPr>
                  </pic:nvPicPr>
                  <pic:blipFill>
                    <a:blip r:embed="rId44"/>
                    <a:stretch>
                      <a:fillRect/>
                    </a:stretch>
                  </pic:blipFill>
                  <pic:spPr>
                    <a:xfrm>
                      <a:off x="0" y="0"/>
                      <a:ext cx="704850" cy="228600"/>
                    </a:xfrm>
                    <a:prstGeom prst="rect">
                      <a:avLst/>
                    </a:prstGeom>
                    <a:noFill/>
                    <a:ln>
                      <a:noFill/>
                    </a:ln>
                  </pic:spPr>
                </pic:pic>
              </a:graphicData>
            </a:graphic>
          </wp:inline>
        </w:drawing>
      </w:r>
    </w:p>
    <w:p w14:paraId="724DD4A5">
      <w:pPr>
        <w:pStyle w:val="26"/>
        <w:ind w:firstLine="480"/>
        <w:rPr>
          <w:rFonts w:hint="default" w:ascii="Times New Roman" w:hAnsi="Times New Roman" w:cs="Times New Roman"/>
          <w:color w:val="auto"/>
          <w:szCs w:val="22"/>
          <w:highlight w:val="none"/>
          <w:lang w:bidi="ar"/>
        </w:rPr>
      </w:pPr>
      <w:r>
        <w:rPr>
          <w:rFonts w:hint="default" w:ascii="Times New Roman" w:hAnsi="Times New Roman" w:cs="Times New Roman"/>
          <w:color w:val="auto"/>
          <w:szCs w:val="22"/>
          <w:highlight w:val="none"/>
          <w:lang w:bidi="ar"/>
        </w:rPr>
        <w:t>式中：</w:t>
      </w:r>
    </w:p>
    <w:p w14:paraId="0F362AEB">
      <w:pPr>
        <w:pStyle w:val="26"/>
        <w:ind w:firstLine="1200" w:firstLineChars="500"/>
        <w:rPr>
          <w:rFonts w:hint="default" w:ascii="Times New Roman" w:hAnsi="Times New Roman" w:cs="Times New Roman"/>
          <w:color w:val="auto"/>
          <w:szCs w:val="22"/>
          <w:highlight w:val="none"/>
        </w:rPr>
      </w:pPr>
      <w:r>
        <w:rPr>
          <w:rFonts w:hint="default" w:ascii="Times New Roman" w:hAnsi="Times New Roman" w:cs="Times New Roman"/>
          <w:i/>
          <w:color w:val="auto"/>
          <w:szCs w:val="22"/>
          <w:highlight w:val="none"/>
          <w:lang w:bidi="ar"/>
        </w:rPr>
        <w:t>P</w:t>
      </w:r>
      <w:r>
        <w:rPr>
          <w:rFonts w:hint="default" w:ascii="Times New Roman" w:hAnsi="Times New Roman" w:cs="Times New Roman"/>
          <w:i/>
          <w:color w:val="auto"/>
          <w:szCs w:val="22"/>
          <w:highlight w:val="none"/>
          <w:vertAlign w:val="subscript"/>
          <w:lang w:bidi="ar"/>
        </w:rPr>
        <w:t>i</w:t>
      </w:r>
      <w:r>
        <w:rPr>
          <w:rFonts w:hint="default" w:ascii="Times New Roman" w:hAnsi="Times New Roman" w:cs="Times New Roman"/>
          <w:color w:val="auto"/>
          <w:szCs w:val="22"/>
          <w:highlight w:val="none"/>
          <w:lang w:bidi="ar"/>
        </w:rPr>
        <w:t xml:space="preserve"> ——第</w:t>
      </w:r>
      <w:r>
        <w:rPr>
          <w:rFonts w:hint="default" w:ascii="Times New Roman" w:hAnsi="Times New Roman" w:cs="Times New Roman"/>
          <w:i/>
          <w:color w:val="auto"/>
          <w:szCs w:val="22"/>
          <w:highlight w:val="none"/>
          <w:lang w:bidi="ar"/>
        </w:rPr>
        <w:t>i</w:t>
      </w:r>
      <w:r>
        <w:rPr>
          <w:rFonts w:hint="default" w:ascii="Times New Roman" w:hAnsi="Times New Roman" w:cs="Times New Roman"/>
          <w:color w:val="auto"/>
          <w:szCs w:val="22"/>
          <w:highlight w:val="none"/>
          <w:lang w:bidi="ar"/>
        </w:rPr>
        <w:t>个水质因子的标准指数，无量纲；</w:t>
      </w:r>
    </w:p>
    <w:p w14:paraId="2C8177C8">
      <w:pPr>
        <w:pStyle w:val="26"/>
        <w:ind w:firstLine="1200" w:firstLineChars="500"/>
        <w:rPr>
          <w:rFonts w:hint="default" w:ascii="Times New Roman" w:hAnsi="Times New Roman" w:cs="Times New Roman"/>
          <w:color w:val="auto"/>
          <w:szCs w:val="22"/>
          <w:highlight w:val="none"/>
        </w:rPr>
      </w:pPr>
      <w:r>
        <w:rPr>
          <w:rFonts w:hint="default" w:ascii="Times New Roman" w:hAnsi="Times New Roman" w:cs="Times New Roman"/>
          <w:i/>
          <w:color w:val="auto"/>
          <w:szCs w:val="22"/>
          <w:highlight w:val="none"/>
          <w:lang w:bidi="ar"/>
        </w:rPr>
        <w:t>C</w:t>
      </w:r>
      <w:r>
        <w:rPr>
          <w:rFonts w:hint="default" w:ascii="Times New Roman" w:hAnsi="Times New Roman" w:cs="Times New Roman"/>
          <w:i/>
          <w:color w:val="auto"/>
          <w:szCs w:val="22"/>
          <w:highlight w:val="none"/>
          <w:vertAlign w:val="subscript"/>
          <w:lang w:bidi="ar"/>
        </w:rPr>
        <w:t>i</w:t>
      </w:r>
      <w:r>
        <w:rPr>
          <w:rFonts w:hint="default" w:ascii="Times New Roman" w:hAnsi="Times New Roman" w:cs="Times New Roman"/>
          <w:color w:val="auto"/>
          <w:szCs w:val="22"/>
          <w:highlight w:val="none"/>
          <w:lang w:bidi="ar"/>
        </w:rPr>
        <w:t>——第</w:t>
      </w:r>
      <w:r>
        <w:rPr>
          <w:rFonts w:hint="default" w:ascii="Times New Roman" w:hAnsi="Times New Roman" w:cs="Times New Roman"/>
          <w:i/>
          <w:color w:val="auto"/>
          <w:szCs w:val="22"/>
          <w:highlight w:val="none"/>
          <w:lang w:bidi="ar"/>
        </w:rPr>
        <w:t>i</w:t>
      </w:r>
      <w:r>
        <w:rPr>
          <w:rFonts w:hint="default" w:ascii="Times New Roman" w:hAnsi="Times New Roman" w:cs="Times New Roman"/>
          <w:color w:val="auto"/>
          <w:szCs w:val="22"/>
          <w:highlight w:val="none"/>
          <w:lang w:bidi="ar"/>
        </w:rPr>
        <w:t>个水质因子的监测浓度限值，mg/L；</w:t>
      </w:r>
    </w:p>
    <w:p w14:paraId="3E4CD6A8">
      <w:pPr>
        <w:pStyle w:val="26"/>
        <w:ind w:firstLine="1200" w:firstLineChars="500"/>
        <w:rPr>
          <w:rFonts w:hint="default" w:ascii="Times New Roman" w:hAnsi="Times New Roman" w:cs="Times New Roman"/>
          <w:color w:val="auto"/>
          <w:szCs w:val="22"/>
          <w:highlight w:val="none"/>
          <w:lang w:bidi="ar"/>
        </w:rPr>
      </w:pPr>
      <w:r>
        <w:rPr>
          <w:rFonts w:hint="default" w:ascii="Times New Roman" w:hAnsi="Times New Roman" w:cs="Times New Roman"/>
          <w:i/>
          <w:color w:val="auto"/>
          <w:szCs w:val="22"/>
          <w:highlight w:val="none"/>
          <w:lang w:bidi="ar"/>
        </w:rPr>
        <w:t>C</w:t>
      </w:r>
      <w:r>
        <w:rPr>
          <w:rFonts w:hint="default" w:ascii="Times New Roman" w:hAnsi="Times New Roman" w:cs="Times New Roman"/>
          <w:i/>
          <w:color w:val="auto"/>
          <w:szCs w:val="22"/>
          <w:highlight w:val="none"/>
          <w:vertAlign w:val="subscript"/>
          <w:lang w:bidi="ar"/>
        </w:rPr>
        <w:t>sj</w:t>
      </w:r>
      <w:r>
        <w:rPr>
          <w:rFonts w:hint="default" w:ascii="Times New Roman" w:hAnsi="Times New Roman" w:cs="Times New Roman"/>
          <w:color w:val="auto"/>
          <w:szCs w:val="22"/>
          <w:highlight w:val="none"/>
          <w:lang w:bidi="ar"/>
        </w:rPr>
        <w:t>——第</w:t>
      </w:r>
      <w:r>
        <w:rPr>
          <w:rFonts w:hint="default" w:ascii="Times New Roman" w:hAnsi="Times New Roman" w:cs="Times New Roman"/>
          <w:i/>
          <w:color w:val="auto"/>
          <w:szCs w:val="22"/>
          <w:highlight w:val="none"/>
          <w:lang w:bidi="ar"/>
        </w:rPr>
        <w:t>i</w:t>
      </w:r>
      <w:r>
        <w:rPr>
          <w:rFonts w:hint="default" w:ascii="Times New Roman" w:hAnsi="Times New Roman" w:cs="Times New Roman"/>
          <w:color w:val="auto"/>
          <w:szCs w:val="22"/>
          <w:highlight w:val="none"/>
          <w:lang w:bidi="ar"/>
        </w:rPr>
        <w:t>个水质因子的标准浓度限值，mg/L。</w:t>
      </w:r>
    </w:p>
    <w:p w14:paraId="12F8A01F">
      <w:pPr>
        <w:pStyle w:val="26"/>
        <w:ind w:firstLine="480"/>
        <w:rPr>
          <w:color w:val="auto"/>
          <w:szCs w:val="24"/>
          <w:highlight w:val="none"/>
        </w:rPr>
      </w:pPr>
      <w:r>
        <w:rPr>
          <w:color w:val="auto"/>
          <w:szCs w:val="24"/>
          <w:highlight w:val="none"/>
        </w:rPr>
        <w:t>pH值</w:t>
      </w:r>
      <w:r>
        <w:rPr>
          <w:rFonts w:hint="eastAsia"/>
          <w:color w:val="auto"/>
          <w:szCs w:val="24"/>
          <w:highlight w:val="none"/>
          <w:lang w:eastAsia="zh-CN"/>
        </w:rPr>
        <w:t>的</w:t>
      </w:r>
      <w:r>
        <w:rPr>
          <w:color w:val="auto"/>
          <w:szCs w:val="24"/>
          <w:highlight w:val="none"/>
        </w:rPr>
        <w:t>指数</w:t>
      </w:r>
      <w:r>
        <w:rPr>
          <w:rFonts w:hint="eastAsia"/>
          <w:color w:val="auto"/>
          <w:szCs w:val="24"/>
          <w:highlight w:val="none"/>
          <w:lang w:val="en-US" w:eastAsia="zh-CN"/>
        </w:rPr>
        <w:t>计算公式</w:t>
      </w:r>
      <w:r>
        <w:rPr>
          <w:color w:val="auto"/>
          <w:szCs w:val="24"/>
          <w:highlight w:val="none"/>
        </w:rPr>
        <w:t>：</w:t>
      </w:r>
    </w:p>
    <w:p w14:paraId="02E19FF5">
      <w:pPr>
        <w:pStyle w:val="26"/>
        <w:bidi w:val="0"/>
        <w:jc w:val="center"/>
        <w:rPr>
          <w:color w:val="auto"/>
          <w:szCs w:val="24"/>
          <w:highlight w:val="none"/>
        </w:rPr>
      </w:pPr>
      <w:r>
        <w:rPr>
          <w:color w:val="auto"/>
          <w:szCs w:val="24"/>
          <w:highlight w:val="none"/>
        </w:rPr>
        <w:t>当pH≤7.0时，</w:t>
      </w:r>
      <w:r>
        <w:rPr>
          <w:color w:val="auto"/>
          <w:position w:val="-30"/>
          <w:szCs w:val="24"/>
          <w:highlight w:val="none"/>
        </w:rPr>
        <w:object>
          <v:shape id="_x0000_i1034" o:spt="75" type="#_x0000_t75" style="height:36pt;width:98pt;" o:ole="t" filled="f" o:preferrelative="t" stroked="f" coordsize="21600,21600">
            <v:path/>
            <v:fill on="f" focussize="0,0"/>
            <v:stroke on="f"/>
            <v:imagedata r:id="rId46" o:title=""/>
            <o:lock v:ext="edit" aspectratio="t"/>
            <w10:wrap type="none"/>
            <w10:anchorlock/>
          </v:shape>
          <o:OLEObject Type="Embed" ProgID="Equation.3" ShapeID="_x0000_i1034" DrawAspect="Content" ObjectID="_1468075734" r:id="rId45">
            <o:LockedField>false</o:LockedField>
          </o:OLEObject>
        </w:object>
      </w:r>
    </w:p>
    <w:p w14:paraId="44259CFB">
      <w:pPr>
        <w:pStyle w:val="26"/>
        <w:ind w:firstLine="480"/>
        <w:jc w:val="center"/>
        <w:rPr>
          <w:color w:val="auto"/>
          <w:szCs w:val="24"/>
          <w:highlight w:val="none"/>
        </w:rPr>
      </w:pPr>
      <w:r>
        <w:rPr>
          <w:color w:val="auto"/>
          <w:szCs w:val="24"/>
          <w:highlight w:val="none"/>
        </w:rPr>
        <w:t>pH＞7.0时，</w:t>
      </w:r>
      <w:r>
        <w:rPr>
          <w:color w:val="auto"/>
          <w:position w:val="-30"/>
          <w:szCs w:val="24"/>
          <w:highlight w:val="none"/>
        </w:rPr>
        <w:object>
          <v:shape id="_x0000_i1035" o:spt="75" type="#_x0000_t75" style="height:36pt;width:98pt;" o:ole="t" filled="f" o:preferrelative="t" stroked="f" coordsize="21600,21600">
            <v:path/>
            <v:fill on="f" focussize="0,0"/>
            <v:stroke on="f"/>
            <v:imagedata r:id="rId48" o:title=""/>
            <o:lock v:ext="edit" aspectratio="t"/>
            <w10:wrap type="none"/>
            <w10:anchorlock/>
          </v:shape>
          <o:OLEObject Type="Embed" ProgID="Equation.3" ShapeID="_x0000_i1035" DrawAspect="Content" ObjectID="_1468075735" r:id="rId47">
            <o:LockedField>false</o:LockedField>
          </o:OLEObject>
        </w:object>
      </w:r>
    </w:p>
    <w:p w14:paraId="7E679E5F">
      <w:pPr>
        <w:pStyle w:val="26"/>
        <w:ind w:firstLine="480"/>
        <w:rPr>
          <w:rFonts w:hint="eastAsia"/>
          <w:color w:val="auto"/>
          <w:szCs w:val="24"/>
          <w:highlight w:val="none"/>
          <w:lang w:val="en-US" w:eastAsia="zh-CN"/>
        </w:rPr>
      </w:pPr>
      <w:r>
        <w:rPr>
          <w:color w:val="auto"/>
          <w:szCs w:val="24"/>
          <w:highlight w:val="none"/>
        </w:rPr>
        <w:t>式中：</w:t>
      </w:r>
      <w:r>
        <w:rPr>
          <w:color w:val="auto"/>
          <w:szCs w:val="24"/>
          <w:highlight w:val="none"/>
        </w:rPr>
        <w:object>
          <v:shape id="_x0000_i1036" o:spt="75" alt="8921123581386774214059" type="#_x0000_t75" style="height:19pt;width:27pt;" o:ole="t" filled="f" o:preferrelative="t" stroked="f" coordsize="21600,21600">
            <v:path/>
            <v:fill on="f" focussize="0,0"/>
            <v:stroke on="f"/>
            <v:imagedata r:id="rId50" o:title="8921123581386774214059"/>
            <o:lock v:ext="edit" aspectratio="t"/>
            <w10:wrap type="none"/>
            <w10:anchorlock/>
          </v:shape>
          <o:OLEObject Type="Embed" ProgID="Excel.Sheet.8" ShapeID="_x0000_i1036" DrawAspect="Content" ObjectID="_1468075736" r:id="rId49">
            <o:LockedField>false</o:LockedField>
          </o:OLEObject>
        </w:object>
      </w:r>
      <w:r>
        <w:rPr>
          <w:color w:val="auto"/>
          <w:szCs w:val="24"/>
          <w:highlight w:val="none"/>
        </w:rPr>
        <w:t>——</w:t>
      </w:r>
      <w:r>
        <w:rPr>
          <w:rFonts w:hint="eastAsia"/>
          <w:color w:val="auto"/>
          <w:szCs w:val="24"/>
          <w:highlight w:val="none"/>
          <w:lang w:val="en-US" w:eastAsia="zh-CN"/>
        </w:rPr>
        <w:t>pH值的指数，大于1表明该水质因子超标；</w:t>
      </w:r>
    </w:p>
    <w:p w14:paraId="46BFAF52">
      <w:pPr>
        <w:pStyle w:val="26"/>
        <w:ind w:firstLine="1188" w:firstLineChars="495"/>
        <w:rPr>
          <w:color w:val="auto"/>
          <w:szCs w:val="24"/>
          <w:highlight w:val="none"/>
        </w:rPr>
      </w:pPr>
      <w:r>
        <w:rPr>
          <w:i/>
          <w:color w:val="auto"/>
          <w:szCs w:val="24"/>
          <w:highlight w:val="none"/>
        </w:rPr>
        <w:t>pH</w:t>
      </w:r>
      <w:r>
        <w:rPr>
          <w:i/>
          <w:color w:val="auto"/>
          <w:szCs w:val="24"/>
          <w:highlight w:val="none"/>
          <w:vertAlign w:val="subscript"/>
        </w:rPr>
        <w:t>j</w:t>
      </w:r>
      <w:r>
        <w:rPr>
          <w:color w:val="auto"/>
          <w:szCs w:val="24"/>
          <w:highlight w:val="none"/>
        </w:rPr>
        <w:t>——pH</w:t>
      </w:r>
      <w:r>
        <w:rPr>
          <w:rFonts w:hint="eastAsia"/>
          <w:color w:val="auto"/>
          <w:szCs w:val="24"/>
          <w:highlight w:val="none"/>
          <w:lang w:val="en-US" w:eastAsia="zh-CN"/>
        </w:rPr>
        <w:t>值</w:t>
      </w:r>
      <w:r>
        <w:rPr>
          <w:color w:val="auto"/>
          <w:szCs w:val="24"/>
          <w:highlight w:val="none"/>
        </w:rPr>
        <w:t>实测</w:t>
      </w:r>
      <w:r>
        <w:rPr>
          <w:rFonts w:hint="eastAsia"/>
          <w:color w:val="auto"/>
          <w:szCs w:val="24"/>
          <w:highlight w:val="none"/>
          <w:lang w:val="en-US" w:eastAsia="zh-CN"/>
        </w:rPr>
        <w:t>统计代表</w:t>
      </w:r>
      <w:r>
        <w:rPr>
          <w:color w:val="auto"/>
          <w:szCs w:val="24"/>
          <w:highlight w:val="none"/>
        </w:rPr>
        <w:t>值；</w:t>
      </w:r>
    </w:p>
    <w:p w14:paraId="5DD71386">
      <w:pPr>
        <w:pStyle w:val="26"/>
        <w:ind w:firstLine="1188" w:firstLineChars="495"/>
        <w:rPr>
          <w:color w:val="auto"/>
          <w:szCs w:val="24"/>
          <w:highlight w:val="none"/>
        </w:rPr>
      </w:pPr>
      <w:r>
        <w:rPr>
          <w:i/>
          <w:color w:val="auto"/>
          <w:szCs w:val="24"/>
          <w:highlight w:val="none"/>
        </w:rPr>
        <w:t>pH</w:t>
      </w:r>
      <w:r>
        <w:rPr>
          <w:i/>
          <w:color w:val="auto"/>
          <w:szCs w:val="24"/>
          <w:highlight w:val="none"/>
          <w:vertAlign w:val="subscript"/>
        </w:rPr>
        <w:t>sd</w:t>
      </w:r>
      <w:r>
        <w:rPr>
          <w:color w:val="auto"/>
          <w:szCs w:val="24"/>
          <w:highlight w:val="none"/>
        </w:rPr>
        <w:t>——评价标准</w:t>
      </w:r>
      <w:r>
        <w:rPr>
          <w:rFonts w:hint="eastAsia"/>
          <w:color w:val="auto"/>
          <w:szCs w:val="24"/>
          <w:highlight w:val="none"/>
          <w:lang w:val="en-US" w:eastAsia="zh-CN"/>
        </w:rPr>
        <w:t>中pH</w:t>
      </w:r>
      <w:r>
        <w:rPr>
          <w:color w:val="auto"/>
          <w:szCs w:val="24"/>
          <w:highlight w:val="none"/>
        </w:rPr>
        <w:t>值</w:t>
      </w:r>
      <w:r>
        <w:rPr>
          <w:rFonts w:hint="eastAsia"/>
          <w:color w:val="auto"/>
          <w:szCs w:val="24"/>
          <w:highlight w:val="none"/>
          <w:lang w:eastAsia="zh-CN"/>
        </w:rPr>
        <w:t>的</w:t>
      </w:r>
      <w:r>
        <w:rPr>
          <w:rFonts w:hint="eastAsia"/>
          <w:color w:val="auto"/>
          <w:szCs w:val="24"/>
          <w:highlight w:val="none"/>
          <w:lang w:val="en-US" w:eastAsia="zh-CN"/>
        </w:rPr>
        <w:t>下限值</w:t>
      </w:r>
      <w:r>
        <w:rPr>
          <w:color w:val="auto"/>
          <w:szCs w:val="24"/>
          <w:highlight w:val="none"/>
        </w:rPr>
        <w:t>；</w:t>
      </w:r>
    </w:p>
    <w:p w14:paraId="631679EF">
      <w:pPr>
        <w:pStyle w:val="26"/>
        <w:ind w:firstLine="1188" w:firstLineChars="495"/>
        <w:rPr>
          <w:color w:val="auto"/>
          <w:szCs w:val="24"/>
          <w:highlight w:val="none"/>
        </w:rPr>
      </w:pPr>
      <w:r>
        <w:rPr>
          <w:i/>
          <w:color w:val="auto"/>
          <w:szCs w:val="24"/>
          <w:highlight w:val="none"/>
        </w:rPr>
        <w:t>pH</w:t>
      </w:r>
      <w:r>
        <w:rPr>
          <w:i/>
          <w:color w:val="auto"/>
          <w:szCs w:val="24"/>
          <w:highlight w:val="none"/>
          <w:vertAlign w:val="subscript"/>
        </w:rPr>
        <w:t>su</w:t>
      </w:r>
      <w:r>
        <w:rPr>
          <w:color w:val="auto"/>
          <w:szCs w:val="24"/>
          <w:highlight w:val="none"/>
        </w:rPr>
        <w:t>——评价标准</w:t>
      </w:r>
      <w:r>
        <w:rPr>
          <w:rFonts w:hint="eastAsia"/>
          <w:color w:val="auto"/>
          <w:szCs w:val="24"/>
          <w:highlight w:val="none"/>
          <w:lang w:val="en-US" w:eastAsia="zh-CN"/>
        </w:rPr>
        <w:t>中pH</w:t>
      </w:r>
      <w:r>
        <w:rPr>
          <w:color w:val="auto"/>
          <w:szCs w:val="24"/>
          <w:highlight w:val="none"/>
        </w:rPr>
        <w:t>值</w:t>
      </w:r>
      <w:r>
        <w:rPr>
          <w:rFonts w:hint="eastAsia"/>
          <w:color w:val="auto"/>
          <w:szCs w:val="24"/>
          <w:highlight w:val="none"/>
          <w:lang w:eastAsia="zh-CN"/>
        </w:rPr>
        <w:t>的</w:t>
      </w:r>
      <w:r>
        <w:rPr>
          <w:rFonts w:hint="eastAsia"/>
          <w:color w:val="auto"/>
          <w:szCs w:val="24"/>
          <w:highlight w:val="none"/>
          <w:lang w:val="en-US" w:eastAsia="zh-CN"/>
        </w:rPr>
        <w:t>上限值</w:t>
      </w:r>
      <w:r>
        <w:rPr>
          <w:color w:val="auto"/>
          <w:szCs w:val="24"/>
          <w:highlight w:val="none"/>
        </w:rPr>
        <w:t>。</w:t>
      </w:r>
    </w:p>
    <w:p w14:paraId="243BFCB4">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当水质评价因子的标准指数大于1，表明该评价因子的水质超过了规定的水质标准，已经不能满足相应的水环境要求。</w:t>
      </w:r>
    </w:p>
    <w:p w14:paraId="50F353F3">
      <w:pPr>
        <w:pStyle w:val="30"/>
        <w:bidi w:val="0"/>
        <w:rPr>
          <w:rFonts w:hint="default"/>
          <w:color w:val="auto"/>
          <w:highlight w:val="none"/>
        </w:rPr>
      </w:pPr>
      <w:bookmarkStart w:id="114" w:name="_Toc9859"/>
      <w:r>
        <w:rPr>
          <w:rFonts w:hint="default"/>
          <w:color w:val="auto"/>
          <w:highlight w:val="none"/>
          <w:lang w:eastAsia="zh-CN"/>
        </w:rPr>
        <w:t>（</w:t>
      </w:r>
      <w:r>
        <w:rPr>
          <w:rFonts w:hint="default"/>
          <w:color w:val="auto"/>
          <w:highlight w:val="none"/>
          <w:lang w:val="en-US" w:eastAsia="zh-CN"/>
        </w:rPr>
        <w:t>4</w:t>
      </w:r>
      <w:r>
        <w:rPr>
          <w:rFonts w:hint="default"/>
          <w:color w:val="auto"/>
          <w:highlight w:val="none"/>
          <w:lang w:eastAsia="zh-CN"/>
        </w:rPr>
        <w:t>）</w:t>
      </w:r>
      <w:r>
        <w:rPr>
          <w:rFonts w:hint="default"/>
          <w:color w:val="auto"/>
          <w:highlight w:val="none"/>
        </w:rPr>
        <w:t>评价结果</w:t>
      </w:r>
      <w:bookmarkEnd w:id="114"/>
    </w:p>
    <w:p w14:paraId="15BC8D8D">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区域地下水环境质量现状评价结果见下表。</w:t>
      </w:r>
    </w:p>
    <w:p w14:paraId="5DB93134">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地下水环境质量现状评价结果</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3"/>
        <w:gridCol w:w="3506"/>
        <w:gridCol w:w="3632"/>
        <w:gridCol w:w="3638"/>
      </w:tblGrid>
      <w:tr w14:paraId="5BDE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221" w:type="pct"/>
            <w:shd w:val="clear" w:color="auto" w:fill="auto"/>
            <w:vAlign w:val="center"/>
          </w:tcPr>
          <w:p w14:paraId="5EA87F56">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监测项目</w:t>
            </w:r>
          </w:p>
        </w:tc>
        <w:tc>
          <w:tcPr>
            <w:tcW w:w="1229" w:type="pct"/>
            <w:vAlign w:val="center"/>
          </w:tcPr>
          <w:p w14:paraId="684FD53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评价标准（mg/L）</w:t>
            </w:r>
          </w:p>
        </w:tc>
        <w:tc>
          <w:tcPr>
            <w:tcW w:w="1273" w:type="pct"/>
            <w:shd w:val="clear" w:color="auto" w:fill="auto"/>
            <w:vAlign w:val="center"/>
          </w:tcPr>
          <w:p w14:paraId="17ED24E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监测浓度（mg/L）</w:t>
            </w:r>
          </w:p>
        </w:tc>
        <w:tc>
          <w:tcPr>
            <w:tcW w:w="1275" w:type="pct"/>
            <w:shd w:val="clear" w:color="auto" w:fill="auto"/>
            <w:vAlign w:val="center"/>
          </w:tcPr>
          <w:p w14:paraId="0790A13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标准指数（Pimax）</w:t>
            </w:r>
          </w:p>
        </w:tc>
      </w:tr>
      <w:tr w14:paraId="7DA9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3C1A62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pH</w:t>
            </w:r>
          </w:p>
        </w:tc>
        <w:tc>
          <w:tcPr>
            <w:tcW w:w="1229" w:type="pct"/>
            <w:shd w:val="clear" w:color="auto" w:fill="auto"/>
            <w:vAlign w:val="center"/>
          </w:tcPr>
          <w:p w14:paraId="03DE9000">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6.5</w:t>
            </w:r>
            <w:r>
              <w:rPr>
                <w:rFonts w:hint="eastAsia" w:cs="Courier New"/>
                <w:b w:val="0"/>
                <w:bCs w:val="0"/>
                <w:color w:val="auto"/>
                <w:highlight w:val="none"/>
                <w:lang w:val="en-US" w:eastAsia="zh-CN"/>
              </w:rPr>
              <w:t>~8</w:t>
            </w:r>
            <w:r>
              <w:rPr>
                <w:rFonts w:hint="eastAsia" w:ascii="Times New Roman" w:hAnsi="Times New Roman" w:eastAsia="宋体" w:cs="Courier New"/>
                <w:b w:val="0"/>
                <w:bCs w:val="0"/>
                <w:color w:val="auto"/>
                <w:highlight w:val="none"/>
                <w:lang w:val="en-US" w:eastAsia="zh-CN"/>
              </w:rPr>
              <w:t>.5</w:t>
            </w:r>
          </w:p>
        </w:tc>
        <w:tc>
          <w:tcPr>
            <w:tcW w:w="1273" w:type="pct"/>
            <w:shd w:val="clear" w:color="auto" w:fill="auto"/>
            <w:vAlign w:val="center"/>
          </w:tcPr>
          <w:p w14:paraId="6A71D52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7.6~7.8</w:t>
            </w:r>
          </w:p>
        </w:tc>
        <w:tc>
          <w:tcPr>
            <w:tcW w:w="1275" w:type="pct"/>
            <w:vAlign w:val="center"/>
          </w:tcPr>
          <w:p w14:paraId="072A015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0.53</w:t>
            </w:r>
          </w:p>
        </w:tc>
      </w:tr>
      <w:tr w14:paraId="6D0E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0482466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氨氮</w:t>
            </w:r>
          </w:p>
        </w:tc>
        <w:tc>
          <w:tcPr>
            <w:tcW w:w="1229" w:type="pct"/>
            <w:shd w:val="clear" w:color="auto" w:fill="auto"/>
            <w:vAlign w:val="center"/>
          </w:tcPr>
          <w:p w14:paraId="4004C36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0.50</w:t>
            </w:r>
          </w:p>
        </w:tc>
        <w:tc>
          <w:tcPr>
            <w:tcW w:w="1273" w:type="pct"/>
            <w:shd w:val="clear" w:color="auto" w:fill="auto"/>
            <w:vAlign w:val="center"/>
          </w:tcPr>
          <w:p w14:paraId="676AB63E">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0.121~0.190</w:t>
            </w:r>
          </w:p>
        </w:tc>
        <w:tc>
          <w:tcPr>
            <w:tcW w:w="2427" w:type="dxa"/>
            <w:vAlign w:val="center"/>
          </w:tcPr>
          <w:p w14:paraId="263A744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0.38 </w:t>
            </w:r>
          </w:p>
        </w:tc>
      </w:tr>
      <w:tr w14:paraId="035C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C1A1B2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溶解性总固体</w:t>
            </w:r>
          </w:p>
        </w:tc>
        <w:tc>
          <w:tcPr>
            <w:tcW w:w="1229" w:type="pct"/>
            <w:shd w:val="clear" w:color="auto" w:fill="auto"/>
            <w:vAlign w:val="center"/>
          </w:tcPr>
          <w:p w14:paraId="4CC2BF7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1000</w:t>
            </w:r>
          </w:p>
        </w:tc>
        <w:tc>
          <w:tcPr>
            <w:tcW w:w="1273" w:type="pct"/>
            <w:shd w:val="clear" w:color="auto" w:fill="auto"/>
            <w:vAlign w:val="center"/>
          </w:tcPr>
          <w:p w14:paraId="096B897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185~230</w:t>
            </w:r>
          </w:p>
        </w:tc>
        <w:tc>
          <w:tcPr>
            <w:tcW w:w="2427" w:type="dxa"/>
            <w:vAlign w:val="center"/>
          </w:tcPr>
          <w:p w14:paraId="3987906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1.23 </w:t>
            </w:r>
          </w:p>
        </w:tc>
      </w:tr>
      <w:tr w14:paraId="070A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5744D4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挥发酚</w:t>
            </w:r>
          </w:p>
        </w:tc>
        <w:tc>
          <w:tcPr>
            <w:tcW w:w="1229" w:type="pct"/>
            <w:shd w:val="clear" w:color="auto" w:fill="auto"/>
            <w:vAlign w:val="center"/>
          </w:tcPr>
          <w:p w14:paraId="6C2CAC8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0.002</w:t>
            </w:r>
          </w:p>
        </w:tc>
        <w:tc>
          <w:tcPr>
            <w:tcW w:w="1273" w:type="pct"/>
            <w:shd w:val="clear" w:color="auto" w:fill="auto"/>
            <w:vAlign w:val="center"/>
          </w:tcPr>
          <w:p w14:paraId="162FCA5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未检出</w:t>
            </w:r>
          </w:p>
        </w:tc>
        <w:tc>
          <w:tcPr>
            <w:tcW w:w="2427" w:type="dxa"/>
            <w:shd w:val="clear" w:color="auto" w:fill="auto"/>
            <w:vAlign w:val="center"/>
          </w:tcPr>
          <w:p w14:paraId="11037DC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75D9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619965D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高锰酸盐指数（以O</w:t>
            </w:r>
            <w:r>
              <w:rPr>
                <w:rFonts w:hint="default" w:ascii="Times New Roman" w:hAnsi="Times New Roman" w:eastAsia="宋体" w:cs="Times New Roman"/>
                <w:color w:val="auto"/>
                <w:kern w:val="0"/>
                <w:sz w:val="21"/>
                <w:szCs w:val="21"/>
                <w:highlight w:val="none"/>
                <w:vertAlign w:val="subscript"/>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计）</w:t>
            </w:r>
          </w:p>
        </w:tc>
        <w:tc>
          <w:tcPr>
            <w:tcW w:w="1229" w:type="pct"/>
            <w:shd w:val="clear" w:color="auto" w:fill="auto"/>
            <w:vAlign w:val="center"/>
          </w:tcPr>
          <w:p w14:paraId="7AB5DEF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3.0</w:t>
            </w:r>
          </w:p>
        </w:tc>
        <w:tc>
          <w:tcPr>
            <w:tcW w:w="1273" w:type="pct"/>
            <w:shd w:val="clear" w:color="auto" w:fill="auto"/>
            <w:vAlign w:val="center"/>
          </w:tcPr>
          <w:p w14:paraId="43A36E1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1.95~2.27</w:t>
            </w:r>
          </w:p>
        </w:tc>
        <w:tc>
          <w:tcPr>
            <w:tcW w:w="2427" w:type="dxa"/>
            <w:shd w:val="clear" w:color="auto" w:fill="auto"/>
            <w:vAlign w:val="center"/>
          </w:tcPr>
          <w:p w14:paraId="19A1C2E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0.76 </w:t>
            </w:r>
          </w:p>
        </w:tc>
      </w:tr>
      <w:tr w14:paraId="599A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354A8E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硝酸盐</w:t>
            </w:r>
          </w:p>
        </w:tc>
        <w:tc>
          <w:tcPr>
            <w:tcW w:w="1229" w:type="pct"/>
            <w:shd w:val="clear" w:color="auto" w:fill="auto"/>
            <w:vAlign w:val="center"/>
          </w:tcPr>
          <w:p w14:paraId="5142D69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20.0</w:t>
            </w:r>
          </w:p>
        </w:tc>
        <w:tc>
          <w:tcPr>
            <w:tcW w:w="1273" w:type="pct"/>
            <w:shd w:val="clear" w:color="auto" w:fill="auto"/>
            <w:vAlign w:val="center"/>
          </w:tcPr>
          <w:p w14:paraId="2C0D794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0.45~1.02</w:t>
            </w:r>
          </w:p>
        </w:tc>
        <w:tc>
          <w:tcPr>
            <w:tcW w:w="2427" w:type="dxa"/>
            <w:vAlign w:val="center"/>
          </w:tcPr>
          <w:p w14:paraId="1EE49EA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0.05 </w:t>
            </w:r>
          </w:p>
        </w:tc>
      </w:tr>
      <w:tr w14:paraId="3A27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6BFEBE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亚硝酸盐</w:t>
            </w:r>
          </w:p>
        </w:tc>
        <w:tc>
          <w:tcPr>
            <w:tcW w:w="1229" w:type="pct"/>
            <w:shd w:val="clear" w:color="auto" w:fill="auto"/>
            <w:vAlign w:val="center"/>
          </w:tcPr>
          <w:p w14:paraId="4EFA179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1.00</w:t>
            </w:r>
          </w:p>
        </w:tc>
        <w:tc>
          <w:tcPr>
            <w:tcW w:w="1273" w:type="pct"/>
            <w:shd w:val="clear" w:color="auto" w:fill="auto"/>
            <w:vAlign w:val="center"/>
          </w:tcPr>
          <w:p w14:paraId="0725D9C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未检出</w:t>
            </w:r>
          </w:p>
        </w:tc>
        <w:tc>
          <w:tcPr>
            <w:tcW w:w="2427" w:type="dxa"/>
            <w:vAlign w:val="center"/>
          </w:tcPr>
          <w:p w14:paraId="4DA8AA4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5FBF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9A895B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硫酸盐</w:t>
            </w:r>
          </w:p>
        </w:tc>
        <w:tc>
          <w:tcPr>
            <w:tcW w:w="1229" w:type="pct"/>
            <w:shd w:val="clear" w:color="auto" w:fill="auto"/>
            <w:vAlign w:val="center"/>
          </w:tcPr>
          <w:p w14:paraId="4D4D26CA">
            <w:pPr>
              <w:pStyle w:val="24"/>
              <w:bidi w:val="0"/>
              <w:ind w:left="0" w:leftChars="0"/>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250</w:t>
            </w:r>
          </w:p>
        </w:tc>
        <w:tc>
          <w:tcPr>
            <w:tcW w:w="1273" w:type="pct"/>
            <w:shd w:val="clear" w:color="auto" w:fill="auto"/>
            <w:vAlign w:val="center"/>
          </w:tcPr>
          <w:p w14:paraId="0EDE18D5">
            <w:pPr>
              <w:pStyle w:val="24"/>
              <w:bidi w:val="0"/>
              <w:rPr>
                <w:rFonts w:hint="default" w:cs="Courier New"/>
                <w:b w:val="0"/>
                <w:bCs w:val="0"/>
                <w:color w:val="auto"/>
                <w:highlight w:val="none"/>
                <w:lang w:val="en-US" w:eastAsia="zh-CN"/>
              </w:rPr>
            </w:pPr>
            <w:r>
              <w:rPr>
                <w:rFonts w:hint="eastAsia" w:cs="Courier New"/>
                <w:b w:val="0"/>
                <w:bCs w:val="0"/>
                <w:color w:val="auto"/>
                <w:highlight w:val="none"/>
                <w:lang w:val="en-US" w:eastAsia="zh-CN"/>
              </w:rPr>
              <w:t>10~86</w:t>
            </w:r>
          </w:p>
        </w:tc>
        <w:tc>
          <w:tcPr>
            <w:tcW w:w="2427" w:type="dxa"/>
            <w:vAlign w:val="center"/>
          </w:tcPr>
          <w:p w14:paraId="580EC2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0.74 </w:t>
            </w:r>
          </w:p>
        </w:tc>
      </w:tr>
      <w:tr w14:paraId="5728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5F919A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氟化物</w:t>
            </w:r>
          </w:p>
        </w:tc>
        <w:tc>
          <w:tcPr>
            <w:tcW w:w="1229" w:type="pct"/>
            <w:shd w:val="clear" w:color="auto" w:fill="auto"/>
            <w:vAlign w:val="center"/>
          </w:tcPr>
          <w:p w14:paraId="292EACD8">
            <w:pPr>
              <w:pStyle w:val="24"/>
              <w:bidi w:val="0"/>
              <w:ind w:left="0" w:leftChars="0"/>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1.0</w:t>
            </w:r>
          </w:p>
        </w:tc>
        <w:tc>
          <w:tcPr>
            <w:tcW w:w="1273" w:type="pct"/>
            <w:shd w:val="clear" w:color="auto" w:fill="auto"/>
            <w:vAlign w:val="center"/>
          </w:tcPr>
          <w:p w14:paraId="4D90D617">
            <w:pPr>
              <w:pStyle w:val="24"/>
              <w:bidi w:val="0"/>
              <w:rPr>
                <w:rFonts w:hint="default" w:cs="Courier New"/>
                <w:b w:val="0"/>
                <w:bCs w:val="0"/>
                <w:color w:val="auto"/>
                <w:highlight w:val="none"/>
                <w:lang w:val="en-US" w:eastAsia="zh-CN"/>
              </w:rPr>
            </w:pPr>
            <w:r>
              <w:rPr>
                <w:rFonts w:hint="eastAsia" w:cs="Courier New"/>
                <w:b w:val="0"/>
                <w:bCs w:val="0"/>
                <w:color w:val="auto"/>
                <w:highlight w:val="none"/>
                <w:lang w:val="en-US" w:eastAsia="zh-CN"/>
              </w:rPr>
              <w:t>0.15~0.50</w:t>
            </w:r>
          </w:p>
        </w:tc>
        <w:tc>
          <w:tcPr>
            <w:tcW w:w="2427" w:type="dxa"/>
            <w:vAlign w:val="center"/>
          </w:tcPr>
          <w:p w14:paraId="406E3BC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0.50 </w:t>
            </w:r>
          </w:p>
        </w:tc>
      </w:tr>
      <w:tr w14:paraId="6E42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0F1D35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总硬度</w:t>
            </w:r>
          </w:p>
        </w:tc>
        <w:tc>
          <w:tcPr>
            <w:tcW w:w="1229" w:type="pct"/>
            <w:shd w:val="clear" w:color="auto" w:fill="auto"/>
            <w:vAlign w:val="center"/>
          </w:tcPr>
          <w:p w14:paraId="18032C3E">
            <w:pPr>
              <w:pStyle w:val="24"/>
              <w:bidi w:val="0"/>
              <w:ind w:left="0" w:leftChars="0"/>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450</w:t>
            </w:r>
          </w:p>
        </w:tc>
        <w:tc>
          <w:tcPr>
            <w:tcW w:w="1273" w:type="pct"/>
            <w:shd w:val="clear" w:color="auto" w:fill="auto"/>
            <w:vAlign w:val="center"/>
          </w:tcPr>
          <w:p w14:paraId="78BA7E65">
            <w:pPr>
              <w:pStyle w:val="24"/>
              <w:bidi w:val="0"/>
              <w:rPr>
                <w:rFonts w:hint="default" w:cs="Courier New"/>
                <w:b w:val="0"/>
                <w:bCs w:val="0"/>
                <w:color w:val="auto"/>
                <w:highlight w:val="none"/>
                <w:lang w:val="en-US" w:eastAsia="zh-CN"/>
              </w:rPr>
            </w:pPr>
            <w:r>
              <w:rPr>
                <w:rFonts w:hint="eastAsia" w:cs="Courier New"/>
                <w:b w:val="0"/>
                <w:bCs w:val="0"/>
                <w:color w:val="auto"/>
                <w:highlight w:val="none"/>
                <w:lang w:val="en-US" w:eastAsia="zh-CN"/>
              </w:rPr>
              <w:t>164~180</w:t>
            </w:r>
          </w:p>
        </w:tc>
        <w:tc>
          <w:tcPr>
            <w:tcW w:w="2427" w:type="dxa"/>
            <w:vAlign w:val="center"/>
          </w:tcPr>
          <w:p w14:paraId="4194CA4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0.40 </w:t>
            </w:r>
          </w:p>
        </w:tc>
      </w:tr>
      <w:tr w14:paraId="15FF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CFF2DC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铬（六价）</w:t>
            </w:r>
          </w:p>
        </w:tc>
        <w:tc>
          <w:tcPr>
            <w:tcW w:w="1229" w:type="pct"/>
            <w:shd w:val="clear" w:color="auto" w:fill="auto"/>
            <w:vAlign w:val="center"/>
          </w:tcPr>
          <w:p w14:paraId="1FAA5ACD">
            <w:pPr>
              <w:pStyle w:val="24"/>
              <w:bidi w:val="0"/>
              <w:ind w:left="0" w:leftChars="0"/>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0.05</w:t>
            </w:r>
          </w:p>
        </w:tc>
        <w:tc>
          <w:tcPr>
            <w:tcW w:w="1273" w:type="pct"/>
            <w:shd w:val="clear" w:color="auto" w:fill="auto"/>
            <w:vAlign w:val="center"/>
          </w:tcPr>
          <w:p w14:paraId="6AA49939">
            <w:pPr>
              <w:pStyle w:val="24"/>
              <w:bidi w:val="0"/>
              <w:rPr>
                <w:rFonts w:hint="eastAsia" w:cs="Courier New"/>
                <w:b w:val="0"/>
                <w:bCs w:val="0"/>
                <w:color w:val="auto"/>
                <w:highlight w:val="none"/>
                <w:lang w:val="en-US" w:eastAsia="zh-CN"/>
              </w:rPr>
            </w:pPr>
            <w:r>
              <w:rPr>
                <w:rFonts w:hint="eastAsia" w:cs="Courier New"/>
                <w:b w:val="0"/>
                <w:bCs w:val="0"/>
                <w:color w:val="auto"/>
                <w:highlight w:val="none"/>
                <w:lang w:val="en-US" w:eastAsia="zh-CN"/>
              </w:rPr>
              <w:t>未检出</w:t>
            </w:r>
          </w:p>
        </w:tc>
        <w:tc>
          <w:tcPr>
            <w:tcW w:w="2427" w:type="dxa"/>
            <w:vAlign w:val="center"/>
          </w:tcPr>
          <w:p w14:paraId="5753E73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5CEB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277AD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汞</w:t>
            </w:r>
          </w:p>
        </w:tc>
        <w:tc>
          <w:tcPr>
            <w:tcW w:w="1229" w:type="pct"/>
            <w:shd w:val="clear" w:color="auto" w:fill="auto"/>
            <w:vAlign w:val="center"/>
          </w:tcPr>
          <w:p w14:paraId="46C1BFFE">
            <w:pPr>
              <w:pStyle w:val="24"/>
              <w:bidi w:val="0"/>
              <w:ind w:left="0" w:leftChars="0"/>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0.001</w:t>
            </w:r>
          </w:p>
        </w:tc>
        <w:tc>
          <w:tcPr>
            <w:tcW w:w="1273" w:type="pct"/>
            <w:shd w:val="clear" w:color="auto" w:fill="auto"/>
            <w:vAlign w:val="center"/>
          </w:tcPr>
          <w:p w14:paraId="7A19E5F6">
            <w:pPr>
              <w:pStyle w:val="24"/>
              <w:bidi w:val="0"/>
              <w:rPr>
                <w:rFonts w:hint="eastAsia" w:cs="Courier New"/>
                <w:b w:val="0"/>
                <w:bCs w:val="0"/>
                <w:color w:val="auto"/>
                <w:highlight w:val="none"/>
                <w:lang w:val="en-US" w:eastAsia="zh-CN"/>
              </w:rPr>
            </w:pPr>
            <w:r>
              <w:rPr>
                <w:rFonts w:hint="eastAsia" w:cs="Courier New"/>
                <w:b w:val="0"/>
                <w:bCs w:val="0"/>
                <w:color w:val="auto"/>
                <w:highlight w:val="none"/>
                <w:lang w:val="en-US" w:eastAsia="zh-CN"/>
              </w:rPr>
              <w:t>未检出</w:t>
            </w:r>
          </w:p>
        </w:tc>
        <w:tc>
          <w:tcPr>
            <w:tcW w:w="2427" w:type="dxa"/>
            <w:vAlign w:val="center"/>
          </w:tcPr>
          <w:p w14:paraId="0EF5DB6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109A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9BACA7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总大肠菌群</w:t>
            </w:r>
          </w:p>
        </w:tc>
        <w:tc>
          <w:tcPr>
            <w:tcW w:w="1229" w:type="pct"/>
            <w:shd w:val="clear" w:color="auto" w:fill="auto"/>
            <w:vAlign w:val="center"/>
          </w:tcPr>
          <w:p w14:paraId="20FE675A">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3.0</w:t>
            </w:r>
          </w:p>
        </w:tc>
        <w:tc>
          <w:tcPr>
            <w:tcW w:w="1273" w:type="pct"/>
            <w:shd w:val="clear" w:color="auto" w:fill="auto"/>
            <w:vAlign w:val="center"/>
          </w:tcPr>
          <w:p w14:paraId="7796D999">
            <w:pPr>
              <w:pStyle w:val="24"/>
              <w:bidi w:val="0"/>
              <w:rPr>
                <w:rFonts w:hint="eastAsia" w:cs="Courier New"/>
                <w:b w:val="0"/>
                <w:bCs w:val="0"/>
                <w:color w:val="auto"/>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&lt;2</w:t>
            </w:r>
          </w:p>
        </w:tc>
        <w:tc>
          <w:tcPr>
            <w:tcW w:w="2427" w:type="dxa"/>
            <w:vAlign w:val="center"/>
          </w:tcPr>
          <w:p w14:paraId="0FA68B4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497D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8994F0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细菌总数</w:t>
            </w:r>
          </w:p>
        </w:tc>
        <w:tc>
          <w:tcPr>
            <w:tcW w:w="1229" w:type="pct"/>
            <w:shd w:val="clear" w:color="auto" w:fill="auto"/>
            <w:vAlign w:val="center"/>
          </w:tcPr>
          <w:p w14:paraId="0A6C852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100</w:t>
            </w:r>
          </w:p>
        </w:tc>
        <w:tc>
          <w:tcPr>
            <w:tcW w:w="1273" w:type="pct"/>
            <w:shd w:val="clear" w:color="auto" w:fill="auto"/>
            <w:vAlign w:val="center"/>
          </w:tcPr>
          <w:p w14:paraId="1A223DFF">
            <w:pPr>
              <w:pStyle w:val="24"/>
              <w:bidi w:val="0"/>
              <w:rPr>
                <w:rFonts w:hint="default" w:cs="Courier New"/>
                <w:b w:val="0"/>
                <w:bCs w:val="0"/>
                <w:color w:val="auto"/>
                <w:highlight w:val="none"/>
                <w:lang w:val="en-US" w:eastAsia="zh-CN"/>
              </w:rPr>
            </w:pPr>
            <w:r>
              <w:rPr>
                <w:rFonts w:hint="eastAsia" w:cs="Courier New"/>
                <w:b w:val="0"/>
                <w:bCs w:val="0"/>
                <w:color w:val="auto"/>
                <w:highlight w:val="none"/>
                <w:lang w:val="en-US" w:eastAsia="zh-CN"/>
              </w:rPr>
              <w:t>18~24</w:t>
            </w:r>
          </w:p>
        </w:tc>
        <w:tc>
          <w:tcPr>
            <w:tcW w:w="2427" w:type="dxa"/>
            <w:vAlign w:val="center"/>
          </w:tcPr>
          <w:p w14:paraId="4219CAE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0.24 </w:t>
            </w:r>
          </w:p>
        </w:tc>
      </w:tr>
      <w:tr w14:paraId="759F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515739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氰化物</w:t>
            </w:r>
          </w:p>
        </w:tc>
        <w:tc>
          <w:tcPr>
            <w:tcW w:w="1229" w:type="pct"/>
            <w:shd w:val="clear" w:color="auto" w:fill="auto"/>
            <w:vAlign w:val="center"/>
          </w:tcPr>
          <w:p w14:paraId="41392FFD">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0.05</w:t>
            </w:r>
          </w:p>
        </w:tc>
        <w:tc>
          <w:tcPr>
            <w:tcW w:w="1273" w:type="pct"/>
            <w:shd w:val="clear" w:color="auto" w:fill="auto"/>
            <w:vAlign w:val="center"/>
          </w:tcPr>
          <w:p w14:paraId="385DA207">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w:t>
            </w:r>
          </w:p>
        </w:tc>
        <w:tc>
          <w:tcPr>
            <w:tcW w:w="2427" w:type="dxa"/>
            <w:vAlign w:val="center"/>
          </w:tcPr>
          <w:p w14:paraId="0EED730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2C1F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4B874D1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氯化物</w:t>
            </w:r>
          </w:p>
        </w:tc>
        <w:tc>
          <w:tcPr>
            <w:tcW w:w="1229" w:type="pct"/>
            <w:shd w:val="clear" w:color="auto" w:fill="auto"/>
            <w:vAlign w:val="center"/>
          </w:tcPr>
          <w:p w14:paraId="71FD498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250</w:t>
            </w:r>
          </w:p>
        </w:tc>
        <w:tc>
          <w:tcPr>
            <w:tcW w:w="1273" w:type="pct"/>
            <w:shd w:val="clear" w:color="auto" w:fill="auto"/>
            <w:vAlign w:val="center"/>
          </w:tcPr>
          <w:p w14:paraId="4862D28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未检出~30</w:t>
            </w:r>
          </w:p>
        </w:tc>
        <w:tc>
          <w:tcPr>
            <w:tcW w:w="2427" w:type="dxa"/>
            <w:vAlign w:val="center"/>
          </w:tcPr>
          <w:p w14:paraId="68B8931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0.12 </w:t>
            </w:r>
          </w:p>
        </w:tc>
      </w:tr>
      <w:tr w14:paraId="2016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DABB98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砷</w:t>
            </w:r>
          </w:p>
        </w:tc>
        <w:tc>
          <w:tcPr>
            <w:tcW w:w="1229" w:type="pct"/>
            <w:shd w:val="clear" w:color="auto" w:fill="auto"/>
            <w:vAlign w:val="center"/>
          </w:tcPr>
          <w:p w14:paraId="751F3C0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0.01</w:t>
            </w:r>
          </w:p>
        </w:tc>
        <w:tc>
          <w:tcPr>
            <w:tcW w:w="1273" w:type="pct"/>
            <w:shd w:val="clear" w:color="auto" w:fill="auto"/>
            <w:vAlign w:val="center"/>
          </w:tcPr>
          <w:p w14:paraId="60225FF5">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w:t>
            </w:r>
          </w:p>
        </w:tc>
        <w:tc>
          <w:tcPr>
            <w:tcW w:w="2427" w:type="dxa"/>
            <w:vAlign w:val="center"/>
          </w:tcPr>
          <w:p w14:paraId="17A4DBB0">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432A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405E76C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铅</w:t>
            </w:r>
          </w:p>
        </w:tc>
        <w:tc>
          <w:tcPr>
            <w:tcW w:w="1229" w:type="pct"/>
            <w:shd w:val="clear" w:color="auto" w:fill="auto"/>
            <w:vAlign w:val="center"/>
          </w:tcPr>
          <w:p w14:paraId="26DBFE2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0.01</w:t>
            </w:r>
          </w:p>
        </w:tc>
        <w:tc>
          <w:tcPr>
            <w:tcW w:w="1273" w:type="pct"/>
            <w:shd w:val="clear" w:color="auto" w:fill="auto"/>
            <w:vAlign w:val="center"/>
          </w:tcPr>
          <w:p w14:paraId="62DC741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w:t>
            </w:r>
          </w:p>
        </w:tc>
        <w:tc>
          <w:tcPr>
            <w:tcW w:w="2427" w:type="dxa"/>
            <w:vAlign w:val="center"/>
          </w:tcPr>
          <w:p w14:paraId="617E5A3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7598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0782459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镉</w:t>
            </w:r>
          </w:p>
        </w:tc>
        <w:tc>
          <w:tcPr>
            <w:tcW w:w="1229" w:type="pct"/>
            <w:vAlign w:val="center"/>
          </w:tcPr>
          <w:p w14:paraId="70408EF8">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0.005</w:t>
            </w:r>
          </w:p>
        </w:tc>
        <w:tc>
          <w:tcPr>
            <w:tcW w:w="1273" w:type="pct"/>
            <w:shd w:val="clear" w:color="auto" w:fill="auto"/>
            <w:vAlign w:val="center"/>
          </w:tcPr>
          <w:p w14:paraId="2483866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w:t>
            </w:r>
          </w:p>
        </w:tc>
        <w:tc>
          <w:tcPr>
            <w:tcW w:w="2427" w:type="dxa"/>
            <w:vAlign w:val="center"/>
          </w:tcPr>
          <w:p w14:paraId="43856732">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w:t>
            </w:r>
          </w:p>
        </w:tc>
      </w:tr>
      <w:tr w14:paraId="63A0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E674FF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铁</w:t>
            </w:r>
          </w:p>
        </w:tc>
        <w:tc>
          <w:tcPr>
            <w:tcW w:w="1229" w:type="pct"/>
            <w:vAlign w:val="center"/>
          </w:tcPr>
          <w:p w14:paraId="23145F0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0.3</w:t>
            </w:r>
          </w:p>
        </w:tc>
        <w:tc>
          <w:tcPr>
            <w:tcW w:w="1273" w:type="pct"/>
            <w:shd w:val="clear" w:color="auto" w:fill="auto"/>
            <w:vAlign w:val="center"/>
          </w:tcPr>
          <w:p w14:paraId="03086509">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未检出~0.03</w:t>
            </w:r>
          </w:p>
        </w:tc>
        <w:tc>
          <w:tcPr>
            <w:tcW w:w="2427" w:type="dxa"/>
            <w:vAlign w:val="center"/>
          </w:tcPr>
          <w:p w14:paraId="73DA54EB">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0.1 </w:t>
            </w:r>
          </w:p>
        </w:tc>
      </w:tr>
      <w:tr w14:paraId="2B04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BD81B2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锰</w:t>
            </w:r>
          </w:p>
        </w:tc>
        <w:tc>
          <w:tcPr>
            <w:tcW w:w="1229" w:type="pct"/>
            <w:vAlign w:val="center"/>
          </w:tcPr>
          <w:p w14:paraId="4611AA1A">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0.10</w:t>
            </w:r>
          </w:p>
        </w:tc>
        <w:tc>
          <w:tcPr>
            <w:tcW w:w="1273" w:type="pct"/>
            <w:shd w:val="clear" w:color="auto" w:fill="auto"/>
            <w:vAlign w:val="center"/>
          </w:tcPr>
          <w:p w14:paraId="2BBCD14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未检出~0.08</w:t>
            </w:r>
          </w:p>
        </w:tc>
        <w:tc>
          <w:tcPr>
            <w:tcW w:w="2427" w:type="dxa"/>
            <w:vAlign w:val="center"/>
          </w:tcPr>
          <w:p w14:paraId="30E7E7A2">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0.8 </w:t>
            </w:r>
          </w:p>
        </w:tc>
      </w:tr>
      <w:tr w14:paraId="1FEE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4377AE6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钠</w:t>
            </w:r>
          </w:p>
        </w:tc>
        <w:tc>
          <w:tcPr>
            <w:tcW w:w="1229" w:type="pct"/>
            <w:vAlign w:val="center"/>
          </w:tcPr>
          <w:p w14:paraId="6FF4EC21">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200</w:t>
            </w:r>
          </w:p>
        </w:tc>
        <w:tc>
          <w:tcPr>
            <w:tcW w:w="1273" w:type="pct"/>
            <w:shd w:val="clear" w:color="auto" w:fill="auto"/>
            <w:vAlign w:val="center"/>
          </w:tcPr>
          <w:p w14:paraId="0003947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0.16~13.6</w:t>
            </w:r>
          </w:p>
        </w:tc>
        <w:tc>
          <w:tcPr>
            <w:tcW w:w="2427" w:type="dxa"/>
            <w:vAlign w:val="center"/>
          </w:tcPr>
          <w:p w14:paraId="306F7FE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 xml:space="preserve">0.07 </w:t>
            </w:r>
          </w:p>
        </w:tc>
      </w:tr>
      <w:tr w14:paraId="30B4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C2BD78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铝</w:t>
            </w:r>
          </w:p>
        </w:tc>
        <w:tc>
          <w:tcPr>
            <w:tcW w:w="1229" w:type="pct"/>
            <w:shd w:val="clear" w:color="auto" w:fill="auto"/>
            <w:vAlign w:val="center"/>
          </w:tcPr>
          <w:p w14:paraId="3AD6DFE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0.20</w:t>
            </w:r>
          </w:p>
        </w:tc>
        <w:tc>
          <w:tcPr>
            <w:tcW w:w="1273" w:type="pct"/>
            <w:shd w:val="clear" w:color="auto" w:fill="auto"/>
            <w:vAlign w:val="center"/>
          </w:tcPr>
          <w:p w14:paraId="0CC7C27C">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0.012~0.198</w:t>
            </w:r>
          </w:p>
        </w:tc>
        <w:tc>
          <w:tcPr>
            <w:tcW w:w="2427" w:type="dxa"/>
            <w:vAlign w:val="center"/>
          </w:tcPr>
          <w:p w14:paraId="7484C77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0.99</w:t>
            </w:r>
          </w:p>
        </w:tc>
      </w:tr>
    </w:tbl>
    <w:p w14:paraId="3C2A2C79">
      <w:pPr>
        <w:pStyle w:val="26"/>
        <w:ind w:firstLine="480"/>
        <w:rPr>
          <w:rFonts w:hint="default" w:ascii="Times New Roman" w:hAnsi="Times New Roman" w:cs="Times New Roman"/>
          <w:color w:val="auto"/>
          <w:szCs w:val="22"/>
          <w:highlight w:val="none"/>
          <w:lang w:bidi="ar"/>
        </w:rPr>
      </w:pPr>
      <w:r>
        <w:rPr>
          <w:rFonts w:hint="default" w:ascii="Times New Roman" w:hAnsi="Times New Roman" w:cs="Times New Roman"/>
          <w:color w:val="auto"/>
          <w:szCs w:val="22"/>
          <w:highlight w:val="none"/>
          <w:lang w:bidi="ar"/>
        </w:rPr>
        <w:t>结果表明，评价</w:t>
      </w:r>
      <w:r>
        <w:rPr>
          <w:rFonts w:hint="eastAsia" w:cs="Times New Roman"/>
          <w:color w:val="auto"/>
          <w:szCs w:val="22"/>
          <w:highlight w:val="none"/>
          <w:lang w:val="en-US" w:eastAsia="zh-CN" w:bidi="ar"/>
        </w:rPr>
        <w:t>区域</w:t>
      </w:r>
      <w:r>
        <w:rPr>
          <w:rFonts w:hint="default" w:ascii="Times New Roman" w:hAnsi="Times New Roman" w:cs="Times New Roman"/>
          <w:color w:val="auto"/>
          <w:szCs w:val="22"/>
          <w:highlight w:val="none"/>
          <w:lang w:bidi="ar"/>
        </w:rPr>
        <w:t>地下水监测点位</w:t>
      </w:r>
      <w:r>
        <w:rPr>
          <w:rFonts w:hint="eastAsia" w:ascii="Times New Roman" w:hAnsi="Times New Roman" w:cs="Times New Roman"/>
          <w:color w:val="auto"/>
          <w:szCs w:val="22"/>
          <w:highlight w:val="none"/>
          <w:lang w:val="en-US" w:eastAsia="zh-CN" w:bidi="ar"/>
        </w:rPr>
        <w:t>各项</w:t>
      </w:r>
      <w:r>
        <w:rPr>
          <w:rFonts w:hint="default" w:ascii="Times New Roman" w:hAnsi="Times New Roman" w:cs="Times New Roman"/>
          <w:color w:val="auto"/>
          <w:szCs w:val="22"/>
          <w:highlight w:val="none"/>
          <w:lang w:bidi="ar"/>
        </w:rPr>
        <w:t>监测因子均满足《地下水质量标准》（GB/T14848-2017）中Ⅲ类标准要求。</w:t>
      </w:r>
    </w:p>
    <w:p w14:paraId="4944FE00">
      <w:pPr>
        <w:pStyle w:val="4"/>
        <w:bidi w:val="0"/>
        <w:rPr>
          <w:rFonts w:hint="default" w:ascii="Times New Roman" w:hAnsi="Times New Roman"/>
          <w:color w:val="auto"/>
          <w:highlight w:val="none"/>
        </w:rPr>
      </w:pPr>
      <w:bookmarkStart w:id="115" w:name="_Toc3807"/>
      <w:r>
        <w:rPr>
          <w:rFonts w:hint="eastAsia" w:ascii="Times New Roman" w:hAnsi="Times New Roman"/>
          <w:color w:val="auto"/>
          <w:highlight w:val="none"/>
        </w:rPr>
        <w:t>土壤环境质量现状评价</w:t>
      </w:r>
      <w:bookmarkEnd w:id="115"/>
    </w:p>
    <w:p w14:paraId="6A86710D">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为了解区域土壤环境质量现状，本次</w:t>
      </w:r>
      <w:r>
        <w:rPr>
          <w:rFonts w:hint="eastAsia"/>
          <w:color w:val="auto"/>
          <w:highlight w:val="none"/>
          <w:lang w:val="en-US" w:eastAsia="zh-CN"/>
        </w:rPr>
        <w:t>环评</w:t>
      </w:r>
      <w:r>
        <w:rPr>
          <w:rFonts w:hint="default"/>
          <w:color w:val="auto"/>
          <w:highlight w:val="none"/>
        </w:rPr>
        <w:t>委托四川华皓检测技术有限公司</w:t>
      </w:r>
      <w:r>
        <w:rPr>
          <w:rFonts w:hint="eastAsia" w:ascii="Times New Roman" w:hAnsi="Times New Roman" w:eastAsia="宋体" w:cs="Times New Roman"/>
          <w:color w:val="auto"/>
          <w:sz w:val="24"/>
          <w:szCs w:val="24"/>
        </w:rPr>
        <w:t>对区域土壤环境进行</w:t>
      </w:r>
      <w:r>
        <w:rPr>
          <w:rFonts w:hint="default"/>
          <w:color w:val="auto"/>
          <w:highlight w:val="none"/>
        </w:rPr>
        <w:t>了现状监测</w:t>
      </w:r>
      <w:r>
        <w:rPr>
          <w:rFonts w:hint="eastAsia" w:ascii="Times New Roman" w:hAnsi="Times New Roman" w:eastAsia="宋体" w:cs="Times New Roman"/>
          <w:color w:val="auto"/>
          <w:sz w:val="24"/>
          <w:szCs w:val="24"/>
        </w:rPr>
        <w:t>。</w:t>
      </w:r>
    </w:p>
    <w:p w14:paraId="484CBABD">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1、土壤</w:t>
      </w:r>
      <w:r>
        <w:rPr>
          <w:rFonts w:hint="default" w:ascii="Times New Roman" w:hAnsi="Times New Roman" w:eastAsia="宋体" w:cs="Times New Roman"/>
          <w:b/>
          <w:bCs/>
          <w:color w:val="auto"/>
          <w:highlight w:val="none"/>
          <w:lang w:val="en-US" w:eastAsia="zh-CN"/>
        </w:rPr>
        <w:t>环境质量现状监测</w:t>
      </w:r>
    </w:p>
    <w:p w14:paraId="2FC337F3">
      <w:pPr>
        <w:spacing w:line="360" w:lineRule="auto"/>
        <w:ind w:left="0" w:leftChars="0" w:firstLine="482" w:firstLineChars="200"/>
        <w:rPr>
          <w:b/>
          <w:color w:val="auto"/>
          <w:sz w:val="24"/>
        </w:rPr>
      </w:pPr>
      <w:r>
        <w:rPr>
          <w:rFonts w:hint="eastAsia"/>
          <w:b/>
          <w:color w:val="auto"/>
          <w:sz w:val="24"/>
        </w:rPr>
        <w:t>（</w:t>
      </w:r>
      <w:r>
        <w:rPr>
          <w:b/>
          <w:color w:val="auto"/>
          <w:sz w:val="24"/>
        </w:rPr>
        <w:t>1</w:t>
      </w:r>
      <w:r>
        <w:rPr>
          <w:rFonts w:hint="eastAsia"/>
          <w:b/>
          <w:color w:val="auto"/>
          <w:sz w:val="24"/>
        </w:rPr>
        <w:t>）监测点位</w:t>
      </w:r>
    </w:p>
    <w:p w14:paraId="54AF82BC">
      <w:pPr>
        <w:spacing w:line="360" w:lineRule="auto"/>
        <w:ind w:left="0" w:leftChars="0" w:firstLine="480" w:firstLineChars="200"/>
        <w:rPr>
          <w:rFonts w:ascii="Times New Roman" w:hAnsi="Times New Roman"/>
          <w:color w:val="auto"/>
          <w:sz w:val="24"/>
        </w:rPr>
      </w:pPr>
      <w:r>
        <w:rPr>
          <w:rFonts w:hint="eastAsia" w:ascii="Times New Roman" w:hAnsi="Times New Roman"/>
          <w:color w:val="auto"/>
          <w:sz w:val="24"/>
          <w:szCs w:val="24"/>
        </w:rPr>
        <w:t>本次</w:t>
      </w:r>
      <w:r>
        <w:rPr>
          <w:rFonts w:hint="eastAsia" w:ascii="Times New Roman" w:hAnsi="Times New Roman"/>
          <w:color w:val="auto"/>
          <w:sz w:val="24"/>
          <w:szCs w:val="24"/>
          <w:lang w:val="en-US" w:eastAsia="zh-CN"/>
        </w:rPr>
        <w:t>环评</w:t>
      </w:r>
      <w:r>
        <w:rPr>
          <w:rFonts w:hint="eastAsia" w:ascii="Times New Roman" w:hAnsi="Times New Roman"/>
          <w:color w:val="auto"/>
          <w:sz w:val="24"/>
          <w:szCs w:val="24"/>
        </w:rPr>
        <w:t>共设</w:t>
      </w:r>
      <w:r>
        <w:rPr>
          <w:rFonts w:ascii="Times New Roman" w:hAnsi="Times New Roman"/>
          <w:color w:val="auto"/>
          <w:sz w:val="24"/>
          <w:szCs w:val="24"/>
        </w:rPr>
        <w:t>5</w:t>
      </w:r>
      <w:r>
        <w:rPr>
          <w:rFonts w:hint="eastAsia" w:ascii="Times New Roman" w:hAnsi="Times New Roman"/>
          <w:color w:val="auto"/>
          <w:sz w:val="24"/>
          <w:szCs w:val="24"/>
        </w:rPr>
        <w:t>个柱状样</w:t>
      </w:r>
      <w:r>
        <w:rPr>
          <w:rFonts w:ascii="Times New Roman" w:hAnsi="Times New Roman"/>
          <w:color w:val="auto"/>
          <w:sz w:val="24"/>
          <w:szCs w:val="24"/>
        </w:rPr>
        <w:t>点和6</w:t>
      </w:r>
      <w:r>
        <w:rPr>
          <w:rFonts w:hint="eastAsia" w:ascii="Times New Roman" w:hAnsi="Times New Roman"/>
          <w:color w:val="auto"/>
          <w:sz w:val="24"/>
          <w:szCs w:val="24"/>
        </w:rPr>
        <w:t>个</w:t>
      </w:r>
      <w:r>
        <w:rPr>
          <w:rFonts w:ascii="Times New Roman" w:hAnsi="Times New Roman"/>
          <w:color w:val="auto"/>
          <w:sz w:val="24"/>
          <w:szCs w:val="24"/>
        </w:rPr>
        <w:t>表层</w:t>
      </w:r>
      <w:r>
        <w:rPr>
          <w:rFonts w:hint="eastAsia" w:ascii="Times New Roman" w:hAnsi="Times New Roman"/>
          <w:color w:val="auto"/>
          <w:sz w:val="24"/>
          <w:szCs w:val="24"/>
        </w:rPr>
        <w:t>样点</w:t>
      </w:r>
      <w:r>
        <w:rPr>
          <w:rFonts w:hint="eastAsia" w:ascii="Times New Roman" w:hAnsi="Times New Roman"/>
          <w:color w:val="auto"/>
          <w:sz w:val="24"/>
        </w:rPr>
        <w:t>，监测点位置</w:t>
      </w:r>
      <w:r>
        <w:rPr>
          <w:rFonts w:ascii="Times New Roman" w:hAnsi="Times New Roman"/>
          <w:color w:val="auto"/>
          <w:sz w:val="24"/>
        </w:rPr>
        <w:t>见</w:t>
      </w:r>
      <w:r>
        <w:rPr>
          <w:rFonts w:hint="eastAsia"/>
          <w:color w:val="auto"/>
          <w:sz w:val="24"/>
          <w:lang w:val="en-US" w:eastAsia="zh-CN"/>
        </w:rPr>
        <w:t>下</w:t>
      </w:r>
      <w:r>
        <w:rPr>
          <w:rFonts w:ascii="Times New Roman" w:hAnsi="Times New Roman"/>
          <w:color w:val="auto"/>
          <w:sz w:val="24"/>
        </w:rPr>
        <w:t>表。</w:t>
      </w:r>
    </w:p>
    <w:p w14:paraId="35DC4560">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土壤</w:t>
      </w:r>
      <w:r>
        <w:rPr>
          <w:rFonts w:hint="default" w:ascii="Times New Roman" w:hAnsi="Times New Roman" w:cs="Times New Roman"/>
          <w:color w:val="auto"/>
          <w:highlight w:val="none"/>
          <w:lang w:val="en-US" w:eastAsia="zh-CN"/>
        </w:rPr>
        <w:t>监测点位置</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1"/>
        <w:gridCol w:w="1119"/>
        <w:gridCol w:w="4616"/>
        <w:gridCol w:w="5524"/>
        <w:gridCol w:w="1070"/>
      </w:tblGrid>
      <w:tr w14:paraId="759A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gridSpan w:val="2"/>
            <w:vAlign w:val="center"/>
          </w:tcPr>
          <w:p w14:paraId="3139424C">
            <w:pPr>
              <w:pStyle w:val="31"/>
              <w:bidi w:val="0"/>
              <w:rPr>
                <w:rFonts w:hint="eastAsia" w:ascii="Times New Roman" w:hAnsi="Times New Roman" w:eastAsia="宋体" w:cs="宋体"/>
                <w:b/>
                <w:bCs w:val="0"/>
                <w:color w:val="auto"/>
                <w:highlight w:val="none"/>
                <w:lang w:val="en-US" w:eastAsia="zh-CN"/>
              </w:rPr>
            </w:pPr>
            <w:r>
              <w:rPr>
                <w:rFonts w:hint="eastAsia" w:ascii="Times New Roman" w:hAnsi="Times New Roman" w:eastAsia="宋体" w:cs="宋体"/>
                <w:b/>
                <w:bCs w:val="0"/>
                <w:color w:val="auto"/>
                <w:highlight w:val="none"/>
                <w:lang w:val="en-US" w:eastAsia="zh-CN"/>
              </w:rPr>
              <w:t>编  号</w:t>
            </w:r>
          </w:p>
        </w:tc>
        <w:tc>
          <w:tcPr>
            <w:tcW w:w="1617" w:type="pct"/>
            <w:vAlign w:val="center"/>
          </w:tcPr>
          <w:p w14:paraId="6032B48E">
            <w:pPr>
              <w:pStyle w:val="31"/>
              <w:bidi w:val="0"/>
              <w:rPr>
                <w:rFonts w:hint="eastAsia" w:ascii="Times New Roman" w:hAnsi="Times New Roman" w:eastAsia="宋体" w:cs="宋体"/>
                <w:b/>
                <w:bCs w:val="0"/>
                <w:color w:val="auto"/>
                <w:highlight w:val="none"/>
                <w:lang w:val="en-US" w:eastAsia="zh-CN"/>
              </w:rPr>
            </w:pPr>
            <w:r>
              <w:rPr>
                <w:rFonts w:hint="eastAsia" w:ascii="Times New Roman" w:hAnsi="Times New Roman" w:eastAsia="宋体" w:cs="宋体"/>
                <w:b/>
                <w:bCs w:val="0"/>
                <w:color w:val="auto"/>
                <w:highlight w:val="none"/>
                <w:lang w:val="en-US" w:eastAsia="zh-CN"/>
              </w:rPr>
              <w:t>监测点位</w:t>
            </w:r>
          </w:p>
        </w:tc>
        <w:tc>
          <w:tcPr>
            <w:tcW w:w="2310" w:type="pct"/>
            <w:gridSpan w:val="2"/>
            <w:vAlign w:val="center"/>
          </w:tcPr>
          <w:p w14:paraId="1B134C7A">
            <w:pPr>
              <w:pStyle w:val="31"/>
              <w:bidi w:val="0"/>
              <w:rPr>
                <w:rFonts w:hint="eastAsia" w:ascii="Times New Roman" w:hAnsi="Times New Roman" w:eastAsia="宋体" w:cs="宋体"/>
                <w:b/>
                <w:bCs w:val="0"/>
                <w:color w:val="auto"/>
                <w:highlight w:val="none"/>
                <w:lang w:val="en-US" w:eastAsia="zh-CN"/>
              </w:rPr>
            </w:pPr>
            <w:r>
              <w:rPr>
                <w:rFonts w:hint="eastAsia" w:ascii="Times New Roman" w:hAnsi="Times New Roman" w:eastAsia="宋体" w:cs="宋体"/>
                <w:b/>
                <w:bCs w:val="0"/>
                <w:color w:val="auto"/>
                <w:highlight w:val="none"/>
                <w:lang w:val="en-US" w:eastAsia="zh-CN"/>
              </w:rPr>
              <w:t>备注</w:t>
            </w:r>
          </w:p>
        </w:tc>
      </w:tr>
      <w:tr w14:paraId="58F2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vAlign w:val="center"/>
          </w:tcPr>
          <w:p w14:paraId="0A4F39AC">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占地范围内</w:t>
            </w:r>
          </w:p>
        </w:tc>
        <w:tc>
          <w:tcPr>
            <w:tcW w:w="391" w:type="pct"/>
            <w:vAlign w:val="center"/>
          </w:tcPr>
          <w:p w14:paraId="3B7F5A8C">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S1</w:t>
            </w:r>
          </w:p>
        </w:tc>
        <w:tc>
          <w:tcPr>
            <w:tcW w:w="1617" w:type="pct"/>
            <w:shd w:val="clear" w:color="auto" w:fill="auto"/>
            <w:vAlign w:val="center"/>
          </w:tcPr>
          <w:p w14:paraId="156C96F2">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车间所在地块</w:t>
            </w:r>
          </w:p>
        </w:tc>
        <w:tc>
          <w:tcPr>
            <w:tcW w:w="1935" w:type="pct"/>
            <w:vAlign w:val="center"/>
          </w:tcPr>
          <w:p w14:paraId="69EE0B25">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建设用地，监测3项，做土壤剖面</w:t>
            </w:r>
          </w:p>
        </w:tc>
        <w:tc>
          <w:tcPr>
            <w:tcW w:w="374" w:type="pct"/>
            <w:vMerge w:val="restart"/>
            <w:vAlign w:val="center"/>
          </w:tcPr>
          <w:p w14:paraId="78FABACB">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柱状样点</w:t>
            </w:r>
          </w:p>
        </w:tc>
      </w:tr>
      <w:tr w14:paraId="3A0B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717082EB">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51113C2B">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S2</w:t>
            </w:r>
          </w:p>
        </w:tc>
        <w:tc>
          <w:tcPr>
            <w:tcW w:w="1617" w:type="pct"/>
            <w:shd w:val="clear" w:color="auto" w:fill="auto"/>
            <w:vAlign w:val="center"/>
          </w:tcPr>
          <w:p w14:paraId="440BA4C2">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罐区所在地块</w:t>
            </w:r>
          </w:p>
        </w:tc>
        <w:tc>
          <w:tcPr>
            <w:tcW w:w="1935" w:type="pct"/>
            <w:vAlign w:val="center"/>
          </w:tcPr>
          <w:p w14:paraId="37603BFB">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continue"/>
            <w:vAlign w:val="center"/>
          </w:tcPr>
          <w:p w14:paraId="51534466">
            <w:pPr>
              <w:pStyle w:val="31"/>
              <w:bidi w:val="0"/>
              <w:rPr>
                <w:rFonts w:hint="eastAsia" w:ascii="Times New Roman" w:hAnsi="Times New Roman" w:eastAsia="宋体" w:cs="宋体"/>
                <w:b w:val="0"/>
                <w:bCs/>
                <w:color w:val="auto"/>
                <w:highlight w:val="none"/>
                <w:lang w:val="en-US" w:eastAsia="zh-CN"/>
              </w:rPr>
            </w:pPr>
          </w:p>
        </w:tc>
      </w:tr>
      <w:tr w14:paraId="6D20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10E9FC59">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6BD30AD7">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S3</w:t>
            </w:r>
          </w:p>
        </w:tc>
        <w:tc>
          <w:tcPr>
            <w:tcW w:w="1617" w:type="pct"/>
            <w:shd w:val="clear" w:color="auto" w:fill="auto"/>
            <w:vAlign w:val="center"/>
          </w:tcPr>
          <w:p w14:paraId="3771CCDE">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罐区所在地块</w:t>
            </w:r>
          </w:p>
        </w:tc>
        <w:tc>
          <w:tcPr>
            <w:tcW w:w="1935" w:type="pct"/>
            <w:vAlign w:val="center"/>
          </w:tcPr>
          <w:p w14:paraId="7D92A09C">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continue"/>
            <w:vAlign w:val="center"/>
          </w:tcPr>
          <w:p w14:paraId="3B501646">
            <w:pPr>
              <w:pStyle w:val="31"/>
              <w:bidi w:val="0"/>
              <w:rPr>
                <w:rFonts w:hint="eastAsia" w:ascii="Times New Roman" w:hAnsi="Times New Roman" w:eastAsia="宋体" w:cs="宋体"/>
                <w:b w:val="0"/>
                <w:bCs/>
                <w:color w:val="auto"/>
                <w:highlight w:val="none"/>
                <w:lang w:val="en-US" w:eastAsia="zh-CN"/>
              </w:rPr>
            </w:pPr>
          </w:p>
        </w:tc>
      </w:tr>
      <w:tr w14:paraId="0700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2D25B155">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6DB3F2C4">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S4</w:t>
            </w:r>
          </w:p>
        </w:tc>
        <w:tc>
          <w:tcPr>
            <w:tcW w:w="1617" w:type="pct"/>
            <w:vAlign w:val="center"/>
          </w:tcPr>
          <w:p w14:paraId="7518AE79">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罐区所在地块</w:t>
            </w:r>
          </w:p>
        </w:tc>
        <w:tc>
          <w:tcPr>
            <w:tcW w:w="1935" w:type="pct"/>
            <w:vAlign w:val="center"/>
          </w:tcPr>
          <w:p w14:paraId="373C00AF">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continue"/>
            <w:vAlign w:val="center"/>
          </w:tcPr>
          <w:p w14:paraId="0728122D">
            <w:pPr>
              <w:pStyle w:val="31"/>
              <w:bidi w:val="0"/>
              <w:rPr>
                <w:rFonts w:hint="eastAsia" w:ascii="Times New Roman" w:hAnsi="Times New Roman" w:eastAsia="宋体" w:cs="宋体"/>
                <w:b w:val="0"/>
                <w:bCs/>
                <w:color w:val="auto"/>
                <w:highlight w:val="none"/>
                <w:lang w:val="en-US" w:eastAsia="zh-CN"/>
              </w:rPr>
            </w:pPr>
          </w:p>
        </w:tc>
      </w:tr>
      <w:tr w14:paraId="09DF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7642E23A">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6092762C">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S5</w:t>
            </w:r>
          </w:p>
        </w:tc>
        <w:tc>
          <w:tcPr>
            <w:tcW w:w="1617" w:type="pct"/>
            <w:shd w:val="clear" w:color="auto" w:fill="auto"/>
            <w:vAlign w:val="center"/>
          </w:tcPr>
          <w:p w14:paraId="7746BCC7">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仓库所在地块</w:t>
            </w:r>
          </w:p>
        </w:tc>
        <w:tc>
          <w:tcPr>
            <w:tcW w:w="1935" w:type="pct"/>
            <w:vAlign w:val="center"/>
          </w:tcPr>
          <w:p w14:paraId="72E18BBE">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continue"/>
            <w:vAlign w:val="center"/>
          </w:tcPr>
          <w:p w14:paraId="0CC51A79">
            <w:pPr>
              <w:pStyle w:val="31"/>
              <w:bidi w:val="0"/>
              <w:rPr>
                <w:rFonts w:hint="eastAsia" w:ascii="Times New Roman" w:hAnsi="Times New Roman" w:eastAsia="宋体" w:cs="宋体"/>
                <w:b w:val="0"/>
                <w:bCs/>
                <w:color w:val="auto"/>
                <w:highlight w:val="none"/>
                <w:lang w:val="en-US" w:eastAsia="zh-CN"/>
              </w:rPr>
            </w:pPr>
          </w:p>
        </w:tc>
      </w:tr>
      <w:tr w14:paraId="4FE4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5198CAEC">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388181BD">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S6</w:t>
            </w:r>
          </w:p>
        </w:tc>
        <w:tc>
          <w:tcPr>
            <w:tcW w:w="1617" w:type="pct"/>
            <w:shd w:val="clear" w:color="auto" w:fill="auto"/>
            <w:vAlign w:val="center"/>
          </w:tcPr>
          <w:p w14:paraId="3B5D3331">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池体所在地块</w:t>
            </w:r>
          </w:p>
        </w:tc>
        <w:tc>
          <w:tcPr>
            <w:tcW w:w="1935" w:type="pct"/>
            <w:vAlign w:val="center"/>
          </w:tcPr>
          <w:p w14:paraId="3FB9E793">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restart"/>
            <w:vAlign w:val="center"/>
          </w:tcPr>
          <w:p w14:paraId="1F1CED94">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表层样点</w:t>
            </w:r>
          </w:p>
        </w:tc>
      </w:tr>
      <w:tr w14:paraId="4B71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63F845E2">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2081F419">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S7</w:t>
            </w:r>
          </w:p>
        </w:tc>
        <w:tc>
          <w:tcPr>
            <w:tcW w:w="1617" w:type="pct"/>
            <w:vAlign w:val="center"/>
          </w:tcPr>
          <w:p w14:paraId="7D1000C1">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装卸区所在地块</w:t>
            </w:r>
          </w:p>
        </w:tc>
        <w:tc>
          <w:tcPr>
            <w:tcW w:w="1935" w:type="pct"/>
            <w:vAlign w:val="center"/>
          </w:tcPr>
          <w:p w14:paraId="7B43DE2E">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建设用地，48项全测，并同步监测理化性质</w:t>
            </w:r>
          </w:p>
        </w:tc>
        <w:tc>
          <w:tcPr>
            <w:tcW w:w="374" w:type="pct"/>
            <w:vMerge w:val="continue"/>
            <w:vAlign w:val="center"/>
          </w:tcPr>
          <w:p w14:paraId="1074BDD5">
            <w:pPr>
              <w:jc w:val="center"/>
              <w:rPr>
                <w:rFonts w:cstheme="minorHAnsi"/>
                <w:b w:val="0"/>
                <w:bCs/>
                <w:color w:val="auto"/>
                <w:szCs w:val="21"/>
              </w:rPr>
            </w:pPr>
          </w:p>
        </w:tc>
      </w:tr>
      <w:tr w14:paraId="593D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vAlign w:val="center"/>
          </w:tcPr>
          <w:p w14:paraId="52C32FE1">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占地范围外1km范围内</w:t>
            </w:r>
          </w:p>
        </w:tc>
        <w:tc>
          <w:tcPr>
            <w:tcW w:w="391" w:type="pct"/>
            <w:vAlign w:val="center"/>
          </w:tcPr>
          <w:p w14:paraId="2EDF26A4">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S8</w:t>
            </w:r>
          </w:p>
        </w:tc>
        <w:tc>
          <w:tcPr>
            <w:tcW w:w="1617" w:type="pct"/>
            <w:vAlign w:val="center"/>
          </w:tcPr>
          <w:p w14:paraId="447A561F">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项目厂址西北侧</w:t>
            </w:r>
          </w:p>
        </w:tc>
        <w:tc>
          <w:tcPr>
            <w:tcW w:w="1935" w:type="pct"/>
            <w:vAlign w:val="center"/>
          </w:tcPr>
          <w:p w14:paraId="5F83129E">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农用地，11项全测，并同步监测理化性质</w:t>
            </w:r>
          </w:p>
        </w:tc>
        <w:tc>
          <w:tcPr>
            <w:tcW w:w="374" w:type="pct"/>
            <w:vMerge w:val="continue"/>
            <w:vAlign w:val="center"/>
          </w:tcPr>
          <w:p w14:paraId="125C6BCF">
            <w:pPr>
              <w:jc w:val="center"/>
              <w:rPr>
                <w:rFonts w:cstheme="minorHAnsi"/>
                <w:b w:val="0"/>
                <w:bCs/>
                <w:color w:val="auto"/>
                <w:szCs w:val="21"/>
              </w:rPr>
            </w:pPr>
          </w:p>
        </w:tc>
      </w:tr>
      <w:tr w14:paraId="4145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043646C8">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53D016DE">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S9</w:t>
            </w:r>
          </w:p>
        </w:tc>
        <w:tc>
          <w:tcPr>
            <w:tcW w:w="1617" w:type="pct"/>
            <w:vAlign w:val="center"/>
          </w:tcPr>
          <w:p w14:paraId="42A9CECA">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项目厂址东南侧</w:t>
            </w:r>
          </w:p>
        </w:tc>
        <w:tc>
          <w:tcPr>
            <w:tcW w:w="1935" w:type="pct"/>
            <w:vAlign w:val="center"/>
          </w:tcPr>
          <w:p w14:paraId="3A59481B">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continue"/>
            <w:vAlign w:val="center"/>
          </w:tcPr>
          <w:p w14:paraId="21A2B0F9">
            <w:pPr>
              <w:jc w:val="center"/>
              <w:rPr>
                <w:rFonts w:cstheme="minorHAnsi"/>
                <w:b w:val="0"/>
                <w:bCs/>
                <w:color w:val="auto"/>
                <w:szCs w:val="21"/>
              </w:rPr>
            </w:pPr>
          </w:p>
        </w:tc>
      </w:tr>
      <w:tr w14:paraId="5BFB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3275DD82">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106ED0FD">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S10</w:t>
            </w:r>
          </w:p>
        </w:tc>
        <w:tc>
          <w:tcPr>
            <w:tcW w:w="1617" w:type="pct"/>
            <w:vAlign w:val="center"/>
          </w:tcPr>
          <w:p w14:paraId="563940C0">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项目厂址东北侧</w:t>
            </w:r>
          </w:p>
        </w:tc>
        <w:tc>
          <w:tcPr>
            <w:tcW w:w="1935" w:type="pct"/>
            <w:vAlign w:val="center"/>
          </w:tcPr>
          <w:p w14:paraId="6D70AB07">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农用地，11项全测</w:t>
            </w:r>
          </w:p>
        </w:tc>
        <w:tc>
          <w:tcPr>
            <w:tcW w:w="374" w:type="pct"/>
            <w:vMerge w:val="continue"/>
            <w:vAlign w:val="center"/>
          </w:tcPr>
          <w:p w14:paraId="6E9F80F3">
            <w:pPr>
              <w:jc w:val="center"/>
              <w:rPr>
                <w:rFonts w:cstheme="minorHAnsi"/>
                <w:b w:val="0"/>
                <w:bCs/>
                <w:color w:val="auto"/>
                <w:szCs w:val="21"/>
              </w:rPr>
            </w:pPr>
          </w:p>
        </w:tc>
      </w:tr>
      <w:tr w14:paraId="5BA2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6B3CFB5A">
            <w:pPr>
              <w:pStyle w:val="31"/>
              <w:bidi w:val="0"/>
              <w:rPr>
                <w:rFonts w:hint="eastAsia" w:ascii="Times New Roman" w:hAnsi="Times New Roman" w:eastAsia="宋体" w:cs="宋体"/>
                <w:b w:val="0"/>
                <w:bCs/>
                <w:color w:val="auto"/>
                <w:highlight w:val="none"/>
                <w:lang w:val="en-US" w:eastAsia="zh-CN"/>
              </w:rPr>
            </w:pPr>
          </w:p>
        </w:tc>
        <w:tc>
          <w:tcPr>
            <w:tcW w:w="391" w:type="pct"/>
            <w:vAlign w:val="center"/>
          </w:tcPr>
          <w:p w14:paraId="7F926BD1">
            <w:pPr>
              <w:pStyle w:val="31"/>
              <w:bidi w:val="0"/>
              <w:rPr>
                <w:rFonts w:hint="default"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S11</w:t>
            </w:r>
          </w:p>
        </w:tc>
        <w:tc>
          <w:tcPr>
            <w:tcW w:w="1617" w:type="pct"/>
            <w:vAlign w:val="center"/>
          </w:tcPr>
          <w:p w14:paraId="070BA4CB">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项目厂址西南侧</w:t>
            </w:r>
          </w:p>
        </w:tc>
        <w:tc>
          <w:tcPr>
            <w:tcW w:w="1935" w:type="pct"/>
            <w:vAlign w:val="center"/>
          </w:tcPr>
          <w:p w14:paraId="265C19E5">
            <w:pPr>
              <w:pStyle w:val="31"/>
              <w:bidi w:val="0"/>
              <w:rPr>
                <w:rFonts w:hint="eastAsia" w:ascii="Times New Roman" w:hAnsi="Times New Roman" w:eastAsia="宋体" w:cs="宋体"/>
                <w:b w:val="0"/>
                <w:bCs/>
                <w:color w:val="auto"/>
                <w:highlight w:val="none"/>
                <w:lang w:val="en-US" w:eastAsia="zh-CN"/>
              </w:rPr>
            </w:pPr>
            <w:r>
              <w:rPr>
                <w:rFonts w:hint="eastAsia" w:ascii="Times New Roman" w:hAnsi="Times New Roman" w:eastAsia="宋体" w:cs="宋体"/>
                <w:b w:val="0"/>
                <w:bCs/>
                <w:color w:val="auto"/>
                <w:highlight w:val="none"/>
                <w:lang w:val="en-US" w:eastAsia="zh-CN"/>
              </w:rPr>
              <w:t>建设用地，监测3项</w:t>
            </w:r>
          </w:p>
        </w:tc>
        <w:tc>
          <w:tcPr>
            <w:tcW w:w="374" w:type="pct"/>
            <w:vMerge w:val="continue"/>
            <w:vAlign w:val="center"/>
          </w:tcPr>
          <w:p w14:paraId="49330550">
            <w:pPr>
              <w:jc w:val="center"/>
              <w:rPr>
                <w:rFonts w:cstheme="minorHAnsi"/>
                <w:b w:val="0"/>
                <w:bCs/>
                <w:color w:val="auto"/>
                <w:szCs w:val="21"/>
              </w:rPr>
            </w:pPr>
          </w:p>
        </w:tc>
      </w:tr>
    </w:tbl>
    <w:p w14:paraId="4E08820F">
      <w:pPr>
        <w:spacing w:line="360" w:lineRule="auto"/>
        <w:ind w:left="0" w:leftChars="0" w:firstLine="482" w:firstLineChars="200"/>
        <w:rPr>
          <w:b/>
          <w:color w:val="auto"/>
          <w:sz w:val="24"/>
        </w:rPr>
      </w:pPr>
      <w:r>
        <w:rPr>
          <w:rFonts w:hint="eastAsia"/>
          <w:b/>
          <w:color w:val="auto"/>
          <w:sz w:val="24"/>
        </w:rPr>
        <w:t>（</w:t>
      </w:r>
      <w:r>
        <w:rPr>
          <w:b/>
          <w:color w:val="auto"/>
          <w:sz w:val="24"/>
        </w:rPr>
        <w:t>2</w:t>
      </w:r>
      <w:r>
        <w:rPr>
          <w:rFonts w:hint="eastAsia"/>
          <w:b/>
          <w:color w:val="auto"/>
          <w:sz w:val="24"/>
        </w:rPr>
        <w:t>）监测因子</w:t>
      </w:r>
    </w:p>
    <w:p w14:paraId="2572F7FD">
      <w:pPr>
        <w:spacing w:line="360" w:lineRule="auto"/>
        <w:ind w:left="0" w:leftChars="0" w:firstLine="482" w:firstLineChars="200"/>
        <w:rPr>
          <w:rFonts w:ascii="Times New Roman" w:hAnsi="Times New Roman" w:cs="Times New Roman"/>
          <w:color w:val="auto"/>
          <w:sz w:val="24"/>
          <w:szCs w:val="24"/>
        </w:rPr>
      </w:pPr>
      <w:r>
        <w:rPr>
          <w:rFonts w:hint="eastAsia" w:ascii="Times New Roman" w:hAnsi="Times New Roman" w:cs="Times New Roman"/>
          <w:b/>
          <w:color w:val="auto"/>
          <w:kern w:val="0"/>
          <w:sz w:val="24"/>
          <w:szCs w:val="24"/>
        </w:rPr>
        <w:t>1）</w:t>
      </w:r>
      <w:r>
        <w:rPr>
          <w:rFonts w:hint="eastAsia" w:ascii="Times New Roman" w:hAnsi="Times New Roman" w:cs="Times New Roman"/>
          <w:b/>
          <w:color w:val="auto"/>
          <w:sz w:val="24"/>
          <w:szCs w:val="24"/>
        </w:rPr>
        <w:t>柱状样点（</w:t>
      </w:r>
      <w:r>
        <w:rPr>
          <w:rFonts w:hint="eastAsia" w:ascii="Times New Roman" w:hAnsi="Times New Roman" w:cs="Times New Roman"/>
          <w:b/>
          <w:color w:val="auto"/>
          <w:sz w:val="24"/>
          <w:szCs w:val="24"/>
          <w:lang w:val="en-US" w:eastAsia="zh-CN"/>
        </w:rPr>
        <w:t>S</w:t>
      </w:r>
      <w:r>
        <w:rPr>
          <w:rFonts w:hint="eastAsia" w:ascii="Times New Roman" w:hAnsi="Times New Roman" w:cs="Times New Roman"/>
          <w:b/>
          <w:color w:val="auto"/>
          <w:sz w:val="24"/>
          <w:szCs w:val="24"/>
        </w:rPr>
        <w:t>1</w:t>
      </w:r>
      <w:r>
        <w:rPr>
          <w:rFonts w:ascii="Times New Roman" w:hAnsi="Times New Roman" w:cs="Times New Roman"/>
          <w:b/>
          <w:color w:val="auto"/>
          <w:sz w:val="24"/>
          <w:szCs w:val="24"/>
        </w:rPr>
        <w:t>~</w:t>
      </w:r>
      <w:r>
        <w:rPr>
          <w:rFonts w:hint="eastAsia" w:ascii="Times New Roman" w:hAnsi="Times New Roman" w:cs="Times New Roman"/>
          <w:b/>
          <w:color w:val="auto"/>
          <w:sz w:val="24"/>
          <w:szCs w:val="24"/>
          <w:lang w:val="en-US" w:eastAsia="zh-CN"/>
        </w:rPr>
        <w:t>S</w:t>
      </w:r>
      <w:r>
        <w:rPr>
          <w:rFonts w:ascii="Times New Roman" w:hAnsi="Times New Roman" w:cs="Times New Roman"/>
          <w:b/>
          <w:color w:val="auto"/>
          <w:sz w:val="24"/>
          <w:szCs w:val="24"/>
        </w:rPr>
        <w:t>5</w:t>
      </w:r>
      <w:r>
        <w:rPr>
          <w:rFonts w:hint="eastAsia" w:ascii="Times New Roman" w:hAnsi="Times New Roman" w:cs="Times New Roman"/>
          <w:b/>
          <w:color w:val="auto"/>
          <w:sz w:val="24"/>
          <w:szCs w:val="24"/>
        </w:rPr>
        <w:t>）</w:t>
      </w:r>
      <w:r>
        <w:rPr>
          <w:rFonts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每个柱状样</w:t>
      </w:r>
      <w:r>
        <w:rPr>
          <w:rFonts w:ascii="Times New Roman" w:hAnsi="Times New Roman" w:cs="Times New Roman"/>
          <w:color w:val="auto"/>
          <w:sz w:val="24"/>
          <w:szCs w:val="24"/>
        </w:rPr>
        <w:t>分别在0~0.5m、0.5~1.5m、1.5~3m</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3m~6m取1个样</w:t>
      </w:r>
      <w:r>
        <w:rPr>
          <w:rFonts w:hint="eastAsia" w:ascii="Times New Roman" w:hAnsi="Times New Roman" w:cs="Times New Roman"/>
          <w:color w:val="auto"/>
          <w:sz w:val="24"/>
          <w:szCs w:val="24"/>
          <w:lang w:val="en-US" w:eastAsia="zh-CN"/>
        </w:rPr>
        <w:t>；</w:t>
      </w:r>
      <w:r>
        <w:rPr>
          <w:rFonts w:ascii="Times New Roman" w:hAnsi="Times New Roman" w:cs="Times New Roman"/>
          <w:color w:val="auto"/>
          <w:sz w:val="24"/>
          <w:szCs w:val="24"/>
        </w:rPr>
        <w:t>可根据基础埋深、土体构型适当调整</w:t>
      </w:r>
      <w:r>
        <w:rPr>
          <w:rFonts w:hint="eastAsia" w:ascii="Times New Roman" w:hAnsi="Times New Roman" w:cs="Times New Roman"/>
          <w:color w:val="auto"/>
          <w:sz w:val="24"/>
          <w:szCs w:val="24"/>
        </w:rPr>
        <w:t>。</w:t>
      </w:r>
    </w:p>
    <w:p w14:paraId="1DB70C72">
      <w:pPr>
        <w:spacing w:line="360" w:lineRule="auto"/>
        <w:ind w:left="0" w:leftChars="0" w:firstLine="482" w:firstLineChars="200"/>
        <w:rPr>
          <w:rFonts w:ascii="Times New Roman" w:hAnsi="Times New Roman" w:cs="Times New Roman"/>
          <w:color w:val="auto"/>
          <w:sz w:val="24"/>
          <w:szCs w:val="24"/>
        </w:rPr>
      </w:pPr>
      <w:r>
        <w:rPr>
          <w:rFonts w:hint="eastAsia" w:ascii="Times New Roman" w:hAnsi="Times New Roman" w:cs="Times New Roman"/>
          <w:b/>
          <w:color w:val="auto"/>
          <w:sz w:val="24"/>
          <w:szCs w:val="24"/>
          <w:lang w:val="en-US" w:eastAsia="zh-CN"/>
        </w:rPr>
        <w:t>S</w:t>
      </w:r>
      <w:r>
        <w:rPr>
          <w:rFonts w:ascii="Times New Roman" w:hAnsi="Times New Roman" w:cs="Times New Roman"/>
          <w:b/>
          <w:color w:val="auto"/>
          <w:sz w:val="24"/>
          <w:szCs w:val="24"/>
        </w:rPr>
        <w:t>1</w:t>
      </w:r>
      <w:r>
        <w:rPr>
          <w:rFonts w:hint="eastAsia" w:ascii="Times New Roman" w:hAnsi="Times New Roman" w:cs="Times New Roman"/>
          <w:b/>
          <w:color w:val="auto"/>
          <w:sz w:val="24"/>
          <w:szCs w:val="24"/>
          <w:lang w:val="en-US" w:eastAsia="zh-CN"/>
        </w:rPr>
        <w:t>~S5</w:t>
      </w:r>
      <w:r>
        <w:rPr>
          <w:rFonts w:hint="eastAsia" w:cstheme="minorHAnsi"/>
          <w:b/>
          <w:bCs/>
          <w:color w:val="auto"/>
          <w:kern w:val="0"/>
          <w:sz w:val="24"/>
          <w:szCs w:val="24"/>
          <w:lang w:bidi="ar"/>
        </w:rPr>
        <w:t>监测点</w:t>
      </w:r>
      <w:r>
        <w:rPr>
          <w:rFonts w:hint="eastAsia"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pH、</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w:t>
      </w:r>
      <w:r>
        <w:rPr>
          <w:rFonts w:hint="eastAsia" w:ascii="Times New Roman" w:hAnsi="Times New Roman" w:cs="Times New Roman"/>
          <w:color w:val="auto"/>
          <w:sz w:val="24"/>
          <w:szCs w:val="24"/>
        </w:rPr>
        <w:t>，共计</w:t>
      </w:r>
      <w:r>
        <w:rPr>
          <w:rFonts w:hint="eastAsia"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rPr>
        <w:t>项</w:t>
      </w:r>
      <w:r>
        <w:rPr>
          <w:rFonts w:hint="eastAsia" w:ascii="Times New Roman" w:hAnsi="Times New Roman" w:cs="Times New Roman"/>
          <w:color w:val="auto"/>
          <w:sz w:val="24"/>
          <w:szCs w:val="24"/>
          <w:lang w:eastAsia="zh-CN"/>
        </w:rPr>
        <w:t>。</w:t>
      </w:r>
    </w:p>
    <w:p w14:paraId="2E162C3D">
      <w:pPr>
        <w:spacing w:line="360" w:lineRule="auto"/>
        <w:rPr>
          <w:rFonts w:ascii="Times New Roman" w:hAnsi="Times New Roman" w:cs="Times New Roman"/>
          <w:color w:val="auto"/>
          <w:sz w:val="24"/>
          <w:szCs w:val="24"/>
        </w:rPr>
      </w:pPr>
      <w:r>
        <w:rPr>
          <w:rFonts w:hint="eastAsia" w:ascii="Times New Roman" w:hAnsi="Times New Roman" w:cs="Times New Roman"/>
          <w:b/>
          <w:color w:val="auto"/>
          <w:sz w:val="24"/>
          <w:szCs w:val="24"/>
          <w:lang w:val="en-US" w:eastAsia="zh-CN"/>
        </w:rPr>
        <w:t>2</w:t>
      </w:r>
      <w:r>
        <w:rPr>
          <w:rFonts w:hint="eastAsia" w:ascii="Times New Roman" w:hAnsi="Times New Roman" w:cs="Times New Roman"/>
          <w:b/>
          <w:color w:val="auto"/>
          <w:sz w:val="24"/>
          <w:szCs w:val="24"/>
        </w:rPr>
        <w:t>）（</w:t>
      </w:r>
      <w:r>
        <w:rPr>
          <w:rFonts w:hint="eastAsia" w:ascii="Times New Roman" w:hAnsi="Times New Roman" w:cs="Times New Roman"/>
          <w:b/>
          <w:color w:val="auto"/>
          <w:sz w:val="24"/>
          <w:szCs w:val="24"/>
          <w:lang w:val="en-US" w:eastAsia="zh-CN"/>
        </w:rPr>
        <w:t>S</w:t>
      </w:r>
      <w:r>
        <w:rPr>
          <w:rFonts w:hint="eastAsia" w:ascii="Times New Roman" w:hAnsi="Times New Roman" w:cs="Times New Roman"/>
          <w:b/>
          <w:color w:val="auto"/>
          <w:sz w:val="24"/>
          <w:szCs w:val="24"/>
        </w:rPr>
        <w:t>6~</w:t>
      </w:r>
      <w:r>
        <w:rPr>
          <w:rFonts w:hint="eastAsia" w:ascii="Times New Roman" w:hAnsi="Times New Roman" w:cs="Times New Roman"/>
          <w:b/>
          <w:color w:val="auto"/>
          <w:sz w:val="24"/>
          <w:szCs w:val="24"/>
          <w:lang w:val="en-US" w:eastAsia="zh-CN"/>
        </w:rPr>
        <w:t>S</w:t>
      </w:r>
      <w:r>
        <w:rPr>
          <w:rFonts w:hint="eastAsia" w:ascii="Times New Roman" w:hAnsi="Times New Roman" w:cs="Times New Roman"/>
          <w:b/>
          <w:color w:val="auto"/>
          <w:sz w:val="24"/>
          <w:szCs w:val="24"/>
        </w:rPr>
        <w:t>11）</w:t>
      </w:r>
      <w:r>
        <w:rPr>
          <w:rFonts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每个表层样均</w:t>
      </w:r>
      <w:r>
        <w:rPr>
          <w:rFonts w:ascii="Times New Roman" w:hAnsi="Times New Roman" w:cs="Times New Roman"/>
          <w:color w:val="auto"/>
          <w:sz w:val="24"/>
          <w:szCs w:val="24"/>
        </w:rPr>
        <w:t>在0~0.2m取</w:t>
      </w:r>
      <w:r>
        <w:rPr>
          <w:rFonts w:hint="eastAsia" w:ascii="Times New Roman" w:hAnsi="Times New Roman" w:cs="Times New Roman"/>
          <w:color w:val="auto"/>
          <w:sz w:val="24"/>
          <w:szCs w:val="24"/>
          <w:lang w:val="en-US" w:eastAsia="zh-CN"/>
        </w:rPr>
        <w:t>1个</w:t>
      </w:r>
      <w:r>
        <w:rPr>
          <w:rFonts w:ascii="Times New Roman" w:hAnsi="Times New Roman" w:cs="Times New Roman"/>
          <w:color w:val="auto"/>
          <w:sz w:val="24"/>
          <w:szCs w:val="24"/>
        </w:rPr>
        <w:t>样</w:t>
      </w:r>
      <w:r>
        <w:rPr>
          <w:rFonts w:hint="eastAsia" w:ascii="Times New Roman" w:hAnsi="Times New Roman" w:cs="Times New Roman"/>
          <w:color w:val="auto"/>
          <w:sz w:val="24"/>
          <w:szCs w:val="24"/>
        </w:rPr>
        <w:t>。</w:t>
      </w:r>
    </w:p>
    <w:p w14:paraId="0A0B077A">
      <w:pPr>
        <w:spacing w:line="360" w:lineRule="auto"/>
        <w:rPr>
          <w:rFonts w:hint="eastAsia" w:ascii="Times New Roman" w:hAnsi="Times New Roman" w:cs="Times New Roman" w:eastAsiaTheme="minorEastAsia"/>
          <w:color w:val="auto"/>
          <w:sz w:val="24"/>
          <w:szCs w:val="24"/>
          <w:lang w:eastAsia="zh-CN"/>
        </w:rPr>
      </w:pPr>
      <w:r>
        <w:rPr>
          <w:rFonts w:hint="eastAsia" w:ascii="Times New Roman" w:hAnsi="Times New Roman" w:cs="Times New Roman"/>
          <w:b/>
          <w:color w:val="auto"/>
          <w:sz w:val="24"/>
          <w:szCs w:val="24"/>
        </w:rPr>
        <w:t>①</w:t>
      </w:r>
      <w:r>
        <w:rPr>
          <w:rFonts w:hint="eastAsia" w:ascii="Times New Roman" w:hAnsi="Times New Roman" w:cs="Times New Roman"/>
          <w:b/>
          <w:color w:val="auto"/>
          <w:sz w:val="24"/>
          <w:szCs w:val="24"/>
          <w:lang w:val="en-US" w:eastAsia="zh-CN"/>
        </w:rPr>
        <w:t>S</w:t>
      </w:r>
      <w:r>
        <w:rPr>
          <w:rFonts w:ascii="Times New Roman" w:hAnsi="Times New Roman" w:cs="Times New Roman"/>
          <w:b/>
          <w:color w:val="auto"/>
          <w:sz w:val="24"/>
          <w:szCs w:val="24"/>
        </w:rPr>
        <w:t>6</w:t>
      </w:r>
      <w:r>
        <w:rPr>
          <w:rFonts w:hint="eastAsia" w:ascii="Times New Roman" w:hAnsi="Times New Roman" w:cs="Times New Roman"/>
          <w:b/>
          <w:color w:val="auto"/>
          <w:sz w:val="24"/>
          <w:szCs w:val="24"/>
          <w:lang w:eastAsia="zh-CN"/>
        </w:rPr>
        <w:t>、</w:t>
      </w:r>
      <w:r>
        <w:rPr>
          <w:rFonts w:hint="eastAsia" w:ascii="Times New Roman" w:hAnsi="Times New Roman" w:cs="Times New Roman"/>
          <w:b/>
          <w:color w:val="auto"/>
          <w:sz w:val="24"/>
          <w:szCs w:val="24"/>
          <w:lang w:val="en-US" w:eastAsia="zh-CN"/>
        </w:rPr>
        <w:t>S9、S11</w:t>
      </w:r>
      <w:r>
        <w:rPr>
          <w:rFonts w:hint="eastAsia" w:cstheme="minorHAnsi"/>
          <w:b/>
          <w:bCs/>
          <w:color w:val="auto"/>
          <w:kern w:val="0"/>
          <w:sz w:val="24"/>
          <w:szCs w:val="24"/>
          <w:lang w:bidi="ar"/>
        </w:rPr>
        <w:t>监测点</w:t>
      </w:r>
      <w:r>
        <w:rPr>
          <w:rFonts w:hint="eastAsia"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pH、</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w:t>
      </w:r>
      <w:r>
        <w:rPr>
          <w:rFonts w:hint="eastAsia" w:ascii="Times New Roman" w:hAnsi="Times New Roman" w:cs="Times New Roman"/>
          <w:color w:val="auto"/>
          <w:sz w:val="24"/>
          <w:szCs w:val="24"/>
        </w:rPr>
        <w:t>，共计</w:t>
      </w:r>
      <w:r>
        <w:rPr>
          <w:rFonts w:hint="eastAsia"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rPr>
        <w:t>项</w:t>
      </w:r>
      <w:r>
        <w:rPr>
          <w:rFonts w:hint="eastAsia" w:ascii="Times New Roman" w:hAnsi="Times New Roman" w:cs="Times New Roman"/>
          <w:color w:val="auto"/>
          <w:sz w:val="24"/>
          <w:szCs w:val="24"/>
          <w:lang w:eastAsia="zh-CN"/>
        </w:rPr>
        <w:t>。</w:t>
      </w:r>
    </w:p>
    <w:p w14:paraId="03BF539D">
      <w:pPr>
        <w:spacing w:line="360" w:lineRule="auto"/>
        <w:ind w:left="0" w:leftChars="0" w:firstLine="482" w:firstLineChars="200"/>
        <w:rPr>
          <w:rFonts w:hint="eastAsia" w:ascii="Times New Roman" w:hAnsi="Times New Roman" w:cs="Times New Roman" w:eastAsiaTheme="minorEastAsia"/>
          <w:color w:val="auto"/>
          <w:sz w:val="24"/>
          <w:szCs w:val="24"/>
          <w:lang w:eastAsia="zh-CN"/>
        </w:rPr>
      </w:pPr>
      <w:r>
        <w:rPr>
          <w:rFonts w:hint="eastAsia" w:ascii="宋体" w:hAnsi="宋体" w:eastAsia="宋体" w:cs="宋体"/>
          <w:b/>
          <w:color w:val="auto"/>
          <w:sz w:val="24"/>
          <w:szCs w:val="24"/>
        </w:rPr>
        <w:t>②</w:t>
      </w:r>
      <w:r>
        <w:rPr>
          <w:rFonts w:hint="eastAsia" w:ascii="Times New Roman" w:hAnsi="Times New Roman" w:eastAsia="宋体" w:cs="Times New Roman"/>
          <w:b/>
          <w:color w:val="auto"/>
          <w:sz w:val="24"/>
          <w:szCs w:val="24"/>
          <w:lang w:val="en-US" w:eastAsia="zh-CN"/>
        </w:rPr>
        <w:t>S</w:t>
      </w:r>
      <w:r>
        <w:rPr>
          <w:rFonts w:ascii="Times New Roman" w:hAnsi="Times New Roman" w:cs="Times New Roman"/>
          <w:b/>
          <w:color w:val="auto"/>
          <w:sz w:val="24"/>
          <w:szCs w:val="24"/>
        </w:rPr>
        <w:t>7</w:t>
      </w:r>
      <w:r>
        <w:rPr>
          <w:rFonts w:hint="eastAsia" w:ascii="Times New Roman" w:hAnsi="Times New Roman" w:cs="Times New Roman"/>
          <w:b/>
          <w:color w:val="auto"/>
          <w:sz w:val="24"/>
          <w:szCs w:val="24"/>
        </w:rPr>
        <w:t>监测点:</w:t>
      </w:r>
      <w:r>
        <w:rPr>
          <w:rFonts w:hint="eastAsia" w:ascii="Times New Roman" w:hAnsi="Times New Roman" w:cs="Times New Roman"/>
          <w:color w:val="auto"/>
          <w:sz w:val="24"/>
          <w:szCs w:val="24"/>
        </w:rPr>
        <w:t>砷、镉、铬（六价）、铜、铅、汞、镍、四氯化碳、氯仿、氯甲烷、</w:t>
      </w:r>
      <w:r>
        <w:rPr>
          <w:rFonts w:ascii="Times New Roman" w:hAnsi="Times New Roman" w:cs="Times New Roman"/>
          <w:color w:val="auto"/>
          <w:sz w:val="24"/>
          <w:szCs w:val="24"/>
        </w:rPr>
        <w:t>1,1-</w:t>
      </w:r>
      <w:r>
        <w:rPr>
          <w:rFonts w:hint="eastAsia" w:ascii="Times New Roman" w:hAnsi="Times New Roman" w:cs="Times New Roman"/>
          <w:color w:val="auto"/>
          <w:sz w:val="24"/>
          <w:szCs w:val="24"/>
        </w:rPr>
        <w:t>二氯乙烷、</w:t>
      </w:r>
      <w:r>
        <w:rPr>
          <w:rFonts w:ascii="Times New Roman" w:hAnsi="Times New Roman" w:cs="Times New Roman"/>
          <w:color w:val="auto"/>
          <w:sz w:val="24"/>
          <w:szCs w:val="24"/>
        </w:rPr>
        <w:t>1,2-</w:t>
      </w:r>
      <w:r>
        <w:rPr>
          <w:rFonts w:hint="eastAsia" w:ascii="Times New Roman" w:hAnsi="Times New Roman" w:cs="Times New Roman"/>
          <w:color w:val="auto"/>
          <w:sz w:val="24"/>
          <w:szCs w:val="24"/>
        </w:rPr>
        <w:t>二氯乙烷、</w:t>
      </w:r>
      <w:r>
        <w:rPr>
          <w:rFonts w:ascii="Times New Roman" w:hAnsi="Times New Roman" w:cs="Times New Roman"/>
          <w:color w:val="auto"/>
          <w:sz w:val="24"/>
          <w:szCs w:val="24"/>
        </w:rPr>
        <w:t>1,1-</w:t>
      </w:r>
      <w:r>
        <w:rPr>
          <w:rFonts w:hint="eastAsia" w:ascii="Times New Roman" w:hAnsi="Times New Roman" w:cs="Times New Roman"/>
          <w:color w:val="auto"/>
          <w:sz w:val="24"/>
          <w:szCs w:val="24"/>
        </w:rPr>
        <w:t>二氯乙烯、顺</w:t>
      </w:r>
      <w:r>
        <w:rPr>
          <w:rFonts w:ascii="Times New Roman" w:hAnsi="Times New Roman" w:cs="Times New Roman"/>
          <w:color w:val="auto"/>
          <w:sz w:val="24"/>
          <w:szCs w:val="24"/>
        </w:rPr>
        <w:t>-1,2-</w:t>
      </w:r>
      <w:r>
        <w:rPr>
          <w:rFonts w:hint="eastAsia" w:ascii="Times New Roman" w:hAnsi="Times New Roman" w:cs="Times New Roman"/>
          <w:color w:val="auto"/>
          <w:sz w:val="24"/>
          <w:szCs w:val="24"/>
        </w:rPr>
        <w:t>二氯乙烯、反</w:t>
      </w:r>
      <w:r>
        <w:rPr>
          <w:rFonts w:ascii="Times New Roman" w:hAnsi="Times New Roman" w:cs="Times New Roman"/>
          <w:color w:val="auto"/>
          <w:sz w:val="24"/>
          <w:szCs w:val="24"/>
        </w:rPr>
        <w:t>-1,2-</w:t>
      </w:r>
      <w:r>
        <w:rPr>
          <w:rFonts w:hint="eastAsia" w:ascii="Times New Roman" w:hAnsi="Times New Roman" w:cs="Times New Roman"/>
          <w:color w:val="auto"/>
          <w:sz w:val="24"/>
          <w:szCs w:val="24"/>
        </w:rPr>
        <w:t>二氯乙烯、二氯甲烷、</w:t>
      </w:r>
      <w:r>
        <w:rPr>
          <w:rFonts w:ascii="Times New Roman" w:hAnsi="Times New Roman" w:cs="Times New Roman"/>
          <w:color w:val="auto"/>
          <w:sz w:val="24"/>
          <w:szCs w:val="24"/>
        </w:rPr>
        <w:t>1,2-</w:t>
      </w:r>
      <w:r>
        <w:rPr>
          <w:rFonts w:hint="eastAsia" w:ascii="Times New Roman" w:hAnsi="Times New Roman" w:cs="Times New Roman"/>
          <w:color w:val="auto"/>
          <w:sz w:val="24"/>
          <w:szCs w:val="24"/>
        </w:rPr>
        <w:t>二氯丙烷、</w:t>
      </w:r>
      <w:r>
        <w:rPr>
          <w:rFonts w:ascii="Times New Roman" w:hAnsi="Times New Roman" w:cs="Times New Roman"/>
          <w:color w:val="auto"/>
          <w:sz w:val="24"/>
          <w:szCs w:val="24"/>
        </w:rPr>
        <w:t>1,1,1,2-</w:t>
      </w:r>
      <w:r>
        <w:rPr>
          <w:rFonts w:hint="eastAsia" w:ascii="Times New Roman" w:hAnsi="Times New Roman" w:cs="Times New Roman"/>
          <w:color w:val="auto"/>
          <w:sz w:val="24"/>
          <w:szCs w:val="24"/>
        </w:rPr>
        <w:t>四氯乙烷、</w:t>
      </w:r>
      <w:r>
        <w:rPr>
          <w:rFonts w:ascii="Times New Roman" w:hAnsi="Times New Roman" w:cs="Times New Roman"/>
          <w:color w:val="auto"/>
          <w:sz w:val="24"/>
          <w:szCs w:val="24"/>
        </w:rPr>
        <w:t>1,1,2,2-</w:t>
      </w:r>
      <w:r>
        <w:rPr>
          <w:rFonts w:hint="eastAsia" w:ascii="Times New Roman" w:hAnsi="Times New Roman" w:cs="Times New Roman"/>
          <w:color w:val="auto"/>
          <w:sz w:val="24"/>
          <w:szCs w:val="24"/>
        </w:rPr>
        <w:t>四氯乙烷、四氯乙烯、</w:t>
      </w:r>
      <w:r>
        <w:rPr>
          <w:rFonts w:ascii="Times New Roman" w:hAnsi="Times New Roman" w:cs="Times New Roman"/>
          <w:color w:val="auto"/>
          <w:sz w:val="24"/>
          <w:szCs w:val="24"/>
        </w:rPr>
        <w:t>1,1,1</w:t>
      </w:r>
      <w:r>
        <w:rPr>
          <w:rFonts w:hint="eastAsia" w:ascii="Times New Roman" w:hAnsi="Times New Roman" w:cs="Times New Roman"/>
          <w:color w:val="auto"/>
          <w:sz w:val="24"/>
          <w:szCs w:val="24"/>
        </w:rPr>
        <w:t>–三氯乙烷、</w:t>
      </w:r>
      <w:r>
        <w:rPr>
          <w:rFonts w:ascii="Times New Roman" w:hAnsi="Times New Roman" w:cs="Times New Roman"/>
          <w:color w:val="auto"/>
          <w:sz w:val="24"/>
          <w:szCs w:val="24"/>
        </w:rPr>
        <w:t>1,1,2</w:t>
      </w:r>
      <w:r>
        <w:rPr>
          <w:rFonts w:hint="eastAsia" w:ascii="Times New Roman" w:hAnsi="Times New Roman" w:cs="Times New Roman"/>
          <w:color w:val="auto"/>
          <w:sz w:val="24"/>
          <w:szCs w:val="24"/>
        </w:rPr>
        <w:t>–三氯乙烷、三氯乙烯、</w:t>
      </w:r>
      <w:r>
        <w:rPr>
          <w:rFonts w:ascii="Times New Roman" w:hAnsi="Times New Roman" w:cs="Times New Roman"/>
          <w:color w:val="auto"/>
          <w:sz w:val="24"/>
          <w:szCs w:val="24"/>
        </w:rPr>
        <w:t>1,2,3</w:t>
      </w:r>
      <w:r>
        <w:rPr>
          <w:rFonts w:hint="eastAsia" w:ascii="Times New Roman" w:hAnsi="Times New Roman" w:cs="Times New Roman"/>
          <w:color w:val="auto"/>
          <w:sz w:val="24"/>
          <w:szCs w:val="24"/>
        </w:rPr>
        <w:t>–三氯丙烷、氯乙烯、苯、氯苯、</w:t>
      </w:r>
      <w:r>
        <w:rPr>
          <w:rFonts w:ascii="Times New Roman" w:hAnsi="Times New Roman" w:cs="Times New Roman"/>
          <w:color w:val="auto"/>
          <w:sz w:val="24"/>
          <w:szCs w:val="24"/>
        </w:rPr>
        <w:t>1,2</w:t>
      </w:r>
      <w:r>
        <w:rPr>
          <w:rFonts w:hint="eastAsia" w:ascii="Times New Roman" w:hAnsi="Times New Roman" w:cs="Times New Roman"/>
          <w:color w:val="auto"/>
          <w:sz w:val="24"/>
          <w:szCs w:val="24"/>
        </w:rPr>
        <w:t>–二氯苯、</w:t>
      </w:r>
      <w:r>
        <w:rPr>
          <w:rFonts w:ascii="Times New Roman" w:hAnsi="Times New Roman" w:cs="Times New Roman"/>
          <w:color w:val="auto"/>
          <w:sz w:val="24"/>
          <w:szCs w:val="24"/>
        </w:rPr>
        <w:t>1,4</w:t>
      </w:r>
      <w:r>
        <w:rPr>
          <w:rFonts w:hint="eastAsia" w:ascii="Times New Roman" w:hAnsi="Times New Roman" w:cs="Times New Roman"/>
          <w:color w:val="auto"/>
          <w:sz w:val="24"/>
          <w:szCs w:val="24"/>
        </w:rPr>
        <w:t>–二氯苯、乙苯、苯乙烯、甲苯、间二甲苯</w:t>
      </w:r>
      <w:r>
        <w:rPr>
          <w:rFonts w:ascii="Times New Roman" w:hAnsi="Times New Roman" w:cs="Times New Roman"/>
          <w:color w:val="auto"/>
          <w:sz w:val="24"/>
          <w:szCs w:val="24"/>
        </w:rPr>
        <w:t>+</w:t>
      </w:r>
      <w:r>
        <w:rPr>
          <w:rFonts w:hint="eastAsia" w:ascii="Times New Roman" w:hAnsi="Times New Roman" w:cs="Times New Roman"/>
          <w:color w:val="auto"/>
          <w:sz w:val="24"/>
          <w:szCs w:val="24"/>
        </w:rPr>
        <w:t>对二甲苯、邻二甲苯、硝基苯、苯胺、</w:t>
      </w:r>
      <w:r>
        <w:rPr>
          <w:rFonts w:ascii="Times New Roman" w:hAnsi="Times New Roman" w:cs="Times New Roman"/>
          <w:color w:val="auto"/>
          <w:sz w:val="24"/>
          <w:szCs w:val="24"/>
        </w:rPr>
        <w:t>2-</w:t>
      </w:r>
      <w:r>
        <w:rPr>
          <w:rFonts w:hint="eastAsia" w:ascii="Times New Roman" w:hAnsi="Times New Roman" w:cs="Times New Roman"/>
          <w:color w:val="auto"/>
          <w:sz w:val="24"/>
          <w:szCs w:val="24"/>
        </w:rPr>
        <w:t>氯酚、苯并</w:t>
      </w:r>
      <w:r>
        <w:rPr>
          <w:rFonts w:ascii="Times New Roman" w:hAnsi="Times New Roman" w:cs="Times New Roman"/>
          <w:color w:val="auto"/>
          <w:sz w:val="24"/>
          <w:szCs w:val="24"/>
        </w:rPr>
        <w:t>[a]</w:t>
      </w:r>
      <w:r>
        <w:rPr>
          <w:rFonts w:hint="eastAsia" w:ascii="Times New Roman" w:hAnsi="Times New Roman" w:cs="Times New Roman"/>
          <w:color w:val="auto"/>
          <w:sz w:val="24"/>
          <w:szCs w:val="24"/>
        </w:rPr>
        <w:t>蒽、苯并</w:t>
      </w:r>
      <w:r>
        <w:rPr>
          <w:rFonts w:ascii="Times New Roman" w:hAnsi="Times New Roman" w:cs="Times New Roman"/>
          <w:color w:val="auto"/>
          <w:sz w:val="24"/>
          <w:szCs w:val="24"/>
        </w:rPr>
        <w:t>[a]</w:t>
      </w:r>
      <w:r>
        <w:rPr>
          <w:rFonts w:hint="eastAsia" w:ascii="Times New Roman" w:hAnsi="Times New Roman" w:cs="Times New Roman"/>
          <w:color w:val="auto"/>
          <w:sz w:val="24"/>
          <w:szCs w:val="24"/>
        </w:rPr>
        <w:t>芘、苯并</w:t>
      </w:r>
      <w:r>
        <w:rPr>
          <w:rFonts w:ascii="Times New Roman" w:hAnsi="Times New Roman" w:cs="Times New Roman"/>
          <w:color w:val="auto"/>
          <w:sz w:val="24"/>
          <w:szCs w:val="24"/>
        </w:rPr>
        <w:t>[b]</w:t>
      </w:r>
      <w:r>
        <w:rPr>
          <w:rFonts w:hint="eastAsia" w:ascii="Times New Roman" w:hAnsi="Times New Roman" w:cs="Times New Roman"/>
          <w:color w:val="auto"/>
          <w:sz w:val="24"/>
          <w:szCs w:val="24"/>
        </w:rPr>
        <w:t>荧蒽、苯并</w:t>
      </w:r>
      <w:r>
        <w:rPr>
          <w:rFonts w:ascii="Times New Roman" w:hAnsi="Times New Roman" w:cs="Times New Roman"/>
          <w:color w:val="auto"/>
          <w:sz w:val="24"/>
          <w:szCs w:val="24"/>
        </w:rPr>
        <w:t>[k]</w:t>
      </w:r>
      <w:r>
        <w:rPr>
          <w:rFonts w:hint="eastAsia" w:ascii="Times New Roman" w:hAnsi="Times New Roman" w:cs="Times New Roman"/>
          <w:color w:val="auto"/>
          <w:sz w:val="24"/>
          <w:szCs w:val="24"/>
        </w:rPr>
        <w:t>荧蒽、䓛、二苯并</w:t>
      </w:r>
      <w:r>
        <w:rPr>
          <w:rFonts w:ascii="Times New Roman" w:hAnsi="Times New Roman" w:cs="Times New Roman"/>
          <w:color w:val="auto"/>
          <w:sz w:val="24"/>
          <w:szCs w:val="24"/>
        </w:rPr>
        <w:t>[a,h]</w:t>
      </w:r>
      <w:r>
        <w:rPr>
          <w:rFonts w:hint="eastAsia" w:ascii="Times New Roman" w:hAnsi="Times New Roman" w:cs="Times New Roman"/>
          <w:color w:val="auto"/>
          <w:sz w:val="24"/>
          <w:szCs w:val="24"/>
        </w:rPr>
        <w:t>蒽、茚并</w:t>
      </w:r>
      <w:r>
        <w:rPr>
          <w:rFonts w:ascii="Times New Roman" w:hAnsi="Times New Roman" w:cs="Times New Roman"/>
          <w:color w:val="auto"/>
          <w:sz w:val="24"/>
          <w:szCs w:val="24"/>
        </w:rPr>
        <w:t>[1,2,3-cd</w:t>
      </w:r>
      <w:r>
        <w:rPr>
          <w:rFonts w:hint="eastAsia" w:ascii="Times New Roman" w:hAnsi="Times New Roman" w:cs="Times New Roman"/>
          <w:color w:val="auto"/>
          <w:sz w:val="24"/>
          <w:szCs w:val="24"/>
        </w:rPr>
        <w:t>芘、萘，45项基本项目+特征因子</w:t>
      </w:r>
      <w:r>
        <w:rPr>
          <w:rFonts w:hint="eastAsia" w:ascii="Times New Roman" w:hAnsi="Times New Roman" w:cs="Times New Roman"/>
          <w:color w:val="auto"/>
          <w:sz w:val="24"/>
          <w:szCs w:val="24"/>
          <w:lang w:val="en-US" w:eastAsia="zh-CN"/>
        </w:rPr>
        <w:t>pH、</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w:t>
      </w:r>
      <w:r>
        <w:rPr>
          <w:rFonts w:hint="eastAsia" w:ascii="Times New Roman" w:hAnsi="Times New Roman" w:cs="Times New Roman"/>
          <w:color w:val="auto"/>
          <w:sz w:val="24"/>
          <w:szCs w:val="24"/>
        </w:rPr>
        <w:t>，共计</w:t>
      </w:r>
      <w:r>
        <w:rPr>
          <w:rFonts w:ascii="Times New Roman" w:hAnsi="Times New Roman" w:cs="Times New Roman"/>
          <w:color w:val="auto"/>
          <w:sz w:val="24"/>
          <w:szCs w:val="24"/>
        </w:rPr>
        <w:t>4</w:t>
      </w:r>
      <w:r>
        <w:rPr>
          <w:rFonts w:hint="eastAsia" w:ascii="Times New Roman" w:hAnsi="Times New Roman" w:cs="Times New Roman"/>
          <w:color w:val="auto"/>
          <w:sz w:val="24"/>
          <w:szCs w:val="24"/>
          <w:lang w:val="en-US" w:eastAsia="zh-CN"/>
        </w:rPr>
        <w:t>8</w:t>
      </w:r>
      <w:r>
        <w:rPr>
          <w:rFonts w:hint="eastAsia" w:ascii="Times New Roman" w:hAnsi="Times New Roman" w:cs="Times New Roman"/>
          <w:color w:val="auto"/>
          <w:sz w:val="24"/>
          <w:szCs w:val="24"/>
        </w:rPr>
        <w:t>项</w:t>
      </w:r>
      <w:r>
        <w:rPr>
          <w:rFonts w:hint="eastAsia" w:ascii="Times New Roman" w:hAnsi="Times New Roman" w:cs="Times New Roman"/>
          <w:color w:val="auto"/>
          <w:sz w:val="24"/>
          <w:szCs w:val="24"/>
          <w:lang w:eastAsia="zh-CN"/>
        </w:rPr>
        <w:t>。</w:t>
      </w:r>
    </w:p>
    <w:p w14:paraId="2E9D1488">
      <w:pPr>
        <w:spacing w:line="360" w:lineRule="auto"/>
        <w:ind w:left="0" w:leftChars="0" w:firstLine="482" w:firstLineChars="200"/>
        <w:rPr>
          <w:color w:val="auto"/>
          <w:sz w:val="24"/>
          <w:szCs w:val="24"/>
        </w:rPr>
      </w:pPr>
      <w:r>
        <w:rPr>
          <w:rFonts w:hint="eastAsia" w:ascii="Times New Roman" w:hAnsi="Times New Roman" w:cs="Times New Roman"/>
          <w:b/>
          <w:color w:val="auto"/>
          <w:sz w:val="24"/>
          <w:szCs w:val="24"/>
        </w:rPr>
        <w:t>③</w:t>
      </w:r>
      <w:r>
        <w:rPr>
          <w:rFonts w:hint="eastAsia" w:ascii="Times New Roman" w:hAnsi="Times New Roman" w:cs="Times New Roman"/>
          <w:b/>
          <w:color w:val="auto"/>
          <w:sz w:val="24"/>
          <w:szCs w:val="24"/>
          <w:lang w:val="en-US" w:eastAsia="zh-CN"/>
        </w:rPr>
        <w:t>S8、S10</w:t>
      </w:r>
      <w:r>
        <w:rPr>
          <w:rFonts w:hint="eastAsia" w:ascii="Times New Roman" w:hAnsi="Times New Roman" w:cs="Times New Roman"/>
          <w:b/>
          <w:color w:val="auto"/>
          <w:sz w:val="24"/>
          <w:szCs w:val="24"/>
        </w:rPr>
        <w:t>监测点:</w:t>
      </w:r>
      <w:r>
        <w:rPr>
          <w:rFonts w:ascii="Times New Roman" w:hAnsi="Times New Roman" w:cs="Times New Roman"/>
          <w:color w:val="auto"/>
          <w:sz w:val="24"/>
          <w:szCs w:val="24"/>
        </w:rPr>
        <w:t>pH</w:t>
      </w:r>
      <w:r>
        <w:rPr>
          <w:rFonts w:hint="eastAsia" w:ascii="Times New Roman" w:hAnsi="Times New Roman" w:cs="Times New Roman"/>
          <w:color w:val="auto"/>
          <w:sz w:val="24"/>
          <w:szCs w:val="24"/>
        </w:rPr>
        <w:t>、镉</w:t>
      </w:r>
      <w:r>
        <w:rPr>
          <w:rFonts w:ascii="Times New Roman" w:hAnsi="Times New Roman" w:cs="Times New Roman"/>
          <w:color w:val="auto"/>
          <w:sz w:val="24"/>
          <w:szCs w:val="24"/>
        </w:rPr>
        <w:t>、汞、砷、铅、铬、铜、镍、锌</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w:t>
      </w:r>
      <w:r>
        <w:rPr>
          <w:rFonts w:hint="eastAsia" w:cstheme="minorHAnsi"/>
          <w:color w:val="auto"/>
          <w:sz w:val="24"/>
          <w:szCs w:val="24"/>
        </w:rPr>
        <w:t>，</w:t>
      </w:r>
      <w:r>
        <w:rPr>
          <w:rFonts w:hint="eastAsia" w:ascii="Times New Roman" w:hAnsi="Times New Roman" w:cs="Times New Roman"/>
          <w:color w:val="auto"/>
          <w:sz w:val="24"/>
          <w:szCs w:val="24"/>
        </w:rPr>
        <w:t>共计</w:t>
      </w:r>
      <w:r>
        <w:rPr>
          <w:rFonts w:hint="eastAsia" w:ascii="Times New Roman" w:hAnsi="Times New Roman" w:cs="Times New Roman"/>
          <w:color w:val="auto"/>
          <w:sz w:val="24"/>
          <w:szCs w:val="24"/>
          <w:lang w:val="en-US" w:eastAsia="zh-CN"/>
        </w:rPr>
        <w:t>11</w:t>
      </w:r>
      <w:r>
        <w:rPr>
          <w:rFonts w:hint="eastAsia" w:ascii="Times New Roman" w:hAnsi="Times New Roman" w:cs="Times New Roman"/>
          <w:color w:val="auto"/>
          <w:sz w:val="24"/>
          <w:szCs w:val="24"/>
        </w:rPr>
        <w:t>项</w:t>
      </w:r>
      <w:r>
        <w:rPr>
          <w:rFonts w:hint="eastAsia" w:ascii="Times New Roman" w:hAnsi="Times New Roman" w:cs="Times New Roman"/>
          <w:color w:val="auto"/>
          <w:sz w:val="24"/>
          <w:szCs w:val="24"/>
          <w:lang w:eastAsia="zh-CN"/>
        </w:rPr>
        <w:t>。</w:t>
      </w:r>
    </w:p>
    <w:p w14:paraId="71AD1034">
      <w:pPr>
        <w:spacing w:line="360" w:lineRule="auto"/>
        <w:ind w:left="0" w:leftChars="0" w:firstLine="482" w:firstLineChars="200"/>
        <w:rPr>
          <w:rFonts w:ascii="Times New Roman" w:hAnsi="Times New Roman" w:cs="Times New Roman"/>
          <w:b/>
          <w:color w:val="auto"/>
          <w:sz w:val="24"/>
        </w:rPr>
      </w:pPr>
      <w:r>
        <w:rPr>
          <w:rFonts w:ascii="Times New Roman" w:hAnsi="Times New Roman" w:cs="Times New Roman"/>
          <w:b/>
          <w:color w:val="auto"/>
          <w:sz w:val="24"/>
        </w:rPr>
        <w:t>（3）</w:t>
      </w:r>
      <w:r>
        <w:rPr>
          <w:rFonts w:hint="eastAsia" w:ascii="Times New Roman" w:hAnsi="Times New Roman" w:cs="Times New Roman"/>
          <w:b/>
          <w:color w:val="auto"/>
          <w:sz w:val="24"/>
        </w:rPr>
        <w:t>监测时间</w:t>
      </w:r>
    </w:p>
    <w:p w14:paraId="3740E7DA">
      <w:pPr>
        <w:spacing w:line="360" w:lineRule="auto"/>
        <w:ind w:left="0" w:leftChars="0" w:firstLine="480" w:firstLineChars="200"/>
        <w:rPr>
          <w:rFonts w:hint="eastAsia" w:eastAsia="宋体"/>
          <w:color w:val="auto"/>
          <w:sz w:val="24"/>
          <w:szCs w:val="24"/>
          <w:lang w:val="en-US" w:eastAsia="zh-CN"/>
        </w:rPr>
      </w:pPr>
      <w:r>
        <w:rPr>
          <w:rFonts w:hint="eastAsia" w:ascii="Times New Roman" w:hAnsi="Times New Roman" w:eastAsia="宋体" w:cs="宋体"/>
          <w:b w:val="0"/>
          <w:bCs/>
          <w:color w:val="auto"/>
          <w:highlight w:val="none"/>
          <w:lang w:val="en-US" w:eastAsia="zh-CN"/>
        </w:rPr>
        <w:t>S1~S5：</w:t>
      </w:r>
      <w:r>
        <w:rPr>
          <w:rFonts w:hint="eastAsia"/>
          <w:color w:val="auto"/>
          <w:sz w:val="24"/>
          <w:szCs w:val="24"/>
          <w:lang w:eastAsia="zh-CN"/>
        </w:rPr>
        <w:t>202</w:t>
      </w:r>
      <w:r>
        <w:rPr>
          <w:rFonts w:hint="eastAsia"/>
          <w:color w:val="auto"/>
          <w:sz w:val="24"/>
          <w:szCs w:val="24"/>
          <w:lang w:val="en-US" w:eastAsia="zh-CN"/>
        </w:rPr>
        <w:t>6</w:t>
      </w:r>
      <w:r>
        <w:rPr>
          <w:rFonts w:hint="eastAsia"/>
          <w:color w:val="auto"/>
          <w:sz w:val="24"/>
          <w:szCs w:val="24"/>
          <w:lang w:eastAsia="zh-CN"/>
        </w:rPr>
        <w:t>年</w:t>
      </w:r>
      <w:r>
        <w:rPr>
          <w:rFonts w:hint="eastAsia"/>
          <w:color w:val="auto"/>
          <w:sz w:val="24"/>
          <w:szCs w:val="24"/>
          <w:lang w:val="en-US" w:eastAsia="zh-CN"/>
        </w:rPr>
        <w:t>3</w:t>
      </w:r>
      <w:r>
        <w:rPr>
          <w:rFonts w:hint="eastAsia"/>
          <w:color w:val="auto"/>
          <w:sz w:val="24"/>
          <w:szCs w:val="24"/>
          <w:lang w:eastAsia="zh-CN"/>
        </w:rPr>
        <w:t>月</w:t>
      </w:r>
      <w:r>
        <w:rPr>
          <w:rFonts w:hint="eastAsia"/>
          <w:color w:val="auto"/>
          <w:sz w:val="24"/>
          <w:szCs w:val="24"/>
          <w:lang w:val="en-US" w:eastAsia="zh-CN"/>
        </w:rPr>
        <w:t>16</w:t>
      </w:r>
      <w:r>
        <w:rPr>
          <w:rFonts w:hint="eastAsia"/>
          <w:color w:val="auto"/>
          <w:sz w:val="24"/>
          <w:szCs w:val="24"/>
          <w:lang w:eastAsia="zh-CN"/>
        </w:rPr>
        <w:t>日</w:t>
      </w:r>
      <w:r>
        <w:rPr>
          <w:rFonts w:hint="eastAsia" w:ascii="Times New Roman" w:hAnsi="Times New Roman"/>
          <w:color w:val="auto"/>
          <w:sz w:val="24"/>
          <w:szCs w:val="24"/>
        </w:rPr>
        <w:t>，</w:t>
      </w:r>
      <w:r>
        <w:rPr>
          <w:rFonts w:cstheme="minorHAnsi"/>
          <w:color w:val="auto"/>
          <w:sz w:val="24"/>
          <w:szCs w:val="24"/>
        </w:rPr>
        <w:t>监测</w:t>
      </w:r>
      <w:r>
        <w:rPr>
          <w:rFonts w:ascii="Times New Roman" w:hAnsi="Times New Roman"/>
          <w:color w:val="auto"/>
          <w:sz w:val="24"/>
          <w:szCs w:val="24"/>
        </w:rPr>
        <w:t>1天</w:t>
      </w:r>
      <w:r>
        <w:rPr>
          <w:rFonts w:hint="eastAsia" w:ascii="Times New Roman" w:hAnsi="Times New Roman"/>
          <w:color w:val="auto"/>
          <w:sz w:val="24"/>
          <w:szCs w:val="24"/>
          <w:lang w:eastAsia="zh-CN"/>
        </w:rPr>
        <w:t>；</w:t>
      </w:r>
    </w:p>
    <w:p w14:paraId="581072CB">
      <w:pPr>
        <w:spacing w:line="360" w:lineRule="auto"/>
        <w:ind w:left="0" w:leftChars="0" w:firstLine="480" w:firstLineChars="200"/>
        <w:rPr>
          <w:rFonts w:ascii="Times New Roman" w:hAnsi="Times New Roman"/>
          <w:color w:val="auto"/>
          <w:sz w:val="24"/>
          <w:szCs w:val="24"/>
        </w:rPr>
      </w:pPr>
      <w:r>
        <w:rPr>
          <w:rFonts w:hint="eastAsia"/>
          <w:color w:val="auto"/>
          <w:sz w:val="24"/>
          <w:szCs w:val="24"/>
          <w:lang w:val="en-US" w:eastAsia="zh-CN"/>
        </w:rPr>
        <w:t>S6~</w:t>
      </w:r>
      <w:r>
        <w:rPr>
          <w:rFonts w:hint="eastAsia" w:ascii="Times New Roman" w:hAnsi="Times New Roman" w:eastAsia="宋体" w:cs="宋体"/>
          <w:b w:val="0"/>
          <w:bCs/>
          <w:color w:val="auto"/>
          <w:highlight w:val="none"/>
          <w:lang w:val="en-US" w:eastAsia="zh-CN"/>
        </w:rPr>
        <w:t>S10：</w:t>
      </w:r>
      <w:r>
        <w:rPr>
          <w:rFonts w:hint="eastAsia"/>
          <w:color w:val="auto"/>
          <w:sz w:val="24"/>
          <w:szCs w:val="24"/>
          <w:lang w:eastAsia="zh-CN"/>
        </w:rPr>
        <w:t>202</w:t>
      </w:r>
      <w:r>
        <w:rPr>
          <w:rFonts w:hint="eastAsia"/>
          <w:color w:val="auto"/>
          <w:sz w:val="24"/>
          <w:szCs w:val="24"/>
          <w:lang w:val="en-US" w:eastAsia="zh-CN"/>
        </w:rPr>
        <w:t>6</w:t>
      </w:r>
      <w:r>
        <w:rPr>
          <w:rFonts w:hint="eastAsia"/>
          <w:color w:val="auto"/>
          <w:sz w:val="24"/>
          <w:szCs w:val="24"/>
          <w:lang w:eastAsia="zh-CN"/>
        </w:rPr>
        <w:t>年</w:t>
      </w:r>
      <w:r>
        <w:rPr>
          <w:rFonts w:hint="eastAsia"/>
          <w:color w:val="auto"/>
          <w:sz w:val="24"/>
          <w:szCs w:val="24"/>
          <w:lang w:val="en-US" w:eastAsia="zh-CN"/>
        </w:rPr>
        <w:t>2</w:t>
      </w:r>
      <w:r>
        <w:rPr>
          <w:rFonts w:hint="eastAsia"/>
          <w:color w:val="auto"/>
          <w:sz w:val="24"/>
          <w:szCs w:val="24"/>
          <w:lang w:eastAsia="zh-CN"/>
        </w:rPr>
        <w:t>月</w:t>
      </w:r>
      <w:r>
        <w:rPr>
          <w:rFonts w:hint="eastAsia"/>
          <w:color w:val="auto"/>
          <w:sz w:val="24"/>
          <w:szCs w:val="24"/>
          <w:lang w:val="en-US" w:eastAsia="zh-CN"/>
        </w:rPr>
        <w:t>26</w:t>
      </w:r>
      <w:r>
        <w:rPr>
          <w:rFonts w:hint="eastAsia"/>
          <w:color w:val="auto"/>
          <w:sz w:val="24"/>
          <w:szCs w:val="24"/>
          <w:lang w:eastAsia="zh-CN"/>
        </w:rPr>
        <w:t>日</w:t>
      </w:r>
      <w:r>
        <w:rPr>
          <w:rFonts w:hint="eastAsia" w:ascii="Times New Roman" w:hAnsi="Times New Roman"/>
          <w:color w:val="auto"/>
          <w:sz w:val="24"/>
          <w:szCs w:val="24"/>
        </w:rPr>
        <w:t>，</w:t>
      </w:r>
      <w:r>
        <w:rPr>
          <w:rFonts w:cstheme="minorHAnsi"/>
          <w:color w:val="auto"/>
          <w:sz w:val="24"/>
          <w:szCs w:val="24"/>
        </w:rPr>
        <w:t>监测</w:t>
      </w:r>
      <w:r>
        <w:rPr>
          <w:rFonts w:ascii="Times New Roman" w:hAnsi="Times New Roman"/>
          <w:color w:val="auto"/>
          <w:sz w:val="24"/>
          <w:szCs w:val="24"/>
        </w:rPr>
        <w:t>1天</w:t>
      </w:r>
      <w:r>
        <w:rPr>
          <w:rFonts w:hint="eastAsia" w:ascii="Times New Roman" w:hAnsi="Times New Roman"/>
          <w:color w:val="auto"/>
          <w:sz w:val="24"/>
          <w:szCs w:val="24"/>
        </w:rPr>
        <w:t>。</w:t>
      </w:r>
    </w:p>
    <w:p w14:paraId="13A84FB7">
      <w:pPr>
        <w:spacing w:line="360" w:lineRule="auto"/>
        <w:ind w:left="0" w:leftChars="0" w:firstLine="482" w:firstLineChars="200"/>
        <w:rPr>
          <w:b/>
          <w:color w:val="auto"/>
          <w:sz w:val="24"/>
        </w:rPr>
      </w:pPr>
      <w:r>
        <w:rPr>
          <w:rFonts w:hint="eastAsia"/>
          <w:b/>
          <w:color w:val="auto"/>
          <w:sz w:val="24"/>
        </w:rPr>
        <w:t>（</w:t>
      </w:r>
      <w:r>
        <w:rPr>
          <w:b/>
          <w:color w:val="auto"/>
          <w:sz w:val="24"/>
        </w:rPr>
        <w:t>4</w:t>
      </w:r>
      <w:r>
        <w:rPr>
          <w:rFonts w:hint="eastAsia"/>
          <w:b/>
          <w:color w:val="auto"/>
          <w:sz w:val="24"/>
        </w:rPr>
        <w:t>）监测结果</w:t>
      </w:r>
    </w:p>
    <w:p w14:paraId="3E673D39">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区域土壤环境质量现状监测结果见</w:t>
      </w:r>
      <w:r>
        <w:rPr>
          <w:rFonts w:hint="eastAsia"/>
          <w:color w:val="auto"/>
          <w:sz w:val="24"/>
          <w:szCs w:val="24"/>
          <w:lang w:val="en-US" w:eastAsia="zh-CN"/>
        </w:rPr>
        <w:t>下</w:t>
      </w:r>
      <w:r>
        <w:rPr>
          <w:rFonts w:hint="eastAsia" w:ascii="Times New Roman" w:hAnsi="Times New Roman"/>
          <w:color w:val="auto"/>
          <w:sz w:val="24"/>
          <w:szCs w:val="24"/>
        </w:rPr>
        <w:t>表。</w:t>
      </w:r>
    </w:p>
    <w:p w14:paraId="0AF1F94B">
      <w:pPr>
        <w:spacing w:line="360" w:lineRule="auto"/>
        <w:ind w:left="0" w:leftChars="0" w:firstLine="480" w:firstLineChars="200"/>
        <w:rPr>
          <w:rFonts w:hint="eastAsia" w:ascii="Times New Roman" w:hAnsi="Times New Roman"/>
          <w:color w:val="auto"/>
          <w:sz w:val="24"/>
          <w:szCs w:val="24"/>
        </w:rPr>
      </w:pPr>
      <w:r>
        <w:rPr>
          <w:rFonts w:hint="eastAsia" w:cs="Times New Roman"/>
          <w:color w:val="auto"/>
          <w:lang w:val="en-US" w:eastAsia="zh-CN" w:bidi="ar"/>
        </w:rPr>
        <w:t>略。</w:t>
      </w:r>
    </w:p>
    <w:p w14:paraId="3D63994A">
      <w:pPr>
        <w:spacing w:line="360" w:lineRule="auto"/>
        <w:jc w:val="center"/>
        <w:rPr>
          <w:rFonts w:ascii="Times New Roman" w:hAnsi="Times New Roman" w:eastAsia="黑体"/>
          <w:color w:val="auto"/>
          <w:szCs w:val="21"/>
        </w:rPr>
      </w:pPr>
      <w:r>
        <w:rPr>
          <w:rFonts w:hint="eastAsia"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 xml:space="preserve"> </w:t>
      </w:r>
    </w:p>
    <w:p w14:paraId="05E88DB1">
      <w:pPr>
        <w:spacing w:line="360" w:lineRule="auto"/>
        <w:jc w:val="center"/>
        <w:rPr>
          <w:rFonts w:ascii="Times New Roman" w:hAnsi="Times New Roman" w:eastAsia="黑体"/>
          <w:color w:val="auto"/>
          <w:szCs w:val="21"/>
        </w:rPr>
      </w:pPr>
    </w:p>
    <w:p w14:paraId="2D57F863">
      <w:pPr>
        <w:spacing w:line="360" w:lineRule="auto"/>
        <w:jc w:val="center"/>
        <w:rPr>
          <w:rFonts w:ascii="Times New Roman" w:hAnsi="Times New Roman" w:eastAsia="黑体"/>
          <w:color w:val="auto"/>
          <w:szCs w:val="21"/>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p>
    <w:p w14:paraId="63A9783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2、土壤环境质量现状评价</w:t>
      </w:r>
    </w:p>
    <w:p w14:paraId="63058C66">
      <w:pPr>
        <w:spacing w:line="360" w:lineRule="auto"/>
        <w:ind w:left="0" w:leftChars="0" w:firstLine="482" w:firstLineChars="200"/>
        <w:rPr>
          <w:b/>
          <w:color w:val="auto"/>
          <w:sz w:val="24"/>
        </w:rPr>
      </w:pPr>
      <w:r>
        <w:rPr>
          <w:rFonts w:hint="eastAsia"/>
          <w:b/>
          <w:color w:val="auto"/>
          <w:sz w:val="24"/>
        </w:rPr>
        <w:t>（</w:t>
      </w:r>
      <w:r>
        <w:rPr>
          <w:b/>
          <w:color w:val="auto"/>
          <w:sz w:val="24"/>
        </w:rPr>
        <w:t>1</w:t>
      </w:r>
      <w:r>
        <w:rPr>
          <w:rFonts w:hint="eastAsia"/>
          <w:b/>
          <w:color w:val="auto"/>
          <w:sz w:val="24"/>
        </w:rPr>
        <w:t>）评价因子</w:t>
      </w:r>
    </w:p>
    <w:p w14:paraId="5420B258">
      <w:pPr>
        <w:spacing w:line="360" w:lineRule="auto"/>
        <w:ind w:left="0" w:leftChars="0" w:firstLine="480" w:firstLineChars="200"/>
        <w:rPr>
          <w:rFonts w:hint="eastAsia"/>
          <w:b w:val="0"/>
          <w:bCs w:val="0"/>
          <w:color w:val="auto"/>
          <w:sz w:val="24"/>
          <w:szCs w:val="24"/>
          <w:lang w:val="en-US" w:eastAsia="zh-CN"/>
        </w:rPr>
      </w:pPr>
      <w:r>
        <w:rPr>
          <w:rFonts w:hint="eastAsia"/>
          <w:color w:val="auto"/>
          <w:sz w:val="24"/>
          <w:szCs w:val="24"/>
          <w:lang w:val="en-US" w:eastAsia="zh-CN"/>
        </w:rPr>
        <w:t>S1~S6、S9、S11</w:t>
      </w:r>
      <w:r>
        <w:rPr>
          <w:rFonts w:hint="eastAsia"/>
          <w:b w:val="0"/>
          <w:bCs w:val="0"/>
          <w:color w:val="auto"/>
          <w:sz w:val="24"/>
          <w:szCs w:val="24"/>
          <w:lang w:val="en-US" w:eastAsia="zh-CN"/>
        </w:rPr>
        <w:t>：</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氟化物；</w:t>
      </w:r>
    </w:p>
    <w:p w14:paraId="10796145">
      <w:pPr>
        <w:spacing w:line="360" w:lineRule="auto"/>
        <w:ind w:left="0" w:leftChars="0" w:firstLine="480" w:firstLineChars="200"/>
        <w:rPr>
          <w:rFonts w:hint="eastAsia" w:ascii="Times New Roman" w:hAnsi="Times New Roman" w:cs="Times New Roman"/>
          <w:b w:val="0"/>
          <w:bCs w:val="0"/>
          <w:color w:val="auto"/>
          <w:sz w:val="24"/>
          <w:szCs w:val="24"/>
        </w:rPr>
      </w:pPr>
      <w:r>
        <w:rPr>
          <w:rFonts w:hint="eastAsia"/>
          <w:b w:val="0"/>
          <w:bCs w:val="0"/>
          <w:color w:val="auto"/>
          <w:sz w:val="24"/>
          <w:szCs w:val="24"/>
          <w:lang w:val="en-US" w:eastAsia="zh-CN"/>
        </w:rPr>
        <w:t>S7：</w:t>
      </w:r>
      <w:r>
        <w:rPr>
          <w:rFonts w:hint="eastAsia" w:ascii="Times New Roman" w:hAnsi="Times New Roman" w:cs="Times New Roman"/>
          <w:b w:val="0"/>
          <w:bCs w:val="0"/>
          <w:color w:val="auto"/>
          <w:sz w:val="24"/>
          <w:szCs w:val="24"/>
        </w:rPr>
        <w:t>砷、镉、铬（六价）、铜、铅、汞、镍、四氯化碳、氯仿、氯甲烷、</w:t>
      </w:r>
      <w:r>
        <w:rPr>
          <w:rFonts w:ascii="Times New Roman" w:hAnsi="Times New Roman" w:cs="Times New Roman"/>
          <w:b w:val="0"/>
          <w:bCs w:val="0"/>
          <w:color w:val="auto"/>
          <w:sz w:val="24"/>
          <w:szCs w:val="24"/>
        </w:rPr>
        <w:t>1,1-</w:t>
      </w:r>
      <w:r>
        <w:rPr>
          <w:rFonts w:hint="eastAsia" w:ascii="Times New Roman" w:hAnsi="Times New Roman" w:cs="Times New Roman"/>
          <w:b w:val="0"/>
          <w:bCs w:val="0"/>
          <w:color w:val="auto"/>
          <w:sz w:val="24"/>
          <w:szCs w:val="24"/>
        </w:rPr>
        <w:t>二氯乙烷、</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二氯乙烷、</w:t>
      </w:r>
      <w:r>
        <w:rPr>
          <w:rFonts w:ascii="Times New Roman" w:hAnsi="Times New Roman" w:cs="Times New Roman"/>
          <w:b w:val="0"/>
          <w:bCs w:val="0"/>
          <w:color w:val="auto"/>
          <w:sz w:val="24"/>
          <w:szCs w:val="24"/>
        </w:rPr>
        <w:t>1,1-</w:t>
      </w:r>
      <w:r>
        <w:rPr>
          <w:rFonts w:hint="eastAsia" w:ascii="Times New Roman" w:hAnsi="Times New Roman" w:cs="Times New Roman"/>
          <w:b w:val="0"/>
          <w:bCs w:val="0"/>
          <w:color w:val="auto"/>
          <w:sz w:val="24"/>
          <w:szCs w:val="24"/>
        </w:rPr>
        <w:t>二氯乙烯、顺</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二氯乙烯、反</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二氯乙烯、二氯甲烷、</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二氯丙烷、</w:t>
      </w:r>
      <w:r>
        <w:rPr>
          <w:rFonts w:ascii="Times New Roman" w:hAnsi="Times New Roman" w:cs="Times New Roman"/>
          <w:b w:val="0"/>
          <w:bCs w:val="0"/>
          <w:color w:val="auto"/>
          <w:sz w:val="24"/>
          <w:szCs w:val="24"/>
        </w:rPr>
        <w:t>1,1,1,2-</w:t>
      </w:r>
      <w:r>
        <w:rPr>
          <w:rFonts w:hint="eastAsia" w:ascii="Times New Roman" w:hAnsi="Times New Roman" w:cs="Times New Roman"/>
          <w:b w:val="0"/>
          <w:bCs w:val="0"/>
          <w:color w:val="auto"/>
          <w:sz w:val="24"/>
          <w:szCs w:val="24"/>
        </w:rPr>
        <w:t>四氯乙烷、</w:t>
      </w:r>
      <w:r>
        <w:rPr>
          <w:rFonts w:ascii="Times New Roman" w:hAnsi="Times New Roman" w:cs="Times New Roman"/>
          <w:b w:val="0"/>
          <w:bCs w:val="0"/>
          <w:color w:val="auto"/>
          <w:sz w:val="24"/>
          <w:szCs w:val="24"/>
        </w:rPr>
        <w:t>1,1,2,2-</w:t>
      </w:r>
      <w:r>
        <w:rPr>
          <w:rFonts w:hint="eastAsia" w:ascii="Times New Roman" w:hAnsi="Times New Roman" w:cs="Times New Roman"/>
          <w:b w:val="0"/>
          <w:bCs w:val="0"/>
          <w:color w:val="auto"/>
          <w:sz w:val="24"/>
          <w:szCs w:val="24"/>
        </w:rPr>
        <w:t>四氯乙烷、四氯乙烯、</w:t>
      </w:r>
      <w:r>
        <w:rPr>
          <w:rFonts w:ascii="Times New Roman" w:hAnsi="Times New Roman" w:cs="Times New Roman"/>
          <w:b w:val="0"/>
          <w:bCs w:val="0"/>
          <w:color w:val="auto"/>
          <w:sz w:val="24"/>
          <w:szCs w:val="24"/>
        </w:rPr>
        <w:t>1,1,1</w:t>
      </w:r>
      <w:r>
        <w:rPr>
          <w:rFonts w:hint="eastAsia" w:ascii="Times New Roman" w:hAnsi="Times New Roman" w:cs="Times New Roman"/>
          <w:b w:val="0"/>
          <w:bCs w:val="0"/>
          <w:color w:val="auto"/>
          <w:sz w:val="24"/>
          <w:szCs w:val="24"/>
        </w:rPr>
        <w:t>–三氯乙烷、</w:t>
      </w:r>
      <w:r>
        <w:rPr>
          <w:rFonts w:ascii="Times New Roman" w:hAnsi="Times New Roman" w:cs="Times New Roman"/>
          <w:b w:val="0"/>
          <w:bCs w:val="0"/>
          <w:color w:val="auto"/>
          <w:sz w:val="24"/>
          <w:szCs w:val="24"/>
        </w:rPr>
        <w:t>1,1,2</w:t>
      </w:r>
      <w:r>
        <w:rPr>
          <w:rFonts w:hint="eastAsia" w:ascii="Times New Roman" w:hAnsi="Times New Roman" w:cs="Times New Roman"/>
          <w:b w:val="0"/>
          <w:bCs w:val="0"/>
          <w:color w:val="auto"/>
          <w:sz w:val="24"/>
          <w:szCs w:val="24"/>
        </w:rPr>
        <w:t>–三氯乙烷、三氯乙烯、</w:t>
      </w:r>
      <w:r>
        <w:rPr>
          <w:rFonts w:ascii="Times New Roman" w:hAnsi="Times New Roman" w:cs="Times New Roman"/>
          <w:b w:val="0"/>
          <w:bCs w:val="0"/>
          <w:color w:val="auto"/>
          <w:sz w:val="24"/>
          <w:szCs w:val="24"/>
        </w:rPr>
        <w:t>1,2,3</w:t>
      </w:r>
      <w:r>
        <w:rPr>
          <w:rFonts w:hint="eastAsia" w:ascii="Times New Roman" w:hAnsi="Times New Roman" w:cs="Times New Roman"/>
          <w:b w:val="0"/>
          <w:bCs w:val="0"/>
          <w:color w:val="auto"/>
          <w:sz w:val="24"/>
          <w:szCs w:val="24"/>
        </w:rPr>
        <w:t>–三氯丙烷、氯乙烯、苯、氯苯、</w:t>
      </w:r>
      <w:r>
        <w:rPr>
          <w:rFonts w:ascii="Times New Roman" w:hAnsi="Times New Roman" w:cs="Times New Roman"/>
          <w:b w:val="0"/>
          <w:bCs w:val="0"/>
          <w:color w:val="auto"/>
          <w:sz w:val="24"/>
          <w:szCs w:val="24"/>
        </w:rPr>
        <w:t>1,2</w:t>
      </w:r>
      <w:r>
        <w:rPr>
          <w:rFonts w:hint="eastAsia" w:ascii="Times New Roman" w:hAnsi="Times New Roman" w:cs="Times New Roman"/>
          <w:b w:val="0"/>
          <w:bCs w:val="0"/>
          <w:color w:val="auto"/>
          <w:sz w:val="24"/>
          <w:szCs w:val="24"/>
        </w:rPr>
        <w:t>–二氯苯、</w:t>
      </w:r>
      <w:r>
        <w:rPr>
          <w:rFonts w:ascii="Times New Roman" w:hAnsi="Times New Roman" w:cs="Times New Roman"/>
          <w:b w:val="0"/>
          <w:bCs w:val="0"/>
          <w:color w:val="auto"/>
          <w:sz w:val="24"/>
          <w:szCs w:val="24"/>
        </w:rPr>
        <w:t>1,4</w:t>
      </w:r>
      <w:r>
        <w:rPr>
          <w:rFonts w:hint="eastAsia" w:ascii="Times New Roman" w:hAnsi="Times New Roman" w:cs="Times New Roman"/>
          <w:b w:val="0"/>
          <w:bCs w:val="0"/>
          <w:color w:val="auto"/>
          <w:sz w:val="24"/>
          <w:szCs w:val="24"/>
        </w:rPr>
        <w:t>–二氯苯、乙苯、苯乙烯、甲苯、间二甲苯</w:t>
      </w:r>
      <w:r>
        <w:rPr>
          <w:rFonts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rPr>
        <w:t>对二甲苯、邻二甲苯、硝基苯、苯胺、</w:t>
      </w:r>
      <w:r>
        <w:rPr>
          <w:rFonts w:ascii="Times New Roman" w:hAnsi="Times New Roman" w:cs="Times New Roman"/>
          <w:b w:val="0"/>
          <w:bCs w:val="0"/>
          <w:color w:val="auto"/>
          <w:sz w:val="24"/>
          <w:szCs w:val="24"/>
        </w:rPr>
        <w:t>2-</w:t>
      </w:r>
      <w:r>
        <w:rPr>
          <w:rFonts w:hint="eastAsia" w:ascii="Times New Roman" w:hAnsi="Times New Roman" w:cs="Times New Roman"/>
          <w:b w:val="0"/>
          <w:bCs w:val="0"/>
          <w:color w:val="auto"/>
          <w:sz w:val="24"/>
          <w:szCs w:val="24"/>
        </w:rPr>
        <w:t>氯酚、苯并</w:t>
      </w:r>
      <w:r>
        <w:rPr>
          <w:rFonts w:ascii="Times New Roman" w:hAnsi="Times New Roman" w:cs="Times New Roman"/>
          <w:b w:val="0"/>
          <w:bCs w:val="0"/>
          <w:color w:val="auto"/>
          <w:sz w:val="24"/>
          <w:szCs w:val="24"/>
        </w:rPr>
        <w:t>[a]</w:t>
      </w:r>
      <w:r>
        <w:rPr>
          <w:rFonts w:hint="eastAsia" w:ascii="Times New Roman" w:hAnsi="Times New Roman" w:cs="Times New Roman"/>
          <w:b w:val="0"/>
          <w:bCs w:val="0"/>
          <w:color w:val="auto"/>
          <w:sz w:val="24"/>
          <w:szCs w:val="24"/>
        </w:rPr>
        <w:t>蒽、苯并</w:t>
      </w:r>
      <w:r>
        <w:rPr>
          <w:rFonts w:ascii="Times New Roman" w:hAnsi="Times New Roman" w:cs="Times New Roman"/>
          <w:b w:val="0"/>
          <w:bCs w:val="0"/>
          <w:color w:val="auto"/>
          <w:sz w:val="24"/>
          <w:szCs w:val="24"/>
        </w:rPr>
        <w:t>[a]</w:t>
      </w:r>
      <w:r>
        <w:rPr>
          <w:rFonts w:hint="eastAsia" w:ascii="Times New Roman" w:hAnsi="Times New Roman" w:cs="Times New Roman"/>
          <w:b w:val="0"/>
          <w:bCs w:val="0"/>
          <w:color w:val="auto"/>
          <w:sz w:val="24"/>
          <w:szCs w:val="24"/>
        </w:rPr>
        <w:t>芘、苯并</w:t>
      </w:r>
      <w:r>
        <w:rPr>
          <w:rFonts w:ascii="Times New Roman" w:hAnsi="Times New Roman" w:cs="Times New Roman"/>
          <w:b w:val="0"/>
          <w:bCs w:val="0"/>
          <w:color w:val="auto"/>
          <w:sz w:val="24"/>
          <w:szCs w:val="24"/>
        </w:rPr>
        <w:t>[b]</w:t>
      </w:r>
      <w:r>
        <w:rPr>
          <w:rFonts w:hint="eastAsia" w:ascii="Times New Roman" w:hAnsi="Times New Roman" w:cs="Times New Roman"/>
          <w:b w:val="0"/>
          <w:bCs w:val="0"/>
          <w:color w:val="auto"/>
          <w:sz w:val="24"/>
          <w:szCs w:val="24"/>
        </w:rPr>
        <w:t>荧蒽、苯并</w:t>
      </w:r>
      <w:r>
        <w:rPr>
          <w:rFonts w:ascii="Times New Roman" w:hAnsi="Times New Roman" w:cs="Times New Roman"/>
          <w:b w:val="0"/>
          <w:bCs w:val="0"/>
          <w:color w:val="auto"/>
          <w:sz w:val="24"/>
          <w:szCs w:val="24"/>
        </w:rPr>
        <w:t>[k]</w:t>
      </w:r>
      <w:r>
        <w:rPr>
          <w:rFonts w:hint="eastAsia" w:ascii="Times New Roman" w:hAnsi="Times New Roman" w:cs="Times New Roman"/>
          <w:b w:val="0"/>
          <w:bCs w:val="0"/>
          <w:color w:val="auto"/>
          <w:sz w:val="24"/>
          <w:szCs w:val="24"/>
        </w:rPr>
        <w:t>荧蒽、䓛、二苯并</w:t>
      </w:r>
      <w:r>
        <w:rPr>
          <w:rFonts w:ascii="Times New Roman" w:hAnsi="Times New Roman" w:cs="Times New Roman"/>
          <w:b w:val="0"/>
          <w:bCs w:val="0"/>
          <w:color w:val="auto"/>
          <w:sz w:val="24"/>
          <w:szCs w:val="24"/>
        </w:rPr>
        <w:t>[a,h]</w:t>
      </w:r>
      <w:r>
        <w:rPr>
          <w:rFonts w:hint="eastAsia" w:ascii="Times New Roman" w:hAnsi="Times New Roman" w:cs="Times New Roman"/>
          <w:b w:val="0"/>
          <w:bCs w:val="0"/>
          <w:color w:val="auto"/>
          <w:sz w:val="24"/>
          <w:szCs w:val="24"/>
        </w:rPr>
        <w:t>蒽、茚并</w:t>
      </w:r>
      <w:r>
        <w:rPr>
          <w:rFonts w:ascii="Times New Roman" w:hAnsi="Times New Roman" w:cs="Times New Roman"/>
          <w:b w:val="0"/>
          <w:bCs w:val="0"/>
          <w:color w:val="auto"/>
          <w:sz w:val="24"/>
          <w:szCs w:val="24"/>
        </w:rPr>
        <w:t>[1,2,3-cd</w:t>
      </w:r>
      <w:r>
        <w:rPr>
          <w:rFonts w:hint="eastAsia" w:ascii="Times New Roman" w:hAnsi="Times New Roman" w:cs="Times New Roman"/>
          <w:b w:val="0"/>
          <w:bCs w:val="0"/>
          <w:color w:val="auto"/>
          <w:sz w:val="24"/>
          <w:szCs w:val="24"/>
        </w:rPr>
        <w:t>芘、萘</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rPr>
        <w:t>石油烃</w:t>
      </w:r>
      <w:r>
        <w:rPr>
          <w:rFonts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rPr>
        <w:t>C</w:t>
      </w:r>
      <w:r>
        <w:rPr>
          <w:rFonts w:hint="eastAsia" w:ascii="Times New Roman" w:hAnsi="Times New Roman" w:cs="Times New Roman"/>
          <w:b w:val="0"/>
          <w:bCs w:val="0"/>
          <w:color w:val="auto"/>
          <w:sz w:val="24"/>
          <w:szCs w:val="24"/>
          <w:vertAlign w:val="subscript"/>
        </w:rPr>
        <w:t>10</w:t>
      </w:r>
      <w:r>
        <w:rPr>
          <w:rFonts w:hint="eastAsia" w:ascii="Times New Roman" w:hAnsi="Times New Roman" w:cs="Times New Roman"/>
          <w:b w:val="0"/>
          <w:bCs w:val="0"/>
          <w:color w:val="auto"/>
          <w:sz w:val="24"/>
          <w:szCs w:val="24"/>
        </w:rPr>
        <w:t>-C</w:t>
      </w:r>
      <w:r>
        <w:rPr>
          <w:rFonts w:hint="eastAsia" w:ascii="Times New Roman" w:hAnsi="Times New Roman" w:cs="Times New Roman"/>
          <w:b w:val="0"/>
          <w:bCs w:val="0"/>
          <w:color w:val="auto"/>
          <w:sz w:val="24"/>
          <w:szCs w:val="24"/>
          <w:vertAlign w:val="subscript"/>
        </w:rPr>
        <w:t>40</w:t>
      </w:r>
      <w:r>
        <w:rPr>
          <w:rFonts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氟化物</w:t>
      </w:r>
      <w:r>
        <w:rPr>
          <w:rFonts w:hint="eastAsia" w:cs="Times New Roman"/>
          <w:b w:val="0"/>
          <w:bCs w:val="0"/>
          <w:color w:val="auto"/>
          <w:sz w:val="24"/>
          <w:szCs w:val="24"/>
          <w:lang w:val="en-US" w:eastAsia="zh-CN"/>
        </w:rPr>
        <w:t>；</w:t>
      </w:r>
    </w:p>
    <w:p w14:paraId="0D291568">
      <w:pPr>
        <w:spacing w:line="360" w:lineRule="auto"/>
        <w:ind w:left="0" w:leftChars="0" w:firstLine="480" w:firstLineChars="200"/>
        <w:rPr>
          <w:rFonts w:hint="eastAsia" w:eastAsia="宋体" w:cs="Times New Roman"/>
          <w:color w:val="auto"/>
          <w:sz w:val="24"/>
          <w:szCs w:val="24"/>
          <w:lang w:eastAsia="zh-CN"/>
        </w:rPr>
      </w:pPr>
      <w:r>
        <w:rPr>
          <w:rFonts w:hint="eastAsia" w:cs="Times New Roman"/>
          <w:b w:val="0"/>
          <w:bCs w:val="0"/>
          <w:color w:val="auto"/>
          <w:sz w:val="24"/>
          <w:szCs w:val="24"/>
          <w:lang w:val="en-US" w:eastAsia="zh-CN"/>
        </w:rPr>
        <w:t>S8、S10</w:t>
      </w:r>
      <w:r>
        <w:rPr>
          <w:rFonts w:hint="eastAsia" w:ascii="Times New Roman" w:hAnsi="Times New Roman" w:cs="Times New Roman"/>
          <w:b w:val="0"/>
          <w:bCs w:val="0"/>
          <w:color w:val="auto"/>
          <w:sz w:val="24"/>
          <w:szCs w:val="24"/>
          <w:lang w:val="en-US" w:eastAsia="zh-CN"/>
        </w:rPr>
        <w:t>：</w:t>
      </w:r>
      <w:r>
        <w:rPr>
          <w:rFonts w:hint="eastAsia" w:ascii="Times New Roman" w:hAnsi="Times New Roman" w:cs="Times New Roman"/>
          <w:color w:val="auto"/>
          <w:sz w:val="24"/>
          <w:szCs w:val="24"/>
        </w:rPr>
        <w:t>镉</w:t>
      </w:r>
      <w:r>
        <w:rPr>
          <w:rFonts w:ascii="Times New Roman" w:hAnsi="Times New Roman" w:cs="Times New Roman"/>
          <w:color w:val="auto"/>
          <w:sz w:val="24"/>
          <w:szCs w:val="24"/>
        </w:rPr>
        <w:t>、汞、砷、铅、铬、铜、镍、锌</w:t>
      </w:r>
      <w:r>
        <w:rPr>
          <w:rFonts w:hint="eastAsia" w:cs="Times New Roman"/>
          <w:color w:val="auto"/>
          <w:sz w:val="24"/>
          <w:szCs w:val="24"/>
          <w:lang w:eastAsia="zh-CN"/>
        </w:rPr>
        <w:t>、</w:t>
      </w:r>
      <w:r>
        <w:rPr>
          <w:rFonts w:hint="eastAsia" w:ascii="Times New Roman" w:hAnsi="Times New Roman" w:cs="Times New Roman"/>
          <w:color w:val="auto"/>
          <w:sz w:val="24"/>
          <w:szCs w:val="24"/>
        </w:rPr>
        <w:t>石油烃</w:t>
      </w:r>
      <w:r>
        <w:rPr>
          <w:rFonts w:ascii="Times New Roman" w:hAnsi="Times New Roman" w:cs="Times New Roman"/>
          <w:color w:val="auto"/>
          <w:sz w:val="24"/>
          <w:szCs w:val="24"/>
        </w:rPr>
        <w:t>（</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10</w:t>
      </w:r>
      <w:r>
        <w:rPr>
          <w:rFonts w:hint="eastAsia" w:ascii="Times New Roman" w:hAnsi="Times New Roman" w:cs="Times New Roman"/>
          <w:color w:val="auto"/>
          <w:sz w:val="24"/>
          <w:szCs w:val="24"/>
        </w:rPr>
        <w:t>-C</w:t>
      </w:r>
      <w:r>
        <w:rPr>
          <w:rFonts w:hint="eastAsia" w:ascii="Times New Roman" w:hAnsi="Times New Roman" w:cs="Times New Roman"/>
          <w:color w:val="auto"/>
          <w:sz w:val="24"/>
          <w:szCs w:val="24"/>
          <w:vertAlign w:val="subscript"/>
        </w:rPr>
        <w:t>40</w:t>
      </w:r>
      <w:r>
        <w:rPr>
          <w:rFonts w:ascii="Times New Roman" w:hAnsi="Times New Roman" w:cs="Times New Roman"/>
          <w:color w:val="auto"/>
          <w:sz w:val="24"/>
          <w:szCs w:val="24"/>
        </w:rPr>
        <w:t>）</w:t>
      </w:r>
      <w:r>
        <w:rPr>
          <w:rFonts w:hint="eastAsia" w:cs="Times New Roman"/>
          <w:color w:val="auto"/>
          <w:sz w:val="24"/>
          <w:szCs w:val="24"/>
          <w:lang w:eastAsia="zh-CN"/>
        </w:rPr>
        <w:t>。</w:t>
      </w:r>
    </w:p>
    <w:p w14:paraId="09F8FC71">
      <w:pPr>
        <w:spacing w:line="360" w:lineRule="auto"/>
        <w:ind w:left="0" w:leftChars="0" w:firstLine="482" w:firstLineChars="200"/>
        <w:rPr>
          <w:b/>
          <w:color w:val="auto"/>
          <w:sz w:val="24"/>
        </w:rPr>
      </w:pPr>
      <w:r>
        <w:rPr>
          <w:rFonts w:hint="eastAsia"/>
          <w:b/>
          <w:color w:val="auto"/>
          <w:sz w:val="24"/>
        </w:rPr>
        <w:t>（</w:t>
      </w:r>
      <w:r>
        <w:rPr>
          <w:b/>
          <w:color w:val="auto"/>
          <w:sz w:val="24"/>
        </w:rPr>
        <w:t>2</w:t>
      </w:r>
      <w:r>
        <w:rPr>
          <w:rFonts w:hint="eastAsia"/>
          <w:b/>
          <w:color w:val="auto"/>
          <w:sz w:val="24"/>
        </w:rPr>
        <w:t>）评价标准</w:t>
      </w:r>
    </w:p>
    <w:p w14:paraId="7096FAF0">
      <w:pPr>
        <w:spacing w:line="360" w:lineRule="auto"/>
        <w:ind w:left="0" w:leftChars="0" w:firstLine="480" w:firstLineChars="200"/>
        <w:rPr>
          <w:rFonts w:ascii="Times New Roman" w:hAnsi="Times New Roman"/>
          <w:color w:val="auto"/>
          <w:sz w:val="24"/>
        </w:rPr>
      </w:pPr>
      <w:r>
        <w:rPr>
          <w:rFonts w:hint="eastAsia" w:cstheme="minorHAnsi"/>
          <w:color w:val="auto"/>
          <w:sz w:val="24"/>
          <w:szCs w:val="24"/>
          <w:lang w:val="en-US" w:eastAsia="zh-CN"/>
        </w:rPr>
        <w:t>S1~S7、S9、S11</w:t>
      </w:r>
      <w:r>
        <w:rPr>
          <w:rFonts w:hint="eastAsia" w:cstheme="minorHAnsi"/>
          <w:color w:val="auto"/>
          <w:sz w:val="24"/>
          <w:szCs w:val="24"/>
        </w:rPr>
        <w:t>执行《土壤环境质量</w:t>
      </w:r>
      <w:r>
        <w:rPr>
          <w:rFonts w:hint="eastAsia" w:cstheme="minorHAnsi"/>
          <w:color w:val="auto"/>
          <w:sz w:val="24"/>
          <w:szCs w:val="24"/>
          <w:lang w:val="en-US" w:eastAsia="zh-CN"/>
        </w:rPr>
        <w:t xml:space="preserve"> </w:t>
      </w:r>
      <w:r>
        <w:rPr>
          <w:rFonts w:hint="eastAsia" w:cstheme="minorHAnsi"/>
          <w:color w:val="auto"/>
          <w:sz w:val="24"/>
          <w:szCs w:val="24"/>
        </w:rPr>
        <w:t>建设用地土壤污染风险管控标准（试行）》（GB36600-2018）表1、表2中建设用地土壤污染风险第二类用地筛选值</w:t>
      </w:r>
      <w:r>
        <w:rPr>
          <w:rFonts w:hint="eastAsia" w:cstheme="minorHAnsi"/>
          <w:color w:val="auto"/>
          <w:sz w:val="24"/>
          <w:szCs w:val="24"/>
          <w:lang w:eastAsia="zh-CN"/>
        </w:rPr>
        <w:t>（</w:t>
      </w:r>
      <w:r>
        <w:rPr>
          <w:rFonts w:hint="eastAsia" w:cstheme="minorHAnsi"/>
          <w:color w:val="auto"/>
          <w:sz w:val="24"/>
          <w:szCs w:val="24"/>
          <w:lang w:val="en-US" w:eastAsia="zh-CN"/>
        </w:rPr>
        <w:t>其中氟化物执行《四川省建设用地土壤污染风险管控标准》（DB51/2978-2023）</w:t>
      </w:r>
      <w:r>
        <w:rPr>
          <w:rFonts w:hint="eastAsia" w:cstheme="minorHAnsi"/>
          <w:color w:val="auto"/>
          <w:sz w:val="24"/>
          <w:szCs w:val="24"/>
        </w:rPr>
        <w:t>表1中建设用地土壤污染风险第</w:t>
      </w:r>
      <w:r>
        <w:rPr>
          <w:rFonts w:hint="eastAsia" w:cstheme="minorHAnsi"/>
          <w:color w:val="auto"/>
          <w:sz w:val="24"/>
          <w:szCs w:val="24"/>
          <w:lang w:val="en-US" w:eastAsia="zh-CN"/>
        </w:rPr>
        <w:t>二</w:t>
      </w:r>
      <w:r>
        <w:rPr>
          <w:rFonts w:hint="eastAsia" w:cstheme="minorHAnsi"/>
          <w:color w:val="auto"/>
          <w:sz w:val="24"/>
          <w:szCs w:val="24"/>
        </w:rPr>
        <w:t>类用地筛选值</w:t>
      </w:r>
      <w:r>
        <w:rPr>
          <w:rFonts w:hint="eastAsia" w:cstheme="minorHAnsi"/>
          <w:color w:val="auto"/>
          <w:sz w:val="24"/>
          <w:szCs w:val="24"/>
          <w:lang w:eastAsia="zh-CN"/>
        </w:rPr>
        <w:t>）；</w:t>
      </w:r>
      <w:r>
        <w:rPr>
          <w:rFonts w:hint="eastAsia" w:cstheme="minorHAnsi"/>
          <w:color w:val="auto"/>
          <w:sz w:val="24"/>
          <w:szCs w:val="24"/>
          <w:lang w:val="en-US" w:eastAsia="zh-CN"/>
        </w:rPr>
        <w:t>S8、S10执行</w:t>
      </w:r>
      <w:r>
        <w:rPr>
          <w:rFonts w:hint="eastAsia" w:cstheme="minorHAnsi"/>
          <w:color w:val="auto"/>
          <w:sz w:val="24"/>
          <w:szCs w:val="24"/>
        </w:rPr>
        <w:t>《土壤环境质量 农用地土壤污染风险管控标准（试行）》（GB15618-2018）</w:t>
      </w:r>
      <w:r>
        <w:rPr>
          <w:rFonts w:hint="eastAsia" w:cstheme="minorHAnsi"/>
          <w:color w:val="auto"/>
          <w:sz w:val="24"/>
          <w:szCs w:val="24"/>
          <w:lang w:val="en-US" w:eastAsia="zh-CN"/>
        </w:rPr>
        <w:t>表1中农</w:t>
      </w:r>
      <w:r>
        <w:rPr>
          <w:rFonts w:hint="eastAsia" w:cstheme="minorHAnsi"/>
          <w:color w:val="auto"/>
          <w:sz w:val="24"/>
          <w:szCs w:val="24"/>
        </w:rPr>
        <w:t>用地土壤污染风险筛选值</w:t>
      </w:r>
      <w:r>
        <w:rPr>
          <w:rFonts w:hint="eastAsia" w:cstheme="minorHAnsi"/>
          <w:color w:val="auto"/>
          <w:sz w:val="24"/>
          <w:szCs w:val="24"/>
          <w:lang w:eastAsia="zh-CN"/>
        </w:rPr>
        <w:t>（</w:t>
      </w:r>
      <w:r>
        <w:rPr>
          <w:rFonts w:hint="eastAsia" w:cstheme="minorHAnsi"/>
          <w:color w:val="auto"/>
          <w:sz w:val="24"/>
          <w:szCs w:val="24"/>
          <w:lang w:val="en-US" w:eastAsia="zh-CN"/>
        </w:rPr>
        <w:t>其中石油烃</w:t>
      </w:r>
      <w:r>
        <w:rPr>
          <w:rFonts w:hint="eastAsia" w:cstheme="minorHAnsi"/>
          <w:color w:val="auto"/>
          <w:sz w:val="24"/>
          <w:szCs w:val="24"/>
        </w:rPr>
        <w:t>（C</w:t>
      </w:r>
      <w:r>
        <w:rPr>
          <w:rFonts w:hint="eastAsia" w:cstheme="minorHAnsi"/>
          <w:color w:val="auto"/>
          <w:sz w:val="24"/>
          <w:szCs w:val="24"/>
          <w:vertAlign w:val="subscript"/>
        </w:rPr>
        <w:t>10</w:t>
      </w:r>
      <w:r>
        <w:rPr>
          <w:rFonts w:hint="eastAsia" w:cstheme="minorHAnsi"/>
          <w:color w:val="auto"/>
          <w:sz w:val="24"/>
          <w:szCs w:val="24"/>
        </w:rPr>
        <w:t>-C</w:t>
      </w:r>
      <w:r>
        <w:rPr>
          <w:rFonts w:hint="eastAsia" w:cstheme="minorHAnsi"/>
          <w:color w:val="auto"/>
          <w:sz w:val="24"/>
          <w:szCs w:val="24"/>
          <w:vertAlign w:val="subscript"/>
        </w:rPr>
        <w:t>40</w:t>
      </w:r>
      <w:r>
        <w:rPr>
          <w:rFonts w:hint="eastAsia" w:cstheme="minorHAnsi"/>
          <w:color w:val="auto"/>
          <w:sz w:val="24"/>
          <w:szCs w:val="24"/>
        </w:rPr>
        <w:t>）</w:t>
      </w:r>
      <w:r>
        <w:rPr>
          <w:rFonts w:hint="eastAsia" w:cstheme="minorHAnsi"/>
          <w:color w:val="auto"/>
          <w:sz w:val="24"/>
          <w:szCs w:val="24"/>
          <w:lang w:val="en-US" w:eastAsia="zh-CN"/>
        </w:rPr>
        <w:t>执行《农用地土壤环境风险评价技术规定(试行) 》（环办土壤函〔2018〕1479 号）附表1-3中农用地土壤其他增测项目评价参考值</w:t>
      </w:r>
      <w:r>
        <w:rPr>
          <w:rFonts w:hint="eastAsia" w:cstheme="minorHAnsi"/>
          <w:color w:val="auto"/>
          <w:sz w:val="24"/>
          <w:szCs w:val="24"/>
          <w:lang w:eastAsia="zh-CN"/>
        </w:rPr>
        <w:t>）</w:t>
      </w:r>
      <w:r>
        <w:rPr>
          <w:rFonts w:hint="eastAsia" w:cstheme="minorHAnsi"/>
          <w:color w:val="auto"/>
          <w:sz w:val="24"/>
          <w:szCs w:val="24"/>
        </w:rPr>
        <w:t>。</w:t>
      </w:r>
    </w:p>
    <w:p w14:paraId="599ACAED">
      <w:pPr>
        <w:spacing w:line="360" w:lineRule="auto"/>
        <w:ind w:left="0" w:leftChars="0" w:firstLine="482" w:firstLineChars="200"/>
        <w:rPr>
          <w:b/>
          <w:color w:val="auto"/>
          <w:sz w:val="24"/>
        </w:rPr>
      </w:pPr>
      <w:r>
        <w:rPr>
          <w:rFonts w:hint="eastAsia"/>
          <w:b/>
          <w:color w:val="auto"/>
          <w:sz w:val="24"/>
        </w:rPr>
        <w:t>（</w:t>
      </w:r>
      <w:r>
        <w:rPr>
          <w:b/>
          <w:color w:val="auto"/>
          <w:sz w:val="24"/>
        </w:rPr>
        <w:t>3</w:t>
      </w:r>
      <w:r>
        <w:rPr>
          <w:rFonts w:hint="eastAsia"/>
          <w:b/>
          <w:color w:val="auto"/>
          <w:sz w:val="24"/>
        </w:rPr>
        <w:t>）评价方法</w:t>
      </w:r>
    </w:p>
    <w:p w14:paraId="77BCCBF3">
      <w:pPr>
        <w:spacing w:line="360" w:lineRule="auto"/>
        <w:ind w:left="0" w:leftChars="0" w:firstLine="480" w:firstLineChars="200"/>
        <w:rPr>
          <w:rFonts w:ascii="Times New Roman" w:hAnsi="Times New Roman"/>
          <w:color w:val="auto"/>
          <w:sz w:val="24"/>
        </w:rPr>
      </w:pPr>
      <w:r>
        <w:rPr>
          <w:rFonts w:hint="eastAsia" w:ascii="Times New Roman" w:hAnsi="Times New Roman"/>
          <w:color w:val="auto"/>
          <w:sz w:val="24"/>
          <w:szCs w:val="24"/>
        </w:rPr>
        <w:t>采用</w:t>
      </w:r>
      <w:r>
        <w:rPr>
          <w:rFonts w:hint="eastAsia" w:ascii="Times New Roman" w:hAnsi="Times New Roman"/>
          <w:color w:val="auto"/>
          <w:sz w:val="24"/>
        </w:rPr>
        <w:t>标准</w:t>
      </w:r>
      <w:r>
        <w:rPr>
          <w:rFonts w:ascii="Times New Roman" w:hAnsi="Times New Roman"/>
          <w:color w:val="auto"/>
          <w:sz w:val="24"/>
        </w:rPr>
        <w:t>指数</w:t>
      </w:r>
      <w:r>
        <w:rPr>
          <w:rFonts w:hint="eastAsia" w:ascii="Times New Roman" w:hAnsi="Times New Roman"/>
          <w:color w:val="auto"/>
          <w:sz w:val="24"/>
        </w:rPr>
        <w:t>评价</w:t>
      </w:r>
      <w:r>
        <w:rPr>
          <w:rFonts w:ascii="Times New Roman" w:hAnsi="Times New Roman"/>
          <w:color w:val="auto"/>
          <w:sz w:val="24"/>
        </w:rPr>
        <w:t>法</w:t>
      </w:r>
      <w:r>
        <w:rPr>
          <w:rFonts w:hint="eastAsia" w:ascii="Times New Roman" w:hAnsi="Times New Roman"/>
          <w:color w:val="auto"/>
          <w:sz w:val="24"/>
        </w:rPr>
        <w:t>，</w:t>
      </w:r>
      <w:r>
        <w:rPr>
          <w:rFonts w:ascii="Times New Roman" w:hAnsi="Times New Roman"/>
          <w:color w:val="auto"/>
          <w:sz w:val="24"/>
        </w:rPr>
        <w:t>公式为：</w:t>
      </w:r>
    </w:p>
    <w:p w14:paraId="4C326838">
      <w:pPr>
        <w:spacing w:line="360" w:lineRule="auto"/>
        <w:jc w:val="center"/>
        <w:rPr>
          <w:rFonts w:ascii="Times New Roman" w:hAnsi="Times New Roman"/>
          <w:i/>
          <w:color w:val="auto"/>
          <w:sz w:val="24"/>
        </w:rPr>
      </w:pPr>
      <w:r>
        <w:rPr>
          <w:rFonts w:ascii="Times New Roman" w:hAnsi="Times New Roman"/>
          <w:i/>
          <w:color w:val="auto"/>
          <w:sz w:val="24"/>
          <w:szCs w:val="24"/>
        </w:rPr>
        <w:t>P</w:t>
      </w:r>
      <w:r>
        <w:rPr>
          <w:rFonts w:ascii="Times New Roman" w:hAnsi="Times New Roman"/>
          <w:i/>
          <w:color w:val="auto"/>
          <w:sz w:val="24"/>
          <w:szCs w:val="24"/>
          <w:vertAlign w:val="subscript"/>
        </w:rPr>
        <w:t>i</w:t>
      </w:r>
      <w:r>
        <w:rPr>
          <w:rFonts w:ascii="Times New Roman" w:hAnsi="Times New Roman"/>
          <w:color w:val="auto"/>
          <w:sz w:val="24"/>
          <w:szCs w:val="24"/>
        </w:rPr>
        <w:t xml:space="preserve"> = </w:t>
      </w:r>
      <w:r>
        <w:rPr>
          <w:rFonts w:ascii="Times New Roman" w:hAnsi="Times New Roman"/>
          <w:i/>
          <w:color w:val="auto"/>
          <w:sz w:val="24"/>
          <w:szCs w:val="24"/>
        </w:rPr>
        <w:t>C</w:t>
      </w:r>
      <w:r>
        <w:rPr>
          <w:rFonts w:ascii="Times New Roman" w:hAnsi="Times New Roman"/>
          <w:i/>
          <w:color w:val="auto"/>
          <w:sz w:val="24"/>
          <w:szCs w:val="24"/>
          <w:vertAlign w:val="subscript"/>
        </w:rPr>
        <w:t>i</w:t>
      </w:r>
      <w:r>
        <w:rPr>
          <w:rFonts w:ascii="Times New Roman" w:hAnsi="Times New Roman"/>
          <w:color w:val="auto"/>
          <w:sz w:val="24"/>
          <w:szCs w:val="24"/>
        </w:rPr>
        <w:t xml:space="preserve"> / </w:t>
      </w:r>
      <w:r>
        <w:rPr>
          <w:rFonts w:ascii="Times New Roman" w:hAnsi="Times New Roman"/>
          <w:i/>
          <w:color w:val="auto"/>
          <w:sz w:val="24"/>
          <w:szCs w:val="24"/>
        </w:rPr>
        <w:t>S</w:t>
      </w:r>
      <w:r>
        <w:rPr>
          <w:rFonts w:ascii="Times New Roman" w:hAnsi="Times New Roman"/>
          <w:i/>
          <w:color w:val="auto"/>
          <w:sz w:val="24"/>
          <w:szCs w:val="24"/>
          <w:vertAlign w:val="subscript"/>
        </w:rPr>
        <w:t>i</w:t>
      </w:r>
    </w:p>
    <w:p w14:paraId="7088DC3F">
      <w:pPr>
        <w:pStyle w:val="10"/>
        <w:spacing w:after="0" w:line="360" w:lineRule="auto"/>
        <w:ind w:left="0" w:leftChars="0" w:firstLine="480" w:firstLineChars="200"/>
        <w:rPr>
          <w:rFonts w:ascii="Times New Roman" w:hAnsi="Times New Roman"/>
          <w:color w:val="auto"/>
          <w:sz w:val="24"/>
        </w:rPr>
      </w:pPr>
      <w:r>
        <w:rPr>
          <w:rFonts w:ascii="Times New Roman" w:hAnsi="Times New Roman"/>
          <w:color w:val="auto"/>
          <w:sz w:val="24"/>
        </w:rPr>
        <w:t>式中，</w:t>
      </w:r>
      <w:r>
        <w:rPr>
          <w:rFonts w:ascii="Times New Roman" w:hAnsi="Times New Roman"/>
          <w:i/>
          <w:color w:val="auto"/>
          <w:sz w:val="24"/>
        </w:rPr>
        <w:t>P</w:t>
      </w:r>
      <w:r>
        <w:rPr>
          <w:rFonts w:ascii="Times New Roman" w:hAnsi="Times New Roman"/>
          <w:i/>
          <w:color w:val="auto"/>
          <w:sz w:val="24"/>
          <w:vertAlign w:val="subscript"/>
        </w:rPr>
        <w:t>i</w:t>
      </w:r>
      <w:r>
        <w:rPr>
          <w:rFonts w:ascii="Times New Roman" w:hAnsi="Times New Roman"/>
          <w:color w:val="auto"/>
          <w:sz w:val="24"/>
        </w:rPr>
        <w:t>——</w:t>
      </w:r>
      <w:r>
        <w:rPr>
          <w:rFonts w:hint="eastAsia" w:ascii="Times New Roman" w:hAnsi="Times New Roman"/>
          <w:color w:val="auto"/>
          <w:sz w:val="24"/>
        </w:rPr>
        <w:t>第</w:t>
      </w:r>
      <w:r>
        <w:rPr>
          <w:rFonts w:ascii="Times New Roman" w:hAnsi="Times New Roman"/>
          <w:i/>
          <w:color w:val="auto"/>
          <w:sz w:val="24"/>
        </w:rPr>
        <w:t>i</w:t>
      </w:r>
      <w:r>
        <w:rPr>
          <w:rFonts w:hint="eastAsia" w:ascii="Times New Roman" w:hAnsi="Times New Roman"/>
          <w:color w:val="auto"/>
          <w:sz w:val="24"/>
        </w:rPr>
        <w:t>个</w:t>
      </w:r>
      <w:r>
        <w:rPr>
          <w:rFonts w:ascii="Times New Roman" w:hAnsi="Times New Roman"/>
          <w:color w:val="auto"/>
          <w:sz w:val="24"/>
        </w:rPr>
        <w:t>污染物</w:t>
      </w:r>
      <w:r>
        <w:rPr>
          <w:rFonts w:hint="eastAsia" w:ascii="Times New Roman" w:hAnsi="Times New Roman"/>
          <w:color w:val="auto"/>
          <w:sz w:val="24"/>
        </w:rPr>
        <w:t>标准</w:t>
      </w:r>
      <w:r>
        <w:rPr>
          <w:rFonts w:ascii="Times New Roman" w:hAnsi="Times New Roman"/>
          <w:color w:val="auto"/>
          <w:sz w:val="24"/>
        </w:rPr>
        <w:t>指数</w:t>
      </w:r>
      <w:r>
        <w:rPr>
          <w:rFonts w:hint="eastAsia" w:ascii="Times New Roman" w:hAnsi="Times New Roman"/>
          <w:color w:val="auto"/>
          <w:sz w:val="24"/>
        </w:rPr>
        <w:t>值；</w:t>
      </w:r>
    </w:p>
    <w:p w14:paraId="0B57ADF6">
      <w:pPr>
        <w:pStyle w:val="10"/>
        <w:spacing w:after="0" w:line="360" w:lineRule="auto"/>
        <w:ind w:firstLine="720" w:firstLineChars="300"/>
        <w:rPr>
          <w:rFonts w:ascii="Times New Roman" w:hAnsi="Times New Roman"/>
          <w:color w:val="auto"/>
          <w:sz w:val="24"/>
        </w:rPr>
      </w:pPr>
      <w:r>
        <w:rPr>
          <w:rFonts w:ascii="Times New Roman" w:hAnsi="Times New Roman"/>
          <w:i/>
          <w:color w:val="auto"/>
          <w:sz w:val="24"/>
        </w:rPr>
        <w:t>C</w:t>
      </w:r>
      <w:r>
        <w:rPr>
          <w:rFonts w:ascii="Times New Roman" w:hAnsi="Times New Roman"/>
          <w:i/>
          <w:color w:val="auto"/>
          <w:sz w:val="24"/>
          <w:vertAlign w:val="subscript"/>
        </w:rPr>
        <w:t>i</w:t>
      </w:r>
      <w:r>
        <w:rPr>
          <w:rFonts w:ascii="Times New Roman" w:hAnsi="Times New Roman"/>
          <w:color w:val="auto"/>
          <w:sz w:val="24"/>
        </w:rPr>
        <w:t>——</w:t>
      </w:r>
      <w:r>
        <w:rPr>
          <w:rFonts w:hint="eastAsia" w:ascii="Times New Roman" w:hAnsi="Times New Roman"/>
          <w:color w:val="auto"/>
          <w:sz w:val="24"/>
        </w:rPr>
        <w:t>第</w:t>
      </w:r>
      <w:r>
        <w:rPr>
          <w:rFonts w:ascii="Times New Roman" w:hAnsi="Times New Roman"/>
          <w:i/>
          <w:color w:val="auto"/>
          <w:sz w:val="24"/>
        </w:rPr>
        <w:t>i</w:t>
      </w:r>
      <w:r>
        <w:rPr>
          <w:rFonts w:hint="eastAsia" w:ascii="Times New Roman" w:hAnsi="Times New Roman"/>
          <w:color w:val="auto"/>
          <w:sz w:val="24"/>
        </w:rPr>
        <w:t>个</w:t>
      </w:r>
      <w:r>
        <w:rPr>
          <w:rFonts w:ascii="Times New Roman" w:hAnsi="Times New Roman"/>
          <w:color w:val="auto"/>
          <w:sz w:val="24"/>
        </w:rPr>
        <w:t>污染物实测浓度值</w:t>
      </w:r>
      <w:r>
        <w:rPr>
          <w:rFonts w:hint="eastAsia" w:ascii="Times New Roman" w:hAnsi="Times New Roman"/>
          <w:color w:val="auto"/>
          <w:sz w:val="24"/>
        </w:rPr>
        <w:t>，</w:t>
      </w:r>
      <w:r>
        <w:rPr>
          <w:rFonts w:ascii="Times New Roman" w:hAnsi="Times New Roman"/>
          <w:color w:val="auto"/>
          <w:sz w:val="24"/>
        </w:rPr>
        <w:t>mg/m</w:t>
      </w:r>
      <w:r>
        <w:rPr>
          <w:rFonts w:ascii="Times New Roman" w:hAnsi="Times New Roman"/>
          <w:color w:val="auto"/>
          <w:sz w:val="24"/>
          <w:vertAlign w:val="superscript"/>
        </w:rPr>
        <w:t>3</w:t>
      </w:r>
      <w:r>
        <w:rPr>
          <w:rFonts w:hint="eastAsia" w:ascii="Times New Roman" w:hAnsi="Times New Roman"/>
          <w:color w:val="auto"/>
          <w:sz w:val="24"/>
        </w:rPr>
        <w:t>；</w:t>
      </w:r>
    </w:p>
    <w:p w14:paraId="07EB5FA9">
      <w:pPr>
        <w:pStyle w:val="10"/>
        <w:spacing w:after="0" w:line="360" w:lineRule="auto"/>
        <w:ind w:firstLine="720" w:firstLineChars="300"/>
        <w:rPr>
          <w:rFonts w:ascii="Times New Roman" w:hAnsi="Times New Roman"/>
          <w:color w:val="auto"/>
          <w:sz w:val="24"/>
        </w:rPr>
      </w:pPr>
      <w:r>
        <w:rPr>
          <w:rFonts w:ascii="Times New Roman" w:hAnsi="Times New Roman"/>
          <w:i/>
          <w:color w:val="auto"/>
          <w:sz w:val="24"/>
        </w:rPr>
        <w:t>S</w:t>
      </w:r>
      <w:r>
        <w:rPr>
          <w:rFonts w:ascii="Times New Roman" w:hAnsi="Times New Roman"/>
          <w:i/>
          <w:color w:val="auto"/>
          <w:sz w:val="24"/>
          <w:vertAlign w:val="subscript"/>
        </w:rPr>
        <w:t>i</w:t>
      </w:r>
      <w:r>
        <w:rPr>
          <w:rFonts w:ascii="Times New Roman" w:hAnsi="Times New Roman"/>
          <w:color w:val="auto"/>
          <w:sz w:val="24"/>
        </w:rPr>
        <w:t>——</w:t>
      </w:r>
      <w:r>
        <w:rPr>
          <w:rFonts w:hint="eastAsia" w:ascii="Times New Roman" w:hAnsi="Times New Roman"/>
          <w:color w:val="auto"/>
          <w:sz w:val="24"/>
        </w:rPr>
        <w:t>第</w:t>
      </w:r>
      <w:r>
        <w:rPr>
          <w:rFonts w:ascii="Times New Roman" w:hAnsi="Times New Roman"/>
          <w:i/>
          <w:color w:val="auto"/>
          <w:sz w:val="24"/>
        </w:rPr>
        <w:t>i</w:t>
      </w:r>
      <w:r>
        <w:rPr>
          <w:rFonts w:hint="eastAsia" w:ascii="Times New Roman" w:hAnsi="Times New Roman"/>
          <w:color w:val="auto"/>
          <w:sz w:val="24"/>
        </w:rPr>
        <w:t>个</w:t>
      </w:r>
      <w:r>
        <w:rPr>
          <w:rFonts w:ascii="Times New Roman" w:hAnsi="Times New Roman"/>
          <w:color w:val="auto"/>
          <w:sz w:val="24"/>
        </w:rPr>
        <w:t>污染物评价标准</w:t>
      </w:r>
      <w:r>
        <w:rPr>
          <w:rFonts w:hint="eastAsia" w:ascii="Times New Roman" w:hAnsi="Times New Roman"/>
          <w:color w:val="auto"/>
          <w:sz w:val="24"/>
        </w:rPr>
        <w:t>限值，</w:t>
      </w:r>
      <w:r>
        <w:rPr>
          <w:rFonts w:ascii="Times New Roman" w:hAnsi="Times New Roman"/>
          <w:color w:val="auto"/>
          <w:sz w:val="24"/>
        </w:rPr>
        <w:t>mg/m</w:t>
      </w:r>
      <w:r>
        <w:rPr>
          <w:rFonts w:ascii="Times New Roman" w:hAnsi="Times New Roman"/>
          <w:color w:val="auto"/>
          <w:sz w:val="24"/>
          <w:vertAlign w:val="superscript"/>
        </w:rPr>
        <w:t>3</w:t>
      </w:r>
      <w:r>
        <w:rPr>
          <w:rFonts w:ascii="Times New Roman" w:hAnsi="Times New Roman"/>
          <w:color w:val="auto"/>
          <w:sz w:val="24"/>
        </w:rPr>
        <w:t>。</w:t>
      </w:r>
    </w:p>
    <w:p w14:paraId="07FF1F48">
      <w:pPr>
        <w:spacing w:line="360" w:lineRule="auto"/>
        <w:ind w:left="0" w:leftChars="0" w:firstLine="480" w:firstLineChars="200"/>
        <w:rPr>
          <w:rFonts w:ascii="Times New Roman" w:hAnsi="Times New Roman"/>
          <w:color w:val="auto"/>
          <w:sz w:val="24"/>
        </w:rPr>
      </w:pPr>
      <w:r>
        <w:rPr>
          <w:rFonts w:ascii="Times New Roman" w:hAnsi="Times New Roman"/>
          <w:color w:val="auto"/>
          <w:sz w:val="24"/>
        </w:rPr>
        <w:t>当</w:t>
      </w:r>
      <w:r>
        <w:rPr>
          <w:rFonts w:ascii="Times New Roman" w:hAnsi="Times New Roman"/>
          <w:i/>
          <w:color w:val="auto"/>
          <w:sz w:val="24"/>
        </w:rPr>
        <w:t>P</w:t>
      </w:r>
      <w:r>
        <w:rPr>
          <w:rFonts w:ascii="Times New Roman" w:hAnsi="Times New Roman"/>
          <w:i/>
          <w:color w:val="auto"/>
          <w:sz w:val="24"/>
          <w:vertAlign w:val="subscript"/>
        </w:rPr>
        <w:t>i</w:t>
      </w:r>
      <w:r>
        <w:rPr>
          <w:rFonts w:ascii="Times New Roman" w:hAnsi="Times New Roman"/>
          <w:color w:val="auto"/>
          <w:sz w:val="24"/>
        </w:rPr>
        <w:t>值大于1.0时，表明</w:t>
      </w:r>
      <w:r>
        <w:rPr>
          <w:rFonts w:hint="eastAsia" w:ascii="Times New Roman" w:hAnsi="Times New Roman"/>
          <w:color w:val="auto"/>
          <w:sz w:val="24"/>
        </w:rPr>
        <w:t>土壤</w:t>
      </w:r>
      <w:r>
        <w:rPr>
          <w:rFonts w:ascii="Times New Roman" w:hAnsi="Times New Roman"/>
          <w:color w:val="auto"/>
          <w:sz w:val="24"/>
        </w:rPr>
        <w:t>环境已受到该项评价因子所表征的污染物的污染</w:t>
      </w:r>
      <w:r>
        <w:rPr>
          <w:rFonts w:hint="eastAsia" w:ascii="Times New Roman" w:hAnsi="Times New Roman"/>
          <w:color w:val="auto"/>
          <w:sz w:val="24"/>
        </w:rPr>
        <w:t>。</w:t>
      </w:r>
      <w:r>
        <w:rPr>
          <w:rFonts w:ascii="Times New Roman" w:hAnsi="Times New Roman"/>
          <w:i/>
          <w:color w:val="auto"/>
          <w:sz w:val="24"/>
        </w:rPr>
        <w:t>P</w:t>
      </w:r>
      <w:r>
        <w:rPr>
          <w:rFonts w:ascii="Times New Roman" w:hAnsi="Times New Roman"/>
          <w:i/>
          <w:color w:val="auto"/>
          <w:sz w:val="24"/>
          <w:vertAlign w:val="subscript"/>
        </w:rPr>
        <w:t>i</w:t>
      </w:r>
      <w:r>
        <w:rPr>
          <w:rFonts w:ascii="Times New Roman" w:hAnsi="Times New Roman"/>
          <w:color w:val="auto"/>
          <w:sz w:val="24"/>
        </w:rPr>
        <w:t>值越大，受污染程度越重</w:t>
      </w:r>
      <w:r>
        <w:rPr>
          <w:rFonts w:hint="eastAsia" w:ascii="Times New Roman" w:hAnsi="Times New Roman"/>
          <w:color w:val="auto"/>
          <w:sz w:val="24"/>
        </w:rPr>
        <w:t>；</w:t>
      </w:r>
      <w:r>
        <w:rPr>
          <w:rFonts w:ascii="Times New Roman" w:hAnsi="Times New Roman"/>
          <w:i/>
          <w:color w:val="auto"/>
          <w:sz w:val="24"/>
        </w:rPr>
        <w:t>P</w:t>
      </w:r>
      <w:r>
        <w:rPr>
          <w:rFonts w:ascii="Times New Roman" w:hAnsi="Times New Roman"/>
          <w:i/>
          <w:color w:val="auto"/>
          <w:sz w:val="24"/>
          <w:vertAlign w:val="subscript"/>
        </w:rPr>
        <w:t>i</w:t>
      </w:r>
      <w:r>
        <w:rPr>
          <w:rFonts w:ascii="Times New Roman" w:hAnsi="Times New Roman"/>
          <w:color w:val="auto"/>
          <w:sz w:val="24"/>
        </w:rPr>
        <w:t>值越</w:t>
      </w:r>
      <w:r>
        <w:rPr>
          <w:rFonts w:hint="eastAsia" w:ascii="Times New Roman" w:hAnsi="Times New Roman"/>
          <w:color w:val="auto"/>
          <w:sz w:val="24"/>
        </w:rPr>
        <w:t>小</w:t>
      </w:r>
      <w:r>
        <w:rPr>
          <w:rFonts w:ascii="Times New Roman" w:hAnsi="Times New Roman"/>
          <w:color w:val="auto"/>
          <w:sz w:val="24"/>
        </w:rPr>
        <w:t>，受污染程度越</w:t>
      </w:r>
      <w:r>
        <w:rPr>
          <w:rFonts w:hint="eastAsia" w:ascii="Times New Roman" w:hAnsi="Times New Roman"/>
          <w:color w:val="auto"/>
          <w:sz w:val="24"/>
        </w:rPr>
        <w:t>轻</w:t>
      </w:r>
      <w:r>
        <w:rPr>
          <w:rFonts w:ascii="Times New Roman" w:hAnsi="Times New Roman"/>
          <w:color w:val="auto"/>
          <w:sz w:val="24"/>
        </w:rPr>
        <w:t>。</w:t>
      </w:r>
    </w:p>
    <w:p w14:paraId="1B65CA4D">
      <w:pPr>
        <w:spacing w:line="360" w:lineRule="auto"/>
        <w:ind w:left="0" w:leftChars="0" w:firstLine="482" w:firstLineChars="200"/>
        <w:rPr>
          <w:b/>
          <w:color w:val="auto"/>
          <w:sz w:val="24"/>
        </w:rPr>
      </w:pPr>
      <w:r>
        <w:rPr>
          <w:rFonts w:hint="eastAsia"/>
          <w:b/>
          <w:color w:val="auto"/>
          <w:sz w:val="24"/>
        </w:rPr>
        <w:t>（</w:t>
      </w:r>
      <w:r>
        <w:rPr>
          <w:b/>
          <w:color w:val="auto"/>
          <w:sz w:val="24"/>
        </w:rPr>
        <w:t>4</w:t>
      </w:r>
      <w:r>
        <w:rPr>
          <w:rFonts w:hint="eastAsia"/>
          <w:b/>
          <w:color w:val="auto"/>
          <w:sz w:val="24"/>
        </w:rPr>
        <w:t>）评价结果</w:t>
      </w:r>
    </w:p>
    <w:p w14:paraId="1E59EFE1">
      <w:pPr>
        <w:spacing w:line="360" w:lineRule="auto"/>
        <w:ind w:left="0" w:leftChars="0" w:firstLine="480" w:firstLineChars="200"/>
        <w:rPr>
          <w:rFonts w:hint="eastAsia" w:ascii="Times New Roman" w:hAnsi="Times New Roman"/>
          <w:color w:val="auto"/>
          <w:sz w:val="24"/>
        </w:rPr>
      </w:pPr>
      <w:r>
        <w:rPr>
          <w:rFonts w:hint="eastAsia" w:ascii="Times New Roman" w:hAnsi="Times New Roman"/>
          <w:color w:val="auto"/>
          <w:sz w:val="24"/>
        </w:rPr>
        <w:t>区域土壤环境质量现状评价结果见</w:t>
      </w:r>
      <w:r>
        <w:rPr>
          <w:rFonts w:hint="eastAsia"/>
          <w:color w:val="auto"/>
          <w:sz w:val="24"/>
          <w:lang w:val="en-US" w:eastAsia="zh-CN"/>
        </w:rPr>
        <w:t>下表</w:t>
      </w:r>
      <w:r>
        <w:rPr>
          <w:rFonts w:hint="eastAsia" w:ascii="Times New Roman" w:hAnsi="Times New Roman"/>
          <w:color w:val="auto"/>
          <w:sz w:val="24"/>
        </w:rPr>
        <w:t>。</w:t>
      </w:r>
    </w:p>
    <w:p w14:paraId="43CCC650">
      <w:pPr>
        <w:pStyle w:val="28"/>
        <w:numPr>
          <w:ilvl w:val="0"/>
          <w:numId w:val="24"/>
        </w:numPr>
        <w:bidi w:val="0"/>
        <w:ind w:left="425" w:leftChars="0" w:hanging="425"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土壤环境质量现状评价结果（S1~S7、S9、S11）</w:t>
      </w:r>
    </w:p>
    <w:tbl>
      <w:tblPr>
        <w:tblStyle w:val="2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2"/>
        <w:gridCol w:w="2338"/>
        <w:gridCol w:w="2422"/>
        <w:gridCol w:w="2426"/>
      </w:tblGrid>
      <w:tr w14:paraId="4768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221" w:type="pct"/>
            <w:shd w:val="clear" w:color="auto" w:fill="auto"/>
            <w:vAlign w:val="center"/>
          </w:tcPr>
          <w:p w14:paraId="22BB32A8">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监测项目</w:t>
            </w:r>
          </w:p>
        </w:tc>
        <w:tc>
          <w:tcPr>
            <w:tcW w:w="1229" w:type="pct"/>
            <w:vAlign w:val="center"/>
          </w:tcPr>
          <w:p w14:paraId="077BD7A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评价标准（mg/kg）</w:t>
            </w:r>
          </w:p>
        </w:tc>
        <w:tc>
          <w:tcPr>
            <w:tcW w:w="1273" w:type="pct"/>
            <w:shd w:val="clear" w:color="auto" w:fill="auto"/>
            <w:vAlign w:val="center"/>
          </w:tcPr>
          <w:p w14:paraId="2260A4D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监测结果（mg/kg）</w:t>
            </w:r>
          </w:p>
        </w:tc>
        <w:tc>
          <w:tcPr>
            <w:tcW w:w="1275" w:type="pct"/>
            <w:shd w:val="clear" w:color="auto" w:fill="auto"/>
            <w:vAlign w:val="center"/>
          </w:tcPr>
          <w:p w14:paraId="1484003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标准指数（Pimax）</w:t>
            </w:r>
          </w:p>
        </w:tc>
      </w:tr>
      <w:tr w14:paraId="4B1A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07F887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砷</w:t>
            </w:r>
          </w:p>
        </w:tc>
        <w:tc>
          <w:tcPr>
            <w:tcW w:w="1229" w:type="pct"/>
            <w:shd w:val="clear" w:color="auto" w:fill="auto"/>
            <w:vAlign w:val="center"/>
          </w:tcPr>
          <w:p w14:paraId="21B3D2D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60</w:t>
            </w:r>
          </w:p>
        </w:tc>
        <w:tc>
          <w:tcPr>
            <w:tcW w:w="1273" w:type="pct"/>
            <w:shd w:val="clear" w:color="auto" w:fill="auto"/>
            <w:vAlign w:val="center"/>
          </w:tcPr>
          <w:p w14:paraId="49370D9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5.91</w:t>
            </w:r>
          </w:p>
        </w:tc>
        <w:tc>
          <w:tcPr>
            <w:tcW w:w="2426" w:type="dxa"/>
            <w:vAlign w:val="center"/>
          </w:tcPr>
          <w:p w14:paraId="268F7FD4">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 xml:space="preserve">0.10 </w:t>
            </w:r>
          </w:p>
        </w:tc>
      </w:tr>
      <w:tr w14:paraId="4B7F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EAE865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镉</w:t>
            </w:r>
          </w:p>
        </w:tc>
        <w:tc>
          <w:tcPr>
            <w:tcW w:w="1229" w:type="pct"/>
            <w:shd w:val="clear" w:color="auto" w:fill="auto"/>
            <w:vAlign w:val="center"/>
          </w:tcPr>
          <w:p w14:paraId="0B20993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65</w:t>
            </w:r>
          </w:p>
        </w:tc>
        <w:tc>
          <w:tcPr>
            <w:tcW w:w="1273" w:type="pct"/>
            <w:shd w:val="clear" w:color="auto" w:fill="auto"/>
            <w:vAlign w:val="center"/>
          </w:tcPr>
          <w:p w14:paraId="61E2508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0.13</w:t>
            </w:r>
          </w:p>
        </w:tc>
        <w:tc>
          <w:tcPr>
            <w:tcW w:w="2426" w:type="dxa"/>
            <w:vAlign w:val="center"/>
          </w:tcPr>
          <w:p w14:paraId="0FD183CE">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 xml:space="preserve">0.002 </w:t>
            </w:r>
          </w:p>
        </w:tc>
      </w:tr>
      <w:tr w14:paraId="4492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B5D62E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六价铬</w:t>
            </w:r>
          </w:p>
        </w:tc>
        <w:tc>
          <w:tcPr>
            <w:tcW w:w="1229" w:type="pct"/>
            <w:shd w:val="clear" w:color="auto" w:fill="auto"/>
            <w:vAlign w:val="center"/>
          </w:tcPr>
          <w:p w14:paraId="0E3D64A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5.7</w:t>
            </w:r>
          </w:p>
        </w:tc>
        <w:tc>
          <w:tcPr>
            <w:tcW w:w="1273" w:type="pct"/>
            <w:shd w:val="clear" w:color="auto" w:fill="auto"/>
            <w:vAlign w:val="center"/>
          </w:tcPr>
          <w:p w14:paraId="3803671B">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未检出</w:t>
            </w:r>
          </w:p>
        </w:tc>
        <w:tc>
          <w:tcPr>
            <w:tcW w:w="2426" w:type="dxa"/>
            <w:vAlign w:val="center"/>
          </w:tcPr>
          <w:p w14:paraId="568E5C3F">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w:t>
            </w:r>
          </w:p>
        </w:tc>
      </w:tr>
      <w:tr w14:paraId="3A1A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C0DC90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镍</w:t>
            </w:r>
          </w:p>
        </w:tc>
        <w:tc>
          <w:tcPr>
            <w:tcW w:w="1229" w:type="pct"/>
            <w:shd w:val="clear" w:color="auto" w:fill="auto"/>
            <w:vAlign w:val="center"/>
          </w:tcPr>
          <w:p w14:paraId="01A3FDC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900</w:t>
            </w:r>
          </w:p>
        </w:tc>
        <w:tc>
          <w:tcPr>
            <w:tcW w:w="1273" w:type="pct"/>
            <w:shd w:val="clear" w:color="auto" w:fill="auto"/>
            <w:vAlign w:val="center"/>
          </w:tcPr>
          <w:p w14:paraId="2F6A576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29</w:t>
            </w:r>
          </w:p>
        </w:tc>
        <w:tc>
          <w:tcPr>
            <w:tcW w:w="2426" w:type="dxa"/>
            <w:vAlign w:val="center"/>
          </w:tcPr>
          <w:p w14:paraId="1A6C9AC0">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 xml:space="preserve">0.03 </w:t>
            </w:r>
          </w:p>
        </w:tc>
      </w:tr>
      <w:tr w14:paraId="034A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0ED5BA4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铜</w:t>
            </w:r>
          </w:p>
        </w:tc>
        <w:tc>
          <w:tcPr>
            <w:tcW w:w="1229" w:type="pct"/>
            <w:shd w:val="clear" w:color="auto" w:fill="auto"/>
            <w:vAlign w:val="center"/>
          </w:tcPr>
          <w:p w14:paraId="73844A0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18000</w:t>
            </w:r>
          </w:p>
        </w:tc>
        <w:tc>
          <w:tcPr>
            <w:tcW w:w="1273" w:type="pct"/>
            <w:shd w:val="clear" w:color="auto" w:fill="auto"/>
            <w:vAlign w:val="center"/>
          </w:tcPr>
          <w:p w14:paraId="2A43870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16</w:t>
            </w:r>
          </w:p>
        </w:tc>
        <w:tc>
          <w:tcPr>
            <w:tcW w:w="2426" w:type="dxa"/>
            <w:vAlign w:val="center"/>
          </w:tcPr>
          <w:p w14:paraId="3F6BB507">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 xml:space="preserve">0.001 </w:t>
            </w:r>
          </w:p>
        </w:tc>
      </w:tr>
      <w:tr w14:paraId="189F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F30CEB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铅</w:t>
            </w:r>
          </w:p>
        </w:tc>
        <w:tc>
          <w:tcPr>
            <w:tcW w:w="1229" w:type="pct"/>
            <w:shd w:val="clear" w:color="auto" w:fill="auto"/>
            <w:vAlign w:val="center"/>
          </w:tcPr>
          <w:p w14:paraId="13A16C2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800</w:t>
            </w:r>
          </w:p>
        </w:tc>
        <w:tc>
          <w:tcPr>
            <w:tcW w:w="1273" w:type="pct"/>
            <w:shd w:val="clear" w:color="auto" w:fill="auto"/>
            <w:vAlign w:val="center"/>
          </w:tcPr>
          <w:p w14:paraId="7A6CC02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27</w:t>
            </w:r>
          </w:p>
        </w:tc>
        <w:tc>
          <w:tcPr>
            <w:tcW w:w="2426" w:type="dxa"/>
            <w:vAlign w:val="center"/>
          </w:tcPr>
          <w:p w14:paraId="2AF956BC">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 xml:space="preserve">0.03 </w:t>
            </w:r>
          </w:p>
        </w:tc>
      </w:tr>
      <w:tr w14:paraId="3E0F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588B1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汞</w:t>
            </w:r>
          </w:p>
        </w:tc>
        <w:tc>
          <w:tcPr>
            <w:tcW w:w="1229" w:type="pct"/>
            <w:shd w:val="clear" w:color="auto" w:fill="auto"/>
            <w:vAlign w:val="center"/>
          </w:tcPr>
          <w:p w14:paraId="6303267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38</w:t>
            </w:r>
          </w:p>
        </w:tc>
        <w:tc>
          <w:tcPr>
            <w:tcW w:w="1273" w:type="pct"/>
            <w:shd w:val="clear" w:color="auto" w:fill="auto"/>
            <w:vAlign w:val="center"/>
          </w:tcPr>
          <w:p w14:paraId="4955498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0.126</w:t>
            </w:r>
          </w:p>
        </w:tc>
        <w:tc>
          <w:tcPr>
            <w:tcW w:w="2426" w:type="dxa"/>
            <w:vAlign w:val="center"/>
          </w:tcPr>
          <w:p w14:paraId="5EDF6952">
            <w:pPr>
              <w:pStyle w:val="24"/>
              <w:bidi w:val="0"/>
              <w:ind w:left="0" w:leftChars="0"/>
              <w:rPr>
                <w:rFonts w:hint="default" w:ascii="Times New Roman" w:hAnsi="Times New Roman" w:eastAsia="宋体" w:cs="Times New Roman"/>
                <w:color w:val="auto"/>
                <w:spacing w:val="0"/>
                <w:kern w:val="0"/>
                <w:sz w:val="21"/>
                <w:szCs w:val="21"/>
                <w:highlight w:val="none"/>
                <w:lang w:val="en-US" w:eastAsia="zh-CN" w:bidi="ar-SA"/>
              </w:rPr>
            </w:pPr>
            <w:r>
              <w:rPr>
                <w:rFonts w:hint="eastAsia" w:ascii="Times New Roman" w:hAnsi="Times New Roman" w:eastAsia="宋体" w:cs="Times New Roman"/>
                <w:color w:val="auto"/>
                <w:spacing w:val="0"/>
                <w:kern w:val="0"/>
                <w:sz w:val="21"/>
                <w:szCs w:val="21"/>
                <w:highlight w:val="none"/>
                <w:lang w:val="en-US" w:eastAsia="zh-CN" w:bidi="ar-SA"/>
              </w:rPr>
              <w:t xml:space="preserve">0.003 </w:t>
            </w:r>
          </w:p>
        </w:tc>
      </w:tr>
      <w:tr w14:paraId="72BA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4605DA5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四氯化碳</w:t>
            </w:r>
          </w:p>
        </w:tc>
        <w:tc>
          <w:tcPr>
            <w:tcW w:w="1229" w:type="pct"/>
            <w:shd w:val="clear" w:color="auto" w:fill="auto"/>
            <w:vAlign w:val="center"/>
          </w:tcPr>
          <w:p w14:paraId="124A703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2.8</w:t>
            </w:r>
          </w:p>
        </w:tc>
        <w:tc>
          <w:tcPr>
            <w:tcW w:w="1273" w:type="pct"/>
            <w:shd w:val="clear" w:color="auto" w:fill="auto"/>
            <w:vAlign w:val="center"/>
          </w:tcPr>
          <w:p w14:paraId="66F90A81">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A76060D">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3D9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791BB8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氯仿</w:t>
            </w:r>
          </w:p>
        </w:tc>
        <w:tc>
          <w:tcPr>
            <w:tcW w:w="1229" w:type="pct"/>
            <w:shd w:val="clear" w:color="auto" w:fill="auto"/>
            <w:vAlign w:val="center"/>
          </w:tcPr>
          <w:p w14:paraId="60A29F0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0.9</w:t>
            </w:r>
          </w:p>
        </w:tc>
        <w:tc>
          <w:tcPr>
            <w:tcW w:w="1273" w:type="pct"/>
            <w:shd w:val="clear" w:color="auto" w:fill="auto"/>
            <w:vAlign w:val="center"/>
          </w:tcPr>
          <w:p w14:paraId="799412A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C1F1D0C">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446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D9DDF2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氯甲烷</w:t>
            </w:r>
          </w:p>
        </w:tc>
        <w:tc>
          <w:tcPr>
            <w:tcW w:w="1229" w:type="pct"/>
            <w:shd w:val="clear" w:color="auto" w:fill="auto"/>
            <w:vAlign w:val="center"/>
          </w:tcPr>
          <w:p w14:paraId="7EC218E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37</w:t>
            </w:r>
          </w:p>
        </w:tc>
        <w:tc>
          <w:tcPr>
            <w:tcW w:w="1273" w:type="pct"/>
            <w:shd w:val="clear" w:color="auto" w:fill="auto"/>
            <w:vAlign w:val="center"/>
          </w:tcPr>
          <w:p w14:paraId="48B95B6E">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E2F662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C97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50ECA10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1,1-二氯乙烷</w:t>
            </w:r>
          </w:p>
        </w:tc>
        <w:tc>
          <w:tcPr>
            <w:tcW w:w="1229" w:type="pct"/>
            <w:shd w:val="clear" w:color="auto" w:fill="auto"/>
            <w:vAlign w:val="center"/>
          </w:tcPr>
          <w:p w14:paraId="7A76A83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w:t>
            </w:r>
          </w:p>
        </w:tc>
        <w:tc>
          <w:tcPr>
            <w:tcW w:w="1273" w:type="pct"/>
            <w:shd w:val="clear" w:color="auto" w:fill="auto"/>
            <w:vAlign w:val="center"/>
          </w:tcPr>
          <w:p w14:paraId="5A67C59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5ECA3F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D34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48A9606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1,2-二氯乙烷</w:t>
            </w:r>
          </w:p>
        </w:tc>
        <w:tc>
          <w:tcPr>
            <w:tcW w:w="1229" w:type="pct"/>
            <w:shd w:val="clear" w:color="auto" w:fill="auto"/>
            <w:vAlign w:val="center"/>
          </w:tcPr>
          <w:p w14:paraId="55907D5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w:t>
            </w:r>
          </w:p>
        </w:tc>
        <w:tc>
          <w:tcPr>
            <w:tcW w:w="1273" w:type="pct"/>
            <w:shd w:val="clear" w:color="auto" w:fill="auto"/>
            <w:vAlign w:val="center"/>
          </w:tcPr>
          <w:p w14:paraId="1FE865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23B5AF4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64B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5A1A88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1,1-二氯乙烯</w:t>
            </w:r>
          </w:p>
        </w:tc>
        <w:tc>
          <w:tcPr>
            <w:tcW w:w="1229" w:type="pct"/>
            <w:shd w:val="clear" w:color="auto" w:fill="auto"/>
            <w:vAlign w:val="center"/>
          </w:tcPr>
          <w:p w14:paraId="781A070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66</w:t>
            </w:r>
          </w:p>
        </w:tc>
        <w:tc>
          <w:tcPr>
            <w:tcW w:w="1273" w:type="pct"/>
            <w:shd w:val="clear" w:color="auto" w:fill="auto"/>
            <w:vAlign w:val="center"/>
          </w:tcPr>
          <w:p w14:paraId="6B39D8A0">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B49B4F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347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309FC2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顺1,2-二氯乙烯</w:t>
            </w:r>
          </w:p>
        </w:tc>
        <w:tc>
          <w:tcPr>
            <w:tcW w:w="1229" w:type="pct"/>
            <w:shd w:val="clear" w:color="auto" w:fill="auto"/>
            <w:vAlign w:val="center"/>
          </w:tcPr>
          <w:p w14:paraId="35F674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596</w:t>
            </w:r>
          </w:p>
        </w:tc>
        <w:tc>
          <w:tcPr>
            <w:tcW w:w="1273" w:type="pct"/>
            <w:shd w:val="clear" w:color="auto" w:fill="auto"/>
            <w:vAlign w:val="center"/>
          </w:tcPr>
          <w:p w14:paraId="5729E7E0">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160F6B4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AFC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DACACD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反1,2-二氯乙烯</w:t>
            </w:r>
          </w:p>
        </w:tc>
        <w:tc>
          <w:tcPr>
            <w:tcW w:w="1229" w:type="pct"/>
            <w:shd w:val="clear" w:color="auto" w:fill="auto"/>
            <w:vAlign w:val="center"/>
          </w:tcPr>
          <w:p w14:paraId="53D71C7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54</w:t>
            </w:r>
          </w:p>
        </w:tc>
        <w:tc>
          <w:tcPr>
            <w:tcW w:w="1273" w:type="pct"/>
            <w:shd w:val="clear" w:color="auto" w:fill="auto"/>
            <w:vAlign w:val="center"/>
          </w:tcPr>
          <w:p w14:paraId="52840B50">
            <w:pPr>
              <w:pStyle w:val="24"/>
              <w:bidi w:val="0"/>
              <w:ind w:left="0" w:leftChars="0"/>
              <w:rPr>
                <w:rFonts w:hint="default"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0D0A385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247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2DF4EA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二氯甲烷</w:t>
            </w:r>
          </w:p>
        </w:tc>
        <w:tc>
          <w:tcPr>
            <w:tcW w:w="1229" w:type="pct"/>
            <w:shd w:val="clear" w:color="auto" w:fill="auto"/>
            <w:vAlign w:val="center"/>
          </w:tcPr>
          <w:p w14:paraId="687B11D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616</w:t>
            </w:r>
          </w:p>
        </w:tc>
        <w:tc>
          <w:tcPr>
            <w:tcW w:w="1273" w:type="pct"/>
            <w:shd w:val="clear" w:color="auto" w:fill="auto"/>
            <w:vAlign w:val="center"/>
          </w:tcPr>
          <w:p w14:paraId="08B566C7">
            <w:pPr>
              <w:pStyle w:val="24"/>
              <w:bidi w:val="0"/>
              <w:ind w:left="0" w:leftChars="0"/>
              <w:rPr>
                <w:rFonts w:hint="eastAsia"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07E186A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C2F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3EAC8E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1,2-二氯丙烷</w:t>
            </w:r>
          </w:p>
        </w:tc>
        <w:tc>
          <w:tcPr>
            <w:tcW w:w="1229" w:type="pct"/>
            <w:shd w:val="clear" w:color="auto" w:fill="auto"/>
            <w:vAlign w:val="center"/>
          </w:tcPr>
          <w:p w14:paraId="1C2485A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w:t>
            </w:r>
          </w:p>
        </w:tc>
        <w:tc>
          <w:tcPr>
            <w:tcW w:w="1273" w:type="pct"/>
            <w:shd w:val="clear" w:color="auto" w:fill="auto"/>
            <w:vAlign w:val="center"/>
          </w:tcPr>
          <w:p w14:paraId="2F9575A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B05A02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CB9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221" w:type="pct"/>
            <w:shd w:val="clear" w:color="auto" w:fill="auto"/>
            <w:vAlign w:val="center"/>
          </w:tcPr>
          <w:p w14:paraId="1942179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1,1,1,2-四氯乙烷</w:t>
            </w:r>
          </w:p>
        </w:tc>
        <w:tc>
          <w:tcPr>
            <w:tcW w:w="1229" w:type="pct"/>
            <w:shd w:val="clear" w:color="auto" w:fill="auto"/>
            <w:vAlign w:val="center"/>
          </w:tcPr>
          <w:p w14:paraId="55CC6F4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10</w:t>
            </w:r>
          </w:p>
        </w:tc>
        <w:tc>
          <w:tcPr>
            <w:tcW w:w="1273" w:type="pct"/>
            <w:shd w:val="clear" w:color="auto" w:fill="auto"/>
            <w:vAlign w:val="center"/>
          </w:tcPr>
          <w:p w14:paraId="1D12108D">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422901BC">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97E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33EC22A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1,1,2,2-四氯乙烷</w:t>
            </w:r>
          </w:p>
        </w:tc>
        <w:tc>
          <w:tcPr>
            <w:tcW w:w="1229" w:type="pct"/>
            <w:shd w:val="clear" w:color="auto" w:fill="auto"/>
            <w:vAlign w:val="center"/>
          </w:tcPr>
          <w:p w14:paraId="6413902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6.8</w:t>
            </w:r>
          </w:p>
        </w:tc>
        <w:tc>
          <w:tcPr>
            <w:tcW w:w="1273" w:type="pct"/>
            <w:shd w:val="clear" w:color="auto" w:fill="auto"/>
            <w:vAlign w:val="center"/>
          </w:tcPr>
          <w:p w14:paraId="1692AAD5">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1BB418F8">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3F5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1676C9A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四氯乙烯</w:t>
            </w:r>
          </w:p>
        </w:tc>
        <w:tc>
          <w:tcPr>
            <w:tcW w:w="1229" w:type="pct"/>
            <w:shd w:val="clear" w:color="auto" w:fill="auto"/>
            <w:vAlign w:val="center"/>
          </w:tcPr>
          <w:p w14:paraId="0BD13A0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53</w:t>
            </w:r>
          </w:p>
        </w:tc>
        <w:tc>
          <w:tcPr>
            <w:tcW w:w="1273" w:type="pct"/>
            <w:shd w:val="clear" w:color="auto" w:fill="auto"/>
            <w:vAlign w:val="center"/>
          </w:tcPr>
          <w:p w14:paraId="15EFD66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BB54A0C">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EC1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2291641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1,1,1-三氯乙烷</w:t>
            </w:r>
          </w:p>
        </w:tc>
        <w:tc>
          <w:tcPr>
            <w:tcW w:w="1229" w:type="pct"/>
            <w:shd w:val="clear" w:color="auto" w:fill="auto"/>
            <w:vAlign w:val="center"/>
          </w:tcPr>
          <w:p w14:paraId="3794848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840</w:t>
            </w:r>
          </w:p>
        </w:tc>
        <w:tc>
          <w:tcPr>
            <w:tcW w:w="1273" w:type="pct"/>
            <w:shd w:val="clear" w:color="auto" w:fill="auto"/>
            <w:vAlign w:val="center"/>
          </w:tcPr>
          <w:p w14:paraId="12E44766">
            <w:pPr>
              <w:pStyle w:val="24"/>
              <w:bidi w:val="0"/>
              <w:ind w:left="0" w:leftChars="0"/>
              <w:rPr>
                <w:rFonts w:hint="default"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4911445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845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1881E17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1,1,2-三氯乙烷</w:t>
            </w:r>
          </w:p>
        </w:tc>
        <w:tc>
          <w:tcPr>
            <w:tcW w:w="1229" w:type="pct"/>
            <w:shd w:val="clear" w:color="auto" w:fill="auto"/>
            <w:vAlign w:val="center"/>
          </w:tcPr>
          <w:p w14:paraId="00F89B8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2.8</w:t>
            </w:r>
          </w:p>
        </w:tc>
        <w:tc>
          <w:tcPr>
            <w:tcW w:w="1273" w:type="pct"/>
            <w:shd w:val="clear" w:color="auto" w:fill="auto"/>
            <w:vAlign w:val="center"/>
          </w:tcPr>
          <w:p w14:paraId="7A4ECF26">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1DBA93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B1B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0BD80B7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三氯乙烯</w:t>
            </w:r>
          </w:p>
        </w:tc>
        <w:tc>
          <w:tcPr>
            <w:tcW w:w="1229" w:type="pct"/>
            <w:shd w:val="clear" w:color="auto" w:fill="auto"/>
            <w:vAlign w:val="center"/>
          </w:tcPr>
          <w:p w14:paraId="77DFA21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2.8</w:t>
            </w:r>
          </w:p>
        </w:tc>
        <w:tc>
          <w:tcPr>
            <w:tcW w:w="1273" w:type="pct"/>
            <w:vAlign w:val="center"/>
          </w:tcPr>
          <w:p w14:paraId="24C14784">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6C1F05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12BE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5EEA368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1,2,3-三氯丙烷</w:t>
            </w:r>
          </w:p>
        </w:tc>
        <w:tc>
          <w:tcPr>
            <w:tcW w:w="1229" w:type="pct"/>
            <w:shd w:val="clear" w:color="auto" w:fill="auto"/>
            <w:vAlign w:val="center"/>
          </w:tcPr>
          <w:p w14:paraId="1B5B586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0.5</w:t>
            </w:r>
          </w:p>
        </w:tc>
        <w:tc>
          <w:tcPr>
            <w:tcW w:w="1273" w:type="pct"/>
            <w:vAlign w:val="center"/>
          </w:tcPr>
          <w:p w14:paraId="440CF03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E7B99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35A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7E81916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氯乙烯</w:t>
            </w:r>
          </w:p>
        </w:tc>
        <w:tc>
          <w:tcPr>
            <w:tcW w:w="1229" w:type="pct"/>
            <w:shd w:val="clear" w:color="auto" w:fill="auto"/>
            <w:vAlign w:val="center"/>
          </w:tcPr>
          <w:p w14:paraId="0946553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0.43</w:t>
            </w:r>
          </w:p>
        </w:tc>
        <w:tc>
          <w:tcPr>
            <w:tcW w:w="1273" w:type="pct"/>
            <w:vAlign w:val="center"/>
          </w:tcPr>
          <w:p w14:paraId="11325B4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DEB508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0DE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6CEF784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w:t>
            </w:r>
          </w:p>
        </w:tc>
        <w:tc>
          <w:tcPr>
            <w:tcW w:w="1229" w:type="pct"/>
            <w:shd w:val="clear" w:color="auto" w:fill="auto"/>
            <w:vAlign w:val="center"/>
          </w:tcPr>
          <w:p w14:paraId="722AEA5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4</w:t>
            </w:r>
          </w:p>
        </w:tc>
        <w:tc>
          <w:tcPr>
            <w:tcW w:w="1273" w:type="pct"/>
            <w:vAlign w:val="center"/>
          </w:tcPr>
          <w:p w14:paraId="6CF579D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56F7A51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52B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7E128C9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氯苯</w:t>
            </w:r>
          </w:p>
        </w:tc>
        <w:tc>
          <w:tcPr>
            <w:tcW w:w="1229" w:type="pct"/>
            <w:shd w:val="clear" w:color="auto" w:fill="auto"/>
            <w:vAlign w:val="center"/>
          </w:tcPr>
          <w:p w14:paraId="63526DB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270</w:t>
            </w:r>
          </w:p>
        </w:tc>
        <w:tc>
          <w:tcPr>
            <w:tcW w:w="1273" w:type="pct"/>
            <w:vAlign w:val="center"/>
          </w:tcPr>
          <w:p w14:paraId="362A128B">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2A142E6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C3A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5E735B8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1,2-二氯苯</w:t>
            </w:r>
          </w:p>
        </w:tc>
        <w:tc>
          <w:tcPr>
            <w:tcW w:w="1229" w:type="pct"/>
            <w:shd w:val="clear" w:color="auto" w:fill="auto"/>
            <w:vAlign w:val="center"/>
          </w:tcPr>
          <w:p w14:paraId="30FE5E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560</w:t>
            </w:r>
          </w:p>
        </w:tc>
        <w:tc>
          <w:tcPr>
            <w:tcW w:w="1273" w:type="pct"/>
            <w:vAlign w:val="center"/>
          </w:tcPr>
          <w:p w14:paraId="3CAA1AF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5590AEB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5B1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65521C6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1,4-二氯苯</w:t>
            </w:r>
          </w:p>
        </w:tc>
        <w:tc>
          <w:tcPr>
            <w:tcW w:w="1229" w:type="pct"/>
            <w:shd w:val="clear" w:color="auto" w:fill="auto"/>
            <w:vAlign w:val="center"/>
          </w:tcPr>
          <w:p w14:paraId="371379B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w:t>
            </w:r>
          </w:p>
        </w:tc>
        <w:tc>
          <w:tcPr>
            <w:tcW w:w="1273" w:type="pct"/>
            <w:vAlign w:val="center"/>
          </w:tcPr>
          <w:p w14:paraId="67FBF57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5D8B56D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D23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40EF33F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乙苯</w:t>
            </w:r>
          </w:p>
        </w:tc>
        <w:tc>
          <w:tcPr>
            <w:tcW w:w="1229" w:type="pct"/>
            <w:shd w:val="clear" w:color="auto" w:fill="auto"/>
            <w:vAlign w:val="center"/>
          </w:tcPr>
          <w:p w14:paraId="34F9A10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28</w:t>
            </w:r>
          </w:p>
        </w:tc>
        <w:tc>
          <w:tcPr>
            <w:tcW w:w="1273" w:type="pct"/>
            <w:vAlign w:val="center"/>
          </w:tcPr>
          <w:p w14:paraId="4D50F38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2539072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192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485422E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苯乙烯</w:t>
            </w:r>
          </w:p>
        </w:tc>
        <w:tc>
          <w:tcPr>
            <w:tcW w:w="1229" w:type="pct"/>
            <w:shd w:val="clear" w:color="auto" w:fill="auto"/>
            <w:vAlign w:val="center"/>
          </w:tcPr>
          <w:p w14:paraId="35F38F5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1290</w:t>
            </w:r>
          </w:p>
        </w:tc>
        <w:tc>
          <w:tcPr>
            <w:tcW w:w="1273" w:type="pct"/>
            <w:vAlign w:val="center"/>
          </w:tcPr>
          <w:p w14:paraId="1AD17AC8">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4FCE5DA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5BD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3A544C7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甲苯</w:t>
            </w:r>
          </w:p>
        </w:tc>
        <w:tc>
          <w:tcPr>
            <w:tcW w:w="1229" w:type="pct"/>
            <w:shd w:val="clear" w:color="auto" w:fill="auto"/>
            <w:vAlign w:val="center"/>
          </w:tcPr>
          <w:p w14:paraId="43FC286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1200</w:t>
            </w:r>
          </w:p>
        </w:tc>
        <w:tc>
          <w:tcPr>
            <w:tcW w:w="1273" w:type="pct"/>
            <w:vAlign w:val="center"/>
          </w:tcPr>
          <w:p w14:paraId="7A5872C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5EACCC6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1D8A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4012798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间,对二甲苯</w:t>
            </w:r>
          </w:p>
        </w:tc>
        <w:tc>
          <w:tcPr>
            <w:tcW w:w="1229" w:type="pct"/>
            <w:shd w:val="clear" w:color="auto" w:fill="auto"/>
            <w:vAlign w:val="center"/>
          </w:tcPr>
          <w:p w14:paraId="657DAD0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570</w:t>
            </w:r>
          </w:p>
        </w:tc>
        <w:tc>
          <w:tcPr>
            <w:tcW w:w="1273" w:type="pct"/>
            <w:vAlign w:val="center"/>
          </w:tcPr>
          <w:p w14:paraId="03A79DD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AEB5EC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563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2086E1A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邻二甲苯</w:t>
            </w:r>
          </w:p>
        </w:tc>
        <w:tc>
          <w:tcPr>
            <w:tcW w:w="1229" w:type="pct"/>
            <w:shd w:val="clear" w:color="auto" w:fill="auto"/>
            <w:vAlign w:val="center"/>
          </w:tcPr>
          <w:p w14:paraId="503A31B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640</w:t>
            </w:r>
          </w:p>
        </w:tc>
        <w:tc>
          <w:tcPr>
            <w:tcW w:w="1273" w:type="pct"/>
            <w:vAlign w:val="center"/>
          </w:tcPr>
          <w:p w14:paraId="68A83DE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2BBD6F0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2F6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509AB2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硝基苯</w:t>
            </w:r>
          </w:p>
        </w:tc>
        <w:tc>
          <w:tcPr>
            <w:tcW w:w="1229" w:type="pct"/>
            <w:shd w:val="clear" w:color="auto" w:fill="auto"/>
            <w:vAlign w:val="center"/>
          </w:tcPr>
          <w:p w14:paraId="6B0C8B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76</w:t>
            </w:r>
          </w:p>
        </w:tc>
        <w:tc>
          <w:tcPr>
            <w:tcW w:w="1273" w:type="pct"/>
            <w:vAlign w:val="center"/>
          </w:tcPr>
          <w:p w14:paraId="3727C2A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165F3BB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F9E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4269772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苯胺</w:t>
            </w:r>
          </w:p>
        </w:tc>
        <w:tc>
          <w:tcPr>
            <w:tcW w:w="1229" w:type="pct"/>
            <w:shd w:val="clear" w:color="auto" w:fill="auto"/>
            <w:vAlign w:val="center"/>
          </w:tcPr>
          <w:p w14:paraId="0B85D1D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260</w:t>
            </w:r>
          </w:p>
        </w:tc>
        <w:tc>
          <w:tcPr>
            <w:tcW w:w="1273" w:type="pct"/>
            <w:vAlign w:val="center"/>
          </w:tcPr>
          <w:p w14:paraId="010BBE34">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673504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EC6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2117F5C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2-氯酚</w:t>
            </w:r>
          </w:p>
        </w:tc>
        <w:tc>
          <w:tcPr>
            <w:tcW w:w="1229" w:type="pct"/>
            <w:shd w:val="clear" w:color="auto" w:fill="auto"/>
            <w:vAlign w:val="center"/>
          </w:tcPr>
          <w:p w14:paraId="1E2BFEE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2256</w:t>
            </w:r>
          </w:p>
        </w:tc>
        <w:tc>
          <w:tcPr>
            <w:tcW w:w="1273" w:type="pct"/>
            <w:vAlign w:val="center"/>
          </w:tcPr>
          <w:p w14:paraId="71D8AB1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10AF55B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159D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00CAAAA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苯并[a]蒽</w:t>
            </w:r>
          </w:p>
        </w:tc>
        <w:tc>
          <w:tcPr>
            <w:tcW w:w="1229" w:type="pct"/>
            <w:shd w:val="clear" w:color="auto" w:fill="auto"/>
            <w:vAlign w:val="center"/>
          </w:tcPr>
          <w:p w14:paraId="13642FB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w:t>
            </w:r>
          </w:p>
        </w:tc>
        <w:tc>
          <w:tcPr>
            <w:tcW w:w="1273" w:type="pct"/>
            <w:vAlign w:val="center"/>
          </w:tcPr>
          <w:p w14:paraId="712E533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4BA07E8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3A1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54161EA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苯并[a]芘</w:t>
            </w:r>
          </w:p>
        </w:tc>
        <w:tc>
          <w:tcPr>
            <w:tcW w:w="1229" w:type="pct"/>
            <w:shd w:val="clear" w:color="auto" w:fill="auto"/>
            <w:vAlign w:val="center"/>
          </w:tcPr>
          <w:p w14:paraId="355A76F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w:t>
            </w:r>
          </w:p>
        </w:tc>
        <w:tc>
          <w:tcPr>
            <w:tcW w:w="1273" w:type="pct"/>
            <w:vAlign w:val="center"/>
          </w:tcPr>
          <w:p w14:paraId="1EA7107A">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0CD025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CC4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23D0A9E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苯并[b]荧蒽</w:t>
            </w:r>
          </w:p>
        </w:tc>
        <w:tc>
          <w:tcPr>
            <w:tcW w:w="1229" w:type="pct"/>
            <w:shd w:val="clear" w:color="auto" w:fill="auto"/>
            <w:vAlign w:val="center"/>
          </w:tcPr>
          <w:p w14:paraId="2D034C0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w:t>
            </w:r>
          </w:p>
        </w:tc>
        <w:tc>
          <w:tcPr>
            <w:tcW w:w="1273" w:type="pct"/>
            <w:vAlign w:val="center"/>
          </w:tcPr>
          <w:p w14:paraId="0FF1C10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648AEF4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22B4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479FA9C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苯并[k]荧蒽</w:t>
            </w:r>
          </w:p>
        </w:tc>
        <w:tc>
          <w:tcPr>
            <w:tcW w:w="1229" w:type="pct"/>
            <w:shd w:val="clear" w:color="auto" w:fill="auto"/>
            <w:vAlign w:val="center"/>
          </w:tcPr>
          <w:p w14:paraId="7B24F9E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151</w:t>
            </w:r>
          </w:p>
        </w:tc>
        <w:tc>
          <w:tcPr>
            <w:tcW w:w="1273" w:type="pct"/>
            <w:vAlign w:val="center"/>
          </w:tcPr>
          <w:p w14:paraId="7CB7FF8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029E34B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5889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16C2400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䓛</w:t>
            </w:r>
          </w:p>
        </w:tc>
        <w:tc>
          <w:tcPr>
            <w:tcW w:w="1229" w:type="pct"/>
            <w:shd w:val="clear" w:color="auto" w:fill="auto"/>
            <w:vAlign w:val="center"/>
          </w:tcPr>
          <w:p w14:paraId="683A98B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1293</w:t>
            </w:r>
          </w:p>
        </w:tc>
        <w:tc>
          <w:tcPr>
            <w:tcW w:w="1273" w:type="pct"/>
            <w:vAlign w:val="center"/>
          </w:tcPr>
          <w:p w14:paraId="7FAD78A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156417E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549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5F82950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二苯并[a,h]蒽</w:t>
            </w:r>
          </w:p>
        </w:tc>
        <w:tc>
          <w:tcPr>
            <w:tcW w:w="1229" w:type="pct"/>
            <w:shd w:val="clear" w:color="auto" w:fill="auto"/>
            <w:vAlign w:val="center"/>
          </w:tcPr>
          <w:p w14:paraId="5CC1EB5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w:t>
            </w:r>
          </w:p>
        </w:tc>
        <w:tc>
          <w:tcPr>
            <w:tcW w:w="1273" w:type="pct"/>
            <w:vAlign w:val="center"/>
          </w:tcPr>
          <w:p w14:paraId="264D9B2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4B4385F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BB6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6FA3504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茚并[1,2,3-cd]芘</w:t>
            </w:r>
          </w:p>
        </w:tc>
        <w:tc>
          <w:tcPr>
            <w:tcW w:w="1229" w:type="pct"/>
            <w:shd w:val="clear" w:color="auto" w:fill="auto"/>
            <w:vAlign w:val="center"/>
          </w:tcPr>
          <w:p w14:paraId="772FFF0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w:t>
            </w:r>
          </w:p>
        </w:tc>
        <w:tc>
          <w:tcPr>
            <w:tcW w:w="1273" w:type="pct"/>
            <w:vAlign w:val="center"/>
          </w:tcPr>
          <w:p w14:paraId="6922E0C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7B6E472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62B0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347764D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萘</w:t>
            </w:r>
          </w:p>
        </w:tc>
        <w:tc>
          <w:tcPr>
            <w:tcW w:w="1229" w:type="pct"/>
            <w:shd w:val="clear" w:color="auto" w:fill="auto"/>
            <w:vAlign w:val="center"/>
          </w:tcPr>
          <w:p w14:paraId="0BBE137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70</w:t>
            </w:r>
          </w:p>
        </w:tc>
        <w:tc>
          <w:tcPr>
            <w:tcW w:w="1273" w:type="pct"/>
            <w:vAlign w:val="center"/>
          </w:tcPr>
          <w:p w14:paraId="42E3F4A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未检出</w:t>
            </w:r>
          </w:p>
        </w:tc>
        <w:tc>
          <w:tcPr>
            <w:tcW w:w="1275" w:type="pct"/>
            <w:vAlign w:val="center"/>
          </w:tcPr>
          <w:p w14:paraId="51F1FFE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76C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5ED176C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石油烃（C</w:t>
            </w:r>
            <w:r>
              <w:rPr>
                <w:rFonts w:hint="eastAsia" w:ascii="Times New Roman" w:hAnsi="Times New Roman" w:eastAsia="宋体" w:cs="Courier New"/>
                <w:b w:val="0"/>
                <w:bCs w:val="0"/>
                <w:color w:val="auto"/>
                <w:highlight w:val="none"/>
                <w:vertAlign w:val="subscript"/>
                <w:lang w:val="en-US" w:eastAsia="zh-CN"/>
              </w:rPr>
              <w:t>10</w:t>
            </w:r>
            <w:r>
              <w:rPr>
                <w:rFonts w:hint="eastAsia" w:ascii="Times New Roman" w:hAnsi="Times New Roman" w:eastAsia="宋体" w:cs="Courier New"/>
                <w:b w:val="0"/>
                <w:bCs w:val="0"/>
                <w:color w:val="auto"/>
                <w:highlight w:val="none"/>
                <w:lang w:val="en-US" w:eastAsia="zh-CN"/>
              </w:rPr>
              <w:t>-C</w:t>
            </w:r>
            <w:r>
              <w:rPr>
                <w:rFonts w:hint="eastAsia" w:ascii="Times New Roman" w:hAnsi="Times New Roman" w:eastAsia="宋体" w:cs="Courier New"/>
                <w:b w:val="0"/>
                <w:bCs w:val="0"/>
                <w:color w:val="auto"/>
                <w:highlight w:val="none"/>
                <w:vertAlign w:val="subscript"/>
                <w:lang w:val="en-US" w:eastAsia="zh-CN"/>
              </w:rPr>
              <w:t>40</w:t>
            </w:r>
            <w:r>
              <w:rPr>
                <w:rFonts w:hint="eastAsia" w:ascii="Times New Roman" w:hAnsi="Times New Roman" w:eastAsia="宋体" w:cs="Courier New"/>
                <w:b w:val="0"/>
                <w:bCs w:val="0"/>
                <w:color w:val="auto"/>
                <w:highlight w:val="none"/>
                <w:lang w:val="en-US" w:eastAsia="zh-CN"/>
              </w:rPr>
              <w:t>）</w:t>
            </w:r>
          </w:p>
        </w:tc>
        <w:tc>
          <w:tcPr>
            <w:tcW w:w="1229" w:type="pct"/>
            <w:shd w:val="clear" w:color="auto" w:fill="auto"/>
            <w:vAlign w:val="center"/>
          </w:tcPr>
          <w:p w14:paraId="2AE9314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4500</w:t>
            </w:r>
          </w:p>
        </w:tc>
        <w:tc>
          <w:tcPr>
            <w:tcW w:w="1273" w:type="pct"/>
          </w:tcPr>
          <w:p w14:paraId="01B56A7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32~62</w:t>
            </w:r>
          </w:p>
        </w:tc>
        <w:tc>
          <w:tcPr>
            <w:tcW w:w="1275" w:type="pct"/>
          </w:tcPr>
          <w:p w14:paraId="0DD7AF29">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0.01</w:t>
            </w:r>
          </w:p>
        </w:tc>
      </w:tr>
      <w:tr w14:paraId="125A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221" w:type="pct"/>
            <w:shd w:val="clear" w:color="auto" w:fill="auto"/>
            <w:vAlign w:val="center"/>
          </w:tcPr>
          <w:p w14:paraId="7E5BCF6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氟化物</w:t>
            </w:r>
          </w:p>
        </w:tc>
        <w:tc>
          <w:tcPr>
            <w:tcW w:w="1229" w:type="pct"/>
            <w:shd w:val="clear" w:color="auto" w:fill="auto"/>
            <w:vAlign w:val="center"/>
          </w:tcPr>
          <w:p w14:paraId="67DEB04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16022</w:t>
            </w:r>
          </w:p>
        </w:tc>
        <w:tc>
          <w:tcPr>
            <w:tcW w:w="1273" w:type="pct"/>
          </w:tcPr>
          <w:p w14:paraId="4879B6E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482~745</w:t>
            </w:r>
          </w:p>
        </w:tc>
        <w:tc>
          <w:tcPr>
            <w:tcW w:w="1275" w:type="pct"/>
          </w:tcPr>
          <w:p w14:paraId="769B704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0.05</w:t>
            </w:r>
          </w:p>
        </w:tc>
      </w:tr>
    </w:tbl>
    <w:p w14:paraId="377BE34F">
      <w:pPr>
        <w:pStyle w:val="28"/>
        <w:numPr>
          <w:ilvl w:val="0"/>
          <w:numId w:val="24"/>
        </w:numPr>
        <w:bidi w:val="0"/>
        <w:ind w:left="425" w:leftChars="0" w:hanging="425"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土壤环境质量现状评价结果（</w:t>
      </w:r>
      <w:r>
        <w:rPr>
          <w:rFonts w:hint="eastAsia" w:cs="Times New Roman"/>
          <w:color w:val="auto"/>
          <w:highlight w:val="none"/>
          <w:lang w:val="en-US" w:eastAsia="zh-CN"/>
        </w:rPr>
        <w:t>S8、S10</w:t>
      </w:r>
      <w:r>
        <w:rPr>
          <w:rFonts w:hint="eastAsia" w:ascii="Times New Roman" w:hAnsi="Times New Roman" w:cs="Times New Roman"/>
          <w:color w:val="auto"/>
          <w:highlight w:val="none"/>
          <w:lang w:val="en-US" w:eastAsia="zh-CN"/>
        </w:rPr>
        <w:t>）</w:t>
      </w:r>
    </w:p>
    <w:tbl>
      <w:tblPr>
        <w:tblStyle w:val="2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37"/>
        <w:gridCol w:w="2421"/>
        <w:gridCol w:w="2425"/>
      </w:tblGrid>
      <w:tr w14:paraId="4B22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221" w:type="pct"/>
            <w:shd w:val="clear" w:color="auto" w:fill="auto"/>
            <w:vAlign w:val="center"/>
          </w:tcPr>
          <w:p w14:paraId="09B0C3FC">
            <w:pPr>
              <w:pStyle w:val="24"/>
              <w:bidi w:val="0"/>
              <w:rPr>
                <w:rFonts w:hint="default"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监测项目</w:t>
            </w:r>
          </w:p>
        </w:tc>
        <w:tc>
          <w:tcPr>
            <w:tcW w:w="1229" w:type="pct"/>
            <w:vAlign w:val="center"/>
          </w:tcPr>
          <w:p w14:paraId="458EF59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评价标准（mg/kg）</w:t>
            </w:r>
          </w:p>
        </w:tc>
        <w:tc>
          <w:tcPr>
            <w:tcW w:w="1273" w:type="pct"/>
            <w:shd w:val="clear" w:color="auto" w:fill="auto"/>
            <w:vAlign w:val="center"/>
          </w:tcPr>
          <w:p w14:paraId="0427E5D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监测结果（mg/kg）</w:t>
            </w:r>
          </w:p>
        </w:tc>
        <w:tc>
          <w:tcPr>
            <w:tcW w:w="1275" w:type="pct"/>
            <w:shd w:val="clear" w:color="auto" w:fill="auto"/>
            <w:vAlign w:val="center"/>
          </w:tcPr>
          <w:p w14:paraId="7DD33C1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标准指数（Pimax）</w:t>
            </w:r>
          </w:p>
        </w:tc>
      </w:tr>
      <w:tr w14:paraId="5676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992471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镉</w:t>
            </w:r>
          </w:p>
        </w:tc>
        <w:tc>
          <w:tcPr>
            <w:tcW w:w="1229" w:type="pct"/>
            <w:shd w:val="clear" w:color="auto" w:fill="auto"/>
            <w:vAlign w:val="center"/>
          </w:tcPr>
          <w:p w14:paraId="5472FDF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0.6</w:t>
            </w:r>
          </w:p>
        </w:tc>
        <w:tc>
          <w:tcPr>
            <w:tcW w:w="1273" w:type="pct"/>
            <w:shd w:val="clear" w:color="auto" w:fill="auto"/>
            <w:vAlign w:val="center"/>
          </w:tcPr>
          <w:p w14:paraId="33CB59B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0.11~0.12</w:t>
            </w:r>
          </w:p>
        </w:tc>
        <w:tc>
          <w:tcPr>
            <w:tcW w:w="2425" w:type="dxa"/>
            <w:vAlign w:val="center"/>
          </w:tcPr>
          <w:p w14:paraId="4B7B47E8">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0.2</w:t>
            </w:r>
          </w:p>
        </w:tc>
      </w:tr>
      <w:tr w14:paraId="61EA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8FC845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汞</w:t>
            </w:r>
          </w:p>
        </w:tc>
        <w:tc>
          <w:tcPr>
            <w:tcW w:w="1229" w:type="pct"/>
            <w:shd w:val="clear" w:color="auto" w:fill="auto"/>
            <w:vAlign w:val="center"/>
          </w:tcPr>
          <w:p w14:paraId="3E9001BB">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3.4</w:t>
            </w:r>
          </w:p>
        </w:tc>
        <w:tc>
          <w:tcPr>
            <w:tcW w:w="1273" w:type="pct"/>
            <w:shd w:val="clear" w:color="auto" w:fill="auto"/>
            <w:vAlign w:val="center"/>
          </w:tcPr>
          <w:p w14:paraId="1571890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0.207~1.37</w:t>
            </w:r>
          </w:p>
        </w:tc>
        <w:tc>
          <w:tcPr>
            <w:tcW w:w="2425" w:type="dxa"/>
            <w:vAlign w:val="center"/>
          </w:tcPr>
          <w:p w14:paraId="227DDCA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 xml:space="preserve">0.40 </w:t>
            </w:r>
          </w:p>
        </w:tc>
      </w:tr>
      <w:tr w14:paraId="6083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BAB2417">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砷</w:t>
            </w:r>
          </w:p>
        </w:tc>
        <w:tc>
          <w:tcPr>
            <w:tcW w:w="1229" w:type="pct"/>
            <w:shd w:val="clear" w:color="auto" w:fill="auto"/>
            <w:vAlign w:val="center"/>
          </w:tcPr>
          <w:p w14:paraId="7F0F632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25</w:t>
            </w:r>
          </w:p>
        </w:tc>
        <w:tc>
          <w:tcPr>
            <w:tcW w:w="1273" w:type="pct"/>
            <w:shd w:val="clear" w:color="auto" w:fill="auto"/>
            <w:vAlign w:val="center"/>
          </w:tcPr>
          <w:p w14:paraId="7C12AF56">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6.62~6.82</w:t>
            </w:r>
          </w:p>
        </w:tc>
        <w:tc>
          <w:tcPr>
            <w:tcW w:w="2425" w:type="dxa"/>
            <w:vAlign w:val="center"/>
          </w:tcPr>
          <w:p w14:paraId="0FA049C5">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 xml:space="preserve">0.27 </w:t>
            </w:r>
          </w:p>
        </w:tc>
      </w:tr>
      <w:tr w14:paraId="4F29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2FD5E15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铅</w:t>
            </w:r>
          </w:p>
        </w:tc>
        <w:tc>
          <w:tcPr>
            <w:tcW w:w="1229" w:type="pct"/>
            <w:shd w:val="clear" w:color="auto" w:fill="auto"/>
            <w:vAlign w:val="center"/>
          </w:tcPr>
          <w:p w14:paraId="1B10E2A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170</w:t>
            </w:r>
          </w:p>
        </w:tc>
        <w:tc>
          <w:tcPr>
            <w:tcW w:w="1273" w:type="pct"/>
            <w:shd w:val="clear" w:color="auto" w:fill="auto"/>
            <w:vAlign w:val="center"/>
          </w:tcPr>
          <w:p w14:paraId="2C424D3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19</w:t>
            </w:r>
          </w:p>
        </w:tc>
        <w:tc>
          <w:tcPr>
            <w:tcW w:w="2425" w:type="dxa"/>
            <w:vAlign w:val="center"/>
          </w:tcPr>
          <w:p w14:paraId="23C456F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 xml:space="preserve">0.11 </w:t>
            </w:r>
          </w:p>
        </w:tc>
      </w:tr>
      <w:tr w14:paraId="5AF6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1B1E2B6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铬</w:t>
            </w:r>
          </w:p>
        </w:tc>
        <w:tc>
          <w:tcPr>
            <w:tcW w:w="1229" w:type="pct"/>
            <w:shd w:val="clear" w:color="auto" w:fill="auto"/>
            <w:vAlign w:val="center"/>
          </w:tcPr>
          <w:p w14:paraId="23A14C4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250</w:t>
            </w:r>
          </w:p>
        </w:tc>
        <w:tc>
          <w:tcPr>
            <w:tcW w:w="1273" w:type="pct"/>
            <w:shd w:val="clear" w:color="auto" w:fill="auto"/>
            <w:vAlign w:val="center"/>
          </w:tcPr>
          <w:p w14:paraId="5BE9936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110~127</w:t>
            </w:r>
          </w:p>
        </w:tc>
        <w:tc>
          <w:tcPr>
            <w:tcW w:w="2425" w:type="dxa"/>
            <w:vAlign w:val="center"/>
          </w:tcPr>
          <w:p w14:paraId="61E2875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 xml:space="preserve">0.51 </w:t>
            </w:r>
          </w:p>
        </w:tc>
      </w:tr>
      <w:tr w14:paraId="676C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7195DBA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铜</w:t>
            </w:r>
          </w:p>
        </w:tc>
        <w:tc>
          <w:tcPr>
            <w:tcW w:w="1229" w:type="pct"/>
            <w:shd w:val="clear" w:color="auto" w:fill="auto"/>
            <w:vAlign w:val="center"/>
          </w:tcPr>
          <w:p w14:paraId="23C0397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100</w:t>
            </w:r>
          </w:p>
        </w:tc>
        <w:tc>
          <w:tcPr>
            <w:tcW w:w="1273" w:type="pct"/>
            <w:shd w:val="clear" w:color="auto" w:fill="auto"/>
            <w:vAlign w:val="center"/>
          </w:tcPr>
          <w:p w14:paraId="62FD68D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19</w:t>
            </w:r>
          </w:p>
        </w:tc>
        <w:tc>
          <w:tcPr>
            <w:tcW w:w="2425" w:type="dxa"/>
            <w:vAlign w:val="center"/>
          </w:tcPr>
          <w:p w14:paraId="21375382">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0.19</w:t>
            </w:r>
          </w:p>
        </w:tc>
      </w:tr>
      <w:tr w14:paraId="4857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718AB6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镍</w:t>
            </w:r>
          </w:p>
        </w:tc>
        <w:tc>
          <w:tcPr>
            <w:tcW w:w="1229" w:type="pct"/>
            <w:shd w:val="clear" w:color="auto" w:fill="auto"/>
            <w:vAlign w:val="center"/>
          </w:tcPr>
          <w:p w14:paraId="1452C1E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190</w:t>
            </w:r>
          </w:p>
        </w:tc>
        <w:tc>
          <w:tcPr>
            <w:tcW w:w="1273" w:type="pct"/>
            <w:shd w:val="clear" w:color="auto" w:fill="auto"/>
            <w:vAlign w:val="center"/>
          </w:tcPr>
          <w:p w14:paraId="713F23F1">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34~45</w:t>
            </w:r>
          </w:p>
        </w:tc>
        <w:tc>
          <w:tcPr>
            <w:tcW w:w="2425" w:type="dxa"/>
            <w:vAlign w:val="center"/>
          </w:tcPr>
          <w:p w14:paraId="592E3DD4">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 xml:space="preserve">0.24 </w:t>
            </w:r>
          </w:p>
        </w:tc>
      </w:tr>
      <w:tr w14:paraId="0DC1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0E55B37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锌</w:t>
            </w:r>
          </w:p>
        </w:tc>
        <w:tc>
          <w:tcPr>
            <w:tcW w:w="1229" w:type="pct"/>
            <w:shd w:val="clear" w:color="auto" w:fill="auto"/>
            <w:vAlign w:val="center"/>
          </w:tcPr>
          <w:p w14:paraId="280C1E3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300</w:t>
            </w:r>
          </w:p>
        </w:tc>
        <w:tc>
          <w:tcPr>
            <w:tcW w:w="1273" w:type="pct"/>
            <w:shd w:val="clear" w:color="auto" w:fill="auto"/>
            <w:vAlign w:val="center"/>
          </w:tcPr>
          <w:p w14:paraId="1FD101BB">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107~113</w:t>
            </w:r>
          </w:p>
        </w:tc>
        <w:tc>
          <w:tcPr>
            <w:tcW w:w="2425" w:type="dxa"/>
            <w:vAlign w:val="center"/>
          </w:tcPr>
          <w:p w14:paraId="0F23D991">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 xml:space="preserve">0.38 </w:t>
            </w:r>
          </w:p>
        </w:tc>
      </w:tr>
      <w:tr w14:paraId="441A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221" w:type="pct"/>
            <w:shd w:val="clear" w:color="auto" w:fill="auto"/>
            <w:vAlign w:val="center"/>
          </w:tcPr>
          <w:p w14:paraId="3514764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石油烃（C</w:t>
            </w:r>
            <w:r>
              <w:rPr>
                <w:rFonts w:hint="eastAsia" w:ascii="Times New Roman" w:hAnsi="Times New Roman" w:eastAsia="宋体" w:cs="Courier New"/>
                <w:b w:val="0"/>
                <w:bCs w:val="0"/>
                <w:color w:val="auto"/>
                <w:highlight w:val="none"/>
                <w:vertAlign w:val="subscript"/>
                <w:lang w:val="en-US" w:eastAsia="zh-CN"/>
              </w:rPr>
              <w:t>10</w:t>
            </w:r>
            <w:r>
              <w:rPr>
                <w:rFonts w:hint="eastAsia" w:ascii="Times New Roman" w:hAnsi="Times New Roman" w:eastAsia="宋体" w:cs="Courier New"/>
                <w:b w:val="0"/>
                <w:bCs w:val="0"/>
                <w:color w:val="auto"/>
                <w:highlight w:val="none"/>
                <w:lang w:val="en-US" w:eastAsia="zh-CN"/>
              </w:rPr>
              <w:t>-C</w:t>
            </w:r>
            <w:r>
              <w:rPr>
                <w:rFonts w:hint="eastAsia" w:ascii="Times New Roman" w:hAnsi="Times New Roman" w:eastAsia="宋体" w:cs="Courier New"/>
                <w:b w:val="0"/>
                <w:bCs w:val="0"/>
                <w:color w:val="auto"/>
                <w:highlight w:val="none"/>
                <w:vertAlign w:val="subscript"/>
                <w:lang w:val="en-US" w:eastAsia="zh-CN"/>
              </w:rPr>
              <w:t>40</w:t>
            </w:r>
            <w:r>
              <w:rPr>
                <w:rFonts w:hint="eastAsia" w:ascii="Times New Roman" w:hAnsi="Times New Roman" w:eastAsia="宋体" w:cs="Courier New"/>
                <w:b w:val="0"/>
                <w:bCs w:val="0"/>
                <w:color w:val="auto"/>
                <w:highlight w:val="none"/>
                <w:lang w:val="en-US" w:eastAsia="zh-CN"/>
              </w:rPr>
              <w:t>）</w:t>
            </w:r>
          </w:p>
        </w:tc>
        <w:tc>
          <w:tcPr>
            <w:tcW w:w="1229" w:type="pct"/>
            <w:shd w:val="clear" w:color="auto" w:fill="auto"/>
            <w:vAlign w:val="center"/>
          </w:tcPr>
          <w:p w14:paraId="70FD610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500</w:t>
            </w:r>
          </w:p>
        </w:tc>
        <w:tc>
          <w:tcPr>
            <w:tcW w:w="1273" w:type="pct"/>
            <w:shd w:val="clear" w:color="auto" w:fill="auto"/>
            <w:vAlign w:val="center"/>
          </w:tcPr>
          <w:p w14:paraId="7ABEC27B">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34~70</w:t>
            </w:r>
          </w:p>
        </w:tc>
        <w:tc>
          <w:tcPr>
            <w:tcW w:w="2425" w:type="dxa"/>
            <w:vAlign w:val="center"/>
          </w:tcPr>
          <w:p w14:paraId="6DB38C45">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0.14</w:t>
            </w:r>
          </w:p>
        </w:tc>
      </w:tr>
    </w:tbl>
    <w:p w14:paraId="022E47E7">
      <w:pPr>
        <w:pStyle w:val="26"/>
        <w:ind w:firstLine="480"/>
        <w:rPr>
          <w:rFonts w:hint="default" w:ascii="Times New Roman" w:hAnsi="Times New Roman" w:cs="Times New Roman"/>
          <w:color w:val="auto"/>
          <w:szCs w:val="22"/>
          <w:highlight w:val="none"/>
          <w:lang w:bidi="ar"/>
        </w:rPr>
      </w:pPr>
      <w:r>
        <w:rPr>
          <w:rFonts w:hint="eastAsia" w:ascii="Times New Roman" w:hAnsi="Times New Roman"/>
          <w:color w:val="auto"/>
          <w:sz w:val="24"/>
        </w:rPr>
        <w:t>结果表明，本项目</w:t>
      </w:r>
      <w:r>
        <w:rPr>
          <w:rFonts w:hint="eastAsia" w:ascii="Times New Roman" w:hAnsi="Times New Roman"/>
          <w:color w:val="auto"/>
          <w:sz w:val="24"/>
          <w:szCs w:val="24"/>
        </w:rPr>
        <w:t>厂区内各监测点</w:t>
      </w:r>
      <w:r>
        <w:rPr>
          <w:rFonts w:hint="eastAsia" w:ascii="Times New Roman" w:hAnsi="Times New Roman"/>
          <w:color w:val="auto"/>
          <w:sz w:val="24"/>
          <w:szCs w:val="24"/>
          <w:lang w:val="en-US" w:eastAsia="zh-CN"/>
        </w:rPr>
        <w:t>及</w:t>
      </w:r>
      <w:r>
        <w:rPr>
          <w:rFonts w:hint="eastAsia" w:ascii="Times New Roman" w:hAnsi="Times New Roman"/>
          <w:color w:val="auto"/>
          <w:sz w:val="24"/>
          <w:szCs w:val="24"/>
        </w:rPr>
        <w:t>厂界外</w:t>
      </w:r>
      <w:r>
        <w:rPr>
          <w:rFonts w:hint="eastAsia" w:cstheme="minorHAnsi"/>
          <w:color w:val="auto"/>
          <w:sz w:val="24"/>
          <w:szCs w:val="24"/>
          <w:lang w:val="en-US" w:eastAsia="zh-CN"/>
        </w:rPr>
        <w:t>S1~S7、S9、S11满足</w:t>
      </w:r>
      <w:r>
        <w:rPr>
          <w:rFonts w:hint="eastAsia" w:cstheme="minorHAnsi"/>
          <w:color w:val="auto"/>
          <w:sz w:val="24"/>
          <w:szCs w:val="24"/>
        </w:rPr>
        <w:t>《土壤环境质量</w:t>
      </w:r>
      <w:r>
        <w:rPr>
          <w:rFonts w:hint="eastAsia" w:cstheme="minorHAnsi"/>
          <w:color w:val="auto"/>
          <w:sz w:val="24"/>
          <w:szCs w:val="24"/>
          <w:lang w:val="en-US" w:eastAsia="zh-CN"/>
        </w:rPr>
        <w:t xml:space="preserve"> </w:t>
      </w:r>
      <w:r>
        <w:rPr>
          <w:rFonts w:hint="eastAsia" w:cstheme="minorHAnsi"/>
          <w:color w:val="auto"/>
          <w:sz w:val="24"/>
          <w:szCs w:val="24"/>
        </w:rPr>
        <w:t>建设用地土壤污染风险管控标准（试行）》（GB36600-2018）表1、表2中建设用地土壤污染风险第二类用地筛选值</w:t>
      </w:r>
      <w:r>
        <w:rPr>
          <w:rFonts w:hint="eastAsia" w:cstheme="minorHAnsi"/>
          <w:color w:val="auto"/>
          <w:sz w:val="24"/>
          <w:szCs w:val="24"/>
          <w:lang w:eastAsia="zh-CN"/>
        </w:rPr>
        <w:t>（</w:t>
      </w:r>
      <w:r>
        <w:rPr>
          <w:rFonts w:hint="eastAsia" w:cstheme="minorHAnsi"/>
          <w:color w:val="auto"/>
          <w:sz w:val="24"/>
          <w:szCs w:val="24"/>
          <w:lang w:val="en-US" w:eastAsia="zh-CN"/>
        </w:rPr>
        <w:t>其中氟化物满足《四川省建设用地土壤污染风险管控标准》（DB51/2978-2023）</w:t>
      </w:r>
      <w:r>
        <w:rPr>
          <w:rFonts w:hint="eastAsia" w:cstheme="minorHAnsi"/>
          <w:color w:val="auto"/>
          <w:sz w:val="24"/>
          <w:szCs w:val="24"/>
        </w:rPr>
        <w:t>表1中建设用地土壤污染风险第</w:t>
      </w:r>
      <w:r>
        <w:rPr>
          <w:rFonts w:hint="eastAsia" w:cstheme="minorHAnsi"/>
          <w:color w:val="auto"/>
          <w:sz w:val="24"/>
          <w:szCs w:val="24"/>
          <w:lang w:val="en-US" w:eastAsia="zh-CN"/>
        </w:rPr>
        <w:t>二</w:t>
      </w:r>
      <w:r>
        <w:rPr>
          <w:rFonts w:hint="eastAsia" w:cstheme="minorHAnsi"/>
          <w:color w:val="auto"/>
          <w:sz w:val="24"/>
          <w:szCs w:val="24"/>
        </w:rPr>
        <w:t>类用地筛选值</w:t>
      </w:r>
      <w:r>
        <w:rPr>
          <w:rFonts w:hint="eastAsia" w:cstheme="minorHAnsi"/>
          <w:color w:val="auto"/>
          <w:sz w:val="24"/>
          <w:szCs w:val="24"/>
          <w:lang w:eastAsia="zh-CN"/>
        </w:rPr>
        <w:t>）；</w:t>
      </w:r>
      <w:r>
        <w:rPr>
          <w:rFonts w:hint="eastAsia" w:cstheme="minorHAnsi"/>
          <w:color w:val="auto"/>
          <w:sz w:val="24"/>
          <w:szCs w:val="24"/>
          <w:lang w:val="en-US" w:eastAsia="zh-CN"/>
        </w:rPr>
        <w:t>S8、S10满足</w:t>
      </w:r>
      <w:r>
        <w:rPr>
          <w:rFonts w:hint="eastAsia" w:cstheme="minorHAnsi"/>
          <w:color w:val="auto"/>
          <w:sz w:val="24"/>
          <w:szCs w:val="24"/>
        </w:rPr>
        <w:t>《土壤环境质量 农用地土壤污染风险管控标准（试行）》（GB15618-2018）</w:t>
      </w:r>
      <w:r>
        <w:rPr>
          <w:rFonts w:hint="eastAsia" w:cstheme="minorHAnsi"/>
          <w:color w:val="auto"/>
          <w:sz w:val="24"/>
          <w:szCs w:val="24"/>
          <w:lang w:val="en-US" w:eastAsia="zh-CN"/>
        </w:rPr>
        <w:t>表1中农</w:t>
      </w:r>
      <w:r>
        <w:rPr>
          <w:rFonts w:hint="eastAsia" w:cstheme="minorHAnsi"/>
          <w:color w:val="auto"/>
          <w:sz w:val="24"/>
          <w:szCs w:val="24"/>
        </w:rPr>
        <w:t>用地土壤污染风险筛选值</w:t>
      </w:r>
      <w:r>
        <w:rPr>
          <w:rFonts w:hint="eastAsia" w:cstheme="minorHAnsi"/>
          <w:color w:val="auto"/>
          <w:sz w:val="24"/>
          <w:szCs w:val="24"/>
          <w:lang w:eastAsia="zh-CN"/>
        </w:rPr>
        <w:t>（</w:t>
      </w:r>
      <w:r>
        <w:rPr>
          <w:rFonts w:hint="eastAsia" w:cstheme="minorHAnsi"/>
          <w:color w:val="auto"/>
          <w:sz w:val="24"/>
          <w:szCs w:val="24"/>
          <w:lang w:val="en-US" w:eastAsia="zh-CN"/>
        </w:rPr>
        <w:t>其中石油烃</w:t>
      </w:r>
      <w:r>
        <w:rPr>
          <w:rFonts w:hint="eastAsia" w:cstheme="minorHAnsi"/>
          <w:color w:val="auto"/>
          <w:sz w:val="24"/>
          <w:szCs w:val="24"/>
        </w:rPr>
        <w:t>（C</w:t>
      </w:r>
      <w:r>
        <w:rPr>
          <w:rFonts w:hint="eastAsia" w:cstheme="minorHAnsi"/>
          <w:color w:val="auto"/>
          <w:sz w:val="24"/>
          <w:szCs w:val="24"/>
          <w:vertAlign w:val="subscript"/>
        </w:rPr>
        <w:t>10</w:t>
      </w:r>
      <w:r>
        <w:rPr>
          <w:rFonts w:hint="eastAsia" w:cstheme="minorHAnsi"/>
          <w:color w:val="auto"/>
          <w:sz w:val="24"/>
          <w:szCs w:val="24"/>
        </w:rPr>
        <w:t>-C</w:t>
      </w:r>
      <w:r>
        <w:rPr>
          <w:rFonts w:hint="eastAsia" w:cstheme="minorHAnsi"/>
          <w:color w:val="auto"/>
          <w:sz w:val="24"/>
          <w:szCs w:val="24"/>
          <w:vertAlign w:val="subscript"/>
        </w:rPr>
        <w:t>40</w:t>
      </w:r>
      <w:r>
        <w:rPr>
          <w:rFonts w:hint="eastAsia" w:cstheme="minorHAnsi"/>
          <w:color w:val="auto"/>
          <w:sz w:val="24"/>
          <w:szCs w:val="24"/>
        </w:rPr>
        <w:t>）</w:t>
      </w:r>
      <w:r>
        <w:rPr>
          <w:rFonts w:hint="eastAsia" w:cstheme="minorHAnsi"/>
          <w:color w:val="auto"/>
          <w:sz w:val="24"/>
          <w:szCs w:val="24"/>
          <w:lang w:val="en-US" w:eastAsia="zh-CN"/>
        </w:rPr>
        <w:t>满足《农用地土壤环境风险评价技术规定(试行) 》（环办土壤函〔2018〕1479 号）附表1-3中农用地土壤其他增测项目评价参考值</w:t>
      </w:r>
      <w:r>
        <w:rPr>
          <w:rFonts w:hint="eastAsia" w:cstheme="minorHAnsi"/>
          <w:color w:val="auto"/>
          <w:sz w:val="24"/>
          <w:szCs w:val="24"/>
          <w:lang w:eastAsia="zh-CN"/>
        </w:rPr>
        <w:t>）</w:t>
      </w:r>
      <w:r>
        <w:rPr>
          <w:rFonts w:hint="eastAsia" w:ascii="Times New Roman" w:hAnsi="Times New Roman"/>
          <w:color w:val="auto"/>
          <w:sz w:val="24"/>
        </w:rPr>
        <w:t>。</w:t>
      </w:r>
    </w:p>
    <w:p w14:paraId="65FC2EEB">
      <w:pPr>
        <w:pStyle w:val="4"/>
        <w:bidi w:val="0"/>
        <w:rPr>
          <w:rFonts w:hint="default"/>
          <w:color w:val="auto"/>
          <w:highlight w:val="none"/>
        </w:rPr>
      </w:pPr>
      <w:r>
        <w:rPr>
          <w:rFonts w:hint="default"/>
          <w:color w:val="auto"/>
          <w:highlight w:val="none"/>
        </w:rPr>
        <w:t>声环境质量现状评价</w:t>
      </w:r>
    </w:p>
    <w:p w14:paraId="4A088C49">
      <w:pPr>
        <w:pStyle w:val="26"/>
        <w:ind w:firstLine="480"/>
        <w:rPr>
          <w:rFonts w:hint="default" w:ascii="Times New Roman" w:hAnsi="Times New Roman" w:cs="Times New Roman"/>
          <w:color w:val="auto"/>
          <w:szCs w:val="22"/>
          <w:highlight w:val="none"/>
          <w:lang w:val="zh-CN"/>
        </w:rPr>
      </w:pPr>
      <w:r>
        <w:rPr>
          <w:rFonts w:hint="default" w:ascii="Times New Roman" w:hAnsi="Times New Roman" w:eastAsia="宋体" w:cs="Times New Roman"/>
          <w:color w:val="auto"/>
          <w:kern w:val="2"/>
          <w:sz w:val="24"/>
          <w:szCs w:val="22"/>
          <w:highlight w:val="none"/>
          <w:lang w:val="zh-CN" w:eastAsia="zh-CN" w:bidi="ar"/>
        </w:rPr>
        <w:t>为了解区域声环境质量现状，</w:t>
      </w:r>
      <w:r>
        <w:rPr>
          <w:rFonts w:hint="default" w:ascii="Times New Roman" w:hAnsi="Times New Roman" w:cs="Times New Roman"/>
          <w:color w:val="auto"/>
          <w:highlight w:val="none"/>
          <w:lang w:val="en-US" w:eastAsia="zh-CN"/>
        </w:rPr>
        <w:t>本次环评委托</w:t>
      </w:r>
      <w:r>
        <w:rPr>
          <w:rFonts w:hint="default"/>
          <w:color w:val="auto"/>
          <w:highlight w:val="none"/>
        </w:rPr>
        <w:t>四川华皓检测技术有限公司</w:t>
      </w:r>
      <w:r>
        <w:rPr>
          <w:rFonts w:hint="default" w:ascii="Times New Roman" w:hAnsi="Times New Roman" w:cs="Times New Roman"/>
          <w:color w:val="auto"/>
          <w:highlight w:val="none"/>
          <w:lang w:val="en-US" w:eastAsia="zh-CN"/>
        </w:rPr>
        <w:t>对</w:t>
      </w:r>
      <w:r>
        <w:rPr>
          <w:rFonts w:hint="eastAsia" w:ascii="Times New Roman" w:hAnsi="Times New Roman" w:cs="Times New Roman"/>
          <w:color w:val="auto"/>
          <w:highlight w:val="none"/>
          <w:lang w:val="en-US" w:eastAsia="zh-CN"/>
        </w:rPr>
        <w:t>项目所在区域</w:t>
      </w:r>
      <w:r>
        <w:rPr>
          <w:rFonts w:hint="default" w:ascii="Times New Roman" w:hAnsi="Times New Roman" w:cs="Times New Roman"/>
          <w:color w:val="auto"/>
          <w:highlight w:val="none"/>
          <w:lang w:val="en-US" w:eastAsia="zh-CN"/>
        </w:rPr>
        <w:t>声环境质量</w:t>
      </w:r>
      <w:r>
        <w:rPr>
          <w:rFonts w:hint="eastAsia" w:ascii="Times New Roman" w:hAnsi="Times New Roman" w:cs="Times New Roman"/>
          <w:color w:val="auto"/>
          <w:highlight w:val="none"/>
          <w:lang w:val="en-US" w:eastAsia="zh-CN"/>
        </w:rPr>
        <w:t>进行了</w:t>
      </w:r>
      <w:r>
        <w:rPr>
          <w:rFonts w:hint="default" w:ascii="Times New Roman" w:hAnsi="Times New Roman" w:cs="Times New Roman"/>
          <w:color w:val="auto"/>
          <w:highlight w:val="none"/>
          <w:lang w:val="en-US" w:eastAsia="zh-CN"/>
        </w:rPr>
        <w:t>现状监测</w:t>
      </w:r>
      <w:r>
        <w:rPr>
          <w:rFonts w:hint="default" w:ascii="Times New Roman" w:hAnsi="Times New Roman" w:cs="Times New Roman"/>
          <w:color w:val="auto"/>
          <w:szCs w:val="22"/>
          <w:highlight w:val="none"/>
          <w:lang w:val="zh-CN" w:bidi="ar"/>
        </w:rPr>
        <w:t>。</w:t>
      </w:r>
    </w:p>
    <w:p w14:paraId="330C918D">
      <w:pPr>
        <w:pStyle w:val="6"/>
        <w:ind w:firstLine="482"/>
        <w:rPr>
          <w:rFonts w:hint="eastAsia" w:ascii="Times New Roman" w:hAnsi="Times New Roman" w:eastAsia="宋体" w:cs="Times New Roman"/>
          <w:b/>
          <w:bCs/>
          <w:color w:val="auto"/>
          <w:highlight w:val="none"/>
          <w:lang w:val="en-US" w:eastAsia="zh-CN"/>
        </w:rPr>
      </w:pPr>
      <w:bookmarkStart w:id="116" w:name="_Toc23326"/>
      <w:bookmarkStart w:id="117" w:name="_Toc10060"/>
      <w:r>
        <w:rPr>
          <w:rFonts w:hint="eastAsia" w:ascii="Times New Roman" w:hAnsi="Times New Roman" w:eastAsia="宋体" w:cs="Times New Roman"/>
          <w:b/>
          <w:bCs/>
          <w:color w:val="auto"/>
          <w:highlight w:val="none"/>
          <w:lang w:val="en-US" w:eastAsia="zh-CN"/>
        </w:rPr>
        <w:t>1、声环境质量现状监测</w:t>
      </w:r>
    </w:p>
    <w:p w14:paraId="143D2C92">
      <w:pPr>
        <w:pStyle w:val="30"/>
        <w:bidi w:val="0"/>
        <w:rPr>
          <w:rFonts w:hint="default"/>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highlight w:val="none"/>
        </w:rPr>
        <w:t>监测点位</w:t>
      </w:r>
      <w:bookmarkEnd w:id="116"/>
      <w:bookmarkEnd w:id="117"/>
    </w:p>
    <w:p w14:paraId="79346A67">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本次</w:t>
      </w:r>
      <w:r>
        <w:rPr>
          <w:rFonts w:hint="eastAsia" w:cs="Times New Roman"/>
          <w:color w:val="auto"/>
          <w:highlight w:val="none"/>
          <w:lang w:val="en-US" w:eastAsia="zh-CN"/>
        </w:rPr>
        <w:t>环评</w:t>
      </w:r>
      <w:r>
        <w:rPr>
          <w:rFonts w:hint="default" w:ascii="Times New Roman" w:hAnsi="Times New Roman" w:cs="Times New Roman"/>
          <w:color w:val="auto"/>
          <w:highlight w:val="none"/>
          <w:lang w:val="en-US" w:eastAsia="zh-CN"/>
        </w:rPr>
        <w:t>在</w:t>
      </w:r>
      <w:r>
        <w:rPr>
          <w:rFonts w:hint="eastAsia" w:ascii="Times New Roman" w:hAnsi="Times New Roman" w:cs="Times New Roman"/>
          <w:color w:val="auto"/>
          <w:highlight w:val="none"/>
          <w:lang w:val="en-US" w:eastAsia="zh-CN"/>
        </w:rPr>
        <w:t>项目</w:t>
      </w:r>
      <w:r>
        <w:rPr>
          <w:rFonts w:hint="default" w:ascii="Times New Roman" w:hAnsi="Times New Roman" w:cs="Times New Roman"/>
          <w:color w:val="auto"/>
          <w:highlight w:val="none"/>
          <w:lang w:val="en-US" w:eastAsia="zh-CN"/>
        </w:rPr>
        <w:t>厂界</w:t>
      </w:r>
      <w:r>
        <w:rPr>
          <w:rFonts w:hint="eastAsia" w:ascii="Times New Roman" w:hAnsi="Times New Roman" w:cs="Times New Roman"/>
          <w:color w:val="auto"/>
          <w:highlight w:val="none"/>
          <w:lang w:val="en-US" w:eastAsia="zh-CN"/>
        </w:rPr>
        <w:t>四周及环境敏感目标处</w:t>
      </w:r>
      <w:r>
        <w:rPr>
          <w:rFonts w:hint="default" w:ascii="Times New Roman" w:hAnsi="Times New Roman" w:cs="Times New Roman"/>
          <w:color w:val="auto"/>
          <w:highlight w:val="none"/>
          <w:lang w:val="en-US" w:eastAsia="zh-CN"/>
        </w:rPr>
        <w:t>共设</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val="en-US" w:eastAsia="zh-CN"/>
        </w:rPr>
        <w:t>个噪声监测点，监测点位置见下表</w:t>
      </w:r>
      <w:r>
        <w:rPr>
          <w:rFonts w:hint="default" w:ascii="Times New Roman" w:hAnsi="Times New Roman" w:cs="Times New Roman"/>
          <w:color w:val="auto"/>
          <w:highlight w:val="none"/>
        </w:rPr>
        <w:t>。</w:t>
      </w:r>
    </w:p>
    <w:p w14:paraId="484E99E3">
      <w:pPr>
        <w:pStyle w:val="28"/>
        <w:numPr>
          <w:ilvl w:val="0"/>
          <w:numId w:val="24"/>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噪声监测点分布表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8"/>
        <w:gridCol w:w="6966"/>
      </w:tblGrid>
      <w:tr w14:paraId="20F8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pct"/>
            <w:noWrap w:val="0"/>
            <w:vAlign w:val="center"/>
          </w:tcPr>
          <w:p w14:paraId="58A7C746">
            <w:pPr>
              <w:pStyle w:val="24"/>
              <w:bidi w:val="0"/>
              <w:rPr>
                <w:b/>
                <w:bCs/>
                <w:color w:val="auto"/>
                <w:highlight w:val="none"/>
              </w:rPr>
            </w:pPr>
            <w:r>
              <w:rPr>
                <w:b/>
                <w:bCs/>
                <w:color w:val="auto"/>
                <w:highlight w:val="none"/>
              </w:rPr>
              <w:t>编号</w:t>
            </w:r>
          </w:p>
        </w:tc>
        <w:tc>
          <w:tcPr>
            <w:tcW w:w="3660" w:type="pct"/>
            <w:noWrap w:val="0"/>
            <w:vAlign w:val="center"/>
          </w:tcPr>
          <w:p w14:paraId="712A7C85">
            <w:pPr>
              <w:pStyle w:val="24"/>
              <w:bidi w:val="0"/>
              <w:rPr>
                <w:b/>
                <w:bCs/>
                <w:color w:val="auto"/>
                <w:highlight w:val="none"/>
              </w:rPr>
            </w:pPr>
            <w:r>
              <w:rPr>
                <w:b/>
                <w:bCs/>
                <w:color w:val="auto"/>
                <w:highlight w:val="none"/>
              </w:rPr>
              <w:t>监测点位</w:t>
            </w:r>
          </w:p>
        </w:tc>
      </w:tr>
      <w:tr w14:paraId="25A1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pct"/>
            <w:noWrap w:val="0"/>
            <w:vAlign w:val="center"/>
          </w:tcPr>
          <w:p w14:paraId="52DD1B4F">
            <w:pPr>
              <w:pStyle w:val="24"/>
              <w:bidi w:val="0"/>
              <w:rPr>
                <w:color w:val="auto"/>
                <w:highlight w:val="none"/>
              </w:rPr>
            </w:pPr>
            <w:r>
              <w:rPr>
                <w:color w:val="auto"/>
                <w:highlight w:val="none"/>
              </w:rPr>
              <w:t>N1</w:t>
            </w:r>
          </w:p>
        </w:tc>
        <w:tc>
          <w:tcPr>
            <w:tcW w:w="6966" w:type="dxa"/>
            <w:noWrap w:val="0"/>
            <w:vAlign w:val="center"/>
          </w:tcPr>
          <w:p w14:paraId="528BEE5A">
            <w:pPr>
              <w:pStyle w:val="24"/>
              <w:bidi w:val="0"/>
              <w:rPr>
                <w:rFonts w:hint="eastAsia" w:ascii="Times New Roman" w:hAnsi="Times New Roman" w:eastAsia="宋体"/>
                <w:color w:val="auto"/>
                <w:highlight w:val="none"/>
              </w:rPr>
            </w:pPr>
            <w:r>
              <w:rPr>
                <w:rFonts w:hint="eastAsia" w:ascii="Times New Roman" w:hAnsi="Times New Roman" w:eastAsia="宋体"/>
                <w:color w:val="auto"/>
                <w:highlight w:val="none"/>
              </w:rPr>
              <w:t>本项目北侧厂界外1m处</w:t>
            </w:r>
          </w:p>
        </w:tc>
      </w:tr>
      <w:tr w14:paraId="69E6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pct"/>
            <w:noWrap w:val="0"/>
            <w:vAlign w:val="center"/>
          </w:tcPr>
          <w:p w14:paraId="062FD46B">
            <w:pPr>
              <w:pStyle w:val="24"/>
              <w:bidi w:val="0"/>
              <w:rPr>
                <w:color w:val="auto"/>
                <w:highlight w:val="none"/>
              </w:rPr>
            </w:pPr>
            <w:r>
              <w:rPr>
                <w:rFonts w:hint="eastAsia"/>
                <w:color w:val="auto"/>
                <w:highlight w:val="none"/>
              </w:rPr>
              <w:t>N2</w:t>
            </w:r>
          </w:p>
        </w:tc>
        <w:tc>
          <w:tcPr>
            <w:tcW w:w="6966" w:type="dxa"/>
            <w:noWrap w:val="0"/>
            <w:vAlign w:val="center"/>
          </w:tcPr>
          <w:p w14:paraId="6C04997F">
            <w:pPr>
              <w:pStyle w:val="24"/>
              <w:bidi w:val="0"/>
              <w:rPr>
                <w:rFonts w:hint="eastAsia" w:ascii="Times New Roman" w:hAnsi="Times New Roman" w:eastAsia="宋体"/>
                <w:color w:val="auto"/>
                <w:highlight w:val="none"/>
              </w:rPr>
            </w:pPr>
            <w:r>
              <w:rPr>
                <w:rFonts w:hint="eastAsia" w:ascii="Times New Roman" w:hAnsi="Times New Roman" w:eastAsia="宋体"/>
                <w:color w:val="auto"/>
                <w:highlight w:val="none"/>
              </w:rPr>
              <w:t>本项目东侧厂界外1m处</w:t>
            </w:r>
          </w:p>
        </w:tc>
      </w:tr>
      <w:tr w14:paraId="6B0D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pct"/>
            <w:noWrap w:val="0"/>
            <w:vAlign w:val="center"/>
          </w:tcPr>
          <w:p w14:paraId="7FA9FB2C">
            <w:pPr>
              <w:pStyle w:val="24"/>
              <w:bidi w:val="0"/>
              <w:rPr>
                <w:color w:val="auto"/>
                <w:highlight w:val="none"/>
              </w:rPr>
            </w:pPr>
            <w:r>
              <w:rPr>
                <w:rFonts w:hint="eastAsia"/>
                <w:color w:val="auto"/>
                <w:highlight w:val="none"/>
              </w:rPr>
              <w:t>N3</w:t>
            </w:r>
          </w:p>
        </w:tc>
        <w:tc>
          <w:tcPr>
            <w:tcW w:w="6966" w:type="dxa"/>
            <w:noWrap w:val="0"/>
            <w:vAlign w:val="center"/>
          </w:tcPr>
          <w:p w14:paraId="2FE11275">
            <w:pPr>
              <w:pStyle w:val="24"/>
              <w:bidi w:val="0"/>
              <w:rPr>
                <w:rFonts w:hint="eastAsia" w:ascii="Times New Roman" w:hAnsi="Times New Roman" w:eastAsia="宋体"/>
                <w:color w:val="auto"/>
                <w:highlight w:val="none"/>
              </w:rPr>
            </w:pPr>
            <w:r>
              <w:rPr>
                <w:rFonts w:hint="eastAsia" w:ascii="Times New Roman" w:hAnsi="Times New Roman" w:eastAsia="宋体"/>
                <w:color w:val="auto"/>
                <w:highlight w:val="none"/>
              </w:rPr>
              <w:t>本项目南侧厂界外1m处</w:t>
            </w:r>
          </w:p>
        </w:tc>
      </w:tr>
      <w:tr w14:paraId="23D2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pct"/>
            <w:noWrap w:val="0"/>
            <w:vAlign w:val="center"/>
          </w:tcPr>
          <w:p w14:paraId="5BB04294">
            <w:pPr>
              <w:pStyle w:val="24"/>
              <w:bidi w:val="0"/>
              <w:rPr>
                <w:color w:val="auto"/>
                <w:highlight w:val="none"/>
              </w:rPr>
            </w:pPr>
            <w:r>
              <w:rPr>
                <w:rFonts w:hint="eastAsia"/>
                <w:color w:val="auto"/>
                <w:highlight w:val="none"/>
              </w:rPr>
              <w:t>N4</w:t>
            </w:r>
          </w:p>
        </w:tc>
        <w:tc>
          <w:tcPr>
            <w:tcW w:w="6966" w:type="dxa"/>
            <w:noWrap w:val="0"/>
            <w:vAlign w:val="center"/>
          </w:tcPr>
          <w:p w14:paraId="08491A96">
            <w:pPr>
              <w:pStyle w:val="24"/>
              <w:bidi w:val="0"/>
              <w:rPr>
                <w:rFonts w:hint="eastAsia" w:ascii="Times New Roman" w:hAnsi="Times New Roman" w:eastAsia="宋体"/>
                <w:color w:val="auto"/>
                <w:highlight w:val="none"/>
              </w:rPr>
            </w:pPr>
            <w:r>
              <w:rPr>
                <w:rFonts w:hint="eastAsia" w:ascii="Times New Roman" w:hAnsi="Times New Roman" w:eastAsia="宋体"/>
                <w:color w:val="auto"/>
                <w:highlight w:val="none"/>
              </w:rPr>
              <w:t>本项目西侧厂界外1m处</w:t>
            </w:r>
          </w:p>
        </w:tc>
      </w:tr>
      <w:tr w14:paraId="7AB6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9" w:type="pct"/>
            <w:noWrap w:val="0"/>
            <w:vAlign w:val="center"/>
          </w:tcPr>
          <w:p w14:paraId="5A4A9A34">
            <w:pPr>
              <w:pStyle w:val="24"/>
              <w:bidi w:val="0"/>
              <w:rPr>
                <w:rFonts w:hint="default" w:eastAsia="宋体"/>
                <w:color w:val="auto"/>
                <w:highlight w:val="none"/>
                <w:lang w:val="en-US" w:eastAsia="zh-CN"/>
              </w:rPr>
            </w:pPr>
            <w:bookmarkStart w:id="118" w:name="_Toc17012"/>
            <w:bookmarkStart w:id="119" w:name="_Toc10677"/>
            <w:r>
              <w:rPr>
                <w:rFonts w:hint="eastAsia"/>
                <w:color w:val="auto"/>
                <w:highlight w:val="none"/>
                <w:lang w:val="en-US" w:eastAsia="zh-CN"/>
              </w:rPr>
              <w:t>N5</w:t>
            </w:r>
          </w:p>
        </w:tc>
        <w:tc>
          <w:tcPr>
            <w:tcW w:w="6966" w:type="dxa"/>
            <w:noWrap w:val="0"/>
            <w:vAlign w:val="center"/>
          </w:tcPr>
          <w:p w14:paraId="3575ED53">
            <w:pPr>
              <w:pStyle w:val="24"/>
              <w:bidi w:val="0"/>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本项目东北侧农户处</w:t>
            </w:r>
          </w:p>
        </w:tc>
      </w:tr>
    </w:tbl>
    <w:p w14:paraId="623A01E8">
      <w:pPr>
        <w:pStyle w:val="30"/>
        <w:bidi w:val="0"/>
        <w:rPr>
          <w:rFonts w:hint="eastAsia"/>
          <w:color w:val="auto"/>
          <w:highlight w:val="none"/>
          <w:lang w:val="en-US" w:eastAsia="zh-CN"/>
        </w:rPr>
      </w:pPr>
      <w:r>
        <w:rPr>
          <w:rFonts w:hint="eastAsia"/>
          <w:color w:val="auto"/>
          <w:highlight w:val="none"/>
          <w:lang w:val="en-US" w:eastAsia="zh-CN"/>
        </w:rPr>
        <w:t>（2）监测因子</w:t>
      </w:r>
    </w:p>
    <w:p w14:paraId="1EEC79C3">
      <w:pPr>
        <w:pStyle w:val="26"/>
        <w:bidi w:val="0"/>
        <w:rPr>
          <w:rFonts w:hint="default"/>
          <w:color w:val="auto"/>
          <w:highlight w:val="none"/>
          <w:lang w:val="en-US" w:eastAsia="zh-CN"/>
        </w:rPr>
      </w:pPr>
      <w:r>
        <w:rPr>
          <w:color w:val="auto"/>
          <w:highlight w:val="none"/>
        </w:rPr>
        <w:t>连续等效A声级。</w:t>
      </w:r>
    </w:p>
    <w:p w14:paraId="368A4588">
      <w:pPr>
        <w:pStyle w:val="30"/>
        <w:bidi w:val="0"/>
        <w:rPr>
          <w:rFonts w:hint="default"/>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default"/>
          <w:color w:val="auto"/>
          <w:highlight w:val="none"/>
        </w:rPr>
        <w:t>监测时段</w:t>
      </w:r>
      <w:bookmarkEnd w:id="118"/>
      <w:bookmarkEnd w:id="119"/>
    </w:p>
    <w:p w14:paraId="06DCFB05">
      <w:pPr>
        <w:pStyle w:val="26"/>
        <w:bidi w:val="0"/>
        <w:rPr>
          <w:rFonts w:hint="default" w:ascii="Times New Roman" w:hAnsi="Times New Roman" w:cs="Times New Roman"/>
          <w:color w:val="auto"/>
          <w:szCs w:val="22"/>
          <w:highlight w:val="none"/>
        </w:rPr>
      </w:pPr>
      <w:r>
        <w:rPr>
          <w:rFonts w:hint="eastAsia" w:ascii="Times New Roman" w:hAnsi="Times New Roman" w:eastAsia="宋体"/>
          <w:color w:val="auto"/>
          <w:highlight w:val="none"/>
          <w:lang w:val="en-US" w:eastAsia="zh-CN"/>
        </w:rPr>
        <w:t>2026年2月26日~2026年2月27日，</w:t>
      </w:r>
      <w:r>
        <w:rPr>
          <w:rFonts w:hint="eastAsia" w:ascii="Times New Roman" w:hAnsi="Times New Roman" w:eastAsia="宋体" w:cs="Times New Roman"/>
          <w:color w:val="auto"/>
          <w:kern w:val="2"/>
          <w:sz w:val="24"/>
          <w:szCs w:val="22"/>
          <w:highlight w:val="none"/>
          <w:lang w:val="en-US" w:eastAsia="zh-CN" w:bidi="ar"/>
        </w:rPr>
        <w:t>连续监测2天，</w:t>
      </w:r>
      <w:r>
        <w:rPr>
          <w:rFonts w:hint="default" w:ascii="Times New Roman" w:hAnsi="Times New Roman" w:eastAsia="宋体" w:cs="Times New Roman"/>
          <w:color w:val="auto"/>
          <w:kern w:val="2"/>
          <w:sz w:val="24"/>
          <w:szCs w:val="22"/>
          <w:highlight w:val="none"/>
          <w:lang w:val="zh-CN" w:eastAsia="zh-CN" w:bidi="ar"/>
        </w:rPr>
        <w:t>昼夜各监测1次</w:t>
      </w:r>
      <w:r>
        <w:rPr>
          <w:rFonts w:hint="default" w:ascii="Times New Roman" w:hAnsi="Times New Roman" w:eastAsia="宋体" w:cs="Times New Roman"/>
          <w:color w:val="auto"/>
          <w:kern w:val="2"/>
          <w:sz w:val="24"/>
          <w:szCs w:val="22"/>
          <w:highlight w:val="none"/>
          <w:lang w:val="en-US" w:eastAsia="zh-CN" w:bidi="ar"/>
        </w:rPr>
        <w:t>。</w:t>
      </w:r>
    </w:p>
    <w:p w14:paraId="79C04A13">
      <w:pPr>
        <w:pStyle w:val="30"/>
        <w:bidi w:val="0"/>
        <w:rPr>
          <w:rFonts w:hint="default" w:ascii="Times New Roman" w:hAnsi="Times New Roman" w:cs="Times New Roman"/>
          <w:color w:val="auto"/>
          <w:highlight w:val="none"/>
          <w:lang w:val="zh-CN"/>
        </w:rPr>
      </w:pPr>
      <w:bookmarkStart w:id="120" w:name="_Toc6736"/>
      <w:bookmarkStart w:id="121" w:name="_Toc18594"/>
      <w:r>
        <w:rPr>
          <w:rFonts w:hint="eastAsia" w:ascii="Times New Roman" w:hAnsi="Times New Roman" w:cs="Times New Roman"/>
          <w:color w:val="auto"/>
          <w:highlight w:val="none"/>
          <w:lang w:val="zh-CN"/>
        </w:rPr>
        <w:t>（</w:t>
      </w:r>
      <w:r>
        <w:rPr>
          <w:rFonts w:hint="eastAsia" w:ascii="Times New Roman" w:hAnsi="Times New Roman" w:cs="Times New Roman"/>
          <w:color w:val="auto"/>
          <w:highlight w:val="none"/>
          <w:lang w:val="en-US" w:eastAsia="zh-CN"/>
        </w:rPr>
        <w:t>4</w:t>
      </w:r>
      <w:r>
        <w:rPr>
          <w:rFonts w:hint="eastAsia" w:ascii="Times New Roman" w:hAnsi="Times New Roman" w:cs="Times New Roman"/>
          <w:color w:val="auto"/>
          <w:highlight w:val="none"/>
          <w:lang w:val="zh-CN"/>
        </w:rPr>
        <w:t>）</w:t>
      </w:r>
      <w:r>
        <w:rPr>
          <w:rFonts w:hint="eastAsia" w:ascii="Times New Roman" w:hAnsi="Times New Roman" w:cs="Times New Roman"/>
          <w:color w:val="auto"/>
          <w:highlight w:val="none"/>
          <w:lang w:val="en-US" w:eastAsia="zh-CN"/>
        </w:rPr>
        <w:t>监测</w:t>
      </w:r>
      <w:r>
        <w:rPr>
          <w:rFonts w:hint="default" w:ascii="Times New Roman" w:hAnsi="Times New Roman" w:cs="Times New Roman"/>
          <w:color w:val="auto"/>
          <w:highlight w:val="none"/>
          <w:lang w:val="zh-CN"/>
        </w:rPr>
        <w:t>结果</w:t>
      </w:r>
      <w:bookmarkEnd w:id="120"/>
      <w:bookmarkEnd w:id="121"/>
    </w:p>
    <w:p w14:paraId="5E0CD4E0">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区域声环境质量监测及评价结果见下表。</w:t>
      </w:r>
    </w:p>
    <w:p w14:paraId="7FC979DD">
      <w:pPr>
        <w:pStyle w:val="28"/>
        <w:numPr>
          <w:ilvl w:val="0"/>
          <w:numId w:val="24"/>
        </w:numPr>
        <w:bidi w:val="0"/>
        <w:ind w:left="425" w:leftChars="0" w:hanging="425" w:firstLineChars="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声环境质量</w:t>
      </w:r>
      <w:r>
        <w:rPr>
          <w:rFonts w:hint="eastAsia" w:ascii="Times New Roman" w:hAnsi="Times New Roman" w:cs="Times New Roman"/>
          <w:color w:val="auto"/>
          <w:highlight w:val="none"/>
          <w:lang w:val="en-US" w:eastAsia="zh-CN"/>
        </w:rPr>
        <w:t>现状</w:t>
      </w:r>
      <w:r>
        <w:rPr>
          <w:rFonts w:hint="default" w:ascii="Times New Roman" w:hAnsi="Times New Roman" w:cs="Times New Roman"/>
          <w:color w:val="auto"/>
          <w:highlight w:val="none"/>
          <w:lang w:val="en-US" w:eastAsia="zh-CN"/>
        </w:rPr>
        <w:t>监测</w:t>
      </w:r>
      <w:r>
        <w:rPr>
          <w:rFonts w:hint="eastAsia" w:ascii="Times New Roman" w:hAnsi="Times New Roman" w:cs="Times New Roman"/>
          <w:color w:val="auto"/>
          <w:highlight w:val="none"/>
          <w:lang w:val="en-US" w:eastAsia="zh-CN"/>
        </w:rPr>
        <w:t>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201"/>
        <w:gridCol w:w="3430"/>
        <w:gridCol w:w="1287"/>
        <w:gridCol w:w="1201"/>
        <w:gridCol w:w="1195"/>
        <w:gridCol w:w="1200"/>
      </w:tblGrid>
      <w:tr w14:paraId="3B527C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1" w:type="pct"/>
            <w:vMerge w:val="restart"/>
            <w:noWrap w:val="0"/>
            <w:vAlign w:val="center"/>
          </w:tcPr>
          <w:p w14:paraId="5E545147">
            <w:pPr>
              <w:pStyle w:val="24"/>
              <w:bidi w:val="0"/>
              <w:rPr>
                <w:b/>
                <w:bCs/>
                <w:color w:val="auto"/>
                <w:highlight w:val="none"/>
              </w:rPr>
            </w:pPr>
            <w:r>
              <w:rPr>
                <w:b/>
                <w:bCs/>
                <w:color w:val="auto"/>
                <w:highlight w:val="none"/>
              </w:rPr>
              <w:t>编号</w:t>
            </w:r>
          </w:p>
        </w:tc>
        <w:tc>
          <w:tcPr>
            <w:tcW w:w="1802" w:type="pct"/>
            <w:vMerge w:val="restart"/>
            <w:noWrap w:val="0"/>
            <w:vAlign w:val="center"/>
          </w:tcPr>
          <w:p w14:paraId="056C1524">
            <w:pPr>
              <w:pStyle w:val="24"/>
              <w:bidi w:val="0"/>
              <w:rPr>
                <w:b/>
                <w:bCs/>
                <w:color w:val="auto"/>
                <w:highlight w:val="none"/>
              </w:rPr>
            </w:pPr>
            <w:r>
              <w:rPr>
                <w:b/>
                <w:bCs/>
                <w:color w:val="auto"/>
                <w:highlight w:val="none"/>
              </w:rPr>
              <w:t>监测点位</w:t>
            </w:r>
          </w:p>
        </w:tc>
        <w:tc>
          <w:tcPr>
            <w:tcW w:w="2565" w:type="pct"/>
            <w:gridSpan w:val="4"/>
            <w:noWrap w:val="0"/>
            <w:vAlign w:val="center"/>
          </w:tcPr>
          <w:p w14:paraId="0DC8682D">
            <w:pPr>
              <w:pStyle w:val="24"/>
              <w:bidi w:val="0"/>
              <w:rPr>
                <w:b/>
                <w:bCs/>
                <w:color w:val="auto"/>
                <w:highlight w:val="none"/>
              </w:rPr>
            </w:pPr>
            <w:r>
              <w:rPr>
                <w:b/>
                <w:bCs/>
                <w:color w:val="auto"/>
                <w:highlight w:val="none"/>
              </w:rPr>
              <w:t>监测结果[dB（A）]</w:t>
            </w:r>
          </w:p>
        </w:tc>
      </w:tr>
      <w:tr w14:paraId="6FEB4A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 w:hRule="atLeast"/>
        </w:trPr>
        <w:tc>
          <w:tcPr>
            <w:tcW w:w="631" w:type="pct"/>
            <w:vMerge w:val="continue"/>
            <w:noWrap w:val="0"/>
            <w:vAlign w:val="center"/>
          </w:tcPr>
          <w:p w14:paraId="6B4E4182">
            <w:pPr>
              <w:pStyle w:val="24"/>
              <w:bidi w:val="0"/>
              <w:rPr>
                <w:b/>
                <w:bCs/>
                <w:color w:val="auto"/>
                <w:highlight w:val="none"/>
              </w:rPr>
            </w:pPr>
          </w:p>
        </w:tc>
        <w:tc>
          <w:tcPr>
            <w:tcW w:w="1802" w:type="pct"/>
            <w:vMerge w:val="continue"/>
            <w:noWrap w:val="0"/>
            <w:vAlign w:val="center"/>
          </w:tcPr>
          <w:p w14:paraId="26381236">
            <w:pPr>
              <w:pStyle w:val="24"/>
              <w:bidi w:val="0"/>
              <w:rPr>
                <w:b/>
                <w:bCs/>
                <w:color w:val="auto"/>
                <w:highlight w:val="none"/>
              </w:rPr>
            </w:pPr>
          </w:p>
        </w:tc>
        <w:tc>
          <w:tcPr>
            <w:tcW w:w="2488" w:type="dxa"/>
            <w:gridSpan w:val="2"/>
            <w:noWrap w:val="0"/>
            <w:vAlign w:val="center"/>
          </w:tcPr>
          <w:p w14:paraId="408D3D0D">
            <w:pPr>
              <w:pStyle w:val="24"/>
              <w:bidi w:val="0"/>
              <w:ind w:left="0" w:leftChars="0"/>
              <w:rPr>
                <w:rFonts w:hint="default" w:eastAsia="宋体"/>
                <w:b/>
                <w:bCs/>
                <w:color w:val="auto"/>
                <w:highlight w:val="none"/>
                <w:lang w:val="en-US" w:eastAsia="zh-CN"/>
              </w:rPr>
            </w:pPr>
            <w:r>
              <w:rPr>
                <w:rFonts w:hint="eastAsia"/>
                <w:b/>
                <w:bCs/>
                <w:color w:val="auto"/>
                <w:highlight w:val="none"/>
                <w:lang w:val="en-US" w:eastAsia="zh-CN"/>
              </w:rPr>
              <w:t>2026年2月26日</w:t>
            </w:r>
          </w:p>
        </w:tc>
        <w:tc>
          <w:tcPr>
            <w:tcW w:w="2395" w:type="dxa"/>
            <w:gridSpan w:val="2"/>
            <w:noWrap w:val="0"/>
            <w:vAlign w:val="center"/>
          </w:tcPr>
          <w:p w14:paraId="7F7DE240">
            <w:pPr>
              <w:pStyle w:val="24"/>
              <w:bidi w:val="0"/>
              <w:ind w:left="0" w:leftChars="0"/>
              <w:rPr>
                <w:rFonts w:hint="default" w:eastAsia="宋体"/>
                <w:b/>
                <w:bCs/>
                <w:color w:val="auto"/>
                <w:highlight w:val="none"/>
                <w:lang w:val="en-US" w:eastAsia="zh-CN"/>
              </w:rPr>
            </w:pPr>
            <w:r>
              <w:rPr>
                <w:rFonts w:hint="eastAsia"/>
                <w:b/>
                <w:bCs/>
                <w:color w:val="auto"/>
                <w:highlight w:val="none"/>
                <w:lang w:val="en-US" w:eastAsia="zh-CN"/>
              </w:rPr>
              <w:t>2026年2月27日</w:t>
            </w:r>
          </w:p>
        </w:tc>
      </w:tr>
      <w:tr w14:paraId="623618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 w:hRule="atLeast"/>
        </w:trPr>
        <w:tc>
          <w:tcPr>
            <w:tcW w:w="631" w:type="pct"/>
            <w:vMerge w:val="continue"/>
            <w:noWrap w:val="0"/>
            <w:vAlign w:val="center"/>
          </w:tcPr>
          <w:p w14:paraId="4446CEF5">
            <w:pPr>
              <w:pStyle w:val="24"/>
              <w:bidi w:val="0"/>
              <w:rPr>
                <w:b/>
                <w:bCs/>
                <w:color w:val="auto"/>
                <w:highlight w:val="none"/>
              </w:rPr>
            </w:pPr>
          </w:p>
        </w:tc>
        <w:tc>
          <w:tcPr>
            <w:tcW w:w="1802" w:type="pct"/>
            <w:vMerge w:val="continue"/>
            <w:noWrap w:val="0"/>
            <w:vAlign w:val="center"/>
          </w:tcPr>
          <w:p w14:paraId="22CCBFF4">
            <w:pPr>
              <w:pStyle w:val="24"/>
              <w:bidi w:val="0"/>
              <w:rPr>
                <w:b/>
                <w:bCs/>
                <w:color w:val="auto"/>
                <w:highlight w:val="none"/>
              </w:rPr>
            </w:pPr>
          </w:p>
        </w:tc>
        <w:tc>
          <w:tcPr>
            <w:tcW w:w="676" w:type="pct"/>
            <w:noWrap w:val="0"/>
            <w:vAlign w:val="center"/>
          </w:tcPr>
          <w:p w14:paraId="4549812A">
            <w:pPr>
              <w:pStyle w:val="24"/>
              <w:bidi w:val="0"/>
              <w:rPr>
                <w:b/>
                <w:bCs/>
                <w:color w:val="auto"/>
                <w:highlight w:val="none"/>
              </w:rPr>
            </w:pPr>
            <w:r>
              <w:rPr>
                <w:b/>
                <w:bCs/>
                <w:color w:val="auto"/>
                <w:highlight w:val="none"/>
              </w:rPr>
              <w:t>昼间</w:t>
            </w:r>
          </w:p>
        </w:tc>
        <w:tc>
          <w:tcPr>
            <w:tcW w:w="631" w:type="pct"/>
            <w:noWrap w:val="0"/>
            <w:vAlign w:val="center"/>
          </w:tcPr>
          <w:p w14:paraId="6DD86CBB">
            <w:pPr>
              <w:pStyle w:val="24"/>
              <w:bidi w:val="0"/>
              <w:rPr>
                <w:b/>
                <w:bCs/>
                <w:color w:val="auto"/>
                <w:highlight w:val="none"/>
              </w:rPr>
            </w:pPr>
            <w:r>
              <w:rPr>
                <w:b/>
                <w:bCs/>
                <w:color w:val="auto"/>
                <w:highlight w:val="none"/>
              </w:rPr>
              <w:t>夜间</w:t>
            </w:r>
          </w:p>
        </w:tc>
        <w:tc>
          <w:tcPr>
            <w:tcW w:w="628" w:type="pct"/>
            <w:noWrap w:val="0"/>
            <w:vAlign w:val="center"/>
          </w:tcPr>
          <w:p w14:paraId="271F202E">
            <w:pPr>
              <w:pStyle w:val="24"/>
              <w:bidi w:val="0"/>
              <w:rPr>
                <w:b/>
                <w:bCs/>
                <w:color w:val="auto"/>
                <w:highlight w:val="none"/>
              </w:rPr>
            </w:pPr>
            <w:r>
              <w:rPr>
                <w:b/>
                <w:bCs/>
                <w:color w:val="auto"/>
                <w:highlight w:val="none"/>
              </w:rPr>
              <w:t>昼间</w:t>
            </w:r>
          </w:p>
        </w:tc>
        <w:tc>
          <w:tcPr>
            <w:tcW w:w="630" w:type="pct"/>
            <w:noWrap w:val="0"/>
            <w:vAlign w:val="center"/>
          </w:tcPr>
          <w:p w14:paraId="0898150E">
            <w:pPr>
              <w:pStyle w:val="24"/>
              <w:bidi w:val="0"/>
              <w:rPr>
                <w:b/>
                <w:bCs/>
                <w:color w:val="auto"/>
                <w:highlight w:val="none"/>
              </w:rPr>
            </w:pPr>
            <w:r>
              <w:rPr>
                <w:b/>
                <w:bCs/>
                <w:color w:val="auto"/>
                <w:highlight w:val="none"/>
              </w:rPr>
              <w:t>夜间</w:t>
            </w:r>
          </w:p>
        </w:tc>
      </w:tr>
      <w:tr w14:paraId="47A0DC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 w:hRule="atLeast"/>
        </w:trPr>
        <w:tc>
          <w:tcPr>
            <w:tcW w:w="631" w:type="pct"/>
            <w:noWrap w:val="0"/>
            <w:vAlign w:val="center"/>
          </w:tcPr>
          <w:p w14:paraId="0F258A8F">
            <w:pPr>
              <w:pStyle w:val="24"/>
              <w:bidi w:val="0"/>
              <w:rPr>
                <w:color w:val="auto"/>
                <w:highlight w:val="none"/>
              </w:rPr>
            </w:pPr>
            <w:r>
              <w:rPr>
                <w:rFonts w:hint="eastAsia"/>
                <w:color w:val="auto"/>
                <w:highlight w:val="none"/>
                <w:lang w:val="en-US" w:eastAsia="zh-CN"/>
              </w:rPr>
              <w:t>N</w:t>
            </w:r>
            <w:r>
              <w:rPr>
                <w:color w:val="auto"/>
                <w:highlight w:val="none"/>
              </w:rPr>
              <w:t>1</w:t>
            </w:r>
          </w:p>
        </w:tc>
        <w:tc>
          <w:tcPr>
            <w:tcW w:w="3430" w:type="dxa"/>
            <w:noWrap w:val="0"/>
            <w:vAlign w:val="center"/>
          </w:tcPr>
          <w:p w14:paraId="0F0F9449">
            <w:pPr>
              <w:pStyle w:val="24"/>
              <w:bidi w:val="0"/>
              <w:ind w:left="0" w:leftChars="0"/>
              <w:rPr>
                <w:color w:val="auto"/>
                <w:highlight w:val="none"/>
              </w:rPr>
            </w:pPr>
            <w:r>
              <w:rPr>
                <w:rFonts w:hint="eastAsia" w:ascii="Times New Roman" w:hAnsi="Times New Roman" w:eastAsia="宋体"/>
                <w:color w:val="auto"/>
                <w:highlight w:val="none"/>
              </w:rPr>
              <w:t>本项目北侧厂界外1m处</w:t>
            </w:r>
          </w:p>
        </w:tc>
        <w:tc>
          <w:tcPr>
            <w:tcW w:w="1287" w:type="dxa"/>
            <w:noWrap w:val="0"/>
            <w:vAlign w:val="center"/>
          </w:tcPr>
          <w:p w14:paraId="6B8BC36D">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56</w:t>
            </w:r>
          </w:p>
        </w:tc>
        <w:tc>
          <w:tcPr>
            <w:tcW w:w="1201" w:type="dxa"/>
            <w:noWrap w:val="0"/>
            <w:vAlign w:val="center"/>
          </w:tcPr>
          <w:p w14:paraId="7844DB9F">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45</w:t>
            </w:r>
          </w:p>
        </w:tc>
        <w:tc>
          <w:tcPr>
            <w:tcW w:w="1195" w:type="dxa"/>
            <w:noWrap w:val="0"/>
            <w:vAlign w:val="center"/>
          </w:tcPr>
          <w:p w14:paraId="586B9DD4">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57</w:t>
            </w:r>
          </w:p>
        </w:tc>
        <w:tc>
          <w:tcPr>
            <w:tcW w:w="1200" w:type="dxa"/>
            <w:noWrap w:val="0"/>
            <w:vAlign w:val="center"/>
          </w:tcPr>
          <w:p w14:paraId="4AD984FB">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46</w:t>
            </w:r>
          </w:p>
        </w:tc>
      </w:tr>
      <w:tr w14:paraId="0CAF2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1" w:type="pct"/>
            <w:noWrap w:val="0"/>
            <w:vAlign w:val="center"/>
          </w:tcPr>
          <w:p w14:paraId="2F96DD95">
            <w:pPr>
              <w:pStyle w:val="24"/>
              <w:bidi w:val="0"/>
              <w:rPr>
                <w:color w:val="auto"/>
                <w:highlight w:val="none"/>
              </w:rPr>
            </w:pPr>
            <w:r>
              <w:rPr>
                <w:rFonts w:hint="eastAsia"/>
                <w:color w:val="auto"/>
                <w:highlight w:val="none"/>
                <w:lang w:val="en-US" w:eastAsia="zh-CN"/>
              </w:rPr>
              <w:t>N</w:t>
            </w:r>
            <w:r>
              <w:rPr>
                <w:color w:val="auto"/>
                <w:highlight w:val="none"/>
              </w:rPr>
              <w:t>2</w:t>
            </w:r>
          </w:p>
        </w:tc>
        <w:tc>
          <w:tcPr>
            <w:tcW w:w="3430" w:type="dxa"/>
            <w:noWrap w:val="0"/>
            <w:vAlign w:val="center"/>
          </w:tcPr>
          <w:p w14:paraId="34079768">
            <w:pPr>
              <w:pStyle w:val="24"/>
              <w:bidi w:val="0"/>
              <w:ind w:left="0" w:leftChars="0"/>
              <w:rPr>
                <w:color w:val="auto"/>
                <w:highlight w:val="none"/>
              </w:rPr>
            </w:pPr>
            <w:r>
              <w:rPr>
                <w:rFonts w:hint="eastAsia" w:ascii="Times New Roman" w:hAnsi="Times New Roman" w:eastAsia="宋体"/>
                <w:color w:val="auto"/>
                <w:highlight w:val="none"/>
              </w:rPr>
              <w:t>本项目东侧厂界外1m处</w:t>
            </w:r>
          </w:p>
        </w:tc>
        <w:tc>
          <w:tcPr>
            <w:tcW w:w="1287" w:type="dxa"/>
            <w:noWrap w:val="0"/>
            <w:vAlign w:val="center"/>
          </w:tcPr>
          <w:p w14:paraId="2232724B">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55</w:t>
            </w:r>
          </w:p>
        </w:tc>
        <w:tc>
          <w:tcPr>
            <w:tcW w:w="1201" w:type="dxa"/>
            <w:noWrap w:val="0"/>
            <w:vAlign w:val="center"/>
          </w:tcPr>
          <w:p w14:paraId="0488C84E">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46</w:t>
            </w:r>
          </w:p>
        </w:tc>
        <w:tc>
          <w:tcPr>
            <w:tcW w:w="1195" w:type="dxa"/>
            <w:noWrap w:val="0"/>
            <w:vAlign w:val="center"/>
          </w:tcPr>
          <w:p w14:paraId="27E01176">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55</w:t>
            </w:r>
          </w:p>
        </w:tc>
        <w:tc>
          <w:tcPr>
            <w:tcW w:w="1200" w:type="dxa"/>
            <w:noWrap w:val="0"/>
            <w:vAlign w:val="center"/>
          </w:tcPr>
          <w:p w14:paraId="4280007C">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45</w:t>
            </w:r>
          </w:p>
        </w:tc>
      </w:tr>
      <w:tr w14:paraId="139A2B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1" w:type="pct"/>
            <w:noWrap w:val="0"/>
            <w:vAlign w:val="center"/>
          </w:tcPr>
          <w:p w14:paraId="11137A14">
            <w:pPr>
              <w:pStyle w:val="24"/>
              <w:bidi w:val="0"/>
              <w:rPr>
                <w:color w:val="auto"/>
                <w:highlight w:val="none"/>
              </w:rPr>
            </w:pPr>
            <w:r>
              <w:rPr>
                <w:rFonts w:hint="eastAsia"/>
                <w:color w:val="auto"/>
                <w:highlight w:val="none"/>
                <w:lang w:val="en-US" w:eastAsia="zh-CN"/>
              </w:rPr>
              <w:t>N</w:t>
            </w:r>
            <w:r>
              <w:rPr>
                <w:color w:val="auto"/>
                <w:highlight w:val="none"/>
              </w:rPr>
              <w:t>3</w:t>
            </w:r>
          </w:p>
        </w:tc>
        <w:tc>
          <w:tcPr>
            <w:tcW w:w="3430" w:type="dxa"/>
            <w:noWrap w:val="0"/>
            <w:vAlign w:val="center"/>
          </w:tcPr>
          <w:p w14:paraId="113FEA88">
            <w:pPr>
              <w:pStyle w:val="24"/>
              <w:bidi w:val="0"/>
              <w:ind w:left="0" w:leftChars="0"/>
              <w:rPr>
                <w:color w:val="auto"/>
                <w:highlight w:val="none"/>
              </w:rPr>
            </w:pPr>
            <w:r>
              <w:rPr>
                <w:rFonts w:hint="eastAsia" w:ascii="Times New Roman" w:hAnsi="Times New Roman" w:eastAsia="宋体"/>
                <w:color w:val="auto"/>
                <w:highlight w:val="none"/>
              </w:rPr>
              <w:t>本项目南侧厂界外1m处</w:t>
            </w:r>
          </w:p>
        </w:tc>
        <w:tc>
          <w:tcPr>
            <w:tcW w:w="1287" w:type="dxa"/>
            <w:noWrap w:val="0"/>
            <w:vAlign w:val="center"/>
          </w:tcPr>
          <w:p w14:paraId="14E761C4">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56</w:t>
            </w:r>
          </w:p>
        </w:tc>
        <w:tc>
          <w:tcPr>
            <w:tcW w:w="1201" w:type="dxa"/>
            <w:noWrap w:val="0"/>
            <w:vAlign w:val="center"/>
          </w:tcPr>
          <w:p w14:paraId="4918D014">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44</w:t>
            </w:r>
          </w:p>
        </w:tc>
        <w:tc>
          <w:tcPr>
            <w:tcW w:w="1195" w:type="dxa"/>
            <w:noWrap w:val="0"/>
            <w:vAlign w:val="center"/>
          </w:tcPr>
          <w:p w14:paraId="74AFAE5C">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56</w:t>
            </w:r>
          </w:p>
        </w:tc>
        <w:tc>
          <w:tcPr>
            <w:tcW w:w="1200" w:type="dxa"/>
            <w:noWrap w:val="0"/>
            <w:vAlign w:val="center"/>
          </w:tcPr>
          <w:p w14:paraId="277ED783">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45</w:t>
            </w:r>
          </w:p>
        </w:tc>
      </w:tr>
      <w:tr w14:paraId="190560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1" w:type="pct"/>
            <w:noWrap w:val="0"/>
            <w:vAlign w:val="center"/>
          </w:tcPr>
          <w:p w14:paraId="37098049">
            <w:pPr>
              <w:pStyle w:val="24"/>
              <w:bidi w:val="0"/>
              <w:rPr>
                <w:color w:val="auto"/>
                <w:highlight w:val="none"/>
              </w:rPr>
            </w:pPr>
            <w:r>
              <w:rPr>
                <w:rFonts w:hint="eastAsia"/>
                <w:color w:val="auto"/>
                <w:highlight w:val="none"/>
                <w:lang w:val="en-US" w:eastAsia="zh-CN"/>
              </w:rPr>
              <w:t>N</w:t>
            </w:r>
            <w:r>
              <w:rPr>
                <w:color w:val="auto"/>
                <w:highlight w:val="none"/>
              </w:rPr>
              <w:t>4</w:t>
            </w:r>
          </w:p>
        </w:tc>
        <w:tc>
          <w:tcPr>
            <w:tcW w:w="3430" w:type="dxa"/>
            <w:noWrap w:val="0"/>
            <w:vAlign w:val="center"/>
          </w:tcPr>
          <w:p w14:paraId="0E6B7437">
            <w:pPr>
              <w:pStyle w:val="24"/>
              <w:bidi w:val="0"/>
              <w:ind w:left="0" w:leftChars="0"/>
              <w:rPr>
                <w:color w:val="auto"/>
                <w:highlight w:val="none"/>
              </w:rPr>
            </w:pPr>
            <w:r>
              <w:rPr>
                <w:rFonts w:hint="eastAsia" w:ascii="Times New Roman" w:hAnsi="Times New Roman" w:eastAsia="宋体"/>
                <w:color w:val="auto"/>
                <w:highlight w:val="none"/>
              </w:rPr>
              <w:t>本项目西侧厂界外1m处</w:t>
            </w:r>
          </w:p>
        </w:tc>
        <w:tc>
          <w:tcPr>
            <w:tcW w:w="1287" w:type="dxa"/>
            <w:noWrap w:val="0"/>
            <w:vAlign w:val="center"/>
          </w:tcPr>
          <w:p w14:paraId="19380388">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54</w:t>
            </w:r>
          </w:p>
        </w:tc>
        <w:tc>
          <w:tcPr>
            <w:tcW w:w="1201" w:type="dxa"/>
            <w:noWrap w:val="0"/>
            <w:vAlign w:val="center"/>
          </w:tcPr>
          <w:p w14:paraId="6ED3B11E">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45</w:t>
            </w:r>
          </w:p>
        </w:tc>
        <w:tc>
          <w:tcPr>
            <w:tcW w:w="1195" w:type="dxa"/>
            <w:noWrap w:val="0"/>
            <w:vAlign w:val="center"/>
          </w:tcPr>
          <w:p w14:paraId="30085B3E">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57</w:t>
            </w:r>
          </w:p>
        </w:tc>
        <w:tc>
          <w:tcPr>
            <w:tcW w:w="1200" w:type="dxa"/>
            <w:noWrap w:val="0"/>
            <w:vAlign w:val="center"/>
          </w:tcPr>
          <w:p w14:paraId="1CEDE61F">
            <w:pPr>
              <w:numPr>
                <w:ilvl w:val="0"/>
                <w:numId w:val="0"/>
              </w:numPr>
              <w:spacing w:line="240" w:lineRule="auto"/>
              <w:ind w:left="0" w:leftChars="0" w:firstLine="0" w:firstLineChars="0"/>
              <w:jc w:val="center"/>
              <w:rPr>
                <w:rFonts w:hint="default"/>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46</w:t>
            </w:r>
          </w:p>
        </w:tc>
      </w:tr>
      <w:tr w14:paraId="4AA124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1" w:type="pct"/>
            <w:noWrap w:val="0"/>
            <w:vAlign w:val="center"/>
          </w:tcPr>
          <w:p w14:paraId="7CC71B8F">
            <w:pPr>
              <w:pStyle w:val="24"/>
              <w:bidi w:val="0"/>
              <w:rPr>
                <w:rFonts w:hint="default"/>
                <w:color w:val="auto"/>
                <w:highlight w:val="none"/>
                <w:lang w:val="en-US" w:eastAsia="zh-CN"/>
              </w:rPr>
            </w:pPr>
            <w:r>
              <w:rPr>
                <w:rFonts w:hint="eastAsia"/>
                <w:color w:val="auto"/>
                <w:highlight w:val="none"/>
                <w:lang w:val="en-US" w:eastAsia="zh-CN"/>
              </w:rPr>
              <w:t>N5</w:t>
            </w:r>
          </w:p>
        </w:tc>
        <w:tc>
          <w:tcPr>
            <w:tcW w:w="3430" w:type="dxa"/>
            <w:noWrap w:val="0"/>
            <w:vAlign w:val="center"/>
          </w:tcPr>
          <w:p w14:paraId="216B5CA4">
            <w:pPr>
              <w:pStyle w:val="24"/>
              <w:bidi w:val="0"/>
              <w:ind w:left="0" w:leftChars="0"/>
              <w:rPr>
                <w:rFonts w:hint="eastAsia"/>
                <w:color w:val="auto"/>
                <w:highlight w:val="none"/>
                <w:lang w:val="en-US" w:eastAsia="zh-CN"/>
              </w:rPr>
            </w:pPr>
            <w:r>
              <w:rPr>
                <w:rFonts w:hint="eastAsia" w:ascii="Times New Roman" w:hAnsi="Times New Roman" w:eastAsia="宋体"/>
                <w:color w:val="auto"/>
                <w:highlight w:val="none"/>
                <w:lang w:val="en-US" w:eastAsia="zh-CN"/>
              </w:rPr>
              <w:t>本项目东北侧农户处</w:t>
            </w:r>
          </w:p>
        </w:tc>
        <w:tc>
          <w:tcPr>
            <w:tcW w:w="1287" w:type="dxa"/>
            <w:noWrap w:val="0"/>
            <w:vAlign w:val="center"/>
          </w:tcPr>
          <w:p w14:paraId="30E30087">
            <w:pPr>
              <w:numPr>
                <w:ilvl w:val="0"/>
                <w:numId w:val="0"/>
              </w:numPr>
              <w:spacing w:line="240" w:lineRule="auto"/>
              <w:ind w:left="0" w:leftChars="0" w:firstLine="0" w:firstLineChars="0"/>
              <w:jc w:val="center"/>
              <w:rPr>
                <w:rFonts w:hint="eastAsia"/>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54</w:t>
            </w:r>
          </w:p>
        </w:tc>
        <w:tc>
          <w:tcPr>
            <w:tcW w:w="1201" w:type="dxa"/>
            <w:noWrap w:val="0"/>
            <w:vAlign w:val="center"/>
          </w:tcPr>
          <w:p w14:paraId="44082EB4">
            <w:pPr>
              <w:numPr>
                <w:ilvl w:val="0"/>
                <w:numId w:val="0"/>
              </w:numPr>
              <w:spacing w:line="240" w:lineRule="auto"/>
              <w:ind w:left="0" w:leftChars="0" w:firstLine="0" w:firstLineChars="0"/>
              <w:jc w:val="center"/>
              <w:rPr>
                <w:rFonts w:hint="eastAsia"/>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43</w:t>
            </w:r>
          </w:p>
        </w:tc>
        <w:tc>
          <w:tcPr>
            <w:tcW w:w="1195" w:type="dxa"/>
            <w:noWrap w:val="0"/>
            <w:vAlign w:val="center"/>
          </w:tcPr>
          <w:p w14:paraId="10DE1019">
            <w:pPr>
              <w:numPr>
                <w:ilvl w:val="0"/>
                <w:numId w:val="0"/>
              </w:numPr>
              <w:spacing w:line="240" w:lineRule="auto"/>
              <w:ind w:left="0" w:leftChars="0" w:firstLine="0" w:firstLineChars="0"/>
              <w:jc w:val="center"/>
              <w:rPr>
                <w:rFonts w:hint="eastAsia"/>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56</w:t>
            </w:r>
          </w:p>
        </w:tc>
        <w:tc>
          <w:tcPr>
            <w:tcW w:w="1200" w:type="dxa"/>
            <w:noWrap w:val="0"/>
            <w:vAlign w:val="center"/>
          </w:tcPr>
          <w:p w14:paraId="1F211B7F">
            <w:pPr>
              <w:numPr>
                <w:ilvl w:val="0"/>
                <w:numId w:val="0"/>
              </w:numPr>
              <w:spacing w:line="240" w:lineRule="auto"/>
              <w:ind w:left="0" w:leftChars="0" w:firstLine="0" w:firstLineChars="0"/>
              <w:jc w:val="center"/>
              <w:rPr>
                <w:rFonts w:hint="eastAsia"/>
                <w:color w:val="auto"/>
                <w:highlight w:val="none"/>
                <w:lang w:val="en-US" w:eastAsia="zh-CN"/>
              </w:rPr>
            </w:pPr>
            <w:r>
              <w:rPr>
                <w:rFonts w:hint="eastAsia" w:ascii="Times New Roman" w:hAnsi="Times New Roman" w:eastAsia="宋体" w:cs="Times New Roman"/>
                <w:color w:val="auto"/>
                <w:sz w:val="21"/>
                <w:szCs w:val="21"/>
                <w:highlight w:val="none"/>
                <w:vertAlign w:val="baseline"/>
                <w:lang w:val="en-US" w:eastAsia="zh-CN"/>
              </w:rPr>
              <w:t>44</w:t>
            </w:r>
          </w:p>
        </w:tc>
      </w:tr>
    </w:tbl>
    <w:p w14:paraId="18676A7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2、声环境质量现状评价</w:t>
      </w:r>
    </w:p>
    <w:p w14:paraId="64B321C2">
      <w:pPr>
        <w:pStyle w:val="30"/>
        <w:bidi w:val="0"/>
        <w:rPr>
          <w:color w:val="auto"/>
          <w:highlight w:val="none"/>
        </w:rPr>
      </w:pPr>
      <w:r>
        <w:rPr>
          <w:rFonts w:hint="eastAsia"/>
          <w:color w:val="auto"/>
          <w:highlight w:val="none"/>
        </w:rPr>
        <w:t>（</w:t>
      </w:r>
      <w:r>
        <w:rPr>
          <w:color w:val="auto"/>
          <w:highlight w:val="none"/>
        </w:rPr>
        <w:t>1</w:t>
      </w:r>
      <w:r>
        <w:rPr>
          <w:rFonts w:hint="eastAsia"/>
          <w:color w:val="auto"/>
          <w:highlight w:val="none"/>
        </w:rPr>
        <w:t>）评价因子</w:t>
      </w:r>
    </w:p>
    <w:p w14:paraId="6166C9ED">
      <w:pPr>
        <w:pStyle w:val="26"/>
        <w:bidi w:val="0"/>
        <w:rPr>
          <w:color w:val="auto"/>
          <w:highlight w:val="none"/>
          <w:lang w:val="zh-CN"/>
        </w:rPr>
      </w:pPr>
      <w:r>
        <w:rPr>
          <w:color w:val="auto"/>
          <w:highlight w:val="none"/>
        </w:rPr>
        <w:t>等效连续A声级。</w:t>
      </w:r>
    </w:p>
    <w:p w14:paraId="5111890F">
      <w:pPr>
        <w:pStyle w:val="30"/>
        <w:bidi w:val="0"/>
        <w:rPr>
          <w:b/>
          <w:color w:val="auto"/>
          <w:sz w:val="24"/>
          <w:highlight w:val="none"/>
        </w:rPr>
      </w:pPr>
      <w:r>
        <w:rPr>
          <w:b/>
          <w:color w:val="auto"/>
          <w:sz w:val="24"/>
          <w:highlight w:val="none"/>
          <w:lang w:val="zh-CN"/>
        </w:rPr>
        <w:t>（2）</w:t>
      </w:r>
      <w:r>
        <w:rPr>
          <w:b/>
          <w:color w:val="auto"/>
          <w:sz w:val="24"/>
          <w:highlight w:val="none"/>
        </w:rPr>
        <w:t>评价标准</w:t>
      </w:r>
    </w:p>
    <w:p w14:paraId="6E50E745">
      <w:pPr>
        <w:pStyle w:val="26"/>
        <w:bidi w:val="0"/>
        <w:rPr>
          <w:color w:val="auto"/>
          <w:highlight w:val="none"/>
        </w:rPr>
      </w:pPr>
      <w:r>
        <w:rPr>
          <w:rFonts w:hint="eastAsia"/>
          <w:color w:val="auto"/>
          <w:sz w:val="24"/>
          <w:szCs w:val="24"/>
          <w:lang w:val="en-US" w:eastAsia="zh-CN"/>
        </w:rPr>
        <w:t>N1~N4</w:t>
      </w:r>
      <w:r>
        <w:rPr>
          <w:color w:val="auto"/>
          <w:sz w:val="24"/>
          <w:szCs w:val="24"/>
        </w:rPr>
        <w:t>执行《声环境质量标准》（GB3096-2008）3类标准</w:t>
      </w:r>
      <w:r>
        <w:rPr>
          <w:rFonts w:hint="eastAsia"/>
          <w:color w:val="auto"/>
          <w:sz w:val="24"/>
          <w:szCs w:val="24"/>
          <w:lang w:eastAsia="zh-CN"/>
        </w:rPr>
        <w:t>；</w:t>
      </w:r>
      <w:r>
        <w:rPr>
          <w:rFonts w:hint="eastAsia"/>
          <w:color w:val="auto"/>
          <w:sz w:val="24"/>
          <w:szCs w:val="24"/>
          <w:lang w:val="en-US" w:eastAsia="zh-CN"/>
        </w:rPr>
        <w:t>N5</w:t>
      </w:r>
      <w:r>
        <w:rPr>
          <w:color w:val="auto"/>
          <w:sz w:val="24"/>
          <w:szCs w:val="24"/>
        </w:rPr>
        <w:t>执行《声环境质量标准》（GB3096-2008）</w:t>
      </w:r>
      <w:r>
        <w:rPr>
          <w:rFonts w:hint="eastAsia"/>
          <w:color w:val="auto"/>
          <w:sz w:val="24"/>
          <w:szCs w:val="24"/>
          <w:lang w:val="en-US" w:eastAsia="zh-CN"/>
        </w:rPr>
        <w:t>2</w:t>
      </w:r>
      <w:r>
        <w:rPr>
          <w:color w:val="auto"/>
          <w:sz w:val="24"/>
          <w:szCs w:val="24"/>
        </w:rPr>
        <w:t>类标准</w:t>
      </w:r>
      <w:r>
        <w:rPr>
          <w:color w:val="auto"/>
          <w:highlight w:val="none"/>
        </w:rPr>
        <w:t>。</w:t>
      </w:r>
    </w:p>
    <w:p w14:paraId="37553CA0">
      <w:pPr>
        <w:pStyle w:val="30"/>
        <w:numPr>
          <w:ilvl w:val="0"/>
          <w:numId w:val="0"/>
        </w:numPr>
        <w:bidi w:val="0"/>
        <w:ind w:left="0" w:leftChars="0" w:right="0" w:rightChars="0" w:firstLine="482" w:firstLineChars="200"/>
        <w:rPr>
          <w:color w:val="auto"/>
          <w:highlight w:val="none"/>
        </w:rPr>
      </w:pPr>
      <w:r>
        <w:rPr>
          <w:rFonts w:ascii="Times New Roman" w:hAnsi="Times New Roman" w:eastAsia="宋体" w:cs="Times New Roman"/>
          <w:b/>
          <w:color w:val="auto"/>
          <w:kern w:val="2"/>
          <w:sz w:val="24"/>
          <w:szCs w:val="21"/>
          <w:lang w:val="en-US" w:eastAsia="zh-CN" w:bidi="ar-SA"/>
        </w:rPr>
        <w:t>（3）</w:t>
      </w:r>
      <w:r>
        <w:rPr>
          <w:color w:val="auto"/>
          <w:highlight w:val="none"/>
        </w:rPr>
        <w:t>评价结果</w:t>
      </w:r>
    </w:p>
    <w:p w14:paraId="7CAACDE0">
      <w:pPr>
        <w:pStyle w:val="30"/>
        <w:numPr>
          <w:ilvl w:val="0"/>
          <w:numId w:val="0"/>
        </w:numPr>
        <w:bidi w:val="0"/>
        <w:ind w:leftChars="200" w:right="0" w:rightChars="0"/>
        <w:rPr>
          <w:b w:val="0"/>
          <w:bCs/>
          <w:color w:val="auto"/>
          <w:highlight w:val="none"/>
        </w:rPr>
      </w:pPr>
      <w:r>
        <w:rPr>
          <w:rFonts w:ascii="Times New Roman" w:hAnsi="Times New Roman" w:cs="Times New Roman"/>
          <w:b w:val="0"/>
          <w:bCs/>
          <w:color w:val="auto"/>
          <w:sz w:val="24"/>
        </w:rPr>
        <w:t>区域</w:t>
      </w:r>
      <w:r>
        <w:rPr>
          <w:rFonts w:hint="eastAsia" w:ascii="Times New Roman" w:hAnsi="Times New Roman" w:cs="Times New Roman"/>
          <w:b w:val="0"/>
          <w:bCs/>
          <w:color w:val="auto"/>
          <w:sz w:val="24"/>
          <w:lang w:val="en-US" w:eastAsia="zh-CN"/>
        </w:rPr>
        <w:t>声</w:t>
      </w:r>
      <w:r>
        <w:rPr>
          <w:rFonts w:ascii="Times New Roman" w:hAnsi="Times New Roman" w:cs="Times New Roman"/>
          <w:b w:val="0"/>
          <w:bCs/>
          <w:color w:val="auto"/>
          <w:sz w:val="24"/>
        </w:rPr>
        <w:t>环境现状评价结果见</w:t>
      </w:r>
      <w:r>
        <w:rPr>
          <w:rFonts w:hint="eastAsia" w:cs="Times New Roman"/>
          <w:b w:val="0"/>
          <w:bCs/>
          <w:color w:val="auto"/>
          <w:sz w:val="24"/>
          <w:lang w:val="en-US" w:eastAsia="zh-CN"/>
        </w:rPr>
        <w:t>下</w:t>
      </w:r>
      <w:r>
        <w:rPr>
          <w:rFonts w:ascii="Times New Roman" w:hAnsi="Times New Roman" w:cs="Times New Roman"/>
          <w:b w:val="0"/>
          <w:bCs/>
          <w:color w:val="auto"/>
          <w:sz w:val="24"/>
        </w:rPr>
        <w:t>表</w:t>
      </w:r>
      <w:r>
        <w:rPr>
          <w:rFonts w:hint="eastAsia" w:ascii="Times New Roman" w:hAnsi="Times New Roman"/>
          <w:b w:val="0"/>
          <w:bCs/>
          <w:color w:val="auto"/>
          <w:sz w:val="24"/>
        </w:rPr>
        <w:t>。</w:t>
      </w:r>
    </w:p>
    <w:p w14:paraId="4D5E29E5">
      <w:pPr>
        <w:pStyle w:val="28"/>
        <w:numPr>
          <w:ilvl w:val="0"/>
          <w:numId w:val="24"/>
        </w:numPr>
        <w:bidi w:val="0"/>
        <w:ind w:left="425" w:leftChars="0" w:hanging="425" w:firstLineChars="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声环境质量</w:t>
      </w:r>
      <w:r>
        <w:rPr>
          <w:rFonts w:hint="eastAsia" w:ascii="Times New Roman" w:hAnsi="Times New Roman" w:cs="Times New Roman"/>
          <w:color w:val="auto"/>
          <w:highlight w:val="none"/>
          <w:lang w:val="en-US" w:eastAsia="zh-CN"/>
        </w:rPr>
        <w:t>现状评价结果</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31"/>
        <w:gridCol w:w="1429"/>
        <w:gridCol w:w="933"/>
        <w:gridCol w:w="933"/>
        <w:gridCol w:w="933"/>
        <w:gridCol w:w="950"/>
        <w:gridCol w:w="908"/>
        <w:gridCol w:w="933"/>
        <w:gridCol w:w="908"/>
        <w:gridCol w:w="956"/>
      </w:tblGrid>
      <w:tr w14:paraId="40ABF7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332" w:type="pct"/>
            <w:vMerge w:val="restart"/>
            <w:vAlign w:val="center"/>
          </w:tcPr>
          <w:p w14:paraId="1F06E67D">
            <w:pPr>
              <w:pStyle w:val="24"/>
              <w:bidi w:val="0"/>
              <w:rPr>
                <w:rFonts w:ascii="Times New Roman" w:hAnsi="Times New Roman" w:eastAsia="宋体"/>
                <w:b/>
                <w:bCs/>
                <w:color w:val="auto"/>
                <w:highlight w:val="none"/>
              </w:rPr>
            </w:pPr>
            <w:r>
              <w:rPr>
                <w:rFonts w:ascii="Times New Roman" w:hAnsi="Times New Roman" w:eastAsia="宋体"/>
                <w:b/>
                <w:bCs/>
                <w:color w:val="auto"/>
                <w:highlight w:val="none"/>
              </w:rPr>
              <w:t>编号</w:t>
            </w:r>
          </w:p>
        </w:tc>
        <w:tc>
          <w:tcPr>
            <w:tcW w:w="751" w:type="pct"/>
            <w:vMerge w:val="restart"/>
            <w:vAlign w:val="center"/>
          </w:tcPr>
          <w:p w14:paraId="1C436FF3">
            <w:pPr>
              <w:pStyle w:val="24"/>
              <w:bidi w:val="0"/>
              <w:rPr>
                <w:rFonts w:ascii="Times New Roman" w:hAnsi="Times New Roman" w:eastAsia="宋体"/>
                <w:b/>
                <w:bCs/>
                <w:color w:val="auto"/>
                <w:highlight w:val="none"/>
              </w:rPr>
            </w:pPr>
            <w:r>
              <w:rPr>
                <w:rFonts w:ascii="Times New Roman" w:hAnsi="Times New Roman" w:eastAsia="宋体"/>
                <w:b/>
                <w:bCs/>
                <w:color w:val="auto"/>
                <w:highlight w:val="none"/>
              </w:rPr>
              <w:t>监测点位</w:t>
            </w:r>
          </w:p>
        </w:tc>
        <w:tc>
          <w:tcPr>
            <w:tcW w:w="3915" w:type="pct"/>
            <w:gridSpan w:val="8"/>
            <w:vAlign w:val="center"/>
          </w:tcPr>
          <w:p w14:paraId="16D2BBD0">
            <w:pPr>
              <w:pStyle w:val="24"/>
              <w:bidi w:val="0"/>
              <w:rPr>
                <w:rFonts w:ascii="Times New Roman" w:hAnsi="Times New Roman" w:eastAsia="宋体"/>
                <w:b/>
                <w:bCs/>
                <w:color w:val="auto"/>
                <w:highlight w:val="none"/>
              </w:rPr>
            </w:pPr>
            <w:r>
              <w:rPr>
                <w:rFonts w:hint="eastAsia" w:ascii="Times New Roman" w:hAnsi="Times New Roman" w:eastAsia="宋体"/>
                <w:b/>
                <w:bCs/>
                <w:color w:val="auto"/>
                <w:highlight w:val="none"/>
              </w:rPr>
              <w:t>评价</w:t>
            </w:r>
            <w:r>
              <w:rPr>
                <w:rFonts w:ascii="Times New Roman" w:hAnsi="Times New Roman" w:eastAsia="宋体"/>
                <w:b/>
                <w:bCs/>
                <w:color w:val="auto"/>
                <w:highlight w:val="none"/>
              </w:rPr>
              <w:t>结果[dB（A）]</w:t>
            </w:r>
          </w:p>
        </w:tc>
      </w:tr>
      <w:tr w14:paraId="0605C9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332" w:type="pct"/>
            <w:vMerge w:val="continue"/>
            <w:vAlign w:val="center"/>
          </w:tcPr>
          <w:p w14:paraId="58D54412">
            <w:pPr>
              <w:pStyle w:val="24"/>
              <w:bidi w:val="0"/>
              <w:rPr>
                <w:rFonts w:ascii="Times New Roman" w:hAnsi="Times New Roman" w:eastAsia="宋体"/>
                <w:b/>
                <w:bCs/>
                <w:color w:val="auto"/>
                <w:highlight w:val="none"/>
              </w:rPr>
            </w:pPr>
          </w:p>
        </w:tc>
        <w:tc>
          <w:tcPr>
            <w:tcW w:w="751" w:type="pct"/>
            <w:vMerge w:val="continue"/>
            <w:vAlign w:val="center"/>
          </w:tcPr>
          <w:p w14:paraId="5CDA1233">
            <w:pPr>
              <w:pStyle w:val="24"/>
              <w:bidi w:val="0"/>
              <w:rPr>
                <w:rFonts w:ascii="Times New Roman" w:hAnsi="Times New Roman" w:eastAsia="宋体"/>
                <w:b/>
                <w:bCs/>
                <w:color w:val="auto"/>
                <w:highlight w:val="none"/>
              </w:rPr>
            </w:pPr>
          </w:p>
        </w:tc>
        <w:tc>
          <w:tcPr>
            <w:tcW w:w="1969" w:type="pct"/>
            <w:gridSpan w:val="4"/>
            <w:vAlign w:val="center"/>
          </w:tcPr>
          <w:p w14:paraId="3326FFE2">
            <w:pPr>
              <w:pStyle w:val="24"/>
              <w:bidi w:val="0"/>
              <w:ind w:left="0" w:leftChars="0"/>
              <w:rPr>
                <w:rFonts w:hint="default" w:ascii="Times New Roman" w:hAnsi="Times New Roman" w:eastAsia="宋体"/>
                <w:b/>
                <w:bCs/>
                <w:color w:val="auto"/>
                <w:highlight w:val="none"/>
                <w:lang w:val="en-US"/>
              </w:rPr>
            </w:pPr>
            <w:r>
              <w:rPr>
                <w:rFonts w:hint="eastAsia"/>
                <w:b/>
                <w:bCs/>
                <w:color w:val="auto"/>
                <w:highlight w:val="none"/>
                <w:lang w:val="en-US" w:eastAsia="zh-CN"/>
              </w:rPr>
              <w:t>2026年2月26日</w:t>
            </w:r>
          </w:p>
        </w:tc>
        <w:tc>
          <w:tcPr>
            <w:tcW w:w="1946" w:type="pct"/>
            <w:gridSpan w:val="4"/>
            <w:vAlign w:val="center"/>
          </w:tcPr>
          <w:p w14:paraId="2CBCC812">
            <w:pPr>
              <w:pStyle w:val="24"/>
              <w:bidi w:val="0"/>
              <w:ind w:left="0" w:leftChars="0"/>
              <w:rPr>
                <w:rFonts w:ascii="Times New Roman" w:hAnsi="Times New Roman" w:eastAsia="宋体"/>
                <w:b/>
                <w:bCs/>
                <w:color w:val="auto"/>
                <w:highlight w:val="none"/>
              </w:rPr>
            </w:pPr>
            <w:r>
              <w:rPr>
                <w:rFonts w:hint="eastAsia"/>
                <w:b/>
                <w:bCs/>
                <w:color w:val="auto"/>
                <w:highlight w:val="none"/>
                <w:lang w:val="en-US" w:eastAsia="zh-CN"/>
              </w:rPr>
              <w:t>2026年2月27日</w:t>
            </w:r>
          </w:p>
        </w:tc>
      </w:tr>
      <w:tr w14:paraId="672E60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 w:hRule="atLeast"/>
        </w:trPr>
        <w:tc>
          <w:tcPr>
            <w:tcW w:w="332" w:type="pct"/>
            <w:vMerge w:val="continue"/>
            <w:vAlign w:val="center"/>
          </w:tcPr>
          <w:p w14:paraId="5E10F0F7">
            <w:pPr>
              <w:pStyle w:val="24"/>
              <w:bidi w:val="0"/>
              <w:rPr>
                <w:rFonts w:ascii="Times New Roman" w:hAnsi="Times New Roman" w:eastAsia="宋体"/>
                <w:b/>
                <w:bCs/>
                <w:color w:val="auto"/>
                <w:highlight w:val="none"/>
              </w:rPr>
            </w:pPr>
          </w:p>
        </w:tc>
        <w:tc>
          <w:tcPr>
            <w:tcW w:w="751" w:type="pct"/>
            <w:vMerge w:val="continue"/>
            <w:vAlign w:val="center"/>
          </w:tcPr>
          <w:p w14:paraId="4E6F6CDD">
            <w:pPr>
              <w:pStyle w:val="24"/>
              <w:bidi w:val="0"/>
              <w:rPr>
                <w:rFonts w:ascii="Times New Roman" w:hAnsi="Times New Roman" w:eastAsia="宋体"/>
                <w:b/>
                <w:bCs/>
                <w:color w:val="auto"/>
                <w:highlight w:val="none"/>
              </w:rPr>
            </w:pPr>
          </w:p>
        </w:tc>
        <w:tc>
          <w:tcPr>
            <w:tcW w:w="490" w:type="pct"/>
            <w:vAlign w:val="center"/>
          </w:tcPr>
          <w:p w14:paraId="11A1C129">
            <w:pPr>
              <w:pStyle w:val="24"/>
              <w:bidi w:val="0"/>
              <w:rPr>
                <w:rFonts w:ascii="Times New Roman" w:hAnsi="Times New Roman" w:eastAsia="宋体"/>
                <w:b/>
                <w:bCs/>
                <w:color w:val="auto"/>
                <w:highlight w:val="none"/>
              </w:rPr>
            </w:pPr>
            <w:r>
              <w:rPr>
                <w:rFonts w:ascii="Times New Roman" w:hAnsi="Times New Roman" w:eastAsia="宋体"/>
                <w:b/>
                <w:bCs/>
                <w:color w:val="auto"/>
                <w:highlight w:val="none"/>
              </w:rPr>
              <w:t>昼间</w:t>
            </w:r>
          </w:p>
        </w:tc>
        <w:tc>
          <w:tcPr>
            <w:tcW w:w="490" w:type="pct"/>
            <w:vAlign w:val="center"/>
          </w:tcPr>
          <w:p w14:paraId="1C146170">
            <w:pPr>
              <w:pStyle w:val="24"/>
              <w:bidi w:val="0"/>
              <w:rPr>
                <w:rFonts w:ascii="Times New Roman" w:hAnsi="Times New Roman" w:eastAsia="宋体"/>
                <w:b/>
                <w:bCs/>
                <w:color w:val="auto"/>
                <w:highlight w:val="none"/>
              </w:rPr>
            </w:pPr>
            <w:r>
              <w:rPr>
                <w:rFonts w:hint="eastAsia" w:ascii="Times New Roman" w:hAnsi="Times New Roman" w:eastAsia="宋体"/>
                <w:b/>
                <w:bCs/>
                <w:color w:val="auto"/>
                <w:highlight w:val="none"/>
              </w:rPr>
              <w:t>结果</w:t>
            </w:r>
          </w:p>
        </w:tc>
        <w:tc>
          <w:tcPr>
            <w:tcW w:w="490" w:type="pct"/>
            <w:vAlign w:val="center"/>
          </w:tcPr>
          <w:p w14:paraId="41F9F297">
            <w:pPr>
              <w:pStyle w:val="24"/>
              <w:bidi w:val="0"/>
              <w:rPr>
                <w:rFonts w:ascii="Times New Roman" w:hAnsi="Times New Roman" w:eastAsia="宋体"/>
                <w:b/>
                <w:bCs/>
                <w:color w:val="auto"/>
                <w:highlight w:val="none"/>
              </w:rPr>
            </w:pPr>
            <w:r>
              <w:rPr>
                <w:rFonts w:ascii="Times New Roman" w:hAnsi="Times New Roman" w:eastAsia="宋体"/>
                <w:b/>
                <w:bCs/>
                <w:color w:val="auto"/>
                <w:highlight w:val="none"/>
              </w:rPr>
              <w:t>夜间</w:t>
            </w:r>
          </w:p>
        </w:tc>
        <w:tc>
          <w:tcPr>
            <w:tcW w:w="498" w:type="pct"/>
            <w:vAlign w:val="center"/>
          </w:tcPr>
          <w:p w14:paraId="1F705688">
            <w:pPr>
              <w:pStyle w:val="24"/>
              <w:bidi w:val="0"/>
              <w:rPr>
                <w:rFonts w:ascii="Times New Roman" w:hAnsi="Times New Roman" w:eastAsia="宋体"/>
                <w:b/>
                <w:bCs/>
                <w:color w:val="auto"/>
                <w:highlight w:val="none"/>
              </w:rPr>
            </w:pPr>
            <w:r>
              <w:rPr>
                <w:rFonts w:hint="eastAsia" w:ascii="Times New Roman" w:hAnsi="Times New Roman" w:eastAsia="宋体"/>
                <w:b/>
                <w:bCs/>
                <w:color w:val="auto"/>
                <w:highlight w:val="none"/>
              </w:rPr>
              <w:t>结果</w:t>
            </w:r>
          </w:p>
        </w:tc>
        <w:tc>
          <w:tcPr>
            <w:tcW w:w="477" w:type="pct"/>
            <w:vAlign w:val="center"/>
          </w:tcPr>
          <w:p w14:paraId="4B38062C">
            <w:pPr>
              <w:pStyle w:val="24"/>
              <w:bidi w:val="0"/>
              <w:rPr>
                <w:rFonts w:ascii="Times New Roman" w:hAnsi="Times New Roman" w:eastAsia="宋体"/>
                <w:b/>
                <w:bCs/>
                <w:color w:val="auto"/>
                <w:highlight w:val="none"/>
              </w:rPr>
            </w:pPr>
            <w:r>
              <w:rPr>
                <w:rFonts w:ascii="Times New Roman" w:hAnsi="Times New Roman" w:eastAsia="宋体"/>
                <w:b/>
                <w:bCs/>
                <w:color w:val="auto"/>
                <w:highlight w:val="none"/>
              </w:rPr>
              <w:t>昼间</w:t>
            </w:r>
          </w:p>
        </w:tc>
        <w:tc>
          <w:tcPr>
            <w:tcW w:w="490" w:type="pct"/>
            <w:vAlign w:val="center"/>
          </w:tcPr>
          <w:p w14:paraId="1DA4CF2E">
            <w:pPr>
              <w:pStyle w:val="24"/>
              <w:bidi w:val="0"/>
              <w:rPr>
                <w:rFonts w:ascii="Times New Roman" w:hAnsi="Times New Roman" w:eastAsia="宋体"/>
                <w:b/>
                <w:bCs/>
                <w:color w:val="auto"/>
                <w:highlight w:val="none"/>
              </w:rPr>
            </w:pPr>
            <w:r>
              <w:rPr>
                <w:rFonts w:hint="eastAsia" w:ascii="Times New Roman" w:hAnsi="Times New Roman" w:eastAsia="宋体"/>
                <w:b/>
                <w:bCs/>
                <w:color w:val="auto"/>
                <w:highlight w:val="none"/>
              </w:rPr>
              <w:t>结果</w:t>
            </w:r>
          </w:p>
        </w:tc>
        <w:tc>
          <w:tcPr>
            <w:tcW w:w="477" w:type="pct"/>
            <w:vAlign w:val="center"/>
          </w:tcPr>
          <w:p w14:paraId="5FCD42F5">
            <w:pPr>
              <w:pStyle w:val="24"/>
              <w:bidi w:val="0"/>
              <w:rPr>
                <w:rFonts w:ascii="Times New Roman" w:hAnsi="Times New Roman" w:eastAsia="宋体"/>
                <w:b/>
                <w:bCs/>
                <w:color w:val="auto"/>
                <w:highlight w:val="none"/>
              </w:rPr>
            </w:pPr>
            <w:r>
              <w:rPr>
                <w:rFonts w:ascii="Times New Roman" w:hAnsi="Times New Roman" w:eastAsia="宋体"/>
                <w:b/>
                <w:bCs/>
                <w:color w:val="auto"/>
                <w:highlight w:val="none"/>
              </w:rPr>
              <w:t>夜间</w:t>
            </w:r>
          </w:p>
        </w:tc>
        <w:tc>
          <w:tcPr>
            <w:tcW w:w="501" w:type="pct"/>
            <w:vAlign w:val="center"/>
          </w:tcPr>
          <w:p w14:paraId="0824C91E">
            <w:pPr>
              <w:pStyle w:val="24"/>
              <w:bidi w:val="0"/>
              <w:rPr>
                <w:rFonts w:ascii="Times New Roman" w:hAnsi="Times New Roman" w:eastAsia="宋体"/>
                <w:b/>
                <w:bCs/>
                <w:color w:val="auto"/>
                <w:highlight w:val="none"/>
              </w:rPr>
            </w:pPr>
            <w:r>
              <w:rPr>
                <w:rFonts w:hint="eastAsia" w:ascii="Times New Roman" w:hAnsi="Times New Roman" w:eastAsia="宋体"/>
                <w:b/>
                <w:bCs/>
                <w:color w:val="auto"/>
                <w:highlight w:val="none"/>
              </w:rPr>
              <w:t>结果</w:t>
            </w:r>
          </w:p>
        </w:tc>
      </w:tr>
      <w:tr w14:paraId="79E3F6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 w:hRule="atLeast"/>
        </w:trPr>
        <w:tc>
          <w:tcPr>
            <w:tcW w:w="633" w:type="dxa"/>
            <w:vAlign w:val="center"/>
          </w:tcPr>
          <w:p w14:paraId="4D47B594">
            <w:pPr>
              <w:pStyle w:val="24"/>
              <w:bidi w:val="0"/>
              <w:ind w:left="0" w:leftChars="0"/>
              <w:rPr>
                <w:rFonts w:ascii="Times New Roman" w:hAnsi="Times New Roman" w:eastAsia="宋体"/>
                <w:b w:val="0"/>
                <w:bCs w:val="0"/>
                <w:color w:val="auto"/>
                <w:highlight w:val="none"/>
              </w:rPr>
            </w:pPr>
            <w:r>
              <w:rPr>
                <w:rFonts w:hint="eastAsia"/>
                <w:color w:val="auto"/>
                <w:highlight w:val="none"/>
                <w:lang w:val="en-US" w:eastAsia="zh-CN"/>
              </w:rPr>
              <w:t>N</w:t>
            </w:r>
            <w:r>
              <w:rPr>
                <w:color w:val="auto"/>
                <w:highlight w:val="none"/>
              </w:rPr>
              <w:t>1</w:t>
            </w:r>
          </w:p>
        </w:tc>
        <w:tc>
          <w:tcPr>
            <w:tcW w:w="1430" w:type="dxa"/>
            <w:vAlign w:val="center"/>
          </w:tcPr>
          <w:p w14:paraId="12C21BFE">
            <w:pPr>
              <w:pStyle w:val="24"/>
              <w:bidi w:val="0"/>
              <w:ind w:left="0" w:leftChars="0"/>
              <w:rPr>
                <w:rFonts w:ascii="Times New Roman" w:hAnsi="Times New Roman" w:eastAsia="宋体"/>
                <w:b w:val="0"/>
                <w:bCs w:val="0"/>
                <w:color w:val="auto"/>
                <w:highlight w:val="none"/>
              </w:rPr>
            </w:pPr>
            <w:r>
              <w:rPr>
                <w:rFonts w:hint="eastAsia" w:ascii="Times New Roman" w:hAnsi="Times New Roman" w:eastAsia="宋体"/>
                <w:color w:val="auto"/>
                <w:highlight w:val="none"/>
              </w:rPr>
              <w:t>本项目北侧厂界外1m处</w:t>
            </w:r>
          </w:p>
        </w:tc>
        <w:tc>
          <w:tcPr>
            <w:tcW w:w="490" w:type="pct"/>
            <w:vAlign w:val="center"/>
          </w:tcPr>
          <w:p w14:paraId="7A40F13F">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56</w:t>
            </w:r>
          </w:p>
        </w:tc>
        <w:tc>
          <w:tcPr>
            <w:tcW w:w="490" w:type="pct"/>
            <w:shd w:val="clear" w:color="auto" w:fill="auto"/>
            <w:vAlign w:val="center"/>
          </w:tcPr>
          <w:p w14:paraId="359CA693">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90" w:type="pct"/>
            <w:shd w:val="clear" w:color="auto" w:fill="auto"/>
            <w:vAlign w:val="center"/>
          </w:tcPr>
          <w:p w14:paraId="253CF3C9">
            <w:pPr>
              <w:numPr>
                <w:ilvl w:val="0"/>
                <w:numId w:val="0"/>
              </w:numPr>
              <w:spacing w:line="240" w:lineRule="auto"/>
              <w:ind w:left="0" w:leftChars="0" w:firstLine="0" w:firstLineChars="0"/>
              <w:jc w:val="center"/>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45</w:t>
            </w:r>
          </w:p>
        </w:tc>
        <w:tc>
          <w:tcPr>
            <w:tcW w:w="498" w:type="pct"/>
            <w:shd w:val="clear" w:color="auto" w:fill="auto"/>
            <w:vAlign w:val="center"/>
          </w:tcPr>
          <w:p w14:paraId="46EF2B30">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77" w:type="pct"/>
            <w:vAlign w:val="center"/>
          </w:tcPr>
          <w:p w14:paraId="247FB571">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57</w:t>
            </w:r>
          </w:p>
        </w:tc>
        <w:tc>
          <w:tcPr>
            <w:tcW w:w="490" w:type="pct"/>
            <w:vAlign w:val="center"/>
          </w:tcPr>
          <w:p w14:paraId="36836762">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77" w:type="pct"/>
            <w:vAlign w:val="center"/>
          </w:tcPr>
          <w:p w14:paraId="2778F440">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46</w:t>
            </w:r>
          </w:p>
        </w:tc>
        <w:tc>
          <w:tcPr>
            <w:tcW w:w="501" w:type="pct"/>
            <w:vAlign w:val="center"/>
          </w:tcPr>
          <w:p w14:paraId="38F11620">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r>
      <w:tr w14:paraId="50DB61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3" w:type="dxa"/>
            <w:vAlign w:val="center"/>
          </w:tcPr>
          <w:p w14:paraId="4D7BC129">
            <w:pPr>
              <w:pStyle w:val="24"/>
              <w:bidi w:val="0"/>
              <w:ind w:left="0" w:leftChars="0"/>
              <w:rPr>
                <w:rFonts w:ascii="Times New Roman" w:hAnsi="Times New Roman" w:eastAsia="宋体"/>
                <w:b w:val="0"/>
                <w:bCs w:val="0"/>
                <w:color w:val="auto"/>
                <w:highlight w:val="none"/>
              </w:rPr>
            </w:pPr>
            <w:r>
              <w:rPr>
                <w:rFonts w:hint="eastAsia"/>
                <w:color w:val="auto"/>
                <w:highlight w:val="none"/>
                <w:lang w:val="en-US" w:eastAsia="zh-CN"/>
              </w:rPr>
              <w:t>N</w:t>
            </w:r>
            <w:r>
              <w:rPr>
                <w:color w:val="auto"/>
                <w:highlight w:val="none"/>
              </w:rPr>
              <w:t>2</w:t>
            </w:r>
          </w:p>
        </w:tc>
        <w:tc>
          <w:tcPr>
            <w:tcW w:w="1430" w:type="dxa"/>
            <w:vAlign w:val="center"/>
          </w:tcPr>
          <w:p w14:paraId="2D844C6E">
            <w:pPr>
              <w:pStyle w:val="24"/>
              <w:bidi w:val="0"/>
              <w:ind w:left="0" w:leftChars="0"/>
              <w:rPr>
                <w:rFonts w:ascii="Times New Roman" w:hAnsi="Times New Roman" w:eastAsia="宋体"/>
                <w:b w:val="0"/>
                <w:bCs w:val="0"/>
                <w:color w:val="auto"/>
                <w:highlight w:val="none"/>
              </w:rPr>
            </w:pPr>
            <w:r>
              <w:rPr>
                <w:rFonts w:hint="eastAsia" w:ascii="Times New Roman" w:hAnsi="Times New Roman" w:eastAsia="宋体"/>
                <w:color w:val="auto"/>
                <w:highlight w:val="none"/>
              </w:rPr>
              <w:t>本项目东侧厂界外1m处</w:t>
            </w:r>
          </w:p>
        </w:tc>
        <w:tc>
          <w:tcPr>
            <w:tcW w:w="490" w:type="pct"/>
            <w:vAlign w:val="center"/>
          </w:tcPr>
          <w:p w14:paraId="2699179D">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55</w:t>
            </w:r>
          </w:p>
        </w:tc>
        <w:tc>
          <w:tcPr>
            <w:tcW w:w="490" w:type="pct"/>
            <w:shd w:val="clear" w:color="auto" w:fill="auto"/>
            <w:vAlign w:val="center"/>
          </w:tcPr>
          <w:p w14:paraId="195028A5">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90" w:type="pct"/>
            <w:shd w:val="clear" w:color="auto" w:fill="auto"/>
            <w:vAlign w:val="center"/>
          </w:tcPr>
          <w:p w14:paraId="272A2BD7">
            <w:pPr>
              <w:numPr>
                <w:ilvl w:val="0"/>
                <w:numId w:val="0"/>
              </w:numPr>
              <w:spacing w:line="240" w:lineRule="auto"/>
              <w:ind w:left="0" w:leftChars="0" w:firstLine="0" w:firstLineChars="0"/>
              <w:jc w:val="center"/>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46</w:t>
            </w:r>
          </w:p>
        </w:tc>
        <w:tc>
          <w:tcPr>
            <w:tcW w:w="498" w:type="pct"/>
            <w:shd w:val="clear" w:color="auto" w:fill="auto"/>
            <w:vAlign w:val="center"/>
          </w:tcPr>
          <w:p w14:paraId="63E7D0CF">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77" w:type="pct"/>
            <w:vAlign w:val="center"/>
          </w:tcPr>
          <w:p w14:paraId="3EAA9D73">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55</w:t>
            </w:r>
          </w:p>
        </w:tc>
        <w:tc>
          <w:tcPr>
            <w:tcW w:w="490" w:type="pct"/>
            <w:vAlign w:val="center"/>
          </w:tcPr>
          <w:p w14:paraId="70CF5870">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77" w:type="pct"/>
            <w:vAlign w:val="center"/>
          </w:tcPr>
          <w:p w14:paraId="0E57C48E">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45</w:t>
            </w:r>
          </w:p>
        </w:tc>
        <w:tc>
          <w:tcPr>
            <w:tcW w:w="501" w:type="pct"/>
            <w:vAlign w:val="center"/>
          </w:tcPr>
          <w:p w14:paraId="0DC33C12">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r>
      <w:tr w14:paraId="13434D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3" w:type="dxa"/>
            <w:vAlign w:val="center"/>
          </w:tcPr>
          <w:p w14:paraId="124A1FE7">
            <w:pPr>
              <w:pStyle w:val="24"/>
              <w:bidi w:val="0"/>
              <w:ind w:left="0" w:leftChars="0"/>
              <w:rPr>
                <w:rFonts w:ascii="Times New Roman" w:hAnsi="Times New Roman" w:eastAsia="宋体"/>
                <w:b w:val="0"/>
                <w:bCs w:val="0"/>
                <w:color w:val="auto"/>
                <w:highlight w:val="none"/>
              </w:rPr>
            </w:pPr>
            <w:r>
              <w:rPr>
                <w:rFonts w:hint="eastAsia"/>
                <w:color w:val="auto"/>
                <w:highlight w:val="none"/>
                <w:lang w:val="en-US" w:eastAsia="zh-CN"/>
              </w:rPr>
              <w:t>N</w:t>
            </w:r>
            <w:r>
              <w:rPr>
                <w:color w:val="auto"/>
                <w:highlight w:val="none"/>
              </w:rPr>
              <w:t>3</w:t>
            </w:r>
          </w:p>
        </w:tc>
        <w:tc>
          <w:tcPr>
            <w:tcW w:w="1430" w:type="dxa"/>
            <w:vAlign w:val="center"/>
          </w:tcPr>
          <w:p w14:paraId="473646E5">
            <w:pPr>
              <w:pStyle w:val="24"/>
              <w:bidi w:val="0"/>
              <w:ind w:left="0" w:leftChars="0"/>
              <w:rPr>
                <w:rFonts w:ascii="Times New Roman" w:hAnsi="Times New Roman" w:eastAsia="宋体"/>
                <w:b w:val="0"/>
                <w:bCs w:val="0"/>
                <w:color w:val="auto"/>
                <w:highlight w:val="none"/>
              </w:rPr>
            </w:pPr>
            <w:r>
              <w:rPr>
                <w:rFonts w:hint="eastAsia" w:ascii="Times New Roman" w:hAnsi="Times New Roman" w:eastAsia="宋体"/>
                <w:color w:val="auto"/>
                <w:highlight w:val="none"/>
              </w:rPr>
              <w:t>本项目南侧厂界外1m处</w:t>
            </w:r>
          </w:p>
        </w:tc>
        <w:tc>
          <w:tcPr>
            <w:tcW w:w="490" w:type="pct"/>
            <w:vAlign w:val="center"/>
          </w:tcPr>
          <w:p w14:paraId="2DB79A2F">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56</w:t>
            </w:r>
          </w:p>
        </w:tc>
        <w:tc>
          <w:tcPr>
            <w:tcW w:w="490" w:type="pct"/>
            <w:shd w:val="clear" w:color="auto" w:fill="auto"/>
            <w:vAlign w:val="center"/>
          </w:tcPr>
          <w:p w14:paraId="38DFDBC1">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90" w:type="pct"/>
            <w:shd w:val="clear" w:color="auto" w:fill="auto"/>
            <w:vAlign w:val="center"/>
          </w:tcPr>
          <w:p w14:paraId="1A3A57DE">
            <w:pPr>
              <w:numPr>
                <w:ilvl w:val="0"/>
                <w:numId w:val="0"/>
              </w:numPr>
              <w:spacing w:line="240" w:lineRule="auto"/>
              <w:ind w:left="0" w:leftChars="0" w:firstLine="0" w:firstLineChars="0"/>
              <w:jc w:val="center"/>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44</w:t>
            </w:r>
          </w:p>
        </w:tc>
        <w:tc>
          <w:tcPr>
            <w:tcW w:w="498" w:type="pct"/>
            <w:shd w:val="clear" w:color="auto" w:fill="auto"/>
            <w:vAlign w:val="center"/>
          </w:tcPr>
          <w:p w14:paraId="5304F7D2">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77" w:type="pct"/>
            <w:vAlign w:val="center"/>
          </w:tcPr>
          <w:p w14:paraId="4EA9C3E8">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56</w:t>
            </w:r>
          </w:p>
        </w:tc>
        <w:tc>
          <w:tcPr>
            <w:tcW w:w="490" w:type="pct"/>
            <w:vAlign w:val="center"/>
          </w:tcPr>
          <w:p w14:paraId="0853A7E6">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77" w:type="pct"/>
            <w:vAlign w:val="center"/>
          </w:tcPr>
          <w:p w14:paraId="2F35C11D">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45</w:t>
            </w:r>
          </w:p>
        </w:tc>
        <w:tc>
          <w:tcPr>
            <w:tcW w:w="501" w:type="pct"/>
            <w:vAlign w:val="center"/>
          </w:tcPr>
          <w:p w14:paraId="3420CBFD">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r>
      <w:tr w14:paraId="73D2A9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3" w:type="dxa"/>
            <w:vAlign w:val="center"/>
          </w:tcPr>
          <w:p w14:paraId="66C22BE0">
            <w:pPr>
              <w:pStyle w:val="24"/>
              <w:bidi w:val="0"/>
              <w:ind w:left="0" w:leftChars="0"/>
              <w:rPr>
                <w:rFonts w:ascii="Times New Roman" w:hAnsi="Times New Roman" w:eastAsia="宋体"/>
                <w:b w:val="0"/>
                <w:bCs w:val="0"/>
                <w:color w:val="auto"/>
                <w:highlight w:val="none"/>
              </w:rPr>
            </w:pPr>
            <w:r>
              <w:rPr>
                <w:rFonts w:hint="eastAsia"/>
                <w:color w:val="auto"/>
                <w:highlight w:val="none"/>
                <w:lang w:val="en-US" w:eastAsia="zh-CN"/>
              </w:rPr>
              <w:t>N</w:t>
            </w:r>
            <w:r>
              <w:rPr>
                <w:color w:val="auto"/>
                <w:highlight w:val="none"/>
              </w:rPr>
              <w:t>4</w:t>
            </w:r>
          </w:p>
        </w:tc>
        <w:tc>
          <w:tcPr>
            <w:tcW w:w="1430" w:type="dxa"/>
            <w:vAlign w:val="center"/>
          </w:tcPr>
          <w:p w14:paraId="604A8DDC">
            <w:pPr>
              <w:pStyle w:val="24"/>
              <w:bidi w:val="0"/>
              <w:ind w:left="0" w:leftChars="0"/>
              <w:rPr>
                <w:rFonts w:ascii="Times New Roman" w:hAnsi="Times New Roman" w:eastAsia="宋体"/>
                <w:b w:val="0"/>
                <w:bCs w:val="0"/>
                <w:color w:val="auto"/>
                <w:highlight w:val="none"/>
              </w:rPr>
            </w:pPr>
            <w:r>
              <w:rPr>
                <w:rFonts w:hint="eastAsia" w:ascii="Times New Roman" w:hAnsi="Times New Roman" w:eastAsia="宋体"/>
                <w:color w:val="auto"/>
                <w:highlight w:val="none"/>
              </w:rPr>
              <w:t>本项目西侧厂界外1m处</w:t>
            </w:r>
          </w:p>
        </w:tc>
        <w:tc>
          <w:tcPr>
            <w:tcW w:w="490" w:type="pct"/>
            <w:vAlign w:val="center"/>
          </w:tcPr>
          <w:p w14:paraId="787713A0">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54</w:t>
            </w:r>
          </w:p>
        </w:tc>
        <w:tc>
          <w:tcPr>
            <w:tcW w:w="490" w:type="pct"/>
            <w:shd w:val="clear" w:color="auto" w:fill="auto"/>
            <w:vAlign w:val="center"/>
          </w:tcPr>
          <w:p w14:paraId="4F437978">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90" w:type="pct"/>
            <w:shd w:val="clear" w:color="auto" w:fill="auto"/>
            <w:vAlign w:val="center"/>
          </w:tcPr>
          <w:p w14:paraId="464D92FD">
            <w:pPr>
              <w:numPr>
                <w:ilvl w:val="0"/>
                <w:numId w:val="0"/>
              </w:numPr>
              <w:spacing w:line="240" w:lineRule="auto"/>
              <w:ind w:left="0" w:leftChars="0" w:firstLine="0" w:firstLineChars="0"/>
              <w:jc w:val="center"/>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45</w:t>
            </w:r>
          </w:p>
        </w:tc>
        <w:tc>
          <w:tcPr>
            <w:tcW w:w="498" w:type="pct"/>
            <w:shd w:val="clear" w:color="auto" w:fill="auto"/>
            <w:vAlign w:val="center"/>
          </w:tcPr>
          <w:p w14:paraId="3D81288D">
            <w:pPr>
              <w:pStyle w:val="24"/>
              <w:bidi w:val="0"/>
              <w:ind w:left="0" w:leftChars="0"/>
              <w:rPr>
                <w:rFonts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b w:val="0"/>
                <w:bCs w:val="0"/>
                <w:color w:val="auto"/>
                <w:highlight w:val="none"/>
              </w:rPr>
              <w:t>达标</w:t>
            </w:r>
          </w:p>
        </w:tc>
        <w:tc>
          <w:tcPr>
            <w:tcW w:w="477" w:type="pct"/>
            <w:vAlign w:val="center"/>
          </w:tcPr>
          <w:p w14:paraId="20DAE0BD">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57</w:t>
            </w:r>
          </w:p>
        </w:tc>
        <w:tc>
          <w:tcPr>
            <w:tcW w:w="490" w:type="pct"/>
            <w:vAlign w:val="center"/>
          </w:tcPr>
          <w:p w14:paraId="5401ABF7">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77" w:type="pct"/>
            <w:vAlign w:val="center"/>
          </w:tcPr>
          <w:p w14:paraId="3AA1AE57">
            <w:pPr>
              <w:numPr>
                <w:ilvl w:val="0"/>
                <w:numId w:val="0"/>
              </w:numPr>
              <w:spacing w:line="240" w:lineRule="auto"/>
              <w:ind w:left="0" w:leftChars="0" w:firstLine="0" w:firstLineChars="0"/>
              <w:jc w:val="center"/>
              <w:rPr>
                <w:rFonts w:ascii="Times New Roman" w:hAnsi="Times New Roman" w:eastAsia="宋体"/>
                <w:b w:val="0"/>
                <w:bCs w:val="0"/>
                <w:color w:val="auto"/>
                <w:highlight w:val="none"/>
              </w:rPr>
            </w:pPr>
            <w:r>
              <w:rPr>
                <w:rFonts w:hint="eastAsia" w:ascii="Times New Roman" w:hAnsi="Times New Roman" w:eastAsia="宋体" w:cs="Times New Roman"/>
                <w:color w:val="auto"/>
                <w:sz w:val="21"/>
                <w:szCs w:val="21"/>
                <w:highlight w:val="none"/>
                <w:vertAlign w:val="baseline"/>
                <w:lang w:val="en-US" w:eastAsia="zh-CN"/>
              </w:rPr>
              <w:t>46</w:t>
            </w:r>
          </w:p>
        </w:tc>
        <w:tc>
          <w:tcPr>
            <w:tcW w:w="501" w:type="pct"/>
            <w:vAlign w:val="center"/>
          </w:tcPr>
          <w:p w14:paraId="6B93E79D">
            <w:pPr>
              <w:pStyle w:val="24"/>
              <w:bidi w:val="0"/>
              <w:rPr>
                <w:rFonts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r>
      <w:tr w14:paraId="797862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53" w:hRule="atLeast"/>
        </w:trPr>
        <w:tc>
          <w:tcPr>
            <w:tcW w:w="633" w:type="dxa"/>
            <w:vAlign w:val="center"/>
          </w:tcPr>
          <w:p w14:paraId="6523330D">
            <w:pPr>
              <w:pStyle w:val="24"/>
              <w:bidi w:val="0"/>
              <w:ind w:left="0" w:leftChars="0"/>
              <w:rPr>
                <w:rFonts w:hint="eastAsia" w:ascii="Times New Roman" w:hAnsi="Times New Roman" w:eastAsia="宋体"/>
                <w:b w:val="0"/>
                <w:bCs w:val="0"/>
                <w:color w:val="auto"/>
                <w:highlight w:val="none"/>
                <w:lang w:val="en-US" w:eastAsia="zh-CN"/>
              </w:rPr>
            </w:pPr>
            <w:r>
              <w:rPr>
                <w:rFonts w:hint="eastAsia"/>
                <w:color w:val="auto"/>
                <w:highlight w:val="none"/>
                <w:lang w:val="en-US" w:eastAsia="zh-CN"/>
              </w:rPr>
              <w:t>N5</w:t>
            </w:r>
          </w:p>
        </w:tc>
        <w:tc>
          <w:tcPr>
            <w:tcW w:w="1430" w:type="dxa"/>
            <w:vAlign w:val="center"/>
          </w:tcPr>
          <w:p w14:paraId="37CF9723">
            <w:pPr>
              <w:pStyle w:val="24"/>
              <w:bidi w:val="0"/>
              <w:ind w:left="0" w:leftChars="0"/>
              <w:rPr>
                <w:rFonts w:hint="eastAsia" w:ascii="Times New Roman" w:hAnsi="Times New Roman" w:eastAsia="宋体"/>
                <w:b w:val="0"/>
                <w:bCs w:val="0"/>
                <w:color w:val="auto"/>
                <w:highlight w:val="none"/>
              </w:rPr>
            </w:pPr>
            <w:r>
              <w:rPr>
                <w:rFonts w:hint="eastAsia" w:ascii="Times New Roman" w:hAnsi="Times New Roman" w:eastAsia="宋体"/>
                <w:color w:val="auto"/>
                <w:highlight w:val="none"/>
                <w:lang w:val="en-US" w:eastAsia="zh-CN"/>
              </w:rPr>
              <w:t>本项目东北侧农户处</w:t>
            </w:r>
          </w:p>
        </w:tc>
        <w:tc>
          <w:tcPr>
            <w:tcW w:w="490" w:type="pct"/>
            <w:vAlign w:val="center"/>
          </w:tcPr>
          <w:p w14:paraId="61453A8E">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54</w:t>
            </w:r>
          </w:p>
        </w:tc>
        <w:tc>
          <w:tcPr>
            <w:tcW w:w="490" w:type="pct"/>
            <w:shd w:val="clear" w:color="auto" w:fill="auto"/>
            <w:vAlign w:val="center"/>
          </w:tcPr>
          <w:p w14:paraId="623A0391">
            <w:pPr>
              <w:pStyle w:val="24"/>
              <w:bidi w:val="0"/>
              <w:ind w:left="0" w:leftChars="0"/>
              <w:rPr>
                <w:rFonts w:hint="eastAsia"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90" w:type="pct"/>
            <w:shd w:val="clear" w:color="auto" w:fill="auto"/>
            <w:vAlign w:val="center"/>
          </w:tcPr>
          <w:p w14:paraId="36762356">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43</w:t>
            </w:r>
          </w:p>
        </w:tc>
        <w:tc>
          <w:tcPr>
            <w:tcW w:w="498" w:type="pct"/>
            <w:shd w:val="clear" w:color="auto" w:fill="auto"/>
            <w:vAlign w:val="center"/>
          </w:tcPr>
          <w:p w14:paraId="0DCACD15">
            <w:pPr>
              <w:pStyle w:val="24"/>
              <w:bidi w:val="0"/>
              <w:ind w:left="0" w:leftChars="0"/>
              <w:rPr>
                <w:rFonts w:hint="eastAsia"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77" w:type="pct"/>
            <w:vAlign w:val="center"/>
          </w:tcPr>
          <w:p w14:paraId="5201E065">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56</w:t>
            </w:r>
          </w:p>
        </w:tc>
        <w:tc>
          <w:tcPr>
            <w:tcW w:w="490" w:type="pct"/>
            <w:vAlign w:val="center"/>
          </w:tcPr>
          <w:p w14:paraId="22C7A0A0">
            <w:pPr>
              <w:pStyle w:val="24"/>
              <w:bidi w:val="0"/>
              <w:rPr>
                <w:rFonts w:hint="eastAsia"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c>
          <w:tcPr>
            <w:tcW w:w="477" w:type="pct"/>
            <w:vAlign w:val="center"/>
          </w:tcPr>
          <w:p w14:paraId="5C074626">
            <w:pPr>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44</w:t>
            </w:r>
          </w:p>
        </w:tc>
        <w:tc>
          <w:tcPr>
            <w:tcW w:w="501" w:type="pct"/>
            <w:vAlign w:val="center"/>
          </w:tcPr>
          <w:p w14:paraId="100739C4">
            <w:pPr>
              <w:pStyle w:val="24"/>
              <w:bidi w:val="0"/>
              <w:rPr>
                <w:rFonts w:hint="eastAsia" w:ascii="Times New Roman" w:hAnsi="Times New Roman" w:eastAsia="宋体"/>
                <w:b w:val="0"/>
                <w:bCs w:val="0"/>
                <w:color w:val="auto"/>
                <w:highlight w:val="none"/>
              </w:rPr>
            </w:pPr>
            <w:r>
              <w:rPr>
                <w:rFonts w:hint="eastAsia" w:ascii="Times New Roman" w:hAnsi="Times New Roman" w:eastAsia="宋体"/>
                <w:b w:val="0"/>
                <w:bCs w:val="0"/>
                <w:color w:val="auto"/>
                <w:highlight w:val="none"/>
              </w:rPr>
              <w:t>达标</w:t>
            </w:r>
          </w:p>
        </w:tc>
      </w:tr>
    </w:tbl>
    <w:p w14:paraId="0D740987">
      <w:pPr>
        <w:pStyle w:val="26"/>
        <w:bidi w:val="0"/>
        <w:rPr>
          <w:color w:val="auto"/>
          <w:highlight w:val="none"/>
        </w:rPr>
      </w:pPr>
      <w:r>
        <w:rPr>
          <w:rFonts w:hint="eastAsia" w:cs="Times New Roman"/>
          <w:color w:val="auto"/>
          <w:highlight w:val="none"/>
          <w:lang w:val="en-US" w:eastAsia="zh-CN"/>
        </w:rPr>
        <w:t>结果表明</w:t>
      </w:r>
      <w:r>
        <w:rPr>
          <w:rFonts w:hint="default" w:ascii="Times New Roman" w:hAnsi="Times New Roman" w:cs="Times New Roman"/>
          <w:color w:val="auto"/>
          <w:highlight w:val="none"/>
          <w:lang w:val="en-US" w:eastAsia="zh-CN"/>
        </w:rPr>
        <w:t>，评价区域</w:t>
      </w:r>
      <w:r>
        <w:rPr>
          <w:rFonts w:hint="eastAsia"/>
          <w:color w:val="auto"/>
          <w:sz w:val="24"/>
          <w:szCs w:val="24"/>
          <w:lang w:val="en-US" w:eastAsia="zh-CN"/>
        </w:rPr>
        <w:t>N1~N4</w:t>
      </w:r>
      <w:r>
        <w:rPr>
          <w:rFonts w:hint="eastAsia"/>
          <w:color w:val="auto"/>
          <w:highlight w:val="none"/>
          <w:lang w:val="en-US" w:eastAsia="zh-CN"/>
        </w:rPr>
        <w:t>监测点</w:t>
      </w:r>
      <w:r>
        <w:rPr>
          <w:color w:val="auto"/>
          <w:highlight w:val="none"/>
        </w:rPr>
        <w:t>噪声</w:t>
      </w:r>
      <w:r>
        <w:rPr>
          <w:rFonts w:hint="eastAsia"/>
          <w:color w:val="auto"/>
          <w:highlight w:val="none"/>
          <w:lang w:val="en-US" w:eastAsia="zh-CN"/>
        </w:rPr>
        <w:t>监测值满足</w:t>
      </w:r>
      <w:r>
        <w:rPr>
          <w:color w:val="auto"/>
          <w:sz w:val="24"/>
          <w:szCs w:val="24"/>
        </w:rPr>
        <w:t>《声环境质量标准》（GB3096-2008）3类标准</w:t>
      </w:r>
      <w:r>
        <w:rPr>
          <w:rFonts w:hint="eastAsia"/>
          <w:color w:val="auto"/>
          <w:sz w:val="24"/>
          <w:szCs w:val="24"/>
          <w:lang w:eastAsia="zh-CN"/>
        </w:rPr>
        <w:t>；</w:t>
      </w:r>
      <w:r>
        <w:rPr>
          <w:rFonts w:hint="eastAsia"/>
          <w:color w:val="auto"/>
          <w:sz w:val="24"/>
          <w:szCs w:val="24"/>
          <w:lang w:val="en-US" w:eastAsia="zh-CN"/>
        </w:rPr>
        <w:t>N5</w:t>
      </w:r>
      <w:r>
        <w:rPr>
          <w:rFonts w:hint="eastAsia"/>
          <w:color w:val="auto"/>
          <w:highlight w:val="none"/>
          <w:lang w:val="en-US" w:eastAsia="zh-CN"/>
        </w:rPr>
        <w:t>监测点</w:t>
      </w:r>
      <w:r>
        <w:rPr>
          <w:color w:val="auto"/>
          <w:highlight w:val="none"/>
        </w:rPr>
        <w:t>噪声</w:t>
      </w:r>
      <w:r>
        <w:rPr>
          <w:rFonts w:hint="eastAsia"/>
          <w:color w:val="auto"/>
          <w:highlight w:val="none"/>
          <w:lang w:val="en-US" w:eastAsia="zh-CN"/>
        </w:rPr>
        <w:t>监测值</w:t>
      </w:r>
      <w:r>
        <w:rPr>
          <w:color w:val="auto"/>
          <w:sz w:val="24"/>
          <w:szCs w:val="24"/>
        </w:rPr>
        <w:t>《声环境质量标准》（GB3096-2008）</w:t>
      </w:r>
      <w:r>
        <w:rPr>
          <w:rFonts w:hint="eastAsia"/>
          <w:color w:val="auto"/>
          <w:sz w:val="24"/>
          <w:szCs w:val="24"/>
          <w:lang w:val="en-US" w:eastAsia="zh-CN"/>
        </w:rPr>
        <w:t>2</w:t>
      </w:r>
      <w:r>
        <w:rPr>
          <w:color w:val="auto"/>
          <w:sz w:val="24"/>
          <w:szCs w:val="24"/>
        </w:rPr>
        <w:t>类标准</w:t>
      </w:r>
      <w:r>
        <w:rPr>
          <w:rFonts w:hint="eastAsia"/>
          <w:color w:val="auto"/>
          <w:highlight w:val="none"/>
        </w:rPr>
        <w:t>。</w:t>
      </w:r>
    </w:p>
    <w:p w14:paraId="638B1BFA">
      <w:pPr>
        <w:pStyle w:val="4"/>
        <w:bidi w:val="0"/>
        <w:rPr>
          <w:rFonts w:hint="default" w:ascii="Times New Roman" w:hAnsi="Times New Roman" w:cs="Times New Roman"/>
          <w:color w:val="auto"/>
          <w:highlight w:val="none"/>
        </w:rPr>
      </w:pPr>
      <w:bookmarkStart w:id="122" w:name="_Toc15405"/>
      <w:r>
        <w:rPr>
          <w:rFonts w:hint="default" w:ascii="Times New Roman" w:hAnsi="Times New Roman" w:cs="Times New Roman"/>
          <w:color w:val="auto"/>
          <w:highlight w:val="none"/>
        </w:rPr>
        <w:t>生态环境质量现状评价</w:t>
      </w:r>
      <w:bookmarkEnd w:id="122"/>
    </w:p>
    <w:p w14:paraId="6B00B581">
      <w:pPr>
        <w:pStyle w:val="26"/>
        <w:pageBreakBefore w:val="0"/>
        <w:widowControl w:val="0"/>
        <w:kinsoku/>
        <w:wordWrap/>
        <w:overflowPunct/>
        <w:topLinePunct w:val="0"/>
        <w:autoSpaceDE/>
        <w:autoSpaceDN/>
        <w:bidi w:val="0"/>
        <w:adjustRightInd/>
        <w:snapToGrid w:val="0"/>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根据《环境影响评价技术导则 生态影响》（HJ 19-2022），</w:t>
      </w:r>
      <w:r>
        <w:rPr>
          <w:rFonts w:hint="default" w:ascii="Times New Roman" w:hAnsi="Times New Roman" w:cs="Times New Roman"/>
          <w:color w:val="auto"/>
          <w:highlight w:val="none"/>
        </w:rPr>
        <w:t>位于已批准规划环评的产业园区内且符合规划环评要求、不涉及生态敏感区的污染影响类建设项目，可不确定评价等级，直接进行生态影响简单分析。</w:t>
      </w:r>
    </w:p>
    <w:p w14:paraId="0F7143F9">
      <w:pPr>
        <w:pStyle w:val="26"/>
        <w:pageBreakBefore w:val="0"/>
        <w:widowControl w:val="0"/>
        <w:kinsoku/>
        <w:wordWrap/>
        <w:overflowPunct/>
        <w:topLinePunct w:val="0"/>
        <w:autoSpaceDE/>
        <w:autoSpaceDN/>
        <w:bidi w:val="0"/>
        <w:adjustRightInd/>
        <w:snapToGrid w:val="0"/>
        <w:ind w:firstLine="480"/>
        <w:textAlignment w:val="auto"/>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highlight w:val="none"/>
        </w:rPr>
        <w:t>本项目位于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default" w:ascii="Times New Roman" w:hAnsi="Times New Roman" w:cs="Times New Roman"/>
          <w:color w:val="auto"/>
          <w:highlight w:val="none"/>
        </w:rPr>
        <w:t>，项目所在区域人类活动频繁，不存在原生植被。根据调查，本项目所在区域</w:t>
      </w:r>
      <w:r>
        <w:rPr>
          <w:rFonts w:hint="eastAsia" w:cs="Times New Roman"/>
          <w:color w:val="auto"/>
          <w:highlight w:val="none"/>
          <w:lang w:val="en-US" w:eastAsia="zh-CN"/>
        </w:rPr>
        <w:t>内</w:t>
      </w:r>
      <w:r>
        <w:rPr>
          <w:rFonts w:hint="default" w:ascii="Times New Roman" w:hAnsi="Times New Roman" w:cs="Times New Roman"/>
          <w:color w:val="auto"/>
          <w:highlight w:val="none"/>
        </w:rPr>
        <w:t>无自然保护区、风景名胜区等，无列入国家及地方保护名录的珍稀濒危动植物及古、大、珍、奇树木分布</w:t>
      </w:r>
      <w:r>
        <w:rPr>
          <w:rFonts w:hint="eastAsia" w:cs="Times New Roman"/>
          <w:color w:val="auto"/>
          <w:highlight w:val="none"/>
          <w:lang w:eastAsia="zh-CN"/>
        </w:rPr>
        <w:t>。</w:t>
      </w:r>
    </w:p>
    <w:p w14:paraId="5E4A93A2">
      <w:pPr>
        <w:adjustRightInd w:val="0"/>
        <w:snapToGrid w:val="0"/>
        <w:spacing w:line="360" w:lineRule="auto"/>
        <w:ind w:left="0" w:leftChars="0" w:firstLine="480" w:firstLineChars="200"/>
        <w:jc w:val="left"/>
        <w:rPr>
          <w:rFonts w:hint="default" w:ascii="Times New Roman" w:hAnsi="Times New Roman" w:eastAsia="宋体" w:cs="Times New Roman"/>
          <w:color w:val="auto"/>
          <w:szCs w:val="20"/>
          <w:lang w:val="en-US" w:eastAsia="zh-CN"/>
        </w:rPr>
      </w:pPr>
    </w:p>
    <w:p w14:paraId="7F8EADF6">
      <w:pPr>
        <w:pStyle w:val="44"/>
        <w:bidi w:val="0"/>
        <w:rPr>
          <w:rFonts w:hint="default" w:ascii="Times New Roman" w:hAnsi="Times New Roman" w:cs="Times New Roman"/>
          <w:color w:val="auto"/>
          <w:highlight w:val="none"/>
        </w:rPr>
      </w:pPr>
    </w:p>
    <w:p w14:paraId="7BF9D386">
      <w:pPr>
        <w:pStyle w:val="44"/>
        <w:bidi w:val="0"/>
        <w:rPr>
          <w:rFonts w:hint="default" w:ascii="Times New Roman" w:hAnsi="Times New Roman" w:cs="Times New Roman"/>
          <w:color w:val="auto"/>
          <w:highlight w:val="none"/>
        </w:rPr>
      </w:pPr>
    </w:p>
    <w:p w14:paraId="18FB54BC">
      <w:pPr>
        <w:pStyle w:val="2"/>
        <w:numPr>
          <w:ilvl w:val="0"/>
          <w:numId w:val="0"/>
        </w:numPr>
        <w:ind w:leftChars="0"/>
        <w:rPr>
          <w:rFonts w:hint="default" w:ascii="Times New Roman" w:hAnsi="Times New Roman" w:cs="Times New Roman"/>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313C5197">
      <w:pPr>
        <w:pStyle w:val="2"/>
        <w:rPr>
          <w:rFonts w:hint="default" w:ascii="Times New Roman" w:hAnsi="Times New Roman" w:cs="Times New Roman"/>
          <w:color w:val="auto"/>
          <w:highlight w:val="none"/>
        </w:rPr>
      </w:pPr>
      <w:bookmarkStart w:id="123" w:name="_Toc29587"/>
      <w:r>
        <w:rPr>
          <w:rFonts w:hint="default" w:ascii="Times New Roman" w:hAnsi="Times New Roman" w:cs="Times New Roman"/>
          <w:color w:val="auto"/>
          <w:highlight w:val="none"/>
        </w:rPr>
        <w:t>环境影响预测与评价</w:t>
      </w:r>
      <w:bookmarkEnd w:id="85"/>
      <w:bookmarkEnd w:id="86"/>
      <w:bookmarkEnd w:id="87"/>
      <w:bookmarkEnd w:id="123"/>
    </w:p>
    <w:p w14:paraId="40DF695D">
      <w:pPr>
        <w:pStyle w:val="3"/>
        <w:tabs>
          <w:tab w:val="left" w:pos="-105"/>
        </w:tabs>
        <w:rPr>
          <w:rFonts w:hint="default" w:ascii="Times New Roman" w:hAnsi="Times New Roman" w:cs="Times New Roman"/>
          <w:color w:val="auto"/>
          <w:highlight w:val="none"/>
        </w:rPr>
      </w:pPr>
      <w:bookmarkStart w:id="124" w:name="_Toc14897"/>
      <w:bookmarkStart w:id="125" w:name="_Toc11583"/>
      <w:bookmarkStart w:id="126" w:name="_Toc12266"/>
      <w:r>
        <w:rPr>
          <w:rFonts w:hint="default" w:ascii="Times New Roman" w:hAnsi="Times New Roman" w:cs="Times New Roman"/>
          <w:color w:val="auto"/>
          <w:highlight w:val="none"/>
        </w:rPr>
        <w:t>施工期环境影响评价</w:t>
      </w:r>
      <w:bookmarkEnd w:id="124"/>
      <w:bookmarkEnd w:id="125"/>
      <w:bookmarkEnd w:id="126"/>
    </w:p>
    <w:p w14:paraId="1155957A">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大气环境影响分析</w:t>
      </w:r>
    </w:p>
    <w:p w14:paraId="23635160">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1、施工扬尘</w:t>
      </w:r>
    </w:p>
    <w:p w14:paraId="588FA724">
      <w:pPr>
        <w:bidi w:val="0"/>
        <w:ind w:left="0" w:leftChars="0" w:firstLine="480" w:firstLineChars="200"/>
        <w:rPr>
          <w:color w:val="auto"/>
        </w:rPr>
      </w:pPr>
      <w:r>
        <w:rPr>
          <w:color w:val="auto"/>
        </w:rPr>
        <w:t>工程施工期间，运输车辆、基础开挖、回填、建材运输、装卸、室内装修等均可能产生扬尘。施工场地的扬尘主要是由运输车辆行驶产生，约占扬尘总量的60%，与道路路面及车辆行驶速度有关，限制车辆行驶速度和保持路面清洁是减少汽车扬尘产生量的有效手段。洒水是抑制扬尘产生的简洁有效的方法，若施工期对路面每天洒水4~5次，可使扬尘减少70%左右，对施工场地实施洒水，可有效控制施工扬尘产生量，TSP污染范围将缩小至20~50m范围内。</w:t>
      </w:r>
    </w:p>
    <w:p w14:paraId="343B6B55">
      <w:pPr>
        <w:bidi w:val="0"/>
        <w:ind w:left="0" w:leftChars="0" w:firstLine="480" w:firstLineChars="200"/>
        <w:rPr>
          <w:color w:val="auto"/>
        </w:rPr>
      </w:pPr>
      <w:r>
        <w:rPr>
          <w:color w:val="auto"/>
        </w:rPr>
        <w:t>本项目施工期严格按照《住房和城乡建设部办公厅关于进一步加强施工工地和道路扬尘管控工作的通知》（建办质</w:t>
      </w:r>
      <w:r>
        <w:rPr>
          <w:rFonts w:hint="eastAsia"/>
          <w:color w:val="auto"/>
          <w:lang w:eastAsia="zh-CN"/>
        </w:rPr>
        <w:t>〔</w:t>
      </w:r>
      <w:r>
        <w:rPr>
          <w:rFonts w:hint="eastAsia"/>
          <w:color w:val="auto"/>
          <w:lang w:val="en-US" w:eastAsia="zh-CN"/>
        </w:rPr>
        <w:t>2019</w:t>
      </w:r>
      <w:r>
        <w:rPr>
          <w:rFonts w:hint="eastAsia"/>
          <w:color w:val="auto"/>
          <w:lang w:eastAsia="zh-CN"/>
        </w:rPr>
        <w:t>〕</w:t>
      </w:r>
      <w:r>
        <w:rPr>
          <w:color w:val="auto"/>
        </w:rPr>
        <w:t>23号）</w:t>
      </w:r>
      <w:r>
        <w:rPr>
          <w:rFonts w:hint="eastAsia"/>
          <w:color w:val="auto"/>
          <w:lang w:val="en-US" w:eastAsia="zh-CN"/>
        </w:rPr>
        <w:t>和</w:t>
      </w:r>
      <w:r>
        <w:rPr>
          <w:color w:val="auto"/>
        </w:rPr>
        <w:t>《四川省建筑工程扬尘污染防治技术导则（试行）》（川建发</w:t>
      </w:r>
      <w:r>
        <w:rPr>
          <w:rFonts w:hint="eastAsia"/>
          <w:color w:val="auto"/>
          <w:lang w:eastAsia="zh-CN"/>
        </w:rPr>
        <w:t>〔</w:t>
      </w:r>
      <w:r>
        <w:rPr>
          <w:rFonts w:hint="eastAsia"/>
          <w:color w:val="auto"/>
          <w:lang w:val="en-US" w:eastAsia="zh-CN"/>
        </w:rPr>
        <w:t>2019</w:t>
      </w:r>
      <w:r>
        <w:rPr>
          <w:rFonts w:hint="eastAsia"/>
          <w:color w:val="auto"/>
          <w:lang w:eastAsia="zh-CN"/>
        </w:rPr>
        <w:t>〕</w:t>
      </w:r>
      <w:r>
        <w:rPr>
          <w:color w:val="auto"/>
        </w:rPr>
        <w:t>16号）的有关要求，采取封闭施工现场、地面硬化、设置雾状喷淋、冲洗、覆盖等防尘降尘设施，可大大减少施工扬尘对环境空气的影响。为进一步加大扬尘的污染防治力度，建设单位进一步落实以下施工要求：</w:t>
      </w:r>
    </w:p>
    <w:p w14:paraId="5CCD51F6">
      <w:pPr>
        <w:bidi w:val="0"/>
        <w:ind w:left="0" w:leftChars="0" w:firstLine="480" w:firstLineChars="200"/>
        <w:rPr>
          <w:color w:val="auto"/>
        </w:rPr>
      </w:pPr>
      <w:r>
        <w:rPr>
          <w:color w:val="auto"/>
        </w:rPr>
        <w:t>（1）风速四级以上易产生扬尘时，暂时停止土方开挖，及其他易产生扬尘的作业。</w:t>
      </w:r>
    </w:p>
    <w:p w14:paraId="0B8D4F59">
      <w:pPr>
        <w:bidi w:val="0"/>
        <w:ind w:left="0" w:leftChars="0" w:firstLine="480" w:firstLineChars="200"/>
        <w:rPr>
          <w:color w:val="auto"/>
        </w:rPr>
      </w:pPr>
      <w:r>
        <w:rPr>
          <w:color w:val="auto"/>
        </w:rPr>
        <w:t>（2）施工场地不得设置搅拌机或人工搅拌，</w:t>
      </w:r>
      <w:r>
        <w:rPr>
          <w:rFonts w:hint="eastAsia"/>
          <w:color w:val="auto"/>
          <w:lang w:val="en-US" w:eastAsia="zh-CN"/>
        </w:rPr>
        <w:t>可</w:t>
      </w:r>
      <w:r>
        <w:rPr>
          <w:color w:val="auto"/>
        </w:rPr>
        <w:t>有效避免扬尘的产生。</w:t>
      </w:r>
    </w:p>
    <w:p w14:paraId="617F0321">
      <w:pPr>
        <w:bidi w:val="0"/>
        <w:ind w:left="0" w:leftChars="0" w:firstLine="480" w:firstLineChars="200"/>
        <w:rPr>
          <w:color w:val="auto"/>
        </w:rPr>
      </w:pPr>
      <w:r>
        <w:rPr>
          <w:color w:val="auto"/>
        </w:rPr>
        <w:t>（3）施工期间严禁抛撒建筑垃圾，建筑垃圾应及时清运并在指定的垃圾处置场处置。</w:t>
      </w:r>
    </w:p>
    <w:p w14:paraId="1C0DECEC">
      <w:pPr>
        <w:bidi w:val="0"/>
        <w:ind w:left="0" w:leftChars="0" w:firstLine="480" w:firstLineChars="200"/>
        <w:rPr>
          <w:color w:val="auto"/>
        </w:rPr>
      </w:pPr>
      <w:r>
        <w:rPr>
          <w:color w:val="auto"/>
        </w:rPr>
        <w:t>（4）施工场地运输车辆驶出前使用冲洗设施冲洗轮胎，防止携带泥土驶出施工现场。</w:t>
      </w:r>
    </w:p>
    <w:p w14:paraId="76DEAEFD">
      <w:pPr>
        <w:bidi w:val="0"/>
        <w:ind w:left="0" w:leftChars="0" w:firstLine="480" w:firstLineChars="200"/>
        <w:rPr>
          <w:color w:val="auto"/>
        </w:rPr>
      </w:pPr>
      <w:r>
        <w:rPr>
          <w:color w:val="auto"/>
        </w:rPr>
        <w:t>（5）运输沙、石、水泥、土方、垃圾等易产生扬尘物质的车辆，采取封闭运输作业，严禁撒漏。</w:t>
      </w:r>
    </w:p>
    <w:p w14:paraId="31AF6C7F">
      <w:pPr>
        <w:bidi w:val="0"/>
        <w:ind w:left="0" w:leftChars="0" w:firstLine="480" w:firstLineChars="200"/>
        <w:rPr>
          <w:rFonts w:hint="default"/>
          <w:b w:val="0"/>
          <w:bCs w:val="0"/>
          <w:color w:val="auto"/>
          <w:highlight w:val="none"/>
        </w:rPr>
      </w:pPr>
      <w:r>
        <w:rPr>
          <w:rFonts w:cs="Times New Roman"/>
          <w:b w:val="0"/>
          <w:bCs w:val="0"/>
          <w:color w:val="auto"/>
          <w:highlight w:val="none"/>
        </w:rPr>
        <w:t>同时，</w:t>
      </w:r>
      <w:r>
        <w:rPr>
          <w:rFonts w:hint="default" w:cs="Times New Roman"/>
          <w:b w:val="0"/>
          <w:bCs w:val="0"/>
          <w:color w:val="auto"/>
          <w:highlight w:val="none"/>
        </w:rPr>
        <w:t>施工单位</w:t>
      </w:r>
      <w:r>
        <w:rPr>
          <w:rFonts w:hint="eastAsia" w:cs="Times New Roman"/>
          <w:b w:val="0"/>
          <w:bCs w:val="0"/>
          <w:color w:val="auto"/>
          <w:highlight w:val="none"/>
          <w:lang w:val="en-US" w:eastAsia="zh-CN"/>
        </w:rPr>
        <w:t>必须</w:t>
      </w:r>
      <w:r>
        <w:rPr>
          <w:rFonts w:hint="default" w:cs="Times New Roman"/>
          <w:b w:val="0"/>
          <w:bCs w:val="0"/>
          <w:color w:val="auto"/>
          <w:highlight w:val="none"/>
        </w:rPr>
        <w:t>加强施工场地扬尘的控制，全面督查建筑工地现场管理“六必须”、“六不准”的执行情况，即：必须打围作业、必须硬化道路、必须设置冲洗设施、必须湿法作业、必须配齐保洁人员、必须定时清扫施工现场；不准车辆带泥出门，不准运渣车辆冒顶装载、不准高空抛撒建渣、不准现场搅拌混凝土、不准场地积水、不准现场焚烧废弃物。施工单位必须严格按照《关于印发四川省建筑工程扬尘污染防治技术导则（试行）的通知》（川建发</w:t>
      </w:r>
      <w:r>
        <w:rPr>
          <w:rFonts w:hint="eastAsia" w:cs="Times New Roman"/>
          <w:color w:val="auto"/>
          <w:sz w:val="24"/>
          <w:lang w:eastAsia="zh-CN"/>
        </w:rPr>
        <w:t>〔</w:t>
      </w:r>
      <w:r>
        <w:rPr>
          <w:rFonts w:hint="default" w:ascii="Times New Roman" w:hAnsi="Times New Roman" w:eastAsia="宋体" w:cs="Times New Roman"/>
          <w:color w:val="auto"/>
          <w:sz w:val="24"/>
        </w:rPr>
        <w:t>2019</w:t>
      </w:r>
      <w:r>
        <w:rPr>
          <w:rFonts w:hint="eastAsia" w:cs="Times New Roman"/>
          <w:color w:val="auto"/>
          <w:sz w:val="24"/>
          <w:lang w:eastAsia="zh-CN"/>
        </w:rPr>
        <w:t>〕</w:t>
      </w:r>
      <w:r>
        <w:rPr>
          <w:rFonts w:hint="default" w:cs="Times New Roman"/>
          <w:b w:val="0"/>
          <w:bCs w:val="0"/>
          <w:color w:val="auto"/>
          <w:highlight w:val="none"/>
        </w:rPr>
        <w:t>16号）中要求，严格落实“六个百分百”要求，包括：工地周边围挡、物料堆放覆盖、出入车辆冲洗、施工现场道路及材料堆场硬化、工地湿法作业及渣土车辆密闭运输，并严格执行《</w:t>
      </w:r>
      <w:r>
        <w:rPr>
          <w:rFonts w:hint="eastAsia" w:cs="Times New Roman"/>
          <w:b w:val="0"/>
          <w:bCs w:val="0"/>
          <w:color w:val="auto"/>
          <w:highlight w:val="none"/>
          <w:lang w:eastAsia="zh-CN"/>
        </w:rPr>
        <w:t>巴中市扬尘污染防治条例</w:t>
      </w:r>
      <w:r>
        <w:rPr>
          <w:rFonts w:hint="default" w:cs="Times New Roman"/>
          <w:b w:val="0"/>
          <w:bCs w:val="0"/>
          <w:color w:val="auto"/>
          <w:highlight w:val="none"/>
        </w:rPr>
        <w:t>》（2021年1月1日起）。同时施工期扬尘执行《四川省施工场地扬尘排放标准》（DB51/2682-2020）表1标准限值。</w:t>
      </w:r>
    </w:p>
    <w:p w14:paraId="0E1747C6">
      <w:pPr>
        <w:bidi w:val="0"/>
        <w:ind w:left="0" w:leftChars="0" w:firstLine="480" w:firstLineChars="200"/>
        <w:rPr>
          <w:rFonts w:hint="default"/>
          <w:color w:val="auto"/>
        </w:rPr>
      </w:pPr>
      <w:r>
        <w:rPr>
          <w:color w:val="auto"/>
        </w:rPr>
        <w:t>因此，施工期只要落实以上扬尘防治措施，加强施工管理，</w:t>
      </w:r>
      <w:r>
        <w:rPr>
          <w:rFonts w:hint="eastAsia"/>
          <w:color w:val="auto"/>
          <w:lang w:val="en-US" w:eastAsia="zh-CN"/>
        </w:rPr>
        <w:t>可</w:t>
      </w:r>
      <w:r>
        <w:rPr>
          <w:color w:val="auto"/>
        </w:rPr>
        <w:t>有效抑制扬尘产生，扬尘排放浓度能满足《四川省施工场地扬尘排放标准》（DB51/2682-2020）中各施工阶段排放限值，防止施工扬尘对区域大气环境的影响。</w:t>
      </w:r>
    </w:p>
    <w:p w14:paraId="54D810BA">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2、施工机械废气</w:t>
      </w:r>
    </w:p>
    <w:p w14:paraId="32DABE9E">
      <w:pPr>
        <w:bidi w:val="0"/>
        <w:ind w:left="0" w:leftChars="0" w:firstLine="480" w:firstLineChars="200"/>
        <w:rPr>
          <w:rFonts w:hint="default"/>
          <w:color w:val="auto"/>
          <w:lang w:val="en-US" w:eastAsia="zh-CN"/>
        </w:rPr>
      </w:pPr>
      <w:r>
        <w:rPr>
          <w:color w:val="auto"/>
        </w:rPr>
        <w:t>施工期机械废气属间断性无组织排放，特点是排放量小，加之施工场地开阔，扩散条件良好，可达到相应的排放标准，不会对环境造成影响。</w:t>
      </w:r>
    </w:p>
    <w:p w14:paraId="3866B864">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3、装修废气</w:t>
      </w:r>
    </w:p>
    <w:p w14:paraId="7D1C869C">
      <w:pPr>
        <w:bidi w:val="0"/>
        <w:ind w:left="0" w:leftChars="0" w:firstLine="480" w:firstLineChars="200"/>
        <w:rPr>
          <w:rFonts w:hint="default"/>
          <w:color w:val="auto"/>
        </w:rPr>
      </w:pPr>
      <w:r>
        <w:rPr>
          <w:rFonts w:hint="default"/>
          <w:color w:val="auto"/>
        </w:rPr>
        <w:t>装修废气由于其排放周期短，作业点分散，装修期间应加强通风换气并采用优质环保的装修材料，减少废气中有害物质的排放，其对周围环境的影响很小。</w:t>
      </w:r>
    </w:p>
    <w:p w14:paraId="53F9C280">
      <w:pPr>
        <w:bidi w:val="0"/>
        <w:ind w:left="0" w:leftChars="0" w:firstLine="480" w:firstLineChars="200"/>
        <w:rPr>
          <w:rFonts w:hint="default"/>
          <w:color w:val="auto"/>
        </w:rPr>
      </w:pPr>
      <w:r>
        <w:rPr>
          <w:rFonts w:hint="default"/>
          <w:color w:val="auto"/>
        </w:rPr>
        <w:t>综上所述，施工期在严格落实本报告中提出大气污染防治措施后，施工期大气污染物可以实现达标排放，不会对区域环境空气造成明显影响。</w:t>
      </w:r>
    </w:p>
    <w:p w14:paraId="5CA100F0">
      <w:pPr>
        <w:pStyle w:val="4"/>
        <w:bidi w:val="0"/>
        <w:rPr>
          <w:rFonts w:hint="eastAsia"/>
          <w:color w:val="auto"/>
          <w:highlight w:val="none"/>
          <w:lang w:val="en-US" w:eastAsia="zh-CN"/>
        </w:rPr>
      </w:pPr>
      <w:r>
        <w:rPr>
          <w:rFonts w:hint="eastAsia"/>
          <w:color w:val="auto"/>
          <w:highlight w:val="none"/>
          <w:lang w:val="en-US" w:eastAsia="zh-CN"/>
        </w:rPr>
        <w:t>地表水环境影响分析</w:t>
      </w:r>
    </w:p>
    <w:p w14:paraId="214577D2">
      <w:pPr>
        <w:pStyle w:val="6"/>
        <w:ind w:firstLine="482"/>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1、施工废水</w:t>
      </w:r>
    </w:p>
    <w:p w14:paraId="6CCC128E">
      <w:pPr>
        <w:bidi w:val="0"/>
        <w:ind w:left="0" w:leftChars="0" w:firstLine="480" w:firstLineChars="200"/>
        <w:rPr>
          <w:rFonts w:hint="default"/>
          <w:color w:val="auto"/>
          <w:highlight w:val="none"/>
        </w:rPr>
      </w:pPr>
      <w:r>
        <w:rPr>
          <w:rFonts w:hint="eastAsia"/>
          <w:color w:val="auto"/>
          <w:highlight w:val="none"/>
          <w:lang w:val="en-US" w:eastAsia="zh-CN"/>
        </w:rPr>
        <w:t>施工废水主要包括：①施工机械跑、冒、滴、漏，以及冲洗施工机械、运输车辆等产生的含悬浮物、少量石油类的废水；②建筑基础开挖产生的基坑降水。</w:t>
      </w:r>
      <w:r>
        <w:rPr>
          <w:rFonts w:hint="default"/>
          <w:color w:val="auto"/>
          <w:highlight w:val="none"/>
        </w:rPr>
        <w:t>该类废水含大量</w:t>
      </w:r>
      <w:r>
        <w:rPr>
          <w:rFonts w:hint="eastAsia"/>
          <w:color w:val="auto"/>
          <w:highlight w:val="none"/>
          <w:lang w:eastAsia="zh-CN"/>
        </w:rPr>
        <w:t>泥沙</w:t>
      </w:r>
      <w:r>
        <w:rPr>
          <w:rFonts w:hint="default"/>
          <w:color w:val="auto"/>
          <w:highlight w:val="none"/>
        </w:rPr>
        <w:t>，悬浮物浓度较高，pH值呈弱碱性，并带有少量的油污</w:t>
      </w:r>
      <w:r>
        <w:rPr>
          <w:rFonts w:hint="eastAsia"/>
          <w:color w:val="auto"/>
          <w:highlight w:val="none"/>
          <w:lang w:eastAsia="zh-CN"/>
        </w:rPr>
        <w:t>。</w:t>
      </w:r>
      <w:r>
        <w:rPr>
          <w:rFonts w:hint="default"/>
          <w:color w:val="auto"/>
          <w:highlight w:val="none"/>
        </w:rPr>
        <w:t>施工废水</w:t>
      </w:r>
      <w:r>
        <w:rPr>
          <w:rFonts w:hint="eastAsia"/>
          <w:color w:val="auto"/>
          <w:highlight w:val="none"/>
          <w:lang w:val="en-US" w:eastAsia="zh-CN"/>
        </w:rPr>
        <w:t>中</w:t>
      </w:r>
      <w:r>
        <w:rPr>
          <w:rFonts w:hint="default"/>
          <w:color w:val="auto"/>
          <w:highlight w:val="none"/>
        </w:rPr>
        <w:t>COD浓度值最高约500mg/L、BOD</w:t>
      </w:r>
      <w:r>
        <w:rPr>
          <w:rFonts w:hint="default"/>
          <w:color w:val="auto"/>
          <w:highlight w:val="none"/>
          <w:vertAlign w:val="subscript"/>
        </w:rPr>
        <w:t>5</w:t>
      </w:r>
      <w:r>
        <w:rPr>
          <w:rFonts w:hint="default"/>
          <w:color w:val="auto"/>
          <w:highlight w:val="none"/>
        </w:rPr>
        <w:t>约400mg/L、SS约1000mg/L</w:t>
      </w:r>
      <w:r>
        <w:rPr>
          <w:rFonts w:hint="eastAsia"/>
          <w:color w:val="auto"/>
          <w:highlight w:val="none"/>
          <w:lang w:eastAsia="zh-CN"/>
        </w:rPr>
        <w:t>，</w:t>
      </w:r>
      <w:r>
        <w:rPr>
          <w:rFonts w:hint="eastAsia"/>
          <w:color w:val="auto"/>
          <w:highlight w:val="none"/>
          <w:lang w:val="en-US" w:eastAsia="zh-CN"/>
        </w:rPr>
        <w:t>石油类约10</w:t>
      </w:r>
      <w:r>
        <w:rPr>
          <w:rFonts w:hint="default"/>
          <w:color w:val="auto"/>
          <w:highlight w:val="none"/>
        </w:rPr>
        <w:t>mg/L</w:t>
      </w:r>
      <w:r>
        <w:rPr>
          <w:rFonts w:hint="eastAsia"/>
          <w:color w:val="auto"/>
          <w:highlight w:val="none"/>
          <w:lang w:eastAsia="zh-CN"/>
        </w:rPr>
        <w:t>。</w:t>
      </w:r>
      <w:r>
        <w:rPr>
          <w:rFonts w:hint="default"/>
          <w:color w:val="auto"/>
          <w:highlight w:val="none"/>
        </w:rPr>
        <w:t>项目施工期施工废水预计排放量为</w:t>
      </w:r>
      <w:r>
        <w:rPr>
          <w:rFonts w:hint="eastAsia"/>
          <w:color w:val="auto"/>
          <w:highlight w:val="none"/>
          <w:lang w:val="en-US" w:eastAsia="zh-CN"/>
        </w:rPr>
        <w:t>5</w:t>
      </w:r>
      <w:r>
        <w:rPr>
          <w:rFonts w:hint="default"/>
          <w:color w:val="auto"/>
          <w:highlight w:val="none"/>
        </w:rPr>
        <w:t>m</w:t>
      </w:r>
      <w:r>
        <w:rPr>
          <w:rFonts w:hint="default"/>
          <w:color w:val="auto"/>
          <w:highlight w:val="none"/>
          <w:vertAlign w:val="superscript"/>
        </w:rPr>
        <w:t>3</w:t>
      </w:r>
      <w:r>
        <w:rPr>
          <w:rFonts w:hint="default"/>
          <w:color w:val="auto"/>
          <w:highlight w:val="none"/>
        </w:rPr>
        <w:t>/d，为防止施工废水对区域地表水环境造成影响，环评要求建设单位应采取以下污染防治措施：</w:t>
      </w:r>
    </w:p>
    <w:p w14:paraId="46451557">
      <w:pPr>
        <w:bidi w:val="0"/>
        <w:ind w:left="0" w:leftChars="0" w:firstLine="480" w:firstLineChars="200"/>
        <w:rPr>
          <w:rFonts w:hint="default"/>
          <w:color w:val="auto"/>
        </w:rPr>
      </w:pPr>
      <w:r>
        <w:rPr>
          <w:rFonts w:hint="eastAsia"/>
          <w:color w:val="auto"/>
          <w:lang w:val="en-US" w:eastAsia="zh-CN"/>
        </w:rPr>
        <w:t>①</w:t>
      </w:r>
      <w:r>
        <w:rPr>
          <w:rFonts w:hint="default"/>
          <w:color w:val="auto"/>
        </w:rPr>
        <w:t>施工场地设置排水沟（沟宽×深≥300×300mm，排水坡度应大于3%）和三级沉淀池（池体容积≥</w:t>
      </w:r>
      <w:r>
        <w:rPr>
          <w:rFonts w:hint="eastAsia"/>
          <w:color w:val="auto"/>
          <w:lang w:val="en-US" w:eastAsia="zh-CN"/>
        </w:rPr>
        <w:t>5</w:t>
      </w:r>
      <w:r>
        <w:rPr>
          <w:rFonts w:hint="default"/>
          <w:color w:val="auto"/>
        </w:rPr>
        <w:t>m</w:t>
      </w:r>
      <w:r>
        <w:rPr>
          <w:rFonts w:hint="eastAsia"/>
          <w:color w:val="auto"/>
          <w:vertAlign w:val="superscript"/>
          <w:lang w:val="en-US" w:eastAsia="zh-CN"/>
        </w:rPr>
        <w:t>3</w:t>
      </w:r>
      <w:r>
        <w:rPr>
          <w:rFonts w:hint="default"/>
          <w:color w:val="auto"/>
        </w:rPr>
        <w:t>），车辆冲洗点配套修建隔油设施（池体容积≥1m</w:t>
      </w:r>
      <w:r>
        <w:rPr>
          <w:rFonts w:hint="default"/>
          <w:color w:val="auto"/>
          <w:vertAlign w:val="superscript"/>
        </w:rPr>
        <w:t>3</w:t>
      </w:r>
      <w:r>
        <w:rPr>
          <w:rFonts w:hint="default"/>
          <w:color w:val="auto"/>
        </w:rPr>
        <w:t>），废水经沉淀、隔油处理后全部回用。</w:t>
      </w:r>
    </w:p>
    <w:p w14:paraId="27492924">
      <w:pPr>
        <w:bidi w:val="0"/>
        <w:ind w:left="0" w:leftChars="0" w:firstLine="480" w:firstLineChars="200"/>
        <w:rPr>
          <w:rFonts w:hint="eastAsia"/>
          <w:color w:val="auto"/>
          <w:lang w:val="en-US" w:eastAsia="zh-CN"/>
        </w:rPr>
      </w:pPr>
      <w:r>
        <w:rPr>
          <w:rFonts w:hint="eastAsia"/>
          <w:color w:val="auto"/>
          <w:lang w:val="en-US" w:eastAsia="zh-CN"/>
        </w:rPr>
        <w:t>②</w:t>
      </w:r>
      <w:r>
        <w:rPr>
          <w:rFonts w:hint="default"/>
          <w:color w:val="auto"/>
        </w:rPr>
        <w:t>加强施工管理，严格避免超挖、禁止雨天开挖作业；在施工过程中</w:t>
      </w:r>
      <w:r>
        <w:rPr>
          <w:rFonts w:hint="eastAsia"/>
          <w:color w:val="auto"/>
          <w:lang w:val="en-US" w:eastAsia="zh-CN"/>
        </w:rPr>
        <w:t>建筑基础开挖</w:t>
      </w:r>
      <w:r>
        <w:rPr>
          <w:rFonts w:hint="default"/>
          <w:color w:val="auto"/>
        </w:rPr>
        <w:t>降水要根据地质勘察报告中的地下水位高低来确定，一般情况下是在</w:t>
      </w:r>
      <w:r>
        <w:rPr>
          <w:rFonts w:hint="eastAsia"/>
          <w:color w:val="auto"/>
          <w:lang w:val="en-US" w:eastAsia="zh-CN"/>
        </w:rPr>
        <w:t>基础</w:t>
      </w:r>
      <w:r>
        <w:rPr>
          <w:rFonts w:hint="default"/>
          <w:color w:val="auto"/>
        </w:rPr>
        <w:t>开挖前必须把地下水位降到设计</w:t>
      </w:r>
      <w:r>
        <w:rPr>
          <w:rFonts w:hint="eastAsia"/>
          <w:color w:val="auto"/>
          <w:lang w:val="en-US" w:eastAsia="zh-CN"/>
        </w:rPr>
        <w:t>基础坑底</w:t>
      </w:r>
      <w:r>
        <w:rPr>
          <w:rFonts w:hint="default"/>
          <w:color w:val="auto"/>
        </w:rPr>
        <w:t>标高。</w:t>
      </w:r>
      <w:r>
        <w:rPr>
          <w:rFonts w:hint="eastAsia"/>
          <w:color w:val="auto"/>
          <w:lang w:val="en-US" w:eastAsia="zh-CN"/>
        </w:rPr>
        <w:t>基础</w:t>
      </w:r>
      <w:r>
        <w:rPr>
          <w:rFonts w:hint="default"/>
          <w:color w:val="auto"/>
        </w:rPr>
        <w:t>开挖降水属于清下水，经沉淀池沉淀处理后可用于机械冲洗水和运输车辆冲洗水。</w:t>
      </w:r>
    </w:p>
    <w:p w14:paraId="62268DFD">
      <w:pPr>
        <w:pStyle w:val="6"/>
        <w:ind w:firstLine="482"/>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2、生活污水</w:t>
      </w:r>
    </w:p>
    <w:p w14:paraId="6A14A80B">
      <w:pPr>
        <w:bidi w:val="0"/>
        <w:ind w:left="0" w:leftChars="0" w:firstLine="480" w:firstLineChars="200"/>
        <w:rPr>
          <w:rFonts w:hint="eastAsia"/>
          <w:color w:val="auto"/>
          <w:highlight w:val="none"/>
          <w:lang w:val="en-US" w:eastAsia="zh-CN"/>
        </w:rPr>
      </w:pPr>
      <w:r>
        <w:rPr>
          <w:rFonts w:hint="eastAsia"/>
          <w:color w:val="auto"/>
          <w:highlight w:val="none"/>
          <w:lang w:val="en-US" w:eastAsia="zh-CN"/>
        </w:rPr>
        <w:t>本项目施工高峰期</w:t>
      </w:r>
      <w:r>
        <w:rPr>
          <w:rFonts w:hint="default"/>
          <w:color w:val="auto"/>
          <w:highlight w:val="none"/>
        </w:rPr>
        <w:t>施工人员预计可达</w:t>
      </w:r>
      <w:r>
        <w:rPr>
          <w:rFonts w:hint="eastAsia"/>
          <w:color w:val="auto"/>
          <w:highlight w:val="none"/>
          <w:lang w:val="en-US" w:eastAsia="zh-CN"/>
        </w:rPr>
        <w:t>5</w:t>
      </w:r>
      <w:r>
        <w:rPr>
          <w:rFonts w:hint="default"/>
          <w:color w:val="auto"/>
          <w:highlight w:val="none"/>
        </w:rPr>
        <w:t>0人，</w:t>
      </w:r>
      <w:r>
        <w:rPr>
          <w:rFonts w:hint="eastAsia"/>
          <w:color w:val="auto"/>
          <w:highlight w:val="none"/>
          <w:lang w:val="en-US" w:eastAsia="zh-CN"/>
        </w:rPr>
        <w:t>施工现场不设置食堂，参考</w:t>
      </w:r>
      <w:r>
        <w:rPr>
          <w:rFonts w:hint="default"/>
          <w:color w:val="auto"/>
          <w:highlight w:val="none"/>
        </w:rPr>
        <w:t>《四川省用水定额》（川府函</w:t>
      </w:r>
      <w:r>
        <w:rPr>
          <w:rFonts w:hint="eastAsia"/>
          <w:color w:val="auto"/>
          <w:highlight w:val="none"/>
          <w:lang w:eastAsia="zh-CN"/>
        </w:rPr>
        <w:t>〔</w:t>
      </w:r>
      <w:r>
        <w:rPr>
          <w:rFonts w:hint="eastAsia"/>
          <w:color w:val="auto"/>
          <w:highlight w:val="none"/>
          <w:lang w:val="en-US" w:eastAsia="zh-CN"/>
        </w:rPr>
        <w:t>2021</w:t>
      </w:r>
      <w:r>
        <w:rPr>
          <w:rFonts w:hint="eastAsia"/>
          <w:color w:val="auto"/>
          <w:highlight w:val="none"/>
          <w:lang w:eastAsia="zh-CN"/>
        </w:rPr>
        <w:t>〕</w:t>
      </w:r>
      <w:r>
        <w:rPr>
          <w:rFonts w:hint="default"/>
          <w:color w:val="auto"/>
          <w:highlight w:val="none"/>
        </w:rPr>
        <w:t>8号），施工人员生活用水量按1</w:t>
      </w:r>
      <w:r>
        <w:rPr>
          <w:rFonts w:hint="eastAsia"/>
          <w:color w:val="auto"/>
          <w:highlight w:val="none"/>
          <w:lang w:val="en-US" w:eastAsia="zh-CN"/>
        </w:rPr>
        <w:t>3</w:t>
      </w:r>
      <w:r>
        <w:rPr>
          <w:rFonts w:hint="default"/>
          <w:color w:val="auto"/>
          <w:highlight w:val="none"/>
        </w:rPr>
        <w:t>0L人·d计，生活污水产生系数取0.85，则生活污水产生量为</w:t>
      </w:r>
      <w:r>
        <w:rPr>
          <w:rFonts w:hint="eastAsia"/>
          <w:color w:val="auto"/>
          <w:highlight w:val="none"/>
          <w:lang w:val="en-US" w:eastAsia="zh-CN"/>
        </w:rPr>
        <w:t>5.525</w:t>
      </w:r>
      <w:r>
        <w:rPr>
          <w:rFonts w:hint="default"/>
          <w:color w:val="auto"/>
          <w:highlight w:val="none"/>
        </w:rPr>
        <w:t>m</w:t>
      </w:r>
      <w:r>
        <w:rPr>
          <w:rFonts w:hint="default"/>
          <w:color w:val="auto"/>
          <w:highlight w:val="none"/>
          <w:vertAlign w:val="superscript"/>
        </w:rPr>
        <w:t>3</w:t>
      </w:r>
      <w:r>
        <w:rPr>
          <w:rFonts w:hint="default"/>
          <w:color w:val="auto"/>
          <w:highlight w:val="none"/>
        </w:rPr>
        <w:t>/d。</w:t>
      </w:r>
      <w:r>
        <w:rPr>
          <w:color w:val="auto"/>
        </w:rPr>
        <w:t>本项目施工期在施工营地设置</w:t>
      </w:r>
      <w:r>
        <w:rPr>
          <w:rFonts w:hint="eastAsia"/>
          <w:color w:val="auto"/>
          <w:lang w:val="en-US" w:eastAsia="zh-CN"/>
        </w:rPr>
        <w:t>6</w:t>
      </w:r>
      <w:r>
        <w:rPr>
          <w:color w:val="auto"/>
        </w:rPr>
        <w:t>个环保厕所，单个环保厕所集粪桶容积</w:t>
      </w:r>
      <w:r>
        <w:rPr>
          <w:rFonts w:hint="eastAsia"/>
          <w:color w:val="auto"/>
          <w:lang w:val="en-US" w:eastAsia="zh-CN"/>
        </w:rPr>
        <w:t>1</w:t>
      </w:r>
      <w:r>
        <w:rPr>
          <w:color w:val="auto"/>
        </w:rPr>
        <w:t>m</w:t>
      </w:r>
      <w:r>
        <w:rPr>
          <w:color w:val="auto"/>
          <w:vertAlign w:val="superscript"/>
        </w:rPr>
        <w:t>3</w:t>
      </w:r>
      <w:r>
        <w:rPr>
          <w:color w:val="auto"/>
        </w:rPr>
        <w:t>，本项目生活污水经环保厕所（</w:t>
      </w:r>
      <w:r>
        <w:rPr>
          <w:rFonts w:hint="eastAsia"/>
          <w:color w:val="auto"/>
          <w:lang w:val="en-US" w:eastAsia="zh-CN"/>
        </w:rPr>
        <w:t>6</w:t>
      </w:r>
      <w:r>
        <w:rPr>
          <w:color w:val="auto"/>
        </w:rPr>
        <w:t>个，总容积</w:t>
      </w:r>
      <w:r>
        <w:rPr>
          <w:rFonts w:hint="eastAsia"/>
          <w:color w:val="auto"/>
          <w:lang w:val="en-US" w:eastAsia="zh-CN"/>
        </w:rPr>
        <w:t>6</w:t>
      </w:r>
      <w:r>
        <w:rPr>
          <w:color w:val="auto"/>
        </w:rPr>
        <w:t>m</w:t>
      </w:r>
      <w:r>
        <w:rPr>
          <w:color w:val="auto"/>
          <w:vertAlign w:val="superscript"/>
        </w:rPr>
        <w:t>3</w:t>
      </w:r>
      <w:r>
        <w:rPr>
          <w:color w:val="auto"/>
        </w:rPr>
        <w:t>）收集后通过</w:t>
      </w:r>
      <w:r>
        <w:rPr>
          <w:rFonts w:hint="eastAsia"/>
          <w:color w:val="auto"/>
          <w:lang w:val="en-US" w:eastAsia="zh-CN"/>
        </w:rPr>
        <w:t>密闭罐车拉运至通江县春在污水处理厂</w:t>
      </w:r>
      <w:r>
        <w:rPr>
          <w:color w:val="auto"/>
        </w:rPr>
        <w:t>进行处理</w:t>
      </w:r>
      <w:r>
        <w:rPr>
          <w:rFonts w:hint="eastAsia"/>
          <w:color w:val="auto"/>
          <w:lang w:eastAsia="zh-CN"/>
        </w:rPr>
        <w:t>，</w:t>
      </w:r>
      <w:r>
        <w:rPr>
          <w:rFonts w:hint="eastAsia"/>
          <w:color w:val="auto"/>
          <w:lang w:val="en-US" w:eastAsia="zh-CN"/>
        </w:rPr>
        <w:t>严禁随意排放，以免污染附近水体。</w:t>
      </w:r>
    </w:p>
    <w:p w14:paraId="63913DD4">
      <w:pPr>
        <w:pStyle w:val="4"/>
        <w:bidi w:val="0"/>
        <w:rPr>
          <w:rFonts w:hint="eastAsia"/>
          <w:color w:val="auto"/>
          <w:highlight w:val="none"/>
          <w:lang w:val="en-US" w:eastAsia="zh-CN"/>
        </w:rPr>
      </w:pPr>
      <w:bookmarkStart w:id="127" w:name="_Toc12113"/>
      <w:bookmarkStart w:id="128" w:name="_Toc21868"/>
      <w:r>
        <w:rPr>
          <w:rFonts w:hint="eastAsia"/>
          <w:color w:val="auto"/>
          <w:highlight w:val="none"/>
          <w:lang w:val="en-US" w:eastAsia="zh-CN"/>
        </w:rPr>
        <w:t>声环境影响分析</w:t>
      </w:r>
      <w:bookmarkEnd w:id="127"/>
      <w:bookmarkEnd w:id="128"/>
    </w:p>
    <w:p w14:paraId="31F992C4">
      <w:pPr>
        <w:bidi w:val="0"/>
        <w:ind w:left="0" w:leftChars="0" w:firstLine="480" w:firstLineChars="200"/>
        <w:rPr>
          <w:rFonts w:hint="default"/>
          <w:color w:val="auto"/>
          <w:lang w:val="en-US" w:eastAsia="zh-CN"/>
        </w:rPr>
      </w:pPr>
      <w:r>
        <w:rPr>
          <w:rFonts w:hint="default"/>
          <w:color w:val="auto"/>
        </w:rPr>
        <w:t>施工期噪声主要来源于施工现场的各类机械设备噪声，不同施工阶段和不同施工机械发出的噪声水平是不同的，在多台机械设备同时作业时，各台设备产生的噪声会产生叠加。根据工程所在区域环境现状，为实现施工场界噪声达标排放，降低施工噪声对周围环境的影响，施工单位需严格按照相关要求文明施工，采取以下噪声防治措施：</w:t>
      </w:r>
    </w:p>
    <w:p w14:paraId="231288BF">
      <w:pPr>
        <w:bidi w:val="0"/>
        <w:ind w:left="0" w:leftChars="0" w:firstLine="480" w:firstLineChars="200"/>
        <w:rPr>
          <w:color w:val="auto"/>
        </w:rPr>
      </w:pPr>
      <w:r>
        <w:rPr>
          <w:rFonts w:hint="eastAsia"/>
          <w:color w:val="auto"/>
        </w:rPr>
        <w:t>①</w:t>
      </w:r>
      <w:r>
        <w:rPr>
          <w:color w:val="auto"/>
        </w:rPr>
        <w:t>选用符合国家标准的低噪声设备，定期加强对设备的维修保养，避免由于设备非正常工作而产生噪声污染。</w:t>
      </w:r>
    </w:p>
    <w:p w14:paraId="3576DBCB">
      <w:pPr>
        <w:bidi w:val="0"/>
        <w:ind w:left="0" w:leftChars="0" w:firstLine="480" w:firstLineChars="200"/>
        <w:rPr>
          <w:color w:val="auto"/>
        </w:rPr>
      </w:pPr>
      <w:r>
        <w:rPr>
          <w:rFonts w:hint="eastAsia"/>
          <w:color w:val="auto"/>
        </w:rPr>
        <w:t>②</w:t>
      </w:r>
      <w:r>
        <w:rPr>
          <w:color w:val="auto"/>
        </w:rPr>
        <w:t>合理安排施工时间，</w:t>
      </w:r>
      <w:r>
        <w:rPr>
          <w:rFonts w:hint="default"/>
          <w:color w:val="auto"/>
          <w:lang w:val="en-US" w:eastAsia="zh-CN"/>
        </w:rPr>
        <w:t>夜间（22：00~06:00）和午休时间（12：00~14:00）禁止</w:t>
      </w:r>
      <w:r>
        <w:rPr>
          <w:rFonts w:hint="eastAsia"/>
          <w:color w:val="auto"/>
          <w:lang w:val="en-US" w:eastAsia="zh-CN"/>
        </w:rPr>
        <w:t>施工，“因特殊要求必须连续作业的，必须有县级以上人民政府或者有关主管部门的证明”，</w:t>
      </w:r>
      <w:r>
        <w:rPr>
          <w:rFonts w:hint="default"/>
          <w:color w:val="auto"/>
        </w:rPr>
        <w:t>须事先征得周围居民同意，</w:t>
      </w:r>
      <w:r>
        <w:rPr>
          <w:rFonts w:hint="eastAsia"/>
          <w:color w:val="auto"/>
          <w:lang w:val="en-US" w:eastAsia="zh-CN"/>
        </w:rPr>
        <w:t>并</w:t>
      </w:r>
      <w:r>
        <w:rPr>
          <w:rFonts w:hint="default"/>
          <w:color w:val="auto"/>
        </w:rPr>
        <w:t>向当地管理部门申报。</w:t>
      </w:r>
    </w:p>
    <w:p w14:paraId="69C3359C">
      <w:pPr>
        <w:bidi w:val="0"/>
        <w:ind w:left="0" w:leftChars="0" w:firstLine="480" w:firstLineChars="200"/>
        <w:rPr>
          <w:color w:val="auto"/>
        </w:rPr>
      </w:pPr>
      <w:r>
        <w:rPr>
          <w:rFonts w:hint="eastAsia"/>
          <w:color w:val="auto"/>
        </w:rPr>
        <w:t>③</w:t>
      </w:r>
      <w:r>
        <w:rPr>
          <w:color w:val="auto"/>
        </w:rPr>
        <w:t>加强管理，文明施工。装卸、搬运木材、模具、钢材等严禁抛掷，材料运输车辆进场要专人指挥，厂内运输车辆实施限速、禁止鸣笛。施工监理单位应做好噪声控制措施，确保施工场界噪声达标排放。</w:t>
      </w:r>
    </w:p>
    <w:p w14:paraId="3DD1053E">
      <w:pPr>
        <w:bidi w:val="0"/>
        <w:ind w:left="0" w:leftChars="0" w:firstLine="480" w:firstLineChars="200"/>
        <w:rPr>
          <w:color w:val="auto"/>
        </w:rPr>
      </w:pPr>
      <w:r>
        <w:rPr>
          <w:rFonts w:hint="eastAsia"/>
          <w:color w:val="auto"/>
        </w:rPr>
        <w:t>④</w:t>
      </w:r>
      <w:r>
        <w:rPr>
          <w:color w:val="auto"/>
        </w:rPr>
        <w:t>施工运输车辆应按照有关部门同意的运输路线行进，运输时间应避开居民进出高峰期、午间和夜间，同时严格限速、限载管理，禁止鸣笛。</w:t>
      </w:r>
    </w:p>
    <w:p w14:paraId="3B54E476">
      <w:pPr>
        <w:bidi w:val="0"/>
        <w:ind w:left="0" w:leftChars="0" w:firstLine="480" w:firstLineChars="200"/>
        <w:rPr>
          <w:rFonts w:hint="default"/>
          <w:color w:val="auto"/>
          <w:highlight w:val="none"/>
        </w:rPr>
      </w:pPr>
      <w:r>
        <w:rPr>
          <w:rFonts w:hint="eastAsia"/>
          <w:color w:val="auto"/>
        </w:rPr>
        <w:t>⑤</w:t>
      </w:r>
      <w:r>
        <w:rPr>
          <w:color w:val="auto"/>
        </w:rPr>
        <w:t>施工前应进行公示，施工单位应在现场张贴通告和投诉电话，建设单位在接到投诉电话后及时与当地环保部门联系，及时处理各种环境纠纷。</w:t>
      </w:r>
    </w:p>
    <w:p w14:paraId="6F4C865B">
      <w:pPr>
        <w:pStyle w:val="4"/>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eastAsia="zh-CN"/>
        </w:rPr>
        <w:t>固体废物影响分析</w:t>
      </w:r>
    </w:p>
    <w:p w14:paraId="535E39C5">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1、土石方</w:t>
      </w:r>
    </w:p>
    <w:p w14:paraId="71EA0CCC">
      <w:pPr>
        <w:bidi w:val="0"/>
        <w:ind w:left="0" w:leftChars="0" w:firstLine="480" w:firstLineChars="200"/>
        <w:rPr>
          <w:rFonts w:hint="eastAsia"/>
          <w:color w:val="auto"/>
          <w:szCs w:val="24"/>
          <w:highlight w:val="none"/>
          <w:lang w:val="en-US" w:eastAsia="zh-CN"/>
        </w:rPr>
      </w:pPr>
      <w:r>
        <w:rPr>
          <w:color w:val="auto"/>
        </w:rPr>
        <w:t>本项目施工期</w:t>
      </w:r>
      <w:r>
        <w:rPr>
          <w:rFonts w:hint="eastAsia"/>
          <w:color w:val="auto"/>
          <w:lang w:val="en-US" w:eastAsia="zh-CN"/>
        </w:rPr>
        <w:t>开挖</w:t>
      </w:r>
      <w:r>
        <w:rPr>
          <w:color w:val="auto"/>
        </w:rPr>
        <w:t>土石方</w:t>
      </w:r>
      <w:r>
        <w:rPr>
          <w:rFonts w:hint="eastAsia"/>
          <w:color w:val="auto"/>
          <w:lang w:val="en-US" w:eastAsia="zh-CN"/>
        </w:rPr>
        <w:t>全部回填利用，无弃土方。场内临时堆放的土石方</w:t>
      </w:r>
      <w:r>
        <w:rPr>
          <w:color w:val="auto"/>
        </w:rPr>
        <w:t>采取防雨布覆盖</w:t>
      </w:r>
      <w:r>
        <w:rPr>
          <w:rFonts w:hint="eastAsia"/>
          <w:color w:val="auto"/>
          <w:lang w:eastAsia="zh-CN"/>
        </w:rPr>
        <w:t>，</w:t>
      </w:r>
      <w:r>
        <w:rPr>
          <w:color w:val="auto"/>
        </w:rPr>
        <w:t>土石方及时回填，回填后及时夯实覆土</w:t>
      </w:r>
      <w:r>
        <w:rPr>
          <w:rFonts w:hint="eastAsia"/>
          <w:color w:val="auto"/>
          <w:lang w:eastAsia="zh-CN"/>
        </w:rPr>
        <w:t>。</w:t>
      </w:r>
    </w:p>
    <w:p w14:paraId="2BC974DB">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2、建筑垃圾</w:t>
      </w:r>
      <w:r>
        <w:rPr>
          <w:rFonts w:hint="eastAsia" w:cs="Times New Roman"/>
          <w:b/>
          <w:bCs/>
          <w:color w:val="auto"/>
          <w:highlight w:val="none"/>
          <w:lang w:val="en-US" w:eastAsia="zh-CN"/>
        </w:rPr>
        <w:t>和装修垃圾</w:t>
      </w:r>
    </w:p>
    <w:p w14:paraId="0FF8AE96">
      <w:pPr>
        <w:bidi w:val="0"/>
        <w:ind w:left="0" w:leftChars="0" w:firstLine="480" w:firstLineChars="200"/>
        <w:rPr>
          <w:rFonts w:hint="eastAsia"/>
          <w:color w:val="auto"/>
          <w:lang w:eastAsia="zh-CN"/>
        </w:rPr>
      </w:pPr>
      <w:r>
        <w:rPr>
          <w:rFonts w:hint="default"/>
          <w:color w:val="auto"/>
        </w:rPr>
        <w:t>施工期建筑垃圾主要包括建筑废料和装修垃圾，建筑垃圾通过分类收集处置，可回收废物收集后外售至废旧资源回收站，不可回收废物运至当地指定建筑垃圾处理场进行处置</w:t>
      </w:r>
      <w:r>
        <w:rPr>
          <w:rFonts w:hint="eastAsia"/>
          <w:color w:val="auto"/>
          <w:lang w:eastAsia="zh-CN"/>
        </w:rPr>
        <w:t>。</w:t>
      </w:r>
    </w:p>
    <w:p w14:paraId="3687E794">
      <w:pPr>
        <w:bidi w:val="0"/>
        <w:ind w:left="0" w:leftChars="0" w:firstLine="480" w:firstLineChars="200"/>
        <w:rPr>
          <w:rFonts w:hint="default"/>
          <w:color w:val="auto"/>
        </w:rPr>
      </w:pPr>
      <w:r>
        <w:rPr>
          <w:rFonts w:hint="default"/>
          <w:color w:val="auto"/>
        </w:rPr>
        <w:t>各类建筑垃圾严禁乱丢乱弃，应规范堆放，同时，</w:t>
      </w:r>
      <w:r>
        <w:rPr>
          <w:color w:val="auto"/>
        </w:rPr>
        <w:t>为确保建筑垃圾处置措施落实，建设单位或施工总承包单位在与建筑垃圾清运公司签订运输合同时，应要求承包公司提供废弃物去向的证明材料，严禁随意倾倒、填埋，不得出现超载、撒漏、不到指定地点卸货等现象</w:t>
      </w:r>
      <w:r>
        <w:rPr>
          <w:rFonts w:hint="eastAsia"/>
          <w:color w:val="auto"/>
          <w:lang w:eastAsia="zh-CN"/>
        </w:rPr>
        <w:t>，</w:t>
      </w:r>
      <w:r>
        <w:rPr>
          <w:color w:val="auto"/>
        </w:rPr>
        <w:t>严禁建筑垃圾倾倒至项目周边地表水体内</w:t>
      </w:r>
      <w:r>
        <w:rPr>
          <w:rFonts w:hint="default"/>
          <w:color w:val="auto"/>
        </w:rPr>
        <w:t>。</w:t>
      </w:r>
    </w:p>
    <w:p w14:paraId="0E8F4A52">
      <w:pPr>
        <w:bidi w:val="0"/>
        <w:ind w:left="0" w:leftChars="0" w:firstLine="480" w:firstLineChars="200"/>
        <w:rPr>
          <w:rFonts w:hint="default"/>
          <w:color w:val="auto"/>
        </w:rPr>
      </w:pPr>
      <w:r>
        <w:rPr>
          <w:rFonts w:hint="default"/>
          <w:color w:val="auto"/>
        </w:rPr>
        <w:t>室内装修过程中产生装修垃圾，装修过程产生的废油漆包装桶、废漆料等危险废物，应设置单独的收集点进行收集，集中储存，由建设单位委托交由有危废处理资质单位进行处理，落实联单管理制度。危险废物收集点做好防雨、防渗、防漏措施。其余装修垃圾可委托专业的清运公司清运到建筑垃圾堆放场。</w:t>
      </w:r>
    </w:p>
    <w:p w14:paraId="0245C862">
      <w:pPr>
        <w:pStyle w:val="6"/>
        <w:ind w:firstLine="482"/>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3</w:t>
      </w:r>
      <w:r>
        <w:rPr>
          <w:rFonts w:hint="eastAsia" w:ascii="Times New Roman" w:hAnsi="Times New Roman" w:eastAsia="宋体" w:cs="Times New Roman"/>
          <w:b/>
          <w:bCs/>
          <w:color w:val="auto"/>
          <w:highlight w:val="none"/>
          <w:lang w:val="en-US" w:eastAsia="zh-CN"/>
        </w:rPr>
        <w:t>、生活垃圾</w:t>
      </w:r>
    </w:p>
    <w:p w14:paraId="6F38A31C">
      <w:pPr>
        <w:bidi w:val="0"/>
        <w:ind w:left="0" w:leftChars="0" w:firstLine="480" w:firstLineChars="200"/>
        <w:rPr>
          <w:rFonts w:hint="default"/>
          <w:color w:val="auto"/>
          <w:highlight w:val="none"/>
        </w:rPr>
      </w:pPr>
      <w:r>
        <w:rPr>
          <w:rFonts w:hint="eastAsia"/>
          <w:color w:val="auto"/>
        </w:rPr>
        <w:t>本项目施工人员为</w:t>
      </w:r>
      <w:r>
        <w:rPr>
          <w:rFonts w:hint="eastAsia"/>
          <w:color w:val="auto"/>
          <w:lang w:val="en-US" w:eastAsia="zh-CN"/>
        </w:rPr>
        <w:t>5</w:t>
      </w:r>
      <w:r>
        <w:rPr>
          <w:rFonts w:hint="eastAsia"/>
          <w:color w:val="auto"/>
        </w:rPr>
        <w:t>0人，</w:t>
      </w:r>
      <w:r>
        <w:rPr>
          <w:color w:val="auto"/>
        </w:rPr>
        <w:t>根据《城镇生活污染源产排污系数手册》，生活垃圾产生量按0.64kg/d人计，则本项目施工期生活垃圾产生量为</w:t>
      </w:r>
      <w:r>
        <w:rPr>
          <w:rFonts w:hint="eastAsia"/>
          <w:color w:val="auto"/>
          <w:lang w:val="en-US" w:eastAsia="zh-CN"/>
        </w:rPr>
        <w:t>32kg/d</w:t>
      </w:r>
      <w:r>
        <w:rPr>
          <w:rFonts w:hint="default"/>
          <w:color w:val="auto"/>
          <w:highlight w:val="none"/>
        </w:rPr>
        <w:t>。生活垃圾经袋装收集后，由环卫部门统一</w:t>
      </w:r>
      <w:r>
        <w:rPr>
          <w:rFonts w:hint="eastAsia"/>
          <w:color w:val="auto"/>
          <w:highlight w:val="none"/>
          <w:lang w:val="en-US" w:eastAsia="zh-CN"/>
        </w:rPr>
        <w:t>清运处理</w:t>
      </w:r>
      <w:r>
        <w:rPr>
          <w:rFonts w:hint="default"/>
          <w:color w:val="auto"/>
          <w:highlight w:val="none"/>
        </w:rPr>
        <w:t>，严禁就地填埋或焚烧。</w:t>
      </w:r>
    </w:p>
    <w:p w14:paraId="16E0E2F0">
      <w:pPr>
        <w:pStyle w:val="6"/>
        <w:ind w:firstLine="482"/>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、沉淀池沉渣</w:t>
      </w:r>
    </w:p>
    <w:p w14:paraId="4D32559B">
      <w:pPr>
        <w:bidi w:val="0"/>
        <w:rPr>
          <w:rFonts w:hint="eastAsia"/>
          <w:color w:val="auto"/>
          <w:lang w:val="en-US" w:eastAsia="zh-CN"/>
        </w:rPr>
      </w:pPr>
      <w:r>
        <w:rPr>
          <w:rFonts w:hint="eastAsia"/>
          <w:color w:val="auto"/>
          <w:lang w:val="en-US" w:eastAsia="zh-CN"/>
        </w:rPr>
        <w:t>施工废水沉淀池的沉渣主要为泥沙，定期清掏交由环卫部门清运处理。</w:t>
      </w:r>
    </w:p>
    <w:p w14:paraId="4A3EF3A7">
      <w:pPr>
        <w:pStyle w:val="6"/>
        <w:ind w:firstLine="482"/>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5</w:t>
      </w:r>
      <w:r>
        <w:rPr>
          <w:rFonts w:hint="eastAsia" w:ascii="Times New Roman" w:hAnsi="Times New Roman" w:eastAsia="宋体" w:cs="Times New Roman"/>
          <w:b/>
          <w:bCs/>
          <w:color w:val="auto"/>
          <w:highlight w:val="none"/>
          <w:lang w:val="en-US" w:eastAsia="zh-CN"/>
        </w:rPr>
        <w:t>、隔油池油污</w:t>
      </w:r>
    </w:p>
    <w:p w14:paraId="749DCDDB">
      <w:pPr>
        <w:bidi w:val="0"/>
        <w:ind w:left="0" w:leftChars="0" w:firstLine="480" w:firstLineChars="200"/>
        <w:rPr>
          <w:rFonts w:hint="default"/>
          <w:color w:val="auto"/>
          <w:highlight w:val="none"/>
          <w:lang w:val="en-US" w:eastAsia="zh-CN"/>
        </w:rPr>
      </w:pPr>
      <w:r>
        <w:rPr>
          <w:rFonts w:hint="default"/>
          <w:color w:val="auto"/>
          <w:lang w:val="en-US" w:eastAsia="zh-CN"/>
        </w:rPr>
        <w:t>隔油池</w:t>
      </w:r>
      <w:r>
        <w:rPr>
          <w:rFonts w:hint="eastAsia"/>
          <w:color w:val="auto"/>
          <w:lang w:val="en-US" w:eastAsia="zh-CN"/>
        </w:rPr>
        <w:t>油污</w:t>
      </w:r>
      <w:r>
        <w:rPr>
          <w:rFonts w:hint="default"/>
          <w:color w:val="auto"/>
          <w:lang w:val="en-US" w:eastAsia="zh-CN"/>
        </w:rPr>
        <w:t>由</w:t>
      </w:r>
      <w:r>
        <w:rPr>
          <w:rFonts w:hint="default"/>
          <w:color w:val="auto"/>
        </w:rPr>
        <w:t>建设单位委托交由有危废处理资质单位</w:t>
      </w:r>
      <w:r>
        <w:rPr>
          <w:rFonts w:hint="default"/>
          <w:color w:val="auto"/>
          <w:lang w:val="en-US" w:eastAsia="zh-CN"/>
        </w:rPr>
        <w:t>定期到施工现场清</w:t>
      </w:r>
      <w:r>
        <w:rPr>
          <w:rFonts w:hint="eastAsia"/>
          <w:color w:val="auto"/>
          <w:lang w:val="en-US" w:eastAsia="zh-CN"/>
        </w:rPr>
        <w:t>运处置，严禁随意丢弃</w:t>
      </w:r>
      <w:r>
        <w:rPr>
          <w:rFonts w:hint="default"/>
          <w:color w:val="auto"/>
          <w:highlight w:val="none"/>
          <w:lang w:val="en-US" w:eastAsia="zh-CN"/>
        </w:rPr>
        <w:t>。</w:t>
      </w:r>
    </w:p>
    <w:p w14:paraId="399A8664">
      <w:pPr>
        <w:pStyle w:val="26"/>
        <w:bidi w:val="0"/>
        <w:rPr>
          <w:rFonts w:hint="default"/>
          <w:color w:val="auto"/>
          <w:highlight w:val="none"/>
          <w:lang w:val="en-US" w:eastAsia="zh-CN"/>
        </w:rPr>
      </w:pPr>
      <w:r>
        <w:rPr>
          <w:rFonts w:hint="eastAsia"/>
          <w:color w:val="auto"/>
          <w:highlight w:val="none"/>
        </w:rPr>
        <w:t>本工程施工过程产生的固体废物都得到了合理有效</w:t>
      </w:r>
      <w:r>
        <w:rPr>
          <w:rFonts w:hint="eastAsia"/>
          <w:color w:val="auto"/>
          <w:highlight w:val="none"/>
          <w:lang w:eastAsia="zh-CN"/>
        </w:rPr>
        <w:t>地</w:t>
      </w:r>
      <w:r>
        <w:rPr>
          <w:rFonts w:hint="eastAsia"/>
          <w:color w:val="auto"/>
          <w:highlight w:val="none"/>
        </w:rPr>
        <w:t>处置，不会造成二次污染。</w:t>
      </w:r>
    </w:p>
    <w:p w14:paraId="16B08DE8">
      <w:pPr>
        <w:pStyle w:val="4"/>
        <w:bidi w:val="0"/>
        <w:rPr>
          <w:rFonts w:hint="default"/>
          <w:color w:val="auto"/>
          <w:highlight w:val="none"/>
        </w:rPr>
      </w:pPr>
      <w:bookmarkStart w:id="129" w:name="_Toc24338"/>
      <w:bookmarkStart w:id="130" w:name="_Toc10685"/>
      <w:r>
        <w:rPr>
          <w:rFonts w:hint="default"/>
          <w:color w:val="auto"/>
          <w:highlight w:val="none"/>
        </w:rPr>
        <w:t>生态环境</w:t>
      </w:r>
      <w:bookmarkEnd w:id="129"/>
      <w:bookmarkEnd w:id="130"/>
      <w:r>
        <w:rPr>
          <w:rFonts w:hint="eastAsia"/>
          <w:color w:val="auto"/>
          <w:highlight w:val="none"/>
          <w:lang w:val="en-US" w:eastAsia="zh-CN"/>
        </w:rPr>
        <w:t>影响分析</w:t>
      </w:r>
    </w:p>
    <w:p w14:paraId="7B7D7288">
      <w:pPr>
        <w:bidi w:val="0"/>
        <w:ind w:left="0" w:leftChars="0" w:firstLine="480" w:firstLineChars="200"/>
        <w:rPr>
          <w:rFonts w:hint="default"/>
          <w:color w:val="auto"/>
        </w:rPr>
      </w:pPr>
      <w:r>
        <w:rPr>
          <w:rFonts w:hint="default"/>
          <w:color w:val="auto"/>
        </w:rPr>
        <w:t>施工过程</w:t>
      </w:r>
      <w:r>
        <w:rPr>
          <w:rFonts w:hint="eastAsia"/>
          <w:color w:val="auto"/>
          <w:lang w:val="en-US" w:eastAsia="zh-CN"/>
        </w:rPr>
        <w:t>土石方</w:t>
      </w:r>
      <w:r>
        <w:rPr>
          <w:rFonts w:hint="default"/>
          <w:color w:val="auto"/>
        </w:rPr>
        <w:t>开挖使原有土壤结构受到破坏，造成地表裸露，表层土抗蚀能力减弱，易被雨水冲刷造成水土流失。</w:t>
      </w:r>
      <w:r>
        <w:rPr>
          <w:rFonts w:hint="eastAsia"/>
          <w:color w:val="auto"/>
        </w:rPr>
        <w:t>施工过程中的水土流失防治措施包括</w:t>
      </w:r>
      <w:r>
        <w:rPr>
          <w:rFonts w:hint="eastAsia"/>
          <w:color w:val="auto"/>
          <w:lang w:eastAsia="zh-CN"/>
        </w:rPr>
        <w:t>：</w:t>
      </w:r>
    </w:p>
    <w:p w14:paraId="2C856EC7">
      <w:pPr>
        <w:bidi w:val="0"/>
        <w:ind w:left="0" w:leftChars="0" w:firstLine="480" w:firstLineChars="200"/>
        <w:rPr>
          <w:rFonts w:hint="default"/>
          <w:color w:val="auto"/>
        </w:rPr>
      </w:pPr>
      <w:r>
        <w:rPr>
          <w:rFonts w:hint="eastAsia"/>
          <w:color w:val="auto"/>
        </w:rPr>
        <w:t>①项目开挖作业、土方回填尽量避免在多雨季节进行施工，防止形成二次水土流失，</w:t>
      </w:r>
      <w:r>
        <w:rPr>
          <w:rFonts w:hint="eastAsia"/>
          <w:color w:val="auto"/>
          <w:lang w:val="en-US" w:eastAsia="zh-CN"/>
        </w:rPr>
        <w:t>临时</w:t>
      </w:r>
      <w:r>
        <w:rPr>
          <w:rFonts w:hint="eastAsia"/>
          <w:color w:val="auto"/>
        </w:rPr>
        <w:t>堆场</w:t>
      </w:r>
      <w:r>
        <w:rPr>
          <w:rFonts w:hint="eastAsia"/>
          <w:color w:val="auto"/>
          <w:lang w:val="en-US" w:eastAsia="zh-CN"/>
        </w:rPr>
        <w:t>采取临时遮盖措施，堆场四周</w:t>
      </w:r>
      <w:r>
        <w:rPr>
          <w:rFonts w:hint="eastAsia"/>
          <w:color w:val="auto"/>
        </w:rPr>
        <w:t>设置</w:t>
      </w:r>
      <w:r>
        <w:rPr>
          <w:color w:val="auto"/>
        </w:rPr>
        <w:t>编织袋拦挡措施</w:t>
      </w:r>
      <w:r>
        <w:rPr>
          <w:rFonts w:hint="eastAsia"/>
          <w:color w:val="auto"/>
          <w:lang w:eastAsia="zh-CN"/>
        </w:rPr>
        <w:t>，</w:t>
      </w:r>
      <w:r>
        <w:rPr>
          <w:color w:val="auto"/>
        </w:rPr>
        <w:t>并设置导流明渠</w:t>
      </w:r>
      <w:r>
        <w:rPr>
          <w:rFonts w:hint="eastAsia"/>
          <w:color w:val="auto"/>
        </w:rPr>
        <w:t>和</w:t>
      </w:r>
      <w:r>
        <w:rPr>
          <w:rFonts w:hint="eastAsia"/>
          <w:color w:val="auto"/>
          <w:lang w:val="en-US" w:eastAsia="zh-CN"/>
        </w:rPr>
        <w:t>沉淀池</w:t>
      </w:r>
      <w:r>
        <w:rPr>
          <w:rFonts w:hint="eastAsia"/>
          <w:color w:val="auto"/>
          <w:lang w:eastAsia="zh-CN"/>
        </w:rPr>
        <w:t>，</w:t>
      </w:r>
      <w:r>
        <w:rPr>
          <w:rFonts w:hint="eastAsia"/>
          <w:color w:val="auto"/>
        </w:rPr>
        <w:t>有效防止水土流失；</w:t>
      </w:r>
    </w:p>
    <w:p w14:paraId="001D6509">
      <w:pPr>
        <w:bidi w:val="0"/>
        <w:ind w:left="0" w:leftChars="0" w:firstLine="480" w:firstLineChars="200"/>
        <w:rPr>
          <w:rFonts w:hint="default"/>
          <w:color w:val="auto"/>
        </w:rPr>
      </w:pPr>
      <w:r>
        <w:rPr>
          <w:rFonts w:hint="eastAsia"/>
          <w:color w:val="auto"/>
        </w:rPr>
        <w:t>②</w:t>
      </w:r>
      <w:r>
        <w:rPr>
          <w:rFonts w:hint="eastAsia"/>
          <w:color w:val="auto"/>
          <w:lang w:eastAsia="zh-CN"/>
        </w:rPr>
        <w:t>基坑开挖</w:t>
      </w:r>
      <w:r>
        <w:rPr>
          <w:rFonts w:hint="eastAsia"/>
          <w:color w:val="auto"/>
        </w:rPr>
        <w:t>的裸露面采取</w:t>
      </w:r>
      <w:r>
        <w:rPr>
          <w:rFonts w:hint="eastAsia"/>
          <w:color w:val="auto"/>
          <w:lang w:val="en-US" w:eastAsia="zh-CN"/>
        </w:rPr>
        <w:t>密目网或防雨布进行临时遮盖</w:t>
      </w:r>
      <w:r>
        <w:rPr>
          <w:rFonts w:hint="eastAsia"/>
          <w:color w:val="auto"/>
        </w:rPr>
        <w:t>，尽量缩短</w:t>
      </w:r>
      <w:r>
        <w:rPr>
          <w:rFonts w:hint="eastAsia"/>
          <w:color w:val="auto"/>
          <w:lang w:val="en-US" w:eastAsia="zh-CN"/>
        </w:rPr>
        <w:t>裸露</w:t>
      </w:r>
      <w:r>
        <w:rPr>
          <w:rFonts w:hint="eastAsia"/>
          <w:color w:val="auto"/>
        </w:rPr>
        <w:t>时间，减少水土流失。</w:t>
      </w:r>
    </w:p>
    <w:p w14:paraId="4C6C124F">
      <w:pPr>
        <w:bidi w:val="0"/>
        <w:ind w:left="0" w:leftChars="0" w:firstLine="480" w:firstLineChars="200"/>
        <w:rPr>
          <w:rFonts w:hint="default"/>
          <w:color w:val="auto"/>
        </w:rPr>
      </w:pPr>
      <w:r>
        <w:rPr>
          <w:rFonts w:hint="eastAsia"/>
          <w:color w:val="auto"/>
        </w:rPr>
        <w:t>③</w:t>
      </w:r>
      <w:r>
        <w:rPr>
          <w:rFonts w:hint="eastAsia"/>
          <w:color w:val="auto"/>
          <w:lang w:val="en-US" w:eastAsia="zh-CN"/>
        </w:rPr>
        <w:t>施工场地出入口设置车辆冲洗设施，配套建设临时排水沟和沉淀池。</w:t>
      </w:r>
    </w:p>
    <w:p w14:paraId="0C09D03D">
      <w:pPr>
        <w:bidi w:val="0"/>
        <w:rPr>
          <w:rFonts w:hint="default"/>
          <w:color w:val="auto"/>
        </w:rPr>
      </w:pPr>
      <w:r>
        <w:rPr>
          <w:rFonts w:hint="eastAsia"/>
          <w:color w:val="auto"/>
        </w:rPr>
        <w:t>④做好挖填土</w:t>
      </w:r>
      <w:r>
        <w:rPr>
          <w:rFonts w:hint="eastAsia"/>
          <w:color w:val="auto"/>
          <w:lang w:val="en-US" w:eastAsia="zh-CN"/>
        </w:rPr>
        <w:t>石</w:t>
      </w:r>
      <w:r>
        <w:rPr>
          <w:rFonts w:hint="eastAsia"/>
          <w:color w:val="auto"/>
        </w:rPr>
        <w:t>方的合理调配工作，</w:t>
      </w:r>
      <w:r>
        <w:rPr>
          <w:rFonts w:hint="eastAsia"/>
          <w:color w:val="auto"/>
          <w:lang w:val="en-US" w:eastAsia="zh-CN"/>
        </w:rPr>
        <w:t>减少土石方在场地内的临时堆存。</w:t>
      </w:r>
    </w:p>
    <w:p w14:paraId="69B57C67">
      <w:pPr>
        <w:bidi w:val="0"/>
        <w:ind w:left="0" w:leftChars="0" w:firstLine="480" w:firstLineChars="200"/>
        <w:rPr>
          <w:rFonts w:hint="eastAsia"/>
          <w:color w:val="auto"/>
          <w:lang w:val="en-US" w:eastAsia="zh-CN"/>
        </w:rPr>
      </w:pPr>
      <w:r>
        <w:rPr>
          <w:rFonts w:hint="eastAsia"/>
          <w:color w:val="auto"/>
          <w:lang w:val="en-US" w:eastAsia="zh-CN"/>
        </w:rPr>
        <w:t>⑤</w:t>
      </w:r>
      <w:r>
        <w:rPr>
          <w:rFonts w:hint="eastAsia"/>
          <w:color w:val="auto"/>
        </w:rPr>
        <w:t>施工完成后对施工场地内的</w:t>
      </w:r>
      <w:r>
        <w:rPr>
          <w:rFonts w:hint="eastAsia"/>
          <w:color w:val="auto"/>
          <w:lang w:val="en-US" w:eastAsia="zh-CN"/>
        </w:rPr>
        <w:t>构筑物进行拆除，对</w:t>
      </w:r>
      <w:r>
        <w:rPr>
          <w:rFonts w:hint="eastAsia"/>
          <w:color w:val="auto"/>
        </w:rPr>
        <w:t>污染物进行全面清理，</w:t>
      </w:r>
      <w:r>
        <w:rPr>
          <w:rFonts w:hint="eastAsia"/>
          <w:color w:val="auto"/>
          <w:lang w:val="en-US" w:eastAsia="zh-CN"/>
        </w:rPr>
        <w:t>施工场地根据后续使用用途进行恢复或进行绿化</w:t>
      </w:r>
      <w:r>
        <w:rPr>
          <w:rFonts w:hint="eastAsia"/>
          <w:color w:val="auto"/>
        </w:rPr>
        <w:t>。</w:t>
      </w:r>
    </w:p>
    <w:p w14:paraId="1D957863">
      <w:pPr>
        <w:bidi w:val="0"/>
        <w:ind w:left="0" w:leftChars="0" w:firstLine="480" w:firstLineChars="200"/>
        <w:rPr>
          <w:rFonts w:hint="default"/>
          <w:color w:val="auto"/>
        </w:rPr>
      </w:pPr>
      <w:r>
        <w:rPr>
          <w:rFonts w:hint="default"/>
          <w:color w:val="auto"/>
        </w:rPr>
        <w:t>综上所述，施工期只要认真落实报告中提出的各项环保措施，工程施工的环境影响问题可以消除或有效</w:t>
      </w:r>
      <w:r>
        <w:rPr>
          <w:rFonts w:hint="eastAsia"/>
          <w:color w:val="auto"/>
          <w:lang w:eastAsia="zh-CN"/>
        </w:rPr>
        <w:t>地</w:t>
      </w:r>
      <w:r>
        <w:rPr>
          <w:rFonts w:hint="default"/>
          <w:color w:val="auto"/>
        </w:rPr>
        <w:t>控制，可使其对环境的影响程度降至最低。</w:t>
      </w:r>
    </w:p>
    <w:p w14:paraId="4E368524">
      <w:pPr>
        <w:pStyle w:val="3"/>
        <w:bidi w:val="0"/>
        <w:rPr>
          <w:rFonts w:hint="default"/>
          <w:color w:val="auto"/>
          <w:highlight w:val="none"/>
        </w:rPr>
      </w:pPr>
      <w:bookmarkStart w:id="131" w:name="_Toc5682"/>
      <w:bookmarkStart w:id="132" w:name="_Toc12962"/>
      <w:r>
        <w:rPr>
          <w:rFonts w:hint="eastAsia"/>
          <w:color w:val="auto"/>
          <w:highlight w:val="none"/>
          <w:lang w:val="en-US" w:eastAsia="zh-CN"/>
        </w:rPr>
        <w:t>运营期环境影响评价</w:t>
      </w:r>
      <w:bookmarkEnd w:id="131"/>
      <w:bookmarkEnd w:id="132"/>
    </w:p>
    <w:p w14:paraId="179DB88A">
      <w:pPr>
        <w:pStyle w:val="4"/>
        <w:bidi w:val="0"/>
        <w:ind w:left="1855" w:leftChars="0" w:hanging="1855" w:firstLineChars="0"/>
        <w:rPr>
          <w:rFonts w:hint="default"/>
          <w:color w:val="auto"/>
          <w:highlight w:val="none"/>
        </w:rPr>
      </w:pPr>
      <w:r>
        <w:rPr>
          <w:rFonts w:hint="eastAsia"/>
          <w:color w:val="auto"/>
          <w:highlight w:val="none"/>
          <w:lang w:val="en-US" w:eastAsia="zh-CN"/>
        </w:rPr>
        <w:t>大气</w:t>
      </w:r>
      <w:r>
        <w:rPr>
          <w:rFonts w:hint="default"/>
          <w:color w:val="auto"/>
          <w:highlight w:val="none"/>
        </w:rPr>
        <w:t>环境</w:t>
      </w:r>
      <w:r>
        <w:rPr>
          <w:rFonts w:hint="eastAsia"/>
          <w:color w:val="auto"/>
          <w:highlight w:val="none"/>
          <w:lang w:val="en-US" w:eastAsia="zh-CN"/>
        </w:rPr>
        <w:t>影响分析</w:t>
      </w:r>
    </w:p>
    <w:p w14:paraId="42A86E67">
      <w:pPr>
        <w:pStyle w:val="5"/>
        <w:bidi w:val="0"/>
        <w:ind w:left="864" w:leftChars="0" w:hanging="864" w:firstLineChars="0"/>
        <w:rPr>
          <w:color w:val="auto"/>
          <w:highlight w:val="none"/>
        </w:rPr>
      </w:pPr>
      <w:r>
        <w:rPr>
          <w:rFonts w:hint="eastAsia"/>
          <w:color w:val="auto"/>
          <w:highlight w:val="none"/>
          <w:lang w:val="en-US" w:eastAsia="zh-CN"/>
        </w:rPr>
        <w:t>大气环境影响预测</w:t>
      </w:r>
    </w:p>
    <w:p w14:paraId="5F54D139">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1、区域气象特征</w:t>
      </w:r>
    </w:p>
    <w:p w14:paraId="65C2D692">
      <w:pPr>
        <w:bidi w:val="0"/>
        <w:ind w:left="0" w:leftChars="0" w:firstLine="480" w:firstLineChars="200"/>
        <w:rPr>
          <w:rFonts w:hint="eastAsia"/>
          <w:color w:val="auto"/>
        </w:rPr>
      </w:pPr>
      <w:r>
        <w:rPr>
          <w:rFonts w:hint="eastAsia"/>
          <w:color w:val="auto"/>
        </w:rPr>
        <w:t>本次环评采用</w:t>
      </w:r>
      <w:r>
        <w:rPr>
          <w:rFonts w:hint="eastAsia"/>
          <w:color w:val="auto"/>
          <w:lang w:val="en-US" w:eastAsia="zh-CN"/>
        </w:rPr>
        <w:t>通江气象站</w:t>
      </w:r>
      <w:r>
        <w:rPr>
          <w:rFonts w:hint="eastAsia"/>
          <w:color w:val="auto"/>
        </w:rPr>
        <w:t>（</w:t>
      </w:r>
      <w:r>
        <w:rPr>
          <w:rFonts w:hint="eastAsia"/>
          <w:color w:val="auto"/>
          <w:lang w:eastAsia="zh-CN"/>
        </w:rPr>
        <w:t>57320</w:t>
      </w:r>
      <w:r>
        <w:rPr>
          <w:rFonts w:hint="eastAsia"/>
          <w:color w:val="auto"/>
        </w:rPr>
        <w:t>）气象资料，该气象站位于</w:t>
      </w:r>
      <w:r>
        <w:rPr>
          <w:rFonts w:hint="eastAsia"/>
          <w:color w:val="auto"/>
          <w:lang w:val="en-US" w:eastAsia="zh-CN"/>
        </w:rPr>
        <w:t>通江县，</w:t>
      </w:r>
      <w:r>
        <w:rPr>
          <w:rFonts w:hint="eastAsia"/>
          <w:color w:val="auto"/>
        </w:rPr>
        <w:t>地理坐标为东经</w:t>
      </w:r>
      <w:r>
        <w:rPr>
          <w:rFonts w:hint="eastAsia"/>
          <w:color w:val="auto"/>
          <w:lang w:eastAsia="zh-CN"/>
        </w:rPr>
        <w:t>107.217</w:t>
      </w:r>
      <w:r>
        <w:rPr>
          <w:rFonts w:hint="eastAsia"/>
          <w:color w:val="auto"/>
        </w:rPr>
        <w:t>°，北纬</w:t>
      </w:r>
      <w:r>
        <w:rPr>
          <w:rFonts w:hint="eastAsia"/>
          <w:color w:val="auto"/>
          <w:lang w:eastAsia="zh-CN"/>
        </w:rPr>
        <w:t>31.928</w:t>
      </w:r>
      <w:r>
        <w:rPr>
          <w:rFonts w:hint="eastAsia"/>
          <w:color w:val="auto"/>
        </w:rPr>
        <w:t>°，海拔高度</w:t>
      </w:r>
      <w:r>
        <w:rPr>
          <w:rFonts w:hint="eastAsia"/>
          <w:color w:val="auto"/>
          <w:lang w:val="en-US" w:eastAsia="zh-CN"/>
        </w:rPr>
        <w:t>483.0</w:t>
      </w:r>
      <w:r>
        <w:rPr>
          <w:rFonts w:hint="eastAsia"/>
          <w:color w:val="auto"/>
        </w:rPr>
        <w:t>m。</w:t>
      </w:r>
      <w:r>
        <w:rPr>
          <w:rFonts w:hint="eastAsia"/>
          <w:color w:val="auto"/>
          <w:lang w:eastAsia="zh-CN"/>
        </w:rPr>
        <w:t>通江气象站</w:t>
      </w:r>
      <w:r>
        <w:rPr>
          <w:rFonts w:hint="eastAsia"/>
          <w:color w:val="auto"/>
        </w:rPr>
        <w:t>（</w:t>
      </w:r>
      <w:r>
        <w:rPr>
          <w:rFonts w:hint="eastAsia"/>
          <w:color w:val="auto"/>
          <w:lang w:eastAsia="zh-CN"/>
        </w:rPr>
        <w:t>57320</w:t>
      </w:r>
      <w:r>
        <w:rPr>
          <w:rFonts w:hint="eastAsia"/>
          <w:color w:val="auto"/>
        </w:rPr>
        <w:t>）距本项目约</w:t>
      </w:r>
      <w:r>
        <w:rPr>
          <w:rFonts w:hint="eastAsia"/>
          <w:color w:val="auto"/>
          <w:lang w:val="en-US" w:eastAsia="zh-CN"/>
        </w:rPr>
        <w:t>5.48</w:t>
      </w:r>
      <w:r>
        <w:rPr>
          <w:rFonts w:hint="eastAsia"/>
          <w:color w:val="auto"/>
        </w:rPr>
        <w:t>km，与项目气象特征基本一致，拥有长期的气象观测资料。根据统计，</w:t>
      </w:r>
      <w:r>
        <w:rPr>
          <w:rFonts w:hint="eastAsia"/>
          <w:color w:val="auto"/>
          <w:lang w:eastAsia="zh-CN"/>
        </w:rPr>
        <w:t>通江气象站</w:t>
      </w:r>
      <w:r>
        <w:rPr>
          <w:rFonts w:hint="eastAsia"/>
          <w:color w:val="auto"/>
        </w:rPr>
        <w:t>近</w:t>
      </w:r>
      <w:r>
        <w:rPr>
          <w:color w:val="auto"/>
        </w:rPr>
        <w:t>20</w:t>
      </w:r>
      <w:r>
        <w:rPr>
          <w:rFonts w:hint="eastAsia"/>
          <w:color w:val="auto"/>
        </w:rPr>
        <w:t>年地面气象资料如下：</w:t>
      </w:r>
    </w:p>
    <w:p w14:paraId="6DAA81EF">
      <w:pPr>
        <w:bidi w:val="0"/>
        <w:ind w:left="0" w:leftChars="0" w:firstLine="480" w:firstLineChars="200"/>
        <w:rPr>
          <w:rFonts w:hint="eastAsia" w:ascii="Times New Roman" w:hAnsi="Times New Roman" w:eastAsia="黑体" w:cs="Times New Roman"/>
          <w:color w:val="auto"/>
          <w:sz w:val="21"/>
          <w:szCs w:val="21"/>
          <w:highlight w:val="none"/>
          <w:lang w:val="en-US" w:eastAsia="zh-CN"/>
        </w:rPr>
      </w:pPr>
      <w:r>
        <w:rPr>
          <w:rFonts w:hint="eastAsia" w:cs="Times New Roman"/>
          <w:color w:val="auto"/>
          <w:lang w:val="en-US" w:eastAsia="zh-CN" w:bidi="ar"/>
        </w:rPr>
        <w:t>略。</w:t>
      </w:r>
    </w:p>
    <w:p w14:paraId="34A5828D">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2、预测模型选取结果及选取依据</w:t>
      </w:r>
    </w:p>
    <w:p w14:paraId="3023D6AB">
      <w:pPr>
        <w:bidi w:val="0"/>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根据《环境影响评价技术导则 大气环境》（HJ2.2-2018）推荐模式的AERSCREEN模式预测结果可知，运营期最大地面空气质量浓度占标率</w:t>
      </w:r>
      <w:r>
        <w:rPr>
          <w:rFonts w:hint="eastAsia" w:ascii="Times New Roman" w:hAnsi="Times New Roman"/>
          <w:i/>
          <w:color w:val="auto"/>
          <w:sz w:val="24"/>
          <w:szCs w:val="24"/>
          <w:highlight w:val="none"/>
        </w:rPr>
        <w:t>P</w:t>
      </w:r>
      <w:r>
        <w:rPr>
          <w:rFonts w:hint="eastAsia" w:ascii="Times New Roman" w:hAnsi="Times New Roman"/>
          <w:color w:val="auto"/>
          <w:sz w:val="24"/>
          <w:szCs w:val="24"/>
          <w:highlight w:val="none"/>
          <w:vertAlign w:val="subscript"/>
        </w:rPr>
        <w:t>max</w:t>
      </w:r>
      <w:r>
        <w:rPr>
          <w:rFonts w:hint="eastAsia" w:ascii="Times New Roman" w:hAnsi="Times New Roman"/>
          <w:color w:val="auto"/>
          <w:sz w:val="24"/>
          <w:szCs w:val="24"/>
          <w:highlight w:val="none"/>
        </w:rPr>
        <w:t>为</w:t>
      </w:r>
      <w:r>
        <w:rPr>
          <w:rFonts w:hint="eastAsia"/>
          <w:color w:val="auto"/>
          <w:sz w:val="24"/>
          <w:szCs w:val="24"/>
          <w:highlight w:val="none"/>
          <w:lang w:val="en-US" w:eastAsia="zh-CN"/>
        </w:rPr>
        <w:t>218.43%</w:t>
      </w:r>
      <w:r>
        <w:rPr>
          <w:rFonts w:hint="eastAsia" w:ascii="Times New Roman" w:hAnsi="Times New Roman"/>
          <w:color w:val="auto"/>
          <w:sz w:val="24"/>
          <w:szCs w:val="24"/>
          <w:highlight w:val="none"/>
        </w:rPr>
        <w:t>，本次大气环境影响评价等级为一级，需采用进一步预测模型开展大气环境影响预测与评价。</w:t>
      </w:r>
    </w:p>
    <w:p w14:paraId="7F7CEA63">
      <w:pPr>
        <w:bidi w:val="0"/>
        <w:ind w:left="0" w:leftChars="0" w:firstLine="480" w:firstLineChars="200"/>
        <w:rPr>
          <w:rFonts w:ascii="Times New Roman" w:hAnsi="Times New Roman"/>
          <w:color w:val="auto"/>
          <w:sz w:val="24"/>
          <w:szCs w:val="24"/>
          <w:highlight w:val="none"/>
        </w:rPr>
      </w:pPr>
      <w:r>
        <w:rPr>
          <w:rFonts w:cs="Calibri"/>
          <w:color w:val="auto"/>
          <w:sz w:val="24"/>
          <w:szCs w:val="24"/>
          <w:highlight w:val="none"/>
        </w:rPr>
        <w:t>根据查阅</w:t>
      </w:r>
      <w:r>
        <w:rPr>
          <w:rFonts w:hint="eastAsia" w:cs="Calibri"/>
          <w:color w:val="auto"/>
          <w:sz w:val="24"/>
          <w:szCs w:val="24"/>
          <w:highlight w:val="none"/>
        </w:rPr>
        <w:t>与本项目气象特征基本一致的</w:t>
      </w:r>
      <w:r>
        <w:rPr>
          <w:rFonts w:cs="Calibri"/>
          <w:color w:val="auto"/>
          <w:sz w:val="24"/>
          <w:szCs w:val="24"/>
          <w:highlight w:val="none"/>
        </w:rPr>
        <w:t>气象站点（</w:t>
      </w:r>
      <w:r>
        <w:rPr>
          <w:rFonts w:hint="eastAsia" w:cs="Calibri"/>
          <w:color w:val="auto"/>
          <w:sz w:val="24"/>
          <w:szCs w:val="24"/>
          <w:highlight w:val="none"/>
          <w:lang w:eastAsia="zh-CN"/>
        </w:rPr>
        <w:t>通江气象站</w:t>
      </w:r>
      <w:r>
        <w:rPr>
          <w:rFonts w:cs="Calibri"/>
          <w:color w:val="auto"/>
          <w:sz w:val="24"/>
          <w:szCs w:val="24"/>
          <w:highlight w:val="none"/>
        </w:rPr>
        <w:t>）近二十年统计数据，</w:t>
      </w:r>
      <w:r>
        <w:rPr>
          <w:rFonts w:hint="eastAsia" w:cs="Calibri"/>
          <w:color w:val="auto"/>
          <w:sz w:val="24"/>
          <w:szCs w:val="24"/>
          <w:highlight w:val="none"/>
          <w:lang w:eastAsia="zh-CN"/>
        </w:rPr>
        <w:t>通江气象站</w:t>
      </w:r>
      <w:r>
        <w:rPr>
          <w:rFonts w:cs="Calibri"/>
          <w:color w:val="auto"/>
          <w:sz w:val="24"/>
          <w:szCs w:val="24"/>
          <w:highlight w:val="none"/>
        </w:rPr>
        <w:t>多年静风（风速≤0.2m/s）频率为</w:t>
      </w:r>
      <w:r>
        <w:rPr>
          <w:rFonts w:hint="eastAsia" w:cs="Calibri"/>
          <w:color w:val="auto"/>
          <w:sz w:val="24"/>
          <w:szCs w:val="24"/>
          <w:highlight w:val="none"/>
          <w:lang w:val="en-US" w:eastAsia="zh-CN"/>
        </w:rPr>
        <w:t>7.6</w:t>
      </w:r>
      <w:r>
        <w:rPr>
          <w:rFonts w:cs="Calibri"/>
          <w:color w:val="auto"/>
          <w:sz w:val="24"/>
          <w:szCs w:val="24"/>
          <w:highlight w:val="none"/>
        </w:rPr>
        <w:t>%，未超过35%；另根据现场勘查，项目所在地3km范围内无大型水体（海或湖），不会发生熏烟现象。根据《环境影响评价技术导则 大气环境》（HJ2.2-2018）中</w:t>
      </w:r>
      <w:r>
        <w:rPr>
          <w:rFonts w:ascii="宋体" w:hAnsi="宋体" w:cs="Calibri"/>
          <w:color w:val="auto"/>
          <w:sz w:val="24"/>
          <w:szCs w:val="24"/>
          <w:highlight w:val="none"/>
        </w:rPr>
        <w:t>“</w:t>
      </w:r>
      <w:r>
        <w:rPr>
          <w:rFonts w:cs="Calibri"/>
          <w:color w:val="auto"/>
          <w:sz w:val="24"/>
          <w:szCs w:val="24"/>
          <w:highlight w:val="none"/>
        </w:rPr>
        <w:t>8.5.1 预测模型选择原则</w:t>
      </w:r>
      <w:r>
        <w:rPr>
          <w:rFonts w:ascii="宋体" w:hAnsi="宋体" w:cs="Calibri"/>
          <w:color w:val="auto"/>
          <w:sz w:val="24"/>
          <w:szCs w:val="24"/>
          <w:highlight w:val="none"/>
        </w:rPr>
        <w:t>”</w:t>
      </w:r>
      <w:r>
        <w:rPr>
          <w:rFonts w:cs="Calibri"/>
          <w:color w:val="auto"/>
          <w:sz w:val="24"/>
          <w:szCs w:val="24"/>
          <w:highlight w:val="none"/>
        </w:rPr>
        <w:t>和附录A推荐模型清单，本次环评采用AERMOD模型进行进一步预测，选用六五软件工作室EIAProA2018内置AERMOD进行预测，满足《</w:t>
      </w:r>
      <w:r>
        <w:rPr>
          <w:rFonts w:hint="eastAsia" w:ascii="Times New Roman" w:hAnsi="Times New Roman"/>
          <w:color w:val="auto"/>
          <w:sz w:val="24"/>
          <w:szCs w:val="24"/>
          <w:highlight w:val="none"/>
        </w:rPr>
        <w:t>环境影响评价技术导则 大气环境》（HJ2.2-2018）中相关要求。</w:t>
      </w:r>
    </w:p>
    <w:p w14:paraId="3048B191">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3、气象数据</w:t>
      </w:r>
    </w:p>
    <w:p w14:paraId="4F81C332">
      <w:pPr>
        <w:pStyle w:val="30"/>
        <w:bidi w:val="0"/>
        <w:rPr>
          <w:color w:val="auto"/>
          <w:highlight w:val="none"/>
        </w:rPr>
      </w:pPr>
      <w:r>
        <w:rPr>
          <w:color w:val="auto"/>
          <w:highlight w:val="none"/>
        </w:rPr>
        <w:t>（1）</w:t>
      </w:r>
      <w:r>
        <w:rPr>
          <w:rFonts w:hint="eastAsia"/>
          <w:color w:val="auto"/>
          <w:highlight w:val="none"/>
        </w:rPr>
        <w:t>数据来源及基本信息</w:t>
      </w:r>
    </w:p>
    <w:p w14:paraId="1D327198">
      <w:pPr>
        <w:bidi w:val="0"/>
        <w:ind w:left="0" w:leftChars="0" w:firstLine="480" w:firstLineChars="200"/>
        <w:rPr>
          <w:rFonts w:hint="eastAsia"/>
          <w:color w:val="auto"/>
          <w:lang w:val="en-US" w:eastAsia="zh-CN"/>
        </w:rPr>
      </w:pPr>
      <w:r>
        <w:rPr>
          <w:rFonts w:hint="eastAsia"/>
          <w:color w:val="auto"/>
        </w:rPr>
        <w:t>本次环评地面气象数据中的风向、风速、干球温度、相对湿度等基本参数主要来源于</w:t>
      </w:r>
      <w:r>
        <w:rPr>
          <w:rFonts w:hint="eastAsia"/>
          <w:color w:val="auto"/>
          <w:lang w:eastAsia="zh-CN"/>
        </w:rPr>
        <w:t>通江气象站</w:t>
      </w:r>
      <w:r>
        <w:rPr>
          <w:rFonts w:hint="eastAsia"/>
          <w:color w:val="auto"/>
        </w:rPr>
        <w:t>20</w:t>
      </w:r>
      <w:r>
        <w:rPr>
          <w:color w:val="auto"/>
        </w:rPr>
        <w:t>2</w:t>
      </w:r>
      <w:r>
        <w:rPr>
          <w:rFonts w:hint="eastAsia"/>
          <w:color w:val="auto"/>
          <w:lang w:val="en-US" w:eastAsia="zh-CN"/>
        </w:rPr>
        <w:t>5</w:t>
      </w:r>
      <w:r>
        <w:rPr>
          <w:rFonts w:hint="eastAsia"/>
          <w:color w:val="auto"/>
        </w:rPr>
        <w:t>年的气象资料，气象站代码</w:t>
      </w:r>
      <w:r>
        <w:rPr>
          <w:rFonts w:hint="eastAsia"/>
          <w:color w:val="auto"/>
          <w:lang w:eastAsia="zh-CN"/>
        </w:rPr>
        <w:t>57320</w:t>
      </w:r>
      <w:r>
        <w:rPr>
          <w:rFonts w:hint="eastAsia"/>
          <w:color w:val="auto"/>
        </w:rPr>
        <w:t>，等级为</w:t>
      </w:r>
      <w:r>
        <w:rPr>
          <w:rFonts w:hint="eastAsia"/>
          <w:color w:val="auto"/>
          <w:lang w:val="en-US" w:eastAsia="zh-CN"/>
        </w:rPr>
        <w:t>基本</w:t>
      </w:r>
      <w:r>
        <w:rPr>
          <w:rFonts w:hint="eastAsia"/>
          <w:color w:val="auto"/>
        </w:rPr>
        <w:t>站，该数据实有率超过99.9%，正确率均接近100%；总云量、低云量数据基于中尺度气象模式WRF模拟得到。</w:t>
      </w:r>
      <w:r>
        <w:rPr>
          <w:rFonts w:hint="eastAsia"/>
          <w:color w:val="auto"/>
          <w:lang w:val="en-US" w:eastAsia="zh-CN"/>
        </w:rPr>
        <w:t xml:space="preserve">    </w:t>
      </w:r>
    </w:p>
    <w:p w14:paraId="5CBEE205">
      <w:pPr>
        <w:bidi w:val="0"/>
        <w:ind w:left="0" w:leftChars="0" w:firstLine="480" w:firstLineChars="200"/>
        <w:rPr>
          <w:rFonts w:hint="eastAsia"/>
          <w:color w:val="auto"/>
        </w:rPr>
      </w:pPr>
      <w:r>
        <w:rPr>
          <w:rFonts w:hint="eastAsia"/>
          <w:color w:val="auto"/>
        </w:rPr>
        <w:t>高空气象数据来源于中尺度气象模式WRF模拟，WRF模式版本为v4.3，采用美国环境预报中心（NCEP</w:t>
      </w:r>
      <w:r>
        <w:rPr>
          <w:rFonts w:hint="eastAsia"/>
          <w:color w:val="auto"/>
          <w:lang w:eastAsia="zh-CN"/>
        </w:rPr>
        <w:t>）</w:t>
      </w:r>
      <w:r>
        <w:rPr>
          <w:rFonts w:hint="eastAsia"/>
          <w:color w:val="auto"/>
        </w:rPr>
        <w:t>的FNL再分析资料作为边界条件和初始场，地形数据和下垫面土地利用分类数据采用USGS全球数据。模拟范围覆盖全中国，采用2层双向嵌套，细网格分辨率为27×27km，全国共划分为192×162个网格，垂直方向上共设置28层。</w:t>
      </w:r>
    </w:p>
    <w:p w14:paraId="300DB85C">
      <w:pPr>
        <w:bidi w:val="0"/>
        <w:ind w:left="0" w:leftChars="0" w:firstLine="480" w:firstLineChars="200"/>
        <w:rPr>
          <w:color w:val="auto"/>
        </w:rPr>
      </w:pPr>
      <w:r>
        <w:rPr>
          <w:rFonts w:hint="eastAsia"/>
          <w:color w:val="auto"/>
        </w:rPr>
        <w:t>数据严格按照《环境影响评价技术导则</w:t>
      </w:r>
      <w:r>
        <w:rPr>
          <w:rFonts w:hint="eastAsia"/>
          <w:color w:val="auto"/>
          <w:lang w:val="en-US" w:eastAsia="zh-CN"/>
        </w:rPr>
        <w:t xml:space="preserve"> </w:t>
      </w:r>
      <w:r>
        <w:rPr>
          <w:rFonts w:hint="eastAsia"/>
          <w:color w:val="auto"/>
        </w:rPr>
        <w:t>大气环境》（HJ2.2-2018</w:t>
      </w:r>
      <w:r>
        <w:rPr>
          <w:rFonts w:hint="eastAsia"/>
          <w:color w:val="auto"/>
          <w:lang w:eastAsia="zh-CN"/>
        </w:rPr>
        <w:t>）</w:t>
      </w:r>
      <w:r>
        <w:rPr>
          <w:rFonts w:hint="eastAsia"/>
          <w:color w:val="auto"/>
        </w:rPr>
        <w:t>要求处理，原始地面气象数据中的极个别缺失数据采用线性插值补充</w:t>
      </w:r>
      <w:r>
        <w:rPr>
          <w:rFonts w:hint="eastAsia"/>
          <w:color w:val="auto"/>
          <w:lang w:eastAsia="zh-CN"/>
        </w:rPr>
        <w:t>（</w:t>
      </w:r>
      <w:r>
        <w:rPr>
          <w:rFonts w:hint="eastAsia"/>
          <w:color w:val="auto"/>
        </w:rPr>
        <w:t>风向特殊处理</w:t>
      </w:r>
      <w:r>
        <w:rPr>
          <w:rFonts w:hint="eastAsia"/>
          <w:color w:val="auto"/>
          <w:lang w:eastAsia="zh-CN"/>
        </w:rPr>
        <w:t>）</w:t>
      </w:r>
      <w:r>
        <w:rPr>
          <w:rFonts w:hint="eastAsia"/>
          <w:color w:val="auto"/>
        </w:rPr>
        <w:t>，高空数据离地高度3000m以内的有效数据层数不少于10层，经处理后的数据可完全满足大气一级评价需求（含风险一级评价）。</w:t>
      </w:r>
    </w:p>
    <w:p w14:paraId="6B578810">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观测气象数据信息</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944"/>
        <w:gridCol w:w="938"/>
        <w:gridCol w:w="963"/>
        <w:gridCol w:w="856"/>
        <w:gridCol w:w="1010"/>
        <w:gridCol w:w="1014"/>
        <w:gridCol w:w="725"/>
        <w:gridCol w:w="2120"/>
      </w:tblGrid>
      <w:tr w14:paraId="7A23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96" w:type="pct"/>
            <w:vMerge w:val="restart"/>
            <w:noWrap w:val="0"/>
            <w:vAlign w:val="center"/>
          </w:tcPr>
          <w:p w14:paraId="6F345FA7">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气象站名称</w:t>
            </w:r>
          </w:p>
        </w:tc>
        <w:tc>
          <w:tcPr>
            <w:tcW w:w="496" w:type="pct"/>
            <w:vMerge w:val="restart"/>
            <w:noWrap w:val="0"/>
            <w:vAlign w:val="center"/>
          </w:tcPr>
          <w:p w14:paraId="104381E8">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气象站编号</w:t>
            </w:r>
          </w:p>
        </w:tc>
        <w:tc>
          <w:tcPr>
            <w:tcW w:w="493" w:type="pct"/>
            <w:vMerge w:val="restart"/>
            <w:noWrap w:val="0"/>
            <w:vAlign w:val="center"/>
          </w:tcPr>
          <w:p w14:paraId="39DCD056">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气象站等级</w:t>
            </w:r>
          </w:p>
        </w:tc>
        <w:tc>
          <w:tcPr>
            <w:tcW w:w="956" w:type="pct"/>
            <w:gridSpan w:val="2"/>
            <w:noWrap w:val="0"/>
            <w:vAlign w:val="center"/>
          </w:tcPr>
          <w:p w14:paraId="073680F5">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气象站坐标/°</w:t>
            </w:r>
          </w:p>
        </w:tc>
        <w:tc>
          <w:tcPr>
            <w:tcW w:w="531" w:type="pct"/>
            <w:vMerge w:val="restart"/>
            <w:noWrap w:val="0"/>
            <w:vAlign w:val="center"/>
          </w:tcPr>
          <w:p w14:paraId="5925B7AB">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相对距离/km</w:t>
            </w:r>
          </w:p>
        </w:tc>
        <w:tc>
          <w:tcPr>
            <w:tcW w:w="533" w:type="pct"/>
            <w:vMerge w:val="restart"/>
            <w:noWrap w:val="0"/>
            <w:vAlign w:val="center"/>
          </w:tcPr>
          <w:p w14:paraId="58CF8DF2">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海拔高度/m</w:t>
            </w:r>
          </w:p>
        </w:tc>
        <w:tc>
          <w:tcPr>
            <w:tcW w:w="381" w:type="pct"/>
            <w:vMerge w:val="restart"/>
            <w:noWrap w:val="0"/>
            <w:vAlign w:val="center"/>
          </w:tcPr>
          <w:p w14:paraId="60876375">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数据年份</w:t>
            </w:r>
          </w:p>
        </w:tc>
        <w:tc>
          <w:tcPr>
            <w:tcW w:w="1114" w:type="pct"/>
            <w:vMerge w:val="restart"/>
            <w:noWrap w:val="0"/>
            <w:vAlign w:val="center"/>
          </w:tcPr>
          <w:p w14:paraId="181C6CD4">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气象要素</w:t>
            </w:r>
          </w:p>
        </w:tc>
      </w:tr>
      <w:tr w14:paraId="21AD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0" w:type="auto"/>
            <w:vMerge w:val="continue"/>
            <w:noWrap w:val="0"/>
            <w:vAlign w:val="center"/>
          </w:tcPr>
          <w:p w14:paraId="33AB05B1">
            <w:pPr>
              <w:pStyle w:val="24"/>
              <w:bidi w:val="0"/>
              <w:rPr>
                <w:rFonts w:hint="eastAsia" w:ascii="Times New Roman" w:hAnsi="Times New Roman" w:eastAsia="宋体" w:cs="Courier New"/>
                <w:b w:val="0"/>
                <w:bCs w:val="0"/>
                <w:color w:val="auto"/>
                <w:sz w:val="18"/>
                <w:szCs w:val="18"/>
                <w:highlight w:val="none"/>
                <w:lang w:val="en-US" w:eastAsia="zh-CN"/>
              </w:rPr>
            </w:pPr>
          </w:p>
        </w:tc>
        <w:tc>
          <w:tcPr>
            <w:tcW w:w="0" w:type="auto"/>
            <w:vMerge w:val="continue"/>
            <w:noWrap w:val="0"/>
            <w:vAlign w:val="center"/>
          </w:tcPr>
          <w:p w14:paraId="29F6069D">
            <w:pPr>
              <w:pStyle w:val="24"/>
              <w:bidi w:val="0"/>
              <w:rPr>
                <w:rFonts w:hint="eastAsia" w:ascii="Times New Roman" w:hAnsi="Times New Roman" w:eastAsia="宋体" w:cs="Courier New"/>
                <w:b w:val="0"/>
                <w:bCs w:val="0"/>
                <w:color w:val="auto"/>
                <w:sz w:val="18"/>
                <w:szCs w:val="18"/>
                <w:highlight w:val="none"/>
                <w:lang w:val="en-US" w:eastAsia="zh-CN"/>
              </w:rPr>
            </w:pPr>
          </w:p>
        </w:tc>
        <w:tc>
          <w:tcPr>
            <w:tcW w:w="0" w:type="auto"/>
            <w:vMerge w:val="continue"/>
            <w:noWrap w:val="0"/>
            <w:vAlign w:val="center"/>
          </w:tcPr>
          <w:p w14:paraId="74D82A59">
            <w:pPr>
              <w:pStyle w:val="24"/>
              <w:bidi w:val="0"/>
              <w:rPr>
                <w:rFonts w:hint="eastAsia" w:ascii="Times New Roman" w:hAnsi="Times New Roman" w:eastAsia="宋体" w:cs="Courier New"/>
                <w:b w:val="0"/>
                <w:bCs w:val="0"/>
                <w:color w:val="auto"/>
                <w:sz w:val="18"/>
                <w:szCs w:val="18"/>
                <w:highlight w:val="none"/>
                <w:lang w:val="en-US" w:eastAsia="zh-CN"/>
              </w:rPr>
            </w:pPr>
          </w:p>
        </w:tc>
        <w:tc>
          <w:tcPr>
            <w:tcW w:w="506" w:type="pct"/>
            <w:noWrap w:val="0"/>
            <w:vAlign w:val="center"/>
          </w:tcPr>
          <w:p w14:paraId="0403382B">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经度</w:t>
            </w:r>
          </w:p>
        </w:tc>
        <w:tc>
          <w:tcPr>
            <w:tcW w:w="450" w:type="pct"/>
            <w:noWrap w:val="0"/>
            <w:vAlign w:val="center"/>
          </w:tcPr>
          <w:p w14:paraId="71DAAE7D">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纬度</w:t>
            </w:r>
          </w:p>
        </w:tc>
        <w:tc>
          <w:tcPr>
            <w:tcW w:w="531" w:type="pct"/>
            <w:vMerge w:val="continue"/>
            <w:noWrap w:val="0"/>
            <w:vAlign w:val="center"/>
          </w:tcPr>
          <w:p w14:paraId="3C4A4A31">
            <w:pPr>
              <w:pStyle w:val="24"/>
              <w:bidi w:val="0"/>
              <w:rPr>
                <w:rFonts w:hint="eastAsia" w:ascii="Times New Roman" w:hAnsi="Times New Roman" w:eastAsia="宋体" w:cs="Courier New"/>
                <w:b w:val="0"/>
                <w:bCs w:val="0"/>
                <w:color w:val="auto"/>
                <w:sz w:val="18"/>
                <w:szCs w:val="18"/>
                <w:highlight w:val="none"/>
                <w:lang w:val="en-US" w:eastAsia="zh-CN"/>
              </w:rPr>
            </w:pPr>
          </w:p>
        </w:tc>
        <w:tc>
          <w:tcPr>
            <w:tcW w:w="0" w:type="auto"/>
            <w:vMerge w:val="continue"/>
            <w:noWrap w:val="0"/>
            <w:vAlign w:val="center"/>
          </w:tcPr>
          <w:p w14:paraId="3C72B06E">
            <w:pPr>
              <w:pStyle w:val="24"/>
              <w:bidi w:val="0"/>
              <w:rPr>
                <w:rFonts w:hint="eastAsia" w:ascii="Times New Roman" w:hAnsi="Times New Roman" w:eastAsia="宋体" w:cs="Courier New"/>
                <w:b w:val="0"/>
                <w:bCs w:val="0"/>
                <w:color w:val="auto"/>
                <w:sz w:val="18"/>
                <w:szCs w:val="18"/>
                <w:highlight w:val="none"/>
                <w:lang w:val="en-US" w:eastAsia="zh-CN"/>
              </w:rPr>
            </w:pPr>
          </w:p>
        </w:tc>
        <w:tc>
          <w:tcPr>
            <w:tcW w:w="0" w:type="auto"/>
            <w:vMerge w:val="continue"/>
            <w:noWrap w:val="0"/>
            <w:vAlign w:val="center"/>
          </w:tcPr>
          <w:p w14:paraId="607877EF">
            <w:pPr>
              <w:pStyle w:val="24"/>
              <w:bidi w:val="0"/>
              <w:rPr>
                <w:rFonts w:hint="eastAsia" w:ascii="Times New Roman" w:hAnsi="Times New Roman" w:eastAsia="宋体" w:cs="Courier New"/>
                <w:b w:val="0"/>
                <w:bCs w:val="0"/>
                <w:color w:val="auto"/>
                <w:sz w:val="18"/>
                <w:szCs w:val="18"/>
                <w:highlight w:val="none"/>
                <w:lang w:val="en-US" w:eastAsia="zh-CN"/>
              </w:rPr>
            </w:pPr>
          </w:p>
        </w:tc>
        <w:tc>
          <w:tcPr>
            <w:tcW w:w="0" w:type="auto"/>
            <w:vMerge w:val="continue"/>
            <w:noWrap w:val="0"/>
            <w:vAlign w:val="center"/>
          </w:tcPr>
          <w:p w14:paraId="42D189EC">
            <w:pPr>
              <w:pStyle w:val="24"/>
              <w:bidi w:val="0"/>
              <w:rPr>
                <w:rFonts w:hint="eastAsia" w:ascii="Times New Roman" w:hAnsi="Times New Roman" w:eastAsia="宋体" w:cs="Courier New"/>
                <w:b w:val="0"/>
                <w:bCs w:val="0"/>
                <w:color w:val="auto"/>
                <w:sz w:val="18"/>
                <w:szCs w:val="18"/>
                <w:highlight w:val="none"/>
                <w:lang w:val="en-US" w:eastAsia="zh-CN"/>
              </w:rPr>
            </w:pPr>
          </w:p>
        </w:tc>
      </w:tr>
      <w:tr w14:paraId="489E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6" w:type="pct"/>
            <w:noWrap w:val="0"/>
            <w:vAlign w:val="center"/>
          </w:tcPr>
          <w:p w14:paraId="631B0A37">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通江</w:t>
            </w:r>
          </w:p>
        </w:tc>
        <w:tc>
          <w:tcPr>
            <w:tcW w:w="496" w:type="pct"/>
            <w:noWrap w:val="0"/>
            <w:vAlign w:val="center"/>
          </w:tcPr>
          <w:p w14:paraId="20544D20">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57320</w:t>
            </w:r>
          </w:p>
        </w:tc>
        <w:tc>
          <w:tcPr>
            <w:tcW w:w="493" w:type="pct"/>
            <w:noWrap w:val="0"/>
            <w:vAlign w:val="center"/>
          </w:tcPr>
          <w:p w14:paraId="2AE7FE10">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基本</w:t>
            </w:r>
            <w:r>
              <w:rPr>
                <w:rFonts w:hint="eastAsia" w:ascii="Times New Roman" w:hAnsi="Times New Roman" w:eastAsia="宋体" w:cs="Courier New"/>
                <w:b w:val="0"/>
                <w:bCs w:val="0"/>
                <w:color w:val="auto"/>
                <w:sz w:val="18"/>
                <w:szCs w:val="18"/>
                <w:highlight w:val="none"/>
                <w:lang w:val="en-US" w:eastAsia="zh-CN"/>
              </w:rPr>
              <w:t>站</w:t>
            </w:r>
          </w:p>
        </w:tc>
        <w:tc>
          <w:tcPr>
            <w:tcW w:w="506" w:type="pct"/>
            <w:noWrap w:val="0"/>
            <w:vAlign w:val="center"/>
          </w:tcPr>
          <w:p w14:paraId="709A2A8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107.217</w:t>
            </w:r>
          </w:p>
        </w:tc>
        <w:tc>
          <w:tcPr>
            <w:tcW w:w="450" w:type="pct"/>
            <w:noWrap w:val="0"/>
            <w:vAlign w:val="center"/>
          </w:tcPr>
          <w:p w14:paraId="1AD85F6C">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31.928</w:t>
            </w:r>
          </w:p>
        </w:tc>
        <w:tc>
          <w:tcPr>
            <w:tcW w:w="531" w:type="pct"/>
            <w:noWrap w:val="0"/>
            <w:vAlign w:val="center"/>
          </w:tcPr>
          <w:p w14:paraId="6609AF9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5.48</w:t>
            </w:r>
          </w:p>
        </w:tc>
        <w:tc>
          <w:tcPr>
            <w:tcW w:w="533" w:type="pct"/>
            <w:noWrap w:val="0"/>
            <w:vAlign w:val="center"/>
          </w:tcPr>
          <w:p w14:paraId="4CE3DC32">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483.0</w:t>
            </w:r>
          </w:p>
        </w:tc>
        <w:tc>
          <w:tcPr>
            <w:tcW w:w="381" w:type="pct"/>
            <w:noWrap w:val="0"/>
            <w:vAlign w:val="center"/>
          </w:tcPr>
          <w:p w14:paraId="1DFD999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202</w:t>
            </w:r>
            <w:r>
              <w:rPr>
                <w:rFonts w:hint="eastAsia" w:cs="Courier New"/>
                <w:b w:val="0"/>
                <w:bCs w:val="0"/>
                <w:color w:val="auto"/>
                <w:sz w:val="18"/>
                <w:szCs w:val="18"/>
                <w:highlight w:val="none"/>
                <w:lang w:val="en-US" w:eastAsia="zh-CN"/>
              </w:rPr>
              <w:t>5</w:t>
            </w:r>
          </w:p>
        </w:tc>
        <w:tc>
          <w:tcPr>
            <w:tcW w:w="1114" w:type="pct"/>
            <w:noWrap w:val="0"/>
            <w:vAlign w:val="center"/>
          </w:tcPr>
          <w:p w14:paraId="094D160A">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风向、风速、干球温度、相对湿度、总云量、低云量</w:t>
            </w:r>
          </w:p>
        </w:tc>
      </w:tr>
    </w:tbl>
    <w:p w14:paraId="437342D8">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模拟气象数据信息</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024"/>
        <w:gridCol w:w="1031"/>
        <w:gridCol w:w="1047"/>
        <w:gridCol w:w="1035"/>
        <w:gridCol w:w="1020"/>
        <w:gridCol w:w="2516"/>
        <w:gridCol w:w="818"/>
      </w:tblGrid>
      <w:tr w14:paraId="25E5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blHeader/>
        </w:trPr>
        <w:tc>
          <w:tcPr>
            <w:tcW w:w="538" w:type="pct"/>
            <w:vMerge w:val="restart"/>
            <w:noWrap w:val="0"/>
            <w:vAlign w:val="center"/>
          </w:tcPr>
          <w:p w14:paraId="75818204">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网格编号</w:t>
            </w:r>
          </w:p>
        </w:tc>
        <w:tc>
          <w:tcPr>
            <w:tcW w:w="1080" w:type="pct"/>
            <w:gridSpan w:val="2"/>
            <w:noWrap w:val="0"/>
            <w:vAlign w:val="center"/>
          </w:tcPr>
          <w:p w14:paraId="093C7089">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模拟点坐标/°</w:t>
            </w:r>
          </w:p>
        </w:tc>
        <w:tc>
          <w:tcPr>
            <w:tcW w:w="550" w:type="pct"/>
            <w:vMerge w:val="restart"/>
            <w:noWrap w:val="0"/>
            <w:vAlign w:val="center"/>
          </w:tcPr>
          <w:p w14:paraId="414A20FB">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相对距离/km</w:t>
            </w:r>
          </w:p>
        </w:tc>
        <w:tc>
          <w:tcPr>
            <w:tcW w:w="544" w:type="pct"/>
            <w:vMerge w:val="restart"/>
            <w:noWrap w:val="0"/>
            <w:vAlign w:val="center"/>
          </w:tcPr>
          <w:p w14:paraId="0A078CCB">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海拔高度/m</w:t>
            </w:r>
          </w:p>
        </w:tc>
        <w:tc>
          <w:tcPr>
            <w:tcW w:w="536" w:type="pct"/>
            <w:vMerge w:val="restart"/>
            <w:noWrap w:val="0"/>
            <w:vAlign w:val="center"/>
          </w:tcPr>
          <w:p w14:paraId="1C98E815">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数据年份</w:t>
            </w:r>
          </w:p>
        </w:tc>
        <w:tc>
          <w:tcPr>
            <w:tcW w:w="1322" w:type="pct"/>
            <w:vMerge w:val="restart"/>
            <w:noWrap w:val="0"/>
            <w:vAlign w:val="center"/>
          </w:tcPr>
          <w:p w14:paraId="771F280E">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模拟气象要素</w:t>
            </w:r>
          </w:p>
        </w:tc>
        <w:tc>
          <w:tcPr>
            <w:tcW w:w="430" w:type="pct"/>
            <w:vMerge w:val="restart"/>
            <w:noWrap w:val="0"/>
            <w:vAlign w:val="center"/>
          </w:tcPr>
          <w:p w14:paraId="74C8A765">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模拟方式</w:t>
            </w:r>
          </w:p>
        </w:tc>
      </w:tr>
      <w:tr w14:paraId="5384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538" w:type="pct"/>
            <w:vMerge w:val="continue"/>
            <w:noWrap w:val="0"/>
            <w:vAlign w:val="center"/>
          </w:tcPr>
          <w:p w14:paraId="5950A1F0">
            <w:pPr>
              <w:pStyle w:val="24"/>
              <w:bidi w:val="0"/>
              <w:rPr>
                <w:rFonts w:hint="eastAsia" w:ascii="Times New Roman" w:hAnsi="Times New Roman" w:eastAsia="宋体" w:cs="Courier New"/>
                <w:b/>
                <w:bCs/>
                <w:color w:val="auto"/>
                <w:sz w:val="18"/>
                <w:szCs w:val="18"/>
                <w:highlight w:val="none"/>
                <w:lang w:val="en-US" w:eastAsia="zh-CN"/>
              </w:rPr>
            </w:pPr>
          </w:p>
        </w:tc>
        <w:tc>
          <w:tcPr>
            <w:tcW w:w="538" w:type="pct"/>
            <w:noWrap w:val="0"/>
            <w:vAlign w:val="center"/>
          </w:tcPr>
          <w:p w14:paraId="7A13F118">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经度</w:t>
            </w:r>
          </w:p>
        </w:tc>
        <w:tc>
          <w:tcPr>
            <w:tcW w:w="542" w:type="pct"/>
            <w:noWrap w:val="0"/>
            <w:vAlign w:val="center"/>
          </w:tcPr>
          <w:p w14:paraId="22295A2F">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纬度</w:t>
            </w:r>
          </w:p>
        </w:tc>
        <w:tc>
          <w:tcPr>
            <w:tcW w:w="550" w:type="pct"/>
            <w:vMerge w:val="continue"/>
            <w:noWrap w:val="0"/>
            <w:vAlign w:val="center"/>
          </w:tcPr>
          <w:p w14:paraId="71E0E9AE">
            <w:pPr>
              <w:pStyle w:val="24"/>
              <w:bidi w:val="0"/>
              <w:rPr>
                <w:rFonts w:hint="eastAsia" w:ascii="Times New Roman" w:hAnsi="Times New Roman" w:eastAsia="宋体" w:cs="Courier New"/>
                <w:b/>
                <w:bCs/>
                <w:color w:val="auto"/>
                <w:sz w:val="18"/>
                <w:szCs w:val="18"/>
                <w:highlight w:val="none"/>
                <w:lang w:val="en-US" w:eastAsia="zh-CN"/>
              </w:rPr>
            </w:pPr>
          </w:p>
        </w:tc>
        <w:tc>
          <w:tcPr>
            <w:tcW w:w="544" w:type="pct"/>
            <w:vMerge w:val="continue"/>
            <w:noWrap w:val="0"/>
            <w:vAlign w:val="center"/>
          </w:tcPr>
          <w:p w14:paraId="0AA442A0">
            <w:pPr>
              <w:pStyle w:val="24"/>
              <w:bidi w:val="0"/>
              <w:rPr>
                <w:rFonts w:hint="eastAsia" w:ascii="Times New Roman" w:hAnsi="Times New Roman" w:eastAsia="宋体" w:cs="Courier New"/>
                <w:b/>
                <w:bCs/>
                <w:color w:val="auto"/>
                <w:sz w:val="18"/>
                <w:szCs w:val="18"/>
                <w:highlight w:val="none"/>
                <w:lang w:val="en-US" w:eastAsia="zh-CN"/>
              </w:rPr>
            </w:pPr>
          </w:p>
        </w:tc>
        <w:tc>
          <w:tcPr>
            <w:tcW w:w="536" w:type="pct"/>
            <w:vMerge w:val="continue"/>
            <w:noWrap w:val="0"/>
            <w:vAlign w:val="center"/>
          </w:tcPr>
          <w:p w14:paraId="2ECCBE66">
            <w:pPr>
              <w:pStyle w:val="24"/>
              <w:bidi w:val="0"/>
              <w:rPr>
                <w:rFonts w:hint="eastAsia" w:ascii="Times New Roman" w:hAnsi="Times New Roman" w:eastAsia="宋体" w:cs="Courier New"/>
                <w:b/>
                <w:bCs/>
                <w:color w:val="auto"/>
                <w:sz w:val="18"/>
                <w:szCs w:val="18"/>
                <w:highlight w:val="none"/>
                <w:lang w:val="en-US" w:eastAsia="zh-CN"/>
              </w:rPr>
            </w:pPr>
          </w:p>
        </w:tc>
        <w:tc>
          <w:tcPr>
            <w:tcW w:w="1322" w:type="pct"/>
            <w:vMerge w:val="continue"/>
            <w:noWrap w:val="0"/>
            <w:vAlign w:val="center"/>
          </w:tcPr>
          <w:p w14:paraId="68B38DD5">
            <w:pPr>
              <w:pStyle w:val="24"/>
              <w:bidi w:val="0"/>
              <w:rPr>
                <w:rFonts w:hint="eastAsia" w:ascii="Times New Roman" w:hAnsi="Times New Roman" w:eastAsia="宋体" w:cs="Courier New"/>
                <w:b/>
                <w:bCs/>
                <w:color w:val="auto"/>
                <w:sz w:val="18"/>
                <w:szCs w:val="18"/>
                <w:highlight w:val="none"/>
                <w:lang w:val="en-US" w:eastAsia="zh-CN"/>
              </w:rPr>
            </w:pPr>
          </w:p>
        </w:tc>
        <w:tc>
          <w:tcPr>
            <w:tcW w:w="430" w:type="pct"/>
            <w:vMerge w:val="continue"/>
            <w:noWrap w:val="0"/>
            <w:vAlign w:val="center"/>
          </w:tcPr>
          <w:p w14:paraId="4F7885EC">
            <w:pPr>
              <w:pStyle w:val="24"/>
              <w:bidi w:val="0"/>
              <w:rPr>
                <w:rFonts w:hint="eastAsia" w:ascii="Times New Roman" w:hAnsi="Times New Roman" w:eastAsia="宋体" w:cs="Courier New"/>
                <w:b/>
                <w:bCs/>
                <w:color w:val="auto"/>
                <w:sz w:val="18"/>
                <w:szCs w:val="18"/>
                <w:highlight w:val="none"/>
                <w:lang w:val="en-US" w:eastAsia="zh-CN"/>
              </w:rPr>
            </w:pPr>
          </w:p>
        </w:tc>
      </w:tr>
      <w:tr w14:paraId="5772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pct"/>
            <w:noWrap w:val="0"/>
            <w:vAlign w:val="center"/>
          </w:tcPr>
          <w:p w14:paraId="3DECF334">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22014</w:t>
            </w:r>
          </w:p>
        </w:tc>
        <w:tc>
          <w:tcPr>
            <w:tcW w:w="538" w:type="pct"/>
            <w:noWrap w:val="0"/>
            <w:vAlign w:val="center"/>
          </w:tcPr>
          <w:p w14:paraId="580F7CC5">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107.179</w:t>
            </w:r>
          </w:p>
        </w:tc>
        <w:tc>
          <w:tcPr>
            <w:tcW w:w="542" w:type="pct"/>
            <w:noWrap w:val="0"/>
            <w:vAlign w:val="center"/>
          </w:tcPr>
          <w:p w14:paraId="3918DEB5">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31.891</w:t>
            </w:r>
          </w:p>
        </w:tc>
        <w:tc>
          <w:tcPr>
            <w:tcW w:w="550" w:type="pct"/>
            <w:noWrap w:val="0"/>
            <w:vAlign w:val="center"/>
          </w:tcPr>
          <w:p w14:paraId="7E567BF1">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4.98</w:t>
            </w:r>
          </w:p>
        </w:tc>
        <w:tc>
          <w:tcPr>
            <w:tcW w:w="544" w:type="pct"/>
            <w:noWrap w:val="0"/>
            <w:vAlign w:val="center"/>
          </w:tcPr>
          <w:p w14:paraId="6B0D9B77">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416</w:t>
            </w:r>
          </w:p>
        </w:tc>
        <w:tc>
          <w:tcPr>
            <w:tcW w:w="536" w:type="pct"/>
            <w:noWrap w:val="0"/>
            <w:vAlign w:val="center"/>
          </w:tcPr>
          <w:p w14:paraId="5E8A107F">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202</w:t>
            </w:r>
            <w:r>
              <w:rPr>
                <w:rFonts w:hint="eastAsia" w:cs="Courier New"/>
                <w:b w:val="0"/>
                <w:bCs w:val="0"/>
                <w:color w:val="auto"/>
                <w:sz w:val="18"/>
                <w:szCs w:val="18"/>
                <w:highlight w:val="none"/>
                <w:lang w:val="en-US" w:eastAsia="zh-CN"/>
              </w:rPr>
              <w:t>5</w:t>
            </w:r>
          </w:p>
        </w:tc>
        <w:tc>
          <w:tcPr>
            <w:tcW w:w="1322" w:type="pct"/>
            <w:noWrap w:val="0"/>
            <w:vAlign w:val="center"/>
          </w:tcPr>
          <w:p w14:paraId="04DB02F8">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不同离地高度的气压、温度、风速、风向等</w:t>
            </w:r>
          </w:p>
        </w:tc>
        <w:tc>
          <w:tcPr>
            <w:tcW w:w="430" w:type="pct"/>
            <w:noWrap w:val="0"/>
            <w:vAlign w:val="center"/>
          </w:tcPr>
          <w:p w14:paraId="139ACE89">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WRF</w:t>
            </w:r>
          </w:p>
        </w:tc>
      </w:tr>
    </w:tbl>
    <w:p w14:paraId="436CB5E8">
      <w:pPr>
        <w:pStyle w:val="30"/>
        <w:bidi w:val="0"/>
        <w:rPr>
          <w:color w:val="auto"/>
          <w:highlight w:val="none"/>
        </w:rPr>
      </w:pPr>
      <w:r>
        <w:rPr>
          <w:color w:val="auto"/>
          <w:highlight w:val="none"/>
        </w:rPr>
        <w:t>（2）</w:t>
      </w:r>
      <w:r>
        <w:rPr>
          <w:rFonts w:hint="eastAsia"/>
          <w:color w:val="auto"/>
          <w:highlight w:val="none"/>
        </w:rPr>
        <w:t>气象统计分析</w:t>
      </w:r>
    </w:p>
    <w:p w14:paraId="26D8CE5B">
      <w:pPr>
        <w:pStyle w:val="30"/>
        <w:bidi w:val="0"/>
        <w:rPr>
          <w:rFonts w:hint="eastAsia" w:ascii="Times New Roman" w:hAnsi="Times New Roman" w:eastAsia="黑体" w:cs="Times New Roman"/>
          <w:color w:val="auto"/>
          <w:sz w:val="21"/>
          <w:szCs w:val="21"/>
          <w:highlight w:val="none"/>
          <w:lang w:val="en-US" w:eastAsia="zh-CN"/>
        </w:rPr>
      </w:pPr>
      <w:r>
        <w:rPr>
          <w:rFonts w:hint="eastAsia" w:cs="Times New Roman"/>
          <w:b w:val="0"/>
          <w:bCs/>
          <w:color w:val="auto"/>
          <w:lang w:val="en-US" w:eastAsia="zh-CN" w:bidi="ar"/>
        </w:rPr>
        <w:t>略。</w:t>
      </w:r>
    </w:p>
    <w:p w14:paraId="29043B0C">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4、地形数据</w:t>
      </w:r>
    </w:p>
    <w:p w14:paraId="3BEC26CF">
      <w:pPr>
        <w:bidi w:val="0"/>
        <w:ind w:left="0" w:leftChars="0" w:firstLine="480" w:firstLineChars="200"/>
        <w:rPr>
          <w:rFonts w:hint="eastAsia"/>
          <w:color w:val="auto"/>
          <w:lang w:eastAsia="zh-CN"/>
        </w:rPr>
      </w:pPr>
      <w:r>
        <w:rPr>
          <w:rFonts w:hint="eastAsia"/>
          <w:color w:val="auto"/>
        </w:rPr>
        <w:t>本项目地形数据采用SRTM（Shuttle Radar Topography Mission）90m分辨率地形数据，所需地形数据由http://srtm.csi.cgiar.org提供，区域地形见下图</w:t>
      </w:r>
      <w:r>
        <w:rPr>
          <w:rFonts w:hint="eastAsia"/>
          <w:color w:val="auto"/>
          <w:lang w:eastAsia="zh-CN"/>
        </w:rPr>
        <w:t>。</w:t>
      </w:r>
    </w:p>
    <w:p w14:paraId="21956696">
      <w:pPr>
        <w:bidi w:val="0"/>
        <w:ind w:left="0" w:leftChars="0" w:firstLine="0" w:firstLineChars="0"/>
        <w:rPr>
          <w:rFonts w:hint="eastAsia"/>
          <w:color w:val="auto"/>
          <w:lang w:eastAsia="zh-CN"/>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page">
                  <wp:posOffset>2728595</wp:posOffset>
                </wp:positionH>
                <wp:positionV relativeFrom="paragraph">
                  <wp:posOffset>1147445</wp:posOffset>
                </wp:positionV>
                <wp:extent cx="914400" cy="348615"/>
                <wp:effectExtent l="81915" t="6350" r="13335" b="540385"/>
                <wp:wrapNone/>
                <wp:docPr id="469" name="圆角矩形标注 469"/>
                <wp:cNvGraphicFramePr/>
                <a:graphic xmlns:a="http://schemas.openxmlformats.org/drawingml/2006/main">
                  <a:graphicData uri="http://schemas.microsoft.com/office/word/2010/wordprocessingShape">
                    <wps:wsp>
                      <wps:cNvSpPr>
                        <a:spLocks noChangeArrowheads="1"/>
                      </wps:cNvSpPr>
                      <wps:spPr bwMode="auto">
                        <a:xfrm>
                          <a:off x="0" y="0"/>
                          <a:ext cx="914400" cy="348615"/>
                        </a:xfrm>
                        <a:prstGeom prst="wedgeRoundRectCallout">
                          <a:avLst>
                            <a:gd name="adj1" fmla="val -56622"/>
                            <a:gd name="adj2" fmla="val 191072"/>
                            <a:gd name="adj3" fmla="val 16667"/>
                          </a:avLst>
                        </a:prstGeom>
                        <a:solidFill>
                          <a:srgbClr val="FFFFFF"/>
                        </a:solidFill>
                        <a:ln w="12700">
                          <a:solidFill>
                            <a:srgbClr val="FF0000"/>
                          </a:solidFill>
                          <a:miter lim="800000"/>
                        </a:ln>
                        <a:effectLst/>
                      </wps:spPr>
                      <wps:txbx>
                        <w:txbxContent>
                          <w:p w14:paraId="70FC7C24">
                            <w:pPr>
                              <w:ind w:left="0" w:leftChars="0" w:firstLine="240" w:firstLineChars="100"/>
                              <w:jc w:val="both"/>
                              <w:rPr>
                                <w:color w:val="FF0000"/>
                                <w:sz w:val="24"/>
                              </w:rPr>
                            </w:pPr>
                            <w:r>
                              <w:rPr>
                                <w:rFonts w:hint="eastAsia"/>
                                <w:color w:val="FF0000"/>
                                <w:sz w:val="24"/>
                              </w:rPr>
                              <w:t>本项目</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14.85pt;margin-top:90.35pt;height:27.45pt;width:72pt;mso-position-horizontal-relative:page;z-index:251660288;mso-width-relative:page;mso-height-relative:page;" fillcolor="#FFFFFF" filled="t" stroked="t" coordsize="21600,21600" o:gfxdata="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UbRG61gAAAAsBAAAPAAAA&#10;AAAAAAEAIAAAACIAAABkcnMvZG93bnJldi54bWxQSwECFAAUAAAACACHTuJAx0ubjIkCAAAgBQAA&#10;DgAAAAAAAAABACAAAAAlAQAAZHJzL2Uyb0RvYy54bWxQSwUGAAAAAAYABgBZAQAAIAYAAAAA&#10;" adj="-1430,52072,14400">
                <v:fill on="t" focussize="0,0"/>
                <v:stroke weight="1pt" color="#FF0000" miterlimit="8" joinstyle="miter"/>
                <v:imagedata o:title=""/>
                <o:lock v:ext="edit" aspectratio="f"/>
                <v:textbox>
                  <w:txbxContent>
                    <w:p w14:paraId="70FC7C24">
                      <w:pPr>
                        <w:ind w:left="0" w:leftChars="0" w:firstLine="240" w:firstLineChars="100"/>
                        <w:jc w:val="both"/>
                        <w:rPr>
                          <w:color w:val="FF0000"/>
                          <w:sz w:val="24"/>
                        </w:rPr>
                      </w:pPr>
                      <w:r>
                        <w:rPr>
                          <w:rFonts w:hint="eastAsia"/>
                          <w:color w:val="FF0000"/>
                          <w:sz w:val="24"/>
                        </w:rPr>
                        <w:t>本项目</w:t>
                      </w:r>
                    </w:p>
                  </w:txbxContent>
                </v:textbox>
              </v:shape>
            </w:pict>
          </mc:Fallback>
        </mc:AlternateContent>
      </w:r>
      <w:r>
        <w:rPr>
          <w:color w:val="auto"/>
        </w:rPr>
        <w:drawing>
          <wp:inline distT="0" distB="0" distL="114300" distR="114300">
            <wp:extent cx="5902325" cy="3552825"/>
            <wp:effectExtent l="0" t="0" r="3175" b="9525"/>
            <wp:docPr id="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
                    <pic:cNvPicPr>
                      <a:picLocks noChangeAspect="1"/>
                    </pic:cNvPicPr>
                  </pic:nvPicPr>
                  <pic:blipFill>
                    <a:blip r:embed="rId51"/>
                    <a:stretch>
                      <a:fillRect/>
                    </a:stretch>
                  </pic:blipFill>
                  <pic:spPr>
                    <a:xfrm>
                      <a:off x="0" y="0"/>
                      <a:ext cx="5902325" cy="3552825"/>
                    </a:xfrm>
                    <a:prstGeom prst="rect">
                      <a:avLst/>
                    </a:prstGeom>
                    <a:noFill/>
                    <a:ln>
                      <a:noFill/>
                    </a:ln>
                  </pic:spPr>
                </pic:pic>
              </a:graphicData>
            </a:graphic>
          </wp:inline>
        </w:drawing>
      </w:r>
    </w:p>
    <w:p w14:paraId="45482F57">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区域地形高程示意图</w:t>
      </w:r>
    </w:p>
    <w:p w14:paraId="137B3392">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5、土地利用图</w:t>
      </w:r>
    </w:p>
    <w:p w14:paraId="6B6ED019">
      <w:pPr>
        <w:numPr>
          <w:ilvl w:val="0"/>
          <w:numId w:val="0"/>
        </w:numPr>
        <w:tabs>
          <w:tab w:val="left" w:pos="0"/>
        </w:tabs>
        <w:ind w:firstLine="480" w:firstLineChars="200"/>
        <w:jc w:val="both"/>
        <w:rPr>
          <w:rFonts w:hint="eastAsia"/>
          <w:color w:val="auto"/>
          <w:highlight w:val="none"/>
          <w:lang w:eastAsia="zh-CN"/>
        </w:rPr>
      </w:pPr>
      <w:r>
        <w:rPr>
          <w:color w:val="auto"/>
          <w:highlight w:val="none"/>
        </w:rPr>
        <w:t>本项目位于</w:t>
      </w:r>
      <w:r>
        <w:rPr>
          <w:rFonts w:hint="eastAsia"/>
          <w:color w:val="auto"/>
          <w:highlight w:val="none"/>
          <w:lang w:val="en-US" w:eastAsia="zh-CN"/>
        </w:rPr>
        <w:t>四川巴中经济开发区金堂区块（巴中曾口-金堂化工园区）内</w:t>
      </w:r>
      <w:r>
        <w:rPr>
          <w:rFonts w:hint="eastAsia"/>
          <w:color w:val="auto"/>
          <w:highlight w:val="none"/>
        </w:rPr>
        <w:t>，区域土地利用类型为</w:t>
      </w:r>
      <w:r>
        <w:rPr>
          <w:rFonts w:hint="eastAsia"/>
          <w:color w:val="auto"/>
          <w:highlight w:val="none"/>
          <w:lang w:val="en-US" w:eastAsia="zh-CN"/>
        </w:rPr>
        <w:t>建设用地、农用地、林地、交通水利用地</w:t>
      </w:r>
      <w:r>
        <w:rPr>
          <w:rFonts w:hint="eastAsia"/>
          <w:color w:val="auto"/>
          <w:highlight w:val="none"/>
        </w:rPr>
        <w:t>等</w:t>
      </w:r>
      <w:r>
        <w:rPr>
          <w:rFonts w:hint="eastAsia"/>
          <w:color w:val="auto"/>
          <w:highlight w:val="none"/>
          <w:lang w:eastAsia="zh-CN"/>
        </w:rPr>
        <w:t>。</w:t>
      </w:r>
    </w:p>
    <w:p w14:paraId="50CD2DE6">
      <w:pPr>
        <w:numPr>
          <w:ilvl w:val="0"/>
          <w:numId w:val="0"/>
        </w:numPr>
        <w:tabs>
          <w:tab w:val="left" w:pos="0"/>
        </w:tabs>
        <w:jc w:val="center"/>
        <w:rPr>
          <w:rFonts w:hint="eastAsia"/>
          <w:color w:val="auto"/>
          <w:highlight w:val="none"/>
          <w:lang w:eastAsia="zh-CN"/>
        </w:rPr>
      </w:pPr>
      <w:r>
        <w:rPr>
          <w:color w:val="auto"/>
        </w:rPr>
        <w:drawing>
          <wp:inline distT="0" distB="0" distL="114300" distR="114300">
            <wp:extent cx="5504815" cy="4674870"/>
            <wp:effectExtent l="0" t="0" r="635" b="11430"/>
            <wp:docPr id="1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
                    <pic:cNvPicPr>
                      <a:picLocks noChangeAspect="1"/>
                    </pic:cNvPicPr>
                  </pic:nvPicPr>
                  <pic:blipFill>
                    <a:blip r:embed="rId22"/>
                    <a:stretch>
                      <a:fillRect/>
                    </a:stretch>
                  </pic:blipFill>
                  <pic:spPr>
                    <a:xfrm>
                      <a:off x="0" y="0"/>
                      <a:ext cx="5504815" cy="4674870"/>
                    </a:xfrm>
                    <a:prstGeom prst="rect">
                      <a:avLst/>
                    </a:prstGeom>
                    <a:noFill/>
                    <a:ln>
                      <a:noFill/>
                    </a:ln>
                  </pic:spPr>
                </pic:pic>
              </a:graphicData>
            </a:graphic>
          </wp:inline>
        </w:drawing>
      </w:r>
    </w:p>
    <w:p w14:paraId="6B7134A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区域土地利用类型图</w:t>
      </w:r>
    </w:p>
    <w:p w14:paraId="7A291A99">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6、模型主要参数设置</w:t>
      </w:r>
    </w:p>
    <w:p w14:paraId="5E575F35">
      <w:pPr>
        <w:pStyle w:val="30"/>
        <w:bidi w:val="0"/>
        <w:rPr>
          <w:color w:val="auto"/>
          <w:highlight w:val="none"/>
        </w:rPr>
      </w:pPr>
      <w:r>
        <w:rPr>
          <w:color w:val="auto"/>
          <w:highlight w:val="none"/>
        </w:rPr>
        <w:t>（</w:t>
      </w:r>
      <w:r>
        <w:rPr>
          <w:rFonts w:hint="eastAsia"/>
          <w:color w:val="auto"/>
          <w:highlight w:val="none"/>
        </w:rPr>
        <w:t>1）预测网格设置</w:t>
      </w:r>
    </w:p>
    <w:p w14:paraId="1FE3A402">
      <w:pPr>
        <w:bidi w:val="0"/>
        <w:ind w:left="0" w:leftChars="0" w:firstLine="480" w:firstLineChars="200"/>
        <w:rPr>
          <w:color w:val="auto"/>
        </w:rPr>
      </w:pPr>
      <w:r>
        <w:rPr>
          <w:rFonts w:hint="eastAsia"/>
          <w:color w:val="auto"/>
        </w:rPr>
        <w:t>本项目大气环境影响预测范围与评价范围一致，以项目厂址为中心区域，自厂界外延边长为5km的矩形区域，该范围覆盖了评价范围及各污染物短期浓度贡献值占标率大于10%的区域。本次预测网格点采用等间距法进行设置，</w:t>
      </w:r>
      <w:r>
        <w:rPr>
          <w:color w:val="auto"/>
        </w:rPr>
        <w:t>网格间距</w:t>
      </w:r>
      <w:r>
        <w:rPr>
          <w:rFonts w:hint="eastAsia"/>
          <w:color w:val="auto"/>
        </w:rPr>
        <w:t>100m。</w:t>
      </w:r>
    </w:p>
    <w:p w14:paraId="463B0F72">
      <w:pPr>
        <w:pStyle w:val="30"/>
        <w:bidi w:val="0"/>
        <w:rPr>
          <w:color w:val="auto"/>
          <w:highlight w:val="none"/>
        </w:rPr>
      </w:pPr>
      <w:r>
        <w:rPr>
          <w:color w:val="auto"/>
          <w:highlight w:val="none"/>
        </w:rPr>
        <w:t>（2</w:t>
      </w:r>
      <w:r>
        <w:rPr>
          <w:rFonts w:hint="eastAsia"/>
          <w:color w:val="auto"/>
          <w:highlight w:val="none"/>
        </w:rPr>
        <w:t>）建筑物下洗</w:t>
      </w:r>
    </w:p>
    <w:p w14:paraId="336767A3">
      <w:pPr>
        <w:bidi w:val="0"/>
        <w:ind w:left="0" w:leftChars="0" w:firstLine="480" w:firstLineChars="200"/>
        <w:rPr>
          <w:rFonts w:cs="Calibri"/>
          <w:color w:val="auto"/>
          <w:sz w:val="24"/>
          <w:szCs w:val="24"/>
          <w:highlight w:val="none"/>
        </w:rPr>
      </w:pPr>
      <w:r>
        <w:rPr>
          <w:rFonts w:cs="Calibri"/>
          <w:color w:val="auto"/>
          <w:sz w:val="24"/>
          <w:szCs w:val="24"/>
          <w:highlight w:val="none"/>
        </w:rPr>
        <w:t>如果烟囱实际高度小于根据周围建筑物高度计算的最佳工程方案（GEP）烟囱高度时，且位于GEP的5</w:t>
      </w:r>
      <w:r>
        <w:rPr>
          <w:rFonts w:cs="Calibri"/>
          <w:i/>
          <w:color w:val="auto"/>
          <w:sz w:val="24"/>
          <w:szCs w:val="24"/>
          <w:highlight w:val="none"/>
        </w:rPr>
        <w:t>L</w:t>
      </w:r>
      <w:r>
        <w:rPr>
          <w:rFonts w:cs="Calibri"/>
          <w:color w:val="auto"/>
          <w:sz w:val="24"/>
          <w:szCs w:val="24"/>
          <w:highlight w:val="none"/>
        </w:rPr>
        <w:t>影响区域内时，则需考虑建筑物下洗的情况。GEP烟囱高度计算公式为：</w:t>
      </w:r>
    </w:p>
    <w:p w14:paraId="58127504">
      <w:pPr>
        <w:bidi w:val="0"/>
        <w:ind w:left="0" w:leftChars="0" w:firstLine="0" w:firstLineChars="0"/>
        <w:jc w:val="center"/>
        <w:rPr>
          <w:rFonts w:cs="Calibri"/>
          <w:color w:val="auto"/>
          <w:sz w:val="24"/>
          <w:szCs w:val="24"/>
          <w:highlight w:val="none"/>
        </w:rPr>
      </w:pPr>
      <w:r>
        <w:rPr>
          <w:rFonts w:cs="Calibri"/>
          <w:color w:val="auto"/>
          <w:sz w:val="24"/>
          <w:szCs w:val="24"/>
          <w:highlight w:val="none"/>
        </w:rPr>
        <w:t>GEP烟囱高度=</w:t>
      </w:r>
      <w:r>
        <w:rPr>
          <w:rFonts w:cs="Calibri"/>
          <w:i/>
          <w:color w:val="auto"/>
          <w:sz w:val="24"/>
          <w:szCs w:val="24"/>
          <w:highlight w:val="none"/>
        </w:rPr>
        <w:t>H</w:t>
      </w:r>
      <w:r>
        <w:rPr>
          <w:rFonts w:cs="Calibri"/>
          <w:color w:val="auto"/>
          <w:sz w:val="24"/>
          <w:szCs w:val="24"/>
          <w:highlight w:val="none"/>
        </w:rPr>
        <w:t>+1.5</w:t>
      </w:r>
      <w:r>
        <w:rPr>
          <w:rFonts w:cs="Calibri"/>
          <w:i/>
          <w:color w:val="auto"/>
          <w:sz w:val="24"/>
          <w:szCs w:val="24"/>
          <w:highlight w:val="none"/>
        </w:rPr>
        <w:t>L</w:t>
      </w:r>
    </w:p>
    <w:p w14:paraId="4D6AF80D">
      <w:pPr>
        <w:spacing w:line="360" w:lineRule="auto"/>
        <w:ind w:left="0" w:leftChars="0" w:firstLine="480" w:firstLineChars="200"/>
        <w:rPr>
          <w:rFonts w:cs="Calibri"/>
          <w:color w:val="auto"/>
          <w:sz w:val="24"/>
          <w:szCs w:val="24"/>
          <w:highlight w:val="none"/>
        </w:rPr>
      </w:pPr>
      <w:r>
        <w:rPr>
          <w:rFonts w:cs="Calibri"/>
          <w:color w:val="auto"/>
          <w:sz w:val="24"/>
          <w:szCs w:val="24"/>
          <w:highlight w:val="none"/>
        </w:rPr>
        <w:t>式中：</w:t>
      </w:r>
      <w:r>
        <w:rPr>
          <w:rFonts w:cs="Calibri"/>
          <w:i/>
          <w:color w:val="auto"/>
          <w:sz w:val="24"/>
          <w:szCs w:val="24"/>
          <w:highlight w:val="none"/>
        </w:rPr>
        <w:t>H</w:t>
      </w:r>
      <w:r>
        <w:rPr>
          <w:rFonts w:cs="Calibri"/>
          <w:color w:val="auto"/>
          <w:sz w:val="24"/>
          <w:szCs w:val="24"/>
          <w:highlight w:val="none"/>
        </w:rPr>
        <w:t>——从烟囱基座地面到建筑物顶部的垂直高度，m；</w:t>
      </w:r>
    </w:p>
    <w:p w14:paraId="1AC3F727">
      <w:pPr>
        <w:spacing w:line="360" w:lineRule="auto"/>
        <w:ind w:firstLine="720" w:firstLineChars="300"/>
        <w:rPr>
          <w:rFonts w:cs="Calibri"/>
          <w:color w:val="auto"/>
          <w:sz w:val="24"/>
          <w:szCs w:val="24"/>
          <w:highlight w:val="none"/>
        </w:rPr>
      </w:pPr>
      <w:r>
        <w:rPr>
          <w:rFonts w:cs="Calibri"/>
          <w:i/>
          <w:color w:val="auto"/>
          <w:sz w:val="24"/>
          <w:szCs w:val="24"/>
          <w:highlight w:val="none"/>
        </w:rPr>
        <w:t>L</w:t>
      </w:r>
      <w:r>
        <w:rPr>
          <w:rFonts w:cs="Calibri"/>
          <w:color w:val="auto"/>
          <w:sz w:val="24"/>
          <w:szCs w:val="24"/>
          <w:highlight w:val="none"/>
        </w:rPr>
        <w:t>——建筑物高度（BH）或建筑物投影宽度（PBW）的较小者，m。</w:t>
      </w:r>
    </w:p>
    <w:p w14:paraId="5CD5DD62">
      <w:pPr>
        <w:bidi w:val="0"/>
        <w:ind w:left="0" w:leftChars="0" w:firstLine="480" w:firstLineChars="200"/>
        <w:rPr>
          <w:rFonts w:cs="Calibri"/>
          <w:color w:val="auto"/>
          <w:sz w:val="24"/>
          <w:szCs w:val="24"/>
          <w:highlight w:val="none"/>
        </w:rPr>
      </w:pPr>
      <w:r>
        <w:rPr>
          <w:rFonts w:cs="Calibri"/>
          <w:color w:val="auto"/>
          <w:sz w:val="24"/>
          <w:szCs w:val="24"/>
          <w:highlight w:val="none"/>
        </w:rPr>
        <w:t>GEP的5</w:t>
      </w:r>
      <w:r>
        <w:rPr>
          <w:rFonts w:cs="Calibri"/>
          <w:i/>
          <w:color w:val="auto"/>
          <w:sz w:val="24"/>
          <w:szCs w:val="24"/>
          <w:highlight w:val="none"/>
        </w:rPr>
        <w:t>L</w:t>
      </w:r>
      <w:r>
        <w:rPr>
          <w:rFonts w:cs="Calibri"/>
          <w:color w:val="auto"/>
          <w:sz w:val="24"/>
          <w:szCs w:val="24"/>
          <w:highlight w:val="none"/>
        </w:rPr>
        <w:t>影响区域：每个建筑物在下风向会产生一个尾迹影响区，下风向影响最大距离为距建筑物5</w:t>
      </w:r>
      <w:r>
        <w:rPr>
          <w:rFonts w:cs="Calibri"/>
          <w:i/>
          <w:color w:val="auto"/>
          <w:sz w:val="24"/>
          <w:szCs w:val="24"/>
          <w:highlight w:val="none"/>
        </w:rPr>
        <w:t>L</w:t>
      </w:r>
      <w:r>
        <w:rPr>
          <w:rFonts w:cs="Calibri"/>
          <w:color w:val="auto"/>
          <w:sz w:val="24"/>
          <w:szCs w:val="24"/>
          <w:highlight w:val="none"/>
        </w:rPr>
        <w:t>处，迎风向影响最大距离为距建筑物2</w:t>
      </w:r>
      <w:r>
        <w:rPr>
          <w:rFonts w:cs="Calibri"/>
          <w:i/>
          <w:color w:val="auto"/>
          <w:sz w:val="24"/>
          <w:szCs w:val="24"/>
          <w:highlight w:val="none"/>
        </w:rPr>
        <w:t>L</w:t>
      </w:r>
      <w:r>
        <w:rPr>
          <w:rFonts w:cs="Calibri"/>
          <w:color w:val="auto"/>
          <w:sz w:val="24"/>
          <w:szCs w:val="24"/>
          <w:highlight w:val="none"/>
        </w:rPr>
        <w:t>处，侧风向影响最大距离为距建筑物0.5</w:t>
      </w:r>
      <w:r>
        <w:rPr>
          <w:rFonts w:cs="Calibri"/>
          <w:i/>
          <w:color w:val="auto"/>
          <w:sz w:val="24"/>
          <w:szCs w:val="24"/>
          <w:highlight w:val="none"/>
        </w:rPr>
        <w:t>L</w:t>
      </w:r>
      <w:r>
        <w:rPr>
          <w:rFonts w:cs="Calibri"/>
          <w:color w:val="auto"/>
          <w:sz w:val="24"/>
          <w:szCs w:val="24"/>
          <w:highlight w:val="none"/>
        </w:rPr>
        <w:t>处，即图</w:t>
      </w:r>
      <w:r>
        <w:rPr>
          <w:rFonts w:hint="eastAsia" w:cs="Calibri"/>
          <w:color w:val="auto"/>
          <w:sz w:val="24"/>
          <w:szCs w:val="24"/>
          <w:highlight w:val="none"/>
          <w:lang w:val="en-US" w:eastAsia="zh-CN"/>
        </w:rPr>
        <w:t>5</w:t>
      </w:r>
      <w:r>
        <w:rPr>
          <w:rFonts w:cs="Calibri"/>
          <w:color w:val="auto"/>
          <w:sz w:val="24"/>
          <w:szCs w:val="24"/>
          <w:highlight w:val="none"/>
        </w:rPr>
        <w:t>.2</w:t>
      </w:r>
      <w:r>
        <w:rPr>
          <w:rFonts w:hint="eastAsia" w:cs="Calibri"/>
          <w:color w:val="auto"/>
          <w:sz w:val="24"/>
          <w:szCs w:val="24"/>
          <w:highlight w:val="none"/>
        </w:rPr>
        <w:t>-</w:t>
      </w:r>
      <w:r>
        <w:rPr>
          <w:rFonts w:hint="eastAsia" w:cs="Calibri"/>
          <w:color w:val="auto"/>
          <w:sz w:val="24"/>
          <w:szCs w:val="24"/>
          <w:highlight w:val="none"/>
          <w:lang w:val="en-US" w:eastAsia="zh-CN"/>
        </w:rPr>
        <w:t>9</w:t>
      </w:r>
      <w:r>
        <w:rPr>
          <w:rFonts w:cs="Calibri"/>
          <w:color w:val="auto"/>
          <w:sz w:val="24"/>
          <w:szCs w:val="24"/>
          <w:highlight w:val="none"/>
        </w:rPr>
        <w:t>虚线范围内为建筑物影响区域。不同风向下的影响区是不同的，所有风向构成的一个完整的影响区域，即图</w:t>
      </w:r>
      <w:r>
        <w:rPr>
          <w:rFonts w:hint="eastAsia" w:cs="Calibri"/>
          <w:color w:val="auto"/>
          <w:sz w:val="24"/>
          <w:szCs w:val="24"/>
          <w:highlight w:val="none"/>
          <w:lang w:val="en-US" w:eastAsia="zh-CN"/>
        </w:rPr>
        <w:t>5.2-10</w:t>
      </w:r>
      <w:r>
        <w:rPr>
          <w:rFonts w:cs="Calibri"/>
          <w:color w:val="auto"/>
          <w:sz w:val="24"/>
          <w:szCs w:val="24"/>
          <w:highlight w:val="none"/>
        </w:rPr>
        <w:t>虚线范围内，称为GEP的5</w:t>
      </w:r>
      <w:r>
        <w:rPr>
          <w:rFonts w:cs="Calibri"/>
          <w:i/>
          <w:color w:val="auto"/>
          <w:sz w:val="24"/>
          <w:szCs w:val="24"/>
          <w:highlight w:val="none"/>
        </w:rPr>
        <w:t>L</w:t>
      </w:r>
      <w:r>
        <w:rPr>
          <w:rFonts w:cs="Calibri"/>
          <w:color w:val="auto"/>
          <w:sz w:val="24"/>
          <w:szCs w:val="24"/>
          <w:highlight w:val="none"/>
        </w:rPr>
        <w:t>影响区域，即建筑物下洗的最大影响范围。</w:t>
      </w:r>
    </w:p>
    <w:p w14:paraId="1EA1E25C">
      <w:pPr>
        <w:spacing w:line="360" w:lineRule="auto"/>
        <w:jc w:val="center"/>
        <w:rPr>
          <w:rFonts w:cs="Calibri"/>
          <w:color w:val="auto"/>
          <w:sz w:val="24"/>
          <w:szCs w:val="24"/>
          <w:highlight w:val="none"/>
        </w:rPr>
      </w:pPr>
      <w:r>
        <w:rPr>
          <w:color w:val="auto"/>
          <w:highlight w:val="none"/>
        </w:rPr>
        <w:drawing>
          <wp:inline distT="0" distB="0" distL="114300" distR="114300">
            <wp:extent cx="1417320" cy="1440180"/>
            <wp:effectExtent l="0" t="0" r="11430" b="7620"/>
            <wp:docPr id="5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9"/>
                    <pic:cNvPicPr>
                      <a:picLocks noChangeAspect="1"/>
                    </pic:cNvPicPr>
                  </pic:nvPicPr>
                  <pic:blipFill>
                    <a:blip r:embed="rId52"/>
                    <a:stretch>
                      <a:fillRect/>
                    </a:stretch>
                  </pic:blipFill>
                  <pic:spPr>
                    <a:xfrm>
                      <a:off x="0" y="0"/>
                      <a:ext cx="1417320" cy="1440180"/>
                    </a:xfrm>
                    <a:prstGeom prst="rect">
                      <a:avLst/>
                    </a:prstGeom>
                    <a:noFill/>
                    <a:ln>
                      <a:noFill/>
                    </a:ln>
                  </pic:spPr>
                </pic:pic>
              </a:graphicData>
            </a:graphic>
          </wp:inline>
        </w:drawing>
      </w:r>
    </w:p>
    <w:p w14:paraId="238DD897">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建筑物影响区域</w:t>
      </w:r>
    </w:p>
    <w:p w14:paraId="4D4DFA95">
      <w:pPr>
        <w:numPr>
          <w:ilvl w:val="0"/>
          <w:numId w:val="0"/>
        </w:numPr>
        <w:tabs>
          <w:tab w:val="left" w:pos="0"/>
        </w:tabs>
        <w:jc w:val="center"/>
        <w:rPr>
          <w:rFonts w:hint="eastAsia" w:ascii="Times New Roman" w:hAnsi="Times New Roman" w:eastAsia="黑体" w:cs="Times New Roman"/>
          <w:color w:val="auto"/>
          <w:sz w:val="21"/>
          <w:szCs w:val="21"/>
          <w:highlight w:val="none"/>
          <w:lang w:val="en-US" w:eastAsia="zh-CN"/>
        </w:rPr>
      </w:pPr>
      <w:r>
        <w:rPr>
          <w:color w:val="auto"/>
          <w:highlight w:val="none"/>
        </w:rPr>
        <w:drawing>
          <wp:inline distT="0" distB="0" distL="114300" distR="114300">
            <wp:extent cx="1463675" cy="1440180"/>
            <wp:effectExtent l="0" t="0" r="3175" b="7620"/>
            <wp:docPr id="4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0"/>
                    <pic:cNvPicPr>
                      <a:picLocks noChangeAspect="1"/>
                    </pic:cNvPicPr>
                  </pic:nvPicPr>
                  <pic:blipFill>
                    <a:blip r:embed="rId53"/>
                    <a:stretch>
                      <a:fillRect/>
                    </a:stretch>
                  </pic:blipFill>
                  <pic:spPr>
                    <a:xfrm>
                      <a:off x="0" y="0"/>
                      <a:ext cx="1463675" cy="1440180"/>
                    </a:xfrm>
                    <a:prstGeom prst="rect">
                      <a:avLst/>
                    </a:prstGeom>
                    <a:noFill/>
                    <a:ln>
                      <a:noFill/>
                    </a:ln>
                  </pic:spPr>
                </pic:pic>
              </a:graphicData>
            </a:graphic>
          </wp:inline>
        </w:drawing>
      </w:r>
    </w:p>
    <w:p w14:paraId="029A5B6D">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GEP的5L影响区域</w:t>
      </w:r>
    </w:p>
    <w:p w14:paraId="35795274">
      <w:pPr>
        <w:bidi w:val="0"/>
        <w:rPr>
          <w:color w:val="auto"/>
        </w:rPr>
      </w:pPr>
      <w:r>
        <w:rPr>
          <w:rFonts w:hint="eastAsia"/>
          <w:color w:val="auto"/>
        </w:rPr>
        <w:t>根据计算</w:t>
      </w:r>
      <w:r>
        <w:rPr>
          <w:color w:val="auto"/>
        </w:rPr>
        <w:t>GEP</w:t>
      </w:r>
      <w:r>
        <w:rPr>
          <w:rFonts w:hint="eastAsia"/>
          <w:color w:val="auto"/>
        </w:rPr>
        <w:t>烟囱高度大于烟囱实际高度，故本次预测需要考虑建筑物下洗。</w:t>
      </w:r>
    </w:p>
    <w:p w14:paraId="0F10734D">
      <w:pPr>
        <w:pStyle w:val="30"/>
        <w:bidi w:val="0"/>
        <w:rPr>
          <w:color w:val="auto"/>
          <w:highlight w:val="none"/>
        </w:rPr>
      </w:pPr>
      <w:r>
        <w:rPr>
          <w:color w:val="auto"/>
          <w:highlight w:val="none"/>
        </w:rPr>
        <w:t>（3</w:t>
      </w:r>
      <w:r>
        <w:rPr>
          <w:rFonts w:hint="eastAsia"/>
          <w:color w:val="auto"/>
          <w:highlight w:val="none"/>
        </w:rPr>
        <w:t>）干湿沉降和化学转化及相关参数设置</w:t>
      </w:r>
    </w:p>
    <w:p w14:paraId="711E67EB">
      <w:pPr>
        <w:spacing w:line="360" w:lineRule="auto"/>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本项目不</w:t>
      </w:r>
      <w:r>
        <w:rPr>
          <w:rFonts w:hint="eastAsia"/>
          <w:color w:val="auto"/>
          <w:sz w:val="24"/>
          <w:szCs w:val="24"/>
          <w:highlight w:val="none"/>
          <w:lang w:val="en-US" w:eastAsia="zh-CN"/>
        </w:rPr>
        <w:t>考虑</w:t>
      </w:r>
      <w:r>
        <w:rPr>
          <w:rFonts w:hint="eastAsia" w:ascii="Times New Roman" w:hAnsi="Times New Roman"/>
          <w:color w:val="auto"/>
          <w:sz w:val="24"/>
          <w:szCs w:val="24"/>
          <w:highlight w:val="none"/>
        </w:rPr>
        <w:t>干湿沉降</w:t>
      </w:r>
      <w:r>
        <w:rPr>
          <w:rFonts w:cs="Times New Roman"/>
          <w:color w:val="auto"/>
        </w:rPr>
        <w:t>。</w:t>
      </w:r>
      <w:r>
        <w:rPr>
          <w:rFonts w:hint="eastAsia" w:ascii="Times New Roman" w:hAnsi="Times New Roman"/>
          <w:color w:val="auto"/>
          <w:sz w:val="24"/>
          <w:szCs w:val="24"/>
        </w:rPr>
        <w:t>预测时污染物因子PM</w:t>
      </w:r>
      <w:r>
        <w:rPr>
          <w:rFonts w:hint="eastAsia" w:ascii="Times New Roman" w:hAnsi="Times New Roman"/>
          <w:color w:val="auto"/>
          <w:sz w:val="24"/>
          <w:szCs w:val="24"/>
          <w:vertAlign w:val="subscript"/>
        </w:rPr>
        <w:t>2.5</w:t>
      </w:r>
      <w:r>
        <w:rPr>
          <w:rFonts w:hint="eastAsia" w:ascii="Times New Roman" w:hAnsi="Times New Roman"/>
          <w:color w:val="auto"/>
          <w:sz w:val="24"/>
          <w:szCs w:val="24"/>
        </w:rPr>
        <w:t>选择对应的类型PM</w:t>
      </w:r>
      <w:r>
        <w:rPr>
          <w:rFonts w:hint="eastAsia" w:ascii="Times New Roman" w:hAnsi="Times New Roman"/>
          <w:color w:val="auto"/>
          <w:sz w:val="24"/>
          <w:szCs w:val="24"/>
          <w:vertAlign w:val="subscript"/>
        </w:rPr>
        <w:t>2.5</w:t>
      </w:r>
      <w:r>
        <w:rPr>
          <w:rFonts w:hint="eastAsia" w:ascii="Times New Roman" w:hAnsi="Times New Roman"/>
          <w:color w:val="auto"/>
          <w:sz w:val="24"/>
          <w:szCs w:val="24"/>
        </w:rPr>
        <w:t>，其他污染因子选择普通类型。</w:t>
      </w:r>
    </w:p>
    <w:p w14:paraId="50FB1ACA">
      <w:pPr>
        <w:pStyle w:val="30"/>
        <w:bidi w:val="0"/>
        <w:rPr>
          <w:color w:val="auto"/>
          <w:highlight w:val="none"/>
        </w:rPr>
      </w:pPr>
      <w:r>
        <w:rPr>
          <w:color w:val="auto"/>
          <w:highlight w:val="none"/>
        </w:rPr>
        <w:t>（4</w:t>
      </w:r>
      <w:r>
        <w:rPr>
          <w:rFonts w:hint="eastAsia"/>
          <w:color w:val="auto"/>
          <w:highlight w:val="none"/>
        </w:rPr>
        <w:t>）背景浓度参数</w:t>
      </w:r>
    </w:p>
    <w:p w14:paraId="2E803EB6">
      <w:pPr>
        <w:spacing w:line="360" w:lineRule="auto"/>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本项目基本污染物</w:t>
      </w:r>
      <w:r>
        <w:rPr>
          <w:rFonts w:ascii="Times New Roman" w:hAnsi="Times New Roman"/>
          <w:color w:val="auto"/>
          <w:sz w:val="24"/>
          <w:szCs w:val="24"/>
        </w:rPr>
        <w:t>PM</w:t>
      </w:r>
      <w:r>
        <w:rPr>
          <w:rFonts w:ascii="Times New Roman" w:hAnsi="Times New Roman"/>
          <w:color w:val="auto"/>
          <w:sz w:val="24"/>
          <w:szCs w:val="24"/>
          <w:vertAlign w:val="subscript"/>
        </w:rPr>
        <w:t>10</w:t>
      </w:r>
      <w:r>
        <w:rPr>
          <w:rFonts w:ascii="Times New Roman" w:hAnsi="Times New Roman"/>
          <w:color w:val="auto"/>
          <w:sz w:val="24"/>
          <w:szCs w:val="24"/>
        </w:rPr>
        <w:t>、PM</w:t>
      </w:r>
      <w:r>
        <w:rPr>
          <w:rFonts w:ascii="Times New Roman" w:hAnsi="Times New Roman"/>
          <w:color w:val="auto"/>
          <w:sz w:val="24"/>
          <w:szCs w:val="24"/>
          <w:vertAlign w:val="subscript"/>
        </w:rPr>
        <w:t>2.5</w:t>
      </w:r>
      <w:r>
        <w:rPr>
          <w:rFonts w:hint="eastAsia" w:ascii="Times New Roman" w:hAnsi="Times New Roman"/>
          <w:color w:val="auto"/>
          <w:sz w:val="24"/>
          <w:szCs w:val="24"/>
          <w:lang w:val="en-US" w:eastAsia="zh-CN"/>
        </w:rPr>
        <w:t>采用</w:t>
      </w:r>
      <w:r>
        <w:rPr>
          <w:rFonts w:hint="eastAsia"/>
          <w:color w:val="auto"/>
          <w:sz w:val="24"/>
          <w:szCs w:val="24"/>
          <w:lang w:val="en-US" w:eastAsia="zh-CN"/>
        </w:rPr>
        <w:t>通江中学</w:t>
      </w:r>
      <w:r>
        <w:rPr>
          <w:rFonts w:hint="eastAsia" w:ascii="Times New Roman" w:hAnsi="Times New Roman" w:cs="Times New Roman"/>
          <w:color w:val="auto"/>
          <w:sz w:val="24"/>
          <w:szCs w:val="24"/>
          <w:highlight w:val="none"/>
          <w:lang w:val="en-US" w:eastAsia="zh-CN" w:bidi="ar"/>
        </w:rPr>
        <w:t>自动监测站</w:t>
      </w:r>
      <w:r>
        <w:rPr>
          <w:rFonts w:hint="default" w:ascii="Times New Roman" w:hAnsi="Times New Roman" w:cs="Times New Roman"/>
          <w:color w:val="auto"/>
          <w:lang w:val="en-US" w:eastAsia="zh-CN" w:bidi="ar"/>
        </w:rPr>
        <w:t>20</w:t>
      </w:r>
      <w:r>
        <w:rPr>
          <w:rFonts w:hint="eastAsia" w:ascii="Times New Roman" w:hAnsi="Times New Roman" w:cs="Times New Roman"/>
          <w:color w:val="auto"/>
          <w:lang w:val="en-US" w:eastAsia="zh-CN" w:bidi="ar"/>
        </w:rPr>
        <w:t>2</w:t>
      </w:r>
      <w:r>
        <w:rPr>
          <w:rFonts w:hint="eastAsia" w:cs="Times New Roman"/>
          <w:color w:val="auto"/>
          <w:lang w:val="en-US" w:eastAsia="zh-CN" w:bidi="ar"/>
        </w:rPr>
        <w:t>5</w:t>
      </w:r>
      <w:r>
        <w:rPr>
          <w:rFonts w:hint="default" w:ascii="Times New Roman" w:hAnsi="Times New Roman" w:cs="Times New Roman"/>
          <w:color w:val="auto"/>
          <w:lang w:val="en-US" w:eastAsia="zh-CN" w:bidi="ar"/>
        </w:rPr>
        <w:t>年连续一年</w:t>
      </w:r>
      <w:r>
        <w:rPr>
          <w:rFonts w:hint="eastAsia" w:ascii="Times New Roman" w:hAnsi="Times New Roman" w:cs="Times New Roman"/>
          <w:color w:val="auto"/>
          <w:lang w:val="en-US" w:eastAsia="zh-CN" w:bidi="ar"/>
        </w:rPr>
        <w:t>的</w:t>
      </w:r>
      <w:r>
        <w:rPr>
          <w:rFonts w:cs="Times New Roman"/>
          <w:color w:val="auto"/>
          <w:lang w:bidi="ar"/>
        </w:rPr>
        <w:t>例行监测数据</w:t>
      </w:r>
      <w:r>
        <w:rPr>
          <w:rFonts w:hint="eastAsia" w:ascii="Times New Roman" w:hAnsi="Times New Roman"/>
          <w:color w:val="auto"/>
          <w:sz w:val="24"/>
          <w:szCs w:val="24"/>
          <w:lang w:eastAsia="zh-CN"/>
        </w:rPr>
        <w:t>，</w:t>
      </w:r>
      <w:r>
        <w:rPr>
          <w:rFonts w:hint="eastAsia"/>
          <w:color w:val="auto"/>
          <w:sz w:val="24"/>
          <w:szCs w:val="24"/>
          <w:lang w:val="en-US" w:eastAsia="zh-CN"/>
        </w:rPr>
        <w:t>通江中学</w:t>
      </w:r>
      <w:r>
        <w:rPr>
          <w:rFonts w:hint="eastAsia" w:ascii="Times New Roman" w:hAnsi="Times New Roman" w:cs="Times New Roman"/>
          <w:color w:val="auto"/>
          <w:sz w:val="24"/>
          <w:szCs w:val="24"/>
          <w:highlight w:val="none"/>
          <w:lang w:val="en-US" w:eastAsia="zh-CN" w:bidi="ar"/>
        </w:rPr>
        <w:t>自动监测站位于本项目</w:t>
      </w:r>
      <w:r>
        <w:rPr>
          <w:rFonts w:hint="eastAsia" w:cs="Times New Roman"/>
          <w:color w:val="auto"/>
          <w:sz w:val="24"/>
          <w:szCs w:val="24"/>
          <w:highlight w:val="none"/>
          <w:lang w:val="en-US" w:eastAsia="zh-CN" w:bidi="ar"/>
        </w:rPr>
        <w:t>东北侧约3.96km处</w:t>
      </w:r>
      <w:r>
        <w:rPr>
          <w:rFonts w:hint="eastAsia" w:ascii="Times New Roman" w:hAnsi="Times New Roman" w:cs="Times New Roman"/>
          <w:color w:val="auto"/>
          <w:sz w:val="24"/>
          <w:szCs w:val="24"/>
          <w:highlight w:val="none"/>
          <w:lang w:val="en-US" w:eastAsia="zh-CN" w:bidi="ar"/>
        </w:rPr>
        <w:t>，站点位置：</w:t>
      </w:r>
      <w:r>
        <w:rPr>
          <w:rFonts w:hint="default" w:ascii="Times New Roman" w:hAnsi="Times New Roman" w:cs="Times New Roman"/>
          <w:color w:val="auto"/>
          <w:highlight w:val="none"/>
          <w:lang w:val="en-US" w:eastAsia="zh-CN"/>
        </w:rPr>
        <w:t>107.2491°，</w:t>
      </w:r>
      <w:r>
        <w:rPr>
          <w:rFonts w:hint="eastAsia" w:ascii="Times New Roman" w:hAnsi="Times New Roman" w:cs="Times New Roman"/>
          <w:color w:val="auto"/>
          <w:highlight w:val="none"/>
          <w:lang w:val="en-US" w:eastAsia="zh-CN"/>
        </w:rPr>
        <w:t>31.9121</w:t>
      </w:r>
      <w:r>
        <w:rPr>
          <w:rFonts w:hint="default" w:ascii="Times New Roman" w:hAnsi="Times New Roman" w:cs="Times New Roman"/>
          <w:color w:val="auto"/>
          <w:highlight w:val="none"/>
          <w:lang w:val="en-US" w:eastAsia="zh-CN"/>
        </w:rPr>
        <w:t>°</w:t>
      </w:r>
      <w:r>
        <w:rPr>
          <w:rFonts w:hint="eastAsia" w:ascii="Times New Roman" w:hAnsi="Times New Roman"/>
          <w:color w:val="auto"/>
          <w:sz w:val="24"/>
          <w:szCs w:val="24"/>
          <w:lang w:eastAsia="zh-CN"/>
        </w:rPr>
        <w:t>；</w:t>
      </w:r>
      <w:r>
        <w:rPr>
          <w:rFonts w:hint="eastAsia" w:ascii="Times New Roman" w:hAnsi="Times New Roman"/>
          <w:color w:val="auto"/>
          <w:sz w:val="24"/>
          <w:szCs w:val="24"/>
        </w:rPr>
        <w:t>TSP、</w:t>
      </w:r>
      <w:r>
        <w:rPr>
          <w:rFonts w:hint="eastAsia" w:ascii="Times New Roman" w:hAnsi="Times New Roman"/>
          <w:color w:val="auto"/>
          <w:sz w:val="24"/>
          <w:szCs w:val="24"/>
          <w:lang w:val="en-US" w:eastAsia="zh-CN"/>
        </w:rPr>
        <w:t>氟化物、氯化物、硫酸、TVOC</w:t>
      </w:r>
      <w:r>
        <w:rPr>
          <w:rFonts w:hint="eastAsia" w:ascii="Times New Roman" w:hAnsi="Times New Roman"/>
          <w:color w:val="auto"/>
          <w:sz w:val="24"/>
          <w:szCs w:val="24"/>
          <w:highlight w:val="none"/>
          <w:lang w:val="en-US" w:eastAsia="zh-CN"/>
        </w:rPr>
        <w:t>采用</w:t>
      </w:r>
      <w:r>
        <w:rPr>
          <w:rFonts w:hint="eastAsia" w:ascii="Times New Roman" w:hAnsi="Times New Roman"/>
          <w:color w:val="auto"/>
          <w:sz w:val="24"/>
          <w:szCs w:val="24"/>
          <w:highlight w:val="none"/>
        </w:rPr>
        <w:t>补充监测数据。</w:t>
      </w:r>
    </w:p>
    <w:p w14:paraId="081BE5F1">
      <w:pPr>
        <w:pStyle w:val="30"/>
        <w:bidi w:val="0"/>
        <w:rPr>
          <w:color w:val="auto"/>
          <w:highlight w:val="none"/>
        </w:rPr>
      </w:pPr>
      <w:r>
        <w:rPr>
          <w:color w:val="auto"/>
          <w:highlight w:val="none"/>
        </w:rPr>
        <w:t>（</w:t>
      </w:r>
      <w:r>
        <w:rPr>
          <w:rFonts w:hint="eastAsia"/>
          <w:color w:val="auto"/>
          <w:highlight w:val="none"/>
          <w:lang w:val="en-US" w:eastAsia="zh-CN"/>
        </w:rPr>
        <w:t>5</w:t>
      </w:r>
      <w:r>
        <w:rPr>
          <w:rFonts w:hint="eastAsia"/>
          <w:color w:val="auto"/>
          <w:highlight w:val="none"/>
        </w:rPr>
        <w:t>）预测因子</w:t>
      </w:r>
    </w:p>
    <w:p w14:paraId="038BE7C6">
      <w:pPr>
        <w:spacing w:line="360" w:lineRule="auto"/>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本次预测因子为：</w:t>
      </w:r>
      <w:r>
        <w:rPr>
          <w:rFonts w:ascii="Times New Roman" w:hAnsi="Times New Roman"/>
          <w:color w:val="auto"/>
          <w:sz w:val="24"/>
          <w:szCs w:val="24"/>
        </w:rPr>
        <w:t>PM</w:t>
      </w:r>
      <w:r>
        <w:rPr>
          <w:rFonts w:ascii="Times New Roman" w:hAnsi="Times New Roman"/>
          <w:color w:val="auto"/>
          <w:sz w:val="24"/>
          <w:szCs w:val="24"/>
          <w:vertAlign w:val="subscript"/>
        </w:rPr>
        <w:t>10</w:t>
      </w:r>
      <w:r>
        <w:rPr>
          <w:rFonts w:ascii="Times New Roman" w:hAnsi="Times New Roman"/>
          <w:color w:val="auto"/>
          <w:sz w:val="24"/>
          <w:szCs w:val="24"/>
        </w:rPr>
        <w:t>、PM</w:t>
      </w:r>
      <w:r>
        <w:rPr>
          <w:rFonts w:ascii="Times New Roman" w:hAnsi="Times New Roman"/>
          <w:color w:val="auto"/>
          <w:sz w:val="24"/>
          <w:szCs w:val="24"/>
          <w:vertAlign w:val="subscript"/>
        </w:rPr>
        <w:t>2.5</w:t>
      </w:r>
      <w:r>
        <w:rPr>
          <w:rFonts w:ascii="Times New Roman" w:hAnsi="Times New Roman"/>
          <w:color w:val="auto"/>
          <w:sz w:val="24"/>
          <w:szCs w:val="24"/>
        </w:rPr>
        <w:t>、</w:t>
      </w:r>
      <w:r>
        <w:rPr>
          <w:rFonts w:hint="eastAsia" w:ascii="Times New Roman" w:hAnsi="Times New Roman"/>
          <w:color w:val="auto"/>
          <w:sz w:val="24"/>
          <w:szCs w:val="24"/>
        </w:rPr>
        <w:t>TSP、</w:t>
      </w:r>
      <w:r>
        <w:rPr>
          <w:rFonts w:hint="eastAsia" w:ascii="Times New Roman" w:hAnsi="Times New Roman"/>
          <w:color w:val="auto"/>
          <w:sz w:val="24"/>
          <w:szCs w:val="24"/>
          <w:lang w:val="en-US" w:eastAsia="zh-CN"/>
        </w:rPr>
        <w:t>氟化物、氯化物、硫酸、TVOC</w:t>
      </w:r>
      <w:r>
        <w:rPr>
          <w:rFonts w:hint="eastAsia" w:ascii="Times New Roman" w:hAnsi="Times New Roman"/>
          <w:color w:val="auto"/>
          <w:sz w:val="24"/>
          <w:szCs w:val="24"/>
          <w:highlight w:val="none"/>
        </w:rPr>
        <w:t>。</w:t>
      </w:r>
    </w:p>
    <w:p w14:paraId="678F5157">
      <w:pPr>
        <w:pStyle w:val="30"/>
        <w:bidi w:val="0"/>
        <w:rPr>
          <w:color w:val="auto"/>
          <w:highlight w:val="none"/>
        </w:rPr>
      </w:pPr>
      <w:r>
        <w:rPr>
          <w:color w:val="auto"/>
          <w:highlight w:val="none"/>
        </w:rPr>
        <w:t>（</w:t>
      </w:r>
      <w:r>
        <w:rPr>
          <w:rFonts w:hint="eastAsia"/>
          <w:color w:val="auto"/>
          <w:highlight w:val="none"/>
          <w:lang w:val="en-US" w:eastAsia="zh-CN"/>
        </w:rPr>
        <w:t>6</w:t>
      </w:r>
      <w:r>
        <w:rPr>
          <w:rFonts w:hint="eastAsia"/>
          <w:color w:val="auto"/>
          <w:highlight w:val="none"/>
        </w:rPr>
        <w:t>）预测周期</w:t>
      </w:r>
    </w:p>
    <w:p w14:paraId="373DDDB6">
      <w:pPr>
        <w:spacing w:line="360" w:lineRule="auto"/>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选取评价基准年（2</w:t>
      </w:r>
      <w:r>
        <w:rPr>
          <w:rFonts w:ascii="Times New Roman" w:hAnsi="Times New Roman"/>
          <w:color w:val="auto"/>
          <w:sz w:val="24"/>
          <w:szCs w:val="24"/>
          <w:highlight w:val="none"/>
        </w:rPr>
        <w:t>02</w:t>
      </w:r>
      <w:r>
        <w:rPr>
          <w:rFonts w:hint="eastAsia"/>
          <w:color w:val="auto"/>
          <w:sz w:val="24"/>
          <w:szCs w:val="24"/>
          <w:highlight w:val="none"/>
          <w:lang w:val="en-US" w:eastAsia="zh-CN"/>
        </w:rPr>
        <w:t>5</w:t>
      </w:r>
      <w:r>
        <w:rPr>
          <w:rFonts w:hint="eastAsia" w:ascii="Times New Roman" w:hAnsi="Times New Roman"/>
          <w:color w:val="auto"/>
          <w:sz w:val="24"/>
          <w:szCs w:val="24"/>
          <w:highlight w:val="none"/>
        </w:rPr>
        <w:t>年）作为预测周期，预测时段取连续1年。</w:t>
      </w:r>
    </w:p>
    <w:p w14:paraId="314855FC">
      <w:pPr>
        <w:pStyle w:val="30"/>
        <w:bidi w:val="0"/>
        <w:rPr>
          <w:color w:val="auto"/>
          <w:highlight w:val="none"/>
        </w:rPr>
      </w:pPr>
      <w:r>
        <w:rPr>
          <w:color w:val="auto"/>
          <w:highlight w:val="none"/>
        </w:rPr>
        <w:t>（</w:t>
      </w:r>
      <w:r>
        <w:rPr>
          <w:rFonts w:hint="eastAsia"/>
          <w:color w:val="auto"/>
          <w:highlight w:val="none"/>
          <w:lang w:val="en-US" w:eastAsia="zh-CN"/>
        </w:rPr>
        <w:t>7</w:t>
      </w:r>
      <w:r>
        <w:rPr>
          <w:rFonts w:hint="eastAsia"/>
          <w:color w:val="auto"/>
          <w:highlight w:val="none"/>
        </w:rPr>
        <w:t>）模型输出参数</w:t>
      </w:r>
    </w:p>
    <w:p w14:paraId="309B8CEF">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正常工况下，</w:t>
      </w:r>
      <w:r>
        <w:rPr>
          <w:rFonts w:ascii="Times New Roman" w:hAnsi="Times New Roman"/>
          <w:color w:val="auto"/>
          <w:sz w:val="24"/>
          <w:szCs w:val="24"/>
        </w:rPr>
        <w:t>PM</w:t>
      </w:r>
      <w:r>
        <w:rPr>
          <w:rFonts w:ascii="Times New Roman" w:hAnsi="Times New Roman"/>
          <w:color w:val="auto"/>
          <w:sz w:val="24"/>
          <w:szCs w:val="24"/>
          <w:vertAlign w:val="subscript"/>
        </w:rPr>
        <w:t>10</w:t>
      </w:r>
      <w:r>
        <w:rPr>
          <w:rFonts w:ascii="Times New Roman" w:hAnsi="Times New Roman"/>
          <w:color w:val="auto"/>
          <w:sz w:val="24"/>
          <w:szCs w:val="24"/>
        </w:rPr>
        <w:t>、PM</w:t>
      </w:r>
      <w:r>
        <w:rPr>
          <w:rFonts w:ascii="Times New Roman" w:hAnsi="Times New Roman"/>
          <w:color w:val="auto"/>
          <w:sz w:val="24"/>
          <w:szCs w:val="24"/>
          <w:vertAlign w:val="subscript"/>
        </w:rPr>
        <w:t>2.5</w:t>
      </w:r>
      <w:r>
        <w:rPr>
          <w:rFonts w:ascii="Times New Roman" w:hAnsi="Times New Roman"/>
          <w:color w:val="auto"/>
          <w:sz w:val="24"/>
          <w:szCs w:val="24"/>
        </w:rPr>
        <w:t>、</w:t>
      </w:r>
      <w:r>
        <w:rPr>
          <w:rFonts w:hint="eastAsia" w:ascii="Times New Roman" w:hAnsi="Times New Roman"/>
          <w:color w:val="auto"/>
          <w:sz w:val="24"/>
          <w:szCs w:val="24"/>
        </w:rPr>
        <w:t>TSP输出24小时、年均值</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氟化物、氯化物、硫酸</w:t>
      </w:r>
      <w:r>
        <w:rPr>
          <w:rFonts w:hint="eastAsia" w:ascii="Times New Roman" w:hAnsi="Times New Roman"/>
          <w:color w:val="auto"/>
          <w:sz w:val="24"/>
          <w:szCs w:val="24"/>
        </w:rPr>
        <w:t>输出1小时、24小时</w:t>
      </w:r>
      <w:r>
        <w:rPr>
          <w:rFonts w:hint="eastAsia" w:ascii="Times New Roman" w:hAnsi="Times New Roman"/>
          <w:color w:val="auto"/>
          <w:sz w:val="24"/>
          <w:szCs w:val="24"/>
          <w:lang w:val="en-US" w:eastAsia="zh-CN"/>
        </w:rPr>
        <w:t>均值，TVOC输出8h均值；</w:t>
      </w:r>
      <w:r>
        <w:rPr>
          <w:rFonts w:hint="eastAsia" w:ascii="Times New Roman" w:hAnsi="Times New Roman"/>
          <w:color w:val="auto"/>
          <w:sz w:val="24"/>
          <w:szCs w:val="24"/>
        </w:rPr>
        <w:t>非正常工况</w:t>
      </w:r>
      <w:r>
        <w:rPr>
          <w:rFonts w:hint="eastAsia"/>
          <w:color w:val="auto"/>
          <w:sz w:val="24"/>
          <w:szCs w:val="24"/>
          <w:lang w:val="en-US" w:eastAsia="zh-CN"/>
        </w:rPr>
        <w:t>下，</w:t>
      </w:r>
      <w:r>
        <w:rPr>
          <w:rFonts w:hint="eastAsia" w:ascii="Times New Roman" w:hAnsi="Times New Roman"/>
          <w:color w:val="auto"/>
          <w:sz w:val="24"/>
          <w:szCs w:val="24"/>
          <w:lang w:val="en-US" w:eastAsia="zh-CN"/>
        </w:rPr>
        <w:t>氟化物、氯化物、硫酸</w:t>
      </w:r>
      <w:r>
        <w:rPr>
          <w:rFonts w:hint="eastAsia" w:ascii="Times New Roman" w:hAnsi="Times New Roman"/>
          <w:color w:val="auto"/>
          <w:sz w:val="24"/>
          <w:szCs w:val="24"/>
        </w:rPr>
        <w:t>输出1小时值。</w:t>
      </w:r>
    </w:p>
    <w:p w14:paraId="7E30A3FD">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7、预测内容</w:t>
      </w:r>
    </w:p>
    <w:p w14:paraId="272AF2BC">
      <w:pPr>
        <w:pStyle w:val="30"/>
        <w:bidi w:val="0"/>
        <w:rPr>
          <w:color w:val="auto"/>
          <w:highlight w:val="none"/>
        </w:rPr>
      </w:pPr>
      <w:r>
        <w:rPr>
          <w:color w:val="auto"/>
          <w:highlight w:val="none"/>
        </w:rPr>
        <w:t>（1</w:t>
      </w:r>
      <w:r>
        <w:rPr>
          <w:rFonts w:hint="eastAsia"/>
          <w:color w:val="auto"/>
          <w:highlight w:val="none"/>
        </w:rPr>
        <w:t>）预测情景设定</w:t>
      </w:r>
    </w:p>
    <w:p w14:paraId="470C4DF6">
      <w:pPr>
        <w:bidi w:val="0"/>
        <w:ind w:left="0" w:leftChars="0" w:firstLine="480" w:firstLineChars="200"/>
        <w:rPr>
          <w:color w:val="auto"/>
        </w:rPr>
      </w:pPr>
      <w:r>
        <w:rPr>
          <w:rFonts w:hint="eastAsia"/>
          <w:color w:val="auto"/>
        </w:rPr>
        <w:t>本次预测新增污染源为</w:t>
      </w:r>
      <w:r>
        <w:rPr>
          <w:rFonts w:hint="eastAsia"/>
          <w:color w:val="auto"/>
          <w:lang w:val="en-US" w:eastAsia="zh-CN"/>
        </w:rPr>
        <w:t>本项目</w:t>
      </w:r>
      <w:r>
        <w:rPr>
          <w:rFonts w:hint="eastAsia"/>
          <w:color w:val="auto"/>
        </w:rPr>
        <w:t>，</w:t>
      </w:r>
      <w:r>
        <w:rPr>
          <w:rFonts w:hint="eastAsia"/>
          <w:color w:val="auto"/>
          <w:highlight w:val="none"/>
          <w:lang w:val="en-US" w:eastAsia="zh-CN"/>
        </w:rPr>
        <w:t>不存在“以新带老”污染源，</w:t>
      </w:r>
      <w:r>
        <w:rPr>
          <w:rFonts w:hint="eastAsia"/>
          <w:color w:val="auto"/>
        </w:rPr>
        <w:t>评价和预测范围内存在与项目排放同类污染物的在建项目、已批复环境影响评价文件的拟建项目，根据《环境影响评价技术导则 大气环境》（HJ2.2-2018）中要求，需叠加在建、拟建项目的环境影响。</w:t>
      </w:r>
    </w:p>
    <w:p w14:paraId="7CCFEB08">
      <w:pPr>
        <w:pStyle w:val="30"/>
        <w:bidi w:val="0"/>
        <w:rPr>
          <w:color w:val="auto"/>
          <w:highlight w:val="none"/>
        </w:rPr>
      </w:pPr>
      <w:r>
        <w:rPr>
          <w:color w:val="auto"/>
          <w:highlight w:val="none"/>
        </w:rPr>
        <w:t>（2</w:t>
      </w:r>
      <w:r>
        <w:rPr>
          <w:rFonts w:hint="eastAsia"/>
          <w:color w:val="auto"/>
          <w:highlight w:val="none"/>
        </w:rPr>
        <w:t>）预测方案</w:t>
      </w:r>
    </w:p>
    <w:p w14:paraId="2FFB816F">
      <w:pPr>
        <w:bidi w:val="0"/>
        <w:ind w:left="0" w:leftChars="0" w:firstLine="480" w:firstLineChars="200"/>
        <w:rPr>
          <w:rFonts w:hint="eastAsia"/>
          <w:color w:val="auto"/>
        </w:rPr>
      </w:pPr>
      <w:r>
        <w:rPr>
          <w:rFonts w:hint="eastAsia"/>
          <w:color w:val="auto"/>
        </w:rPr>
        <w:t>根据</w:t>
      </w:r>
      <w:r>
        <w:rPr>
          <w:rFonts w:hint="eastAsia"/>
          <w:color w:val="auto"/>
          <w:lang w:val="en-US" w:eastAsia="zh-CN"/>
        </w:rPr>
        <w:t>通江中学自动监测站</w:t>
      </w:r>
      <w:r>
        <w:rPr>
          <w:rFonts w:hint="default"/>
          <w:color w:val="auto"/>
          <w:lang w:val="en-US" w:eastAsia="zh-CN"/>
        </w:rPr>
        <w:t>20</w:t>
      </w:r>
      <w:r>
        <w:rPr>
          <w:rFonts w:hint="eastAsia"/>
          <w:color w:val="auto"/>
          <w:lang w:val="en-US" w:eastAsia="zh-CN"/>
        </w:rPr>
        <w:t>25</w:t>
      </w:r>
      <w:r>
        <w:rPr>
          <w:rFonts w:hint="default"/>
          <w:color w:val="auto"/>
          <w:lang w:val="en-US" w:eastAsia="zh-CN"/>
        </w:rPr>
        <w:t>年连续一年</w:t>
      </w:r>
      <w:r>
        <w:rPr>
          <w:rFonts w:hint="eastAsia"/>
          <w:color w:val="auto"/>
          <w:lang w:val="en-US" w:eastAsia="zh-CN"/>
        </w:rPr>
        <w:t>的</w:t>
      </w:r>
      <w:r>
        <w:rPr>
          <w:color w:val="auto"/>
        </w:rPr>
        <w:t>例行监测数据</w:t>
      </w:r>
      <w:r>
        <w:rPr>
          <w:rFonts w:hint="eastAsia"/>
          <w:color w:val="auto"/>
          <w:lang w:eastAsia="zh-CN"/>
        </w:rPr>
        <w:t>，</w:t>
      </w:r>
      <w:r>
        <w:rPr>
          <w:rFonts w:hint="eastAsia"/>
          <w:color w:val="auto"/>
          <w:lang w:val="en-US" w:eastAsia="zh-CN"/>
        </w:rPr>
        <w:t>按照HJ663中各评价项目的年评价指标进行判定，PM</w:t>
      </w:r>
      <w:r>
        <w:rPr>
          <w:rFonts w:hint="eastAsia"/>
          <w:color w:val="auto"/>
          <w:vertAlign w:val="subscript"/>
          <w:lang w:val="en-US" w:eastAsia="zh-CN"/>
        </w:rPr>
        <w:t>2.5</w:t>
      </w:r>
      <w:r>
        <w:rPr>
          <w:rFonts w:hint="eastAsia"/>
          <w:color w:val="auto"/>
          <w:lang w:val="en-US" w:eastAsia="zh-CN"/>
        </w:rPr>
        <w:t>保证率日均值超标</w:t>
      </w:r>
      <w:r>
        <w:rPr>
          <w:rFonts w:hint="eastAsia"/>
          <w:color w:val="auto"/>
        </w:rPr>
        <w:t>，本项目评价区域为</w:t>
      </w:r>
      <w:r>
        <w:rPr>
          <w:rFonts w:hint="eastAsia"/>
          <w:color w:val="auto"/>
          <w:lang w:val="en-US" w:eastAsia="zh-CN"/>
        </w:rPr>
        <w:t>不</w:t>
      </w:r>
      <w:r>
        <w:rPr>
          <w:rFonts w:hint="eastAsia"/>
          <w:color w:val="auto"/>
        </w:rPr>
        <w:t>达标区。根据《环境影响评价技术导则 大气环境》（HJ2.2-2018）中预测内容及评价要求，预测方案如下：</w:t>
      </w:r>
    </w:p>
    <w:p w14:paraId="02DA6F5B">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本项目预测方案</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2169"/>
        <w:gridCol w:w="1486"/>
        <w:gridCol w:w="1854"/>
        <w:gridCol w:w="2743"/>
      </w:tblGrid>
      <w:tr w14:paraId="415F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47" w:type="dxa"/>
            <w:noWrap w:val="0"/>
            <w:vAlign w:val="center"/>
          </w:tcPr>
          <w:p w14:paraId="27C70B1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评价</w:t>
            </w:r>
          </w:p>
          <w:p w14:paraId="7266CBE1">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对象</w:t>
            </w:r>
          </w:p>
        </w:tc>
        <w:tc>
          <w:tcPr>
            <w:tcW w:w="2169" w:type="dxa"/>
            <w:noWrap w:val="0"/>
            <w:vAlign w:val="center"/>
          </w:tcPr>
          <w:p w14:paraId="4BA3B3B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污染源</w:t>
            </w:r>
          </w:p>
        </w:tc>
        <w:tc>
          <w:tcPr>
            <w:tcW w:w="1486" w:type="dxa"/>
            <w:noWrap w:val="0"/>
            <w:vAlign w:val="center"/>
          </w:tcPr>
          <w:p w14:paraId="158347E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污染源</w:t>
            </w:r>
          </w:p>
          <w:p w14:paraId="1805715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排放形式</w:t>
            </w:r>
          </w:p>
        </w:tc>
        <w:tc>
          <w:tcPr>
            <w:tcW w:w="1854" w:type="dxa"/>
            <w:noWrap w:val="0"/>
            <w:vAlign w:val="center"/>
          </w:tcPr>
          <w:p w14:paraId="2450864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预测内容</w:t>
            </w:r>
          </w:p>
        </w:tc>
        <w:tc>
          <w:tcPr>
            <w:tcW w:w="2743" w:type="dxa"/>
            <w:noWrap w:val="0"/>
            <w:vAlign w:val="center"/>
          </w:tcPr>
          <w:p w14:paraId="1C1B1B7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评价内容</w:t>
            </w:r>
          </w:p>
        </w:tc>
      </w:tr>
      <w:tr w14:paraId="5F6D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vMerge w:val="restart"/>
            <w:noWrap w:val="0"/>
            <w:vAlign w:val="center"/>
          </w:tcPr>
          <w:p w14:paraId="4461342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不达标区评价项目</w:t>
            </w:r>
          </w:p>
        </w:tc>
        <w:tc>
          <w:tcPr>
            <w:tcW w:w="2169" w:type="dxa"/>
            <w:noWrap w:val="0"/>
            <w:vAlign w:val="center"/>
          </w:tcPr>
          <w:p w14:paraId="41E1F5E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新增污染源</w:t>
            </w:r>
          </w:p>
        </w:tc>
        <w:tc>
          <w:tcPr>
            <w:tcW w:w="1486" w:type="dxa"/>
            <w:noWrap w:val="0"/>
            <w:vAlign w:val="center"/>
          </w:tcPr>
          <w:p w14:paraId="3DC734B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正常排放</w:t>
            </w:r>
          </w:p>
        </w:tc>
        <w:tc>
          <w:tcPr>
            <w:tcW w:w="1854" w:type="dxa"/>
            <w:noWrap w:val="0"/>
            <w:vAlign w:val="center"/>
          </w:tcPr>
          <w:p w14:paraId="3779A5B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短期浓度</w:t>
            </w:r>
          </w:p>
          <w:p w14:paraId="67CC2A4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长期浓度</w:t>
            </w:r>
          </w:p>
        </w:tc>
        <w:tc>
          <w:tcPr>
            <w:tcW w:w="2743" w:type="dxa"/>
            <w:noWrap w:val="0"/>
            <w:vAlign w:val="center"/>
          </w:tcPr>
          <w:p w14:paraId="3660886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最大浓度占标率</w:t>
            </w:r>
          </w:p>
        </w:tc>
      </w:tr>
      <w:tr w14:paraId="6BDF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vMerge w:val="continue"/>
            <w:noWrap w:val="0"/>
            <w:vAlign w:val="center"/>
          </w:tcPr>
          <w:p w14:paraId="2A84CD5F">
            <w:pPr>
              <w:pStyle w:val="24"/>
              <w:bidi w:val="0"/>
              <w:rPr>
                <w:rFonts w:hint="eastAsia" w:ascii="Times New Roman" w:hAnsi="Times New Roman" w:eastAsia="宋体" w:cs="Courier New"/>
                <w:b w:val="0"/>
                <w:bCs w:val="0"/>
                <w:color w:val="auto"/>
                <w:sz w:val="21"/>
                <w:szCs w:val="21"/>
                <w:highlight w:val="none"/>
                <w:lang w:val="en-US" w:eastAsia="zh-CN"/>
              </w:rPr>
            </w:pPr>
          </w:p>
        </w:tc>
        <w:tc>
          <w:tcPr>
            <w:tcW w:w="2169" w:type="dxa"/>
            <w:noWrap w:val="0"/>
            <w:vAlign w:val="center"/>
          </w:tcPr>
          <w:p w14:paraId="1D0CAFB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新增污染源-“以新带老”污染源（如有）-区域削减污染源（如有）+其他在建、拟建的污染源（如有）</w:t>
            </w:r>
          </w:p>
        </w:tc>
        <w:tc>
          <w:tcPr>
            <w:tcW w:w="1486" w:type="dxa"/>
            <w:noWrap w:val="0"/>
            <w:vAlign w:val="center"/>
          </w:tcPr>
          <w:p w14:paraId="1159A24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正常排放</w:t>
            </w:r>
          </w:p>
        </w:tc>
        <w:tc>
          <w:tcPr>
            <w:tcW w:w="1854" w:type="dxa"/>
            <w:noWrap w:val="0"/>
            <w:vAlign w:val="center"/>
          </w:tcPr>
          <w:p w14:paraId="45EEB8A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短期浓度</w:t>
            </w:r>
          </w:p>
          <w:p w14:paraId="37FAC56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长期浓度</w:t>
            </w:r>
          </w:p>
        </w:tc>
        <w:tc>
          <w:tcPr>
            <w:tcW w:w="2743" w:type="dxa"/>
            <w:noWrap w:val="0"/>
            <w:vAlign w:val="center"/>
          </w:tcPr>
          <w:p w14:paraId="39F9917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叠加达标规划目标浓度后的保证率日平均质量浓度和年平均质量浓度的达标情况，或短期浓度的达标情况；</w:t>
            </w:r>
          </w:p>
          <w:p w14:paraId="7698220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年平均质量浓度变化率</w:t>
            </w:r>
          </w:p>
        </w:tc>
      </w:tr>
      <w:tr w14:paraId="6736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vMerge w:val="continue"/>
            <w:noWrap w:val="0"/>
            <w:vAlign w:val="center"/>
          </w:tcPr>
          <w:p w14:paraId="682F8F2D">
            <w:pPr>
              <w:pStyle w:val="24"/>
              <w:bidi w:val="0"/>
              <w:rPr>
                <w:rFonts w:hint="eastAsia" w:ascii="Times New Roman" w:hAnsi="Times New Roman" w:eastAsia="宋体" w:cs="Courier New"/>
                <w:b w:val="0"/>
                <w:bCs w:val="0"/>
                <w:color w:val="auto"/>
                <w:sz w:val="21"/>
                <w:szCs w:val="21"/>
                <w:highlight w:val="none"/>
                <w:lang w:val="en-US" w:eastAsia="zh-CN"/>
              </w:rPr>
            </w:pPr>
          </w:p>
        </w:tc>
        <w:tc>
          <w:tcPr>
            <w:tcW w:w="2169" w:type="dxa"/>
            <w:noWrap w:val="0"/>
            <w:vAlign w:val="center"/>
          </w:tcPr>
          <w:p w14:paraId="7272096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新增污染源</w:t>
            </w:r>
          </w:p>
        </w:tc>
        <w:tc>
          <w:tcPr>
            <w:tcW w:w="1486" w:type="dxa"/>
            <w:noWrap w:val="0"/>
            <w:vAlign w:val="center"/>
          </w:tcPr>
          <w:p w14:paraId="5E89DC5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非正常排放</w:t>
            </w:r>
          </w:p>
        </w:tc>
        <w:tc>
          <w:tcPr>
            <w:tcW w:w="1854" w:type="dxa"/>
            <w:noWrap w:val="0"/>
            <w:vAlign w:val="center"/>
          </w:tcPr>
          <w:p w14:paraId="21CE91D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1h平均质量浓度</w:t>
            </w:r>
          </w:p>
        </w:tc>
        <w:tc>
          <w:tcPr>
            <w:tcW w:w="2743" w:type="dxa"/>
            <w:noWrap w:val="0"/>
            <w:vAlign w:val="center"/>
          </w:tcPr>
          <w:p w14:paraId="72FB986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最大浓度占标率</w:t>
            </w:r>
          </w:p>
        </w:tc>
      </w:tr>
      <w:tr w14:paraId="2619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7" w:type="dxa"/>
            <w:noWrap w:val="0"/>
            <w:vAlign w:val="center"/>
          </w:tcPr>
          <w:p w14:paraId="25C4435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大气环境防护距离</w:t>
            </w:r>
          </w:p>
        </w:tc>
        <w:tc>
          <w:tcPr>
            <w:tcW w:w="2169" w:type="dxa"/>
            <w:noWrap w:val="0"/>
            <w:vAlign w:val="center"/>
          </w:tcPr>
          <w:p w14:paraId="27E9418C">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新增污染源-“以新带老”污染源（如有）+项目全厂现有污染源</w:t>
            </w:r>
          </w:p>
        </w:tc>
        <w:tc>
          <w:tcPr>
            <w:tcW w:w="1486" w:type="dxa"/>
            <w:noWrap w:val="0"/>
            <w:vAlign w:val="center"/>
          </w:tcPr>
          <w:p w14:paraId="24B49E0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正常排放</w:t>
            </w:r>
          </w:p>
        </w:tc>
        <w:tc>
          <w:tcPr>
            <w:tcW w:w="1854" w:type="dxa"/>
            <w:noWrap w:val="0"/>
            <w:vAlign w:val="center"/>
          </w:tcPr>
          <w:p w14:paraId="6E084FD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短期浓度</w:t>
            </w:r>
          </w:p>
        </w:tc>
        <w:tc>
          <w:tcPr>
            <w:tcW w:w="2743" w:type="dxa"/>
            <w:noWrap w:val="0"/>
            <w:vAlign w:val="center"/>
          </w:tcPr>
          <w:p w14:paraId="499E4AB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大气环境防护距离</w:t>
            </w:r>
          </w:p>
        </w:tc>
      </w:tr>
    </w:tbl>
    <w:p w14:paraId="3F92C31A">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8、污染源调查</w:t>
      </w:r>
    </w:p>
    <w:p w14:paraId="79860047">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（1）本项目污染源</w:t>
      </w:r>
    </w:p>
    <w:p w14:paraId="04F05AD7">
      <w:pPr>
        <w:bidi w:val="0"/>
        <w:ind w:left="0" w:leftChars="0" w:firstLine="480" w:firstLineChars="200"/>
        <w:rPr>
          <w:rFonts w:hint="eastAsia"/>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r>
        <w:rPr>
          <w:rFonts w:hint="eastAsia"/>
          <w:color w:val="auto"/>
          <w:highlight w:val="none"/>
        </w:rPr>
        <w:t>根据项目工程分析可知，本项目正常排放、非正常排放污染源强见下表：</w:t>
      </w:r>
    </w:p>
    <w:p w14:paraId="12DE399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本项目大气排放源参数表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369"/>
        <w:gridCol w:w="1266"/>
        <w:gridCol w:w="1300"/>
        <w:gridCol w:w="1086"/>
        <w:gridCol w:w="863"/>
        <w:gridCol w:w="914"/>
        <w:gridCol w:w="1149"/>
        <w:gridCol w:w="917"/>
        <w:gridCol w:w="980"/>
        <w:gridCol w:w="1326"/>
        <w:gridCol w:w="1214"/>
        <w:gridCol w:w="1003"/>
      </w:tblGrid>
      <w:tr w14:paraId="34CA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 w:type="pct"/>
            <w:vMerge w:val="restart"/>
            <w:vAlign w:val="center"/>
          </w:tcPr>
          <w:p w14:paraId="047FFE48">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编号</w:t>
            </w:r>
          </w:p>
        </w:tc>
        <w:tc>
          <w:tcPr>
            <w:tcW w:w="479" w:type="pct"/>
            <w:vMerge w:val="restart"/>
            <w:vAlign w:val="center"/>
          </w:tcPr>
          <w:p w14:paraId="5CD6C0FF">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名称</w:t>
            </w:r>
          </w:p>
        </w:tc>
        <w:tc>
          <w:tcPr>
            <w:tcW w:w="898" w:type="pct"/>
            <w:gridSpan w:val="2"/>
            <w:vAlign w:val="center"/>
          </w:tcPr>
          <w:p w14:paraId="008157C3">
            <w:pPr>
              <w:pStyle w:val="24"/>
              <w:bidi w:val="0"/>
              <w:ind w:left="0" w:leftChars="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排气筒底部中心坐标</w:t>
            </w:r>
            <w:r>
              <w:rPr>
                <w:rFonts w:hint="eastAsia" w:cs="Courier New"/>
                <w:b/>
                <w:bCs/>
                <w:color w:val="auto"/>
                <w:sz w:val="21"/>
                <w:szCs w:val="21"/>
                <w:highlight w:val="none"/>
                <w:lang w:val="en-US" w:eastAsia="zh-CN"/>
              </w:rPr>
              <w:t>(</w:t>
            </w:r>
            <w:r>
              <w:rPr>
                <w:rFonts w:hint="eastAsia" w:ascii="Times New Roman" w:hAnsi="Times New Roman" w:eastAsia="宋体" w:cs="Courier New"/>
                <w:b/>
                <w:bCs/>
                <w:color w:val="auto"/>
                <w:sz w:val="21"/>
                <w:szCs w:val="21"/>
                <w:highlight w:val="none"/>
                <w:lang w:val="en-US" w:eastAsia="zh-CN"/>
              </w:rPr>
              <w:t>m</w:t>
            </w:r>
            <w:r>
              <w:rPr>
                <w:rFonts w:hint="eastAsia" w:cs="Courier New"/>
                <w:b/>
                <w:bCs/>
                <w:color w:val="auto"/>
                <w:sz w:val="21"/>
                <w:szCs w:val="21"/>
                <w:highlight w:val="none"/>
                <w:lang w:val="en-US" w:eastAsia="zh-CN"/>
              </w:rPr>
              <w:t>)</w:t>
            </w:r>
          </w:p>
        </w:tc>
        <w:tc>
          <w:tcPr>
            <w:tcW w:w="380" w:type="pct"/>
            <w:vMerge w:val="restart"/>
            <w:vAlign w:val="center"/>
          </w:tcPr>
          <w:p w14:paraId="25A292D2">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排气筒底部海拔高度(m)</w:t>
            </w:r>
          </w:p>
        </w:tc>
        <w:tc>
          <w:tcPr>
            <w:tcW w:w="1345" w:type="pct"/>
            <w:gridSpan w:val="4"/>
            <w:vAlign w:val="center"/>
          </w:tcPr>
          <w:p w14:paraId="2FB33713">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排气筒参数</w:t>
            </w:r>
          </w:p>
        </w:tc>
        <w:tc>
          <w:tcPr>
            <w:tcW w:w="343" w:type="pct"/>
            <w:vMerge w:val="restart"/>
            <w:vAlign w:val="center"/>
          </w:tcPr>
          <w:p w14:paraId="3957324E">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年排放小时数/h</w:t>
            </w:r>
          </w:p>
        </w:tc>
        <w:tc>
          <w:tcPr>
            <w:tcW w:w="464" w:type="pct"/>
            <w:vMerge w:val="restart"/>
            <w:vAlign w:val="center"/>
          </w:tcPr>
          <w:p w14:paraId="5CD26B08">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w:t>
            </w:r>
          </w:p>
          <w:p w14:paraId="0825465F">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工况</w:t>
            </w:r>
          </w:p>
        </w:tc>
        <w:tc>
          <w:tcPr>
            <w:tcW w:w="425" w:type="pct"/>
            <w:vMerge w:val="restart"/>
            <w:vAlign w:val="center"/>
          </w:tcPr>
          <w:p w14:paraId="3D4204E6">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污染物名称</w:t>
            </w:r>
          </w:p>
        </w:tc>
        <w:tc>
          <w:tcPr>
            <w:tcW w:w="351" w:type="pct"/>
            <w:vMerge w:val="restart"/>
            <w:vAlign w:val="center"/>
          </w:tcPr>
          <w:p w14:paraId="44D90847">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排放速率(kg/h)</w:t>
            </w:r>
          </w:p>
        </w:tc>
      </w:tr>
      <w:tr w14:paraId="10A0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 w:type="pct"/>
            <w:vMerge w:val="continue"/>
            <w:vAlign w:val="center"/>
          </w:tcPr>
          <w:p w14:paraId="6770800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3DCEFDD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Align w:val="center"/>
          </w:tcPr>
          <w:p w14:paraId="3F9CCEDB">
            <w:pPr>
              <w:pStyle w:val="24"/>
              <w:bidi w:val="0"/>
              <w:ind w:left="0" w:leftChars="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X</w:t>
            </w:r>
          </w:p>
        </w:tc>
        <w:tc>
          <w:tcPr>
            <w:tcW w:w="455" w:type="pct"/>
            <w:vAlign w:val="center"/>
          </w:tcPr>
          <w:p w14:paraId="07FBC748">
            <w:pPr>
              <w:pStyle w:val="24"/>
              <w:bidi w:val="0"/>
              <w:ind w:left="0" w:leftChars="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Y</w:t>
            </w:r>
          </w:p>
        </w:tc>
        <w:tc>
          <w:tcPr>
            <w:tcW w:w="380" w:type="pct"/>
            <w:vMerge w:val="continue"/>
            <w:vAlign w:val="center"/>
          </w:tcPr>
          <w:p w14:paraId="62847581">
            <w:pPr>
              <w:pStyle w:val="24"/>
              <w:bidi w:val="0"/>
              <w:jc w:val="center"/>
              <w:rPr>
                <w:rFonts w:hint="eastAsia" w:ascii="Times New Roman" w:hAnsi="Times New Roman" w:eastAsia="宋体" w:cs="Times New Roman"/>
                <w:b/>
                <w:bCs/>
                <w:color w:val="auto"/>
                <w:sz w:val="21"/>
                <w:szCs w:val="21"/>
                <w:highlight w:val="none"/>
                <w:lang w:val="en-US" w:eastAsia="zh-CN"/>
              </w:rPr>
            </w:pPr>
          </w:p>
        </w:tc>
        <w:tc>
          <w:tcPr>
            <w:tcW w:w="302" w:type="pct"/>
            <w:vAlign w:val="center"/>
          </w:tcPr>
          <w:p w14:paraId="0D6FEA85">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高度(m)</w:t>
            </w:r>
          </w:p>
        </w:tc>
        <w:tc>
          <w:tcPr>
            <w:tcW w:w="320" w:type="pct"/>
            <w:vAlign w:val="center"/>
          </w:tcPr>
          <w:p w14:paraId="7B8AD983">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内径(m)</w:t>
            </w:r>
          </w:p>
        </w:tc>
        <w:tc>
          <w:tcPr>
            <w:tcW w:w="402" w:type="pct"/>
            <w:vAlign w:val="center"/>
          </w:tcPr>
          <w:p w14:paraId="4BD4EE73">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烟气流速</w:t>
            </w:r>
            <w:r>
              <w:rPr>
                <w:rFonts w:hint="eastAsia" w:cs="Courier New"/>
                <w:b/>
                <w:bCs/>
                <w:color w:val="auto"/>
                <w:sz w:val="21"/>
                <w:szCs w:val="21"/>
                <w:highlight w:val="none"/>
                <w:lang w:val="en-US" w:eastAsia="zh-CN"/>
              </w:rPr>
              <w:t>(</w:t>
            </w:r>
            <w:r>
              <w:rPr>
                <w:rFonts w:hint="eastAsia" w:ascii="Times New Roman" w:hAnsi="Times New Roman" w:eastAsia="宋体" w:cs="Times New Roman"/>
                <w:b/>
                <w:bCs/>
                <w:color w:val="auto"/>
                <w:sz w:val="21"/>
                <w:szCs w:val="21"/>
                <w:highlight w:val="none"/>
                <w:lang w:val="en-US" w:eastAsia="zh-CN"/>
              </w:rPr>
              <w:t>m/s</w:t>
            </w:r>
            <w:r>
              <w:rPr>
                <w:rFonts w:hint="eastAsia" w:cs="Times New Roman"/>
                <w:b/>
                <w:bCs/>
                <w:color w:val="auto"/>
                <w:sz w:val="21"/>
                <w:szCs w:val="21"/>
                <w:highlight w:val="none"/>
                <w:lang w:val="en-US" w:eastAsia="zh-CN"/>
              </w:rPr>
              <w:t>)</w:t>
            </w:r>
          </w:p>
        </w:tc>
        <w:tc>
          <w:tcPr>
            <w:tcW w:w="321" w:type="pct"/>
            <w:vAlign w:val="center"/>
          </w:tcPr>
          <w:p w14:paraId="7500097D">
            <w:pPr>
              <w:pStyle w:val="24"/>
              <w:bidi w:val="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温度(℃)</w:t>
            </w:r>
          </w:p>
        </w:tc>
        <w:tc>
          <w:tcPr>
            <w:tcW w:w="343" w:type="pct"/>
            <w:vMerge w:val="continue"/>
            <w:vAlign w:val="center"/>
          </w:tcPr>
          <w:p w14:paraId="69E140D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640E8D4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vMerge w:val="continue"/>
            <w:vAlign w:val="center"/>
          </w:tcPr>
          <w:p w14:paraId="414D6FE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51" w:type="pct"/>
            <w:vMerge w:val="continue"/>
            <w:vAlign w:val="center"/>
          </w:tcPr>
          <w:p w14:paraId="15F50B1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r>
      <w:tr w14:paraId="42CF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restart"/>
            <w:vAlign w:val="center"/>
          </w:tcPr>
          <w:p w14:paraId="62664256">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DA001</w:t>
            </w:r>
          </w:p>
        </w:tc>
        <w:tc>
          <w:tcPr>
            <w:tcW w:w="479" w:type="pct"/>
            <w:vMerge w:val="restart"/>
            <w:vAlign w:val="center"/>
          </w:tcPr>
          <w:p w14:paraId="310CAA6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工艺</w:t>
            </w:r>
            <w:r>
              <w:rPr>
                <w:rFonts w:hint="default" w:ascii="Times New Roman" w:hAnsi="Times New Roman" w:eastAsia="宋体" w:cs="Times New Roman"/>
                <w:b w:val="0"/>
                <w:bCs w:val="0"/>
                <w:color w:val="auto"/>
                <w:sz w:val="21"/>
                <w:szCs w:val="21"/>
                <w:highlight w:val="none"/>
                <w:lang w:val="en-US" w:eastAsia="zh-CN"/>
              </w:rPr>
              <w:t>废气</w:t>
            </w:r>
            <w:r>
              <w:rPr>
                <w:rFonts w:hint="eastAsia" w:ascii="Times New Roman" w:hAnsi="Times New Roman" w:cs="Times New Roman"/>
                <w:b w:val="0"/>
                <w:bCs w:val="0"/>
                <w:color w:val="auto"/>
                <w:sz w:val="21"/>
                <w:szCs w:val="21"/>
                <w:highlight w:val="none"/>
                <w:lang w:val="en-US" w:eastAsia="zh-CN"/>
              </w:rPr>
              <w:t>排气筒</w:t>
            </w:r>
          </w:p>
        </w:tc>
        <w:tc>
          <w:tcPr>
            <w:tcW w:w="443" w:type="pct"/>
            <w:vMerge w:val="restart"/>
            <w:vAlign w:val="center"/>
          </w:tcPr>
          <w:p w14:paraId="6D6DB735">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711012</w:t>
            </w:r>
          </w:p>
        </w:tc>
        <w:tc>
          <w:tcPr>
            <w:tcW w:w="455" w:type="pct"/>
            <w:vMerge w:val="restart"/>
            <w:vAlign w:val="center"/>
          </w:tcPr>
          <w:p w14:paraId="652849DE">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3529258</w:t>
            </w:r>
          </w:p>
        </w:tc>
        <w:tc>
          <w:tcPr>
            <w:tcW w:w="380" w:type="pct"/>
            <w:vMerge w:val="restart"/>
            <w:vAlign w:val="center"/>
          </w:tcPr>
          <w:p w14:paraId="7B8E8A2C">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523</w:t>
            </w:r>
          </w:p>
        </w:tc>
        <w:tc>
          <w:tcPr>
            <w:tcW w:w="302" w:type="pct"/>
            <w:vMerge w:val="restart"/>
            <w:vAlign w:val="center"/>
          </w:tcPr>
          <w:p w14:paraId="58282CD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15</w:t>
            </w:r>
          </w:p>
        </w:tc>
        <w:tc>
          <w:tcPr>
            <w:tcW w:w="320" w:type="pct"/>
            <w:vMerge w:val="restart"/>
            <w:vAlign w:val="center"/>
          </w:tcPr>
          <w:p w14:paraId="44F595A7">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8</w:t>
            </w:r>
          </w:p>
        </w:tc>
        <w:tc>
          <w:tcPr>
            <w:tcW w:w="402" w:type="pct"/>
            <w:vMerge w:val="restart"/>
            <w:vAlign w:val="center"/>
          </w:tcPr>
          <w:p w14:paraId="04E45B5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11.05</w:t>
            </w:r>
          </w:p>
        </w:tc>
        <w:tc>
          <w:tcPr>
            <w:tcW w:w="321" w:type="pct"/>
            <w:vMerge w:val="restart"/>
            <w:vAlign w:val="center"/>
          </w:tcPr>
          <w:p w14:paraId="5AFAE67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25</w:t>
            </w:r>
          </w:p>
        </w:tc>
        <w:tc>
          <w:tcPr>
            <w:tcW w:w="343" w:type="pct"/>
            <w:vMerge w:val="restart"/>
            <w:vAlign w:val="center"/>
          </w:tcPr>
          <w:p w14:paraId="759FA2D0">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2400</w:t>
            </w:r>
          </w:p>
        </w:tc>
        <w:tc>
          <w:tcPr>
            <w:tcW w:w="464" w:type="pct"/>
            <w:vMerge w:val="restart"/>
            <w:vAlign w:val="center"/>
          </w:tcPr>
          <w:p w14:paraId="1B226416">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正常排放</w:t>
            </w:r>
          </w:p>
        </w:tc>
        <w:tc>
          <w:tcPr>
            <w:tcW w:w="425" w:type="pct"/>
            <w:shd w:val="clear" w:color="auto" w:fill="auto"/>
            <w:vAlign w:val="center"/>
          </w:tcPr>
          <w:p w14:paraId="72AEE02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PM</w:t>
            </w:r>
            <w:r>
              <w:rPr>
                <w:rFonts w:hint="eastAsia" w:cs="Times New Roman"/>
                <w:b w:val="0"/>
                <w:bCs w:val="0"/>
                <w:color w:val="auto"/>
                <w:sz w:val="21"/>
                <w:szCs w:val="21"/>
                <w:highlight w:val="none"/>
                <w:vertAlign w:val="subscript"/>
                <w:lang w:val="en-US" w:eastAsia="zh-CN"/>
              </w:rPr>
              <w:t>10</w:t>
            </w:r>
          </w:p>
        </w:tc>
        <w:tc>
          <w:tcPr>
            <w:tcW w:w="351" w:type="pct"/>
            <w:shd w:val="clear" w:color="auto" w:fill="auto"/>
            <w:vAlign w:val="center"/>
          </w:tcPr>
          <w:p w14:paraId="50B8E78C">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0.004</w:t>
            </w:r>
          </w:p>
        </w:tc>
      </w:tr>
      <w:tr w14:paraId="3C91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23BE1142">
            <w:pPr>
              <w:pStyle w:val="24"/>
              <w:bidi w:val="0"/>
              <w:jc w:val="center"/>
              <w:rPr>
                <w:rFonts w:hint="eastAsia" w:cs="Times New Roman"/>
                <w:b w:val="0"/>
                <w:bCs w:val="0"/>
                <w:color w:val="auto"/>
                <w:sz w:val="21"/>
                <w:szCs w:val="21"/>
                <w:highlight w:val="none"/>
                <w:lang w:val="en-US" w:eastAsia="zh-CN"/>
              </w:rPr>
            </w:pPr>
          </w:p>
        </w:tc>
        <w:tc>
          <w:tcPr>
            <w:tcW w:w="479" w:type="pct"/>
            <w:vMerge w:val="continue"/>
            <w:vAlign w:val="center"/>
          </w:tcPr>
          <w:p w14:paraId="42697A24">
            <w:pPr>
              <w:pStyle w:val="24"/>
              <w:bidi w:val="0"/>
              <w:jc w:val="center"/>
              <w:rPr>
                <w:rFonts w:hint="eastAsia" w:cs="Times New Roman"/>
                <w:b w:val="0"/>
                <w:bCs w:val="0"/>
                <w:color w:val="auto"/>
                <w:sz w:val="21"/>
                <w:szCs w:val="21"/>
                <w:highlight w:val="none"/>
                <w:lang w:val="en-US" w:eastAsia="zh-CN"/>
              </w:rPr>
            </w:pPr>
          </w:p>
        </w:tc>
        <w:tc>
          <w:tcPr>
            <w:tcW w:w="443" w:type="pct"/>
            <w:vMerge w:val="continue"/>
            <w:vAlign w:val="center"/>
          </w:tcPr>
          <w:p w14:paraId="7043C9C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3FC5C42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4C945D55">
            <w:pPr>
              <w:pStyle w:val="24"/>
              <w:bidi w:val="0"/>
              <w:jc w:val="center"/>
              <w:rPr>
                <w:rFonts w:hint="eastAsia" w:cs="Times New Roman"/>
                <w:b w:val="0"/>
                <w:bCs w:val="0"/>
                <w:color w:val="auto"/>
                <w:sz w:val="21"/>
                <w:szCs w:val="21"/>
                <w:highlight w:val="none"/>
                <w:lang w:val="en-US" w:eastAsia="zh-CN"/>
              </w:rPr>
            </w:pPr>
          </w:p>
        </w:tc>
        <w:tc>
          <w:tcPr>
            <w:tcW w:w="302" w:type="pct"/>
            <w:vMerge w:val="continue"/>
            <w:vAlign w:val="center"/>
          </w:tcPr>
          <w:p w14:paraId="4704C719">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320" w:type="pct"/>
            <w:vMerge w:val="continue"/>
            <w:vAlign w:val="center"/>
          </w:tcPr>
          <w:p w14:paraId="4BB2D94A">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402" w:type="pct"/>
            <w:vMerge w:val="continue"/>
            <w:vAlign w:val="center"/>
          </w:tcPr>
          <w:p w14:paraId="1320CABF">
            <w:pPr>
              <w:pStyle w:val="24"/>
              <w:bidi w:val="0"/>
              <w:jc w:val="center"/>
              <w:rPr>
                <w:rFonts w:hint="eastAsia" w:cs="Times New Roman"/>
                <w:b w:val="0"/>
                <w:bCs w:val="0"/>
                <w:color w:val="auto"/>
                <w:sz w:val="21"/>
                <w:szCs w:val="21"/>
                <w:highlight w:val="none"/>
                <w:lang w:val="en-US" w:eastAsia="zh-CN"/>
              </w:rPr>
            </w:pPr>
          </w:p>
        </w:tc>
        <w:tc>
          <w:tcPr>
            <w:tcW w:w="321" w:type="pct"/>
            <w:vMerge w:val="continue"/>
            <w:vAlign w:val="center"/>
          </w:tcPr>
          <w:p w14:paraId="408C40B3">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343" w:type="pct"/>
            <w:vMerge w:val="continue"/>
            <w:vAlign w:val="center"/>
          </w:tcPr>
          <w:p w14:paraId="3C0B72C9">
            <w:pPr>
              <w:pStyle w:val="24"/>
              <w:bidi w:val="0"/>
              <w:jc w:val="center"/>
              <w:rPr>
                <w:rFonts w:hint="eastAsia" w:cs="Times New Roman"/>
                <w:b w:val="0"/>
                <w:bCs w:val="0"/>
                <w:color w:val="auto"/>
                <w:sz w:val="21"/>
                <w:szCs w:val="21"/>
                <w:highlight w:val="none"/>
                <w:lang w:val="en-US" w:eastAsia="zh-CN"/>
              </w:rPr>
            </w:pPr>
          </w:p>
        </w:tc>
        <w:tc>
          <w:tcPr>
            <w:tcW w:w="464" w:type="pct"/>
            <w:vMerge w:val="continue"/>
            <w:vAlign w:val="center"/>
          </w:tcPr>
          <w:p w14:paraId="22C08DE7">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425" w:type="pct"/>
            <w:shd w:val="clear" w:color="auto" w:fill="auto"/>
            <w:vAlign w:val="center"/>
          </w:tcPr>
          <w:p w14:paraId="6953DC30">
            <w:pPr>
              <w:pStyle w:val="24"/>
              <w:bidi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PM</w:t>
            </w:r>
            <w:r>
              <w:rPr>
                <w:rFonts w:hint="eastAsia" w:ascii="Times New Roman" w:hAnsi="Times New Roman" w:eastAsia="宋体" w:cs="Times New Roman"/>
                <w:b w:val="0"/>
                <w:bCs w:val="0"/>
                <w:color w:val="auto"/>
                <w:sz w:val="21"/>
                <w:szCs w:val="21"/>
                <w:highlight w:val="none"/>
                <w:vertAlign w:val="subscript"/>
                <w:lang w:val="en-US" w:eastAsia="zh-CN"/>
              </w:rPr>
              <w:t>2.5</w:t>
            </w:r>
          </w:p>
        </w:tc>
        <w:tc>
          <w:tcPr>
            <w:tcW w:w="351" w:type="pct"/>
            <w:shd w:val="clear" w:color="auto" w:fill="auto"/>
            <w:vAlign w:val="center"/>
          </w:tcPr>
          <w:p w14:paraId="24905DCA">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0.002</w:t>
            </w:r>
          </w:p>
        </w:tc>
      </w:tr>
      <w:tr w14:paraId="3CCA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4D4ACDB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1CF8A56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428033E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0C32B03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4A39E18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18BD494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0D932AB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61177FD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169C794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54F6DBF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05E9391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4FBEA94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硫酸雾</w:t>
            </w:r>
          </w:p>
        </w:tc>
        <w:tc>
          <w:tcPr>
            <w:tcW w:w="351" w:type="pct"/>
            <w:shd w:val="clear" w:color="auto" w:fill="auto"/>
            <w:vAlign w:val="center"/>
          </w:tcPr>
          <w:p w14:paraId="7658FA25">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0.0040 </w:t>
            </w:r>
          </w:p>
        </w:tc>
      </w:tr>
      <w:tr w14:paraId="6587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3387A285">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6F7236C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37EFD5E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43EC917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5E777D7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1E6D90D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5483926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6846788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07F35A5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7F513D1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6A037A9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635751BB">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351" w:type="pct"/>
            <w:shd w:val="clear" w:color="auto" w:fill="auto"/>
            <w:vAlign w:val="center"/>
          </w:tcPr>
          <w:p w14:paraId="0F7A694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 xml:space="preserve">0.0081 </w:t>
            </w:r>
          </w:p>
        </w:tc>
      </w:tr>
      <w:tr w14:paraId="33D3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6EC5B29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52C6401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55DBB01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41433D2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68F009D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20E05C2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4FFE247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7B3C992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1B0F174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35F7F31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714C8BA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67EEB51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VOCs</w:t>
            </w:r>
          </w:p>
        </w:tc>
        <w:tc>
          <w:tcPr>
            <w:tcW w:w="351" w:type="pct"/>
            <w:shd w:val="clear" w:color="auto" w:fill="auto"/>
            <w:vAlign w:val="center"/>
          </w:tcPr>
          <w:p w14:paraId="4446DC5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 xml:space="preserve">0.0176 </w:t>
            </w:r>
          </w:p>
        </w:tc>
      </w:tr>
      <w:tr w14:paraId="7CD9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0A8D7E9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5147250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09CCD9B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2A3A7D8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20302CA5">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067D521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39F32C0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0B84AD6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2E5B1D6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4A730BC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01623BC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29698B30">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NH</w:t>
            </w:r>
            <w:r>
              <w:rPr>
                <w:rFonts w:hint="eastAsia" w:cs="Times New Roman"/>
                <w:b w:val="0"/>
                <w:bCs w:val="0"/>
                <w:color w:val="auto"/>
                <w:sz w:val="21"/>
                <w:szCs w:val="21"/>
                <w:highlight w:val="none"/>
                <w:vertAlign w:val="subscript"/>
                <w:lang w:val="en-US" w:eastAsia="zh-CN"/>
              </w:rPr>
              <w:t>3</w:t>
            </w:r>
          </w:p>
        </w:tc>
        <w:tc>
          <w:tcPr>
            <w:tcW w:w="351" w:type="pct"/>
            <w:shd w:val="clear" w:color="auto" w:fill="auto"/>
            <w:vAlign w:val="center"/>
          </w:tcPr>
          <w:p w14:paraId="2D8BBBA2">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825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3F2ABEF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0CEC832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7C388BE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15C185C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4A1CFD1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4D96803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364C1D4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7F5FD85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732BEAC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48C8074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453AAB5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7A655C04">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臭气浓度</w:t>
            </w:r>
          </w:p>
        </w:tc>
        <w:tc>
          <w:tcPr>
            <w:tcW w:w="351" w:type="pct"/>
            <w:shd w:val="clear" w:color="auto" w:fill="auto"/>
            <w:vAlign w:val="center"/>
          </w:tcPr>
          <w:p w14:paraId="3E22950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BDF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638CA2F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371E929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5C6C26F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30E6045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4FCE3FE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2EF5CDA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4F28D66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7C40229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0D63ED5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55E1D2D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restart"/>
            <w:vAlign w:val="center"/>
          </w:tcPr>
          <w:p w14:paraId="1C597419">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非</w:t>
            </w:r>
            <w:r>
              <w:rPr>
                <w:rFonts w:hint="eastAsia" w:ascii="Times New Roman" w:hAnsi="Times New Roman" w:eastAsia="宋体" w:cs="Times New Roman"/>
                <w:b w:val="0"/>
                <w:bCs w:val="0"/>
                <w:color w:val="auto"/>
                <w:sz w:val="21"/>
                <w:szCs w:val="21"/>
                <w:highlight w:val="none"/>
                <w:lang w:val="en-US" w:eastAsia="zh-CN"/>
              </w:rPr>
              <w:t>正常排放</w:t>
            </w:r>
          </w:p>
        </w:tc>
        <w:tc>
          <w:tcPr>
            <w:tcW w:w="425" w:type="pct"/>
            <w:shd w:val="clear" w:color="auto" w:fill="auto"/>
            <w:vAlign w:val="center"/>
          </w:tcPr>
          <w:p w14:paraId="39648DF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PM</w:t>
            </w:r>
            <w:r>
              <w:rPr>
                <w:rFonts w:hint="eastAsia" w:cs="Times New Roman"/>
                <w:b w:val="0"/>
                <w:bCs w:val="0"/>
                <w:color w:val="auto"/>
                <w:sz w:val="21"/>
                <w:szCs w:val="21"/>
                <w:highlight w:val="none"/>
                <w:vertAlign w:val="subscript"/>
                <w:lang w:val="en-US" w:eastAsia="zh-CN"/>
              </w:rPr>
              <w:t>10</w:t>
            </w:r>
          </w:p>
        </w:tc>
        <w:tc>
          <w:tcPr>
            <w:tcW w:w="351" w:type="pct"/>
            <w:shd w:val="clear" w:color="auto" w:fill="auto"/>
            <w:vAlign w:val="center"/>
          </w:tcPr>
          <w:p w14:paraId="0079BD1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0.02</w:t>
            </w:r>
          </w:p>
        </w:tc>
      </w:tr>
      <w:tr w14:paraId="6EB5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388FB43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50DEE46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7CF8683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75EB232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3DEFA54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6E4A77A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6A36267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124AC5A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1E7C32E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52ADF01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288CD5B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59AB8FB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PM</w:t>
            </w:r>
            <w:r>
              <w:rPr>
                <w:rFonts w:hint="eastAsia" w:ascii="Times New Roman" w:hAnsi="Times New Roman" w:eastAsia="宋体" w:cs="Times New Roman"/>
                <w:b w:val="0"/>
                <w:bCs w:val="0"/>
                <w:color w:val="auto"/>
                <w:sz w:val="21"/>
                <w:szCs w:val="21"/>
                <w:highlight w:val="none"/>
                <w:vertAlign w:val="subscript"/>
                <w:lang w:val="en-US" w:eastAsia="zh-CN"/>
              </w:rPr>
              <w:t>2.5</w:t>
            </w:r>
          </w:p>
        </w:tc>
        <w:tc>
          <w:tcPr>
            <w:tcW w:w="351" w:type="pct"/>
            <w:shd w:val="clear" w:color="auto" w:fill="auto"/>
            <w:vAlign w:val="bottom"/>
          </w:tcPr>
          <w:p w14:paraId="3E093EEF">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0.01</w:t>
            </w:r>
          </w:p>
        </w:tc>
      </w:tr>
      <w:tr w14:paraId="6563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216EBD2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26D5EE4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7A67A4C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375A990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3B65C1F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016B5E5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6029B23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5A5FF58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12BED47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73BE189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711D6D1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6F00061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硫酸雾</w:t>
            </w:r>
          </w:p>
        </w:tc>
        <w:tc>
          <w:tcPr>
            <w:tcW w:w="351" w:type="pct"/>
            <w:shd w:val="clear" w:color="auto" w:fill="auto"/>
            <w:vAlign w:val="bottom"/>
          </w:tcPr>
          <w:p w14:paraId="5A4FF42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 xml:space="preserve">0.0199 </w:t>
            </w:r>
          </w:p>
        </w:tc>
      </w:tr>
      <w:tr w14:paraId="7373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2E7B09A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4DFD577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7CA5638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70BE2CE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401A4C3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186158F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540D5BA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2242F43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485DEA8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08CD28B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6F7EBCE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46358AB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351" w:type="pct"/>
            <w:shd w:val="clear" w:color="auto" w:fill="auto"/>
            <w:vAlign w:val="bottom"/>
          </w:tcPr>
          <w:p w14:paraId="2255486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 xml:space="preserve">0.0406 </w:t>
            </w:r>
          </w:p>
        </w:tc>
      </w:tr>
      <w:tr w14:paraId="7BA4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632EBB75">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360C91D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2DBFF9F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6740A54D">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7242C69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5D92814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7DF3FC6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1243431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7A9B81E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02B8E5F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353D8F0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3DD8BA8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VOCs</w:t>
            </w:r>
          </w:p>
        </w:tc>
        <w:tc>
          <w:tcPr>
            <w:tcW w:w="351" w:type="pct"/>
            <w:shd w:val="clear" w:color="auto" w:fill="auto"/>
            <w:vAlign w:val="bottom"/>
          </w:tcPr>
          <w:p w14:paraId="3EEBF7F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 xml:space="preserve">0.0720 </w:t>
            </w:r>
          </w:p>
        </w:tc>
      </w:tr>
      <w:tr w14:paraId="460E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435FFE0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4CFE1FEF">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2936CC6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0F592E8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0770284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585CBDF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7A80D1C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0836943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5C06FED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530409C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001F8DA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62C9B6A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NH</w:t>
            </w:r>
            <w:r>
              <w:rPr>
                <w:rFonts w:hint="eastAsia" w:cs="Times New Roman"/>
                <w:b w:val="0"/>
                <w:bCs w:val="0"/>
                <w:color w:val="auto"/>
                <w:sz w:val="21"/>
                <w:szCs w:val="21"/>
                <w:highlight w:val="none"/>
                <w:vertAlign w:val="subscript"/>
                <w:lang w:val="en-US" w:eastAsia="zh-CN"/>
              </w:rPr>
              <w:t>3</w:t>
            </w:r>
          </w:p>
        </w:tc>
        <w:tc>
          <w:tcPr>
            <w:tcW w:w="351" w:type="pct"/>
            <w:shd w:val="clear" w:color="auto" w:fill="auto"/>
            <w:vAlign w:val="center"/>
          </w:tcPr>
          <w:p w14:paraId="62CD2E9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r>
      <w:tr w14:paraId="6B42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11" w:type="pct"/>
            <w:vMerge w:val="continue"/>
            <w:vAlign w:val="center"/>
          </w:tcPr>
          <w:p w14:paraId="36BECC8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32BC6E4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1A2F913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51A62BF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5450812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5332ACA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528B58B5">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145D5A8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6879CF87">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5C3AAE0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64ECDAF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25" w:type="pct"/>
            <w:shd w:val="clear" w:color="auto" w:fill="auto"/>
            <w:vAlign w:val="center"/>
          </w:tcPr>
          <w:p w14:paraId="48AE933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臭气浓度</w:t>
            </w:r>
          </w:p>
        </w:tc>
        <w:tc>
          <w:tcPr>
            <w:tcW w:w="351" w:type="pct"/>
            <w:shd w:val="clear" w:color="auto" w:fill="auto"/>
            <w:vAlign w:val="center"/>
          </w:tcPr>
          <w:p w14:paraId="41E9EDA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r>
      <w:tr w14:paraId="2041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11" w:type="pct"/>
            <w:vMerge w:val="restart"/>
            <w:vAlign w:val="center"/>
          </w:tcPr>
          <w:p w14:paraId="340A065A">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DA00</w:t>
            </w:r>
            <w:r>
              <w:rPr>
                <w:rFonts w:hint="eastAsia" w:cs="Times New Roman"/>
                <w:b w:val="0"/>
                <w:bCs w:val="0"/>
                <w:color w:val="auto"/>
                <w:sz w:val="21"/>
                <w:szCs w:val="21"/>
                <w:highlight w:val="none"/>
                <w:lang w:val="en-US" w:eastAsia="zh-CN"/>
              </w:rPr>
              <w:t>2</w:t>
            </w:r>
          </w:p>
        </w:tc>
        <w:tc>
          <w:tcPr>
            <w:tcW w:w="479" w:type="pct"/>
            <w:vMerge w:val="restart"/>
            <w:vAlign w:val="center"/>
          </w:tcPr>
          <w:p w14:paraId="5569820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质检废气排气筒</w:t>
            </w:r>
          </w:p>
        </w:tc>
        <w:tc>
          <w:tcPr>
            <w:tcW w:w="443" w:type="pct"/>
            <w:vMerge w:val="restart"/>
            <w:vAlign w:val="center"/>
          </w:tcPr>
          <w:p w14:paraId="1B48124C">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711029</w:t>
            </w:r>
          </w:p>
        </w:tc>
        <w:tc>
          <w:tcPr>
            <w:tcW w:w="455" w:type="pct"/>
            <w:vMerge w:val="restart"/>
            <w:vAlign w:val="center"/>
          </w:tcPr>
          <w:p w14:paraId="309ED9D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3529167</w:t>
            </w:r>
          </w:p>
        </w:tc>
        <w:tc>
          <w:tcPr>
            <w:tcW w:w="380" w:type="pct"/>
            <w:vMerge w:val="restart"/>
            <w:vAlign w:val="center"/>
          </w:tcPr>
          <w:p w14:paraId="536E0D8C">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517</w:t>
            </w:r>
          </w:p>
        </w:tc>
        <w:tc>
          <w:tcPr>
            <w:tcW w:w="302" w:type="pct"/>
            <w:vMerge w:val="restart"/>
            <w:vAlign w:val="center"/>
          </w:tcPr>
          <w:p w14:paraId="4E7DACA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15</w:t>
            </w:r>
          </w:p>
        </w:tc>
        <w:tc>
          <w:tcPr>
            <w:tcW w:w="320" w:type="pct"/>
            <w:vMerge w:val="restart"/>
            <w:vAlign w:val="center"/>
          </w:tcPr>
          <w:p w14:paraId="4EF20FD1">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4</w:t>
            </w:r>
          </w:p>
        </w:tc>
        <w:tc>
          <w:tcPr>
            <w:tcW w:w="402" w:type="pct"/>
            <w:vMerge w:val="restart"/>
            <w:vAlign w:val="center"/>
          </w:tcPr>
          <w:p w14:paraId="06D17E5C">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17.69</w:t>
            </w:r>
          </w:p>
        </w:tc>
        <w:tc>
          <w:tcPr>
            <w:tcW w:w="321" w:type="pct"/>
            <w:vMerge w:val="restart"/>
            <w:vAlign w:val="center"/>
          </w:tcPr>
          <w:p w14:paraId="3DB2B62F">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25</w:t>
            </w:r>
          </w:p>
        </w:tc>
        <w:tc>
          <w:tcPr>
            <w:tcW w:w="343" w:type="pct"/>
            <w:vMerge w:val="restart"/>
            <w:vAlign w:val="center"/>
          </w:tcPr>
          <w:p w14:paraId="4298A618">
            <w:pPr>
              <w:pStyle w:val="24"/>
              <w:bidi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1200</w:t>
            </w:r>
          </w:p>
        </w:tc>
        <w:tc>
          <w:tcPr>
            <w:tcW w:w="464" w:type="pct"/>
            <w:vMerge w:val="restart"/>
            <w:vAlign w:val="center"/>
          </w:tcPr>
          <w:p w14:paraId="1446FBF8">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正常排放</w:t>
            </w:r>
          </w:p>
        </w:tc>
        <w:tc>
          <w:tcPr>
            <w:tcW w:w="1214" w:type="dxa"/>
            <w:shd w:val="clear" w:color="auto" w:fill="auto"/>
            <w:vAlign w:val="center"/>
          </w:tcPr>
          <w:p w14:paraId="3F50A278">
            <w:pPr>
              <w:pStyle w:val="24"/>
              <w:bidi w:val="0"/>
              <w:ind w:left="0" w:leftChars="0"/>
              <w:rPr>
                <w:rFonts w:hint="eastAsia" w:ascii="Times New Roman" w:hAnsi="Times New Roman"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氯化氢</w:t>
            </w:r>
          </w:p>
        </w:tc>
        <w:tc>
          <w:tcPr>
            <w:tcW w:w="1003" w:type="dxa"/>
            <w:shd w:val="clear" w:color="auto" w:fill="auto"/>
            <w:vAlign w:val="center"/>
          </w:tcPr>
          <w:p w14:paraId="701DDB0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3.81E-07</w:t>
            </w:r>
          </w:p>
        </w:tc>
      </w:tr>
      <w:tr w14:paraId="111D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11" w:type="pct"/>
            <w:vMerge w:val="continue"/>
            <w:vAlign w:val="center"/>
          </w:tcPr>
          <w:p w14:paraId="56DE1808">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479" w:type="pct"/>
            <w:vMerge w:val="continue"/>
            <w:vAlign w:val="center"/>
          </w:tcPr>
          <w:p w14:paraId="5FC0E77E">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443" w:type="pct"/>
            <w:vMerge w:val="continue"/>
            <w:vAlign w:val="center"/>
          </w:tcPr>
          <w:p w14:paraId="000484C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6CC14D0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6B285473">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302" w:type="pct"/>
            <w:vMerge w:val="continue"/>
            <w:vAlign w:val="center"/>
          </w:tcPr>
          <w:p w14:paraId="64AF8F98">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320" w:type="pct"/>
            <w:vMerge w:val="continue"/>
            <w:vAlign w:val="center"/>
          </w:tcPr>
          <w:p w14:paraId="286A516E">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402" w:type="pct"/>
            <w:vMerge w:val="continue"/>
            <w:vAlign w:val="center"/>
          </w:tcPr>
          <w:p w14:paraId="1B19A744">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321" w:type="pct"/>
            <w:vMerge w:val="continue"/>
            <w:vAlign w:val="center"/>
          </w:tcPr>
          <w:p w14:paraId="6AD7537C">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343" w:type="pct"/>
            <w:vMerge w:val="continue"/>
            <w:vAlign w:val="center"/>
          </w:tcPr>
          <w:p w14:paraId="2046B051">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464" w:type="pct"/>
            <w:vMerge w:val="continue"/>
            <w:vAlign w:val="center"/>
          </w:tcPr>
          <w:p w14:paraId="5C36FF0F">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1214" w:type="dxa"/>
            <w:shd w:val="clear" w:color="auto" w:fill="auto"/>
            <w:vAlign w:val="center"/>
          </w:tcPr>
          <w:p w14:paraId="0D87F00E">
            <w:pPr>
              <w:pStyle w:val="24"/>
              <w:bidi w:val="0"/>
              <w:ind w:left="0" w:leftChars="0"/>
              <w:rPr>
                <w:rFonts w:hint="eastAsia" w:ascii="Times New Roman" w:hAnsi="Times New Roman"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1003" w:type="dxa"/>
            <w:shd w:val="clear" w:color="auto" w:fill="auto"/>
            <w:vAlign w:val="center"/>
          </w:tcPr>
          <w:p w14:paraId="30EE51A5">
            <w:pPr>
              <w:pStyle w:val="24"/>
              <w:bidi w:val="0"/>
              <w:ind w:left="0" w:leftChars="0"/>
              <w:jc w:val="center"/>
              <w:rPr>
                <w:rFonts w:hint="eastAsia" w:ascii="Times New Roman" w:hAnsi="Times New Roman"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6.39E-08</w:t>
            </w:r>
          </w:p>
        </w:tc>
      </w:tr>
      <w:tr w14:paraId="06E4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11" w:type="pct"/>
            <w:vMerge w:val="continue"/>
            <w:vAlign w:val="center"/>
          </w:tcPr>
          <w:p w14:paraId="34535C85">
            <w:pPr>
              <w:pStyle w:val="24"/>
              <w:bidi w:val="0"/>
              <w:jc w:val="center"/>
              <w:rPr>
                <w:color w:val="auto"/>
                <w:sz w:val="21"/>
                <w:szCs w:val="21"/>
              </w:rPr>
            </w:pPr>
          </w:p>
        </w:tc>
        <w:tc>
          <w:tcPr>
            <w:tcW w:w="479" w:type="pct"/>
            <w:vMerge w:val="continue"/>
            <w:vAlign w:val="center"/>
          </w:tcPr>
          <w:p w14:paraId="53211F84">
            <w:pPr>
              <w:pStyle w:val="24"/>
              <w:bidi w:val="0"/>
              <w:jc w:val="center"/>
              <w:rPr>
                <w:color w:val="auto"/>
                <w:sz w:val="21"/>
                <w:szCs w:val="21"/>
              </w:rPr>
            </w:pPr>
          </w:p>
        </w:tc>
        <w:tc>
          <w:tcPr>
            <w:tcW w:w="443" w:type="pct"/>
            <w:vMerge w:val="continue"/>
            <w:vAlign w:val="center"/>
          </w:tcPr>
          <w:p w14:paraId="1F3F010E">
            <w:pPr>
              <w:pStyle w:val="24"/>
              <w:bidi w:val="0"/>
              <w:jc w:val="center"/>
              <w:rPr>
                <w:color w:val="auto"/>
                <w:sz w:val="21"/>
                <w:szCs w:val="21"/>
              </w:rPr>
            </w:pPr>
          </w:p>
        </w:tc>
        <w:tc>
          <w:tcPr>
            <w:tcW w:w="455" w:type="pct"/>
            <w:vMerge w:val="continue"/>
            <w:vAlign w:val="center"/>
          </w:tcPr>
          <w:p w14:paraId="7E96CCA0">
            <w:pPr>
              <w:pStyle w:val="24"/>
              <w:bidi w:val="0"/>
              <w:jc w:val="center"/>
              <w:rPr>
                <w:color w:val="auto"/>
                <w:sz w:val="21"/>
                <w:szCs w:val="21"/>
              </w:rPr>
            </w:pPr>
          </w:p>
        </w:tc>
        <w:tc>
          <w:tcPr>
            <w:tcW w:w="380" w:type="pct"/>
            <w:vMerge w:val="continue"/>
            <w:vAlign w:val="center"/>
          </w:tcPr>
          <w:p w14:paraId="4B21F654">
            <w:pPr>
              <w:pStyle w:val="24"/>
              <w:bidi w:val="0"/>
              <w:jc w:val="center"/>
              <w:rPr>
                <w:color w:val="auto"/>
                <w:sz w:val="21"/>
                <w:szCs w:val="21"/>
              </w:rPr>
            </w:pPr>
          </w:p>
        </w:tc>
        <w:tc>
          <w:tcPr>
            <w:tcW w:w="302" w:type="pct"/>
            <w:vMerge w:val="continue"/>
            <w:vAlign w:val="center"/>
          </w:tcPr>
          <w:p w14:paraId="2184E833">
            <w:pPr>
              <w:pStyle w:val="24"/>
              <w:bidi w:val="0"/>
              <w:jc w:val="center"/>
              <w:rPr>
                <w:color w:val="auto"/>
                <w:sz w:val="21"/>
                <w:szCs w:val="21"/>
              </w:rPr>
            </w:pPr>
          </w:p>
        </w:tc>
        <w:tc>
          <w:tcPr>
            <w:tcW w:w="320" w:type="pct"/>
            <w:vMerge w:val="continue"/>
            <w:vAlign w:val="center"/>
          </w:tcPr>
          <w:p w14:paraId="6CB8C17E">
            <w:pPr>
              <w:pStyle w:val="24"/>
              <w:bidi w:val="0"/>
              <w:jc w:val="center"/>
              <w:rPr>
                <w:color w:val="auto"/>
                <w:sz w:val="21"/>
                <w:szCs w:val="21"/>
              </w:rPr>
            </w:pPr>
          </w:p>
        </w:tc>
        <w:tc>
          <w:tcPr>
            <w:tcW w:w="402" w:type="pct"/>
            <w:vMerge w:val="continue"/>
            <w:vAlign w:val="center"/>
          </w:tcPr>
          <w:p w14:paraId="170C183A">
            <w:pPr>
              <w:pStyle w:val="24"/>
              <w:bidi w:val="0"/>
              <w:jc w:val="center"/>
              <w:rPr>
                <w:color w:val="auto"/>
                <w:sz w:val="21"/>
                <w:szCs w:val="21"/>
              </w:rPr>
            </w:pPr>
          </w:p>
        </w:tc>
        <w:tc>
          <w:tcPr>
            <w:tcW w:w="321" w:type="pct"/>
            <w:vMerge w:val="continue"/>
            <w:vAlign w:val="center"/>
          </w:tcPr>
          <w:p w14:paraId="7D657BFE">
            <w:pPr>
              <w:pStyle w:val="24"/>
              <w:bidi w:val="0"/>
              <w:jc w:val="center"/>
              <w:rPr>
                <w:color w:val="auto"/>
                <w:sz w:val="21"/>
                <w:szCs w:val="21"/>
              </w:rPr>
            </w:pPr>
          </w:p>
        </w:tc>
        <w:tc>
          <w:tcPr>
            <w:tcW w:w="343" w:type="pct"/>
            <w:vMerge w:val="continue"/>
            <w:vAlign w:val="center"/>
          </w:tcPr>
          <w:p w14:paraId="5CFCE73B">
            <w:pPr>
              <w:pStyle w:val="24"/>
              <w:bidi w:val="0"/>
              <w:jc w:val="center"/>
              <w:rPr>
                <w:color w:val="auto"/>
                <w:sz w:val="21"/>
                <w:szCs w:val="21"/>
              </w:rPr>
            </w:pPr>
          </w:p>
        </w:tc>
        <w:tc>
          <w:tcPr>
            <w:tcW w:w="464" w:type="pct"/>
            <w:vMerge w:val="continue"/>
            <w:vAlign w:val="center"/>
          </w:tcPr>
          <w:p w14:paraId="777C024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1214" w:type="dxa"/>
            <w:shd w:val="clear" w:color="auto" w:fill="auto"/>
            <w:vAlign w:val="center"/>
          </w:tcPr>
          <w:p w14:paraId="0B804277">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1003" w:type="dxa"/>
            <w:shd w:val="clear" w:color="auto" w:fill="auto"/>
            <w:vAlign w:val="center"/>
          </w:tcPr>
          <w:p w14:paraId="09C93DB0">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4.00E-05</w:t>
            </w:r>
          </w:p>
        </w:tc>
      </w:tr>
      <w:tr w14:paraId="6654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11" w:type="pct"/>
            <w:vMerge w:val="continue"/>
            <w:vAlign w:val="center"/>
          </w:tcPr>
          <w:p w14:paraId="676BA0D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274FDD0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027A3CC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64A2F0C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6B06CA2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10BFECA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4EB304D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4B61704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03D4A3A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1D4D382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restart"/>
            <w:vAlign w:val="center"/>
          </w:tcPr>
          <w:p w14:paraId="5E77AEC4">
            <w:pPr>
              <w:pStyle w:val="24"/>
              <w:bidi w:val="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非正常排放</w:t>
            </w:r>
          </w:p>
        </w:tc>
        <w:tc>
          <w:tcPr>
            <w:tcW w:w="1214" w:type="dxa"/>
            <w:shd w:val="clear" w:color="auto" w:fill="auto"/>
            <w:vAlign w:val="center"/>
          </w:tcPr>
          <w:p w14:paraId="1B89FD5F">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氯化氢</w:t>
            </w:r>
          </w:p>
        </w:tc>
        <w:tc>
          <w:tcPr>
            <w:tcW w:w="1003" w:type="dxa"/>
            <w:shd w:val="clear" w:color="auto" w:fill="auto"/>
            <w:vAlign w:val="bottom"/>
          </w:tcPr>
          <w:p w14:paraId="3EC4C41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1.90E-06</w:t>
            </w:r>
          </w:p>
        </w:tc>
      </w:tr>
      <w:tr w14:paraId="55E5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11" w:type="pct"/>
            <w:vMerge w:val="continue"/>
            <w:vAlign w:val="center"/>
          </w:tcPr>
          <w:p w14:paraId="7A37F07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36002B68">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7126B9D4">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706FC6E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731443B1">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524D601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2C3E9A4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6E56D579">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07BDE89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55723CFA">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67066D4E">
            <w:pPr>
              <w:pStyle w:val="24"/>
              <w:bidi w:val="0"/>
              <w:jc w:val="center"/>
              <w:rPr>
                <w:rFonts w:hint="eastAsia" w:ascii="Times New Roman" w:hAnsi="Times New Roman" w:cs="Times New Roman"/>
                <w:b w:val="0"/>
                <w:bCs w:val="0"/>
                <w:color w:val="auto"/>
                <w:sz w:val="21"/>
                <w:szCs w:val="21"/>
                <w:highlight w:val="none"/>
                <w:lang w:val="en-US" w:eastAsia="zh-CN"/>
              </w:rPr>
            </w:pPr>
          </w:p>
        </w:tc>
        <w:tc>
          <w:tcPr>
            <w:tcW w:w="1214" w:type="dxa"/>
            <w:shd w:val="clear" w:color="auto" w:fill="auto"/>
            <w:vAlign w:val="center"/>
          </w:tcPr>
          <w:p w14:paraId="2D244F65">
            <w:pPr>
              <w:pStyle w:val="24"/>
              <w:bidi w:val="0"/>
              <w:ind w:left="0" w:leftChars="0"/>
              <w:rPr>
                <w:rFonts w:hint="eastAsia" w:ascii="Times New Roman" w:hAnsi="Times New Roman"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1003" w:type="dxa"/>
            <w:shd w:val="clear" w:color="auto" w:fill="auto"/>
            <w:vAlign w:val="bottom"/>
          </w:tcPr>
          <w:p w14:paraId="51651CF4">
            <w:pPr>
              <w:pStyle w:val="24"/>
              <w:bidi w:val="0"/>
              <w:ind w:left="0" w:leftChars="0"/>
              <w:rPr>
                <w:rFonts w:hint="eastAsia"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3.20E-07</w:t>
            </w:r>
          </w:p>
        </w:tc>
      </w:tr>
      <w:tr w14:paraId="43A3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11" w:type="pct"/>
            <w:vMerge w:val="continue"/>
            <w:vAlign w:val="center"/>
          </w:tcPr>
          <w:p w14:paraId="2A19F5C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79" w:type="pct"/>
            <w:vMerge w:val="continue"/>
            <w:vAlign w:val="center"/>
          </w:tcPr>
          <w:p w14:paraId="0FFF613E">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43" w:type="pct"/>
            <w:vMerge w:val="continue"/>
            <w:vAlign w:val="center"/>
          </w:tcPr>
          <w:p w14:paraId="0E690CD2">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55" w:type="pct"/>
            <w:vMerge w:val="continue"/>
            <w:vAlign w:val="center"/>
          </w:tcPr>
          <w:p w14:paraId="1398F3B5">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80" w:type="pct"/>
            <w:vMerge w:val="continue"/>
            <w:vAlign w:val="center"/>
          </w:tcPr>
          <w:p w14:paraId="29F5F556">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02" w:type="pct"/>
            <w:vMerge w:val="continue"/>
            <w:vAlign w:val="center"/>
          </w:tcPr>
          <w:p w14:paraId="36C3035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0" w:type="pct"/>
            <w:vMerge w:val="continue"/>
            <w:vAlign w:val="center"/>
          </w:tcPr>
          <w:p w14:paraId="1E853383">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02" w:type="pct"/>
            <w:vMerge w:val="continue"/>
            <w:vAlign w:val="center"/>
          </w:tcPr>
          <w:p w14:paraId="26762F8C">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21" w:type="pct"/>
            <w:vMerge w:val="continue"/>
            <w:vAlign w:val="center"/>
          </w:tcPr>
          <w:p w14:paraId="24C90EB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343" w:type="pct"/>
            <w:vMerge w:val="continue"/>
            <w:vAlign w:val="center"/>
          </w:tcPr>
          <w:p w14:paraId="7D3115C0">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464" w:type="pct"/>
            <w:vMerge w:val="continue"/>
            <w:vAlign w:val="center"/>
          </w:tcPr>
          <w:p w14:paraId="75AE3C8B">
            <w:pPr>
              <w:pStyle w:val="24"/>
              <w:bidi w:val="0"/>
              <w:jc w:val="center"/>
              <w:rPr>
                <w:rFonts w:hint="eastAsia" w:ascii="Times New Roman" w:hAnsi="Times New Roman" w:eastAsia="宋体" w:cs="Times New Roman"/>
                <w:b w:val="0"/>
                <w:bCs w:val="0"/>
                <w:color w:val="auto"/>
                <w:sz w:val="21"/>
                <w:szCs w:val="21"/>
                <w:highlight w:val="none"/>
                <w:lang w:val="en-US" w:eastAsia="zh-CN"/>
              </w:rPr>
            </w:pPr>
          </w:p>
        </w:tc>
        <w:tc>
          <w:tcPr>
            <w:tcW w:w="1214" w:type="dxa"/>
            <w:shd w:val="clear" w:color="auto" w:fill="auto"/>
            <w:vAlign w:val="center"/>
          </w:tcPr>
          <w:p w14:paraId="05D50112">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氟化物</w:t>
            </w:r>
          </w:p>
        </w:tc>
        <w:tc>
          <w:tcPr>
            <w:tcW w:w="1003" w:type="dxa"/>
            <w:shd w:val="clear" w:color="auto" w:fill="auto"/>
            <w:vAlign w:val="bottom"/>
          </w:tcPr>
          <w:p w14:paraId="184DA2A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2.00E-04</w:t>
            </w:r>
          </w:p>
        </w:tc>
      </w:tr>
    </w:tbl>
    <w:p w14:paraId="0BE04068">
      <w:pPr>
        <w:pStyle w:val="26"/>
        <w:numPr>
          <w:ilvl w:val="0"/>
          <w:numId w:val="0"/>
        </w:numPr>
        <w:tabs>
          <w:tab w:val="left" w:pos="0"/>
        </w:tabs>
        <w:jc w:val="both"/>
        <w:rPr>
          <w:rFonts w:hint="eastAsia" w:ascii="Times New Roman" w:hAnsi="Times New Roman" w:eastAsia="黑体" w:cs="Times New Roman"/>
          <w:color w:val="auto"/>
          <w:sz w:val="21"/>
          <w:szCs w:val="21"/>
          <w:highlight w:val="none"/>
          <w:lang w:val="en-US" w:eastAsia="zh-CN"/>
        </w:rPr>
      </w:pPr>
    </w:p>
    <w:p w14:paraId="287713C4">
      <w:pPr>
        <w:pStyle w:val="26"/>
        <w:numPr>
          <w:ilvl w:val="0"/>
          <w:numId w:val="0"/>
        </w:numPr>
        <w:tabs>
          <w:tab w:val="left" w:pos="0"/>
        </w:tabs>
        <w:jc w:val="both"/>
        <w:rPr>
          <w:rFonts w:hint="eastAsia" w:ascii="Times New Roman" w:hAnsi="Times New Roman" w:eastAsia="黑体" w:cs="Times New Roman"/>
          <w:color w:val="auto"/>
          <w:sz w:val="21"/>
          <w:szCs w:val="21"/>
          <w:highlight w:val="none"/>
          <w:lang w:val="en-US" w:eastAsia="zh-CN"/>
        </w:rPr>
      </w:pPr>
    </w:p>
    <w:p w14:paraId="191CA4E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本项目大气无组织排放源（矩形）参数表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782"/>
        <w:gridCol w:w="775"/>
        <w:gridCol w:w="889"/>
        <w:gridCol w:w="825"/>
        <w:gridCol w:w="613"/>
        <w:gridCol w:w="625"/>
        <w:gridCol w:w="975"/>
        <w:gridCol w:w="675"/>
        <w:gridCol w:w="850"/>
        <w:gridCol w:w="1000"/>
        <w:gridCol w:w="650"/>
        <w:gridCol w:w="962"/>
        <w:gridCol w:w="950"/>
        <w:gridCol w:w="763"/>
        <w:gridCol w:w="625"/>
        <w:gridCol w:w="987"/>
        <w:gridCol w:w="923"/>
      </w:tblGrid>
      <w:tr w14:paraId="3C26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8" w:type="pct"/>
            <w:vMerge w:val="restart"/>
            <w:noWrap w:val="0"/>
            <w:vAlign w:val="center"/>
          </w:tcPr>
          <w:p w14:paraId="7D37729F">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编号</w:t>
            </w:r>
          </w:p>
        </w:tc>
        <w:tc>
          <w:tcPr>
            <w:tcW w:w="274" w:type="pct"/>
            <w:vMerge w:val="restart"/>
            <w:noWrap w:val="0"/>
            <w:vAlign w:val="center"/>
          </w:tcPr>
          <w:p w14:paraId="40BB4DB0">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名称</w:t>
            </w:r>
          </w:p>
        </w:tc>
        <w:tc>
          <w:tcPr>
            <w:tcW w:w="583" w:type="pct"/>
            <w:gridSpan w:val="2"/>
            <w:noWrap w:val="0"/>
            <w:vAlign w:val="center"/>
          </w:tcPr>
          <w:p w14:paraId="44F5E99F">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面源起点坐标</w:t>
            </w:r>
            <w:r>
              <w:rPr>
                <w:rFonts w:hint="eastAsia" w:cs="Courier New"/>
                <w:b/>
                <w:bCs/>
                <w:color w:val="auto"/>
                <w:sz w:val="18"/>
                <w:szCs w:val="18"/>
                <w:highlight w:val="none"/>
                <w:lang w:val="en-US" w:eastAsia="zh-CN"/>
              </w:rPr>
              <w:t>(</w:t>
            </w:r>
            <w:r>
              <w:rPr>
                <w:rFonts w:hint="eastAsia" w:ascii="Times New Roman" w:hAnsi="Times New Roman" w:eastAsia="宋体" w:cs="Courier New"/>
                <w:b/>
                <w:bCs/>
                <w:color w:val="auto"/>
                <w:sz w:val="18"/>
                <w:szCs w:val="18"/>
                <w:highlight w:val="none"/>
                <w:lang w:val="en-US" w:eastAsia="zh-CN"/>
              </w:rPr>
              <w:t>m)</w:t>
            </w:r>
          </w:p>
        </w:tc>
        <w:tc>
          <w:tcPr>
            <w:tcW w:w="289" w:type="pct"/>
            <w:vMerge w:val="restart"/>
            <w:noWrap w:val="0"/>
            <w:vAlign w:val="center"/>
          </w:tcPr>
          <w:p w14:paraId="5E292E5E">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面源海拔高度</w:t>
            </w:r>
            <w:r>
              <w:rPr>
                <w:rFonts w:hint="eastAsia" w:cs="Courier New"/>
                <w:b/>
                <w:bCs/>
                <w:color w:val="auto"/>
                <w:sz w:val="18"/>
                <w:szCs w:val="18"/>
                <w:highlight w:val="none"/>
                <w:lang w:val="en-US" w:eastAsia="zh-CN"/>
              </w:rPr>
              <w:t>(</w:t>
            </w:r>
            <w:r>
              <w:rPr>
                <w:rFonts w:hint="eastAsia" w:ascii="Times New Roman" w:hAnsi="Times New Roman" w:eastAsia="宋体" w:cs="Courier New"/>
                <w:b/>
                <w:bCs/>
                <w:color w:val="auto"/>
                <w:sz w:val="18"/>
                <w:szCs w:val="18"/>
                <w:highlight w:val="none"/>
                <w:lang w:val="en-US" w:eastAsia="zh-CN"/>
              </w:rPr>
              <w:t>m)</w:t>
            </w:r>
          </w:p>
        </w:tc>
        <w:tc>
          <w:tcPr>
            <w:tcW w:w="1012" w:type="pct"/>
            <w:gridSpan w:val="4"/>
            <w:noWrap w:val="0"/>
            <w:vAlign w:val="center"/>
          </w:tcPr>
          <w:p w14:paraId="0AF77962">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面源参数</w:t>
            </w:r>
          </w:p>
        </w:tc>
        <w:tc>
          <w:tcPr>
            <w:tcW w:w="297" w:type="pct"/>
            <w:vMerge w:val="restart"/>
            <w:noWrap w:val="0"/>
            <w:vAlign w:val="center"/>
          </w:tcPr>
          <w:p w14:paraId="7F747906">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年排放小时数/h</w:t>
            </w:r>
          </w:p>
        </w:tc>
        <w:tc>
          <w:tcPr>
            <w:tcW w:w="350" w:type="pct"/>
            <w:vMerge w:val="restart"/>
            <w:noWrap w:val="0"/>
            <w:vAlign w:val="center"/>
          </w:tcPr>
          <w:p w14:paraId="33F86536">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排放工况</w:t>
            </w:r>
          </w:p>
        </w:tc>
        <w:tc>
          <w:tcPr>
            <w:tcW w:w="2053" w:type="pct"/>
            <w:gridSpan w:val="7"/>
            <w:noWrap w:val="0"/>
            <w:vAlign w:val="center"/>
          </w:tcPr>
          <w:p w14:paraId="67A4BA99">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排放速率</w:t>
            </w:r>
            <w:r>
              <w:rPr>
                <w:rFonts w:hint="eastAsia" w:cs="Courier New"/>
                <w:b/>
                <w:bCs/>
                <w:color w:val="auto"/>
                <w:sz w:val="18"/>
                <w:szCs w:val="18"/>
                <w:highlight w:val="none"/>
                <w:lang w:val="en-US" w:eastAsia="zh-CN"/>
              </w:rPr>
              <w:t>(</w:t>
            </w:r>
            <w:r>
              <w:rPr>
                <w:rFonts w:hint="eastAsia" w:ascii="Times New Roman" w:hAnsi="Times New Roman" w:eastAsia="宋体" w:cs="Courier New"/>
                <w:b/>
                <w:bCs/>
                <w:color w:val="auto"/>
                <w:sz w:val="18"/>
                <w:szCs w:val="18"/>
                <w:highlight w:val="none"/>
                <w:lang w:val="en-US" w:eastAsia="zh-CN"/>
              </w:rPr>
              <w:t>kg/h)</w:t>
            </w:r>
          </w:p>
        </w:tc>
      </w:tr>
      <w:tr w14:paraId="32A1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trPr>
        <w:tc>
          <w:tcPr>
            <w:tcW w:w="138" w:type="pct"/>
            <w:vMerge w:val="continue"/>
            <w:noWrap w:val="0"/>
            <w:vAlign w:val="center"/>
          </w:tcPr>
          <w:p w14:paraId="10B853B5">
            <w:pPr>
              <w:pStyle w:val="24"/>
              <w:bidi w:val="0"/>
              <w:rPr>
                <w:rFonts w:hint="eastAsia" w:ascii="Times New Roman" w:hAnsi="Times New Roman" w:eastAsia="宋体" w:cs="Courier New"/>
                <w:b/>
                <w:bCs/>
                <w:color w:val="auto"/>
                <w:sz w:val="18"/>
                <w:szCs w:val="18"/>
                <w:highlight w:val="none"/>
                <w:lang w:val="en-US" w:eastAsia="zh-CN"/>
              </w:rPr>
            </w:pPr>
          </w:p>
        </w:tc>
        <w:tc>
          <w:tcPr>
            <w:tcW w:w="274" w:type="pct"/>
            <w:vMerge w:val="continue"/>
            <w:noWrap w:val="0"/>
            <w:vAlign w:val="center"/>
          </w:tcPr>
          <w:p w14:paraId="19A974B9">
            <w:pPr>
              <w:pStyle w:val="24"/>
              <w:bidi w:val="0"/>
              <w:rPr>
                <w:rFonts w:hint="eastAsia" w:ascii="Times New Roman" w:hAnsi="Times New Roman" w:eastAsia="宋体" w:cs="Courier New"/>
                <w:b/>
                <w:bCs/>
                <w:color w:val="auto"/>
                <w:sz w:val="18"/>
                <w:szCs w:val="18"/>
                <w:highlight w:val="none"/>
                <w:lang w:val="en-US" w:eastAsia="zh-CN"/>
              </w:rPr>
            </w:pPr>
          </w:p>
        </w:tc>
        <w:tc>
          <w:tcPr>
            <w:tcW w:w="271" w:type="pct"/>
            <w:noWrap w:val="0"/>
            <w:vAlign w:val="center"/>
          </w:tcPr>
          <w:p w14:paraId="36EE0B66">
            <w:pPr>
              <w:pStyle w:val="24"/>
              <w:bidi w:val="0"/>
              <w:ind w:left="0" w:leftChars="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X</w:t>
            </w:r>
          </w:p>
        </w:tc>
        <w:tc>
          <w:tcPr>
            <w:tcW w:w="311" w:type="pct"/>
            <w:noWrap w:val="0"/>
            <w:vAlign w:val="center"/>
          </w:tcPr>
          <w:p w14:paraId="00546640">
            <w:pPr>
              <w:pStyle w:val="24"/>
              <w:bidi w:val="0"/>
              <w:ind w:left="0" w:leftChars="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Y</w:t>
            </w:r>
          </w:p>
        </w:tc>
        <w:tc>
          <w:tcPr>
            <w:tcW w:w="289" w:type="pct"/>
            <w:vMerge w:val="continue"/>
            <w:noWrap w:val="0"/>
            <w:vAlign w:val="center"/>
          </w:tcPr>
          <w:p w14:paraId="48703D3D">
            <w:pPr>
              <w:pStyle w:val="24"/>
              <w:bidi w:val="0"/>
              <w:rPr>
                <w:rFonts w:hint="eastAsia" w:ascii="Times New Roman" w:hAnsi="Times New Roman" w:eastAsia="宋体" w:cs="Courier New"/>
                <w:b/>
                <w:bCs/>
                <w:color w:val="auto"/>
                <w:sz w:val="18"/>
                <w:szCs w:val="18"/>
                <w:highlight w:val="none"/>
                <w:lang w:val="en-US" w:eastAsia="zh-CN"/>
              </w:rPr>
            </w:pPr>
          </w:p>
        </w:tc>
        <w:tc>
          <w:tcPr>
            <w:tcW w:w="214" w:type="pct"/>
            <w:noWrap w:val="0"/>
            <w:vAlign w:val="center"/>
          </w:tcPr>
          <w:p w14:paraId="181CF566">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长度</w:t>
            </w:r>
          </w:p>
          <w:p w14:paraId="6C8CA444">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(m)</w:t>
            </w:r>
          </w:p>
        </w:tc>
        <w:tc>
          <w:tcPr>
            <w:tcW w:w="219" w:type="pct"/>
            <w:noWrap w:val="0"/>
            <w:vAlign w:val="center"/>
          </w:tcPr>
          <w:p w14:paraId="77CD198E">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宽度</w:t>
            </w:r>
          </w:p>
          <w:p w14:paraId="6D7BE274">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(m)</w:t>
            </w:r>
          </w:p>
        </w:tc>
        <w:tc>
          <w:tcPr>
            <w:tcW w:w="341" w:type="pct"/>
            <w:noWrap w:val="0"/>
            <w:vAlign w:val="center"/>
          </w:tcPr>
          <w:p w14:paraId="2E448611">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与正北夹角</w:t>
            </w:r>
            <w:r>
              <w:rPr>
                <w:rFonts w:hint="eastAsia" w:cs="Courier New"/>
                <w:b/>
                <w:bCs/>
                <w:color w:val="auto"/>
                <w:sz w:val="18"/>
                <w:szCs w:val="18"/>
                <w:highlight w:val="none"/>
                <w:lang w:val="en-US" w:eastAsia="zh-CN"/>
              </w:rPr>
              <w:t>(</w:t>
            </w:r>
            <w:r>
              <w:rPr>
                <w:rFonts w:hint="eastAsia" w:ascii="Times New Roman" w:hAnsi="Times New Roman" w:eastAsia="宋体" w:cs="Courier New"/>
                <w:b/>
                <w:bCs/>
                <w:color w:val="auto"/>
                <w:sz w:val="18"/>
                <w:szCs w:val="18"/>
                <w:highlight w:val="none"/>
                <w:lang w:val="en-US" w:eastAsia="zh-CN"/>
              </w:rPr>
              <w:t>°)</w:t>
            </w:r>
          </w:p>
        </w:tc>
        <w:tc>
          <w:tcPr>
            <w:tcW w:w="236" w:type="pct"/>
            <w:noWrap w:val="0"/>
            <w:vAlign w:val="center"/>
          </w:tcPr>
          <w:p w14:paraId="797AAE78">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高度</w:t>
            </w:r>
          </w:p>
          <w:p w14:paraId="1FF35E32">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(m)</w:t>
            </w:r>
          </w:p>
        </w:tc>
        <w:tc>
          <w:tcPr>
            <w:tcW w:w="297" w:type="pct"/>
            <w:vMerge w:val="continue"/>
            <w:noWrap w:val="0"/>
            <w:vAlign w:val="center"/>
          </w:tcPr>
          <w:p w14:paraId="4EC2240B">
            <w:pPr>
              <w:pStyle w:val="24"/>
              <w:bidi w:val="0"/>
              <w:rPr>
                <w:rFonts w:hint="eastAsia" w:ascii="Times New Roman" w:hAnsi="Times New Roman" w:eastAsia="宋体" w:cs="Courier New"/>
                <w:b/>
                <w:bCs/>
                <w:color w:val="auto"/>
                <w:sz w:val="18"/>
                <w:szCs w:val="18"/>
                <w:highlight w:val="none"/>
                <w:lang w:val="en-US" w:eastAsia="zh-CN"/>
              </w:rPr>
            </w:pPr>
          </w:p>
        </w:tc>
        <w:tc>
          <w:tcPr>
            <w:tcW w:w="350" w:type="pct"/>
            <w:vMerge w:val="continue"/>
            <w:noWrap w:val="0"/>
            <w:vAlign w:val="center"/>
          </w:tcPr>
          <w:p w14:paraId="10E8B014">
            <w:pPr>
              <w:pStyle w:val="24"/>
              <w:bidi w:val="0"/>
              <w:rPr>
                <w:rFonts w:hint="eastAsia" w:ascii="Times New Roman" w:hAnsi="Times New Roman" w:eastAsia="宋体" w:cs="Courier New"/>
                <w:b/>
                <w:bCs/>
                <w:color w:val="auto"/>
                <w:sz w:val="18"/>
                <w:szCs w:val="18"/>
                <w:highlight w:val="none"/>
                <w:lang w:val="en-US" w:eastAsia="zh-CN"/>
              </w:rPr>
            </w:pPr>
          </w:p>
        </w:tc>
        <w:tc>
          <w:tcPr>
            <w:tcW w:w="227" w:type="pct"/>
            <w:noWrap w:val="0"/>
            <w:vAlign w:val="center"/>
          </w:tcPr>
          <w:p w14:paraId="3786D197">
            <w:pPr>
              <w:pStyle w:val="24"/>
              <w:bidi w:val="0"/>
              <w:rPr>
                <w:rFonts w:hint="default" w:ascii="Times New Roman" w:hAnsi="Times New Roman" w:eastAsia="宋体" w:cs="Courier New"/>
                <w:b/>
                <w:bCs/>
                <w:color w:val="auto"/>
                <w:sz w:val="18"/>
                <w:szCs w:val="18"/>
                <w:highlight w:val="none"/>
                <w:lang w:val="en-US" w:eastAsia="zh-CN"/>
              </w:rPr>
            </w:pPr>
            <w:r>
              <w:rPr>
                <w:rFonts w:hint="eastAsia" w:cs="Courier New"/>
                <w:b/>
                <w:bCs/>
                <w:color w:val="auto"/>
                <w:sz w:val="18"/>
                <w:szCs w:val="18"/>
                <w:highlight w:val="none"/>
                <w:lang w:val="en-US" w:eastAsia="zh-CN"/>
              </w:rPr>
              <w:t>TSP</w:t>
            </w:r>
          </w:p>
        </w:tc>
        <w:tc>
          <w:tcPr>
            <w:tcW w:w="337" w:type="pct"/>
            <w:noWrap w:val="0"/>
            <w:vAlign w:val="center"/>
          </w:tcPr>
          <w:p w14:paraId="4D8E5080">
            <w:pPr>
              <w:pStyle w:val="24"/>
              <w:bidi w:val="0"/>
              <w:ind w:left="0" w:leftChars="0"/>
              <w:rPr>
                <w:rFonts w:hint="eastAsia" w:ascii="Times New Roman" w:hAnsi="Times New Roman" w:eastAsia="宋体" w:cs="Courier New"/>
                <w:b/>
                <w:bCs/>
                <w:color w:val="auto"/>
                <w:sz w:val="18"/>
                <w:szCs w:val="18"/>
                <w:highlight w:val="none"/>
                <w:lang w:val="en-US" w:eastAsia="zh-CN"/>
              </w:rPr>
            </w:pPr>
            <w:r>
              <w:rPr>
                <w:rFonts w:hint="eastAsia" w:cs="Times New Roman"/>
                <w:b/>
                <w:bCs/>
                <w:color w:val="auto"/>
                <w:sz w:val="18"/>
                <w:szCs w:val="18"/>
                <w:highlight w:val="none"/>
                <w:lang w:val="en-US" w:eastAsia="zh-CN"/>
              </w:rPr>
              <w:t>硫酸雾</w:t>
            </w:r>
          </w:p>
        </w:tc>
        <w:tc>
          <w:tcPr>
            <w:tcW w:w="332" w:type="pct"/>
            <w:noWrap w:val="0"/>
            <w:vAlign w:val="center"/>
          </w:tcPr>
          <w:p w14:paraId="76832856">
            <w:pPr>
              <w:pStyle w:val="24"/>
              <w:bidi w:val="0"/>
              <w:ind w:left="0" w:leftChars="0"/>
              <w:rPr>
                <w:rFonts w:hint="default" w:ascii="Times New Roman" w:hAnsi="Times New Roman" w:eastAsia="宋体" w:cs="Courier New"/>
                <w:b/>
                <w:bCs/>
                <w:color w:val="auto"/>
                <w:sz w:val="18"/>
                <w:szCs w:val="18"/>
                <w:highlight w:val="none"/>
                <w:lang w:val="en-US" w:eastAsia="zh-CN"/>
              </w:rPr>
            </w:pPr>
            <w:r>
              <w:rPr>
                <w:rFonts w:hint="eastAsia" w:cs="Courier New"/>
                <w:b/>
                <w:bCs/>
                <w:color w:val="auto"/>
                <w:sz w:val="18"/>
                <w:szCs w:val="18"/>
                <w:highlight w:val="none"/>
                <w:lang w:val="en-US" w:eastAsia="zh-CN"/>
              </w:rPr>
              <w:t>氟化物</w:t>
            </w:r>
          </w:p>
        </w:tc>
        <w:tc>
          <w:tcPr>
            <w:tcW w:w="267" w:type="pct"/>
            <w:noWrap w:val="0"/>
            <w:vAlign w:val="center"/>
          </w:tcPr>
          <w:p w14:paraId="4740BF30">
            <w:pPr>
              <w:pStyle w:val="24"/>
              <w:bidi w:val="0"/>
              <w:rPr>
                <w:rFonts w:hint="default" w:ascii="Times New Roman" w:hAnsi="Times New Roman" w:eastAsia="宋体" w:cs="Courier New"/>
                <w:b/>
                <w:bCs/>
                <w:color w:val="auto"/>
                <w:sz w:val="18"/>
                <w:szCs w:val="18"/>
                <w:highlight w:val="none"/>
                <w:lang w:val="en-US" w:eastAsia="zh-CN"/>
              </w:rPr>
            </w:pPr>
            <w:r>
              <w:rPr>
                <w:rFonts w:hint="eastAsia" w:cs="Times New Roman"/>
                <w:b/>
                <w:bCs/>
                <w:color w:val="auto"/>
                <w:sz w:val="18"/>
                <w:szCs w:val="18"/>
                <w:highlight w:val="none"/>
                <w:lang w:val="en-US" w:eastAsia="zh-CN"/>
              </w:rPr>
              <w:t>VOCs</w:t>
            </w:r>
          </w:p>
        </w:tc>
        <w:tc>
          <w:tcPr>
            <w:tcW w:w="219" w:type="pct"/>
            <w:shd w:val="clear" w:color="auto" w:fill="auto"/>
            <w:noWrap w:val="0"/>
            <w:vAlign w:val="center"/>
          </w:tcPr>
          <w:p w14:paraId="6A1FBBD9">
            <w:pPr>
              <w:pStyle w:val="24"/>
              <w:bidi w:val="0"/>
              <w:ind w:left="0" w:leftChars="0"/>
              <w:rPr>
                <w:rFonts w:hint="eastAsia" w:ascii="Times New Roman" w:hAnsi="Times New Roman" w:eastAsia="宋体" w:cs="Courier New"/>
                <w:b/>
                <w:bCs/>
                <w:color w:val="auto"/>
                <w:kern w:val="2"/>
                <w:sz w:val="18"/>
                <w:szCs w:val="18"/>
                <w:highlight w:val="none"/>
                <w:lang w:val="en-US" w:eastAsia="zh-CN" w:bidi="ar-SA"/>
              </w:rPr>
            </w:pPr>
            <w:r>
              <w:rPr>
                <w:rFonts w:hint="eastAsia" w:cs="Times New Roman"/>
                <w:b/>
                <w:bCs/>
                <w:color w:val="auto"/>
                <w:sz w:val="18"/>
                <w:szCs w:val="18"/>
                <w:highlight w:val="none"/>
                <w:lang w:val="en-US" w:eastAsia="zh-CN"/>
              </w:rPr>
              <w:t>NH</w:t>
            </w:r>
            <w:r>
              <w:rPr>
                <w:rFonts w:hint="eastAsia" w:cs="Times New Roman"/>
                <w:b/>
                <w:bCs/>
                <w:color w:val="auto"/>
                <w:sz w:val="18"/>
                <w:szCs w:val="18"/>
                <w:highlight w:val="none"/>
                <w:vertAlign w:val="subscript"/>
                <w:lang w:val="en-US" w:eastAsia="zh-CN"/>
              </w:rPr>
              <w:t>3</w:t>
            </w:r>
          </w:p>
        </w:tc>
        <w:tc>
          <w:tcPr>
            <w:tcW w:w="345" w:type="pct"/>
            <w:shd w:val="clear" w:color="auto" w:fill="auto"/>
            <w:noWrap w:val="0"/>
            <w:vAlign w:val="center"/>
          </w:tcPr>
          <w:p w14:paraId="6B31DA7A">
            <w:pPr>
              <w:pStyle w:val="24"/>
              <w:bidi w:val="0"/>
              <w:ind w:left="0" w:leftChars="0"/>
              <w:rPr>
                <w:rFonts w:hint="default" w:ascii="Times New Roman" w:hAnsi="Times New Roman" w:eastAsia="宋体" w:cs="Times New Roman"/>
                <w:b/>
                <w:bCs/>
                <w:color w:val="auto"/>
                <w:kern w:val="2"/>
                <w:sz w:val="18"/>
                <w:szCs w:val="18"/>
                <w:highlight w:val="none"/>
                <w:lang w:val="en-US" w:eastAsia="zh-CN" w:bidi="ar-SA"/>
              </w:rPr>
            </w:pPr>
            <w:r>
              <w:rPr>
                <w:rFonts w:hint="eastAsia" w:cs="Times New Roman"/>
                <w:b/>
                <w:bCs/>
                <w:color w:val="auto"/>
                <w:sz w:val="18"/>
                <w:szCs w:val="18"/>
                <w:highlight w:val="none"/>
                <w:lang w:val="en-US" w:eastAsia="zh-CN"/>
              </w:rPr>
              <w:t>臭气浓度</w:t>
            </w:r>
          </w:p>
        </w:tc>
        <w:tc>
          <w:tcPr>
            <w:tcW w:w="323" w:type="pct"/>
            <w:noWrap w:val="0"/>
            <w:vAlign w:val="center"/>
          </w:tcPr>
          <w:p w14:paraId="39C20275">
            <w:pPr>
              <w:pStyle w:val="24"/>
              <w:bidi w:val="0"/>
              <w:rPr>
                <w:rFonts w:hint="default"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氯化氢</w:t>
            </w:r>
          </w:p>
        </w:tc>
      </w:tr>
      <w:tr w14:paraId="7221B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8" w:type="pct"/>
            <w:noWrap w:val="0"/>
            <w:vAlign w:val="center"/>
          </w:tcPr>
          <w:p w14:paraId="7A406191">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1</w:t>
            </w:r>
          </w:p>
        </w:tc>
        <w:tc>
          <w:tcPr>
            <w:tcW w:w="274" w:type="pct"/>
            <w:noWrap w:val="0"/>
            <w:vAlign w:val="center"/>
          </w:tcPr>
          <w:p w14:paraId="1EFFBFBA">
            <w:pPr>
              <w:pStyle w:val="24"/>
              <w:bidi w:val="0"/>
              <w:rPr>
                <w:rFonts w:hint="eastAsia"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生产</w:t>
            </w:r>
          </w:p>
          <w:p w14:paraId="50E1029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车间</w:t>
            </w:r>
          </w:p>
        </w:tc>
        <w:tc>
          <w:tcPr>
            <w:tcW w:w="271" w:type="pct"/>
            <w:noWrap w:val="0"/>
            <w:vAlign w:val="center"/>
          </w:tcPr>
          <w:p w14:paraId="01BD0587">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710946</w:t>
            </w:r>
          </w:p>
        </w:tc>
        <w:tc>
          <w:tcPr>
            <w:tcW w:w="311" w:type="pct"/>
            <w:noWrap w:val="0"/>
            <w:vAlign w:val="center"/>
          </w:tcPr>
          <w:p w14:paraId="69078505">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3529243</w:t>
            </w:r>
          </w:p>
        </w:tc>
        <w:tc>
          <w:tcPr>
            <w:tcW w:w="289" w:type="pct"/>
            <w:noWrap w:val="0"/>
            <w:vAlign w:val="center"/>
          </w:tcPr>
          <w:p w14:paraId="424E4B77">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523</w:t>
            </w:r>
          </w:p>
        </w:tc>
        <w:tc>
          <w:tcPr>
            <w:tcW w:w="214" w:type="pct"/>
            <w:noWrap w:val="0"/>
            <w:vAlign w:val="center"/>
          </w:tcPr>
          <w:p w14:paraId="5344C614">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46</w:t>
            </w:r>
          </w:p>
        </w:tc>
        <w:tc>
          <w:tcPr>
            <w:tcW w:w="219" w:type="pct"/>
            <w:noWrap w:val="0"/>
            <w:vAlign w:val="center"/>
          </w:tcPr>
          <w:p w14:paraId="0B9D33A2">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42</w:t>
            </w:r>
          </w:p>
        </w:tc>
        <w:tc>
          <w:tcPr>
            <w:tcW w:w="341" w:type="pct"/>
            <w:noWrap w:val="0"/>
            <w:vAlign w:val="center"/>
          </w:tcPr>
          <w:p w14:paraId="5E8D2D8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30</w:t>
            </w:r>
          </w:p>
        </w:tc>
        <w:tc>
          <w:tcPr>
            <w:tcW w:w="236" w:type="pct"/>
            <w:noWrap w:val="0"/>
            <w:vAlign w:val="center"/>
          </w:tcPr>
          <w:p w14:paraId="2D364E2A">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13.5</w:t>
            </w:r>
          </w:p>
        </w:tc>
        <w:tc>
          <w:tcPr>
            <w:tcW w:w="297" w:type="pct"/>
            <w:noWrap w:val="0"/>
            <w:vAlign w:val="center"/>
          </w:tcPr>
          <w:p w14:paraId="74BB01C0">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2400</w:t>
            </w:r>
          </w:p>
        </w:tc>
        <w:tc>
          <w:tcPr>
            <w:tcW w:w="350" w:type="pct"/>
            <w:noWrap w:val="0"/>
            <w:vAlign w:val="center"/>
          </w:tcPr>
          <w:p w14:paraId="54654E1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正常排放</w:t>
            </w:r>
          </w:p>
        </w:tc>
        <w:tc>
          <w:tcPr>
            <w:tcW w:w="227" w:type="pct"/>
            <w:noWrap w:val="0"/>
            <w:vAlign w:val="center"/>
          </w:tcPr>
          <w:p w14:paraId="41A2DD5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0.01</w:t>
            </w:r>
          </w:p>
        </w:tc>
        <w:tc>
          <w:tcPr>
            <w:tcW w:w="337" w:type="pct"/>
            <w:noWrap w:val="0"/>
            <w:vAlign w:val="center"/>
          </w:tcPr>
          <w:p w14:paraId="1F41D50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0.0008</w:t>
            </w:r>
          </w:p>
        </w:tc>
        <w:tc>
          <w:tcPr>
            <w:tcW w:w="332" w:type="pct"/>
            <w:noWrap w:val="0"/>
            <w:vAlign w:val="center"/>
          </w:tcPr>
          <w:p w14:paraId="49F5577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0.0020</w:t>
            </w:r>
          </w:p>
        </w:tc>
        <w:tc>
          <w:tcPr>
            <w:tcW w:w="267" w:type="pct"/>
            <w:noWrap w:val="0"/>
            <w:vAlign w:val="center"/>
          </w:tcPr>
          <w:p w14:paraId="5F949D3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0.0059</w:t>
            </w:r>
          </w:p>
        </w:tc>
        <w:tc>
          <w:tcPr>
            <w:tcW w:w="219" w:type="pct"/>
            <w:noWrap w:val="0"/>
            <w:vAlign w:val="center"/>
          </w:tcPr>
          <w:p w14:paraId="393574E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45" w:type="pct"/>
            <w:shd w:val="clear" w:color="auto" w:fill="auto"/>
            <w:noWrap w:val="0"/>
            <w:vAlign w:val="center"/>
          </w:tcPr>
          <w:p w14:paraId="1BF63F5D">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23" w:type="pct"/>
            <w:noWrap w:val="0"/>
            <w:vAlign w:val="center"/>
          </w:tcPr>
          <w:p w14:paraId="1C47BA31">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r>
      <w:tr w14:paraId="0E35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8" w:type="pct"/>
            <w:noWrap w:val="0"/>
            <w:vAlign w:val="center"/>
          </w:tcPr>
          <w:p w14:paraId="74048FDC">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2</w:t>
            </w:r>
          </w:p>
        </w:tc>
        <w:tc>
          <w:tcPr>
            <w:tcW w:w="274" w:type="pct"/>
            <w:noWrap w:val="0"/>
            <w:vAlign w:val="center"/>
          </w:tcPr>
          <w:p w14:paraId="7BD911B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质检室</w:t>
            </w:r>
          </w:p>
        </w:tc>
        <w:tc>
          <w:tcPr>
            <w:tcW w:w="271" w:type="pct"/>
            <w:noWrap w:val="0"/>
            <w:vAlign w:val="center"/>
          </w:tcPr>
          <w:p w14:paraId="6F90462A">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711008</w:t>
            </w:r>
          </w:p>
        </w:tc>
        <w:tc>
          <w:tcPr>
            <w:tcW w:w="311" w:type="pct"/>
            <w:noWrap w:val="0"/>
            <w:vAlign w:val="center"/>
          </w:tcPr>
          <w:p w14:paraId="512DBBDB">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3529170</w:t>
            </w:r>
          </w:p>
        </w:tc>
        <w:tc>
          <w:tcPr>
            <w:tcW w:w="289" w:type="pct"/>
            <w:noWrap w:val="0"/>
            <w:vAlign w:val="center"/>
          </w:tcPr>
          <w:p w14:paraId="43FC484D">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516</w:t>
            </w:r>
          </w:p>
        </w:tc>
        <w:tc>
          <w:tcPr>
            <w:tcW w:w="214" w:type="pct"/>
            <w:noWrap w:val="0"/>
            <w:vAlign w:val="center"/>
          </w:tcPr>
          <w:p w14:paraId="34CA3E15">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18</w:t>
            </w:r>
          </w:p>
        </w:tc>
        <w:tc>
          <w:tcPr>
            <w:tcW w:w="219" w:type="pct"/>
            <w:noWrap w:val="0"/>
            <w:vAlign w:val="center"/>
          </w:tcPr>
          <w:p w14:paraId="154B0D77">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15</w:t>
            </w:r>
          </w:p>
        </w:tc>
        <w:tc>
          <w:tcPr>
            <w:tcW w:w="341" w:type="pct"/>
            <w:noWrap w:val="0"/>
            <w:vAlign w:val="center"/>
          </w:tcPr>
          <w:p w14:paraId="135A275F">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30</w:t>
            </w:r>
          </w:p>
        </w:tc>
        <w:tc>
          <w:tcPr>
            <w:tcW w:w="236" w:type="pct"/>
            <w:shd w:val="clear" w:color="auto" w:fill="auto"/>
            <w:noWrap w:val="0"/>
            <w:vAlign w:val="center"/>
          </w:tcPr>
          <w:p w14:paraId="02A39937">
            <w:pPr>
              <w:pStyle w:val="24"/>
              <w:bidi w:val="0"/>
              <w:ind w:left="0" w:leftChars="0"/>
              <w:rPr>
                <w:rFonts w:hint="default" w:ascii="Times New Roman" w:hAnsi="Times New Roman" w:eastAsia="宋体" w:cs="Courier New"/>
                <w:b w:val="0"/>
                <w:bCs w:val="0"/>
                <w:color w:val="auto"/>
                <w:kern w:val="2"/>
                <w:sz w:val="18"/>
                <w:szCs w:val="18"/>
                <w:highlight w:val="none"/>
                <w:lang w:val="en-US" w:eastAsia="zh-CN" w:bidi="ar-SA"/>
              </w:rPr>
            </w:pPr>
            <w:r>
              <w:rPr>
                <w:rFonts w:hint="eastAsia" w:cs="Courier New"/>
                <w:b w:val="0"/>
                <w:bCs w:val="0"/>
                <w:color w:val="auto"/>
                <w:kern w:val="2"/>
                <w:sz w:val="18"/>
                <w:szCs w:val="18"/>
                <w:highlight w:val="none"/>
                <w:lang w:val="en-US" w:eastAsia="zh-CN" w:bidi="ar-SA"/>
              </w:rPr>
              <w:t>4.2</w:t>
            </w:r>
          </w:p>
        </w:tc>
        <w:tc>
          <w:tcPr>
            <w:tcW w:w="297" w:type="pct"/>
            <w:noWrap w:val="0"/>
            <w:vAlign w:val="center"/>
          </w:tcPr>
          <w:p w14:paraId="552C4299">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1200</w:t>
            </w:r>
          </w:p>
        </w:tc>
        <w:tc>
          <w:tcPr>
            <w:tcW w:w="350" w:type="pct"/>
            <w:noWrap w:val="0"/>
            <w:vAlign w:val="center"/>
          </w:tcPr>
          <w:p w14:paraId="6AD8679D">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正常排放</w:t>
            </w:r>
          </w:p>
        </w:tc>
        <w:tc>
          <w:tcPr>
            <w:tcW w:w="227" w:type="pct"/>
            <w:noWrap w:val="0"/>
            <w:vAlign w:val="center"/>
          </w:tcPr>
          <w:p w14:paraId="5F8CD176">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37" w:type="pct"/>
            <w:noWrap w:val="0"/>
            <w:vAlign w:val="center"/>
          </w:tcPr>
          <w:p w14:paraId="27E0B020">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1.60E-07</w:t>
            </w:r>
          </w:p>
        </w:tc>
        <w:tc>
          <w:tcPr>
            <w:tcW w:w="332" w:type="pct"/>
            <w:noWrap w:val="0"/>
            <w:vAlign w:val="center"/>
          </w:tcPr>
          <w:p w14:paraId="7D582CE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1.00E-04</w:t>
            </w:r>
          </w:p>
        </w:tc>
        <w:tc>
          <w:tcPr>
            <w:tcW w:w="267" w:type="pct"/>
            <w:noWrap w:val="0"/>
            <w:vAlign w:val="center"/>
          </w:tcPr>
          <w:p w14:paraId="3896F1D6">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219" w:type="pct"/>
            <w:noWrap w:val="0"/>
            <w:vAlign w:val="center"/>
          </w:tcPr>
          <w:p w14:paraId="493CAFFB">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45" w:type="pct"/>
            <w:shd w:val="clear" w:color="auto" w:fill="auto"/>
            <w:noWrap w:val="0"/>
            <w:vAlign w:val="center"/>
          </w:tcPr>
          <w:p w14:paraId="5D1AB843">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23" w:type="pct"/>
            <w:noWrap w:val="0"/>
            <w:vAlign w:val="center"/>
          </w:tcPr>
          <w:p w14:paraId="01C57D42">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9.52E-07</w:t>
            </w:r>
          </w:p>
        </w:tc>
      </w:tr>
    </w:tbl>
    <w:p w14:paraId="470556B7">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本项目大气无组织排放源（（近）圆形）参数表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1115"/>
        <w:gridCol w:w="1267"/>
        <w:gridCol w:w="1310"/>
        <w:gridCol w:w="1076"/>
        <w:gridCol w:w="1329"/>
        <w:gridCol w:w="1372"/>
        <w:gridCol w:w="1598"/>
        <w:gridCol w:w="1019"/>
        <w:gridCol w:w="1481"/>
        <w:gridCol w:w="1013"/>
        <w:gridCol w:w="1135"/>
      </w:tblGrid>
      <w:tr w14:paraId="2E6B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93" w:type="pct"/>
            <w:vMerge w:val="restart"/>
            <w:noWrap w:val="0"/>
            <w:vAlign w:val="center"/>
          </w:tcPr>
          <w:p w14:paraId="308322C7">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编号</w:t>
            </w:r>
          </w:p>
        </w:tc>
        <w:tc>
          <w:tcPr>
            <w:tcW w:w="391" w:type="pct"/>
            <w:vMerge w:val="restart"/>
            <w:noWrap w:val="0"/>
            <w:vAlign w:val="center"/>
          </w:tcPr>
          <w:p w14:paraId="0C32E6D5">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名称</w:t>
            </w:r>
          </w:p>
        </w:tc>
        <w:tc>
          <w:tcPr>
            <w:tcW w:w="903" w:type="pct"/>
            <w:gridSpan w:val="2"/>
            <w:noWrap w:val="0"/>
            <w:vAlign w:val="center"/>
          </w:tcPr>
          <w:p w14:paraId="4A5F860C">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面源中心点坐标(m)</w:t>
            </w:r>
          </w:p>
        </w:tc>
        <w:tc>
          <w:tcPr>
            <w:tcW w:w="377" w:type="pct"/>
            <w:vMerge w:val="restart"/>
            <w:noWrap w:val="0"/>
            <w:vAlign w:val="center"/>
          </w:tcPr>
          <w:p w14:paraId="4602EF47">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面源海拔高度(m)</w:t>
            </w:r>
          </w:p>
        </w:tc>
        <w:tc>
          <w:tcPr>
            <w:tcW w:w="466" w:type="pct"/>
            <w:vMerge w:val="restart"/>
            <w:noWrap w:val="0"/>
            <w:vAlign w:val="center"/>
          </w:tcPr>
          <w:p w14:paraId="0DB33382">
            <w:pPr>
              <w:pStyle w:val="24"/>
              <w:bidi w:val="0"/>
              <w:rPr>
                <w:rFonts w:hint="default"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面源半径(m)</w:t>
            </w:r>
          </w:p>
        </w:tc>
        <w:tc>
          <w:tcPr>
            <w:tcW w:w="481" w:type="pct"/>
            <w:vMerge w:val="restart"/>
            <w:noWrap w:val="0"/>
            <w:vAlign w:val="center"/>
          </w:tcPr>
          <w:p w14:paraId="78B421C9">
            <w:pPr>
              <w:pStyle w:val="24"/>
              <w:bidi w:val="0"/>
              <w:rPr>
                <w:rFonts w:hint="default"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面源有效排放高度(m)</w:t>
            </w:r>
          </w:p>
        </w:tc>
        <w:tc>
          <w:tcPr>
            <w:tcW w:w="560" w:type="pct"/>
            <w:vMerge w:val="restart"/>
            <w:noWrap w:val="0"/>
            <w:vAlign w:val="center"/>
          </w:tcPr>
          <w:p w14:paraId="6701DFD6">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年排放小时数/h</w:t>
            </w:r>
          </w:p>
        </w:tc>
        <w:tc>
          <w:tcPr>
            <w:tcW w:w="357" w:type="pct"/>
            <w:vMerge w:val="restart"/>
            <w:noWrap w:val="0"/>
            <w:vAlign w:val="center"/>
          </w:tcPr>
          <w:p w14:paraId="7FE4F1D4">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排放工况</w:t>
            </w:r>
          </w:p>
        </w:tc>
        <w:tc>
          <w:tcPr>
            <w:tcW w:w="1268" w:type="pct"/>
            <w:gridSpan w:val="3"/>
            <w:noWrap w:val="0"/>
            <w:vAlign w:val="center"/>
          </w:tcPr>
          <w:p w14:paraId="178D7548">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排放速率（kg/h)</w:t>
            </w:r>
          </w:p>
        </w:tc>
      </w:tr>
      <w:tr w14:paraId="7D68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trPr>
        <w:tc>
          <w:tcPr>
            <w:tcW w:w="193" w:type="pct"/>
            <w:vMerge w:val="continue"/>
            <w:noWrap w:val="0"/>
            <w:vAlign w:val="center"/>
          </w:tcPr>
          <w:p w14:paraId="745A0999">
            <w:pPr>
              <w:pStyle w:val="24"/>
              <w:bidi w:val="0"/>
              <w:rPr>
                <w:rFonts w:hint="eastAsia" w:ascii="Times New Roman" w:hAnsi="Times New Roman" w:eastAsia="宋体" w:cs="Courier New"/>
                <w:b/>
                <w:bCs/>
                <w:color w:val="auto"/>
                <w:sz w:val="18"/>
                <w:szCs w:val="18"/>
                <w:highlight w:val="none"/>
                <w:lang w:val="en-US" w:eastAsia="zh-CN"/>
              </w:rPr>
            </w:pPr>
          </w:p>
        </w:tc>
        <w:tc>
          <w:tcPr>
            <w:tcW w:w="391" w:type="pct"/>
            <w:vMerge w:val="continue"/>
            <w:noWrap w:val="0"/>
            <w:vAlign w:val="center"/>
          </w:tcPr>
          <w:p w14:paraId="3545ED17">
            <w:pPr>
              <w:pStyle w:val="24"/>
              <w:bidi w:val="0"/>
              <w:rPr>
                <w:rFonts w:hint="eastAsia" w:ascii="Times New Roman" w:hAnsi="Times New Roman" w:eastAsia="宋体" w:cs="Courier New"/>
                <w:b/>
                <w:bCs/>
                <w:color w:val="auto"/>
                <w:sz w:val="18"/>
                <w:szCs w:val="18"/>
                <w:highlight w:val="none"/>
                <w:lang w:val="en-US" w:eastAsia="zh-CN"/>
              </w:rPr>
            </w:pPr>
          </w:p>
        </w:tc>
        <w:tc>
          <w:tcPr>
            <w:tcW w:w="444" w:type="pct"/>
            <w:noWrap w:val="0"/>
            <w:vAlign w:val="center"/>
          </w:tcPr>
          <w:p w14:paraId="667E0EF4">
            <w:pPr>
              <w:pStyle w:val="24"/>
              <w:bidi w:val="0"/>
              <w:ind w:left="0" w:leftChars="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X</w:t>
            </w:r>
          </w:p>
        </w:tc>
        <w:tc>
          <w:tcPr>
            <w:tcW w:w="459" w:type="pct"/>
            <w:noWrap w:val="0"/>
            <w:vAlign w:val="center"/>
          </w:tcPr>
          <w:p w14:paraId="20C8C585">
            <w:pPr>
              <w:pStyle w:val="24"/>
              <w:bidi w:val="0"/>
              <w:ind w:left="0" w:leftChars="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Y</w:t>
            </w:r>
          </w:p>
        </w:tc>
        <w:tc>
          <w:tcPr>
            <w:tcW w:w="377" w:type="pct"/>
            <w:vMerge w:val="continue"/>
            <w:noWrap w:val="0"/>
            <w:vAlign w:val="center"/>
          </w:tcPr>
          <w:p w14:paraId="5729A605">
            <w:pPr>
              <w:pStyle w:val="24"/>
              <w:bidi w:val="0"/>
              <w:rPr>
                <w:rFonts w:hint="eastAsia" w:ascii="Times New Roman" w:hAnsi="Times New Roman" w:eastAsia="宋体" w:cs="Courier New"/>
                <w:b/>
                <w:bCs/>
                <w:color w:val="auto"/>
                <w:sz w:val="18"/>
                <w:szCs w:val="18"/>
                <w:highlight w:val="none"/>
                <w:lang w:val="en-US" w:eastAsia="zh-CN"/>
              </w:rPr>
            </w:pPr>
          </w:p>
        </w:tc>
        <w:tc>
          <w:tcPr>
            <w:tcW w:w="466" w:type="pct"/>
            <w:vMerge w:val="continue"/>
            <w:noWrap w:val="0"/>
            <w:vAlign w:val="center"/>
          </w:tcPr>
          <w:p w14:paraId="4123887A">
            <w:pPr>
              <w:pStyle w:val="24"/>
              <w:bidi w:val="0"/>
              <w:rPr>
                <w:rFonts w:hint="eastAsia" w:ascii="Times New Roman" w:hAnsi="Times New Roman" w:eastAsia="宋体" w:cs="Courier New"/>
                <w:b/>
                <w:bCs/>
                <w:color w:val="auto"/>
                <w:sz w:val="18"/>
                <w:szCs w:val="18"/>
                <w:highlight w:val="none"/>
                <w:lang w:val="en-US" w:eastAsia="zh-CN"/>
              </w:rPr>
            </w:pPr>
          </w:p>
        </w:tc>
        <w:tc>
          <w:tcPr>
            <w:tcW w:w="481" w:type="pct"/>
            <w:vMerge w:val="continue"/>
            <w:noWrap w:val="0"/>
            <w:vAlign w:val="center"/>
          </w:tcPr>
          <w:p w14:paraId="08110B3F">
            <w:pPr>
              <w:pStyle w:val="24"/>
              <w:bidi w:val="0"/>
              <w:rPr>
                <w:rFonts w:hint="eastAsia" w:ascii="Times New Roman" w:hAnsi="Times New Roman" w:eastAsia="宋体" w:cs="Courier New"/>
                <w:b/>
                <w:bCs/>
                <w:color w:val="auto"/>
                <w:sz w:val="18"/>
                <w:szCs w:val="18"/>
                <w:highlight w:val="none"/>
                <w:lang w:val="en-US" w:eastAsia="zh-CN"/>
              </w:rPr>
            </w:pPr>
          </w:p>
        </w:tc>
        <w:tc>
          <w:tcPr>
            <w:tcW w:w="560" w:type="pct"/>
            <w:vMerge w:val="continue"/>
            <w:noWrap w:val="0"/>
            <w:vAlign w:val="center"/>
          </w:tcPr>
          <w:p w14:paraId="432592AA">
            <w:pPr>
              <w:pStyle w:val="24"/>
              <w:bidi w:val="0"/>
              <w:rPr>
                <w:rFonts w:hint="eastAsia" w:ascii="Times New Roman" w:hAnsi="Times New Roman" w:eastAsia="宋体" w:cs="Courier New"/>
                <w:b/>
                <w:bCs/>
                <w:color w:val="auto"/>
                <w:sz w:val="18"/>
                <w:szCs w:val="18"/>
                <w:highlight w:val="none"/>
                <w:lang w:val="en-US" w:eastAsia="zh-CN"/>
              </w:rPr>
            </w:pPr>
          </w:p>
        </w:tc>
        <w:tc>
          <w:tcPr>
            <w:tcW w:w="357" w:type="pct"/>
            <w:vMerge w:val="continue"/>
            <w:noWrap w:val="0"/>
            <w:vAlign w:val="center"/>
          </w:tcPr>
          <w:p w14:paraId="186E053E">
            <w:pPr>
              <w:pStyle w:val="24"/>
              <w:bidi w:val="0"/>
              <w:rPr>
                <w:rFonts w:hint="eastAsia" w:ascii="Times New Roman" w:hAnsi="Times New Roman" w:eastAsia="宋体" w:cs="Courier New"/>
                <w:b/>
                <w:bCs/>
                <w:color w:val="auto"/>
                <w:sz w:val="18"/>
                <w:szCs w:val="18"/>
                <w:highlight w:val="none"/>
                <w:lang w:val="en-US" w:eastAsia="zh-CN"/>
              </w:rPr>
            </w:pPr>
          </w:p>
        </w:tc>
        <w:tc>
          <w:tcPr>
            <w:tcW w:w="519" w:type="pct"/>
            <w:noWrap w:val="0"/>
            <w:vAlign w:val="center"/>
          </w:tcPr>
          <w:p w14:paraId="3B2E66B0">
            <w:pPr>
              <w:pStyle w:val="24"/>
              <w:bidi w:val="0"/>
              <w:ind w:left="0" w:leftChars="0"/>
              <w:rPr>
                <w:rFonts w:hint="eastAsia" w:ascii="Times New Roman" w:hAnsi="Times New Roman" w:eastAsia="宋体" w:cs="Courier New"/>
                <w:b/>
                <w:bCs/>
                <w:color w:val="auto"/>
                <w:sz w:val="18"/>
                <w:szCs w:val="18"/>
                <w:highlight w:val="none"/>
                <w:lang w:val="en-US" w:eastAsia="zh-CN"/>
              </w:rPr>
            </w:pPr>
            <w:r>
              <w:rPr>
                <w:rFonts w:hint="eastAsia" w:cs="Times New Roman"/>
                <w:b/>
                <w:bCs/>
                <w:color w:val="auto"/>
                <w:sz w:val="18"/>
                <w:szCs w:val="18"/>
                <w:highlight w:val="none"/>
                <w:lang w:val="en-US" w:eastAsia="zh-CN"/>
              </w:rPr>
              <w:t>硫酸雾</w:t>
            </w:r>
          </w:p>
        </w:tc>
        <w:tc>
          <w:tcPr>
            <w:tcW w:w="355" w:type="pct"/>
            <w:noWrap w:val="0"/>
            <w:vAlign w:val="center"/>
          </w:tcPr>
          <w:p w14:paraId="4084D937">
            <w:pPr>
              <w:pStyle w:val="24"/>
              <w:bidi w:val="0"/>
              <w:ind w:left="0" w:leftChars="0"/>
              <w:rPr>
                <w:rFonts w:hint="default" w:ascii="Times New Roman" w:hAnsi="Times New Roman" w:eastAsia="宋体" w:cs="Courier New"/>
                <w:b/>
                <w:bCs/>
                <w:color w:val="auto"/>
                <w:sz w:val="18"/>
                <w:szCs w:val="18"/>
                <w:highlight w:val="none"/>
                <w:lang w:val="en-US" w:eastAsia="zh-CN"/>
              </w:rPr>
            </w:pPr>
            <w:r>
              <w:rPr>
                <w:rFonts w:hint="eastAsia" w:cs="Courier New"/>
                <w:b/>
                <w:bCs/>
                <w:color w:val="auto"/>
                <w:sz w:val="18"/>
                <w:szCs w:val="18"/>
                <w:highlight w:val="none"/>
                <w:lang w:val="en-US" w:eastAsia="zh-CN"/>
              </w:rPr>
              <w:t>氟化物</w:t>
            </w:r>
          </w:p>
        </w:tc>
        <w:tc>
          <w:tcPr>
            <w:tcW w:w="393" w:type="pct"/>
            <w:noWrap w:val="0"/>
            <w:vAlign w:val="center"/>
          </w:tcPr>
          <w:p w14:paraId="3AD83A21">
            <w:pPr>
              <w:pStyle w:val="24"/>
              <w:bidi w:val="0"/>
              <w:rPr>
                <w:rFonts w:hint="default" w:ascii="Times New Roman" w:hAnsi="Times New Roman" w:eastAsia="宋体" w:cs="Courier New"/>
                <w:b/>
                <w:bCs/>
                <w:color w:val="auto"/>
                <w:sz w:val="18"/>
                <w:szCs w:val="18"/>
                <w:highlight w:val="none"/>
                <w:lang w:val="en-US" w:eastAsia="zh-CN"/>
              </w:rPr>
            </w:pPr>
            <w:r>
              <w:rPr>
                <w:rFonts w:hint="eastAsia" w:cs="Times New Roman"/>
                <w:b/>
                <w:bCs/>
                <w:color w:val="auto"/>
                <w:sz w:val="18"/>
                <w:szCs w:val="18"/>
                <w:highlight w:val="none"/>
                <w:lang w:val="en-US" w:eastAsia="zh-CN"/>
              </w:rPr>
              <w:t>VOCs</w:t>
            </w:r>
          </w:p>
        </w:tc>
      </w:tr>
      <w:tr w14:paraId="765D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93" w:type="pct"/>
            <w:noWrap w:val="0"/>
            <w:vAlign w:val="center"/>
          </w:tcPr>
          <w:p w14:paraId="6B4361D1">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1</w:t>
            </w:r>
          </w:p>
        </w:tc>
        <w:tc>
          <w:tcPr>
            <w:tcW w:w="391" w:type="pct"/>
            <w:noWrap w:val="0"/>
            <w:vAlign w:val="center"/>
          </w:tcPr>
          <w:p w14:paraId="35B55AF5">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1#罐区</w:t>
            </w:r>
          </w:p>
        </w:tc>
        <w:tc>
          <w:tcPr>
            <w:tcW w:w="444" w:type="pct"/>
            <w:noWrap w:val="0"/>
            <w:vAlign w:val="center"/>
          </w:tcPr>
          <w:p w14:paraId="16B762A9">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711077</w:t>
            </w:r>
          </w:p>
        </w:tc>
        <w:tc>
          <w:tcPr>
            <w:tcW w:w="459" w:type="pct"/>
            <w:noWrap w:val="0"/>
            <w:vAlign w:val="center"/>
          </w:tcPr>
          <w:p w14:paraId="55A2049B">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3529263</w:t>
            </w:r>
          </w:p>
        </w:tc>
        <w:tc>
          <w:tcPr>
            <w:tcW w:w="377" w:type="pct"/>
            <w:noWrap w:val="0"/>
            <w:vAlign w:val="center"/>
          </w:tcPr>
          <w:p w14:paraId="42AE1355">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531</w:t>
            </w:r>
          </w:p>
        </w:tc>
        <w:tc>
          <w:tcPr>
            <w:tcW w:w="466" w:type="pct"/>
            <w:noWrap w:val="0"/>
            <w:vAlign w:val="center"/>
          </w:tcPr>
          <w:p w14:paraId="22D9809C">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8.5</w:t>
            </w:r>
          </w:p>
        </w:tc>
        <w:tc>
          <w:tcPr>
            <w:tcW w:w="481" w:type="pct"/>
            <w:noWrap w:val="0"/>
            <w:vAlign w:val="center"/>
          </w:tcPr>
          <w:p w14:paraId="62FC1AC2">
            <w:pPr>
              <w:pStyle w:val="24"/>
              <w:bidi w:val="0"/>
              <w:ind w:left="0" w:leftChars="0"/>
              <w:rPr>
                <w:rFonts w:hint="default"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kern w:val="2"/>
                <w:sz w:val="18"/>
                <w:szCs w:val="18"/>
                <w:highlight w:val="none"/>
                <w:lang w:val="en-US" w:eastAsia="zh-CN" w:bidi="ar-SA"/>
              </w:rPr>
              <w:t>4.45</w:t>
            </w:r>
          </w:p>
        </w:tc>
        <w:tc>
          <w:tcPr>
            <w:tcW w:w="560" w:type="pct"/>
            <w:noWrap w:val="0"/>
            <w:vAlign w:val="center"/>
          </w:tcPr>
          <w:p w14:paraId="3BB170C1">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2400</w:t>
            </w:r>
          </w:p>
        </w:tc>
        <w:tc>
          <w:tcPr>
            <w:tcW w:w="357" w:type="pct"/>
            <w:noWrap w:val="0"/>
            <w:vAlign w:val="center"/>
          </w:tcPr>
          <w:p w14:paraId="49D84751">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正常排放</w:t>
            </w:r>
          </w:p>
        </w:tc>
        <w:tc>
          <w:tcPr>
            <w:tcW w:w="519" w:type="pct"/>
            <w:noWrap w:val="0"/>
            <w:vAlign w:val="center"/>
          </w:tcPr>
          <w:p w14:paraId="1819E8C0">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0.0013</w:t>
            </w:r>
          </w:p>
        </w:tc>
        <w:tc>
          <w:tcPr>
            <w:tcW w:w="355" w:type="pct"/>
            <w:noWrap w:val="0"/>
            <w:vAlign w:val="center"/>
          </w:tcPr>
          <w:p w14:paraId="098065AF">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0.0023</w:t>
            </w:r>
          </w:p>
        </w:tc>
        <w:tc>
          <w:tcPr>
            <w:tcW w:w="393" w:type="pct"/>
            <w:noWrap w:val="0"/>
            <w:vAlign w:val="center"/>
          </w:tcPr>
          <w:p w14:paraId="768D3C8C">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r>
      <w:tr w14:paraId="39C1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93" w:type="pct"/>
            <w:noWrap w:val="0"/>
            <w:vAlign w:val="center"/>
          </w:tcPr>
          <w:p w14:paraId="1EFAC2BC">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2</w:t>
            </w:r>
          </w:p>
        </w:tc>
        <w:tc>
          <w:tcPr>
            <w:tcW w:w="391" w:type="pct"/>
            <w:noWrap w:val="0"/>
            <w:vAlign w:val="center"/>
          </w:tcPr>
          <w:p w14:paraId="60C91925">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2#罐区</w:t>
            </w:r>
          </w:p>
        </w:tc>
        <w:tc>
          <w:tcPr>
            <w:tcW w:w="444" w:type="pct"/>
            <w:noWrap w:val="0"/>
            <w:vAlign w:val="center"/>
          </w:tcPr>
          <w:p w14:paraId="690C265D">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711073</w:t>
            </w:r>
          </w:p>
        </w:tc>
        <w:tc>
          <w:tcPr>
            <w:tcW w:w="459" w:type="pct"/>
            <w:noWrap w:val="0"/>
            <w:vAlign w:val="center"/>
          </w:tcPr>
          <w:p w14:paraId="6929A596">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3529251</w:t>
            </w:r>
          </w:p>
        </w:tc>
        <w:tc>
          <w:tcPr>
            <w:tcW w:w="377" w:type="pct"/>
            <w:noWrap w:val="0"/>
            <w:vAlign w:val="center"/>
          </w:tcPr>
          <w:p w14:paraId="0CE04848">
            <w:pPr>
              <w:pStyle w:val="24"/>
              <w:bidi w:val="0"/>
              <w:ind w:left="0" w:leftChars="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527</w:t>
            </w:r>
          </w:p>
        </w:tc>
        <w:tc>
          <w:tcPr>
            <w:tcW w:w="466" w:type="pct"/>
            <w:noWrap w:val="0"/>
            <w:vAlign w:val="center"/>
          </w:tcPr>
          <w:p w14:paraId="4A88F89A">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8</w:t>
            </w:r>
          </w:p>
        </w:tc>
        <w:tc>
          <w:tcPr>
            <w:tcW w:w="481" w:type="pct"/>
            <w:noWrap w:val="0"/>
            <w:vAlign w:val="center"/>
          </w:tcPr>
          <w:p w14:paraId="59DAE3C5">
            <w:pPr>
              <w:pStyle w:val="24"/>
              <w:bidi w:val="0"/>
              <w:ind w:left="0" w:leftChars="0"/>
              <w:rPr>
                <w:rFonts w:hint="default"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kern w:val="2"/>
                <w:sz w:val="18"/>
                <w:szCs w:val="18"/>
                <w:highlight w:val="none"/>
                <w:lang w:val="en-US" w:eastAsia="zh-CN" w:bidi="ar-SA"/>
              </w:rPr>
              <w:t>6.45</w:t>
            </w:r>
          </w:p>
        </w:tc>
        <w:tc>
          <w:tcPr>
            <w:tcW w:w="560" w:type="pct"/>
            <w:noWrap w:val="0"/>
            <w:vAlign w:val="center"/>
          </w:tcPr>
          <w:p w14:paraId="7A370A7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2400</w:t>
            </w:r>
          </w:p>
        </w:tc>
        <w:tc>
          <w:tcPr>
            <w:tcW w:w="357" w:type="pct"/>
            <w:noWrap w:val="0"/>
            <w:vAlign w:val="center"/>
          </w:tcPr>
          <w:p w14:paraId="10B034A5">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正常排放</w:t>
            </w:r>
          </w:p>
        </w:tc>
        <w:tc>
          <w:tcPr>
            <w:tcW w:w="519" w:type="pct"/>
            <w:noWrap w:val="0"/>
            <w:vAlign w:val="center"/>
          </w:tcPr>
          <w:p w14:paraId="0A1B11E5">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55" w:type="pct"/>
            <w:noWrap w:val="0"/>
            <w:vAlign w:val="center"/>
          </w:tcPr>
          <w:p w14:paraId="612C986C">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w:t>
            </w:r>
          </w:p>
        </w:tc>
        <w:tc>
          <w:tcPr>
            <w:tcW w:w="393" w:type="pct"/>
            <w:noWrap w:val="0"/>
            <w:vAlign w:val="center"/>
          </w:tcPr>
          <w:p w14:paraId="35A82D64">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0.0017</w:t>
            </w:r>
          </w:p>
        </w:tc>
      </w:tr>
      <w:tr w14:paraId="2223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000" w:type="pct"/>
            <w:gridSpan w:val="12"/>
            <w:noWrap w:val="0"/>
            <w:vAlign w:val="center"/>
          </w:tcPr>
          <w:p w14:paraId="111B81C1">
            <w:pPr>
              <w:pStyle w:val="24"/>
              <w:bidi w:val="0"/>
              <w:ind w:left="0" w:leftChars="0"/>
              <w:jc w:val="both"/>
              <w:rPr>
                <w:rFonts w:hint="default" w:eastAsia="宋体" w:cs="Courier New"/>
                <w:b w:val="0"/>
                <w:bCs w:val="0"/>
                <w:color w:val="auto"/>
                <w:sz w:val="18"/>
                <w:szCs w:val="18"/>
                <w:highlight w:val="none"/>
                <w:lang w:val="en-US" w:eastAsia="zh-CN"/>
              </w:rPr>
            </w:pPr>
            <w:r>
              <w:rPr>
                <w:rFonts w:hint="eastAsia" w:eastAsia="宋体" w:cs="Courier New"/>
                <w:b w:val="0"/>
                <w:bCs w:val="0"/>
                <w:color w:val="auto"/>
                <w:sz w:val="18"/>
                <w:szCs w:val="18"/>
                <w:highlight w:val="none"/>
                <w:lang w:val="en-US" w:eastAsia="zh-CN"/>
              </w:rPr>
              <w:t>注：罐区高度采用各罐区内储罐高度的加权平均值。</w:t>
            </w:r>
          </w:p>
        </w:tc>
      </w:tr>
    </w:tbl>
    <w:p w14:paraId="2E77DB66">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default" w:ascii="Times New Roman" w:hAnsi="Times New Roman" w:eastAsia="宋体" w:cs="Times New Roman"/>
          <w:b/>
          <w:color w:val="auto"/>
        </w:rPr>
      </w:pPr>
      <w:r>
        <w:rPr>
          <w:rFonts w:hint="default" w:ascii="Times New Roman" w:hAnsi="Times New Roman" w:eastAsia="宋体" w:cs="Times New Roman"/>
          <w:b/>
          <w:color w:val="auto"/>
        </w:rPr>
        <w:t>（2</w:t>
      </w:r>
      <w:r>
        <w:rPr>
          <w:rFonts w:hint="eastAsia" w:ascii="Times New Roman" w:hAnsi="Times New Roman" w:eastAsia="宋体" w:cs="Times New Roman"/>
          <w:b/>
          <w:color w:val="auto"/>
        </w:rPr>
        <w:t>）拟叠加的拟建</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rPr>
        <w:t>在建污染源</w:t>
      </w:r>
    </w:p>
    <w:p w14:paraId="1093E120">
      <w:pPr>
        <w:bidi w:val="0"/>
        <w:ind w:left="0" w:leftChars="0" w:firstLine="480" w:firstLineChars="200"/>
        <w:rPr>
          <w:rFonts w:hint="eastAsia"/>
          <w:color w:val="auto"/>
          <w:lang w:eastAsia="zh-CN"/>
        </w:rPr>
      </w:pPr>
      <w:r>
        <w:rPr>
          <w:rFonts w:hint="eastAsia"/>
          <w:color w:val="auto"/>
        </w:rPr>
        <w:t>经调查核实，本项目评价和预测范围内</w:t>
      </w:r>
      <w:r>
        <w:rPr>
          <w:rFonts w:hint="eastAsia"/>
          <w:color w:val="auto"/>
          <w:lang w:eastAsia="zh-CN"/>
        </w:rPr>
        <w:t>存在</w:t>
      </w:r>
      <w:r>
        <w:rPr>
          <w:rFonts w:hint="eastAsia"/>
          <w:color w:val="auto"/>
        </w:rPr>
        <w:t>与项目排放同类污染物的在建项目、已批复环境影响评价文件的拟建项目。本项目需叠加污染源源强如下表所示</w:t>
      </w:r>
      <w:r>
        <w:rPr>
          <w:rFonts w:hint="eastAsia"/>
          <w:color w:val="auto"/>
          <w:lang w:eastAsia="zh-CN"/>
        </w:rPr>
        <w:t>。</w:t>
      </w:r>
    </w:p>
    <w:p w14:paraId="1C23DF23">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拟建、在建项目有组织排放源参数表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212"/>
        <w:gridCol w:w="2138"/>
        <w:gridCol w:w="1200"/>
        <w:gridCol w:w="1187"/>
        <w:gridCol w:w="1300"/>
        <w:gridCol w:w="1063"/>
        <w:gridCol w:w="1000"/>
        <w:gridCol w:w="1403"/>
        <w:gridCol w:w="902"/>
        <w:gridCol w:w="768"/>
        <w:gridCol w:w="962"/>
      </w:tblGrid>
      <w:tr w14:paraId="2C5F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gridSpan w:val="3"/>
            <w:vMerge w:val="restart"/>
            <w:noWrap w:val="0"/>
            <w:vAlign w:val="center"/>
          </w:tcPr>
          <w:p w14:paraId="5D0A1F9B">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名称</w:t>
            </w:r>
          </w:p>
        </w:tc>
        <w:tc>
          <w:tcPr>
            <w:tcW w:w="836" w:type="pct"/>
            <w:gridSpan w:val="2"/>
            <w:noWrap w:val="0"/>
            <w:vAlign w:val="center"/>
          </w:tcPr>
          <w:p w14:paraId="42BC38EA">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排气筒底部中心坐标</w:t>
            </w:r>
            <w:r>
              <w:rPr>
                <w:rFonts w:hint="eastAsia" w:ascii="Times New Roman" w:hAnsi="Times New Roman" w:eastAsia="宋体" w:cs="Courier New"/>
                <w:b/>
                <w:bCs/>
                <w:color w:val="auto"/>
                <w:sz w:val="18"/>
                <w:szCs w:val="18"/>
                <w:highlight w:val="none"/>
                <w:lang w:val="en-US" w:eastAsia="zh-CN"/>
              </w:rPr>
              <w:t>(m)</w:t>
            </w:r>
          </w:p>
        </w:tc>
        <w:tc>
          <w:tcPr>
            <w:tcW w:w="455" w:type="pct"/>
            <w:vMerge w:val="restart"/>
            <w:noWrap w:val="0"/>
            <w:vAlign w:val="center"/>
          </w:tcPr>
          <w:p w14:paraId="722BDB1C">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排气筒底部海拔高度</w:t>
            </w:r>
            <w:r>
              <w:rPr>
                <w:rFonts w:hint="eastAsia" w:ascii="Times New Roman" w:hAnsi="Times New Roman" w:eastAsia="宋体" w:cs="Courier New"/>
                <w:b/>
                <w:bCs/>
                <w:color w:val="auto"/>
                <w:sz w:val="18"/>
                <w:szCs w:val="18"/>
                <w:highlight w:val="none"/>
                <w:lang w:val="en-US" w:eastAsia="zh-CN"/>
              </w:rPr>
              <w:t>(m)</w:t>
            </w:r>
          </w:p>
        </w:tc>
        <w:tc>
          <w:tcPr>
            <w:tcW w:w="1531" w:type="pct"/>
            <w:gridSpan w:val="4"/>
            <w:noWrap w:val="0"/>
            <w:vAlign w:val="center"/>
          </w:tcPr>
          <w:p w14:paraId="11AB182A">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排气筒参数</w:t>
            </w:r>
          </w:p>
        </w:tc>
        <w:tc>
          <w:tcPr>
            <w:tcW w:w="269" w:type="pct"/>
            <w:vMerge w:val="restart"/>
            <w:noWrap w:val="0"/>
            <w:vAlign w:val="center"/>
          </w:tcPr>
          <w:p w14:paraId="0C30EE0E">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污染物名称</w:t>
            </w:r>
          </w:p>
        </w:tc>
        <w:tc>
          <w:tcPr>
            <w:tcW w:w="337" w:type="pct"/>
            <w:vMerge w:val="restart"/>
            <w:noWrap w:val="0"/>
            <w:vAlign w:val="center"/>
          </w:tcPr>
          <w:p w14:paraId="05B5015C">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排放速率（kg/h)</w:t>
            </w:r>
          </w:p>
        </w:tc>
      </w:tr>
      <w:tr w14:paraId="77B6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570" w:type="pct"/>
            <w:gridSpan w:val="3"/>
            <w:vMerge w:val="continue"/>
            <w:noWrap w:val="0"/>
            <w:vAlign w:val="center"/>
          </w:tcPr>
          <w:p w14:paraId="18442571">
            <w:pPr>
              <w:pStyle w:val="24"/>
              <w:bidi w:val="0"/>
              <w:jc w:val="center"/>
              <w:rPr>
                <w:rFonts w:hint="eastAsia" w:ascii="Times New Roman" w:hAnsi="Times New Roman" w:eastAsia="宋体" w:cs="Times New Roman"/>
                <w:b/>
                <w:bCs/>
                <w:color w:val="auto"/>
                <w:sz w:val="18"/>
                <w:szCs w:val="18"/>
                <w:highlight w:val="none"/>
                <w:lang w:val="en-US" w:eastAsia="zh-CN"/>
              </w:rPr>
            </w:pPr>
          </w:p>
        </w:tc>
        <w:tc>
          <w:tcPr>
            <w:tcW w:w="420" w:type="pct"/>
            <w:noWrap w:val="0"/>
            <w:vAlign w:val="center"/>
          </w:tcPr>
          <w:p w14:paraId="707CB0E3">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X</w:t>
            </w:r>
          </w:p>
        </w:tc>
        <w:tc>
          <w:tcPr>
            <w:tcW w:w="416" w:type="pct"/>
            <w:noWrap w:val="0"/>
            <w:vAlign w:val="center"/>
          </w:tcPr>
          <w:p w14:paraId="0C552BEF">
            <w:pPr>
              <w:pStyle w:val="24"/>
              <w:bidi w:val="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Y</w:t>
            </w:r>
          </w:p>
        </w:tc>
        <w:tc>
          <w:tcPr>
            <w:tcW w:w="455" w:type="pct"/>
            <w:vMerge w:val="continue"/>
            <w:noWrap w:val="0"/>
            <w:vAlign w:val="center"/>
          </w:tcPr>
          <w:p w14:paraId="649D8AF0">
            <w:pPr>
              <w:pStyle w:val="24"/>
              <w:bidi w:val="0"/>
              <w:jc w:val="center"/>
              <w:rPr>
                <w:rFonts w:hint="eastAsia" w:ascii="Times New Roman" w:hAnsi="Times New Roman" w:eastAsia="宋体" w:cs="Times New Roman"/>
                <w:b/>
                <w:bCs/>
                <w:color w:val="auto"/>
                <w:sz w:val="18"/>
                <w:szCs w:val="18"/>
                <w:highlight w:val="none"/>
                <w:lang w:val="en-US" w:eastAsia="zh-CN"/>
              </w:rPr>
            </w:pPr>
          </w:p>
        </w:tc>
        <w:tc>
          <w:tcPr>
            <w:tcW w:w="372" w:type="pct"/>
            <w:noWrap w:val="0"/>
            <w:vAlign w:val="center"/>
          </w:tcPr>
          <w:p w14:paraId="5983C8C5">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高度(m)</w:t>
            </w:r>
          </w:p>
        </w:tc>
        <w:tc>
          <w:tcPr>
            <w:tcW w:w="350" w:type="pct"/>
            <w:noWrap w:val="0"/>
            <w:vAlign w:val="center"/>
          </w:tcPr>
          <w:p w14:paraId="0B945AD6">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内径(m)</w:t>
            </w:r>
          </w:p>
        </w:tc>
        <w:tc>
          <w:tcPr>
            <w:tcW w:w="491" w:type="pct"/>
            <w:noWrap w:val="0"/>
            <w:vAlign w:val="center"/>
          </w:tcPr>
          <w:p w14:paraId="55981196">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废气量</w:t>
            </w:r>
            <w:r>
              <w:rPr>
                <w:rFonts w:hint="eastAsia" w:ascii="Times New Roman" w:hAnsi="Times New Roman" w:eastAsia="宋体" w:cs="Times New Roman"/>
                <w:b/>
                <w:bCs/>
                <w:color w:val="auto"/>
                <w:sz w:val="18"/>
                <w:szCs w:val="18"/>
                <w:highlight w:val="none"/>
                <w:lang w:val="en-US" w:eastAsia="zh-CN"/>
              </w:rPr>
              <w:t>（m</w:t>
            </w:r>
            <w:r>
              <w:rPr>
                <w:rFonts w:hint="eastAsia" w:cs="Times New Roman"/>
                <w:b/>
                <w:bCs/>
                <w:color w:val="auto"/>
                <w:sz w:val="18"/>
                <w:szCs w:val="18"/>
                <w:highlight w:val="none"/>
                <w:vertAlign w:val="superscript"/>
                <w:lang w:val="en-US" w:eastAsia="zh-CN"/>
              </w:rPr>
              <w:t>3</w:t>
            </w:r>
            <w:r>
              <w:rPr>
                <w:rFonts w:hint="eastAsia" w:ascii="Times New Roman" w:hAnsi="Times New Roman" w:eastAsia="宋体" w:cs="Times New Roman"/>
                <w:b/>
                <w:bCs/>
                <w:color w:val="auto"/>
                <w:sz w:val="18"/>
                <w:szCs w:val="18"/>
                <w:highlight w:val="none"/>
                <w:lang w:val="en-US" w:eastAsia="zh-CN"/>
              </w:rPr>
              <w:t>/</w:t>
            </w:r>
            <w:r>
              <w:rPr>
                <w:rFonts w:hint="eastAsia" w:cs="Times New Roman"/>
                <w:b/>
                <w:bCs/>
                <w:color w:val="auto"/>
                <w:sz w:val="18"/>
                <w:szCs w:val="18"/>
                <w:highlight w:val="none"/>
                <w:lang w:val="en-US" w:eastAsia="zh-CN"/>
              </w:rPr>
              <w:t>h</w:t>
            </w:r>
            <w:r>
              <w:rPr>
                <w:rFonts w:hint="eastAsia" w:ascii="Times New Roman" w:hAnsi="Times New Roman" w:eastAsia="宋体" w:cs="Times New Roman"/>
                <w:b/>
                <w:bCs/>
                <w:color w:val="auto"/>
                <w:sz w:val="18"/>
                <w:szCs w:val="18"/>
                <w:highlight w:val="none"/>
                <w:lang w:val="en-US" w:eastAsia="zh-CN"/>
              </w:rPr>
              <w:t>）</w:t>
            </w:r>
          </w:p>
        </w:tc>
        <w:tc>
          <w:tcPr>
            <w:tcW w:w="316" w:type="pct"/>
            <w:noWrap w:val="0"/>
            <w:vAlign w:val="center"/>
          </w:tcPr>
          <w:p w14:paraId="7AD1EFAB">
            <w:pPr>
              <w:pStyle w:val="24"/>
              <w:bidi w:val="0"/>
              <w:ind w:left="0" w:leftChars="0"/>
              <w:jc w:val="center"/>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温度(℃)</w:t>
            </w:r>
          </w:p>
        </w:tc>
        <w:tc>
          <w:tcPr>
            <w:tcW w:w="269" w:type="pct"/>
            <w:vMerge w:val="continue"/>
            <w:noWrap w:val="0"/>
            <w:vAlign w:val="center"/>
          </w:tcPr>
          <w:p w14:paraId="05B6B247">
            <w:pPr>
              <w:pStyle w:val="24"/>
              <w:bidi w:val="0"/>
              <w:jc w:val="center"/>
              <w:rPr>
                <w:rFonts w:hint="eastAsia" w:ascii="Times New Roman" w:hAnsi="Times New Roman" w:eastAsia="宋体" w:cs="Times New Roman"/>
                <w:b/>
                <w:bCs/>
                <w:color w:val="auto"/>
                <w:sz w:val="18"/>
                <w:szCs w:val="18"/>
                <w:highlight w:val="none"/>
                <w:lang w:val="en-US" w:eastAsia="zh-CN"/>
              </w:rPr>
            </w:pPr>
          </w:p>
        </w:tc>
        <w:tc>
          <w:tcPr>
            <w:tcW w:w="337" w:type="pct"/>
            <w:vMerge w:val="continue"/>
            <w:noWrap w:val="0"/>
            <w:vAlign w:val="center"/>
          </w:tcPr>
          <w:p w14:paraId="38C8DC84">
            <w:pPr>
              <w:pStyle w:val="24"/>
              <w:bidi w:val="0"/>
              <w:jc w:val="center"/>
              <w:rPr>
                <w:rFonts w:hint="eastAsia" w:ascii="Times New Roman" w:hAnsi="Times New Roman" w:eastAsia="宋体" w:cs="Times New Roman"/>
                <w:b/>
                <w:bCs/>
                <w:color w:val="auto"/>
                <w:sz w:val="18"/>
                <w:szCs w:val="18"/>
                <w:highlight w:val="none"/>
                <w:lang w:val="en-US" w:eastAsia="zh-CN"/>
              </w:rPr>
            </w:pPr>
          </w:p>
        </w:tc>
      </w:tr>
      <w:tr w14:paraId="795B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396" w:type="pct"/>
            <w:vMerge w:val="restart"/>
            <w:noWrap w:val="0"/>
            <w:vAlign w:val="center"/>
          </w:tcPr>
          <w:p w14:paraId="41D8438F">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四川能投巴中燃气发电有限公司</w:t>
            </w:r>
          </w:p>
        </w:tc>
        <w:tc>
          <w:tcPr>
            <w:tcW w:w="424" w:type="pct"/>
            <w:vMerge w:val="restart"/>
            <w:noWrap w:val="0"/>
            <w:vAlign w:val="center"/>
          </w:tcPr>
          <w:p w14:paraId="3A1C73F6">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四川能投巴中（通江）燃气发电工程</w:t>
            </w:r>
          </w:p>
        </w:tc>
        <w:tc>
          <w:tcPr>
            <w:tcW w:w="749" w:type="pct"/>
            <w:noWrap w:val="0"/>
            <w:vAlign w:val="center"/>
          </w:tcPr>
          <w:p w14:paraId="0066E34D">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燃气轮机组烟囱</w:t>
            </w:r>
            <w:r>
              <w:rPr>
                <w:rFonts w:hint="eastAsia" w:cs="Times New Roman"/>
                <w:b w:val="0"/>
                <w:bCs w:val="0"/>
                <w:color w:val="auto"/>
                <w:sz w:val="18"/>
                <w:szCs w:val="18"/>
                <w:highlight w:val="none"/>
                <w:lang w:val="en-US" w:eastAsia="zh-CN"/>
              </w:rPr>
              <w:t>DA001</w:t>
            </w:r>
          </w:p>
        </w:tc>
        <w:tc>
          <w:tcPr>
            <w:tcW w:w="420" w:type="pct"/>
            <w:noWrap w:val="0"/>
            <w:vAlign w:val="center"/>
          </w:tcPr>
          <w:p w14:paraId="310F77E5">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711674</w:t>
            </w:r>
          </w:p>
        </w:tc>
        <w:tc>
          <w:tcPr>
            <w:tcW w:w="416" w:type="pct"/>
            <w:noWrap w:val="0"/>
            <w:vAlign w:val="center"/>
          </w:tcPr>
          <w:p w14:paraId="480AAF43">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3527296</w:t>
            </w:r>
          </w:p>
        </w:tc>
        <w:tc>
          <w:tcPr>
            <w:tcW w:w="455" w:type="pct"/>
            <w:noWrap w:val="0"/>
            <w:vAlign w:val="center"/>
          </w:tcPr>
          <w:p w14:paraId="345A2DA0">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409</w:t>
            </w:r>
          </w:p>
        </w:tc>
        <w:tc>
          <w:tcPr>
            <w:tcW w:w="372" w:type="pct"/>
            <w:noWrap w:val="0"/>
            <w:vAlign w:val="center"/>
          </w:tcPr>
          <w:p w14:paraId="61422797">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80</w:t>
            </w:r>
          </w:p>
        </w:tc>
        <w:tc>
          <w:tcPr>
            <w:tcW w:w="350" w:type="pct"/>
            <w:noWrap w:val="0"/>
            <w:vAlign w:val="center"/>
          </w:tcPr>
          <w:p w14:paraId="15144CF2">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7</w:t>
            </w:r>
          </w:p>
        </w:tc>
        <w:tc>
          <w:tcPr>
            <w:tcW w:w="491" w:type="pct"/>
            <w:noWrap w:val="0"/>
            <w:vAlign w:val="center"/>
          </w:tcPr>
          <w:p w14:paraId="3AE69695">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204万</w:t>
            </w:r>
          </w:p>
        </w:tc>
        <w:tc>
          <w:tcPr>
            <w:tcW w:w="316" w:type="pct"/>
            <w:noWrap w:val="0"/>
            <w:vAlign w:val="center"/>
          </w:tcPr>
          <w:p w14:paraId="27409785">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77.8</w:t>
            </w:r>
          </w:p>
        </w:tc>
        <w:tc>
          <w:tcPr>
            <w:tcW w:w="269" w:type="pct"/>
            <w:shd w:val="clear" w:color="auto" w:fill="auto"/>
            <w:noWrap w:val="0"/>
            <w:vAlign w:val="center"/>
          </w:tcPr>
          <w:p w14:paraId="156519A6">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ascii="Times New Roman" w:hAnsi="Times New Roman"/>
                <w:color w:val="auto"/>
                <w:sz w:val="18"/>
                <w:szCs w:val="18"/>
              </w:rPr>
              <w:t>PM</w:t>
            </w:r>
            <w:r>
              <w:rPr>
                <w:rFonts w:ascii="Times New Roman" w:hAnsi="Times New Roman"/>
                <w:color w:val="auto"/>
                <w:sz w:val="18"/>
                <w:szCs w:val="18"/>
                <w:vertAlign w:val="subscript"/>
              </w:rPr>
              <w:t>10</w:t>
            </w:r>
          </w:p>
        </w:tc>
        <w:tc>
          <w:tcPr>
            <w:tcW w:w="337" w:type="pct"/>
            <w:noWrap w:val="0"/>
            <w:vAlign w:val="center"/>
          </w:tcPr>
          <w:p w14:paraId="674CA234">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9.0088</w:t>
            </w:r>
          </w:p>
        </w:tc>
      </w:tr>
      <w:tr w14:paraId="7AAA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396" w:type="pct"/>
            <w:vMerge w:val="continue"/>
            <w:noWrap w:val="0"/>
            <w:vAlign w:val="center"/>
          </w:tcPr>
          <w:p w14:paraId="7E9AF3F7">
            <w:pPr>
              <w:pStyle w:val="24"/>
              <w:bidi w:val="0"/>
              <w:jc w:val="center"/>
              <w:rPr>
                <w:rFonts w:hint="default" w:ascii="Times New Roman" w:hAnsi="Times New Roman" w:eastAsia="宋体" w:cs="Times New Roman"/>
                <w:b w:val="0"/>
                <w:bCs w:val="0"/>
                <w:color w:val="auto"/>
                <w:sz w:val="18"/>
                <w:szCs w:val="18"/>
                <w:highlight w:val="none"/>
                <w:lang w:val="en-US" w:eastAsia="zh-CN"/>
              </w:rPr>
            </w:pPr>
          </w:p>
        </w:tc>
        <w:tc>
          <w:tcPr>
            <w:tcW w:w="424" w:type="pct"/>
            <w:vMerge w:val="continue"/>
            <w:noWrap w:val="0"/>
            <w:vAlign w:val="center"/>
          </w:tcPr>
          <w:p w14:paraId="31C354F2">
            <w:pPr>
              <w:pStyle w:val="24"/>
              <w:bidi w:val="0"/>
              <w:jc w:val="center"/>
              <w:rPr>
                <w:rFonts w:hint="default" w:ascii="Times New Roman" w:hAnsi="Times New Roman" w:eastAsia="宋体" w:cs="Times New Roman"/>
                <w:b w:val="0"/>
                <w:bCs w:val="0"/>
                <w:color w:val="auto"/>
                <w:sz w:val="18"/>
                <w:szCs w:val="18"/>
                <w:highlight w:val="none"/>
                <w:lang w:val="en-US" w:eastAsia="zh-CN"/>
              </w:rPr>
            </w:pPr>
          </w:p>
        </w:tc>
        <w:tc>
          <w:tcPr>
            <w:tcW w:w="749" w:type="pct"/>
            <w:noWrap w:val="0"/>
            <w:vAlign w:val="center"/>
          </w:tcPr>
          <w:p w14:paraId="3B4C2571">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燃气轮机组烟囱</w:t>
            </w:r>
            <w:r>
              <w:rPr>
                <w:rFonts w:hint="eastAsia" w:ascii="Times New Roman" w:hAnsi="Times New Roman" w:eastAsia="宋体" w:cs="Times New Roman"/>
                <w:b w:val="0"/>
                <w:bCs w:val="0"/>
                <w:color w:val="auto"/>
                <w:sz w:val="18"/>
                <w:szCs w:val="18"/>
                <w:highlight w:val="none"/>
                <w:lang w:val="en-US" w:eastAsia="zh-CN"/>
              </w:rPr>
              <w:t>DA002</w:t>
            </w:r>
          </w:p>
        </w:tc>
        <w:tc>
          <w:tcPr>
            <w:tcW w:w="420" w:type="pct"/>
            <w:noWrap w:val="0"/>
            <w:vAlign w:val="center"/>
          </w:tcPr>
          <w:p w14:paraId="36BF42D7">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711705</w:t>
            </w:r>
          </w:p>
        </w:tc>
        <w:tc>
          <w:tcPr>
            <w:tcW w:w="416" w:type="pct"/>
            <w:noWrap w:val="0"/>
            <w:vAlign w:val="center"/>
          </w:tcPr>
          <w:p w14:paraId="196F6CEB">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3527263</w:t>
            </w:r>
          </w:p>
        </w:tc>
        <w:tc>
          <w:tcPr>
            <w:tcW w:w="455" w:type="pct"/>
            <w:noWrap w:val="0"/>
            <w:vAlign w:val="center"/>
          </w:tcPr>
          <w:p w14:paraId="5F1F5B49">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412</w:t>
            </w:r>
          </w:p>
        </w:tc>
        <w:tc>
          <w:tcPr>
            <w:tcW w:w="372" w:type="pct"/>
            <w:noWrap w:val="0"/>
            <w:vAlign w:val="center"/>
          </w:tcPr>
          <w:p w14:paraId="2511749A">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80</w:t>
            </w:r>
          </w:p>
        </w:tc>
        <w:tc>
          <w:tcPr>
            <w:tcW w:w="350" w:type="pct"/>
            <w:noWrap w:val="0"/>
            <w:vAlign w:val="center"/>
          </w:tcPr>
          <w:p w14:paraId="5441D773">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7</w:t>
            </w:r>
          </w:p>
        </w:tc>
        <w:tc>
          <w:tcPr>
            <w:tcW w:w="491" w:type="pct"/>
            <w:noWrap w:val="0"/>
            <w:vAlign w:val="center"/>
          </w:tcPr>
          <w:p w14:paraId="5632B926">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204万</w:t>
            </w:r>
          </w:p>
        </w:tc>
        <w:tc>
          <w:tcPr>
            <w:tcW w:w="316" w:type="pct"/>
            <w:noWrap w:val="0"/>
            <w:vAlign w:val="center"/>
          </w:tcPr>
          <w:p w14:paraId="7C403CED">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77.8</w:t>
            </w:r>
          </w:p>
        </w:tc>
        <w:tc>
          <w:tcPr>
            <w:tcW w:w="269" w:type="pct"/>
            <w:shd w:val="clear" w:color="auto" w:fill="auto"/>
            <w:noWrap w:val="0"/>
            <w:vAlign w:val="center"/>
          </w:tcPr>
          <w:p w14:paraId="43B1C3AA">
            <w:pPr>
              <w:pStyle w:val="24"/>
              <w:bidi w:val="0"/>
              <w:ind w:left="0" w:lef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ascii="Times New Roman" w:hAnsi="Times New Roman"/>
                <w:color w:val="auto"/>
                <w:sz w:val="18"/>
                <w:szCs w:val="18"/>
              </w:rPr>
              <w:t>PM</w:t>
            </w:r>
            <w:r>
              <w:rPr>
                <w:rFonts w:ascii="Times New Roman" w:hAnsi="Times New Roman"/>
                <w:color w:val="auto"/>
                <w:sz w:val="18"/>
                <w:szCs w:val="18"/>
                <w:vertAlign w:val="subscript"/>
              </w:rPr>
              <w:t>10</w:t>
            </w:r>
          </w:p>
        </w:tc>
        <w:tc>
          <w:tcPr>
            <w:tcW w:w="337" w:type="pct"/>
            <w:noWrap w:val="0"/>
            <w:vAlign w:val="center"/>
          </w:tcPr>
          <w:p w14:paraId="0CD1EDC5">
            <w:pPr>
              <w:pStyle w:val="24"/>
              <w:bidi w:val="0"/>
              <w:ind w:left="0" w:left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9.0088</w:t>
            </w:r>
          </w:p>
        </w:tc>
      </w:tr>
      <w:tr w14:paraId="01B7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396" w:type="pct"/>
            <w:vMerge w:val="continue"/>
            <w:noWrap w:val="0"/>
            <w:vAlign w:val="center"/>
          </w:tcPr>
          <w:p w14:paraId="590DB1E4">
            <w:pPr>
              <w:pStyle w:val="24"/>
              <w:bidi w:val="0"/>
              <w:jc w:val="center"/>
              <w:rPr>
                <w:rFonts w:hint="default" w:ascii="Times New Roman" w:hAnsi="Times New Roman" w:eastAsia="宋体" w:cs="Times New Roman"/>
                <w:b w:val="0"/>
                <w:bCs w:val="0"/>
                <w:color w:val="auto"/>
                <w:sz w:val="18"/>
                <w:szCs w:val="18"/>
                <w:highlight w:val="none"/>
                <w:lang w:val="en-US" w:eastAsia="zh-CN"/>
              </w:rPr>
            </w:pPr>
          </w:p>
        </w:tc>
        <w:tc>
          <w:tcPr>
            <w:tcW w:w="424" w:type="pct"/>
            <w:vMerge w:val="continue"/>
            <w:noWrap w:val="0"/>
            <w:vAlign w:val="center"/>
          </w:tcPr>
          <w:p w14:paraId="7AF4E690">
            <w:pPr>
              <w:pStyle w:val="24"/>
              <w:bidi w:val="0"/>
              <w:jc w:val="center"/>
              <w:rPr>
                <w:rFonts w:hint="default" w:ascii="Times New Roman" w:hAnsi="Times New Roman" w:eastAsia="宋体" w:cs="Times New Roman"/>
                <w:b w:val="0"/>
                <w:bCs w:val="0"/>
                <w:color w:val="auto"/>
                <w:sz w:val="18"/>
                <w:szCs w:val="18"/>
                <w:highlight w:val="none"/>
                <w:lang w:val="en-US" w:eastAsia="zh-CN"/>
              </w:rPr>
            </w:pPr>
          </w:p>
        </w:tc>
        <w:tc>
          <w:tcPr>
            <w:tcW w:w="749" w:type="pct"/>
            <w:noWrap w:val="0"/>
            <w:vAlign w:val="center"/>
          </w:tcPr>
          <w:p w14:paraId="16254C96">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启动锅炉烟囱DA003</w:t>
            </w:r>
          </w:p>
        </w:tc>
        <w:tc>
          <w:tcPr>
            <w:tcW w:w="420" w:type="pct"/>
            <w:noWrap w:val="0"/>
            <w:vAlign w:val="center"/>
          </w:tcPr>
          <w:p w14:paraId="1DD05962">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711625</w:t>
            </w:r>
          </w:p>
        </w:tc>
        <w:tc>
          <w:tcPr>
            <w:tcW w:w="416" w:type="pct"/>
            <w:noWrap w:val="0"/>
            <w:vAlign w:val="center"/>
          </w:tcPr>
          <w:p w14:paraId="0F40DBE2">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3527015</w:t>
            </w:r>
          </w:p>
        </w:tc>
        <w:tc>
          <w:tcPr>
            <w:tcW w:w="455" w:type="pct"/>
            <w:noWrap w:val="0"/>
            <w:vAlign w:val="center"/>
          </w:tcPr>
          <w:p w14:paraId="465AB040">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380</w:t>
            </w:r>
          </w:p>
        </w:tc>
        <w:tc>
          <w:tcPr>
            <w:tcW w:w="372" w:type="pct"/>
            <w:noWrap w:val="0"/>
            <w:vAlign w:val="center"/>
          </w:tcPr>
          <w:p w14:paraId="46FFAAC2">
            <w:pPr>
              <w:pStyle w:val="24"/>
              <w:bidi w:val="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15</w:t>
            </w:r>
          </w:p>
        </w:tc>
        <w:tc>
          <w:tcPr>
            <w:tcW w:w="350" w:type="pct"/>
            <w:noWrap w:val="0"/>
            <w:vAlign w:val="center"/>
          </w:tcPr>
          <w:p w14:paraId="603AE9B0">
            <w:pPr>
              <w:pStyle w:val="24"/>
              <w:bidi w:val="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1.4</w:t>
            </w:r>
          </w:p>
        </w:tc>
        <w:tc>
          <w:tcPr>
            <w:tcW w:w="491" w:type="pct"/>
            <w:noWrap w:val="0"/>
            <w:vAlign w:val="center"/>
          </w:tcPr>
          <w:p w14:paraId="11F9EB5C">
            <w:pPr>
              <w:pStyle w:val="24"/>
              <w:bidi w:val="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4.89万</w:t>
            </w:r>
          </w:p>
        </w:tc>
        <w:tc>
          <w:tcPr>
            <w:tcW w:w="316" w:type="pct"/>
            <w:noWrap w:val="0"/>
            <w:vAlign w:val="center"/>
          </w:tcPr>
          <w:p w14:paraId="637B0355">
            <w:pPr>
              <w:pStyle w:val="24"/>
              <w:bidi w:val="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120</w:t>
            </w:r>
          </w:p>
        </w:tc>
        <w:tc>
          <w:tcPr>
            <w:tcW w:w="269" w:type="pct"/>
            <w:noWrap w:val="0"/>
            <w:vAlign w:val="center"/>
          </w:tcPr>
          <w:p w14:paraId="7140B853">
            <w:pPr>
              <w:pStyle w:val="24"/>
              <w:bidi w:val="0"/>
              <w:ind w:left="0" w:leftChars="0"/>
              <w:jc w:val="center"/>
              <w:rPr>
                <w:rFonts w:ascii="Times New Roman" w:hAnsi="Times New Roman"/>
                <w:color w:val="auto"/>
                <w:sz w:val="18"/>
                <w:szCs w:val="18"/>
              </w:rPr>
            </w:pPr>
            <w:r>
              <w:rPr>
                <w:rFonts w:ascii="Times New Roman" w:hAnsi="Times New Roman"/>
                <w:color w:val="auto"/>
                <w:sz w:val="18"/>
                <w:szCs w:val="18"/>
              </w:rPr>
              <w:t>PM</w:t>
            </w:r>
            <w:r>
              <w:rPr>
                <w:rFonts w:ascii="Times New Roman" w:hAnsi="Times New Roman"/>
                <w:color w:val="auto"/>
                <w:sz w:val="18"/>
                <w:szCs w:val="18"/>
                <w:vertAlign w:val="subscript"/>
              </w:rPr>
              <w:t>10</w:t>
            </w:r>
          </w:p>
        </w:tc>
        <w:tc>
          <w:tcPr>
            <w:tcW w:w="337" w:type="pct"/>
            <w:noWrap w:val="0"/>
            <w:vAlign w:val="center"/>
          </w:tcPr>
          <w:p w14:paraId="4B649DCD">
            <w:pPr>
              <w:pStyle w:val="24"/>
              <w:bidi w:val="0"/>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0.5192</w:t>
            </w:r>
          </w:p>
        </w:tc>
      </w:tr>
    </w:tbl>
    <w:p w14:paraId="7F76F35F">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3）削减源</w:t>
      </w:r>
    </w:p>
    <w:p w14:paraId="22DA26DA">
      <w:pPr>
        <w:bidi w:val="0"/>
        <w:ind w:left="0" w:leftChars="0"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根据巴中市通江生态环境局出具的《关于聚羧酸减水剂与无碱速凝剂生产项目削减源指标的说明》，同意将通江县大井坝页岩砖有限公司（已关停）减排源作为本项目削减源使用，其源强如下表所示。</w:t>
      </w:r>
    </w:p>
    <w:p w14:paraId="76CF6055">
      <w:pPr>
        <w:bidi w:val="0"/>
        <w:ind w:left="0" w:leftChars="0" w:firstLine="480" w:firstLineChars="200"/>
        <w:rPr>
          <w:rFonts w:hint="eastAsia"/>
          <w:color w:val="auto"/>
          <w:sz w:val="24"/>
          <w:szCs w:val="24"/>
          <w:highlight w:val="none"/>
          <w:lang w:val="en-US" w:eastAsia="zh-CN"/>
        </w:rPr>
        <w:sectPr>
          <w:pgSz w:w="16838" w:h="11906" w:orient="landscape"/>
          <w:pgMar w:top="1361" w:right="1474" w:bottom="1247" w:left="1304"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3E36FDA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削减源参数表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655"/>
        <w:gridCol w:w="801"/>
        <w:gridCol w:w="870"/>
        <w:gridCol w:w="934"/>
        <w:gridCol w:w="904"/>
        <w:gridCol w:w="871"/>
        <w:gridCol w:w="1066"/>
        <w:gridCol w:w="774"/>
        <w:gridCol w:w="967"/>
        <w:gridCol w:w="1102"/>
      </w:tblGrid>
      <w:tr w14:paraId="685A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00" w:type="pct"/>
            <w:vMerge w:val="restart"/>
            <w:vAlign w:val="center"/>
          </w:tcPr>
          <w:p w14:paraId="43B00C4D">
            <w:pPr>
              <w:pStyle w:val="24"/>
              <w:rPr>
                <w:rFonts w:hint="eastAsia" w:eastAsia="宋体"/>
                <w:b/>
                <w:bCs/>
                <w:color w:val="auto"/>
                <w:sz w:val="18"/>
                <w:szCs w:val="18"/>
              </w:rPr>
            </w:pPr>
            <w:r>
              <w:rPr>
                <w:rFonts w:hint="eastAsia" w:eastAsia="宋体"/>
                <w:b/>
                <w:bCs/>
                <w:color w:val="auto"/>
                <w:sz w:val="18"/>
                <w:szCs w:val="18"/>
              </w:rPr>
              <w:t>编号</w:t>
            </w:r>
          </w:p>
        </w:tc>
        <w:tc>
          <w:tcPr>
            <w:tcW w:w="344" w:type="pct"/>
            <w:vMerge w:val="restart"/>
            <w:vAlign w:val="center"/>
          </w:tcPr>
          <w:p w14:paraId="53D4D1A5">
            <w:pPr>
              <w:pStyle w:val="24"/>
              <w:rPr>
                <w:rFonts w:hint="eastAsia" w:eastAsia="宋体"/>
                <w:b/>
                <w:bCs/>
                <w:color w:val="auto"/>
                <w:sz w:val="18"/>
                <w:szCs w:val="18"/>
              </w:rPr>
            </w:pPr>
            <w:r>
              <w:rPr>
                <w:rFonts w:hint="eastAsia" w:eastAsia="宋体"/>
                <w:b/>
                <w:bCs/>
                <w:color w:val="auto"/>
                <w:sz w:val="18"/>
                <w:szCs w:val="18"/>
              </w:rPr>
              <w:t>名称</w:t>
            </w:r>
          </w:p>
        </w:tc>
        <w:tc>
          <w:tcPr>
            <w:tcW w:w="878" w:type="pct"/>
            <w:gridSpan w:val="2"/>
            <w:vAlign w:val="center"/>
          </w:tcPr>
          <w:p w14:paraId="267B8175">
            <w:pPr>
              <w:pStyle w:val="24"/>
              <w:rPr>
                <w:rFonts w:hint="eastAsia" w:eastAsia="宋体"/>
                <w:b/>
                <w:bCs/>
                <w:color w:val="auto"/>
                <w:sz w:val="18"/>
                <w:szCs w:val="18"/>
              </w:rPr>
            </w:pPr>
            <w:r>
              <w:rPr>
                <w:rFonts w:hint="eastAsia" w:eastAsia="宋体"/>
                <w:b/>
                <w:bCs/>
                <w:color w:val="auto"/>
                <w:sz w:val="18"/>
                <w:szCs w:val="18"/>
              </w:rPr>
              <w:t>排气筒底部中心坐标(m)</w:t>
            </w:r>
          </w:p>
        </w:tc>
        <w:tc>
          <w:tcPr>
            <w:tcW w:w="1984" w:type="pct"/>
            <w:gridSpan w:val="4"/>
            <w:vAlign w:val="center"/>
          </w:tcPr>
          <w:p w14:paraId="6B222929">
            <w:pPr>
              <w:pStyle w:val="24"/>
              <w:rPr>
                <w:rFonts w:hint="eastAsia" w:eastAsia="宋体"/>
                <w:b/>
                <w:bCs/>
                <w:color w:val="auto"/>
                <w:sz w:val="18"/>
                <w:szCs w:val="18"/>
              </w:rPr>
            </w:pPr>
            <w:r>
              <w:rPr>
                <w:rFonts w:hint="eastAsia" w:eastAsia="宋体"/>
                <w:b/>
                <w:bCs/>
                <w:color w:val="auto"/>
                <w:sz w:val="18"/>
                <w:szCs w:val="18"/>
              </w:rPr>
              <w:t>排气筒参数</w:t>
            </w:r>
          </w:p>
        </w:tc>
        <w:tc>
          <w:tcPr>
            <w:tcW w:w="407" w:type="pct"/>
            <w:vMerge w:val="restart"/>
            <w:vAlign w:val="center"/>
          </w:tcPr>
          <w:p w14:paraId="18920AEC">
            <w:pPr>
              <w:pStyle w:val="24"/>
              <w:rPr>
                <w:rFonts w:hint="eastAsia" w:eastAsia="宋体"/>
                <w:b/>
                <w:bCs/>
                <w:color w:val="auto"/>
                <w:sz w:val="18"/>
                <w:szCs w:val="18"/>
              </w:rPr>
            </w:pPr>
            <w:r>
              <w:rPr>
                <w:rFonts w:hint="eastAsia" w:eastAsia="宋体"/>
                <w:b/>
                <w:bCs/>
                <w:color w:val="auto"/>
                <w:sz w:val="18"/>
                <w:szCs w:val="18"/>
              </w:rPr>
              <w:t>排放工况</w:t>
            </w:r>
          </w:p>
        </w:tc>
        <w:tc>
          <w:tcPr>
            <w:tcW w:w="508" w:type="pct"/>
            <w:vMerge w:val="restart"/>
            <w:vAlign w:val="center"/>
          </w:tcPr>
          <w:p w14:paraId="35B9D17B">
            <w:pPr>
              <w:pStyle w:val="24"/>
              <w:rPr>
                <w:rFonts w:hint="eastAsia" w:eastAsia="宋体"/>
                <w:b/>
                <w:bCs/>
                <w:color w:val="auto"/>
                <w:sz w:val="18"/>
                <w:szCs w:val="18"/>
              </w:rPr>
            </w:pPr>
            <w:r>
              <w:rPr>
                <w:rFonts w:hint="eastAsia" w:eastAsia="宋体"/>
                <w:b/>
                <w:bCs/>
                <w:color w:val="auto"/>
                <w:sz w:val="18"/>
                <w:szCs w:val="18"/>
              </w:rPr>
              <w:t>污染物名称</w:t>
            </w:r>
          </w:p>
        </w:tc>
        <w:tc>
          <w:tcPr>
            <w:tcW w:w="579" w:type="pct"/>
            <w:vMerge w:val="restart"/>
            <w:vAlign w:val="center"/>
          </w:tcPr>
          <w:p w14:paraId="34A63C0B">
            <w:pPr>
              <w:pStyle w:val="24"/>
              <w:rPr>
                <w:rFonts w:hint="eastAsia" w:eastAsia="宋体"/>
                <w:b/>
                <w:bCs/>
                <w:color w:val="auto"/>
                <w:sz w:val="18"/>
                <w:szCs w:val="18"/>
              </w:rPr>
            </w:pPr>
            <w:r>
              <w:rPr>
                <w:rFonts w:hint="eastAsia" w:eastAsia="宋体"/>
                <w:b/>
                <w:bCs/>
                <w:color w:val="auto"/>
                <w:sz w:val="18"/>
                <w:szCs w:val="18"/>
              </w:rPr>
              <w:t>排放速率(kg/h)</w:t>
            </w:r>
          </w:p>
        </w:tc>
      </w:tr>
      <w:tr w14:paraId="714F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300" w:type="pct"/>
            <w:vMerge w:val="continue"/>
            <w:vAlign w:val="center"/>
          </w:tcPr>
          <w:p w14:paraId="68C07D92">
            <w:pPr>
              <w:pStyle w:val="24"/>
              <w:rPr>
                <w:rFonts w:hint="eastAsia" w:eastAsia="宋体"/>
                <w:b/>
                <w:bCs/>
                <w:color w:val="auto"/>
                <w:sz w:val="18"/>
                <w:szCs w:val="18"/>
              </w:rPr>
            </w:pPr>
          </w:p>
        </w:tc>
        <w:tc>
          <w:tcPr>
            <w:tcW w:w="344" w:type="pct"/>
            <w:vMerge w:val="continue"/>
            <w:vAlign w:val="center"/>
          </w:tcPr>
          <w:p w14:paraId="3B9E38DC">
            <w:pPr>
              <w:pStyle w:val="24"/>
              <w:rPr>
                <w:rFonts w:hint="eastAsia" w:eastAsia="宋体"/>
                <w:b/>
                <w:bCs/>
                <w:color w:val="auto"/>
                <w:sz w:val="18"/>
                <w:szCs w:val="18"/>
              </w:rPr>
            </w:pPr>
          </w:p>
        </w:tc>
        <w:tc>
          <w:tcPr>
            <w:tcW w:w="421" w:type="pct"/>
            <w:vAlign w:val="center"/>
          </w:tcPr>
          <w:p w14:paraId="3FF81C33">
            <w:pPr>
              <w:pStyle w:val="24"/>
              <w:rPr>
                <w:rFonts w:hint="eastAsia" w:eastAsia="宋体"/>
                <w:b/>
                <w:bCs/>
                <w:color w:val="auto"/>
                <w:sz w:val="18"/>
                <w:szCs w:val="18"/>
              </w:rPr>
            </w:pPr>
            <w:r>
              <w:rPr>
                <w:rFonts w:hint="eastAsia" w:eastAsia="宋体"/>
                <w:b/>
                <w:bCs/>
                <w:color w:val="auto"/>
                <w:sz w:val="18"/>
                <w:szCs w:val="18"/>
              </w:rPr>
              <w:t>X</w:t>
            </w:r>
          </w:p>
        </w:tc>
        <w:tc>
          <w:tcPr>
            <w:tcW w:w="457" w:type="pct"/>
            <w:vAlign w:val="center"/>
          </w:tcPr>
          <w:p w14:paraId="2C5EA6EC">
            <w:pPr>
              <w:pStyle w:val="24"/>
              <w:rPr>
                <w:rFonts w:hint="eastAsia" w:eastAsia="宋体"/>
                <w:b/>
                <w:bCs/>
                <w:color w:val="auto"/>
                <w:sz w:val="18"/>
                <w:szCs w:val="18"/>
              </w:rPr>
            </w:pPr>
            <w:r>
              <w:rPr>
                <w:rFonts w:hint="eastAsia" w:eastAsia="宋体"/>
                <w:b/>
                <w:bCs/>
                <w:color w:val="auto"/>
                <w:sz w:val="18"/>
                <w:szCs w:val="18"/>
              </w:rPr>
              <w:t>Y</w:t>
            </w:r>
          </w:p>
        </w:tc>
        <w:tc>
          <w:tcPr>
            <w:tcW w:w="491" w:type="pct"/>
            <w:vAlign w:val="center"/>
          </w:tcPr>
          <w:p w14:paraId="46366FC5">
            <w:pPr>
              <w:pStyle w:val="24"/>
              <w:rPr>
                <w:rFonts w:hint="eastAsia" w:eastAsia="宋体"/>
                <w:b/>
                <w:bCs/>
                <w:color w:val="auto"/>
                <w:sz w:val="18"/>
                <w:szCs w:val="18"/>
              </w:rPr>
            </w:pPr>
            <w:r>
              <w:rPr>
                <w:rFonts w:hint="eastAsia" w:eastAsia="宋体"/>
                <w:b/>
                <w:bCs/>
                <w:color w:val="auto"/>
                <w:sz w:val="18"/>
                <w:szCs w:val="18"/>
              </w:rPr>
              <w:t>高度(m)</w:t>
            </w:r>
          </w:p>
        </w:tc>
        <w:tc>
          <w:tcPr>
            <w:tcW w:w="475" w:type="pct"/>
            <w:vAlign w:val="center"/>
          </w:tcPr>
          <w:p w14:paraId="316AAFB6">
            <w:pPr>
              <w:pStyle w:val="24"/>
              <w:rPr>
                <w:rFonts w:hint="eastAsia" w:eastAsia="宋体"/>
                <w:b/>
                <w:bCs/>
                <w:color w:val="auto"/>
                <w:sz w:val="18"/>
                <w:szCs w:val="18"/>
              </w:rPr>
            </w:pPr>
            <w:r>
              <w:rPr>
                <w:rFonts w:hint="eastAsia" w:eastAsia="宋体"/>
                <w:b/>
                <w:bCs/>
                <w:color w:val="auto"/>
                <w:sz w:val="18"/>
                <w:szCs w:val="18"/>
              </w:rPr>
              <w:t>内径（m）</w:t>
            </w:r>
          </w:p>
        </w:tc>
        <w:tc>
          <w:tcPr>
            <w:tcW w:w="458" w:type="pct"/>
            <w:vAlign w:val="center"/>
          </w:tcPr>
          <w:p w14:paraId="64E3961B">
            <w:pPr>
              <w:pStyle w:val="24"/>
              <w:rPr>
                <w:rFonts w:hint="eastAsia" w:eastAsia="宋体"/>
                <w:b/>
                <w:bCs/>
                <w:color w:val="auto"/>
                <w:sz w:val="18"/>
                <w:szCs w:val="18"/>
              </w:rPr>
            </w:pPr>
            <w:r>
              <w:rPr>
                <w:rFonts w:hint="eastAsia" w:eastAsia="宋体"/>
                <w:b/>
                <w:bCs/>
                <w:color w:val="auto"/>
                <w:sz w:val="18"/>
                <w:szCs w:val="18"/>
              </w:rPr>
              <w:t>温度(℃)</w:t>
            </w:r>
          </w:p>
        </w:tc>
        <w:tc>
          <w:tcPr>
            <w:tcW w:w="560" w:type="pct"/>
            <w:vAlign w:val="center"/>
          </w:tcPr>
          <w:p w14:paraId="0A028478">
            <w:pPr>
              <w:pStyle w:val="24"/>
              <w:rPr>
                <w:rFonts w:hint="eastAsia" w:eastAsia="宋体"/>
                <w:b/>
                <w:bCs/>
                <w:color w:val="auto"/>
                <w:sz w:val="18"/>
                <w:szCs w:val="18"/>
              </w:rPr>
            </w:pPr>
            <w:r>
              <w:rPr>
                <w:rFonts w:hint="eastAsia" w:eastAsia="宋体"/>
                <w:b/>
                <w:bCs/>
                <w:color w:val="auto"/>
                <w:sz w:val="18"/>
                <w:szCs w:val="18"/>
              </w:rPr>
              <w:t>流速(m</w:t>
            </w:r>
            <w:r>
              <w:rPr>
                <w:rFonts w:hint="eastAsia" w:eastAsia="宋体"/>
                <w:b/>
                <w:bCs/>
                <w:color w:val="auto"/>
                <w:sz w:val="18"/>
                <w:szCs w:val="18"/>
                <w:vertAlign w:val="superscript"/>
              </w:rPr>
              <w:t>3</w:t>
            </w:r>
            <w:r>
              <w:rPr>
                <w:rFonts w:hint="eastAsia" w:eastAsia="宋体"/>
                <w:b/>
                <w:bCs/>
                <w:color w:val="auto"/>
                <w:sz w:val="18"/>
                <w:szCs w:val="18"/>
              </w:rPr>
              <w:t>/s)</w:t>
            </w:r>
          </w:p>
        </w:tc>
        <w:tc>
          <w:tcPr>
            <w:tcW w:w="407" w:type="pct"/>
            <w:vMerge w:val="continue"/>
            <w:vAlign w:val="center"/>
          </w:tcPr>
          <w:p w14:paraId="1DA0B056">
            <w:pPr>
              <w:pStyle w:val="24"/>
              <w:rPr>
                <w:rFonts w:hint="eastAsia" w:eastAsia="宋体"/>
                <w:color w:val="auto"/>
                <w:sz w:val="18"/>
                <w:szCs w:val="18"/>
              </w:rPr>
            </w:pPr>
          </w:p>
        </w:tc>
        <w:tc>
          <w:tcPr>
            <w:tcW w:w="508" w:type="pct"/>
            <w:vMerge w:val="continue"/>
            <w:vAlign w:val="center"/>
          </w:tcPr>
          <w:p w14:paraId="38998452">
            <w:pPr>
              <w:pStyle w:val="24"/>
              <w:rPr>
                <w:rFonts w:hint="eastAsia" w:eastAsia="宋体"/>
                <w:color w:val="auto"/>
                <w:sz w:val="18"/>
                <w:szCs w:val="18"/>
              </w:rPr>
            </w:pPr>
          </w:p>
        </w:tc>
        <w:tc>
          <w:tcPr>
            <w:tcW w:w="579" w:type="pct"/>
            <w:vMerge w:val="continue"/>
            <w:vAlign w:val="center"/>
          </w:tcPr>
          <w:p w14:paraId="747616A7">
            <w:pPr>
              <w:pStyle w:val="24"/>
              <w:rPr>
                <w:rFonts w:hint="eastAsia" w:eastAsia="宋体"/>
                <w:color w:val="auto"/>
                <w:sz w:val="18"/>
                <w:szCs w:val="18"/>
              </w:rPr>
            </w:pPr>
          </w:p>
        </w:tc>
      </w:tr>
      <w:tr w14:paraId="09EE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00" w:type="pct"/>
            <w:vAlign w:val="center"/>
          </w:tcPr>
          <w:p w14:paraId="228A96C8">
            <w:pPr>
              <w:pStyle w:val="24"/>
              <w:rPr>
                <w:rFonts w:hint="eastAsia" w:eastAsia="宋体"/>
                <w:color w:val="auto"/>
                <w:sz w:val="18"/>
                <w:szCs w:val="18"/>
              </w:rPr>
            </w:pPr>
            <w:r>
              <w:rPr>
                <w:rFonts w:hint="eastAsia" w:eastAsia="宋体"/>
                <w:color w:val="auto"/>
                <w:sz w:val="18"/>
                <w:szCs w:val="18"/>
              </w:rPr>
              <w:t>1</w:t>
            </w:r>
          </w:p>
        </w:tc>
        <w:tc>
          <w:tcPr>
            <w:tcW w:w="344" w:type="pct"/>
            <w:vAlign w:val="center"/>
          </w:tcPr>
          <w:p w14:paraId="39C7470E">
            <w:pPr>
              <w:pStyle w:val="24"/>
              <w:rPr>
                <w:rFonts w:hint="eastAsia" w:eastAsia="宋体"/>
                <w:color w:val="auto"/>
                <w:sz w:val="18"/>
                <w:szCs w:val="18"/>
              </w:rPr>
            </w:pPr>
            <w:r>
              <w:rPr>
                <w:rFonts w:hint="eastAsia" w:eastAsia="宋体"/>
                <w:color w:val="auto"/>
                <w:sz w:val="18"/>
                <w:szCs w:val="18"/>
              </w:rPr>
              <w:t>排气筒</w:t>
            </w:r>
          </w:p>
        </w:tc>
        <w:tc>
          <w:tcPr>
            <w:tcW w:w="421" w:type="pct"/>
            <w:vAlign w:val="center"/>
          </w:tcPr>
          <w:p w14:paraId="2CFDBA1B">
            <w:pPr>
              <w:pStyle w:val="24"/>
              <w:rPr>
                <w:rFonts w:hint="eastAsia" w:eastAsia="宋体"/>
                <w:color w:val="auto"/>
                <w:sz w:val="18"/>
                <w:szCs w:val="18"/>
              </w:rPr>
            </w:pPr>
            <w:r>
              <w:rPr>
                <w:rFonts w:hint="eastAsia" w:eastAsia="宋体"/>
                <w:color w:val="auto"/>
                <w:sz w:val="18"/>
                <w:szCs w:val="18"/>
              </w:rPr>
              <w:t>712916</w:t>
            </w:r>
          </w:p>
        </w:tc>
        <w:tc>
          <w:tcPr>
            <w:tcW w:w="457" w:type="pct"/>
            <w:vAlign w:val="center"/>
          </w:tcPr>
          <w:p w14:paraId="1CD9655E">
            <w:pPr>
              <w:pStyle w:val="24"/>
              <w:rPr>
                <w:rFonts w:hint="eastAsia" w:eastAsia="宋体"/>
                <w:color w:val="auto"/>
                <w:sz w:val="18"/>
                <w:szCs w:val="18"/>
              </w:rPr>
            </w:pPr>
            <w:r>
              <w:rPr>
                <w:rFonts w:hint="eastAsia" w:eastAsia="宋体"/>
                <w:color w:val="auto"/>
                <w:sz w:val="18"/>
                <w:szCs w:val="18"/>
              </w:rPr>
              <w:t>3531246</w:t>
            </w:r>
          </w:p>
        </w:tc>
        <w:tc>
          <w:tcPr>
            <w:tcW w:w="491" w:type="pct"/>
            <w:vAlign w:val="center"/>
          </w:tcPr>
          <w:p w14:paraId="5B128C88">
            <w:pPr>
              <w:pStyle w:val="24"/>
              <w:rPr>
                <w:rFonts w:hint="eastAsia" w:eastAsia="宋体"/>
                <w:color w:val="auto"/>
                <w:sz w:val="18"/>
                <w:szCs w:val="18"/>
              </w:rPr>
            </w:pPr>
            <w:r>
              <w:rPr>
                <w:rFonts w:hint="eastAsia" w:eastAsia="宋体"/>
                <w:color w:val="auto"/>
                <w:sz w:val="18"/>
                <w:szCs w:val="18"/>
              </w:rPr>
              <w:t>15</w:t>
            </w:r>
          </w:p>
        </w:tc>
        <w:tc>
          <w:tcPr>
            <w:tcW w:w="475" w:type="pct"/>
            <w:vAlign w:val="center"/>
          </w:tcPr>
          <w:p w14:paraId="71A61EE3">
            <w:pPr>
              <w:pStyle w:val="24"/>
              <w:rPr>
                <w:rFonts w:hint="eastAsia" w:eastAsia="宋体"/>
                <w:color w:val="auto"/>
                <w:sz w:val="18"/>
                <w:szCs w:val="18"/>
                <w:lang w:val="en-US" w:eastAsia="zh-CN"/>
              </w:rPr>
            </w:pPr>
            <w:r>
              <w:rPr>
                <w:rFonts w:hint="eastAsia" w:eastAsia="宋体"/>
                <w:color w:val="auto"/>
                <w:sz w:val="18"/>
                <w:szCs w:val="18"/>
              </w:rPr>
              <w:t>0.</w:t>
            </w:r>
            <w:r>
              <w:rPr>
                <w:rFonts w:hint="eastAsia" w:eastAsia="宋体"/>
                <w:color w:val="auto"/>
                <w:sz w:val="18"/>
                <w:szCs w:val="18"/>
                <w:lang w:val="en-US" w:eastAsia="zh-CN"/>
              </w:rPr>
              <w:t>4</w:t>
            </w:r>
          </w:p>
        </w:tc>
        <w:tc>
          <w:tcPr>
            <w:tcW w:w="458" w:type="pct"/>
            <w:vAlign w:val="center"/>
          </w:tcPr>
          <w:p w14:paraId="0CFBD05F">
            <w:pPr>
              <w:pStyle w:val="24"/>
              <w:rPr>
                <w:rFonts w:hint="default" w:eastAsia="宋体"/>
                <w:color w:val="auto"/>
                <w:sz w:val="18"/>
                <w:szCs w:val="18"/>
                <w:lang w:val="en-US" w:eastAsia="zh-CN"/>
              </w:rPr>
            </w:pPr>
            <w:r>
              <w:rPr>
                <w:rFonts w:hint="eastAsia" w:eastAsia="宋体"/>
                <w:color w:val="auto"/>
                <w:sz w:val="18"/>
                <w:szCs w:val="18"/>
                <w:lang w:val="en-US" w:eastAsia="zh-CN"/>
              </w:rPr>
              <w:t>25</w:t>
            </w:r>
          </w:p>
        </w:tc>
        <w:tc>
          <w:tcPr>
            <w:tcW w:w="560" w:type="pct"/>
            <w:vAlign w:val="center"/>
          </w:tcPr>
          <w:p w14:paraId="33758130">
            <w:pPr>
              <w:pStyle w:val="24"/>
              <w:rPr>
                <w:rFonts w:hint="default" w:eastAsia="宋体"/>
                <w:color w:val="auto"/>
                <w:sz w:val="18"/>
                <w:szCs w:val="18"/>
                <w:lang w:val="en-US" w:eastAsia="zh-CN"/>
              </w:rPr>
            </w:pPr>
            <w:r>
              <w:rPr>
                <w:rFonts w:hint="eastAsia" w:eastAsia="宋体"/>
                <w:color w:val="auto"/>
                <w:sz w:val="18"/>
                <w:szCs w:val="18"/>
                <w:lang w:val="en-US" w:eastAsia="zh-CN"/>
              </w:rPr>
              <w:t>22.1</w:t>
            </w:r>
          </w:p>
        </w:tc>
        <w:tc>
          <w:tcPr>
            <w:tcW w:w="407" w:type="pct"/>
            <w:vAlign w:val="center"/>
          </w:tcPr>
          <w:p w14:paraId="3DE9DC83">
            <w:pPr>
              <w:pStyle w:val="24"/>
              <w:rPr>
                <w:rFonts w:hint="eastAsia" w:eastAsia="宋体"/>
                <w:color w:val="auto"/>
                <w:sz w:val="18"/>
                <w:szCs w:val="18"/>
              </w:rPr>
            </w:pPr>
            <w:r>
              <w:rPr>
                <w:rFonts w:hint="eastAsia" w:eastAsia="宋体"/>
                <w:color w:val="auto"/>
                <w:sz w:val="18"/>
                <w:szCs w:val="18"/>
              </w:rPr>
              <w:t>正常排放</w:t>
            </w:r>
          </w:p>
        </w:tc>
        <w:tc>
          <w:tcPr>
            <w:tcW w:w="508" w:type="pct"/>
            <w:vAlign w:val="center"/>
          </w:tcPr>
          <w:p w14:paraId="4FBD71C5">
            <w:pPr>
              <w:pStyle w:val="24"/>
              <w:rPr>
                <w:rFonts w:hint="eastAsia" w:eastAsia="宋体"/>
                <w:color w:val="auto"/>
                <w:sz w:val="18"/>
                <w:szCs w:val="18"/>
              </w:rPr>
            </w:pPr>
            <w:r>
              <w:rPr>
                <w:rFonts w:hint="eastAsia" w:eastAsia="宋体"/>
                <w:color w:val="auto"/>
                <w:sz w:val="18"/>
                <w:szCs w:val="18"/>
              </w:rPr>
              <w:t>PM</w:t>
            </w:r>
            <w:r>
              <w:rPr>
                <w:rFonts w:hint="eastAsia" w:eastAsia="宋体"/>
                <w:color w:val="auto"/>
                <w:sz w:val="18"/>
                <w:szCs w:val="18"/>
                <w:vertAlign w:val="subscript"/>
              </w:rPr>
              <w:t>2.5</w:t>
            </w:r>
          </w:p>
        </w:tc>
        <w:tc>
          <w:tcPr>
            <w:tcW w:w="579" w:type="pct"/>
            <w:vAlign w:val="center"/>
          </w:tcPr>
          <w:p w14:paraId="31C266C9">
            <w:pPr>
              <w:pStyle w:val="24"/>
              <w:rPr>
                <w:rFonts w:hint="default" w:eastAsia="宋体"/>
                <w:color w:val="auto"/>
                <w:sz w:val="18"/>
                <w:szCs w:val="18"/>
                <w:lang w:val="en-US" w:eastAsia="zh-CN"/>
              </w:rPr>
            </w:pPr>
            <w:r>
              <w:rPr>
                <w:rFonts w:hint="eastAsia" w:eastAsia="宋体"/>
                <w:color w:val="auto"/>
                <w:sz w:val="18"/>
                <w:szCs w:val="18"/>
                <w:lang w:val="en-US" w:eastAsia="zh-CN"/>
              </w:rPr>
              <w:t>0.0042</w:t>
            </w:r>
          </w:p>
        </w:tc>
      </w:tr>
      <w:tr w14:paraId="7607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11"/>
            <w:vAlign w:val="center"/>
          </w:tcPr>
          <w:p w14:paraId="0C7B6CBC">
            <w:pPr>
              <w:pStyle w:val="24"/>
              <w:jc w:val="left"/>
              <w:rPr>
                <w:rFonts w:hint="eastAsia" w:eastAsia="宋体"/>
                <w:color w:val="auto"/>
                <w:sz w:val="18"/>
                <w:szCs w:val="18"/>
              </w:rPr>
            </w:pPr>
            <w:r>
              <w:rPr>
                <w:rFonts w:hint="eastAsia" w:eastAsia="宋体"/>
                <w:color w:val="auto"/>
                <w:sz w:val="18"/>
                <w:szCs w:val="18"/>
              </w:rPr>
              <w:t>注：根据调查，</w:t>
            </w:r>
            <w:r>
              <w:rPr>
                <w:rFonts w:hint="eastAsia" w:eastAsia="宋体"/>
                <w:color w:val="auto"/>
                <w:sz w:val="18"/>
                <w:szCs w:val="18"/>
                <w:lang w:val="en-US" w:eastAsia="zh-CN"/>
              </w:rPr>
              <w:t>通江县大井坝页岩砖有限公司</w:t>
            </w:r>
            <w:r>
              <w:rPr>
                <w:rFonts w:hint="eastAsia" w:eastAsia="宋体"/>
                <w:color w:val="auto"/>
                <w:sz w:val="18"/>
                <w:szCs w:val="18"/>
              </w:rPr>
              <w:t>（已关停）粉尘</w:t>
            </w:r>
            <w:r>
              <w:rPr>
                <w:rFonts w:hint="eastAsia" w:eastAsia="宋体"/>
                <w:color w:val="auto"/>
                <w:sz w:val="18"/>
                <w:szCs w:val="18"/>
                <w:lang w:val="en-US" w:eastAsia="zh-CN"/>
              </w:rPr>
              <w:t>削减量为0.01</w:t>
            </w:r>
            <w:r>
              <w:rPr>
                <w:rFonts w:hint="eastAsia" w:eastAsia="宋体"/>
                <w:color w:val="auto"/>
                <w:sz w:val="18"/>
                <w:szCs w:val="18"/>
              </w:rPr>
              <w:t>t/a</w:t>
            </w:r>
            <w:r>
              <w:rPr>
                <w:rFonts w:hint="eastAsia" w:eastAsia="宋体"/>
                <w:color w:val="auto"/>
                <w:sz w:val="18"/>
                <w:szCs w:val="18"/>
                <w:lang w:eastAsia="zh-CN"/>
              </w:rPr>
              <w:t>，</w:t>
            </w:r>
            <w:r>
              <w:rPr>
                <w:rFonts w:hint="eastAsia" w:eastAsia="宋体"/>
                <w:color w:val="auto"/>
                <w:sz w:val="18"/>
                <w:szCs w:val="18"/>
                <w:lang w:val="en-US" w:eastAsia="zh-CN"/>
              </w:rPr>
              <w:t>均为</w:t>
            </w:r>
            <w:r>
              <w:rPr>
                <w:rFonts w:hint="eastAsia" w:eastAsia="宋体"/>
                <w:color w:val="auto"/>
                <w:sz w:val="18"/>
                <w:szCs w:val="18"/>
              </w:rPr>
              <w:t>有组织排放量，以PM</w:t>
            </w:r>
            <w:r>
              <w:rPr>
                <w:rFonts w:hint="eastAsia" w:eastAsia="宋体"/>
                <w:color w:val="auto"/>
                <w:sz w:val="18"/>
                <w:szCs w:val="18"/>
                <w:vertAlign w:val="subscript"/>
              </w:rPr>
              <w:t>10</w:t>
            </w:r>
            <w:r>
              <w:rPr>
                <w:rFonts w:hint="eastAsia" w:eastAsia="宋体"/>
                <w:color w:val="auto"/>
                <w:sz w:val="18"/>
                <w:szCs w:val="18"/>
              </w:rPr>
              <w:t>计；</w:t>
            </w:r>
            <w:r>
              <w:rPr>
                <w:rFonts w:hint="eastAsia" w:eastAsia="宋体"/>
                <w:color w:val="auto"/>
                <w:sz w:val="18"/>
                <w:szCs w:val="18"/>
                <w:lang w:val="en-US" w:eastAsia="zh-CN"/>
              </w:rPr>
              <w:t>其年工作时间为1200h，则</w:t>
            </w:r>
            <w:r>
              <w:rPr>
                <w:rFonts w:hint="eastAsia" w:eastAsia="宋体"/>
                <w:color w:val="auto"/>
                <w:sz w:val="18"/>
                <w:szCs w:val="18"/>
              </w:rPr>
              <w:t>推算</w:t>
            </w:r>
            <w:r>
              <w:rPr>
                <w:rFonts w:hint="eastAsia" w:eastAsia="宋体"/>
                <w:color w:val="auto"/>
                <w:sz w:val="18"/>
                <w:szCs w:val="18"/>
                <w:lang w:val="en-US" w:eastAsia="zh-CN"/>
              </w:rPr>
              <w:t>出</w:t>
            </w:r>
            <w:r>
              <w:rPr>
                <w:rFonts w:hint="eastAsia" w:eastAsia="宋体"/>
                <w:color w:val="auto"/>
                <w:sz w:val="18"/>
                <w:szCs w:val="18"/>
              </w:rPr>
              <w:t>PM</w:t>
            </w:r>
            <w:r>
              <w:rPr>
                <w:rFonts w:hint="eastAsia" w:eastAsia="宋体"/>
                <w:color w:val="auto"/>
                <w:sz w:val="18"/>
                <w:szCs w:val="18"/>
                <w:vertAlign w:val="subscript"/>
              </w:rPr>
              <w:t>2.5</w:t>
            </w:r>
            <w:r>
              <w:rPr>
                <w:rFonts w:hint="eastAsia" w:eastAsia="宋体"/>
                <w:b w:val="0"/>
                <w:bCs w:val="0"/>
                <w:color w:val="auto"/>
                <w:sz w:val="18"/>
                <w:szCs w:val="18"/>
              </w:rPr>
              <w:t>排放速率</w:t>
            </w:r>
            <w:r>
              <w:rPr>
                <w:rFonts w:hint="eastAsia" w:eastAsia="宋体"/>
                <w:b w:val="0"/>
                <w:bCs w:val="0"/>
                <w:color w:val="auto"/>
                <w:sz w:val="18"/>
                <w:szCs w:val="18"/>
                <w:lang w:val="en-US" w:eastAsia="zh-CN"/>
              </w:rPr>
              <w:t>为0.0042</w:t>
            </w:r>
            <w:r>
              <w:rPr>
                <w:rFonts w:hint="eastAsia" w:eastAsia="宋体"/>
                <w:b w:val="0"/>
                <w:bCs w:val="0"/>
                <w:color w:val="auto"/>
                <w:sz w:val="18"/>
                <w:szCs w:val="18"/>
              </w:rPr>
              <w:t>kg</w:t>
            </w:r>
            <w:r>
              <w:rPr>
                <w:rFonts w:hint="eastAsia" w:eastAsia="宋体"/>
                <w:color w:val="auto"/>
                <w:sz w:val="18"/>
                <w:szCs w:val="18"/>
              </w:rPr>
              <w:t>/h。</w:t>
            </w:r>
          </w:p>
        </w:tc>
      </w:tr>
    </w:tbl>
    <w:p w14:paraId="20C6B460">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9、项目正常工况下环境影响预测结果</w:t>
      </w:r>
    </w:p>
    <w:p w14:paraId="16A85728">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default" w:ascii="Times New Roman" w:hAnsi="Times New Roman" w:eastAsia="宋体" w:cs="Times New Roman"/>
          <w:b/>
          <w:color w:val="auto"/>
        </w:rPr>
      </w:pPr>
      <w:r>
        <w:rPr>
          <w:rFonts w:hint="default" w:ascii="Times New Roman" w:hAnsi="Times New Roman" w:eastAsia="宋体" w:cs="Times New Roman"/>
          <w:b/>
          <w:color w:val="auto"/>
        </w:rPr>
        <w:t>（1</w:t>
      </w:r>
      <w:r>
        <w:rPr>
          <w:rFonts w:hint="eastAsia" w:ascii="Times New Roman" w:hAnsi="Times New Roman" w:eastAsia="宋体" w:cs="Times New Roman"/>
          <w:b/>
          <w:color w:val="auto"/>
        </w:rPr>
        <w:t>）本项目贡献质量浓度预测结果</w:t>
      </w:r>
    </w:p>
    <w:p w14:paraId="16E6F254">
      <w:pPr>
        <w:spacing w:line="360" w:lineRule="auto"/>
        <w:ind w:left="0" w:leftChars="0" w:firstLine="480" w:firstLineChars="200"/>
        <w:rPr>
          <w:rFonts w:hint="eastAsia" w:eastAsia="宋体"/>
          <w:color w:val="auto"/>
          <w:sz w:val="24"/>
          <w:szCs w:val="24"/>
          <w:highlight w:val="none"/>
          <w:lang w:eastAsia="zh-CN"/>
        </w:rPr>
      </w:pPr>
      <w:r>
        <w:rPr>
          <w:rFonts w:hint="eastAsia"/>
          <w:color w:val="auto"/>
          <w:sz w:val="24"/>
          <w:szCs w:val="24"/>
          <w:highlight w:val="none"/>
          <w:lang w:val="en-US" w:eastAsia="zh-CN"/>
        </w:rPr>
        <w:t>本项目短期浓度（1小时平均、日平均）及长期浓度（年平均）贡献质量浓度预测结果见下表</w:t>
      </w:r>
      <w:r>
        <w:rPr>
          <w:rFonts w:hint="eastAsia"/>
          <w:color w:val="auto"/>
          <w:sz w:val="24"/>
          <w:szCs w:val="24"/>
          <w:highlight w:val="none"/>
          <w:lang w:eastAsia="zh-CN"/>
        </w:rPr>
        <w:t>。</w:t>
      </w:r>
    </w:p>
    <w:p w14:paraId="17498CC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10</w:t>
      </w:r>
      <w:r>
        <w:rPr>
          <w:rFonts w:hint="eastAsia" w:ascii="Times New Roman" w:hAnsi="Times New Roman" w:eastAsia="黑体" w:cs="Times New Roman"/>
          <w:color w:val="auto"/>
          <w:sz w:val="21"/>
          <w:szCs w:val="21"/>
          <w:highlight w:val="none"/>
          <w:lang w:val="en-US" w:eastAsia="zh-CN"/>
        </w:rPr>
        <w:t>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6394DB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6146EC91">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232FC8D8">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01EE7D53">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17130781">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065F1629">
            <w:pPr>
              <w:pStyle w:val="24"/>
              <w:rPr>
                <w:rFonts w:hint="eastAsia" w:eastAsia="宋体"/>
                <w:b/>
                <w:bCs/>
                <w:color w:val="auto"/>
                <w:sz w:val="21"/>
                <w:szCs w:val="21"/>
              </w:rPr>
            </w:pPr>
            <w:r>
              <w:rPr>
                <w:rFonts w:hint="eastAsia" w:eastAsia="宋体"/>
                <w:b/>
                <w:bCs/>
                <w:color w:val="auto"/>
                <w:sz w:val="21"/>
                <w:szCs w:val="21"/>
              </w:rPr>
              <w:t>出现时间</w:t>
            </w:r>
          </w:p>
          <w:p w14:paraId="46070B04">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68FEC8ED">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118A251F">
            <w:pPr>
              <w:pStyle w:val="24"/>
              <w:rPr>
                <w:rFonts w:eastAsia="宋体"/>
                <w:b/>
                <w:bCs/>
                <w:color w:val="auto"/>
                <w:sz w:val="21"/>
                <w:szCs w:val="21"/>
              </w:rPr>
            </w:pPr>
            <w:r>
              <w:rPr>
                <w:rFonts w:hint="eastAsia" w:eastAsia="宋体"/>
                <w:b/>
                <w:bCs/>
                <w:color w:val="auto"/>
                <w:sz w:val="21"/>
                <w:szCs w:val="21"/>
              </w:rPr>
              <w:t>达标情况</w:t>
            </w:r>
          </w:p>
        </w:tc>
      </w:tr>
      <w:tr w14:paraId="0A951F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62B5E30D">
            <w:pPr>
              <w:pStyle w:val="24"/>
              <w:rPr>
                <w:rFonts w:eastAsia="宋体"/>
                <w:color w:val="auto"/>
                <w:sz w:val="21"/>
                <w:szCs w:val="21"/>
              </w:rPr>
            </w:pPr>
            <w:r>
              <w:rPr>
                <w:rFonts w:hint="eastAsia" w:eastAsia="宋体"/>
                <w:color w:val="auto"/>
              </w:rPr>
              <w:t>PM</w:t>
            </w:r>
            <w:r>
              <w:rPr>
                <w:rFonts w:hint="eastAsia"/>
                <w:color w:val="auto"/>
                <w:vertAlign w:val="subscript"/>
                <w:lang w:val="en-US" w:eastAsia="zh-CN"/>
              </w:rPr>
              <w:t>10</w:t>
            </w:r>
          </w:p>
        </w:tc>
        <w:tc>
          <w:tcPr>
            <w:tcW w:w="762" w:type="pct"/>
            <w:vMerge w:val="restart"/>
            <w:shd w:val="clear" w:color="auto" w:fill="auto"/>
            <w:vAlign w:val="center"/>
          </w:tcPr>
          <w:p w14:paraId="7D4343E8">
            <w:pPr>
              <w:pStyle w:val="24"/>
              <w:rPr>
                <w:rFonts w:hint="default"/>
                <w:color w:val="auto"/>
                <w:sz w:val="21"/>
                <w:szCs w:val="21"/>
                <w:lang w:val="en-US" w:eastAsia="zh-CN"/>
              </w:rPr>
            </w:pPr>
            <w:r>
              <w:rPr>
                <w:rFonts w:hint="eastAsia"/>
                <w:color w:val="auto"/>
                <w:sz w:val="21"/>
                <w:szCs w:val="21"/>
                <w:lang w:val="en-US" w:eastAsia="zh-CN"/>
              </w:rPr>
              <w:t>东北侧散户</w:t>
            </w:r>
          </w:p>
        </w:tc>
        <w:tc>
          <w:tcPr>
            <w:tcW w:w="763" w:type="pct"/>
            <w:shd w:val="clear" w:color="auto" w:fill="auto"/>
            <w:vAlign w:val="center"/>
          </w:tcPr>
          <w:p w14:paraId="35F3F095">
            <w:pPr>
              <w:pStyle w:val="24"/>
              <w:ind w:left="0" w:leftChars="0"/>
              <w:rPr>
                <w:rFonts w:hint="eastAsia" w:ascii="Times New Roman" w:hAnsi="Times New Roman" w:eastAsia="宋体" w:cs="Courier New"/>
                <w:color w:val="auto"/>
                <w:kern w:val="2"/>
                <w:sz w:val="21"/>
                <w:szCs w:val="21"/>
                <w:lang w:val="en-US" w:eastAsia="zh-CN" w:bidi="ar-SA"/>
              </w:rPr>
            </w:pPr>
            <w:r>
              <w:rPr>
                <w:rFonts w:hint="eastAsia" w:eastAsia="宋体"/>
                <w:color w:val="auto"/>
                <w:sz w:val="21"/>
                <w:szCs w:val="21"/>
              </w:rPr>
              <w:t>日平均</w:t>
            </w:r>
          </w:p>
        </w:tc>
        <w:tc>
          <w:tcPr>
            <w:tcW w:w="770" w:type="pct"/>
            <w:shd w:val="clear" w:color="auto" w:fill="auto"/>
            <w:vAlign w:val="center"/>
          </w:tcPr>
          <w:p w14:paraId="31D62DD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3.37E-05</w:t>
            </w:r>
          </w:p>
        </w:tc>
        <w:tc>
          <w:tcPr>
            <w:tcW w:w="841" w:type="pct"/>
            <w:shd w:val="clear" w:color="auto" w:fill="auto"/>
            <w:vAlign w:val="center"/>
          </w:tcPr>
          <w:p w14:paraId="04C33C4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250111</w:t>
            </w:r>
          </w:p>
        </w:tc>
        <w:tc>
          <w:tcPr>
            <w:tcW w:w="715" w:type="pct"/>
            <w:shd w:val="clear" w:color="auto" w:fill="auto"/>
            <w:vAlign w:val="center"/>
          </w:tcPr>
          <w:p w14:paraId="4E997FE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0.03</w:t>
            </w:r>
          </w:p>
        </w:tc>
        <w:tc>
          <w:tcPr>
            <w:tcW w:w="618" w:type="pct"/>
            <w:shd w:val="clear" w:color="auto" w:fill="auto"/>
            <w:vAlign w:val="center"/>
          </w:tcPr>
          <w:p w14:paraId="39322AD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60387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2219873E">
            <w:pPr>
              <w:pStyle w:val="24"/>
              <w:rPr>
                <w:rFonts w:hint="eastAsia" w:eastAsia="宋体"/>
                <w:color w:val="auto"/>
              </w:rPr>
            </w:pPr>
          </w:p>
        </w:tc>
        <w:tc>
          <w:tcPr>
            <w:tcW w:w="762" w:type="pct"/>
            <w:vMerge w:val="continue"/>
            <w:shd w:val="clear" w:color="auto" w:fill="auto"/>
            <w:vAlign w:val="center"/>
          </w:tcPr>
          <w:p w14:paraId="2531E3F9">
            <w:pPr>
              <w:pStyle w:val="24"/>
              <w:rPr>
                <w:rFonts w:hint="eastAsia"/>
                <w:color w:val="auto"/>
                <w:sz w:val="21"/>
                <w:szCs w:val="21"/>
                <w:lang w:val="en-US" w:eastAsia="zh-CN"/>
              </w:rPr>
            </w:pPr>
          </w:p>
        </w:tc>
        <w:tc>
          <w:tcPr>
            <w:tcW w:w="763" w:type="pct"/>
            <w:shd w:val="clear" w:color="auto" w:fill="auto"/>
            <w:vAlign w:val="center"/>
          </w:tcPr>
          <w:p w14:paraId="28D56150">
            <w:pPr>
              <w:pStyle w:val="24"/>
              <w:ind w:left="0" w:leftChars="0"/>
              <w:rPr>
                <w:rFonts w:hint="eastAsia" w:ascii="Times New Roman" w:hAnsi="Times New Roman" w:eastAsia="宋体" w:cs="Courier New"/>
                <w:color w:val="auto"/>
                <w:kern w:val="2"/>
                <w:sz w:val="21"/>
                <w:szCs w:val="21"/>
                <w:lang w:val="en-US" w:eastAsia="zh-CN" w:bidi="ar-SA"/>
              </w:rPr>
            </w:pPr>
            <w:r>
              <w:rPr>
                <w:rFonts w:hint="eastAsia" w:eastAsia="宋体"/>
                <w:color w:val="auto"/>
                <w:sz w:val="21"/>
                <w:szCs w:val="21"/>
              </w:rPr>
              <w:t>年平均</w:t>
            </w:r>
          </w:p>
        </w:tc>
        <w:tc>
          <w:tcPr>
            <w:tcW w:w="770" w:type="pct"/>
            <w:shd w:val="clear" w:color="auto" w:fill="auto"/>
            <w:vAlign w:val="center"/>
          </w:tcPr>
          <w:p w14:paraId="51A8A12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6.17E-06</w:t>
            </w:r>
          </w:p>
        </w:tc>
        <w:tc>
          <w:tcPr>
            <w:tcW w:w="841" w:type="pct"/>
            <w:shd w:val="clear" w:color="auto" w:fill="auto"/>
            <w:vAlign w:val="center"/>
          </w:tcPr>
          <w:p w14:paraId="4A746CE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2CD4690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162D882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191FB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1C8DCD3C">
            <w:pPr>
              <w:pStyle w:val="24"/>
              <w:rPr>
                <w:rFonts w:eastAsia="宋体"/>
                <w:color w:val="auto"/>
                <w:sz w:val="21"/>
                <w:szCs w:val="21"/>
              </w:rPr>
            </w:pPr>
          </w:p>
        </w:tc>
        <w:tc>
          <w:tcPr>
            <w:tcW w:w="762" w:type="pct"/>
            <w:vMerge w:val="restart"/>
            <w:shd w:val="clear" w:color="auto" w:fill="auto"/>
            <w:vAlign w:val="center"/>
          </w:tcPr>
          <w:p w14:paraId="3E54AEC6">
            <w:pPr>
              <w:pStyle w:val="24"/>
              <w:rPr>
                <w:rFonts w:hint="default" w:eastAsia="宋体"/>
                <w:color w:val="auto"/>
                <w:sz w:val="21"/>
                <w:szCs w:val="21"/>
                <w:lang w:val="en-US" w:eastAsia="zh-CN"/>
              </w:rPr>
            </w:pPr>
            <w:r>
              <w:rPr>
                <w:rFonts w:hint="eastAsia"/>
                <w:color w:val="auto"/>
                <w:sz w:val="21"/>
                <w:szCs w:val="21"/>
                <w:lang w:val="en-US" w:eastAsia="zh-CN"/>
              </w:rPr>
              <w:t>金堂村</w:t>
            </w:r>
          </w:p>
        </w:tc>
        <w:tc>
          <w:tcPr>
            <w:tcW w:w="763" w:type="pct"/>
            <w:shd w:val="clear" w:color="auto" w:fill="auto"/>
            <w:vAlign w:val="center"/>
          </w:tcPr>
          <w:p w14:paraId="298D573E">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394A454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1.21E-05</w:t>
            </w:r>
          </w:p>
        </w:tc>
        <w:tc>
          <w:tcPr>
            <w:tcW w:w="841" w:type="pct"/>
            <w:shd w:val="clear" w:color="auto" w:fill="auto"/>
            <w:vAlign w:val="center"/>
          </w:tcPr>
          <w:p w14:paraId="0EE3446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250416</w:t>
            </w:r>
          </w:p>
        </w:tc>
        <w:tc>
          <w:tcPr>
            <w:tcW w:w="715" w:type="pct"/>
            <w:shd w:val="clear" w:color="auto" w:fill="auto"/>
            <w:vAlign w:val="center"/>
          </w:tcPr>
          <w:p w14:paraId="14B67D4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603FDB5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86F0E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F408146">
            <w:pPr>
              <w:pStyle w:val="24"/>
              <w:rPr>
                <w:rFonts w:eastAsia="宋体"/>
                <w:color w:val="auto"/>
                <w:sz w:val="21"/>
                <w:szCs w:val="21"/>
              </w:rPr>
            </w:pPr>
          </w:p>
        </w:tc>
        <w:tc>
          <w:tcPr>
            <w:tcW w:w="762" w:type="pct"/>
            <w:vMerge w:val="continue"/>
            <w:vAlign w:val="center"/>
          </w:tcPr>
          <w:p w14:paraId="42C05562">
            <w:pPr>
              <w:pStyle w:val="24"/>
              <w:rPr>
                <w:rFonts w:eastAsia="宋体"/>
                <w:color w:val="auto"/>
                <w:sz w:val="21"/>
                <w:szCs w:val="21"/>
              </w:rPr>
            </w:pPr>
          </w:p>
        </w:tc>
        <w:tc>
          <w:tcPr>
            <w:tcW w:w="763" w:type="pct"/>
            <w:shd w:val="clear" w:color="auto" w:fill="auto"/>
            <w:vAlign w:val="center"/>
          </w:tcPr>
          <w:p w14:paraId="7FEEEB90">
            <w:pPr>
              <w:pStyle w:val="24"/>
              <w:ind w:left="0" w:leftChars="0"/>
              <w:rPr>
                <w:rFonts w:eastAsia="宋体"/>
                <w:color w:val="auto"/>
                <w:sz w:val="21"/>
                <w:szCs w:val="21"/>
              </w:rPr>
            </w:pPr>
            <w:r>
              <w:rPr>
                <w:rFonts w:hint="eastAsia" w:eastAsia="宋体"/>
                <w:color w:val="auto"/>
                <w:sz w:val="21"/>
                <w:szCs w:val="21"/>
              </w:rPr>
              <w:t>年平均</w:t>
            </w:r>
          </w:p>
        </w:tc>
        <w:tc>
          <w:tcPr>
            <w:tcW w:w="770" w:type="pct"/>
            <w:shd w:val="clear" w:color="auto" w:fill="auto"/>
            <w:vAlign w:val="center"/>
          </w:tcPr>
          <w:p w14:paraId="3E5267D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2.70E-06</w:t>
            </w:r>
          </w:p>
        </w:tc>
        <w:tc>
          <w:tcPr>
            <w:tcW w:w="841" w:type="pct"/>
            <w:shd w:val="clear" w:color="auto" w:fill="auto"/>
            <w:vAlign w:val="center"/>
          </w:tcPr>
          <w:p w14:paraId="6A18872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4ED6FEE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0DBCC80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24245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CDEA9D7">
            <w:pPr>
              <w:pStyle w:val="24"/>
              <w:rPr>
                <w:rFonts w:eastAsia="宋体"/>
                <w:color w:val="auto"/>
                <w:sz w:val="21"/>
                <w:szCs w:val="21"/>
              </w:rPr>
            </w:pPr>
          </w:p>
        </w:tc>
        <w:tc>
          <w:tcPr>
            <w:tcW w:w="762" w:type="pct"/>
            <w:vMerge w:val="restart"/>
            <w:shd w:val="clear" w:color="auto" w:fill="auto"/>
            <w:vAlign w:val="center"/>
          </w:tcPr>
          <w:p w14:paraId="4B3746FD">
            <w:pPr>
              <w:pStyle w:val="24"/>
              <w:rPr>
                <w:rFonts w:hint="default" w:eastAsia="宋体"/>
                <w:color w:val="auto"/>
                <w:sz w:val="21"/>
                <w:szCs w:val="21"/>
                <w:lang w:val="en-US" w:eastAsia="zh-CN"/>
              </w:rPr>
            </w:pPr>
            <w:r>
              <w:rPr>
                <w:rFonts w:hint="eastAsia"/>
                <w:color w:val="auto"/>
                <w:sz w:val="21"/>
                <w:szCs w:val="21"/>
                <w:lang w:val="en-US" w:eastAsia="zh-CN"/>
              </w:rPr>
              <w:t>亮垭村</w:t>
            </w:r>
          </w:p>
        </w:tc>
        <w:tc>
          <w:tcPr>
            <w:tcW w:w="763" w:type="pct"/>
            <w:shd w:val="clear" w:color="auto" w:fill="auto"/>
            <w:vAlign w:val="center"/>
          </w:tcPr>
          <w:p w14:paraId="7A153827">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76119E4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1.23E-06</w:t>
            </w:r>
          </w:p>
        </w:tc>
        <w:tc>
          <w:tcPr>
            <w:tcW w:w="841" w:type="pct"/>
            <w:shd w:val="clear" w:color="auto" w:fill="auto"/>
            <w:vAlign w:val="center"/>
          </w:tcPr>
          <w:p w14:paraId="541F457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250222</w:t>
            </w:r>
          </w:p>
        </w:tc>
        <w:tc>
          <w:tcPr>
            <w:tcW w:w="715" w:type="pct"/>
            <w:shd w:val="clear" w:color="auto" w:fill="auto"/>
            <w:vAlign w:val="center"/>
          </w:tcPr>
          <w:p w14:paraId="523A0EB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5F68269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7235F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ADEE412">
            <w:pPr>
              <w:pStyle w:val="24"/>
              <w:rPr>
                <w:rFonts w:eastAsia="宋体"/>
                <w:color w:val="auto"/>
                <w:sz w:val="21"/>
                <w:szCs w:val="21"/>
              </w:rPr>
            </w:pPr>
          </w:p>
        </w:tc>
        <w:tc>
          <w:tcPr>
            <w:tcW w:w="762" w:type="pct"/>
            <w:vMerge w:val="continue"/>
            <w:vAlign w:val="center"/>
          </w:tcPr>
          <w:p w14:paraId="2F581370">
            <w:pPr>
              <w:pStyle w:val="24"/>
              <w:rPr>
                <w:rFonts w:eastAsia="宋体"/>
                <w:color w:val="auto"/>
                <w:sz w:val="21"/>
                <w:szCs w:val="21"/>
              </w:rPr>
            </w:pPr>
          </w:p>
        </w:tc>
        <w:tc>
          <w:tcPr>
            <w:tcW w:w="763" w:type="pct"/>
            <w:shd w:val="clear" w:color="auto" w:fill="auto"/>
            <w:vAlign w:val="center"/>
          </w:tcPr>
          <w:p w14:paraId="43826BF3">
            <w:pPr>
              <w:pStyle w:val="24"/>
              <w:rPr>
                <w:rFonts w:eastAsia="宋体"/>
                <w:color w:val="auto"/>
                <w:sz w:val="21"/>
                <w:szCs w:val="21"/>
              </w:rPr>
            </w:pPr>
            <w:r>
              <w:rPr>
                <w:rFonts w:hint="eastAsia" w:eastAsia="宋体"/>
                <w:color w:val="auto"/>
                <w:sz w:val="21"/>
                <w:szCs w:val="21"/>
              </w:rPr>
              <w:t>年平均</w:t>
            </w:r>
          </w:p>
        </w:tc>
        <w:tc>
          <w:tcPr>
            <w:tcW w:w="770" w:type="pct"/>
            <w:shd w:val="clear" w:color="auto" w:fill="auto"/>
            <w:vAlign w:val="center"/>
          </w:tcPr>
          <w:p w14:paraId="1003BCB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7.00E-08</w:t>
            </w:r>
          </w:p>
        </w:tc>
        <w:tc>
          <w:tcPr>
            <w:tcW w:w="841" w:type="pct"/>
            <w:shd w:val="clear" w:color="auto" w:fill="auto"/>
            <w:vAlign w:val="center"/>
          </w:tcPr>
          <w:p w14:paraId="5B3F7ED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14E2D3D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32CA101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CF8A8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59535FC">
            <w:pPr>
              <w:pStyle w:val="24"/>
              <w:rPr>
                <w:rFonts w:eastAsia="宋体"/>
                <w:color w:val="auto"/>
                <w:sz w:val="21"/>
                <w:szCs w:val="21"/>
              </w:rPr>
            </w:pPr>
          </w:p>
        </w:tc>
        <w:tc>
          <w:tcPr>
            <w:tcW w:w="762" w:type="pct"/>
            <w:vMerge w:val="restart"/>
            <w:shd w:val="clear" w:color="auto" w:fill="auto"/>
            <w:vAlign w:val="center"/>
          </w:tcPr>
          <w:p w14:paraId="2CA91BA1">
            <w:pPr>
              <w:pStyle w:val="24"/>
              <w:rPr>
                <w:rFonts w:hint="default" w:eastAsia="宋体"/>
                <w:color w:val="auto"/>
                <w:sz w:val="21"/>
                <w:szCs w:val="21"/>
                <w:lang w:val="en-US" w:eastAsia="zh-CN"/>
              </w:rPr>
            </w:pPr>
            <w:r>
              <w:rPr>
                <w:rFonts w:hint="eastAsia"/>
                <w:color w:val="auto"/>
                <w:sz w:val="21"/>
                <w:szCs w:val="21"/>
                <w:lang w:val="en-US" w:eastAsia="zh-CN"/>
              </w:rPr>
              <w:t>秋锦山村</w:t>
            </w:r>
          </w:p>
        </w:tc>
        <w:tc>
          <w:tcPr>
            <w:tcW w:w="763" w:type="pct"/>
            <w:shd w:val="clear" w:color="auto" w:fill="auto"/>
            <w:vAlign w:val="center"/>
          </w:tcPr>
          <w:p w14:paraId="6C220071">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328625C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1.01E-06</w:t>
            </w:r>
          </w:p>
        </w:tc>
        <w:tc>
          <w:tcPr>
            <w:tcW w:w="841" w:type="pct"/>
            <w:shd w:val="clear" w:color="auto" w:fill="auto"/>
            <w:vAlign w:val="center"/>
          </w:tcPr>
          <w:p w14:paraId="61E70DF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250531</w:t>
            </w:r>
          </w:p>
        </w:tc>
        <w:tc>
          <w:tcPr>
            <w:tcW w:w="715" w:type="pct"/>
            <w:shd w:val="clear" w:color="auto" w:fill="auto"/>
            <w:vAlign w:val="center"/>
          </w:tcPr>
          <w:p w14:paraId="54036C5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06214BD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EC57A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64ABE1F">
            <w:pPr>
              <w:pStyle w:val="24"/>
              <w:rPr>
                <w:rFonts w:eastAsia="宋体"/>
                <w:color w:val="auto"/>
                <w:sz w:val="21"/>
                <w:szCs w:val="21"/>
              </w:rPr>
            </w:pPr>
          </w:p>
        </w:tc>
        <w:tc>
          <w:tcPr>
            <w:tcW w:w="762" w:type="pct"/>
            <w:vMerge w:val="continue"/>
            <w:vAlign w:val="center"/>
          </w:tcPr>
          <w:p w14:paraId="7F69D81F">
            <w:pPr>
              <w:pStyle w:val="24"/>
              <w:rPr>
                <w:rFonts w:eastAsia="宋体"/>
                <w:color w:val="auto"/>
                <w:sz w:val="21"/>
                <w:szCs w:val="21"/>
              </w:rPr>
            </w:pPr>
          </w:p>
        </w:tc>
        <w:tc>
          <w:tcPr>
            <w:tcW w:w="763" w:type="pct"/>
            <w:shd w:val="clear" w:color="auto" w:fill="auto"/>
            <w:vAlign w:val="center"/>
          </w:tcPr>
          <w:p w14:paraId="4381F15C">
            <w:pPr>
              <w:pStyle w:val="24"/>
              <w:rPr>
                <w:rFonts w:eastAsia="宋体"/>
                <w:color w:val="auto"/>
                <w:sz w:val="21"/>
                <w:szCs w:val="21"/>
              </w:rPr>
            </w:pPr>
            <w:r>
              <w:rPr>
                <w:rFonts w:hint="eastAsia" w:eastAsia="宋体"/>
                <w:color w:val="auto"/>
                <w:sz w:val="21"/>
                <w:szCs w:val="21"/>
              </w:rPr>
              <w:t>年平均</w:t>
            </w:r>
          </w:p>
        </w:tc>
        <w:tc>
          <w:tcPr>
            <w:tcW w:w="770" w:type="pct"/>
            <w:shd w:val="clear" w:color="auto" w:fill="auto"/>
            <w:vAlign w:val="center"/>
          </w:tcPr>
          <w:p w14:paraId="7C76765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5.00E-08</w:t>
            </w:r>
          </w:p>
        </w:tc>
        <w:tc>
          <w:tcPr>
            <w:tcW w:w="841" w:type="pct"/>
            <w:shd w:val="clear" w:color="auto" w:fill="auto"/>
            <w:vAlign w:val="center"/>
          </w:tcPr>
          <w:p w14:paraId="714AA12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639111F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6A76217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56685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23ECBBD">
            <w:pPr>
              <w:pStyle w:val="24"/>
              <w:rPr>
                <w:rFonts w:eastAsia="宋体"/>
                <w:color w:val="auto"/>
                <w:sz w:val="21"/>
                <w:szCs w:val="21"/>
              </w:rPr>
            </w:pPr>
          </w:p>
        </w:tc>
        <w:tc>
          <w:tcPr>
            <w:tcW w:w="762" w:type="pct"/>
            <w:vMerge w:val="restart"/>
            <w:shd w:val="clear" w:color="auto" w:fill="auto"/>
            <w:vAlign w:val="center"/>
          </w:tcPr>
          <w:p w14:paraId="43BA456B">
            <w:pPr>
              <w:pStyle w:val="24"/>
              <w:rPr>
                <w:rFonts w:hint="default" w:eastAsia="宋体"/>
                <w:color w:val="auto"/>
                <w:sz w:val="21"/>
                <w:szCs w:val="21"/>
                <w:lang w:val="en-US" w:eastAsia="zh-CN"/>
              </w:rPr>
            </w:pPr>
            <w:r>
              <w:rPr>
                <w:rFonts w:hint="eastAsia"/>
                <w:color w:val="auto"/>
                <w:sz w:val="21"/>
                <w:szCs w:val="21"/>
                <w:lang w:val="en-US" w:eastAsia="zh-CN"/>
              </w:rPr>
              <w:t>春在镇</w:t>
            </w:r>
          </w:p>
        </w:tc>
        <w:tc>
          <w:tcPr>
            <w:tcW w:w="763" w:type="pct"/>
            <w:shd w:val="clear" w:color="auto" w:fill="auto"/>
            <w:vAlign w:val="center"/>
          </w:tcPr>
          <w:p w14:paraId="25192210">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038377F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2.68E-06</w:t>
            </w:r>
          </w:p>
        </w:tc>
        <w:tc>
          <w:tcPr>
            <w:tcW w:w="841" w:type="pct"/>
            <w:shd w:val="clear" w:color="auto" w:fill="auto"/>
            <w:vAlign w:val="center"/>
          </w:tcPr>
          <w:p w14:paraId="12B8B28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250621</w:t>
            </w:r>
          </w:p>
        </w:tc>
        <w:tc>
          <w:tcPr>
            <w:tcW w:w="715" w:type="pct"/>
            <w:shd w:val="clear" w:color="auto" w:fill="auto"/>
            <w:vAlign w:val="center"/>
          </w:tcPr>
          <w:p w14:paraId="3B030CA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197B7B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B174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88D4249">
            <w:pPr>
              <w:pStyle w:val="24"/>
              <w:rPr>
                <w:rFonts w:eastAsia="宋体"/>
                <w:color w:val="auto"/>
                <w:sz w:val="21"/>
                <w:szCs w:val="21"/>
              </w:rPr>
            </w:pPr>
          </w:p>
        </w:tc>
        <w:tc>
          <w:tcPr>
            <w:tcW w:w="762" w:type="pct"/>
            <w:vMerge w:val="continue"/>
            <w:vAlign w:val="center"/>
          </w:tcPr>
          <w:p w14:paraId="5BF96F7C">
            <w:pPr>
              <w:pStyle w:val="24"/>
              <w:rPr>
                <w:rFonts w:eastAsia="宋体"/>
                <w:color w:val="auto"/>
                <w:sz w:val="21"/>
                <w:szCs w:val="21"/>
              </w:rPr>
            </w:pPr>
          </w:p>
        </w:tc>
        <w:tc>
          <w:tcPr>
            <w:tcW w:w="763" w:type="pct"/>
            <w:shd w:val="clear" w:color="auto" w:fill="auto"/>
            <w:vAlign w:val="center"/>
          </w:tcPr>
          <w:p w14:paraId="5C5CD9D4">
            <w:pPr>
              <w:pStyle w:val="24"/>
              <w:ind w:left="0" w:leftChars="0"/>
              <w:rPr>
                <w:rFonts w:eastAsia="宋体"/>
                <w:color w:val="auto"/>
                <w:sz w:val="21"/>
                <w:szCs w:val="21"/>
              </w:rPr>
            </w:pPr>
            <w:r>
              <w:rPr>
                <w:rFonts w:hint="eastAsia" w:eastAsia="宋体"/>
                <w:color w:val="auto"/>
                <w:sz w:val="21"/>
                <w:szCs w:val="21"/>
              </w:rPr>
              <w:t>年平均</w:t>
            </w:r>
          </w:p>
        </w:tc>
        <w:tc>
          <w:tcPr>
            <w:tcW w:w="770" w:type="pct"/>
            <w:shd w:val="clear" w:color="auto" w:fill="auto"/>
            <w:vAlign w:val="center"/>
          </w:tcPr>
          <w:p w14:paraId="7C6AFC4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1.00E-07</w:t>
            </w:r>
          </w:p>
        </w:tc>
        <w:tc>
          <w:tcPr>
            <w:tcW w:w="841" w:type="pct"/>
            <w:shd w:val="clear" w:color="auto" w:fill="auto"/>
            <w:vAlign w:val="center"/>
          </w:tcPr>
          <w:p w14:paraId="0CA82A3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382B8EC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5157E2D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17406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CD2EAA0">
            <w:pPr>
              <w:pStyle w:val="24"/>
              <w:rPr>
                <w:rFonts w:eastAsia="宋体"/>
                <w:color w:val="auto"/>
                <w:sz w:val="21"/>
                <w:szCs w:val="21"/>
              </w:rPr>
            </w:pPr>
          </w:p>
        </w:tc>
        <w:tc>
          <w:tcPr>
            <w:tcW w:w="762" w:type="pct"/>
            <w:vMerge w:val="restart"/>
            <w:shd w:val="clear" w:color="auto" w:fill="auto"/>
            <w:vAlign w:val="center"/>
          </w:tcPr>
          <w:p w14:paraId="0FB5745A">
            <w:pPr>
              <w:pStyle w:val="24"/>
              <w:rPr>
                <w:rFonts w:hint="default" w:eastAsia="宋体"/>
                <w:color w:val="auto"/>
                <w:sz w:val="21"/>
                <w:szCs w:val="21"/>
                <w:lang w:val="en-US" w:eastAsia="zh-CN"/>
              </w:rPr>
            </w:pPr>
            <w:r>
              <w:rPr>
                <w:rFonts w:hint="eastAsia"/>
                <w:color w:val="auto"/>
                <w:sz w:val="21"/>
                <w:szCs w:val="21"/>
                <w:lang w:val="en-US" w:eastAsia="zh-CN"/>
              </w:rPr>
              <w:t>通江县城</w:t>
            </w:r>
          </w:p>
        </w:tc>
        <w:tc>
          <w:tcPr>
            <w:tcW w:w="763" w:type="pct"/>
            <w:shd w:val="clear" w:color="auto" w:fill="auto"/>
            <w:vAlign w:val="center"/>
          </w:tcPr>
          <w:p w14:paraId="0B4E2826">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2CA3212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1.03E-05</w:t>
            </w:r>
          </w:p>
        </w:tc>
        <w:tc>
          <w:tcPr>
            <w:tcW w:w="841" w:type="pct"/>
            <w:shd w:val="clear" w:color="auto" w:fill="auto"/>
            <w:vAlign w:val="center"/>
          </w:tcPr>
          <w:p w14:paraId="008BBA6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w:t>
            </w:r>
          </w:p>
        </w:tc>
        <w:tc>
          <w:tcPr>
            <w:tcW w:w="715" w:type="pct"/>
            <w:shd w:val="clear" w:color="auto" w:fill="auto"/>
            <w:vAlign w:val="center"/>
          </w:tcPr>
          <w:p w14:paraId="5FE28A3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790DF75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3D902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50C9CF2">
            <w:pPr>
              <w:pStyle w:val="24"/>
              <w:rPr>
                <w:rFonts w:eastAsia="宋体"/>
                <w:color w:val="auto"/>
                <w:sz w:val="21"/>
                <w:szCs w:val="21"/>
              </w:rPr>
            </w:pPr>
          </w:p>
        </w:tc>
        <w:tc>
          <w:tcPr>
            <w:tcW w:w="762" w:type="pct"/>
            <w:vMerge w:val="continue"/>
            <w:vAlign w:val="center"/>
          </w:tcPr>
          <w:p w14:paraId="73A0723A">
            <w:pPr>
              <w:pStyle w:val="24"/>
              <w:rPr>
                <w:rFonts w:eastAsia="宋体"/>
                <w:color w:val="auto"/>
                <w:sz w:val="21"/>
                <w:szCs w:val="21"/>
              </w:rPr>
            </w:pPr>
          </w:p>
        </w:tc>
        <w:tc>
          <w:tcPr>
            <w:tcW w:w="763" w:type="pct"/>
            <w:shd w:val="clear" w:color="auto" w:fill="auto"/>
            <w:vAlign w:val="center"/>
          </w:tcPr>
          <w:p w14:paraId="665C6ED2">
            <w:pPr>
              <w:pStyle w:val="24"/>
              <w:ind w:left="0" w:leftChars="0"/>
              <w:rPr>
                <w:rFonts w:eastAsia="宋体"/>
                <w:color w:val="auto"/>
                <w:sz w:val="21"/>
                <w:szCs w:val="21"/>
              </w:rPr>
            </w:pPr>
            <w:r>
              <w:rPr>
                <w:rFonts w:hint="eastAsia" w:eastAsia="宋体"/>
                <w:color w:val="auto"/>
                <w:sz w:val="21"/>
                <w:szCs w:val="21"/>
              </w:rPr>
              <w:t>年平均</w:t>
            </w:r>
          </w:p>
        </w:tc>
        <w:tc>
          <w:tcPr>
            <w:tcW w:w="770" w:type="pct"/>
            <w:shd w:val="clear" w:color="auto" w:fill="auto"/>
            <w:vAlign w:val="center"/>
          </w:tcPr>
          <w:p w14:paraId="38B032A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3.00E-07</w:t>
            </w:r>
          </w:p>
        </w:tc>
        <w:tc>
          <w:tcPr>
            <w:tcW w:w="841" w:type="pct"/>
            <w:shd w:val="clear" w:color="auto" w:fill="auto"/>
            <w:vAlign w:val="center"/>
          </w:tcPr>
          <w:p w14:paraId="2D22B87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1380C3C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7B183A8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DFDC5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4458729">
            <w:pPr>
              <w:pStyle w:val="24"/>
              <w:rPr>
                <w:rFonts w:eastAsia="宋体"/>
                <w:color w:val="auto"/>
                <w:sz w:val="21"/>
                <w:szCs w:val="21"/>
              </w:rPr>
            </w:pPr>
          </w:p>
        </w:tc>
        <w:tc>
          <w:tcPr>
            <w:tcW w:w="762" w:type="pct"/>
            <w:vMerge w:val="restart"/>
            <w:shd w:val="clear" w:color="auto" w:fill="auto"/>
            <w:vAlign w:val="center"/>
          </w:tcPr>
          <w:p w14:paraId="6B28C02C">
            <w:pPr>
              <w:pStyle w:val="24"/>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区域最大落地浓度</w:t>
            </w:r>
          </w:p>
        </w:tc>
        <w:tc>
          <w:tcPr>
            <w:tcW w:w="763" w:type="pct"/>
            <w:shd w:val="clear" w:color="auto" w:fill="auto"/>
            <w:vAlign w:val="center"/>
          </w:tcPr>
          <w:p w14:paraId="3527E7FD">
            <w:pPr>
              <w:pStyle w:val="24"/>
              <w:ind w:left="0" w:leftChars="0"/>
              <w:rPr>
                <w:rFonts w:ascii="Times New Roman" w:hAnsi="Times New Roman" w:eastAsia="宋体" w:cs="Courier New"/>
                <w:color w:val="auto"/>
                <w:kern w:val="2"/>
                <w:sz w:val="21"/>
                <w:szCs w:val="21"/>
                <w:lang w:val="en-US" w:eastAsia="zh-CN" w:bidi="ar-SA"/>
              </w:rPr>
            </w:pPr>
            <w:r>
              <w:rPr>
                <w:rFonts w:hint="eastAsia" w:eastAsia="宋体"/>
                <w:color w:val="auto"/>
                <w:sz w:val="21"/>
                <w:szCs w:val="21"/>
              </w:rPr>
              <w:t>日平均</w:t>
            </w:r>
          </w:p>
        </w:tc>
        <w:tc>
          <w:tcPr>
            <w:tcW w:w="770" w:type="pct"/>
            <w:shd w:val="clear" w:color="auto" w:fill="auto"/>
            <w:vAlign w:val="center"/>
          </w:tcPr>
          <w:p w14:paraId="07B413D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1.10E-04</w:t>
            </w:r>
          </w:p>
        </w:tc>
        <w:tc>
          <w:tcPr>
            <w:tcW w:w="841" w:type="pct"/>
            <w:shd w:val="clear" w:color="auto" w:fill="auto"/>
            <w:vAlign w:val="center"/>
          </w:tcPr>
          <w:p w14:paraId="198BDE1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250117</w:t>
            </w:r>
          </w:p>
          <w:p w14:paraId="594CD9F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70D4BF9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0.09</w:t>
            </w:r>
          </w:p>
        </w:tc>
        <w:tc>
          <w:tcPr>
            <w:tcW w:w="618" w:type="pct"/>
            <w:shd w:val="clear" w:color="auto" w:fill="auto"/>
            <w:vAlign w:val="center"/>
          </w:tcPr>
          <w:p w14:paraId="54BF451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DBDA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9944032">
            <w:pPr>
              <w:pStyle w:val="24"/>
              <w:rPr>
                <w:rFonts w:eastAsia="宋体"/>
                <w:color w:val="auto"/>
                <w:sz w:val="21"/>
                <w:szCs w:val="21"/>
              </w:rPr>
            </w:pPr>
          </w:p>
        </w:tc>
        <w:tc>
          <w:tcPr>
            <w:tcW w:w="762" w:type="pct"/>
            <w:vMerge w:val="continue"/>
            <w:vAlign w:val="center"/>
          </w:tcPr>
          <w:p w14:paraId="5964038F">
            <w:pPr>
              <w:pStyle w:val="24"/>
              <w:rPr>
                <w:rFonts w:hint="eastAsia" w:ascii="Times New Roman" w:hAnsi="Times New Roman" w:eastAsia="宋体"/>
                <w:color w:val="auto"/>
                <w:sz w:val="21"/>
                <w:szCs w:val="21"/>
                <w:lang w:val="en-US" w:eastAsia="zh-CN"/>
              </w:rPr>
            </w:pPr>
          </w:p>
        </w:tc>
        <w:tc>
          <w:tcPr>
            <w:tcW w:w="763" w:type="pct"/>
            <w:shd w:val="clear" w:color="auto" w:fill="auto"/>
            <w:vAlign w:val="center"/>
          </w:tcPr>
          <w:p w14:paraId="308D86DF">
            <w:pPr>
              <w:pStyle w:val="24"/>
              <w:ind w:left="0" w:leftChars="0"/>
              <w:rPr>
                <w:rFonts w:ascii="Times New Roman" w:hAnsi="Times New Roman" w:eastAsia="宋体" w:cs="Courier New"/>
                <w:color w:val="auto"/>
                <w:kern w:val="2"/>
                <w:sz w:val="21"/>
                <w:szCs w:val="21"/>
                <w:lang w:val="en-US" w:eastAsia="zh-CN" w:bidi="ar-SA"/>
              </w:rPr>
            </w:pPr>
            <w:r>
              <w:rPr>
                <w:rFonts w:hint="eastAsia" w:eastAsia="宋体"/>
                <w:color w:val="auto"/>
                <w:sz w:val="21"/>
                <w:szCs w:val="21"/>
              </w:rPr>
              <w:t>年平均</w:t>
            </w:r>
          </w:p>
        </w:tc>
        <w:tc>
          <w:tcPr>
            <w:tcW w:w="770" w:type="pct"/>
            <w:shd w:val="clear" w:color="auto" w:fill="auto"/>
            <w:vAlign w:val="center"/>
          </w:tcPr>
          <w:p w14:paraId="16CE8F6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3.19E-05</w:t>
            </w:r>
          </w:p>
        </w:tc>
        <w:tc>
          <w:tcPr>
            <w:tcW w:w="841" w:type="pct"/>
            <w:shd w:val="clear" w:color="auto" w:fill="auto"/>
            <w:vAlign w:val="center"/>
          </w:tcPr>
          <w:p w14:paraId="35766C5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p w14:paraId="73A97AA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0A3FF9F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3E861D0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768D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DF4C59A">
            <w:pPr>
              <w:pStyle w:val="24"/>
              <w:rPr>
                <w:rFonts w:eastAsia="宋体"/>
                <w:color w:val="auto"/>
                <w:sz w:val="21"/>
                <w:szCs w:val="21"/>
              </w:rPr>
            </w:pPr>
          </w:p>
        </w:tc>
        <w:tc>
          <w:tcPr>
            <w:tcW w:w="762" w:type="pct"/>
            <w:vMerge w:val="restart"/>
            <w:shd w:val="clear" w:color="auto" w:fill="auto"/>
            <w:vAlign w:val="center"/>
          </w:tcPr>
          <w:p w14:paraId="7E3BCB1B">
            <w:pPr>
              <w:pStyle w:val="24"/>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厂界浓度</w:t>
            </w:r>
          </w:p>
        </w:tc>
        <w:tc>
          <w:tcPr>
            <w:tcW w:w="763" w:type="pct"/>
            <w:shd w:val="clear" w:color="auto" w:fill="auto"/>
            <w:vAlign w:val="center"/>
          </w:tcPr>
          <w:p w14:paraId="3DDB89F1">
            <w:pPr>
              <w:pStyle w:val="24"/>
              <w:ind w:left="0" w:leftChars="0"/>
              <w:rPr>
                <w:rFonts w:ascii="Times New Roman" w:hAnsi="Times New Roman" w:eastAsia="宋体" w:cs="Courier New"/>
                <w:color w:val="auto"/>
                <w:kern w:val="2"/>
                <w:sz w:val="21"/>
                <w:szCs w:val="21"/>
                <w:lang w:val="en-US" w:eastAsia="zh-CN" w:bidi="ar-SA"/>
              </w:rPr>
            </w:pPr>
            <w:r>
              <w:rPr>
                <w:rFonts w:hint="eastAsia" w:eastAsia="宋体"/>
                <w:color w:val="auto"/>
                <w:sz w:val="21"/>
                <w:szCs w:val="21"/>
              </w:rPr>
              <w:t>日平均</w:t>
            </w:r>
          </w:p>
        </w:tc>
        <w:tc>
          <w:tcPr>
            <w:tcW w:w="770" w:type="pct"/>
            <w:shd w:val="clear" w:color="auto" w:fill="auto"/>
            <w:vAlign w:val="center"/>
          </w:tcPr>
          <w:p w14:paraId="3ECDE20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2.29E-04</w:t>
            </w:r>
          </w:p>
        </w:tc>
        <w:tc>
          <w:tcPr>
            <w:tcW w:w="841" w:type="pct"/>
            <w:shd w:val="clear" w:color="auto" w:fill="auto"/>
            <w:vAlign w:val="center"/>
          </w:tcPr>
          <w:p w14:paraId="0226F856">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251107</w:t>
            </w:r>
          </w:p>
        </w:tc>
        <w:tc>
          <w:tcPr>
            <w:tcW w:w="715" w:type="pct"/>
            <w:shd w:val="clear" w:color="auto" w:fill="auto"/>
            <w:vAlign w:val="center"/>
          </w:tcPr>
          <w:p w14:paraId="1311F3F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0.19</w:t>
            </w:r>
          </w:p>
        </w:tc>
        <w:tc>
          <w:tcPr>
            <w:tcW w:w="618" w:type="pct"/>
            <w:shd w:val="clear" w:color="auto" w:fill="auto"/>
            <w:vAlign w:val="center"/>
          </w:tcPr>
          <w:p w14:paraId="1E1D613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32A51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E714AD9">
            <w:pPr>
              <w:pStyle w:val="24"/>
              <w:rPr>
                <w:rFonts w:eastAsia="宋体"/>
                <w:color w:val="auto"/>
                <w:sz w:val="21"/>
                <w:szCs w:val="21"/>
              </w:rPr>
            </w:pPr>
          </w:p>
        </w:tc>
        <w:tc>
          <w:tcPr>
            <w:tcW w:w="762" w:type="pct"/>
            <w:vMerge w:val="continue"/>
            <w:vAlign w:val="center"/>
          </w:tcPr>
          <w:p w14:paraId="074A12C1">
            <w:pPr>
              <w:pStyle w:val="24"/>
              <w:rPr>
                <w:rFonts w:eastAsia="宋体"/>
                <w:color w:val="auto"/>
                <w:sz w:val="21"/>
                <w:szCs w:val="21"/>
              </w:rPr>
            </w:pPr>
          </w:p>
        </w:tc>
        <w:tc>
          <w:tcPr>
            <w:tcW w:w="763" w:type="pct"/>
            <w:shd w:val="clear" w:color="auto" w:fill="auto"/>
            <w:vAlign w:val="center"/>
          </w:tcPr>
          <w:p w14:paraId="0BE549DB">
            <w:pPr>
              <w:pStyle w:val="24"/>
              <w:ind w:left="0" w:leftChars="0"/>
              <w:rPr>
                <w:rFonts w:ascii="Times New Roman" w:hAnsi="Times New Roman" w:eastAsia="宋体" w:cs="Courier New"/>
                <w:color w:val="auto"/>
                <w:kern w:val="2"/>
                <w:sz w:val="21"/>
                <w:szCs w:val="21"/>
                <w:lang w:val="en-US" w:eastAsia="zh-CN" w:bidi="ar-SA"/>
              </w:rPr>
            </w:pPr>
            <w:r>
              <w:rPr>
                <w:rFonts w:hint="eastAsia" w:eastAsia="宋体"/>
                <w:color w:val="auto"/>
                <w:sz w:val="21"/>
                <w:szCs w:val="21"/>
              </w:rPr>
              <w:t>年平均</w:t>
            </w:r>
          </w:p>
        </w:tc>
        <w:tc>
          <w:tcPr>
            <w:tcW w:w="770" w:type="pct"/>
            <w:shd w:val="clear" w:color="auto" w:fill="auto"/>
            <w:vAlign w:val="center"/>
          </w:tcPr>
          <w:p w14:paraId="352E401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5.31E-05</w:t>
            </w:r>
          </w:p>
        </w:tc>
        <w:tc>
          <w:tcPr>
            <w:tcW w:w="841" w:type="pct"/>
            <w:shd w:val="clear" w:color="auto" w:fill="auto"/>
            <w:vAlign w:val="center"/>
          </w:tcPr>
          <w:p w14:paraId="57979D4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7EE03E7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0.09</w:t>
            </w:r>
          </w:p>
        </w:tc>
        <w:tc>
          <w:tcPr>
            <w:tcW w:w="618" w:type="pct"/>
            <w:shd w:val="clear" w:color="auto" w:fill="auto"/>
            <w:vAlign w:val="center"/>
          </w:tcPr>
          <w:p w14:paraId="3327944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4F76B3CC">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2.5</w:t>
      </w:r>
      <w:r>
        <w:rPr>
          <w:rFonts w:hint="eastAsia" w:ascii="Times New Roman" w:hAnsi="Times New Roman" w:eastAsia="黑体" w:cs="Times New Roman"/>
          <w:color w:val="auto"/>
          <w:sz w:val="21"/>
          <w:szCs w:val="21"/>
          <w:highlight w:val="none"/>
          <w:lang w:val="en-US" w:eastAsia="zh-CN"/>
        </w:rPr>
        <w:t>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5A12F4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57FAD17C">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214B7775">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66A823B5">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742C2571">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200B86C6">
            <w:pPr>
              <w:pStyle w:val="24"/>
              <w:rPr>
                <w:rFonts w:hint="eastAsia" w:eastAsia="宋体"/>
                <w:b/>
                <w:bCs/>
                <w:color w:val="auto"/>
                <w:sz w:val="21"/>
                <w:szCs w:val="21"/>
              </w:rPr>
            </w:pPr>
            <w:r>
              <w:rPr>
                <w:rFonts w:hint="eastAsia" w:eastAsia="宋体"/>
                <w:b/>
                <w:bCs/>
                <w:color w:val="auto"/>
                <w:sz w:val="21"/>
                <w:szCs w:val="21"/>
              </w:rPr>
              <w:t>出现时间</w:t>
            </w:r>
          </w:p>
          <w:p w14:paraId="4B0E1ECE">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7DD6DCBB">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2E3FA2F2">
            <w:pPr>
              <w:pStyle w:val="24"/>
              <w:rPr>
                <w:rFonts w:eastAsia="宋体"/>
                <w:b/>
                <w:bCs/>
                <w:color w:val="auto"/>
                <w:sz w:val="21"/>
                <w:szCs w:val="21"/>
              </w:rPr>
            </w:pPr>
            <w:r>
              <w:rPr>
                <w:rFonts w:hint="eastAsia" w:eastAsia="宋体"/>
                <w:b/>
                <w:bCs/>
                <w:color w:val="auto"/>
                <w:sz w:val="21"/>
                <w:szCs w:val="21"/>
              </w:rPr>
              <w:t>达标情况</w:t>
            </w:r>
          </w:p>
        </w:tc>
      </w:tr>
      <w:tr w14:paraId="6FE4CB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217012F5">
            <w:pPr>
              <w:pStyle w:val="24"/>
              <w:rPr>
                <w:rFonts w:eastAsia="宋体"/>
                <w:color w:val="auto"/>
                <w:sz w:val="21"/>
                <w:szCs w:val="21"/>
              </w:rPr>
            </w:pPr>
            <w:r>
              <w:rPr>
                <w:rFonts w:hint="eastAsia" w:eastAsia="宋体"/>
                <w:color w:val="auto"/>
              </w:rPr>
              <w:t>PM</w:t>
            </w:r>
            <w:r>
              <w:rPr>
                <w:rFonts w:hint="eastAsia"/>
                <w:color w:val="auto"/>
                <w:vertAlign w:val="subscript"/>
                <w:lang w:val="en-US" w:eastAsia="zh-CN"/>
              </w:rPr>
              <w:t>2.5</w:t>
            </w:r>
          </w:p>
        </w:tc>
        <w:tc>
          <w:tcPr>
            <w:tcW w:w="1451" w:type="dxa"/>
            <w:vMerge w:val="restart"/>
            <w:shd w:val="clear" w:color="auto" w:fill="auto"/>
            <w:vAlign w:val="center"/>
          </w:tcPr>
          <w:p w14:paraId="129DB4F6">
            <w:pPr>
              <w:pStyle w:val="24"/>
              <w:ind w:left="0" w:leftChars="0"/>
              <w:rPr>
                <w:rFonts w:hint="eastAsia"/>
                <w:color w:val="auto"/>
                <w:sz w:val="21"/>
                <w:szCs w:val="21"/>
                <w:lang w:val="en-US" w:eastAsia="zh-CN"/>
              </w:rPr>
            </w:pPr>
            <w:r>
              <w:rPr>
                <w:rFonts w:hint="eastAsia"/>
                <w:color w:val="auto"/>
                <w:sz w:val="21"/>
                <w:szCs w:val="21"/>
                <w:lang w:val="en-US" w:eastAsia="zh-CN"/>
              </w:rPr>
              <w:t>东北侧散户</w:t>
            </w:r>
          </w:p>
        </w:tc>
        <w:tc>
          <w:tcPr>
            <w:tcW w:w="1453" w:type="dxa"/>
            <w:shd w:val="clear" w:color="auto" w:fill="auto"/>
            <w:vAlign w:val="center"/>
          </w:tcPr>
          <w:p w14:paraId="2C88B66A">
            <w:pPr>
              <w:pStyle w:val="24"/>
              <w:ind w:left="0" w:leftChars="0"/>
              <w:rPr>
                <w:rFonts w:hint="eastAsia" w:ascii="Times New Roman" w:hAnsi="Times New Roman"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380F73B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1.68E-05</w:t>
            </w:r>
          </w:p>
        </w:tc>
        <w:tc>
          <w:tcPr>
            <w:tcW w:w="841" w:type="pct"/>
            <w:shd w:val="clear" w:color="auto" w:fill="auto"/>
            <w:vAlign w:val="center"/>
          </w:tcPr>
          <w:p w14:paraId="2657E3B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250111</w:t>
            </w:r>
          </w:p>
        </w:tc>
        <w:tc>
          <w:tcPr>
            <w:tcW w:w="715" w:type="pct"/>
            <w:shd w:val="clear" w:color="auto" w:fill="auto"/>
            <w:vAlign w:val="center"/>
          </w:tcPr>
          <w:p w14:paraId="3D9AAC6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0.03</w:t>
            </w:r>
          </w:p>
        </w:tc>
        <w:tc>
          <w:tcPr>
            <w:tcW w:w="618" w:type="pct"/>
            <w:shd w:val="clear" w:color="auto" w:fill="auto"/>
            <w:vAlign w:val="center"/>
          </w:tcPr>
          <w:p w14:paraId="4C5FC22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7AE6F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7B0ADF85">
            <w:pPr>
              <w:pStyle w:val="24"/>
              <w:rPr>
                <w:rFonts w:hint="eastAsia" w:eastAsia="宋体"/>
                <w:color w:val="auto"/>
              </w:rPr>
            </w:pPr>
          </w:p>
        </w:tc>
        <w:tc>
          <w:tcPr>
            <w:tcW w:w="1451" w:type="dxa"/>
            <w:vMerge w:val="continue"/>
            <w:shd w:val="clear" w:color="auto" w:fill="auto"/>
            <w:vAlign w:val="center"/>
          </w:tcPr>
          <w:p w14:paraId="298E042A">
            <w:pPr>
              <w:pStyle w:val="24"/>
              <w:ind w:left="0" w:leftChars="0"/>
              <w:rPr>
                <w:rFonts w:hint="eastAsia"/>
                <w:color w:val="auto"/>
                <w:sz w:val="21"/>
                <w:szCs w:val="21"/>
                <w:lang w:val="en-US" w:eastAsia="zh-CN"/>
              </w:rPr>
            </w:pPr>
          </w:p>
        </w:tc>
        <w:tc>
          <w:tcPr>
            <w:tcW w:w="1453" w:type="dxa"/>
            <w:shd w:val="clear" w:color="auto" w:fill="auto"/>
            <w:vAlign w:val="center"/>
          </w:tcPr>
          <w:p w14:paraId="7C842ECC">
            <w:pPr>
              <w:pStyle w:val="24"/>
              <w:ind w:left="0" w:leftChars="0"/>
              <w:rPr>
                <w:rFonts w:hint="eastAsia" w:ascii="Times New Roman" w:hAnsi="Times New Roman" w:eastAsia="宋体"/>
                <w:color w:val="auto"/>
                <w:sz w:val="21"/>
                <w:szCs w:val="21"/>
              </w:rPr>
            </w:pPr>
            <w:r>
              <w:rPr>
                <w:rFonts w:hint="eastAsia" w:eastAsia="宋体"/>
                <w:color w:val="auto"/>
                <w:sz w:val="21"/>
                <w:szCs w:val="21"/>
              </w:rPr>
              <w:t>年平均</w:t>
            </w:r>
          </w:p>
        </w:tc>
        <w:tc>
          <w:tcPr>
            <w:tcW w:w="770" w:type="pct"/>
            <w:shd w:val="clear" w:color="auto" w:fill="auto"/>
            <w:vAlign w:val="center"/>
          </w:tcPr>
          <w:p w14:paraId="20D56D3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3.09E-06</w:t>
            </w:r>
          </w:p>
        </w:tc>
        <w:tc>
          <w:tcPr>
            <w:tcW w:w="841" w:type="pct"/>
            <w:shd w:val="clear" w:color="auto" w:fill="auto"/>
            <w:vAlign w:val="center"/>
          </w:tcPr>
          <w:p w14:paraId="574982E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5DB5448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26E769D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B041B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20503E6F">
            <w:pPr>
              <w:pStyle w:val="24"/>
              <w:rPr>
                <w:rFonts w:eastAsia="宋体"/>
                <w:color w:val="auto"/>
                <w:sz w:val="21"/>
                <w:szCs w:val="21"/>
              </w:rPr>
            </w:pPr>
          </w:p>
        </w:tc>
        <w:tc>
          <w:tcPr>
            <w:tcW w:w="762" w:type="pct"/>
            <w:vMerge w:val="restart"/>
            <w:shd w:val="clear" w:color="auto" w:fill="auto"/>
            <w:vAlign w:val="center"/>
          </w:tcPr>
          <w:p w14:paraId="0754733F">
            <w:pPr>
              <w:pStyle w:val="24"/>
              <w:ind w:left="0" w:leftChars="0"/>
              <w:rPr>
                <w:rFonts w:hint="default" w:eastAsia="宋体"/>
                <w:color w:val="auto"/>
                <w:sz w:val="21"/>
                <w:szCs w:val="21"/>
                <w:lang w:val="en-US" w:eastAsia="zh-CN"/>
              </w:rPr>
            </w:pPr>
            <w:r>
              <w:rPr>
                <w:rFonts w:hint="eastAsia"/>
                <w:color w:val="auto"/>
                <w:sz w:val="21"/>
                <w:szCs w:val="21"/>
                <w:lang w:val="en-US" w:eastAsia="zh-CN"/>
              </w:rPr>
              <w:t>金堂村</w:t>
            </w:r>
          </w:p>
        </w:tc>
        <w:tc>
          <w:tcPr>
            <w:tcW w:w="763" w:type="pct"/>
            <w:shd w:val="clear" w:color="auto" w:fill="auto"/>
            <w:vAlign w:val="center"/>
          </w:tcPr>
          <w:p w14:paraId="0B4B3220">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2516688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6.07E-06</w:t>
            </w:r>
          </w:p>
        </w:tc>
        <w:tc>
          <w:tcPr>
            <w:tcW w:w="841" w:type="pct"/>
            <w:shd w:val="clear" w:color="auto" w:fill="auto"/>
            <w:vAlign w:val="center"/>
          </w:tcPr>
          <w:p w14:paraId="0B104E5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250416</w:t>
            </w:r>
          </w:p>
        </w:tc>
        <w:tc>
          <w:tcPr>
            <w:tcW w:w="715" w:type="pct"/>
            <w:shd w:val="clear" w:color="auto" w:fill="auto"/>
            <w:vAlign w:val="center"/>
          </w:tcPr>
          <w:p w14:paraId="117A8C7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53A8BB5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BEF2B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5FB39F2">
            <w:pPr>
              <w:pStyle w:val="24"/>
              <w:rPr>
                <w:rFonts w:eastAsia="宋体"/>
                <w:color w:val="auto"/>
                <w:sz w:val="21"/>
                <w:szCs w:val="21"/>
              </w:rPr>
            </w:pPr>
          </w:p>
        </w:tc>
        <w:tc>
          <w:tcPr>
            <w:tcW w:w="762" w:type="pct"/>
            <w:vMerge w:val="continue"/>
            <w:vAlign w:val="center"/>
          </w:tcPr>
          <w:p w14:paraId="7AEB85AA">
            <w:pPr>
              <w:pStyle w:val="24"/>
              <w:rPr>
                <w:rFonts w:eastAsia="宋体"/>
                <w:color w:val="auto"/>
                <w:sz w:val="21"/>
                <w:szCs w:val="21"/>
              </w:rPr>
            </w:pPr>
          </w:p>
        </w:tc>
        <w:tc>
          <w:tcPr>
            <w:tcW w:w="763" w:type="pct"/>
            <w:shd w:val="clear" w:color="auto" w:fill="auto"/>
            <w:vAlign w:val="center"/>
          </w:tcPr>
          <w:p w14:paraId="76BC460B">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09B422E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1.35E-06</w:t>
            </w:r>
          </w:p>
        </w:tc>
        <w:tc>
          <w:tcPr>
            <w:tcW w:w="841" w:type="pct"/>
            <w:shd w:val="clear" w:color="auto" w:fill="auto"/>
            <w:vAlign w:val="center"/>
          </w:tcPr>
          <w:p w14:paraId="2A68A5F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7264282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3A56EB7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1512D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18BC923">
            <w:pPr>
              <w:pStyle w:val="24"/>
              <w:rPr>
                <w:rFonts w:eastAsia="宋体"/>
                <w:color w:val="auto"/>
                <w:sz w:val="21"/>
                <w:szCs w:val="21"/>
              </w:rPr>
            </w:pPr>
          </w:p>
        </w:tc>
        <w:tc>
          <w:tcPr>
            <w:tcW w:w="762" w:type="pct"/>
            <w:vMerge w:val="restart"/>
            <w:shd w:val="clear" w:color="auto" w:fill="auto"/>
            <w:vAlign w:val="center"/>
          </w:tcPr>
          <w:p w14:paraId="2A504182">
            <w:pPr>
              <w:pStyle w:val="24"/>
              <w:ind w:left="0" w:leftChars="0"/>
              <w:rPr>
                <w:rFonts w:hint="default" w:eastAsia="宋体"/>
                <w:color w:val="auto"/>
                <w:sz w:val="21"/>
                <w:szCs w:val="21"/>
                <w:lang w:val="en-US" w:eastAsia="zh-CN"/>
              </w:rPr>
            </w:pPr>
            <w:r>
              <w:rPr>
                <w:rFonts w:hint="eastAsia"/>
                <w:color w:val="auto"/>
                <w:sz w:val="21"/>
                <w:szCs w:val="21"/>
                <w:lang w:val="en-US" w:eastAsia="zh-CN"/>
              </w:rPr>
              <w:t>亮垭村</w:t>
            </w:r>
          </w:p>
        </w:tc>
        <w:tc>
          <w:tcPr>
            <w:tcW w:w="763" w:type="pct"/>
            <w:shd w:val="clear" w:color="auto" w:fill="auto"/>
            <w:vAlign w:val="center"/>
          </w:tcPr>
          <w:p w14:paraId="2D70BB6C">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573C3E4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6.20E-07</w:t>
            </w:r>
          </w:p>
        </w:tc>
        <w:tc>
          <w:tcPr>
            <w:tcW w:w="841" w:type="pct"/>
            <w:shd w:val="clear" w:color="auto" w:fill="auto"/>
            <w:vAlign w:val="center"/>
          </w:tcPr>
          <w:p w14:paraId="0A495CD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250222</w:t>
            </w:r>
          </w:p>
        </w:tc>
        <w:tc>
          <w:tcPr>
            <w:tcW w:w="715" w:type="pct"/>
            <w:shd w:val="clear" w:color="auto" w:fill="auto"/>
            <w:vAlign w:val="center"/>
          </w:tcPr>
          <w:p w14:paraId="1A0113B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0742ECE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25F97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A817C02">
            <w:pPr>
              <w:pStyle w:val="24"/>
              <w:rPr>
                <w:rFonts w:eastAsia="宋体"/>
                <w:color w:val="auto"/>
                <w:sz w:val="21"/>
                <w:szCs w:val="21"/>
              </w:rPr>
            </w:pPr>
          </w:p>
        </w:tc>
        <w:tc>
          <w:tcPr>
            <w:tcW w:w="762" w:type="pct"/>
            <w:vMerge w:val="continue"/>
            <w:vAlign w:val="center"/>
          </w:tcPr>
          <w:p w14:paraId="6073387D">
            <w:pPr>
              <w:pStyle w:val="24"/>
              <w:rPr>
                <w:rFonts w:eastAsia="宋体"/>
                <w:color w:val="auto"/>
                <w:sz w:val="21"/>
                <w:szCs w:val="21"/>
              </w:rPr>
            </w:pPr>
          </w:p>
        </w:tc>
        <w:tc>
          <w:tcPr>
            <w:tcW w:w="763" w:type="pct"/>
            <w:shd w:val="clear" w:color="auto" w:fill="auto"/>
            <w:vAlign w:val="center"/>
          </w:tcPr>
          <w:p w14:paraId="3629C18F">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45FB2E3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3.00E-08</w:t>
            </w:r>
          </w:p>
        </w:tc>
        <w:tc>
          <w:tcPr>
            <w:tcW w:w="841" w:type="pct"/>
            <w:shd w:val="clear" w:color="auto" w:fill="auto"/>
            <w:vAlign w:val="center"/>
          </w:tcPr>
          <w:p w14:paraId="50E7BCD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591F1CC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3181495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02ED9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D734472">
            <w:pPr>
              <w:pStyle w:val="24"/>
              <w:rPr>
                <w:rFonts w:eastAsia="宋体"/>
                <w:color w:val="auto"/>
                <w:sz w:val="21"/>
                <w:szCs w:val="21"/>
              </w:rPr>
            </w:pPr>
          </w:p>
        </w:tc>
        <w:tc>
          <w:tcPr>
            <w:tcW w:w="762" w:type="pct"/>
            <w:vMerge w:val="restart"/>
            <w:shd w:val="clear" w:color="auto" w:fill="auto"/>
            <w:vAlign w:val="center"/>
          </w:tcPr>
          <w:p w14:paraId="32964EE3">
            <w:pPr>
              <w:pStyle w:val="24"/>
              <w:ind w:left="0" w:leftChars="0"/>
              <w:rPr>
                <w:rFonts w:hint="default" w:eastAsia="宋体"/>
                <w:color w:val="auto"/>
                <w:sz w:val="21"/>
                <w:szCs w:val="21"/>
                <w:lang w:val="en-US" w:eastAsia="zh-CN"/>
              </w:rPr>
            </w:pPr>
            <w:r>
              <w:rPr>
                <w:rFonts w:hint="eastAsia"/>
                <w:color w:val="auto"/>
                <w:sz w:val="21"/>
                <w:szCs w:val="21"/>
                <w:lang w:val="en-US" w:eastAsia="zh-CN"/>
              </w:rPr>
              <w:t>秋锦山村</w:t>
            </w:r>
          </w:p>
        </w:tc>
        <w:tc>
          <w:tcPr>
            <w:tcW w:w="763" w:type="pct"/>
            <w:shd w:val="clear" w:color="auto" w:fill="auto"/>
            <w:vAlign w:val="center"/>
          </w:tcPr>
          <w:p w14:paraId="15D39D69">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2D97BEC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5.00E-07</w:t>
            </w:r>
          </w:p>
        </w:tc>
        <w:tc>
          <w:tcPr>
            <w:tcW w:w="841" w:type="pct"/>
            <w:shd w:val="clear" w:color="auto" w:fill="auto"/>
            <w:vAlign w:val="center"/>
          </w:tcPr>
          <w:p w14:paraId="3B424C3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250531</w:t>
            </w:r>
          </w:p>
        </w:tc>
        <w:tc>
          <w:tcPr>
            <w:tcW w:w="715" w:type="pct"/>
            <w:shd w:val="clear" w:color="auto" w:fill="auto"/>
            <w:vAlign w:val="center"/>
          </w:tcPr>
          <w:p w14:paraId="7108554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6F9DF19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F4206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7BCBD71">
            <w:pPr>
              <w:pStyle w:val="24"/>
              <w:rPr>
                <w:rFonts w:eastAsia="宋体"/>
                <w:color w:val="auto"/>
                <w:sz w:val="21"/>
                <w:szCs w:val="21"/>
              </w:rPr>
            </w:pPr>
          </w:p>
        </w:tc>
        <w:tc>
          <w:tcPr>
            <w:tcW w:w="762" w:type="pct"/>
            <w:vMerge w:val="continue"/>
            <w:vAlign w:val="center"/>
          </w:tcPr>
          <w:p w14:paraId="791A8BFF">
            <w:pPr>
              <w:pStyle w:val="24"/>
              <w:rPr>
                <w:rFonts w:eastAsia="宋体"/>
                <w:color w:val="auto"/>
                <w:sz w:val="21"/>
                <w:szCs w:val="21"/>
              </w:rPr>
            </w:pPr>
          </w:p>
        </w:tc>
        <w:tc>
          <w:tcPr>
            <w:tcW w:w="763" w:type="pct"/>
            <w:shd w:val="clear" w:color="auto" w:fill="auto"/>
            <w:vAlign w:val="center"/>
          </w:tcPr>
          <w:p w14:paraId="3A511932">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65EF59E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3.00E-08</w:t>
            </w:r>
          </w:p>
        </w:tc>
        <w:tc>
          <w:tcPr>
            <w:tcW w:w="841" w:type="pct"/>
            <w:shd w:val="clear" w:color="auto" w:fill="auto"/>
            <w:vAlign w:val="center"/>
          </w:tcPr>
          <w:p w14:paraId="0D34E84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54D0EF3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2596E94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AB93B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D1D7142">
            <w:pPr>
              <w:pStyle w:val="24"/>
              <w:rPr>
                <w:rFonts w:eastAsia="宋体"/>
                <w:color w:val="auto"/>
                <w:sz w:val="21"/>
                <w:szCs w:val="21"/>
              </w:rPr>
            </w:pPr>
          </w:p>
        </w:tc>
        <w:tc>
          <w:tcPr>
            <w:tcW w:w="762" w:type="pct"/>
            <w:vMerge w:val="restart"/>
            <w:shd w:val="clear" w:color="auto" w:fill="auto"/>
            <w:vAlign w:val="center"/>
          </w:tcPr>
          <w:p w14:paraId="6267D02E">
            <w:pPr>
              <w:pStyle w:val="24"/>
              <w:ind w:left="0" w:leftChars="0"/>
              <w:rPr>
                <w:rFonts w:hint="eastAsia" w:eastAsia="宋体"/>
                <w:color w:val="auto"/>
                <w:sz w:val="21"/>
                <w:szCs w:val="21"/>
                <w:lang w:val="en-US" w:eastAsia="zh-CN"/>
              </w:rPr>
            </w:pPr>
            <w:r>
              <w:rPr>
                <w:rFonts w:hint="eastAsia"/>
                <w:color w:val="auto"/>
                <w:sz w:val="21"/>
                <w:szCs w:val="21"/>
                <w:lang w:val="en-US" w:eastAsia="zh-CN"/>
              </w:rPr>
              <w:t>春在镇</w:t>
            </w:r>
          </w:p>
        </w:tc>
        <w:tc>
          <w:tcPr>
            <w:tcW w:w="763" w:type="pct"/>
            <w:shd w:val="clear" w:color="auto" w:fill="auto"/>
            <w:vAlign w:val="center"/>
          </w:tcPr>
          <w:p w14:paraId="7E9CE3E8">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27892A1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1.34E-06</w:t>
            </w:r>
          </w:p>
        </w:tc>
        <w:tc>
          <w:tcPr>
            <w:tcW w:w="841" w:type="pct"/>
            <w:shd w:val="clear" w:color="auto" w:fill="auto"/>
            <w:vAlign w:val="center"/>
          </w:tcPr>
          <w:p w14:paraId="1C044D2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250621</w:t>
            </w:r>
          </w:p>
        </w:tc>
        <w:tc>
          <w:tcPr>
            <w:tcW w:w="715" w:type="pct"/>
            <w:shd w:val="clear" w:color="auto" w:fill="auto"/>
            <w:vAlign w:val="center"/>
          </w:tcPr>
          <w:p w14:paraId="4D4F32D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082059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8DC95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6509AE6">
            <w:pPr>
              <w:pStyle w:val="24"/>
              <w:rPr>
                <w:rFonts w:eastAsia="宋体"/>
                <w:color w:val="auto"/>
                <w:sz w:val="21"/>
                <w:szCs w:val="21"/>
              </w:rPr>
            </w:pPr>
          </w:p>
        </w:tc>
        <w:tc>
          <w:tcPr>
            <w:tcW w:w="762" w:type="pct"/>
            <w:vMerge w:val="continue"/>
            <w:vAlign w:val="center"/>
          </w:tcPr>
          <w:p w14:paraId="3B986505">
            <w:pPr>
              <w:pStyle w:val="24"/>
              <w:rPr>
                <w:rFonts w:eastAsia="宋体"/>
                <w:color w:val="auto"/>
                <w:sz w:val="21"/>
                <w:szCs w:val="21"/>
              </w:rPr>
            </w:pPr>
          </w:p>
        </w:tc>
        <w:tc>
          <w:tcPr>
            <w:tcW w:w="763" w:type="pct"/>
            <w:shd w:val="clear" w:color="auto" w:fill="auto"/>
            <w:vAlign w:val="center"/>
          </w:tcPr>
          <w:p w14:paraId="4F2B0AB0">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4FEE9B7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5.00E-08</w:t>
            </w:r>
          </w:p>
        </w:tc>
        <w:tc>
          <w:tcPr>
            <w:tcW w:w="841" w:type="pct"/>
            <w:shd w:val="clear" w:color="auto" w:fill="auto"/>
            <w:vAlign w:val="center"/>
          </w:tcPr>
          <w:p w14:paraId="3D98945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2FDF217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54AB51B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7EE31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9FD0786">
            <w:pPr>
              <w:pStyle w:val="24"/>
              <w:rPr>
                <w:rFonts w:eastAsia="宋体"/>
                <w:color w:val="auto"/>
                <w:sz w:val="21"/>
                <w:szCs w:val="21"/>
              </w:rPr>
            </w:pPr>
          </w:p>
        </w:tc>
        <w:tc>
          <w:tcPr>
            <w:tcW w:w="762" w:type="pct"/>
            <w:vMerge w:val="restart"/>
            <w:shd w:val="clear" w:color="auto" w:fill="auto"/>
            <w:vAlign w:val="center"/>
          </w:tcPr>
          <w:p w14:paraId="14126D52">
            <w:pPr>
              <w:pStyle w:val="24"/>
              <w:ind w:left="0" w:leftChars="0"/>
              <w:rPr>
                <w:rFonts w:hint="eastAsia" w:eastAsia="宋体"/>
                <w:color w:val="auto"/>
                <w:sz w:val="21"/>
                <w:szCs w:val="21"/>
                <w:lang w:val="en-US" w:eastAsia="zh-CN"/>
              </w:rPr>
            </w:pPr>
            <w:r>
              <w:rPr>
                <w:rFonts w:hint="eastAsia"/>
                <w:color w:val="auto"/>
                <w:sz w:val="21"/>
                <w:szCs w:val="21"/>
                <w:lang w:val="en-US" w:eastAsia="zh-CN"/>
              </w:rPr>
              <w:t>通江县城</w:t>
            </w:r>
          </w:p>
        </w:tc>
        <w:tc>
          <w:tcPr>
            <w:tcW w:w="763" w:type="pct"/>
            <w:shd w:val="clear" w:color="auto" w:fill="auto"/>
            <w:vAlign w:val="center"/>
          </w:tcPr>
          <w:p w14:paraId="687C7938">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6E56126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5.14E-06</w:t>
            </w:r>
          </w:p>
        </w:tc>
        <w:tc>
          <w:tcPr>
            <w:tcW w:w="841" w:type="pct"/>
            <w:shd w:val="clear" w:color="auto" w:fill="auto"/>
            <w:vAlign w:val="center"/>
          </w:tcPr>
          <w:p w14:paraId="79743B1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w:t>
            </w:r>
          </w:p>
        </w:tc>
        <w:tc>
          <w:tcPr>
            <w:tcW w:w="715" w:type="pct"/>
            <w:shd w:val="clear" w:color="auto" w:fill="auto"/>
            <w:vAlign w:val="center"/>
          </w:tcPr>
          <w:p w14:paraId="2CCCEB7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4A5AEAD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62599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4CE03ED">
            <w:pPr>
              <w:pStyle w:val="24"/>
              <w:rPr>
                <w:rFonts w:eastAsia="宋体"/>
                <w:color w:val="auto"/>
                <w:sz w:val="21"/>
                <w:szCs w:val="21"/>
              </w:rPr>
            </w:pPr>
          </w:p>
        </w:tc>
        <w:tc>
          <w:tcPr>
            <w:tcW w:w="762" w:type="pct"/>
            <w:vMerge w:val="continue"/>
            <w:vAlign w:val="center"/>
          </w:tcPr>
          <w:p w14:paraId="4344CF2B">
            <w:pPr>
              <w:pStyle w:val="24"/>
              <w:rPr>
                <w:rFonts w:eastAsia="宋体"/>
                <w:color w:val="auto"/>
                <w:sz w:val="21"/>
                <w:szCs w:val="21"/>
              </w:rPr>
            </w:pPr>
          </w:p>
        </w:tc>
        <w:tc>
          <w:tcPr>
            <w:tcW w:w="763" w:type="pct"/>
            <w:shd w:val="clear" w:color="auto" w:fill="auto"/>
            <w:vAlign w:val="center"/>
          </w:tcPr>
          <w:p w14:paraId="3AE6C658">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710BDB5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1.50E-07</w:t>
            </w:r>
          </w:p>
        </w:tc>
        <w:tc>
          <w:tcPr>
            <w:tcW w:w="841" w:type="pct"/>
            <w:shd w:val="clear" w:color="auto" w:fill="auto"/>
            <w:vAlign w:val="center"/>
          </w:tcPr>
          <w:p w14:paraId="0781854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01C2476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60E5ED9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075B0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5943815">
            <w:pPr>
              <w:pStyle w:val="24"/>
              <w:rPr>
                <w:rFonts w:eastAsia="宋体"/>
                <w:color w:val="auto"/>
                <w:sz w:val="21"/>
                <w:szCs w:val="21"/>
              </w:rPr>
            </w:pPr>
          </w:p>
        </w:tc>
        <w:tc>
          <w:tcPr>
            <w:tcW w:w="762" w:type="pct"/>
            <w:vMerge w:val="restart"/>
            <w:shd w:val="clear" w:color="auto" w:fill="auto"/>
            <w:vAlign w:val="center"/>
          </w:tcPr>
          <w:p w14:paraId="27F3D77F">
            <w:pPr>
              <w:pStyle w:val="24"/>
              <w:rPr>
                <w:rFonts w:hint="default" w:eastAsia="宋体"/>
                <w:color w:val="auto"/>
                <w:sz w:val="21"/>
                <w:szCs w:val="21"/>
                <w:lang w:val="en-US" w:eastAsia="zh-CN"/>
              </w:rPr>
            </w:pPr>
            <w:r>
              <w:rPr>
                <w:rFonts w:hint="eastAsia" w:eastAsia="宋体"/>
                <w:color w:val="auto"/>
                <w:sz w:val="21"/>
                <w:szCs w:val="21"/>
              </w:rPr>
              <w:t>区域最大落地浓度</w:t>
            </w:r>
          </w:p>
        </w:tc>
        <w:tc>
          <w:tcPr>
            <w:tcW w:w="763" w:type="pct"/>
            <w:shd w:val="clear" w:color="auto" w:fill="auto"/>
            <w:vAlign w:val="center"/>
          </w:tcPr>
          <w:p w14:paraId="7A3C0519">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28890BF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5.50E-05</w:t>
            </w:r>
          </w:p>
        </w:tc>
        <w:tc>
          <w:tcPr>
            <w:tcW w:w="841" w:type="pct"/>
            <w:shd w:val="clear" w:color="auto" w:fill="auto"/>
            <w:vAlign w:val="center"/>
          </w:tcPr>
          <w:p w14:paraId="6C96FA6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250117</w:t>
            </w:r>
          </w:p>
          <w:p w14:paraId="1012E76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2D532C8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0.09</w:t>
            </w:r>
          </w:p>
        </w:tc>
        <w:tc>
          <w:tcPr>
            <w:tcW w:w="618" w:type="pct"/>
            <w:shd w:val="clear" w:color="auto" w:fill="auto"/>
            <w:vAlign w:val="center"/>
          </w:tcPr>
          <w:p w14:paraId="0DD2E3C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2558F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717878A1">
            <w:pPr>
              <w:pStyle w:val="24"/>
              <w:rPr>
                <w:rFonts w:eastAsia="宋体"/>
                <w:color w:val="auto"/>
                <w:sz w:val="21"/>
                <w:szCs w:val="21"/>
              </w:rPr>
            </w:pPr>
          </w:p>
        </w:tc>
        <w:tc>
          <w:tcPr>
            <w:tcW w:w="762" w:type="pct"/>
            <w:vMerge w:val="continue"/>
            <w:vAlign w:val="center"/>
          </w:tcPr>
          <w:p w14:paraId="6C733119">
            <w:pPr>
              <w:pStyle w:val="24"/>
              <w:rPr>
                <w:rFonts w:eastAsia="宋体"/>
                <w:color w:val="auto"/>
                <w:sz w:val="21"/>
                <w:szCs w:val="21"/>
              </w:rPr>
            </w:pPr>
          </w:p>
        </w:tc>
        <w:tc>
          <w:tcPr>
            <w:tcW w:w="763" w:type="pct"/>
            <w:shd w:val="clear" w:color="auto" w:fill="auto"/>
            <w:vAlign w:val="center"/>
          </w:tcPr>
          <w:p w14:paraId="52DCB522">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1DB784A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1.59E-05</w:t>
            </w:r>
          </w:p>
        </w:tc>
        <w:tc>
          <w:tcPr>
            <w:tcW w:w="841" w:type="pct"/>
            <w:shd w:val="clear" w:color="auto" w:fill="auto"/>
            <w:vAlign w:val="center"/>
          </w:tcPr>
          <w:p w14:paraId="042844A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p w14:paraId="44086DD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139E87E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397773D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70F19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0324D87">
            <w:pPr>
              <w:pStyle w:val="24"/>
              <w:rPr>
                <w:rFonts w:eastAsia="宋体"/>
                <w:color w:val="auto"/>
                <w:sz w:val="21"/>
                <w:szCs w:val="21"/>
              </w:rPr>
            </w:pPr>
          </w:p>
        </w:tc>
        <w:tc>
          <w:tcPr>
            <w:tcW w:w="762" w:type="pct"/>
            <w:vMerge w:val="restart"/>
            <w:shd w:val="clear" w:color="auto" w:fill="auto"/>
            <w:vAlign w:val="center"/>
          </w:tcPr>
          <w:p w14:paraId="768F2233">
            <w:pPr>
              <w:pStyle w:val="24"/>
              <w:rPr>
                <w:rFonts w:eastAsia="宋体"/>
                <w:color w:val="auto"/>
                <w:sz w:val="21"/>
                <w:szCs w:val="21"/>
              </w:rPr>
            </w:pPr>
            <w:r>
              <w:rPr>
                <w:rFonts w:hint="eastAsia" w:eastAsia="宋体"/>
                <w:color w:val="auto"/>
                <w:sz w:val="21"/>
                <w:szCs w:val="21"/>
                <w:lang w:val="en-US" w:eastAsia="zh-CN"/>
              </w:rPr>
              <w:t>厂界浓度</w:t>
            </w:r>
          </w:p>
        </w:tc>
        <w:tc>
          <w:tcPr>
            <w:tcW w:w="763" w:type="pct"/>
            <w:shd w:val="clear" w:color="auto" w:fill="auto"/>
            <w:vAlign w:val="center"/>
          </w:tcPr>
          <w:p w14:paraId="329ACCAF">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日平均</w:t>
            </w:r>
          </w:p>
        </w:tc>
        <w:tc>
          <w:tcPr>
            <w:tcW w:w="770" w:type="pct"/>
            <w:shd w:val="clear" w:color="auto" w:fill="auto"/>
            <w:vAlign w:val="center"/>
          </w:tcPr>
          <w:p w14:paraId="398331A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1.14E-04</w:t>
            </w:r>
          </w:p>
        </w:tc>
        <w:tc>
          <w:tcPr>
            <w:tcW w:w="841" w:type="pct"/>
            <w:shd w:val="clear" w:color="auto" w:fill="auto"/>
            <w:vAlign w:val="center"/>
          </w:tcPr>
          <w:p w14:paraId="783B8EA9">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251107</w:t>
            </w:r>
          </w:p>
        </w:tc>
        <w:tc>
          <w:tcPr>
            <w:tcW w:w="715" w:type="pct"/>
            <w:shd w:val="clear" w:color="auto" w:fill="auto"/>
            <w:vAlign w:val="center"/>
          </w:tcPr>
          <w:p w14:paraId="68E0481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0.19</w:t>
            </w:r>
          </w:p>
        </w:tc>
        <w:tc>
          <w:tcPr>
            <w:tcW w:w="618" w:type="pct"/>
            <w:shd w:val="clear" w:color="auto" w:fill="auto"/>
            <w:vAlign w:val="center"/>
          </w:tcPr>
          <w:p w14:paraId="49C99B9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4D761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F18F849">
            <w:pPr>
              <w:pStyle w:val="24"/>
              <w:rPr>
                <w:rFonts w:eastAsia="宋体"/>
                <w:color w:val="auto"/>
                <w:sz w:val="21"/>
                <w:szCs w:val="21"/>
              </w:rPr>
            </w:pPr>
          </w:p>
        </w:tc>
        <w:tc>
          <w:tcPr>
            <w:tcW w:w="762" w:type="pct"/>
            <w:vMerge w:val="continue"/>
            <w:vAlign w:val="center"/>
          </w:tcPr>
          <w:p w14:paraId="2CE13C7D">
            <w:pPr>
              <w:pStyle w:val="24"/>
              <w:rPr>
                <w:rFonts w:eastAsia="宋体"/>
                <w:color w:val="auto"/>
                <w:sz w:val="21"/>
                <w:szCs w:val="21"/>
              </w:rPr>
            </w:pPr>
          </w:p>
        </w:tc>
        <w:tc>
          <w:tcPr>
            <w:tcW w:w="763" w:type="pct"/>
            <w:shd w:val="clear" w:color="auto" w:fill="auto"/>
            <w:vAlign w:val="center"/>
          </w:tcPr>
          <w:p w14:paraId="1B2966D7">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rPr>
              <w:t>年平均</w:t>
            </w:r>
          </w:p>
        </w:tc>
        <w:tc>
          <w:tcPr>
            <w:tcW w:w="770" w:type="pct"/>
            <w:shd w:val="clear" w:color="auto" w:fill="auto"/>
            <w:vAlign w:val="center"/>
          </w:tcPr>
          <w:p w14:paraId="5BB8A7B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2.66E-05</w:t>
            </w:r>
          </w:p>
        </w:tc>
        <w:tc>
          <w:tcPr>
            <w:tcW w:w="841" w:type="pct"/>
            <w:shd w:val="clear" w:color="auto" w:fill="auto"/>
            <w:vAlign w:val="center"/>
          </w:tcPr>
          <w:p w14:paraId="41A35C9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715" w:type="pct"/>
            <w:shd w:val="clear" w:color="auto" w:fill="auto"/>
            <w:vAlign w:val="center"/>
          </w:tcPr>
          <w:p w14:paraId="777EE11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0.09</w:t>
            </w:r>
          </w:p>
        </w:tc>
        <w:tc>
          <w:tcPr>
            <w:tcW w:w="618" w:type="pct"/>
            <w:shd w:val="clear" w:color="auto" w:fill="auto"/>
            <w:vAlign w:val="center"/>
          </w:tcPr>
          <w:p w14:paraId="7C96C1C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5105F294">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本项目TSP贡献质量浓度预测结果表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31"/>
        <w:gridCol w:w="1380"/>
        <w:gridCol w:w="1382"/>
        <w:gridCol w:w="1548"/>
        <w:gridCol w:w="1875"/>
        <w:gridCol w:w="1291"/>
        <w:gridCol w:w="1107"/>
      </w:tblGrid>
      <w:tr w14:paraId="501F6F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489" w:type="pct"/>
            <w:shd w:val="clear" w:color="auto" w:fill="auto"/>
            <w:vAlign w:val="center"/>
          </w:tcPr>
          <w:p w14:paraId="48EC1071">
            <w:pPr>
              <w:pStyle w:val="24"/>
              <w:rPr>
                <w:rFonts w:eastAsia="宋体"/>
                <w:b/>
                <w:bCs/>
                <w:color w:val="auto"/>
                <w:sz w:val="21"/>
                <w:szCs w:val="21"/>
              </w:rPr>
            </w:pPr>
            <w:r>
              <w:rPr>
                <w:rFonts w:hint="eastAsia" w:eastAsia="宋体"/>
                <w:b/>
                <w:bCs/>
                <w:color w:val="auto"/>
                <w:sz w:val="21"/>
                <w:szCs w:val="21"/>
              </w:rPr>
              <w:t>污染物</w:t>
            </w:r>
          </w:p>
        </w:tc>
        <w:tc>
          <w:tcPr>
            <w:tcW w:w="725" w:type="pct"/>
            <w:shd w:val="clear" w:color="auto" w:fill="auto"/>
            <w:vAlign w:val="center"/>
          </w:tcPr>
          <w:p w14:paraId="13858AA5">
            <w:pPr>
              <w:pStyle w:val="24"/>
              <w:rPr>
                <w:rFonts w:eastAsia="宋体"/>
                <w:b/>
                <w:bCs/>
                <w:color w:val="auto"/>
                <w:sz w:val="21"/>
                <w:szCs w:val="21"/>
              </w:rPr>
            </w:pPr>
            <w:r>
              <w:rPr>
                <w:rFonts w:hint="eastAsia" w:eastAsia="宋体"/>
                <w:b/>
                <w:bCs/>
                <w:color w:val="auto"/>
                <w:sz w:val="21"/>
                <w:szCs w:val="21"/>
              </w:rPr>
              <w:t>预测点</w:t>
            </w:r>
          </w:p>
        </w:tc>
        <w:tc>
          <w:tcPr>
            <w:tcW w:w="726" w:type="pct"/>
            <w:shd w:val="clear" w:color="auto" w:fill="auto"/>
            <w:vAlign w:val="center"/>
          </w:tcPr>
          <w:p w14:paraId="0DE2D5DC">
            <w:pPr>
              <w:pStyle w:val="24"/>
              <w:rPr>
                <w:rFonts w:eastAsia="宋体"/>
                <w:b/>
                <w:bCs/>
                <w:color w:val="auto"/>
                <w:sz w:val="21"/>
                <w:szCs w:val="21"/>
              </w:rPr>
            </w:pPr>
            <w:r>
              <w:rPr>
                <w:rFonts w:hint="eastAsia" w:eastAsia="宋体"/>
                <w:b/>
                <w:bCs/>
                <w:color w:val="auto"/>
                <w:sz w:val="21"/>
                <w:szCs w:val="21"/>
              </w:rPr>
              <w:t>平均时段</w:t>
            </w:r>
          </w:p>
        </w:tc>
        <w:tc>
          <w:tcPr>
            <w:tcW w:w="813" w:type="pct"/>
            <w:shd w:val="clear" w:color="auto" w:fill="auto"/>
            <w:vAlign w:val="center"/>
          </w:tcPr>
          <w:p w14:paraId="31E6DD25">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985" w:type="pct"/>
            <w:shd w:val="clear" w:color="auto" w:fill="auto"/>
            <w:vAlign w:val="center"/>
          </w:tcPr>
          <w:p w14:paraId="49AD9EBE">
            <w:pPr>
              <w:pStyle w:val="24"/>
              <w:rPr>
                <w:rFonts w:hint="eastAsia" w:eastAsia="宋体"/>
                <w:b/>
                <w:bCs/>
                <w:color w:val="auto"/>
                <w:sz w:val="21"/>
                <w:szCs w:val="21"/>
              </w:rPr>
            </w:pPr>
            <w:r>
              <w:rPr>
                <w:rFonts w:hint="eastAsia" w:eastAsia="宋体"/>
                <w:b/>
                <w:bCs/>
                <w:color w:val="auto"/>
                <w:sz w:val="21"/>
                <w:szCs w:val="21"/>
              </w:rPr>
              <w:t>出现时间</w:t>
            </w:r>
          </w:p>
          <w:p w14:paraId="618EBADA">
            <w:pPr>
              <w:pStyle w:val="24"/>
              <w:rPr>
                <w:rFonts w:eastAsia="宋体"/>
                <w:b/>
                <w:bCs/>
                <w:color w:val="auto"/>
                <w:sz w:val="21"/>
                <w:szCs w:val="21"/>
              </w:rPr>
            </w:pPr>
            <w:r>
              <w:rPr>
                <w:rFonts w:hint="eastAsia" w:cs="Times New Roman"/>
                <w:b/>
                <w:bCs/>
                <w:color w:val="auto"/>
              </w:rPr>
              <w:t>（位置）</w:t>
            </w:r>
          </w:p>
        </w:tc>
        <w:tc>
          <w:tcPr>
            <w:tcW w:w="678" w:type="pct"/>
            <w:shd w:val="clear" w:color="auto" w:fill="auto"/>
            <w:vAlign w:val="center"/>
          </w:tcPr>
          <w:p w14:paraId="26DB7C6A">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581" w:type="pct"/>
            <w:shd w:val="clear" w:color="auto" w:fill="auto"/>
            <w:vAlign w:val="center"/>
          </w:tcPr>
          <w:p w14:paraId="3EC4AAF0">
            <w:pPr>
              <w:pStyle w:val="24"/>
              <w:rPr>
                <w:rFonts w:eastAsia="宋体"/>
                <w:b/>
                <w:bCs/>
                <w:color w:val="auto"/>
                <w:sz w:val="21"/>
                <w:szCs w:val="21"/>
              </w:rPr>
            </w:pPr>
            <w:r>
              <w:rPr>
                <w:rFonts w:hint="eastAsia" w:eastAsia="宋体"/>
                <w:b/>
                <w:bCs/>
                <w:color w:val="auto"/>
                <w:sz w:val="21"/>
                <w:szCs w:val="21"/>
              </w:rPr>
              <w:t>达标情况</w:t>
            </w:r>
          </w:p>
        </w:tc>
      </w:tr>
      <w:tr w14:paraId="1927F1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32" w:hRule="atLeast"/>
        </w:trPr>
        <w:tc>
          <w:tcPr>
            <w:tcW w:w="489" w:type="pct"/>
            <w:vMerge w:val="restart"/>
            <w:shd w:val="clear" w:color="auto" w:fill="auto"/>
            <w:vAlign w:val="center"/>
          </w:tcPr>
          <w:p w14:paraId="76074C88">
            <w:pPr>
              <w:pStyle w:val="24"/>
              <w:rPr>
                <w:rFonts w:hint="default" w:eastAsia="宋体"/>
                <w:color w:val="auto"/>
                <w:sz w:val="21"/>
                <w:szCs w:val="21"/>
                <w:lang w:val="en-US" w:eastAsia="zh-CN"/>
              </w:rPr>
            </w:pPr>
            <w:r>
              <w:rPr>
                <w:rFonts w:hint="eastAsia" w:eastAsia="宋体"/>
                <w:color w:val="auto"/>
                <w:lang w:val="en-US" w:eastAsia="zh-CN"/>
              </w:rPr>
              <w:t>TSP</w:t>
            </w:r>
          </w:p>
        </w:tc>
        <w:tc>
          <w:tcPr>
            <w:tcW w:w="1380" w:type="dxa"/>
            <w:vMerge w:val="restart"/>
            <w:shd w:val="clear" w:color="auto" w:fill="auto"/>
            <w:vAlign w:val="center"/>
          </w:tcPr>
          <w:p w14:paraId="0ED5587D">
            <w:pPr>
              <w:pStyle w:val="24"/>
              <w:ind w:left="0" w:leftChars="0"/>
              <w:rPr>
                <w:rFonts w:hint="eastAsia"/>
                <w:color w:val="auto"/>
                <w:sz w:val="21"/>
                <w:szCs w:val="21"/>
                <w:lang w:val="en-US" w:eastAsia="zh-CN"/>
              </w:rPr>
            </w:pPr>
            <w:r>
              <w:rPr>
                <w:rFonts w:hint="eastAsia"/>
                <w:color w:val="auto"/>
                <w:sz w:val="21"/>
                <w:szCs w:val="21"/>
                <w:lang w:val="en-US" w:eastAsia="zh-CN"/>
              </w:rPr>
              <w:t>东北侧散户</w:t>
            </w:r>
          </w:p>
        </w:tc>
        <w:tc>
          <w:tcPr>
            <w:tcW w:w="1382" w:type="dxa"/>
            <w:shd w:val="clear" w:color="auto" w:fill="auto"/>
            <w:vAlign w:val="center"/>
          </w:tcPr>
          <w:p w14:paraId="58C6A1C9">
            <w:pPr>
              <w:pStyle w:val="24"/>
              <w:ind w:left="0" w:leftChars="0"/>
              <w:rPr>
                <w:rFonts w:hint="eastAsia" w:ascii="Times New Roman" w:hAnsi="Times New Roman" w:eastAsia="宋体"/>
                <w:color w:val="auto"/>
                <w:sz w:val="21"/>
                <w:szCs w:val="21"/>
                <w:lang w:val="en-US" w:eastAsia="zh-CN"/>
              </w:rPr>
            </w:pPr>
            <w:r>
              <w:rPr>
                <w:rFonts w:hint="eastAsia" w:eastAsia="宋体"/>
                <w:color w:val="auto"/>
                <w:sz w:val="21"/>
                <w:szCs w:val="21"/>
              </w:rPr>
              <w:t>日平均</w:t>
            </w:r>
          </w:p>
        </w:tc>
        <w:tc>
          <w:tcPr>
            <w:tcW w:w="813" w:type="pct"/>
            <w:shd w:val="clear" w:color="auto" w:fill="auto"/>
            <w:vAlign w:val="center"/>
          </w:tcPr>
          <w:p w14:paraId="279B704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6.30E-05</w:t>
            </w:r>
          </w:p>
        </w:tc>
        <w:tc>
          <w:tcPr>
            <w:tcW w:w="985" w:type="pct"/>
            <w:shd w:val="clear" w:color="auto" w:fill="auto"/>
            <w:vAlign w:val="center"/>
          </w:tcPr>
          <w:p w14:paraId="7BB8969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251212</w:t>
            </w:r>
          </w:p>
        </w:tc>
        <w:tc>
          <w:tcPr>
            <w:tcW w:w="678" w:type="pct"/>
            <w:shd w:val="clear" w:color="auto" w:fill="auto"/>
            <w:vAlign w:val="center"/>
          </w:tcPr>
          <w:p w14:paraId="794AFD8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0.02</w:t>
            </w:r>
          </w:p>
        </w:tc>
        <w:tc>
          <w:tcPr>
            <w:tcW w:w="581" w:type="pct"/>
            <w:shd w:val="clear" w:color="auto" w:fill="auto"/>
            <w:vAlign w:val="center"/>
          </w:tcPr>
          <w:p w14:paraId="4C408B2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120D6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shd w:val="clear" w:color="auto" w:fill="auto"/>
            <w:vAlign w:val="center"/>
          </w:tcPr>
          <w:p w14:paraId="39B3A668">
            <w:pPr>
              <w:pStyle w:val="24"/>
              <w:rPr>
                <w:rFonts w:hint="eastAsia" w:eastAsia="宋体"/>
                <w:color w:val="auto"/>
                <w:lang w:val="en-US" w:eastAsia="zh-CN"/>
              </w:rPr>
            </w:pPr>
          </w:p>
        </w:tc>
        <w:tc>
          <w:tcPr>
            <w:tcW w:w="1380" w:type="dxa"/>
            <w:vMerge w:val="continue"/>
            <w:shd w:val="clear" w:color="auto" w:fill="auto"/>
            <w:vAlign w:val="center"/>
          </w:tcPr>
          <w:p w14:paraId="4A090DCD">
            <w:pPr>
              <w:pStyle w:val="24"/>
              <w:ind w:left="0" w:leftChars="0"/>
              <w:rPr>
                <w:rFonts w:hint="eastAsia"/>
                <w:color w:val="auto"/>
                <w:sz w:val="21"/>
                <w:szCs w:val="21"/>
                <w:lang w:val="en-US" w:eastAsia="zh-CN"/>
              </w:rPr>
            </w:pPr>
          </w:p>
        </w:tc>
        <w:tc>
          <w:tcPr>
            <w:tcW w:w="1382" w:type="dxa"/>
            <w:shd w:val="clear" w:color="auto" w:fill="auto"/>
            <w:vAlign w:val="center"/>
          </w:tcPr>
          <w:p w14:paraId="65938150">
            <w:pPr>
              <w:pStyle w:val="24"/>
              <w:ind w:left="0" w:leftChars="0"/>
              <w:rPr>
                <w:rFonts w:hint="eastAsia" w:ascii="Times New Roman" w:hAnsi="Times New Roman" w:eastAsia="宋体"/>
                <w:color w:val="auto"/>
                <w:sz w:val="21"/>
                <w:szCs w:val="21"/>
                <w:lang w:val="en-US" w:eastAsia="zh-CN"/>
              </w:rPr>
            </w:pPr>
            <w:r>
              <w:rPr>
                <w:rFonts w:hint="eastAsia" w:eastAsia="宋体"/>
                <w:color w:val="auto"/>
                <w:sz w:val="21"/>
                <w:szCs w:val="21"/>
              </w:rPr>
              <w:t>年平均</w:t>
            </w:r>
          </w:p>
        </w:tc>
        <w:tc>
          <w:tcPr>
            <w:tcW w:w="813" w:type="pct"/>
            <w:shd w:val="clear" w:color="auto" w:fill="auto"/>
            <w:vAlign w:val="center"/>
          </w:tcPr>
          <w:p w14:paraId="06117D8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7.09E-06</w:t>
            </w:r>
          </w:p>
        </w:tc>
        <w:tc>
          <w:tcPr>
            <w:tcW w:w="985" w:type="pct"/>
            <w:shd w:val="clear" w:color="auto" w:fill="auto"/>
            <w:vAlign w:val="center"/>
          </w:tcPr>
          <w:p w14:paraId="2619DA5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3C187F7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0.00</w:t>
            </w:r>
          </w:p>
        </w:tc>
        <w:tc>
          <w:tcPr>
            <w:tcW w:w="581" w:type="pct"/>
            <w:shd w:val="clear" w:color="auto" w:fill="auto"/>
            <w:vAlign w:val="center"/>
          </w:tcPr>
          <w:p w14:paraId="33C32E2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A794E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shd w:val="clear" w:color="auto" w:fill="auto"/>
            <w:vAlign w:val="center"/>
          </w:tcPr>
          <w:p w14:paraId="3B665116">
            <w:pPr>
              <w:pStyle w:val="24"/>
              <w:rPr>
                <w:rFonts w:hint="default" w:eastAsia="宋体"/>
                <w:color w:val="auto"/>
                <w:sz w:val="21"/>
                <w:szCs w:val="21"/>
                <w:lang w:val="en-US" w:eastAsia="zh-CN"/>
              </w:rPr>
            </w:pPr>
          </w:p>
        </w:tc>
        <w:tc>
          <w:tcPr>
            <w:tcW w:w="725" w:type="pct"/>
            <w:vMerge w:val="restart"/>
            <w:shd w:val="clear" w:color="auto" w:fill="auto"/>
            <w:vAlign w:val="center"/>
          </w:tcPr>
          <w:p w14:paraId="3CD66519">
            <w:pPr>
              <w:pStyle w:val="24"/>
              <w:ind w:left="0" w:leftChars="0"/>
              <w:rPr>
                <w:rFonts w:hint="default" w:eastAsia="宋体"/>
                <w:color w:val="auto"/>
                <w:sz w:val="21"/>
                <w:szCs w:val="21"/>
                <w:lang w:val="en-US" w:eastAsia="zh-CN"/>
              </w:rPr>
            </w:pPr>
            <w:r>
              <w:rPr>
                <w:rFonts w:hint="eastAsia"/>
                <w:color w:val="auto"/>
                <w:sz w:val="21"/>
                <w:szCs w:val="21"/>
                <w:lang w:val="en-US" w:eastAsia="zh-CN"/>
              </w:rPr>
              <w:t>金堂村</w:t>
            </w:r>
          </w:p>
        </w:tc>
        <w:tc>
          <w:tcPr>
            <w:tcW w:w="726" w:type="pct"/>
            <w:shd w:val="clear" w:color="auto" w:fill="auto"/>
            <w:vAlign w:val="center"/>
          </w:tcPr>
          <w:p w14:paraId="648DDC6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4F2153B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5.38E-05</w:t>
            </w:r>
          </w:p>
        </w:tc>
        <w:tc>
          <w:tcPr>
            <w:tcW w:w="985" w:type="pct"/>
            <w:shd w:val="clear" w:color="auto" w:fill="auto"/>
            <w:vAlign w:val="center"/>
          </w:tcPr>
          <w:p w14:paraId="6E08403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250707</w:t>
            </w:r>
          </w:p>
        </w:tc>
        <w:tc>
          <w:tcPr>
            <w:tcW w:w="678" w:type="pct"/>
            <w:shd w:val="clear" w:color="auto" w:fill="auto"/>
            <w:vAlign w:val="center"/>
          </w:tcPr>
          <w:p w14:paraId="46A93E8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0.02</w:t>
            </w:r>
          </w:p>
        </w:tc>
        <w:tc>
          <w:tcPr>
            <w:tcW w:w="581" w:type="pct"/>
            <w:shd w:val="clear" w:color="auto" w:fill="auto"/>
            <w:vAlign w:val="center"/>
          </w:tcPr>
          <w:p w14:paraId="079B11B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EB80D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8" w:hRule="atLeast"/>
        </w:trPr>
        <w:tc>
          <w:tcPr>
            <w:tcW w:w="489" w:type="pct"/>
            <w:vMerge w:val="continue"/>
            <w:vAlign w:val="center"/>
          </w:tcPr>
          <w:p w14:paraId="680AEA64">
            <w:pPr>
              <w:pStyle w:val="24"/>
              <w:rPr>
                <w:rFonts w:eastAsia="宋体"/>
                <w:color w:val="auto"/>
                <w:sz w:val="21"/>
                <w:szCs w:val="21"/>
              </w:rPr>
            </w:pPr>
          </w:p>
        </w:tc>
        <w:tc>
          <w:tcPr>
            <w:tcW w:w="725" w:type="pct"/>
            <w:vMerge w:val="continue"/>
            <w:vAlign w:val="center"/>
          </w:tcPr>
          <w:p w14:paraId="5BAC1203">
            <w:pPr>
              <w:pStyle w:val="24"/>
              <w:rPr>
                <w:rFonts w:eastAsia="宋体"/>
                <w:color w:val="auto"/>
                <w:sz w:val="21"/>
                <w:szCs w:val="21"/>
              </w:rPr>
            </w:pPr>
          </w:p>
        </w:tc>
        <w:tc>
          <w:tcPr>
            <w:tcW w:w="726" w:type="pct"/>
            <w:shd w:val="clear" w:color="auto" w:fill="auto"/>
            <w:vAlign w:val="center"/>
          </w:tcPr>
          <w:p w14:paraId="161995B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578B9F6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7.17E-06</w:t>
            </w:r>
          </w:p>
        </w:tc>
        <w:tc>
          <w:tcPr>
            <w:tcW w:w="985" w:type="pct"/>
            <w:shd w:val="clear" w:color="auto" w:fill="auto"/>
            <w:vAlign w:val="center"/>
          </w:tcPr>
          <w:p w14:paraId="73558AF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064FC71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0C8A563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A959A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4D799903">
            <w:pPr>
              <w:pStyle w:val="24"/>
              <w:rPr>
                <w:rFonts w:eastAsia="宋体"/>
                <w:color w:val="auto"/>
                <w:sz w:val="21"/>
                <w:szCs w:val="21"/>
              </w:rPr>
            </w:pPr>
          </w:p>
        </w:tc>
        <w:tc>
          <w:tcPr>
            <w:tcW w:w="725" w:type="pct"/>
            <w:vMerge w:val="restart"/>
            <w:shd w:val="clear" w:color="auto" w:fill="auto"/>
            <w:vAlign w:val="center"/>
          </w:tcPr>
          <w:p w14:paraId="14C730EF">
            <w:pPr>
              <w:pStyle w:val="24"/>
              <w:ind w:left="0" w:leftChars="0"/>
              <w:rPr>
                <w:rFonts w:hint="default" w:eastAsia="宋体"/>
                <w:color w:val="auto"/>
                <w:sz w:val="21"/>
                <w:szCs w:val="21"/>
                <w:lang w:val="en-US" w:eastAsia="zh-CN"/>
              </w:rPr>
            </w:pPr>
            <w:r>
              <w:rPr>
                <w:rFonts w:hint="eastAsia"/>
                <w:color w:val="auto"/>
                <w:sz w:val="21"/>
                <w:szCs w:val="21"/>
                <w:lang w:val="en-US" w:eastAsia="zh-CN"/>
              </w:rPr>
              <w:t>亮垭村</w:t>
            </w:r>
          </w:p>
        </w:tc>
        <w:tc>
          <w:tcPr>
            <w:tcW w:w="726" w:type="pct"/>
            <w:shd w:val="clear" w:color="auto" w:fill="auto"/>
            <w:vAlign w:val="center"/>
          </w:tcPr>
          <w:p w14:paraId="3E64284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51CFA06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1.24E-06</w:t>
            </w:r>
          </w:p>
        </w:tc>
        <w:tc>
          <w:tcPr>
            <w:tcW w:w="985" w:type="pct"/>
            <w:shd w:val="clear" w:color="auto" w:fill="auto"/>
            <w:vAlign w:val="center"/>
          </w:tcPr>
          <w:p w14:paraId="114EDE7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250910</w:t>
            </w:r>
          </w:p>
        </w:tc>
        <w:tc>
          <w:tcPr>
            <w:tcW w:w="678" w:type="pct"/>
            <w:shd w:val="clear" w:color="auto" w:fill="auto"/>
            <w:vAlign w:val="center"/>
          </w:tcPr>
          <w:p w14:paraId="4C82FFB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1C0A9C2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F8CBD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259D6D87">
            <w:pPr>
              <w:pStyle w:val="24"/>
              <w:rPr>
                <w:rFonts w:eastAsia="宋体"/>
                <w:color w:val="auto"/>
                <w:sz w:val="21"/>
                <w:szCs w:val="21"/>
              </w:rPr>
            </w:pPr>
          </w:p>
        </w:tc>
        <w:tc>
          <w:tcPr>
            <w:tcW w:w="725" w:type="pct"/>
            <w:vMerge w:val="continue"/>
            <w:vAlign w:val="center"/>
          </w:tcPr>
          <w:p w14:paraId="5DEFE6C5">
            <w:pPr>
              <w:pStyle w:val="24"/>
              <w:rPr>
                <w:rFonts w:eastAsia="宋体"/>
                <w:color w:val="auto"/>
                <w:sz w:val="21"/>
                <w:szCs w:val="21"/>
              </w:rPr>
            </w:pPr>
          </w:p>
        </w:tc>
        <w:tc>
          <w:tcPr>
            <w:tcW w:w="726" w:type="pct"/>
            <w:shd w:val="clear" w:color="auto" w:fill="auto"/>
            <w:vAlign w:val="center"/>
          </w:tcPr>
          <w:p w14:paraId="18B216F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2ED9971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6.00E-08</w:t>
            </w:r>
          </w:p>
        </w:tc>
        <w:tc>
          <w:tcPr>
            <w:tcW w:w="985" w:type="pct"/>
            <w:shd w:val="clear" w:color="auto" w:fill="auto"/>
            <w:vAlign w:val="center"/>
          </w:tcPr>
          <w:p w14:paraId="2C27267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54C86CE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57B39D2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F4B0E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6950E054">
            <w:pPr>
              <w:pStyle w:val="24"/>
              <w:rPr>
                <w:rFonts w:eastAsia="宋体"/>
                <w:color w:val="auto"/>
                <w:sz w:val="21"/>
                <w:szCs w:val="21"/>
              </w:rPr>
            </w:pPr>
          </w:p>
        </w:tc>
        <w:tc>
          <w:tcPr>
            <w:tcW w:w="725" w:type="pct"/>
            <w:vMerge w:val="restart"/>
            <w:shd w:val="clear" w:color="auto" w:fill="auto"/>
            <w:vAlign w:val="center"/>
          </w:tcPr>
          <w:p w14:paraId="6185E2FF">
            <w:pPr>
              <w:pStyle w:val="24"/>
              <w:ind w:left="0" w:leftChars="0"/>
              <w:rPr>
                <w:rFonts w:hint="default" w:eastAsia="宋体"/>
                <w:color w:val="auto"/>
                <w:sz w:val="21"/>
                <w:szCs w:val="21"/>
                <w:lang w:val="en-US" w:eastAsia="zh-CN"/>
              </w:rPr>
            </w:pPr>
            <w:r>
              <w:rPr>
                <w:rFonts w:hint="eastAsia"/>
                <w:color w:val="auto"/>
                <w:sz w:val="21"/>
                <w:szCs w:val="21"/>
                <w:lang w:val="en-US" w:eastAsia="zh-CN"/>
              </w:rPr>
              <w:t>秋锦山村</w:t>
            </w:r>
          </w:p>
        </w:tc>
        <w:tc>
          <w:tcPr>
            <w:tcW w:w="726" w:type="pct"/>
            <w:shd w:val="clear" w:color="auto" w:fill="auto"/>
            <w:vAlign w:val="center"/>
          </w:tcPr>
          <w:p w14:paraId="69B0A40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7250FA9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2.38E-06</w:t>
            </w:r>
          </w:p>
        </w:tc>
        <w:tc>
          <w:tcPr>
            <w:tcW w:w="985" w:type="pct"/>
            <w:shd w:val="clear" w:color="auto" w:fill="auto"/>
            <w:vAlign w:val="center"/>
          </w:tcPr>
          <w:p w14:paraId="4722BC5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w:t>
            </w:r>
          </w:p>
        </w:tc>
        <w:tc>
          <w:tcPr>
            <w:tcW w:w="678" w:type="pct"/>
            <w:shd w:val="clear" w:color="auto" w:fill="auto"/>
            <w:vAlign w:val="center"/>
          </w:tcPr>
          <w:p w14:paraId="7D32126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0CC2F19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45F40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20BF0A0B">
            <w:pPr>
              <w:pStyle w:val="24"/>
              <w:rPr>
                <w:rFonts w:eastAsia="宋体"/>
                <w:color w:val="auto"/>
                <w:sz w:val="21"/>
                <w:szCs w:val="21"/>
              </w:rPr>
            </w:pPr>
          </w:p>
        </w:tc>
        <w:tc>
          <w:tcPr>
            <w:tcW w:w="725" w:type="pct"/>
            <w:vMerge w:val="continue"/>
            <w:vAlign w:val="center"/>
          </w:tcPr>
          <w:p w14:paraId="41AE1015">
            <w:pPr>
              <w:pStyle w:val="24"/>
              <w:rPr>
                <w:rFonts w:eastAsia="宋体"/>
                <w:color w:val="auto"/>
                <w:sz w:val="21"/>
                <w:szCs w:val="21"/>
              </w:rPr>
            </w:pPr>
          </w:p>
        </w:tc>
        <w:tc>
          <w:tcPr>
            <w:tcW w:w="726" w:type="pct"/>
            <w:shd w:val="clear" w:color="auto" w:fill="auto"/>
            <w:vAlign w:val="center"/>
          </w:tcPr>
          <w:p w14:paraId="4791702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6A9D603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8.00E-08</w:t>
            </w:r>
          </w:p>
        </w:tc>
        <w:tc>
          <w:tcPr>
            <w:tcW w:w="985" w:type="pct"/>
            <w:shd w:val="clear" w:color="auto" w:fill="auto"/>
            <w:vAlign w:val="center"/>
          </w:tcPr>
          <w:p w14:paraId="7C60BAC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1F51A0D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10B4322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07334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5172DF6E">
            <w:pPr>
              <w:pStyle w:val="24"/>
              <w:rPr>
                <w:rFonts w:eastAsia="宋体"/>
                <w:color w:val="auto"/>
                <w:sz w:val="21"/>
                <w:szCs w:val="21"/>
              </w:rPr>
            </w:pPr>
          </w:p>
        </w:tc>
        <w:tc>
          <w:tcPr>
            <w:tcW w:w="725" w:type="pct"/>
            <w:vMerge w:val="restart"/>
            <w:shd w:val="clear" w:color="auto" w:fill="auto"/>
            <w:vAlign w:val="center"/>
          </w:tcPr>
          <w:p w14:paraId="3FC82602">
            <w:pPr>
              <w:pStyle w:val="24"/>
              <w:ind w:left="0" w:leftChars="0"/>
              <w:rPr>
                <w:rFonts w:hint="eastAsia" w:eastAsia="宋体"/>
                <w:color w:val="auto"/>
                <w:sz w:val="21"/>
                <w:szCs w:val="21"/>
                <w:lang w:val="en-US" w:eastAsia="zh-CN"/>
              </w:rPr>
            </w:pPr>
            <w:r>
              <w:rPr>
                <w:rFonts w:hint="eastAsia"/>
                <w:color w:val="auto"/>
                <w:sz w:val="21"/>
                <w:szCs w:val="21"/>
                <w:lang w:val="en-US" w:eastAsia="zh-CN"/>
              </w:rPr>
              <w:t>春在镇</w:t>
            </w:r>
          </w:p>
        </w:tc>
        <w:tc>
          <w:tcPr>
            <w:tcW w:w="726" w:type="pct"/>
            <w:shd w:val="clear" w:color="auto" w:fill="auto"/>
            <w:vAlign w:val="center"/>
          </w:tcPr>
          <w:p w14:paraId="78B35A5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21A96F2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9.54E-06</w:t>
            </w:r>
          </w:p>
        </w:tc>
        <w:tc>
          <w:tcPr>
            <w:tcW w:w="985" w:type="pct"/>
            <w:shd w:val="clear" w:color="auto" w:fill="auto"/>
            <w:vAlign w:val="center"/>
          </w:tcPr>
          <w:p w14:paraId="7429DA6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250621</w:t>
            </w:r>
          </w:p>
        </w:tc>
        <w:tc>
          <w:tcPr>
            <w:tcW w:w="678" w:type="pct"/>
            <w:shd w:val="clear" w:color="auto" w:fill="auto"/>
            <w:vAlign w:val="center"/>
          </w:tcPr>
          <w:p w14:paraId="45F0EBA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0E5260C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C6E8C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219B9846">
            <w:pPr>
              <w:pStyle w:val="24"/>
              <w:rPr>
                <w:rFonts w:eastAsia="宋体"/>
                <w:color w:val="auto"/>
                <w:sz w:val="21"/>
                <w:szCs w:val="21"/>
              </w:rPr>
            </w:pPr>
          </w:p>
        </w:tc>
        <w:tc>
          <w:tcPr>
            <w:tcW w:w="725" w:type="pct"/>
            <w:vMerge w:val="continue"/>
            <w:vAlign w:val="center"/>
          </w:tcPr>
          <w:p w14:paraId="77DC9B23">
            <w:pPr>
              <w:pStyle w:val="24"/>
              <w:rPr>
                <w:rFonts w:eastAsia="宋体"/>
                <w:color w:val="auto"/>
                <w:sz w:val="21"/>
                <w:szCs w:val="21"/>
              </w:rPr>
            </w:pPr>
          </w:p>
        </w:tc>
        <w:tc>
          <w:tcPr>
            <w:tcW w:w="726" w:type="pct"/>
            <w:shd w:val="clear" w:color="auto" w:fill="auto"/>
            <w:vAlign w:val="center"/>
          </w:tcPr>
          <w:p w14:paraId="1A594E5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10C55D2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5.30E-07</w:t>
            </w:r>
          </w:p>
        </w:tc>
        <w:tc>
          <w:tcPr>
            <w:tcW w:w="985" w:type="pct"/>
            <w:shd w:val="clear" w:color="auto" w:fill="auto"/>
            <w:vAlign w:val="center"/>
          </w:tcPr>
          <w:p w14:paraId="5EB0751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1F5B9A3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681EB7E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87818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1C463B10">
            <w:pPr>
              <w:pStyle w:val="24"/>
              <w:rPr>
                <w:rFonts w:eastAsia="宋体"/>
                <w:color w:val="auto"/>
                <w:sz w:val="21"/>
                <w:szCs w:val="21"/>
              </w:rPr>
            </w:pPr>
          </w:p>
        </w:tc>
        <w:tc>
          <w:tcPr>
            <w:tcW w:w="725" w:type="pct"/>
            <w:vMerge w:val="restart"/>
            <w:shd w:val="clear" w:color="auto" w:fill="auto"/>
            <w:vAlign w:val="center"/>
          </w:tcPr>
          <w:p w14:paraId="1451D39A">
            <w:pPr>
              <w:pStyle w:val="24"/>
              <w:ind w:left="0" w:leftChars="0"/>
              <w:rPr>
                <w:rFonts w:hint="eastAsia" w:eastAsia="宋体"/>
                <w:color w:val="auto"/>
                <w:sz w:val="21"/>
                <w:szCs w:val="21"/>
                <w:lang w:val="en-US" w:eastAsia="zh-CN"/>
              </w:rPr>
            </w:pPr>
            <w:r>
              <w:rPr>
                <w:rFonts w:hint="eastAsia"/>
                <w:color w:val="auto"/>
                <w:sz w:val="21"/>
                <w:szCs w:val="21"/>
                <w:lang w:val="en-US" w:eastAsia="zh-CN"/>
              </w:rPr>
              <w:t>通江县城</w:t>
            </w:r>
          </w:p>
        </w:tc>
        <w:tc>
          <w:tcPr>
            <w:tcW w:w="726" w:type="pct"/>
            <w:shd w:val="clear" w:color="auto" w:fill="auto"/>
            <w:vAlign w:val="center"/>
          </w:tcPr>
          <w:p w14:paraId="16E34F6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0F6009D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4.04E-06</w:t>
            </w:r>
          </w:p>
        </w:tc>
        <w:tc>
          <w:tcPr>
            <w:tcW w:w="985" w:type="pct"/>
            <w:shd w:val="clear" w:color="auto" w:fill="auto"/>
            <w:vAlign w:val="center"/>
          </w:tcPr>
          <w:p w14:paraId="07569C8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w:t>
            </w:r>
          </w:p>
        </w:tc>
        <w:tc>
          <w:tcPr>
            <w:tcW w:w="678" w:type="pct"/>
            <w:shd w:val="clear" w:color="auto" w:fill="auto"/>
            <w:vAlign w:val="center"/>
          </w:tcPr>
          <w:p w14:paraId="5839544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0A82BEF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07BAD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422006E0">
            <w:pPr>
              <w:pStyle w:val="24"/>
              <w:rPr>
                <w:rFonts w:eastAsia="宋体"/>
                <w:color w:val="auto"/>
                <w:sz w:val="21"/>
                <w:szCs w:val="21"/>
              </w:rPr>
            </w:pPr>
          </w:p>
        </w:tc>
        <w:tc>
          <w:tcPr>
            <w:tcW w:w="725" w:type="pct"/>
            <w:vMerge w:val="continue"/>
            <w:vAlign w:val="center"/>
          </w:tcPr>
          <w:p w14:paraId="1AF91603">
            <w:pPr>
              <w:pStyle w:val="24"/>
              <w:rPr>
                <w:rFonts w:eastAsia="宋体"/>
                <w:color w:val="auto"/>
                <w:sz w:val="21"/>
                <w:szCs w:val="21"/>
              </w:rPr>
            </w:pPr>
          </w:p>
        </w:tc>
        <w:tc>
          <w:tcPr>
            <w:tcW w:w="726" w:type="pct"/>
            <w:shd w:val="clear" w:color="auto" w:fill="auto"/>
            <w:vAlign w:val="center"/>
          </w:tcPr>
          <w:p w14:paraId="4BD8CEE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1DD0D5D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9.00E-08</w:t>
            </w:r>
          </w:p>
        </w:tc>
        <w:tc>
          <w:tcPr>
            <w:tcW w:w="985" w:type="pct"/>
            <w:shd w:val="clear" w:color="auto" w:fill="auto"/>
            <w:vAlign w:val="center"/>
          </w:tcPr>
          <w:p w14:paraId="019269D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3B4542C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581" w:type="pct"/>
            <w:shd w:val="clear" w:color="auto" w:fill="auto"/>
            <w:vAlign w:val="center"/>
          </w:tcPr>
          <w:p w14:paraId="6C15859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79A83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326C904F">
            <w:pPr>
              <w:pStyle w:val="24"/>
              <w:rPr>
                <w:rFonts w:eastAsia="宋体"/>
                <w:color w:val="auto"/>
                <w:sz w:val="21"/>
                <w:szCs w:val="21"/>
              </w:rPr>
            </w:pPr>
          </w:p>
        </w:tc>
        <w:tc>
          <w:tcPr>
            <w:tcW w:w="725" w:type="pct"/>
            <w:vMerge w:val="restart"/>
            <w:shd w:val="clear" w:color="auto" w:fill="auto"/>
            <w:vAlign w:val="center"/>
          </w:tcPr>
          <w:p w14:paraId="28DB23DF">
            <w:pPr>
              <w:pStyle w:val="24"/>
              <w:rPr>
                <w:rFonts w:hint="default" w:eastAsia="宋体"/>
                <w:color w:val="auto"/>
                <w:sz w:val="21"/>
                <w:szCs w:val="21"/>
                <w:lang w:val="en-US" w:eastAsia="zh-CN"/>
              </w:rPr>
            </w:pPr>
            <w:r>
              <w:rPr>
                <w:rFonts w:hint="eastAsia" w:eastAsia="宋体"/>
                <w:color w:val="auto"/>
                <w:sz w:val="21"/>
                <w:szCs w:val="21"/>
              </w:rPr>
              <w:t>区域最大落地浓度</w:t>
            </w:r>
          </w:p>
        </w:tc>
        <w:tc>
          <w:tcPr>
            <w:tcW w:w="726" w:type="pct"/>
            <w:shd w:val="clear" w:color="auto" w:fill="auto"/>
            <w:vAlign w:val="center"/>
          </w:tcPr>
          <w:p w14:paraId="221F47D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2C511FE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7.71E-04</w:t>
            </w:r>
          </w:p>
        </w:tc>
        <w:tc>
          <w:tcPr>
            <w:tcW w:w="985" w:type="pct"/>
            <w:shd w:val="clear" w:color="auto" w:fill="auto"/>
            <w:vAlign w:val="center"/>
          </w:tcPr>
          <w:p w14:paraId="7CDDFF2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250308</w:t>
            </w:r>
          </w:p>
          <w:p w14:paraId="1DFFFC0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（195,-53）</w:t>
            </w:r>
          </w:p>
        </w:tc>
        <w:tc>
          <w:tcPr>
            <w:tcW w:w="678" w:type="pct"/>
            <w:shd w:val="clear" w:color="auto" w:fill="auto"/>
            <w:vAlign w:val="center"/>
          </w:tcPr>
          <w:p w14:paraId="4ECB470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0.26</w:t>
            </w:r>
          </w:p>
        </w:tc>
        <w:tc>
          <w:tcPr>
            <w:tcW w:w="581" w:type="pct"/>
            <w:shd w:val="clear" w:color="auto" w:fill="auto"/>
            <w:vAlign w:val="center"/>
          </w:tcPr>
          <w:p w14:paraId="4D1690E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97E4D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21E4F8CF">
            <w:pPr>
              <w:pStyle w:val="24"/>
              <w:rPr>
                <w:rFonts w:eastAsia="宋体"/>
                <w:color w:val="auto"/>
                <w:sz w:val="21"/>
                <w:szCs w:val="21"/>
              </w:rPr>
            </w:pPr>
          </w:p>
        </w:tc>
        <w:tc>
          <w:tcPr>
            <w:tcW w:w="725" w:type="pct"/>
            <w:vMerge w:val="continue"/>
            <w:vAlign w:val="center"/>
          </w:tcPr>
          <w:p w14:paraId="3F616FA5">
            <w:pPr>
              <w:pStyle w:val="24"/>
              <w:rPr>
                <w:rFonts w:eastAsia="宋体"/>
                <w:color w:val="auto"/>
                <w:sz w:val="21"/>
                <w:szCs w:val="21"/>
              </w:rPr>
            </w:pPr>
          </w:p>
        </w:tc>
        <w:tc>
          <w:tcPr>
            <w:tcW w:w="726" w:type="pct"/>
            <w:shd w:val="clear" w:color="auto" w:fill="auto"/>
            <w:vAlign w:val="center"/>
          </w:tcPr>
          <w:p w14:paraId="297D2FF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002B8B0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5.76E-05</w:t>
            </w:r>
          </w:p>
        </w:tc>
        <w:tc>
          <w:tcPr>
            <w:tcW w:w="985" w:type="pct"/>
            <w:shd w:val="clear" w:color="auto" w:fill="auto"/>
            <w:vAlign w:val="center"/>
          </w:tcPr>
          <w:p w14:paraId="5BFF970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p w14:paraId="34BCCA7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（195,-53）</w:t>
            </w:r>
          </w:p>
        </w:tc>
        <w:tc>
          <w:tcPr>
            <w:tcW w:w="678" w:type="pct"/>
            <w:shd w:val="clear" w:color="auto" w:fill="auto"/>
            <w:vAlign w:val="center"/>
          </w:tcPr>
          <w:p w14:paraId="57EF9D6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0.03</w:t>
            </w:r>
          </w:p>
        </w:tc>
        <w:tc>
          <w:tcPr>
            <w:tcW w:w="581" w:type="pct"/>
            <w:shd w:val="clear" w:color="auto" w:fill="auto"/>
            <w:vAlign w:val="center"/>
          </w:tcPr>
          <w:p w14:paraId="0E08B89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7A019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53F3145C">
            <w:pPr>
              <w:pStyle w:val="24"/>
              <w:rPr>
                <w:rFonts w:eastAsia="宋体"/>
                <w:color w:val="auto"/>
                <w:sz w:val="21"/>
                <w:szCs w:val="21"/>
              </w:rPr>
            </w:pPr>
          </w:p>
        </w:tc>
        <w:tc>
          <w:tcPr>
            <w:tcW w:w="725" w:type="pct"/>
            <w:vMerge w:val="restart"/>
            <w:shd w:val="clear" w:color="auto" w:fill="auto"/>
            <w:vAlign w:val="center"/>
          </w:tcPr>
          <w:p w14:paraId="64167B4E">
            <w:pPr>
              <w:pStyle w:val="24"/>
              <w:rPr>
                <w:rFonts w:eastAsia="宋体"/>
                <w:color w:val="auto"/>
                <w:sz w:val="21"/>
                <w:szCs w:val="21"/>
              </w:rPr>
            </w:pPr>
            <w:r>
              <w:rPr>
                <w:rFonts w:hint="eastAsia" w:eastAsia="宋体"/>
                <w:color w:val="auto"/>
                <w:sz w:val="21"/>
                <w:szCs w:val="21"/>
                <w:lang w:val="en-US" w:eastAsia="zh-CN"/>
              </w:rPr>
              <w:t>厂界浓度</w:t>
            </w:r>
          </w:p>
        </w:tc>
        <w:tc>
          <w:tcPr>
            <w:tcW w:w="726" w:type="pct"/>
            <w:shd w:val="clear" w:color="auto" w:fill="auto"/>
            <w:vAlign w:val="center"/>
          </w:tcPr>
          <w:p w14:paraId="14AA8D9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日平均</w:t>
            </w:r>
          </w:p>
        </w:tc>
        <w:tc>
          <w:tcPr>
            <w:tcW w:w="813" w:type="pct"/>
            <w:shd w:val="clear" w:color="auto" w:fill="auto"/>
            <w:vAlign w:val="center"/>
          </w:tcPr>
          <w:p w14:paraId="612F405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4.33E-04</w:t>
            </w:r>
          </w:p>
        </w:tc>
        <w:tc>
          <w:tcPr>
            <w:tcW w:w="985" w:type="pct"/>
            <w:shd w:val="clear" w:color="auto" w:fill="auto"/>
            <w:vAlign w:val="center"/>
          </w:tcPr>
          <w:p w14:paraId="2F63D93D">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250531</w:t>
            </w:r>
          </w:p>
        </w:tc>
        <w:tc>
          <w:tcPr>
            <w:tcW w:w="678" w:type="pct"/>
            <w:shd w:val="clear" w:color="auto" w:fill="auto"/>
            <w:vAlign w:val="center"/>
          </w:tcPr>
          <w:p w14:paraId="3197AA2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0.14</w:t>
            </w:r>
          </w:p>
        </w:tc>
        <w:tc>
          <w:tcPr>
            <w:tcW w:w="581" w:type="pct"/>
            <w:shd w:val="clear" w:color="auto" w:fill="auto"/>
            <w:vAlign w:val="center"/>
          </w:tcPr>
          <w:p w14:paraId="21377E9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B221C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89" w:type="pct"/>
            <w:vMerge w:val="continue"/>
            <w:vAlign w:val="center"/>
          </w:tcPr>
          <w:p w14:paraId="18239842">
            <w:pPr>
              <w:pStyle w:val="24"/>
              <w:rPr>
                <w:rFonts w:eastAsia="宋体"/>
                <w:color w:val="auto"/>
                <w:sz w:val="21"/>
                <w:szCs w:val="21"/>
              </w:rPr>
            </w:pPr>
          </w:p>
        </w:tc>
        <w:tc>
          <w:tcPr>
            <w:tcW w:w="725" w:type="pct"/>
            <w:vMerge w:val="continue"/>
            <w:vAlign w:val="center"/>
          </w:tcPr>
          <w:p w14:paraId="3569D912">
            <w:pPr>
              <w:pStyle w:val="24"/>
              <w:rPr>
                <w:rFonts w:eastAsia="宋体"/>
                <w:color w:val="auto"/>
                <w:sz w:val="21"/>
                <w:szCs w:val="21"/>
              </w:rPr>
            </w:pPr>
          </w:p>
        </w:tc>
        <w:tc>
          <w:tcPr>
            <w:tcW w:w="726" w:type="pct"/>
            <w:shd w:val="clear" w:color="auto" w:fill="auto"/>
            <w:vAlign w:val="center"/>
          </w:tcPr>
          <w:p w14:paraId="7E0F991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年平均</w:t>
            </w:r>
          </w:p>
        </w:tc>
        <w:tc>
          <w:tcPr>
            <w:tcW w:w="813" w:type="pct"/>
            <w:shd w:val="clear" w:color="auto" w:fill="auto"/>
            <w:vAlign w:val="center"/>
          </w:tcPr>
          <w:p w14:paraId="0693F79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8.36E-05</w:t>
            </w:r>
          </w:p>
        </w:tc>
        <w:tc>
          <w:tcPr>
            <w:tcW w:w="985" w:type="pct"/>
            <w:shd w:val="clear" w:color="auto" w:fill="auto"/>
            <w:vAlign w:val="center"/>
          </w:tcPr>
          <w:p w14:paraId="127D578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平均值</w:t>
            </w:r>
          </w:p>
        </w:tc>
        <w:tc>
          <w:tcPr>
            <w:tcW w:w="678" w:type="pct"/>
            <w:shd w:val="clear" w:color="auto" w:fill="auto"/>
            <w:vAlign w:val="center"/>
          </w:tcPr>
          <w:p w14:paraId="5966D05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0.04</w:t>
            </w:r>
          </w:p>
        </w:tc>
        <w:tc>
          <w:tcPr>
            <w:tcW w:w="581" w:type="pct"/>
            <w:shd w:val="clear" w:color="auto" w:fill="auto"/>
            <w:vAlign w:val="center"/>
          </w:tcPr>
          <w:p w14:paraId="769FBD3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3305D8C3">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本项目氟化物贡献质量浓度预测结果表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0587D4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742D42D3">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679C1D63">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49A3244E">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2F5CD1DA">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69A10F1C">
            <w:pPr>
              <w:pStyle w:val="24"/>
              <w:rPr>
                <w:rFonts w:hint="eastAsia" w:eastAsia="宋体"/>
                <w:b/>
                <w:bCs/>
                <w:color w:val="auto"/>
                <w:sz w:val="21"/>
                <w:szCs w:val="21"/>
              </w:rPr>
            </w:pPr>
            <w:r>
              <w:rPr>
                <w:rFonts w:hint="eastAsia" w:eastAsia="宋体"/>
                <w:b/>
                <w:bCs/>
                <w:color w:val="auto"/>
                <w:sz w:val="21"/>
                <w:szCs w:val="21"/>
              </w:rPr>
              <w:t>出现时间</w:t>
            </w:r>
          </w:p>
          <w:p w14:paraId="5E79B0CD">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023ADA55">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517B9BCD">
            <w:pPr>
              <w:pStyle w:val="24"/>
              <w:rPr>
                <w:rFonts w:eastAsia="宋体"/>
                <w:b/>
                <w:bCs/>
                <w:color w:val="auto"/>
                <w:sz w:val="21"/>
                <w:szCs w:val="21"/>
              </w:rPr>
            </w:pPr>
            <w:r>
              <w:rPr>
                <w:rFonts w:hint="eastAsia" w:eastAsia="宋体"/>
                <w:b/>
                <w:bCs/>
                <w:color w:val="auto"/>
                <w:sz w:val="21"/>
                <w:szCs w:val="21"/>
              </w:rPr>
              <w:t>达标情况</w:t>
            </w:r>
          </w:p>
        </w:tc>
      </w:tr>
      <w:tr w14:paraId="725443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2C0D1B8E">
            <w:pPr>
              <w:pStyle w:val="24"/>
              <w:rPr>
                <w:rFonts w:hint="default" w:eastAsia="宋体"/>
                <w:color w:val="auto"/>
                <w:sz w:val="21"/>
                <w:szCs w:val="21"/>
                <w:lang w:val="en-US" w:eastAsia="zh-CN"/>
              </w:rPr>
            </w:pPr>
            <w:r>
              <w:rPr>
                <w:rFonts w:hint="eastAsia" w:eastAsia="宋体"/>
                <w:color w:val="auto"/>
                <w:lang w:val="en-US" w:eastAsia="zh-CN"/>
              </w:rPr>
              <w:t>氟化物</w:t>
            </w:r>
          </w:p>
        </w:tc>
        <w:tc>
          <w:tcPr>
            <w:tcW w:w="1451" w:type="dxa"/>
            <w:vMerge w:val="restart"/>
            <w:shd w:val="clear" w:color="auto" w:fill="auto"/>
            <w:vAlign w:val="center"/>
          </w:tcPr>
          <w:p w14:paraId="63F3C6D0">
            <w:pPr>
              <w:pStyle w:val="24"/>
              <w:ind w:left="0" w:leftChars="0"/>
              <w:rPr>
                <w:rFonts w:hint="eastAsia"/>
                <w:color w:val="auto"/>
                <w:sz w:val="21"/>
                <w:szCs w:val="21"/>
                <w:lang w:val="en-US" w:eastAsia="zh-CN"/>
              </w:rPr>
            </w:pPr>
            <w:r>
              <w:rPr>
                <w:rFonts w:hint="eastAsia"/>
                <w:color w:val="auto"/>
                <w:sz w:val="21"/>
                <w:szCs w:val="21"/>
                <w:lang w:val="en-US" w:eastAsia="zh-CN"/>
              </w:rPr>
              <w:t>东北侧散户</w:t>
            </w:r>
          </w:p>
        </w:tc>
        <w:tc>
          <w:tcPr>
            <w:tcW w:w="1453" w:type="dxa"/>
            <w:shd w:val="clear" w:color="auto" w:fill="auto"/>
            <w:vAlign w:val="center"/>
          </w:tcPr>
          <w:p w14:paraId="56C1760D">
            <w:pPr>
              <w:pStyle w:val="24"/>
              <w:ind w:left="0" w:leftChars="0"/>
              <w:rPr>
                <w:rFonts w:hint="eastAsia"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084E1C5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1.53E-03</w:t>
            </w:r>
          </w:p>
        </w:tc>
        <w:tc>
          <w:tcPr>
            <w:tcW w:w="841" w:type="pct"/>
            <w:shd w:val="clear" w:color="auto" w:fill="auto"/>
            <w:vAlign w:val="center"/>
          </w:tcPr>
          <w:p w14:paraId="6230587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25121209</w:t>
            </w:r>
          </w:p>
        </w:tc>
        <w:tc>
          <w:tcPr>
            <w:tcW w:w="715" w:type="pct"/>
            <w:shd w:val="clear" w:color="auto" w:fill="auto"/>
            <w:vAlign w:val="center"/>
          </w:tcPr>
          <w:p w14:paraId="7F58FAF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7.66</w:t>
            </w:r>
          </w:p>
        </w:tc>
        <w:tc>
          <w:tcPr>
            <w:tcW w:w="618" w:type="pct"/>
            <w:shd w:val="clear" w:color="auto" w:fill="auto"/>
            <w:vAlign w:val="center"/>
          </w:tcPr>
          <w:p w14:paraId="31B67F6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4A6E9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080EFC48">
            <w:pPr>
              <w:pStyle w:val="24"/>
              <w:rPr>
                <w:rFonts w:hint="eastAsia" w:eastAsia="宋体"/>
                <w:color w:val="auto"/>
                <w:lang w:val="en-US" w:eastAsia="zh-CN"/>
              </w:rPr>
            </w:pPr>
          </w:p>
        </w:tc>
        <w:tc>
          <w:tcPr>
            <w:tcW w:w="1451" w:type="dxa"/>
            <w:vMerge w:val="continue"/>
            <w:shd w:val="clear" w:color="auto" w:fill="auto"/>
            <w:vAlign w:val="center"/>
          </w:tcPr>
          <w:p w14:paraId="6FAAA61B">
            <w:pPr>
              <w:pStyle w:val="24"/>
              <w:ind w:left="0" w:leftChars="0"/>
              <w:rPr>
                <w:rFonts w:hint="eastAsia"/>
                <w:color w:val="auto"/>
                <w:sz w:val="21"/>
                <w:szCs w:val="21"/>
                <w:lang w:val="en-US" w:eastAsia="zh-CN"/>
              </w:rPr>
            </w:pPr>
          </w:p>
        </w:tc>
        <w:tc>
          <w:tcPr>
            <w:tcW w:w="1453" w:type="dxa"/>
            <w:shd w:val="clear" w:color="auto" w:fill="auto"/>
            <w:vAlign w:val="center"/>
          </w:tcPr>
          <w:p w14:paraId="16BAA958">
            <w:pPr>
              <w:pStyle w:val="24"/>
              <w:ind w:left="0" w:leftChars="0"/>
              <w:rPr>
                <w:rFonts w:hint="eastAsia" w:eastAsia="宋体"/>
                <w:color w:val="auto"/>
                <w:sz w:val="21"/>
                <w:szCs w:val="21"/>
                <w:lang w:val="en-US" w:eastAsia="zh-CN"/>
              </w:rPr>
            </w:pPr>
            <w:r>
              <w:rPr>
                <w:rFonts w:hint="eastAsia" w:eastAsia="宋体"/>
                <w:color w:val="auto"/>
                <w:sz w:val="21"/>
                <w:szCs w:val="21"/>
              </w:rPr>
              <w:t>日平均</w:t>
            </w:r>
          </w:p>
        </w:tc>
        <w:tc>
          <w:tcPr>
            <w:tcW w:w="770" w:type="pct"/>
            <w:shd w:val="clear" w:color="auto" w:fill="auto"/>
            <w:vAlign w:val="center"/>
          </w:tcPr>
          <w:p w14:paraId="17FD83E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1.01E-04</w:t>
            </w:r>
          </w:p>
        </w:tc>
        <w:tc>
          <w:tcPr>
            <w:tcW w:w="841" w:type="pct"/>
            <w:shd w:val="clear" w:color="auto" w:fill="auto"/>
            <w:vAlign w:val="center"/>
          </w:tcPr>
          <w:p w14:paraId="50E83C9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250501</w:t>
            </w:r>
          </w:p>
        </w:tc>
        <w:tc>
          <w:tcPr>
            <w:tcW w:w="715" w:type="pct"/>
            <w:shd w:val="clear" w:color="auto" w:fill="auto"/>
            <w:vAlign w:val="center"/>
          </w:tcPr>
          <w:p w14:paraId="26B0811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1.45</w:t>
            </w:r>
          </w:p>
        </w:tc>
        <w:tc>
          <w:tcPr>
            <w:tcW w:w="618" w:type="pct"/>
            <w:shd w:val="clear" w:color="auto" w:fill="auto"/>
            <w:vAlign w:val="center"/>
          </w:tcPr>
          <w:p w14:paraId="190DAB5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12F7C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3397575A">
            <w:pPr>
              <w:pStyle w:val="24"/>
              <w:rPr>
                <w:rFonts w:hint="default" w:eastAsia="宋体"/>
                <w:color w:val="auto"/>
                <w:sz w:val="21"/>
                <w:szCs w:val="21"/>
                <w:lang w:val="en-US" w:eastAsia="zh-CN"/>
              </w:rPr>
            </w:pPr>
          </w:p>
        </w:tc>
        <w:tc>
          <w:tcPr>
            <w:tcW w:w="762" w:type="pct"/>
            <w:vMerge w:val="restart"/>
            <w:shd w:val="clear" w:color="auto" w:fill="auto"/>
            <w:vAlign w:val="center"/>
          </w:tcPr>
          <w:p w14:paraId="5B8E01BF">
            <w:pPr>
              <w:pStyle w:val="24"/>
              <w:ind w:left="0" w:leftChars="0"/>
              <w:rPr>
                <w:rFonts w:hint="default" w:eastAsia="宋体"/>
                <w:color w:val="auto"/>
                <w:sz w:val="21"/>
                <w:szCs w:val="21"/>
                <w:lang w:val="en-US" w:eastAsia="zh-CN"/>
              </w:rPr>
            </w:pPr>
            <w:r>
              <w:rPr>
                <w:rFonts w:hint="eastAsia"/>
                <w:color w:val="auto"/>
                <w:sz w:val="21"/>
                <w:szCs w:val="21"/>
                <w:lang w:val="en-US" w:eastAsia="zh-CN"/>
              </w:rPr>
              <w:t>金堂村</w:t>
            </w:r>
          </w:p>
        </w:tc>
        <w:tc>
          <w:tcPr>
            <w:tcW w:w="763" w:type="pct"/>
            <w:shd w:val="clear" w:color="auto" w:fill="auto"/>
            <w:vAlign w:val="center"/>
          </w:tcPr>
          <w:p w14:paraId="7CEE4EC9">
            <w:pPr>
              <w:pStyle w:val="24"/>
              <w:ind w:left="0" w:leftChars="0"/>
              <w:rPr>
                <w:rFonts w:hint="default"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40725BC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5.55E-04</w:t>
            </w:r>
          </w:p>
        </w:tc>
        <w:tc>
          <w:tcPr>
            <w:tcW w:w="841" w:type="pct"/>
            <w:shd w:val="clear" w:color="auto" w:fill="auto"/>
            <w:vAlign w:val="center"/>
          </w:tcPr>
          <w:p w14:paraId="35A95F2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25121702</w:t>
            </w:r>
          </w:p>
        </w:tc>
        <w:tc>
          <w:tcPr>
            <w:tcW w:w="715" w:type="pct"/>
            <w:shd w:val="clear" w:color="auto" w:fill="auto"/>
            <w:vAlign w:val="center"/>
          </w:tcPr>
          <w:p w14:paraId="7B14192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2.78</w:t>
            </w:r>
          </w:p>
        </w:tc>
        <w:tc>
          <w:tcPr>
            <w:tcW w:w="618" w:type="pct"/>
            <w:shd w:val="clear" w:color="auto" w:fill="auto"/>
            <w:vAlign w:val="center"/>
          </w:tcPr>
          <w:p w14:paraId="451F334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E49A8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AC27254">
            <w:pPr>
              <w:pStyle w:val="24"/>
              <w:rPr>
                <w:rFonts w:eastAsia="宋体"/>
                <w:color w:val="auto"/>
                <w:sz w:val="21"/>
                <w:szCs w:val="21"/>
              </w:rPr>
            </w:pPr>
          </w:p>
        </w:tc>
        <w:tc>
          <w:tcPr>
            <w:tcW w:w="762" w:type="pct"/>
            <w:vMerge w:val="continue"/>
            <w:vAlign w:val="center"/>
          </w:tcPr>
          <w:p w14:paraId="2BE2195E">
            <w:pPr>
              <w:pStyle w:val="24"/>
              <w:rPr>
                <w:rFonts w:eastAsia="宋体"/>
                <w:color w:val="auto"/>
                <w:sz w:val="21"/>
                <w:szCs w:val="21"/>
              </w:rPr>
            </w:pPr>
          </w:p>
        </w:tc>
        <w:tc>
          <w:tcPr>
            <w:tcW w:w="763" w:type="pct"/>
            <w:shd w:val="clear" w:color="auto" w:fill="auto"/>
            <w:vAlign w:val="center"/>
          </w:tcPr>
          <w:p w14:paraId="664D93F4">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6235FFC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8.82E-05</w:t>
            </w:r>
          </w:p>
        </w:tc>
        <w:tc>
          <w:tcPr>
            <w:tcW w:w="841" w:type="pct"/>
            <w:shd w:val="clear" w:color="auto" w:fill="auto"/>
            <w:vAlign w:val="center"/>
          </w:tcPr>
          <w:p w14:paraId="20691EB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251228</w:t>
            </w:r>
          </w:p>
        </w:tc>
        <w:tc>
          <w:tcPr>
            <w:tcW w:w="715" w:type="pct"/>
            <w:shd w:val="clear" w:color="auto" w:fill="auto"/>
            <w:vAlign w:val="center"/>
          </w:tcPr>
          <w:p w14:paraId="6731C65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1.26</w:t>
            </w:r>
          </w:p>
        </w:tc>
        <w:tc>
          <w:tcPr>
            <w:tcW w:w="618" w:type="pct"/>
            <w:shd w:val="clear" w:color="auto" w:fill="auto"/>
            <w:vAlign w:val="center"/>
          </w:tcPr>
          <w:p w14:paraId="5E4A51C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692DC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6C118FA">
            <w:pPr>
              <w:pStyle w:val="24"/>
              <w:rPr>
                <w:rFonts w:eastAsia="宋体"/>
                <w:color w:val="auto"/>
                <w:sz w:val="21"/>
                <w:szCs w:val="21"/>
              </w:rPr>
            </w:pPr>
          </w:p>
        </w:tc>
        <w:tc>
          <w:tcPr>
            <w:tcW w:w="762" w:type="pct"/>
            <w:vMerge w:val="restart"/>
            <w:shd w:val="clear" w:color="auto" w:fill="auto"/>
            <w:vAlign w:val="center"/>
          </w:tcPr>
          <w:p w14:paraId="1FBCE9B3">
            <w:pPr>
              <w:pStyle w:val="24"/>
              <w:ind w:left="0" w:leftChars="0"/>
              <w:rPr>
                <w:rFonts w:hint="default" w:eastAsia="宋体"/>
                <w:color w:val="auto"/>
                <w:sz w:val="21"/>
                <w:szCs w:val="21"/>
                <w:lang w:val="en-US" w:eastAsia="zh-CN"/>
              </w:rPr>
            </w:pPr>
            <w:r>
              <w:rPr>
                <w:rFonts w:hint="eastAsia"/>
                <w:color w:val="auto"/>
                <w:sz w:val="21"/>
                <w:szCs w:val="21"/>
                <w:lang w:val="en-US" w:eastAsia="zh-CN"/>
              </w:rPr>
              <w:t>亮垭村</w:t>
            </w:r>
          </w:p>
        </w:tc>
        <w:tc>
          <w:tcPr>
            <w:tcW w:w="763" w:type="pct"/>
            <w:shd w:val="clear" w:color="auto" w:fill="auto"/>
            <w:vAlign w:val="center"/>
          </w:tcPr>
          <w:p w14:paraId="27E9D7CD">
            <w:pPr>
              <w:pStyle w:val="24"/>
              <w:ind w:left="0" w:leftChars="0"/>
              <w:rPr>
                <w:rFonts w:hint="default"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791D7EA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4.71E-05</w:t>
            </w:r>
          </w:p>
        </w:tc>
        <w:tc>
          <w:tcPr>
            <w:tcW w:w="841" w:type="pct"/>
            <w:shd w:val="clear" w:color="auto" w:fill="auto"/>
            <w:vAlign w:val="center"/>
          </w:tcPr>
          <w:p w14:paraId="2BA41C0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25010319</w:t>
            </w:r>
          </w:p>
        </w:tc>
        <w:tc>
          <w:tcPr>
            <w:tcW w:w="715" w:type="pct"/>
            <w:shd w:val="clear" w:color="auto" w:fill="auto"/>
            <w:vAlign w:val="center"/>
          </w:tcPr>
          <w:p w14:paraId="6411A7B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0.24</w:t>
            </w:r>
          </w:p>
        </w:tc>
        <w:tc>
          <w:tcPr>
            <w:tcW w:w="618" w:type="pct"/>
            <w:shd w:val="clear" w:color="auto" w:fill="auto"/>
            <w:vAlign w:val="center"/>
          </w:tcPr>
          <w:p w14:paraId="69CEF73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CBCD4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7CEF3CF1">
            <w:pPr>
              <w:pStyle w:val="24"/>
              <w:rPr>
                <w:rFonts w:eastAsia="宋体"/>
                <w:color w:val="auto"/>
                <w:sz w:val="21"/>
                <w:szCs w:val="21"/>
              </w:rPr>
            </w:pPr>
          </w:p>
        </w:tc>
        <w:tc>
          <w:tcPr>
            <w:tcW w:w="762" w:type="pct"/>
            <w:vMerge w:val="continue"/>
            <w:vAlign w:val="center"/>
          </w:tcPr>
          <w:p w14:paraId="63C548E3">
            <w:pPr>
              <w:pStyle w:val="24"/>
              <w:rPr>
                <w:rFonts w:eastAsia="宋体"/>
                <w:color w:val="auto"/>
                <w:sz w:val="21"/>
                <w:szCs w:val="21"/>
              </w:rPr>
            </w:pPr>
          </w:p>
        </w:tc>
        <w:tc>
          <w:tcPr>
            <w:tcW w:w="763" w:type="pct"/>
            <w:shd w:val="clear" w:color="auto" w:fill="auto"/>
            <w:vAlign w:val="center"/>
          </w:tcPr>
          <w:p w14:paraId="7B600B40">
            <w:pPr>
              <w:pStyle w:val="24"/>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1858539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2.51E-06</w:t>
            </w:r>
          </w:p>
        </w:tc>
        <w:tc>
          <w:tcPr>
            <w:tcW w:w="841" w:type="pct"/>
            <w:shd w:val="clear" w:color="auto" w:fill="auto"/>
            <w:vAlign w:val="center"/>
          </w:tcPr>
          <w:p w14:paraId="6E4FB8E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250222</w:t>
            </w:r>
          </w:p>
        </w:tc>
        <w:tc>
          <w:tcPr>
            <w:tcW w:w="715" w:type="pct"/>
            <w:shd w:val="clear" w:color="auto" w:fill="auto"/>
            <w:vAlign w:val="center"/>
          </w:tcPr>
          <w:p w14:paraId="0699B70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0.04</w:t>
            </w:r>
          </w:p>
        </w:tc>
        <w:tc>
          <w:tcPr>
            <w:tcW w:w="618" w:type="pct"/>
            <w:shd w:val="clear" w:color="auto" w:fill="auto"/>
            <w:vAlign w:val="center"/>
          </w:tcPr>
          <w:p w14:paraId="6D16D17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F6A25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C67D6C4">
            <w:pPr>
              <w:pStyle w:val="24"/>
              <w:rPr>
                <w:rFonts w:eastAsia="宋体"/>
                <w:color w:val="auto"/>
                <w:sz w:val="21"/>
                <w:szCs w:val="21"/>
              </w:rPr>
            </w:pPr>
          </w:p>
        </w:tc>
        <w:tc>
          <w:tcPr>
            <w:tcW w:w="762" w:type="pct"/>
            <w:vMerge w:val="restart"/>
            <w:shd w:val="clear" w:color="auto" w:fill="auto"/>
            <w:vAlign w:val="center"/>
          </w:tcPr>
          <w:p w14:paraId="20DB8586">
            <w:pPr>
              <w:pStyle w:val="24"/>
              <w:ind w:left="0" w:leftChars="0"/>
              <w:rPr>
                <w:rFonts w:hint="default" w:eastAsia="宋体"/>
                <w:color w:val="auto"/>
                <w:sz w:val="21"/>
                <w:szCs w:val="21"/>
                <w:lang w:val="en-US" w:eastAsia="zh-CN"/>
              </w:rPr>
            </w:pPr>
            <w:r>
              <w:rPr>
                <w:rFonts w:hint="eastAsia"/>
                <w:color w:val="auto"/>
                <w:sz w:val="21"/>
                <w:szCs w:val="21"/>
                <w:lang w:val="en-US" w:eastAsia="zh-CN"/>
              </w:rPr>
              <w:t>秋锦山村</w:t>
            </w:r>
          </w:p>
        </w:tc>
        <w:tc>
          <w:tcPr>
            <w:tcW w:w="763" w:type="pct"/>
            <w:shd w:val="clear" w:color="auto" w:fill="auto"/>
            <w:vAlign w:val="center"/>
          </w:tcPr>
          <w:p w14:paraId="1C12DBB3">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2543A08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5.16E-05</w:t>
            </w:r>
          </w:p>
        </w:tc>
        <w:tc>
          <w:tcPr>
            <w:tcW w:w="841" w:type="pct"/>
            <w:shd w:val="clear" w:color="auto" w:fill="auto"/>
            <w:vAlign w:val="center"/>
          </w:tcPr>
          <w:p w14:paraId="0E1EEC0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25051707</w:t>
            </w:r>
          </w:p>
        </w:tc>
        <w:tc>
          <w:tcPr>
            <w:tcW w:w="715" w:type="pct"/>
            <w:shd w:val="clear" w:color="auto" w:fill="auto"/>
            <w:vAlign w:val="center"/>
          </w:tcPr>
          <w:p w14:paraId="76312E3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0.26</w:t>
            </w:r>
          </w:p>
        </w:tc>
        <w:tc>
          <w:tcPr>
            <w:tcW w:w="618" w:type="pct"/>
            <w:shd w:val="clear" w:color="auto" w:fill="auto"/>
            <w:vAlign w:val="center"/>
          </w:tcPr>
          <w:p w14:paraId="2AA7066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09071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7B07F2C">
            <w:pPr>
              <w:pStyle w:val="24"/>
              <w:rPr>
                <w:rFonts w:eastAsia="宋体"/>
                <w:color w:val="auto"/>
                <w:sz w:val="21"/>
                <w:szCs w:val="21"/>
              </w:rPr>
            </w:pPr>
          </w:p>
        </w:tc>
        <w:tc>
          <w:tcPr>
            <w:tcW w:w="762" w:type="pct"/>
            <w:vMerge w:val="continue"/>
            <w:vAlign w:val="center"/>
          </w:tcPr>
          <w:p w14:paraId="1ACCC3B3">
            <w:pPr>
              <w:pStyle w:val="24"/>
              <w:rPr>
                <w:rFonts w:eastAsia="宋体"/>
                <w:color w:val="auto"/>
                <w:sz w:val="21"/>
                <w:szCs w:val="21"/>
              </w:rPr>
            </w:pPr>
          </w:p>
        </w:tc>
        <w:tc>
          <w:tcPr>
            <w:tcW w:w="763" w:type="pct"/>
            <w:shd w:val="clear" w:color="auto" w:fill="auto"/>
            <w:vAlign w:val="center"/>
          </w:tcPr>
          <w:p w14:paraId="5D4DA912">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781C608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3.55E-06</w:t>
            </w:r>
          </w:p>
        </w:tc>
        <w:tc>
          <w:tcPr>
            <w:tcW w:w="841" w:type="pct"/>
            <w:shd w:val="clear" w:color="auto" w:fill="auto"/>
            <w:vAlign w:val="center"/>
          </w:tcPr>
          <w:p w14:paraId="6BE49F8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250113</w:t>
            </w:r>
          </w:p>
        </w:tc>
        <w:tc>
          <w:tcPr>
            <w:tcW w:w="715" w:type="pct"/>
            <w:shd w:val="clear" w:color="auto" w:fill="auto"/>
            <w:vAlign w:val="center"/>
          </w:tcPr>
          <w:p w14:paraId="0C1E8AD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51EF543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CF934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C6BD294">
            <w:pPr>
              <w:pStyle w:val="24"/>
              <w:rPr>
                <w:rFonts w:eastAsia="宋体"/>
                <w:color w:val="auto"/>
                <w:sz w:val="21"/>
                <w:szCs w:val="21"/>
              </w:rPr>
            </w:pPr>
          </w:p>
        </w:tc>
        <w:tc>
          <w:tcPr>
            <w:tcW w:w="762" w:type="pct"/>
            <w:vMerge w:val="restart"/>
            <w:shd w:val="clear" w:color="auto" w:fill="auto"/>
            <w:vAlign w:val="center"/>
          </w:tcPr>
          <w:p w14:paraId="4AF719C8">
            <w:pPr>
              <w:pStyle w:val="24"/>
              <w:ind w:left="0" w:leftChars="0"/>
              <w:rPr>
                <w:rFonts w:hint="eastAsia" w:eastAsia="宋体"/>
                <w:color w:val="auto"/>
                <w:sz w:val="21"/>
                <w:szCs w:val="21"/>
                <w:lang w:val="en-US" w:eastAsia="zh-CN"/>
              </w:rPr>
            </w:pPr>
            <w:r>
              <w:rPr>
                <w:rFonts w:hint="eastAsia"/>
                <w:color w:val="auto"/>
                <w:sz w:val="21"/>
                <w:szCs w:val="21"/>
                <w:lang w:val="en-US" w:eastAsia="zh-CN"/>
              </w:rPr>
              <w:t>春在镇</w:t>
            </w:r>
          </w:p>
        </w:tc>
        <w:tc>
          <w:tcPr>
            <w:tcW w:w="763" w:type="pct"/>
            <w:shd w:val="clear" w:color="auto" w:fill="auto"/>
            <w:vAlign w:val="center"/>
          </w:tcPr>
          <w:p w14:paraId="35049934">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1E9BBB6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3.17E-04</w:t>
            </w:r>
          </w:p>
        </w:tc>
        <w:tc>
          <w:tcPr>
            <w:tcW w:w="841" w:type="pct"/>
            <w:shd w:val="clear" w:color="auto" w:fill="auto"/>
            <w:vAlign w:val="center"/>
          </w:tcPr>
          <w:p w14:paraId="0EC2B46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25090720</w:t>
            </w:r>
          </w:p>
        </w:tc>
        <w:tc>
          <w:tcPr>
            <w:tcW w:w="715" w:type="pct"/>
            <w:shd w:val="clear" w:color="auto" w:fill="auto"/>
            <w:vAlign w:val="center"/>
          </w:tcPr>
          <w:p w14:paraId="1E90C48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1.59</w:t>
            </w:r>
          </w:p>
        </w:tc>
        <w:tc>
          <w:tcPr>
            <w:tcW w:w="618" w:type="pct"/>
            <w:shd w:val="clear" w:color="auto" w:fill="auto"/>
            <w:vAlign w:val="center"/>
          </w:tcPr>
          <w:p w14:paraId="47EBB9A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21724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8FCA150">
            <w:pPr>
              <w:pStyle w:val="24"/>
              <w:rPr>
                <w:rFonts w:eastAsia="宋体"/>
                <w:color w:val="auto"/>
                <w:sz w:val="21"/>
                <w:szCs w:val="21"/>
              </w:rPr>
            </w:pPr>
          </w:p>
        </w:tc>
        <w:tc>
          <w:tcPr>
            <w:tcW w:w="762" w:type="pct"/>
            <w:vMerge w:val="continue"/>
            <w:vAlign w:val="center"/>
          </w:tcPr>
          <w:p w14:paraId="7CD5F506">
            <w:pPr>
              <w:pStyle w:val="24"/>
              <w:rPr>
                <w:rFonts w:eastAsia="宋体"/>
                <w:color w:val="auto"/>
                <w:sz w:val="21"/>
                <w:szCs w:val="21"/>
              </w:rPr>
            </w:pPr>
          </w:p>
        </w:tc>
        <w:tc>
          <w:tcPr>
            <w:tcW w:w="763" w:type="pct"/>
            <w:shd w:val="clear" w:color="auto" w:fill="auto"/>
            <w:vAlign w:val="center"/>
          </w:tcPr>
          <w:p w14:paraId="3B0F3F87">
            <w:pPr>
              <w:pStyle w:val="24"/>
              <w:ind w:left="0" w:leftChars="0"/>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2E4958E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2.07E-05</w:t>
            </w:r>
          </w:p>
        </w:tc>
        <w:tc>
          <w:tcPr>
            <w:tcW w:w="841" w:type="pct"/>
            <w:shd w:val="clear" w:color="auto" w:fill="auto"/>
            <w:vAlign w:val="center"/>
          </w:tcPr>
          <w:p w14:paraId="7874EB5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251102</w:t>
            </w:r>
          </w:p>
        </w:tc>
        <w:tc>
          <w:tcPr>
            <w:tcW w:w="715" w:type="pct"/>
            <w:shd w:val="clear" w:color="auto" w:fill="auto"/>
            <w:vAlign w:val="center"/>
          </w:tcPr>
          <w:p w14:paraId="1614360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0.3</w:t>
            </w:r>
          </w:p>
        </w:tc>
        <w:tc>
          <w:tcPr>
            <w:tcW w:w="618" w:type="pct"/>
            <w:shd w:val="clear" w:color="auto" w:fill="auto"/>
            <w:vAlign w:val="center"/>
          </w:tcPr>
          <w:p w14:paraId="0F7D985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96DBE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E7257FD">
            <w:pPr>
              <w:pStyle w:val="24"/>
              <w:rPr>
                <w:rFonts w:eastAsia="宋体"/>
                <w:color w:val="auto"/>
                <w:sz w:val="21"/>
                <w:szCs w:val="21"/>
              </w:rPr>
            </w:pPr>
          </w:p>
        </w:tc>
        <w:tc>
          <w:tcPr>
            <w:tcW w:w="762" w:type="pct"/>
            <w:vMerge w:val="restart"/>
            <w:shd w:val="clear" w:color="auto" w:fill="auto"/>
            <w:vAlign w:val="center"/>
          </w:tcPr>
          <w:p w14:paraId="16737063">
            <w:pPr>
              <w:pStyle w:val="24"/>
              <w:ind w:left="0" w:leftChars="0"/>
              <w:rPr>
                <w:rFonts w:hint="eastAsia" w:eastAsia="宋体"/>
                <w:color w:val="auto"/>
                <w:sz w:val="21"/>
                <w:szCs w:val="21"/>
                <w:lang w:val="en-US" w:eastAsia="zh-CN"/>
              </w:rPr>
            </w:pPr>
            <w:r>
              <w:rPr>
                <w:rFonts w:hint="eastAsia"/>
                <w:color w:val="auto"/>
                <w:sz w:val="21"/>
                <w:szCs w:val="21"/>
                <w:lang w:val="en-US" w:eastAsia="zh-CN"/>
              </w:rPr>
              <w:t>通江县城</w:t>
            </w:r>
          </w:p>
        </w:tc>
        <w:tc>
          <w:tcPr>
            <w:tcW w:w="763" w:type="pct"/>
            <w:shd w:val="clear" w:color="auto" w:fill="auto"/>
            <w:vAlign w:val="center"/>
          </w:tcPr>
          <w:p w14:paraId="113A3B85">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7631E68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3.14E-04</w:t>
            </w:r>
          </w:p>
        </w:tc>
        <w:tc>
          <w:tcPr>
            <w:tcW w:w="841" w:type="pct"/>
            <w:shd w:val="clear" w:color="auto" w:fill="auto"/>
            <w:vAlign w:val="center"/>
          </w:tcPr>
          <w:p w14:paraId="723CC20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25011821</w:t>
            </w:r>
          </w:p>
        </w:tc>
        <w:tc>
          <w:tcPr>
            <w:tcW w:w="715" w:type="pct"/>
            <w:shd w:val="clear" w:color="auto" w:fill="auto"/>
            <w:vAlign w:val="center"/>
          </w:tcPr>
          <w:p w14:paraId="22FE228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1.57</w:t>
            </w:r>
          </w:p>
        </w:tc>
        <w:tc>
          <w:tcPr>
            <w:tcW w:w="618" w:type="pct"/>
            <w:shd w:val="clear" w:color="auto" w:fill="auto"/>
            <w:vAlign w:val="center"/>
          </w:tcPr>
          <w:p w14:paraId="2973FE0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CBCF6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7CE49C04">
            <w:pPr>
              <w:pStyle w:val="24"/>
              <w:rPr>
                <w:rFonts w:eastAsia="宋体"/>
                <w:color w:val="auto"/>
                <w:sz w:val="21"/>
                <w:szCs w:val="21"/>
              </w:rPr>
            </w:pPr>
          </w:p>
        </w:tc>
        <w:tc>
          <w:tcPr>
            <w:tcW w:w="762" w:type="pct"/>
            <w:vMerge w:val="continue"/>
            <w:vAlign w:val="center"/>
          </w:tcPr>
          <w:p w14:paraId="0ACC72C2">
            <w:pPr>
              <w:pStyle w:val="24"/>
              <w:rPr>
                <w:rFonts w:eastAsia="宋体"/>
                <w:color w:val="auto"/>
                <w:sz w:val="21"/>
                <w:szCs w:val="21"/>
              </w:rPr>
            </w:pPr>
          </w:p>
        </w:tc>
        <w:tc>
          <w:tcPr>
            <w:tcW w:w="763" w:type="pct"/>
            <w:shd w:val="clear" w:color="auto" w:fill="auto"/>
            <w:vAlign w:val="center"/>
          </w:tcPr>
          <w:p w14:paraId="4A0A949B">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401CBE9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2.09E-05</w:t>
            </w:r>
          </w:p>
        </w:tc>
        <w:tc>
          <w:tcPr>
            <w:tcW w:w="841" w:type="pct"/>
            <w:shd w:val="clear" w:color="auto" w:fill="auto"/>
            <w:vAlign w:val="center"/>
          </w:tcPr>
          <w:p w14:paraId="3FF6471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w:t>
            </w:r>
          </w:p>
        </w:tc>
        <w:tc>
          <w:tcPr>
            <w:tcW w:w="715" w:type="pct"/>
            <w:shd w:val="clear" w:color="auto" w:fill="auto"/>
            <w:vAlign w:val="center"/>
          </w:tcPr>
          <w:p w14:paraId="19B1A4B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0.3</w:t>
            </w:r>
          </w:p>
        </w:tc>
        <w:tc>
          <w:tcPr>
            <w:tcW w:w="618" w:type="pct"/>
            <w:shd w:val="clear" w:color="auto" w:fill="auto"/>
            <w:vAlign w:val="center"/>
          </w:tcPr>
          <w:p w14:paraId="5852F79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A0626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5E152E9">
            <w:pPr>
              <w:pStyle w:val="24"/>
              <w:rPr>
                <w:rFonts w:eastAsia="宋体"/>
                <w:color w:val="auto"/>
                <w:sz w:val="21"/>
                <w:szCs w:val="21"/>
              </w:rPr>
            </w:pPr>
          </w:p>
        </w:tc>
        <w:tc>
          <w:tcPr>
            <w:tcW w:w="762" w:type="pct"/>
            <w:vMerge w:val="restart"/>
            <w:shd w:val="clear" w:color="auto" w:fill="auto"/>
            <w:vAlign w:val="center"/>
          </w:tcPr>
          <w:p w14:paraId="6CE368E0">
            <w:pPr>
              <w:pStyle w:val="24"/>
              <w:rPr>
                <w:rFonts w:hint="default" w:eastAsia="宋体"/>
                <w:color w:val="auto"/>
                <w:sz w:val="21"/>
                <w:szCs w:val="21"/>
                <w:lang w:val="en-US" w:eastAsia="zh-CN"/>
              </w:rPr>
            </w:pPr>
            <w:r>
              <w:rPr>
                <w:rFonts w:hint="eastAsia" w:eastAsia="宋体"/>
                <w:color w:val="auto"/>
                <w:sz w:val="21"/>
                <w:szCs w:val="21"/>
              </w:rPr>
              <w:t>区域最大落地浓度</w:t>
            </w:r>
          </w:p>
        </w:tc>
        <w:tc>
          <w:tcPr>
            <w:tcW w:w="763" w:type="pct"/>
            <w:shd w:val="clear" w:color="auto" w:fill="auto"/>
            <w:vAlign w:val="center"/>
          </w:tcPr>
          <w:p w14:paraId="6F9BEEDD">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13AA237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5.65E-03</w:t>
            </w:r>
          </w:p>
        </w:tc>
        <w:tc>
          <w:tcPr>
            <w:tcW w:w="841" w:type="pct"/>
            <w:shd w:val="clear" w:color="auto" w:fill="auto"/>
            <w:vAlign w:val="center"/>
          </w:tcPr>
          <w:p w14:paraId="401A5D1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25070107</w:t>
            </w:r>
          </w:p>
          <w:p w14:paraId="6F5B634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（95,47）</w:t>
            </w:r>
          </w:p>
        </w:tc>
        <w:tc>
          <w:tcPr>
            <w:tcW w:w="715" w:type="pct"/>
            <w:shd w:val="clear" w:color="auto" w:fill="auto"/>
            <w:vAlign w:val="center"/>
          </w:tcPr>
          <w:p w14:paraId="226EEA1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28.23</w:t>
            </w:r>
          </w:p>
        </w:tc>
        <w:tc>
          <w:tcPr>
            <w:tcW w:w="618" w:type="pct"/>
            <w:shd w:val="clear" w:color="auto" w:fill="auto"/>
            <w:vAlign w:val="center"/>
          </w:tcPr>
          <w:p w14:paraId="7DFEEF3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A2437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4C277E5">
            <w:pPr>
              <w:pStyle w:val="24"/>
              <w:rPr>
                <w:rFonts w:eastAsia="宋体"/>
                <w:color w:val="auto"/>
                <w:sz w:val="21"/>
                <w:szCs w:val="21"/>
              </w:rPr>
            </w:pPr>
          </w:p>
        </w:tc>
        <w:tc>
          <w:tcPr>
            <w:tcW w:w="762" w:type="pct"/>
            <w:vMerge w:val="continue"/>
            <w:vAlign w:val="center"/>
          </w:tcPr>
          <w:p w14:paraId="74152789">
            <w:pPr>
              <w:pStyle w:val="24"/>
              <w:rPr>
                <w:rFonts w:eastAsia="宋体"/>
                <w:color w:val="auto"/>
                <w:sz w:val="21"/>
                <w:szCs w:val="21"/>
              </w:rPr>
            </w:pPr>
          </w:p>
        </w:tc>
        <w:tc>
          <w:tcPr>
            <w:tcW w:w="763" w:type="pct"/>
            <w:shd w:val="clear" w:color="auto" w:fill="auto"/>
            <w:vAlign w:val="center"/>
          </w:tcPr>
          <w:p w14:paraId="512243E1">
            <w:pPr>
              <w:pStyle w:val="24"/>
              <w:ind w:left="0" w:leftChars="0"/>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1B82F05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5.32E-04</w:t>
            </w:r>
          </w:p>
        </w:tc>
        <w:tc>
          <w:tcPr>
            <w:tcW w:w="841" w:type="pct"/>
            <w:shd w:val="clear" w:color="auto" w:fill="auto"/>
            <w:vAlign w:val="center"/>
          </w:tcPr>
          <w:p w14:paraId="776B8E4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250716</w:t>
            </w:r>
          </w:p>
          <w:p w14:paraId="15B3EFE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（95,-53）</w:t>
            </w:r>
          </w:p>
        </w:tc>
        <w:tc>
          <w:tcPr>
            <w:tcW w:w="715" w:type="pct"/>
            <w:shd w:val="clear" w:color="auto" w:fill="auto"/>
            <w:vAlign w:val="center"/>
          </w:tcPr>
          <w:p w14:paraId="050CBBF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7.6</w:t>
            </w:r>
          </w:p>
        </w:tc>
        <w:tc>
          <w:tcPr>
            <w:tcW w:w="618" w:type="pct"/>
            <w:shd w:val="clear" w:color="auto" w:fill="auto"/>
            <w:vAlign w:val="center"/>
          </w:tcPr>
          <w:p w14:paraId="69B097E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444ED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8362057">
            <w:pPr>
              <w:pStyle w:val="24"/>
              <w:rPr>
                <w:rFonts w:eastAsia="宋体"/>
                <w:color w:val="auto"/>
                <w:sz w:val="21"/>
                <w:szCs w:val="21"/>
              </w:rPr>
            </w:pPr>
          </w:p>
        </w:tc>
        <w:tc>
          <w:tcPr>
            <w:tcW w:w="762" w:type="pct"/>
            <w:vMerge w:val="restart"/>
            <w:shd w:val="clear" w:color="auto" w:fill="auto"/>
            <w:vAlign w:val="center"/>
          </w:tcPr>
          <w:p w14:paraId="175FFCDB">
            <w:pPr>
              <w:pStyle w:val="24"/>
              <w:rPr>
                <w:rFonts w:eastAsia="宋体"/>
                <w:color w:val="auto"/>
                <w:sz w:val="21"/>
                <w:szCs w:val="21"/>
              </w:rPr>
            </w:pPr>
            <w:r>
              <w:rPr>
                <w:rFonts w:hint="eastAsia" w:eastAsia="宋体"/>
                <w:color w:val="auto"/>
                <w:sz w:val="21"/>
                <w:szCs w:val="21"/>
                <w:lang w:val="en-US" w:eastAsia="zh-CN"/>
              </w:rPr>
              <w:t>厂界浓度</w:t>
            </w:r>
          </w:p>
        </w:tc>
        <w:tc>
          <w:tcPr>
            <w:tcW w:w="763" w:type="pct"/>
            <w:shd w:val="clear" w:color="auto" w:fill="auto"/>
            <w:vAlign w:val="center"/>
          </w:tcPr>
          <w:p w14:paraId="0CF6D485">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0742F3C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4.08E-03</w:t>
            </w:r>
          </w:p>
        </w:tc>
        <w:tc>
          <w:tcPr>
            <w:tcW w:w="841" w:type="pct"/>
            <w:shd w:val="clear" w:color="auto" w:fill="auto"/>
            <w:vAlign w:val="center"/>
          </w:tcPr>
          <w:p w14:paraId="11DBC30C">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25012212</w:t>
            </w:r>
          </w:p>
        </w:tc>
        <w:tc>
          <w:tcPr>
            <w:tcW w:w="715" w:type="pct"/>
            <w:shd w:val="clear" w:color="auto" w:fill="auto"/>
            <w:vAlign w:val="center"/>
          </w:tcPr>
          <w:p w14:paraId="47F588A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20.39</w:t>
            </w:r>
          </w:p>
        </w:tc>
        <w:tc>
          <w:tcPr>
            <w:tcW w:w="618" w:type="pct"/>
            <w:shd w:val="clear" w:color="auto" w:fill="auto"/>
            <w:vAlign w:val="center"/>
          </w:tcPr>
          <w:p w14:paraId="4B23F2E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B9000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0AA921E">
            <w:pPr>
              <w:pStyle w:val="24"/>
              <w:rPr>
                <w:rFonts w:eastAsia="宋体"/>
                <w:color w:val="auto"/>
                <w:sz w:val="21"/>
                <w:szCs w:val="21"/>
              </w:rPr>
            </w:pPr>
          </w:p>
        </w:tc>
        <w:tc>
          <w:tcPr>
            <w:tcW w:w="762" w:type="pct"/>
            <w:vMerge w:val="continue"/>
            <w:vAlign w:val="center"/>
          </w:tcPr>
          <w:p w14:paraId="4ECACFE9">
            <w:pPr>
              <w:pStyle w:val="24"/>
              <w:rPr>
                <w:rFonts w:eastAsia="宋体"/>
                <w:color w:val="auto"/>
                <w:sz w:val="21"/>
                <w:szCs w:val="21"/>
              </w:rPr>
            </w:pPr>
          </w:p>
        </w:tc>
        <w:tc>
          <w:tcPr>
            <w:tcW w:w="763" w:type="pct"/>
            <w:shd w:val="clear" w:color="auto" w:fill="auto"/>
            <w:vAlign w:val="center"/>
          </w:tcPr>
          <w:p w14:paraId="71209B0F">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40002C0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5.75E-04</w:t>
            </w:r>
          </w:p>
        </w:tc>
        <w:tc>
          <w:tcPr>
            <w:tcW w:w="841" w:type="pct"/>
            <w:shd w:val="clear" w:color="auto" w:fill="auto"/>
            <w:vAlign w:val="center"/>
          </w:tcPr>
          <w:p w14:paraId="3AC38C2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250625</w:t>
            </w:r>
          </w:p>
        </w:tc>
        <w:tc>
          <w:tcPr>
            <w:tcW w:w="715" w:type="pct"/>
            <w:shd w:val="clear" w:color="auto" w:fill="auto"/>
            <w:vAlign w:val="center"/>
          </w:tcPr>
          <w:p w14:paraId="33FFBD5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8.22</w:t>
            </w:r>
          </w:p>
        </w:tc>
        <w:tc>
          <w:tcPr>
            <w:tcW w:w="618" w:type="pct"/>
            <w:shd w:val="clear" w:color="auto" w:fill="auto"/>
            <w:vAlign w:val="center"/>
          </w:tcPr>
          <w:p w14:paraId="254CCE0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36D89B0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本项目氯化物贡献质量浓度预测结果表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5B12C4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67CC1CE4">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2E2CE3B7">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1FCC9A73">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650F4005">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1CF7A4B8">
            <w:pPr>
              <w:pStyle w:val="24"/>
              <w:rPr>
                <w:rFonts w:hint="eastAsia" w:eastAsia="宋体"/>
                <w:b/>
                <w:bCs/>
                <w:color w:val="auto"/>
                <w:sz w:val="21"/>
                <w:szCs w:val="21"/>
              </w:rPr>
            </w:pPr>
            <w:r>
              <w:rPr>
                <w:rFonts w:hint="eastAsia" w:eastAsia="宋体"/>
                <w:b/>
                <w:bCs/>
                <w:color w:val="auto"/>
                <w:sz w:val="21"/>
                <w:szCs w:val="21"/>
              </w:rPr>
              <w:t>出现时间</w:t>
            </w:r>
          </w:p>
          <w:p w14:paraId="5D90E91E">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2C443BAE">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1372457F">
            <w:pPr>
              <w:pStyle w:val="24"/>
              <w:rPr>
                <w:rFonts w:eastAsia="宋体"/>
                <w:b/>
                <w:bCs/>
                <w:color w:val="auto"/>
                <w:sz w:val="21"/>
                <w:szCs w:val="21"/>
              </w:rPr>
            </w:pPr>
            <w:r>
              <w:rPr>
                <w:rFonts w:hint="eastAsia" w:eastAsia="宋体"/>
                <w:b/>
                <w:bCs/>
                <w:color w:val="auto"/>
                <w:sz w:val="21"/>
                <w:szCs w:val="21"/>
              </w:rPr>
              <w:t>达标情况</w:t>
            </w:r>
          </w:p>
        </w:tc>
      </w:tr>
      <w:tr w14:paraId="77757E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287ECB69">
            <w:pPr>
              <w:pStyle w:val="24"/>
              <w:rPr>
                <w:rFonts w:hint="default" w:eastAsia="宋体"/>
                <w:color w:val="auto"/>
                <w:sz w:val="21"/>
                <w:szCs w:val="21"/>
                <w:lang w:val="en-US" w:eastAsia="zh-CN"/>
              </w:rPr>
            </w:pPr>
            <w:r>
              <w:rPr>
                <w:rFonts w:hint="eastAsia" w:eastAsia="宋体"/>
                <w:color w:val="auto"/>
                <w:lang w:val="en-US" w:eastAsia="zh-CN"/>
              </w:rPr>
              <w:t>氯化物</w:t>
            </w:r>
          </w:p>
        </w:tc>
        <w:tc>
          <w:tcPr>
            <w:tcW w:w="1451" w:type="dxa"/>
            <w:vMerge w:val="restart"/>
            <w:shd w:val="clear" w:color="auto" w:fill="auto"/>
            <w:vAlign w:val="center"/>
          </w:tcPr>
          <w:p w14:paraId="64A665A9">
            <w:pPr>
              <w:pStyle w:val="24"/>
              <w:ind w:left="0" w:leftChars="0"/>
              <w:rPr>
                <w:rFonts w:hint="eastAsia"/>
                <w:color w:val="auto"/>
                <w:sz w:val="21"/>
                <w:szCs w:val="21"/>
                <w:lang w:val="en-US" w:eastAsia="zh-CN"/>
              </w:rPr>
            </w:pPr>
            <w:r>
              <w:rPr>
                <w:rFonts w:hint="eastAsia"/>
                <w:color w:val="auto"/>
                <w:sz w:val="21"/>
                <w:szCs w:val="21"/>
                <w:lang w:val="en-US" w:eastAsia="zh-CN"/>
              </w:rPr>
              <w:t>东北侧散户</w:t>
            </w:r>
          </w:p>
        </w:tc>
        <w:tc>
          <w:tcPr>
            <w:tcW w:w="1453" w:type="dxa"/>
            <w:shd w:val="clear" w:color="auto" w:fill="auto"/>
            <w:vAlign w:val="center"/>
          </w:tcPr>
          <w:p w14:paraId="71173E80">
            <w:pPr>
              <w:pStyle w:val="24"/>
              <w:ind w:left="0" w:leftChars="0"/>
              <w:rPr>
                <w:rFonts w:hint="eastAsia"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49409D0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2.10E-07</w:t>
            </w:r>
          </w:p>
        </w:tc>
        <w:tc>
          <w:tcPr>
            <w:tcW w:w="841" w:type="pct"/>
            <w:shd w:val="clear" w:color="auto" w:fill="auto"/>
            <w:vAlign w:val="center"/>
          </w:tcPr>
          <w:p w14:paraId="7D5BC55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25011316</w:t>
            </w:r>
          </w:p>
        </w:tc>
        <w:tc>
          <w:tcPr>
            <w:tcW w:w="1329" w:type="dxa"/>
            <w:shd w:val="clear" w:color="auto" w:fill="auto"/>
            <w:vAlign w:val="center"/>
          </w:tcPr>
          <w:p w14:paraId="39B9776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1144" w:type="dxa"/>
            <w:shd w:val="clear" w:color="auto" w:fill="auto"/>
            <w:vAlign w:val="center"/>
          </w:tcPr>
          <w:p w14:paraId="017FB28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35ED7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7FCEE7C0">
            <w:pPr>
              <w:pStyle w:val="24"/>
              <w:rPr>
                <w:rFonts w:hint="eastAsia" w:eastAsia="宋体"/>
                <w:color w:val="auto"/>
                <w:lang w:val="en-US" w:eastAsia="zh-CN"/>
              </w:rPr>
            </w:pPr>
          </w:p>
        </w:tc>
        <w:tc>
          <w:tcPr>
            <w:tcW w:w="1451" w:type="dxa"/>
            <w:vMerge w:val="continue"/>
            <w:shd w:val="clear" w:color="auto" w:fill="auto"/>
            <w:vAlign w:val="center"/>
          </w:tcPr>
          <w:p w14:paraId="781F374F">
            <w:pPr>
              <w:pStyle w:val="24"/>
              <w:ind w:left="0" w:leftChars="0"/>
              <w:rPr>
                <w:rFonts w:hint="eastAsia"/>
                <w:color w:val="auto"/>
                <w:sz w:val="21"/>
                <w:szCs w:val="21"/>
                <w:lang w:val="en-US" w:eastAsia="zh-CN"/>
              </w:rPr>
            </w:pPr>
          </w:p>
        </w:tc>
        <w:tc>
          <w:tcPr>
            <w:tcW w:w="1453" w:type="dxa"/>
            <w:shd w:val="clear" w:color="auto" w:fill="auto"/>
            <w:vAlign w:val="center"/>
          </w:tcPr>
          <w:p w14:paraId="41D273E1">
            <w:pPr>
              <w:pStyle w:val="24"/>
              <w:ind w:left="0" w:leftChars="0"/>
              <w:rPr>
                <w:rFonts w:hint="eastAsia" w:eastAsia="宋体"/>
                <w:color w:val="auto"/>
                <w:sz w:val="21"/>
                <w:szCs w:val="21"/>
                <w:lang w:val="en-US" w:eastAsia="zh-CN"/>
              </w:rPr>
            </w:pPr>
            <w:r>
              <w:rPr>
                <w:rFonts w:hint="eastAsia" w:eastAsia="宋体"/>
                <w:color w:val="auto"/>
                <w:sz w:val="21"/>
                <w:szCs w:val="21"/>
              </w:rPr>
              <w:t>日平均</w:t>
            </w:r>
          </w:p>
        </w:tc>
        <w:tc>
          <w:tcPr>
            <w:tcW w:w="770" w:type="pct"/>
            <w:shd w:val="clear" w:color="auto" w:fill="auto"/>
            <w:vAlign w:val="center"/>
          </w:tcPr>
          <w:p w14:paraId="77F56D8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1.00E-08</w:t>
            </w:r>
          </w:p>
        </w:tc>
        <w:tc>
          <w:tcPr>
            <w:tcW w:w="841" w:type="pct"/>
            <w:shd w:val="clear" w:color="auto" w:fill="auto"/>
            <w:vAlign w:val="center"/>
          </w:tcPr>
          <w:p w14:paraId="24E1F3F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250113</w:t>
            </w:r>
          </w:p>
        </w:tc>
        <w:tc>
          <w:tcPr>
            <w:tcW w:w="1329" w:type="dxa"/>
            <w:shd w:val="clear" w:color="auto" w:fill="auto"/>
            <w:vAlign w:val="center"/>
          </w:tcPr>
          <w:p w14:paraId="428876D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1144" w:type="dxa"/>
            <w:shd w:val="clear" w:color="auto" w:fill="auto"/>
            <w:vAlign w:val="center"/>
          </w:tcPr>
          <w:p w14:paraId="64597C7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30051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2FDFFF45">
            <w:pPr>
              <w:pStyle w:val="24"/>
              <w:rPr>
                <w:rFonts w:hint="default" w:eastAsia="宋体"/>
                <w:color w:val="auto"/>
                <w:sz w:val="21"/>
                <w:szCs w:val="21"/>
                <w:lang w:val="en-US" w:eastAsia="zh-CN"/>
              </w:rPr>
            </w:pPr>
          </w:p>
        </w:tc>
        <w:tc>
          <w:tcPr>
            <w:tcW w:w="762" w:type="pct"/>
            <w:vMerge w:val="restart"/>
            <w:shd w:val="clear" w:color="auto" w:fill="auto"/>
            <w:vAlign w:val="center"/>
          </w:tcPr>
          <w:p w14:paraId="3F3A6B1C">
            <w:pPr>
              <w:pStyle w:val="24"/>
              <w:ind w:left="0" w:leftChars="0"/>
              <w:rPr>
                <w:rFonts w:hint="default" w:eastAsia="宋体"/>
                <w:color w:val="auto"/>
                <w:sz w:val="21"/>
                <w:szCs w:val="21"/>
                <w:lang w:val="en-US" w:eastAsia="zh-CN"/>
              </w:rPr>
            </w:pPr>
            <w:r>
              <w:rPr>
                <w:rFonts w:hint="eastAsia"/>
                <w:color w:val="auto"/>
                <w:sz w:val="21"/>
                <w:szCs w:val="21"/>
                <w:lang w:val="en-US" w:eastAsia="zh-CN"/>
              </w:rPr>
              <w:t>金堂村</w:t>
            </w:r>
          </w:p>
        </w:tc>
        <w:tc>
          <w:tcPr>
            <w:tcW w:w="763" w:type="pct"/>
            <w:shd w:val="clear" w:color="auto" w:fill="auto"/>
            <w:vAlign w:val="center"/>
          </w:tcPr>
          <w:p w14:paraId="107F26B8">
            <w:pPr>
              <w:pStyle w:val="24"/>
              <w:ind w:left="0" w:leftChars="0"/>
              <w:rPr>
                <w:rFonts w:hint="default"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5F0B889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3.40E-07</w:t>
            </w:r>
          </w:p>
        </w:tc>
        <w:tc>
          <w:tcPr>
            <w:tcW w:w="841" w:type="pct"/>
            <w:shd w:val="clear" w:color="auto" w:fill="auto"/>
            <w:vAlign w:val="center"/>
          </w:tcPr>
          <w:p w14:paraId="2A485C7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25121702</w:t>
            </w:r>
          </w:p>
        </w:tc>
        <w:tc>
          <w:tcPr>
            <w:tcW w:w="715" w:type="pct"/>
            <w:shd w:val="clear" w:color="auto" w:fill="auto"/>
            <w:vAlign w:val="center"/>
          </w:tcPr>
          <w:p w14:paraId="346B212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18841BB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1AE95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85A57FE">
            <w:pPr>
              <w:pStyle w:val="24"/>
              <w:rPr>
                <w:rFonts w:eastAsia="宋体"/>
                <w:color w:val="auto"/>
                <w:sz w:val="21"/>
                <w:szCs w:val="21"/>
              </w:rPr>
            </w:pPr>
          </w:p>
        </w:tc>
        <w:tc>
          <w:tcPr>
            <w:tcW w:w="762" w:type="pct"/>
            <w:vMerge w:val="continue"/>
            <w:vAlign w:val="center"/>
          </w:tcPr>
          <w:p w14:paraId="25B60981">
            <w:pPr>
              <w:pStyle w:val="24"/>
              <w:rPr>
                <w:rFonts w:eastAsia="宋体"/>
                <w:color w:val="auto"/>
                <w:sz w:val="21"/>
                <w:szCs w:val="21"/>
              </w:rPr>
            </w:pPr>
          </w:p>
        </w:tc>
        <w:tc>
          <w:tcPr>
            <w:tcW w:w="763" w:type="pct"/>
            <w:shd w:val="clear" w:color="auto" w:fill="auto"/>
            <w:vAlign w:val="center"/>
          </w:tcPr>
          <w:p w14:paraId="35D65453">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612FAC1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3.00E-08</w:t>
            </w:r>
          </w:p>
        </w:tc>
        <w:tc>
          <w:tcPr>
            <w:tcW w:w="841" w:type="pct"/>
            <w:shd w:val="clear" w:color="auto" w:fill="auto"/>
            <w:vAlign w:val="center"/>
          </w:tcPr>
          <w:p w14:paraId="5697CE0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250129</w:t>
            </w:r>
          </w:p>
        </w:tc>
        <w:tc>
          <w:tcPr>
            <w:tcW w:w="715" w:type="pct"/>
            <w:shd w:val="clear" w:color="auto" w:fill="auto"/>
            <w:vAlign w:val="center"/>
          </w:tcPr>
          <w:p w14:paraId="6CF3C3C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0A0EF5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A1328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BF864EC">
            <w:pPr>
              <w:pStyle w:val="24"/>
              <w:rPr>
                <w:rFonts w:eastAsia="宋体"/>
                <w:color w:val="auto"/>
                <w:sz w:val="21"/>
                <w:szCs w:val="21"/>
              </w:rPr>
            </w:pPr>
          </w:p>
        </w:tc>
        <w:tc>
          <w:tcPr>
            <w:tcW w:w="762" w:type="pct"/>
            <w:vMerge w:val="restart"/>
            <w:shd w:val="clear" w:color="auto" w:fill="auto"/>
            <w:vAlign w:val="center"/>
          </w:tcPr>
          <w:p w14:paraId="6186380A">
            <w:pPr>
              <w:pStyle w:val="24"/>
              <w:ind w:left="0" w:leftChars="0"/>
              <w:rPr>
                <w:rFonts w:hint="default" w:eastAsia="宋体"/>
                <w:color w:val="auto"/>
                <w:sz w:val="21"/>
                <w:szCs w:val="21"/>
                <w:lang w:val="en-US" w:eastAsia="zh-CN"/>
              </w:rPr>
            </w:pPr>
            <w:r>
              <w:rPr>
                <w:rFonts w:hint="eastAsia"/>
                <w:color w:val="auto"/>
                <w:sz w:val="21"/>
                <w:szCs w:val="21"/>
                <w:lang w:val="en-US" w:eastAsia="zh-CN"/>
              </w:rPr>
              <w:t>亮垭村</w:t>
            </w:r>
          </w:p>
        </w:tc>
        <w:tc>
          <w:tcPr>
            <w:tcW w:w="763" w:type="pct"/>
            <w:shd w:val="clear" w:color="auto" w:fill="auto"/>
            <w:vAlign w:val="center"/>
          </w:tcPr>
          <w:p w14:paraId="2E7367C5">
            <w:pPr>
              <w:pStyle w:val="24"/>
              <w:ind w:left="0" w:leftChars="0"/>
              <w:rPr>
                <w:rFonts w:hint="default"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4E39830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0.00E+00</w:t>
            </w:r>
          </w:p>
        </w:tc>
        <w:tc>
          <w:tcPr>
            <w:tcW w:w="841" w:type="pct"/>
            <w:shd w:val="clear" w:color="auto" w:fill="auto"/>
            <w:vAlign w:val="center"/>
          </w:tcPr>
          <w:p w14:paraId="5459A488">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715" w:type="pct"/>
            <w:shd w:val="clear" w:color="auto" w:fill="auto"/>
            <w:vAlign w:val="center"/>
          </w:tcPr>
          <w:p w14:paraId="198B2E8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710F4DE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B7012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372A161">
            <w:pPr>
              <w:pStyle w:val="24"/>
              <w:rPr>
                <w:rFonts w:eastAsia="宋体"/>
                <w:color w:val="auto"/>
                <w:sz w:val="21"/>
                <w:szCs w:val="21"/>
              </w:rPr>
            </w:pPr>
          </w:p>
        </w:tc>
        <w:tc>
          <w:tcPr>
            <w:tcW w:w="762" w:type="pct"/>
            <w:vMerge w:val="continue"/>
            <w:vAlign w:val="center"/>
          </w:tcPr>
          <w:p w14:paraId="64F68E97">
            <w:pPr>
              <w:pStyle w:val="24"/>
              <w:rPr>
                <w:rFonts w:eastAsia="宋体"/>
                <w:color w:val="auto"/>
                <w:sz w:val="21"/>
                <w:szCs w:val="21"/>
              </w:rPr>
            </w:pPr>
          </w:p>
        </w:tc>
        <w:tc>
          <w:tcPr>
            <w:tcW w:w="763" w:type="pct"/>
            <w:shd w:val="clear" w:color="auto" w:fill="auto"/>
            <w:vAlign w:val="center"/>
          </w:tcPr>
          <w:p w14:paraId="2A1948EA">
            <w:pPr>
              <w:pStyle w:val="24"/>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424FB93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0.00E+00</w:t>
            </w:r>
          </w:p>
        </w:tc>
        <w:tc>
          <w:tcPr>
            <w:tcW w:w="841" w:type="pct"/>
            <w:shd w:val="clear" w:color="auto" w:fill="auto"/>
            <w:vAlign w:val="center"/>
          </w:tcPr>
          <w:p w14:paraId="1232957B">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715" w:type="pct"/>
            <w:shd w:val="clear" w:color="auto" w:fill="auto"/>
            <w:vAlign w:val="center"/>
          </w:tcPr>
          <w:p w14:paraId="64A4CD8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513176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3BC10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1C36D97">
            <w:pPr>
              <w:pStyle w:val="24"/>
              <w:rPr>
                <w:rFonts w:eastAsia="宋体"/>
                <w:color w:val="auto"/>
                <w:sz w:val="21"/>
                <w:szCs w:val="21"/>
              </w:rPr>
            </w:pPr>
          </w:p>
        </w:tc>
        <w:tc>
          <w:tcPr>
            <w:tcW w:w="762" w:type="pct"/>
            <w:vMerge w:val="restart"/>
            <w:shd w:val="clear" w:color="auto" w:fill="auto"/>
            <w:vAlign w:val="center"/>
          </w:tcPr>
          <w:p w14:paraId="6FFC6122">
            <w:pPr>
              <w:pStyle w:val="24"/>
              <w:ind w:left="0" w:leftChars="0"/>
              <w:rPr>
                <w:rFonts w:hint="default" w:eastAsia="宋体"/>
                <w:color w:val="auto"/>
                <w:sz w:val="21"/>
                <w:szCs w:val="21"/>
                <w:lang w:val="en-US" w:eastAsia="zh-CN"/>
              </w:rPr>
            </w:pPr>
            <w:r>
              <w:rPr>
                <w:rFonts w:hint="eastAsia"/>
                <w:color w:val="auto"/>
                <w:sz w:val="21"/>
                <w:szCs w:val="21"/>
                <w:lang w:val="en-US" w:eastAsia="zh-CN"/>
              </w:rPr>
              <w:t>秋锦山村</w:t>
            </w:r>
          </w:p>
        </w:tc>
        <w:tc>
          <w:tcPr>
            <w:tcW w:w="763" w:type="pct"/>
            <w:shd w:val="clear" w:color="auto" w:fill="auto"/>
            <w:vAlign w:val="center"/>
          </w:tcPr>
          <w:p w14:paraId="56A72441">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2D3A3E7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1.00E-08</w:t>
            </w:r>
          </w:p>
        </w:tc>
        <w:tc>
          <w:tcPr>
            <w:tcW w:w="841" w:type="pct"/>
            <w:shd w:val="clear" w:color="auto" w:fill="auto"/>
            <w:vAlign w:val="center"/>
          </w:tcPr>
          <w:p w14:paraId="3A75A57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25011316</w:t>
            </w:r>
          </w:p>
        </w:tc>
        <w:tc>
          <w:tcPr>
            <w:tcW w:w="715" w:type="pct"/>
            <w:shd w:val="clear" w:color="auto" w:fill="auto"/>
            <w:vAlign w:val="center"/>
          </w:tcPr>
          <w:p w14:paraId="1F7BB93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2410F61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DF781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2E898A2">
            <w:pPr>
              <w:pStyle w:val="24"/>
              <w:rPr>
                <w:rFonts w:eastAsia="宋体"/>
                <w:color w:val="auto"/>
                <w:sz w:val="21"/>
                <w:szCs w:val="21"/>
              </w:rPr>
            </w:pPr>
          </w:p>
        </w:tc>
        <w:tc>
          <w:tcPr>
            <w:tcW w:w="762" w:type="pct"/>
            <w:vMerge w:val="continue"/>
            <w:vAlign w:val="center"/>
          </w:tcPr>
          <w:p w14:paraId="1183B2C8">
            <w:pPr>
              <w:pStyle w:val="24"/>
              <w:rPr>
                <w:rFonts w:eastAsia="宋体"/>
                <w:color w:val="auto"/>
                <w:sz w:val="21"/>
                <w:szCs w:val="21"/>
              </w:rPr>
            </w:pPr>
          </w:p>
        </w:tc>
        <w:tc>
          <w:tcPr>
            <w:tcW w:w="763" w:type="pct"/>
            <w:shd w:val="clear" w:color="auto" w:fill="auto"/>
            <w:vAlign w:val="center"/>
          </w:tcPr>
          <w:p w14:paraId="4794BC58">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1524687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0.00E+00</w:t>
            </w:r>
          </w:p>
        </w:tc>
        <w:tc>
          <w:tcPr>
            <w:tcW w:w="841" w:type="pct"/>
            <w:shd w:val="clear" w:color="auto" w:fill="auto"/>
            <w:vAlign w:val="center"/>
          </w:tcPr>
          <w:p w14:paraId="15150314">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715" w:type="pct"/>
            <w:shd w:val="clear" w:color="auto" w:fill="auto"/>
            <w:vAlign w:val="center"/>
          </w:tcPr>
          <w:p w14:paraId="28BB8DC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29A57A5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1BF46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125A0C0">
            <w:pPr>
              <w:pStyle w:val="24"/>
              <w:rPr>
                <w:rFonts w:eastAsia="宋体"/>
                <w:color w:val="auto"/>
                <w:sz w:val="21"/>
                <w:szCs w:val="21"/>
              </w:rPr>
            </w:pPr>
          </w:p>
        </w:tc>
        <w:tc>
          <w:tcPr>
            <w:tcW w:w="762" w:type="pct"/>
            <w:vMerge w:val="restart"/>
            <w:shd w:val="clear" w:color="auto" w:fill="auto"/>
            <w:vAlign w:val="center"/>
          </w:tcPr>
          <w:p w14:paraId="3A1D2FD0">
            <w:pPr>
              <w:pStyle w:val="24"/>
              <w:ind w:left="0" w:leftChars="0"/>
              <w:rPr>
                <w:rFonts w:hint="eastAsia" w:eastAsia="宋体"/>
                <w:color w:val="auto"/>
                <w:sz w:val="21"/>
                <w:szCs w:val="21"/>
                <w:lang w:val="en-US" w:eastAsia="zh-CN"/>
              </w:rPr>
            </w:pPr>
            <w:r>
              <w:rPr>
                <w:rFonts w:hint="eastAsia"/>
                <w:color w:val="auto"/>
                <w:sz w:val="21"/>
                <w:szCs w:val="21"/>
                <w:lang w:val="en-US" w:eastAsia="zh-CN"/>
              </w:rPr>
              <w:t>春在镇</w:t>
            </w:r>
          </w:p>
        </w:tc>
        <w:tc>
          <w:tcPr>
            <w:tcW w:w="763" w:type="pct"/>
            <w:shd w:val="clear" w:color="auto" w:fill="auto"/>
            <w:vAlign w:val="center"/>
          </w:tcPr>
          <w:p w14:paraId="57F7EDB8">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4240229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1.60E-07</w:t>
            </w:r>
          </w:p>
        </w:tc>
        <w:tc>
          <w:tcPr>
            <w:tcW w:w="841" w:type="pct"/>
            <w:shd w:val="clear" w:color="auto" w:fill="auto"/>
            <w:vAlign w:val="center"/>
          </w:tcPr>
          <w:p w14:paraId="1555083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25012321</w:t>
            </w:r>
          </w:p>
        </w:tc>
        <w:tc>
          <w:tcPr>
            <w:tcW w:w="715" w:type="pct"/>
            <w:shd w:val="clear" w:color="auto" w:fill="auto"/>
            <w:vAlign w:val="center"/>
          </w:tcPr>
          <w:p w14:paraId="2314C56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78EBEB9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DC750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0719284">
            <w:pPr>
              <w:pStyle w:val="24"/>
              <w:rPr>
                <w:rFonts w:eastAsia="宋体"/>
                <w:color w:val="auto"/>
                <w:sz w:val="21"/>
                <w:szCs w:val="21"/>
              </w:rPr>
            </w:pPr>
          </w:p>
        </w:tc>
        <w:tc>
          <w:tcPr>
            <w:tcW w:w="762" w:type="pct"/>
            <w:vMerge w:val="continue"/>
            <w:vAlign w:val="center"/>
          </w:tcPr>
          <w:p w14:paraId="44055FE2">
            <w:pPr>
              <w:pStyle w:val="24"/>
              <w:rPr>
                <w:rFonts w:eastAsia="宋体"/>
                <w:color w:val="auto"/>
                <w:sz w:val="21"/>
                <w:szCs w:val="21"/>
              </w:rPr>
            </w:pPr>
          </w:p>
        </w:tc>
        <w:tc>
          <w:tcPr>
            <w:tcW w:w="763" w:type="pct"/>
            <w:shd w:val="clear" w:color="auto" w:fill="auto"/>
            <w:vAlign w:val="center"/>
          </w:tcPr>
          <w:p w14:paraId="07A4F662">
            <w:pPr>
              <w:pStyle w:val="24"/>
              <w:ind w:left="0" w:leftChars="0"/>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1FCE388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1.00E-08</w:t>
            </w:r>
          </w:p>
        </w:tc>
        <w:tc>
          <w:tcPr>
            <w:tcW w:w="841" w:type="pct"/>
            <w:shd w:val="clear" w:color="auto" w:fill="auto"/>
            <w:vAlign w:val="center"/>
          </w:tcPr>
          <w:p w14:paraId="5F0449A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w:t>
            </w:r>
          </w:p>
        </w:tc>
        <w:tc>
          <w:tcPr>
            <w:tcW w:w="715" w:type="pct"/>
            <w:shd w:val="clear" w:color="auto" w:fill="auto"/>
            <w:vAlign w:val="center"/>
          </w:tcPr>
          <w:p w14:paraId="411355D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B598D8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24226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12FF41E">
            <w:pPr>
              <w:pStyle w:val="24"/>
              <w:rPr>
                <w:rFonts w:eastAsia="宋体"/>
                <w:color w:val="auto"/>
                <w:sz w:val="21"/>
                <w:szCs w:val="21"/>
              </w:rPr>
            </w:pPr>
          </w:p>
        </w:tc>
        <w:tc>
          <w:tcPr>
            <w:tcW w:w="762" w:type="pct"/>
            <w:vMerge w:val="restart"/>
            <w:shd w:val="clear" w:color="auto" w:fill="auto"/>
            <w:vAlign w:val="center"/>
          </w:tcPr>
          <w:p w14:paraId="0034DD19">
            <w:pPr>
              <w:pStyle w:val="24"/>
              <w:ind w:left="0" w:leftChars="0"/>
              <w:rPr>
                <w:rFonts w:hint="eastAsia" w:eastAsia="宋体"/>
                <w:color w:val="auto"/>
                <w:sz w:val="21"/>
                <w:szCs w:val="21"/>
                <w:lang w:val="en-US" w:eastAsia="zh-CN"/>
              </w:rPr>
            </w:pPr>
            <w:r>
              <w:rPr>
                <w:rFonts w:hint="eastAsia"/>
                <w:color w:val="auto"/>
                <w:sz w:val="21"/>
                <w:szCs w:val="21"/>
                <w:lang w:val="en-US" w:eastAsia="zh-CN"/>
              </w:rPr>
              <w:t>通江县城</w:t>
            </w:r>
          </w:p>
        </w:tc>
        <w:tc>
          <w:tcPr>
            <w:tcW w:w="763" w:type="pct"/>
            <w:shd w:val="clear" w:color="auto" w:fill="auto"/>
            <w:vAlign w:val="center"/>
          </w:tcPr>
          <w:p w14:paraId="684657FA">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3E023A9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1.00E-08</w:t>
            </w:r>
          </w:p>
        </w:tc>
        <w:tc>
          <w:tcPr>
            <w:tcW w:w="841" w:type="pct"/>
            <w:shd w:val="clear" w:color="auto" w:fill="auto"/>
            <w:vAlign w:val="center"/>
          </w:tcPr>
          <w:p w14:paraId="7F6744B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25051707</w:t>
            </w:r>
          </w:p>
        </w:tc>
        <w:tc>
          <w:tcPr>
            <w:tcW w:w="715" w:type="pct"/>
            <w:shd w:val="clear" w:color="auto" w:fill="auto"/>
            <w:vAlign w:val="center"/>
          </w:tcPr>
          <w:p w14:paraId="1417BB2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34779CF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E210D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BDE32E1">
            <w:pPr>
              <w:pStyle w:val="24"/>
              <w:rPr>
                <w:rFonts w:eastAsia="宋体"/>
                <w:color w:val="auto"/>
                <w:sz w:val="21"/>
                <w:szCs w:val="21"/>
              </w:rPr>
            </w:pPr>
          </w:p>
        </w:tc>
        <w:tc>
          <w:tcPr>
            <w:tcW w:w="762" w:type="pct"/>
            <w:vMerge w:val="continue"/>
            <w:vAlign w:val="center"/>
          </w:tcPr>
          <w:p w14:paraId="0D6CDE9B">
            <w:pPr>
              <w:pStyle w:val="24"/>
              <w:rPr>
                <w:rFonts w:eastAsia="宋体"/>
                <w:color w:val="auto"/>
                <w:sz w:val="21"/>
                <w:szCs w:val="21"/>
              </w:rPr>
            </w:pPr>
          </w:p>
        </w:tc>
        <w:tc>
          <w:tcPr>
            <w:tcW w:w="763" w:type="pct"/>
            <w:shd w:val="clear" w:color="auto" w:fill="auto"/>
            <w:vAlign w:val="center"/>
          </w:tcPr>
          <w:p w14:paraId="56FC18AA">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75C01BF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0.00E+00</w:t>
            </w:r>
          </w:p>
        </w:tc>
        <w:tc>
          <w:tcPr>
            <w:tcW w:w="841" w:type="pct"/>
            <w:shd w:val="clear" w:color="auto" w:fill="auto"/>
            <w:vAlign w:val="center"/>
          </w:tcPr>
          <w:p w14:paraId="72CE3FD7">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715" w:type="pct"/>
            <w:shd w:val="clear" w:color="auto" w:fill="auto"/>
            <w:vAlign w:val="center"/>
          </w:tcPr>
          <w:p w14:paraId="3F9CE19B">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1E96C67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7057A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4D87B4B">
            <w:pPr>
              <w:pStyle w:val="24"/>
              <w:rPr>
                <w:rFonts w:eastAsia="宋体"/>
                <w:color w:val="auto"/>
                <w:sz w:val="21"/>
                <w:szCs w:val="21"/>
              </w:rPr>
            </w:pPr>
          </w:p>
        </w:tc>
        <w:tc>
          <w:tcPr>
            <w:tcW w:w="762" w:type="pct"/>
            <w:vMerge w:val="restart"/>
            <w:shd w:val="clear" w:color="auto" w:fill="auto"/>
            <w:vAlign w:val="center"/>
          </w:tcPr>
          <w:p w14:paraId="7405EBC5">
            <w:pPr>
              <w:pStyle w:val="24"/>
              <w:rPr>
                <w:rFonts w:hint="default" w:eastAsia="宋体"/>
                <w:color w:val="auto"/>
                <w:sz w:val="21"/>
                <w:szCs w:val="21"/>
                <w:lang w:val="en-US" w:eastAsia="zh-CN"/>
              </w:rPr>
            </w:pPr>
            <w:r>
              <w:rPr>
                <w:rFonts w:hint="eastAsia" w:eastAsia="宋体"/>
                <w:color w:val="auto"/>
                <w:sz w:val="21"/>
                <w:szCs w:val="21"/>
              </w:rPr>
              <w:t>区域最大落地浓度</w:t>
            </w:r>
          </w:p>
        </w:tc>
        <w:tc>
          <w:tcPr>
            <w:tcW w:w="763" w:type="pct"/>
            <w:shd w:val="clear" w:color="auto" w:fill="auto"/>
            <w:vAlign w:val="center"/>
          </w:tcPr>
          <w:p w14:paraId="631E694B">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68CCE5D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2.77E-06</w:t>
            </w:r>
          </w:p>
        </w:tc>
        <w:tc>
          <w:tcPr>
            <w:tcW w:w="841" w:type="pct"/>
            <w:shd w:val="clear" w:color="auto" w:fill="auto"/>
            <w:vAlign w:val="center"/>
          </w:tcPr>
          <w:p w14:paraId="3CF0B57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25120317</w:t>
            </w:r>
          </w:p>
          <w:p w14:paraId="23E3DF6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3666D65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7F63EB5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67B76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3D1EA29">
            <w:pPr>
              <w:pStyle w:val="24"/>
              <w:rPr>
                <w:rFonts w:eastAsia="宋体"/>
                <w:color w:val="auto"/>
                <w:sz w:val="21"/>
                <w:szCs w:val="21"/>
              </w:rPr>
            </w:pPr>
          </w:p>
        </w:tc>
        <w:tc>
          <w:tcPr>
            <w:tcW w:w="762" w:type="pct"/>
            <w:vMerge w:val="continue"/>
            <w:vAlign w:val="center"/>
          </w:tcPr>
          <w:p w14:paraId="2929B089">
            <w:pPr>
              <w:pStyle w:val="24"/>
              <w:rPr>
                <w:rFonts w:eastAsia="宋体"/>
                <w:color w:val="auto"/>
                <w:sz w:val="21"/>
                <w:szCs w:val="21"/>
              </w:rPr>
            </w:pPr>
          </w:p>
        </w:tc>
        <w:tc>
          <w:tcPr>
            <w:tcW w:w="763" w:type="pct"/>
            <w:shd w:val="clear" w:color="auto" w:fill="auto"/>
            <w:vAlign w:val="center"/>
          </w:tcPr>
          <w:p w14:paraId="4CC2F44F">
            <w:pPr>
              <w:pStyle w:val="24"/>
              <w:ind w:left="0" w:leftChars="0"/>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264445E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5.25E-07</w:t>
            </w:r>
          </w:p>
        </w:tc>
        <w:tc>
          <w:tcPr>
            <w:tcW w:w="841" w:type="pct"/>
            <w:shd w:val="clear" w:color="auto" w:fill="auto"/>
            <w:vAlign w:val="center"/>
          </w:tcPr>
          <w:p w14:paraId="5FD46FB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251226</w:t>
            </w:r>
          </w:p>
          <w:p w14:paraId="4D1FA14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048C306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28FEC0A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DBA44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255D9D0">
            <w:pPr>
              <w:pStyle w:val="24"/>
              <w:rPr>
                <w:rFonts w:eastAsia="宋体"/>
                <w:color w:val="auto"/>
                <w:sz w:val="21"/>
                <w:szCs w:val="21"/>
              </w:rPr>
            </w:pPr>
          </w:p>
        </w:tc>
        <w:tc>
          <w:tcPr>
            <w:tcW w:w="762" w:type="pct"/>
            <w:vMerge w:val="restart"/>
            <w:shd w:val="clear" w:color="auto" w:fill="auto"/>
            <w:vAlign w:val="center"/>
          </w:tcPr>
          <w:p w14:paraId="409FAE6A">
            <w:pPr>
              <w:pStyle w:val="24"/>
              <w:rPr>
                <w:rFonts w:eastAsia="宋体"/>
                <w:color w:val="auto"/>
                <w:sz w:val="21"/>
                <w:szCs w:val="21"/>
              </w:rPr>
            </w:pPr>
            <w:r>
              <w:rPr>
                <w:rFonts w:hint="eastAsia" w:eastAsia="宋体"/>
                <w:color w:val="auto"/>
                <w:sz w:val="21"/>
                <w:szCs w:val="21"/>
                <w:lang w:val="en-US" w:eastAsia="zh-CN"/>
              </w:rPr>
              <w:t>厂界浓度</w:t>
            </w:r>
          </w:p>
        </w:tc>
        <w:tc>
          <w:tcPr>
            <w:tcW w:w="763" w:type="pct"/>
            <w:shd w:val="clear" w:color="auto" w:fill="auto"/>
            <w:vAlign w:val="center"/>
          </w:tcPr>
          <w:p w14:paraId="4E756EF0">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42A9E5A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2.20E-06</w:t>
            </w:r>
          </w:p>
        </w:tc>
        <w:tc>
          <w:tcPr>
            <w:tcW w:w="841" w:type="pct"/>
            <w:shd w:val="clear" w:color="auto" w:fill="auto"/>
            <w:vAlign w:val="center"/>
          </w:tcPr>
          <w:p w14:paraId="6591CD98">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25121209</w:t>
            </w:r>
          </w:p>
        </w:tc>
        <w:tc>
          <w:tcPr>
            <w:tcW w:w="715" w:type="pct"/>
            <w:shd w:val="clear" w:color="auto" w:fill="auto"/>
            <w:vAlign w:val="center"/>
          </w:tcPr>
          <w:p w14:paraId="72C3679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6296E53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60C666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EED21BF">
            <w:pPr>
              <w:pStyle w:val="24"/>
              <w:rPr>
                <w:rFonts w:eastAsia="宋体"/>
                <w:color w:val="auto"/>
                <w:sz w:val="21"/>
                <w:szCs w:val="21"/>
              </w:rPr>
            </w:pPr>
          </w:p>
        </w:tc>
        <w:tc>
          <w:tcPr>
            <w:tcW w:w="762" w:type="pct"/>
            <w:vMerge w:val="continue"/>
            <w:vAlign w:val="center"/>
          </w:tcPr>
          <w:p w14:paraId="2AB05031">
            <w:pPr>
              <w:pStyle w:val="24"/>
              <w:rPr>
                <w:rFonts w:eastAsia="宋体"/>
                <w:color w:val="auto"/>
                <w:sz w:val="21"/>
                <w:szCs w:val="21"/>
              </w:rPr>
            </w:pPr>
          </w:p>
        </w:tc>
        <w:tc>
          <w:tcPr>
            <w:tcW w:w="763" w:type="pct"/>
            <w:shd w:val="clear" w:color="auto" w:fill="auto"/>
            <w:vAlign w:val="center"/>
          </w:tcPr>
          <w:p w14:paraId="68F89C48">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45DA412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3.20E-07</w:t>
            </w:r>
          </w:p>
        </w:tc>
        <w:tc>
          <w:tcPr>
            <w:tcW w:w="841" w:type="pct"/>
            <w:shd w:val="clear" w:color="auto" w:fill="auto"/>
            <w:vAlign w:val="center"/>
          </w:tcPr>
          <w:p w14:paraId="481EDF3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250707</w:t>
            </w:r>
          </w:p>
        </w:tc>
        <w:tc>
          <w:tcPr>
            <w:tcW w:w="715" w:type="pct"/>
            <w:shd w:val="clear" w:color="auto" w:fill="auto"/>
            <w:vAlign w:val="center"/>
          </w:tcPr>
          <w:p w14:paraId="2947E0F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DBB1BD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53851787">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本项目硫酸贡献质量浓度预测结果表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57DE99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5188455A">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3878C17D">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43B3C588">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12EB51F0">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207357C3">
            <w:pPr>
              <w:pStyle w:val="24"/>
              <w:rPr>
                <w:rFonts w:hint="eastAsia" w:eastAsia="宋体"/>
                <w:b/>
                <w:bCs/>
                <w:color w:val="auto"/>
                <w:sz w:val="21"/>
                <w:szCs w:val="21"/>
              </w:rPr>
            </w:pPr>
            <w:r>
              <w:rPr>
                <w:rFonts w:hint="eastAsia" w:eastAsia="宋体"/>
                <w:b/>
                <w:bCs/>
                <w:color w:val="auto"/>
                <w:sz w:val="21"/>
                <w:szCs w:val="21"/>
              </w:rPr>
              <w:t>出现时间</w:t>
            </w:r>
          </w:p>
          <w:p w14:paraId="6F457A1F">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29A4020E">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56391261">
            <w:pPr>
              <w:pStyle w:val="24"/>
              <w:rPr>
                <w:rFonts w:eastAsia="宋体"/>
                <w:b/>
                <w:bCs/>
                <w:color w:val="auto"/>
                <w:sz w:val="21"/>
                <w:szCs w:val="21"/>
              </w:rPr>
            </w:pPr>
            <w:r>
              <w:rPr>
                <w:rFonts w:hint="eastAsia" w:eastAsia="宋体"/>
                <w:b/>
                <w:bCs/>
                <w:color w:val="auto"/>
                <w:sz w:val="21"/>
                <w:szCs w:val="21"/>
              </w:rPr>
              <w:t>达标情况</w:t>
            </w:r>
          </w:p>
        </w:tc>
      </w:tr>
      <w:tr w14:paraId="5FB546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38470D18">
            <w:pPr>
              <w:pStyle w:val="24"/>
              <w:rPr>
                <w:rFonts w:hint="default" w:eastAsia="宋体"/>
                <w:color w:val="auto"/>
                <w:sz w:val="21"/>
                <w:szCs w:val="21"/>
                <w:lang w:val="en-US" w:eastAsia="zh-CN"/>
              </w:rPr>
            </w:pPr>
            <w:r>
              <w:rPr>
                <w:rFonts w:hint="eastAsia" w:eastAsia="宋体"/>
                <w:color w:val="auto"/>
                <w:lang w:val="en-US" w:eastAsia="zh-CN"/>
              </w:rPr>
              <w:t>硫酸</w:t>
            </w:r>
          </w:p>
        </w:tc>
        <w:tc>
          <w:tcPr>
            <w:tcW w:w="1451" w:type="dxa"/>
            <w:vMerge w:val="restart"/>
            <w:shd w:val="clear" w:color="auto" w:fill="auto"/>
            <w:vAlign w:val="center"/>
          </w:tcPr>
          <w:p w14:paraId="32B1CE56">
            <w:pPr>
              <w:pStyle w:val="24"/>
              <w:ind w:left="0" w:leftChars="0"/>
              <w:rPr>
                <w:rFonts w:hint="eastAsia"/>
                <w:color w:val="auto"/>
                <w:sz w:val="21"/>
                <w:szCs w:val="21"/>
                <w:lang w:val="en-US" w:eastAsia="zh-CN"/>
              </w:rPr>
            </w:pPr>
            <w:r>
              <w:rPr>
                <w:rFonts w:hint="eastAsia"/>
                <w:color w:val="auto"/>
                <w:sz w:val="21"/>
                <w:szCs w:val="21"/>
                <w:lang w:val="en-US" w:eastAsia="zh-CN"/>
              </w:rPr>
              <w:t>东北侧散户</w:t>
            </w:r>
          </w:p>
        </w:tc>
        <w:tc>
          <w:tcPr>
            <w:tcW w:w="1453" w:type="dxa"/>
            <w:shd w:val="clear" w:color="auto" w:fill="auto"/>
            <w:vAlign w:val="center"/>
          </w:tcPr>
          <w:p w14:paraId="6F860D7C">
            <w:pPr>
              <w:pStyle w:val="24"/>
              <w:ind w:left="0" w:leftChars="0"/>
              <w:rPr>
                <w:rFonts w:hint="eastAsia"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21143A9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8.14E-04</w:t>
            </w:r>
          </w:p>
        </w:tc>
        <w:tc>
          <w:tcPr>
            <w:tcW w:w="841" w:type="pct"/>
            <w:shd w:val="clear" w:color="auto" w:fill="auto"/>
            <w:vAlign w:val="center"/>
          </w:tcPr>
          <w:p w14:paraId="4097A7B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25121209</w:t>
            </w:r>
          </w:p>
        </w:tc>
        <w:tc>
          <w:tcPr>
            <w:tcW w:w="715" w:type="pct"/>
            <w:shd w:val="clear" w:color="auto" w:fill="auto"/>
            <w:vAlign w:val="center"/>
          </w:tcPr>
          <w:p w14:paraId="19AD8EA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0.27</w:t>
            </w:r>
          </w:p>
        </w:tc>
        <w:tc>
          <w:tcPr>
            <w:tcW w:w="618" w:type="pct"/>
            <w:shd w:val="clear" w:color="auto" w:fill="auto"/>
            <w:vAlign w:val="center"/>
          </w:tcPr>
          <w:p w14:paraId="69E778B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C9CCF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0933F16F">
            <w:pPr>
              <w:pStyle w:val="24"/>
              <w:rPr>
                <w:rFonts w:hint="eastAsia" w:eastAsia="宋体"/>
                <w:color w:val="auto"/>
                <w:lang w:val="en-US" w:eastAsia="zh-CN"/>
              </w:rPr>
            </w:pPr>
          </w:p>
        </w:tc>
        <w:tc>
          <w:tcPr>
            <w:tcW w:w="1451" w:type="dxa"/>
            <w:vMerge w:val="continue"/>
            <w:shd w:val="clear" w:color="auto" w:fill="auto"/>
            <w:vAlign w:val="center"/>
          </w:tcPr>
          <w:p w14:paraId="1E5237D4">
            <w:pPr>
              <w:pStyle w:val="24"/>
              <w:ind w:left="0" w:leftChars="0"/>
              <w:rPr>
                <w:rFonts w:hint="eastAsia"/>
                <w:color w:val="auto"/>
                <w:sz w:val="21"/>
                <w:szCs w:val="21"/>
                <w:lang w:val="en-US" w:eastAsia="zh-CN"/>
              </w:rPr>
            </w:pPr>
          </w:p>
        </w:tc>
        <w:tc>
          <w:tcPr>
            <w:tcW w:w="1453" w:type="dxa"/>
            <w:shd w:val="clear" w:color="auto" w:fill="auto"/>
            <w:vAlign w:val="center"/>
          </w:tcPr>
          <w:p w14:paraId="5F937158">
            <w:pPr>
              <w:pStyle w:val="24"/>
              <w:ind w:left="0" w:leftChars="0"/>
              <w:rPr>
                <w:rFonts w:hint="eastAsia" w:eastAsia="宋体"/>
                <w:color w:val="auto"/>
                <w:sz w:val="21"/>
                <w:szCs w:val="21"/>
                <w:lang w:val="en-US" w:eastAsia="zh-CN"/>
              </w:rPr>
            </w:pPr>
            <w:r>
              <w:rPr>
                <w:rFonts w:hint="eastAsia" w:eastAsia="宋体"/>
                <w:color w:val="auto"/>
                <w:sz w:val="21"/>
                <w:szCs w:val="21"/>
              </w:rPr>
              <w:t>日平均</w:t>
            </w:r>
          </w:p>
        </w:tc>
        <w:tc>
          <w:tcPr>
            <w:tcW w:w="770" w:type="pct"/>
            <w:shd w:val="clear" w:color="auto" w:fill="auto"/>
            <w:vAlign w:val="center"/>
          </w:tcPr>
          <w:p w14:paraId="2F012FB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5.19E-05</w:t>
            </w:r>
          </w:p>
        </w:tc>
        <w:tc>
          <w:tcPr>
            <w:tcW w:w="841" w:type="pct"/>
            <w:shd w:val="clear" w:color="auto" w:fill="auto"/>
            <w:vAlign w:val="center"/>
          </w:tcPr>
          <w:p w14:paraId="64EE2EC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250501</w:t>
            </w:r>
          </w:p>
        </w:tc>
        <w:tc>
          <w:tcPr>
            <w:tcW w:w="715" w:type="pct"/>
            <w:shd w:val="clear" w:color="auto" w:fill="auto"/>
            <w:vAlign w:val="center"/>
          </w:tcPr>
          <w:p w14:paraId="0055CE9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26864E6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0F19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5CBB9DAF">
            <w:pPr>
              <w:pStyle w:val="24"/>
              <w:rPr>
                <w:rFonts w:hint="default" w:eastAsia="宋体"/>
                <w:color w:val="auto"/>
                <w:sz w:val="21"/>
                <w:szCs w:val="21"/>
                <w:lang w:val="en-US" w:eastAsia="zh-CN"/>
              </w:rPr>
            </w:pPr>
          </w:p>
        </w:tc>
        <w:tc>
          <w:tcPr>
            <w:tcW w:w="762" w:type="pct"/>
            <w:vMerge w:val="restart"/>
            <w:shd w:val="clear" w:color="auto" w:fill="auto"/>
            <w:vAlign w:val="center"/>
          </w:tcPr>
          <w:p w14:paraId="0FD5E9DE">
            <w:pPr>
              <w:pStyle w:val="24"/>
              <w:ind w:left="0" w:leftChars="0"/>
              <w:rPr>
                <w:rFonts w:hint="default" w:eastAsia="宋体"/>
                <w:color w:val="auto"/>
                <w:sz w:val="21"/>
                <w:szCs w:val="21"/>
                <w:lang w:val="en-US" w:eastAsia="zh-CN"/>
              </w:rPr>
            </w:pPr>
            <w:r>
              <w:rPr>
                <w:rFonts w:hint="eastAsia"/>
                <w:color w:val="auto"/>
                <w:sz w:val="21"/>
                <w:szCs w:val="21"/>
                <w:lang w:val="en-US" w:eastAsia="zh-CN"/>
              </w:rPr>
              <w:t>金堂村</w:t>
            </w:r>
          </w:p>
        </w:tc>
        <w:tc>
          <w:tcPr>
            <w:tcW w:w="763" w:type="pct"/>
            <w:shd w:val="clear" w:color="auto" w:fill="auto"/>
            <w:vAlign w:val="center"/>
          </w:tcPr>
          <w:p w14:paraId="125937D9">
            <w:pPr>
              <w:pStyle w:val="24"/>
              <w:ind w:left="0" w:leftChars="0"/>
              <w:rPr>
                <w:rFonts w:hint="default"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091B1FC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2.91E-04</w:t>
            </w:r>
          </w:p>
        </w:tc>
        <w:tc>
          <w:tcPr>
            <w:tcW w:w="841" w:type="pct"/>
            <w:shd w:val="clear" w:color="auto" w:fill="auto"/>
            <w:vAlign w:val="center"/>
          </w:tcPr>
          <w:p w14:paraId="1867A95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25121702</w:t>
            </w:r>
          </w:p>
        </w:tc>
        <w:tc>
          <w:tcPr>
            <w:tcW w:w="715" w:type="pct"/>
            <w:shd w:val="clear" w:color="auto" w:fill="auto"/>
            <w:vAlign w:val="center"/>
          </w:tcPr>
          <w:p w14:paraId="0356B4C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0.1</w:t>
            </w:r>
          </w:p>
        </w:tc>
        <w:tc>
          <w:tcPr>
            <w:tcW w:w="618" w:type="pct"/>
            <w:shd w:val="clear" w:color="auto" w:fill="auto"/>
            <w:vAlign w:val="center"/>
          </w:tcPr>
          <w:p w14:paraId="4E816BF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907E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1D96CF3">
            <w:pPr>
              <w:pStyle w:val="24"/>
              <w:rPr>
                <w:rFonts w:eastAsia="宋体"/>
                <w:color w:val="auto"/>
                <w:sz w:val="21"/>
                <w:szCs w:val="21"/>
              </w:rPr>
            </w:pPr>
          </w:p>
        </w:tc>
        <w:tc>
          <w:tcPr>
            <w:tcW w:w="762" w:type="pct"/>
            <w:vMerge w:val="continue"/>
            <w:vAlign w:val="center"/>
          </w:tcPr>
          <w:p w14:paraId="209D899E">
            <w:pPr>
              <w:pStyle w:val="24"/>
              <w:rPr>
                <w:rFonts w:eastAsia="宋体"/>
                <w:color w:val="auto"/>
                <w:sz w:val="21"/>
                <w:szCs w:val="21"/>
              </w:rPr>
            </w:pPr>
          </w:p>
        </w:tc>
        <w:tc>
          <w:tcPr>
            <w:tcW w:w="763" w:type="pct"/>
            <w:shd w:val="clear" w:color="auto" w:fill="auto"/>
            <w:vAlign w:val="center"/>
          </w:tcPr>
          <w:p w14:paraId="53AE0550">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6EBCFB3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4.62E-05</w:t>
            </w:r>
          </w:p>
        </w:tc>
        <w:tc>
          <w:tcPr>
            <w:tcW w:w="841" w:type="pct"/>
            <w:shd w:val="clear" w:color="auto" w:fill="auto"/>
            <w:vAlign w:val="center"/>
          </w:tcPr>
          <w:p w14:paraId="50632A0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251228</w:t>
            </w:r>
          </w:p>
        </w:tc>
        <w:tc>
          <w:tcPr>
            <w:tcW w:w="715" w:type="pct"/>
            <w:shd w:val="clear" w:color="auto" w:fill="auto"/>
            <w:vAlign w:val="center"/>
          </w:tcPr>
          <w:p w14:paraId="6043309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61D49BE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563C8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61A9AB0">
            <w:pPr>
              <w:pStyle w:val="24"/>
              <w:rPr>
                <w:rFonts w:eastAsia="宋体"/>
                <w:color w:val="auto"/>
                <w:sz w:val="21"/>
                <w:szCs w:val="21"/>
              </w:rPr>
            </w:pPr>
          </w:p>
        </w:tc>
        <w:tc>
          <w:tcPr>
            <w:tcW w:w="762" w:type="pct"/>
            <w:vMerge w:val="restart"/>
            <w:shd w:val="clear" w:color="auto" w:fill="auto"/>
            <w:vAlign w:val="center"/>
          </w:tcPr>
          <w:p w14:paraId="1A046E2F">
            <w:pPr>
              <w:pStyle w:val="24"/>
              <w:ind w:left="0" w:leftChars="0"/>
              <w:rPr>
                <w:rFonts w:hint="default" w:eastAsia="宋体"/>
                <w:color w:val="auto"/>
                <w:sz w:val="21"/>
                <w:szCs w:val="21"/>
                <w:lang w:val="en-US" w:eastAsia="zh-CN"/>
              </w:rPr>
            </w:pPr>
            <w:r>
              <w:rPr>
                <w:rFonts w:hint="eastAsia"/>
                <w:color w:val="auto"/>
                <w:sz w:val="21"/>
                <w:szCs w:val="21"/>
                <w:lang w:val="en-US" w:eastAsia="zh-CN"/>
              </w:rPr>
              <w:t>亮垭村</w:t>
            </w:r>
          </w:p>
        </w:tc>
        <w:tc>
          <w:tcPr>
            <w:tcW w:w="763" w:type="pct"/>
            <w:shd w:val="clear" w:color="auto" w:fill="auto"/>
            <w:vAlign w:val="center"/>
          </w:tcPr>
          <w:p w14:paraId="3BE4AE80">
            <w:pPr>
              <w:pStyle w:val="24"/>
              <w:ind w:left="0" w:leftChars="0"/>
              <w:rPr>
                <w:rFonts w:hint="default" w:eastAsia="宋体"/>
                <w:color w:val="auto"/>
                <w:sz w:val="21"/>
                <w:szCs w:val="21"/>
                <w:lang w:val="en-US" w:eastAsia="zh-CN"/>
              </w:rPr>
            </w:pPr>
            <w:r>
              <w:rPr>
                <w:rFonts w:hint="eastAsia" w:eastAsia="宋体"/>
                <w:color w:val="auto"/>
                <w:sz w:val="21"/>
                <w:szCs w:val="21"/>
                <w:lang w:val="en-US" w:eastAsia="zh-CN"/>
              </w:rPr>
              <w:t>1小时</w:t>
            </w:r>
          </w:p>
        </w:tc>
        <w:tc>
          <w:tcPr>
            <w:tcW w:w="770" w:type="pct"/>
            <w:shd w:val="clear" w:color="auto" w:fill="auto"/>
            <w:vAlign w:val="center"/>
          </w:tcPr>
          <w:p w14:paraId="08AECF7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2.32E-05</w:t>
            </w:r>
          </w:p>
        </w:tc>
        <w:tc>
          <w:tcPr>
            <w:tcW w:w="841" w:type="pct"/>
            <w:shd w:val="clear" w:color="auto" w:fill="auto"/>
            <w:vAlign w:val="center"/>
          </w:tcPr>
          <w:p w14:paraId="03FF714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25010319</w:t>
            </w:r>
          </w:p>
        </w:tc>
        <w:tc>
          <w:tcPr>
            <w:tcW w:w="715" w:type="pct"/>
            <w:shd w:val="clear" w:color="auto" w:fill="auto"/>
            <w:vAlign w:val="center"/>
          </w:tcPr>
          <w:p w14:paraId="5B7E658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599E303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17B7F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44355DE">
            <w:pPr>
              <w:pStyle w:val="24"/>
              <w:rPr>
                <w:rFonts w:eastAsia="宋体"/>
                <w:color w:val="auto"/>
                <w:sz w:val="21"/>
                <w:szCs w:val="21"/>
              </w:rPr>
            </w:pPr>
          </w:p>
        </w:tc>
        <w:tc>
          <w:tcPr>
            <w:tcW w:w="762" w:type="pct"/>
            <w:vMerge w:val="continue"/>
            <w:vAlign w:val="center"/>
          </w:tcPr>
          <w:p w14:paraId="662D0705">
            <w:pPr>
              <w:pStyle w:val="24"/>
              <w:rPr>
                <w:rFonts w:eastAsia="宋体"/>
                <w:color w:val="auto"/>
                <w:sz w:val="21"/>
                <w:szCs w:val="21"/>
              </w:rPr>
            </w:pPr>
          </w:p>
        </w:tc>
        <w:tc>
          <w:tcPr>
            <w:tcW w:w="763" w:type="pct"/>
            <w:shd w:val="clear" w:color="auto" w:fill="auto"/>
            <w:vAlign w:val="center"/>
          </w:tcPr>
          <w:p w14:paraId="65198AFA">
            <w:pPr>
              <w:pStyle w:val="24"/>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5049CAF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1.23E-06</w:t>
            </w:r>
          </w:p>
        </w:tc>
        <w:tc>
          <w:tcPr>
            <w:tcW w:w="841" w:type="pct"/>
            <w:shd w:val="clear" w:color="auto" w:fill="auto"/>
            <w:vAlign w:val="center"/>
          </w:tcPr>
          <w:p w14:paraId="21236C1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250222</w:t>
            </w:r>
          </w:p>
        </w:tc>
        <w:tc>
          <w:tcPr>
            <w:tcW w:w="715" w:type="pct"/>
            <w:shd w:val="clear" w:color="auto" w:fill="auto"/>
            <w:vAlign w:val="center"/>
          </w:tcPr>
          <w:p w14:paraId="62C14CF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3BB5513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D6F65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2BFDB41">
            <w:pPr>
              <w:pStyle w:val="24"/>
              <w:rPr>
                <w:rFonts w:eastAsia="宋体"/>
                <w:color w:val="auto"/>
                <w:sz w:val="21"/>
                <w:szCs w:val="21"/>
              </w:rPr>
            </w:pPr>
          </w:p>
        </w:tc>
        <w:tc>
          <w:tcPr>
            <w:tcW w:w="762" w:type="pct"/>
            <w:vMerge w:val="restart"/>
            <w:shd w:val="clear" w:color="auto" w:fill="auto"/>
            <w:vAlign w:val="center"/>
          </w:tcPr>
          <w:p w14:paraId="39DDADB7">
            <w:pPr>
              <w:pStyle w:val="24"/>
              <w:ind w:left="0" w:leftChars="0"/>
              <w:rPr>
                <w:rFonts w:hint="default" w:eastAsia="宋体"/>
                <w:color w:val="auto"/>
                <w:sz w:val="21"/>
                <w:szCs w:val="21"/>
                <w:lang w:val="en-US" w:eastAsia="zh-CN"/>
              </w:rPr>
            </w:pPr>
            <w:r>
              <w:rPr>
                <w:rFonts w:hint="eastAsia"/>
                <w:color w:val="auto"/>
                <w:sz w:val="21"/>
                <w:szCs w:val="21"/>
                <w:lang w:val="en-US" w:eastAsia="zh-CN"/>
              </w:rPr>
              <w:t>秋锦山村</w:t>
            </w:r>
          </w:p>
        </w:tc>
        <w:tc>
          <w:tcPr>
            <w:tcW w:w="763" w:type="pct"/>
            <w:shd w:val="clear" w:color="auto" w:fill="auto"/>
            <w:vAlign w:val="center"/>
          </w:tcPr>
          <w:p w14:paraId="4B627399">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3133FE6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2.50E-05</w:t>
            </w:r>
          </w:p>
        </w:tc>
        <w:tc>
          <w:tcPr>
            <w:tcW w:w="841" w:type="pct"/>
            <w:shd w:val="clear" w:color="auto" w:fill="auto"/>
            <w:vAlign w:val="center"/>
          </w:tcPr>
          <w:p w14:paraId="47C5CE7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25051707</w:t>
            </w:r>
          </w:p>
        </w:tc>
        <w:tc>
          <w:tcPr>
            <w:tcW w:w="715" w:type="pct"/>
            <w:shd w:val="clear" w:color="auto" w:fill="auto"/>
            <w:vAlign w:val="center"/>
          </w:tcPr>
          <w:p w14:paraId="2534F21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2A39F11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EC157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ED12476">
            <w:pPr>
              <w:pStyle w:val="24"/>
              <w:rPr>
                <w:rFonts w:eastAsia="宋体"/>
                <w:color w:val="auto"/>
                <w:sz w:val="21"/>
                <w:szCs w:val="21"/>
              </w:rPr>
            </w:pPr>
          </w:p>
        </w:tc>
        <w:tc>
          <w:tcPr>
            <w:tcW w:w="762" w:type="pct"/>
            <w:vMerge w:val="continue"/>
            <w:vAlign w:val="center"/>
          </w:tcPr>
          <w:p w14:paraId="2B14B959">
            <w:pPr>
              <w:pStyle w:val="24"/>
              <w:rPr>
                <w:rFonts w:eastAsia="宋体"/>
                <w:color w:val="auto"/>
                <w:sz w:val="21"/>
                <w:szCs w:val="21"/>
              </w:rPr>
            </w:pPr>
          </w:p>
        </w:tc>
        <w:tc>
          <w:tcPr>
            <w:tcW w:w="763" w:type="pct"/>
            <w:shd w:val="clear" w:color="auto" w:fill="auto"/>
            <w:vAlign w:val="center"/>
          </w:tcPr>
          <w:p w14:paraId="48D81B90">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30A90DF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1.77E-06</w:t>
            </w:r>
          </w:p>
        </w:tc>
        <w:tc>
          <w:tcPr>
            <w:tcW w:w="841" w:type="pct"/>
            <w:shd w:val="clear" w:color="auto" w:fill="auto"/>
            <w:vAlign w:val="center"/>
          </w:tcPr>
          <w:p w14:paraId="3E22239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250113</w:t>
            </w:r>
          </w:p>
        </w:tc>
        <w:tc>
          <w:tcPr>
            <w:tcW w:w="715" w:type="pct"/>
            <w:shd w:val="clear" w:color="auto" w:fill="auto"/>
            <w:vAlign w:val="center"/>
          </w:tcPr>
          <w:p w14:paraId="0552AC9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B26BD3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048F4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DC15804">
            <w:pPr>
              <w:pStyle w:val="24"/>
              <w:rPr>
                <w:rFonts w:eastAsia="宋体"/>
                <w:color w:val="auto"/>
                <w:sz w:val="21"/>
                <w:szCs w:val="21"/>
              </w:rPr>
            </w:pPr>
          </w:p>
        </w:tc>
        <w:tc>
          <w:tcPr>
            <w:tcW w:w="762" w:type="pct"/>
            <w:vMerge w:val="restart"/>
            <w:shd w:val="clear" w:color="auto" w:fill="auto"/>
            <w:vAlign w:val="center"/>
          </w:tcPr>
          <w:p w14:paraId="10F26F1F">
            <w:pPr>
              <w:pStyle w:val="24"/>
              <w:ind w:left="0" w:leftChars="0"/>
              <w:rPr>
                <w:rFonts w:hint="eastAsia" w:eastAsia="宋体"/>
                <w:color w:val="auto"/>
                <w:sz w:val="21"/>
                <w:szCs w:val="21"/>
                <w:lang w:val="en-US" w:eastAsia="zh-CN"/>
              </w:rPr>
            </w:pPr>
            <w:r>
              <w:rPr>
                <w:rFonts w:hint="eastAsia"/>
                <w:color w:val="auto"/>
                <w:sz w:val="21"/>
                <w:szCs w:val="21"/>
                <w:lang w:val="en-US" w:eastAsia="zh-CN"/>
              </w:rPr>
              <w:t>春在镇</w:t>
            </w:r>
          </w:p>
        </w:tc>
        <w:tc>
          <w:tcPr>
            <w:tcW w:w="763" w:type="pct"/>
            <w:shd w:val="clear" w:color="auto" w:fill="auto"/>
            <w:vAlign w:val="center"/>
          </w:tcPr>
          <w:p w14:paraId="6C030DA8">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3397B0C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1.71E-04</w:t>
            </w:r>
          </w:p>
        </w:tc>
        <w:tc>
          <w:tcPr>
            <w:tcW w:w="841" w:type="pct"/>
            <w:shd w:val="clear" w:color="auto" w:fill="auto"/>
            <w:vAlign w:val="center"/>
          </w:tcPr>
          <w:p w14:paraId="42D1E37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25090720</w:t>
            </w:r>
          </w:p>
        </w:tc>
        <w:tc>
          <w:tcPr>
            <w:tcW w:w="715" w:type="pct"/>
            <w:shd w:val="clear" w:color="auto" w:fill="auto"/>
            <w:vAlign w:val="center"/>
          </w:tcPr>
          <w:p w14:paraId="5144FCD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0.06</w:t>
            </w:r>
          </w:p>
        </w:tc>
        <w:tc>
          <w:tcPr>
            <w:tcW w:w="618" w:type="pct"/>
            <w:shd w:val="clear" w:color="auto" w:fill="auto"/>
            <w:vAlign w:val="center"/>
          </w:tcPr>
          <w:p w14:paraId="4D60C35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65372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B5F9B04">
            <w:pPr>
              <w:pStyle w:val="24"/>
              <w:rPr>
                <w:rFonts w:eastAsia="宋体"/>
                <w:color w:val="auto"/>
                <w:sz w:val="21"/>
                <w:szCs w:val="21"/>
              </w:rPr>
            </w:pPr>
          </w:p>
        </w:tc>
        <w:tc>
          <w:tcPr>
            <w:tcW w:w="762" w:type="pct"/>
            <w:vMerge w:val="continue"/>
            <w:vAlign w:val="center"/>
          </w:tcPr>
          <w:p w14:paraId="543FDC02">
            <w:pPr>
              <w:pStyle w:val="24"/>
              <w:rPr>
                <w:rFonts w:eastAsia="宋体"/>
                <w:color w:val="auto"/>
                <w:sz w:val="21"/>
                <w:szCs w:val="21"/>
              </w:rPr>
            </w:pPr>
          </w:p>
        </w:tc>
        <w:tc>
          <w:tcPr>
            <w:tcW w:w="763" w:type="pct"/>
            <w:shd w:val="clear" w:color="auto" w:fill="auto"/>
            <w:vAlign w:val="center"/>
          </w:tcPr>
          <w:p w14:paraId="7CA543E3">
            <w:pPr>
              <w:pStyle w:val="24"/>
              <w:ind w:left="0" w:leftChars="0"/>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28FDA92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1.13E-05</w:t>
            </w:r>
          </w:p>
        </w:tc>
        <w:tc>
          <w:tcPr>
            <w:tcW w:w="841" w:type="pct"/>
            <w:shd w:val="clear" w:color="auto" w:fill="auto"/>
            <w:vAlign w:val="center"/>
          </w:tcPr>
          <w:p w14:paraId="517FBE6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251102</w:t>
            </w:r>
          </w:p>
        </w:tc>
        <w:tc>
          <w:tcPr>
            <w:tcW w:w="715" w:type="pct"/>
            <w:shd w:val="clear" w:color="auto" w:fill="auto"/>
            <w:vAlign w:val="center"/>
          </w:tcPr>
          <w:p w14:paraId="149DB0E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3F1B6B8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B60DB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099FEEB">
            <w:pPr>
              <w:pStyle w:val="24"/>
              <w:rPr>
                <w:rFonts w:eastAsia="宋体"/>
                <w:color w:val="auto"/>
                <w:sz w:val="21"/>
                <w:szCs w:val="21"/>
              </w:rPr>
            </w:pPr>
          </w:p>
        </w:tc>
        <w:tc>
          <w:tcPr>
            <w:tcW w:w="762" w:type="pct"/>
            <w:vMerge w:val="restart"/>
            <w:shd w:val="clear" w:color="auto" w:fill="auto"/>
            <w:vAlign w:val="center"/>
          </w:tcPr>
          <w:p w14:paraId="12C3B153">
            <w:pPr>
              <w:pStyle w:val="24"/>
              <w:ind w:left="0" w:leftChars="0"/>
              <w:rPr>
                <w:rFonts w:hint="eastAsia" w:eastAsia="宋体"/>
                <w:color w:val="auto"/>
                <w:sz w:val="21"/>
                <w:szCs w:val="21"/>
                <w:lang w:val="en-US" w:eastAsia="zh-CN"/>
              </w:rPr>
            </w:pPr>
            <w:r>
              <w:rPr>
                <w:rFonts w:hint="eastAsia"/>
                <w:color w:val="auto"/>
                <w:sz w:val="21"/>
                <w:szCs w:val="21"/>
                <w:lang w:val="en-US" w:eastAsia="zh-CN"/>
              </w:rPr>
              <w:t>通江县城</w:t>
            </w:r>
          </w:p>
        </w:tc>
        <w:tc>
          <w:tcPr>
            <w:tcW w:w="763" w:type="pct"/>
            <w:shd w:val="clear" w:color="auto" w:fill="auto"/>
            <w:vAlign w:val="center"/>
          </w:tcPr>
          <w:p w14:paraId="3C075E4D">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159038B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1.55E-04</w:t>
            </w:r>
          </w:p>
        </w:tc>
        <w:tc>
          <w:tcPr>
            <w:tcW w:w="841" w:type="pct"/>
            <w:shd w:val="clear" w:color="auto" w:fill="auto"/>
            <w:vAlign w:val="center"/>
          </w:tcPr>
          <w:p w14:paraId="7ECD535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25011821</w:t>
            </w:r>
          </w:p>
        </w:tc>
        <w:tc>
          <w:tcPr>
            <w:tcW w:w="715" w:type="pct"/>
            <w:shd w:val="clear" w:color="auto" w:fill="auto"/>
            <w:vAlign w:val="center"/>
          </w:tcPr>
          <w:p w14:paraId="5AA9EF0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7C665CB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2497F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781C91B4">
            <w:pPr>
              <w:pStyle w:val="24"/>
              <w:rPr>
                <w:rFonts w:eastAsia="宋体"/>
                <w:color w:val="auto"/>
                <w:sz w:val="21"/>
                <w:szCs w:val="21"/>
              </w:rPr>
            </w:pPr>
          </w:p>
        </w:tc>
        <w:tc>
          <w:tcPr>
            <w:tcW w:w="762" w:type="pct"/>
            <w:vMerge w:val="continue"/>
            <w:vAlign w:val="center"/>
          </w:tcPr>
          <w:p w14:paraId="09516F71">
            <w:pPr>
              <w:pStyle w:val="24"/>
              <w:rPr>
                <w:rFonts w:eastAsia="宋体"/>
                <w:color w:val="auto"/>
                <w:sz w:val="21"/>
                <w:szCs w:val="21"/>
              </w:rPr>
            </w:pPr>
          </w:p>
        </w:tc>
        <w:tc>
          <w:tcPr>
            <w:tcW w:w="763" w:type="pct"/>
            <w:shd w:val="clear" w:color="auto" w:fill="auto"/>
            <w:vAlign w:val="center"/>
          </w:tcPr>
          <w:p w14:paraId="6DB96049">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7CBF705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1.03E-05</w:t>
            </w:r>
          </w:p>
        </w:tc>
        <w:tc>
          <w:tcPr>
            <w:tcW w:w="841" w:type="pct"/>
            <w:shd w:val="clear" w:color="auto" w:fill="auto"/>
            <w:vAlign w:val="center"/>
          </w:tcPr>
          <w:p w14:paraId="0B4687C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w:t>
            </w:r>
          </w:p>
        </w:tc>
        <w:tc>
          <w:tcPr>
            <w:tcW w:w="715" w:type="pct"/>
            <w:shd w:val="clear" w:color="auto" w:fill="auto"/>
            <w:vAlign w:val="center"/>
          </w:tcPr>
          <w:p w14:paraId="39E5A513">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5F86572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7DB75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4954132">
            <w:pPr>
              <w:pStyle w:val="24"/>
              <w:rPr>
                <w:rFonts w:eastAsia="宋体"/>
                <w:color w:val="auto"/>
                <w:sz w:val="21"/>
                <w:szCs w:val="21"/>
              </w:rPr>
            </w:pPr>
          </w:p>
        </w:tc>
        <w:tc>
          <w:tcPr>
            <w:tcW w:w="762" w:type="pct"/>
            <w:vMerge w:val="restart"/>
            <w:shd w:val="clear" w:color="auto" w:fill="auto"/>
            <w:vAlign w:val="center"/>
          </w:tcPr>
          <w:p w14:paraId="02CDF6E5">
            <w:pPr>
              <w:pStyle w:val="24"/>
              <w:rPr>
                <w:rFonts w:hint="default" w:eastAsia="宋体"/>
                <w:color w:val="auto"/>
                <w:sz w:val="21"/>
                <w:szCs w:val="21"/>
                <w:lang w:val="en-US" w:eastAsia="zh-CN"/>
              </w:rPr>
            </w:pPr>
            <w:r>
              <w:rPr>
                <w:rFonts w:hint="eastAsia" w:eastAsia="宋体"/>
                <w:color w:val="auto"/>
                <w:sz w:val="21"/>
                <w:szCs w:val="21"/>
              </w:rPr>
              <w:t>区域最大落地浓度</w:t>
            </w:r>
          </w:p>
        </w:tc>
        <w:tc>
          <w:tcPr>
            <w:tcW w:w="763" w:type="pct"/>
            <w:shd w:val="clear" w:color="auto" w:fill="auto"/>
            <w:vAlign w:val="center"/>
          </w:tcPr>
          <w:p w14:paraId="21F51E5F">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6B6EE18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3.18E-03</w:t>
            </w:r>
          </w:p>
        </w:tc>
        <w:tc>
          <w:tcPr>
            <w:tcW w:w="841" w:type="pct"/>
            <w:shd w:val="clear" w:color="auto" w:fill="auto"/>
            <w:vAlign w:val="center"/>
          </w:tcPr>
          <w:p w14:paraId="2747007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25070107</w:t>
            </w:r>
          </w:p>
          <w:p w14:paraId="5B80B56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（95,47）</w:t>
            </w:r>
          </w:p>
        </w:tc>
        <w:tc>
          <w:tcPr>
            <w:tcW w:w="715" w:type="pct"/>
            <w:shd w:val="clear" w:color="auto" w:fill="auto"/>
            <w:vAlign w:val="center"/>
          </w:tcPr>
          <w:p w14:paraId="45BEDA3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1.06</w:t>
            </w:r>
          </w:p>
        </w:tc>
        <w:tc>
          <w:tcPr>
            <w:tcW w:w="618" w:type="pct"/>
            <w:shd w:val="clear" w:color="auto" w:fill="auto"/>
            <w:vAlign w:val="center"/>
          </w:tcPr>
          <w:p w14:paraId="1EBF5D4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2B4D0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428B11F">
            <w:pPr>
              <w:pStyle w:val="24"/>
              <w:rPr>
                <w:rFonts w:eastAsia="宋体"/>
                <w:color w:val="auto"/>
                <w:sz w:val="21"/>
                <w:szCs w:val="21"/>
              </w:rPr>
            </w:pPr>
          </w:p>
        </w:tc>
        <w:tc>
          <w:tcPr>
            <w:tcW w:w="762" w:type="pct"/>
            <w:vMerge w:val="continue"/>
            <w:vAlign w:val="center"/>
          </w:tcPr>
          <w:p w14:paraId="2FD826C0">
            <w:pPr>
              <w:pStyle w:val="24"/>
              <w:rPr>
                <w:rFonts w:eastAsia="宋体"/>
                <w:color w:val="auto"/>
                <w:sz w:val="21"/>
                <w:szCs w:val="21"/>
              </w:rPr>
            </w:pPr>
          </w:p>
        </w:tc>
        <w:tc>
          <w:tcPr>
            <w:tcW w:w="763" w:type="pct"/>
            <w:shd w:val="clear" w:color="auto" w:fill="auto"/>
            <w:vAlign w:val="center"/>
          </w:tcPr>
          <w:p w14:paraId="2152665A">
            <w:pPr>
              <w:pStyle w:val="24"/>
              <w:ind w:left="0" w:leftChars="0"/>
              <w:rPr>
                <w:rFonts w:eastAsia="宋体"/>
                <w:color w:val="auto"/>
                <w:sz w:val="21"/>
                <w:szCs w:val="21"/>
              </w:rPr>
            </w:pPr>
            <w:r>
              <w:rPr>
                <w:rFonts w:hint="eastAsia" w:eastAsia="宋体"/>
                <w:color w:val="auto"/>
                <w:sz w:val="21"/>
                <w:szCs w:val="21"/>
                <w:lang w:val="en-US" w:eastAsia="zh-CN"/>
              </w:rPr>
              <w:t>日</w:t>
            </w:r>
            <w:r>
              <w:rPr>
                <w:rFonts w:hint="eastAsia" w:eastAsia="宋体"/>
                <w:color w:val="auto"/>
                <w:sz w:val="21"/>
                <w:szCs w:val="21"/>
              </w:rPr>
              <w:t>平均</w:t>
            </w:r>
          </w:p>
        </w:tc>
        <w:tc>
          <w:tcPr>
            <w:tcW w:w="770" w:type="pct"/>
            <w:shd w:val="clear" w:color="auto" w:fill="auto"/>
            <w:vAlign w:val="center"/>
          </w:tcPr>
          <w:p w14:paraId="60F1FF4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2.94E-04</w:t>
            </w:r>
          </w:p>
        </w:tc>
        <w:tc>
          <w:tcPr>
            <w:tcW w:w="841" w:type="pct"/>
            <w:shd w:val="clear" w:color="auto" w:fill="auto"/>
            <w:vAlign w:val="center"/>
          </w:tcPr>
          <w:p w14:paraId="4FAB820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250716</w:t>
            </w:r>
          </w:p>
          <w:p w14:paraId="6C6C419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（95,-53）</w:t>
            </w:r>
          </w:p>
        </w:tc>
        <w:tc>
          <w:tcPr>
            <w:tcW w:w="715" w:type="pct"/>
            <w:shd w:val="clear" w:color="auto" w:fill="auto"/>
            <w:vAlign w:val="center"/>
          </w:tcPr>
          <w:p w14:paraId="46009CE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0.29</w:t>
            </w:r>
          </w:p>
        </w:tc>
        <w:tc>
          <w:tcPr>
            <w:tcW w:w="618" w:type="pct"/>
            <w:shd w:val="clear" w:color="auto" w:fill="auto"/>
            <w:vAlign w:val="center"/>
          </w:tcPr>
          <w:p w14:paraId="53D1CEE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4ECC1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75112131">
            <w:pPr>
              <w:pStyle w:val="24"/>
              <w:rPr>
                <w:rFonts w:eastAsia="宋体"/>
                <w:color w:val="auto"/>
                <w:sz w:val="21"/>
                <w:szCs w:val="21"/>
              </w:rPr>
            </w:pPr>
          </w:p>
        </w:tc>
        <w:tc>
          <w:tcPr>
            <w:tcW w:w="762" w:type="pct"/>
            <w:vMerge w:val="restart"/>
            <w:shd w:val="clear" w:color="auto" w:fill="auto"/>
            <w:vAlign w:val="center"/>
          </w:tcPr>
          <w:p w14:paraId="1FA71DEC">
            <w:pPr>
              <w:pStyle w:val="24"/>
              <w:rPr>
                <w:rFonts w:eastAsia="宋体"/>
                <w:color w:val="auto"/>
                <w:sz w:val="21"/>
                <w:szCs w:val="21"/>
              </w:rPr>
            </w:pPr>
            <w:r>
              <w:rPr>
                <w:rFonts w:hint="eastAsia" w:eastAsia="宋体"/>
                <w:color w:val="auto"/>
                <w:sz w:val="21"/>
                <w:szCs w:val="21"/>
                <w:lang w:val="en-US" w:eastAsia="zh-CN"/>
              </w:rPr>
              <w:t>厂界浓度</w:t>
            </w:r>
          </w:p>
        </w:tc>
        <w:tc>
          <w:tcPr>
            <w:tcW w:w="763" w:type="pct"/>
            <w:shd w:val="clear" w:color="auto" w:fill="auto"/>
            <w:vAlign w:val="center"/>
          </w:tcPr>
          <w:p w14:paraId="2B88E999">
            <w:pPr>
              <w:pStyle w:val="24"/>
              <w:ind w:left="0" w:leftChars="0"/>
              <w:rPr>
                <w:rFonts w:eastAsia="宋体"/>
                <w:color w:val="auto"/>
                <w:sz w:val="21"/>
                <w:szCs w:val="21"/>
              </w:rPr>
            </w:pPr>
            <w:r>
              <w:rPr>
                <w:rFonts w:hint="eastAsia" w:eastAsia="宋体"/>
                <w:color w:val="auto"/>
                <w:sz w:val="21"/>
                <w:szCs w:val="21"/>
                <w:lang w:val="en-US" w:eastAsia="zh-CN"/>
              </w:rPr>
              <w:t>1小时</w:t>
            </w:r>
          </w:p>
        </w:tc>
        <w:tc>
          <w:tcPr>
            <w:tcW w:w="770" w:type="pct"/>
            <w:shd w:val="clear" w:color="auto" w:fill="auto"/>
            <w:vAlign w:val="center"/>
          </w:tcPr>
          <w:p w14:paraId="67037A9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2.31E-03</w:t>
            </w:r>
          </w:p>
        </w:tc>
        <w:tc>
          <w:tcPr>
            <w:tcW w:w="841" w:type="pct"/>
            <w:shd w:val="clear" w:color="auto" w:fill="auto"/>
            <w:vAlign w:val="center"/>
          </w:tcPr>
          <w:p w14:paraId="630B1104">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25012212</w:t>
            </w:r>
          </w:p>
        </w:tc>
        <w:tc>
          <w:tcPr>
            <w:tcW w:w="715" w:type="pct"/>
            <w:shd w:val="clear" w:color="auto" w:fill="auto"/>
            <w:vAlign w:val="center"/>
          </w:tcPr>
          <w:p w14:paraId="259CDE5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0.77</w:t>
            </w:r>
          </w:p>
        </w:tc>
        <w:tc>
          <w:tcPr>
            <w:tcW w:w="618" w:type="pct"/>
            <w:shd w:val="clear" w:color="auto" w:fill="auto"/>
            <w:vAlign w:val="center"/>
          </w:tcPr>
          <w:p w14:paraId="0052030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A354D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A03CC6C">
            <w:pPr>
              <w:pStyle w:val="24"/>
              <w:rPr>
                <w:rFonts w:eastAsia="宋体"/>
                <w:color w:val="auto"/>
                <w:sz w:val="21"/>
                <w:szCs w:val="21"/>
              </w:rPr>
            </w:pPr>
          </w:p>
        </w:tc>
        <w:tc>
          <w:tcPr>
            <w:tcW w:w="762" w:type="pct"/>
            <w:vMerge w:val="continue"/>
            <w:vAlign w:val="center"/>
          </w:tcPr>
          <w:p w14:paraId="6A3DE951">
            <w:pPr>
              <w:pStyle w:val="24"/>
              <w:rPr>
                <w:rFonts w:eastAsia="宋体"/>
                <w:color w:val="auto"/>
                <w:sz w:val="21"/>
                <w:szCs w:val="21"/>
              </w:rPr>
            </w:pPr>
          </w:p>
        </w:tc>
        <w:tc>
          <w:tcPr>
            <w:tcW w:w="763" w:type="pct"/>
            <w:shd w:val="clear" w:color="auto" w:fill="auto"/>
            <w:vAlign w:val="center"/>
          </w:tcPr>
          <w:p w14:paraId="47A78061">
            <w:pPr>
              <w:pStyle w:val="24"/>
              <w:ind w:left="0" w:leftChars="0"/>
              <w:rPr>
                <w:rFonts w:eastAsia="宋体"/>
                <w:color w:val="auto"/>
                <w:sz w:val="21"/>
                <w:szCs w:val="21"/>
              </w:rPr>
            </w:pPr>
            <w:r>
              <w:rPr>
                <w:rFonts w:hint="eastAsia" w:eastAsia="宋体"/>
                <w:color w:val="auto"/>
                <w:sz w:val="21"/>
                <w:szCs w:val="21"/>
              </w:rPr>
              <w:t>日平均</w:t>
            </w:r>
          </w:p>
        </w:tc>
        <w:tc>
          <w:tcPr>
            <w:tcW w:w="770" w:type="pct"/>
            <w:shd w:val="clear" w:color="auto" w:fill="auto"/>
            <w:vAlign w:val="center"/>
          </w:tcPr>
          <w:p w14:paraId="2C9ADD0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2.93E-04</w:t>
            </w:r>
          </w:p>
        </w:tc>
        <w:tc>
          <w:tcPr>
            <w:tcW w:w="841" w:type="pct"/>
            <w:shd w:val="clear" w:color="auto" w:fill="auto"/>
            <w:vAlign w:val="center"/>
          </w:tcPr>
          <w:p w14:paraId="4F5018F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250625</w:t>
            </w:r>
          </w:p>
        </w:tc>
        <w:tc>
          <w:tcPr>
            <w:tcW w:w="715" w:type="pct"/>
            <w:shd w:val="clear" w:color="auto" w:fill="auto"/>
            <w:vAlign w:val="center"/>
          </w:tcPr>
          <w:p w14:paraId="007FB42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0.29</w:t>
            </w:r>
          </w:p>
        </w:tc>
        <w:tc>
          <w:tcPr>
            <w:tcW w:w="618" w:type="pct"/>
            <w:shd w:val="clear" w:color="auto" w:fill="auto"/>
            <w:vAlign w:val="center"/>
          </w:tcPr>
          <w:p w14:paraId="27BFC3F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2B1CDFC3">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本项目TVOC贡献质量浓度预测结果表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67"/>
        <w:gridCol w:w="1417"/>
        <w:gridCol w:w="1418"/>
        <w:gridCol w:w="1584"/>
        <w:gridCol w:w="1658"/>
        <w:gridCol w:w="1327"/>
        <w:gridCol w:w="1143"/>
      </w:tblGrid>
      <w:tr w14:paraId="59370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08" w:type="pct"/>
            <w:shd w:val="clear" w:color="auto" w:fill="auto"/>
            <w:vAlign w:val="center"/>
          </w:tcPr>
          <w:p w14:paraId="352B2CDE">
            <w:pPr>
              <w:pStyle w:val="24"/>
              <w:rPr>
                <w:rFonts w:eastAsia="宋体"/>
                <w:b/>
                <w:bCs/>
                <w:color w:val="auto"/>
                <w:sz w:val="21"/>
                <w:szCs w:val="21"/>
              </w:rPr>
            </w:pPr>
            <w:r>
              <w:rPr>
                <w:rFonts w:hint="eastAsia" w:eastAsia="宋体"/>
                <w:b/>
                <w:bCs/>
                <w:color w:val="auto"/>
                <w:sz w:val="21"/>
                <w:szCs w:val="21"/>
              </w:rPr>
              <w:t>污染物</w:t>
            </w:r>
          </w:p>
        </w:tc>
        <w:tc>
          <w:tcPr>
            <w:tcW w:w="744" w:type="pct"/>
            <w:shd w:val="clear" w:color="auto" w:fill="auto"/>
            <w:vAlign w:val="center"/>
          </w:tcPr>
          <w:p w14:paraId="4119A4F5">
            <w:pPr>
              <w:pStyle w:val="24"/>
              <w:rPr>
                <w:rFonts w:eastAsia="宋体"/>
                <w:b/>
                <w:bCs/>
                <w:color w:val="auto"/>
                <w:sz w:val="21"/>
                <w:szCs w:val="21"/>
              </w:rPr>
            </w:pPr>
            <w:r>
              <w:rPr>
                <w:rFonts w:hint="eastAsia" w:eastAsia="宋体"/>
                <w:b/>
                <w:bCs/>
                <w:color w:val="auto"/>
                <w:sz w:val="21"/>
                <w:szCs w:val="21"/>
              </w:rPr>
              <w:t>预测点</w:t>
            </w:r>
          </w:p>
        </w:tc>
        <w:tc>
          <w:tcPr>
            <w:tcW w:w="745" w:type="pct"/>
            <w:shd w:val="clear" w:color="auto" w:fill="auto"/>
            <w:vAlign w:val="center"/>
          </w:tcPr>
          <w:p w14:paraId="3C5B7DD3">
            <w:pPr>
              <w:pStyle w:val="24"/>
              <w:rPr>
                <w:rFonts w:eastAsia="宋体"/>
                <w:b/>
                <w:bCs/>
                <w:color w:val="auto"/>
                <w:sz w:val="21"/>
                <w:szCs w:val="21"/>
              </w:rPr>
            </w:pPr>
            <w:r>
              <w:rPr>
                <w:rFonts w:hint="eastAsia" w:eastAsia="宋体"/>
                <w:b/>
                <w:bCs/>
                <w:color w:val="auto"/>
                <w:sz w:val="21"/>
                <w:szCs w:val="21"/>
              </w:rPr>
              <w:t>平均时段</w:t>
            </w:r>
          </w:p>
        </w:tc>
        <w:tc>
          <w:tcPr>
            <w:tcW w:w="832" w:type="pct"/>
            <w:shd w:val="clear" w:color="auto" w:fill="auto"/>
            <w:vAlign w:val="center"/>
          </w:tcPr>
          <w:p w14:paraId="5BC171D0">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71" w:type="pct"/>
            <w:shd w:val="clear" w:color="auto" w:fill="auto"/>
            <w:vAlign w:val="center"/>
          </w:tcPr>
          <w:p w14:paraId="5DDDA7C2">
            <w:pPr>
              <w:pStyle w:val="24"/>
              <w:rPr>
                <w:rFonts w:hint="eastAsia" w:eastAsia="宋体"/>
                <w:b/>
                <w:bCs/>
                <w:color w:val="auto"/>
                <w:sz w:val="21"/>
                <w:szCs w:val="21"/>
              </w:rPr>
            </w:pPr>
            <w:r>
              <w:rPr>
                <w:rFonts w:hint="eastAsia" w:eastAsia="宋体"/>
                <w:b/>
                <w:bCs/>
                <w:color w:val="auto"/>
                <w:sz w:val="21"/>
                <w:szCs w:val="21"/>
              </w:rPr>
              <w:t>出现时间</w:t>
            </w:r>
          </w:p>
          <w:p w14:paraId="4CDA3B64">
            <w:pPr>
              <w:pStyle w:val="24"/>
              <w:rPr>
                <w:rFonts w:eastAsia="宋体"/>
                <w:b/>
                <w:bCs/>
                <w:color w:val="auto"/>
                <w:sz w:val="21"/>
                <w:szCs w:val="21"/>
              </w:rPr>
            </w:pPr>
            <w:r>
              <w:rPr>
                <w:rFonts w:hint="eastAsia" w:cs="Times New Roman"/>
                <w:b/>
                <w:bCs/>
                <w:color w:val="auto"/>
              </w:rPr>
              <w:t>（位置）</w:t>
            </w:r>
          </w:p>
        </w:tc>
        <w:tc>
          <w:tcPr>
            <w:tcW w:w="697" w:type="pct"/>
            <w:shd w:val="clear" w:color="auto" w:fill="auto"/>
            <w:vAlign w:val="center"/>
          </w:tcPr>
          <w:p w14:paraId="12F1D4B4">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00" w:type="pct"/>
            <w:shd w:val="clear" w:color="auto" w:fill="auto"/>
            <w:vAlign w:val="center"/>
          </w:tcPr>
          <w:p w14:paraId="3A79F88F">
            <w:pPr>
              <w:pStyle w:val="24"/>
              <w:rPr>
                <w:rFonts w:eastAsia="宋体"/>
                <w:b/>
                <w:bCs/>
                <w:color w:val="auto"/>
                <w:sz w:val="21"/>
                <w:szCs w:val="21"/>
              </w:rPr>
            </w:pPr>
            <w:r>
              <w:rPr>
                <w:rFonts w:hint="eastAsia" w:eastAsia="宋体"/>
                <w:b/>
                <w:bCs/>
                <w:color w:val="auto"/>
                <w:sz w:val="21"/>
                <w:szCs w:val="21"/>
              </w:rPr>
              <w:t>达标情况</w:t>
            </w:r>
          </w:p>
        </w:tc>
      </w:tr>
      <w:tr w14:paraId="49C47F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restart"/>
            <w:shd w:val="clear" w:color="auto" w:fill="auto"/>
            <w:vAlign w:val="center"/>
          </w:tcPr>
          <w:p w14:paraId="5430205D">
            <w:pPr>
              <w:pStyle w:val="24"/>
              <w:rPr>
                <w:rFonts w:hint="default" w:eastAsia="宋体"/>
                <w:color w:val="auto"/>
                <w:sz w:val="21"/>
                <w:szCs w:val="21"/>
                <w:lang w:val="en-US" w:eastAsia="zh-CN"/>
              </w:rPr>
            </w:pPr>
            <w:r>
              <w:rPr>
                <w:rFonts w:hint="eastAsia" w:eastAsia="宋体"/>
                <w:color w:val="auto"/>
                <w:lang w:val="en-US" w:eastAsia="zh-CN"/>
              </w:rPr>
              <w:t>TVOC</w:t>
            </w:r>
          </w:p>
        </w:tc>
        <w:tc>
          <w:tcPr>
            <w:tcW w:w="744" w:type="pct"/>
            <w:shd w:val="clear" w:color="auto" w:fill="auto"/>
            <w:vAlign w:val="center"/>
          </w:tcPr>
          <w:p w14:paraId="67FD3107">
            <w:pPr>
              <w:pStyle w:val="24"/>
              <w:ind w:left="0" w:leftChars="0"/>
              <w:rPr>
                <w:rFonts w:hint="default" w:eastAsia="宋体"/>
                <w:color w:val="auto"/>
                <w:sz w:val="21"/>
                <w:szCs w:val="21"/>
                <w:lang w:val="en-US" w:eastAsia="zh-CN"/>
              </w:rPr>
            </w:pPr>
            <w:r>
              <w:rPr>
                <w:rFonts w:hint="eastAsia"/>
                <w:color w:val="auto"/>
                <w:sz w:val="21"/>
                <w:szCs w:val="21"/>
                <w:lang w:val="en-US" w:eastAsia="zh-CN"/>
              </w:rPr>
              <w:t>东北侧散户</w:t>
            </w:r>
          </w:p>
        </w:tc>
        <w:tc>
          <w:tcPr>
            <w:tcW w:w="745" w:type="pct"/>
            <w:shd w:val="clear" w:color="auto" w:fill="auto"/>
            <w:vAlign w:val="center"/>
          </w:tcPr>
          <w:p w14:paraId="5FD0B331">
            <w:pPr>
              <w:pStyle w:val="24"/>
              <w:ind w:left="0" w:leftChars="0"/>
              <w:rPr>
                <w:rFonts w:hint="default" w:ascii="Times New Roman" w:hAnsi="Times New Roman" w:eastAsia="宋体"/>
                <w:color w:val="auto"/>
                <w:sz w:val="21"/>
                <w:szCs w:val="21"/>
                <w:lang w:val="en-US" w:eastAsia="zh-CN"/>
              </w:rPr>
            </w:pPr>
            <w:r>
              <w:rPr>
                <w:rFonts w:hint="eastAsia"/>
                <w:color w:val="auto"/>
                <w:sz w:val="21"/>
                <w:szCs w:val="21"/>
                <w:lang w:val="en-US" w:eastAsia="zh-CN"/>
              </w:rPr>
              <w:t>8小时</w:t>
            </w:r>
          </w:p>
        </w:tc>
        <w:tc>
          <w:tcPr>
            <w:tcW w:w="832" w:type="pct"/>
            <w:shd w:val="clear" w:color="auto" w:fill="auto"/>
            <w:vAlign w:val="center"/>
          </w:tcPr>
          <w:p w14:paraId="19CAE5A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4.16E-04</w:t>
            </w:r>
          </w:p>
        </w:tc>
        <w:tc>
          <w:tcPr>
            <w:tcW w:w="871" w:type="pct"/>
            <w:shd w:val="clear" w:color="auto" w:fill="auto"/>
            <w:vAlign w:val="center"/>
          </w:tcPr>
          <w:p w14:paraId="32F4EAE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25020808</w:t>
            </w:r>
          </w:p>
        </w:tc>
        <w:tc>
          <w:tcPr>
            <w:tcW w:w="697" w:type="pct"/>
            <w:shd w:val="clear" w:color="auto" w:fill="auto"/>
            <w:vAlign w:val="center"/>
          </w:tcPr>
          <w:p w14:paraId="4806F1D0">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0.0</w:t>
            </w:r>
            <w:r>
              <w:rPr>
                <w:rFonts w:hint="eastAsia" w:eastAsia="宋体"/>
                <w:color w:val="auto"/>
                <w:sz w:val="21"/>
                <w:szCs w:val="21"/>
                <w:lang w:val="en-US" w:eastAsia="zh-CN"/>
              </w:rPr>
              <w:t>3</w:t>
            </w:r>
            <w:r>
              <w:rPr>
                <w:rFonts w:hint="eastAsia" w:ascii="Times New Roman" w:hAnsi="Times New Roman" w:eastAsia="宋体"/>
                <w:color w:val="auto"/>
                <w:sz w:val="21"/>
                <w:szCs w:val="21"/>
                <w:lang w:val="en-US" w:eastAsia="zh-CN"/>
              </w:rPr>
              <w:t xml:space="preserve"> </w:t>
            </w:r>
          </w:p>
        </w:tc>
        <w:tc>
          <w:tcPr>
            <w:tcW w:w="600" w:type="pct"/>
            <w:shd w:val="clear" w:color="auto" w:fill="auto"/>
            <w:vAlign w:val="center"/>
          </w:tcPr>
          <w:p w14:paraId="0CEEC748">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达标</w:t>
            </w:r>
          </w:p>
        </w:tc>
      </w:tr>
      <w:tr w14:paraId="020E0D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shd w:val="clear" w:color="auto" w:fill="auto"/>
            <w:vAlign w:val="center"/>
          </w:tcPr>
          <w:p w14:paraId="75DE367E">
            <w:pPr>
              <w:pStyle w:val="24"/>
              <w:rPr>
                <w:rFonts w:hint="eastAsia" w:eastAsia="宋体"/>
                <w:color w:val="auto"/>
                <w:lang w:val="en-US" w:eastAsia="zh-CN"/>
              </w:rPr>
            </w:pPr>
          </w:p>
        </w:tc>
        <w:tc>
          <w:tcPr>
            <w:tcW w:w="744" w:type="pct"/>
            <w:shd w:val="clear" w:color="auto" w:fill="auto"/>
            <w:vAlign w:val="center"/>
          </w:tcPr>
          <w:p w14:paraId="5599DF78">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金堂村</w:t>
            </w:r>
          </w:p>
        </w:tc>
        <w:tc>
          <w:tcPr>
            <w:tcW w:w="745" w:type="pct"/>
            <w:shd w:val="clear" w:color="auto" w:fill="auto"/>
            <w:vAlign w:val="center"/>
          </w:tcPr>
          <w:p w14:paraId="09984C03">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312E6F9D">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2.25E-04</w:t>
            </w:r>
          </w:p>
        </w:tc>
        <w:tc>
          <w:tcPr>
            <w:tcW w:w="871" w:type="pct"/>
            <w:shd w:val="clear" w:color="auto" w:fill="auto"/>
            <w:vAlign w:val="center"/>
          </w:tcPr>
          <w:p w14:paraId="75416706">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25071708</w:t>
            </w:r>
          </w:p>
        </w:tc>
        <w:tc>
          <w:tcPr>
            <w:tcW w:w="697" w:type="pct"/>
            <w:shd w:val="clear" w:color="auto" w:fill="auto"/>
            <w:vAlign w:val="center"/>
          </w:tcPr>
          <w:p w14:paraId="5BB8D641">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 xml:space="preserve">0.04 </w:t>
            </w:r>
          </w:p>
        </w:tc>
        <w:tc>
          <w:tcPr>
            <w:tcW w:w="600" w:type="pct"/>
            <w:shd w:val="clear" w:color="auto" w:fill="auto"/>
            <w:vAlign w:val="center"/>
          </w:tcPr>
          <w:p w14:paraId="2D157E6A">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达标</w:t>
            </w:r>
          </w:p>
        </w:tc>
      </w:tr>
      <w:tr w14:paraId="001714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vAlign w:val="center"/>
          </w:tcPr>
          <w:p w14:paraId="0085AF32">
            <w:pPr>
              <w:pStyle w:val="24"/>
              <w:rPr>
                <w:rFonts w:eastAsia="宋体"/>
                <w:color w:val="auto"/>
                <w:sz w:val="21"/>
                <w:szCs w:val="21"/>
              </w:rPr>
            </w:pPr>
          </w:p>
        </w:tc>
        <w:tc>
          <w:tcPr>
            <w:tcW w:w="744" w:type="pct"/>
            <w:shd w:val="clear" w:color="auto" w:fill="auto"/>
            <w:vAlign w:val="center"/>
          </w:tcPr>
          <w:p w14:paraId="4C059F5D">
            <w:pPr>
              <w:pStyle w:val="24"/>
              <w:ind w:left="0" w:leftChars="0"/>
              <w:rPr>
                <w:rFonts w:hint="default" w:eastAsia="宋体"/>
                <w:color w:val="auto"/>
                <w:sz w:val="21"/>
                <w:szCs w:val="21"/>
                <w:lang w:val="en-US" w:eastAsia="zh-CN"/>
              </w:rPr>
            </w:pPr>
            <w:r>
              <w:rPr>
                <w:rFonts w:hint="eastAsia"/>
                <w:color w:val="auto"/>
                <w:sz w:val="21"/>
                <w:szCs w:val="21"/>
                <w:lang w:val="en-US" w:eastAsia="zh-CN"/>
              </w:rPr>
              <w:t>亮垭村</w:t>
            </w:r>
          </w:p>
        </w:tc>
        <w:tc>
          <w:tcPr>
            <w:tcW w:w="745" w:type="pct"/>
            <w:shd w:val="clear" w:color="auto" w:fill="auto"/>
            <w:vAlign w:val="center"/>
          </w:tcPr>
          <w:p w14:paraId="31C3E521">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6113538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1.62E-05</w:t>
            </w:r>
          </w:p>
        </w:tc>
        <w:tc>
          <w:tcPr>
            <w:tcW w:w="871" w:type="pct"/>
            <w:shd w:val="clear" w:color="auto" w:fill="auto"/>
            <w:vAlign w:val="center"/>
          </w:tcPr>
          <w:p w14:paraId="4840FC7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25022224</w:t>
            </w:r>
          </w:p>
        </w:tc>
        <w:tc>
          <w:tcPr>
            <w:tcW w:w="697" w:type="pct"/>
            <w:shd w:val="clear" w:color="auto" w:fill="auto"/>
            <w:vAlign w:val="center"/>
          </w:tcPr>
          <w:p w14:paraId="5D9A1E4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0.00 </w:t>
            </w:r>
          </w:p>
        </w:tc>
        <w:tc>
          <w:tcPr>
            <w:tcW w:w="600" w:type="pct"/>
            <w:shd w:val="clear" w:color="auto" w:fill="auto"/>
            <w:vAlign w:val="center"/>
          </w:tcPr>
          <w:p w14:paraId="58C06D3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83977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vAlign w:val="center"/>
          </w:tcPr>
          <w:p w14:paraId="212014F7">
            <w:pPr>
              <w:pStyle w:val="24"/>
              <w:rPr>
                <w:rFonts w:eastAsia="宋体"/>
                <w:color w:val="auto"/>
                <w:sz w:val="21"/>
                <w:szCs w:val="21"/>
              </w:rPr>
            </w:pPr>
          </w:p>
        </w:tc>
        <w:tc>
          <w:tcPr>
            <w:tcW w:w="744" w:type="pct"/>
            <w:shd w:val="clear" w:color="auto" w:fill="auto"/>
            <w:vAlign w:val="center"/>
          </w:tcPr>
          <w:p w14:paraId="35FAAA7B">
            <w:pPr>
              <w:pStyle w:val="24"/>
              <w:ind w:left="0" w:leftChars="0"/>
              <w:rPr>
                <w:rFonts w:hint="default" w:eastAsia="宋体"/>
                <w:color w:val="auto"/>
                <w:sz w:val="21"/>
                <w:szCs w:val="21"/>
                <w:lang w:val="en-US" w:eastAsia="zh-CN"/>
              </w:rPr>
            </w:pPr>
            <w:r>
              <w:rPr>
                <w:rFonts w:hint="eastAsia"/>
                <w:color w:val="auto"/>
                <w:sz w:val="21"/>
                <w:szCs w:val="21"/>
                <w:lang w:val="en-US" w:eastAsia="zh-CN"/>
              </w:rPr>
              <w:t>秋锦山村</w:t>
            </w:r>
          </w:p>
        </w:tc>
        <w:tc>
          <w:tcPr>
            <w:tcW w:w="745" w:type="pct"/>
            <w:shd w:val="clear" w:color="auto" w:fill="auto"/>
            <w:vAlign w:val="center"/>
          </w:tcPr>
          <w:p w14:paraId="5D7CDBFE">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1D9D6EF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1.72E-05</w:t>
            </w:r>
          </w:p>
        </w:tc>
        <w:tc>
          <w:tcPr>
            <w:tcW w:w="871" w:type="pct"/>
            <w:shd w:val="clear" w:color="auto" w:fill="auto"/>
            <w:vAlign w:val="center"/>
          </w:tcPr>
          <w:p w14:paraId="10811DB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25051708</w:t>
            </w:r>
          </w:p>
        </w:tc>
        <w:tc>
          <w:tcPr>
            <w:tcW w:w="697" w:type="pct"/>
            <w:shd w:val="clear" w:color="auto" w:fill="auto"/>
            <w:vAlign w:val="center"/>
          </w:tcPr>
          <w:p w14:paraId="07DDD49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0.00 </w:t>
            </w:r>
          </w:p>
        </w:tc>
        <w:tc>
          <w:tcPr>
            <w:tcW w:w="600" w:type="pct"/>
            <w:shd w:val="clear" w:color="auto" w:fill="auto"/>
            <w:vAlign w:val="center"/>
          </w:tcPr>
          <w:p w14:paraId="0ED9E3E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9C5F1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vAlign w:val="center"/>
          </w:tcPr>
          <w:p w14:paraId="17772D63">
            <w:pPr>
              <w:pStyle w:val="24"/>
              <w:rPr>
                <w:rFonts w:eastAsia="宋体"/>
                <w:color w:val="auto"/>
                <w:sz w:val="21"/>
                <w:szCs w:val="21"/>
              </w:rPr>
            </w:pPr>
          </w:p>
        </w:tc>
        <w:tc>
          <w:tcPr>
            <w:tcW w:w="744" w:type="pct"/>
            <w:shd w:val="clear" w:color="auto" w:fill="auto"/>
            <w:vAlign w:val="center"/>
          </w:tcPr>
          <w:p w14:paraId="2F42D767">
            <w:pPr>
              <w:pStyle w:val="24"/>
              <w:ind w:left="0" w:leftChars="0"/>
              <w:rPr>
                <w:rFonts w:hint="eastAsia" w:eastAsia="宋体"/>
                <w:color w:val="auto"/>
                <w:sz w:val="21"/>
                <w:szCs w:val="21"/>
                <w:lang w:val="en-US" w:eastAsia="zh-CN"/>
              </w:rPr>
            </w:pPr>
            <w:r>
              <w:rPr>
                <w:rFonts w:hint="eastAsia"/>
                <w:color w:val="auto"/>
                <w:sz w:val="21"/>
                <w:szCs w:val="21"/>
                <w:lang w:val="en-US" w:eastAsia="zh-CN"/>
              </w:rPr>
              <w:t>春在镇</w:t>
            </w:r>
          </w:p>
        </w:tc>
        <w:tc>
          <w:tcPr>
            <w:tcW w:w="745" w:type="pct"/>
            <w:shd w:val="clear" w:color="auto" w:fill="auto"/>
            <w:vAlign w:val="center"/>
          </w:tcPr>
          <w:p w14:paraId="70C85FB8">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3FCA44A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5.86E-05</w:t>
            </w:r>
          </w:p>
        </w:tc>
        <w:tc>
          <w:tcPr>
            <w:tcW w:w="871" w:type="pct"/>
            <w:shd w:val="clear" w:color="auto" w:fill="auto"/>
            <w:vAlign w:val="center"/>
          </w:tcPr>
          <w:p w14:paraId="2502B53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25062124</w:t>
            </w:r>
          </w:p>
        </w:tc>
        <w:tc>
          <w:tcPr>
            <w:tcW w:w="697" w:type="pct"/>
            <w:shd w:val="clear" w:color="auto" w:fill="auto"/>
            <w:vAlign w:val="center"/>
          </w:tcPr>
          <w:p w14:paraId="04AA448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0.01 </w:t>
            </w:r>
          </w:p>
        </w:tc>
        <w:tc>
          <w:tcPr>
            <w:tcW w:w="600" w:type="pct"/>
            <w:shd w:val="clear" w:color="auto" w:fill="auto"/>
            <w:vAlign w:val="center"/>
          </w:tcPr>
          <w:p w14:paraId="52C1169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22BCC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vAlign w:val="center"/>
          </w:tcPr>
          <w:p w14:paraId="706661B1">
            <w:pPr>
              <w:pStyle w:val="24"/>
              <w:rPr>
                <w:rFonts w:eastAsia="宋体"/>
                <w:color w:val="auto"/>
                <w:sz w:val="21"/>
                <w:szCs w:val="21"/>
              </w:rPr>
            </w:pPr>
          </w:p>
        </w:tc>
        <w:tc>
          <w:tcPr>
            <w:tcW w:w="744" w:type="pct"/>
            <w:shd w:val="clear" w:color="auto" w:fill="auto"/>
            <w:vAlign w:val="center"/>
          </w:tcPr>
          <w:p w14:paraId="79206FFE">
            <w:pPr>
              <w:pStyle w:val="24"/>
              <w:ind w:left="0" w:leftChars="0"/>
              <w:rPr>
                <w:rFonts w:hint="eastAsia" w:eastAsia="宋体"/>
                <w:color w:val="auto"/>
                <w:sz w:val="21"/>
                <w:szCs w:val="21"/>
                <w:lang w:val="en-US" w:eastAsia="zh-CN"/>
              </w:rPr>
            </w:pPr>
            <w:r>
              <w:rPr>
                <w:rFonts w:hint="eastAsia"/>
                <w:color w:val="auto"/>
                <w:sz w:val="21"/>
                <w:szCs w:val="21"/>
                <w:lang w:val="en-US" w:eastAsia="zh-CN"/>
              </w:rPr>
              <w:t>通江县城</w:t>
            </w:r>
          </w:p>
        </w:tc>
        <w:tc>
          <w:tcPr>
            <w:tcW w:w="745" w:type="pct"/>
            <w:shd w:val="clear" w:color="auto" w:fill="auto"/>
            <w:vAlign w:val="center"/>
          </w:tcPr>
          <w:p w14:paraId="2E25E8EB">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4CE096C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1.35E-04</w:t>
            </w:r>
          </w:p>
        </w:tc>
        <w:tc>
          <w:tcPr>
            <w:tcW w:w="871" w:type="pct"/>
            <w:shd w:val="clear" w:color="auto" w:fill="auto"/>
            <w:vAlign w:val="center"/>
          </w:tcPr>
          <w:p w14:paraId="243B22C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25011824</w:t>
            </w:r>
          </w:p>
        </w:tc>
        <w:tc>
          <w:tcPr>
            <w:tcW w:w="697" w:type="pct"/>
            <w:shd w:val="clear" w:color="auto" w:fill="auto"/>
            <w:vAlign w:val="center"/>
          </w:tcPr>
          <w:p w14:paraId="5486EAC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0.02 </w:t>
            </w:r>
          </w:p>
        </w:tc>
        <w:tc>
          <w:tcPr>
            <w:tcW w:w="600" w:type="pct"/>
            <w:shd w:val="clear" w:color="auto" w:fill="auto"/>
            <w:vAlign w:val="center"/>
          </w:tcPr>
          <w:p w14:paraId="6397950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FD1BE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vAlign w:val="center"/>
          </w:tcPr>
          <w:p w14:paraId="2F95F96C">
            <w:pPr>
              <w:pStyle w:val="24"/>
              <w:rPr>
                <w:rFonts w:eastAsia="宋体"/>
                <w:color w:val="auto"/>
                <w:sz w:val="21"/>
                <w:szCs w:val="21"/>
              </w:rPr>
            </w:pPr>
          </w:p>
        </w:tc>
        <w:tc>
          <w:tcPr>
            <w:tcW w:w="744" w:type="pct"/>
            <w:shd w:val="clear" w:color="auto" w:fill="auto"/>
            <w:vAlign w:val="center"/>
          </w:tcPr>
          <w:p w14:paraId="1E957DB4">
            <w:pPr>
              <w:pStyle w:val="24"/>
              <w:rPr>
                <w:rFonts w:hint="default" w:eastAsia="宋体"/>
                <w:color w:val="auto"/>
                <w:sz w:val="21"/>
                <w:szCs w:val="21"/>
                <w:lang w:val="en-US" w:eastAsia="zh-CN"/>
              </w:rPr>
            </w:pPr>
            <w:r>
              <w:rPr>
                <w:rFonts w:hint="eastAsia" w:eastAsia="宋体"/>
                <w:color w:val="auto"/>
                <w:sz w:val="21"/>
                <w:szCs w:val="21"/>
              </w:rPr>
              <w:t>区域最大落地浓度</w:t>
            </w:r>
          </w:p>
        </w:tc>
        <w:tc>
          <w:tcPr>
            <w:tcW w:w="745" w:type="pct"/>
            <w:shd w:val="clear" w:color="auto" w:fill="auto"/>
            <w:vAlign w:val="center"/>
          </w:tcPr>
          <w:p w14:paraId="24EE103F">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6E0081D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1.48E-03</w:t>
            </w:r>
          </w:p>
        </w:tc>
        <w:tc>
          <w:tcPr>
            <w:tcW w:w="871" w:type="pct"/>
            <w:shd w:val="clear" w:color="auto" w:fill="auto"/>
            <w:vAlign w:val="center"/>
          </w:tcPr>
          <w:p w14:paraId="1FB7CCE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25122224</w:t>
            </w:r>
          </w:p>
          <w:p w14:paraId="6ECB281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（195,-53）</w:t>
            </w:r>
          </w:p>
        </w:tc>
        <w:tc>
          <w:tcPr>
            <w:tcW w:w="697" w:type="pct"/>
            <w:shd w:val="clear" w:color="auto" w:fill="auto"/>
            <w:vAlign w:val="center"/>
          </w:tcPr>
          <w:p w14:paraId="330CFF8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0.25 </w:t>
            </w:r>
          </w:p>
        </w:tc>
        <w:tc>
          <w:tcPr>
            <w:tcW w:w="600" w:type="pct"/>
            <w:shd w:val="clear" w:color="auto" w:fill="auto"/>
            <w:vAlign w:val="center"/>
          </w:tcPr>
          <w:p w14:paraId="3CA6770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C1E94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08" w:type="pct"/>
            <w:vMerge w:val="continue"/>
            <w:vAlign w:val="center"/>
          </w:tcPr>
          <w:p w14:paraId="78C31A4F">
            <w:pPr>
              <w:pStyle w:val="24"/>
              <w:rPr>
                <w:rFonts w:eastAsia="宋体"/>
                <w:color w:val="auto"/>
                <w:sz w:val="21"/>
                <w:szCs w:val="21"/>
              </w:rPr>
            </w:pPr>
          </w:p>
        </w:tc>
        <w:tc>
          <w:tcPr>
            <w:tcW w:w="744" w:type="pct"/>
            <w:shd w:val="clear" w:color="auto" w:fill="auto"/>
            <w:vAlign w:val="center"/>
          </w:tcPr>
          <w:p w14:paraId="182F8E9A">
            <w:pPr>
              <w:pStyle w:val="24"/>
              <w:rPr>
                <w:rFonts w:eastAsia="宋体"/>
                <w:color w:val="auto"/>
                <w:sz w:val="21"/>
                <w:szCs w:val="21"/>
              </w:rPr>
            </w:pPr>
            <w:r>
              <w:rPr>
                <w:rFonts w:hint="eastAsia" w:eastAsia="宋体"/>
                <w:color w:val="auto"/>
                <w:sz w:val="21"/>
                <w:szCs w:val="21"/>
                <w:lang w:val="en-US" w:eastAsia="zh-CN"/>
              </w:rPr>
              <w:t>厂界浓度</w:t>
            </w:r>
          </w:p>
        </w:tc>
        <w:tc>
          <w:tcPr>
            <w:tcW w:w="745" w:type="pct"/>
            <w:shd w:val="clear" w:color="auto" w:fill="auto"/>
            <w:vAlign w:val="center"/>
          </w:tcPr>
          <w:p w14:paraId="25C22968">
            <w:pPr>
              <w:pStyle w:val="24"/>
              <w:ind w:left="0" w:leftChars="0"/>
              <w:rPr>
                <w:rFonts w:hint="eastAsia" w:ascii="Times New Roman" w:hAnsi="Times New Roman" w:eastAsia="宋体"/>
                <w:color w:val="auto"/>
                <w:sz w:val="21"/>
                <w:szCs w:val="21"/>
              </w:rPr>
            </w:pPr>
            <w:r>
              <w:rPr>
                <w:rFonts w:hint="eastAsia" w:ascii="Times New Roman" w:hAnsi="Times New Roman" w:eastAsia="宋体"/>
                <w:color w:val="auto"/>
                <w:sz w:val="21"/>
                <w:szCs w:val="21"/>
                <w:lang w:val="en-US" w:eastAsia="zh-CN"/>
              </w:rPr>
              <w:t>8小时</w:t>
            </w:r>
          </w:p>
        </w:tc>
        <w:tc>
          <w:tcPr>
            <w:tcW w:w="832" w:type="pct"/>
            <w:shd w:val="clear" w:color="auto" w:fill="auto"/>
            <w:vAlign w:val="center"/>
          </w:tcPr>
          <w:p w14:paraId="03C9155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7.86E-03</w:t>
            </w:r>
          </w:p>
        </w:tc>
        <w:tc>
          <w:tcPr>
            <w:tcW w:w="871" w:type="pct"/>
            <w:shd w:val="clear" w:color="auto" w:fill="auto"/>
            <w:vAlign w:val="center"/>
          </w:tcPr>
          <w:p w14:paraId="2AD41AD6">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25011108</w:t>
            </w:r>
          </w:p>
        </w:tc>
        <w:tc>
          <w:tcPr>
            <w:tcW w:w="697" w:type="pct"/>
            <w:shd w:val="clear" w:color="auto" w:fill="auto"/>
            <w:vAlign w:val="center"/>
          </w:tcPr>
          <w:p w14:paraId="7E42001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 xml:space="preserve">1.31 </w:t>
            </w:r>
          </w:p>
        </w:tc>
        <w:tc>
          <w:tcPr>
            <w:tcW w:w="600" w:type="pct"/>
            <w:shd w:val="clear" w:color="auto" w:fill="auto"/>
            <w:vAlign w:val="center"/>
          </w:tcPr>
          <w:p w14:paraId="693DE8A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67442403">
      <w:pPr>
        <w:bidi w:val="0"/>
        <w:ind w:left="0" w:leftChars="0" w:firstLine="480" w:firstLineChars="200"/>
        <w:rPr>
          <w:color w:val="auto"/>
          <w:highlight w:val="none"/>
        </w:rPr>
      </w:pPr>
      <w:r>
        <w:rPr>
          <w:rFonts w:hint="eastAsia"/>
          <w:color w:val="auto"/>
        </w:rPr>
        <w:t>由预测结果可知，本项目新增污染源正常排放下污染物短期浓度贡献值的最大浓度占标率均小于100%</w:t>
      </w:r>
      <w:r>
        <w:rPr>
          <w:rFonts w:hint="eastAsia"/>
          <w:color w:val="auto"/>
          <w:lang w:eastAsia="zh-CN"/>
        </w:rPr>
        <w:t>，</w:t>
      </w:r>
      <w:r>
        <w:rPr>
          <w:color w:val="auto"/>
        </w:rPr>
        <w:t>污染物年均浓度贡献值的最大浓度占标率小于30%</w:t>
      </w:r>
      <w:r>
        <w:rPr>
          <w:rFonts w:hint="eastAsia"/>
          <w:color w:val="auto"/>
        </w:rPr>
        <w:t>。</w:t>
      </w:r>
    </w:p>
    <w:p w14:paraId="30B02EF6">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default" w:ascii="Times New Roman" w:hAnsi="Times New Roman" w:eastAsia="宋体" w:cs="Times New Roman"/>
          <w:b/>
          <w:color w:val="auto"/>
        </w:rPr>
      </w:pPr>
      <w:r>
        <w:rPr>
          <w:rFonts w:hint="default" w:ascii="Times New Roman" w:hAnsi="Times New Roman" w:eastAsia="宋体" w:cs="Times New Roman"/>
          <w:b/>
          <w:color w:val="auto"/>
        </w:rPr>
        <w:t>（2</w:t>
      </w:r>
      <w:r>
        <w:rPr>
          <w:rFonts w:hint="eastAsia" w:ascii="Times New Roman" w:hAnsi="Times New Roman" w:eastAsia="宋体" w:cs="Times New Roman"/>
          <w:b/>
          <w:color w:val="auto"/>
        </w:rPr>
        <w:t>）叠加现状环境质量浓度及其他污染源影响后预测结果</w:t>
      </w:r>
    </w:p>
    <w:p w14:paraId="2D04825F">
      <w:pPr>
        <w:bidi w:val="0"/>
        <w:ind w:left="0" w:leftChars="0" w:firstLine="480" w:firstLineChars="200"/>
        <w:rPr>
          <w:color w:val="auto"/>
          <w:highlight w:val="none"/>
        </w:rPr>
      </w:pPr>
      <w:r>
        <w:rPr>
          <w:rFonts w:hint="eastAsia" w:ascii="Times New Roman" w:hAnsi="Times New Roman" w:eastAsia="宋体" w:cs="Times New Roman"/>
          <w:color w:val="auto"/>
        </w:rPr>
        <w:t>根据</w:t>
      </w:r>
      <w:r>
        <w:rPr>
          <w:rFonts w:hint="eastAsia" w:ascii="Times New Roman" w:hAnsi="Times New Roman" w:eastAsia="宋体" w:cs="Times New Roman"/>
          <w:color w:val="auto"/>
          <w:lang w:val="en-US" w:eastAsia="zh-CN"/>
        </w:rPr>
        <w:t>通江中学自动监测站</w:t>
      </w:r>
      <w:r>
        <w:rPr>
          <w:rFonts w:hint="default" w:ascii="Times New Roman" w:hAnsi="Times New Roman" w:eastAsia="宋体" w:cs="Times New Roman"/>
          <w:color w:val="auto"/>
          <w:lang w:val="en-US" w:eastAsia="zh-CN"/>
        </w:rPr>
        <w:t>20</w:t>
      </w:r>
      <w:r>
        <w:rPr>
          <w:rFonts w:hint="eastAsia" w:ascii="Times New Roman" w:hAnsi="Times New Roman" w:eastAsia="宋体" w:cs="Times New Roman"/>
          <w:color w:val="auto"/>
          <w:lang w:val="en-US" w:eastAsia="zh-CN"/>
        </w:rPr>
        <w:t>25</w:t>
      </w:r>
      <w:r>
        <w:rPr>
          <w:rFonts w:hint="default" w:ascii="Times New Roman" w:hAnsi="Times New Roman" w:eastAsia="宋体" w:cs="Times New Roman"/>
          <w:color w:val="auto"/>
          <w:lang w:val="en-US" w:eastAsia="zh-CN"/>
        </w:rPr>
        <w:t>年连续一年</w:t>
      </w:r>
      <w:r>
        <w:rPr>
          <w:rFonts w:hint="eastAsia" w:ascii="Times New Roman" w:hAnsi="Times New Roman" w:eastAsia="宋体" w:cs="Times New Roman"/>
          <w:color w:val="auto"/>
          <w:lang w:val="en-US" w:eastAsia="zh-CN"/>
        </w:rPr>
        <w:t>的</w:t>
      </w:r>
      <w:r>
        <w:rPr>
          <w:rFonts w:hint="eastAsia" w:ascii="Times New Roman" w:hAnsi="Times New Roman" w:eastAsia="宋体" w:cs="Times New Roman"/>
          <w:color w:val="auto"/>
        </w:rPr>
        <w:t>例行监测数据</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按照HJ663中各评价项目的年评价指标进行判定，PM</w:t>
      </w:r>
      <w:r>
        <w:rPr>
          <w:rFonts w:hint="eastAsia" w:ascii="Times New Roman" w:hAnsi="Times New Roman" w:eastAsia="宋体" w:cs="Times New Roman"/>
          <w:color w:val="auto"/>
          <w:vertAlign w:val="subscript"/>
          <w:lang w:val="en-US" w:eastAsia="zh-CN"/>
        </w:rPr>
        <w:t>2.5</w:t>
      </w:r>
      <w:r>
        <w:rPr>
          <w:rFonts w:hint="eastAsia" w:cs="Times New Roman"/>
          <w:color w:val="auto"/>
          <w:lang w:val="en-US" w:eastAsia="zh-CN"/>
        </w:rPr>
        <w:t>保证率日均值</w:t>
      </w:r>
      <w:r>
        <w:rPr>
          <w:rFonts w:hint="eastAsia" w:ascii="Times New Roman" w:hAnsi="Times New Roman" w:eastAsia="宋体" w:cs="Times New Roman"/>
          <w:color w:val="auto"/>
          <w:lang w:val="en-US" w:eastAsia="zh-CN"/>
        </w:rPr>
        <w:t>超标</w:t>
      </w:r>
      <w:r>
        <w:rPr>
          <w:rFonts w:hint="eastAsia" w:ascii="Times New Roman" w:hAnsi="Times New Roman" w:eastAsia="宋体" w:cs="Times New Roman"/>
          <w:color w:val="auto"/>
        </w:rPr>
        <w:t>，本项目评价区域为</w:t>
      </w:r>
      <w:r>
        <w:rPr>
          <w:rFonts w:hint="eastAsia" w:ascii="Times New Roman" w:hAnsi="Times New Roman" w:eastAsia="宋体" w:cs="Times New Roman"/>
          <w:color w:val="auto"/>
          <w:lang w:val="en-US" w:eastAsia="zh-CN"/>
        </w:rPr>
        <w:t>不</w:t>
      </w:r>
      <w:r>
        <w:rPr>
          <w:rFonts w:hint="eastAsia" w:ascii="Times New Roman" w:hAnsi="Times New Roman" w:eastAsia="宋体" w:cs="Times New Roman"/>
          <w:color w:val="auto"/>
        </w:rPr>
        <w:t>达标区。根据《环境影响评价技术导则 大气环境》（HJ2.2-2018）中有关要求，本次环评对现状达标的污染物叠加现状本底值</w:t>
      </w:r>
      <w:r>
        <w:rPr>
          <w:rFonts w:hint="eastAsia" w:ascii="Times New Roman" w:hAnsi="Times New Roman" w:eastAsia="宋体" w:cs="Times New Roman"/>
          <w:color w:val="auto"/>
          <w:lang w:val="en-US" w:eastAsia="zh-CN"/>
        </w:rPr>
        <w:t>和拟建、在建项目的环境影响；对现状超标的污染物，计算年平均质量浓度变化率</w:t>
      </w:r>
      <w:r>
        <w:rPr>
          <w:rFonts w:hint="eastAsia" w:ascii="Times New Roman" w:hAnsi="Times New Roman" w:eastAsia="宋体" w:cs="Times New Roman"/>
          <w:color w:val="auto"/>
        </w:rPr>
        <w:t>。</w:t>
      </w:r>
    </w:p>
    <w:p w14:paraId="26CA86DC">
      <w:pPr>
        <w:pStyle w:val="26"/>
        <w:spacing w:line="360" w:lineRule="auto"/>
        <w:ind w:firstLine="482"/>
        <w:rPr>
          <w:rFonts w:hint="default" w:ascii="Times New Roman" w:hAnsi="Times New Roman" w:eastAsia="宋体" w:cs="Times New Roman"/>
          <w:b/>
          <w:color w:val="auto"/>
          <w:sz w:val="24"/>
          <w:szCs w:val="24"/>
          <w:highlight w:val="none"/>
          <w:lang w:val="zh-CN"/>
        </w:rPr>
      </w:pPr>
      <w:r>
        <w:rPr>
          <w:rFonts w:hint="default" w:ascii="Times New Roman" w:hAnsi="Times New Roman" w:eastAsia="宋体" w:cs="Times New Roman"/>
          <w:b/>
          <w:color w:val="auto"/>
          <w:sz w:val="24"/>
          <w:szCs w:val="24"/>
          <w:highlight w:val="none"/>
          <w:lang w:val="zh-CN"/>
        </w:rPr>
        <w:t>①现状达标污染物叠加</w:t>
      </w:r>
    </w:p>
    <w:p w14:paraId="4BBC043C">
      <w:pPr>
        <w:pStyle w:val="26"/>
        <w:spacing w:line="360" w:lineRule="auto"/>
        <w:ind w:firstLine="0" w:firstLineChars="0"/>
        <w:jc w:val="center"/>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叠加（x,y,t）</w:t>
      </w:r>
      <w:r>
        <w:rPr>
          <w:rFonts w:hint="default" w:ascii="Times New Roman" w:hAnsi="Times New Roman" w:eastAsia="宋体" w:cs="Times New Roman"/>
          <w:color w:val="auto"/>
          <w:sz w:val="24"/>
          <w:szCs w:val="24"/>
          <w:highlight w:val="none"/>
          <w:lang w:val="zh-CN"/>
        </w:rPr>
        <w:t xml:space="preserve">= </w:t>
      </w: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本项目（x,y,t）</w:t>
      </w:r>
      <w:r>
        <w:rPr>
          <w:rFonts w:hint="default" w:ascii="Times New Roman" w:hAnsi="Times New Roman" w:eastAsia="宋体" w:cs="Times New Roman"/>
          <w:color w:val="auto"/>
          <w:sz w:val="24"/>
          <w:szCs w:val="24"/>
          <w:highlight w:val="none"/>
          <w:lang w:val="zh-CN"/>
        </w:rPr>
        <w:t xml:space="preserve">- </w:t>
      </w: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区域削减（x,y,t）</w:t>
      </w:r>
      <w:r>
        <w:rPr>
          <w:rFonts w:hint="default" w:ascii="Times New Roman" w:hAnsi="Times New Roman" w:eastAsia="宋体" w:cs="Times New Roman"/>
          <w:color w:val="auto"/>
          <w:sz w:val="24"/>
          <w:szCs w:val="24"/>
          <w:highlight w:val="none"/>
          <w:lang w:val="zh-CN"/>
        </w:rPr>
        <w:t xml:space="preserve">+ </w:t>
      </w: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拟在建（x,y,t）</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现状（x,y,t）</w:t>
      </w:r>
    </w:p>
    <w:p w14:paraId="517D588C">
      <w:pPr>
        <w:spacing w:after="0" w:line="360" w:lineRule="auto"/>
        <w:ind w:left="0" w:lef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zh-CN" w:eastAsia="zh-CN" w:bidi="ar-SA"/>
        </w:rPr>
        <w:t>式中，</w:t>
      </w:r>
      <w:r>
        <w:rPr>
          <w:rFonts w:hint="default" w:ascii="Times New Roman" w:hAnsi="Times New Roman" w:eastAsia="宋体" w:cs="Times New Roman"/>
          <w:i/>
          <w:color w:val="auto"/>
          <w:kern w:val="2"/>
          <w:sz w:val="24"/>
          <w:szCs w:val="24"/>
          <w:highlight w:val="none"/>
          <w:lang w:val="zh-CN" w:eastAsia="zh-CN" w:bidi="ar-SA"/>
        </w:rPr>
        <w:t>C</w:t>
      </w:r>
      <w:r>
        <w:rPr>
          <w:rFonts w:hint="default" w:ascii="Times New Roman" w:hAnsi="Times New Roman" w:eastAsia="宋体" w:cs="Times New Roman"/>
          <w:color w:val="auto"/>
          <w:sz w:val="24"/>
          <w:szCs w:val="24"/>
          <w:highlight w:val="none"/>
          <w:vertAlign w:val="subscript"/>
          <w:lang w:val="zh-CN"/>
        </w:rPr>
        <w:t>叠加（x,y,t）</w:t>
      </w:r>
      <w:r>
        <w:rPr>
          <w:rFonts w:hint="default" w:ascii="Times New Roman" w:hAnsi="Times New Roman" w:eastAsia="宋体" w:cs="Times New Roman"/>
          <w:color w:val="auto"/>
          <w:sz w:val="24"/>
          <w:szCs w:val="24"/>
          <w:highlight w:val="none"/>
        </w:rPr>
        <w:t>——在</w:t>
      </w:r>
      <w:r>
        <w:rPr>
          <w:rFonts w:hint="default" w:ascii="Times New Roman" w:hAnsi="Times New Roman" w:eastAsia="宋体" w:cs="Times New Roman"/>
          <w:i/>
          <w:color w:val="auto"/>
          <w:sz w:val="24"/>
          <w:szCs w:val="24"/>
          <w:highlight w:val="none"/>
        </w:rPr>
        <w:t>t</w:t>
      </w:r>
      <w:r>
        <w:rPr>
          <w:rFonts w:hint="default" w:ascii="Times New Roman" w:hAnsi="Times New Roman" w:eastAsia="宋体" w:cs="Times New Roman"/>
          <w:color w:val="auto"/>
          <w:sz w:val="24"/>
          <w:szCs w:val="24"/>
          <w:highlight w:val="none"/>
        </w:rPr>
        <w:t>时刻，预测点（x,y）叠加各污染源及现状浓度后的环境质量浓度，</w:t>
      </w:r>
      <w:r>
        <w:rPr>
          <w:rFonts w:hint="default" w:ascii="Times New Roman" w:hAnsi="Times New Roman" w:eastAsia="宋体" w:cs="Times New Roman"/>
          <w:color w:val="auto"/>
          <w:sz w:val="24"/>
          <w:szCs w:val="24"/>
          <w:highlight w:val="none"/>
          <w:lang w:eastAsia="zh-CN"/>
        </w:rPr>
        <w:t>μg/m</w:t>
      </w:r>
      <w:r>
        <w:rPr>
          <w:rFonts w:hint="default" w:ascii="Times New Roman" w:hAnsi="Times New Roman" w:eastAsia="宋体" w:cs="Times New Roman"/>
          <w:color w:val="auto"/>
          <w:sz w:val="24"/>
          <w:szCs w:val="24"/>
          <w:highlight w:val="none"/>
          <w:vertAlign w:val="superscript"/>
          <w:lang w:eastAsia="zh-CN"/>
        </w:rPr>
        <w:t>3</w:t>
      </w:r>
      <w:r>
        <w:rPr>
          <w:rFonts w:hint="default" w:ascii="Times New Roman" w:hAnsi="Times New Roman" w:eastAsia="宋体" w:cs="Times New Roman"/>
          <w:color w:val="auto"/>
          <w:sz w:val="24"/>
          <w:szCs w:val="24"/>
          <w:highlight w:val="none"/>
        </w:rPr>
        <w:t>；</w:t>
      </w:r>
    </w:p>
    <w:p w14:paraId="1609F5A9">
      <w:pPr>
        <w:pStyle w:val="26"/>
        <w:spacing w:line="360" w:lineRule="auto"/>
        <w:ind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本项目（x,y,t）</w:t>
      </w:r>
      <w:r>
        <w:rPr>
          <w:rFonts w:hint="default" w:ascii="Times New Roman" w:hAnsi="Times New Roman" w:eastAsia="宋体" w:cs="Times New Roman"/>
          <w:color w:val="auto"/>
          <w:sz w:val="24"/>
          <w:szCs w:val="24"/>
          <w:highlight w:val="none"/>
        </w:rPr>
        <w:t>——在</w:t>
      </w:r>
      <w:r>
        <w:rPr>
          <w:rFonts w:hint="default" w:ascii="Times New Roman" w:hAnsi="Times New Roman" w:eastAsia="宋体" w:cs="Times New Roman"/>
          <w:i/>
          <w:color w:val="auto"/>
          <w:sz w:val="24"/>
          <w:szCs w:val="24"/>
          <w:highlight w:val="none"/>
        </w:rPr>
        <w:t>t</w:t>
      </w:r>
      <w:r>
        <w:rPr>
          <w:rFonts w:hint="default" w:ascii="Times New Roman" w:hAnsi="Times New Roman" w:eastAsia="宋体" w:cs="Times New Roman"/>
          <w:color w:val="auto"/>
          <w:sz w:val="24"/>
          <w:szCs w:val="24"/>
          <w:highlight w:val="none"/>
        </w:rPr>
        <w:t>时刻，本项目对预测点（x,y）的贡献浓度，</w:t>
      </w:r>
      <w:r>
        <w:rPr>
          <w:rFonts w:hint="default" w:ascii="Times New Roman" w:hAnsi="Times New Roman" w:eastAsia="宋体" w:cs="Times New Roman"/>
          <w:color w:val="auto"/>
          <w:sz w:val="24"/>
          <w:szCs w:val="24"/>
          <w:highlight w:val="none"/>
          <w:lang w:eastAsia="zh-CN"/>
        </w:rPr>
        <w:t>μg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596EB6D9">
      <w:pPr>
        <w:pStyle w:val="26"/>
        <w:spacing w:line="360" w:lineRule="auto"/>
        <w:ind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区域削减（x,y,t）</w:t>
      </w:r>
      <w:r>
        <w:rPr>
          <w:rFonts w:hint="default" w:ascii="Times New Roman" w:hAnsi="Times New Roman" w:eastAsia="宋体" w:cs="Times New Roman"/>
          <w:color w:val="auto"/>
          <w:sz w:val="24"/>
          <w:szCs w:val="24"/>
          <w:highlight w:val="none"/>
        </w:rPr>
        <w:t>——在</w:t>
      </w:r>
      <w:r>
        <w:rPr>
          <w:rFonts w:hint="default" w:ascii="Times New Roman" w:hAnsi="Times New Roman" w:eastAsia="宋体" w:cs="Times New Roman"/>
          <w:i/>
          <w:color w:val="auto"/>
          <w:sz w:val="24"/>
          <w:szCs w:val="24"/>
          <w:highlight w:val="none"/>
        </w:rPr>
        <w:t>t</w:t>
      </w:r>
      <w:r>
        <w:rPr>
          <w:rFonts w:hint="default" w:ascii="Times New Roman" w:hAnsi="Times New Roman" w:eastAsia="宋体" w:cs="Times New Roman"/>
          <w:color w:val="auto"/>
          <w:sz w:val="24"/>
          <w:szCs w:val="24"/>
          <w:highlight w:val="none"/>
        </w:rPr>
        <w:t>时刻，区域削减污染源对预测点（x,y）的贡献浓度，</w:t>
      </w:r>
      <w:r>
        <w:rPr>
          <w:rFonts w:hint="default" w:ascii="Times New Roman" w:hAnsi="Times New Roman" w:eastAsia="宋体" w:cs="Times New Roman"/>
          <w:color w:val="auto"/>
          <w:sz w:val="24"/>
          <w:szCs w:val="24"/>
          <w:highlight w:val="none"/>
          <w:lang w:eastAsia="zh-CN"/>
        </w:rPr>
        <w:t>μg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1E176F87">
      <w:pPr>
        <w:pStyle w:val="26"/>
        <w:spacing w:line="360" w:lineRule="auto"/>
        <w:ind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现状（x,y,t）</w:t>
      </w:r>
      <w:r>
        <w:rPr>
          <w:rFonts w:hint="default" w:ascii="Times New Roman" w:hAnsi="Times New Roman" w:eastAsia="宋体" w:cs="Times New Roman"/>
          <w:color w:val="auto"/>
          <w:sz w:val="24"/>
          <w:szCs w:val="24"/>
          <w:highlight w:val="none"/>
        </w:rPr>
        <w:t>——在</w:t>
      </w:r>
      <w:r>
        <w:rPr>
          <w:rFonts w:hint="default" w:ascii="Times New Roman" w:hAnsi="Times New Roman" w:eastAsia="宋体" w:cs="Times New Roman"/>
          <w:i/>
          <w:color w:val="auto"/>
          <w:sz w:val="24"/>
          <w:szCs w:val="24"/>
          <w:highlight w:val="none"/>
        </w:rPr>
        <w:t>t</w:t>
      </w:r>
      <w:r>
        <w:rPr>
          <w:rFonts w:hint="default" w:ascii="Times New Roman" w:hAnsi="Times New Roman" w:eastAsia="宋体" w:cs="Times New Roman"/>
          <w:color w:val="auto"/>
          <w:sz w:val="24"/>
          <w:szCs w:val="24"/>
          <w:highlight w:val="none"/>
        </w:rPr>
        <w:t>时刻，预测点（x,y）的环境质量现状浓度，</w:t>
      </w:r>
      <w:r>
        <w:rPr>
          <w:rFonts w:hint="default" w:ascii="Times New Roman" w:hAnsi="Times New Roman" w:eastAsia="宋体" w:cs="Times New Roman"/>
          <w:color w:val="auto"/>
          <w:sz w:val="24"/>
          <w:szCs w:val="24"/>
          <w:highlight w:val="none"/>
          <w:lang w:eastAsia="zh-CN"/>
        </w:rPr>
        <w:t>μg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6284C60B">
      <w:pPr>
        <w:pStyle w:val="26"/>
        <w:spacing w:line="360" w:lineRule="auto"/>
        <w:ind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color w:val="auto"/>
          <w:sz w:val="24"/>
          <w:szCs w:val="24"/>
          <w:highlight w:val="none"/>
          <w:lang w:val="zh-CN"/>
        </w:rPr>
        <w:t>C</w:t>
      </w:r>
      <w:r>
        <w:rPr>
          <w:rFonts w:hint="default" w:ascii="Times New Roman" w:hAnsi="Times New Roman" w:eastAsia="宋体" w:cs="Times New Roman"/>
          <w:color w:val="auto"/>
          <w:sz w:val="24"/>
          <w:szCs w:val="24"/>
          <w:highlight w:val="none"/>
          <w:vertAlign w:val="subscript"/>
          <w:lang w:val="zh-CN"/>
        </w:rPr>
        <w:t>拟在建（x,y,t）</w:t>
      </w:r>
      <w:r>
        <w:rPr>
          <w:rFonts w:hint="default" w:ascii="Times New Roman" w:hAnsi="Times New Roman" w:eastAsia="宋体" w:cs="Times New Roman"/>
          <w:color w:val="auto"/>
          <w:sz w:val="24"/>
          <w:szCs w:val="24"/>
          <w:highlight w:val="none"/>
        </w:rPr>
        <w:t>——在</w:t>
      </w:r>
      <w:r>
        <w:rPr>
          <w:rFonts w:hint="default" w:ascii="Times New Roman" w:hAnsi="Times New Roman" w:eastAsia="宋体" w:cs="Times New Roman"/>
          <w:i/>
          <w:color w:val="auto"/>
          <w:sz w:val="24"/>
          <w:szCs w:val="24"/>
          <w:highlight w:val="none"/>
        </w:rPr>
        <w:t>t</w:t>
      </w:r>
      <w:r>
        <w:rPr>
          <w:rFonts w:hint="default" w:ascii="Times New Roman" w:hAnsi="Times New Roman" w:eastAsia="宋体" w:cs="Times New Roman"/>
          <w:color w:val="auto"/>
          <w:sz w:val="24"/>
          <w:szCs w:val="24"/>
          <w:highlight w:val="none"/>
        </w:rPr>
        <w:t>时刻，其他在建、拟建项目污染源对预测点（x,y）的贡献浓度，</w:t>
      </w:r>
      <w:r>
        <w:rPr>
          <w:rFonts w:hint="default" w:ascii="Times New Roman" w:hAnsi="Times New Roman" w:eastAsia="宋体" w:cs="Times New Roman"/>
          <w:color w:val="auto"/>
          <w:sz w:val="24"/>
          <w:szCs w:val="24"/>
          <w:highlight w:val="none"/>
          <w:lang w:eastAsia="zh-CN"/>
        </w:rPr>
        <w:t>μg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0FAFF3CC">
      <w:pPr>
        <w:pStyle w:val="26"/>
        <w:ind w:firstLine="482"/>
        <w:rPr>
          <w:b/>
          <w:color w:val="auto"/>
          <w:lang w:val="zh-CN"/>
        </w:rPr>
      </w:pPr>
      <w:r>
        <w:rPr>
          <w:rFonts w:hint="eastAsia"/>
          <w:b/>
          <w:color w:val="auto"/>
          <w:lang w:val="zh-CN"/>
        </w:rPr>
        <w:t>②基本污染物预测结果</w:t>
      </w:r>
    </w:p>
    <w:p w14:paraId="6CB87D33">
      <w:pPr>
        <w:pStyle w:val="26"/>
        <w:ind w:firstLine="482"/>
        <w:rPr>
          <w:b/>
          <w:color w:val="auto"/>
          <w:lang w:val="zh-CN"/>
        </w:rPr>
      </w:pPr>
      <w:r>
        <w:rPr>
          <w:rFonts w:hint="eastAsia"/>
          <w:b/>
          <w:color w:val="auto"/>
          <w:lang w:val="zh-CN"/>
        </w:rPr>
        <w:t>A、保证率日平均质量浓度</w:t>
      </w:r>
    </w:p>
    <w:p w14:paraId="3360FE9F">
      <w:pPr>
        <w:bidi w:val="0"/>
        <w:ind w:left="0" w:leftChars="0" w:firstLine="480" w:firstLineChars="200"/>
        <w:rPr>
          <w:color w:val="auto"/>
          <w:lang w:val="zh-CN"/>
        </w:rPr>
      </w:pPr>
      <w:r>
        <w:rPr>
          <w:color w:val="auto"/>
          <w:lang w:val="zh-CN"/>
        </w:rPr>
        <w:t>对于保证率日平均质量浓度</w:t>
      </w:r>
      <w:r>
        <w:rPr>
          <w:rFonts w:hint="eastAsia"/>
          <w:color w:val="auto"/>
          <w:lang w:val="zh-CN"/>
        </w:rPr>
        <w:t>，</w:t>
      </w:r>
      <w:r>
        <w:rPr>
          <w:color w:val="auto"/>
          <w:lang w:val="zh-CN"/>
        </w:rPr>
        <w:t>首先按上述公式计算叠加后预测点上的日平均质量浓度</w:t>
      </w:r>
      <w:r>
        <w:rPr>
          <w:rFonts w:hint="eastAsia"/>
          <w:color w:val="auto"/>
          <w:lang w:val="zh-CN"/>
        </w:rPr>
        <w:t>，</w:t>
      </w:r>
      <w:r>
        <w:rPr>
          <w:color w:val="auto"/>
          <w:lang w:val="zh-CN"/>
        </w:rPr>
        <w:t>然后对该预测点所有日平均质量浓度从小到大进行排序</w:t>
      </w:r>
      <w:r>
        <w:rPr>
          <w:rFonts w:hint="eastAsia"/>
          <w:color w:val="auto"/>
          <w:lang w:val="zh-CN"/>
        </w:rPr>
        <w:t>，</w:t>
      </w:r>
      <w:r>
        <w:rPr>
          <w:color w:val="auto"/>
          <w:lang w:val="zh-CN"/>
        </w:rPr>
        <w:t>根据各污染物日平均质量浓度的保证率</w:t>
      </w:r>
      <w:r>
        <w:rPr>
          <w:rFonts w:hint="eastAsia"/>
          <w:color w:val="auto"/>
          <w:lang w:val="zh-CN"/>
        </w:rPr>
        <w:t>（</w:t>
      </w:r>
      <w:r>
        <w:rPr>
          <w:color w:val="auto"/>
          <w:lang w:val="zh-CN"/>
        </w:rPr>
        <w:t>P</w:t>
      </w:r>
      <w:r>
        <w:rPr>
          <w:rFonts w:hint="eastAsia"/>
          <w:color w:val="auto"/>
          <w:lang w:val="zh-CN"/>
        </w:rPr>
        <w:t>），</w:t>
      </w:r>
      <w:r>
        <w:rPr>
          <w:color w:val="auto"/>
          <w:lang w:val="zh-CN"/>
        </w:rPr>
        <w:t>计算排在P百分位数的第m个序数</w:t>
      </w:r>
      <w:r>
        <w:rPr>
          <w:rFonts w:hint="eastAsia"/>
          <w:color w:val="auto"/>
          <w:lang w:val="zh-CN"/>
        </w:rPr>
        <w:t>，序数m对应的日平均质量浓度即为保证率日平均浓度Cm。其中序数m计算方法见下式：</w:t>
      </w:r>
    </w:p>
    <w:p w14:paraId="2F90D566">
      <w:pPr>
        <w:pStyle w:val="26"/>
        <w:ind w:firstLine="0" w:firstLineChars="0"/>
        <w:jc w:val="center"/>
        <w:rPr>
          <w:color w:val="auto"/>
          <w:lang w:val="zh-CN"/>
        </w:rPr>
      </w:pPr>
      <w:r>
        <w:rPr>
          <w:i/>
          <w:color w:val="auto"/>
          <w:lang w:val="zh-CN"/>
        </w:rPr>
        <w:t>m</w:t>
      </w:r>
      <w:r>
        <w:rPr>
          <w:color w:val="auto"/>
          <w:lang w:val="zh-CN"/>
        </w:rPr>
        <w:t>=1+（</w:t>
      </w:r>
      <w:r>
        <w:rPr>
          <w:i/>
          <w:color w:val="auto"/>
          <w:lang w:val="zh-CN"/>
        </w:rPr>
        <w:t>n</w:t>
      </w:r>
      <w:r>
        <w:rPr>
          <w:color w:val="auto"/>
          <w:lang w:val="zh-CN"/>
        </w:rPr>
        <w:t>-1）×</w:t>
      </w:r>
      <w:r>
        <w:rPr>
          <w:i/>
          <w:color w:val="auto"/>
          <w:lang w:val="zh-CN"/>
        </w:rPr>
        <w:t>P</w:t>
      </w:r>
    </w:p>
    <w:p w14:paraId="53AFAD56">
      <w:pPr>
        <w:pStyle w:val="10"/>
        <w:spacing w:after="0" w:line="360" w:lineRule="auto"/>
        <w:ind w:left="0" w:leftChars="0" w:firstLine="480" w:firstLineChars="200"/>
        <w:rPr>
          <w:rFonts w:ascii="Times New Roman" w:hAnsi="Times New Roman"/>
          <w:color w:val="auto"/>
          <w:sz w:val="24"/>
        </w:rPr>
      </w:pPr>
      <w:r>
        <w:rPr>
          <w:color w:val="auto"/>
          <w:lang w:val="zh-CN"/>
        </w:rPr>
        <w:t>式中</w:t>
      </w:r>
      <w:r>
        <w:rPr>
          <w:rFonts w:hint="eastAsia"/>
          <w:color w:val="auto"/>
          <w:lang w:val="zh-CN"/>
        </w:rPr>
        <w:t>，</w:t>
      </w:r>
      <w:r>
        <w:rPr>
          <w:rFonts w:ascii="Times New Roman" w:hAnsi="Times New Roman" w:cs="Times New Roman"/>
          <w:i/>
          <w:color w:val="auto"/>
          <w:lang w:val="zh-CN"/>
        </w:rPr>
        <w:t>P</w:t>
      </w:r>
      <w:r>
        <w:rPr>
          <w:rFonts w:ascii="Times New Roman" w:hAnsi="Times New Roman"/>
          <w:color w:val="auto"/>
          <w:sz w:val="24"/>
        </w:rPr>
        <w:t>——</w:t>
      </w:r>
      <w:r>
        <w:rPr>
          <w:rFonts w:hint="eastAsia" w:ascii="Times New Roman" w:hAnsi="Times New Roman"/>
          <w:color w:val="auto"/>
          <w:sz w:val="24"/>
        </w:rPr>
        <w:t>该污染物日平均质量浓度的保证率，按照规定HJ</w:t>
      </w:r>
      <w:r>
        <w:rPr>
          <w:rFonts w:ascii="Times New Roman" w:hAnsi="Times New Roman"/>
          <w:color w:val="auto"/>
          <w:sz w:val="24"/>
        </w:rPr>
        <w:t>663规定的对应污染物年评价中</w:t>
      </w:r>
      <w:r>
        <w:rPr>
          <w:rFonts w:hint="eastAsia" w:ascii="Times New Roman" w:hAnsi="Times New Roman"/>
          <w:color w:val="auto"/>
          <w:sz w:val="24"/>
        </w:rPr>
        <w:t>24h平均百分位数取值，%；</w:t>
      </w:r>
    </w:p>
    <w:p w14:paraId="7100C145">
      <w:pPr>
        <w:pStyle w:val="26"/>
        <w:ind w:firstLine="960" w:firstLineChars="400"/>
        <w:rPr>
          <w:color w:val="auto"/>
        </w:rPr>
      </w:pPr>
      <w:r>
        <w:rPr>
          <w:rFonts w:hint="eastAsia"/>
          <w:i/>
          <w:color w:val="auto"/>
          <w:lang w:val="zh-CN"/>
        </w:rPr>
        <w:t>n</w:t>
      </w:r>
      <w:r>
        <w:rPr>
          <w:color w:val="auto"/>
        </w:rPr>
        <w:t>——</w:t>
      </w:r>
      <w:r>
        <w:rPr>
          <w:rFonts w:hint="eastAsia"/>
          <w:color w:val="auto"/>
        </w:rPr>
        <w:t>1个日历年内单个预测点的日平均质量浓度的所有数据个数，个；</w:t>
      </w:r>
    </w:p>
    <w:p w14:paraId="3DE9CBEB">
      <w:pPr>
        <w:pStyle w:val="26"/>
        <w:ind w:firstLine="960" w:firstLineChars="400"/>
        <w:rPr>
          <w:color w:val="auto"/>
        </w:rPr>
      </w:pPr>
      <w:r>
        <w:rPr>
          <w:i/>
          <w:color w:val="auto"/>
          <w:lang w:val="zh-CN"/>
        </w:rPr>
        <w:t>m</w:t>
      </w:r>
      <w:r>
        <w:rPr>
          <w:color w:val="auto"/>
        </w:rPr>
        <w:t>——</w:t>
      </w:r>
      <w:r>
        <w:rPr>
          <w:rFonts w:hint="eastAsia"/>
          <w:color w:val="auto"/>
        </w:rPr>
        <w:t>百分位数</w:t>
      </w:r>
      <w:r>
        <w:rPr>
          <w:rFonts w:hint="eastAsia"/>
          <w:i/>
          <w:color w:val="auto"/>
        </w:rPr>
        <w:t>P</w:t>
      </w:r>
      <w:r>
        <w:rPr>
          <w:rFonts w:hint="eastAsia"/>
          <w:color w:val="auto"/>
        </w:rPr>
        <w:t>对应的序数（第</w:t>
      </w:r>
      <w:r>
        <w:rPr>
          <w:rFonts w:hint="eastAsia"/>
          <w:i/>
          <w:color w:val="auto"/>
        </w:rPr>
        <w:t>m</w:t>
      </w:r>
      <w:r>
        <w:rPr>
          <w:rFonts w:hint="eastAsia"/>
          <w:color w:val="auto"/>
        </w:rPr>
        <w:t>个），向上取整数。</w:t>
      </w:r>
    </w:p>
    <w:p w14:paraId="5F8C4E5E">
      <w:pPr>
        <w:pStyle w:val="26"/>
        <w:ind w:firstLine="482"/>
        <w:rPr>
          <w:b/>
          <w:color w:val="auto"/>
          <w:lang w:val="zh-CN"/>
        </w:rPr>
      </w:pPr>
      <w:r>
        <w:rPr>
          <w:rFonts w:hint="eastAsia"/>
          <w:b/>
          <w:color w:val="auto"/>
          <w:lang w:val="zh-CN"/>
        </w:rPr>
        <w:t>B、年平均浓度叠加值计算</w:t>
      </w:r>
    </w:p>
    <w:p w14:paraId="308D3478">
      <w:pPr>
        <w:bidi w:val="0"/>
        <w:ind w:left="0" w:leftChars="0" w:firstLine="480" w:firstLineChars="200"/>
        <w:rPr>
          <w:rFonts w:hint="eastAsia"/>
          <w:color w:val="auto"/>
          <w:lang w:val="zh-CN"/>
        </w:rPr>
      </w:pPr>
      <w:r>
        <w:rPr>
          <w:color w:val="auto"/>
          <w:lang w:val="zh-CN"/>
        </w:rPr>
        <w:t>年平均值叠加时选取的现状浓度为</w:t>
      </w:r>
      <w:r>
        <w:rPr>
          <w:rFonts w:hint="eastAsia"/>
          <w:color w:val="auto"/>
          <w:lang w:val="en-US" w:eastAsia="zh-CN"/>
        </w:rPr>
        <w:t>通江中学自动监测站</w:t>
      </w:r>
      <w:r>
        <w:rPr>
          <w:rFonts w:hint="default"/>
          <w:color w:val="auto"/>
          <w:lang w:val="en-US" w:eastAsia="zh-CN"/>
        </w:rPr>
        <w:t>20</w:t>
      </w:r>
      <w:r>
        <w:rPr>
          <w:rFonts w:hint="eastAsia"/>
          <w:color w:val="auto"/>
          <w:lang w:val="en-US" w:eastAsia="zh-CN"/>
        </w:rPr>
        <w:t>25</w:t>
      </w:r>
      <w:r>
        <w:rPr>
          <w:rFonts w:hint="default"/>
          <w:color w:val="auto"/>
          <w:lang w:val="en-US" w:eastAsia="zh-CN"/>
        </w:rPr>
        <w:t>年</w:t>
      </w:r>
      <w:r>
        <w:rPr>
          <w:rFonts w:hint="eastAsia"/>
          <w:color w:val="auto"/>
          <w:lang w:val="zh-CN"/>
        </w:rPr>
        <w:t>一个日历年内24小时平均浓度限值的算术平均值。</w:t>
      </w:r>
    </w:p>
    <w:p w14:paraId="4CD69B8A">
      <w:pPr>
        <w:bidi w:val="0"/>
        <w:rPr>
          <w:rFonts w:hint="default"/>
          <w:color w:val="auto"/>
          <w:lang w:val="zh-CN"/>
        </w:rPr>
      </w:pPr>
      <w:r>
        <w:rPr>
          <w:rFonts w:hint="default"/>
          <w:color w:val="auto"/>
          <w:lang w:val="zh-CN"/>
        </w:rPr>
        <w:t>本项目基本污染物叠加现状环境质量浓度及其他污染源影响后预测结果见下表</w:t>
      </w:r>
      <w:r>
        <w:rPr>
          <w:rFonts w:hint="eastAsia"/>
          <w:color w:val="auto"/>
          <w:lang w:val="zh-CN"/>
        </w:rPr>
        <w:t>。</w:t>
      </w:r>
    </w:p>
    <w:p w14:paraId="7F63489C">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10</w:t>
      </w:r>
      <w:r>
        <w:rPr>
          <w:rFonts w:hint="eastAsia" w:ascii="Times New Roman" w:hAnsi="Times New Roman" w:eastAsia="黑体" w:cs="Times New Roman"/>
          <w:color w:val="auto"/>
          <w:sz w:val="21"/>
          <w:szCs w:val="21"/>
          <w:highlight w:val="none"/>
          <w:lang w:val="en-US" w:eastAsia="zh-CN"/>
        </w:rPr>
        <w:t>叠加质量浓度预测结果表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3"/>
        <w:gridCol w:w="1342"/>
        <w:gridCol w:w="1075"/>
        <w:gridCol w:w="1137"/>
        <w:gridCol w:w="938"/>
        <w:gridCol w:w="1187"/>
        <w:gridCol w:w="1463"/>
        <w:gridCol w:w="980"/>
        <w:gridCol w:w="659"/>
      </w:tblGrid>
      <w:tr w14:paraId="21AACE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385" w:type="pct"/>
            <w:shd w:val="clear" w:color="auto" w:fill="auto"/>
            <w:vAlign w:val="center"/>
          </w:tcPr>
          <w:p w14:paraId="7B52EE86">
            <w:pPr>
              <w:pStyle w:val="24"/>
              <w:rPr>
                <w:rFonts w:eastAsia="宋体"/>
                <w:b/>
                <w:bCs/>
                <w:color w:val="auto"/>
              </w:rPr>
            </w:pPr>
            <w:r>
              <w:rPr>
                <w:rFonts w:hint="eastAsia" w:eastAsia="宋体"/>
                <w:b/>
                <w:bCs/>
                <w:color w:val="auto"/>
              </w:rPr>
              <w:t>污染物</w:t>
            </w:r>
          </w:p>
        </w:tc>
        <w:tc>
          <w:tcPr>
            <w:tcW w:w="705" w:type="pct"/>
            <w:shd w:val="clear" w:color="auto" w:fill="auto"/>
            <w:vAlign w:val="center"/>
          </w:tcPr>
          <w:p w14:paraId="3BB291E3">
            <w:pPr>
              <w:pStyle w:val="24"/>
              <w:rPr>
                <w:rFonts w:eastAsia="宋体"/>
                <w:b/>
                <w:bCs/>
                <w:color w:val="auto"/>
              </w:rPr>
            </w:pPr>
            <w:r>
              <w:rPr>
                <w:rFonts w:hint="eastAsia" w:eastAsia="宋体"/>
                <w:b/>
                <w:bCs/>
                <w:color w:val="auto"/>
              </w:rPr>
              <w:t>预测点</w:t>
            </w:r>
          </w:p>
        </w:tc>
        <w:tc>
          <w:tcPr>
            <w:tcW w:w="564" w:type="pct"/>
            <w:shd w:val="clear" w:color="auto" w:fill="auto"/>
            <w:vAlign w:val="center"/>
          </w:tcPr>
          <w:p w14:paraId="3B5D2EDD">
            <w:pPr>
              <w:pStyle w:val="24"/>
              <w:rPr>
                <w:rFonts w:eastAsia="宋体"/>
                <w:b/>
                <w:bCs/>
                <w:color w:val="auto"/>
              </w:rPr>
            </w:pPr>
            <w:r>
              <w:rPr>
                <w:rFonts w:hint="eastAsia" w:eastAsia="宋体"/>
                <w:b/>
                <w:bCs/>
                <w:color w:val="auto"/>
              </w:rPr>
              <w:t>平均时段</w:t>
            </w:r>
          </w:p>
        </w:tc>
        <w:tc>
          <w:tcPr>
            <w:tcW w:w="597" w:type="pct"/>
            <w:shd w:val="clear" w:color="auto" w:fill="auto"/>
            <w:vAlign w:val="center"/>
          </w:tcPr>
          <w:p w14:paraId="0E1C947D">
            <w:pPr>
              <w:pStyle w:val="24"/>
              <w:rPr>
                <w:rFonts w:eastAsia="宋体"/>
                <w:b/>
                <w:bCs/>
                <w:color w:val="auto"/>
              </w:rPr>
            </w:pPr>
            <w:r>
              <w:rPr>
                <w:rFonts w:hint="eastAsia" w:eastAsia="宋体"/>
                <w:b/>
                <w:bCs/>
                <w:color w:val="auto"/>
              </w:rPr>
              <w:t>贡献值（</w:t>
            </w:r>
            <w:r>
              <w:rPr>
                <w:rFonts w:eastAsia="宋体"/>
                <w:b/>
                <w:bCs/>
                <w:color w:val="auto"/>
              </w:rPr>
              <w:t>mg/m</w:t>
            </w:r>
            <w:r>
              <w:rPr>
                <w:rFonts w:eastAsia="宋体"/>
                <w:b/>
                <w:bCs/>
                <w:color w:val="auto"/>
                <w:vertAlign w:val="superscript"/>
              </w:rPr>
              <w:t>3</w:t>
            </w:r>
            <w:r>
              <w:rPr>
                <w:rFonts w:hint="eastAsia" w:eastAsia="宋体"/>
                <w:b/>
                <w:bCs/>
                <w:color w:val="auto"/>
              </w:rPr>
              <w:t>）</w:t>
            </w:r>
          </w:p>
        </w:tc>
        <w:tc>
          <w:tcPr>
            <w:tcW w:w="492" w:type="pct"/>
            <w:shd w:val="clear" w:color="auto" w:fill="auto"/>
            <w:vAlign w:val="center"/>
          </w:tcPr>
          <w:p w14:paraId="058A4520">
            <w:pPr>
              <w:pStyle w:val="24"/>
              <w:rPr>
                <w:rFonts w:eastAsia="宋体"/>
                <w:b/>
                <w:bCs/>
                <w:color w:val="auto"/>
              </w:rPr>
            </w:pPr>
            <w:r>
              <w:rPr>
                <w:rFonts w:hint="eastAsia" w:eastAsia="宋体"/>
                <w:b/>
                <w:bCs/>
                <w:color w:val="auto"/>
              </w:rPr>
              <w:t>占标率（</w:t>
            </w:r>
            <w:r>
              <w:rPr>
                <w:rFonts w:eastAsia="宋体"/>
                <w:b/>
                <w:bCs/>
                <w:color w:val="auto"/>
              </w:rPr>
              <w:t>%</w:t>
            </w:r>
            <w:r>
              <w:rPr>
                <w:rFonts w:hint="eastAsia" w:eastAsia="宋体"/>
                <w:b/>
                <w:bCs/>
                <w:color w:val="auto"/>
              </w:rPr>
              <w:t>）</w:t>
            </w:r>
          </w:p>
        </w:tc>
        <w:tc>
          <w:tcPr>
            <w:tcW w:w="623" w:type="pct"/>
            <w:vAlign w:val="center"/>
          </w:tcPr>
          <w:p w14:paraId="14A9DA41">
            <w:pPr>
              <w:pStyle w:val="24"/>
              <w:rPr>
                <w:rFonts w:eastAsia="宋体"/>
                <w:b/>
                <w:bCs/>
                <w:color w:val="auto"/>
              </w:rPr>
            </w:pPr>
            <w:r>
              <w:rPr>
                <w:rFonts w:hint="eastAsia" w:eastAsia="宋体"/>
                <w:b/>
                <w:bCs/>
                <w:color w:val="auto"/>
              </w:rPr>
              <w:t>现状浓度（</w:t>
            </w:r>
            <w:r>
              <w:rPr>
                <w:rFonts w:eastAsia="宋体"/>
                <w:b/>
                <w:bCs/>
                <w:color w:val="auto"/>
              </w:rPr>
              <w:t>mg/m</w:t>
            </w:r>
            <w:r>
              <w:rPr>
                <w:rFonts w:eastAsia="宋体"/>
                <w:b/>
                <w:bCs/>
                <w:color w:val="auto"/>
                <w:vertAlign w:val="superscript"/>
              </w:rPr>
              <w:t>3</w:t>
            </w:r>
            <w:r>
              <w:rPr>
                <w:rFonts w:hint="eastAsia" w:eastAsia="宋体"/>
                <w:b/>
                <w:bCs/>
                <w:color w:val="auto"/>
              </w:rPr>
              <w:t>）</w:t>
            </w:r>
          </w:p>
        </w:tc>
        <w:tc>
          <w:tcPr>
            <w:tcW w:w="768" w:type="pct"/>
            <w:vAlign w:val="center"/>
          </w:tcPr>
          <w:p w14:paraId="34729F5B">
            <w:pPr>
              <w:pStyle w:val="24"/>
              <w:jc w:val="center"/>
              <w:rPr>
                <w:rFonts w:hint="eastAsia" w:eastAsia="宋体"/>
                <w:b/>
                <w:bCs/>
                <w:color w:val="auto"/>
              </w:rPr>
            </w:pPr>
            <w:r>
              <w:rPr>
                <w:rFonts w:hint="eastAsia" w:eastAsia="宋体"/>
                <w:b/>
                <w:bCs/>
                <w:color w:val="auto"/>
              </w:rPr>
              <w:t>叠加后浓度（</w:t>
            </w:r>
            <w:r>
              <w:rPr>
                <w:rFonts w:eastAsia="宋体"/>
                <w:b/>
                <w:bCs/>
                <w:color w:val="auto"/>
              </w:rPr>
              <w:t>mg/m</w:t>
            </w:r>
            <w:r>
              <w:rPr>
                <w:rFonts w:eastAsia="宋体"/>
                <w:b/>
                <w:bCs/>
                <w:color w:val="auto"/>
                <w:vertAlign w:val="superscript"/>
              </w:rPr>
              <w:t>3</w:t>
            </w:r>
            <w:r>
              <w:rPr>
                <w:rFonts w:hint="eastAsia" w:eastAsia="宋体"/>
                <w:b/>
                <w:bCs/>
                <w:color w:val="auto"/>
              </w:rPr>
              <w:t>）</w:t>
            </w:r>
          </w:p>
          <w:p w14:paraId="44B64635">
            <w:pPr>
              <w:pStyle w:val="24"/>
              <w:jc w:val="center"/>
              <w:rPr>
                <w:rFonts w:hint="eastAsia" w:eastAsia="宋体"/>
                <w:b/>
                <w:bCs/>
                <w:color w:val="auto"/>
                <w:lang w:eastAsia="zh-CN"/>
              </w:rPr>
            </w:pPr>
            <w:r>
              <w:rPr>
                <w:rFonts w:hint="eastAsia"/>
                <w:b/>
                <w:bCs/>
                <w:color w:val="auto"/>
                <w:lang w:eastAsia="zh-CN"/>
              </w:rPr>
              <w:t>（</w:t>
            </w:r>
            <w:r>
              <w:rPr>
                <w:rFonts w:hint="eastAsia"/>
                <w:b/>
                <w:bCs/>
                <w:color w:val="auto"/>
                <w:lang w:val="en-US" w:eastAsia="zh-CN"/>
              </w:rPr>
              <w:t>位置</w:t>
            </w:r>
            <w:r>
              <w:rPr>
                <w:rFonts w:hint="eastAsia"/>
                <w:b/>
                <w:bCs/>
                <w:color w:val="auto"/>
                <w:lang w:eastAsia="zh-CN"/>
              </w:rPr>
              <w:t>）</w:t>
            </w:r>
          </w:p>
        </w:tc>
        <w:tc>
          <w:tcPr>
            <w:tcW w:w="515" w:type="pct"/>
            <w:vAlign w:val="center"/>
          </w:tcPr>
          <w:p w14:paraId="506D4204">
            <w:pPr>
              <w:pStyle w:val="24"/>
              <w:rPr>
                <w:rFonts w:eastAsia="宋体"/>
                <w:b/>
                <w:bCs/>
                <w:color w:val="auto"/>
              </w:rPr>
            </w:pPr>
            <w:r>
              <w:rPr>
                <w:rFonts w:hint="eastAsia" w:eastAsia="宋体"/>
                <w:b/>
                <w:bCs/>
                <w:color w:val="auto"/>
              </w:rPr>
              <w:t>占标率（</w:t>
            </w:r>
            <w:r>
              <w:rPr>
                <w:rFonts w:eastAsia="宋体"/>
                <w:b/>
                <w:bCs/>
                <w:color w:val="auto"/>
              </w:rPr>
              <w:t>%</w:t>
            </w:r>
            <w:r>
              <w:rPr>
                <w:rFonts w:hint="eastAsia" w:eastAsia="宋体"/>
                <w:b/>
                <w:bCs/>
                <w:color w:val="auto"/>
              </w:rPr>
              <w:t>）</w:t>
            </w:r>
          </w:p>
        </w:tc>
        <w:tc>
          <w:tcPr>
            <w:tcW w:w="346" w:type="pct"/>
            <w:shd w:val="clear" w:color="auto" w:fill="auto"/>
            <w:vAlign w:val="center"/>
          </w:tcPr>
          <w:p w14:paraId="182D6DBC">
            <w:pPr>
              <w:pStyle w:val="24"/>
              <w:rPr>
                <w:rFonts w:eastAsia="宋体"/>
                <w:b/>
                <w:bCs/>
                <w:color w:val="auto"/>
              </w:rPr>
            </w:pPr>
            <w:r>
              <w:rPr>
                <w:rFonts w:hint="eastAsia" w:eastAsia="宋体"/>
                <w:b/>
                <w:bCs/>
                <w:color w:val="auto"/>
              </w:rPr>
              <w:t>达标情况</w:t>
            </w:r>
          </w:p>
        </w:tc>
      </w:tr>
      <w:tr w14:paraId="3C4C53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restart"/>
            <w:vAlign w:val="center"/>
          </w:tcPr>
          <w:p w14:paraId="78EDD9E6">
            <w:pPr>
              <w:pStyle w:val="24"/>
              <w:rPr>
                <w:rFonts w:hint="default" w:eastAsia="宋体"/>
                <w:color w:val="auto"/>
                <w:lang w:val="en-US" w:eastAsia="zh-CN"/>
              </w:rPr>
            </w:pPr>
            <w:r>
              <w:rPr>
                <w:rFonts w:hint="eastAsia" w:eastAsia="宋体"/>
                <w:color w:val="auto"/>
                <w:lang w:val="en-US" w:eastAsia="zh-CN"/>
              </w:rPr>
              <w:t>PM</w:t>
            </w:r>
            <w:r>
              <w:rPr>
                <w:rFonts w:hint="eastAsia" w:eastAsia="宋体"/>
                <w:color w:val="auto"/>
                <w:vertAlign w:val="subscript"/>
                <w:lang w:val="en-US" w:eastAsia="zh-CN"/>
              </w:rPr>
              <w:t>10</w:t>
            </w:r>
          </w:p>
        </w:tc>
        <w:tc>
          <w:tcPr>
            <w:tcW w:w="705" w:type="pct"/>
            <w:vMerge w:val="restart"/>
            <w:shd w:val="clear" w:color="auto" w:fill="auto"/>
            <w:vAlign w:val="center"/>
          </w:tcPr>
          <w:p w14:paraId="7A14011C">
            <w:pPr>
              <w:pStyle w:val="24"/>
              <w:ind w:left="0" w:leftChars="0"/>
              <w:rPr>
                <w:rFonts w:hint="default"/>
                <w:color w:val="auto"/>
                <w:sz w:val="21"/>
                <w:szCs w:val="21"/>
                <w:lang w:val="en-US" w:eastAsia="zh-CN"/>
              </w:rPr>
            </w:pPr>
            <w:r>
              <w:rPr>
                <w:rFonts w:hint="eastAsia"/>
                <w:color w:val="auto"/>
                <w:sz w:val="21"/>
                <w:szCs w:val="21"/>
                <w:lang w:val="en-US" w:eastAsia="zh-CN"/>
              </w:rPr>
              <w:t>东北侧散户</w:t>
            </w:r>
          </w:p>
        </w:tc>
        <w:tc>
          <w:tcPr>
            <w:tcW w:w="564" w:type="pct"/>
            <w:shd w:val="clear" w:color="auto" w:fill="auto"/>
            <w:vAlign w:val="center"/>
          </w:tcPr>
          <w:p w14:paraId="0D469025">
            <w:pPr>
              <w:pStyle w:val="24"/>
              <w:ind w:left="0" w:leftChars="0"/>
              <w:rPr>
                <w:rFonts w:hint="eastAsia" w:ascii="Times New Roman" w:hAnsi="Times New Roman" w:eastAsia="宋体" w:cs="Courier New"/>
                <w:color w:val="auto"/>
                <w:kern w:val="2"/>
                <w:sz w:val="21"/>
                <w:szCs w:val="24"/>
                <w:lang w:val="en-US" w:eastAsia="zh-CN" w:bidi="ar-SA"/>
              </w:rPr>
            </w:pPr>
            <w:r>
              <w:rPr>
                <w:rFonts w:hint="eastAsia" w:eastAsia="宋体"/>
                <w:color w:val="auto"/>
              </w:rPr>
              <w:t>日平均</w:t>
            </w:r>
          </w:p>
        </w:tc>
        <w:tc>
          <w:tcPr>
            <w:tcW w:w="597" w:type="pct"/>
            <w:shd w:val="clear" w:color="auto" w:fill="auto"/>
            <w:vAlign w:val="center"/>
          </w:tcPr>
          <w:p w14:paraId="76C874F4">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1.18E-03</w:t>
            </w:r>
          </w:p>
        </w:tc>
        <w:tc>
          <w:tcPr>
            <w:tcW w:w="492" w:type="pct"/>
            <w:shd w:val="clear" w:color="auto" w:fill="auto"/>
            <w:vAlign w:val="center"/>
          </w:tcPr>
          <w:p w14:paraId="079668C5">
            <w:pPr>
              <w:pStyle w:val="24"/>
              <w:rPr>
                <w:rFonts w:hint="default" w:ascii="Times New Roman" w:hAnsi="Times New Roman" w:eastAsia="宋体"/>
                <w:color w:val="auto"/>
                <w:lang w:val="en-US" w:eastAsia="zh-CN"/>
              </w:rPr>
            </w:pPr>
            <w:r>
              <w:rPr>
                <w:rFonts w:hint="eastAsia" w:eastAsia="宋体"/>
                <w:color w:val="auto"/>
                <w:lang w:val="en-US" w:eastAsia="zh-CN"/>
              </w:rPr>
              <w:t>0.98</w:t>
            </w:r>
          </w:p>
        </w:tc>
        <w:tc>
          <w:tcPr>
            <w:tcW w:w="623" w:type="pct"/>
            <w:vAlign w:val="center"/>
          </w:tcPr>
          <w:p w14:paraId="24FB5CE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768" w:type="pct"/>
            <w:vAlign w:val="center"/>
          </w:tcPr>
          <w:p w14:paraId="3300C1B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515" w:type="pct"/>
            <w:vAlign w:val="center"/>
          </w:tcPr>
          <w:p w14:paraId="7F0D2C4D">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89.29</w:t>
            </w:r>
          </w:p>
        </w:tc>
        <w:tc>
          <w:tcPr>
            <w:tcW w:w="346" w:type="pct"/>
            <w:shd w:val="clear" w:color="auto" w:fill="auto"/>
            <w:vAlign w:val="center"/>
          </w:tcPr>
          <w:p w14:paraId="5CB1E946">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3C4FE2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7CC45B28">
            <w:pPr>
              <w:pStyle w:val="24"/>
              <w:rPr>
                <w:rFonts w:hint="eastAsia" w:eastAsia="宋体"/>
                <w:color w:val="auto"/>
                <w:lang w:val="en-US" w:eastAsia="zh-CN"/>
              </w:rPr>
            </w:pPr>
          </w:p>
        </w:tc>
        <w:tc>
          <w:tcPr>
            <w:tcW w:w="705" w:type="pct"/>
            <w:vMerge w:val="continue"/>
            <w:shd w:val="clear" w:color="auto" w:fill="auto"/>
            <w:vAlign w:val="center"/>
          </w:tcPr>
          <w:p w14:paraId="33732FBA">
            <w:pPr>
              <w:pStyle w:val="24"/>
              <w:ind w:left="0" w:leftChars="0"/>
              <w:rPr>
                <w:rFonts w:hint="eastAsia"/>
                <w:color w:val="auto"/>
                <w:sz w:val="21"/>
                <w:szCs w:val="21"/>
                <w:lang w:val="en-US" w:eastAsia="zh-CN"/>
              </w:rPr>
            </w:pPr>
          </w:p>
        </w:tc>
        <w:tc>
          <w:tcPr>
            <w:tcW w:w="564" w:type="pct"/>
            <w:shd w:val="clear" w:color="auto" w:fill="auto"/>
            <w:vAlign w:val="center"/>
          </w:tcPr>
          <w:p w14:paraId="2AB75B3D">
            <w:pPr>
              <w:pStyle w:val="24"/>
              <w:ind w:left="0" w:leftChars="0"/>
              <w:rPr>
                <w:rFonts w:hint="eastAsia" w:ascii="Times New Roman" w:hAnsi="Times New Roman" w:eastAsia="宋体" w:cs="Courier New"/>
                <w:color w:val="auto"/>
                <w:kern w:val="2"/>
                <w:sz w:val="21"/>
                <w:szCs w:val="24"/>
                <w:lang w:val="en-US" w:eastAsia="zh-CN" w:bidi="ar-SA"/>
              </w:rPr>
            </w:pPr>
            <w:r>
              <w:rPr>
                <w:rFonts w:hint="eastAsia" w:eastAsia="宋体"/>
                <w:color w:val="auto"/>
              </w:rPr>
              <w:t>年平均</w:t>
            </w:r>
          </w:p>
        </w:tc>
        <w:tc>
          <w:tcPr>
            <w:tcW w:w="597" w:type="pct"/>
            <w:shd w:val="clear" w:color="auto" w:fill="auto"/>
            <w:vAlign w:val="center"/>
          </w:tcPr>
          <w:p w14:paraId="093B37B3">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2.58E-04</w:t>
            </w:r>
          </w:p>
        </w:tc>
        <w:tc>
          <w:tcPr>
            <w:tcW w:w="492" w:type="pct"/>
            <w:shd w:val="clear" w:color="auto" w:fill="auto"/>
            <w:vAlign w:val="center"/>
          </w:tcPr>
          <w:p w14:paraId="48980878">
            <w:pPr>
              <w:pStyle w:val="24"/>
              <w:rPr>
                <w:rFonts w:hint="default" w:ascii="Times New Roman" w:hAnsi="Times New Roman" w:eastAsia="宋体"/>
                <w:color w:val="auto"/>
                <w:lang w:val="en-US" w:eastAsia="zh-CN"/>
              </w:rPr>
            </w:pPr>
            <w:r>
              <w:rPr>
                <w:rFonts w:hint="eastAsia" w:eastAsia="宋体"/>
                <w:color w:val="auto"/>
                <w:lang w:val="en-US" w:eastAsia="zh-CN"/>
              </w:rPr>
              <w:t>0.43</w:t>
            </w:r>
          </w:p>
        </w:tc>
        <w:tc>
          <w:tcPr>
            <w:tcW w:w="623" w:type="pct"/>
            <w:vAlign w:val="center"/>
          </w:tcPr>
          <w:p w14:paraId="22FDC1D1">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7D2B346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4.52E-02</w:t>
            </w:r>
          </w:p>
        </w:tc>
        <w:tc>
          <w:tcPr>
            <w:tcW w:w="515" w:type="pct"/>
            <w:vAlign w:val="center"/>
          </w:tcPr>
          <w:p w14:paraId="5D4AAADC">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75.30</w:t>
            </w:r>
          </w:p>
        </w:tc>
        <w:tc>
          <w:tcPr>
            <w:tcW w:w="346" w:type="pct"/>
            <w:shd w:val="clear" w:color="auto" w:fill="auto"/>
            <w:vAlign w:val="center"/>
          </w:tcPr>
          <w:p w14:paraId="21CEE3A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1947B1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52873317">
            <w:pPr>
              <w:pStyle w:val="24"/>
              <w:rPr>
                <w:rFonts w:hint="default" w:eastAsia="宋体"/>
                <w:color w:val="auto"/>
                <w:lang w:val="en-US" w:eastAsia="zh-CN"/>
              </w:rPr>
            </w:pPr>
          </w:p>
        </w:tc>
        <w:tc>
          <w:tcPr>
            <w:tcW w:w="705" w:type="pct"/>
            <w:vMerge w:val="restart"/>
            <w:shd w:val="clear" w:color="auto" w:fill="auto"/>
            <w:vAlign w:val="center"/>
          </w:tcPr>
          <w:p w14:paraId="749D4E89">
            <w:pPr>
              <w:pStyle w:val="24"/>
              <w:ind w:left="0" w:leftChars="0"/>
              <w:rPr>
                <w:rFonts w:eastAsia="宋体"/>
                <w:color w:val="auto"/>
              </w:rPr>
            </w:pPr>
            <w:r>
              <w:rPr>
                <w:rFonts w:hint="eastAsia"/>
                <w:color w:val="auto"/>
                <w:sz w:val="21"/>
                <w:szCs w:val="21"/>
                <w:lang w:val="en-US" w:eastAsia="zh-CN"/>
              </w:rPr>
              <w:t>金堂村</w:t>
            </w:r>
          </w:p>
        </w:tc>
        <w:tc>
          <w:tcPr>
            <w:tcW w:w="564" w:type="pct"/>
            <w:shd w:val="clear" w:color="auto" w:fill="auto"/>
            <w:vAlign w:val="center"/>
          </w:tcPr>
          <w:p w14:paraId="1E27C165">
            <w:pPr>
              <w:pStyle w:val="24"/>
              <w:rPr>
                <w:rFonts w:eastAsia="宋体"/>
                <w:color w:val="auto"/>
              </w:rPr>
            </w:pPr>
            <w:r>
              <w:rPr>
                <w:rFonts w:hint="eastAsia" w:eastAsia="宋体"/>
                <w:color w:val="auto"/>
              </w:rPr>
              <w:t>日平均</w:t>
            </w:r>
          </w:p>
        </w:tc>
        <w:tc>
          <w:tcPr>
            <w:tcW w:w="597" w:type="pct"/>
            <w:shd w:val="clear" w:color="auto" w:fill="auto"/>
            <w:vAlign w:val="center"/>
          </w:tcPr>
          <w:p w14:paraId="60B0307D">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2.72E-05</w:t>
            </w:r>
          </w:p>
        </w:tc>
        <w:tc>
          <w:tcPr>
            <w:tcW w:w="492" w:type="pct"/>
            <w:shd w:val="clear" w:color="auto" w:fill="auto"/>
            <w:vAlign w:val="center"/>
          </w:tcPr>
          <w:p w14:paraId="3926D98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0.02 </w:t>
            </w:r>
          </w:p>
        </w:tc>
        <w:tc>
          <w:tcPr>
            <w:tcW w:w="623" w:type="pct"/>
            <w:vAlign w:val="center"/>
          </w:tcPr>
          <w:p w14:paraId="39DE982A">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768" w:type="pct"/>
            <w:vAlign w:val="center"/>
          </w:tcPr>
          <w:p w14:paraId="3083B6B3">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515" w:type="pct"/>
            <w:vAlign w:val="center"/>
          </w:tcPr>
          <w:p w14:paraId="5904FB8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89.19</w:t>
            </w:r>
          </w:p>
        </w:tc>
        <w:tc>
          <w:tcPr>
            <w:tcW w:w="346" w:type="pct"/>
            <w:shd w:val="clear" w:color="auto" w:fill="auto"/>
            <w:vAlign w:val="center"/>
          </w:tcPr>
          <w:p w14:paraId="358616E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17D5CF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2436D9A6">
            <w:pPr>
              <w:pStyle w:val="24"/>
              <w:rPr>
                <w:rFonts w:eastAsia="宋体"/>
                <w:color w:val="auto"/>
              </w:rPr>
            </w:pPr>
          </w:p>
        </w:tc>
        <w:tc>
          <w:tcPr>
            <w:tcW w:w="705" w:type="pct"/>
            <w:vMerge w:val="continue"/>
            <w:vAlign w:val="center"/>
          </w:tcPr>
          <w:p w14:paraId="2F35BBF2">
            <w:pPr>
              <w:pStyle w:val="24"/>
              <w:rPr>
                <w:rFonts w:eastAsia="宋体"/>
                <w:color w:val="auto"/>
              </w:rPr>
            </w:pPr>
          </w:p>
        </w:tc>
        <w:tc>
          <w:tcPr>
            <w:tcW w:w="564" w:type="pct"/>
            <w:shd w:val="clear" w:color="auto" w:fill="auto"/>
            <w:vAlign w:val="center"/>
          </w:tcPr>
          <w:p w14:paraId="6E3A55E0">
            <w:pPr>
              <w:pStyle w:val="24"/>
              <w:rPr>
                <w:rFonts w:eastAsia="宋体"/>
                <w:color w:val="auto"/>
              </w:rPr>
            </w:pPr>
            <w:r>
              <w:rPr>
                <w:rFonts w:hint="eastAsia" w:eastAsia="宋体"/>
                <w:color w:val="auto"/>
              </w:rPr>
              <w:t>年平均</w:t>
            </w:r>
          </w:p>
        </w:tc>
        <w:tc>
          <w:tcPr>
            <w:tcW w:w="597" w:type="pct"/>
            <w:shd w:val="clear" w:color="auto" w:fill="auto"/>
            <w:vAlign w:val="center"/>
          </w:tcPr>
          <w:p w14:paraId="263AF4AC">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9.11E-05</w:t>
            </w:r>
          </w:p>
        </w:tc>
        <w:tc>
          <w:tcPr>
            <w:tcW w:w="492" w:type="pct"/>
            <w:shd w:val="clear" w:color="auto" w:fill="auto"/>
            <w:vAlign w:val="center"/>
          </w:tcPr>
          <w:p w14:paraId="5169B3C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0.15 </w:t>
            </w:r>
          </w:p>
        </w:tc>
        <w:tc>
          <w:tcPr>
            <w:tcW w:w="623" w:type="pct"/>
            <w:vAlign w:val="center"/>
          </w:tcPr>
          <w:p w14:paraId="72EE13D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270AB96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4.50E-02</w:t>
            </w:r>
          </w:p>
        </w:tc>
        <w:tc>
          <w:tcPr>
            <w:tcW w:w="515" w:type="pct"/>
            <w:vAlign w:val="center"/>
          </w:tcPr>
          <w:p w14:paraId="4DD02005">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75.02</w:t>
            </w:r>
          </w:p>
        </w:tc>
        <w:tc>
          <w:tcPr>
            <w:tcW w:w="346" w:type="pct"/>
            <w:shd w:val="clear" w:color="auto" w:fill="auto"/>
            <w:vAlign w:val="center"/>
          </w:tcPr>
          <w:p w14:paraId="7C2A38F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10BB5A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6AB7058A">
            <w:pPr>
              <w:pStyle w:val="24"/>
              <w:rPr>
                <w:rFonts w:eastAsia="宋体"/>
                <w:color w:val="auto"/>
              </w:rPr>
            </w:pPr>
          </w:p>
        </w:tc>
        <w:tc>
          <w:tcPr>
            <w:tcW w:w="705" w:type="pct"/>
            <w:vMerge w:val="restart"/>
            <w:shd w:val="clear" w:color="auto" w:fill="auto"/>
            <w:vAlign w:val="center"/>
          </w:tcPr>
          <w:p w14:paraId="2ABC87F1">
            <w:pPr>
              <w:pStyle w:val="24"/>
              <w:ind w:left="0" w:leftChars="0"/>
              <w:rPr>
                <w:rFonts w:eastAsia="宋体"/>
                <w:color w:val="auto"/>
              </w:rPr>
            </w:pPr>
            <w:r>
              <w:rPr>
                <w:rFonts w:hint="eastAsia"/>
                <w:color w:val="auto"/>
                <w:sz w:val="21"/>
                <w:szCs w:val="21"/>
                <w:lang w:val="en-US" w:eastAsia="zh-CN"/>
              </w:rPr>
              <w:t>亮垭村</w:t>
            </w:r>
          </w:p>
        </w:tc>
        <w:tc>
          <w:tcPr>
            <w:tcW w:w="564" w:type="pct"/>
            <w:shd w:val="clear" w:color="auto" w:fill="auto"/>
            <w:vAlign w:val="center"/>
          </w:tcPr>
          <w:p w14:paraId="6B5049D6">
            <w:pPr>
              <w:pStyle w:val="24"/>
              <w:rPr>
                <w:rFonts w:eastAsia="宋体"/>
                <w:color w:val="auto"/>
              </w:rPr>
            </w:pPr>
            <w:r>
              <w:rPr>
                <w:rFonts w:hint="eastAsia" w:eastAsia="宋体"/>
                <w:color w:val="auto"/>
              </w:rPr>
              <w:t>日平均</w:t>
            </w:r>
          </w:p>
        </w:tc>
        <w:tc>
          <w:tcPr>
            <w:tcW w:w="597" w:type="pct"/>
            <w:shd w:val="clear" w:color="auto" w:fill="auto"/>
            <w:vAlign w:val="center"/>
          </w:tcPr>
          <w:p w14:paraId="7AEF34E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1.20E-04</w:t>
            </w:r>
          </w:p>
        </w:tc>
        <w:tc>
          <w:tcPr>
            <w:tcW w:w="492" w:type="pct"/>
            <w:shd w:val="clear" w:color="auto" w:fill="auto"/>
            <w:vAlign w:val="center"/>
          </w:tcPr>
          <w:p w14:paraId="2C8D84F9">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0.10 </w:t>
            </w:r>
          </w:p>
        </w:tc>
        <w:tc>
          <w:tcPr>
            <w:tcW w:w="623" w:type="pct"/>
            <w:vAlign w:val="center"/>
          </w:tcPr>
          <w:p w14:paraId="0A1B69B3">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768" w:type="pct"/>
            <w:vAlign w:val="center"/>
          </w:tcPr>
          <w:p w14:paraId="6A1B69C9">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515" w:type="pct"/>
            <w:vAlign w:val="center"/>
          </w:tcPr>
          <w:p w14:paraId="6A65FA8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89.27</w:t>
            </w:r>
          </w:p>
        </w:tc>
        <w:tc>
          <w:tcPr>
            <w:tcW w:w="346" w:type="pct"/>
            <w:shd w:val="clear" w:color="auto" w:fill="auto"/>
            <w:vAlign w:val="center"/>
          </w:tcPr>
          <w:p w14:paraId="6049A26B">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0446C9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4DDE98E0">
            <w:pPr>
              <w:pStyle w:val="24"/>
              <w:rPr>
                <w:rFonts w:eastAsia="宋体"/>
                <w:color w:val="auto"/>
              </w:rPr>
            </w:pPr>
          </w:p>
        </w:tc>
        <w:tc>
          <w:tcPr>
            <w:tcW w:w="705" w:type="pct"/>
            <w:vMerge w:val="continue"/>
            <w:vAlign w:val="center"/>
          </w:tcPr>
          <w:p w14:paraId="6073BCFE">
            <w:pPr>
              <w:pStyle w:val="24"/>
              <w:rPr>
                <w:rFonts w:eastAsia="宋体"/>
                <w:color w:val="auto"/>
              </w:rPr>
            </w:pPr>
          </w:p>
        </w:tc>
        <w:tc>
          <w:tcPr>
            <w:tcW w:w="564" w:type="pct"/>
            <w:shd w:val="clear" w:color="auto" w:fill="auto"/>
            <w:vAlign w:val="center"/>
          </w:tcPr>
          <w:p w14:paraId="1E76D628">
            <w:pPr>
              <w:pStyle w:val="24"/>
              <w:rPr>
                <w:rFonts w:eastAsia="宋体"/>
                <w:color w:val="auto"/>
              </w:rPr>
            </w:pPr>
            <w:r>
              <w:rPr>
                <w:rFonts w:hint="eastAsia" w:eastAsia="宋体"/>
                <w:color w:val="auto"/>
              </w:rPr>
              <w:t>年平均</w:t>
            </w:r>
          </w:p>
        </w:tc>
        <w:tc>
          <w:tcPr>
            <w:tcW w:w="597" w:type="pct"/>
            <w:shd w:val="clear" w:color="auto" w:fill="auto"/>
            <w:vAlign w:val="center"/>
          </w:tcPr>
          <w:p w14:paraId="60DD770B">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2.80E-04</w:t>
            </w:r>
          </w:p>
        </w:tc>
        <w:tc>
          <w:tcPr>
            <w:tcW w:w="492" w:type="pct"/>
            <w:shd w:val="clear" w:color="auto" w:fill="auto"/>
            <w:vAlign w:val="center"/>
          </w:tcPr>
          <w:p w14:paraId="37BA8619">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0.47 </w:t>
            </w:r>
          </w:p>
        </w:tc>
        <w:tc>
          <w:tcPr>
            <w:tcW w:w="623" w:type="pct"/>
            <w:vAlign w:val="center"/>
          </w:tcPr>
          <w:p w14:paraId="6059637A">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26BBD49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4.52E-02</w:t>
            </w:r>
          </w:p>
        </w:tc>
        <w:tc>
          <w:tcPr>
            <w:tcW w:w="515" w:type="pct"/>
            <w:vAlign w:val="center"/>
          </w:tcPr>
          <w:p w14:paraId="36241E19">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75.33</w:t>
            </w:r>
          </w:p>
        </w:tc>
        <w:tc>
          <w:tcPr>
            <w:tcW w:w="346" w:type="pct"/>
            <w:shd w:val="clear" w:color="auto" w:fill="auto"/>
            <w:vAlign w:val="center"/>
          </w:tcPr>
          <w:p w14:paraId="3B5CC6E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05EAC1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7D673CC3">
            <w:pPr>
              <w:pStyle w:val="24"/>
              <w:rPr>
                <w:rFonts w:eastAsia="宋体"/>
                <w:color w:val="auto"/>
              </w:rPr>
            </w:pPr>
          </w:p>
        </w:tc>
        <w:tc>
          <w:tcPr>
            <w:tcW w:w="705" w:type="pct"/>
            <w:vMerge w:val="restart"/>
            <w:shd w:val="clear" w:color="auto" w:fill="auto"/>
            <w:vAlign w:val="center"/>
          </w:tcPr>
          <w:p w14:paraId="5C05A924">
            <w:pPr>
              <w:pStyle w:val="24"/>
              <w:ind w:left="0" w:leftChars="0"/>
              <w:rPr>
                <w:rFonts w:eastAsia="宋体"/>
                <w:color w:val="auto"/>
              </w:rPr>
            </w:pPr>
            <w:r>
              <w:rPr>
                <w:rFonts w:hint="eastAsia"/>
                <w:color w:val="auto"/>
                <w:sz w:val="21"/>
                <w:szCs w:val="21"/>
                <w:lang w:val="en-US" w:eastAsia="zh-CN"/>
              </w:rPr>
              <w:t>秋锦山村</w:t>
            </w:r>
          </w:p>
        </w:tc>
        <w:tc>
          <w:tcPr>
            <w:tcW w:w="564" w:type="pct"/>
            <w:shd w:val="clear" w:color="auto" w:fill="auto"/>
            <w:vAlign w:val="center"/>
          </w:tcPr>
          <w:p w14:paraId="30A78D91">
            <w:pPr>
              <w:pStyle w:val="24"/>
              <w:rPr>
                <w:rFonts w:eastAsia="宋体"/>
                <w:color w:val="auto"/>
              </w:rPr>
            </w:pPr>
            <w:r>
              <w:rPr>
                <w:rFonts w:hint="eastAsia" w:eastAsia="宋体"/>
                <w:color w:val="auto"/>
              </w:rPr>
              <w:t>日平均</w:t>
            </w:r>
          </w:p>
        </w:tc>
        <w:tc>
          <w:tcPr>
            <w:tcW w:w="597" w:type="pct"/>
            <w:shd w:val="clear" w:color="auto" w:fill="auto"/>
            <w:vAlign w:val="center"/>
          </w:tcPr>
          <w:p w14:paraId="5FC830FC">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2.80E-03</w:t>
            </w:r>
          </w:p>
        </w:tc>
        <w:tc>
          <w:tcPr>
            <w:tcW w:w="492" w:type="pct"/>
            <w:shd w:val="clear" w:color="auto" w:fill="auto"/>
            <w:vAlign w:val="center"/>
          </w:tcPr>
          <w:p w14:paraId="569C41D4">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2.33 </w:t>
            </w:r>
          </w:p>
        </w:tc>
        <w:tc>
          <w:tcPr>
            <w:tcW w:w="623" w:type="pct"/>
            <w:vAlign w:val="center"/>
          </w:tcPr>
          <w:p w14:paraId="7C712074">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1.05E-01</w:t>
            </w:r>
          </w:p>
        </w:tc>
        <w:tc>
          <w:tcPr>
            <w:tcW w:w="768" w:type="pct"/>
            <w:vAlign w:val="center"/>
          </w:tcPr>
          <w:p w14:paraId="1EB0D359">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1.08E-01</w:t>
            </w:r>
          </w:p>
        </w:tc>
        <w:tc>
          <w:tcPr>
            <w:tcW w:w="515" w:type="pct"/>
            <w:vAlign w:val="center"/>
          </w:tcPr>
          <w:p w14:paraId="2D01406A">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89.83</w:t>
            </w:r>
          </w:p>
        </w:tc>
        <w:tc>
          <w:tcPr>
            <w:tcW w:w="346" w:type="pct"/>
            <w:shd w:val="clear" w:color="auto" w:fill="auto"/>
            <w:vAlign w:val="center"/>
          </w:tcPr>
          <w:p w14:paraId="3EF9172B">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455613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42A011FB">
            <w:pPr>
              <w:pStyle w:val="24"/>
              <w:rPr>
                <w:rFonts w:eastAsia="宋体"/>
                <w:color w:val="auto"/>
              </w:rPr>
            </w:pPr>
          </w:p>
        </w:tc>
        <w:tc>
          <w:tcPr>
            <w:tcW w:w="705" w:type="pct"/>
            <w:vMerge w:val="continue"/>
            <w:vAlign w:val="center"/>
          </w:tcPr>
          <w:p w14:paraId="0B936DAF">
            <w:pPr>
              <w:pStyle w:val="24"/>
              <w:rPr>
                <w:rFonts w:eastAsia="宋体"/>
                <w:color w:val="auto"/>
              </w:rPr>
            </w:pPr>
          </w:p>
        </w:tc>
        <w:tc>
          <w:tcPr>
            <w:tcW w:w="564" w:type="pct"/>
            <w:shd w:val="clear" w:color="auto" w:fill="auto"/>
            <w:vAlign w:val="center"/>
          </w:tcPr>
          <w:p w14:paraId="5CA9155C">
            <w:pPr>
              <w:pStyle w:val="24"/>
              <w:rPr>
                <w:rFonts w:eastAsia="宋体"/>
                <w:color w:val="auto"/>
              </w:rPr>
            </w:pPr>
            <w:r>
              <w:rPr>
                <w:rFonts w:hint="eastAsia" w:eastAsia="宋体"/>
                <w:color w:val="auto"/>
              </w:rPr>
              <w:t>年平均</w:t>
            </w:r>
          </w:p>
        </w:tc>
        <w:tc>
          <w:tcPr>
            <w:tcW w:w="597" w:type="pct"/>
            <w:shd w:val="clear" w:color="auto" w:fill="auto"/>
            <w:vAlign w:val="center"/>
          </w:tcPr>
          <w:p w14:paraId="72E83460">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2.73E-04</w:t>
            </w:r>
          </w:p>
        </w:tc>
        <w:tc>
          <w:tcPr>
            <w:tcW w:w="492" w:type="pct"/>
            <w:shd w:val="clear" w:color="auto" w:fill="auto"/>
            <w:vAlign w:val="center"/>
          </w:tcPr>
          <w:p w14:paraId="2B7D9793">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0.46 </w:t>
            </w:r>
          </w:p>
        </w:tc>
        <w:tc>
          <w:tcPr>
            <w:tcW w:w="623" w:type="pct"/>
            <w:vAlign w:val="center"/>
          </w:tcPr>
          <w:p w14:paraId="41C3F35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4291C571">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4.52E-02</w:t>
            </w:r>
          </w:p>
        </w:tc>
        <w:tc>
          <w:tcPr>
            <w:tcW w:w="515" w:type="pct"/>
            <w:vAlign w:val="center"/>
          </w:tcPr>
          <w:p w14:paraId="234594ED">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75.32</w:t>
            </w:r>
          </w:p>
        </w:tc>
        <w:tc>
          <w:tcPr>
            <w:tcW w:w="346" w:type="pct"/>
            <w:shd w:val="clear" w:color="auto" w:fill="auto"/>
            <w:vAlign w:val="center"/>
          </w:tcPr>
          <w:p w14:paraId="09F5CFC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016BC5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42204FAC">
            <w:pPr>
              <w:pStyle w:val="24"/>
              <w:rPr>
                <w:rFonts w:eastAsia="宋体"/>
                <w:color w:val="auto"/>
              </w:rPr>
            </w:pPr>
          </w:p>
        </w:tc>
        <w:tc>
          <w:tcPr>
            <w:tcW w:w="705" w:type="pct"/>
            <w:vMerge w:val="restart"/>
            <w:shd w:val="clear" w:color="auto" w:fill="auto"/>
            <w:vAlign w:val="center"/>
          </w:tcPr>
          <w:p w14:paraId="3629A13F">
            <w:pPr>
              <w:pStyle w:val="24"/>
              <w:ind w:left="0" w:leftChars="0"/>
              <w:rPr>
                <w:rFonts w:eastAsia="宋体"/>
                <w:color w:val="auto"/>
              </w:rPr>
            </w:pPr>
            <w:r>
              <w:rPr>
                <w:rFonts w:hint="eastAsia"/>
                <w:color w:val="auto"/>
                <w:sz w:val="21"/>
                <w:szCs w:val="21"/>
                <w:lang w:val="en-US" w:eastAsia="zh-CN"/>
              </w:rPr>
              <w:t>春在镇</w:t>
            </w:r>
          </w:p>
        </w:tc>
        <w:tc>
          <w:tcPr>
            <w:tcW w:w="564" w:type="pct"/>
            <w:shd w:val="clear" w:color="auto" w:fill="auto"/>
            <w:vAlign w:val="center"/>
          </w:tcPr>
          <w:p w14:paraId="0C482C21">
            <w:pPr>
              <w:pStyle w:val="24"/>
              <w:rPr>
                <w:rFonts w:eastAsia="宋体"/>
                <w:color w:val="auto"/>
              </w:rPr>
            </w:pPr>
            <w:r>
              <w:rPr>
                <w:rFonts w:hint="eastAsia" w:eastAsia="宋体"/>
                <w:color w:val="auto"/>
              </w:rPr>
              <w:t>日平均</w:t>
            </w:r>
          </w:p>
        </w:tc>
        <w:tc>
          <w:tcPr>
            <w:tcW w:w="597" w:type="pct"/>
            <w:shd w:val="clear" w:color="auto" w:fill="auto"/>
            <w:vAlign w:val="center"/>
          </w:tcPr>
          <w:p w14:paraId="24982473">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4.27E-05</w:t>
            </w:r>
          </w:p>
        </w:tc>
        <w:tc>
          <w:tcPr>
            <w:tcW w:w="492" w:type="pct"/>
            <w:shd w:val="clear" w:color="auto" w:fill="auto"/>
            <w:vAlign w:val="center"/>
          </w:tcPr>
          <w:p w14:paraId="1E76041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0.04 </w:t>
            </w:r>
          </w:p>
        </w:tc>
        <w:tc>
          <w:tcPr>
            <w:tcW w:w="623" w:type="pct"/>
            <w:vAlign w:val="center"/>
          </w:tcPr>
          <w:p w14:paraId="2BDF324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768" w:type="pct"/>
            <w:vAlign w:val="center"/>
          </w:tcPr>
          <w:p w14:paraId="733CEFB5">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515" w:type="pct"/>
            <w:vAlign w:val="center"/>
          </w:tcPr>
          <w:p w14:paraId="12FC8144">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89.2</w:t>
            </w:r>
          </w:p>
        </w:tc>
        <w:tc>
          <w:tcPr>
            <w:tcW w:w="346" w:type="pct"/>
            <w:shd w:val="clear" w:color="auto" w:fill="auto"/>
            <w:vAlign w:val="center"/>
          </w:tcPr>
          <w:p w14:paraId="2BD49F1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4230C5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6DD4B8E3">
            <w:pPr>
              <w:pStyle w:val="24"/>
              <w:rPr>
                <w:rFonts w:eastAsia="宋体"/>
                <w:color w:val="auto"/>
              </w:rPr>
            </w:pPr>
          </w:p>
        </w:tc>
        <w:tc>
          <w:tcPr>
            <w:tcW w:w="705" w:type="pct"/>
            <w:vMerge w:val="continue"/>
            <w:vAlign w:val="center"/>
          </w:tcPr>
          <w:p w14:paraId="3E4A236D">
            <w:pPr>
              <w:pStyle w:val="24"/>
              <w:rPr>
                <w:rFonts w:eastAsia="宋体"/>
                <w:color w:val="auto"/>
              </w:rPr>
            </w:pPr>
          </w:p>
        </w:tc>
        <w:tc>
          <w:tcPr>
            <w:tcW w:w="564" w:type="pct"/>
            <w:shd w:val="clear" w:color="auto" w:fill="auto"/>
            <w:vAlign w:val="center"/>
          </w:tcPr>
          <w:p w14:paraId="38A21A95">
            <w:pPr>
              <w:pStyle w:val="24"/>
              <w:rPr>
                <w:rFonts w:eastAsia="宋体"/>
                <w:color w:val="auto"/>
              </w:rPr>
            </w:pPr>
            <w:r>
              <w:rPr>
                <w:rFonts w:hint="eastAsia" w:eastAsia="宋体"/>
                <w:color w:val="auto"/>
              </w:rPr>
              <w:t>年平均</w:t>
            </w:r>
          </w:p>
        </w:tc>
        <w:tc>
          <w:tcPr>
            <w:tcW w:w="597" w:type="pct"/>
            <w:shd w:val="clear" w:color="auto" w:fill="auto"/>
            <w:vAlign w:val="center"/>
          </w:tcPr>
          <w:p w14:paraId="6F0C1D1B">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3.80E-05</w:t>
            </w:r>
          </w:p>
        </w:tc>
        <w:tc>
          <w:tcPr>
            <w:tcW w:w="492" w:type="pct"/>
            <w:shd w:val="clear" w:color="auto" w:fill="auto"/>
            <w:vAlign w:val="center"/>
          </w:tcPr>
          <w:p w14:paraId="3402FADC">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0.06 </w:t>
            </w:r>
          </w:p>
        </w:tc>
        <w:tc>
          <w:tcPr>
            <w:tcW w:w="623" w:type="pct"/>
            <w:vAlign w:val="center"/>
          </w:tcPr>
          <w:p w14:paraId="40221E1C">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3727B29A">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4.50E-02</w:t>
            </w:r>
          </w:p>
        </w:tc>
        <w:tc>
          <w:tcPr>
            <w:tcW w:w="515" w:type="pct"/>
            <w:vAlign w:val="center"/>
          </w:tcPr>
          <w:p w14:paraId="53CDDA5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74.93</w:t>
            </w:r>
          </w:p>
        </w:tc>
        <w:tc>
          <w:tcPr>
            <w:tcW w:w="346" w:type="pct"/>
            <w:shd w:val="clear" w:color="auto" w:fill="auto"/>
            <w:vAlign w:val="center"/>
          </w:tcPr>
          <w:p w14:paraId="6397072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3121EB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660FF779">
            <w:pPr>
              <w:pStyle w:val="24"/>
              <w:rPr>
                <w:rFonts w:eastAsia="宋体"/>
                <w:color w:val="auto"/>
              </w:rPr>
            </w:pPr>
          </w:p>
        </w:tc>
        <w:tc>
          <w:tcPr>
            <w:tcW w:w="705" w:type="pct"/>
            <w:vMerge w:val="restart"/>
            <w:vAlign w:val="center"/>
          </w:tcPr>
          <w:p w14:paraId="7F88633B">
            <w:pPr>
              <w:pStyle w:val="24"/>
              <w:ind w:left="0" w:leftChars="0"/>
              <w:rPr>
                <w:rFonts w:eastAsia="宋体"/>
                <w:color w:val="auto"/>
              </w:rPr>
            </w:pPr>
            <w:r>
              <w:rPr>
                <w:rFonts w:hint="eastAsia"/>
                <w:color w:val="auto"/>
                <w:sz w:val="21"/>
                <w:szCs w:val="21"/>
                <w:lang w:val="en-US" w:eastAsia="zh-CN"/>
              </w:rPr>
              <w:t>通江县城</w:t>
            </w:r>
          </w:p>
        </w:tc>
        <w:tc>
          <w:tcPr>
            <w:tcW w:w="564" w:type="pct"/>
            <w:shd w:val="clear" w:color="auto" w:fill="auto"/>
            <w:vAlign w:val="center"/>
          </w:tcPr>
          <w:p w14:paraId="1BDF3C31">
            <w:pPr>
              <w:pStyle w:val="24"/>
              <w:rPr>
                <w:rFonts w:eastAsia="宋体"/>
                <w:color w:val="auto"/>
              </w:rPr>
            </w:pPr>
            <w:r>
              <w:rPr>
                <w:rFonts w:hint="eastAsia" w:eastAsia="宋体"/>
                <w:color w:val="auto"/>
              </w:rPr>
              <w:t>日平均</w:t>
            </w:r>
          </w:p>
        </w:tc>
        <w:tc>
          <w:tcPr>
            <w:tcW w:w="597" w:type="pct"/>
            <w:shd w:val="clear" w:color="auto" w:fill="auto"/>
            <w:vAlign w:val="center"/>
          </w:tcPr>
          <w:p w14:paraId="4160C09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5.58E-04</w:t>
            </w:r>
          </w:p>
        </w:tc>
        <w:tc>
          <w:tcPr>
            <w:tcW w:w="492" w:type="pct"/>
            <w:shd w:val="clear" w:color="auto" w:fill="auto"/>
            <w:vAlign w:val="center"/>
          </w:tcPr>
          <w:p w14:paraId="00EA8AE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0.47 </w:t>
            </w:r>
          </w:p>
        </w:tc>
        <w:tc>
          <w:tcPr>
            <w:tcW w:w="623" w:type="pct"/>
            <w:vAlign w:val="center"/>
          </w:tcPr>
          <w:p w14:paraId="4FD5D76B">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768" w:type="pct"/>
            <w:vAlign w:val="center"/>
          </w:tcPr>
          <w:p w14:paraId="4062BA5C">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1.08E-01</w:t>
            </w:r>
          </w:p>
        </w:tc>
        <w:tc>
          <w:tcPr>
            <w:tcW w:w="515" w:type="pct"/>
            <w:vAlign w:val="center"/>
          </w:tcPr>
          <w:p w14:paraId="64B688F1">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89.63</w:t>
            </w:r>
          </w:p>
        </w:tc>
        <w:tc>
          <w:tcPr>
            <w:tcW w:w="346" w:type="pct"/>
            <w:shd w:val="clear" w:color="auto" w:fill="auto"/>
            <w:vAlign w:val="center"/>
          </w:tcPr>
          <w:p w14:paraId="2D7272E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62AA15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0C65DB21">
            <w:pPr>
              <w:pStyle w:val="24"/>
              <w:rPr>
                <w:rFonts w:eastAsia="宋体"/>
                <w:color w:val="auto"/>
              </w:rPr>
            </w:pPr>
          </w:p>
        </w:tc>
        <w:tc>
          <w:tcPr>
            <w:tcW w:w="705" w:type="pct"/>
            <w:vMerge w:val="continue"/>
            <w:vAlign w:val="center"/>
          </w:tcPr>
          <w:p w14:paraId="1ED0FBB0">
            <w:pPr>
              <w:pStyle w:val="24"/>
              <w:rPr>
                <w:rFonts w:eastAsia="宋体"/>
                <w:color w:val="auto"/>
              </w:rPr>
            </w:pPr>
          </w:p>
        </w:tc>
        <w:tc>
          <w:tcPr>
            <w:tcW w:w="564" w:type="pct"/>
            <w:shd w:val="clear" w:color="auto" w:fill="auto"/>
            <w:vAlign w:val="center"/>
          </w:tcPr>
          <w:p w14:paraId="63D16B16">
            <w:pPr>
              <w:pStyle w:val="24"/>
              <w:rPr>
                <w:rFonts w:eastAsia="宋体"/>
                <w:color w:val="auto"/>
              </w:rPr>
            </w:pPr>
            <w:r>
              <w:rPr>
                <w:rFonts w:hint="eastAsia" w:eastAsia="宋体"/>
                <w:color w:val="auto"/>
              </w:rPr>
              <w:t>年平均</w:t>
            </w:r>
          </w:p>
        </w:tc>
        <w:tc>
          <w:tcPr>
            <w:tcW w:w="597" w:type="pct"/>
            <w:shd w:val="clear" w:color="auto" w:fill="auto"/>
            <w:vAlign w:val="center"/>
          </w:tcPr>
          <w:p w14:paraId="5B56BDF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1.05E-04</w:t>
            </w:r>
          </w:p>
        </w:tc>
        <w:tc>
          <w:tcPr>
            <w:tcW w:w="492" w:type="pct"/>
            <w:shd w:val="clear" w:color="auto" w:fill="auto"/>
            <w:vAlign w:val="center"/>
          </w:tcPr>
          <w:p w14:paraId="3AB113E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0.18 </w:t>
            </w:r>
          </w:p>
        </w:tc>
        <w:tc>
          <w:tcPr>
            <w:tcW w:w="623" w:type="pct"/>
            <w:vAlign w:val="center"/>
          </w:tcPr>
          <w:p w14:paraId="3E69FA19">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5151D72F">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4.50E-02</w:t>
            </w:r>
          </w:p>
        </w:tc>
        <w:tc>
          <w:tcPr>
            <w:tcW w:w="515" w:type="pct"/>
            <w:vAlign w:val="center"/>
          </w:tcPr>
          <w:p w14:paraId="1A1E8DF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75.04</w:t>
            </w:r>
          </w:p>
        </w:tc>
        <w:tc>
          <w:tcPr>
            <w:tcW w:w="346" w:type="pct"/>
            <w:shd w:val="clear" w:color="auto" w:fill="auto"/>
            <w:vAlign w:val="center"/>
          </w:tcPr>
          <w:p w14:paraId="3FF1BFE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4AC6D6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4166100E">
            <w:pPr>
              <w:pStyle w:val="24"/>
              <w:rPr>
                <w:rFonts w:eastAsia="宋体"/>
                <w:color w:val="auto"/>
              </w:rPr>
            </w:pPr>
          </w:p>
        </w:tc>
        <w:tc>
          <w:tcPr>
            <w:tcW w:w="705" w:type="pct"/>
            <w:vMerge w:val="restart"/>
            <w:vAlign w:val="center"/>
          </w:tcPr>
          <w:p w14:paraId="528EEAE3">
            <w:pPr>
              <w:pStyle w:val="24"/>
              <w:ind w:left="0" w:leftChars="0"/>
              <w:rPr>
                <w:rFonts w:eastAsia="宋体"/>
                <w:color w:val="auto"/>
              </w:rPr>
            </w:pPr>
            <w:r>
              <w:rPr>
                <w:rFonts w:hint="eastAsia" w:eastAsia="宋体"/>
                <w:color w:val="auto"/>
                <w:sz w:val="21"/>
                <w:szCs w:val="21"/>
              </w:rPr>
              <w:t>区域最大落地浓度</w:t>
            </w:r>
          </w:p>
        </w:tc>
        <w:tc>
          <w:tcPr>
            <w:tcW w:w="564" w:type="pct"/>
            <w:shd w:val="clear" w:color="auto" w:fill="auto"/>
            <w:vAlign w:val="center"/>
          </w:tcPr>
          <w:p w14:paraId="3A087042">
            <w:pPr>
              <w:pStyle w:val="24"/>
              <w:rPr>
                <w:rFonts w:hint="eastAsia" w:eastAsia="宋体"/>
                <w:color w:val="auto"/>
              </w:rPr>
            </w:pPr>
            <w:r>
              <w:rPr>
                <w:rFonts w:hint="eastAsia" w:eastAsia="宋体"/>
                <w:color w:val="auto"/>
              </w:rPr>
              <w:t>日平均</w:t>
            </w:r>
          </w:p>
        </w:tc>
        <w:tc>
          <w:tcPr>
            <w:tcW w:w="597" w:type="pct"/>
            <w:shd w:val="clear" w:color="auto" w:fill="auto"/>
            <w:vAlign w:val="center"/>
          </w:tcPr>
          <w:p w14:paraId="2C020506">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3.15E-03</w:t>
            </w:r>
          </w:p>
        </w:tc>
        <w:tc>
          <w:tcPr>
            <w:tcW w:w="492" w:type="pct"/>
            <w:shd w:val="clear" w:color="auto" w:fill="auto"/>
            <w:vAlign w:val="center"/>
          </w:tcPr>
          <w:p w14:paraId="549042ED">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2.63 </w:t>
            </w:r>
          </w:p>
        </w:tc>
        <w:tc>
          <w:tcPr>
            <w:tcW w:w="623" w:type="pct"/>
            <w:vAlign w:val="center"/>
          </w:tcPr>
          <w:p w14:paraId="767E56A3">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1.10E-01</w:t>
            </w:r>
          </w:p>
        </w:tc>
        <w:tc>
          <w:tcPr>
            <w:tcW w:w="768" w:type="pct"/>
            <w:vAlign w:val="center"/>
          </w:tcPr>
          <w:p w14:paraId="43464516">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1.15E-01</w:t>
            </w:r>
          </w:p>
          <w:p w14:paraId="0086EE6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（-305,-1253）</w:t>
            </w:r>
          </w:p>
        </w:tc>
        <w:tc>
          <w:tcPr>
            <w:tcW w:w="515" w:type="pct"/>
            <w:vAlign w:val="center"/>
          </w:tcPr>
          <w:p w14:paraId="6F6D513C">
            <w:pPr>
              <w:pStyle w:val="24"/>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95.83</w:t>
            </w:r>
          </w:p>
        </w:tc>
        <w:tc>
          <w:tcPr>
            <w:tcW w:w="346" w:type="pct"/>
            <w:shd w:val="clear" w:color="auto" w:fill="auto"/>
            <w:vAlign w:val="center"/>
          </w:tcPr>
          <w:p w14:paraId="059C5EE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246F29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5ED587A9">
            <w:pPr>
              <w:pStyle w:val="24"/>
              <w:rPr>
                <w:rFonts w:eastAsia="宋体"/>
                <w:color w:val="auto"/>
              </w:rPr>
            </w:pPr>
          </w:p>
        </w:tc>
        <w:tc>
          <w:tcPr>
            <w:tcW w:w="705" w:type="pct"/>
            <w:vMerge w:val="continue"/>
            <w:vAlign w:val="center"/>
          </w:tcPr>
          <w:p w14:paraId="70304782">
            <w:pPr>
              <w:pStyle w:val="24"/>
              <w:rPr>
                <w:rFonts w:eastAsia="宋体"/>
                <w:color w:val="auto"/>
              </w:rPr>
            </w:pPr>
          </w:p>
        </w:tc>
        <w:tc>
          <w:tcPr>
            <w:tcW w:w="564" w:type="pct"/>
            <w:shd w:val="clear" w:color="auto" w:fill="auto"/>
            <w:vAlign w:val="center"/>
          </w:tcPr>
          <w:p w14:paraId="628B90B4">
            <w:pPr>
              <w:pStyle w:val="24"/>
              <w:rPr>
                <w:rFonts w:hint="eastAsia" w:eastAsia="宋体"/>
                <w:color w:val="auto"/>
              </w:rPr>
            </w:pPr>
            <w:r>
              <w:rPr>
                <w:rFonts w:hint="eastAsia" w:eastAsia="宋体"/>
                <w:color w:val="auto"/>
              </w:rPr>
              <w:t>年平均</w:t>
            </w:r>
          </w:p>
        </w:tc>
        <w:tc>
          <w:tcPr>
            <w:tcW w:w="597" w:type="pct"/>
            <w:shd w:val="clear" w:color="auto" w:fill="auto"/>
            <w:vAlign w:val="center"/>
          </w:tcPr>
          <w:p w14:paraId="3B98777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3.76E-03</w:t>
            </w:r>
          </w:p>
        </w:tc>
        <w:tc>
          <w:tcPr>
            <w:tcW w:w="492" w:type="pct"/>
            <w:shd w:val="clear" w:color="auto" w:fill="auto"/>
            <w:vAlign w:val="center"/>
          </w:tcPr>
          <w:p w14:paraId="057FCC4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6.27 </w:t>
            </w:r>
          </w:p>
        </w:tc>
        <w:tc>
          <w:tcPr>
            <w:tcW w:w="623" w:type="pct"/>
            <w:vAlign w:val="center"/>
          </w:tcPr>
          <w:p w14:paraId="0D03F356">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0E07C93D">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4.87E-02</w:t>
            </w:r>
          </w:p>
          <w:p w14:paraId="50C99F2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（-305,-1453）</w:t>
            </w:r>
          </w:p>
        </w:tc>
        <w:tc>
          <w:tcPr>
            <w:tcW w:w="515" w:type="pct"/>
            <w:vAlign w:val="center"/>
          </w:tcPr>
          <w:p w14:paraId="3522D23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81.13</w:t>
            </w:r>
          </w:p>
        </w:tc>
        <w:tc>
          <w:tcPr>
            <w:tcW w:w="346" w:type="pct"/>
            <w:shd w:val="clear" w:color="auto" w:fill="auto"/>
            <w:vAlign w:val="center"/>
          </w:tcPr>
          <w:p w14:paraId="2A91617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755275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62EA61D3">
            <w:pPr>
              <w:pStyle w:val="24"/>
              <w:rPr>
                <w:rFonts w:eastAsia="宋体"/>
                <w:color w:val="auto"/>
              </w:rPr>
            </w:pPr>
          </w:p>
        </w:tc>
        <w:tc>
          <w:tcPr>
            <w:tcW w:w="705" w:type="pct"/>
            <w:vMerge w:val="restart"/>
            <w:vAlign w:val="center"/>
          </w:tcPr>
          <w:p w14:paraId="12C6C57D">
            <w:pPr>
              <w:pStyle w:val="24"/>
              <w:ind w:left="0" w:leftChars="0"/>
              <w:rPr>
                <w:rFonts w:eastAsia="宋体"/>
                <w:color w:val="auto"/>
              </w:rPr>
            </w:pPr>
            <w:r>
              <w:rPr>
                <w:rFonts w:hint="eastAsia" w:eastAsia="宋体"/>
                <w:color w:val="auto"/>
                <w:sz w:val="21"/>
                <w:szCs w:val="21"/>
                <w:lang w:val="en-US" w:eastAsia="zh-CN"/>
              </w:rPr>
              <w:t>厂界浓度</w:t>
            </w:r>
          </w:p>
        </w:tc>
        <w:tc>
          <w:tcPr>
            <w:tcW w:w="564" w:type="pct"/>
            <w:shd w:val="clear" w:color="auto" w:fill="auto"/>
            <w:vAlign w:val="center"/>
          </w:tcPr>
          <w:p w14:paraId="09740AC3">
            <w:pPr>
              <w:pStyle w:val="24"/>
              <w:rPr>
                <w:rFonts w:hint="eastAsia" w:eastAsia="宋体"/>
                <w:color w:val="auto"/>
              </w:rPr>
            </w:pPr>
            <w:r>
              <w:rPr>
                <w:rFonts w:hint="eastAsia" w:eastAsia="宋体"/>
                <w:color w:val="auto"/>
              </w:rPr>
              <w:t>日平均</w:t>
            </w:r>
          </w:p>
        </w:tc>
        <w:tc>
          <w:tcPr>
            <w:tcW w:w="597" w:type="pct"/>
            <w:shd w:val="clear" w:color="auto" w:fill="auto"/>
            <w:vAlign w:val="center"/>
          </w:tcPr>
          <w:p w14:paraId="5BD2CFE2">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1.29E-04</w:t>
            </w:r>
          </w:p>
        </w:tc>
        <w:tc>
          <w:tcPr>
            <w:tcW w:w="492" w:type="pct"/>
            <w:shd w:val="clear" w:color="auto" w:fill="auto"/>
            <w:vAlign w:val="center"/>
          </w:tcPr>
          <w:p w14:paraId="5980EDCB">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0.11 </w:t>
            </w:r>
          </w:p>
        </w:tc>
        <w:tc>
          <w:tcPr>
            <w:tcW w:w="623" w:type="pct"/>
            <w:vAlign w:val="center"/>
          </w:tcPr>
          <w:p w14:paraId="7240F8C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768" w:type="pct"/>
            <w:vAlign w:val="center"/>
          </w:tcPr>
          <w:p w14:paraId="59C27CB4">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1.07E-01</w:t>
            </w:r>
          </w:p>
        </w:tc>
        <w:tc>
          <w:tcPr>
            <w:tcW w:w="515" w:type="pct"/>
            <w:vAlign w:val="center"/>
          </w:tcPr>
          <w:p w14:paraId="60817A9E">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89.27</w:t>
            </w:r>
          </w:p>
        </w:tc>
        <w:tc>
          <w:tcPr>
            <w:tcW w:w="346" w:type="pct"/>
            <w:shd w:val="clear" w:color="auto" w:fill="auto"/>
            <w:vAlign w:val="center"/>
          </w:tcPr>
          <w:p w14:paraId="1F37F44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r w14:paraId="797382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385" w:type="pct"/>
            <w:vMerge w:val="continue"/>
            <w:vAlign w:val="center"/>
          </w:tcPr>
          <w:p w14:paraId="2550441D">
            <w:pPr>
              <w:pStyle w:val="24"/>
              <w:rPr>
                <w:rFonts w:eastAsia="宋体"/>
                <w:color w:val="auto"/>
              </w:rPr>
            </w:pPr>
          </w:p>
        </w:tc>
        <w:tc>
          <w:tcPr>
            <w:tcW w:w="705" w:type="pct"/>
            <w:vMerge w:val="continue"/>
            <w:vAlign w:val="center"/>
          </w:tcPr>
          <w:p w14:paraId="50B11480">
            <w:pPr>
              <w:pStyle w:val="24"/>
              <w:rPr>
                <w:rFonts w:eastAsia="宋体"/>
                <w:color w:val="auto"/>
              </w:rPr>
            </w:pPr>
          </w:p>
        </w:tc>
        <w:tc>
          <w:tcPr>
            <w:tcW w:w="564" w:type="pct"/>
            <w:shd w:val="clear" w:color="auto" w:fill="auto"/>
            <w:vAlign w:val="center"/>
          </w:tcPr>
          <w:p w14:paraId="2ABA1AD8">
            <w:pPr>
              <w:pStyle w:val="24"/>
              <w:rPr>
                <w:rFonts w:hint="eastAsia" w:eastAsia="宋体"/>
                <w:color w:val="auto"/>
              </w:rPr>
            </w:pPr>
            <w:r>
              <w:rPr>
                <w:rFonts w:hint="eastAsia" w:eastAsia="宋体"/>
                <w:color w:val="auto"/>
              </w:rPr>
              <w:t>年平均</w:t>
            </w:r>
          </w:p>
        </w:tc>
        <w:tc>
          <w:tcPr>
            <w:tcW w:w="597" w:type="pct"/>
            <w:shd w:val="clear" w:color="auto" w:fill="auto"/>
            <w:vAlign w:val="center"/>
          </w:tcPr>
          <w:p w14:paraId="6C51F4A7">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1.66E-04</w:t>
            </w:r>
          </w:p>
        </w:tc>
        <w:tc>
          <w:tcPr>
            <w:tcW w:w="492" w:type="pct"/>
            <w:shd w:val="clear" w:color="auto" w:fill="auto"/>
            <w:vAlign w:val="center"/>
          </w:tcPr>
          <w:p w14:paraId="7ECAF655">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 xml:space="preserve">0.28 </w:t>
            </w:r>
          </w:p>
        </w:tc>
        <w:tc>
          <w:tcPr>
            <w:tcW w:w="623" w:type="pct"/>
            <w:vAlign w:val="center"/>
          </w:tcPr>
          <w:p w14:paraId="3DA7CA9D">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4.49E-02</w:t>
            </w:r>
          </w:p>
        </w:tc>
        <w:tc>
          <w:tcPr>
            <w:tcW w:w="768" w:type="pct"/>
            <w:vAlign w:val="center"/>
          </w:tcPr>
          <w:p w14:paraId="4476DFA8">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4.51E-02</w:t>
            </w:r>
          </w:p>
        </w:tc>
        <w:tc>
          <w:tcPr>
            <w:tcW w:w="515" w:type="pct"/>
            <w:vAlign w:val="center"/>
          </w:tcPr>
          <w:p w14:paraId="434F0694">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75.14</w:t>
            </w:r>
          </w:p>
        </w:tc>
        <w:tc>
          <w:tcPr>
            <w:tcW w:w="346" w:type="pct"/>
            <w:shd w:val="clear" w:color="auto" w:fill="auto"/>
            <w:vAlign w:val="center"/>
          </w:tcPr>
          <w:p w14:paraId="5D4C43A6">
            <w:pPr>
              <w:pStyle w:val="24"/>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达标</w:t>
            </w:r>
          </w:p>
        </w:tc>
      </w:tr>
    </w:tbl>
    <w:p w14:paraId="49238757">
      <w:pPr>
        <w:bidi w:val="0"/>
        <w:ind w:left="0" w:leftChars="0" w:firstLine="480" w:firstLineChars="200"/>
        <w:rPr>
          <w:rFonts w:hint="eastAsia"/>
          <w:color w:val="auto"/>
          <w:highlight w:val="none"/>
        </w:rPr>
      </w:pPr>
      <w:r>
        <w:rPr>
          <w:rFonts w:hint="eastAsia"/>
          <w:color w:val="auto"/>
          <w:highlight w:val="none"/>
        </w:rPr>
        <w:t>由预测结果可知，本项目叠加现状环境质量浓度及其他在建、拟建污染源影响后预测污染物浓度符合环境质量标准。</w:t>
      </w:r>
    </w:p>
    <w:p w14:paraId="02E11A18">
      <w:pPr>
        <w:pStyle w:val="26"/>
        <w:ind w:left="0" w:leftChars="0" w:firstLine="482" w:firstLineChars="200"/>
        <w:rPr>
          <w:rFonts w:hint="default" w:ascii="Times New Roman" w:hAnsi="Times New Roman" w:eastAsia="宋体" w:cs="Times New Roman"/>
          <w:b/>
          <w:color w:val="auto"/>
          <w:highlight w:val="none"/>
          <w:lang w:val="en-US" w:eastAsia="zh-CN"/>
        </w:rPr>
      </w:pPr>
      <w:r>
        <w:rPr>
          <w:rFonts w:cs="Times New Roman"/>
          <w:b/>
          <w:color w:val="auto"/>
          <w:lang w:val="zh-CN"/>
        </w:rPr>
        <w:t>③</w:t>
      </w:r>
      <w:r>
        <w:rPr>
          <w:rFonts w:hint="eastAsia" w:ascii="Times New Roman" w:hAnsi="Times New Roman" w:eastAsia="宋体" w:cs="Times New Roman"/>
          <w:b/>
          <w:color w:val="auto"/>
          <w:highlight w:val="none"/>
          <w:lang w:val="en-US" w:eastAsia="zh-CN"/>
        </w:rPr>
        <w:t>区域环境质量变化评价</w:t>
      </w:r>
    </w:p>
    <w:p w14:paraId="4343A043">
      <w:pPr>
        <w:widowControl w:val="0"/>
        <w:numPr>
          <w:ilvl w:val="0"/>
          <w:numId w:val="0"/>
        </w:numPr>
        <w:adjustRightInd w:val="0"/>
        <w:spacing w:line="360" w:lineRule="auto"/>
        <w:ind w:firstLine="480" w:firstLineChars="200"/>
        <w:rPr>
          <w:color w:val="auto"/>
        </w:rPr>
      </w:pPr>
      <w:r>
        <w:rPr>
          <w:rFonts w:hint="eastAsia"/>
          <w:color w:val="auto"/>
        </w:rPr>
        <w:t>根据</w:t>
      </w:r>
      <w:r>
        <w:rPr>
          <w:rFonts w:hint="eastAsia"/>
          <w:color w:val="auto"/>
          <w:lang w:val="en-US" w:eastAsia="zh-CN"/>
        </w:rPr>
        <w:t>通江中学自动监测站</w:t>
      </w:r>
      <w:r>
        <w:rPr>
          <w:rFonts w:hint="default"/>
          <w:color w:val="auto"/>
          <w:lang w:val="en-US" w:eastAsia="zh-CN"/>
        </w:rPr>
        <w:t>20</w:t>
      </w:r>
      <w:r>
        <w:rPr>
          <w:rFonts w:hint="eastAsia"/>
          <w:color w:val="auto"/>
          <w:lang w:val="en-US" w:eastAsia="zh-CN"/>
        </w:rPr>
        <w:t>25</w:t>
      </w:r>
      <w:r>
        <w:rPr>
          <w:rFonts w:hint="default"/>
          <w:color w:val="auto"/>
          <w:lang w:val="en-US" w:eastAsia="zh-CN"/>
        </w:rPr>
        <w:t>年连续一年</w:t>
      </w:r>
      <w:r>
        <w:rPr>
          <w:rFonts w:hint="eastAsia"/>
          <w:color w:val="auto"/>
          <w:lang w:val="en-US" w:eastAsia="zh-CN"/>
        </w:rPr>
        <w:t>的</w:t>
      </w:r>
      <w:r>
        <w:rPr>
          <w:color w:val="auto"/>
        </w:rPr>
        <w:t>例行监测数据</w:t>
      </w:r>
      <w:r>
        <w:rPr>
          <w:rFonts w:hint="eastAsia"/>
          <w:color w:val="auto"/>
          <w:lang w:eastAsia="zh-CN"/>
        </w:rPr>
        <w:t>，</w:t>
      </w:r>
      <w:r>
        <w:rPr>
          <w:rFonts w:hint="eastAsia"/>
          <w:color w:val="auto"/>
          <w:lang w:val="en-US" w:eastAsia="zh-CN"/>
        </w:rPr>
        <w:t>按照HJ663中各评价项目的年评价指标进行判定，PM</w:t>
      </w:r>
      <w:r>
        <w:rPr>
          <w:rFonts w:hint="eastAsia"/>
          <w:color w:val="auto"/>
          <w:vertAlign w:val="subscript"/>
          <w:lang w:val="en-US" w:eastAsia="zh-CN"/>
        </w:rPr>
        <w:t>2.5</w:t>
      </w:r>
      <w:r>
        <w:rPr>
          <w:rFonts w:hint="eastAsia"/>
          <w:color w:val="auto"/>
          <w:lang w:val="en-US" w:eastAsia="zh-CN"/>
        </w:rPr>
        <w:t>保证率日均值超标，</w:t>
      </w:r>
      <w:r>
        <w:rPr>
          <w:rFonts w:hint="eastAsia"/>
          <w:color w:val="auto"/>
          <w:sz w:val="24"/>
          <w:szCs w:val="24"/>
          <w:lang w:val="en-US" w:eastAsia="zh-CN"/>
        </w:rPr>
        <w:t>需</w:t>
      </w:r>
      <w:r>
        <w:rPr>
          <w:rFonts w:hint="eastAsia" w:cs="Times New Roman"/>
          <w:color w:val="auto"/>
        </w:rPr>
        <w:t>计算</w:t>
      </w:r>
      <w:r>
        <w:rPr>
          <w:color w:val="auto"/>
        </w:rPr>
        <w:t>年平均质量浓度变化率</w:t>
      </w:r>
      <w:r>
        <w:rPr>
          <w:i/>
          <w:color w:val="auto"/>
        </w:rPr>
        <w:t>k</w:t>
      </w:r>
      <w:r>
        <w:rPr>
          <w:color w:val="auto"/>
        </w:rPr>
        <w:t>。</w:t>
      </w:r>
    </w:p>
    <w:p w14:paraId="019BE006">
      <w:pPr>
        <w:pStyle w:val="26"/>
        <w:ind w:firstLine="480"/>
        <w:rPr>
          <w:color w:val="auto"/>
        </w:rPr>
      </w:pPr>
      <w:r>
        <w:rPr>
          <w:rFonts w:hint="eastAsia"/>
          <w:color w:val="auto"/>
          <w:szCs w:val="24"/>
        </w:rPr>
        <w:t>当</w:t>
      </w:r>
      <w:r>
        <w:rPr>
          <w:color w:val="auto"/>
          <w:szCs w:val="24"/>
        </w:rPr>
        <w:t>无法获得不达标区规划达标年的</w:t>
      </w:r>
      <w:r>
        <w:rPr>
          <w:color w:val="auto"/>
        </w:rPr>
        <w:t>区域污染源削减清单或预测浓度场时，按下式计算实施区域削减方案后预测范围内的年平均质量浓度变化率</w:t>
      </w:r>
      <w:r>
        <w:rPr>
          <w:i/>
          <w:color w:val="auto"/>
        </w:rPr>
        <w:t>k</w:t>
      </w:r>
      <w:r>
        <w:rPr>
          <w:color w:val="auto"/>
        </w:rPr>
        <w:t>。当</w:t>
      </w:r>
      <w:r>
        <w:rPr>
          <w:i/>
          <w:color w:val="auto"/>
        </w:rPr>
        <w:t>k</w:t>
      </w:r>
      <w:r>
        <w:rPr>
          <w:color w:val="auto"/>
        </w:rPr>
        <w:t>≤-20%时，可判定项目建设后区域环境质量得到整体改善。</w:t>
      </w:r>
    </w:p>
    <w:p w14:paraId="53EDEBDE">
      <w:pPr>
        <w:pStyle w:val="26"/>
        <w:ind w:firstLine="0" w:firstLineChars="0"/>
        <w:jc w:val="center"/>
        <w:rPr>
          <w:color w:val="auto"/>
        </w:rPr>
      </w:pPr>
      <w:r>
        <w:rPr>
          <w:color w:val="auto"/>
          <w:position w:val="-18"/>
        </w:rPr>
        <w:object>
          <v:shape id="_x0000_i1037" o:spt="75" type="#_x0000_t75" style="height:21.75pt;width:216pt;" o:ole="t" filled="f" o:preferrelative="t" stroked="f" coordsize="21600,21600">
            <v:path/>
            <v:fill on="f" focussize="0,0"/>
            <v:stroke on="f" joinstyle="miter"/>
            <v:imagedata r:id="rId55" o:title=""/>
            <o:lock v:ext="edit" aspectratio="t"/>
            <w10:wrap type="none"/>
            <w10:anchorlock/>
          </v:shape>
          <o:OLEObject Type="Embed" ProgID="Equation.DSMT4" ShapeID="_x0000_i1037" DrawAspect="Content" ObjectID="_1468075737" r:id="rId54">
            <o:LockedField>false</o:LockedField>
          </o:OLEObject>
        </w:object>
      </w:r>
    </w:p>
    <w:p w14:paraId="697E8B7F">
      <w:pPr>
        <w:pStyle w:val="10"/>
        <w:spacing w:after="0" w:line="360" w:lineRule="auto"/>
        <w:ind w:firstLine="480" w:firstLineChars="200"/>
        <w:rPr>
          <w:rFonts w:ascii="Times New Roman" w:hAnsi="Times New Roman"/>
          <w:color w:val="auto"/>
          <w:sz w:val="24"/>
        </w:rPr>
      </w:pPr>
      <w:r>
        <w:rPr>
          <w:color w:val="auto"/>
          <w:lang w:val="zh-CN"/>
        </w:rPr>
        <w:t>式中</w:t>
      </w:r>
      <w:r>
        <w:rPr>
          <w:rFonts w:hint="eastAsia"/>
          <w:color w:val="auto"/>
          <w:lang w:val="zh-CN"/>
        </w:rPr>
        <w:t>，</w:t>
      </w:r>
      <w:r>
        <w:rPr>
          <w:rFonts w:ascii="Times New Roman" w:hAnsi="Times New Roman" w:cs="Times New Roman"/>
          <w:i/>
          <w:color w:val="auto"/>
          <w:lang w:val="zh-CN"/>
        </w:rPr>
        <w:t>k</w:t>
      </w:r>
      <w:r>
        <w:rPr>
          <w:rFonts w:ascii="Times New Roman" w:hAnsi="Times New Roman"/>
          <w:color w:val="auto"/>
          <w:sz w:val="24"/>
        </w:rPr>
        <w:t>——</w:t>
      </w:r>
      <w:r>
        <w:rPr>
          <w:rFonts w:hint="eastAsia" w:ascii="Times New Roman" w:hAnsi="Times New Roman"/>
          <w:color w:val="auto"/>
          <w:sz w:val="24"/>
        </w:rPr>
        <w:t>预测范围年平均质量浓度变化率，%；</w:t>
      </w:r>
    </w:p>
    <w:p w14:paraId="36BA895D">
      <w:pPr>
        <w:pStyle w:val="26"/>
        <w:ind w:firstLine="960" w:firstLineChars="400"/>
        <w:rPr>
          <w:color w:val="auto"/>
        </w:rPr>
      </w:pPr>
      <w:r>
        <w:rPr>
          <w:color w:val="auto"/>
          <w:position w:val="-12"/>
        </w:rPr>
        <w:object>
          <v:shape id="_x0000_i1038" o:spt="75" type="#_x0000_t75" style="height:21.75pt;width:44.25pt;" o:ole="t" filled="f" o:preferrelative="t" stroked="f" coordsize="21600,21600">
            <v:path/>
            <v:fill on="f" focussize="0,0"/>
            <v:stroke on="f" joinstyle="miter"/>
            <v:imagedata r:id="rId57" o:title=""/>
            <o:lock v:ext="edit" aspectratio="t"/>
            <w10:wrap type="none"/>
            <w10:anchorlock/>
          </v:shape>
          <o:OLEObject Type="Embed" ProgID="Equation.DSMT4" ShapeID="_x0000_i1038" DrawAspect="Content" ObjectID="_1468075738" r:id="rId56">
            <o:LockedField>false</o:LockedField>
          </o:OLEObject>
        </w:object>
      </w:r>
      <w:r>
        <w:rPr>
          <w:color w:val="auto"/>
        </w:rPr>
        <w:t>——</w:t>
      </w:r>
      <w:r>
        <w:rPr>
          <w:rFonts w:hint="eastAsia"/>
          <w:color w:val="auto"/>
        </w:rPr>
        <w:t>本项目对所有网格点的年平均质量浓度贡献值的算术平均值，ug</w:t>
      </w:r>
      <w:r>
        <w:rPr>
          <w:color w:val="auto"/>
        </w:rPr>
        <w:t>/m</w:t>
      </w:r>
      <w:r>
        <w:rPr>
          <w:color w:val="auto"/>
          <w:vertAlign w:val="superscript"/>
        </w:rPr>
        <w:t>3</w:t>
      </w:r>
      <w:r>
        <w:rPr>
          <w:rFonts w:hint="eastAsia"/>
          <w:color w:val="auto"/>
        </w:rPr>
        <w:t>；</w:t>
      </w:r>
    </w:p>
    <w:p w14:paraId="2D3482C9">
      <w:pPr>
        <w:pStyle w:val="26"/>
        <w:ind w:firstLine="960" w:firstLineChars="400"/>
        <w:rPr>
          <w:color w:val="auto"/>
        </w:rPr>
      </w:pPr>
      <w:r>
        <w:rPr>
          <w:color w:val="auto"/>
          <w:position w:val="-12"/>
        </w:rPr>
        <w:object>
          <v:shape id="_x0000_i1039" o:spt="75" type="#_x0000_t75" style="height:21.75pt;width:50.25pt;" o:ole="t" filled="f" o:preferrelative="t" stroked="f" coordsize="21600,21600">
            <v:path/>
            <v:fill on="f" focussize="0,0"/>
            <v:stroke on="f" joinstyle="miter"/>
            <v:imagedata r:id="rId59" o:title=""/>
            <o:lock v:ext="edit" aspectratio="t"/>
            <w10:wrap type="none"/>
            <w10:anchorlock/>
          </v:shape>
          <o:OLEObject Type="Embed" ProgID="Equation.DSMT4" ShapeID="_x0000_i1039" DrawAspect="Content" ObjectID="_1468075739" r:id="rId58">
            <o:LockedField>false</o:LockedField>
          </o:OLEObject>
        </w:object>
      </w:r>
      <w:r>
        <w:rPr>
          <w:color w:val="auto"/>
        </w:rPr>
        <w:t>——</w:t>
      </w:r>
      <w:r>
        <w:rPr>
          <w:rFonts w:hint="eastAsia"/>
          <w:color w:val="auto"/>
        </w:rPr>
        <w:t>区域削减污染源对所有网格点的年平均质量浓度贡献值的算术平均值，ug</w:t>
      </w:r>
      <w:r>
        <w:rPr>
          <w:color w:val="auto"/>
        </w:rPr>
        <w:t>/m</w:t>
      </w:r>
      <w:r>
        <w:rPr>
          <w:color w:val="auto"/>
          <w:vertAlign w:val="superscript"/>
        </w:rPr>
        <w:t>3</w:t>
      </w:r>
      <w:r>
        <w:rPr>
          <w:rFonts w:hint="eastAsia"/>
          <w:color w:val="auto"/>
        </w:rPr>
        <w:t>。</w:t>
      </w:r>
    </w:p>
    <w:p w14:paraId="528A363B">
      <w:pPr>
        <w:pStyle w:val="26"/>
        <w:ind w:firstLine="480"/>
        <w:rPr>
          <w:color w:val="auto"/>
          <w:szCs w:val="24"/>
        </w:rPr>
      </w:pPr>
      <w:r>
        <w:rPr>
          <w:rFonts w:hint="eastAsia"/>
          <w:color w:val="auto"/>
        </w:rPr>
        <w:t>本项目</w:t>
      </w:r>
      <w:r>
        <w:rPr>
          <w:color w:val="auto"/>
        </w:rPr>
        <w:t>区域削减源采用</w:t>
      </w:r>
      <w:r>
        <w:rPr>
          <w:rFonts w:hint="eastAsia"/>
          <w:color w:val="auto"/>
          <w:sz w:val="24"/>
          <w:szCs w:val="24"/>
          <w:highlight w:val="none"/>
          <w:lang w:val="en-US" w:eastAsia="zh-CN"/>
        </w:rPr>
        <w:t>通江县大井坝页岩砖有限公司（已关停）</w:t>
      </w:r>
      <w:r>
        <w:rPr>
          <w:rFonts w:hint="eastAsia"/>
          <w:bCs/>
          <w:color w:val="auto"/>
          <w:szCs w:val="24"/>
          <w:lang w:val="en-US" w:eastAsia="zh-CN"/>
        </w:rPr>
        <w:t>颗粒物减排量0.01</w:t>
      </w:r>
      <w:r>
        <w:rPr>
          <w:rFonts w:hint="eastAsia"/>
          <w:bCs/>
          <w:color w:val="auto"/>
          <w:szCs w:val="24"/>
        </w:rPr>
        <w:t>t/a</w:t>
      </w:r>
      <w:r>
        <w:rPr>
          <w:rFonts w:hint="eastAsia"/>
          <w:color w:val="auto"/>
          <w:szCs w:val="24"/>
        </w:rPr>
        <w:t>作为削减污染源，通过AERMOD预测结果，本项目及区域削减源PM</w:t>
      </w:r>
      <w:r>
        <w:rPr>
          <w:color w:val="auto"/>
          <w:szCs w:val="24"/>
          <w:vertAlign w:val="subscript"/>
        </w:rPr>
        <w:t>2.5</w:t>
      </w:r>
      <w:r>
        <w:rPr>
          <w:color w:val="auto"/>
          <w:szCs w:val="24"/>
        </w:rPr>
        <w:t>年平均质量浓度贡献值见下表</w:t>
      </w:r>
      <w:r>
        <w:rPr>
          <w:rFonts w:hint="eastAsia"/>
          <w:color w:val="auto"/>
          <w:szCs w:val="24"/>
        </w:rPr>
        <w:t>：</w:t>
      </w:r>
    </w:p>
    <w:p w14:paraId="1B4F4DC7">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本项目及区域削减源PM2.5年平均质量浓度贡献值</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299"/>
        <w:gridCol w:w="1888"/>
        <w:gridCol w:w="3189"/>
        <w:gridCol w:w="3138"/>
      </w:tblGrid>
      <w:tr w14:paraId="639686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6" w:hRule="atLeast"/>
          <w:tblHeader/>
        </w:trPr>
        <w:tc>
          <w:tcPr>
            <w:tcW w:w="683" w:type="pct"/>
            <w:shd w:val="clear" w:color="auto" w:fill="auto"/>
            <w:vAlign w:val="center"/>
          </w:tcPr>
          <w:p w14:paraId="4C6784B0">
            <w:pPr>
              <w:pStyle w:val="24"/>
              <w:rPr>
                <w:rFonts w:eastAsia="宋体"/>
                <w:color w:val="auto"/>
              </w:rPr>
            </w:pPr>
            <w:r>
              <w:rPr>
                <w:rFonts w:hint="eastAsia" w:eastAsia="宋体"/>
                <w:color w:val="auto"/>
              </w:rPr>
              <w:t>污染物</w:t>
            </w:r>
          </w:p>
        </w:tc>
        <w:tc>
          <w:tcPr>
            <w:tcW w:w="992" w:type="pct"/>
            <w:shd w:val="clear" w:color="auto" w:fill="auto"/>
            <w:vAlign w:val="center"/>
          </w:tcPr>
          <w:p w14:paraId="3A5A3306">
            <w:pPr>
              <w:pStyle w:val="24"/>
              <w:rPr>
                <w:rFonts w:eastAsia="宋体"/>
                <w:color w:val="auto"/>
              </w:rPr>
            </w:pPr>
            <w:r>
              <w:rPr>
                <w:rFonts w:hint="eastAsia" w:eastAsia="宋体"/>
                <w:color w:val="auto"/>
              </w:rPr>
              <w:t>项目</w:t>
            </w:r>
          </w:p>
        </w:tc>
        <w:tc>
          <w:tcPr>
            <w:tcW w:w="1676" w:type="pct"/>
            <w:shd w:val="clear" w:color="auto" w:fill="auto"/>
            <w:vAlign w:val="center"/>
          </w:tcPr>
          <w:p w14:paraId="316433EA">
            <w:pPr>
              <w:pStyle w:val="24"/>
              <w:rPr>
                <w:rFonts w:eastAsia="宋体"/>
                <w:color w:val="auto"/>
              </w:rPr>
            </w:pPr>
            <w:r>
              <w:rPr>
                <w:rFonts w:eastAsia="宋体"/>
                <w:color w:val="auto"/>
              </w:rPr>
              <w:t>年平均浓度贡献值</w:t>
            </w:r>
            <w:r>
              <w:rPr>
                <w:rFonts w:hint="eastAsia" w:eastAsia="宋体"/>
                <w:color w:val="auto"/>
              </w:rPr>
              <w:t>（</w:t>
            </w:r>
            <w:r>
              <w:rPr>
                <w:rFonts w:hint="eastAsia"/>
                <w:color w:val="auto"/>
                <w:lang w:val="en-US" w:eastAsia="zh-CN"/>
              </w:rPr>
              <w:t>u</w:t>
            </w:r>
            <w:r>
              <w:rPr>
                <w:rFonts w:hint="eastAsia" w:eastAsia="宋体"/>
                <w:color w:val="auto"/>
              </w:rPr>
              <w:t>g/m</w:t>
            </w:r>
            <w:r>
              <w:rPr>
                <w:rFonts w:hint="eastAsia" w:eastAsia="宋体"/>
                <w:color w:val="auto"/>
                <w:vertAlign w:val="superscript"/>
              </w:rPr>
              <w:t>3</w:t>
            </w:r>
            <w:r>
              <w:rPr>
                <w:rFonts w:hint="eastAsia" w:eastAsia="宋体"/>
                <w:color w:val="auto"/>
              </w:rPr>
              <w:t>）</w:t>
            </w:r>
          </w:p>
        </w:tc>
        <w:tc>
          <w:tcPr>
            <w:tcW w:w="1649" w:type="pct"/>
            <w:shd w:val="clear" w:color="auto" w:fill="auto"/>
            <w:vAlign w:val="center"/>
          </w:tcPr>
          <w:p w14:paraId="6C285D77">
            <w:pPr>
              <w:pStyle w:val="24"/>
              <w:rPr>
                <w:rFonts w:eastAsia="宋体"/>
                <w:color w:val="auto"/>
              </w:rPr>
            </w:pPr>
            <w:r>
              <w:rPr>
                <w:rFonts w:eastAsia="宋体"/>
                <w:color w:val="auto"/>
              </w:rPr>
              <w:t>备注</w:t>
            </w:r>
          </w:p>
        </w:tc>
      </w:tr>
      <w:tr w14:paraId="7138FB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trPr>
        <w:tc>
          <w:tcPr>
            <w:tcW w:w="683" w:type="pct"/>
            <w:vMerge w:val="restart"/>
            <w:shd w:val="clear" w:color="auto" w:fill="auto"/>
            <w:vAlign w:val="center"/>
          </w:tcPr>
          <w:p w14:paraId="20B9A325">
            <w:pPr>
              <w:pStyle w:val="24"/>
              <w:rPr>
                <w:rFonts w:eastAsia="宋体"/>
                <w:color w:val="auto"/>
              </w:rPr>
            </w:pPr>
            <w:r>
              <w:rPr>
                <w:rFonts w:eastAsia="宋体"/>
                <w:color w:val="auto"/>
              </w:rPr>
              <w:t>PM</w:t>
            </w:r>
            <w:r>
              <w:rPr>
                <w:rFonts w:eastAsia="宋体"/>
                <w:color w:val="auto"/>
                <w:vertAlign w:val="subscript"/>
              </w:rPr>
              <w:t>2.5</w:t>
            </w:r>
          </w:p>
        </w:tc>
        <w:tc>
          <w:tcPr>
            <w:tcW w:w="992" w:type="pct"/>
            <w:shd w:val="clear" w:color="auto" w:fill="auto"/>
            <w:vAlign w:val="center"/>
          </w:tcPr>
          <w:p w14:paraId="0CB4856E">
            <w:pPr>
              <w:pStyle w:val="24"/>
              <w:rPr>
                <w:rFonts w:eastAsia="宋体"/>
                <w:color w:val="auto"/>
              </w:rPr>
            </w:pPr>
            <w:r>
              <w:rPr>
                <w:rFonts w:eastAsia="宋体"/>
                <w:color w:val="auto"/>
              </w:rPr>
              <w:t>本项目</w:t>
            </w:r>
          </w:p>
        </w:tc>
        <w:tc>
          <w:tcPr>
            <w:tcW w:w="1676" w:type="pct"/>
            <w:shd w:val="clear" w:color="auto" w:fill="auto"/>
            <w:vAlign w:val="center"/>
          </w:tcPr>
          <w:p w14:paraId="046F8F47">
            <w:pPr>
              <w:pStyle w:val="24"/>
              <w:rPr>
                <w:rFonts w:hint="default" w:eastAsia="宋体"/>
                <w:color w:val="auto"/>
                <w:lang w:val="en-US" w:eastAsia="zh-CN"/>
              </w:rPr>
            </w:pPr>
            <w:r>
              <w:rPr>
                <w:rFonts w:hint="eastAsia"/>
                <w:color w:val="auto"/>
                <w:lang w:val="en-US" w:eastAsia="zh-CN"/>
              </w:rPr>
              <w:t>2.1761E-04</w:t>
            </w:r>
          </w:p>
        </w:tc>
        <w:tc>
          <w:tcPr>
            <w:tcW w:w="1649" w:type="pct"/>
            <w:vMerge w:val="restart"/>
            <w:shd w:val="clear" w:color="auto" w:fill="auto"/>
            <w:vAlign w:val="center"/>
          </w:tcPr>
          <w:p w14:paraId="46D840C1">
            <w:pPr>
              <w:pStyle w:val="24"/>
              <w:rPr>
                <w:rFonts w:eastAsia="宋体"/>
                <w:color w:val="auto"/>
              </w:rPr>
            </w:pPr>
            <w:r>
              <w:rPr>
                <w:rFonts w:eastAsia="宋体"/>
                <w:color w:val="auto"/>
              </w:rPr>
              <w:t>预测值为所有网格点的年平均质量浓度贡献值的算术平均值</w:t>
            </w:r>
          </w:p>
        </w:tc>
      </w:tr>
      <w:tr w14:paraId="5C70BC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trPr>
        <w:tc>
          <w:tcPr>
            <w:tcW w:w="683" w:type="pct"/>
            <w:vMerge w:val="continue"/>
            <w:shd w:val="clear" w:color="auto" w:fill="auto"/>
            <w:vAlign w:val="center"/>
          </w:tcPr>
          <w:p w14:paraId="320845F0">
            <w:pPr>
              <w:pStyle w:val="24"/>
              <w:rPr>
                <w:rFonts w:eastAsia="宋体"/>
                <w:color w:val="auto"/>
              </w:rPr>
            </w:pPr>
          </w:p>
        </w:tc>
        <w:tc>
          <w:tcPr>
            <w:tcW w:w="992" w:type="pct"/>
            <w:shd w:val="clear" w:color="auto" w:fill="auto"/>
            <w:vAlign w:val="center"/>
          </w:tcPr>
          <w:p w14:paraId="026FCD5A">
            <w:pPr>
              <w:pStyle w:val="24"/>
              <w:rPr>
                <w:rFonts w:eastAsia="宋体"/>
                <w:color w:val="auto"/>
              </w:rPr>
            </w:pPr>
            <w:r>
              <w:rPr>
                <w:rFonts w:eastAsia="宋体"/>
                <w:color w:val="auto"/>
              </w:rPr>
              <w:t>区域削减源</w:t>
            </w:r>
          </w:p>
        </w:tc>
        <w:tc>
          <w:tcPr>
            <w:tcW w:w="1676" w:type="pct"/>
            <w:shd w:val="clear" w:color="auto" w:fill="auto"/>
            <w:vAlign w:val="center"/>
          </w:tcPr>
          <w:p w14:paraId="16259BE9">
            <w:pPr>
              <w:pStyle w:val="24"/>
              <w:rPr>
                <w:rFonts w:hint="default" w:eastAsia="宋体"/>
                <w:color w:val="auto"/>
                <w:lang w:val="en-US" w:eastAsia="zh-CN"/>
              </w:rPr>
            </w:pPr>
            <w:r>
              <w:rPr>
                <w:rFonts w:hint="eastAsia"/>
                <w:color w:val="auto"/>
                <w:lang w:val="en-US" w:eastAsia="zh-CN"/>
              </w:rPr>
              <w:t>3.0216E-04</w:t>
            </w:r>
          </w:p>
        </w:tc>
        <w:tc>
          <w:tcPr>
            <w:tcW w:w="1649" w:type="pct"/>
            <w:vMerge w:val="continue"/>
            <w:shd w:val="clear" w:color="auto" w:fill="auto"/>
            <w:vAlign w:val="center"/>
          </w:tcPr>
          <w:p w14:paraId="3BDB058D">
            <w:pPr>
              <w:pStyle w:val="24"/>
              <w:rPr>
                <w:rFonts w:eastAsia="宋体"/>
                <w:color w:val="auto"/>
              </w:rPr>
            </w:pPr>
          </w:p>
        </w:tc>
      </w:tr>
    </w:tbl>
    <w:p w14:paraId="4EBC6ADC">
      <w:pPr>
        <w:pStyle w:val="13"/>
        <w:ind w:left="0" w:leftChars="0" w:firstLine="480" w:firstLineChars="200"/>
        <w:rPr>
          <w:rFonts w:hint="eastAsia" w:ascii="Times New Roman" w:hAnsi="Times New Roman" w:eastAsia="宋体" w:cs="Times New Roman"/>
          <w:i w:val="0"/>
          <w:iCs w:val="0"/>
          <w:color w:val="auto"/>
          <w:kern w:val="2"/>
          <w:sz w:val="24"/>
          <w:szCs w:val="30"/>
          <w:lang w:val="en-US" w:eastAsia="zh-CN" w:bidi="ar-SA"/>
        </w:rPr>
      </w:pPr>
      <w:r>
        <w:rPr>
          <w:rFonts w:hint="eastAsia" w:ascii="Times New Roman" w:hAnsi="Times New Roman" w:eastAsia="宋体" w:cs="Times New Roman"/>
          <w:i w:val="0"/>
          <w:iCs w:val="0"/>
          <w:color w:val="auto"/>
          <w:kern w:val="2"/>
          <w:sz w:val="24"/>
          <w:szCs w:val="30"/>
          <w:lang w:val="en-US" w:eastAsia="zh-CN" w:bidi="ar-SA"/>
        </w:rPr>
        <w:t>根据计算，实施区域削减方案后预测范围内的年平均质量浓度变化率k=[2.1761E-04- 3.0216E-04 ]/ 3.0216E-04 ×100%=-27.98%，浓度变化率k&lt;-20%，区域环境质量整体改善。</w:t>
      </w:r>
    </w:p>
    <w:p w14:paraId="784C52E4">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eastAsia" w:ascii="Times New Roman" w:hAnsi="Times New Roman" w:eastAsia="宋体" w:cs="Times New Roman"/>
          <w:b/>
          <w:color w:val="auto"/>
          <w:lang w:eastAsia="zh-CN"/>
        </w:rPr>
      </w:pP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lang w:val="en-US" w:eastAsia="zh-CN"/>
        </w:rPr>
        <w:t>3</w:t>
      </w:r>
      <w:r>
        <w:rPr>
          <w:rFonts w:hint="eastAsia" w:ascii="Times New Roman" w:hAnsi="Times New Roman" w:eastAsia="宋体" w:cs="Times New Roman"/>
          <w:b/>
          <w:color w:val="auto"/>
          <w:lang w:eastAsia="zh-CN"/>
        </w:rPr>
        <w:t>）大气环境影响预测结果图</w:t>
      </w:r>
    </w:p>
    <w:p w14:paraId="24D71800">
      <w:pPr>
        <w:pStyle w:val="30"/>
        <w:keepNext w:val="0"/>
        <w:keepLines w:val="0"/>
        <w:widowControl w:val="0"/>
        <w:numPr>
          <w:ilvl w:val="0"/>
          <w:numId w:val="0"/>
        </w:numPr>
        <w:suppressLineNumbers w:val="0"/>
        <w:bidi w:val="0"/>
        <w:adjustRightInd w:val="0"/>
        <w:spacing w:before="0" w:beforeAutospacing="0" w:after="0" w:afterAutospacing="0" w:line="360" w:lineRule="auto"/>
        <w:ind w:right="0" w:rightChars="0" w:firstLine="482" w:firstLineChars="200"/>
        <w:jc w:val="both"/>
        <w:rPr>
          <w:rFonts w:hint="eastAsia"/>
          <w:b/>
          <w:color w:val="auto"/>
        </w:rPr>
      </w:pPr>
      <w:r>
        <w:rPr>
          <w:rFonts w:hint="eastAsia"/>
          <w:b/>
          <w:color w:val="auto"/>
        </w:rPr>
        <w:t>①本项目新增污染源贡献值浓度分布图</w:t>
      </w:r>
    </w:p>
    <w:p w14:paraId="4D0FD8C5">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914265" cy="2520315"/>
            <wp:effectExtent l="0" t="0" r="635" b="13335"/>
            <wp:docPr id="5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7"/>
                    <pic:cNvPicPr>
                      <a:picLocks noChangeAspect="1"/>
                    </pic:cNvPicPr>
                  </pic:nvPicPr>
                  <pic:blipFill>
                    <a:blip r:embed="rId60"/>
                    <a:stretch>
                      <a:fillRect/>
                    </a:stretch>
                  </pic:blipFill>
                  <pic:spPr>
                    <a:xfrm>
                      <a:off x="0" y="0"/>
                      <a:ext cx="4914265" cy="2520315"/>
                    </a:xfrm>
                    <a:prstGeom prst="rect">
                      <a:avLst/>
                    </a:prstGeom>
                    <a:noFill/>
                    <a:ln>
                      <a:noFill/>
                    </a:ln>
                  </pic:spPr>
                </pic:pic>
              </a:graphicData>
            </a:graphic>
          </wp:inline>
        </w:drawing>
      </w:r>
    </w:p>
    <w:p w14:paraId="3EA03DE2">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10</w:t>
      </w:r>
      <w:r>
        <w:rPr>
          <w:rFonts w:hint="eastAsia" w:ascii="Times New Roman" w:hAnsi="Times New Roman" w:eastAsia="黑体" w:cs="Times New Roman"/>
          <w:color w:val="auto"/>
          <w:sz w:val="21"/>
          <w:szCs w:val="21"/>
          <w:highlight w:val="none"/>
          <w:lang w:val="en-US" w:eastAsia="zh-CN"/>
        </w:rPr>
        <w:t>日平均浓度分布图</w:t>
      </w:r>
    </w:p>
    <w:p w14:paraId="1B944092">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870450" cy="2520315"/>
            <wp:effectExtent l="0" t="0" r="6350" b="13335"/>
            <wp:docPr id="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9"/>
                    <pic:cNvPicPr>
                      <a:picLocks noChangeAspect="1"/>
                    </pic:cNvPicPr>
                  </pic:nvPicPr>
                  <pic:blipFill>
                    <a:blip r:embed="rId61"/>
                    <a:stretch>
                      <a:fillRect/>
                    </a:stretch>
                  </pic:blipFill>
                  <pic:spPr>
                    <a:xfrm>
                      <a:off x="0" y="0"/>
                      <a:ext cx="4870450" cy="2520315"/>
                    </a:xfrm>
                    <a:prstGeom prst="rect">
                      <a:avLst/>
                    </a:prstGeom>
                    <a:noFill/>
                    <a:ln>
                      <a:noFill/>
                    </a:ln>
                  </pic:spPr>
                </pic:pic>
              </a:graphicData>
            </a:graphic>
          </wp:inline>
        </w:drawing>
      </w:r>
    </w:p>
    <w:p w14:paraId="27AC27EA">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10</w:t>
      </w:r>
      <w:r>
        <w:rPr>
          <w:rFonts w:hint="eastAsia" w:ascii="Times New Roman" w:hAnsi="Times New Roman" w:eastAsia="黑体" w:cs="Times New Roman"/>
          <w:color w:val="auto"/>
          <w:sz w:val="21"/>
          <w:szCs w:val="21"/>
          <w:highlight w:val="none"/>
          <w:lang w:val="en-US" w:eastAsia="zh-CN"/>
        </w:rPr>
        <w:t>年平均浓度分布图</w:t>
      </w:r>
    </w:p>
    <w:p w14:paraId="5CCAD1C7">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874895" cy="2520315"/>
            <wp:effectExtent l="0" t="0" r="1905" b="13335"/>
            <wp:docPr id="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0"/>
                    <pic:cNvPicPr>
                      <a:picLocks noChangeAspect="1"/>
                    </pic:cNvPicPr>
                  </pic:nvPicPr>
                  <pic:blipFill>
                    <a:blip r:embed="rId62"/>
                    <a:stretch>
                      <a:fillRect/>
                    </a:stretch>
                  </pic:blipFill>
                  <pic:spPr>
                    <a:xfrm>
                      <a:off x="0" y="0"/>
                      <a:ext cx="4874895" cy="2520315"/>
                    </a:xfrm>
                    <a:prstGeom prst="rect">
                      <a:avLst/>
                    </a:prstGeom>
                    <a:noFill/>
                    <a:ln>
                      <a:noFill/>
                    </a:ln>
                  </pic:spPr>
                </pic:pic>
              </a:graphicData>
            </a:graphic>
          </wp:inline>
        </w:drawing>
      </w:r>
    </w:p>
    <w:p w14:paraId="3388E07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2.5</w:t>
      </w:r>
      <w:r>
        <w:rPr>
          <w:rFonts w:hint="eastAsia" w:ascii="Times New Roman" w:hAnsi="Times New Roman" w:eastAsia="黑体" w:cs="Times New Roman"/>
          <w:color w:val="auto"/>
          <w:sz w:val="21"/>
          <w:szCs w:val="21"/>
          <w:highlight w:val="none"/>
          <w:lang w:val="en-US" w:eastAsia="zh-CN"/>
        </w:rPr>
        <w:t>日平均浓度分布图</w:t>
      </w:r>
    </w:p>
    <w:p w14:paraId="494B2279">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5041265" cy="2520315"/>
            <wp:effectExtent l="0" t="0" r="6985" b="13335"/>
            <wp:docPr id="5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1"/>
                    <pic:cNvPicPr>
                      <a:picLocks noChangeAspect="1"/>
                    </pic:cNvPicPr>
                  </pic:nvPicPr>
                  <pic:blipFill>
                    <a:blip r:embed="rId63"/>
                    <a:stretch>
                      <a:fillRect/>
                    </a:stretch>
                  </pic:blipFill>
                  <pic:spPr>
                    <a:xfrm>
                      <a:off x="0" y="0"/>
                      <a:ext cx="5041265" cy="2520315"/>
                    </a:xfrm>
                    <a:prstGeom prst="rect">
                      <a:avLst/>
                    </a:prstGeom>
                    <a:noFill/>
                    <a:ln>
                      <a:noFill/>
                    </a:ln>
                  </pic:spPr>
                </pic:pic>
              </a:graphicData>
            </a:graphic>
          </wp:inline>
        </w:drawing>
      </w:r>
    </w:p>
    <w:p w14:paraId="61606766">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本项目PM</w:t>
      </w:r>
      <w:r>
        <w:rPr>
          <w:rFonts w:hint="eastAsia" w:ascii="Times New Roman" w:hAnsi="Times New Roman" w:eastAsia="黑体" w:cs="Times New Roman"/>
          <w:color w:val="auto"/>
          <w:sz w:val="21"/>
          <w:szCs w:val="21"/>
          <w:highlight w:val="none"/>
          <w:vertAlign w:val="subscript"/>
          <w:lang w:val="en-US" w:eastAsia="zh-CN"/>
        </w:rPr>
        <w:t>2.5</w:t>
      </w:r>
      <w:r>
        <w:rPr>
          <w:rFonts w:hint="eastAsia" w:ascii="Times New Roman" w:hAnsi="Times New Roman" w:eastAsia="黑体" w:cs="Times New Roman"/>
          <w:color w:val="auto"/>
          <w:sz w:val="21"/>
          <w:szCs w:val="21"/>
          <w:highlight w:val="none"/>
          <w:lang w:val="en-US" w:eastAsia="zh-CN"/>
        </w:rPr>
        <w:t>年平均浓度分布图</w:t>
      </w:r>
    </w:p>
    <w:p w14:paraId="3A9F2215">
      <w:pPr>
        <w:pStyle w:val="30"/>
        <w:keepNext w:val="0"/>
        <w:keepLines w:val="0"/>
        <w:widowControl w:val="0"/>
        <w:numPr>
          <w:ilvl w:val="0"/>
          <w:numId w:val="0"/>
        </w:numPr>
        <w:suppressLineNumbers w:val="0"/>
        <w:bidi w:val="0"/>
        <w:adjustRightInd w:val="0"/>
        <w:spacing w:before="0" w:beforeAutospacing="0" w:after="0" w:afterAutospacing="0" w:line="360" w:lineRule="auto"/>
        <w:ind w:right="0" w:rightChars="0"/>
        <w:jc w:val="center"/>
        <w:rPr>
          <w:rFonts w:hint="eastAsia"/>
          <w:b/>
          <w:color w:val="auto"/>
          <w:lang w:val="en-US" w:eastAsia="zh-CN"/>
        </w:rPr>
      </w:pPr>
      <w:r>
        <w:rPr>
          <w:color w:val="auto"/>
        </w:rPr>
        <w:drawing>
          <wp:inline distT="0" distB="0" distL="114300" distR="114300">
            <wp:extent cx="4805045" cy="2520315"/>
            <wp:effectExtent l="0" t="0" r="14605" b="13335"/>
            <wp:docPr id="5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2"/>
                    <pic:cNvPicPr>
                      <a:picLocks noChangeAspect="1"/>
                    </pic:cNvPicPr>
                  </pic:nvPicPr>
                  <pic:blipFill>
                    <a:blip r:embed="rId64"/>
                    <a:stretch>
                      <a:fillRect/>
                    </a:stretch>
                  </pic:blipFill>
                  <pic:spPr>
                    <a:xfrm>
                      <a:off x="0" y="0"/>
                      <a:ext cx="4805045" cy="2520315"/>
                    </a:xfrm>
                    <a:prstGeom prst="rect">
                      <a:avLst/>
                    </a:prstGeom>
                    <a:noFill/>
                    <a:ln>
                      <a:noFill/>
                    </a:ln>
                  </pic:spPr>
                </pic:pic>
              </a:graphicData>
            </a:graphic>
          </wp:inline>
        </w:drawing>
      </w:r>
    </w:p>
    <w:p w14:paraId="36197291">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本项目TSP日平均浓度分布图</w:t>
      </w:r>
    </w:p>
    <w:p w14:paraId="7958064F">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919345" cy="2520315"/>
            <wp:effectExtent l="0" t="0" r="14605" b="13335"/>
            <wp:docPr id="5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3"/>
                    <pic:cNvPicPr>
                      <a:picLocks noChangeAspect="1"/>
                    </pic:cNvPicPr>
                  </pic:nvPicPr>
                  <pic:blipFill>
                    <a:blip r:embed="rId65"/>
                    <a:stretch>
                      <a:fillRect/>
                    </a:stretch>
                  </pic:blipFill>
                  <pic:spPr>
                    <a:xfrm>
                      <a:off x="0" y="0"/>
                      <a:ext cx="4919345" cy="2520315"/>
                    </a:xfrm>
                    <a:prstGeom prst="rect">
                      <a:avLst/>
                    </a:prstGeom>
                    <a:noFill/>
                    <a:ln>
                      <a:noFill/>
                    </a:ln>
                  </pic:spPr>
                </pic:pic>
              </a:graphicData>
            </a:graphic>
          </wp:inline>
        </w:drawing>
      </w:r>
    </w:p>
    <w:p w14:paraId="44FAF3B6">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本项目TSP年平均浓度分布图</w:t>
      </w:r>
    </w:p>
    <w:p w14:paraId="55B0DC37">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709160" cy="2520315"/>
            <wp:effectExtent l="0" t="0" r="15240" b="13335"/>
            <wp:docPr id="6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4"/>
                    <pic:cNvPicPr>
                      <a:picLocks noChangeAspect="1"/>
                    </pic:cNvPicPr>
                  </pic:nvPicPr>
                  <pic:blipFill>
                    <a:blip r:embed="rId66"/>
                    <a:stretch>
                      <a:fillRect/>
                    </a:stretch>
                  </pic:blipFill>
                  <pic:spPr>
                    <a:xfrm>
                      <a:off x="0" y="0"/>
                      <a:ext cx="4709160" cy="2520315"/>
                    </a:xfrm>
                    <a:prstGeom prst="rect">
                      <a:avLst/>
                    </a:prstGeom>
                    <a:noFill/>
                    <a:ln>
                      <a:noFill/>
                    </a:ln>
                  </pic:spPr>
                </pic:pic>
              </a:graphicData>
            </a:graphic>
          </wp:inline>
        </w:drawing>
      </w:r>
    </w:p>
    <w:p w14:paraId="54008EB8">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本项目氟化物小时平均浓度分布图</w:t>
      </w:r>
    </w:p>
    <w:p w14:paraId="30711482">
      <w:pPr>
        <w:numPr>
          <w:ilvl w:val="0"/>
          <w:numId w:val="0"/>
        </w:numPr>
        <w:tabs>
          <w:tab w:val="left" w:pos="0"/>
        </w:tabs>
        <w:jc w:val="center"/>
        <w:rPr>
          <w:rFonts w:hint="eastAsia" w:ascii="Times New Roman" w:hAnsi="Times New Roman" w:eastAsia="黑体" w:cs="Times New Roman"/>
          <w:color w:val="auto"/>
          <w:sz w:val="21"/>
          <w:szCs w:val="21"/>
          <w:highlight w:val="none"/>
          <w:lang w:val="en-US" w:eastAsia="zh-CN"/>
        </w:rPr>
      </w:pPr>
      <w:r>
        <w:rPr>
          <w:color w:val="auto"/>
        </w:rPr>
        <w:drawing>
          <wp:inline distT="0" distB="0" distL="114300" distR="114300">
            <wp:extent cx="4813300" cy="2520315"/>
            <wp:effectExtent l="0" t="0" r="6350" b="13335"/>
            <wp:docPr id="6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5"/>
                    <pic:cNvPicPr>
                      <a:picLocks noChangeAspect="1"/>
                    </pic:cNvPicPr>
                  </pic:nvPicPr>
                  <pic:blipFill>
                    <a:blip r:embed="rId67"/>
                    <a:stretch>
                      <a:fillRect/>
                    </a:stretch>
                  </pic:blipFill>
                  <pic:spPr>
                    <a:xfrm>
                      <a:off x="0" y="0"/>
                      <a:ext cx="4813300" cy="2520315"/>
                    </a:xfrm>
                    <a:prstGeom prst="rect">
                      <a:avLst/>
                    </a:prstGeom>
                    <a:noFill/>
                    <a:ln>
                      <a:noFill/>
                    </a:ln>
                  </pic:spPr>
                </pic:pic>
              </a:graphicData>
            </a:graphic>
          </wp:inline>
        </w:drawing>
      </w:r>
    </w:p>
    <w:p w14:paraId="637FF09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本项目氟化物</w:t>
      </w:r>
      <w:r>
        <w:rPr>
          <w:rFonts w:hint="eastAsia" w:eastAsia="黑体" w:cs="Times New Roman"/>
          <w:b w:val="0"/>
          <w:color w:val="auto"/>
          <w:kern w:val="2"/>
          <w:sz w:val="21"/>
          <w:szCs w:val="21"/>
          <w:highlight w:val="none"/>
          <w:lang w:val="en-US" w:eastAsia="zh-CN" w:bidi="ar-SA"/>
        </w:rPr>
        <w:t>日</w:t>
      </w:r>
      <w:r>
        <w:rPr>
          <w:rFonts w:hint="eastAsia" w:ascii="Times New Roman" w:hAnsi="Times New Roman" w:eastAsia="黑体" w:cs="Times New Roman"/>
          <w:color w:val="auto"/>
          <w:sz w:val="21"/>
          <w:szCs w:val="21"/>
          <w:highlight w:val="none"/>
          <w:lang w:val="en-US" w:eastAsia="zh-CN"/>
        </w:rPr>
        <w:t>平均浓度分布图</w:t>
      </w:r>
    </w:p>
    <w:p w14:paraId="64E49047">
      <w:pPr>
        <w:pStyle w:val="13"/>
        <w:ind w:left="0" w:leftChars="0" w:firstLine="0" w:firstLineChars="0"/>
        <w:jc w:val="center"/>
        <w:rPr>
          <w:rFonts w:hint="eastAsia" w:ascii="Times New Roman" w:hAnsi="Times New Roman" w:eastAsia="黑体" w:cs="Times New Roman"/>
          <w:color w:val="auto"/>
          <w:sz w:val="21"/>
          <w:szCs w:val="21"/>
          <w:highlight w:val="none"/>
          <w:lang w:val="en-US" w:eastAsia="zh-CN"/>
        </w:rPr>
      </w:pPr>
      <w:r>
        <w:rPr>
          <w:color w:val="auto"/>
        </w:rPr>
        <w:drawing>
          <wp:inline distT="0" distB="0" distL="114300" distR="114300">
            <wp:extent cx="5060950" cy="2520315"/>
            <wp:effectExtent l="0" t="0" r="6350" b="13335"/>
            <wp:docPr id="6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6"/>
                    <pic:cNvPicPr>
                      <a:picLocks noChangeAspect="1"/>
                    </pic:cNvPicPr>
                  </pic:nvPicPr>
                  <pic:blipFill>
                    <a:blip r:embed="rId68"/>
                    <a:stretch>
                      <a:fillRect/>
                    </a:stretch>
                  </pic:blipFill>
                  <pic:spPr>
                    <a:xfrm>
                      <a:off x="0" y="0"/>
                      <a:ext cx="5060950" cy="2520315"/>
                    </a:xfrm>
                    <a:prstGeom prst="rect">
                      <a:avLst/>
                    </a:prstGeom>
                    <a:noFill/>
                    <a:ln>
                      <a:noFill/>
                    </a:ln>
                  </pic:spPr>
                </pic:pic>
              </a:graphicData>
            </a:graphic>
          </wp:inline>
        </w:drawing>
      </w:r>
    </w:p>
    <w:p w14:paraId="0D74C733">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本项目氯化氢小时平均浓度分布图</w:t>
      </w:r>
    </w:p>
    <w:p w14:paraId="693A0F5D">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490720" cy="2520315"/>
            <wp:effectExtent l="0" t="0" r="5080" b="13335"/>
            <wp:docPr id="6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8"/>
                    <pic:cNvPicPr>
                      <a:picLocks noChangeAspect="1"/>
                    </pic:cNvPicPr>
                  </pic:nvPicPr>
                  <pic:blipFill>
                    <a:blip r:embed="rId69"/>
                    <a:stretch>
                      <a:fillRect/>
                    </a:stretch>
                  </pic:blipFill>
                  <pic:spPr>
                    <a:xfrm>
                      <a:off x="0" y="0"/>
                      <a:ext cx="4490720" cy="2520315"/>
                    </a:xfrm>
                    <a:prstGeom prst="rect">
                      <a:avLst/>
                    </a:prstGeom>
                    <a:noFill/>
                    <a:ln>
                      <a:noFill/>
                    </a:ln>
                  </pic:spPr>
                </pic:pic>
              </a:graphicData>
            </a:graphic>
          </wp:inline>
        </w:drawing>
      </w:r>
    </w:p>
    <w:p w14:paraId="34703458">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本项目氯化氢日平均浓度分布图</w:t>
      </w:r>
    </w:p>
    <w:p w14:paraId="63A36B5E">
      <w:pPr>
        <w:ind w:left="0" w:leftChars="0" w:firstLine="0" w:firstLineChars="0"/>
        <w:jc w:val="center"/>
        <w:rPr>
          <w:rFonts w:hint="eastAsia"/>
          <w:color w:val="auto"/>
          <w:lang w:val="en-US" w:eastAsia="zh-CN"/>
        </w:rPr>
      </w:pPr>
      <w:r>
        <w:rPr>
          <w:color w:val="auto"/>
        </w:rPr>
        <w:drawing>
          <wp:inline distT="0" distB="0" distL="114300" distR="114300">
            <wp:extent cx="4771390" cy="2520315"/>
            <wp:effectExtent l="0" t="0" r="10160" b="13335"/>
            <wp:docPr id="6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9"/>
                    <pic:cNvPicPr>
                      <a:picLocks noChangeAspect="1"/>
                    </pic:cNvPicPr>
                  </pic:nvPicPr>
                  <pic:blipFill>
                    <a:blip r:embed="rId70"/>
                    <a:stretch>
                      <a:fillRect/>
                    </a:stretch>
                  </pic:blipFill>
                  <pic:spPr>
                    <a:xfrm>
                      <a:off x="0" y="0"/>
                      <a:ext cx="4771390" cy="2520315"/>
                    </a:xfrm>
                    <a:prstGeom prst="rect">
                      <a:avLst/>
                    </a:prstGeom>
                    <a:noFill/>
                    <a:ln>
                      <a:noFill/>
                    </a:ln>
                  </pic:spPr>
                </pic:pic>
              </a:graphicData>
            </a:graphic>
          </wp:inline>
        </w:drawing>
      </w:r>
    </w:p>
    <w:p w14:paraId="26FEED56">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本项目硫酸小时平均浓度分布图</w:t>
      </w:r>
    </w:p>
    <w:p w14:paraId="3F5D16CA">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993005" cy="2520315"/>
            <wp:effectExtent l="0" t="0" r="17145" b="13335"/>
            <wp:docPr id="6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0"/>
                    <pic:cNvPicPr>
                      <a:picLocks noChangeAspect="1"/>
                    </pic:cNvPicPr>
                  </pic:nvPicPr>
                  <pic:blipFill>
                    <a:blip r:embed="rId71"/>
                    <a:stretch>
                      <a:fillRect/>
                    </a:stretch>
                  </pic:blipFill>
                  <pic:spPr>
                    <a:xfrm>
                      <a:off x="0" y="0"/>
                      <a:ext cx="4993005" cy="2520315"/>
                    </a:xfrm>
                    <a:prstGeom prst="rect">
                      <a:avLst/>
                    </a:prstGeom>
                    <a:noFill/>
                    <a:ln>
                      <a:noFill/>
                    </a:ln>
                  </pic:spPr>
                </pic:pic>
              </a:graphicData>
            </a:graphic>
          </wp:inline>
        </w:drawing>
      </w:r>
    </w:p>
    <w:p w14:paraId="0DAB9FFF">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本项目硫酸</w:t>
      </w:r>
      <w:r>
        <w:rPr>
          <w:rFonts w:hint="eastAsia" w:eastAsia="黑体" w:cs="Times New Roman"/>
          <w:b w:val="0"/>
          <w:color w:val="auto"/>
          <w:kern w:val="2"/>
          <w:sz w:val="21"/>
          <w:szCs w:val="21"/>
          <w:highlight w:val="none"/>
          <w:lang w:val="en-US" w:eastAsia="zh-CN" w:bidi="ar-SA"/>
        </w:rPr>
        <w:t>日</w:t>
      </w:r>
      <w:r>
        <w:rPr>
          <w:rFonts w:hint="eastAsia" w:ascii="Times New Roman" w:hAnsi="Times New Roman" w:eastAsia="黑体" w:cs="Times New Roman"/>
          <w:color w:val="auto"/>
          <w:sz w:val="21"/>
          <w:szCs w:val="21"/>
          <w:highlight w:val="none"/>
          <w:lang w:val="en-US" w:eastAsia="zh-CN"/>
        </w:rPr>
        <w:t>平均浓度分布图</w:t>
      </w:r>
    </w:p>
    <w:p w14:paraId="14D22A10">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873625" cy="2520315"/>
            <wp:effectExtent l="0" t="0" r="3175" b="13335"/>
            <wp:docPr id="6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1"/>
                    <pic:cNvPicPr>
                      <a:picLocks noChangeAspect="1"/>
                    </pic:cNvPicPr>
                  </pic:nvPicPr>
                  <pic:blipFill>
                    <a:blip r:embed="rId72"/>
                    <a:stretch>
                      <a:fillRect/>
                    </a:stretch>
                  </pic:blipFill>
                  <pic:spPr>
                    <a:xfrm>
                      <a:off x="0" y="0"/>
                      <a:ext cx="4873625" cy="2520315"/>
                    </a:xfrm>
                    <a:prstGeom prst="rect">
                      <a:avLst/>
                    </a:prstGeom>
                    <a:noFill/>
                    <a:ln>
                      <a:noFill/>
                    </a:ln>
                  </pic:spPr>
                </pic:pic>
              </a:graphicData>
            </a:graphic>
          </wp:inline>
        </w:drawing>
      </w:r>
    </w:p>
    <w:p w14:paraId="6B107BAA">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本项目TVOC8小时平均浓度分布图</w:t>
      </w:r>
    </w:p>
    <w:p w14:paraId="5F33F4E1">
      <w:pPr>
        <w:widowControl w:val="0"/>
        <w:numPr>
          <w:ilvl w:val="0"/>
          <w:numId w:val="0"/>
        </w:numPr>
        <w:tabs>
          <w:tab w:val="left" w:pos="0"/>
        </w:tabs>
        <w:adjustRightInd w:val="0"/>
        <w:spacing w:line="360" w:lineRule="auto"/>
        <w:ind w:firstLine="482" w:firstLineChars="200"/>
        <w:jc w:val="both"/>
        <w:rPr>
          <w:rFonts w:hint="eastAsia" w:ascii="Times New Roman" w:hAnsi="Times New Roman" w:eastAsia="黑体" w:cs="Times New Roman"/>
          <w:b/>
          <w:bCs/>
          <w:color w:val="auto"/>
          <w:kern w:val="2"/>
          <w:sz w:val="21"/>
          <w:szCs w:val="21"/>
          <w:highlight w:val="none"/>
          <w:lang w:val="en-US" w:eastAsia="zh-CN" w:bidi="ar-SA"/>
        </w:rPr>
      </w:pPr>
      <w:r>
        <w:rPr>
          <w:rFonts w:hint="eastAsia"/>
          <w:b/>
          <w:bCs/>
          <w:color w:val="auto"/>
          <w:sz w:val="24"/>
        </w:rPr>
        <w:t>②叠加现状环境质量浓度及其他污染源影响后浓度分布图</w:t>
      </w:r>
    </w:p>
    <w:p w14:paraId="0C63A71D">
      <w:pPr>
        <w:widowControl w:val="0"/>
        <w:numPr>
          <w:ilvl w:val="0"/>
          <w:numId w:val="0"/>
        </w:numPr>
        <w:tabs>
          <w:tab w:val="left" w:pos="0"/>
        </w:tabs>
        <w:adjustRightInd w:val="0"/>
        <w:spacing w:line="360" w:lineRule="auto"/>
        <w:jc w:val="center"/>
        <w:rPr>
          <w:rFonts w:hint="eastAsia" w:ascii="Times New Roman" w:hAnsi="Times New Roman" w:eastAsia="黑体" w:cs="Times New Roman"/>
          <w:b/>
          <w:bCs/>
          <w:color w:val="auto"/>
          <w:kern w:val="2"/>
          <w:sz w:val="21"/>
          <w:szCs w:val="21"/>
          <w:highlight w:val="none"/>
          <w:lang w:val="en-US" w:eastAsia="zh-CN" w:bidi="ar-SA"/>
        </w:rPr>
      </w:pPr>
      <w:r>
        <w:rPr>
          <w:color w:val="auto"/>
        </w:rPr>
        <w:drawing>
          <wp:inline distT="0" distB="0" distL="114300" distR="114300">
            <wp:extent cx="4561205" cy="2520315"/>
            <wp:effectExtent l="0" t="0" r="10795" b="13335"/>
            <wp:docPr id="6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2"/>
                    <pic:cNvPicPr>
                      <a:picLocks noChangeAspect="1"/>
                    </pic:cNvPicPr>
                  </pic:nvPicPr>
                  <pic:blipFill>
                    <a:blip r:embed="rId73"/>
                    <a:stretch>
                      <a:fillRect/>
                    </a:stretch>
                  </pic:blipFill>
                  <pic:spPr>
                    <a:xfrm>
                      <a:off x="0" y="0"/>
                      <a:ext cx="4561205" cy="2520315"/>
                    </a:xfrm>
                    <a:prstGeom prst="rect">
                      <a:avLst/>
                    </a:prstGeom>
                    <a:noFill/>
                    <a:ln>
                      <a:noFill/>
                    </a:ln>
                  </pic:spPr>
                </pic:pic>
              </a:graphicData>
            </a:graphic>
          </wp:inline>
        </w:drawing>
      </w:r>
    </w:p>
    <w:p w14:paraId="31FD4117">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叠加后PM</w:t>
      </w:r>
      <w:r>
        <w:rPr>
          <w:rFonts w:hint="eastAsia" w:ascii="Times New Roman" w:hAnsi="Times New Roman" w:eastAsia="黑体" w:cs="Times New Roman"/>
          <w:color w:val="auto"/>
          <w:sz w:val="21"/>
          <w:szCs w:val="21"/>
          <w:highlight w:val="none"/>
          <w:vertAlign w:val="subscript"/>
          <w:lang w:val="en-US" w:eastAsia="zh-CN"/>
        </w:rPr>
        <w:t>10</w:t>
      </w:r>
      <w:r>
        <w:rPr>
          <w:rFonts w:hint="eastAsia" w:ascii="Times New Roman" w:hAnsi="Times New Roman" w:eastAsia="黑体" w:cs="Times New Roman"/>
          <w:color w:val="auto"/>
          <w:sz w:val="21"/>
          <w:szCs w:val="21"/>
          <w:highlight w:val="none"/>
          <w:lang w:val="en-US" w:eastAsia="zh-CN"/>
        </w:rPr>
        <w:t>日平均浓度分布图</w:t>
      </w:r>
    </w:p>
    <w:p w14:paraId="028EBF42">
      <w:pPr>
        <w:widowControl w:val="0"/>
        <w:numPr>
          <w:ilvl w:val="0"/>
          <w:numId w:val="0"/>
        </w:numPr>
        <w:tabs>
          <w:tab w:val="left" w:pos="0"/>
        </w:tabs>
        <w:adjustRightInd w:val="0"/>
        <w:spacing w:line="360" w:lineRule="auto"/>
        <w:jc w:val="center"/>
        <w:rPr>
          <w:rFonts w:hint="eastAsia" w:ascii="Times New Roman" w:hAnsi="Times New Roman" w:eastAsia="黑体" w:cs="Times New Roman"/>
          <w:b w:val="0"/>
          <w:color w:val="auto"/>
          <w:kern w:val="2"/>
          <w:sz w:val="21"/>
          <w:szCs w:val="21"/>
          <w:highlight w:val="none"/>
          <w:lang w:val="en-US" w:eastAsia="zh-CN" w:bidi="ar-SA"/>
        </w:rPr>
      </w:pPr>
      <w:r>
        <w:rPr>
          <w:color w:val="auto"/>
        </w:rPr>
        <w:drawing>
          <wp:inline distT="0" distB="0" distL="114300" distR="114300">
            <wp:extent cx="4637405" cy="2520315"/>
            <wp:effectExtent l="0" t="0" r="10795" b="13335"/>
            <wp:docPr id="6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3"/>
                    <pic:cNvPicPr>
                      <a:picLocks noChangeAspect="1"/>
                    </pic:cNvPicPr>
                  </pic:nvPicPr>
                  <pic:blipFill>
                    <a:blip r:embed="rId74"/>
                    <a:stretch>
                      <a:fillRect/>
                    </a:stretch>
                  </pic:blipFill>
                  <pic:spPr>
                    <a:xfrm>
                      <a:off x="0" y="0"/>
                      <a:ext cx="4637405" cy="2520315"/>
                    </a:xfrm>
                    <a:prstGeom prst="rect">
                      <a:avLst/>
                    </a:prstGeom>
                    <a:noFill/>
                    <a:ln>
                      <a:noFill/>
                    </a:ln>
                  </pic:spPr>
                </pic:pic>
              </a:graphicData>
            </a:graphic>
          </wp:inline>
        </w:drawing>
      </w:r>
    </w:p>
    <w:p w14:paraId="79A69CE2">
      <w:pPr>
        <w:numPr>
          <w:ilvl w:val="0"/>
          <w:numId w:val="26"/>
        </w:numPr>
        <w:tabs>
          <w:tab w:val="left" w:pos="0"/>
        </w:tabs>
        <w:ind w:left="0" w:leftChars="0" w:firstLine="420" w:firstLineChars="0"/>
        <w:jc w:val="center"/>
        <w:rPr>
          <w:rFonts w:hint="eastAsia"/>
          <w:b/>
          <w:color w:val="auto"/>
          <w:lang w:val="en-US" w:eastAsia="zh-CN"/>
        </w:rPr>
      </w:pPr>
      <w:r>
        <w:rPr>
          <w:rFonts w:hint="eastAsia" w:ascii="Times New Roman" w:hAnsi="Times New Roman" w:eastAsia="黑体" w:cs="Times New Roman"/>
          <w:color w:val="auto"/>
          <w:sz w:val="21"/>
          <w:szCs w:val="21"/>
          <w:highlight w:val="none"/>
          <w:lang w:val="en-US" w:eastAsia="zh-CN"/>
        </w:rPr>
        <w:t>叠加后PM</w:t>
      </w:r>
      <w:r>
        <w:rPr>
          <w:rFonts w:hint="eastAsia" w:ascii="Times New Roman" w:hAnsi="Times New Roman" w:eastAsia="黑体" w:cs="Times New Roman"/>
          <w:color w:val="auto"/>
          <w:sz w:val="21"/>
          <w:szCs w:val="21"/>
          <w:highlight w:val="none"/>
          <w:vertAlign w:val="subscript"/>
          <w:lang w:val="en-US" w:eastAsia="zh-CN"/>
        </w:rPr>
        <w:t>10</w:t>
      </w:r>
      <w:r>
        <w:rPr>
          <w:rFonts w:hint="eastAsia" w:ascii="Times New Roman" w:hAnsi="Times New Roman" w:eastAsia="黑体" w:cs="Times New Roman"/>
          <w:color w:val="auto"/>
          <w:sz w:val="21"/>
          <w:szCs w:val="21"/>
          <w:highlight w:val="none"/>
          <w:lang w:val="en-US" w:eastAsia="zh-CN"/>
        </w:rPr>
        <w:t>年平均浓度分布图</w:t>
      </w:r>
    </w:p>
    <w:p w14:paraId="134635CF">
      <w:pPr>
        <w:pStyle w:val="6"/>
        <w:ind w:firstLine="482"/>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10</w:t>
      </w:r>
      <w:r>
        <w:rPr>
          <w:rFonts w:hint="eastAsia" w:ascii="Times New Roman" w:hAnsi="Times New Roman" w:eastAsia="宋体" w:cs="Times New Roman"/>
          <w:b/>
          <w:bCs/>
          <w:color w:val="auto"/>
          <w:highlight w:val="none"/>
          <w:lang w:val="en-US" w:eastAsia="zh-CN"/>
        </w:rPr>
        <w:t>、项目</w:t>
      </w:r>
      <w:r>
        <w:rPr>
          <w:rFonts w:hint="eastAsia" w:cs="Times New Roman"/>
          <w:b/>
          <w:bCs/>
          <w:color w:val="auto"/>
          <w:highlight w:val="none"/>
          <w:lang w:val="en-US" w:eastAsia="zh-CN"/>
        </w:rPr>
        <w:t>非</w:t>
      </w:r>
      <w:r>
        <w:rPr>
          <w:rFonts w:hint="eastAsia" w:ascii="Times New Roman" w:hAnsi="Times New Roman" w:eastAsia="宋体" w:cs="Times New Roman"/>
          <w:b/>
          <w:bCs/>
          <w:color w:val="auto"/>
          <w:highlight w:val="none"/>
          <w:lang w:val="en-US" w:eastAsia="zh-CN"/>
        </w:rPr>
        <w:t>正常工况下环境影响预测结果</w:t>
      </w:r>
    </w:p>
    <w:p w14:paraId="6287B1EA">
      <w:pPr>
        <w:widowControl w:val="0"/>
        <w:numPr>
          <w:ilvl w:val="0"/>
          <w:numId w:val="0"/>
        </w:numPr>
        <w:tabs>
          <w:tab w:val="left" w:pos="0"/>
        </w:tabs>
        <w:adjustRightInd w:val="0"/>
        <w:spacing w:line="360" w:lineRule="auto"/>
        <w:ind w:firstLine="480" w:firstLineChars="200"/>
        <w:jc w:val="both"/>
        <w:rPr>
          <w:rFonts w:hint="eastAsia" w:cs="Times New Roman"/>
          <w:color w:val="auto"/>
          <w:lang w:eastAsia="zh-CN"/>
        </w:rPr>
      </w:pPr>
      <w:r>
        <w:rPr>
          <w:rFonts w:cs="Times New Roman"/>
          <w:color w:val="auto"/>
        </w:rPr>
        <w:t>本项目非正常</w:t>
      </w:r>
      <w:r>
        <w:rPr>
          <w:rFonts w:hint="eastAsia" w:cs="Times New Roman"/>
          <w:color w:val="auto"/>
          <w:lang w:val="en-US" w:eastAsia="zh-CN"/>
        </w:rPr>
        <w:t>工况</w:t>
      </w:r>
      <w:r>
        <w:rPr>
          <w:rFonts w:cs="Times New Roman"/>
          <w:color w:val="auto"/>
        </w:rPr>
        <w:t>下主要污染物1h最大浓度贡献值及占标率见下表</w:t>
      </w:r>
      <w:r>
        <w:rPr>
          <w:rFonts w:hint="eastAsia" w:cs="Times New Roman"/>
          <w:color w:val="auto"/>
          <w:lang w:eastAsia="zh-CN"/>
        </w:rPr>
        <w:t>。</w:t>
      </w:r>
    </w:p>
    <w:p w14:paraId="1689D5E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本项目氟化物贡献质量浓度预测结果表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2283F0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3A2AE069">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7273D308">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3045BCB1">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23096019">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0B1266D5">
            <w:pPr>
              <w:pStyle w:val="24"/>
              <w:rPr>
                <w:rFonts w:hint="eastAsia" w:eastAsia="宋体"/>
                <w:b/>
                <w:bCs/>
                <w:color w:val="auto"/>
                <w:sz w:val="21"/>
                <w:szCs w:val="21"/>
              </w:rPr>
            </w:pPr>
            <w:r>
              <w:rPr>
                <w:rFonts w:hint="eastAsia" w:eastAsia="宋体"/>
                <w:b/>
                <w:bCs/>
                <w:color w:val="auto"/>
                <w:sz w:val="21"/>
                <w:szCs w:val="21"/>
              </w:rPr>
              <w:t>出现时间</w:t>
            </w:r>
          </w:p>
          <w:p w14:paraId="1E31B9CA">
            <w:pPr>
              <w:pStyle w:val="24"/>
              <w:rPr>
                <w:rFonts w:eastAsia="宋体"/>
                <w:b/>
                <w:bCs/>
                <w:color w:val="auto"/>
                <w:sz w:val="21"/>
                <w:szCs w:val="21"/>
              </w:rPr>
            </w:pPr>
            <w:r>
              <w:rPr>
                <w:rFonts w:hint="eastAsia" w:cs="Times New Roman"/>
                <w:b/>
                <w:bCs/>
                <w:color w:val="auto"/>
                <w:sz w:val="21"/>
                <w:szCs w:val="21"/>
              </w:rPr>
              <w:t>（位置）</w:t>
            </w:r>
          </w:p>
        </w:tc>
        <w:tc>
          <w:tcPr>
            <w:tcW w:w="715" w:type="pct"/>
            <w:shd w:val="clear" w:color="auto" w:fill="auto"/>
            <w:vAlign w:val="center"/>
          </w:tcPr>
          <w:p w14:paraId="1B2BC62A">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09E7710A">
            <w:pPr>
              <w:pStyle w:val="24"/>
              <w:rPr>
                <w:rFonts w:eastAsia="宋体"/>
                <w:b/>
                <w:bCs/>
                <w:color w:val="auto"/>
                <w:sz w:val="21"/>
                <w:szCs w:val="21"/>
              </w:rPr>
            </w:pPr>
            <w:r>
              <w:rPr>
                <w:rFonts w:hint="eastAsia" w:eastAsia="宋体"/>
                <w:b/>
                <w:bCs/>
                <w:color w:val="auto"/>
                <w:sz w:val="21"/>
                <w:szCs w:val="21"/>
              </w:rPr>
              <w:t>达标情况</w:t>
            </w:r>
          </w:p>
        </w:tc>
      </w:tr>
      <w:tr w14:paraId="1492A9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683165E6">
            <w:pPr>
              <w:pStyle w:val="24"/>
              <w:rPr>
                <w:rFonts w:hint="default" w:eastAsia="宋体"/>
                <w:color w:val="auto"/>
                <w:sz w:val="21"/>
                <w:szCs w:val="21"/>
                <w:lang w:val="en-US" w:eastAsia="zh-CN"/>
              </w:rPr>
            </w:pPr>
            <w:r>
              <w:rPr>
                <w:rFonts w:hint="eastAsia"/>
                <w:color w:val="auto"/>
                <w:sz w:val="21"/>
                <w:szCs w:val="21"/>
                <w:lang w:val="en-US" w:eastAsia="zh-CN"/>
              </w:rPr>
              <w:t>氟化物</w:t>
            </w:r>
          </w:p>
        </w:tc>
        <w:tc>
          <w:tcPr>
            <w:tcW w:w="762" w:type="pct"/>
            <w:shd w:val="clear" w:color="auto" w:fill="auto"/>
            <w:vAlign w:val="center"/>
          </w:tcPr>
          <w:p w14:paraId="5BD25A82">
            <w:pPr>
              <w:pStyle w:val="24"/>
              <w:ind w:left="0" w:leftChars="0"/>
              <w:rPr>
                <w:rFonts w:hint="default" w:ascii="Times New Roman" w:hAnsi="Times New Roman" w:eastAsia="宋体" w:cs="Courier New"/>
                <w:color w:val="auto"/>
                <w:kern w:val="2"/>
                <w:sz w:val="21"/>
                <w:szCs w:val="21"/>
                <w:lang w:val="en-US" w:eastAsia="zh-CN" w:bidi="ar-SA"/>
              </w:rPr>
            </w:pPr>
            <w:r>
              <w:rPr>
                <w:rFonts w:hint="eastAsia" w:cs="Courier New"/>
                <w:color w:val="auto"/>
                <w:kern w:val="2"/>
                <w:sz w:val="21"/>
                <w:szCs w:val="21"/>
                <w:lang w:val="en-US" w:eastAsia="zh-CN" w:bidi="ar-SA"/>
              </w:rPr>
              <w:t>东北侧散户</w:t>
            </w:r>
          </w:p>
        </w:tc>
        <w:tc>
          <w:tcPr>
            <w:tcW w:w="763" w:type="pct"/>
            <w:shd w:val="clear" w:color="auto" w:fill="auto"/>
            <w:vAlign w:val="center"/>
          </w:tcPr>
          <w:p w14:paraId="6C8E33D4">
            <w:pPr>
              <w:pStyle w:val="24"/>
              <w:ind w:left="0" w:leftChars="0"/>
              <w:rPr>
                <w:rFonts w:hint="default" w:eastAsia="宋体"/>
                <w:color w:val="auto"/>
                <w:sz w:val="21"/>
                <w:szCs w:val="21"/>
                <w:lang w:val="en-US" w:eastAsia="zh-CN"/>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68D17487">
            <w:pPr>
              <w:pStyle w:val="24"/>
              <w:ind w:left="0" w:leftChars="0"/>
              <w:rPr>
                <w:rFonts w:hint="eastAsia" w:ascii="Times New Roman" w:hAnsi="Times New Roman" w:eastAsia="宋体"/>
                <w:color w:val="auto"/>
                <w:sz w:val="21"/>
                <w:szCs w:val="21"/>
                <w:lang w:val="en-US" w:eastAsia="zh-CN"/>
              </w:rPr>
            </w:pPr>
          </w:p>
        </w:tc>
        <w:tc>
          <w:tcPr>
            <w:tcW w:w="841" w:type="pct"/>
            <w:shd w:val="clear" w:color="auto" w:fill="auto"/>
            <w:vAlign w:val="center"/>
          </w:tcPr>
          <w:p w14:paraId="1B711E3D">
            <w:pPr>
              <w:pStyle w:val="24"/>
              <w:ind w:left="0" w:leftChars="0"/>
              <w:rPr>
                <w:rFonts w:hint="eastAsia" w:ascii="Times New Roman" w:hAnsi="Times New Roman" w:eastAsia="宋体"/>
                <w:color w:val="auto"/>
                <w:sz w:val="21"/>
                <w:szCs w:val="21"/>
                <w:lang w:val="en-US" w:eastAsia="zh-CN"/>
              </w:rPr>
            </w:pPr>
          </w:p>
        </w:tc>
        <w:tc>
          <w:tcPr>
            <w:tcW w:w="715" w:type="pct"/>
            <w:shd w:val="clear" w:color="auto" w:fill="auto"/>
            <w:vAlign w:val="center"/>
          </w:tcPr>
          <w:p w14:paraId="6E142132">
            <w:pPr>
              <w:pStyle w:val="24"/>
              <w:ind w:left="0" w:leftChars="0"/>
              <w:rPr>
                <w:rFonts w:hint="eastAsia" w:ascii="Times New Roman" w:hAnsi="Times New Roman" w:eastAsia="宋体"/>
                <w:color w:val="auto"/>
                <w:sz w:val="21"/>
                <w:szCs w:val="21"/>
                <w:lang w:val="en-US" w:eastAsia="zh-CN"/>
              </w:rPr>
            </w:pPr>
          </w:p>
        </w:tc>
        <w:tc>
          <w:tcPr>
            <w:tcW w:w="618" w:type="pct"/>
            <w:shd w:val="clear" w:color="auto" w:fill="auto"/>
            <w:vAlign w:val="center"/>
          </w:tcPr>
          <w:p w14:paraId="1638530C">
            <w:pPr>
              <w:pStyle w:val="24"/>
              <w:ind w:left="0" w:leftChars="0"/>
              <w:rPr>
                <w:rFonts w:hint="eastAsia" w:ascii="Times New Roman" w:hAnsi="Times New Roman" w:eastAsia="宋体"/>
                <w:color w:val="auto"/>
                <w:sz w:val="21"/>
                <w:szCs w:val="21"/>
                <w:lang w:val="en-US" w:eastAsia="zh-CN"/>
              </w:rPr>
            </w:pPr>
          </w:p>
        </w:tc>
      </w:tr>
      <w:tr w14:paraId="5FDCA8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054FC5F8">
            <w:pPr>
              <w:pStyle w:val="24"/>
              <w:rPr>
                <w:rFonts w:hint="eastAsia"/>
                <w:color w:val="auto"/>
                <w:sz w:val="21"/>
                <w:szCs w:val="21"/>
                <w:lang w:val="en-US" w:eastAsia="zh-CN"/>
              </w:rPr>
            </w:pPr>
          </w:p>
        </w:tc>
        <w:tc>
          <w:tcPr>
            <w:tcW w:w="762" w:type="pct"/>
            <w:shd w:val="clear" w:color="auto" w:fill="auto"/>
            <w:vAlign w:val="center"/>
          </w:tcPr>
          <w:p w14:paraId="5733343F">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金堂村</w:t>
            </w:r>
          </w:p>
        </w:tc>
        <w:tc>
          <w:tcPr>
            <w:tcW w:w="763" w:type="pct"/>
            <w:shd w:val="clear" w:color="auto" w:fill="auto"/>
            <w:vAlign w:val="center"/>
          </w:tcPr>
          <w:p w14:paraId="57FB7DAF">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619887B4">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5.55E-04</w:t>
            </w:r>
          </w:p>
        </w:tc>
        <w:tc>
          <w:tcPr>
            <w:tcW w:w="841" w:type="pct"/>
            <w:shd w:val="clear" w:color="auto" w:fill="auto"/>
            <w:vAlign w:val="center"/>
          </w:tcPr>
          <w:p w14:paraId="0DB7A001">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25121702</w:t>
            </w:r>
          </w:p>
        </w:tc>
        <w:tc>
          <w:tcPr>
            <w:tcW w:w="715" w:type="pct"/>
            <w:shd w:val="clear" w:color="auto" w:fill="auto"/>
            <w:vAlign w:val="center"/>
          </w:tcPr>
          <w:p w14:paraId="086A06E8">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2.78</w:t>
            </w:r>
          </w:p>
        </w:tc>
        <w:tc>
          <w:tcPr>
            <w:tcW w:w="618" w:type="pct"/>
            <w:shd w:val="clear" w:color="auto" w:fill="auto"/>
            <w:vAlign w:val="center"/>
          </w:tcPr>
          <w:p w14:paraId="72439D21">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达标</w:t>
            </w:r>
          </w:p>
        </w:tc>
      </w:tr>
      <w:tr w14:paraId="07B0AE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08BC179">
            <w:pPr>
              <w:pStyle w:val="24"/>
              <w:rPr>
                <w:rFonts w:eastAsia="宋体"/>
                <w:color w:val="auto"/>
                <w:sz w:val="21"/>
                <w:szCs w:val="21"/>
              </w:rPr>
            </w:pPr>
          </w:p>
        </w:tc>
        <w:tc>
          <w:tcPr>
            <w:tcW w:w="762" w:type="pct"/>
            <w:shd w:val="clear" w:color="auto" w:fill="auto"/>
            <w:vAlign w:val="center"/>
          </w:tcPr>
          <w:p w14:paraId="0D33A509">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亮垭村</w:t>
            </w:r>
          </w:p>
        </w:tc>
        <w:tc>
          <w:tcPr>
            <w:tcW w:w="763" w:type="pct"/>
            <w:shd w:val="clear" w:color="auto" w:fill="auto"/>
            <w:vAlign w:val="center"/>
          </w:tcPr>
          <w:p w14:paraId="0848684A">
            <w:pPr>
              <w:pStyle w:val="24"/>
              <w:ind w:left="0" w:leftChars="0"/>
              <w:rPr>
                <w:rFonts w:hint="default" w:eastAsia="宋体"/>
                <w:color w:val="auto"/>
                <w:sz w:val="21"/>
                <w:szCs w:val="21"/>
                <w:lang w:val="en-US" w:eastAsia="zh-CN"/>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34F5A20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4.71E-05</w:t>
            </w:r>
          </w:p>
        </w:tc>
        <w:tc>
          <w:tcPr>
            <w:tcW w:w="841" w:type="pct"/>
            <w:shd w:val="clear" w:color="auto" w:fill="auto"/>
            <w:vAlign w:val="center"/>
          </w:tcPr>
          <w:p w14:paraId="66C7621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25010319</w:t>
            </w:r>
          </w:p>
        </w:tc>
        <w:tc>
          <w:tcPr>
            <w:tcW w:w="715" w:type="pct"/>
            <w:shd w:val="clear" w:color="auto" w:fill="auto"/>
            <w:vAlign w:val="center"/>
          </w:tcPr>
          <w:p w14:paraId="1392B66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0.24</w:t>
            </w:r>
          </w:p>
        </w:tc>
        <w:tc>
          <w:tcPr>
            <w:tcW w:w="618" w:type="pct"/>
            <w:shd w:val="clear" w:color="auto" w:fill="auto"/>
            <w:vAlign w:val="center"/>
          </w:tcPr>
          <w:p w14:paraId="056D440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6B680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7ABCBD4">
            <w:pPr>
              <w:pStyle w:val="24"/>
              <w:rPr>
                <w:rFonts w:eastAsia="宋体"/>
                <w:color w:val="auto"/>
                <w:sz w:val="21"/>
                <w:szCs w:val="21"/>
              </w:rPr>
            </w:pPr>
          </w:p>
        </w:tc>
        <w:tc>
          <w:tcPr>
            <w:tcW w:w="762" w:type="pct"/>
            <w:shd w:val="clear" w:color="auto" w:fill="auto"/>
            <w:vAlign w:val="center"/>
          </w:tcPr>
          <w:p w14:paraId="413CC3ED">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秋锦山村</w:t>
            </w:r>
          </w:p>
        </w:tc>
        <w:tc>
          <w:tcPr>
            <w:tcW w:w="763" w:type="pct"/>
            <w:shd w:val="clear" w:color="auto" w:fill="auto"/>
            <w:vAlign w:val="center"/>
          </w:tcPr>
          <w:p w14:paraId="626960A9">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757FD2E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5.16E-05</w:t>
            </w:r>
          </w:p>
        </w:tc>
        <w:tc>
          <w:tcPr>
            <w:tcW w:w="841" w:type="pct"/>
            <w:shd w:val="clear" w:color="auto" w:fill="auto"/>
            <w:vAlign w:val="center"/>
          </w:tcPr>
          <w:p w14:paraId="1B79631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25051707</w:t>
            </w:r>
          </w:p>
        </w:tc>
        <w:tc>
          <w:tcPr>
            <w:tcW w:w="715" w:type="pct"/>
            <w:shd w:val="clear" w:color="auto" w:fill="auto"/>
            <w:vAlign w:val="center"/>
          </w:tcPr>
          <w:p w14:paraId="4A9CBB0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0.26</w:t>
            </w:r>
          </w:p>
        </w:tc>
        <w:tc>
          <w:tcPr>
            <w:tcW w:w="618" w:type="pct"/>
            <w:shd w:val="clear" w:color="auto" w:fill="auto"/>
            <w:vAlign w:val="center"/>
          </w:tcPr>
          <w:p w14:paraId="5FDFB0A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7D69C2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50B2481">
            <w:pPr>
              <w:pStyle w:val="24"/>
              <w:rPr>
                <w:rFonts w:eastAsia="宋体"/>
                <w:color w:val="auto"/>
                <w:sz w:val="21"/>
                <w:szCs w:val="21"/>
              </w:rPr>
            </w:pPr>
          </w:p>
        </w:tc>
        <w:tc>
          <w:tcPr>
            <w:tcW w:w="762" w:type="pct"/>
            <w:shd w:val="clear" w:color="auto" w:fill="auto"/>
            <w:vAlign w:val="center"/>
          </w:tcPr>
          <w:p w14:paraId="039CD680">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春在镇</w:t>
            </w:r>
          </w:p>
        </w:tc>
        <w:tc>
          <w:tcPr>
            <w:tcW w:w="763" w:type="pct"/>
            <w:shd w:val="clear" w:color="auto" w:fill="auto"/>
            <w:vAlign w:val="center"/>
          </w:tcPr>
          <w:p w14:paraId="079CBA06">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245D70B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3.17E-04</w:t>
            </w:r>
          </w:p>
        </w:tc>
        <w:tc>
          <w:tcPr>
            <w:tcW w:w="841" w:type="pct"/>
            <w:shd w:val="clear" w:color="auto" w:fill="auto"/>
            <w:vAlign w:val="center"/>
          </w:tcPr>
          <w:p w14:paraId="41F620C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25090720</w:t>
            </w:r>
          </w:p>
        </w:tc>
        <w:tc>
          <w:tcPr>
            <w:tcW w:w="715" w:type="pct"/>
            <w:shd w:val="clear" w:color="auto" w:fill="auto"/>
            <w:vAlign w:val="center"/>
          </w:tcPr>
          <w:p w14:paraId="7E04A2A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1.59</w:t>
            </w:r>
          </w:p>
        </w:tc>
        <w:tc>
          <w:tcPr>
            <w:tcW w:w="618" w:type="pct"/>
            <w:shd w:val="clear" w:color="auto" w:fill="auto"/>
            <w:vAlign w:val="center"/>
          </w:tcPr>
          <w:p w14:paraId="7D397C6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75DF5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43C73CD">
            <w:pPr>
              <w:pStyle w:val="24"/>
              <w:rPr>
                <w:rFonts w:eastAsia="宋体"/>
                <w:color w:val="auto"/>
                <w:sz w:val="21"/>
                <w:szCs w:val="21"/>
              </w:rPr>
            </w:pPr>
          </w:p>
        </w:tc>
        <w:tc>
          <w:tcPr>
            <w:tcW w:w="762" w:type="pct"/>
            <w:shd w:val="clear" w:color="auto" w:fill="auto"/>
            <w:vAlign w:val="center"/>
          </w:tcPr>
          <w:p w14:paraId="424F20EE">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通江县城</w:t>
            </w:r>
          </w:p>
        </w:tc>
        <w:tc>
          <w:tcPr>
            <w:tcW w:w="763" w:type="pct"/>
            <w:shd w:val="clear" w:color="auto" w:fill="auto"/>
            <w:vAlign w:val="center"/>
          </w:tcPr>
          <w:p w14:paraId="21B22467">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696F7EB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3.14E-04</w:t>
            </w:r>
          </w:p>
        </w:tc>
        <w:tc>
          <w:tcPr>
            <w:tcW w:w="841" w:type="pct"/>
            <w:shd w:val="clear" w:color="auto" w:fill="auto"/>
            <w:vAlign w:val="center"/>
          </w:tcPr>
          <w:p w14:paraId="6404527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25011821</w:t>
            </w:r>
          </w:p>
        </w:tc>
        <w:tc>
          <w:tcPr>
            <w:tcW w:w="715" w:type="pct"/>
            <w:shd w:val="clear" w:color="auto" w:fill="auto"/>
            <w:vAlign w:val="center"/>
          </w:tcPr>
          <w:p w14:paraId="1DB8020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1.57</w:t>
            </w:r>
          </w:p>
        </w:tc>
        <w:tc>
          <w:tcPr>
            <w:tcW w:w="618" w:type="pct"/>
            <w:shd w:val="clear" w:color="auto" w:fill="auto"/>
            <w:vAlign w:val="center"/>
          </w:tcPr>
          <w:p w14:paraId="477AF09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22EB7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7598959E">
            <w:pPr>
              <w:pStyle w:val="24"/>
              <w:rPr>
                <w:rFonts w:eastAsia="宋体"/>
                <w:color w:val="auto"/>
                <w:sz w:val="21"/>
                <w:szCs w:val="21"/>
              </w:rPr>
            </w:pPr>
          </w:p>
        </w:tc>
        <w:tc>
          <w:tcPr>
            <w:tcW w:w="762" w:type="pct"/>
            <w:shd w:val="clear" w:color="auto" w:fill="auto"/>
            <w:vAlign w:val="center"/>
          </w:tcPr>
          <w:p w14:paraId="62410EAC">
            <w:pPr>
              <w:pStyle w:val="24"/>
              <w:ind w:left="0" w:leftChars="0"/>
              <w:rPr>
                <w:rFonts w:hint="default" w:ascii="Times New Roman" w:hAnsi="Times New Roman" w:eastAsia="宋体" w:cs="Courier New"/>
                <w:color w:val="auto"/>
                <w:kern w:val="2"/>
                <w:sz w:val="21"/>
                <w:szCs w:val="21"/>
                <w:lang w:val="en-US" w:eastAsia="zh-CN" w:bidi="ar-SA"/>
              </w:rPr>
            </w:pPr>
            <w:r>
              <w:rPr>
                <w:rFonts w:hint="eastAsia" w:eastAsia="宋体"/>
                <w:color w:val="auto"/>
                <w:sz w:val="21"/>
                <w:szCs w:val="21"/>
              </w:rPr>
              <w:t>区域最大落地浓度</w:t>
            </w:r>
          </w:p>
        </w:tc>
        <w:tc>
          <w:tcPr>
            <w:tcW w:w="763" w:type="pct"/>
            <w:shd w:val="clear" w:color="auto" w:fill="auto"/>
            <w:vAlign w:val="center"/>
          </w:tcPr>
          <w:p w14:paraId="23BC94B2">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4307EAB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5.65E-03</w:t>
            </w:r>
          </w:p>
        </w:tc>
        <w:tc>
          <w:tcPr>
            <w:tcW w:w="841" w:type="pct"/>
            <w:shd w:val="clear" w:color="auto" w:fill="auto"/>
            <w:vAlign w:val="center"/>
          </w:tcPr>
          <w:p w14:paraId="074AE63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25070107</w:t>
            </w:r>
          </w:p>
          <w:p w14:paraId="0D70D9C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（95,47）</w:t>
            </w:r>
          </w:p>
        </w:tc>
        <w:tc>
          <w:tcPr>
            <w:tcW w:w="715" w:type="pct"/>
            <w:shd w:val="clear" w:color="auto" w:fill="auto"/>
            <w:vAlign w:val="center"/>
          </w:tcPr>
          <w:p w14:paraId="2989B94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28.23</w:t>
            </w:r>
          </w:p>
        </w:tc>
        <w:tc>
          <w:tcPr>
            <w:tcW w:w="618" w:type="pct"/>
            <w:shd w:val="clear" w:color="auto" w:fill="auto"/>
            <w:vAlign w:val="center"/>
          </w:tcPr>
          <w:p w14:paraId="281F3C3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BD13E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EDB9064">
            <w:pPr>
              <w:pStyle w:val="24"/>
              <w:rPr>
                <w:rFonts w:eastAsia="宋体"/>
                <w:color w:val="auto"/>
                <w:sz w:val="21"/>
                <w:szCs w:val="21"/>
              </w:rPr>
            </w:pPr>
          </w:p>
        </w:tc>
        <w:tc>
          <w:tcPr>
            <w:tcW w:w="762" w:type="pct"/>
            <w:shd w:val="clear" w:color="auto" w:fill="auto"/>
            <w:vAlign w:val="center"/>
          </w:tcPr>
          <w:p w14:paraId="6A7D488D">
            <w:pPr>
              <w:pStyle w:val="24"/>
              <w:ind w:left="0" w:leftChars="0"/>
              <w:rPr>
                <w:rFonts w:hint="default" w:ascii="Times New Roman" w:hAnsi="Times New Roman" w:eastAsia="宋体" w:cs="Courier New"/>
                <w:color w:val="auto"/>
                <w:kern w:val="2"/>
                <w:sz w:val="21"/>
                <w:szCs w:val="21"/>
                <w:lang w:val="en-US" w:eastAsia="zh-CN" w:bidi="ar-SA"/>
              </w:rPr>
            </w:pPr>
            <w:r>
              <w:rPr>
                <w:rFonts w:hint="eastAsia" w:eastAsia="宋体"/>
                <w:color w:val="auto"/>
                <w:sz w:val="21"/>
                <w:szCs w:val="21"/>
                <w:lang w:val="en-US" w:eastAsia="zh-CN"/>
              </w:rPr>
              <w:t>厂界浓度</w:t>
            </w:r>
          </w:p>
        </w:tc>
        <w:tc>
          <w:tcPr>
            <w:tcW w:w="763" w:type="pct"/>
            <w:shd w:val="clear" w:color="auto" w:fill="auto"/>
            <w:vAlign w:val="center"/>
          </w:tcPr>
          <w:p w14:paraId="21FD877D">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1677C53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4.08E-03</w:t>
            </w:r>
          </w:p>
        </w:tc>
        <w:tc>
          <w:tcPr>
            <w:tcW w:w="841" w:type="pct"/>
            <w:shd w:val="clear" w:color="auto" w:fill="auto"/>
            <w:vAlign w:val="center"/>
          </w:tcPr>
          <w:p w14:paraId="35F9408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25012212</w:t>
            </w:r>
          </w:p>
        </w:tc>
        <w:tc>
          <w:tcPr>
            <w:tcW w:w="715" w:type="pct"/>
            <w:shd w:val="clear" w:color="auto" w:fill="auto"/>
            <w:vAlign w:val="center"/>
          </w:tcPr>
          <w:p w14:paraId="585E121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20.39</w:t>
            </w:r>
          </w:p>
        </w:tc>
        <w:tc>
          <w:tcPr>
            <w:tcW w:w="618" w:type="pct"/>
            <w:shd w:val="clear" w:color="auto" w:fill="auto"/>
            <w:vAlign w:val="center"/>
          </w:tcPr>
          <w:p w14:paraId="08C3515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7813E808">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本项目氯化物贡献质量浓度预测结果表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3384EC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6F28720F">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30E1A679">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2535162D">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49D7F7BD">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4B2E4898">
            <w:pPr>
              <w:pStyle w:val="24"/>
              <w:rPr>
                <w:rFonts w:hint="eastAsia" w:eastAsia="宋体"/>
                <w:b/>
                <w:bCs/>
                <w:color w:val="auto"/>
                <w:sz w:val="21"/>
                <w:szCs w:val="21"/>
              </w:rPr>
            </w:pPr>
            <w:r>
              <w:rPr>
                <w:rFonts w:hint="eastAsia" w:eastAsia="宋体"/>
                <w:b/>
                <w:bCs/>
                <w:color w:val="auto"/>
                <w:sz w:val="21"/>
                <w:szCs w:val="21"/>
              </w:rPr>
              <w:t>出现时间</w:t>
            </w:r>
          </w:p>
          <w:p w14:paraId="780DB5CD">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0D794311">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01CCE129">
            <w:pPr>
              <w:pStyle w:val="24"/>
              <w:rPr>
                <w:rFonts w:eastAsia="宋体"/>
                <w:b/>
                <w:bCs/>
                <w:color w:val="auto"/>
                <w:sz w:val="21"/>
                <w:szCs w:val="21"/>
              </w:rPr>
            </w:pPr>
            <w:r>
              <w:rPr>
                <w:rFonts w:hint="eastAsia" w:eastAsia="宋体"/>
                <w:b/>
                <w:bCs/>
                <w:color w:val="auto"/>
                <w:sz w:val="21"/>
                <w:szCs w:val="21"/>
              </w:rPr>
              <w:t>达标情况</w:t>
            </w:r>
          </w:p>
        </w:tc>
      </w:tr>
      <w:tr w14:paraId="38C260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322F2109">
            <w:pPr>
              <w:pStyle w:val="24"/>
              <w:rPr>
                <w:rFonts w:hint="default" w:eastAsia="宋体"/>
                <w:color w:val="auto"/>
                <w:sz w:val="21"/>
                <w:szCs w:val="21"/>
                <w:lang w:val="en-US" w:eastAsia="zh-CN"/>
              </w:rPr>
            </w:pPr>
            <w:r>
              <w:rPr>
                <w:rFonts w:hint="eastAsia"/>
                <w:color w:val="auto"/>
                <w:lang w:val="en-US" w:eastAsia="zh-CN"/>
              </w:rPr>
              <w:t>氯化物</w:t>
            </w:r>
          </w:p>
        </w:tc>
        <w:tc>
          <w:tcPr>
            <w:tcW w:w="762" w:type="pct"/>
            <w:shd w:val="clear" w:color="auto" w:fill="auto"/>
            <w:vAlign w:val="center"/>
          </w:tcPr>
          <w:p w14:paraId="50CD3001">
            <w:pPr>
              <w:pStyle w:val="24"/>
              <w:ind w:left="0" w:leftChars="0"/>
              <w:rPr>
                <w:rFonts w:hint="default" w:ascii="Times New Roman" w:hAnsi="Times New Roman" w:eastAsia="宋体" w:cs="Courier New"/>
                <w:color w:val="auto"/>
                <w:kern w:val="2"/>
                <w:sz w:val="21"/>
                <w:szCs w:val="21"/>
                <w:lang w:val="en-US" w:eastAsia="zh-CN" w:bidi="ar-SA"/>
              </w:rPr>
            </w:pPr>
            <w:r>
              <w:rPr>
                <w:rFonts w:hint="eastAsia" w:cs="Courier New"/>
                <w:color w:val="auto"/>
                <w:kern w:val="2"/>
                <w:sz w:val="21"/>
                <w:szCs w:val="21"/>
                <w:lang w:val="en-US" w:eastAsia="zh-CN" w:bidi="ar-SA"/>
              </w:rPr>
              <w:t>东北侧散户</w:t>
            </w:r>
          </w:p>
        </w:tc>
        <w:tc>
          <w:tcPr>
            <w:tcW w:w="763" w:type="pct"/>
            <w:shd w:val="clear" w:color="auto" w:fill="auto"/>
            <w:vAlign w:val="center"/>
          </w:tcPr>
          <w:p w14:paraId="57ED8BE5">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3B6B6B93">
            <w:pPr>
              <w:pStyle w:val="24"/>
              <w:ind w:left="0" w:leftChars="0"/>
              <w:rPr>
                <w:rFonts w:hint="eastAsia" w:ascii="Times New Roman" w:hAnsi="Times New Roman" w:eastAsia="宋体"/>
                <w:color w:val="auto"/>
                <w:sz w:val="21"/>
                <w:szCs w:val="21"/>
                <w:lang w:val="en-US" w:eastAsia="zh-CN"/>
              </w:rPr>
            </w:pPr>
          </w:p>
        </w:tc>
        <w:tc>
          <w:tcPr>
            <w:tcW w:w="841" w:type="pct"/>
            <w:shd w:val="clear" w:color="auto" w:fill="auto"/>
            <w:vAlign w:val="center"/>
          </w:tcPr>
          <w:p w14:paraId="1DD7B645">
            <w:pPr>
              <w:pStyle w:val="24"/>
              <w:ind w:left="0" w:leftChars="0"/>
              <w:rPr>
                <w:rFonts w:hint="eastAsia" w:ascii="Times New Roman" w:hAnsi="Times New Roman" w:eastAsia="宋体"/>
                <w:color w:val="auto"/>
                <w:sz w:val="21"/>
                <w:szCs w:val="21"/>
                <w:lang w:val="en-US" w:eastAsia="zh-CN"/>
              </w:rPr>
            </w:pPr>
          </w:p>
        </w:tc>
        <w:tc>
          <w:tcPr>
            <w:tcW w:w="715" w:type="pct"/>
            <w:shd w:val="clear" w:color="auto" w:fill="auto"/>
            <w:vAlign w:val="center"/>
          </w:tcPr>
          <w:p w14:paraId="77B4B95E">
            <w:pPr>
              <w:pStyle w:val="24"/>
              <w:ind w:left="0" w:leftChars="0"/>
              <w:rPr>
                <w:rFonts w:hint="eastAsia" w:ascii="Times New Roman" w:hAnsi="Times New Roman" w:eastAsia="宋体"/>
                <w:color w:val="auto"/>
                <w:sz w:val="21"/>
                <w:szCs w:val="21"/>
                <w:lang w:val="en-US" w:eastAsia="zh-CN"/>
              </w:rPr>
            </w:pPr>
          </w:p>
        </w:tc>
        <w:tc>
          <w:tcPr>
            <w:tcW w:w="618" w:type="pct"/>
            <w:shd w:val="clear" w:color="auto" w:fill="auto"/>
            <w:vAlign w:val="center"/>
          </w:tcPr>
          <w:p w14:paraId="7F4674F6">
            <w:pPr>
              <w:pStyle w:val="24"/>
              <w:ind w:left="0" w:leftChars="0"/>
              <w:rPr>
                <w:rFonts w:hint="eastAsia" w:ascii="Times New Roman" w:hAnsi="Times New Roman" w:eastAsia="宋体"/>
                <w:color w:val="auto"/>
                <w:sz w:val="21"/>
                <w:szCs w:val="21"/>
                <w:lang w:val="en-US" w:eastAsia="zh-CN"/>
              </w:rPr>
            </w:pPr>
          </w:p>
        </w:tc>
      </w:tr>
      <w:tr w14:paraId="51FE3E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40DFBACD">
            <w:pPr>
              <w:pStyle w:val="24"/>
              <w:rPr>
                <w:rFonts w:hint="eastAsia"/>
                <w:color w:val="auto"/>
                <w:lang w:val="en-US" w:eastAsia="zh-CN"/>
              </w:rPr>
            </w:pPr>
          </w:p>
        </w:tc>
        <w:tc>
          <w:tcPr>
            <w:tcW w:w="762" w:type="pct"/>
            <w:shd w:val="clear" w:color="auto" w:fill="auto"/>
            <w:vAlign w:val="center"/>
          </w:tcPr>
          <w:p w14:paraId="3928C656">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金堂村</w:t>
            </w:r>
          </w:p>
        </w:tc>
        <w:tc>
          <w:tcPr>
            <w:tcW w:w="763" w:type="pct"/>
            <w:shd w:val="clear" w:color="auto" w:fill="auto"/>
            <w:vAlign w:val="center"/>
          </w:tcPr>
          <w:p w14:paraId="7222095B">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17A5916C">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3.40E-07</w:t>
            </w:r>
          </w:p>
        </w:tc>
        <w:tc>
          <w:tcPr>
            <w:tcW w:w="841" w:type="pct"/>
            <w:shd w:val="clear" w:color="auto" w:fill="auto"/>
            <w:vAlign w:val="center"/>
          </w:tcPr>
          <w:p w14:paraId="07B59A8D">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25121702</w:t>
            </w:r>
          </w:p>
        </w:tc>
        <w:tc>
          <w:tcPr>
            <w:tcW w:w="715" w:type="pct"/>
            <w:shd w:val="clear" w:color="auto" w:fill="auto"/>
            <w:vAlign w:val="center"/>
          </w:tcPr>
          <w:p w14:paraId="1CB89EFA">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440E46AA">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达标</w:t>
            </w:r>
          </w:p>
        </w:tc>
      </w:tr>
      <w:tr w14:paraId="629F4E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7F4727EE">
            <w:pPr>
              <w:pStyle w:val="24"/>
              <w:rPr>
                <w:rFonts w:eastAsia="宋体"/>
                <w:color w:val="auto"/>
                <w:sz w:val="21"/>
                <w:szCs w:val="21"/>
              </w:rPr>
            </w:pPr>
          </w:p>
        </w:tc>
        <w:tc>
          <w:tcPr>
            <w:tcW w:w="762" w:type="pct"/>
            <w:shd w:val="clear" w:color="auto" w:fill="auto"/>
            <w:vAlign w:val="center"/>
          </w:tcPr>
          <w:p w14:paraId="0CC24C47">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亮垭村</w:t>
            </w:r>
          </w:p>
        </w:tc>
        <w:tc>
          <w:tcPr>
            <w:tcW w:w="763" w:type="pct"/>
            <w:shd w:val="clear" w:color="auto" w:fill="auto"/>
            <w:vAlign w:val="center"/>
          </w:tcPr>
          <w:p w14:paraId="160827EB">
            <w:pPr>
              <w:pStyle w:val="24"/>
              <w:ind w:left="0" w:leftChars="0"/>
              <w:rPr>
                <w:rFonts w:hint="default" w:eastAsia="宋体"/>
                <w:color w:val="auto"/>
                <w:sz w:val="21"/>
                <w:szCs w:val="21"/>
                <w:lang w:val="en-US" w:eastAsia="zh-CN"/>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5E5014A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0.00E+00</w:t>
            </w:r>
          </w:p>
        </w:tc>
        <w:tc>
          <w:tcPr>
            <w:tcW w:w="841" w:type="pct"/>
            <w:shd w:val="clear" w:color="auto" w:fill="auto"/>
            <w:vAlign w:val="center"/>
          </w:tcPr>
          <w:p w14:paraId="6394E290">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715" w:type="pct"/>
            <w:shd w:val="clear" w:color="auto" w:fill="auto"/>
            <w:vAlign w:val="center"/>
          </w:tcPr>
          <w:p w14:paraId="1AFB747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7B99AAB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656AE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197F9185">
            <w:pPr>
              <w:pStyle w:val="24"/>
              <w:rPr>
                <w:rFonts w:eastAsia="宋体"/>
                <w:color w:val="auto"/>
                <w:sz w:val="21"/>
                <w:szCs w:val="21"/>
              </w:rPr>
            </w:pPr>
          </w:p>
        </w:tc>
        <w:tc>
          <w:tcPr>
            <w:tcW w:w="762" w:type="pct"/>
            <w:shd w:val="clear" w:color="auto" w:fill="auto"/>
            <w:vAlign w:val="center"/>
          </w:tcPr>
          <w:p w14:paraId="32E8BE7A">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秋锦山村</w:t>
            </w:r>
          </w:p>
        </w:tc>
        <w:tc>
          <w:tcPr>
            <w:tcW w:w="763" w:type="pct"/>
            <w:shd w:val="clear" w:color="auto" w:fill="auto"/>
            <w:vAlign w:val="center"/>
          </w:tcPr>
          <w:p w14:paraId="1E99BCA1">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2316783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1.00E-08</w:t>
            </w:r>
          </w:p>
        </w:tc>
        <w:tc>
          <w:tcPr>
            <w:tcW w:w="841" w:type="pct"/>
            <w:shd w:val="clear" w:color="auto" w:fill="auto"/>
            <w:vAlign w:val="center"/>
          </w:tcPr>
          <w:p w14:paraId="2BAA933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25011316</w:t>
            </w:r>
          </w:p>
        </w:tc>
        <w:tc>
          <w:tcPr>
            <w:tcW w:w="715" w:type="pct"/>
            <w:shd w:val="clear" w:color="auto" w:fill="auto"/>
            <w:vAlign w:val="center"/>
          </w:tcPr>
          <w:p w14:paraId="6DF7518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0A54C7D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02BA3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C21BDBD">
            <w:pPr>
              <w:pStyle w:val="24"/>
              <w:rPr>
                <w:rFonts w:eastAsia="宋体"/>
                <w:color w:val="auto"/>
                <w:sz w:val="21"/>
                <w:szCs w:val="21"/>
              </w:rPr>
            </w:pPr>
          </w:p>
        </w:tc>
        <w:tc>
          <w:tcPr>
            <w:tcW w:w="762" w:type="pct"/>
            <w:shd w:val="clear" w:color="auto" w:fill="auto"/>
            <w:vAlign w:val="center"/>
          </w:tcPr>
          <w:p w14:paraId="5BF00762">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春在镇</w:t>
            </w:r>
          </w:p>
        </w:tc>
        <w:tc>
          <w:tcPr>
            <w:tcW w:w="763" w:type="pct"/>
            <w:shd w:val="clear" w:color="auto" w:fill="auto"/>
            <w:vAlign w:val="center"/>
          </w:tcPr>
          <w:p w14:paraId="5FD2BC1E">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739BF69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1.60E-07</w:t>
            </w:r>
          </w:p>
        </w:tc>
        <w:tc>
          <w:tcPr>
            <w:tcW w:w="841" w:type="pct"/>
            <w:shd w:val="clear" w:color="auto" w:fill="auto"/>
            <w:vAlign w:val="center"/>
          </w:tcPr>
          <w:p w14:paraId="2CCC746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25012321</w:t>
            </w:r>
          </w:p>
        </w:tc>
        <w:tc>
          <w:tcPr>
            <w:tcW w:w="715" w:type="pct"/>
            <w:shd w:val="clear" w:color="auto" w:fill="auto"/>
            <w:vAlign w:val="center"/>
          </w:tcPr>
          <w:p w14:paraId="5DE5087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2B8A89B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1F3DF1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2A60E8D9">
            <w:pPr>
              <w:pStyle w:val="24"/>
              <w:rPr>
                <w:rFonts w:eastAsia="宋体"/>
                <w:color w:val="auto"/>
                <w:sz w:val="21"/>
                <w:szCs w:val="21"/>
              </w:rPr>
            </w:pPr>
          </w:p>
        </w:tc>
        <w:tc>
          <w:tcPr>
            <w:tcW w:w="762" w:type="pct"/>
            <w:shd w:val="clear" w:color="auto" w:fill="auto"/>
            <w:vAlign w:val="center"/>
          </w:tcPr>
          <w:p w14:paraId="1C1A998E">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通江县城</w:t>
            </w:r>
          </w:p>
        </w:tc>
        <w:tc>
          <w:tcPr>
            <w:tcW w:w="763" w:type="pct"/>
            <w:shd w:val="clear" w:color="auto" w:fill="auto"/>
            <w:vAlign w:val="center"/>
          </w:tcPr>
          <w:p w14:paraId="0B120534">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13B6E12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1.00E-08</w:t>
            </w:r>
          </w:p>
        </w:tc>
        <w:tc>
          <w:tcPr>
            <w:tcW w:w="841" w:type="pct"/>
            <w:shd w:val="clear" w:color="auto" w:fill="auto"/>
            <w:vAlign w:val="center"/>
          </w:tcPr>
          <w:p w14:paraId="6A77732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25051707</w:t>
            </w:r>
          </w:p>
        </w:tc>
        <w:tc>
          <w:tcPr>
            <w:tcW w:w="715" w:type="pct"/>
            <w:shd w:val="clear" w:color="auto" w:fill="auto"/>
            <w:vAlign w:val="center"/>
          </w:tcPr>
          <w:p w14:paraId="3C81195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5A86611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C4678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7B710A46">
            <w:pPr>
              <w:pStyle w:val="24"/>
              <w:rPr>
                <w:rFonts w:eastAsia="宋体"/>
                <w:color w:val="auto"/>
                <w:sz w:val="21"/>
                <w:szCs w:val="21"/>
              </w:rPr>
            </w:pPr>
          </w:p>
        </w:tc>
        <w:tc>
          <w:tcPr>
            <w:tcW w:w="762" w:type="pct"/>
            <w:shd w:val="clear" w:color="auto" w:fill="auto"/>
            <w:vAlign w:val="center"/>
          </w:tcPr>
          <w:p w14:paraId="021187F2">
            <w:pPr>
              <w:pStyle w:val="24"/>
              <w:ind w:left="0" w:leftChars="0"/>
              <w:rPr>
                <w:rFonts w:hint="default" w:ascii="Times New Roman" w:hAnsi="Times New Roman" w:eastAsia="宋体" w:cs="Courier New"/>
                <w:color w:val="auto"/>
                <w:kern w:val="2"/>
                <w:sz w:val="21"/>
                <w:szCs w:val="21"/>
                <w:lang w:val="en-US" w:eastAsia="zh-CN" w:bidi="ar-SA"/>
              </w:rPr>
            </w:pPr>
            <w:r>
              <w:rPr>
                <w:rFonts w:hint="eastAsia" w:eastAsia="宋体"/>
                <w:color w:val="auto"/>
                <w:sz w:val="21"/>
                <w:szCs w:val="21"/>
              </w:rPr>
              <w:t>区域最大落地浓度</w:t>
            </w:r>
          </w:p>
        </w:tc>
        <w:tc>
          <w:tcPr>
            <w:tcW w:w="763" w:type="pct"/>
            <w:shd w:val="clear" w:color="auto" w:fill="auto"/>
            <w:vAlign w:val="center"/>
          </w:tcPr>
          <w:p w14:paraId="2E5E2C1F">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61269B8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2.77E-06</w:t>
            </w:r>
          </w:p>
        </w:tc>
        <w:tc>
          <w:tcPr>
            <w:tcW w:w="841" w:type="pct"/>
            <w:shd w:val="clear" w:color="auto" w:fill="auto"/>
            <w:vAlign w:val="center"/>
          </w:tcPr>
          <w:p w14:paraId="4C3D116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25120317</w:t>
            </w:r>
          </w:p>
          <w:p w14:paraId="26BEB51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（95,-153）</w:t>
            </w:r>
          </w:p>
        </w:tc>
        <w:tc>
          <w:tcPr>
            <w:tcW w:w="715" w:type="pct"/>
            <w:shd w:val="clear" w:color="auto" w:fill="auto"/>
            <w:vAlign w:val="center"/>
          </w:tcPr>
          <w:p w14:paraId="108B6DB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548A8BE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549AE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7FC02EC">
            <w:pPr>
              <w:pStyle w:val="24"/>
              <w:rPr>
                <w:rFonts w:eastAsia="宋体"/>
                <w:color w:val="auto"/>
                <w:sz w:val="21"/>
                <w:szCs w:val="21"/>
              </w:rPr>
            </w:pPr>
          </w:p>
        </w:tc>
        <w:tc>
          <w:tcPr>
            <w:tcW w:w="762" w:type="pct"/>
            <w:shd w:val="clear" w:color="auto" w:fill="auto"/>
            <w:vAlign w:val="center"/>
          </w:tcPr>
          <w:p w14:paraId="0D9BA95A">
            <w:pPr>
              <w:pStyle w:val="24"/>
              <w:ind w:left="0" w:leftChars="0"/>
              <w:rPr>
                <w:rFonts w:hint="default" w:ascii="Times New Roman" w:hAnsi="Times New Roman" w:eastAsia="宋体" w:cs="Courier New"/>
                <w:color w:val="auto"/>
                <w:kern w:val="2"/>
                <w:sz w:val="21"/>
                <w:szCs w:val="21"/>
                <w:lang w:val="en-US" w:eastAsia="zh-CN" w:bidi="ar-SA"/>
              </w:rPr>
            </w:pPr>
            <w:r>
              <w:rPr>
                <w:rFonts w:hint="eastAsia" w:eastAsia="宋体"/>
                <w:color w:val="auto"/>
                <w:sz w:val="21"/>
                <w:szCs w:val="21"/>
                <w:lang w:val="en-US" w:eastAsia="zh-CN"/>
              </w:rPr>
              <w:t>厂界浓度</w:t>
            </w:r>
          </w:p>
        </w:tc>
        <w:tc>
          <w:tcPr>
            <w:tcW w:w="763" w:type="pct"/>
            <w:shd w:val="clear" w:color="auto" w:fill="auto"/>
            <w:vAlign w:val="center"/>
          </w:tcPr>
          <w:p w14:paraId="7B548713">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6292FE9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2.20E-06</w:t>
            </w:r>
          </w:p>
        </w:tc>
        <w:tc>
          <w:tcPr>
            <w:tcW w:w="841" w:type="pct"/>
            <w:shd w:val="clear" w:color="auto" w:fill="auto"/>
            <w:vAlign w:val="center"/>
          </w:tcPr>
          <w:p w14:paraId="5C859B5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25121209</w:t>
            </w:r>
          </w:p>
        </w:tc>
        <w:tc>
          <w:tcPr>
            <w:tcW w:w="715" w:type="pct"/>
            <w:shd w:val="clear" w:color="auto" w:fill="auto"/>
            <w:vAlign w:val="center"/>
          </w:tcPr>
          <w:p w14:paraId="1F3342A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p>
        </w:tc>
        <w:tc>
          <w:tcPr>
            <w:tcW w:w="618" w:type="pct"/>
            <w:shd w:val="clear" w:color="auto" w:fill="auto"/>
            <w:vAlign w:val="center"/>
          </w:tcPr>
          <w:p w14:paraId="3B9C7CD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321F25D8">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本项目硫酸贡献质量浓度预测结果表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3"/>
        <w:gridCol w:w="1451"/>
        <w:gridCol w:w="1453"/>
        <w:gridCol w:w="1466"/>
        <w:gridCol w:w="1602"/>
        <w:gridCol w:w="1362"/>
        <w:gridCol w:w="1177"/>
      </w:tblGrid>
      <w:tr w14:paraId="754A83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27" w:type="pct"/>
            <w:shd w:val="clear" w:color="auto" w:fill="auto"/>
            <w:vAlign w:val="center"/>
          </w:tcPr>
          <w:p w14:paraId="5E33F488">
            <w:pPr>
              <w:pStyle w:val="24"/>
              <w:rPr>
                <w:rFonts w:eastAsia="宋体"/>
                <w:b/>
                <w:bCs/>
                <w:color w:val="auto"/>
                <w:sz w:val="21"/>
                <w:szCs w:val="21"/>
              </w:rPr>
            </w:pPr>
            <w:r>
              <w:rPr>
                <w:rFonts w:hint="eastAsia" w:eastAsia="宋体"/>
                <w:b/>
                <w:bCs/>
                <w:color w:val="auto"/>
                <w:sz w:val="21"/>
                <w:szCs w:val="21"/>
              </w:rPr>
              <w:t>污染物</w:t>
            </w:r>
          </w:p>
        </w:tc>
        <w:tc>
          <w:tcPr>
            <w:tcW w:w="762" w:type="pct"/>
            <w:shd w:val="clear" w:color="auto" w:fill="auto"/>
            <w:vAlign w:val="center"/>
          </w:tcPr>
          <w:p w14:paraId="774F4AF0">
            <w:pPr>
              <w:pStyle w:val="24"/>
              <w:rPr>
                <w:rFonts w:eastAsia="宋体"/>
                <w:b/>
                <w:bCs/>
                <w:color w:val="auto"/>
                <w:sz w:val="21"/>
                <w:szCs w:val="21"/>
              </w:rPr>
            </w:pPr>
            <w:r>
              <w:rPr>
                <w:rFonts w:hint="eastAsia" w:eastAsia="宋体"/>
                <w:b/>
                <w:bCs/>
                <w:color w:val="auto"/>
                <w:sz w:val="21"/>
                <w:szCs w:val="21"/>
              </w:rPr>
              <w:t>预测点</w:t>
            </w:r>
          </w:p>
        </w:tc>
        <w:tc>
          <w:tcPr>
            <w:tcW w:w="763" w:type="pct"/>
            <w:shd w:val="clear" w:color="auto" w:fill="auto"/>
            <w:vAlign w:val="center"/>
          </w:tcPr>
          <w:p w14:paraId="2864C775">
            <w:pPr>
              <w:pStyle w:val="24"/>
              <w:rPr>
                <w:rFonts w:eastAsia="宋体"/>
                <w:b/>
                <w:bCs/>
                <w:color w:val="auto"/>
                <w:sz w:val="21"/>
                <w:szCs w:val="21"/>
              </w:rPr>
            </w:pPr>
            <w:r>
              <w:rPr>
                <w:rFonts w:hint="eastAsia" w:eastAsia="宋体"/>
                <w:b/>
                <w:bCs/>
                <w:color w:val="auto"/>
                <w:sz w:val="21"/>
                <w:szCs w:val="21"/>
              </w:rPr>
              <w:t>平均时段</w:t>
            </w:r>
          </w:p>
        </w:tc>
        <w:tc>
          <w:tcPr>
            <w:tcW w:w="770" w:type="pct"/>
            <w:shd w:val="clear" w:color="auto" w:fill="auto"/>
            <w:vAlign w:val="center"/>
          </w:tcPr>
          <w:p w14:paraId="5B8D5E57">
            <w:pPr>
              <w:pStyle w:val="24"/>
              <w:rPr>
                <w:rFonts w:eastAsia="宋体"/>
                <w:b/>
                <w:bCs/>
                <w:color w:val="auto"/>
                <w:sz w:val="21"/>
                <w:szCs w:val="21"/>
              </w:rPr>
            </w:pPr>
            <w:r>
              <w:rPr>
                <w:rFonts w:hint="eastAsia" w:eastAsia="宋体"/>
                <w:b/>
                <w:bCs/>
                <w:color w:val="auto"/>
                <w:sz w:val="21"/>
                <w:szCs w:val="21"/>
              </w:rPr>
              <w:t>最大贡献值（</w:t>
            </w:r>
            <w:r>
              <w:rPr>
                <w:rFonts w:eastAsia="宋体"/>
                <w:b/>
                <w:bCs/>
                <w:color w:val="auto"/>
                <w:sz w:val="21"/>
                <w:szCs w:val="21"/>
              </w:rPr>
              <w:t>mg/m</w:t>
            </w:r>
            <w:r>
              <w:rPr>
                <w:rFonts w:eastAsia="宋体"/>
                <w:b/>
                <w:bCs/>
                <w:color w:val="auto"/>
                <w:sz w:val="21"/>
                <w:szCs w:val="21"/>
                <w:vertAlign w:val="superscript"/>
              </w:rPr>
              <w:t>3</w:t>
            </w:r>
            <w:r>
              <w:rPr>
                <w:rFonts w:hint="eastAsia" w:eastAsia="宋体"/>
                <w:b/>
                <w:bCs/>
                <w:color w:val="auto"/>
                <w:sz w:val="21"/>
                <w:szCs w:val="21"/>
              </w:rPr>
              <w:t>）</w:t>
            </w:r>
          </w:p>
        </w:tc>
        <w:tc>
          <w:tcPr>
            <w:tcW w:w="841" w:type="pct"/>
            <w:shd w:val="clear" w:color="auto" w:fill="auto"/>
            <w:vAlign w:val="center"/>
          </w:tcPr>
          <w:p w14:paraId="2FCE7093">
            <w:pPr>
              <w:pStyle w:val="24"/>
              <w:rPr>
                <w:rFonts w:hint="eastAsia" w:eastAsia="宋体"/>
                <w:b/>
                <w:bCs/>
                <w:color w:val="auto"/>
                <w:sz w:val="21"/>
                <w:szCs w:val="21"/>
              </w:rPr>
            </w:pPr>
            <w:r>
              <w:rPr>
                <w:rFonts w:hint="eastAsia" w:eastAsia="宋体"/>
                <w:b/>
                <w:bCs/>
                <w:color w:val="auto"/>
                <w:sz w:val="21"/>
                <w:szCs w:val="21"/>
              </w:rPr>
              <w:t>出现时间</w:t>
            </w:r>
          </w:p>
          <w:p w14:paraId="6E2E3258">
            <w:pPr>
              <w:pStyle w:val="24"/>
              <w:rPr>
                <w:rFonts w:eastAsia="宋体"/>
                <w:b/>
                <w:bCs/>
                <w:color w:val="auto"/>
                <w:sz w:val="21"/>
                <w:szCs w:val="21"/>
              </w:rPr>
            </w:pPr>
            <w:r>
              <w:rPr>
                <w:rFonts w:hint="eastAsia" w:cs="Times New Roman"/>
                <w:b/>
                <w:bCs/>
                <w:color w:val="auto"/>
              </w:rPr>
              <w:t>（位置）</w:t>
            </w:r>
          </w:p>
        </w:tc>
        <w:tc>
          <w:tcPr>
            <w:tcW w:w="715" w:type="pct"/>
            <w:shd w:val="clear" w:color="auto" w:fill="auto"/>
            <w:vAlign w:val="center"/>
          </w:tcPr>
          <w:p w14:paraId="047B55F4">
            <w:pPr>
              <w:pStyle w:val="24"/>
              <w:rPr>
                <w:rFonts w:eastAsia="宋体"/>
                <w:b/>
                <w:bCs/>
                <w:color w:val="auto"/>
                <w:sz w:val="21"/>
                <w:szCs w:val="21"/>
              </w:rPr>
            </w:pPr>
            <w:r>
              <w:rPr>
                <w:rFonts w:hint="eastAsia" w:eastAsia="宋体"/>
                <w:b/>
                <w:bCs/>
                <w:color w:val="auto"/>
                <w:sz w:val="21"/>
                <w:szCs w:val="21"/>
              </w:rPr>
              <w:t>占标率（</w:t>
            </w:r>
            <w:r>
              <w:rPr>
                <w:rFonts w:eastAsia="宋体"/>
                <w:b/>
                <w:bCs/>
                <w:color w:val="auto"/>
                <w:sz w:val="21"/>
                <w:szCs w:val="21"/>
              </w:rPr>
              <w:t>%</w:t>
            </w:r>
            <w:r>
              <w:rPr>
                <w:rFonts w:hint="eastAsia" w:eastAsia="宋体"/>
                <w:b/>
                <w:bCs/>
                <w:color w:val="auto"/>
                <w:sz w:val="21"/>
                <w:szCs w:val="21"/>
              </w:rPr>
              <w:t>）</w:t>
            </w:r>
          </w:p>
        </w:tc>
        <w:tc>
          <w:tcPr>
            <w:tcW w:w="618" w:type="pct"/>
            <w:shd w:val="clear" w:color="auto" w:fill="auto"/>
            <w:vAlign w:val="center"/>
          </w:tcPr>
          <w:p w14:paraId="0ED053D9">
            <w:pPr>
              <w:pStyle w:val="24"/>
              <w:rPr>
                <w:rFonts w:eastAsia="宋体"/>
                <w:b/>
                <w:bCs/>
                <w:color w:val="auto"/>
                <w:sz w:val="21"/>
                <w:szCs w:val="21"/>
              </w:rPr>
            </w:pPr>
            <w:r>
              <w:rPr>
                <w:rFonts w:hint="eastAsia" w:eastAsia="宋体"/>
                <w:b/>
                <w:bCs/>
                <w:color w:val="auto"/>
                <w:sz w:val="21"/>
                <w:szCs w:val="21"/>
              </w:rPr>
              <w:t>达标情况</w:t>
            </w:r>
          </w:p>
        </w:tc>
      </w:tr>
      <w:tr w14:paraId="067CE7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restart"/>
            <w:shd w:val="clear" w:color="auto" w:fill="auto"/>
            <w:vAlign w:val="center"/>
          </w:tcPr>
          <w:p w14:paraId="208EB46D">
            <w:pPr>
              <w:pStyle w:val="24"/>
              <w:rPr>
                <w:rFonts w:hint="default" w:eastAsia="宋体"/>
                <w:color w:val="auto"/>
                <w:sz w:val="21"/>
                <w:szCs w:val="21"/>
                <w:lang w:val="en-US" w:eastAsia="zh-CN"/>
              </w:rPr>
            </w:pPr>
            <w:r>
              <w:rPr>
                <w:rFonts w:hint="eastAsia"/>
                <w:color w:val="auto"/>
                <w:lang w:val="en-US" w:eastAsia="zh-CN"/>
              </w:rPr>
              <w:t>硫酸</w:t>
            </w:r>
          </w:p>
        </w:tc>
        <w:tc>
          <w:tcPr>
            <w:tcW w:w="762" w:type="pct"/>
            <w:shd w:val="clear" w:color="auto" w:fill="auto"/>
            <w:vAlign w:val="center"/>
          </w:tcPr>
          <w:p w14:paraId="17049903">
            <w:pPr>
              <w:pStyle w:val="24"/>
              <w:ind w:left="0" w:leftChars="0"/>
              <w:rPr>
                <w:rFonts w:hint="default" w:ascii="Times New Roman" w:hAnsi="Times New Roman" w:eastAsia="宋体" w:cs="Courier New"/>
                <w:color w:val="auto"/>
                <w:kern w:val="2"/>
                <w:sz w:val="21"/>
                <w:szCs w:val="21"/>
                <w:lang w:val="en-US" w:eastAsia="zh-CN" w:bidi="ar-SA"/>
              </w:rPr>
            </w:pPr>
            <w:r>
              <w:rPr>
                <w:rFonts w:hint="eastAsia" w:cs="Courier New"/>
                <w:color w:val="auto"/>
                <w:kern w:val="2"/>
                <w:sz w:val="21"/>
                <w:szCs w:val="21"/>
                <w:lang w:val="en-US" w:eastAsia="zh-CN" w:bidi="ar-SA"/>
              </w:rPr>
              <w:t>东北侧散户</w:t>
            </w:r>
          </w:p>
        </w:tc>
        <w:tc>
          <w:tcPr>
            <w:tcW w:w="763" w:type="pct"/>
            <w:shd w:val="clear" w:color="auto" w:fill="auto"/>
            <w:vAlign w:val="center"/>
          </w:tcPr>
          <w:p w14:paraId="3C8E918B">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2F8C8D6B">
            <w:pPr>
              <w:pStyle w:val="24"/>
              <w:ind w:left="0" w:leftChars="0"/>
              <w:rPr>
                <w:rFonts w:hint="eastAsia" w:ascii="Times New Roman" w:hAnsi="Times New Roman" w:eastAsia="宋体"/>
                <w:color w:val="auto"/>
                <w:sz w:val="21"/>
                <w:szCs w:val="21"/>
                <w:lang w:val="en-US" w:eastAsia="zh-CN"/>
              </w:rPr>
            </w:pPr>
          </w:p>
        </w:tc>
        <w:tc>
          <w:tcPr>
            <w:tcW w:w="841" w:type="pct"/>
            <w:shd w:val="clear" w:color="auto" w:fill="auto"/>
            <w:vAlign w:val="center"/>
          </w:tcPr>
          <w:p w14:paraId="08284E9D">
            <w:pPr>
              <w:pStyle w:val="24"/>
              <w:ind w:left="0" w:leftChars="0"/>
              <w:rPr>
                <w:rFonts w:hint="eastAsia" w:ascii="Times New Roman" w:hAnsi="Times New Roman" w:eastAsia="宋体"/>
                <w:color w:val="auto"/>
                <w:sz w:val="21"/>
                <w:szCs w:val="21"/>
                <w:lang w:val="en-US" w:eastAsia="zh-CN"/>
              </w:rPr>
            </w:pPr>
          </w:p>
        </w:tc>
        <w:tc>
          <w:tcPr>
            <w:tcW w:w="715" w:type="pct"/>
            <w:shd w:val="clear" w:color="auto" w:fill="auto"/>
            <w:vAlign w:val="center"/>
          </w:tcPr>
          <w:p w14:paraId="43707D52">
            <w:pPr>
              <w:pStyle w:val="24"/>
              <w:ind w:left="0" w:leftChars="0"/>
              <w:rPr>
                <w:rFonts w:hint="eastAsia" w:ascii="Times New Roman" w:hAnsi="Times New Roman" w:eastAsia="宋体"/>
                <w:color w:val="auto"/>
                <w:sz w:val="21"/>
                <w:szCs w:val="21"/>
                <w:lang w:val="en-US" w:eastAsia="zh-CN"/>
              </w:rPr>
            </w:pPr>
          </w:p>
        </w:tc>
        <w:tc>
          <w:tcPr>
            <w:tcW w:w="618" w:type="pct"/>
            <w:shd w:val="clear" w:color="auto" w:fill="auto"/>
            <w:vAlign w:val="center"/>
          </w:tcPr>
          <w:p w14:paraId="3940F94C">
            <w:pPr>
              <w:pStyle w:val="24"/>
              <w:ind w:left="0" w:leftChars="0"/>
              <w:rPr>
                <w:rFonts w:hint="eastAsia" w:ascii="Times New Roman" w:hAnsi="Times New Roman" w:eastAsia="宋体"/>
                <w:color w:val="auto"/>
                <w:sz w:val="21"/>
                <w:szCs w:val="21"/>
                <w:lang w:val="en-US" w:eastAsia="zh-CN"/>
              </w:rPr>
            </w:pPr>
          </w:p>
        </w:tc>
      </w:tr>
      <w:tr w14:paraId="735C5B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73578FEA">
            <w:pPr>
              <w:pStyle w:val="24"/>
              <w:rPr>
                <w:rFonts w:hint="eastAsia"/>
                <w:color w:val="auto"/>
                <w:lang w:val="en-US" w:eastAsia="zh-CN"/>
              </w:rPr>
            </w:pPr>
          </w:p>
        </w:tc>
        <w:tc>
          <w:tcPr>
            <w:tcW w:w="762" w:type="pct"/>
            <w:shd w:val="clear" w:color="auto" w:fill="auto"/>
            <w:vAlign w:val="center"/>
          </w:tcPr>
          <w:p w14:paraId="3415A7D7">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金堂村</w:t>
            </w:r>
          </w:p>
        </w:tc>
        <w:tc>
          <w:tcPr>
            <w:tcW w:w="763" w:type="pct"/>
            <w:shd w:val="clear" w:color="auto" w:fill="auto"/>
            <w:vAlign w:val="center"/>
          </w:tcPr>
          <w:p w14:paraId="513A1959">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351B0D00">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2.91E-04</w:t>
            </w:r>
          </w:p>
        </w:tc>
        <w:tc>
          <w:tcPr>
            <w:tcW w:w="841" w:type="pct"/>
            <w:shd w:val="clear" w:color="auto" w:fill="auto"/>
            <w:vAlign w:val="center"/>
          </w:tcPr>
          <w:p w14:paraId="0776A52C">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25121702</w:t>
            </w:r>
          </w:p>
        </w:tc>
        <w:tc>
          <w:tcPr>
            <w:tcW w:w="715" w:type="pct"/>
            <w:shd w:val="clear" w:color="auto" w:fill="auto"/>
            <w:vAlign w:val="center"/>
          </w:tcPr>
          <w:p w14:paraId="0036C397">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0.1</w:t>
            </w:r>
          </w:p>
        </w:tc>
        <w:tc>
          <w:tcPr>
            <w:tcW w:w="618" w:type="pct"/>
            <w:shd w:val="clear" w:color="auto" w:fill="auto"/>
            <w:vAlign w:val="center"/>
          </w:tcPr>
          <w:p w14:paraId="15F039DB">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达标</w:t>
            </w:r>
          </w:p>
        </w:tc>
      </w:tr>
      <w:tr w14:paraId="00CE89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64F01011">
            <w:pPr>
              <w:pStyle w:val="24"/>
              <w:rPr>
                <w:rFonts w:eastAsia="宋体"/>
                <w:color w:val="auto"/>
                <w:sz w:val="21"/>
                <w:szCs w:val="21"/>
              </w:rPr>
            </w:pPr>
          </w:p>
        </w:tc>
        <w:tc>
          <w:tcPr>
            <w:tcW w:w="762" w:type="pct"/>
            <w:shd w:val="clear" w:color="auto" w:fill="auto"/>
            <w:vAlign w:val="center"/>
          </w:tcPr>
          <w:p w14:paraId="0A7AA300">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亮垭村</w:t>
            </w:r>
          </w:p>
        </w:tc>
        <w:tc>
          <w:tcPr>
            <w:tcW w:w="763" w:type="pct"/>
            <w:shd w:val="clear" w:color="auto" w:fill="auto"/>
            <w:vAlign w:val="center"/>
          </w:tcPr>
          <w:p w14:paraId="6984CA28">
            <w:pPr>
              <w:pStyle w:val="24"/>
              <w:ind w:left="0" w:leftChars="0"/>
              <w:rPr>
                <w:rFonts w:hint="default" w:eastAsia="宋体"/>
                <w:color w:val="auto"/>
                <w:sz w:val="21"/>
                <w:szCs w:val="21"/>
                <w:lang w:val="en-US" w:eastAsia="zh-CN"/>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0A40368B">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2.32E-05</w:t>
            </w:r>
          </w:p>
        </w:tc>
        <w:tc>
          <w:tcPr>
            <w:tcW w:w="841" w:type="pct"/>
            <w:shd w:val="clear" w:color="auto" w:fill="auto"/>
            <w:vAlign w:val="center"/>
          </w:tcPr>
          <w:p w14:paraId="6A84871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25010319</w:t>
            </w:r>
          </w:p>
        </w:tc>
        <w:tc>
          <w:tcPr>
            <w:tcW w:w="715" w:type="pct"/>
            <w:shd w:val="clear" w:color="auto" w:fill="auto"/>
            <w:vAlign w:val="center"/>
          </w:tcPr>
          <w:p w14:paraId="364BAFC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707AD2E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55A6D4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57A8C5BD">
            <w:pPr>
              <w:pStyle w:val="24"/>
              <w:rPr>
                <w:rFonts w:eastAsia="宋体"/>
                <w:color w:val="auto"/>
                <w:sz w:val="21"/>
                <w:szCs w:val="21"/>
              </w:rPr>
            </w:pPr>
          </w:p>
        </w:tc>
        <w:tc>
          <w:tcPr>
            <w:tcW w:w="762" w:type="pct"/>
            <w:shd w:val="clear" w:color="auto" w:fill="auto"/>
            <w:vAlign w:val="center"/>
          </w:tcPr>
          <w:p w14:paraId="4D0E6E3B">
            <w:pPr>
              <w:pStyle w:val="24"/>
              <w:ind w:left="0" w:leftChars="0"/>
              <w:rPr>
                <w:rFonts w:hint="default"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秋锦山村</w:t>
            </w:r>
          </w:p>
        </w:tc>
        <w:tc>
          <w:tcPr>
            <w:tcW w:w="763" w:type="pct"/>
            <w:shd w:val="clear" w:color="auto" w:fill="auto"/>
            <w:vAlign w:val="center"/>
          </w:tcPr>
          <w:p w14:paraId="1E942DD2">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5366E7A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2.50E-05</w:t>
            </w:r>
          </w:p>
        </w:tc>
        <w:tc>
          <w:tcPr>
            <w:tcW w:w="841" w:type="pct"/>
            <w:shd w:val="clear" w:color="auto" w:fill="auto"/>
            <w:vAlign w:val="center"/>
          </w:tcPr>
          <w:p w14:paraId="7316B28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25051707</w:t>
            </w:r>
          </w:p>
        </w:tc>
        <w:tc>
          <w:tcPr>
            <w:tcW w:w="715" w:type="pct"/>
            <w:shd w:val="clear" w:color="auto" w:fill="auto"/>
            <w:vAlign w:val="center"/>
          </w:tcPr>
          <w:p w14:paraId="0B960B8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0.01</w:t>
            </w:r>
          </w:p>
        </w:tc>
        <w:tc>
          <w:tcPr>
            <w:tcW w:w="618" w:type="pct"/>
            <w:shd w:val="clear" w:color="auto" w:fill="auto"/>
            <w:vAlign w:val="center"/>
          </w:tcPr>
          <w:p w14:paraId="0FE7C56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09772E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378CDC62">
            <w:pPr>
              <w:pStyle w:val="24"/>
              <w:rPr>
                <w:rFonts w:eastAsia="宋体"/>
                <w:color w:val="auto"/>
                <w:sz w:val="21"/>
                <w:szCs w:val="21"/>
              </w:rPr>
            </w:pPr>
          </w:p>
        </w:tc>
        <w:tc>
          <w:tcPr>
            <w:tcW w:w="762" w:type="pct"/>
            <w:shd w:val="clear" w:color="auto" w:fill="auto"/>
            <w:vAlign w:val="center"/>
          </w:tcPr>
          <w:p w14:paraId="4BD7CF89">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春在镇</w:t>
            </w:r>
          </w:p>
        </w:tc>
        <w:tc>
          <w:tcPr>
            <w:tcW w:w="763" w:type="pct"/>
            <w:shd w:val="clear" w:color="auto" w:fill="auto"/>
            <w:vAlign w:val="center"/>
          </w:tcPr>
          <w:p w14:paraId="7B35C339">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104A2E6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1.71E-04</w:t>
            </w:r>
          </w:p>
        </w:tc>
        <w:tc>
          <w:tcPr>
            <w:tcW w:w="841" w:type="pct"/>
            <w:shd w:val="clear" w:color="auto" w:fill="auto"/>
            <w:vAlign w:val="center"/>
          </w:tcPr>
          <w:p w14:paraId="2A2ECF32">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25090720</w:t>
            </w:r>
          </w:p>
        </w:tc>
        <w:tc>
          <w:tcPr>
            <w:tcW w:w="715" w:type="pct"/>
            <w:shd w:val="clear" w:color="auto" w:fill="auto"/>
            <w:vAlign w:val="center"/>
          </w:tcPr>
          <w:p w14:paraId="155842F5">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0.06</w:t>
            </w:r>
          </w:p>
        </w:tc>
        <w:tc>
          <w:tcPr>
            <w:tcW w:w="618" w:type="pct"/>
            <w:shd w:val="clear" w:color="auto" w:fill="auto"/>
            <w:vAlign w:val="center"/>
          </w:tcPr>
          <w:p w14:paraId="1598C99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42D286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4797CE6D">
            <w:pPr>
              <w:pStyle w:val="24"/>
              <w:rPr>
                <w:rFonts w:eastAsia="宋体"/>
                <w:color w:val="auto"/>
                <w:sz w:val="21"/>
                <w:szCs w:val="21"/>
              </w:rPr>
            </w:pPr>
          </w:p>
        </w:tc>
        <w:tc>
          <w:tcPr>
            <w:tcW w:w="762" w:type="pct"/>
            <w:shd w:val="clear" w:color="auto" w:fill="auto"/>
            <w:vAlign w:val="center"/>
          </w:tcPr>
          <w:p w14:paraId="138E85E4">
            <w:pPr>
              <w:pStyle w:val="24"/>
              <w:ind w:left="0" w:leftChars="0"/>
              <w:rPr>
                <w:rFonts w:hint="eastAsia" w:ascii="Times New Roman" w:hAnsi="Times New Roman" w:eastAsia="宋体" w:cs="Courier New"/>
                <w:color w:val="auto"/>
                <w:kern w:val="2"/>
                <w:sz w:val="21"/>
                <w:szCs w:val="21"/>
                <w:lang w:val="en-US" w:eastAsia="zh-CN" w:bidi="ar-SA"/>
              </w:rPr>
            </w:pPr>
            <w:r>
              <w:rPr>
                <w:rFonts w:hint="eastAsia"/>
                <w:color w:val="auto"/>
                <w:sz w:val="21"/>
                <w:szCs w:val="21"/>
                <w:lang w:val="en-US" w:eastAsia="zh-CN"/>
              </w:rPr>
              <w:t>通江县城</w:t>
            </w:r>
          </w:p>
        </w:tc>
        <w:tc>
          <w:tcPr>
            <w:tcW w:w="763" w:type="pct"/>
            <w:shd w:val="clear" w:color="auto" w:fill="auto"/>
            <w:vAlign w:val="center"/>
          </w:tcPr>
          <w:p w14:paraId="683BF2D4">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325CE57A">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1.55E-04</w:t>
            </w:r>
          </w:p>
        </w:tc>
        <w:tc>
          <w:tcPr>
            <w:tcW w:w="841" w:type="pct"/>
            <w:shd w:val="clear" w:color="auto" w:fill="auto"/>
            <w:vAlign w:val="center"/>
          </w:tcPr>
          <w:p w14:paraId="4953A28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25011821</w:t>
            </w:r>
          </w:p>
        </w:tc>
        <w:tc>
          <w:tcPr>
            <w:tcW w:w="715" w:type="pct"/>
            <w:shd w:val="clear" w:color="auto" w:fill="auto"/>
            <w:vAlign w:val="center"/>
          </w:tcPr>
          <w:p w14:paraId="12C015B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0.05</w:t>
            </w:r>
          </w:p>
        </w:tc>
        <w:tc>
          <w:tcPr>
            <w:tcW w:w="618" w:type="pct"/>
            <w:shd w:val="clear" w:color="auto" w:fill="auto"/>
            <w:vAlign w:val="center"/>
          </w:tcPr>
          <w:p w14:paraId="6661A22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2BB714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shd w:val="clear" w:color="auto" w:fill="auto"/>
            <w:vAlign w:val="center"/>
          </w:tcPr>
          <w:p w14:paraId="5C00953F">
            <w:pPr>
              <w:pStyle w:val="24"/>
              <w:rPr>
                <w:rFonts w:eastAsia="宋体"/>
                <w:color w:val="auto"/>
                <w:sz w:val="21"/>
                <w:szCs w:val="21"/>
              </w:rPr>
            </w:pPr>
          </w:p>
        </w:tc>
        <w:tc>
          <w:tcPr>
            <w:tcW w:w="762" w:type="pct"/>
            <w:shd w:val="clear" w:color="auto" w:fill="auto"/>
            <w:vAlign w:val="center"/>
          </w:tcPr>
          <w:p w14:paraId="2A5965A8">
            <w:pPr>
              <w:pStyle w:val="24"/>
              <w:ind w:left="0" w:leftChars="0"/>
              <w:rPr>
                <w:rFonts w:hint="default" w:ascii="Times New Roman" w:hAnsi="Times New Roman" w:eastAsia="宋体" w:cs="Courier New"/>
                <w:color w:val="auto"/>
                <w:kern w:val="2"/>
                <w:sz w:val="21"/>
                <w:szCs w:val="21"/>
                <w:lang w:val="en-US" w:eastAsia="zh-CN" w:bidi="ar-SA"/>
              </w:rPr>
            </w:pPr>
            <w:r>
              <w:rPr>
                <w:rFonts w:hint="eastAsia" w:eastAsia="宋体"/>
                <w:color w:val="auto"/>
                <w:sz w:val="21"/>
                <w:szCs w:val="21"/>
              </w:rPr>
              <w:t>区域最大落地浓度</w:t>
            </w:r>
          </w:p>
        </w:tc>
        <w:tc>
          <w:tcPr>
            <w:tcW w:w="763" w:type="pct"/>
            <w:shd w:val="clear" w:color="auto" w:fill="auto"/>
            <w:vAlign w:val="center"/>
          </w:tcPr>
          <w:p w14:paraId="438448DB">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6A05C79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3.18E-03</w:t>
            </w:r>
          </w:p>
        </w:tc>
        <w:tc>
          <w:tcPr>
            <w:tcW w:w="841" w:type="pct"/>
            <w:shd w:val="clear" w:color="auto" w:fill="auto"/>
            <w:vAlign w:val="center"/>
          </w:tcPr>
          <w:p w14:paraId="151CC28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25070107</w:t>
            </w:r>
          </w:p>
          <w:p w14:paraId="7EF18BD9">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（95,47）</w:t>
            </w:r>
          </w:p>
        </w:tc>
        <w:tc>
          <w:tcPr>
            <w:tcW w:w="715" w:type="pct"/>
            <w:shd w:val="clear" w:color="auto" w:fill="auto"/>
            <w:vAlign w:val="center"/>
          </w:tcPr>
          <w:p w14:paraId="4687F6D0">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1.06</w:t>
            </w:r>
          </w:p>
        </w:tc>
        <w:tc>
          <w:tcPr>
            <w:tcW w:w="618" w:type="pct"/>
            <w:shd w:val="clear" w:color="auto" w:fill="auto"/>
            <w:vAlign w:val="center"/>
          </w:tcPr>
          <w:p w14:paraId="4FABBC41">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r w14:paraId="3ACB64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527" w:type="pct"/>
            <w:vMerge w:val="continue"/>
            <w:vAlign w:val="center"/>
          </w:tcPr>
          <w:p w14:paraId="0D2E0328">
            <w:pPr>
              <w:pStyle w:val="24"/>
              <w:rPr>
                <w:rFonts w:eastAsia="宋体"/>
                <w:color w:val="auto"/>
                <w:sz w:val="21"/>
                <w:szCs w:val="21"/>
              </w:rPr>
            </w:pPr>
          </w:p>
        </w:tc>
        <w:tc>
          <w:tcPr>
            <w:tcW w:w="762" w:type="pct"/>
            <w:shd w:val="clear" w:color="auto" w:fill="auto"/>
            <w:vAlign w:val="center"/>
          </w:tcPr>
          <w:p w14:paraId="7F37813C">
            <w:pPr>
              <w:pStyle w:val="24"/>
              <w:ind w:left="0" w:leftChars="0"/>
              <w:rPr>
                <w:rFonts w:hint="default" w:ascii="Times New Roman" w:hAnsi="Times New Roman" w:eastAsia="宋体" w:cs="Courier New"/>
                <w:color w:val="auto"/>
                <w:kern w:val="2"/>
                <w:sz w:val="21"/>
                <w:szCs w:val="21"/>
                <w:lang w:val="en-US" w:eastAsia="zh-CN" w:bidi="ar-SA"/>
              </w:rPr>
            </w:pPr>
            <w:r>
              <w:rPr>
                <w:rFonts w:hint="eastAsia" w:eastAsia="宋体"/>
                <w:color w:val="auto"/>
                <w:sz w:val="21"/>
                <w:szCs w:val="21"/>
                <w:lang w:val="en-US" w:eastAsia="zh-CN"/>
              </w:rPr>
              <w:t>厂界浓度</w:t>
            </w:r>
          </w:p>
        </w:tc>
        <w:tc>
          <w:tcPr>
            <w:tcW w:w="763" w:type="pct"/>
            <w:shd w:val="clear" w:color="auto" w:fill="auto"/>
            <w:vAlign w:val="center"/>
          </w:tcPr>
          <w:p w14:paraId="05DB7B86">
            <w:pPr>
              <w:pStyle w:val="24"/>
              <w:ind w:left="0" w:leftChars="0"/>
              <w:rPr>
                <w:rFonts w:eastAsia="宋体"/>
                <w:color w:val="auto"/>
                <w:sz w:val="21"/>
                <w:szCs w:val="21"/>
              </w:rPr>
            </w:pPr>
            <w:r>
              <w:rPr>
                <w:rFonts w:hint="eastAsia"/>
                <w:color w:val="auto"/>
                <w:sz w:val="21"/>
                <w:szCs w:val="21"/>
                <w:lang w:val="en-US" w:eastAsia="zh-CN"/>
              </w:rPr>
              <w:t>1</w:t>
            </w:r>
            <w:r>
              <w:rPr>
                <w:rFonts w:hint="eastAsia" w:eastAsia="宋体"/>
                <w:color w:val="auto"/>
                <w:sz w:val="21"/>
                <w:szCs w:val="21"/>
                <w:lang w:val="en-US" w:eastAsia="zh-CN"/>
              </w:rPr>
              <w:t>小时</w:t>
            </w:r>
          </w:p>
        </w:tc>
        <w:tc>
          <w:tcPr>
            <w:tcW w:w="770" w:type="pct"/>
            <w:shd w:val="clear" w:color="auto" w:fill="auto"/>
            <w:vAlign w:val="center"/>
          </w:tcPr>
          <w:p w14:paraId="01C6E99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2.31E-03</w:t>
            </w:r>
          </w:p>
        </w:tc>
        <w:tc>
          <w:tcPr>
            <w:tcW w:w="841" w:type="pct"/>
            <w:shd w:val="clear" w:color="auto" w:fill="auto"/>
            <w:vAlign w:val="center"/>
          </w:tcPr>
          <w:p w14:paraId="46FABC63">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25012212</w:t>
            </w:r>
          </w:p>
        </w:tc>
        <w:tc>
          <w:tcPr>
            <w:tcW w:w="715" w:type="pct"/>
            <w:shd w:val="clear" w:color="auto" w:fill="auto"/>
            <w:vAlign w:val="center"/>
          </w:tcPr>
          <w:p w14:paraId="45165178">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0.77</w:t>
            </w:r>
          </w:p>
        </w:tc>
        <w:tc>
          <w:tcPr>
            <w:tcW w:w="618" w:type="pct"/>
            <w:shd w:val="clear" w:color="auto" w:fill="auto"/>
            <w:vAlign w:val="center"/>
          </w:tcPr>
          <w:p w14:paraId="5E52DA0D">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达标</w:t>
            </w:r>
          </w:p>
        </w:tc>
      </w:tr>
    </w:tbl>
    <w:p w14:paraId="6BF0144B">
      <w:pPr>
        <w:ind w:left="0" w:leftChars="0" w:firstLine="420" w:firstLineChars="200"/>
        <w:rPr>
          <w:rFonts w:cs="Times New Roman"/>
          <w:color w:val="auto"/>
        </w:rPr>
      </w:pPr>
      <w:r>
        <w:rPr>
          <w:rFonts w:hint="eastAsia" w:ascii="Times New Roman" w:hAnsi="Times New Roman" w:eastAsia="黑体" w:cs="Times New Roman"/>
          <w:color w:val="auto"/>
          <w:sz w:val="21"/>
          <w:szCs w:val="21"/>
          <w:highlight w:val="none"/>
          <w:lang w:val="en-US" w:eastAsia="zh-CN"/>
        </w:rPr>
        <w:t xml:space="preserve">  </w:t>
      </w:r>
      <w:r>
        <w:rPr>
          <w:rFonts w:cs="Times New Roman"/>
          <w:color w:val="auto"/>
        </w:rPr>
        <w:t>由预测结果可知，非正常排放情形下，本项目排放的污染物在评价范围内及各环境保护目标处预测浓度值均未超标。</w:t>
      </w:r>
      <w:r>
        <w:rPr>
          <w:rFonts w:hint="eastAsia" w:cs="Times New Roman"/>
          <w:color w:val="auto"/>
          <w:lang w:val="en-US" w:eastAsia="zh-CN"/>
        </w:rPr>
        <w:t>为减小非正常排放产生的影响，</w:t>
      </w:r>
      <w:r>
        <w:rPr>
          <w:rFonts w:cs="Times New Roman"/>
          <w:color w:val="auto"/>
        </w:rPr>
        <w:t>建设单位应落实以下要求：</w:t>
      </w:r>
    </w:p>
    <w:p w14:paraId="744769C5">
      <w:pPr>
        <w:ind w:left="0" w:leftChars="0" w:firstLine="480" w:firstLineChars="200"/>
        <w:rPr>
          <w:rFonts w:cs="Times New Roman"/>
          <w:color w:val="auto"/>
        </w:rPr>
      </w:pPr>
      <w:r>
        <w:rPr>
          <w:rFonts w:cs="Times New Roman"/>
          <w:color w:val="auto"/>
        </w:rPr>
        <w:t>①</w:t>
      </w:r>
      <w:r>
        <w:rPr>
          <w:rFonts w:hint="eastAsia"/>
          <w:color w:val="auto"/>
          <w:highlight w:val="none"/>
          <w:lang w:val="en-US" w:eastAsia="zh-CN"/>
        </w:rPr>
        <w:t>采用DCS分散型控制系统对泵、罐体和生产设备等的重要参数（如温度、压力、液位、流量等）进行监视、控制及报警；并在生产车间、罐区、仓库和装卸区等可能存在可燃气体/有毒气体泄漏的位置设置1套可燃气体/有毒气体检测系统，信号引入中央控制室集中报警。</w:t>
      </w:r>
    </w:p>
    <w:p w14:paraId="5363FFF8">
      <w:pPr>
        <w:widowControl w:val="0"/>
        <w:numPr>
          <w:ilvl w:val="0"/>
          <w:numId w:val="0"/>
        </w:numPr>
        <w:tabs>
          <w:tab w:val="left" w:pos="0"/>
        </w:tabs>
        <w:adjustRightInd w:val="0"/>
        <w:spacing w:line="360" w:lineRule="auto"/>
        <w:ind w:firstLine="480" w:firstLineChars="200"/>
        <w:jc w:val="both"/>
        <w:rPr>
          <w:rFonts w:hint="eastAsia" w:cs="Times New Roman"/>
          <w:b w:val="0"/>
          <w:bCs w:val="0"/>
          <w:color w:val="auto"/>
          <w:lang w:eastAsia="zh-CN"/>
        </w:rPr>
      </w:pPr>
      <w:r>
        <w:rPr>
          <w:rFonts w:cs="Times New Roman"/>
          <w:b w:val="0"/>
          <w:bCs w:val="0"/>
          <w:color w:val="auto"/>
        </w:rPr>
        <w:t>②合理安排设备检修时间，加强各环保设施的日常维护和保养，</w:t>
      </w:r>
      <w:r>
        <w:rPr>
          <w:rFonts w:hint="eastAsia" w:cs="Times New Roman"/>
          <w:b w:val="0"/>
          <w:bCs w:val="0"/>
          <w:color w:val="auto"/>
          <w:lang w:val="en-US" w:eastAsia="zh-CN"/>
        </w:rPr>
        <w:t>喷淋塔采用pH计控制，实现自动加药，药液液位自动控制并更换喷淋介质；活性炭吸附装置前端安装压差计，定时定量更换活性炭，</w:t>
      </w:r>
      <w:r>
        <w:rPr>
          <w:rFonts w:cs="Times New Roman"/>
          <w:b w:val="0"/>
          <w:bCs w:val="0"/>
          <w:color w:val="auto"/>
        </w:rPr>
        <w:t>确保其稳定、正常运行</w:t>
      </w:r>
      <w:r>
        <w:rPr>
          <w:rFonts w:hint="eastAsia" w:cs="Times New Roman"/>
          <w:b w:val="0"/>
          <w:bCs w:val="0"/>
          <w:color w:val="auto"/>
          <w:lang w:eastAsia="zh-CN"/>
        </w:rPr>
        <w:t>。</w:t>
      </w:r>
    </w:p>
    <w:p w14:paraId="53D1359F">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新增交通运输移动源</w:t>
      </w:r>
    </w:p>
    <w:p w14:paraId="4A5A86AC">
      <w:pPr>
        <w:pStyle w:val="26"/>
        <w:ind w:firstLine="480"/>
        <w:rPr>
          <w:rFonts w:hint="eastAsia"/>
          <w:color w:val="auto"/>
          <w:lang w:val="zh-CN"/>
        </w:rPr>
      </w:pPr>
      <w:r>
        <w:rPr>
          <w:rFonts w:hint="eastAsia"/>
          <w:color w:val="auto"/>
          <w:lang w:val="zh-CN"/>
        </w:rPr>
        <w:t>本项目新增交通运输移动源为原辅料及产品运输车辆排放的汽车尾气，主要来自曲轴箱漏气、燃油系统挥发和排气管的排放，主要污染物为NOx、颗粒物、VOCs。此外，道路上行驶汽车的轮胎接触路面而使路面积尘扬起，从而产生二次扬尘污染。</w:t>
      </w:r>
    </w:p>
    <w:p w14:paraId="0D4B1B78">
      <w:pPr>
        <w:pStyle w:val="26"/>
        <w:ind w:firstLine="480"/>
        <w:rPr>
          <w:rFonts w:hint="eastAsia"/>
          <w:color w:val="auto"/>
          <w:lang w:val="zh-CN"/>
        </w:rPr>
      </w:pPr>
      <w:r>
        <w:rPr>
          <w:rFonts w:hint="eastAsia"/>
          <w:color w:val="auto"/>
          <w:lang w:val="zh-CN"/>
        </w:rPr>
        <w:t>根据生态环境部《移动源产排污核算方法和系数手册》，机动车污染物排放量采用排污系数法核算，等于机动车保有量与排放系数相乘，计算公式如下：</w:t>
      </w:r>
    </w:p>
    <w:p w14:paraId="51A131A5">
      <w:pPr>
        <w:pStyle w:val="26"/>
        <w:ind w:firstLine="480"/>
        <w:jc w:val="center"/>
        <w:rPr>
          <w:rFonts w:hint="eastAsia"/>
          <w:color w:val="auto"/>
          <w:lang w:val="zh-CN"/>
        </w:rPr>
      </w:pPr>
      <w:r>
        <w:rPr>
          <w:rFonts w:ascii="Times New Roman" w:hAnsi="Times New Roman" w:cs="Times New Roman"/>
          <w:color w:val="auto"/>
          <w:sz w:val="24"/>
          <w:szCs w:val="24"/>
        </w:rPr>
        <w:t>机动车污染物排放量=机动车保有量×排放系数</w:t>
      </w:r>
    </w:p>
    <w:p w14:paraId="619AC89A">
      <w:pPr>
        <w:pStyle w:val="26"/>
        <w:bidi w:val="0"/>
        <w:rPr>
          <w:rFonts w:hint="eastAsia"/>
          <w:color w:val="auto"/>
          <w:highlight w:val="none"/>
          <w:lang w:val="zh-CN"/>
        </w:rPr>
      </w:pPr>
      <w:r>
        <w:rPr>
          <w:rFonts w:hint="eastAsia"/>
          <w:color w:val="auto"/>
          <w:lang w:val="en-US" w:eastAsia="zh-CN"/>
        </w:rPr>
        <w:t>本</w:t>
      </w:r>
      <w:r>
        <w:rPr>
          <w:color w:val="auto"/>
        </w:rPr>
        <w:t>项目运输车辆载重量为</w:t>
      </w:r>
      <w:r>
        <w:rPr>
          <w:rFonts w:hint="eastAsia"/>
          <w:color w:val="auto"/>
          <w:lang w:val="en-US" w:eastAsia="zh-CN"/>
        </w:rPr>
        <w:t>30</w:t>
      </w:r>
      <w:r>
        <w:rPr>
          <w:color w:val="auto"/>
        </w:rPr>
        <w:t>t，全年运输量预计约</w:t>
      </w:r>
      <w:r>
        <w:rPr>
          <w:rFonts w:hint="eastAsia"/>
          <w:color w:val="auto"/>
          <w:lang w:val="en-US" w:eastAsia="zh-CN"/>
        </w:rPr>
        <w:t>4.5</w:t>
      </w:r>
      <w:r>
        <w:rPr>
          <w:color w:val="auto"/>
        </w:rPr>
        <w:t>万t，厂区平均车速10km/h，</w:t>
      </w:r>
      <w:r>
        <w:rPr>
          <w:color w:val="auto"/>
          <w:szCs w:val="24"/>
        </w:rPr>
        <w:t>根据生态环境部《移动源产排污核算方法和系数手册》，重型载货汽车排放系数为：颗粒物0g/辆·a、NO</w:t>
      </w:r>
      <w:r>
        <w:rPr>
          <w:color w:val="auto"/>
          <w:szCs w:val="24"/>
          <w:vertAlign w:val="subscript"/>
        </w:rPr>
        <w:t>x</w:t>
      </w:r>
      <w:r>
        <w:rPr>
          <w:color w:val="auto"/>
          <w:szCs w:val="24"/>
        </w:rPr>
        <w:t>59131g/辆·a、VOCs6942g/辆·a，则新增</w:t>
      </w:r>
      <w:r>
        <w:rPr>
          <w:color w:val="auto"/>
          <w:szCs w:val="24"/>
          <w:lang w:val="zh-CN"/>
        </w:rPr>
        <w:t>交通运输移动源排放量见下表</w:t>
      </w:r>
      <w:r>
        <w:rPr>
          <w:rFonts w:hint="eastAsia"/>
          <w:color w:val="auto"/>
          <w:highlight w:val="none"/>
          <w:lang w:val="zh-CN"/>
        </w:rPr>
        <w:t>。</w:t>
      </w:r>
    </w:p>
    <w:p w14:paraId="1C589086">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新增交通运输移动源核算表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329"/>
        <w:gridCol w:w="2395"/>
        <w:gridCol w:w="2395"/>
        <w:gridCol w:w="2395"/>
      </w:tblGrid>
      <w:tr w14:paraId="55B047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blHeader/>
        </w:trPr>
        <w:tc>
          <w:tcPr>
            <w:tcW w:w="1224" w:type="pct"/>
            <w:shd w:val="clear" w:color="auto" w:fill="auto"/>
            <w:vAlign w:val="center"/>
          </w:tcPr>
          <w:p w14:paraId="3D2068F9">
            <w:pPr>
              <w:pStyle w:val="24"/>
              <w:rPr>
                <w:rFonts w:hint="eastAsia" w:ascii="Times New Roman" w:hAnsi="Times New Roman" w:eastAsia="宋体"/>
                <w:b/>
                <w:bCs/>
                <w:color w:val="auto"/>
              </w:rPr>
            </w:pPr>
            <w:r>
              <w:rPr>
                <w:rFonts w:hint="eastAsia" w:ascii="Times New Roman" w:hAnsi="Times New Roman" w:eastAsia="宋体"/>
                <w:b/>
                <w:bCs/>
                <w:color w:val="auto"/>
              </w:rPr>
              <w:t>污染物</w:t>
            </w:r>
          </w:p>
        </w:tc>
        <w:tc>
          <w:tcPr>
            <w:tcW w:w="1258" w:type="pct"/>
            <w:shd w:val="clear" w:color="auto" w:fill="auto"/>
            <w:vAlign w:val="center"/>
          </w:tcPr>
          <w:p w14:paraId="47B2C529">
            <w:pPr>
              <w:pStyle w:val="24"/>
              <w:rPr>
                <w:rFonts w:hint="eastAsia" w:ascii="Times New Roman" w:hAnsi="Times New Roman" w:eastAsia="宋体"/>
                <w:b/>
                <w:bCs/>
                <w:color w:val="auto"/>
              </w:rPr>
            </w:pPr>
            <w:r>
              <w:rPr>
                <w:rFonts w:hint="eastAsia" w:ascii="Times New Roman" w:hAnsi="Times New Roman" w:eastAsia="宋体"/>
                <w:b/>
                <w:bCs/>
                <w:color w:val="auto"/>
              </w:rPr>
              <w:t>排放系数（g/辆·a）</w:t>
            </w:r>
          </w:p>
        </w:tc>
        <w:tc>
          <w:tcPr>
            <w:tcW w:w="1258" w:type="pct"/>
            <w:shd w:val="clear" w:color="auto" w:fill="auto"/>
            <w:vAlign w:val="center"/>
          </w:tcPr>
          <w:p w14:paraId="755657CB">
            <w:pPr>
              <w:pStyle w:val="24"/>
              <w:rPr>
                <w:rFonts w:hint="eastAsia" w:ascii="Times New Roman" w:hAnsi="Times New Roman" w:eastAsia="宋体"/>
                <w:b/>
                <w:bCs/>
                <w:color w:val="auto"/>
              </w:rPr>
            </w:pPr>
            <w:r>
              <w:rPr>
                <w:rFonts w:hint="eastAsia" w:ascii="Times New Roman" w:hAnsi="Times New Roman" w:eastAsia="宋体"/>
                <w:b/>
                <w:bCs/>
                <w:color w:val="auto"/>
              </w:rPr>
              <w:t>机动车保有量（辆/a）</w:t>
            </w:r>
          </w:p>
        </w:tc>
        <w:tc>
          <w:tcPr>
            <w:tcW w:w="1258" w:type="pct"/>
            <w:shd w:val="clear" w:color="auto" w:fill="auto"/>
            <w:vAlign w:val="center"/>
          </w:tcPr>
          <w:p w14:paraId="46FCA73C">
            <w:pPr>
              <w:pStyle w:val="24"/>
              <w:rPr>
                <w:rFonts w:hint="eastAsia" w:ascii="Times New Roman" w:hAnsi="Times New Roman" w:eastAsia="宋体"/>
                <w:b/>
                <w:bCs/>
                <w:color w:val="auto"/>
              </w:rPr>
            </w:pPr>
            <w:r>
              <w:rPr>
                <w:rFonts w:hint="eastAsia" w:ascii="Times New Roman" w:hAnsi="Times New Roman" w:eastAsia="宋体"/>
                <w:b/>
                <w:bCs/>
                <w:color w:val="auto"/>
              </w:rPr>
              <w:t>排放量（t/a）</w:t>
            </w:r>
          </w:p>
        </w:tc>
      </w:tr>
      <w:tr w14:paraId="6D380C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224" w:type="pct"/>
            <w:shd w:val="clear" w:color="auto" w:fill="auto"/>
            <w:vAlign w:val="center"/>
          </w:tcPr>
          <w:p w14:paraId="522DA049">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颗粒物</w:t>
            </w:r>
          </w:p>
        </w:tc>
        <w:tc>
          <w:tcPr>
            <w:tcW w:w="1258" w:type="pct"/>
            <w:shd w:val="clear" w:color="auto" w:fill="auto"/>
            <w:vAlign w:val="center"/>
          </w:tcPr>
          <w:p w14:paraId="132467AF">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0</w:t>
            </w:r>
          </w:p>
        </w:tc>
        <w:tc>
          <w:tcPr>
            <w:tcW w:w="1258" w:type="pct"/>
            <w:vMerge w:val="restart"/>
            <w:shd w:val="clear" w:color="auto" w:fill="auto"/>
            <w:vAlign w:val="center"/>
          </w:tcPr>
          <w:p w14:paraId="2507E94F">
            <w:pPr>
              <w:pStyle w:val="24"/>
              <w:rPr>
                <w:rFonts w:hint="default" w:ascii="Times New Roman" w:hAnsi="Times New Roman" w:eastAsia="宋体"/>
                <w:b w:val="0"/>
                <w:bCs w:val="0"/>
                <w:color w:val="auto"/>
                <w:lang w:val="en-US" w:eastAsia="zh-CN"/>
              </w:rPr>
            </w:pPr>
            <w:r>
              <w:rPr>
                <w:rFonts w:hint="eastAsia" w:ascii="Times New Roman" w:hAnsi="Times New Roman" w:eastAsia="宋体"/>
                <w:b w:val="0"/>
                <w:bCs w:val="0"/>
                <w:color w:val="auto"/>
                <w:lang w:val="en-US" w:eastAsia="zh-CN"/>
              </w:rPr>
              <w:t>30</w:t>
            </w:r>
          </w:p>
        </w:tc>
        <w:tc>
          <w:tcPr>
            <w:tcW w:w="1258" w:type="pct"/>
            <w:shd w:val="clear" w:color="auto" w:fill="auto"/>
            <w:vAlign w:val="center"/>
          </w:tcPr>
          <w:p w14:paraId="37A451AE">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0</w:t>
            </w:r>
          </w:p>
        </w:tc>
      </w:tr>
      <w:tr w14:paraId="1A482E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224" w:type="pct"/>
            <w:shd w:val="clear" w:color="auto" w:fill="auto"/>
            <w:vAlign w:val="center"/>
          </w:tcPr>
          <w:p w14:paraId="7725EE6F">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NOx</w:t>
            </w:r>
          </w:p>
        </w:tc>
        <w:tc>
          <w:tcPr>
            <w:tcW w:w="1258" w:type="pct"/>
            <w:shd w:val="clear" w:color="auto" w:fill="auto"/>
            <w:vAlign w:val="center"/>
          </w:tcPr>
          <w:p w14:paraId="7F197BD1">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59131</w:t>
            </w:r>
          </w:p>
        </w:tc>
        <w:tc>
          <w:tcPr>
            <w:tcW w:w="1258" w:type="pct"/>
            <w:vMerge w:val="continue"/>
            <w:shd w:val="clear" w:color="auto" w:fill="auto"/>
            <w:vAlign w:val="center"/>
          </w:tcPr>
          <w:p w14:paraId="11614138">
            <w:pPr>
              <w:pStyle w:val="24"/>
              <w:rPr>
                <w:rFonts w:hint="eastAsia" w:ascii="Times New Roman" w:hAnsi="Times New Roman" w:eastAsia="宋体"/>
                <w:b w:val="0"/>
                <w:bCs w:val="0"/>
                <w:color w:val="auto"/>
              </w:rPr>
            </w:pPr>
          </w:p>
        </w:tc>
        <w:tc>
          <w:tcPr>
            <w:tcW w:w="1258" w:type="pct"/>
            <w:shd w:val="clear" w:color="auto" w:fill="auto"/>
            <w:vAlign w:val="center"/>
          </w:tcPr>
          <w:p w14:paraId="0C4B1D0E">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1.774</w:t>
            </w:r>
          </w:p>
        </w:tc>
      </w:tr>
      <w:tr w14:paraId="24CE66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224" w:type="pct"/>
            <w:shd w:val="clear" w:color="auto" w:fill="auto"/>
            <w:vAlign w:val="center"/>
          </w:tcPr>
          <w:p w14:paraId="5B7C2F6A">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VOCs</w:t>
            </w:r>
          </w:p>
        </w:tc>
        <w:tc>
          <w:tcPr>
            <w:tcW w:w="1258" w:type="pct"/>
            <w:shd w:val="clear" w:color="auto" w:fill="auto"/>
            <w:vAlign w:val="center"/>
          </w:tcPr>
          <w:p w14:paraId="104F7CDE">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6942</w:t>
            </w:r>
          </w:p>
        </w:tc>
        <w:tc>
          <w:tcPr>
            <w:tcW w:w="1258" w:type="pct"/>
            <w:vMerge w:val="continue"/>
            <w:shd w:val="clear" w:color="auto" w:fill="auto"/>
            <w:vAlign w:val="center"/>
          </w:tcPr>
          <w:p w14:paraId="71475A64">
            <w:pPr>
              <w:pStyle w:val="24"/>
              <w:rPr>
                <w:rFonts w:hint="eastAsia" w:ascii="Times New Roman" w:hAnsi="Times New Roman" w:eastAsia="宋体"/>
                <w:b w:val="0"/>
                <w:bCs w:val="0"/>
                <w:color w:val="auto"/>
              </w:rPr>
            </w:pPr>
          </w:p>
        </w:tc>
        <w:tc>
          <w:tcPr>
            <w:tcW w:w="1258" w:type="pct"/>
            <w:shd w:val="clear" w:color="auto" w:fill="auto"/>
            <w:vAlign w:val="center"/>
          </w:tcPr>
          <w:p w14:paraId="075B409A">
            <w:pPr>
              <w:pStyle w:val="24"/>
              <w:rPr>
                <w:rFonts w:hint="eastAsia" w:ascii="Times New Roman" w:hAnsi="Times New Roman" w:eastAsia="宋体"/>
                <w:b w:val="0"/>
                <w:bCs w:val="0"/>
                <w:color w:val="auto"/>
              </w:rPr>
            </w:pPr>
            <w:r>
              <w:rPr>
                <w:rFonts w:hint="eastAsia" w:ascii="Times New Roman" w:hAnsi="Times New Roman" w:eastAsia="宋体"/>
                <w:b w:val="0"/>
                <w:bCs w:val="0"/>
                <w:color w:val="auto"/>
              </w:rPr>
              <w:t>0.2083</w:t>
            </w:r>
          </w:p>
        </w:tc>
      </w:tr>
    </w:tbl>
    <w:p w14:paraId="33B38F3D">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大气环境防护距离</w:t>
      </w:r>
    </w:p>
    <w:p w14:paraId="3D612556">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zh-CN"/>
        </w:rPr>
        <w:t>根据</w:t>
      </w:r>
      <w:r>
        <w:rPr>
          <w:rFonts w:hint="default" w:ascii="Times New Roman" w:hAnsi="Times New Roman" w:cs="Times New Roman"/>
          <w:color w:val="auto"/>
          <w:highlight w:val="none"/>
        </w:rPr>
        <w:t>《环境影响评价技术导则 大气环境》（HJ2.2-2018），</w:t>
      </w:r>
      <w:r>
        <w:rPr>
          <w:rFonts w:hint="default" w:ascii="Times New Roman" w:hAnsi="Times New Roman" w:cs="Times New Roman"/>
          <w:color w:val="auto"/>
          <w:highlight w:val="none"/>
          <w:lang w:val="en-US" w:eastAsia="zh-CN"/>
        </w:rPr>
        <w:t>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r>
        <w:rPr>
          <w:rFonts w:hint="eastAsia" w:cs="Times New Roman"/>
          <w:color w:val="auto"/>
          <w:highlight w:val="none"/>
          <w:lang w:val="en-US" w:eastAsia="zh-CN"/>
        </w:rPr>
        <w:t>。</w:t>
      </w:r>
      <w:r>
        <w:rPr>
          <w:rFonts w:hint="default" w:ascii="Times New Roman" w:hAnsi="Times New Roman" w:cs="Times New Roman"/>
          <w:color w:val="auto"/>
          <w:highlight w:val="none"/>
        </w:rPr>
        <w:t>大气环境防护距离确定采用进一步预测模型（AERMOD模型）模拟评价基准年内，</w:t>
      </w:r>
      <w:r>
        <w:rPr>
          <w:rFonts w:hint="eastAsia" w:cs="Times New Roman"/>
          <w:color w:val="auto"/>
          <w:highlight w:val="none"/>
          <w:lang w:val="en-US" w:eastAsia="zh-CN"/>
        </w:rPr>
        <w:t>新增</w:t>
      </w:r>
      <w:r>
        <w:rPr>
          <w:rFonts w:hint="default" w:ascii="Times New Roman" w:hAnsi="Times New Roman" w:cs="Times New Roman"/>
          <w:color w:val="auto"/>
          <w:highlight w:val="none"/>
        </w:rPr>
        <w:t>污染源</w:t>
      </w:r>
      <w:r>
        <w:rPr>
          <w:rFonts w:hint="eastAsia" w:cs="Times New Roman"/>
          <w:color w:val="auto"/>
          <w:highlight w:val="none"/>
          <w:lang w:val="en-US" w:eastAsia="zh-CN"/>
        </w:rPr>
        <w:t>-“以新带老”污染源+项目全厂现有污染源正常排放情况下，</w:t>
      </w:r>
      <w:r>
        <w:rPr>
          <w:rFonts w:hint="default" w:ascii="Times New Roman" w:hAnsi="Times New Roman" w:cs="Times New Roman"/>
          <w:color w:val="auto"/>
          <w:highlight w:val="none"/>
        </w:rPr>
        <w:t>对厂界外主要污染物的短期贡献浓度，将从厂界起所有超过环境质量短期浓度标准值的网格区域，以自厂界起至超标区域的最远垂直距离确定为大气环境防护距离。</w:t>
      </w:r>
    </w:p>
    <w:p w14:paraId="58053798">
      <w:pPr>
        <w:pStyle w:val="26"/>
        <w:bidi w:val="0"/>
        <w:rPr>
          <w:rFonts w:hint="default" w:ascii="Times New Roman" w:hAnsi="Times New Roman" w:cs="Times New Roman"/>
          <w:color w:val="auto"/>
          <w:highlight w:val="none"/>
        </w:rPr>
      </w:pPr>
      <w:r>
        <w:rPr>
          <w:rFonts w:hint="eastAsia" w:cs="Times New Roman"/>
          <w:color w:val="auto"/>
          <w:highlight w:val="none"/>
          <w:lang w:val="en-US" w:eastAsia="zh-CN"/>
        </w:rPr>
        <w:t>根据计算，厂界浓度及区域</w:t>
      </w:r>
      <w:r>
        <w:rPr>
          <w:rFonts w:hint="default" w:ascii="Times New Roman" w:hAnsi="Times New Roman" w:cs="Times New Roman"/>
          <w:color w:val="auto"/>
        </w:rPr>
        <w:t>最大落地浓度</w:t>
      </w:r>
      <w:r>
        <w:rPr>
          <w:rFonts w:hint="eastAsia" w:cs="Times New Roman"/>
          <w:color w:val="auto"/>
          <w:lang w:val="en-US" w:eastAsia="zh-CN"/>
        </w:rPr>
        <w:t>如下：</w:t>
      </w:r>
    </w:p>
    <w:p w14:paraId="007A005C">
      <w:pPr>
        <w:pStyle w:val="26"/>
        <w:numPr>
          <w:ilvl w:val="0"/>
          <w:numId w:val="25"/>
        </w:numPr>
        <w:tabs>
          <w:tab w:val="left" w:pos="0"/>
        </w:tabs>
        <w:ind w:left="0" w:leftChars="0" w:firstLine="420" w:firstLineChars="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厂界浓度及区域最大落地浓度预测结果表</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30"/>
        <w:gridCol w:w="1225"/>
        <w:gridCol w:w="1094"/>
        <w:gridCol w:w="1526"/>
        <w:gridCol w:w="1596"/>
        <w:gridCol w:w="1132"/>
        <w:gridCol w:w="1422"/>
        <w:gridCol w:w="678"/>
      </w:tblGrid>
      <w:tr w14:paraId="6E4C50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436" w:type="pct"/>
            <w:shd w:val="clear" w:color="auto" w:fill="auto"/>
            <w:vAlign w:val="center"/>
          </w:tcPr>
          <w:p w14:paraId="269AFE61">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污染物</w:t>
            </w:r>
          </w:p>
        </w:tc>
        <w:tc>
          <w:tcPr>
            <w:tcW w:w="644" w:type="pct"/>
            <w:shd w:val="clear" w:color="auto" w:fill="auto"/>
            <w:vAlign w:val="center"/>
          </w:tcPr>
          <w:p w14:paraId="0219F30F">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预测点</w:t>
            </w:r>
          </w:p>
        </w:tc>
        <w:tc>
          <w:tcPr>
            <w:tcW w:w="575" w:type="pct"/>
            <w:shd w:val="clear" w:color="auto" w:fill="auto"/>
            <w:vAlign w:val="center"/>
          </w:tcPr>
          <w:p w14:paraId="5BE6BB9D">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平均时段</w:t>
            </w:r>
          </w:p>
        </w:tc>
        <w:tc>
          <w:tcPr>
            <w:tcW w:w="802" w:type="pct"/>
            <w:shd w:val="clear" w:color="auto" w:fill="auto"/>
            <w:vAlign w:val="center"/>
          </w:tcPr>
          <w:p w14:paraId="27699026">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最大贡献值（mg/m</w:t>
            </w:r>
            <w:r>
              <w:rPr>
                <w:rFonts w:hint="default" w:ascii="Times New Roman" w:hAnsi="Times New Roman" w:cs="Times New Roman"/>
                <w:b/>
                <w:bCs/>
                <w:color w:val="auto"/>
                <w:vertAlign w:val="superscript"/>
              </w:rPr>
              <w:t>3</w:t>
            </w:r>
            <w:r>
              <w:rPr>
                <w:rFonts w:hint="default" w:ascii="Times New Roman" w:hAnsi="Times New Roman" w:cs="Times New Roman"/>
                <w:b/>
                <w:bCs/>
                <w:color w:val="auto"/>
              </w:rPr>
              <w:t>）</w:t>
            </w:r>
          </w:p>
        </w:tc>
        <w:tc>
          <w:tcPr>
            <w:tcW w:w="839" w:type="pct"/>
            <w:shd w:val="clear" w:color="auto" w:fill="auto"/>
            <w:vAlign w:val="center"/>
          </w:tcPr>
          <w:p w14:paraId="34297A8F">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出现时间</w:t>
            </w:r>
          </w:p>
          <w:p w14:paraId="6F5F5583">
            <w:pPr>
              <w:pStyle w:val="24"/>
              <w:keepNext w:val="0"/>
              <w:keepLines w:val="0"/>
              <w:suppressLineNumbers w:val="0"/>
              <w:spacing w:before="31" w:beforeAutospacing="0" w:after="31" w:afterAutospacing="0"/>
              <w:ind w:left="0" w:right="0"/>
              <w:rPr>
                <w:rFonts w:hint="eastAsia" w:ascii="Times New Roman" w:hAnsi="Times New Roman" w:eastAsia="宋体" w:cs="Times New Roman"/>
                <w:b/>
                <w:bCs/>
                <w:color w:val="auto"/>
                <w:lang w:eastAsia="zh-CN"/>
              </w:rPr>
            </w:pPr>
            <w:r>
              <w:rPr>
                <w:rFonts w:hint="eastAsia" w:ascii="Times New Roman" w:hAnsi="Times New Roman" w:cs="Times New Roman"/>
                <w:b/>
                <w:bCs/>
                <w:color w:val="auto"/>
                <w:lang w:eastAsia="zh-CN"/>
              </w:rPr>
              <w:t>（</w:t>
            </w:r>
            <w:r>
              <w:rPr>
                <w:rFonts w:hint="eastAsia" w:ascii="Times New Roman" w:hAnsi="Times New Roman" w:cs="Times New Roman"/>
                <w:b/>
                <w:bCs/>
                <w:color w:val="auto"/>
                <w:lang w:val="en-US" w:eastAsia="zh-CN"/>
              </w:rPr>
              <w:t>位置</w:t>
            </w:r>
            <w:r>
              <w:rPr>
                <w:rFonts w:hint="eastAsia" w:ascii="Times New Roman" w:hAnsi="Times New Roman" w:cs="Times New Roman"/>
                <w:b/>
                <w:bCs/>
                <w:color w:val="auto"/>
                <w:lang w:eastAsia="zh-CN"/>
              </w:rPr>
              <w:t>）</w:t>
            </w:r>
          </w:p>
        </w:tc>
        <w:tc>
          <w:tcPr>
            <w:tcW w:w="595" w:type="pct"/>
            <w:shd w:val="clear" w:color="auto" w:fill="auto"/>
            <w:vAlign w:val="center"/>
          </w:tcPr>
          <w:p w14:paraId="0A12AD25">
            <w:pPr>
              <w:pStyle w:val="24"/>
              <w:keepNext w:val="0"/>
              <w:keepLines w:val="0"/>
              <w:suppressLineNumbers w:val="0"/>
              <w:spacing w:before="31" w:beforeAutospacing="0" w:after="31" w:afterAutospacing="0"/>
              <w:ind w:left="0" w:right="0"/>
              <w:rPr>
                <w:rFonts w:hint="default" w:ascii="Times New Roman" w:hAnsi="Times New Roman" w:eastAsia="宋体" w:cs="Times New Roman"/>
                <w:b/>
                <w:bCs/>
                <w:color w:val="auto"/>
                <w:lang w:val="en-US" w:eastAsia="zh-CN"/>
              </w:rPr>
            </w:pPr>
            <w:r>
              <w:rPr>
                <w:rFonts w:hint="eastAsia" w:cs="Times New Roman"/>
                <w:b/>
                <w:bCs/>
                <w:color w:val="auto"/>
                <w:lang w:val="en-US" w:eastAsia="zh-CN"/>
              </w:rPr>
              <w:t>评价标准</w:t>
            </w:r>
          </w:p>
        </w:tc>
        <w:tc>
          <w:tcPr>
            <w:tcW w:w="748" w:type="pct"/>
            <w:shd w:val="clear" w:color="auto" w:fill="auto"/>
            <w:vAlign w:val="center"/>
          </w:tcPr>
          <w:p w14:paraId="16ED7CE5">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占标率（%）</w:t>
            </w:r>
          </w:p>
        </w:tc>
        <w:tc>
          <w:tcPr>
            <w:tcW w:w="356" w:type="pct"/>
            <w:shd w:val="clear" w:color="auto" w:fill="auto"/>
            <w:vAlign w:val="center"/>
          </w:tcPr>
          <w:p w14:paraId="018BBE05">
            <w:pPr>
              <w:pStyle w:val="24"/>
              <w:keepNext w:val="0"/>
              <w:keepLines w:val="0"/>
              <w:suppressLineNumbers w:val="0"/>
              <w:spacing w:before="31" w:beforeAutospacing="0" w:after="31"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达标情况</w:t>
            </w:r>
          </w:p>
        </w:tc>
      </w:tr>
      <w:tr w14:paraId="1F105B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36" w:type="pct"/>
            <w:vMerge w:val="restart"/>
            <w:vAlign w:val="center"/>
          </w:tcPr>
          <w:p w14:paraId="138037FF">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r>
              <w:rPr>
                <w:rFonts w:hint="eastAsia" w:eastAsia="宋体"/>
                <w:color w:val="auto"/>
              </w:rPr>
              <w:t>PM</w:t>
            </w:r>
            <w:r>
              <w:rPr>
                <w:rFonts w:hint="eastAsia"/>
                <w:color w:val="auto"/>
                <w:vertAlign w:val="subscript"/>
                <w:lang w:val="en-US" w:eastAsia="zh-CN"/>
              </w:rPr>
              <w:t>10</w:t>
            </w:r>
          </w:p>
        </w:tc>
        <w:tc>
          <w:tcPr>
            <w:tcW w:w="644" w:type="pct"/>
            <w:vAlign w:val="center"/>
          </w:tcPr>
          <w:p w14:paraId="661D4063">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0A772296">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57529E0E">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olor w:val="auto"/>
                <w:sz w:val="21"/>
                <w:szCs w:val="21"/>
                <w:lang w:val="en-US" w:eastAsia="zh-CN"/>
              </w:rPr>
              <w:t>2.29E-04</w:t>
            </w:r>
          </w:p>
        </w:tc>
        <w:tc>
          <w:tcPr>
            <w:tcW w:w="839" w:type="pct"/>
            <w:shd w:val="clear" w:color="auto" w:fill="auto"/>
            <w:vAlign w:val="center"/>
          </w:tcPr>
          <w:p w14:paraId="761BA4B5">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olor w:val="auto"/>
                <w:sz w:val="21"/>
                <w:szCs w:val="21"/>
                <w:lang w:val="en-US" w:eastAsia="zh-CN"/>
              </w:rPr>
              <w:t>251107</w:t>
            </w:r>
          </w:p>
        </w:tc>
        <w:tc>
          <w:tcPr>
            <w:tcW w:w="595" w:type="pct"/>
            <w:shd w:val="clear" w:color="auto" w:fill="auto"/>
            <w:vAlign w:val="center"/>
          </w:tcPr>
          <w:p w14:paraId="67C4C19E">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748" w:type="pct"/>
            <w:shd w:val="clear" w:color="auto" w:fill="auto"/>
            <w:vAlign w:val="center"/>
          </w:tcPr>
          <w:p w14:paraId="4B7AF96F">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0.02</w:t>
            </w:r>
          </w:p>
        </w:tc>
        <w:tc>
          <w:tcPr>
            <w:tcW w:w="356" w:type="pct"/>
            <w:shd w:val="clear" w:color="auto" w:fill="auto"/>
            <w:vAlign w:val="center"/>
          </w:tcPr>
          <w:p w14:paraId="37F404EA">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达标</w:t>
            </w:r>
          </w:p>
        </w:tc>
      </w:tr>
      <w:tr w14:paraId="387BCE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36" w:type="pct"/>
            <w:vMerge w:val="continue"/>
            <w:vAlign w:val="center"/>
          </w:tcPr>
          <w:p w14:paraId="3FD3FFC3">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644" w:type="pct"/>
            <w:vAlign w:val="center"/>
          </w:tcPr>
          <w:p w14:paraId="26044F0D">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r>
              <w:rPr>
                <w:rFonts w:hint="default" w:ascii="Times New Roman" w:hAnsi="Times New Roman" w:cs="Times New Roman"/>
                <w:color w:val="auto"/>
              </w:rPr>
              <w:t>区域最大落地浓度</w:t>
            </w:r>
          </w:p>
        </w:tc>
        <w:tc>
          <w:tcPr>
            <w:tcW w:w="575" w:type="pct"/>
            <w:shd w:val="clear" w:color="auto" w:fill="auto"/>
            <w:vAlign w:val="center"/>
          </w:tcPr>
          <w:p w14:paraId="05B8F938">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1308458D">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2.31E-04</w:t>
            </w:r>
          </w:p>
        </w:tc>
        <w:tc>
          <w:tcPr>
            <w:tcW w:w="839" w:type="pct"/>
            <w:shd w:val="clear" w:color="auto" w:fill="auto"/>
            <w:vAlign w:val="center"/>
          </w:tcPr>
          <w:p w14:paraId="7A290F37">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250921（-55,47）</w:t>
            </w:r>
          </w:p>
        </w:tc>
        <w:tc>
          <w:tcPr>
            <w:tcW w:w="595" w:type="pct"/>
            <w:shd w:val="clear" w:color="auto" w:fill="auto"/>
            <w:vAlign w:val="center"/>
          </w:tcPr>
          <w:p w14:paraId="7772A227">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w:t>
            </w:r>
            <w:r>
              <w:rPr>
                <w:rFonts w:hint="eastAsia" w:cs="Times New Roman"/>
                <w:color w:val="auto"/>
                <w:sz w:val="21"/>
                <w:szCs w:val="21"/>
                <w:lang w:val="en-US" w:eastAsia="zh-CN"/>
              </w:rPr>
              <w:t>2</w:t>
            </w:r>
          </w:p>
        </w:tc>
        <w:tc>
          <w:tcPr>
            <w:tcW w:w="748" w:type="pct"/>
            <w:shd w:val="clear" w:color="auto" w:fill="auto"/>
            <w:vAlign w:val="center"/>
          </w:tcPr>
          <w:p w14:paraId="4E9110B0">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0.19</w:t>
            </w:r>
          </w:p>
        </w:tc>
        <w:tc>
          <w:tcPr>
            <w:tcW w:w="356" w:type="pct"/>
            <w:shd w:val="clear" w:color="auto" w:fill="auto"/>
            <w:vAlign w:val="center"/>
          </w:tcPr>
          <w:p w14:paraId="7A774AED">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050203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0" w:hRule="atLeast"/>
        </w:trPr>
        <w:tc>
          <w:tcPr>
            <w:tcW w:w="436" w:type="pct"/>
            <w:vMerge w:val="restart"/>
            <w:vAlign w:val="center"/>
          </w:tcPr>
          <w:p w14:paraId="1A7BABE7">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lang w:val="en-US"/>
              </w:rPr>
            </w:pPr>
            <w:r>
              <w:rPr>
                <w:rFonts w:hint="eastAsia" w:eastAsia="宋体"/>
                <w:color w:val="auto"/>
              </w:rPr>
              <w:t>PM</w:t>
            </w:r>
            <w:r>
              <w:rPr>
                <w:rFonts w:hint="eastAsia"/>
                <w:color w:val="auto"/>
                <w:vertAlign w:val="subscript"/>
                <w:lang w:val="en-US" w:eastAsia="zh-CN"/>
              </w:rPr>
              <w:t>2.5</w:t>
            </w:r>
          </w:p>
        </w:tc>
        <w:tc>
          <w:tcPr>
            <w:tcW w:w="644" w:type="pct"/>
            <w:vAlign w:val="center"/>
          </w:tcPr>
          <w:p w14:paraId="72C7C0E7">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4243DBAD">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7598B05F">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1.14E-04</w:t>
            </w:r>
          </w:p>
        </w:tc>
        <w:tc>
          <w:tcPr>
            <w:tcW w:w="839" w:type="pct"/>
            <w:shd w:val="clear" w:color="auto" w:fill="auto"/>
            <w:vAlign w:val="center"/>
          </w:tcPr>
          <w:p w14:paraId="2328B109">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251107</w:t>
            </w:r>
          </w:p>
        </w:tc>
        <w:tc>
          <w:tcPr>
            <w:tcW w:w="595" w:type="pct"/>
            <w:shd w:val="clear" w:color="auto" w:fill="auto"/>
            <w:vAlign w:val="center"/>
          </w:tcPr>
          <w:p w14:paraId="4505B2C3">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748" w:type="pct"/>
            <w:shd w:val="clear" w:color="auto" w:fill="auto"/>
            <w:vAlign w:val="center"/>
          </w:tcPr>
          <w:p w14:paraId="4C1BE726">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356" w:type="pct"/>
            <w:shd w:val="clear" w:color="auto" w:fill="auto"/>
            <w:vAlign w:val="center"/>
          </w:tcPr>
          <w:p w14:paraId="06E3D199">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021178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0" w:hRule="atLeast"/>
        </w:trPr>
        <w:tc>
          <w:tcPr>
            <w:tcW w:w="436" w:type="pct"/>
            <w:vMerge w:val="continue"/>
            <w:vAlign w:val="center"/>
          </w:tcPr>
          <w:p w14:paraId="2CE794FB">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644" w:type="pct"/>
            <w:vAlign w:val="center"/>
          </w:tcPr>
          <w:p w14:paraId="2F7A51F2">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r>
              <w:rPr>
                <w:rFonts w:hint="default" w:ascii="Times New Roman" w:hAnsi="Times New Roman" w:cs="Times New Roman"/>
                <w:color w:val="auto"/>
              </w:rPr>
              <w:t>区域最大落地浓度</w:t>
            </w:r>
          </w:p>
        </w:tc>
        <w:tc>
          <w:tcPr>
            <w:tcW w:w="575" w:type="pct"/>
            <w:shd w:val="clear" w:color="auto" w:fill="auto"/>
            <w:vAlign w:val="center"/>
          </w:tcPr>
          <w:p w14:paraId="5D1C3176">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14FA3597">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1.15E-04</w:t>
            </w:r>
          </w:p>
        </w:tc>
        <w:tc>
          <w:tcPr>
            <w:tcW w:w="839" w:type="pct"/>
            <w:shd w:val="clear" w:color="auto" w:fill="auto"/>
            <w:vAlign w:val="center"/>
          </w:tcPr>
          <w:p w14:paraId="7F4E513C">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250921（-55,47）</w:t>
            </w:r>
          </w:p>
        </w:tc>
        <w:tc>
          <w:tcPr>
            <w:tcW w:w="595" w:type="pct"/>
            <w:shd w:val="clear" w:color="auto" w:fill="auto"/>
            <w:vAlign w:val="center"/>
          </w:tcPr>
          <w:p w14:paraId="5B46ED31">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w:t>
            </w:r>
            <w:r>
              <w:rPr>
                <w:rFonts w:hint="eastAsia" w:cs="Times New Roman"/>
                <w:color w:val="auto"/>
                <w:sz w:val="21"/>
                <w:szCs w:val="21"/>
                <w:lang w:val="en-US" w:eastAsia="zh-CN"/>
              </w:rPr>
              <w:t>6</w:t>
            </w:r>
          </w:p>
        </w:tc>
        <w:tc>
          <w:tcPr>
            <w:tcW w:w="748" w:type="pct"/>
            <w:shd w:val="clear" w:color="auto" w:fill="auto"/>
            <w:vAlign w:val="center"/>
          </w:tcPr>
          <w:p w14:paraId="35C8ED00">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0.19</w:t>
            </w:r>
          </w:p>
        </w:tc>
        <w:tc>
          <w:tcPr>
            <w:tcW w:w="356" w:type="pct"/>
            <w:shd w:val="clear" w:color="auto" w:fill="auto"/>
            <w:vAlign w:val="center"/>
          </w:tcPr>
          <w:p w14:paraId="73ECEF10">
            <w:pPr>
              <w:pStyle w:val="34"/>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7E92D6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0" w:hRule="atLeast"/>
        </w:trPr>
        <w:tc>
          <w:tcPr>
            <w:tcW w:w="436" w:type="pct"/>
            <w:vMerge w:val="restart"/>
            <w:vAlign w:val="center"/>
          </w:tcPr>
          <w:p w14:paraId="78D47142">
            <w:pPr>
              <w:pStyle w:val="34"/>
              <w:keepNext w:val="0"/>
              <w:keepLines w:val="0"/>
              <w:suppressLineNumbers w:val="0"/>
              <w:spacing w:before="0" w:beforeAutospacing="0" w:after="0" w:afterAutospacing="0" w:line="240" w:lineRule="auto"/>
              <w:ind w:left="0" w:leftChars="0" w:right="0" w:rightChars="0"/>
              <w:rPr>
                <w:rFonts w:hint="default" w:eastAsia="宋体"/>
                <w:color w:val="auto"/>
                <w:lang w:val="en-US" w:eastAsia="zh-CN"/>
              </w:rPr>
            </w:pPr>
            <w:r>
              <w:rPr>
                <w:rFonts w:hint="eastAsia"/>
                <w:color w:val="auto"/>
                <w:lang w:val="en-US" w:eastAsia="zh-CN"/>
              </w:rPr>
              <w:t>TSP</w:t>
            </w:r>
          </w:p>
        </w:tc>
        <w:tc>
          <w:tcPr>
            <w:tcW w:w="644" w:type="pct"/>
            <w:vAlign w:val="center"/>
          </w:tcPr>
          <w:p w14:paraId="30BF00CF">
            <w:pPr>
              <w:pStyle w:val="24"/>
              <w:keepNext w:val="0"/>
              <w:keepLines w:val="0"/>
              <w:suppressLineNumbers w:val="0"/>
              <w:spacing w:before="31" w:beforeAutospacing="0" w:after="31" w:afterAutospacing="0"/>
              <w:ind w:left="0" w:leftChars="0" w:right="0" w:rightChars="0"/>
              <w:rPr>
                <w:color w:val="auto"/>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7C198DD0">
            <w:pPr>
              <w:pStyle w:val="34"/>
              <w:keepNext w:val="0"/>
              <w:keepLines w:val="0"/>
              <w:suppressLineNumbers w:val="0"/>
              <w:spacing w:before="0" w:beforeAutospacing="0" w:after="0" w:afterAutospacing="0" w:line="240" w:lineRule="auto"/>
              <w:ind w:left="0" w:leftChars="0" w:right="0" w:rightChars="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5404D408">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4.33E-04</w:t>
            </w:r>
          </w:p>
        </w:tc>
        <w:tc>
          <w:tcPr>
            <w:tcW w:w="839" w:type="pct"/>
            <w:shd w:val="clear" w:color="auto" w:fill="auto"/>
            <w:vAlign w:val="center"/>
          </w:tcPr>
          <w:p w14:paraId="333F751D">
            <w:pPr>
              <w:pStyle w:val="24"/>
              <w:ind w:left="0" w:leftChars="0"/>
              <w:rPr>
                <w:rFonts w:hint="eastAsia"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250531</w:t>
            </w:r>
          </w:p>
        </w:tc>
        <w:tc>
          <w:tcPr>
            <w:tcW w:w="595" w:type="pct"/>
            <w:shd w:val="clear" w:color="auto" w:fill="auto"/>
            <w:vAlign w:val="center"/>
          </w:tcPr>
          <w:p w14:paraId="1D83BD67">
            <w:pPr>
              <w:pStyle w:val="24"/>
              <w:ind w:left="0" w:leftChars="0"/>
              <w:rPr>
                <w:rFonts w:hint="default" w:ascii="Times New Roman" w:hAnsi="Times New Roman" w:eastAsia="宋体"/>
                <w:color w:val="auto"/>
                <w:sz w:val="21"/>
                <w:szCs w:val="21"/>
                <w:lang w:val="en-US" w:eastAsia="zh-CN"/>
              </w:rPr>
            </w:pPr>
            <w:r>
              <w:rPr>
                <w:rFonts w:hint="eastAsia"/>
                <w:color w:val="auto"/>
                <w:sz w:val="21"/>
                <w:szCs w:val="21"/>
                <w:lang w:val="en-US" w:eastAsia="zh-CN"/>
              </w:rPr>
              <w:t>1.0</w:t>
            </w:r>
          </w:p>
        </w:tc>
        <w:tc>
          <w:tcPr>
            <w:tcW w:w="748" w:type="pct"/>
            <w:shd w:val="clear" w:color="auto" w:fill="auto"/>
            <w:vAlign w:val="center"/>
          </w:tcPr>
          <w:p w14:paraId="22BA0F40">
            <w:pPr>
              <w:pStyle w:val="24"/>
              <w:ind w:left="0" w:leftChars="0"/>
              <w:rPr>
                <w:rFonts w:hint="default" w:ascii="Times New Roman" w:hAnsi="Times New Roman" w:eastAsia="宋体"/>
                <w:color w:val="auto"/>
                <w:sz w:val="21"/>
                <w:szCs w:val="21"/>
                <w:lang w:val="en-US" w:eastAsia="zh-CN"/>
              </w:rPr>
            </w:pPr>
            <w:r>
              <w:rPr>
                <w:rFonts w:hint="eastAsia"/>
                <w:color w:val="auto"/>
                <w:sz w:val="21"/>
                <w:szCs w:val="21"/>
                <w:lang w:val="en-US" w:eastAsia="zh-CN"/>
              </w:rPr>
              <w:t>0.04</w:t>
            </w:r>
          </w:p>
        </w:tc>
        <w:tc>
          <w:tcPr>
            <w:tcW w:w="356" w:type="pct"/>
            <w:shd w:val="clear" w:color="auto" w:fill="auto"/>
            <w:vAlign w:val="center"/>
          </w:tcPr>
          <w:p w14:paraId="00A26B84">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达标</w:t>
            </w:r>
          </w:p>
        </w:tc>
      </w:tr>
      <w:tr w14:paraId="21DCBD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0" w:hRule="atLeast"/>
        </w:trPr>
        <w:tc>
          <w:tcPr>
            <w:tcW w:w="436" w:type="pct"/>
            <w:vMerge w:val="continue"/>
            <w:vAlign w:val="center"/>
          </w:tcPr>
          <w:p w14:paraId="4EDA5574">
            <w:pPr>
              <w:pStyle w:val="34"/>
              <w:keepNext w:val="0"/>
              <w:keepLines w:val="0"/>
              <w:suppressLineNumbers w:val="0"/>
              <w:spacing w:before="0" w:beforeAutospacing="0" w:after="0" w:afterAutospacing="0" w:line="240" w:lineRule="auto"/>
              <w:ind w:left="0" w:leftChars="0" w:right="0" w:rightChars="0"/>
              <w:rPr>
                <w:color w:val="auto"/>
              </w:rPr>
            </w:pPr>
          </w:p>
        </w:tc>
        <w:tc>
          <w:tcPr>
            <w:tcW w:w="644" w:type="pct"/>
            <w:vAlign w:val="center"/>
          </w:tcPr>
          <w:p w14:paraId="308C0C91">
            <w:pPr>
              <w:pStyle w:val="24"/>
              <w:keepNext w:val="0"/>
              <w:keepLines w:val="0"/>
              <w:suppressLineNumbers w:val="0"/>
              <w:spacing w:before="31" w:beforeAutospacing="0" w:after="31" w:afterAutospacing="0"/>
              <w:ind w:left="0" w:leftChars="0" w:right="0" w:rightChars="0"/>
              <w:rPr>
                <w:color w:val="auto"/>
              </w:rPr>
            </w:pPr>
            <w:r>
              <w:rPr>
                <w:rFonts w:hint="default" w:ascii="Times New Roman" w:hAnsi="Times New Roman" w:cs="Times New Roman"/>
                <w:color w:val="auto"/>
              </w:rPr>
              <w:t>区域最大落地浓度</w:t>
            </w:r>
          </w:p>
        </w:tc>
        <w:tc>
          <w:tcPr>
            <w:tcW w:w="575" w:type="pct"/>
            <w:shd w:val="clear" w:color="auto" w:fill="auto"/>
            <w:vAlign w:val="center"/>
          </w:tcPr>
          <w:p w14:paraId="7DC3C0FA">
            <w:pPr>
              <w:pStyle w:val="34"/>
              <w:keepNext w:val="0"/>
              <w:keepLines w:val="0"/>
              <w:suppressLineNumbers w:val="0"/>
              <w:spacing w:before="0" w:beforeAutospacing="0" w:after="0" w:afterAutospacing="0" w:line="240" w:lineRule="auto"/>
              <w:ind w:left="0" w:leftChars="0" w:right="0" w:rightChars="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68337AD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1.91E-03</w:t>
            </w:r>
          </w:p>
        </w:tc>
        <w:tc>
          <w:tcPr>
            <w:tcW w:w="839" w:type="pct"/>
            <w:shd w:val="clear" w:color="auto" w:fill="auto"/>
            <w:vAlign w:val="center"/>
          </w:tcPr>
          <w:p w14:paraId="1BD436A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250123（245,-153）</w:t>
            </w:r>
          </w:p>
        </w:tc>
        <w:tc>
          <w:tcPr>
            <w:tcW w:w="595" w:type="pct"/>
            <w:shd w:val="clear" w:color="auto" w:fill="auto"/>
            <w:vAlign w:val="center"/>
          </w:tcPr>
          <w:p w14:paraId="49927C72">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0.3</w:t>
            </w:r>
          </w:p>
        </w:tc>
        <w:tc>
          <w:tcPr>
            <w:tcW w:w="748" w:type="pct"/>
            <w:shd w:val="clear" w:color="auto" w:fill="auto"/>
            <w:vAlign w:val="center"/>
          </w:tcPr>
          <w:p w14:paraId="0CB38D99">
            <w:pPr>
              <w:pStyle w:val="24"/>
              <w:ind w:left="0" w:leftChars="0"/>
              <w:rPr>
                <w:rFonts w:hint="default" w:ascii="Times New Roman" w:hAnsi="Times New Roman" w:eastAsia="宋体"/>
                <w:color w:val="auto"/>
                <w:sz w:val="21"/>
                <w:szCs w:val="21"/>
                <w:lang w:val="en-US" w:eastAsia="zh-CN"/>
              </w:rPr>
            </w:pPr>
            <w:r>
              <w:rPr>
                <w:rFonts w:hint="eastAsia"/>
                <w:color w:val="auto"/>
                <w:sz w:val="21"/>
                <w:szCs w:val="21"/>
                <w:lang w:val="en-US" w:eastAsia="zh-CN"/>
              </w:rPr>
              <w:t>0.64</w:t>
            </w:r>
          </w:p>
        </w:tc>
        <w:tc>
          <w:tcPr>
            <w:tcW w:w="356" w:type="pct"/>
            <w:shd w:val="clear" w:color="auto" w:fill="auto"/>
            <w:vAlign w:val="center"/>
          </w:tcPr>
          <w:p w14:paraId="57B97406">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rPr>
              <w:t>达标</w:t>
            </w:r>
          </w:p>
        </w:tc>
      </w:tr>
      <w:tr w14:paraId="5DA501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restart"/>
            <w:shd w:val="clear" w:color="auto" w:fill="auto"/>
            <w:vAlign w:val="center"/>
          </w:tcPr>
          <w:p w14:paraId="33C4D989">
            <w:pPr>
              <w:pStyle w:val="24"/>
              <w:keepNext w:val="0"/>
              <w:keepLines w:val="0"/>
              <w:suppressLineNumbers w:val="0"/>
              <w:spacing w:before="31" w:beforeAutospacing="0" w:after="31" w:afterAutospacing="0"/>
              <w:ind w:left="0" w:right="0"/>
              <w:rPr>
                <w:rFonts w:hint="eastAsia" w:ascii="Times New Roman" w:hAnsi="Times New Roman" w:eastAsia="宋体" w:cs="Times New Roman"/>
                <w:color w:val="auto"/>
                <w:lang w:eastAsia="zh-CN"/>
              </w:rPr>
            </w:pPr>
            <w:r>
              <w:rPr>
                <w:rFonts w:hint="eastAsia" w:cs="Times New Roman"/>
                <w:color w:val="auto"/>
                <w:lang w:val="en-US" w:eastAsia="zh-CN"/>
              </w:rPr>
              <w:t>氟化物</w:t>
            </w:r>
          </w:p>
        </w:tc>
        <w:tc>
          <w:tcPr>
            <w:tcW w:w="644" w:type="pct"/>
            <w:vMerge w:val="restart"/>
            <w:shd w:val="clear" w:color="auto" w:fill="auto"/>
            <w:vAlign w:val="center"/>
          </w:tcPr>
          <w:p w14:paraId="3A446D6E">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5E540C82">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1小时</w:t>
            </w:r>
          </w:p>
        </w:tc>
        <w:tc>
          <w:tcPr>
            <w:tcW w:w="802" w:type="pct"/>
            <w:shd w:val="clear" w:color="auto" w:fill="auto"/>
            <w:vAlign w:val="center"/>
          </w:tcPr>
          <w:p w14:paraId="6A20B549">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4.08E-03</w:t>
            </w:r>
          </w:p>
        </w:tc>
        <w:tc>
          <w:tcPr>
            <w:tcW w:w="839" w:type="pct"/>
            <w:shd w:val="clear" w:color="auto" w:fill="auto"/>
            <w:vAlign w:val="center"/>
          </w:tcPr>
          <w:p w14:paraId="58DEED89">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25012212</w:t>
            </w:r>
          </w:p>
        </w:tc>
        <w:tc>
          <w:tcPr>
            <w:tcW w:w="595" w:type="pct"/>
            <w:shd w:val="clear" w:color="auto" w:fill="auto"/>
            <w:vAlign w:val="center"/>
          </w:tcPr>
          <w:p w14:paraId="19D65FB5">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0.02</w:t>
            </w:r>
          </w:p>
        </w:tc>
        <w:tc>
          <w:tcPr>
            <w:tcW w:w="748" w:type="pct"/>
            <w:shd w:val="clear" w:color="auto" w:fill="auto"/>
            <w:vAlign w:val="center"/>
          </w:tcPr>
          <w:p w14:paraId="5CFDBF50">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20.40</w:t>
            </w:r>
          </w:p>
        </w:tc>
        <w:tc>
          <w:tcPr>
            <w:tcW w:w="356" w:type="pct"/>
            <w:shd w:val="clear" w:color="auto" w:fill="auto"/>
            <w:vAlign w:val="center"/>
          </w:tcPr>
          <w:p w14:paraId="7D6C6DB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35E1CC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3BC88D75">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644" w:type="pct"/>
            <w:vMerge w:val="continue"/>
            <w:vAlign w:val="center"/>
          </w:tcPr>
          <w:p w14:paraId="4B5DA427">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575" w:type="pct"/>
            <w:shd w:val="clear" w:color="auto" w:fill="auto"/>
            <w:vAlign w:val="center"/>
          </w:tcPr>
          <w:p w14:paraId="3F400510">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5B5B5689">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5.75E-04</w:t>
            </w:r>
          </w:p>
        </w:tc>
        <w:tc>
          <w:tcPr>
            <w:tcW w:w="839" w:type="pct"/>
            <w:shd w:val="clear" w:color="auto" w:fill="auto"/>
            <w:vAlign w:val="center"/>
          </w:tcPr>
          <w:p w14:paraId="5AD12E9A">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250625</w:t>
            </w:r>
          </w:p>
        </w:tc>
        <w:tc>
          <w:tcPr>
            <w:tcW w:w="595" w:type="pct"/>
            <w:shd w:val="clear" w:color="auto" w:fill="auto"/>
            <w:vAlign w:val="center"/>
          </w:tcPr>
          <w:p w14:paraId="599E73A9">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0.02</w:t>
            </w:r>
          </w:p>
        </w:tc>
        <w:tc>
          <w:tcPr>
            <w:tcW w:w="748" w:type="pct"/>
            <w:shd w:val="clear" w:color="auto" w:fill="auto"/>
            <w:vAlign w:val="center"/>
          </w:tcPr>
          <w:p w14:paraId="587AF55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2.88</w:t>
            </w:r>
          </w:p>
        </w:tc>
        <w:tc>
          <w:tcPr>
            <w:tcW w:w="356" w:type="pct"/>
            <w:shd w:val="clear" w:color="auto" w:fill="auto"/>
            <w:vAlign w:val="center"/>
          </w:tcPr>
          <w:p w14:paraId="7996356B">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4435B4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72C17B3A">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644" w:type="pct"/>
            <w:vMerge w:val="restart"/>
            <w:shd w:val="clear" w:color="auto" w:fill="auto"/>
            <w:vAlign w:val="center"/>
          </w:tcPr>
          <w:p w14:paraId="19E77584">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cs="Times New Roman"/>
                <w:color w:val="auto"/>
              </w:rPr>
              <w:t>区域最大落地浓度</w:t>
            </w:r>
          </w:p>
        </w:tc>
        <w:tc>
          <w:tcPr>
            <w:tcW w:w="575" w:type="pct"/>
            <w:shd w:val="clear" w:color="auto" w:fill="auto"/>
            <w:vAlign w:val="center"/>
          </w:tcPr>
          <w:p w14:paraId="02279A23">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1小时</w:t>
            </w:r>
          </w:p>
        </w:tc>
        <w:tc>
          <w:tcPr>
            <w:tcW w:w="802" w:type="pct"/>
            <w:shd w:val="clear" w:color="auto" w:fill="auto"/>
            <w:vAlign w:val="center"/>
          </w:tcPr>
          <w:p w14:paraId="36A3B1B4">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1.16E-02</w:t>
            </w:r>
          </w:p>
        </w:tc>
        <w:tc>
          <w:tcPr>
            <w:tcW w:w="839" w:type="pct"/>
            <w:shd w:val="clear" w:color="auto" w:fill="auto"/>
            <w:vAlign w:val="center"/>
          </w:tcPr>
          <w:p w14:paraId="715BA03E">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25040206（145,47）</w:t>
            </w:r>
          </w:p>
        </w:tc>
        <w:tc>
          <w:tcPr>
            <w:tcW w:w="595" w:type="pct"/>
            <w:shd w:val="clear" w:color="auto" w:fill="auto"/>
            <w:vAlign w:val="center"/>
          </w:tcPr>
          <w:p w14:paraId="6E903897">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0.02</w:t>
            </w:r>
          </w:p>
        </w:tc>
        <w:tc>
          <w:tcPr>
            <w:tcW w:w="748" w:type="pct"/>
            <w:shd w:val="clear" w:color="auto" w:fill="auto"/>
            <w:vAlign w:val="center"/>
          </w:tcPr>
          <w:p w14:paraId="52A7AABF">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57.84</w:t>
            </w:r>
          </w:p>
        </w:tc>
        <w:tc>
          <w:tcPr>
            <w:tcW w:w="356" w:type="pct"/>
            <w:shd w:val="clear" w:color="auto" w:fill="auto"/>
            <w:vAlign w:val="center"/>
          </w:tcPr>
          <w:p w14:paraId="5F66D821">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4067EB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0B2F1C90">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644" w:type="pct"/>
            <w:vMerge w:val="continue"/>
            <w:vAlign w:val="center"/>
          </w:tcPr>
          <w:p w14:paraId="4E689A51">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575" w:type="pct"/>
            <w:shd w:val="clear" w:color="auto" w:fill="auto"/>
            <w:vAlign w:val="center"/>
          </w:tcPr>
          <w:p w14:paraId="692FCC94">
            <w:pPr>
              <w:pStyle w:val="34"/>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712164B4">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7.12E-04</w:t>
            </w:r>
          </w:p>
        </w:tc>
        <w:tc>
          <w:tcPr>
            <w:tcW w:w="839" w:type="pct"/>
            <w:shd w:val="clear" w:color="auto" w:fill="auto"/>
            <w:vAlign w:val="center"/>
          </w:tcPr>
          <w:p w14:paraId="2C78AB1F">
            <w:pPr>
              <w:pStyle w:val="24"/>
              <w:ind w:left="0" w:leftChars="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250123（245,-153）</w:t>
            </w:r>
          </w:p>
        </w:tc>
        <w:tc>
          <w:tcPr>
            <w:tcW w:w="595" w:type="pct"/>
            <w:shd w:val="clear" w:color="auto" w:fill="auto"/>
            <w:vAlign w:val="center"/>
          </w:tcPr>
          <w:p w14:paraId="7EA4F08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0.007</w:t>
            </w:r>
          </w:p>
        </w:tc>
        <w:tc>
          <w:tcPr>
            <w:tcW w:w="748" w:type="pct"/>
            <w:shd w:val="clear" w:color="auto" w:fill="auto"/>
            <w:vAlign w:val="center"/>
          </w:tcPr>
          <w:p w14:paraId="53F4B221">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10.17</w:t>
            </w:r>
          </w:p>
        </w:tc>
        <w:tc>
          <w:tcPr>
            <w:tcW w:w="356" w:type="pct"/>
            <w:shd w:val="clear" w:color="auto" w:fill="auto"/>
            <w:vAlign w:val="center"/>
          </w:tcPr>
          <w:p w14:paraId="37AF4CC1">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0ED11F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restart"/>
            <w:shd w:val="clear" w:color="auto" w:fill="auto"/>
            <w:vAlign w:val="center"/>
          </w:tcPr>
          <w:p w14:paraId="53C64F47">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lang w:val="en-US" w:eastAsia="zh-CN"/>
              </w:rPr>
            </w:pPr>
            <w:r>
              <w:rPr>
                <w:rFonts w:hint="eastAsia" w:cs="Times New Roman"/>
                <w:color w:val="auto"/>
                <w:lang w:val="en-US" w:eastAsia="zh-CN"/>
              </w:rPr>
              <w:t>氯化氢</w:t>
            </w:r>
          </w:p>
        </w:tc>
        <w:tc>
          <w:tcPr>
            <w:tcW w:w="644" w:type="pct"/>
            <w:vMerge w:val="restart"/>
            <w:shd w:val="clear" w:color="auto" w:fill="auto"/>
            <w:vAlign w:val="center"/>
          </w:tcPr>
          <w:p w14:paraId="76444EA3">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0C1FDDC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1小时</w:t>
            </w:r>
          </w:p>
        </w:tc>
        <w:tc>
          <w:tcPr>
            <w:tcW w:w="802" w:type="pct"/>
            <w:shd w:val="clear" w:color="auto" w:fill="auto"/>
            <w:vAlign w:val="center"/>
          </w:tcPr>
          <w:p w14:paraId="1318AE1D">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2.20E-06</w:t>
            </w:r>
          </w:p>
        </w:tc>
        <w:tc>
          <w:tcPr>
            <w:tcW w:w="839" w:type="pct"/>
            <w:shd w:val="clear" w:color="auto" w:fill="auto"/>
            <w:vAlign w:val="center"/>
          </w:tcPr>
          <w:p w14:paraId="6EC48412">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25121209</w:t>
            </w:r>
          </w:p>
        </w:tc>
        <w:tc>
          <w:tcPr>
            <w:tcW w:w="595" w:type="pct"/>
            <w:shd w:val="clear" w:color="auto" w:fill="auto"/>
            <w:vAlign w:val="center"/>
          </w:tcPr>
          <w:p w14:paraId="7905EBCD">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0.2</w:t>
            </w:r>
          </w:p>
        </w:tc>
        <w:tc>
          <w:tcPr>
            <w:tcW w:w="748" w:type="pct"/>
            <w:shd w:val="clear" w:color="auto" w:fill="auto"/>
            <w:vAlign w:val="center"/>
          </w:tcPr>
          <w:p w14:paraId="2B139528">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0.0011</w:t>
            </w:r>
          </w:p>
        </w:tc>
        <w:tc>
          <w:tcPr>
            <w:tcW w:w="356" w:type="pct"/>
            <w:shd w:val="clear" w:color="auto" w:fill="auto"/>
            <w:vAlign w:val="center"/>
          </w:tcPr>
          <w:p w14:paraId="09B39535">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1ABF5A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268F6F8E">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644" w:type="pct"/>
            <w:vMerge w:val="continue"/>
            <w:vAlign w:val="center"/>
          </w:tcPr>
          <w:p w14:paraId="041704EE">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575" w:type="pct"/>
            <w:shd w:val="clear" w:color="auto" w:fill="auto"/>
            <w:vAlign w:val="center"/>
          </w:tcPr>
          <w:p w14:paraId="405DF544">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44DCB0A4">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3.20E-07</w:t>
            </w:r>
          </w:p>
        </w:tc>
        <w:tc>
          <w:tcPr>
            <w:tcW w:w="839" w:type="pct"/>
            <w:shd w:val="clear" w:color="auto" w:fill="auto"/>
            <w:vAlign w:val="center"/>
          </w:tcPr>
          <w:p w14:paraId="77B49E51">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250707</w:t>
            </w:r>
          </w:p>
        </w:tc>
        <w:tc>
          <w:tcPr>
            <w:tcW w:w="595" w:type="pct"/>
            <w:shd w:val="clear" w:color="auto" w:fill="auto"/>
            <w:vAlign w:val="center"/>
          </w:tcPr>
          <w:p w14:paraId="0C302202">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0.2</w:t>
            </w:r>
          </w:p>
        </w:tc>
        <w:tc>
          <w:tcPr>
            <w:tcW w:w="748" w:type="pct"/>
            <w:shd w:val="clear" w:color="auto" w:fill="auto"/>
            <w:vAlign w:val="center"/>
          </w:tcPr>
          <w:p w14:paraId="40169676">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0.0002</w:t>
            </w:r>
          </w:p>
        </w:tc>
        <w:tc>
          <w:tcPr>
            <w:tcW w:w="356" w:type="pct"/>
            <w:shd w:val="clear" w:color="auto" w:fill="auto"/>
            <w:vAlign w:val="center"/>
          </w:tcPr>
          <w:p w14:paraId="4B76F154">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70EEF1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367B0427">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lang w:val="en-US" w:eastAsia="zh-CN"/>
              </w:rPr>
            </w:pPr>
          </w:p>
        </w:tc>
        <w:tc>
          <w:tcPr>
            <w:tcW w:w="644" w:type="pct"/>
            <w:vMerge w:val="restart"/>
            <w:shd w:val="clear" w:color="auto" w:fill="auto"/>
            <w:vAlign w:val="center"/>
          </w:tcPr>
          <w:p w14:paraId="5E73C8BF">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区域最大落地浓度</w:t>
            </w:r>
          </w:p>
        </w:tc>
        <w:tc>
          <w:tcPr>
            <w:tcW w:w="575" w:type="pct"/>
            <w:shd w:val="clear" w:color="auto" w:fill="auto"/>
            <w:vAlign w:val="center"/>
          </w:tcPr>
          <w:p w14:paraId="7CF9FD74">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1小时</w:t>
            </w:r>
          </w:p>
        </w:tc>
        <w:tc>
          <w:tcPr>
            <w:tcW w:w="802" w:type="pct"/>
            <w:shd w:val="clear" w:color="auto" w:fill="auto"/>
            <w:vAlign w:val="center"/>
          </w:tcPr>
          <w:p w14:paraId="44FF290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7.01E-06</w:t>
            </w:r>
          </w:p>
        </w:tc>
        <w:tc>
          <w:tcPr>
            <w:tcW w:w="839" w:type="pct"/>
            <w:shd w:val="clear" w:color="auto" w:fill="auto"/>
            <w:vAlign w:val="center"/>
          </w:tcPr>
          <w:p w14:paraId="04CD8E89">
            <w:pPr>
              <w:pStyle w:val="34"/>
              <w:keepNext w:val="0"/>
              <w:keepLines w:val="0"/>
              <w:suppressLineNumbers w:val="0"/>
              <w:spacing w:before="0" w:beforeAutospacing="0" w:after="0" w:afterAutospacing="0" w:line="240" w:lineRule="auto"/>
              <w:ind w:left="0" w:leftChars="0" w:right="0" w:righ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25091403（95,-103）</w:t>
            </w:r>
          </w:p>
        </w:tc>
        <w:tc>
          <w:tcPr>
            <w:tcW w:w="595" w:type="pct"/>
            <w:shd w:val="clear" w:color="auto" w:fill="auto"/>
            <w:vAlign w:val="center"/>
          </w:tcPr>
          <w:p w14:paraId="2DF7ABE5">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0.05</w:t>
            </w:r>
          </w:p>
        </w:tc>
        <w:tc>
          <w:tcPr>
            <w:tcW w:w="748" w:type="pct"/>
            <w:shd w:val="clear" w:color="auto" w:fill="auto"/>
            <w:vAlign w:val="center"/>
          </w:tcPr>
          <w:p w14:paraId="2EF47FC3">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0.01</w:t>
            </w:r>
          </w:p>
        </w:tc>
        <w:tc>
          <w:tcPr>
            <w:tcW w:w="356" w:type="pct"/>
            <w:shd w:val="clear" w:color="auto" w:fill="auto"/>
            <w:vAlign w:val="center"/>
          </w:tcPr>
          <w:p w14:paraId="084D6134">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10361F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54D642E0">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644" w:type="pct"/>
            <w:vMerge w:val="continue"/>
            <w:shd w:val="clear" w:color="auto" w:fill="auto"/>
            <w:vAlign w:val="center"/>
          </w:tcPr>
          <w:p w14:paraId="750948FE">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kern w:val="2"/>
                <w:sz w:val="21"/>
                <w:szCs w:val="24"/>
                <w:lang w:val="en-US" w:eastAsia="zh-CN" w:bidi="ar-SA"/>
              </w:rPr>
            </w:pPr>
          </w:p>
        </w:tc>
        <w:tc>
          <w:tcPr>
            <w:tcW w:w="575" w:type="pct"/>
            <w:shd w:val="clear" w:color="auto" w:fill="auto"/>
            <w:vAlign w:val="center"/>
          </w:tcPr>
          <w:p w14:paraId="50A7DB73">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3BFB2806">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7.80E-07</w:t>
            </w:r>
          </w:p>
        </w:tc>
        <w:tc>
          <w:tcPr>
            <w:tcW w:w="839" w:type="pct"/>
            <w:shd w:val="clear" w:color="auto" w:fill="auto"/>
            <w:vAlign w:val="center"/>
          </w:tcPr>
          <w:p w14:paraId="3D60996F">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250123（95,-103）</w:t>
            </w:r>
          </w:p>
        </w:tc>
        <w:tc>
          <w:tcPr>
            <w:tcW w:w="595" w:type="pct"/>
            <w:shd w:val="clear" w:color="auto" w:fill="auto"/>
            <w:vAlign w:val="center"/>
          </w:tcPr>
          <w:p w14:paraId="0BF22170">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0.015</w:t>
            </w:r>
          </w:p>
        </w:tc>
        <w:tc>
          <w:tcPr>
            <w:tcW w:w="748" w:type="pct"/>
            <w:shd w:val="clear" w:color="auto" w:fill="auto"/>
            <w:vAlign w:val="center"/>
          </w:tcPr>
          <w:p w14:paraId="2C69F48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0.01</w:t>
            </w:r>
          </w:p>
        </w:tc>
        <w:tc>
          <w:tcPr>
            <w:tcW w:w="356" w:type="pct"/>
            <w:shd w:val="clear" w:color="auto" w:fill="auto"/>
            <w:vAlign w:val="center"/>
          </w:tcPr>
          <w:p w14:paraId="6B76EBE9">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0598E4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restart"/>
            <w:shd w:val="clear" w:color="auto" w:fill="auto"/>
            <w:vAlign w:val="center"/>
          </w:tcPr>
          <w:p w14:paraId="0E5914BC">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eastAsia" w:cs="Times New Roman"/>
                <w:color w:val="auto"/>
                <w:lang w:val="en-US" w:eastAsia="zh-CN"/>
              </w:rPr>
              <w:t>硫酸</w:t>
            </w:r>
          </w:p>
        </w:tc>
        <w:tc>
          <w:tcPr>
            <w:tcW w:w="644" w:type="pct"/>
            <w:vMerge w:val="restart"/>
            <w:shd w:val="clear" w:color="auto" w:fill="auto"/>
            <w:vAlign w:val="center"/>
          </w:tcPr>
          <w:p w14:paraId="50286FC6">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49755D2B">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1小时</w:t>
            </w:r>
          </w:p>
        </w:tc>
        <w:tc>
          <w:tcPr>
            <w:tcW w:w="802" w:type="pct"/>
            <w:shd w:val="clear" w:color="auto" w:fill="auto"/>
            <w:vAlign w:val="center"/>
          </w:tcPr>
          <w:p w14:paraId="635D2360">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2.31E-03</w:t>
            </w:r>
          </w:p>
        </w:tc>
        <w:tc>
          <w:tcPr>
            <w:tcW w:w="839" w:type="pct"/>
            <w:shd w:val="clear" w:color="auto" w:fill="auto"/>
            <w:vAlign w:val="center"/>
          </w:tcPr>
          <w:p w14:paraId="37FE85F5">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25012212</w:t>
            </w:r>
          </w:p>
        </w:tc>
        <w:tc>
          <w:tcPr>
            <w:tcW w:w="595" w:type="pct"/>
            <w:shd w:val="clear" w:color="auto" w:fill="auto"/>
            <w:vAlign w:val="center"/>
          </w:tcPr>
          <w:p w14:paraId="16679924">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0.3</w:t>
            </w:r>
          </w:p>
        </w:tc>
        <w:tc>
          <w:tcPr>
            <w:tcW w:w="748" w:type="pct"/>
            <w:shd w:val="clear" w:color="auto" w:fill="auto"/>
            <w:vAlign w:val="center"/>
          </w:tcPr>
          <w:p w14:paraId="610084DE">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0.77</w:t>
            </w:r>
          </w:p>
        </w:tc>
        <w:tc>
          <w:tcPr>
            <w:tcW w:w="356" w:type="pct"/>
            <w:shd w:val="clear" w:color="auto" w:fill="auto"/>
            <w:vAlign w:val="center"/>
          </w:tcPr>
          <w:p w14:paraId="42EDFFE1">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40D082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65586913">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644" w:type="pct"/>
            <w:vMerge w:val="continue"/>
            <w:vAlign w:val="center"/>
          </w:tcPr>
          <w:p w14:paraId="3CFFB409">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575" w:type="pct"/>
            <w:shd w:val="clear" w:color="auto" w:fill="auto"/>
            <w:vAlign w:val="center"/>
          </w:tcPr>
          <w:p w14:paraId="4E5A3686">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530BAF1B">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2.93E-04</w:t>
            </w:r>
          </w:p>
        </w:tc>
        <w:tc>
          <w:tcPr>
            <w:tcW w:w="839" w:type="pct"/>
            <w:shd w:val="clear" w:color="auto" w:fill="auto"/>
            <w:vAlign w:val="center"/>
          </w:tcPr>
          <w:p w14:paraId="357E273A">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250625</w:t>
            </w:r>
          </w:p>
        </w:tc>
        <w:tc>
          <w:tcPr>
            <w:tcW w:w="595" w:type="pct"/>
            <w:shd w:val="clear" w:color="auto" w:fill="auto"/>
            <w:vAlign w:val="center"/>
          </w:tcPr>
          <w:p w14:paraId="1830240B">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0.3</w:t>
            </w:r>
          </w:p>
        </w:tc>
        <w:tc>
          <w:tcPr>
            <w:tcW w:w="748" w:type="pct"/>
            <w:shd w:val="clear" w:color="auto" w:fill="auto"/>
            <w:vAlign w:val="center"/>
          </w:tcPr>
          <w:p w14:paraId="34866675">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0.10</w:t>
            </w:r>
          </w:p>
        </w:tc>
        <w:tc>
          <w:tcPr>
            <w:tcW w:w="356" w:type="pct"/>
            <w:shd w:val="clear" w:color="auto" w:fill="auto"/>
            <w:vAlign w:val="center"/>
          </w:tcPr>
          <w:p w14:paraId="5DA26C70">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1C5D11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362C2F89">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644" w:type="pct"/>
            <w:vMerge w:val="restart"/>
            <w:shd w:val="clear" w:color="auto" w:fill="auto"/>
            <w:vAlign w:val="center"/>
          </w:tcPr>
          <w:p w14:paraId="520A96C5">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cs="Times New Roman"/>
                <w:color w:val="auto"/>
              </w:rPr>
              <w:t>区域最大落地浓度</w:t>
            </w:r>
          </w:p>
        </w:tc>
        <w:tc>
          <w:tcPr>
            <w:tcW w:w="575" w:type="pct"/>
            <w:shd w:val="clear" w:color="auto" w:fill="auto"/>
            <w:vAlign w:val="center"/>
          </w:tcPr>
          <w:p w14:paraId="52C12663">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1小时</w:t>
            </w:r>
          </w:p>
        </w:tc>
        <w:tc>
          <w:tcPr>
            <w:tcW w:w="802" w:type="pct"/>
            <w:shd w:val="clear" w:color="auto" w:fill="auto"/>
            <w:vAlign w:val="center"/>
          </w:tcPr>
          <w:p w14:paraId="08278D39">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5.88E-03</w:t>
            </w:r>
          </w:p>
        </w:tc>
        <w:tc>
          <w:tcPr>
            <w:tcW w:w="839" w:type="pct"/>
            <w:shd w:val="clear" w:color="auto" w:fill="auto"/>
            <w:vAlign w:val="center"/>
          </w:tcPr>
          <w:p w14:paraId="63EC714A">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25040206（145,47）</w:t>
            </w:r>
          </w:p>
        </w:tc>
        <w:tc>
          <w:tcPr>
            <w:tcW w:w="595" w:type="pct"/>
            <w:shd w:val="clear" w:color="auto" w:fill="auto"/>
            <w:vAlign w:val="center"/>
          </w:tcPr>
          <w:p w14:paraId="467D4E2A">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0.3</w:t>
            </w:r>
          </w:p>
        </w:tc>
        <w:tc>
          <w:tcPr>
            <w:tcW w:w="748" w:type="pct"/>
            <w:shd w:val="clear" w:color="auto" w:fill="auto"/>
            <w:vAlign w:val="center"/>
          </w:tcPr>
          <w:p w14:paraId="1EB57331">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1.96</w:t>
            </w:r>
          </w:p>
        </w:tc>
        <w:tc>
          <w:tcPr>
            <w:tcW w:w="356" w:type="pct"/>
            <w:shd w:val="clear" w:color="auto" w:fill="auto"/>
            <w:vAlign w:val="center"/>
          </w:tcPr>
          <w:p w14:paraId="521D14E2">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29CC92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0596C548">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644" w:type="pct"/>
            <w:vMerge w:val="continue"/>
            <w:vAlign w:val="center"/>
          </w:tcPr>
          <w:p w14:paraId="555F8B77">
            <w:pPr>
              <w:pStyle w:val="24"/>
              <w:keepNext w:val="0"/>
              <w:keepLines w:val="0"/>
              <w:suppressLineNumbers w:val="0"/>
              <w:spacing w:before="31" w:beforeAutospacing="0" w:after="31" w:afterAutospacing="0"/>
              <w:ind w:left="0" w:leftChars="0" w:right="0" w:rightChars="0"/>
              <w:rPr>
                <w:rFonts w:hint="default" w:ascii="Times New Roman" w:hAnsi="Times New Roman" w:cs="Times New Roman"/>
                <w:color w:val="auto"/>
              </w:rPr>
            </w:pPr>
          </w:p>
        </w:tc>
        <w:tc>
          <w:tcPr>
            <w:tcW w:w="575" w:type="pct"/>
            <w:shd w:val="clear" w:color="auto" w:fill="auto"/>
            <w:vAlign w:val="center"/>
          </w:tcPr>
          <w:p w14:paraId="7895EC52">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日平均</w:t>
            </w:r>
          </w:p>
        </w:tc>
        <w:tc>
          <w:tcPr>
            <w:tcW w:w="802" w:type="pct"/>
            <w:shd w:val="clear" w:color="auto" w:fill="auto"/>
            <w:vAlign w:val="center"/>
          </w:tcPr>
          <w:p w14:paraId="084CAB9E">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3.31E-04</w:t>
            </w:r>
          </w:p>
        </w:tc>
        <w:tc>
          <w:tcPr>
            <w:tcW w:w="839" w:type="pct"/>
            <w:shd w:val="clear" w:color="auto" w:fill="auto"/>
            <w:vAlign w:val="center"/>
          </w:tcPr>
          <w:p w14:paraId="0B8C3FC7">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250123（245,-153）</w:t>
            </w:r>
          </w:p>
        </w:tc>
        <w:tc>
          <w:tcPr>
            <w:tcW w:w="595" w:type="pct"/>
            <w:shd w:val="clear" w:color="auto" w:fill="auto"/>
            <w:vAlign w:val="center"/>
          </w:tcPr>
          <w:p w14:paraId="68825DF6">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w:t>
            </w:r>
          </w:p>
        </w:tc>
        <w:tc>
          <w:tcPr>
            <w:tcW w:w="748" w:type="pct"/>
            <w:shd w:val="clear" w:color="auto" w:fill="auto"/>
            <w:vAlign w:val="center"/>
          </w:tcPr>
          <w:p w14:paraId="2A1FAB2A">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0.33</w:t>
            </w:r>
          </w:p>
        </w:tc>
        <w:tc>
          <w:tcPr>
            <w:tcW w:w="356" w:type="pct"/>
            <w:shd w:val="clear" w:color="auto" w:fill="auto"/>
            <w:vAlign w:val="center"/>
          </w:tcPr>
          <w:p w14:paraId="3CC7DF30">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r w14:paraId="1C7FF8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restart"/>
            <w:shd w:val="clear" w:color="auto" w:fill="auto"/>
            <w:vAlign w:val="center"/>
          </w:tcPr>
          <w:p w14:paraId="7834F552">
            <w:pPr>
              <w:pStyle w:val="24"/>
              <w:keepNext w:val="0"/>
              <w:keepLines w:val="0"/>
              <w:suppressLineNumbers w:val="0"/>
              <w:spacing w:before="31" w:beforeAutospacing="0" w:after="31" w:afterAutospacing="0"/>
              <w:ind w:left="0" w:right="0"/>
              <w:rPr>
                <w:rFonts w:hint="default" w:ascii="Times New Roman" w:hAnsi="Times New Roman" w:eastAsia="宋体" w:cs="Times New Roman"/>
                <w:color w:val="auto"/>
                <w:lang w:val="en-US" w:eastAsia="zh-CN"/>
              </w:rPr>
            </w:pPr>
            <w:r>
              <w:rPr>
                <w:rFonts w:hint="eastAsia" w:cs="Times New Roman"/>
                <w:color w:val="auto"/>
                <w:lang w:val="en-US" w:eastAsia="zh-CN"/>
              </w:rPr>
              <w:t>TVOC</w:t>
            </w:r>
          </w:p>
        </w:tc>
        <w:tc>
          <w:tcPr>
            <w:tcW w:w="644" w:type="pct"/>
            <w:shd w:val="clear" w:color="auto" w:fill="auto"/>
            <w:vAlign w:val="center"/>
          </w:tcPr>
          <w:p w14:paraId="1C6A064F">
            <w:pPr>
              <w:pStyle w:val="24"/>
              <w:keepNext w:val="0"/>
              <w:keepLines w:val="0"/>
              <w:suppressLineNumbers w:val="0"/>
              <w:spacing w:before="31" w:beforeAutospacing="0" w:after="31" w:afterAutospacing="0"/>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厂界</w:t>
            </w:r>
            <w:r>
              <w:rPr>
                <w:rFonts w:hint="eastAsia" w:ascii="Times New Roman" w:hAnsi="Times New Roman" w:eastAsia="宋体" w:cs="Times New Roman"/>
                <w:color w:val="auto"/>
                <w:lang w:val="en-US" w:eastAsia="zh-CN"/>
              </w:rPr>
              <w:t>浓度</w:t>
            </w:r>
          </w:p>
        </w:tc>
        <w:tc>
          <w:tcPr>
            <w:tcW w:w="575" w:type="pct"/>
            <w:shd w:val="clear" w:color="auto" w:fill="auto"/>
            <w:vAlign w:val="center"/>
          </w:tcPr>
          <w:p w14:paraId="482CC8FA">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小时</w:t>
            </w:r>
          </w:p>
        </w:tc>
        <w:tc>
          <w:tcPr>
            <w:tcW w:w="802" w:type="pct"/>
            <w:shd w:val="clear" w:color="auto" w:fill="auto"/>
            <w:vAlign w:val="center"/>
          </w:tcPr>
          <w:p w14:paraId="0681238E">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7.86E-03</w:t>
            </w:r>
          </w:p>
        </w:tc>
        <w:tc>
          <w:tcPr>
            <w:tcW w:w="839" w:type="pct"/>
            <w:shd w:val="clear" w:color="auto" w:fill="auto"/>
            <w:vAlign w:val="center"/>
          </w:tcPr>
          <w:p w14:paraId="0B7F399D">
            <w:pPr>
              <w:pStyle w:val="24"/>
              <w:ind w:left="0" w:leftChars="0"/>
              <w:rPr>
                <w:rFonts w:hint="default" w:ascii="Times New Roman" w:hAnsi="Times New Roman" w:eastAsia="宋体" w:cs="Courier New"/>
                <w:color w:val="auto"/>
                <w:kern w:val="2"/>
                <w:sz w:val="21"/>
                <w:szCs w:val="21"/>
                <w:lang w:val="en-US" w:eastAsia="zh-CN" w:bidi="ar-SA"/>
              </w:rPr>
            </w:pPr>
            <w:r>
              <w:rPr>
                <w:rFonts w:hint="eastAsia" w:ascii="Times New Roman" w:hAnsi="Times New Roman" w:eastAsia="宋体"/>
                <w:color w:val="auto"/>
                <w:sz w:val="21"/>
                <w:szCs w:val="21"/>
                <w:lang w:val="en-US" w:eastAsia="zh-CN"/>
              </w:rPr>
              <w:t>25011108</w:t>
            </w:r>
          </w:p>
        </w:tc>
        <w:tc>
          <w:tcPr>
            <w:tcW w:w="595" w:type="pct"/>
            <w:shd w:val="clear" w:color="auto" w:fill="auto"/>
            <w:vAlign w:val="center"/>
          </w:tcPr>
          <w:p w14:paraId="2E9EF157">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2.0</w:t>
            </w:r>
          </w:p>
        </w:tc>
        <w:tc>
          <w:tcPr>
            <w:tcW w:w="748" w:type="pct"/>
            <w:shd w:val="clear" w:color="auto" w:fill="auto"/>
            <w:vAlign w:val="center"/>
          </w:tcPr>
          <w:p w14:paraId="318D8A30">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0.39</w:t>
            </w:r>
          </w:p>
        </w:tc>
        <w:tc>
          <w:tcPr>
            <w:tcW w:w="356" w:type="pct"/>
            <w:shd w:val="clear" w:color="auto" w:fill="auto"/>
            <w:vAlign w:val="center"/>
          </w:tcPr>
          <w:p w14:paraId="651EA8A2">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达标</w:t>
            </w:r>
          </w:p>
        </w:tc>
      </w:tr>
      <w:tr w14:paraId="3279C6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36" w:type="pct"/>
            <w:vMerge w:val="continue"/>
            <w:vAlign w:val="center"/>
          </w:tcPr>
          <w:p w14:paraId="3D7A428A">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p>
        </w:tc>
        <w:tc>
          <w:tcPr>
            <w:tcW w:w="644" w:type="pct"/>
            <w:vAlign w:val="center"/>
          </w:tcPr>
          <w:p w14:paraId="6E44779A">
            <w:pPr>
              <w:pStyle w:val="24"/>
              <w:keepNext w:val="0"/>
              <w:keepLines w:val="0"/>
              <w:suppressLineNumbers w:val="0"/>
              <w:spacing w:before="31" w:beforeAutospacing="0" w:after="31" w:afterAutospacing="0"/>
              <w:ind w:left="0" w:right="0"/>
              <w:rPr>
                <w:rFonts w:hint="default" w:ascii="Times New Roman" w:hAnsi="Times New Roman" w:cs="Times New Roman"/>
                <w:color w:val="auto"/>
              </w:rPr>
            </w:pPr>
            <w:r>
              <w:rPr>
                <w:rFonts w:hint="default" w:ascii="Times New Roman" w:hAnsi="Times New Roman" w:cs="Times New Roman"/>
                <w:color w:val="auto"/>
              </w:rPr>
              <w:t>区域最大落地浓度</w:t>
            </w:r>
          </w:p>
        </w:tc>
        <w:tc>
          <w:tcPr>
            <w:tcW w:w="575" w:type="pct"/>
            <w:shd w:val="clear" w:color="auto" w:fill="auto"/>
            <w:vAlign w:val="center"/>
          </w:tcPr>
          <w:p w14:paraId="653C9EA9">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小时</w:t>
            </w:r>
          </w:p>
        </w:tc>
        <w:tc>
          <w:tcPr>
            <w:tcW w:w="802" w:type="pct"/>
            <w:shd w:val="clear" w:color="auto" w:fill="auto"/>
            <w:vAlign w:val="center"/>
          </w:tcPr>
          <w:p w14:paraId="128E9687">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2.88E-03</w:t>
            </w:r>
          </w:p>
        </w:tc>
        <w:tc>
          <w:tcPr>
            <w:tcW w:w="839" w:type="pct"/>
            <w:shd w:val="clear" w:color="auto" w:fill="auto"/>
            <w:vAlign w:val="center"/>
          </w:tcPr>
          <w:p w14:paraId="5EE61698">
            <w:pPr>
              <w:pStyle w:val="24"/>
              <w:ind w:left="0" w:leftChars="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25012324（245,-153）</w:t>
            </w:r>
          </w:p>
        </w:tc>
        <w:tc>
          <w:tcPr>
            <w:tcW w:w="595" w:type="pct"/>
            <w:shd w:val="clear" w:color="auto" w:fill="auto"/>
            <w:vAlign w:val="center"/>
          </w:tcPr>
          <w:p w14:paraId="2C57A2AB">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0.6</w:t>
            </w:r>
          </w:p>
        </w:tc>
        <w:tc>
          <w:tcPr>
            <w:tcW w:w="748" w:type="pct"/>
            <w:shd w:val="clear" w:color="auto" w:fill="auto"/>
            <w:vAlign w:val="center"/>
          </w:tcPr>
          <w:p w14:paraId="4BF9FB20">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0.48</w:t>
            </w:r>
          </w:p>
        </w:tc>
        <w:tc>
          <w:tcPr>
            <w:tcW w:w="356" w:type="pct"/>
            <w:shd w:val="clear" w:color="auto" w:fill="auto"/>
            <w:vAlign w:val="center"/>
          </w:tcPr>
          <w:p w14:paraId="733A9761">
            <w:pPr>
              <w:pStyle w:val="34"/>
              <w:keepNext w:val="0"/>
              <w:keepLines w:val="0"/>
              <w:suppressLineNumbers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达标</w:t>
            </w:r>
          </w:p>
        </w:tc>
      </w:tr>
    </w:tbl>
    <w:p w14:paraId="17EC9042">
      <w:pPr>
        <w:pStyle w:val="26"/>
        <w:bidi w:val="0"/>
        <w:rPr>
          <w:color w:val="auto"/>
          <w:highlight w:val="none"/>
        </w:rPr>
      </w:pPr>
      <w:r>
        <w:rPr>
          <w:rFonts w:hint="eastAsia"/>
          <w:color w:val="auto"/>
          <w:highlight w:val="none"/>
          <w:lang w:val="en-US" w:eastAsia="zh-CN"/>
        </w:rPr>
        <w:t>由上表可知</w:t>
      </w:r>
      <w:r>
        <w:rPr>
          <w:rFonts w:hint="eastAsia"/>
          <w:color w:val="auto"/>
          <w:highlight w:val="none"/>
        </w:rPr>
        <w:t>，本项目厂界外各污染物的短期贡献浓度值未出现超标情况，不需设置大气环境防护距离。</w:t>
      </w:r>
    </w:p>
    <w:p w14:paraId="49A60C84">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卫生防护距离</w:t>
      </w:r>
    </w:p>
    <w:p w14:paraId="7CEC34DF">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1、主要特征大气有害物质</w:t>
      </w:r>
    </w:p>
    <w:p w14:paraId="29B64CE1">
      <w:pPr>
        <w:pStyle w:val="26"/>
        <w:bidi w:val="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根据《大气有害物质无组织排放卫生防护距离推导技术导则》（G</w:t>
      </w:r>
      <w:r>
        <w:rPr>
          <w:rFonts w:ascii="Times New Roman" w:hAnsi="Times New Roman"/>
          <w:color w:val="auto"/>
          <w:sz w:val="24"/>
          <w:szCs w:val="24"/>
          <w:highlight w:val="none"/>
        </w:rPr>
        <w:t>B/T39499-2020</w:t>
      </w:r>
      <w:r>
        <w:rPr>
          <w:rFonts w:hint="eastAsia" w:ascii="Times New Roman" w:hAnsi="Times New Roman"/>
          <w:color w:val="auto"/>
          <w:sz w:val="24"/>
          <w:szCs w:val="24"/>
          <w:highlight w:val="none"/>
        </w:rPr>
        <w:t>）中“</w:t>
      </w:r>
      <w:r>
        <w:rPr>
          <w:rFonts w:hint="eastAsia" w:ascii="Times New Roman" w:hAnsi="Times New Roman"/>
          <w:i/>
          <w:iCs/>
          <w:color w:val="auto"/>
          <w:sz w:val="24"/>
          <w:szCs w:val="24"/>
          <w:highlight w:val="none"/>
        </w:rPr>
        <w:t>4 行业主要特征大气有害物质 不同行业及生产工艺产生无组织排放的特征大气有害物质差别较大。在选取特征大气有害物质时，应首先考虑其对人体健康损害毒性特点，并根据目标行业企业的产品产量及其原辅材料、工艺特征、中间产物、产排污特点等具体情况，确定单个大气有害物质的无组织排放量及等标排放量</w:t>
      </w:r>
      <w:r>
        <w:rPr>
          <w:rFonts w:hint="eastAsia" w:ascii="Times New Roman" w:hAnsi="Times New Roman"/>
          <w:i/>
          <w:iCs/>
          <w:color w:val="auto"/>
          <w:sz w:val="24"/>
          <w:szCs w:val="24"/>
          <w:highlight w:val="none"/>
          <w:lang w:eastAsia="zh-CN"/>
        </w:rPr>
        <w:t>（</w:t>
      </w:r>
      <w:r>
        <w:rPr>
          <w:rFonts w:hint="eastAsia" w:ascii="Times New Roman" w:hAnsi="Times New Roman"/>
          <w:i/>
          <w:iCs/>
          <w:color w:val="auto"/>
          <w:sz w:val="24"/>
          <w:szCs w:val="24"/>
          <w:highlight w:val="none"/>
        </w:rPr>
        <w:t>Q,/c</w:t>
      </w:r>
      <w:r>
        <w:rPr>
          <w:rFonts w:hint="eastAsia" w:ascii="Times New Roman" w:hAnsi="Times New Roman"/>
          <w:i/>
          <w:iCs/>
          <w:color w:val="auto"/>
          <w:sz w:val="24"/>
          <w:szCs w:val="24"/>
          <w:highlight w:val="none"/>
          <w:vertAlign w:val="subscript"/>
        </w:rPr>
        <w:t>m</w:t>
      </w:r>
      <w:r>
        <w:rPr>
          <w:rFonts w:hint="eastAsia" w:ascii="Times New Roman" w:hAnsi="Times New Roman"/>
          <w:i/>
          <w:iCs/>
          <w:color w:val="auto"/>
          <w:sz w:val="24"/>
          <w:szCs w:val="24"/>
          <w:highlight w:val="none"/>
        </w:rPr>
        <w:t xml:space="preserve"> )，最终确定卫生防护距离相关的主要特征大气有害物质1种～2种。当目标企业无组织排放存在多种有毒有害污染物时，基于单个污染物的等标排放量计算结果，优先选择等标排放量最大的污染物为企业无组织排放的主要特征大气有害物质。当前两种污染物的等标排放量相差在10％以内时，需要同时选择这两种特征大气有害物质分别计算卫生防护距离初值。</w:t>
      </w:r>
      <w:r>
        <w:rPr>
          <w:rFonts w:hint="eastAsia" w:ascii="Times New Roman" w:hAnsi="Times New Roman"/>
          <w:color w:val="auto"/>
          <w:sz w:val="24"/>
          <w:szCs w:val="24"/>
          <w:highlight w:val="none"/>
        </w:rPr>
        <w:t>”本项目大气有害物质等标排放量如下：</w:t>
      </w:r>
    </w:p>
    <w:p w14:paraId="3FBEF2B8">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大气有害物质等标排放量</w:t>
      </w:r>
    </w:p>
    <w:tbl>
      <w:tblPr>
        <w:tblStyle w:val="20"/>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1510"/>
        <w:gridCol w:w="2201"/>
        <w:gridCol w:w="1976"/>
        <w:gridCol w:w="2089"/>
        <w:gridCol w:w="1738"/>
      </w:tblGrid>
      <w:tr w14:paraId="6274934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793" w:type="pct"/>
            <w:tcBorders>
              <w:right w:val="single" w:color="000000" w:sz="8" w:space="0"/>
              <w:tl2br w:val="nil"/>
              <w:tr2bl w:val="nil"/>
            </w:tcBorders>
            <w:noWrap w:val="0"/>
            <w:vAlign w:val="center"/>
          </w:tcPr>
          <w:p w14:paraId="70EFAFA2">
            <w:pPr>
              <w:pStyle w:val="24"/>
              <w:rPr>
                <w:rFonts w:hint="eastAsia" w:ascii="Times New Roman" w:hAnsi="Times New Roman" w:eastAsia="宋体" w:cs="Courier New"/>
                <w:b/>
                <w:bCs/>
                <w:color w:val="auto"/>
                <w:sz w:val="21"/>
                <w:szCs w:val="21"/>
                <w:highlight w:val="none"/>
              </w:rPr>
            </w:pPr>
            <w:r>
              <w:rPr>
                <w:rFonts w:hint="eastAsia" w:ascii="Times New Roman" w:hAnsi="Times New Roman" w:eastAsia="宋体" w:cs="Courier New"/>
                <w:b/>
                <w:bCs/>
                <w:color w:val="auto"/>
                <w:sz w:val="21"/>
                <w:szCs w:val="21"/>
                <w:highlight w:val="none"/>
              </w:rPr>
              <w:t>无组织排放源</w:t>
            </w:r>
          </w:p>
        </w:tc>
        <w:tc>
          <w:tcPr>
            <w:tcW w:w="1156" w:type="pct"/>
            <w:tcBorders>
              <w:left w:val="single" w:color="000000" w:sz="8" w:space="0"/>
              <w:tl2br w:val="nil"/>
              <w:tr2bl w:val="nil"/>
            </w:tcBorders>
            <w:noWrap w:val="0"/>
            <w:vAlign w:val="center"/>
          </w:tcPr>
          <w:p w14:paraId="7B1CC3BC">
            <w:pPr>
              <w:pStyle w:val="24"/>
              <w:rPr>
                <w:rFonts w:hint="eastAsia" w:ascii="Times New Roman" w:hAnsi="Times New Roman" w:eastAsia="宋体" w:cs="Courier New"/>
                <w:b/>
                <w:bCs/>
                <w:color w:val="auto"/>
                <w:sz w:val="21"/>
                <w:szCs w:val="21"/>
                <w:highlight w:val="none"/>
              </w:rPr>
            </w:pPr>
            <w:r>
              <w:rPr>
                <w:rFonts w:hint="eastAsia" w:ascii="Times New Roman" w:hAnsi="Times New Roman" w:eastAsia="宋体" w:cs="Courier New"/>
                <w:b/>
                <w:bCs/>
                <w:color w:val="auto"/>
                <w:sz w:val="21"/>
                <w:szCs w:val="21"/>
                <w:highlight w:val="none"/>
              </w:rPr>
              <w:t>污染物</w:t>
            </w:r>
          </w:p>
        </w:tc>
        <w:tc>
          <w:tcPr>
            <w:tcW w:w="1038" w:type="pct"/>
            <w:tcBorders>
              <w:tl2br w:val="nil"/>
              <w:tr2bl w:val="nil"/>
            </w:tcBorders>
            <w:noWrap w:val="0"/>
            <w:vAlign w:val="center"/>
          </w:tcPr>
          <w:p w14:paraId="2C30438F">
            <w:pPr>
              <w:pStyle w:val="24"/>
              <w:rPr>
                <w:rFonts w:hint="eastAsia" w:ascii="Times New Roman" w:hAnsi="Times New Roman" w:eastAsia="宋体" w:cs="Courier New"/>
                <w:b/>
                <w:bCs/>
                <w:color w:val="auto"/>
                <w:sz w:val="21"/>
                <w:szCs w:val="21"/>
                <w:highlight w:val="none"/>
              </w:rPr>
            </w:pPr>
            <w:r>
              <w:rPr>
                <w:rFonts w:hint="eastAsia" w:ascii="Times New Roman" w:hAnsi="Times New Roman" w:eastAsia="宋体" w:cs="Courier New"/>
                <w:b/>
                <w:bCs/>
                <w:color w:val="auto"/>
                <w:sz w:val="21"/>
                <w:szCs w:val="21"/>
                <w:highlight w:val="none"/>
              </w:rPr>
              <w:t>排放速率（kg/h）</w:t>
            </w:r>
          </w:p>
        </w:tc>
        <w:tc>
          <w:tcPr>
            <w:tcW w:w="1097" w:type="pct"/>
            <w:tcBorders>
              <w:tl2br w:val="nil"/>
              <w:tr2bl w:val="nil"/>
            </w:tcBorders>
            <w:noWrap w:val="0"/>
            <w:vAlign w:val="center"/>
          </w:tcPr>
          <w:p w14:paraId="2DACEDE3">
            <w:pPr>
              <w:pStyle w:val="24"/>
              <w:rPr>
                <w:rFonts w:hint="eastAsia" w:ascii="Times New Roman" w:hAnsi="Times New Roman" w:eastAsia="宋体" w:cs="Courier New"/>
                <w:b/>
                <w:bCs/>
                <w:color w:val="auto"/>
                <w:sz w:val="21"/>
                <w:szCs w:val="21"/>
                <w:highlight w:val="none"/>
              </w:rPr>
            </w:pPr>
            <w:r>
              <w:rPr>
                <w:rFonts w:hint="eastAsia" w:ascii="Times New Roman" w:hAnsi="Times New Roman" w:eastAsia="宋体" w:cs="Courier New"/>
                <w:b/>
                <w:bCs/>
                <w:color w:val="auto"/>
                <w:sz w:val="21"/>
                <w:szCs w:val="21"/>
                <w:highlight w:val="none"/>
              </w:rPr>
              <w:t>评价标准（mg/m</w:t>
            </w:r>
            <w:r>
              <w:rPr>
                <w:rFonts w:hint="eastAsia" w:ascii="Times New Roman" w:hAnsi="Times New Roman" w:eastAsia="宋体" w:cs="Courier New"/>
                <w:b/>
                <w:bCs/>
                <w:color w:val="auto"/>
                <w:sz w:val="21"/>
                <w:szCs w:val="21"/>
                <w:highlight w:val="none"/>
                <w:vertAlign w:val="superscript"/>
              </w:rPr>
              <w:t>3</w:t>
            </w:r>
            <w:r>
              <w:rPr>
                <w:rFonts w:hint="eastAsia" w:ascii="Times New Roman" w:hAnsi="Times New Roman" w:eastAsia="宋体" w:cs="Courier New"/>
                <w:b/>
                <w:bCs/>
                <w:color w:val="auto"/>
                <w:sz w:val="21"/>
                <w:szCs w:val="21"/>
                <w:highlight w:val="none"/>
              </w:rPr>
              <w:t>）</w:t>
            </w:r>
          </w:p>
        </w:tc>
        <w:tc>
          <w:tcPr>
            <w:tcW w:w="913" w:type="pct"/>
            <w:tcBorders>
              <w:tl2br w:val="nil"/>
              <w:tr2bl w:val="nil"/>
            </w:tcBorders>
            <w:noWrap w:val="0"/>
            <w:vAlign w:val="center"/>
          </w:tcPr>
          <w:p w14:paraId="139F1E91">
            <w:pPr>
              <w:pStyle w:val="24"/>
              <w:rPr>
                <w:rFonts w:hint="eastAsia" w:ascii="Times New Roman" w:hAnsi="Times New Roman" w:eastAsia="宋体" w:cs="Courier New"/>
                <w:b/>
                <w:bCs/>
                <w:color w:val="auto"/>
                <w:sz w:val="21"/>
                <w:szCs w:val="21"/>
                <w:highlight w:val="none"/>
              </w:rPr>
            </w:pPr>
            <w:r>
              <w:rPr>
                <w:rFonts w:hint="eastAsia" w:ascii="Times New Roman" w:hAnsi="Times New Roman" w:eastAsia="宋体" w:cs="Courier New"/>
                <w:b/>
                <w:bCs/>
                <w:color w:val="auto"/>
                <w:sz w:val="21"/>
                <w:szCs w:val="21"/>
                <w:highlight w:val="none"/>
              </w:rPr>
              <w:t>等标排放量（m）</w:t>
            </w:r>
          </w:p>
        </w:tc>
      </w:tr>
      <w:tr w14:paraId="4694149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restart"/>
            <w:tcBorders>
              <w:right w:val="single" w:color="000000" w:sz="8" w:space="0"/>
              <w:tl2br w:val="nil"/>
              <w:tr2bl w:val="nil"/>
            </w:tcBorders>
            <w:noWrap w:val="0"/>
            <w:vAlign w:val="center"/>
          </w:tcPr>
          <w:p w14:paraId="21FA2FD7">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Courier New"/>
                <w:b w:val="0"/>
                <w:bCs w:val="0"/>
                <w:color w:val="auto"/>
                <w:sz w:val="21"/>
                <w:szCs w:val="21"/>
                <w:highlight w:val="none"/>
                <w:lang w:val="en-US" w:eastAsia="zh-CN"/>
              </w:rPr>
              <w:t>生产车间</w:t>
            </w:r>
          </w:p>
        </w:tc>
        <w:tc>
          <w:tcPr>
            <w:tcW w:w="1156" w:type="pct"/>
            <w:tcBorders>
              <w:left w:val="single" w:color="000000" w:sz="8" w:space="0"/>
              <w:tl2br w:val="nil"/>
              <w:tr2bl w:val="nil"/>
            </w:tcBorders>
            <w:noWrap w:val="0"/>
            <w:vAlign w:val="center"/>
          </w:tcPr>
          <w:p w14:paraId="43862C8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颗粒物</w:t>
            </w:r>
          </w:p>
        </w:tc>
        <w:tc>
          <w:tcPr>
            <w:tcW w:w="1038" w:type="pct"/>
            <w:tcBorders>
              <w:tl2br w:val="nil"/>
              <w:tr2bl w:val="nil"/>
            </w:tcBorders>
            <w:shd w:val="clear" w:color="auto" w:fill="auto"/>
            <w:noWrap w:val="0"/>
            <w:vAlign w:val="center"/>
          </w:tcPr>
          <w:p w14:paraId="1AF02D3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0.01</w:t>
            </w:r>
          </w:p>
        </w:tc>
        <w:tc>
          <w:tcPr>
            <w:tcW w:w="1097" w:type="pct"/>
            <w:tcBorders>
              <w:tl2br w:val="nil"/>
              <w:tr2bl w:val="nil"/>
            </w:tcBorders>
            <w:noWrap w:val="0"/>
            <w:vAlign w:val="center"/>
          </w:tcPr>
          <w:p w14:paraId="21E85BF7">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0.9</w:t>
            </w:r>
          </w:p>
        </w:tc>
        <w:tc>
          <w:tcPr>
            <w:tcW w:w="1738" w:type="dxa"/>
            <w:tcBorders>
              <w:tl2br w:val="nil"/>
              <w:tr2bl w:val="nil"/>
            </w:tcBorders>
            <w:noWrap w:val="0"/>
            <w:vAlign w:val="bottom"/>
          </w:tcPr>
          <w:p w14:paraId="569B0F8E">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 xml:space="preserve">0.0111 </w:t>
            </w:r>
          </w:p>
        </w:tc>
      </w:tr>
      <w:tr w14:paraId="73950A2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continue"/>
            <w:tcBorders>
              <w:right w:val="single" w:color="000000" w:sz="8" w:space="0"/>
              <w:tl2br w:val="nil"/>
              <w:tr2bl w:val="nil"/>
            </w:tcBorders>
            <w:noWrap w:val="0"/>
            <w:vAlign w:val="center"/>
          </w:tcPr>
          <w:p w14:paraId="3066D8B7">
            <w:pPr>
              <w:pStyle w:val="24"/>
              <w:rPr>
                <w:rFonts w:hint="eastAsia" w:ascii="Times New Roman" w:hAnsi="Times New Roman" w:eastAsia="宋体" w:cs="Courier New"/>
                <w:b w:val="0"/>
                <w:bCs w:val="0"/>
                <w:color w:val="auto"/>
                <w:sz w:val="21"/>
                <w:szCs w:val="21"/>
                <w:highlight w:val="none"/>
              </w:rPr>
            </w:pPr>
          </w:p>
        </w:tc>
        <w:tc>
          <w:tcPr>
            <w:tcW w:w="1156" w:type="pct"/>
            <w:tcBorders>
              <w:left w:val="single" w:color="000000" w:sz="8" w:space="0"/>
              <w:tl2br w:val="nil"/>
              <w:tr2bl w:val="nil"/>
            </w:tcBorders>
            <w:shd w:val="clear" w:color="auto" w:fill="auto"/>
            <w:noWrap w:val="0"/>
            <w:vAlign w:val="center"/>
          </w:tcPr>
          <w:p w14:paraId="2E6A1DB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1038" w:type="pct"/>
            <w:tcBorders>
              <w:tl2br w:val="nil"/>
              <w:tr2bl w:val="nil"/>
            </w:tcBorders>
            <w:shd w:val="clear" w:color="auto" w:fill="auto"/>
            <w:noWrap w:val="0"/>
            <w:vAlign w:val="center"/>
          </w:tcPr>
          <w:p w14:paraId="4032041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0.0008 </w:t>
            </w:r>
          </w:p>
        </w:tc>
        <w:tc>
          <w:tcPr>
            <w:tcW w:w="1097" w:type="pct"/>
            <w:tcBorders>
              <w:tl2br w:val="nil"/>
              <w:tr2bl w:val="nil"/>
            </w:tcBorders>
            <w:shd w:val="clear" w:color="auto" w:fill="auto"/>
            <w:noWrap w:val="0"/>
            <w:vAlign w:val="center"/>
          </w:tcPr>
          <w:p w14:paraId="1E60BED9">
            <w:pPr>
              <w:pStyle w:val="24"/>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0.3</w:t>
            </w:r>
          </w:p>
        </w:tc>
        <w:tc>
          <w:tcPr>
            <w:tcW w:w="1738" w:type="dxa"/>
            <w:tcBorders>
              <w:tl2br w:val="nil"/>
              <w:tr2bl w:val="nil"/>
            </w:tcBorders>
            <w:shd w:val="clear" w:color="auto" w:fill="auto"/>
            <w:noWrap w:val="0"/>
            <w:vAlign w:val="bottom"/>
          </w:tcPr>
          <w:p w14:paraId="27FC0ED7">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 xml:space="preserve">0.0027 </w:t>
            </w:r>
          </w:p>
        </w:tc>
      </w:tr>
      <w:tr w14:paraId="384F4C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continue"/>
            <w:tcBorders>
              <w:right w:val="single" w:color="000000" w:sz="8" w:space="0"/>
              <w:tl2br w:val="nil"/>
              <w:tr2bl w:val="nil"/>
            </w:tcBorders>
            <w:shd w:val="clear" w:color="auto" w:fill="auto"/>
            <w:noWrap w:val="0"/>
            <w:vAlign w:val="center"/>
          </w:tcPr>
          <w:p w14:paraId="1E1A10B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1156" w:type="pct"/>
            <w:tcBorders>
              <w:left w:val="single" w:color="000000" w:sz="8" w:space="0"/>
              <w:tl2br w:val="nil"/>
              <w:tr2bl w:val="nil"/>
            </w:tcBorders>
            <w:noWrap w:val="0"/>
            <w:vAlign w:val="center"/>
          </w:tcPr>
          <w:p w14:paraId="0C1D676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1038" w:type="pct"/>
            <w:tcBorders>
              <w:tl2br w:val="nil"/>
              <w:tr2bl w:val="nil"/>
            </w:tcBorders>
            <w:shd w:val="clear" w:color="auto" w:fill="auto"/>
            <w:noWrap w:val="0"/>
            <w:vAlign w:val="center"/>
          </w:tcPr>
          <w:p w14:paraId="4E07C8B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0.0020 </w:t>
            </w:r>
          </w:p>
        </w:tc>
        <w:tc>
          <w:tcPr>
            <w:tcW w:w="1097" w:type="pct"/>
            <w:tcBorders>
              <w:tl2br w:val="nil"/>
              <w:tr2bl w:val="nil"/>
            </w:tcBorders>
            <w:noWrap w:val="0"/>
            <w:vAlign w:val="center"/>
          </w:tcPr>
          <w:p w14:paraId="2AD71810">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1738" w:type="dxa"/>
            <w:tcBorders>
              <w:tl2br w:val="nil"/>
              <w:tr2bl w:val="nil"/>
            </w:tcBorders>
            <w:noWrap w:val="0"/>
            <w:vAlign w:val="bottom"/>
          </w:tcPr>
          <w:p w14:paraId="17AED761">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0.1</w:t>
            </w:r>
          </w:p>
        </w:tc>
      </w:tr>
      <w:tr w14:paraId="40D959A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continue"/>
            <w:tcBorders>
              <w:right w:val="single" w:color="000000" w:sz="8" w:space="0"/>
              <w:tl2br w:val="nil"/>
              <w:tr2bl w:val="nil"/>
            </w:tcBorders>
            <w:shd w:val="clear" w:color="auto" w:fill="auto"/>
            <w:noWrap w:val="0"/>
            <w:vAlign w:val="center"/>
          </w:tcPr>
          <w:p w14:paraId="1634899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1156" w:type="pct"/>
            <w:tcBorders>
              <w:left w:val="single" w:color="000000" w:sz="8" w:space="0"/>
              <w:tl2br w:val="nil"/>
              <w:tr2bl w:val="nil"/>
            </w:tcBorders>
            <w:shd w:val="clear" w:color="auto" w:fill="auto"/>
            <w:noWrap w:val="0"/>
            <w:vAlign w:val="center"/>
          </w:tcPr>
          <w:p w14:paraId="47191B1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VOCs</w:t>
            </w:r>
          </w:p>
        </w:tc>
        <w:tc>
          <w:tcPr>
            <w:tcW w:w="1038" w:type="pct"/>
            <w:tcBorders>
              <w:tl2br w:val="nil"/>
              <w:tr2bl w:val="nil"/>
            </w:tcBorders>
            <w:shd w:val="clear" w:color="auto" w:fill="auto"/>
            <w:noWrap w:val="0"/>
            <w:vAlign w:val="center"/>
          </w:tcPr>
          <w:p w14:paraId="2BD891E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0.0059 </w:t>
            </w:r>
          </w:p>
        </w:tc>
        <w:tc>
          <w:tcPr>
            <w:tcW w:w="1097" w:type="pct"/>
            <w:tcBorders>
              <w:tl2br w:val="nil"/>
              <w:tr2bl w:val="nil"/>
            </w:tcBorders>
            <w:shd w:val="clear" w:color="auto" w:fill="auto"/>
            <w:noWrap w:val="0"/>
            <w:vAlign w:val="center"/>
          </w:tcPr>
          <w:p w14:paraId="5CC583CA">
            <w:pPr>
              <w:pStyle w:val="24"/>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1.2</w:t>
            </w:r>
          </w:p>
        </w:tc>
        <w:tc>
          <w:tcPr>
            <w:tcW w:w="1738" w:type="dxa"/>
            <w:tcBorders>
              <w:tl2br w:val="nil"/>
              <w:tr2bl w:val="nil"/>
            </w:tcBorders>
            <w:shd w:val="clear" w:color="auto" w:fill="auto"/>
            <w:noWrap w:val="0"/>
            <w:vAlign w:val="bottom"/>
          </w:tcPr>
          <w:p w14:paraId="7CD5BA9E">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 xml:space="preserve">0.0049 </w:t>
            </w:r>
          </w:p>
        </w:tc>
      </w:tr>
      <w:tr w14:paraId="4F465AC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restart"/>
            <w:tcBorders>
              <w:right w:val="single" w:color="000000" w:sz="8" w:space="0"/>
              <w:tl2br w:val="nil"/>
              <w:tr2bl w:val="nil"/>
            </w:tcBorders>
            <w:shd w:val="clear" w:color="auto" w:fill="auto"/>
            <w:noWrap w:val="0"/>
            <w:vAlign w:val="center"/>
          </w:tcPr>
          <w:p w14:paraId="77900604">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1#罐区</w:t>
            </w:r>
          </w:p>
        </w:tc>
        <w:tc>
          <w:tcPr>
            <w:tcW w:w="1156" w:type="pct"/>
            <w:tcBorders>
              <w:left w:val="single" w:color="000000" w:sz="8" w:space="0"/>
              <w:tl2br w:val="nil"/>
              <w:tr2bl w:val="nil"/>
            </w:tcBorders>
            <w:shd w:val="clear" w:color="auto" w:fill="auto"/>
            <w:noWrap w:val="0"/>
            <w:vAlign w:val="center"/>
          </w:tcPr>
          <w:p w14:paraId="07E5DE90">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硫酸雾</w:t>
            </w:r>
          </w:p>
        </w:tc>
        <w:tc>
          <w:tcPr>
            <w:tcW w:w="1038" w:type="pct"/>
            <w:tcBorders>
              <w:tl2br w:val="nil"/>
              <w:tr2bl w:val="nil"/>
            </w:tcBorders>
            <w:shd w:val="clear" w:color="auto" w:fill="auto"/>
            <w:noWrap w:val="0"/>
            <w:vAlign w:val="center"/>
          </w:tcPr>
          <w:p w14:paraId="287AFFEB">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0.0013 </w:t>
            </w:r>
          </w:p>
        </w:tc>
        <w:tc>
          <w:tcPr>
            <w:tcW w:w="1097" w:type="pct"/>
            <w:tcBorders>
              <w:tl2br w:val="nil"/>
              <w:tr2bl w:val="nil"/>
            </w:tcBorders>
            <w:noWrap w:val="0"/>
            <w:vAlign w:val="center"/>
          </w:tcPr>
          <w:p w14:paraId="045FC3B4">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0.3</w:t>
            </w:r>
          </w:p>
        </w:tc>
        <w:tc>
          <w:tcPr>
            <w:tcW w:w="1738" w:type="dxa"/>
            <w:tcBorders>
              <w:tl2br w:val="nil"/>
              <w:tr2bl w:val="nil"/>
            </w:tcBorders>
            <w:noWrap w:val="0"/>
            <w:vAlign w:val="bottom"/>
          </w:tcPr>
          <w:p w14:paraId="5797AEC8">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 xml:space="preserve">0.0043 </w:t>
            </w:r>
          </w:p>
        </w:tc>
      </w:tr>
      <w:tr w14:paraId="2058502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continue"/>
            <w:tcBorders>
              <w:right w:val="single" w:color="000000" w:sz="8" w:space="0"/>
              <w:tl2br w:val="nil"/>
              <w:tr2bl w:val="nil"/>
            </w:tcBorders>
            <w:shd w:val="clear" w:color="auto" w:fill="auto"/>
            <w:noWrap w:val="0"/>
            <w:vAlign w:val="center"/>
          </w:tcPr>
          <w:p w14:paraId="3A2B96B7">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p>
        </w:tc>
        <w:tc>
          <w:tcPr>
            <w:tcW w:w="1156" w:type="pct"/>
            <w:tcBorders>
              <w:left w:val="single" w:color="000000" w:sz="8" w:space="0"/>
              <w:tl2br w:val="nil"/>
              <w:tr2bl w:val="nil"/>
            </w:tcBorders>
            <w:shd w:val="clear" w:color="auto" w:fill="auto"/>
            <w:noWrap w:val="0"/>
            <w:vAlign w:val="center"/>
          </w:tcPr>
          <w:p w14:paraId="38179918">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038" w:type="pct"/>
            <w:tcBorders>
              <w:tl2br w:val="nil"/>
              <w:tr2bl w:val="nil"/>
            </w:tcBorders>
            <w:shd w:val="clear" w:color="auto" w:fill="auto"/>
            <w:noWrap w:val="0"/>
            <w:vAlign w:val="center"/>
          </w:tcPr>
          <w:p w14:paraId="5AEEFF71">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0.0023 </w:t>
            </w:r>
          </w:p>
        </w:tc>
        <w:tc>
          <w:tcPr>
            <w:tcW w:w="1097" w:type="pct"/>
            <w:tcBorders>
              <w:tl2br w:val="nil"/>
              <w:tr2bl w:val="nil"/>
            </w:tcBorders>
            <w:noWrap w:val="0"/>
            <w:vAlign w:val="center"/>
          </w:tcPr>
          <w:p w14:paraId="5DA92394">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1738" w:type="dxa"/>
            <w:tcBorders>
              <w:tl2br w:val="nil"/>
              <w:tr2bl w:val="nil"/>
            </w:tcBorders>
            <w:noWrap w:val="0"/>
            <w:vAlign w:val="bottom"/>
          </w:tcPr>
          <w:p w14:paraId="3D570757">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0.115</w:t>
            </w:r>
          </w:p>
        </w:tc>
      </w:tr>
      <w:tr w14:paraId="121381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tcBorders>
              <w:right w:val="single" w:color="000000" w:sz="8" w:space="0"/>
              <w:tl2br w:val="nil"/>
              <w:tr2bl w:val="nil"/>
            </w:tcBorders>
            <w:shd w:val="clear" w:color="auto" w:fill="auto"/>
            <w:noWrap w:val="0"/>
            <w:vAlign w:val="center"/>
          </w:tcPr>
          <w:p w14:paraId="016F74C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Courier New"/>
                <w:b w:val="0"/>
                <w:bCs w:val="0"/>
                <w:color w:val="auto"/>
                <w:sz w:val="21"/>
                <w:szCs w:val="21"/>
                <w:highlight w:val="none"/>
                <w:lang w:val="en-US" w:eastAsia="zh-CN"/>
              </w:rPr>
              <w:t>2#罐区</w:t>
            </w:r>
          </w:p>
        </w:tc>
        <w:tc>
          <w:tcPr>
            <w:tcW w:w="1156" w:type="pct"/>
            <w:tcBorders>
              <w:left w:val="single" w:color="000000" w:sz="8" w:space="0"/>
              <w:tl2br w:val="nil"/>
              <w:tr2bl w:val="nil"/>
            </w:tcBorders>
            <w:noWrap w:val="0"/>
            <w:vAlign w:val="center"/>
          </w:tcPr>
          <w:p w14:paraId="58A6A759">
            <w:pPr>
              <w:pStyle w:val="24"/>
              <w:bidi w:val="0"/>
              <w:ind w:left="0" w:leftChars="0"/>
              <w:rPr>
                <w:rFonts w:hint="eastAsia" w:ascii="Times New Roman" w:hAnsi="Times New Roman" w:eastAsia="宋体" w:cs="Courier New"/>
                <w:b w:val="0"/>
                <w:bCs w:val="0"/>
                <w:color w:val="auto"/>
                <w:sz w:val="21"/>
                <w:szCs w:val="21"/>
                <w:highlight w:val="none"/>
              </w:rPr>
            </w:pPr>
            <w:r>
              <w:rPr>
                <w:rFonts w:hint="eastAsia" w:eastAsia="宋体" w:cs="Times New Roman"/>
                <w:b w:val="0"/>
                <w:bCs w:val="0"/>
                <w:color w:val="auto"/>
                <w:sz w:val="21"/>
                <w:szCs w:val="21"/>
                <w:highlight w:val="none"/>
                <w:lang w:val="en-US" w:eastAsia="zh-CN"/>
              </w:rPr>
              <w:t>VOCs</w:t>
            </w:r>
          </w:p>
        </w:tc>
        <w:tc>
          <w:tcPr>
            <w:tcW w:w="1038" w:type="pct"/>
            <w:tcBorders>
              <w:tl2br w:val="nil"/>
              <w:tr2bl w:val="nil"/>
            </w:tcBorders>
            <w:shd w:val="clear" w:color="auto" w:fill="auto"/>
            <w:noWrap w:val="0"/>
            <w:vAlign w:val="center"/>
          </w:tcPr>
          <w:p w14:paraId="53C73FF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0.0017 </w:t>
            </w:r>
          </w:p>
        </w:tc>
        <w:tc>
          <w:tcPr>
            <w:tcW w:w="1097" w:type="pct"/>
            <w:tcBorders>
              <w:tl2br w:val="nil"/>
              <w:tr2bl w:val="nil"/>
            </w:tcBorders>
            <w:noWrap w:val="0"/>
            <w:vAlign w:val="center"/>
          </w:tcPr>
          <w:p w14:paraId="31074A0C">
            <w:pPr>
              <w:pStyle w:val="24"/>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1.2</w:t>
            </w:r>
          </w:p>
        </w:tc>
        <w:tc>
          <w:tcPr>
            <w:tcW w:w="1738" w:type="dxa"/>
            <w:tcBorders>
              <w:tl2br w:val="nil"/>
              <w:tr2bl w:val="nil"/>
            </w:tcBorders>
            <w:noWrap w:val="0"/>
            <w:vAlign w:val="bottom"/>
          </w:tcPr>
          <w:p w14:paraId="527A5F07">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 xml:space="preserve">0.0014 </w:t>
            </w:r>
          </w:p>
        </w:tc>
      </w:tr>
      <w:tr w14:paraId="1786B58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restart"/>
            <w:tcBorders>
              <w:right w:val="single" w:color="000000" w:sz="8" w:space="0"/>
              <w:tl2br w:val="nil"/>
              <w:tr2bl w:val="nil"/>
            </w:tcBorders>
            <w:noWrap w:val="0"/>
            <w:vAlign w:val="center"/>
          </w:tcPr>
          <w:p w14:paraId="140F5C8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质检室</w:t>
            </w:r>
          </w:p>
        </w:tc>
        <w:tc>
          <w:tcPr>
            <w:tcW w:w="1156" w:type="pct"/>
            <w:tcBorders>
              <w:left w:val="single" w:color="000000" w:sz="8" w:space="0"/>
              <w:tl2br w:val="nil"/>
              <w:tr2bl w:val="nil"/>
            </w:tcBorders>
            <w:shd w:val="clear" w:color="auto" w:fill="auto"/>
            <w:noWrap w:val="0"/>
            <w:vAlign w:val="center"/>
          </w:tcPr>
          <w:p w14:paraId="3EB3A316">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氯化氢</w:t>
            </w:r>
          </w:p>
        </w:tc>
        <w:tc>
          <w:tcPr>
            <w:tcW w:w="1976" w:type="dxa"/>
            <w:tcBorders>
              <w:tl2br w:val="nil"/>
              <w:tr2bl w:val="nil"/>
            </w:tcBorders>
            <w:noWrap w:val="0"/>
            <w:vAlign w:val="bottom"/>
          </w:tcPr>
          <w:p w14:paraId="7E791DC1">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9.52E-07</w:t>
            </w:r>
          </w:p>
        </w:tc>
        <w:tc>
          <w:tcPr>
            <w:tcW w:w="1097" w:type="pct"/>
            <w:tcBorders>
              <w:tl2br w:val="nil"/>
              <w:tr2bl w:val="nil"/>
            </w:tcBorders>
            <w:noWrap w:val="0"/>
            <w:vAlign w:val="center"/>
          </w:tcPr>
          <w:p w14:paraId="62030250">
            <w:pPr>
              <w:pStyle w:val="24"/>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0.05</w:t>
            </w:r>
          </w:p>
        </w:tc>
        <w:tc>
          <w:tcPr>
            <w:tcW w:w="1738" w:type="dxa"/>
            <w:tcBorders>
              <w:tl2br w:val="nil"/>
              <w:tr2bl w:val="nil"/>
            </w:tcBorders>
            <w:noWrap w:val="0"/>
            <w:vAlign w:val="bottom"/>
          </w:tcPr>
          <w:p w14:paraId="79F59B78">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1.90E-05</w:t>
            </w:r>
          </w:p>
        </w:tc>
      </w:tr>
      <w:tr w14:paraId="1C008EA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continue"/>
            <w:tcBorders>
              <w:right w:val="single" w:color="000000" w:sz="8" w:space="0"/>
              <w:tl2br w:val="nil"/>
              <w:tr2bl w:val="nil"/>
            </w:tcBorders>
            <w:shd w:val="clear" w:color="auto" w:fill="auto"/>
            <w:noWrap w:val="0"/>
            <w:vAlign w:val="center"/>
          </w:tcPr>
          <w:p w14:paraId="15CB425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1156" w:type="pct"/>
            <w:tcBorders>
              <w:left w:val="single" w:color="000000" w:sz="8" w:space="0"/>
              <w:tl2br w:val="nil"/>
              <w:tr2bl w:val="nil"/>
            </w:tcBorders>
            <w:shd w:val="clear" w:color="auto" w:fill="auto"/>
            <w:noWrap w:val="0"/>
            <w:vAlign w:val="center"/>
          </w:tcPr>
          <w:p w14:paraId="1207126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1976" w:type="dxa"/>
            <w:tcBorders>
              <w:tl2br w:val="nil"/>
              <w:tr2bl w:val="nil"/>
            </w:tcBorders>
            <w:noWrap w:val="0"/>
            <w:vAlign w:val="bottom"/>
          </w:tcPr>
          <w:p w14:paraId="1B28E987">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1.60E-07</w:t>
            </w:r>
          </w:p>
        </w:tc>
        <w:tc>
          <w:tcPr>
            <w:tcW w:w="1097" w:type="pct"/>
            <w:tcBorders>
              <w:tl2br w:val="nil"/>
              <w:tr2bl w:val="nil"/>
            </w:tcBorders>
            <w:shd w:val="clear" w:color="auto" w:fill="auto"/>
            <w:noWrap w:val="0"/>
            <w:vAlign w:val="center"/>
          </w:tcPr>
          <w:p w14:paraId="2A1B5ACC">
            <w:pPr>
              <w:pStyle w:val="24"/>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0.3</w:t>
            </w:r>
          </w:p>
        </w:tc>
        <w:tc>
          <w:tcPr>
            <w:tcW w:w="1738" w:type="dxa"/>
            <w:tcBorders>
              <w:tl2br w:val="nil"/>
              <w:tr2bl w:val="nil"/>
            </w:tcBorders>
            <w:noWrap w:val="0"/>
            <w:vAlign w:val="bottom"/>
          </w:tcPr>
          <w:p w14:paraId="50CBBC84">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5.33E-07</w:t>
            </w:r>
          </w:p>
        </w:tc>
      </w:tr>
      <w:tr w14:paraId="3194DE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93" w:type="pct"/>
            <w:vMerge w:val="continue"/>
            <w:tcBorders>
              <w:right w:val="single" w:color="000000" w:sz="8" w:space="0"/>
              <w:tl2br w:val="nil"/>
              <w:tr2bl w:val="nil"/>
            </w:tcBorders>
            <w:shd w:val="clear" w:color="auto" w:fill="auto"/>
            <w:noWrap w:val="0"/>
            <w:vAlign w:val="center"/>
          </w:tcPr>
          <w:p w14:paraId="1F7A307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1156" w:type="pct"/>
            <w:tcBorders>
              <w:left w:val="single" w:color="000000" w:sz="8" w:space="0"/>
              <w:tl2br w:val="nil"/>
              <w:tr2bl w:val="nil"/>
            </w:tcBorders>
            <w:shd w:val="clear" w:color="auto" w:fill="auto"/>
            <w:noWrap w:val="0"/>
            <w:vAlign w:val="center"/>
          </w:tcPr>
          <w:p w14:paraId="449EAB5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976" w:type="dxa"/>
            <w:tcBorders>
              <w:tl2br w:val="nil"/>
              <w:tr2bl w:val="nil"/>
            </w:tcBorders>
            <w:noWrap w:val="0"/>
            <w:vAlign w:val="bottom"/>
          </w:tcPr>
          <w:p w14:paraId="2AB1DAA8">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1.00E-04</w:t>
            </w:r>
          </w:p>
        </w:tc>
        <w:tc>
          <w:tcPr>
            <w:tcW w:w="1097" w:type="pct"/>
            <w:tcBorders>
              <w:tl2br w:val="nil"/>
              <w:tr2bl w:val="nil"/>
            </w:tcBorders>
            <w:shd w:val="clear" w:color="auto" w:fill="auto"/>
            <w:noWrap w:val="0"/>
            <w:vAlign w:val="center"/>
          </w:tcPr>
          <w:p w14:paraId="2FCB54A3">
            <w:pPr>
              <w:pStyle w:val="24"/>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0.02</w:t>
            </w:r>
          </w:p>
        </w:tc>
        <w:tc>
          <w:tcPr>
            <w:tcW w:w="1738" w:type="dxa"/>
            <w:tcBorders>
              <w:tl2br w:val="nil"/>
              <w:tr2bl w:val="nil"/>
            </w:tcBorders>
            <w:noWrap w:val="0"/>
            <w:vAlign w:val="bottom"/>
          </w:tcPr>
          <w:p w14:paraId="772881C4">
            <w:pPr>
              <w:pStyle w:val="24"/>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0.005</w:t>
            </w:r>
          </w:p>
        </w:tc>
      </w:tr>
    </w:tbl>
    <w:p w14:paraId="41FFA061">
      <w:pPr>
        <w:pStyle w:val="26"/>
        <w:ind w:firstLine="480"/>
        <w:rPr>
          <w:color w:val="auto"/>
          <w:highlight w:val="none"/>
        </w:rPr>
      </w:pPr>
      <w:r>
        <w:rPr>
          <w:rFonts w:hint="eastAsia"/>
          <w:color w:val="auto"/>
          <w:szCs w:val="24"/>
          <w:highlight w:val="none"/>
          <w:lang w:val="en-US" w:eastAsia="zh-CN"/>
        </w:rPr>
        <w:t>据此</w:t>
      </w:r>
      <w:r>
        <w:rPr>
          <w:rFonts w:hint="eastAsia"/>
          <w:color w:val="auto"/>
          <w:szCs w:val="24"/>
          <w:highlight w:val="none"/>
        </w:rPr>
        <w:t>，本次</w:t>
      </w:r>
      <w:r>
        <w:rPr>
          <w:rFonts w:hint="eastAsia"/>
          <w:color w:val="auto"/>
          <w:szCs w:val="24"/>
          <w:highlight w:val="none"/>
          <w:lang w:val="en-US" w:eastAsia="zh-CN"/>
        </w:rPr>
        <w:t>环评生产车间、1#罐区、质检室</w:t>
      </w:r>
      <w:r>
        <w:rPr>
          <w:rFonts w:hint="eastAsia"/>
          <w:color w:val="auto"/>
          <w:szCs w:val="24"/>
          <w:highlight w:val="none"/>
        </w:rPr>
        <w:t>选取</w:t>
      </w:r>
      <w:r>
        <w:rPr>
          <w:rFonts w:hint="eastAsia" w:cs="Courier New"/>
          <w:b w:val="0"/>
          <w:bCs w:val="0"/>
          <w:color w:val="auto"/>
          <w:sz w:val="24"/>
          <w:szCs w:val="24"/>
          <w:highlight w:val="none"/>
          <w:lang w:val="en-US" w:eastAsia="zh-CN"/>
        </w:rPr>
        <w:t>氟化物</w:t>
      </w:r>
      <w:r>
        <w:rPr>
          <w:rFonts w:hint="eastAsia"/>
          <w:color w:val="auto"/>
          <w:szCs w:val="24"/>
          <w:highlight w:val="none"/>
        </w:rPr>
        <w:t>作为主要特征大气有害物质</w:t>
      </w:r>
      <w:r>
        <w:rPr>
          <w:rFonts w:hint="eastAsia"/>
          <w:color w:val="auto"/>
          <w:szCs w:val="24"/>
          <w:highlight w:val="none"/>
          <w:lang w:eastAsia="zh-CN"/>
        </w:rPr>
        <w:t>，</w:t>
      </w:r>
      <w:r>
        <w:rPr>
          <w:rFonts w:hint="eastAsia"/>
          <w:color w:val="auto"/>
          <w:szCs w:val="24"/>
          <w:highlight w:val="none"/>
          <w:lang w:val="en-US" w:eastAsia="zh-CN"/>
        </w:rPr>
        <w:t>2#罐区</w:t>
      </w:r>
      <w:r>
        <w:rPr>
          <w:rFonts w:hint="eastAsia"/>
          <w:color w:val="auto"/>
          <w:szCs w:val="24"/>
          <w:highlight w:val="none"/>
        </w:rPr>
        <w:t>选取</w:t>
      </w:r>
      <w:r>
        <w:rPr>
          <w:rFonts w:hint="eastAsia" w:ascii="Times New Roman" w:hAnsi="Times New Roman" w:eastAsia="宋体" w:cs="Courier New"/>
          <w:b w:val="0"/>
          <w:bCs w:val="0"/>
          <w:color w:val="auto"/>
          <w:sz w:val="24"/>
          <w:szCs w:val="24"/>
          <w:highlight w:val="none"/>
          <w:lang w:val="en-US" w:eastAsia="zh-CN"/>
        </w:rPr>
        <w:t>VOCs</w:t>
      </w:r>
      <w:r>
        <w:rPr>
          <w:rFonts w:hint="eastAsia"/>
          <w:color w:val="auto"/>
          <w:szCs w:val="24"/>
          <w:highlight w:val="none"/>
        </w:rPr>
        <w:t>作为主要特征大气有害物质。</w:t>
      </w:r>
    </w:p>
    <w:p w14:paraId="68344CE9">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2、卫生防护距离计算</w:t>
      </w:r>
    </w:p>
    <w:p w14:paraId="4DD4AB9F">
      <w:pPr>
        <w:pStyle w:val="26"/>
        <w:bidi w:val="0"/>
        <w:rPr>
          <w:color w:val="auto"/>
          <w:highlight w:val="none"/>
        </w:rPr>
      </w:pPr>
      <w:r>
        <w:rPr>
          <w:rFonts w:hint="eastAsia"/>
          <w:color w:val="auto"/>
          <w:highlight w:val="none"/>
        </w:rPr>
        <w:t>本次环评按照《大气有害物质无组织排放卫生防护距离推导技术导则》（G</w:t>
      </w:r>
      <w:r>
        <w:rPr>
          <w:color w:val="auto"/>
          <w:highlight w:val="none"/>
        </w:rPr>
        <w:t>B/T39499-2020</w:t>
      </w:r>
      <w:r>
        <w:rPr>
          <w:rFonts w:hint="eastAsia"/>
          <w:color w:val="auto"/>
          <w:highlight w:val="none"/>
        </w:rPr>
        <w:t>）中的方法确定本项目大气有害物质无组织排放卫生防护距离。计算公式如下：</w:t>
      </w:r>
    </w:p>
    <w:p w14:paraId="3D2EF6C1">
      <w:pPr>
        <w:pStyle w:val="26"/>
        <w:ind w:firstLine="420"/>
        <w:jc w:val="center"/>
        <w:rPr>
          <w:color w:val="auto"/>
          <w:highlight w:val="none"/>
        </w:rPr>
      </w:pPr>
      <w:r>
        <w:rPr>
          <w:color w:val="auto"/>
          <w:position w:val="-24"/>
          <w:sz w:val="21"/>
          <w:szCs w:val="22"/>
          <w:highlight w:val="none"/>
        </w:rPr>
        <w:object>
          <v:shape id="_x0000_i1040" o:spt="75" type="#_x0000_t75" style="height:27.75pt;width:135.75pt;" o:ole="t" filled="f" o:preferrelative="t" stroked="f" coordsize="21600,21600">
            <v:path/>
            <v:fill on="f" focussize="0,0"/>
            <v:stroke on="f" joinstyle="miter"/>
            <v:imagedata r:id="rId76" o:title=""/>
            <o:lock v:ext="edit" aspectratio="t"/>
            <w10:wrap type="none"/>
            <w10:anchorlock/>
          </v:shape>
          <o:OLEObject Type="Embed" ProgID="Equation.DSMT4" ShapeID="_x0000_i1040" DrawAspect="Content" ObjectID="_1468075740" r:id="rId75">
            <o:LockedField>false</o:LockedField>
          </o:OLEObject>
        </w:object>
      </w:r>
    </w:p>
    <w:p w14:paraId="6C358511">
      <w:pPr>
        <w:spacing w:line="360" w:lineRule="auto"/>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式中</w:t>
      </w:r>
      <w:r>
        <w:rPr>
          <w:rFonts w:ascii="Times New Roman" w:hAnsi="Times New Roman"/>
          <w:color w:val="auto"/>
          <w:sz w:val="24"/>
          <w:szCs w:val="24"/>
          <w:highlight w:val="none"/>
        </w:rPr>
        <w:t>，</w:t>
      </w:r>
      <w:r>
        <w:rPr>
          <w:rFonts w:ascii="Times New Roman" w:hAnsi="Times New Roman"/>
          <w:i/>
          <w:color w:val="auto"/>
          <w:sz w:val="24"/>
          <w:szCs w:val="24"/>
          <w:highlight w:val="none"/>
        </w:rPr>
        <w:t>Q</w:t>
      </w:r>
      <w:r>
        <w:rPr>
          <w:rFonts w:hint="eastAsia" w:ascii="Times New Roman" w:hAnsi="Times New Roman"/>
          <w:i/>
          <w:color w:val="auto"/>
          <w:sz w:val="24"/>
          <w:szCs w:val="24"/>
          <w:highlight w:val="none"/>
          <w:vertAlign w:val="subscript"/>
        </w:rPr>
        <w:t>c</w:t>
      </w:r>
      <w:r>
        <w:rPr>
          <w:rFonts w:ascii="Times New Roman" w:hAnsi="Times New Roman"/>
          <w:color w:val="auto"/>
          <w:sz w:val="24"/>
          <w:szCs w:val="24"/>
          <w:highlight w:val="none"/>
        </w:rPr>
        <w:t>——大气有害物质</w:t>
      </w:r>
      <w:r>
        <w:rPr>
          <w:rFonts w:hint="eastAsia" w:ascii="Times New Roman" w:hAnsi="Times New Roman"/>
          <w:color w:val="auto"/>
          <w:sz w:val="24"/>
          <w:szCs w:val="24"/>
          <w:highlight w:val="none"/>
        </w:rPr>
        <w:t>的</w:t>
      </w:r>
      <w:r>
        <w:rPr>
          <w:rFonts w:ascii="Times New Roman" w:hAnsi="Times New Roman"/>
          <w:color w:val="auto"/>
          <w:sz w:val="24"/>
          <w:szCs w:val="24"/>
          <w:highlight w:val="none"/>
        </w:rPr>
        <w:t>无组织排放量</w:t>
      </w:r>
      <w:r>
        <w:rPr>
          <w:rFonts w:hint="eastAsia" w:ascii="Times New Roman" w:hAnsi="Times New Roman"/>
          <w:color w:val="auto"/>
          <w:sz w:val="24"/>
          <w:szCs w:val="24"/>
          <w:highlight w:val="none"/>
        </w:rPr>
        <w:t>，kg</w:t>
      </w:r>
      <w:r>
        <w:rPr>
          <w:rFonts w:ascii="Times New Roman" w:hAnsi="Times New Roman"/>
          <w:color w:val="auto"/>
          <w:sz w:val="24"/>
          <w:szCs w:val="24"/>
          <w:highlight w:val="none"/>
        </w:rPr>
        <w:t>/h</w:t>
      </w:r>
      <w:r>
        <w:rPr>
          <w:rFonts w:hint="eastAsia" w:ascii="Times New Roman" w:hAnsi="Times New Roman"/>
          <w:color w:val="auto"/>
          <w:sz w:val="24"/>
          <w:szCs w:val="24"/>
          <w:highlight w:val="none"/>
        </w:rPr>
        <w:t>；</w:t>
      </w:r>
    </w:p>
    <w:p w14:paraId="7922C3BD">
      <w:pPr>
        <w:spacing w:line="360" w:lineRule="auto"/>
        <w:ind w:firstLine="720" w:firstLineChars="300"/>
        <w:rPr>
          <w:rFonts w:ascii="Times New Roman" w:hAnsi="Times New Roman"/>
          <w:color w:val="auto"/>
          <w:sz w:val="24"/>
          <w:szCs w:val="24"/>
          <w:highlight w:val="none"/>
        </w:rPr>
      </w:pPr>
      <w:r>
        <w:rPr>
          <w:rFonts w:ascii="Times New Roman" w:hAnsi="Times New Roman"/>
          <w:i/>
          <w:color w:val="auto"/>
          <w:sz w:val="24"/>
          <w:szCs w:val="24"/>
          <w:highlight w:val="none"/>
        </w:rPr>
        <w:t>C</w:t>
      </w:r>
      <w:r>
        <w:rPr>
          <w:rFonts w:ascii="Times New Roman" w:hAnsi="Times New Roman"/>
          <w:i/>
          <w:color w:val="auto"/>
          <w:sz w:val="24"/>
          <w:szCs w:val="24"/>
          <w:highlight w:val="none"/>
          <w:vertAlign w:val="subscript"/>
        </w:rPr>
        <w:t>m</w:t>
      </w:r>
      <w:r>
        <w:rPr>
          <w:rFonts w:ascii="Times New Roman" w:hAnsi="Times New Roman"/>
          <w:color w:val="auto"/>
          <w:sz w:val="24"/>
          <w:szCs w:val="24"/>
          <w:highlight w:val="none"/>
        </w:rPr>
        <w:t>——大气有害物质环境空气质量的</w:t>
      </w:r>
      <w:r>
        <w:rPr>
          <w:rFonts w:hint="eastAsia" w:ascii="Times New Roman" w:hAnsi="Times New Roman"/>
          <w:color w:val="auto"/>
          <w:sz w:val="24"/>
          <w:szCs w:val="24"/>
          <w:highlight w:val="none"/>
        </w:rPr>
        <w:t>标准限值，</w:t>
      </w:r>
      <w:r>
        <w:rPr>
          <w:rFonts w:ascii="Times New Roman" w:hAnsi="Times New Roman"/>
          <w:color w:val="auto"/>
          <w:sz w:val="24"/>
          <w:szCs w:val="24"/>
          <w:highlight w:val="none"/>
        </w:rPr>
        <w:t>mg/m</w:t>
      </w:r>
      <w:r>
        <w:rPr>
          <w:rFonts w:ascii="Times New Roman" w:hAnsi="Times New Roman"/>
          <w:color w:val="auto"/>
          <w:sz w:val="24"/>
          <w:szCs w:val="24"/>
          <w:highlight w:val="none"/>
          <w:vertAlign w:val="superscript"/>
        </w:rPr>
        <w:t>3</w:t>
      </w:r>
      <w:r>
        <w:rPr>
          <w:rFonts w:hint="eastAsia" w:ascii="Times New Roman" w:hAnsi="Times New Roman"/>
          <w:color w:val="auto"/>
          <w:sz w:val="24"/>
          <w:szCs w:val="24"/>
          <w:highlight w:val="none"/>
        </w:rPr>
        <w:t>；</w:t>
      </w:r>
    </w:p>
    <w:p w14:paraId="3A41CFE8">
      <w:pPr>
        <w:spacing w:line="360" w:lineRule="auto"/>
        <w:ind w:firstLine="720" w:firstLineChars="300"/>
        <w:rPr>
          <w:rFonts w:ascii="Times New Roman" w:hAnsi="Times New Roman"/>
          <w:color w:val="auto"/>
          <w:sz w:val="24"/>
          <w:szCs w:val="24"/>
          <w:highlight w:val="none"/>
        </w:rPr>
      </w:pPr>
      <w:r>
        <w:rPr>
          <w:rFonts w:ascii="Times New Roman" w:hAnsi="Times New Roman"/>
          <w:i/>
          <w:color w:val="auto"/>
          <w:sz w:val="24"/>
          <w:szCs w:val="24"/>
          <w:highlight w:val="none"/>
        </w:rPr>
        <w:t>L</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大气</w:t>
      </w:r>
      <w:r>
        <w:rPr>
          <w:rFonts w:ascii="Times New Roman" w:hAnsi="Times New Roman"/>
          <w:color w:val="auto"/>
          <w:sz w:val="24"/>
          <w:szCs w:val="24"/>
          <w:highlight w:val="none"/>
        </w:rPr>
        <w:t>有害物质卫生防护距离初值，m；</w:t>
      </w:r>
    </w:p>
    <w:p w14:paraId="54AFB45E">
      <w:pPr>
        <w:spacing w:line="360" w:lineRule="auto"/>
        <w:ind w:firstLine="720" w:firstLineChars="300"/>
        <w:rPr>
          <w:rFonts w:ascii="Times New Roman" w:hAnsi="Times New Roman"/>
          <w:color w:val="auto"/>
          <w:sz w:val="24"/>
          <w:szCs w:val="24"/>
          <w:highlight w:val="none"/>
        </w:rPr>
      </w:pPr>
      <w:r>
        <w:rPr>
          <w:rFonts w:ascii="Times New Roman" w:hAnsi="Times New Roman"/>
          <w:i/>
          <w:color w:val="auto"/>
          <w:sz w:val="24"/>
          <w:szCs w:val="24"/>
          <w:highlight w:val="none"/>
        </w:rPr>
        <w:t>r</w:t>
      </w:r>
      <w:r>
        <w:rPr>
          <w:rFonts w:ascii="Times New Roman" w:hAnsi="Times New Roman"/>
          <w:color w:val="auto"/>
          <w:sz w:val="24"/>
          <w:szCs w:val="24"/>
          <w:highlight w:val="none"/>
        </w:rPr>
        <w:t>——大气</w:t>
      </w:r>
      <w:r>
        <w:rPr>
          <w:rFonts w:hint="eastAsia" w:ascii="Times New Roman" w:hAnsi="Times New Roman"/>
          <w:color w:val="auto"/>
          <w:sz w:val="24"/>
          <w:szCs w:val="24"/>
          <w:highlight w:val="none"/>
        </w:rPr>
        <w:t>有害物质无组织排放源所在生产单元的等效半径，m；</w:t>
      </w:r>
    </w:p>
    <w:p w14:paraId="4CB75036">
      <w:pPr>
        <w:pStyle w:val="26"/>
        <w:ind w:firstLine="1200" w:firstLineChars="500"/>
        <w:rPr>
          <w:color w:val="auto"/>
          <w:highlight w:val="none"/>
        </w:rPr>
      </w:pPr>
      <w:r>
        <w:rPr>
          <w:i/>
          <w:color w:val="auto"/>
          <w:szCs w:val="24"/>
          <w:highlight w:val="none"/>
        </w:rPr>
        <w:t>A</w:t>
      </w:r>
      <w:r>
        <w:rPr>
          <w:color w:val="auto"/>
          <w:szCs w:val="24"/>
          <w:highlight w:val="none"/>
        </w:rPr>
        <w:t>、</w:t>
      </w:r>
      <w:r>
        <w:rPr>
          <w:i/>
          <w:color w:val="auto"/>
          <w:szCs w:val="24"/>
          <w:highlight w:val="none"/>
        </w:rPr>
        <w:t>B</w:t>
      </w:r>
      <w:r>
        <w:rPr>
          <w:rFonts w:hint="eastAsia"/>
          <w:color w:val="auto"/>
          <w:szCs w:val="24"/>
          <w:highlight w:val="none"/>
        </w:rPr>
        <w:t>、</w:t>
      </w:r>
      <w:r>
        <w:rPr>
          <w:i/>
          <w:color w:val="auto"/>
          <w:szCs w:val="24"/>
          <w:highlight w:val="none"/>
        </w:rPr>
        <w:t>C</w:t>
      </w:r>
      <w:r>
        <w:rPr>
          <w:rFonts w:hint="eastAsia"/>
          <w:color w:val="auto"/>
          <w:szCs w:val="24"/>
          <w:highlight w:val="none"/>
        </w:rPr>
        <w:t>、</w:t>
      </w:r>
      <w:r>
        <w:rPr>
          <w:i/>
          <w:color w:val="auto"/>
          <w:szCs w:val="24"/>
          <w:highlight w:val="none"/>
        </w:rPr>
        <w:t>D</w:t>
      </w:r>
      <w:r>
        <w:rPr>
          <w:color w:val="auto"/>
          <w:szCs w:val="24"/>
          <w:highlight w:val="none"/>
        </w:rPr>
        <w:t>——</w:t>
      </w:r>
      <w:r>
        <w:rPr>
          <w:rFonts w:hint="eastAsia"/>
          <w:color w:val="auto"/>
          <w:szCs w:val="24"/>
          <w:highlight w:val="none"/>
        </w:rPr>
        <w:t>卫生</w:t>
      </w:r>
      <w:r>
        <w:rPr>
          <w:color w:val="auto"/>
          <w:szCs w:val="24"/>
          <w:highlight w:val="none"/>
        </w:rPr>
        <w:t>防护距离初值计算系数，无因次，根据</w:t>
      </w:r>
      <w:r>
        <w:rPr>
          <w:rFonts w:hint="eastAsia"/>
          <w:color w:val="auto"/>
          <w:szCs w:val="24"/>
          <w:highlight w:val="none"/>
        </w:rPr>
        <w:t>工业企业所在地区近五年平均风速及工业企业大气污染源构成类别从GB</w:t>
      </w:r>
      <w:r>
        <w:rPr>
          <w:color w:val="auto"/>
          <w:szCs w:val="24"/>
          <w:highlight w:val="none"/>
        </w:rPr>
        <w:t>/</w:t>
      </w:r>
      <w:r>
        <w:rPr>
          <w:rFonts w:hint="eastAsia"/>
          <w:color w:val="auto"/>
          <w:szCs w:val="24"/>
          <w:highlight w:val="none"/>
        </w:rPr>
        <w:t>T39499中</w:t>
      </w:r>
      <w:r>
        <w:rPr>
          <w:color w:val="auto"/>
          <w:szCs w:val="24"/>
          <w:highlight w:val="none"/>
        </w:rPr>
        <w:t>表1</w:t>
      </w:r>
      <w:r>
        <w:rPr>
          <w:rFonts w:hint="eastAsia"/>
          <w:color w:val="auto"/>
          <w:szCs w:val="24"/>
          <w:highlight w:val="none"/>
        </w:rPr>
        <w:t>查取</w:t>
      </w:r>
      <w:r>
        <w:rPr>
          <w:rFonts w:hint="eastAsia"/>
          <w:color w:val="auto"/>
          <w:highlight w:val="none"/>
        </w:rPr>
        <w:t>。</w:t>
      </w:r>
    </w:p>
    <w:p w14:paraId="27E136C7">
      <w:pPr>
        <w:pStyle w:val="26"/>
        <w:bidi w:val="0"/>
        <w:rPr>
          <w:color w:val="auto"/>
          <w:highlight w:val="none"/>
        </w:rPr>
      </w:pPr>
      <w:r>
        <w:rPr>
          <w:rFonts w:hint="eastAsia"/>
          <w:color w:val="auto"/>
          <w:szCs w:val="24"/>
          <w:highlight w:val="none"/>
        </w:rPr>
        <w:t>根据本项目所在地区</w:t>
      </w:r>
      <w:r>
        <w:rPr>
          <w:color w:val="auto"/>
          <w:szCs w:val="24"/>
          <w:highlight w:val="none"/>
        </w:rPr>
        <w:t>近五年平均风速及</w:t>
      </w:r>
      <w:r>
        <w:rPr>
          <w:rFonts w:hint="eastAsia"/>
          <w:color w:val="auto"/>
          <w:szCs w:val="24"/>
          <w:highlight w:val="none"/>
        </w:rPr>
        <w:t>无组织</w:t>
      </w:r>
      <w:r>
        <w:rPr>
          <w:color w:val="auto"/>
          <w:szCs w:val="24"/>
          <w:highlight w:val="none"/>
        </w:rPr>
        <w:t>排放污染物构成类别，从</w:t>
      </w:r>
      <w:r>
        <w:rPr>
          <w:rFonts w:hint="eastAsia"/>
          <w:color w:val="auto"/>
          <w:szCs w:val="24"/>
          <w:highlight w:val="none"/>
        </w:rPr>
        <w:t>《大气有害物质无组织排放卫生防护距离推导技术导则》（GB</w:t>
      </w:r>
      <w:r>
        <w:rPr>
          <w:color w:val="auto"/>
          <w:szCs w:val="24"/>
          <w:highlight w:val="none"/>
        </w:rPr>
        <w:t>/</w:t>
      </w:r>
      <w:r>
        <w:rPr>
          <w:rFonts w:hint="eastAsia"/>
          <w:color w:val="auto"/>
          <w:szCs w:val="24"/>
          <w:highlight w:val="none"/>
        </w:rPr>
        <w:t>T39499-2020）中选取</w:t>
      </w:r>
      <w:r>
        <w:rPr>
          <w:color w:val="auto"/>
          <w:szCs w:val="24"/>
          <w:highlight w:val="none"/>
        </w:rPr>
        <w:t>本</w:t>
      </w:r>
      <w:r>
        <w:rPr>
          <w:rFonts w:hint="eastAsia"/>
          <w:color w:val="auto"/>
          <w:szCs w:val="24"/>
          <w:highlight w:val="none"/>
        </w:rPr>
        <w:t>次卫生防护距离计算</w:t>
      </w:r>
      <w:r>
        <w:rPr>
          <w:color w:val="auto"/>
          <w:szCs w:val="24"/>
          <w:highlight w:val="none"/>
        </w:rPr>
        <w:t>系数为：</w:t>
      </w:r>
      <w:r>
        <w:rPr>
          <w:i/>
          <w:color w:val="auto"/>
          <w:szCs w:val="24"/>
          <w:highlight w:val="none"/>
        </w:rPr>
        <w:t>A</w:t>
      </w:r>
      <w:r>
        <w:rPr>
          <w:color w:val="auto"/>
          <w:szCs w:val="24"/>
          <w:highlight w:val="none"/>
        </w:rPr>
        <w:t>=400</w:t>
      </w:r>
      <w:r>
        <w:rPr>
          <w:rFonts w:hint="eastAsia"/>
          <w:color w:val="auto"/>
          <w:szCs w:val="24"/>
          <w:highlight w:val="none"/>
        </w:rPr>
        <w:t>，</w:t>
      </w:r>
      <w:r>
        <w:rPr>
          <w:i/>
          <w:color w:val="auto"/>
          <w:szCs w:val="24"/>
          <w:highlight w:val="none"/>
        </w:rPr>
        <w:t>B</w:t>
      </w:r>
      <w:r>
        <w:rPr>
          <w:color w:val="auto"/>
          <w:szCs w:val="24"/>
          <w:highlight w:val="none"/>
        </w:rPr>
        <w:t>=0.01</w:t>
      </w:r>
      <w:r>
        <w:rPr>
          <w:rFonts w:hint="eastAsia"/>
          <w:color w:val="auto"/>
          <w:szCs w:val="24"/>
          <w:highlight w:val="none"/>
        </w:rPr>
        <w:t>，</w:t>
      </w:r>
      <w:r>
        <w:rPr>
          <w:i/>
          <w:color w:val="auto"/>
          <w:szCs w:val="24"/>
          <w:highlight w:val="none"/>
        </w:rPr>
        <w:t>C</w:t>
      </w:r>
      <w:r>
        <w:rPr>
          <w:color w:val="auto"/>
          <w:szCs w:val="24"/>
          <w:highlight w:val="none"/>
        </w:rPr>
        <w:t>=1.85</w:t>
      </w:r>
      <w:r>
        <w:rPr>
          <w:rFonts w:hint="eastAsia"/>
          <w:color w:val="auto"/>
          <w:szCs w:val="24"/>
          <w:highlight w:val="none"/>
        </w:rPr>
        <w:t>，</w:t>
      </w:r>
      <w:r>
        <w:rPr>
          <w:rFonts w:hint="eastAsia"/>
          <w:i/>
          <w:color w:val="auto"/>
          <w:szCs w:val="24"/>
          <w:highlight w:val="none"/>
        </w:rPr>
        <w:t>D</w:t>
      </w:r>
      <w:r>
        <w:rPr>
          <w:color w:val="auto"/>
          <w:szCs w:val="24"/>
          <w:highlight w:val="none"/>
        </w:rPr>
        <w:t>=0.78</w:t>
      </w:r>
      <w:r>
        <w:rPr>
          <w:rFonts w:hint="eastAsia"/>
          <w:color w:val="auto"/>
          <w:szCs w:val="24"/>
          <w:highlight w:val="none"/>
        </w:rPr>
        <w:t>。</w:t>
      </w:r>
    </w:p>
    <w:p w14:paraId="30B7224D">
      <w:pPr>
        <w:spacing w:line="360" w:lineRule="auto"/>
        <w:ind w:left="0" w:leftChars="0" w:firstLine="480" w:firstLineChars="20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通过</w:t>
      </w:r>
      <w:r>
        <w:rPr>
          <w:rFonts w:ascii="Times New Roman" w:hAnsi="Times New Roman"/>
          <w:color w:val="auto"/>
          <w:sz w:val="24"/>
          <w:szCs w:val="24"/>
          <w:highlight w:val="none"/>
        </w:rPr>
        <w:t>计算，</w:t>
      </w:r>
      <w:r>
        <w:rPr>
          <w:rFonts w:hint="eastAsia" w:ascii="Times New Roman" w:hAnsi="Times New Roman"/>
          <w:color w:val="auto"/>
          <w:sz w:val="24"/>
          <w:szCs w:val="24"/>
          <w:highlight w:val="none"/>
        </w:rPr>
        <w:t>运营期大气有害物质卫生防护距离计算结果</w:t>
      </w:r>
      <w:r>
        <w:rPr>
          <w:rFonts w:ascii="Times New Roman" w:hAnsi="Times New Roman"/>
          <w:color w:val="auto"/>
          <w:sz w:val="24"/>
          <w:szCs w:val="24"/>
          <w:highlight w:val="none"/>
        </w:rPr>
        <w:t>见</w:t>
      </w:r>
      <w:r>
        <w:rPr>
          <w:rFonts w:hint="eastAsia" w:ascii="Times New Roman" w:hAnsi="Times New Roman"/>
          <w:color w:val="auto"/>
          <w:sz w:val="24"/>
          <w:szCs w:val="24"/>
          <w:highlight w:val="none"/>
          <w:lang w:val="en-US" w:eastAsia="zh-CN"/>
        </w:rPr>
        <w:t>下</w:t>
      </w:r>
      <w:r>
        <w:rPr>
          <w:rFonts w:ascii="Times New Roman" w:hAnsi="Times New Roman"/>
          <w:color w:val="auto"/>
          <w:sz w:val="24"/>
          <w:szCs w:val="24"/>
          <w:highlight w:val="none"/>
        </w:rPr>
        <w:t>表</w:t>
      </w:r>
      <w:r>
        <w:rPr>
          <w:rFonts w:hint="eastAsia" w:ascii="Times New Roman" w:hAnsi="Times New Roman"/>
          <w:color w:val="auto"/>
          <w:sz w:val="24"/>
          <w:szCs w:val="24"/>
          <w:highlight w:val="none"/>
        </w:rPr>
        <w:t>。</w:t>
      </w:r>
    </w:p>
    <w:p w14:paraId="08353274">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大气有害物质卫生防护距离计算结果</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1278"/>
        <w:gridCol w:w="1766"/>
        <w:gridCol w:w="1302"/>
        <w:gridCol w:w="1302"/>
        <w:gridCol w:w="1340"/>
        <w:gridCol w:w="1256"/>
      </w:tblGrid>
      <w:tr w14:paraId="20AA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68" w:type="pct"/>
            <w:noWrap w:val="0"/>
            <w:vAlign w:val="center"/>
          </w:tcPr>
          <w:p w14:paraId="5A09ED36">
            <w:pPr>
              <w:pStyle w:val="24"/>
              <w:rPr>
                <w:rFonts w:eastAsia="宋体"/>
                <w:b/>
                <w:bCs/>
                <w:color w:val="auto"/>
                <w:highlight w:val="none"/>
              </w:rPr>
            </w:pPr>
            <w:r>
              <w:rPr>
                <w:rFonts w:hint="eastAsia" w:eastAsia="宋体"/>
                <w:b/>
                <w:bCs/>
                <w:color w:val="auto"/>
                <w:highlight w:val="none"/>
              </w:rPr>
              <w:t>污染源</w:t>
            </w:r>
          </w:p>
        </w:tc>
        <w:tc>
          <w:tcPr>
            <w:tcW w:w="672" w:type="pct"/>
            <w:noWrap w:val="0"/>
            <w:vAlign w:val="center"/>
          </w:tcPr>
          <w:p w14:paraId="62652384">
            <w:pPr>
              <w:pStyle w:val="24"/>
              <w:rPr>
                <w:rFonts w:eastAsia="宋体"/>
                <w:b/>
                <w:bCs/>
                <w:color w:val="auto"/>
                <w:highlight w:val="none"/>
              </w:rPr>
            </w:pPr>
            <w:r>
              <w:rPr>
                <w:rFonts w:hint="eastAsia" w:eastAsia="宋体"/>
                <w:b/>
                <w:bCs/>
                <w:color w:val="auto"/>
                <w:highlight w:val="none"/>
              </w:rPr>
              <w:t>污染物名称</w:t>
            </w:r>
          </w:p>
        </w:tc>
        <w:tc>
          <w:tcPr>
            <w:tcW w:w="928" w:type="pct"/>
            <w:noWrap w:val="0"/>
            <w:vAlign w:val="center"/>
          </w:tcPr>
          <w:p w14:paraId="72175249">
            <w:pPr>
              <w:pStyle w:val="24"/>
              <w:rPr>
                <w:rFonts w:eastAsia="宋体"/>
                <w:b/>
                <w:bCs/>
                <w:color w:val="auto"/>
                <w:highlight w:val="none"/>
              </w:rPr>
            </w:pPr>
            <w:r>
              <w:rPr>
                <w:rFonts w:hint="eastAsia" w:eastAsia="宋体"/>
                <w:b/>
                <w:bCs/>
                <w:color w:val="auto"/>
                <w:highlight w:val="none"/>
              </w:rPr>
              <w:t>面源参数</w:t>
            </w:r>
          </w:p>
          <w:p w14:paraId="61F8BCEE">
            <w:pPr>
              <w:pStyle w:val="24"/>
              <w:rPr>
                <w:rFonts w:eastAsia="宋体"/>
                <w:b/>
                <w:bCs/>
                <w:color w:val="auto"/>
                <w:highlight w:val="none"/>
              </w:rPr>
            </w:pPr>
            <w:r>
              <w:rPr>
                <w:rFonts w:hint="eastAsia" w:eastAsia="宋体"/>
                <w:b/>
                <w:bCs/>
                <w:color w:val="auto"/>
                <w:highlight w:val="none"/>
              </w:rPr>
              <w:t>（长</w:t>
            </w:r>
            <w:r>
              <w:rPr>
                <w:rFonts w:eastAsia="宋体"/>
                <w:b/>
                <w:bCs/>
                <w:color w:val="auto"/>
                <w:highlight w:val="none"/>
              </w:rPr>
              <w:t>×</w:t>
            </w:r>
            <w:r>
              <w:rPr>
                <w:rFonts w:hint="eastAsia" w:eastAsia="宋体"/>
                <w:b/>
                <w:bCs/>
                <w:color w:val="auto"/>
                <w:highlight w:val="none"/>
              </w:rPr>
              <w:t>宽</w:t>
            </w:r>
            <w:r>
              <w:rPr>
                <w:rFonts w:eastAsia="宋体"/>
                <w:b/>
                <w:bCs/>
                <w:color w:val="auto"/>
                <w:highlight w:val="none"/>
              </w:rPr>
              <w:t>×</w:t>
            </w:r>
            <w:r>
              <w:rPr>
                <w:rFonts w:hint="eastAsia" w:eastAsia="宋体"/>
                <w:b/>
                <w:bCs/>
                <w:color w:val="auto"/>
                <w:highlight w:val="none"/>
              </w:rPr>
              <w:t>高，</w:t>
            </w:r>
            <w:r>
              <w:rPr>
                <w:rFonts w:eastAsia="宋体"/>
                <w:b/>
                <w:bCs/>
                <w:color w:val="auto"/>
                <w:highlight w:val="none"/>
              </w:rPr>
              <w:t>m</w:t>
            </w:r>
            <w:r>
              <w:rPr>
                <w:rFonts w:hint="eastAsia"/>
                <w:b/>
                <w:bCs/>
                <w:color w:val="auto"/>
                <w:highlight w:val="none"/>
                <w:lang w:val="en-US" w:eastAsia="zh-CN"/>
              </w:rPr>
              <w:t>/面积</w:t>
            </w:r>
            <w:r>
              <w:rPr>
                <w:rFonts w:eastAsia="宋体"/>
                <w:b/>
                <w:bCs/>
                <w:color w:val="auto"/>
                <w:highlight w:val="none"/>
              </w:rPr>
              <w:t>×</w:t>
            </w:r>
            <w:r>
              <w:rPr>
                <w:rFonts w:hint="eastAsia" w:eastAsia="宋体"/>
                <w:b/>
                <w:bCs/>
                <w:color w:val="auto"/>
                <w:highlight w:val="none"/>
              </w:rPr>
              <w:t>高）</w:t>
            </w:r>
          </w:p>
        </w:tc>
        <w:tc>
          <w:tcPr>
            <w:tcW w:w="684" w:type="pct"/>
            <w:noWrap w:val="0"/>
            <w:vAlign w:val="center"/>
          </w:tcPr>
          <w:p w14:paraId="102558CD">
            <w:pPr>
              <w:pStyle w:val="24"/>
              <w:rPr>
                <w:rFonts w:eastAsia="宋体"/>
                <w:b/>
                <w:bCs/>
                <w:color w:val="auto"/>
                <w:highlight w:val="none"/>
              </w:rPr>
            </w:pPr>
            <w:r>
              <w:rPr>
                <w:rFonts w:hint="eastAsia" w:eastAsia="宋体"/>
                <w:b/>
                <w:bCs/>
                <w:color w:val="auto"/>
                <w:highlight w:val="none"/>
              </w:rPr>
              <w:t>污染物排放率（</w:t>
            </w:r>
            <w:r>
              <w:rPr>
                <w:rFonts w:eastAsia="宋体"/>
                <w:b/>
                <w:bCs/>
                <w:color w:val="auto"/>
                <w:highlight w:val="none"/>
              </w:rPr>
              <w:t>kg/h</w:t>
            </w:r>
            <w:r>
              <w:rPr>
                <w:rFonts w:hint="eastAsia" w:eastAsia="宋体"/>
                <w:b/>
                <w:bCs/>
                <w:color w:val="auto"/>
                <w:highlight w:val="none"/>
              </w:rPr>
              <w:t>）</w:t>
            </w:r>
          </w:p>
        </w:tc>
        <w:tc>
          <w:tcPr>
            <w:tcW w:w="684" w:type="pct"/>
            <w:noWrap w:val="0"/>
            <w:vAlign w:val="center"/>
          </w:tcPr>
          <w:p w14:paraId="56B43A3E">
            <w:pPr>
              <w:pStyle w:val="24"/>
              <w:rPr>
                <w:rFonts w:eastAsia="宋体"/>
                <w:b/>
                <w:bCs/>
                <w:color w:val="auto"/>
                <w:highlight w:val="none"/>
              </w:rPr>
            </w:pPr>
            <w:r>
              <w:rPr>
                <w:rFonts w:hint="eastAsia" w:eastAsia="宋体"/>
                <w:b/>
                <w:bCs/>
                <w:color w:val="auto"/>
                <w:highlight w:val="none"/>
              </w:rPr>
              <w:t>评价标准</w:t>
            </w:r>
          </w:p>
          <w:p w14:paraId="546C4DA8">
            <w:pPr>
              <w:pStyle w:val="24"/>
              <w:rPr>
                <w:rFonts w:eastAsia="宋体"/>
                <w:b/>
                <w:bCs/>
                <w:color w:val="auto"/>
                <w:highlight w:val="none"/>
              </w:rPr>
            </w:pPr>
            <w:r>
              <w:rPr>
                <w:rFonts w:hint="eastAsia" w:eastAsia="宋体"/>
                <w:b/>
                <w:bCs/>
                <w:color w:val="auto"/>
                <w:highlight w:val="none"/>
              </w:rPr>
              <w:t>（</w:t>
            </w:r>
            <w:r>
              <w:rPr>
                <w:rFonts w:eastAsia="宋体"/>
                <w:b/>
                <w:bCs/>
                <w:color w:val="auto"/>
                <w:highlight w:val="none"/>
              </w:rPr>
              <w:t>mg/m</w:t>
            </w:r>
            <w:r>
              <w:rPr>
                <w:rFonts w:eastAsia="宋体"/>
                <w:b/>
                <w:bCs/>
                <w:color w:val="auto"/>
                <w:highlight w:val="none"/>
                <w:vertAlign w:val="superscript"/>
              </w:rPr>
              <w:t>3</w:t>
            </w:r>
            <w:r>
              <w:rPr>
                <w:rFonts w:hint="eastAsia" w:eastAsia="宋体"/>
                <w:b/>
                <w:bCs/>
                <w:color w:val="auto"/>
                <w:highlight w:val="none"/>
              </w:rPr>
              <w:t>）</w:t>
            </w:r>
          </w:p>
        </w:tc>
        <w:tc>
          <w:tcPr>
            <w:tcW w:w="704" w:type="pct"/>
            <w:noWrap w:val="0"/>
            <w:vAlign w:val="center"/>
          </w:tcPr>
          <w:p w14:paraId="3D2DF495">
            <w:pPr>
              <w:pStyle w:val="24"/>
              <w:rPr>
                <w:rFonts w:eastAsia="宋体"/>
                <w:b/>
                <w:bCs/>
                <w:color w:val="auto"/>
                <w:highlight w:val="none"/>
              </w:rPr>
            </w:pPr>
            <w:r>
              <w:rPr>
                <w:rFonts w:hint="eastAsia" w:eastAsia="宋体"/>
                <w:b/>
                <w:bCs/>
                <w:color w:val="auto"/>
                <w:highlight w:val="none"/>
              </w:rPr>
              <w:t>防护距离计算值（</w:t>
            </w:r>
            <w:r>
              <w:rPr>
                <w:rFonts w:eastAsia="宋体"/>
                <w:b/>
                <w:bCs/>
                <w:color w:val="auto"/>
                <w:highlight w:val="none"/>
              </w:rPr>
              <w:t>m</w:t>
            </w:r>
            <w:r>
              <w:rPr>
                <w:rFonts w:hint="eastAsia" w:eastAsia="宋体"/>
                <w:b/>
                <w:bCs/>
                <w:color w:val="auto"/>
                <w:highlight w:val="none"/>
              </w:rPr>
              <w:t>）</w:t>
            </w:r>
          </w:p>
        </w:tc>
        <w:tc>
          <w:tcPr>
            <w:tcW w:w="657" w:type="pct"/>
            <w:noWrap w:val="0"/>
            <w:vAlign w:val="center"/>
          </w:tcPr>
          <w:p w14:paraId="5D5BF568">
            <w:pPr>
              <w:pStyle w:val="24"/>
              <w:jc w:val="both"/>
              <w:rPr>
                <w:rFonts w:eastAsia="宋体"/>
                <w:b/>
                <w:bCs/>
                <w:color w:val="auto"/>
                <w:highlight w:val="none"/>
              </w:rPr>
            </w:pPr>
            <w:r>
              <w:rPr>
                <w:rFonts w:hint="eastAsia" w:eastAsia="宋体"/>
                <w:b/>
                <w:bCs/>
                <w:color w:val="auto"/>
                <w:highlight w:val="none"/>
              </w:rPr>
              <w:t>卫生防护距离（</w:t>
            </w:r>
            <w:r>
              <w:rPr>
                <w:rFonts w:eastAsia="宋体"/>
                <w:b/>
                <w:bCs/>
                <w:color w:val="auto"/>
                <w:highlight w:val="none"/>
              </w:rPr>
              <w:t>m</w:t>
            </w:r>
            <w:r>
              <w:rPr>
                <w:rFonts w:hint="eastAsia" w:eastAsia="宋体"/>
                <w:b/>
                <w:bCs/>
                <w:color w:val="auto"/>
                <w:highlight w:val="none"/>
              </w:rPr>
              <w:t>）</w:t>
            </w:r>
          </w:p>
        </w:tc>
      </w:tr>
      <w:tr w14:paraId="7BC2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8" w:type="pct"/>
            <w:noWrap w:val="0"/>
            <w:vAlign w:val="center"/>
          </w:tcPr>
          <w:p w14:paraId="397D91A3">
            <w:pPr>
              <w:pStyle w:val="24"/>
              <w:rPr>
                <w:rFonts w:hint="default" w:eastAsia="宋体"/>
                <w:color w:val="auto"/>
                <w:highlight w:val="none"/>
                <w:lang w:val="en-US" w:eastAsia="zh-CN"/>
              </w:rPr>
            </w:pPr>
            <w:r>
              <w:rPr>
                <w:rFonts w:hint="eastAsia" w:eastAsia="宋体"/>
                <w:color w:val="auto"/>
                <w:highlight w:val="none"/>
                <w:lang w:val="en-US" w:eastAsia="zh-CN"/>
              </w:rPr>
              <w:t>生产车间</w:t>
            </w:r>
          </w:p>
        </w:tc>
        <w:tc>
          <w:tcPr>
            <w:tcW w:w="672" w:type="pct"/>
            <w:noWrap w:val="0"/>
            <w:vAlign w:val="center"/>
          </w:tcPr>
          <w:p w14:paraId="0C24B3C5">
            <w:pPr>
              <w:pStyle w:val="24"/>
              <w:rPr>
                <w:rFonts w:hint="eastAsia" w:eastAsia="宋体"/>
                <w:color w:val="auto"/>
                <w:highlight w:val="none"/>
                <w:lang w:val="en-US" w:eastAsia="zh-CN"/>
              </w:rPr>
            </w:pPr>
            <w:r>
              <w:rPr>
                <w:rFonts w:hint="eastAsia" w:cs="Courier New"/>
                <w:b w:val="0"/>
                <w:bCs w:val="0"/>
                <w:color w:val="auto"/>
                <w:sz w:val="21"/>
                <w:szCs w:val="21"/>
                <w:highlight w:val="none"/>
                <w:lang w:val="en-US" w:eastAsia="zh-CN"/>
              </w:rPr>
              <w:t>氟化物</w:t>
            </w:r>
          </w:p>
        </w:tc>
        <w:tc>
          <w:tcPr>
            <w:tcW w:w="928" w:type="pct"/>
            <w:noWrap w:val="0"/>
            <w:vAlign w:val="center"/>
          </w:tcPr>
          <w:p w14:paraId="6A7CC953">
            <w:pPr>
              <w:pStyle w:val="24"/>
              <w:rPr>
                <w:rFonts w:hint="default" w:eastAsia="宋体"/>
                <w:color w:val="auto"/>
                <w:highlight w:val="none"/>
                <w:lang w:val="en-US" w:eastAsia="zh-CN"/>
              </w:rPr>
            </w:pPr>
            <w:r>
              <w:rPr>
                <w:rFonts w:hint="eastAsia"/>
                <w:color w:val="auto"/>
                <w:highlight w:val="none"/>
                <w:lang w:val="en-US" w:eastAsia="zh-CN"/>
              </w:rPr>
              <w:t>46</w:t>
            </w:r>
            <w:r>
              <w:rPr>
                <w:rFonts w:hint="eastAsia" w:eastAsia="宋体"/>
                <w:color w:val="auto"/>
                <w:highlight w:val="none"/>
                <w:lang w:val="en-US" w:eastAsia="zh-CN"/>
              </w:rPr>
              <w:t>×</w:t>
            </w:r>
            <w:r>
              <w:rPr>
                <w:rFonts w:hint="eastAsia"/>
                <w:color w:val="auto"/>
                <w:highlight w:val="none"/>
                <w:lang w:val="en-US" w:eastAsia="zh-CN"/>
              </w:rPr>
              <w:t>42</w:t>
            </w:r>
            <w:r>
              <w:rPr>
                <w:rFonts w:hint="eastAsia" w:eastAsia="宋体"/>
                <w:color w:val="auto"/>
                <w:highlight w:val="none"/>
                <w:lang w:val="en-US" w:eastAsia="zh-CN"/>
              </w:rPr>
              <w:t>×</w:t>
            </w:r>
            <w:r>
              <w:rPr>
                <w:rFonts w:hint="eastAsia"/>
                <w:color w:val="auto"/>
                <w:highlight w:val="none"/>
                <w:lang w:val="en-US" w:eastAsia="zh-CN"/>
              </w:rPr>
              <w:t>13.5</w:t>
            </w:r>
          </w:p>
        </w:tc>
        <w:tc>
          <w:tcPr>
            <w:tcW w:w="684" w:type="pct"/>
            <w:shd w:val="clear" w:color="auto" w:fill="auto"/>
            <w:noWrap w:val="0"/>
            <w:vAlign w:val="bottom"/>
          </w:tcPr>
          <w:p w14:paraId="5BD73C75">
            <w:pPr>
              <w:pStyle w:val="24"/>
              <w:rPr>
                <w:rFonts w:hint="default" w:ascii="Times New Roman" w:hAnsi="Times New Roman" w:eastAsia="宋体"/>
                <w:color w:val="auto"/>
                <w:highlight w:val="none"/>
                <w:lang w:val="en-US" w:eastAsia="zh-CN"/>
              </w:rPr>
            </w:pPr>
            <w:r>
              <w:rPr>
                <w:rFonts w:hint="default" w:ascii="Times New Roman" w:hAnsi="Times New Roman" w:eastAsia="宋体"/>
                <w:color w:val="auto"/>
                <w:highlight w:val="none"/>
                <w:lang w:val="en-US" w:eastAsia="zh-CN"/>
              </w:rPr>
              <w:t>0.002</w:t>
            </w:r>
          </w:p>
        </w:tc>
        <w:tc>
          <w:tcPr>
            <w:tcW w:w="684" w:type="pct"/>
            <w:noWrap w:val="0"/>
            <w:vAlign w:val="center"/>
          </w:tcPr>
          <w:p w14:paraId="374F7DB9">
            <w:pPr>
              <w:pStyle w:val="24"/>
              <w:rPr>
                <w:rFonts w:hint="default" w:ascii="Times New Roman" w:hAnsi="Times New Roman" w:eastAsia="宋体"/>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704" w:type="pct"/>
            <w:noWrap w:val="0"/>
            <w:vAlign w:val="center"/>
          </w:tcPr>
          <w:p w14:paraId="7E73926A">
            <w:pPr>
              <w:pStyle w:val="24"/>
              <w:rPr>
                <w:rFonts w:hint="default" w:eastAsia="宋体"/>
                <w:color w:val="auto"/>
                <w:highlight w:val="none"/>
                <w:lang w:val="en-US" w:eastAsia="zh-CN"/>
              </w:rPr>
            </w:pPr>
            <w:r>
              <w:rPr>
                <w:rFonts w:hint="eastAsia"/>
                <w:color w:val="auto"/>
                <w:highlight w:val="none"/>
                <w:lang w:val="en-US" w:eastAsia="zh-CN"/>
              </w:rPr>
              <w:t>4.486</w:t>
            </w:r>
          </w:p>
        </w:tc>
        <w:tc>
          <w:tcPr>
            <w:tcW w:w="657" w:type="pct"/>
            <w:noWrap w:val="0"/>
            <w:vAlign w:val="center"/>
          </w:tcPr>
          <w:p w14:paraId="24D73530">
            <w:pPr>
              <w:pStyle w:val="24"/>
              <w:rPr>
                <w:rFonts w:hint="default" w:eastAsia="宋体"/>
                <w:color w:val="auto"/>
                <w:highlight w:val="none"/>
                <w:lang w:val="en-US" w:eastAsia="zh-CN"/>
              </w:rPr>
            </w:pPr>
            <w:r>
              <w:rPr>
                <w:rFonts w:hint="eastAsia" w:eastAsia="宋体"/>
                <w:color w:val="auto"/>
                <w:highlight w:val="none"/>
                <w:lang w:val="en-US" w:eastAsia="zh-CN"/>
              </w:rPr>
              <w:t>50</w:t>
            </w:r>
          </w:p>
        </w:tc>
      </w:tr>
      <w:tr w14:paraId="3D2A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8" w:type="pct"/>
            <w:noWrap w:val="0"/>
            <w:vAlign w:val="center"/>
          </w:tcPr>
          <w:p w14:paraId="770F6418">
            <w:pPr>
              <w:pStyle w:val="24"/>
              <w:rPr>
                <w:rFonts w:hint="default"/>
                <w:color w:val="auto"/>
                <w:highlight w:val="none"/>
                <w:lang w:val="en-US" w:eastAsia="zh-CN"/>
              </w:rPr>
            </w:pPr>
            <w:r>
              <w:rPr>
                <w:rFonts w:hint="eastAsia"/>
                <w:color w:val="auto"/>
                <w:highlight w:val="none"/>
                <w:lang w:val="en-US" w:eastAsia="zh-CN"/>
              </w:rPr>
              <w:t>1#罐区</w:t>
            </w:r>
          </w:p>
        </w:tc>
        <w:tc>
          <w:tcPr>
            <w:tcW w:w="672" w:type="pct"/>
            <w:noWrap w:val="0"/>
            <w:vAlign w:val="center"/>
          </w:tcPr>
          <w:p w14:paraId="1D96BE1A">
            <w:pPr>
              <w:pStyle w:val="24"/>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928" w:type="pct"/>
            <w:noWrap w:val="0"/>
            <w:vAlign w:val="center"/>
          </w:tcPr>
          <w:p w14:paraId="7326C247">
            <w:pPr>
              <w:pStyle w:val="24"/>
              <w:rPr>
                <w:rFonts w:hint="default"/>
                <w:color w:val="auto"/>
                <w:highlight w:val="none"/>
                <w:lang w:val="en-US" w:eastAsia="zh-CN"/>
              </w:rPr>
            </w:pPr>
            <w:r>
              <w:rPr>
                <w:rFonts w:hint="eastAsia"/>
                <w:color w:val="auto"/>
                <w:highlight w:val="none"/>
                <w:lang w:val="en-US" w:eastAsia="zh-CN"/>
              </w:rPr>
              <w:t>216.9</w:t>
            </w:r>
            <w:r>
              <w:rPr>
                <w:rFonts w:hint="eastAsia" w:eastAsia="宋体"/>
                <w:color w:val="auto"/>
                <w:highlight w:val="none"/>
                <w:lang w:val="en-US" w:eastAsia="zh-CN"/>
              </w:rPr>
              <w:t>×</w:t>
            </w:r>
            <w:r>
              <w:rPr>
                <w:rFonts w:hint="eastAsia"/>
                <w:color w:val="auto"/>
                <w:highlight w:val="none"/>
                <w:lang w:val="en-US" w:eastAsia="zh-CN"/>
              </w:rPr>
              <w:t>4.45</w:t>
            </w:r>
          </w:p>
        </w:tc>
        <w:tc>
          <w:tcPr>
            <w:tcW w:w="684" w:type="pct"/>
            <w:noWrap w:val="0"/>
            <w:vAlign w:val="bottom"/>
          </w:tcPr>
          <w:p w14:paraId="5662C688">
            <w:pPr>
              <w:pStyle w:val="24"/>
              <w:rPr>
                <w:rFonts w:hint="default" w:ascii="Times New Roman" w:hAnsi="Times New Roman" w:eastAsia="宋体"/>
                <w:color w:val="auto"/>
                <w:highlight w:val="none"/>
                <w:lang w:val="en-US" w:eastAsia="zh-CN"/>
              </w:rPr>
            </w:pPr>
            <w:r>
              <w:rPr>
                <w:rFonts w:hint="default" w:ascii="Times New Roman" w:hAnsi="Times New Roman" w:eastAsia="宋体"/>
                <w:color w:val="auto"/>
                <w:highlight w:val="none"/>
                <w:lang w:val="en-US" w:eastAsia="zh-CN"/>
              </w:rPr>
              <w:t>0.0023</w:t>
            </w:r>
          </w:p>
        </w:tc>
        <w:tc>
          <w:tcPr>
            <w:tcW w:w="684" w:type="pct"/>
            <w:noWrap w:val="0"/>
            <w:vAlign w:val="center"/>
          </w:tcPr>
          <w:p w14:paraId="31E146AE">
            <w:pPr>
              <w:pStyle w:val="24"/>
              <w:rPr>
                <w:rFonts w:hint="default" w:ascii="Times New Roman" w:hAnsi="Times New Roman" w:eastAsia="宋体"/>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704" w:type="pct"/>
            <w:noWrap w:val="0"/>
            <w:vAlign w:val="center"/>
          </w:tcPr>
          <w:p w14:paraId="6E757A7F">
            <w:pPr>
              <w:pStyle w:val="24"/>
              <w:rPr>
                <w:rFonts w:hint="default"/>
                <w:color w:val="auto"/>
                <w:highlight w:val="none"/>
                <w:lang w:val="en-US" w:eastAsia="zh-CN"/>
              </w:rPr>
            </w:pPr>
            <w:r>
              <w:rPr>
                <w:rFonts w:hint="eastAsia"/>
                <w:color w:val="auto"/>
                <w:highlight w:val="none"/>
                <w:lang w:val="en-US" w:eastAsia="zh-CN"/>
              </w:rPr>
              <w:t>19.969</w:t>
            </w:r>
          </w:p>
        </w:tc>
        <w:tc>
          <w:tcPr>
            <w:tcW w:w="657" w:type="pct"/>
            <w:noWrap w:val="0"/>
            <w:vAlign w:val="center"/>
          </w:tcPr>
          <w:p w14:paraId="43864A20">
            <w:pPr>
              <w:pStyle w:val="24"/>
              <w:rPr>
                <w:rFonts w:hint="default" w:eastAsia="宋体"/>
                <w:color w:val="auto"/>
                <w:highlight w:val="none"/>
                <w:lang w:val="en-US" w:eastAsia="zh-CN"/>
              </w:rPr>
            </w:pPr>
            <w:r>
              <w:rPr>
                <w:rFonts w:hint="eastAsia" w:eastAsia="宋体"/>
                <w:color w:val="auto"/>
                <w:highlight w:val="none"/>
                <w:lang w:val="en-US" w:eastAsia="zh-CN"/>
              </w:rPr>
              <w:t>50</w:t>
            </w:r>
          </w:p>
        </w:tc>
      </w:tr>
      <w:tr w14:paraId="0F4C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8" w:type="pct"/>
            <w:noWrap w:val="0"/>
            <w:vAlign w:val="center"/>
          </w:tcPr>
          <w:p w14:paraId="52695C65">
            <w:pPr>
              <w:pStyle w:val="24"/>
              <w:rPr>
                <w:rFonts w:hint="default"/>
                <w:color w:val="auto"/>
                <w:highlight w:val="none"/>
                <w:lang w:val="en-US" w:eastAsia="zh-CN"/>
              </w:rPr>
            </w:pPr>
            <w:r>
              <w:rPr>
                <w:rFonts w:hint="eastAsia"/>
                <w:color w:val="auto"/>
                <w:highlight w:val="none"/>
                <w:lang w:val="en-US" w:eastAsia="zh-CN"/>
              </w:rPr>
              <w:t>2#罐区</w:t>
            </w:r>
          </w:p>
        </w:tc>
        <w:tc>
          <w:tcPr>
            <w:tcW w:w="672" w:type="pct"/>
            <w:noWrap w:val="0"/>
            <w:vAlign w:val="center"/>
          </w:tcPr>
          <w:p w14:paraId="5424AE0D">
            <w:pPr>
              <w:pStyle w:val="24"/>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VOCs</w:t>
            </w:r>
          </w:p>
        </w:tc>
        <w:tc>
          <w:tcPr>
            <w:tcW w:w="928" w:type="pct"/>
            <w:noWrap w:val="0"/>
            <w:vAlign w:val="center"/>
          </w:tcPr>
          <w:p w14:paraId="25DD262D">
            <w:pPr>
              <w:pStyle w:val="24"/>
              <w:rPr>
                <w:rFonts w:hint="default"/>
                <w:color w:val="auto"/>
                <w:highlight w:val="none"/>
                <w:lang w:val="en-US" w:eastAsia="zh-CN"/>
              </w:rPr>
            </w:pPr>
            <w:r>
              <w:rPr>
                <w:rFonts w:hint="eastAsia"/>
                <w:color w:val="auto"/>
                <w:highlight w:val="none"/>
                <w:lang w:val="en-US" w:eastAsia="zh-CN"/>
              </w:rPr>
              <w:t>199.7</w:t>
            </w:r>
            <w:r>
              <w:rPr>
                <w:rFonts w:hint="eastAsia" w:eastAsia="宋体"/>
                <w:color w:val="auto"/>
                <w:highlight w:val="none"/>
                <w:lang w:val="en-US" w:eastAsia="zh-CN"/>
              </w:rPr>
              <w:t>×6.4</w:t>
            </w:r>
            <w:r>
              <w:rPr>
                <w:rFonts w:hint="eastAsia"/>
                <w:color w:val="auto"/>
                <w:highlight w:val="none"/>
                <w:lang w:val="en-US" w:eastAsia="zh-CN"/>
              </w:rPr>
              <w:t>5</w:t>
            </w:r>
          </w:p>
        </w:tc>
        <w:tc>
          <w:tcPr>
            <w:tcW w:w="684" w:type="pct"/>
            <w:noWrap w:val="0"/>
            <w:vAlign w:val="bottom"/>
          </w:tcPr>
          <w:p w14:paraId="0344E24B">
            <w:pPr>
              <w:pStyle w:val="24"/>
              <w:rPr>
                <w:rFonts w:hint="default" w:ascii="Times New Roman" w:hAnsi="Times New Roman" w:eastAsia="宋体"/>
                <w:color w:val="auto"/>
                <w:highlight w:val="none"/>
                <w:lang w:val="en-US" w:eastAsia="zh-CN"/>
              </w:rPr>
            </w:pPr>
            <w:r>
              <w:rPr>
                <w:rFonts w:hint="default" w:ascii="Times New Roman" w:hAnsi="Times New Roman" w:eastAsia="宋体"/>
                <w:color w:val="auto"/>
                <w:highlight w:val="none"/>
                <w:lang w:val="en-US" w:eastAsia="zh-CN"/>
              </w:rPr>
              <w:t>0.0017</w:t>
            </w:r>
          </w:p>
        </w:tc>
        <w:tc>
          <w:tcPr>
            <w:tcW w:w="684" w:type="pct"/>
            <w:noWrap w:val="0"/>
            <w:vAlign w:val="center"/>
          </w:tcPr>
          <w:p w14:paraId="142979B0">
            <w:pPr>
              <w:pStyle w:val="24"/>
              <w:rPr>
                <w:rFonts w:hint="default"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1.2</w:t>
            </w:r>
          </w:p>
        </w:tc>
        <w:tc>
          <w:tcPr>
            <w:tcW w:w="704" w:type="pct"/>
            <w:noWrap w:val="0"/>
            <w:vAlign w:val="center"/>
          </w:tcPr>
          <w:p w14:paraId="340F21F5">
            <w:pPr>
              <w:pStyle w:val="24"/>
              <w:rPr>
                <w:rFonts w:hint="default"/>
                <w:color w:val="auto"/>
                <w:highlight w:val="none"/>
                <w:lang w:val="en-US" w:eastAsia="zh-CN"/>
              </w:rPr>
            </w:pPr>
            <w:r>
              <w:rPr>
                <w:rFonts w:hint="eastAsia"/>
                <w:color w:val="auto"/>
                <w:highlight w:val="none"/>
                <w:lang w:val="en-US" w:eastAsia="zh-CN"/>
              </w:rPr>
              <w:t>0.082</w:t>
            </w:r>
          </w:p>
        </w:tc>
        <w:tc>
          <w:tcPr>
            <w:tcW w:w="657" w:type="pct"/>
            <w:noWrap w:val="0"/>
            <w:vAlign w:val="center"/>
          </w:tcPr>
          <w:p w14:paraId="5FBB2286">
            <w:pPr>
              <w:pStyle w:val="24"/>
              <w:rPr>
                <w:rFonts w:hint="default" w:eastAsia="宋体"/>
                <w:color w:val="auto"/>
                <w:highlight w:val="none"/>
                <w:lang w:val="en-US" w:eastAsia="zh-CN"/>
              </w:rPr>
            </w:pPr>
            <w:r>
              <w:rPr>
                <w:rFonts w:hint="eastAsia" w:eastAsia="宋体"/>
                <w:color w:val="auto"/>
                <w:highlight w:val="none"/>
                <w:lang w:val="en-US" w:eastAsia="zh-CN"/>
              </w:rPr>
              <w:t>50</w:t>
            </w:r>
          </w:p>
        </w:tc>
      </w:tr>
      <w:tr w14:paraId="7291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8" w:type="pct"/>
            <w:noWrap w:val="0"/>
            <w:vAlign w:val="center"/>
          </w:tcPr>
          <w:p w14:paraId="10577F09">
            <w:pPr>
              <w:pStyle w:val="24"/>
              <w:rPr>
                <w:rFonts w:hint="default"/>
                <w:color w:val="auto"/>
                <w:highlight w:val="none"/>
                <w:lang w:val="en-US" w:eastAsia="zh-CN"/>
              </w:rPr>
            </w:pPr>
            <w:r>
              <w:rPr>
                <w:rFonts w:hint="eastAsia"/>
                <w:color w:val="auto"/>
                <w:highlight w:val="none"/>
                <w:lang w:val="en-US" w:eastAsia="zh-CN"/>
              </w:rPr>
              <w:t>质检室</w:t>
            </w:r>
          </w:p>
        </w:tc>
        <w:tc>
          <w:tcPr>
            <w:tcW w:w="672" w:type="pct"/>
            <w:noWrap w:val="0"/>
            <w:vAlign w:val="center"/>
          </w:tcPr>
          <w:p w14:paraId="08EA75D0">
            <w:pPr>
              <w:pStyle w:val="24"/>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928" w:type="pct"/>
            <w:noWrap w:val="0"/>
            <w:vAlign w:val="center"/>
          </w:tcPr>
          <w:p w14:paraId="6F67C6EB">
            <w:pPr>
              <w:pStyle w:val="24"/>
              <w:rPr>
                <w:rFonts w:hint="default"/>
                <w:color w:val="auto"/>
                <w:highlight w:val="none"/>
                <w:lang w:val="en-US" w:eastAsia="zh-CN"/>
              </w:rPr>
            </w:pPr>
            <w:r>
              <w:rPr>
                <w:rFonts w:hint="eastAsia"/>
                <w:color w:val="auto"/>
                <w:highlight w:val="none"/>
                <w:lang w:val="en-US" w:eastAsia="zh-CN"/>
              </w:rPr>
              <w:t>18</w:t>
            </w:r>
            <w:r>
              <w:rPr>
                <w:rFonts w:hint="eastAsia" w:eastAsia="宋体"/>
                <w:color w:val="auto"/>
                <w:highlight w:val="none"/>
                <w:lang w:val="en-US" w:eastAsia="zh-CN"/>
              </w:rPr>
              <w:t>×1</w:t>
            </w:r>
            <w:r>
              <w:rPr>
                <w:rFonts w:hint="eastAsia"/>
                <w:color w:val="auto"/>
                <w:highlight w:val="none"/>
                <w:lang w:val="en-US" w:eastAsia="zh-CN"/>
              </w:rPr>
              <w:t>5</w:t>
            </w:r>
            <w:r>
              <w:rPr>
                <w:rFonts w:hint="eastAsia" w:eastAsia="宋体"/>
                <w:color w:val="auto"/>
                <w:highlight w:val="none"/>
                <w:lang w:val="en-US" w:eastAsia="zh-CN"/>
              </w:rPr>
              <w:t>×4.</w:t>
            </w:r>
            <w:r>
              <w:rPr>
                <w:rFonts w:hint="eastAsia"/>
                <w:color w:val="auto"/>
                <w:highlight w:val="none"/>
                <w:lang w:val="en-US" w:eastAsia="zh-CN"/>
              </w:rPr>
              <w:t>2</w:t>
            </w:r>
          </w:p>
        </w:tc>
        <w:tc>
          <w:tcPr>
            <w:tcW w:w="684" w:type="pct"/>
            <w:shd w:val="clear" w:color="auto" w:fill="auto"/>
            <w:noWrap w:val="0"/>
            <w:vAlign w:val="bottom"/>
          </w:tcPr>
          <w:p w14:paraId="6940E108">
            <w:pPr>
              <w:pStyle w:val="24"/>
              <w:rPr>
                <w:rFonts w:hint="default" w:ascii="Times New Roman" w:hAnsi="Times New Roman" w:eastAsia="宋体"/>
                <w:color w:val="auto"/>
                <w:highlight w:val="none"/>
                <w:lang w:val="en-US" w:eastAsia="zh-CN"/>
              </w:rPr>
            </w:pPr>
            <w:r>
              <w:rPr>
                <w:rFonts w:hint="default" w:ascii="Times New Roman" w:hAnsi="Times New Roman" w:eastAsia="宋体"/>
                <w:color w:val="auto"/>
                <w:highlight w:val="none"/>
                <w:lang w:val="en-US" w:eastAsia="zh-CN"/>
              </w:rPr>
              <w:t>1.00E-04</w:t>
            </w:r>
          </w:p>
        </w:tc>
        <w:tc>
          <w:tcPr>
            <w:tcW w:w="684" w:type="pct"/>
            <w:noWrap w:val="0"/>
            <w:vAlign w:val="center"/>
          </w:tcPr>
          <w:p w14:paraId="01A99BCF">
            <w:pPr>
              <w:pStyle w:val="24"/>
              <w:rPr>
                <w:rFonts w:hint="default" w:ascii="Times New Roman" w:hAnsi="Times New Roman" w:eastAsia="宋体"/>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704" w:type="pct"/>
            <w:noWrap w:val="0"/>
            <w:vAlign w:val="center"/>
          </w:tcPr>
          <w:p w14:paraId="23790D4D">
            <w:pPr>
              <w:pStyle w:val="24"/>
              <w:rPr>
                <w:rFonts w:hint="default"/>
                <w:color w:val="auto"/>
                <w:highlight w:val="none"/>
                <w:lang w:val="en-US" w:eastAsia="zh-CN"/>
              </w:rPr>
            </w:pPr>
            <w:r>
              <w:rPr>
                <w:rFonts w:hint="eastAsia"/>
                <w:color w:val="auto"/>
                <w:highlight w:val="none"/>
                <w:lang w:val="en-US" w:eastAsia="zh-CN"/>
              </w:rPr>
              <w:t>0.340</w:t>
            </w:r>
          </w:p>
        </w:tc>
        <w:tc>
          <w:tcPr>
            <w:tcW w:w="657" w:type="pct"/>
            <w:noWrap w:val="0"/>
            <w:vAlign w:val="center"/>
          </w:tcPr>
          <w:p w14:paraId="7761181B">
            <w:pPr>
              <w:pStyle w:val="24"/>
              <w:rPr>
                <w:rFonts w:hint="default" w:eastAsia="宋体"/>
                <w:color w:val="auto"/>
                <w:highlight w:val="none"/>
                <w:lang w:val="en-US" w:eastAsia="zh-CN"/>
              </w:rPr>
            </w:pPr>
            <w:r>
              <w:rPr>
                <w:rFonts w:hint="eastAsia" w:eastAsia="宋体"/>
                <w:color w:val="auto"/>
                <w:highlight w:val="none"/>
                <w:lang w:val="en-US" w:eastAsia="zh-CN"/>
              </w:rPr>
              <w:t>50</w:t>
            </w:r>
          </w:p>
        </w:tc>
      </w:tr>
      <w:tr w14:paraId="1291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000" w:type="pct"/>
            <w:gridSpan w:val="7"/>
            <w:noWrap w:val="0"/>
            <w:vAlign w:val="center"/>
          </w:tcPr>
          <w:p w14:paraId="5D554733">
            <w:pPr>
              <w:pStyle w:val="24"/>
              <w:jc w:val="both"/>
              <w:rPr>
                <w:rFonts w:hint="default" w:eastAsia="宋体"/>
                <w:color w:val="auto"/>
                <w:highlight w:val="none"/>
                <w:lang w:val="en-US" w:eastAsia="zh-CN"/>
              </w:rPr>
            </w:pPr>
            <w:r>
              <w:rPr>
                <w:rFonts w:hint="default" w:eastAsia="宋体"/>
                <w:color w:val="auto"/>
                <w:highlight w:val="none"/>
                <w:lang w:val="en-US" w:eastAsia="zh-CN"/>
              </w:rPr>
              <w:t>注：罐区高度采用各罐区内储罐高度的加权平均值。</w:t>
            </w:r>
          </w:p>
        </w:tc>
      </w:tr>
    </w:tbl>
    <w:p w14:paraId="04CFAE53">
      <w:pPr>
        <w:pStyle w:val="26"/>
        <w:bidi w:val="0"/>
        <w:rPr>
          <w:rFonts w:hint="eastAsia" w:ascii="Times New Roman" w:hAnsi="Times New Roman"/>
          <w:b w:val="0"/>
          <w:bCs w:val="0"/>
          <w:color w:val="auto"/>
          <w:sz w:val="24"/>
          <w:szCs w:val="24"/>
          <w:highlight w:val="none"/>
        </w:rPr>
      </w:pPr>
      <w:r>
        <w:rPr>
          <w:rFonts w:hint="eastAsia" w:ascii="Times New Roman" w:hAnsi="Times New Roman"/>
          <w:color w:val="auto"/>
          <w:sz w:val="24"/>
          <w:szCs w:val="24"/>
          <w:highlight w:val="none"/>
        </w:rPr>
        <w:t>根据《大气有害物质无组织排放卫生防护距离推导技术导则》（GB</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T39499-2020）中“</w:t>
      </w:r>
      <w:r>
        <w:rPr>
          <w:rFonts w:hint="eastAsia"/>
          <w:i/>
          <w:color w:val="auto"/>
          <w:sz w:val="24"/>
          <w:szCs w:val="24"/>
          <w:highlight w:val="none"/>
        </w:rPr>
        <w:t>卫生防护距离初值小于</w:t>
      </w:r>
      <w:r>
        <w:rPr>
          <w:color w:val="auto"/>
          <w:sz w:val="24"/>
          <w:szCs w:val="24"/>
          <w:highlight w:val="none"/>
        </w:rPr>
        <w:t>50</w:t>
      </w:r>
      <w:r>
        <w:rPr>
          <w:rFonts w:hint="eastAsia"/>
          <w:color w:val="auto"/>
          <w:sz w:val="24"/>
          <w:szCs w:val="24"/>
          <w:highlight w:val="none"/>
        </w:rPr>
        <w:t>m</w:t>
      </w:r>
      <w:r>
        <w:rPr>
          <w:rFonts w:hint="eastAsia"/>
          <w:i/>
          <w:color w:val="auto"/>
          <w:sz w:val="24"/>
          <w:szCs w:val="24"/>
          <w:highlight w:val="none"/>
        </w:rPr>
        <w:t>时，级差为</w:t>
      </w:r>
      <w:r>
        <w:rPr>
          <w:rFonts w:hint="eastAsia"/>
          <w:color w:val="auto"/>
          <w:sz w:val="24"/>
          <w:szCs w:val="24"/>
          <w:highlight w:val="none"/>
        </w:rPr>
        <w:t>50m</w:t>
      </w:r>
      <w:r>
        <w:rPr>
          <w:rFonts w:hint="eastAsia" w:ascii="Times New Roman" w:hAnsi="Times New Roman"/>
          <w:color w:val="auto"/>
          <w:sz w:val="24"/>
          <w:szCs w:val="24"/>
          <w:highlight w:val="none"/>
        </w:rPr>
        <w:t>”的</w:t>
      </w:r>
      <w:r>
        <w:rPr>
          <w:rFonts w:ascii="Times New Roman" w:hAnsi="Times New Roman"/>
          <w:color w:val="auto"/>
          <w:sz w:val="24"/>
          <w:szCs w:val="24"/>
          <w:highlight w:val="none"/>
        </w:rPr>
        <w:t>规定，</w:t>
      </w:r>
      <w:r>
        <w:rPr>
          <w:rFonts w:hint="eastAsia" w:ascii="Times New Roman" w:hAnsi="Times New Roman"/>
          <w:b w:val="0"/>
          <w:bCs w:val="0"/>
          <w:color w:val="auto"/>
          <w:sz w:val="24"/>
          <w:szCs w:val="24"/>
          <w:highlight w:val="none"/>
        </w:rPr>
        <w:t>本项目卫生防护距离为</w:t>
      </w:r>
      <w:r>
        <w:rPr>
          <w:rFonts w:hint="eastAsia"/>
          <w:color w:val="auto"/>
          <w:szCs w:val="24"/>
          <w:highlight w:val="none"/>
          <w:lang w:val="en-US" w:eastAsia="zh-CN"/>
        </w:rPr>
        <w:t>生产车间、1#罐区、2#罐区及质检室边界起</w:t>
      </w:r>
      <w:r>
        <w:rPr>
          <w:rFonts w:hint="eastAsia" w:ascii="Times New Roman" w:hAnsi="Times New Roman"/>
          <w:b w:val="0"/>
          <w:bCs w:val="0"/>
          <w:color w:val="auto"/>
          <w:sz w:val="24"/>
          <w:szCs w:val="24"/>
          <w:highlight w:val="none"/>
          <w:lang w:val="en-US" w:eastAsia="zh-CN"/>
        </w:rPr>
        <w:t>50</w:t>
      </w:r>
      <w:r>
        <w:rPr>
          <w:rFonts w:ascii="Times New Roman" w:hAnsi="Times New Roman"/>
          <w:b w:val="0"/>
          <w:bCs w:val="0"/>
          <w:color w:val="auto"/>
          <w:sz w:val="24"/>
          <w:szCs w:val="24"/>
          <w:highlight w:val="none"/>
        </w:rPr>
        <w:t>m</w:t>
      </w:r>
      <w:r>
        <w:rPr>
          <w:rFonts w:hint="eastAsia" w:ascii="Times New Roman" w:hAnsi="Times New Roman"/>
          <w:b w:val="0"/>
          <w:bCs w:val="0"/>
          <w:color w:val="auto"/>
          <w:sz w:val="24"/>
          <w:szCs w:val="24"/>
          <w:highlight w:val="none"/>
          <w:lang w:val="en-US" w:eastAsia="zh-CN"/>
        </w:rPr>
        <w:t>范围</w:t>
      </w:r>
      <w:r>
        <w:rPr>
          <w:rFonts w:hint="eastAsia" w:ascii="Times New Roman" w:hAnsi="Times New Roman"/>
          <w:b w:val="0"/>
          <w:bCs w:val="0"/>
          <w:color w:val="auto"/>
          <w:sz w:val="24"/>
          <w:szCs w:val="24"/>
          <w:highlight w:val="none"/>
        </w:rPr>
        <w:t>。</w:t>
      </w:r>
    </w:p>
    <w:p w14:paraId="48BABA03">
      <w:pPr>
        <w:widowControl w:val="0"/>
        <w:numPr>
          <w:ilvl w:val="0"/>
          <w:numId w:val="0"/>
        </w:numPr>
        <w:tabs>
          <w:tab w:val="left" w:pos="0"/>
        </w:tabs>
        <w:adjustRightInd w:val="0"/>
        <w:spacing w:line="360" w:lineRule="auto"/>
        <w:ind w:firstLine="480" w:firstLineChars="200"/>
        <w:jc w:val="both"/>
        <w:rPr>
          <w:rFonts w:hint="eastAsia" w:ascii="Times New Roman" w:hAnsi="Times New Roman"/>
          <w:b w:val="0"/>
          <w:bCs/>
          <w:color w:val="auto"/>
          <w:sz w:val="24"/>
          <w:highlight w:val="none"/>
        </w:rPr>
      </w:pPr>
      <w:r>
        <w:rPr>
          <w:rFonts w:hint="eastAsia" w:ascii="Times New Roman" w:hAnsi="Times New Roman"/>
          <w:color w:val="auto"/>
          <w:sz w:val="24"/>
          <w:highlight w:val="none"/>
        </w:rPr>
        <w:t>根据调查，本项目</w:t>
      </w:r>
      <w:r>
        <w:rPr>
          <w:rFonts w:hint="eastAsia" w:ascii="Times New Roman" w:hAnsi="Times New Roman"/>
          <w:color w:val="auto"/>
          <w:sz w:val="24"/>
          <w:highlight w:val="none"/>
          <w:lang w:val="en-US" w:eastAsia="zh-CN"/>
        </w:rPr>
        <w:t>50m</w:t>
      </w:r>
      <w:r>
        <w:rPr>
          <w:rFonts w:hint="eastAsia" w:ascii="Times New Roman" w:hAnsi="Times New Roman"/>
          <w:color w:val="auto"/>
          <w:sz w:val="24"/>
          <w:highlight w:val="none"/>
        </w:rPr>
        <w:t>卫生</w:t>
      </w:r>
      <w:r>
        <w:rPr>
          <w:rFonts w:ascii="Times New Roman" w:hAnsi="Times New Roman"/>
          <w:color w:val="auto"/>
          <w:sz w:val="24"/>
          <w:highlight w:val="none"/>
        </w:rPr>
        <w:t>防护距离</w:t>
      </w:r>
      <w:r>
        <w:rPr>
          <w:rFonts w:hint="eastAsia" w:ascii="Times New Roman" w:hAnsi="Times New Roman"/>
          <w:color w:val="auto"/>
          <w:sz w:val="24"/>
          <w:highlight w:val="none"/>
          <w:lang w:val="en-US" w:eastAsia="zh-CN"/>
        </w:rPr>
        <w:t>内不涉及居民住宅</w:t>
      </w:r>
      <w:r>
        <w:rPr>
          <w:rFonts w:hint="eastAsia" w:ascii="Times New Roman" w:hAnsi="Times New Roman"/>
          <w:color w:val="auto"/>
          <w:sz w:val="24"/>
          <w:highlight w:val="none"/>
        </w:rPr>
        <w:t>，无医院、学校等分布。环评要求：</w:t>
      </w:r>
      <w:r>
        <w:rPr>
          <w:rFonts w:hint="eastAsia" w:ascii="Times New Roman" w:hAnsi="Times New Roman"/>
          <w:b w:val="0"/>
          <w:bCs/>
          <w:color w:val="auto"/>
          <w:sz w:val="24"/>
          <w:highlight w:val="none"/>
          <w:lang w:val="en-US" w:eastAsia="zh-CN"/>
        </w:rPr>
        <w:t>本项目卫生防护距离内</w:t>
      </w:r>
      <w:r>
        <w:rPr>
          <w:rFonts w:hint="eastAsia" w:ascii="Times New Roman" w:hAnsi="Times New Roman"/>
          <w:b w:val="0"/>
          <w:bCs/>
          <w:color w:val="auto"/>
          <w:sz w:val="24"/>
          <w:highlight w:val="none"/>
        </w:rPr>
        <w:t>今后</w:t>
      </w:r>
      <w:r>
        <w:rPr>
          <w:rFonts w:hint="eastAsia" w:ascii="Times New Roman" w:hAnsi="Times New Roman"/>
          <w:b w:val="0"/>
          <w:bCs/>
          <w:color w:val="auto"/>
          <w:sz w:val="24"/>
          <w:highlight w:val="none"/>
          <w:lang w:val="en-US" w:eastAsia="zh-CN"/>
        </w:rPr>
        <w:t>均</w:t>
      </w:r>
      <w:r>
        <w:rPr>
          <w:rFonts w:hint="eastAsia" w:ascii="Times New Roman" w:hAnsi="Times New Roman"/>
          <w:b w:val="0"/>
          <w:bCs/>
          <w:color w:val="auto"/>
          <w:sz w:val="24"/>
          <w:highlight w:val="none"/>
        </w:rPr>
        <w:t>不得新增居民住宅、学校、医院等环境敏感目标。</w:t>
      </w:r>
    </w:p>
    <w:p w14:paraId="3643B475">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污染物排放量核算</w:t>
      </w:r>
    </w:p>
    <w:p w14:paraId="606CFF6C">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1、有组织排放量核算</w:t>
      </w:r>
    </w:p>
    <w:p w14:paraId="4C722930">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大气污染物有组织排放量核算表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291"/>
        <w:gridCol w:w="1099"/>
        <w:gridCol w:w="2277"/>
        <w:gridCol w:w="2178"/>
        <w:gridCol w:w="2009"/>
      </w:tblGrid>
      <w:tr w14:paraId="2F41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noWrap w:val="0"/>
            <w:vAlign w:val="center"/>
          </w:tcPr>
          <w:p w14:paraId="3E54B3E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679" w:type="pct"/>
            <w:noWrap w:val="0"/>
            <w:vAlign w:val="center"/>
          </w:tcPr>
          <w:p w14:paraId="436CFC4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排放口编号</w:t>
            </w:r>
          </w:p>
        </w:tc>
        <w:tc>
          <w:tcPr>
            <w:tcW w:w="578" w:type="pct"/>
            <w:noWrap w:val="0"/>
            <w:vAlign w:val="center"/>
          </w:tcPr>
          <w:p w14:paraId="7BD62551">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tc>
        <w:tc>
          <w:tcPr>
            <w:tcW w:w="1198" w:type="pct"/>
            <w:noWrap w:val="0"/>
            <w:vAlign w:val="center"/>
          </w:tcPr>
          <w:p w14:paraId="5B80A94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核算排放浓度（mg/m</w:t>
            </w:r>
            <w:r>
              <w:rPr>
                <w:rFonts w:hint="eastAsia" w:ascii="Times New Roman" w:hAnsi="Times New Roman" w:eastAsia="宋体" w:cs="Courier New"/>
                <w:b/>
                <w:bCs/>
                <w:color w:val="auto"/>
                <w:sz w:val="21"/>
                <w:szCs w:val="21"/>
                <w:highlight w:val="none"/>
                <w:vertAlign w:val="superscript"/>
                <w:lang w:val="en-US" w:eastAsia="zh-CN"/>
              </w:rPr>
              <w:t>3</w:t>
            </w:r>
            <w:r>
              <w:rPr>
                <w:rFonts w:hint="eastAsia" w:ascii="Times New Roman" w:hAnsi="Times New Roman" w:eastAsia="宋体" w:cs="Courier New"/>
                <w:b/>
                <w:bCs/>
                <w:color w:val="auto"/>
                <w:sz w:val="21"/>
                <w:szCs w:val="21"/>
                <w:highlight w:val="none"/>
                <w:lang w:val="en-US" w:eastAsia="zh-CN"/>
              </w:rPr>
              <w:t>）</w:t>
            </w:r>
          </w:p>
        </w:tc>
        <w:tc>
          <w:tcPr>
            <w:tcW w:w="1145" w:type="pct"/>
            <w:noWrap w:val="0"/>
            <w:vAlign w:val="center"/>
          </w:tcPr>
          <w:p w14:paraId="6E14E0D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核算排放速率（kg/h）</w:t>
            </w:r>
          </w:p>
        </w:tc>
        <w:tc>
          <w:tcPr>
            <w:tcW w:w="1055" w:type="pct"/>
            <w:noWrap w:val="0"/>
            <w:vAlign w:val="center"/>
          </w:tcPr>
          <w:p w14:paraId="38ADDD1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核算年排放量（t/a）</w:t>
            </w:r>
          </w:p>
        </w:tc>
      </w:tr>
      <w:tr w14:paraId="59DF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6"/>
            <w:noWrap w:val="0"/>
            <w:vAlign w:val="center"/>
          </w:tcPr>
          <w:p w14:paraId="4585582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主要排放口</w:t>
            </w:r>
          </w:p>
        </w:tc>
      </w:tr>
      <w:tr w14:paraId="4458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noWrap w:val="0"/>
            <w:vAlign w:val="center"/>
          </w:tcPr>
          <w:p w14:paraId="2D7CC23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679" w:type="pct"/>
            <w:noWrap w:val="0"/>
            <w:vAlign w:val="center"/>
          </w:tcPr>
          <w:p w14:paraId="6D9DFCC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78" w:type="pct"/>
            <w:noWrap w:val="0"/>
            <w:vAlign w:val="center"/>
          </w:tcPr>
          <w:p w14:paraId="740E3FA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1198" w:type="pct"/>
            <w:noWrap w:val="0"/>
            <w:vAlign w:val="center"/>
          </w:tcPr>
          <w:p w14:paraId="2ED9EC1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1145" w:type="pct"/>
            <w:noWrap w:val="0"/>
            <w:vAlign w:val="center"/>
          </w:tcPr>
          <w:p w14:paraId="0A2DF53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1055" w:type="pct"/>
            <w:noWrap w:val="0"/>
            <w:vAlign w:val="center"/>
          </w:tcPr>
          <w:p w14:paraId="0C60086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r w14:paraId="6FEB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noWrap w:val="0"/>
            <w:vAlign w:val="center"/>
          </w:tcPr>
          <w:p w14:paraId="33649D3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主要排放口合计</w:t>
            </w:r>
          </w:p>
        </w:tc>
        <w:tc>
          <w:tcPr>
            <w:tcW w:w="2922" w:type="pct"/>
            <w:gridSpan w:val="3"/>
            <w:noWrap w:val="0"/>
            <w:vAlign w:val="center"/>
          </w:tcPr>
          <w:p w14:paraId="2893F19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1055" w:type="pct"/>
            <w:noWrap w:val="0"/>
            <w:vAlign w:val="center"/>
          </w:tcPr>
          <w:p w14:paraId="2398838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r w14:paraId="31AD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6"/>
            <w:noWrap w:val="0"/>
            <w:vAlign w:val="center"/>
          </w:tcPr>
          <w:p w14:paraId="41A4636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一般排放口</w:t>
            </w:r>
          </w:p>
        </w:tc>
      </w:tr>
      <w:tr w14:paraId="0C2F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restart"/>
            <w:noWrap w:val="0"/>
            <w:vAlign w:val="center"/>
          </w:tcPr>
          <w:p w14:paraId="46C79B2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w:t>
            </w:r>
          </w:p>
        </w:tc>
        <w:tc>
          <w:tcPr>
            <w:tcW w:w="679" w:type="pct"/>
            <w:vMerge w:val="restart"/>
            <w:noWrap w:val="0"/>
            <w:vAlign w:val="center"/>
          </w:tcPr>
          <w:p w14:paraId="65F24DB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DA001</w:t>
            </w:r>
          </w:p>
        </w:tc>
        <w:tc>
          <w:tcPr>
            <w:tcW w:w="578" w:type="pct"/>
            <w:shd w:val="clear" w:color="auto" w:fill="auto"/>
            <w:noWrap w:val="0"/>
            <w:vAlign w:val="center"/>
          </w:tcPr>
          <w:p w14:paraId="147CABE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颗粒物</w:t>
            </w:r>
          </w:p>
        </w:tc>
        <w:tc>
          <w:tcPr>
            <w:tcW w:w="1198" w:type="pct"/>
            <w:shd w:val="clear" w:color="auto" w:fill="auto"/>
            <w:noWrap w:val="0"/>
            <w:vAlign w:val="center"/>
          </w:tcPr>
          <w:p w14:paraId="612060C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0.2</w:t>
            </w:r>
          </w:p>
        </w:tc>
        <w:tc>
          <w:tcPr>
            <w:tcW w:w="1145" w:type="pct"/>
            <w:shd w:val="clear" w:color="auto" w:fill="auto"/>
            <w:noWrap w:val="0"/>
            <w:vAlign w:val="center"/>
          </w:tcPr>
          <w:p w14:paraId="1B04C36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0.004</w:t>
            </w:r>
          </w:p>
        </w:tc>
        <w:tc>
          <w:tcPr>
            <w:tcW w:w="1055" w:type="pct"/>
            <w:shd w:val="clear" w:color="auto" w:fill="auto"/>
            <w:noWrap w:val="0"/>
            <w:vAlign w:val="center"/>
          </w:tcPr>
          <w:p w14:paraId="19D932B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0.0024</w:t>
            </w:r>
          </w:p>
        </w:tc>
      </w:tr>
      <w:tr w14:paraId="7D20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noWrap w:val="0"/>
            <w:vAlign w:val="center"/>
          </w:tcPr>
          <w:p w14:paraId="3F4C8011">
            <w:pPr>
              <w:pStyle w:val="24"/>
              <w:bidi w:val="0"/>
              <w:rPr>
                <w:rFonts w:hint="eastAsia" w:ascii="Times New Roman" w:hAnsi="Times New Roman" w:eastAsia="宋体" w:cs="Courier New"/>
                <w:b w:val="0"/>
                <w:bCs w:val="0"/>
                <w:color w:val="auto"/>
                <w:sz w:val="21"/>
                <w:szCs w:val="21"/>
                <w:highlight w:val="none"/>
                <w:lang w:val="en-US" w:eastAsia="zh-CN"/>
              </w:rPr>
            </w:pPr>
          </w:p>
        </w:tc>
        <w:tc>
          <w:tcPr>
            <w:tcW w:w="679" w:type="pct"/>
            <w:vMerge w:val="continue"/>
            <w:noWrap w:val="0"/>
            <w:vAlign w:val="center"/>
          </w:tcPr>
          <w:p w14:paraId="6EA94C18">
            <w:pPr>
              <w:pStyle w:val="24"/>
              <w:bidi w:val="0"/>
              <w:rPr>
                <w:rFonts w:hint="default" w:ascii="Times New Roman" w:hAnsi="Times New Roman" w:eastAsia="宋体" w:cs="Courier New"/>
                <w:b w:val="0"/>
                <w:bCs w:val="0"/>
                <w:color w:val="auto"/>
                <w:sz w:val="21"/>
                <w:szCs w:val="21"/>
                <w:highlight w:val="none"/>
                <w:lang w:val="en-US" w:eastAsia="zh-CN"/>
              </w:rPr>
            </w:pPr>
          </w:p>
        </w:tc>
        <w:tc>
          <w:tcPr>
            <w:tcW w:w="578" w:type="pct"/>
            <w:shd w:val="clear" w:color="auto" w:fill="auto"/>
            <w:noWrap w:val="0"/>
            <w:vAlign w:val="center"/>
          </w:tcPr>
          <w:p w14:paraId="02D20DA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硫酸雾</w:t>
            </w:r>
          </w:p>
        </w:tc>
        <w:tc>
          <w:tcPr>
            <w:tcW w:w="1198" w:type="pct"/>
            <w:shd w:val="clear" w:color="auto" w:fill="auto"/>
            <w:noWrap w:val="0"/>
            <w:vAlign w:val="center"/>
          </w:tcPr>
          <w:p w14:paraId="2601C6E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 xml:space="preserve">0.2 </w:t>
            </w:r>
          </w:p>
        </w:tc>
        <w:tc>
          <w:tcPr>
            <w:tcW w:w="1145" w:type="pct"/>
            <w:shd w:val="clear" w:color="auto" w:fill="auto"/>
            <w:noWrap w:val="0"/>
            <w:vAlign w:val="center"/>
          </w:tcPr>
          <w:p w14:paraId="1B171AD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 xml:space="preserve">0.0040 </w:t>
            </w:r>
          </w:p>
        </w:tc>
        <w:tc>
          <w:tcPr>
            <w:tcW w:w="1055" w:type="pct"/>
            <w:shd w:val="clear" w:color="auto" w:fill="auto"/>
            <w:noWrap w:val="0"/>
            <w:vAlign w:val="center"/>
          </w:tcPr>
          <w:p w14:paraId="37CA48F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 xml:space="preserve">0.0095 </w:t>
            </w:r>
          </w:p>
        </w:tc>
      </w:tr>
      <w:tr w14:paraId="4AEB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noWrap w:val="0"/>
            <w:vAlign w:val="center"/>
          </w:tcPr>
          <w:p w14:paraId="445461D1">
            <w:pPr>
              <w:pStyle w:val="24"/>
              <w:bidi w:val="0"/>
              <w:rPr>
                <w:rFonts w:hint="eastAsia" w:ascii="Times New Roman" w:hAnsi="Times New Roman" w:eastAsia="宋体" w:cs="Courier New"/>
                <w:b w:val="0"/>
                <w:bCs w:val="0"/>
                <w:color w:val="auto"/>
                <w:sz w:val="21"/>
                <w:szCs w:val="21"/>
                <w:highlight w:val="none"/>
                <w:lang w:val="en-US" w:eastAsia="zh-CN"/>
              </w:rPr>
            </w:pPr>
          </w:p>
        </w:tc>
        <w:tc>
          <w:tcPr>
            <w:tcW w:w="679" w:type="pct"/>
            <w:vMerge w:val="continue"/>
            <w:noWrap w:val="0"/>
            <w:vAlign w:val="center"/>
          </w:tcPr>
          <w:p w14:paraId="2A09975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8" w:type="pct"/>
            <w:shd w:val="clear" w:color="auto" w:fill="auto"/>
            <w:noWrap w:val="0"/>
            <w:vAlign w:val="center"/>
          </w:tcPr>
          <w:p w14:paraId="0AAE7D6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198" w:type="pct"/>
            <w:shd w:val="clear" w:color="auto" w:fill="auto"/>
            <w:noWrap w:val="0"/>
            <w:vAlign w:val="center"/>
          </w:tcPr>
          <w:p w14:paraId="22B67DAE">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 xml:space="preserve">0.41 </w:t>
            </w:r>
          </w:p>
        </w:tc>
        <w:tc>
          <w:tcPr>
            <w:tcW w:w="1145" w:type="pct"/>
            <w:shd w:val="clear" w:color="auto" w:fill="auto"/>
            <w:noWrap w:val="0"/>
            <w:vAlign w:val="center"/>
          </w:tcPr>
          <w:p w14:paraId="058B09F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 xml:space="preserve">0.0081 </w:t>
            </w:r>
          </w:p>
        </w:tc>
        <w:tc>
          <w:tcPr>
            <w:tcW w:w="1055" w:type="pct"/>
            <w:shd w:val="clear" w:color="auto" w:fill="auto"/>
            <w:noWrap w:val="0"/>
            <w:vAlign w:val="center"/>
          </w:tcPr>
          <w:p w14:paraId="0E1048B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 xml:space="preserve">0.0195 </w:t>
            </w:r>
          </w:p>
        </w:tc>
      </w:tr>
      <w:tr w14:paraId="1294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42" w:type="pct"/>
            <w:vMerge w:val="continue"/>
            <w:noWrap w:val="0"/>
            <w:vAlign w:val="center"/>
          </w:tcPr>
          <w:p w14:paraId="10E3C827">
            <w:pPr>
              <w:pStyle w:val="24"/>
              <w:bidi w:val="0"/>
              <w:rPr>
                <w:rFonts w:hint="eastAsia" w:ascii="Times New Roman" w:hAnsi="Times New Roman" w:eastAsia="宋体" w:cs="Courier New"/>
                <w:b w:val="0"/>
                <w:bCs w:val="0"/>
                <w:color w:val="auto"/>
                <w:sz w:val="21"/>
                <w:szCs w:val="21"/>
                <w:highlight w:val="none"/>
                <w:lang w:val="en-US" w:eastAsia="zh-CN"/>
              </w:rPr>
            </w:pPr>
          </w:p>
        </w:tc>
        <w:tc>
          <w:tcPr>
            <w:tcW w:w="679" w:type="pct"/>
            <w:vMerge w:val="continue"/>
            <w:noWrap w:val="0"/>
            <w:vAlign w:val="center"/>
          </w:tcPr>
          <w:p w14:paraId="3AD74EFA">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8" w:type="pct"/>
            <w:shd w:val="clear" w:color="auto" w:fill="auto"/>
            <w:noWrap w:val="0"/>
            <w:vAlign w:val="center"/>
          </w:tcPr>
          <w:p w14:paraId="0C886FF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VOCs</w:t>
            </w:r>
          </w:p>
        </w:tc>
        <w:tc>
          <w:tcPr>
            <w:tcW w:w="1198" w:type="pct"/>
            <w:shd w:val="clear" w:color="auto" w:fill="auto"/>
            <w:noWrap w:val="0"/>
            <w:vAlign w:val="center"/>
          </w:tcPr>
          <w:p w14:paraId="66143E6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 xml:space="preserve">0.88 </w:t>
            </w:r>
          </w:p>
        </w:tc>
        <w:tc>
          <w:tcPr>
            <w:tcW w:w="1145" w:type="pct"/>
            <w:shd w:val="clear" w:color="auto" w:fill="auto"/>
            <w:noWrap w:val="0"/>
            <w:vAlign w:val="center"/>
          </w:tcPr>
          <w:p w14:paraId="4680B0B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 xml:space="preserve">0.0176 </w:t>
            </w:r>
          </w:p>
        </w:tc>
        <w:tc>
          <w:tcPr>
            <w:tcW w:w="1055" w:type="pct"/>
            <w:shd w:val="clear" w:color="auto" w:fill="auto"/>
            <w:noWrap w:val="0"/>
            <w:vAlign w:val="center"/>
          </w:tcPr>
          <w:p w14:paraId="14CEE65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 xml:space="preserve">0.0423 </w:t>
            </w:r>
          </w:p>
        </w:tc>
      </w:tr>
      <w:tr w14:paraId="74F0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2" w:type="pct"/>
            <w:vMerge w:val="continue"/>
            <w:noWrap w:val="0"/>
            <w:vAlign w:val="center"/>
          </w:tcPr>
          <w:p w14:paraId="1C1727AF">
            <w:pPr>
              <w:pStyle w:val="24"/>
              <w:bidi w:val="0"/>
              <w:rPr>
                <w:rFonts w:hint="eastAsia" w:ascii="Times New Roman" w:hAnsi="Times New Roman" w:eastAsia="宋体" w:cs="Courier New"/>
                <w:b w:val="0"/>
                <w:bCs w:val="0"/>
                <w:color w:val="auto"/>
                <w:sz w:val="21"/>
                <w:szCs w:val="21"/>
                <w:highlight w:val="none"/>
                <w:lang w:val="en-US" w:eastAsia="zh-CN"/>
              </w:rPr>
            </w:pPr>
          </w:p>
        </w:tc>
        <w:tc>
          <w:tcPr>
            <w:tcW w:w="679" w:type="pct"/>
            <w:vMerge w:val="continue"/>
            <w:noWrap w:val="0"/>
            <w:vAlign w:val="center"/>
          </w:tcPr>
          <w:p w14:paraId="47C87677">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8" w:type="pct"/>
            <w:shd w:val="clear" w:color="auto" w:fill="auto"/>
            <w:noWrap w:val="0"/>
            <w:vAlign w:val="center"/>
          </w:tcPr>
          <w:p w14:paraId="33766BA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1198" w:type="pct"/>
            <w:shd w:val="clear" w:color="auto" w:fill="auto"/>
            <w:noWrap w:val="0"/>
            <w:vAlign w:val="center"/>
          </w:tcPr>
          <w:p w14:paraId="02A040D5">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1145" w:type="pct"/>
            <w:shd w:val="clear" w:color="auto" w:fill="auto"/>
            <w:noWrap w:val="0"/>
            <w:vAlign w:val="center"/>
          </w:tcPr>
          <w:p w14:paraId="1CDB771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1055" w:type="pct"/>
            <w:shd w:val="clear" w:color="auto" w:fill="auto"/>
            <w:noWrap w:val="0"/>
            <w:vAlign w:val="center"/>
          </w:tcPr>
          <w:p w14:paraId="5C99F0EC">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28EB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42" w:type="pct"/>
            <w:vMerge w:val="continue"/>
            <w:noWrap w:val="0"/>
            <w:vAlign w:val="center"/>
          </w:tcPr>
          <w:p w14:paraId="01809D70">
            <w:pPr>
              <w:pStyle w:val="24"/>
              <w:bidi w:val="0"/>
              <w:rPr>
                <w:rFonts w:hint="eastAsia" w:ascii="Times New Roman" w:hAnsi="Times New Roman" w:eastAsia="宋体" w:cs="Courier New"/>
                <w:b w:val="0"/>
                <w:bCs w:val="0"/>
                <w:color w:val="auto"/>
                <w:sz w:val="21"/>
                <w:szCs w:val="21"/>
                <w:highlight w:val="none"/>
                <w:lang w:val="en-US" w:eastAsia="zh-CN"/>
              </w:rPr>
            </w:pPr>
          </w:p>
        </w:tc>
        <w:tc>
          <w:tcPr>
            <w:tcW w:w="679" w:type="pct"/>
            <w:vMerge w:val="continue"/>
            <w:noWrap w:val="0"/>
            <w:vAlign w:val="center"/>
          </w:tcPr>
          <w:p w14:paraId="3D582A4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8" w:type="pct"/>
            <w:shd w:val="clear" w:color="auto" w:fill="auto"/>
            <w:noWrap w:val="0"/>
            <w:vAlign w:val="center"/>
          </w:tcPr>
          <w:p w14:paraId="7A3C5A2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1198" w:type="pct"/>
            <w:shd w:val="clear" w:color="auto" w:fill="auto"/>
            <w:noWrap w:val="0"/>
            <w:vAlign w:val="center"/>
          </w:tcPr>
          <w:p w14:paraId="19102FD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1145" w:type="pct"/>
            <w:shd w:val="clear" w:color="auto" w:fill="auto"/>
            <w:noWrap w:val="0"/>
            <w:vAlign w:val="center"/>
          </w:tcPr>
          <w:p w14:paraId="251884F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c>
          <w:tcPr>
            <w:tcW w:w="1055" w:type="pct"/>
            <w:shd w:val="clear" w:color="auto" w:fill="auto"/>
            <w:noWrap w:val="0"/>
            <w:vAlign w:val="center"/>
          </w:tcPr>
          <w:p w14:paraId="4AC7C4D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3EE5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42" w:type="pct"/>
            <w:vMerge w:val="restart"/>
            <w:noWrap w:val="0"/>
            <w:vAlign w:val="center"/>
          </w:tcPr>
          <w:p w14:paraId="6A02506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w:t>
            </w:r>
          </w:p>
        </w:tc>
        <w:tc>
          <w:tcPr>
            <w:tcW w:w="679" w:type="pct"/>
            <w:vMerge w:val="restart"/>
            <w:noWrap w:val="0"/>
            <w:vAlign w:val="center"/>
          </w:tcPr>
          <w:p w14:paraId="3F6EDAB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DA00</w:t>
            </w:r>
            <w:r>
              <w:rPr>
                <w:rFonts w:hint="eastAsia" w:cs="Courier New"/>
                <w:b w:val="0"/>
                <w:bCs w:val="0"/>
                <w:color w:val="auto"/>
                <w:sz w:val="21"/>
                <w:szCs w:val="21"/>
                <w:highlight w:val="none"/>
                <w:lang w:val="en-US" w:eastAsia="zh-CN"/>
              </w:rPr>
              <w:t>2</w:t>
            </w:r>
          </w:p>
        </w:tc>
        <w:tc>
          <w:tcPr>
            <w:tcW w:w="578" w:type="pct"/>
            <w:noWrap w:val="0"/>
            <w:vAlign w:val="center"/>
          </w:tcPr>
          <w:p w14:paraId="5437C2A0">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氯化氢</w:t>
            </w:r>
          </w:p>
        </w:tc>
        <w:tc>
          <w:tcPr>
            <w:tcW w:w="1198" w:type="pct"/>
            <w:shd w:val="clear" w:color="auto" w:fill="auto"/>
            <w:noWrap w:val="0"/>
            <w:vAlign w:val="center"/>
          </w:tcPr>
          <w:p w14:paraId="59BB20B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4.76E-05</w:t>
            </w:r>
          </w:p>
        </w:tc>
        <w:tc>
          <w:tcPr>
            <w:tcW w:w="1145" w:type="pct"/>
            <w:shd w:val="clear" w:color="auto" w:fill="auto"/>
            <w:noWrap w:val="0"/>
            <w:vAlign w:val="center"/>
          </w:tcPr>
          <w:p w14:paraId="28B1AAD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3.81E-07</w:t>
            </w:r>
          </w:p>
        </w:tc>
        <w:tc>
          <w:tcPr>
            <w:tcW w:w="1055" w:type="pct"/>
            <w:shd w:val="clear" w:color="auto" w:fill="auto"/>
            <w:noWrap w:val="0"/>
            <w:vAlign w:val="center"/>
          </w:tcPr>
          <w:p w14:paraId="72A365B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4.57E-07</w:t>
            </w:r>
          </w:p>
        </w:tc>
      </w:tr>
      <w:tr w14:paraId="6AF6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42" w:type="pct"/>
            <w:vMerge w:val="continue"/>
            <w:noWrap w:val="0"/>
            <w:vAlign w:val="center"/>
          </w:tcPr>
          <w:p w14:paraId="1A0DCA05">
            <w:pPr>
              <w:pStyle w:val="24"/>
              <w:bidi w:val="0"/>
              <w:rPr>
                <w:rFonts w:hint="eastAsia" w:cs="Courier New"/>
                <w:b w:val="0"/>
                <w:bCs w:val="0"/>
                <w:color w:val="auto"/>
                <w:sz w:val="21"/>
                <w:szCs w:val="21"/>
                <w:highlight w:val="none"/>
                <w:lang w:val="en-US" w:eastAsia="zh-CN"/>
              </w:rPr>
            </w:pPr>
          </w:p>
        </w:tc>
        <w:tc>
          <w:tcPr>
            <w:tcW w:w="679" w:type="pct"/>
            <w:vMerge w:val="continue"/>
            <w:noWrap w:val="0"/>
            <w:vAlign w:val="center"/>
          </w:tcPr>
          <w:p w14:paraId="5961162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8" w:type="pct"/>
            <w:noWrap w:val="0"/>
            <w:vAlign w:val="center"/>
          </w:tcPr>
          <w:p w14:paraId="0D49637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硫酸雾</w:t>
            </w:r>
          </w:p>
        </w:tc>
        <w:tc>
          <w:tcPr>
            <w:tcW w:w="1198" w:type="pct"/>
            <w:shd w:val="clear" w:color="auto" w:fill="auto"/>
            <w:noWrap w:val="0"/>
            <w:vAlign w:val="center"/>
          </w:tcPr>
          <w:p w14:paraId="6B451C0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7.99E-06</w:t>
            </w:r>
          </w:p>
        </w:tc>
        <w:tc>
          <w:tcPr>
            <w:tcW w:w="1145" w:type="pct"/>
            <w:shd w:val="clear" w:color="auto" w:fill="auto"/>
            <w:noWrap w:val="0"/>
            <w:vAlign w:val="center"/>
          </w:tcPr>
          <w:p w14:paraId="75F4EEDF">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6.39E-08</w:t>
            </w:r>
          </w:p>
        </w:tc>
        <w:tc>
          <w:tcPr>
            <w:tcW w:w="1055" w:type="pct"/>
            <w:shd w:val="clear" w:color="auto" w:fill="auto"/>
            <w:noWrap w:val="0"/>
            <w:vAlign w:val="center"/>
          </w:tcPr>
          <w:p w14:paraId="728ED4F7">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7.67E-08</w:t>
            </w:r>
          </w:p>
        </w:tc>
      </w:tr>
      <w:tr w14:paraId="7400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42" w:type="pct"/>
            <w:vMerge w:val="continue"/>
            <w:noWrap w:val="0"/>
            <w:vAlign w:val="center"/>
          </w:tcPr>
          <w:p w14:paraId="357E5932">
            <w:pPr>
              <w:pStyle w:val="24"/>
              <w:bidi w:val="0"/>
              <w:rPr>
                <w:rFonts w:hint="eastAsia" w:ascii="Times New Roman" w:hAnsi="Times New Roman" w:eastAsia="宋体" w:cs="Courier New"/>
                <w:b w:val="0"/>
                <w:bCs w:val="0"/>
                <w:color w:val="auto"/>
                <w:sz w:val="21"/>
                <w:szCs w:val="21"/>
                <w:highlight w:val="none"/>
                <w:lang w:val="en-US" w:eastAsia="zh-CN"/>
              </w:rPr>
            </w:pPr>
          </w:p>
        </w:tc>
        <w:tc>
          <w:tcPr>
            <w:tcW w:w="679" w:type="pct"/>
            <w:vMerge w:val="continue"/>
            <w:noWrap w:val="0"/>
            <w:vAlign w:val="center"/>
          </w:tcPr>
          <w:p w14:paraId="08D3137C">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8" w:type="pct"/>
            <w:noWrap w:val="0"/>
            <w:vAlign w:val="center"/>
          </w:tcPr>
          <w:p w14:paraId="172BA93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1198" w:type="pct"/>
            <w:shd w:val="clear" w:color="auto" w:fill="auto"/>
            <w:noWrap w:val="0"/>
            <w:vAlign w:val="center"/>
          </w:tcPr>
          <w:p w14:paraId="29A70EF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0.005</w:t>
            </w:r>
          </w:p>
        </w:tc>
        <w:tc>
          <w:tcPr>
            <w:tcW w:w="1145" w:type="pct"/>
            <w:shd w:val="clear" w:color="auto" w:fill="auto"/>
            <w:noWrap w:val="0"/>
            <w:vAlign w:val="center"/>
          </w:tcPr>
          <w:p w14:paraId="3C89437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4.00E-05</w:t>
            </w:r>
          </w:p>
        </w:tc>
        <w:tc>
          <w:tcPr>
            <w:tcW w:w="1055" w:type="pct"/>
            <w:shd w:val="clear" w:color="auto" w:fill="auto"/>
            <w:noWrap w:val="0"/>
            <w:vAlign w:val="center"/>
          </w:tcPr>
          <w:p w14:paraId="612AEC1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4.80E-05</w:t>
            </w:r>
          </w:p>
        </w:tc>
      </w:tr>
      <w:tr w14:paraId="6FFE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restart"/>
            <w:noWrap w:val="0"/>
            <w:vAlign w:val="center"/>
          </w:tcPr>
          <w:p w14:paraId="4A339F9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一般排放口合计</w:t>
            </w:r>
          </w:p>
        </w:tc>
        <w:tc>
          <w:tcPr>
            <w:tcW w:w="2922" w:type="pct"/>
            <w:gridSpan w:val="3"/>
            <w:shd w:val="clear" w:color="auto" w:fill="auto"/>
            <w:noWrap w:val="0"/>
            <w:vAlign w:val="center"/>
          </w:tcPr>
          <w:p w14:paraId="0AA897F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颗粒物</w:t>
            </w:r>
          </w:p>
        </w:tc>
        <w:tc>
          <w:tcPr>
            <w:tcW w:w="1055" w:type="pct"/>
            <w:shd w:val="clear" w:color="auto" w:fill="auto"/>
            <w:noWrap w:val="0"/>
            <w:vAlign w:val="bottom"/>
          </w:tcPr>
          <w:p w14:paraId="42699D3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0.0024</w:t>
            </w:r>
          </w:p>
        </w:tc>
      </w:tr>
      <w:tr w14:paraId="2ACA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2A094E24">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4998348B">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1055" w:type="pct"/>
            <w:shd w:val="clear" w:color="auto" w:fill="auto"/>
            <w:noWrap w:val="0"/>
            <w:vAlign w:val="bottom"/>
          </w:tcPr>
          <w:p w14:paraId="3469C69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0.0095 </w:t>
            </w:r>
          </w:p>
        </w:tc>
      </w:tr>
      <w:tr w14:paraId="6438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021" w:type="pct"/>
            <w:gridSpan w:val="2"/>
            <w:vMerge w:val="continue"/>
            <w:noWrap w:val="0"/>
            <w:vAlign w:val="center"/>
          </w:tcPr>
          <w:p w14:paraId="61ED2EF0">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55A333C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055" w:type="pct"/>
            <w:shd w:val="clear" w:color="auto" w:fill="auto"/>
            <w:noWrap w:val="0"/>
            <w:vAlign w:val="bottom"/>
          </w:tcPr>
          <w:p w14:paraId="0D87704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0.0195 </w:t>
            </w:r>
          </w:p>
        </w:tc>
      </w:tr>
      <w:tr w14:paraId="4C02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1" w:type="pct"/>
            <w:gridSpan w:val="2"/>
            <w:vMerge w:val="continue"/>
            <w:noWrap w:val="0"/>
            <w:vAlign w:val="center"/>
          </w:tcPr>
          <w:p w14:paraId="65D1AC1C">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215C277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氯化氢</w:t>
            </w:r>
          </w:p>
        </w:tc>
        <w:tc>
          <w:tcPr>
            <w:tcW w:w="1055" w:type="pct"/>
            <w:shd w:val="clear" w:color="auto" w:fill="auto"/>
            <w:noWrap w:val="0"/>
            <w:vAlign w:val="bottom"/>
          </w:tcPr>
          <w:p w14:paraId="584EF0B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4.57E-07</w:t>
            </w:r>
          </w:p>
        </w:tc>
      </w:tr>
      <w:tr w14:paraId="13BC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021" w:type="pct"/>
            <w:gridSpan w:val="2"/>
            <w:vMerge w:val="continue"/>
            <w:noWrap w:val="0"/>
            <w:vAlign w:val="center"/>
          </w:tcPr>
          <w:p w14:paraId="1344B6FA">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17551EA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1055" w:type="pct"/>
            <w:shd w:val="clear" w:color="auto" w:fill="auto"/>
            <w:noWrap w:val="0"/>
            <w:vAlign w:val="bottom"/>
          </w:tcPr>
          <w:p w14:paraId="36AFDEF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0.0423</w:t>
            </w:r>
          </w:p>
        </w:tc>
      </w:tr>
      <w:tr w14:paraId="0B4C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21" w:type="pct"/>
            <w:gridSpan w:val="2"/>
            <w:vMerge w:val="continue"/>
            <w:noWrap w:val="0"/>
            <w:vAlign w:val="center"/>
          </w:tcPr>
          <w:p w14:paraId="7F365D23">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656A6CC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1055" w:type="pct"/>
            <w:shd w:val="clear" w:color="auto" w:fill="auto"/>
            <w:noWrap w:val="0"/>
            <w:vAlign w:val="center"/>
          </w:tcPr>
          <w:p w14:paraId="3D92CAD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0256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0986B94F">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2DD77EA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1055" w:type="pct"/>
            <w:shd w:val="clear" w:color="auto" w:fill="auto"/>
            <w:noWrap w:val="0"/>
            <w:vAlign w:val="center"/>
          </w:tcPr>
          <w:p w14:paraId="548B2D8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1AC6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6"/>
            <w:noWrap w:val="0"/>
            <w:vAlign w:val="center"/>
          </w:tcPr>
          <w:p w14:paraId="6D1A27B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有组织排放总计</w:t>
            </w:r>
          </w:p>
        </w:tc>
      </w:tr>
      <w:tr w14:paraId="7D02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restart"/>
            <w:noWrap w:val="0"/>
            <w:vAlign w:val="center"/>
          </w:tcPr>
          <w:p w14:paraId="5AD26B1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有组织排放总计</w:t>
            </w:r>
          </w:p>
        </w:tc>
        <w:tc>
          <w:tcPr>
            <w:tcW w:w="2922" w:type="pct"/>
            <w:gridSpan w:val="3"/>
            <w:shd w:val="clear" w:color="auto" w:fill="auto"/>
            <w:noWrap w:val="0"/>
            <w:vAlign w:val="center"/>
          </w:tcPr>
          <w:p w14:paraId="4644752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颗粒物</w:t>
            </w:r>
          </w:p>
        </w:tc>
        <w:tc>
          <w:tcPr>
            <w:tcW w:w="1055" w:type="pct"/>
            <w:shd w:val="clear" w:color="auto" w:fill="auto"/>
            <w:noWrap w:val="0"/>
            <w:vAlign w:val="bottom"/>
          </w:tcPr>
          <w:p w14:paraId="6E475E3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0.0024</w:t>
            </w:r>
          </w:p>
        </w:tc>
      </w:tr>
      <w:tr w14:paraId="2FE4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67A034E6">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4B0867C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1055" w:type="pct"/>
            <w:shd w:val="clear" w:color="auto" w:fill="auto"/>
            <w:noWrap w:val="0"/>
            <w:vAlign w:val="bottom"/>
          </w:tcPr>
          <w:p w14:paraId="703E49D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0.0095 </w:t>
            </w:r>
          </w:p>
        </w:tc>
      </w:tr>
      <w:tr w14:paraId="31C7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321A85AB">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20472BA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055" w:type="pct"/>
            <w:shd w:val="clear" w:color="auto" w:fill="auto"/>
            <w:noWrap w:val="0"/>
            <w:vAlign w:val="bottom"/>
          </w:tcPr>
          <w:p w14:paraId="7600DAF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0.0195 </w:t>
            </w:r>
          </w:p>
        </w:tc>
      </w:tr>
      <w:tr w14:paraId="6A2B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48D7E57D">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3F7414D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氯化氢</w:t>
            </w:r>
          </w:p>
        </w:tc>
        <w:tc>
          <w:tcPr>
            <w:tcW w:w="1055" w:type="pct"/>
            <w:shd w:val="clear" w:color="auto" w:fill="auto"/>
            <w:noWrap w:val="0"/>
            <w:vAlign w:val="bottom"/>
          </w:tcPr>
          <w:p w14:paraId="56B5349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4.57E-07</w:t>
            </w:r>
          </w:p>
        </w:tc>
      </w:tr>
      <w:tr w14:paraId="2987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78CB790E">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6D0B18A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1055" w:type="pct"/>
            <w:shd w:val="clear" w:color="auto" w:fill="auto"/>
            <w:noWrap w:val="0"/>
            <w:vAlign w:val="bottom"/>
          </w:tcPr>
          <w:p w14:paraId="5EA5216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0.0423</w:t>
            </w:r>
          </w:p>
        </w:tc>
      </w:tr>
      <w:tr w14:paraId="4B89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523BFA1E">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13EA33D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1055" w:type="pct"/>
            <w:shd w:val="clear" w:color="auto" w:fill="auto"/>
            <w:noWrap w:val="0"/>
            <w:vAlign w:val="center"/>
          </w:tcPr>
          <w:p w14:paraId="38A1562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38FB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1" w:type="pct"/>
            <w:gridSpan w:val="2"/>
            <w:vMerge w:val="continue"/>
            <w:noWrap w:val="0"/>
            <w:vAlign w:val="center"/>
          </w:tcPr>
          <w:p w14:paraId="3C7026AB">
            <w:pPr>
              <w:pStyle w:val="24"/>
              <w:bidi w:val="0"/>
              <w:rPr>
                <w:rFonts w:hint="eastAsia" w:ascii="Times New Roman" w:hAnsi="Times New Roman" w:eastAsia="宋体" w:cs="Courier New"/>
                <w:b w:val="0"/>
                <w:bCs w:val="0"/>
                <w:color w:val="auto"/>
                <w:sz w:val="21"/>
                <w:szCs w:val="21"/>
                <w:highlight w:val="none"/>
                <w:lang w:val="en-US" w:eastAsia="zh-CN"/>
              </w:rPr>
            </w:pPr>
          </w:p>
        </w:tc>
        <w:tc>
          <w:tcPr>
            <w:tcW w:w="2922" w:type="pct"/>
            <w:gridSpan w:val="3"/>
            <w:shd w:val="clear" w:color="auto" w:fill="auto"/>
            <w:noWrap w:val="0"/>
            <w:vAlign w:val="center"/>
          </w:tcPr>
          <w:p w14:paraId="45185BE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1055" w:type="pct"/>
            <w:shd w:val="clear" w:color="auto" w:fill="auto"/>
            <w:noWrap w:val="0"/>
            <w:vAlign w:val="center"/>
          </w:tcPr>
          <w:p w14:paraId="64BBEA6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bl>
    <w:p w14:paraId="17FACE02">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 xml:space="preserve">2、无组织排放量核算    </w:t>
      </w:r>
    </w:p>
    <w:p w14:paraId="5CE01970">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大气污染物无组织排放量核算表</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895"/>
        <w:gridCol w:w="872"/>
        <w:gridCol w:w="1099"/>
        <w:gridCol w:w="1224"/>
        <w:gridCol w:w="2572"/>
        <w:gridCol w:w="1198"/>
        <w:gridCol w:w="1103"/>
      </w:tblGrid>
      <w:tr w14:paraId="2778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Merge w:val="restart"/>
            <w:noWrap w:val="0"/>
            <w:vAlign w:val="center"/>
          </w:tcPr>
          <w:p w14:paraId="74A22D1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470" w:type="pct"/>
            <w:vMerge w:val="restart"/>
            <w:noWrap w:val="0"/>
            <w:vAlign w:val="center"/>
          </w:tcPr>
          <w:p w14:paraId="59B37C5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排放口编号</w:t>
            </w:r>
          </w:p>
        </w:tc>
        <w:tc>
          <w:tcPr>
            <w:tcW w:w="458" w:type="pct"/>
            <w:vMerge w:val="restart"/>
            <w:noWrap w:val="0"/>
            <w:vAlign w:val="center"/>
          </w:tcPr>
          <w:p w14:paraId="15E13C6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产污</w:t>
            </w:r>
          </w:p>
          <w:p w14:paraId="0426C57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环节</w:t>
            </w:r>
          </w:p>
        </w:tc>
        <w:tc>
          <w:tcPr>
            <w:tcW w:w="577" w:type="pct"/>
            <w:vMerge w:val="restart"/>
            <w:noWrap w:val="0"/>
            <w:vAlign w:val="center"/>
          </w:tcPr>
          <w:p w14:paraId="477B1E9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tc>
        <w:tc>
          <w:tcPr>
            <w:tcW w:w="643" w:type="pct"/>
            <w:vMerge w:val="restart"/>
            <w:noWrap w:val="0"/>
            <w:vAlign w:val="center"/>
          </w:tcPr>
          <w:p w14:paraId="43CA8747">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主要污染防治措施</w:t>
            </w:r>
          </w:p>
        </w:tc>
        <w:tc>
          <w:tcPr>
            <w:tcW w:w="1981" w:type="pct"/>
            <w:gridSpan w:val="2"/>
            <w:noWrap w:val="0"/>
            <w:vAlign w:val="center"/>
          </w:tcPr>
          <w:p w14:paraId="5B85692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国家或地方污染物排放标准</w:t>
            </w:r>
          </w:p>
        </w:tc>
        <w:tc>
          <w:tcPr>
            <w:tcW w:w="579" w:type="pct"/>
            <w:vMerge w:val="restart"/>
            <w:noWrap w:val="0"/>
            <w:vAlign w:val="center"/>
          </w:tcPr>
          <w:p w14:paraId="58E6FAD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年排放量（t/a）</w:t>
            </w:r>
          </w:p>
        </w:tc>
      </w:tr>
      <w:tr w14:paraId="4E2D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6F5DD482">
            <w:pPr>
              <w:pStyle w:val="24"/>
              <w:bidi w:val="0"/>
              <w:rPr>
                <w:rFonts w:hint="eastAsia" w:ascii="Times New Roman" w:hAnsi="Times New Roman" w:eastAsia="宋体" w:cs="Courier New"/>
                <w:b/>
                <w:bCs/>
                <w:color w:val="auto"/>
                <w:sz w:val="21"/>
                <w:szCs w:val="21"/>
                <w:highlight w:val="none"/>
                <w:lang w:val="en-US" w:eastAsia="zh-CN"/>
              </w:rPr>
            </w:pPr>
          </w:p>
        </w:tc>
        <w:tc>
          <w:tcPr>
            <w:tcW w:w="470" w:type="pct"/>
            <w:vMerge w:val="continue"/>
            <w:noWrap w:val="0"/>
            <w:vAlign w:val="center"/>
          </w:tcPr>
          <w:p w14:paraId="37CEA3A2">
            <w:pPr>
              <w:pStyle w:val="24"/>
              <w:bidi w:val="0"/>
              <w:rPr>
                <w:rFonts w:hint="eastAsia" w:ascii="Times New Roman" w:hAnsi="Times New Roman" w:eastAsia="宋体" w:cs="Courier New"/>
                <w:b/>
                <w:bCs/>
                <w:color w:val="auto"/>
                <w:sz w:val="21"/>
                <w:szCs w:val="21"/>
                <w:highlight w:val="none"/>
                <w:lang w:val="en-US" w:eastAsia="zh-CN"/>
              </w:rPr>
            </w:pPr>
          </w:p>
        </w:tc>
        <w:tc>
          <w:tcPr>
            <w:tcW w:w="458" w:type="pct"/>
            <w:vMerge w:val="continue"/>
            <w:noWrap w:val="0"/>
            <w:vAlign w:val="center"/>
          </w:tcPr>
          <w:p w14:paraId="63CD222A">
            <w:pPr>
              <w:pStyle w:val="24"/>
              <w:bidi w:val="0"/>
              <w:rPr>
                <w:rFonts w:hint="eastAsia" w:ascii="Times New Roman" w:hAnsi="Times New Roman" w:eastAsia="宋体" w:cs="Courier New"/>
                <w:b/>
                <w:bCs/>
                <w:color w:val="auto"/>
                <w:sz w:val="21"/>
                <w:szCs w:val="21"/>
                <w:highlight w:val="none"/>
                <w:lang w:val="en-US" w:eastAsia="zh-CN"/>
              </w:rPr>
            </w:pPr>
          </w:p>
        </w:tc>
        <w:tc>
          <w:tcPr>
            <w:tcW w:w="577" w:type="pct"/>
            <w:vMerge w:val="continue"/>
            <w:noWrap w:val="0"/>
            <w:vAlign w:val="center"/>
          </w:tcPr>
          <w:p w14:paraId="6095BAE4">
            <w:pPr>
              <w:pStyle w:val="24"/>
              <w:bidi w:val="0"/>
              <w:rPr>
                <w:rFonts w:hint="eastAsia" w:ascii="Times New Roman" w:hAnsi="Times New Roman" w:eastAsia="宋体" w:cs="Courier New"/>
                <w:b/>
                <w:bCs/>
                <w:color w:val="auto"/>
                <w:sz w:val="21"/>
                <w:szCs w:val="21"/>
                <w:highlight w:val="none"/>
                <w:lang w:val="en-US" w:eastAsia="zh-CN"/>
              </w:rPr>
            </w:pPr>
          </w:p>
        </w:tc>
        <w:tc>
          <w:tcPr>
            <w:tcW w:w="643" w:type="pct"/>
            <w:vMerge w:val="continue"/>
            <w:noWrap w:val="0"/>
            <w:vAlign w:val="center"/>
          </w:tcPr>
          <w:p w14:paraId="13803D7C">
            <w:pPr>
              <w:pStyle w:val="24"/>
              <w:bidi w:val="0"/>
              <w:rPr>
                <w:rFonts w:hint="eastAsia" w:ascii="Times New Roman" w:hAnsi="Times New Roman" w:eastAsia="宋体" w:cs="Courier New"/>
                <w:b/>
                <w:bCs/>
                <w:color w:val="auto"/>
                <w:sz w:val="21"/>
                <w:szCs w:val="21"/>
                <w:highlight w:val="none"/>
                <w:lang w:val="en-US" w:eastAsia="zh-CN"/>
              </w:rPr>
            </w:pPr>
          </w:p>
        </w:tc>
        <w:tc>
          <w:tcPr>
            <w:tcW w:w="1351" w:type="pct"/>
            <w:noWrap w:val="0"/>
            <w:vAlign w:val="center"/>
          </w:tcPr>
          <w:p w14:paraId="45E4A06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标准名称</w:t>
            </w:r>
          </w:p>
        </w:tc>
        <w:tc>
          <w:tcPr>
            <w:tcW w:w="629" w:type="pct"/>
            <w:noWrap w:val="0"/>
            <w:vAlign w:val="center"/>
          </w:tcPr>
          <w:p w14:paraId="3A65954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浓度限值（mg/m</w:t>
            </w:r>
            <w:r>
              <w:rPr>
                <w:rFonts w:hint="eastAsia" w:ascii="Times New Roman" w:hAnsi="Times New Roman" w:eastAsia="宋体" w:cs="Courier New"/>
                <w:b/>
                <w:bCs/>
                <w:color w:val="auto"/>
                <w:sz w:val="21"/>
                <w:szCs w:val="21"/>
                <w:highlight w:val="none"/>
                <w:vertAlign w:val="superscript"/>
                <w:lang w:val="en-US" w:eastAsia="zh-CN"/>
              </w:rPr>
              <w:t>3</w:t>
            </w:r>
            <w:r>
              <w:rPr>
                <w:rFonts w:hint="eastAsia" w:ascii="Times New Roman" w:hAnsi="Times New Roman" w:eastAsia="宋体" w:cs="Courier New"/>
                <w:b/>
                <w:bCs/>
                <w:color w:val="auto"/>
                <w:sz w:val="21"/>
                <w:szCs w:val="21"/>
                <w:highlight w:val="none"/>
                <w:lang w:val="en-US" w:eastAsia="zh-CN"/>
              </w:rPr>
              <w:t>）</w:t>
            </w:r>
          </w:p>
        </w:tc>
        <w:tc>
          <w:tcPr>
            <w:tcW w:w="579" w:type="pct"/>
            <w:vMerge w:val="continue"/>
            <w:noWrap w:val="0"/>
            <w:vAlign w:val="center"/>
          </w:tcPr>
          <w:p w14:paraId="39BC9138">
            <w:pPr>
              <w:pStyle w:val="24"/>
              <w:bidi w:val="0"/>
              <w:rPr>
                <w:rFonts w:hint="eastAsia" w:ascii="Times New Roman" w:hAnsi="Times New Roman" w:eastAsia="宋体" w:cs="Courier New"/>
                <w:b w:val="0"/>
                <w:bCs w:val="0"/>
                <w:color w:val="auto"/>
                <w:sz w:val="21"/>
                <w:szCs w:val="21"/>
                <w:highlight w:val="none"/>
                <w:lang w:val="en-US" w:eastAsia="zh-CN"/>
              </w:rPr>
            </w:pPr>
          </w:p>
        </w:tc>
      </w:tr>
      <w:tr w14:paraId="41E9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restart"/>
            <w:noWrap w:val="0"/>
            <w:vAlign w:val="center"/>
          </w:tcPr>
          <w:p w14:paraId="33B4243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470" w:type="pct"/>
            <w:vMerge w:val="restart"/>
            <w:noWrap w:val="0"/>
            <w:vAlign w:val="center"/>
          </w:tcPr>
          <w:p w14:paraId="28E34E19">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MF001</w:t>
            </w:r>
          </w:p>
        </w:tc>
        <w:tc>
          <w:tcPr>
            <w:tcW w:w="458" w:type="pct"/>
            <w:vMerge w:val="restart"/>
            <w:noWrap w:val="0"/>
            <w:vAlign w:val="center"/>
          </w:tcPr>
          <w:p w14:paraId="7CAFA7D2">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生产车间</w:t>
            </w:r>
          </w:p>
        </w:tc>
        <w:tc>
          <w:tcPr>
            <w:tcW w:w="577" w:type="pct"/>
            <w:noWrap w:val="0"/>
            <w:vAlign w:val="center"/>
          </w:tcPr>
          <w:p w14:paraId="151AB99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颗粒物</w:t>
            </w:r>
          </w:p>
        </w:tc>
        <w:tc>
          <w:tcPr>
            <w:tcW w:w="643" w:type="pct"/>
            <w:vMerge w:val="restart"/>
            <w:noWrap w:val="0"/>
            <w:vAlign w:val="center"/>
          </w:tcPr>
          <w:p w14:paraId="117EB39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加强通风</w:t>
            </w:r>
          </w:p>
        </w:tc>
        <w:tc>
          <w:tcPr>
            <w:tcW w:w="1351" w:type="pct"/>
            <w:noWrap w:val="0"/>
            <w:vAlign w:val="center"/>
          </w:tcPr>
          <w:p w14:paraId="2206293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《大气污染物综合排放标准》（GB16297-1996）表2中二级标准</w:t>
            </w:r>
          </w:p>
        </w:tc>
        <w:tc>
          <w:tcPr>
            <w:tcW w:w="629" w:type="pct"/>
            <w:noWrap w:val="0"/>
            <w:vAlign w:val="center"/>
          </w:tcPr>
          <w:p w14:paraId="0C7F6B3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1.0</w:t>
            </w:r>
          </w:p>
        </w:tc>
        <w:tc>
          <w:tcPr>
            <w:tcW w:w="579" w:type="pct"/>
            <w:noWrap w:val="0"/>
            <w:vAlign w:val="center"/>
          </w:tcPr>
          <w:p w14:paraId="3C4629B6">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0.006</w:t>
            </w:r>
          </w:p>
        </w:tc>
      </w:tr>
      <w:tr w14:paraId="67DD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6E67A845">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291B6202">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05484148">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noWrap w:val="0"/>
            <w:vAlign w:val="center"/>
          </w:tcPr>
          <w:p w14:paraId="6EA557B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643" w:type="pct"/>
            <w:vMerge w:val="continue"/>
            <w:noWrap w:val="0"/>
            <w:vAlign w:val="center"/>
          </w:tcPr>
          <w:p w14:paraId="5F467DFC">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restart"/>
            <w:noWrap w:val="0"/>
            <w:vAlign w:val="center"/>
          </w:tcPr>
          <w:p w14:paraId="26AAEDC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《无机化学工业污染物排放标准》（GB 31573-2015）表5中排放限值</w:t>
            </w:r>
          </w:p>
        </w:tc>
        <w:tc>
          <w:tcPr>
            <w:tcW w:w="629" w:type="pct"/>
            <w:noWrap w:val="0"/>
            <w:vAlign w:val="center"/>
          </w:tcPr>
          <w:p w14:paraId="563D4FB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0.3</w:t>
            </w:r>
          </w:p>
        </w:tc>
        <w:tc>
          <w:tcPr>
            <w:tcW w:w="579" w:type="pct"/>
            <w:noWrap w:val="0"/>
            <w:vAlign w:val="center"/>
          </w:tcPr>
          <w:p w14:paraId="62112BC5">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0.0019 </w:t>
            </w:r>
          </w:p>
        </w:tc>
      </w:tr>
      <w:tr w14:paraId="00A5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71E42AD5">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0DE911B6">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2B22B3E8">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noWrap w:val="0"/>
            <w:vAlign w:val="center"/>
          </w:tcPr>
          <w:p w14:paraId="7EA83A2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43" w:type="pct"/>
            <w:vMerge w:val="continue"/>
            <w:noWrap w:val="0"/>
            <w:vAlign w:val="center"/>
          </w:tcPr>
          <w:p w14:paraId="42624881">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71EAF2C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1D7E181D">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0.02</w:t>
            </w:r>
          </w:p>
        </w:tc>
        <w:tc>
          <w:tcPr>
            <w:tcW w:w="579" w:type="pct"/>
            <w:noWrap w:val="0"/>
            <w:vAlign w:val="center"/>
          </w:tcPr>
          <w:p w14:paraId="64759D77">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0.0049 </w:t>
            </w:r>
          </w:p>
        </w:tc>
      </w:tr>
      <w:tr w14:paraId="1B90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89" w:type="pct"/>
            <w:vMerge w:val="continue"/>
            <w:noWrap w:val="0"/>
            <w:vAlign w:val="center"/>
          </w:tcPr>
          <w:p w14:paraId="4BCFDBB6">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01E797C6">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111B64FC">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vMerge w:val="restart"/>
            <w:noWrap w:val="0"/>
            <w:vAlign w:val="center"/>
          </w:tcPr>
          <w:p w14:paraId="121DB05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VOCs</w:t>
            </w:r>
          </w:p>
        </w:tc>
        <w:tc>
          <w:tcPr>
            <w:tcW w:w="643" w:type="pct"/>
            <w:vMerge w:val="continue"/>
            <w:noWrap w:val="0"/>
            <w:vAlign w:val="center"/>
          </w:tcPr>
          <w:p w14:paraId="63038465">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noWrap w:val="0"/>
            <w:vAlign w:val="center"/>
          </w:tcPr>
          <w:p w14:paraId="26F2886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《四川省固定污染源大气挥发性有机物排放标准》（DB51/2377-2017）表5中无组织排放浓度限值</w:t>
            </w:r>
          </w:p>
        </w:tc>
        <w:tc>
          <w:tcPr>
            <w:tcW w:w="629" w:type="pct"/>
            <w:noWrap w:val="0"/>
            <w:vAlign w:val="center"/>
          </w:tcPr>
          <w:p w14:paraId="78FE2487">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w:t>
            </w:r>
          </w:p>
        </w:tc>
        <w:tc>
          <w:tcPr>
            <w:tcW w:w="579" w:type="pct"/>
            <w:vMerge w:val="restart"/>
            <w:noWrap w:val="0"/>
            <w:vAlign w:val="center"/>
          </w:tcPr>
          <w:p w14:paraId="597F27EA">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0.0142 </w:t>
            </w:r>
          </w:p>
        </w:tc>
      </w:tr>
      <w:tr w14:paraId="2F0E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89" w:type="pct"/>
            <w:vMerge w:val="continue"/>
            <w:noWrap w:val="0"/>
            <w:vAlign w:val="center"/>
          </w:tcPr>
          <w:p w14:paraId="5D28A8AD">
            <w:pPr>
              <w:pStyle w:val="24"/>
              <w:bidi w:val="0"/>
              <w:ind w:left="0" w:leftChars="0"/>
              <w:rPr>
                <w:color w:val="auto"/>
                <w:sz w:val="21"/>
                <w:szCs w:val="21"/>
              </w:rPr>
            </w:pPr>
          </w:p>
        </w:tc>
        <w:tc>
          <w:tcPr>
            <w:tcW w:w="470" w:type="pct"/>
            <w:vMerge w:val="continue"/>
            <w:noWrap w:val="0"/>
            <w:vAlign w:val="center"/>
          </w:tcPr>
          <w:p w14:paraId="45F640A6">
            <w:pPr>
              <w:pStyle w:val="24"/>
              <w:bidi w:val="0"/>
              <w:ind w:left="0" w:leftChars="0"/>
              <w:rPr>
                <w:color w:val="auto"/>
                <w:sz w:val="21"/>
                <w:szCs w:val="21"/>
              </w:rPr>
            </w:pPr>
          </w:p>
        </w:tc>
        <w:tc>
          <w:tcPr>
            <w:tcW w:w="458" w:type="pct"/>
            <w:vMerge w:val="continue"/>
            <w:noWrap w:val="0"/>
            <w:vAlign w:val="center"/>
          </w:tcPr>
          <w:p w14:paraId="27A64F60">
            <w:pPr>
              <w:pStyle w:val="24"/>
              <w:bidi w:val="0"/>
              <w:ind w:left="0" w:leftChars="0"/>
              <w:rPr>
                <w:color w:val="auto"/>
                <w:sz w:val="21"/>
                <w:szCs w:val="21"/>
              </w:rPr>
            </w:pPr>
          </w:p>
        </w:tc>
        <w:tc>
          <w:tcPr>
            <w:tcW w:w="577" w:type="pct"/>
            <w:vMerge w:val="continue"/>
            <w:noWrap w:val="0"/>
            <w:vAlign w:val="center"/>
          </w:tcPr>
          <w:p w14:paraId="2B69AA28">
            <w:pPr>
              <w:pStyle w:val="24"/>
              <w:bidi w:val="0"/>
              <w:ind w:left="0" w:leftChars="0"/>
              <w:rPr>
                <w:color w:val="auto"/>
                <w:sz w:val="21"/>
                <w:szCs w:val="21"/>
              </w:rPr>
            </w:pPr>
          </w:p>
        </w:tc>
        <w:tc>
          <w:tcPr>
            <w:tcW w:w="643" w:type="pct"/>
            <w:vMerge w:val="continue"/>
            <w:noWrap w:val="0"/>
            <w:vAlign w:val="center"/>
          </w:tcPr>
          <w:p w14:paraId="3830FCD6">
            <w:pPr>
              <w:pStyle w:val="24"/>
              <w:bidi w:val="0"/>
              <w:ind w:left="0" w:leftChars="0"/>
              <w:rPr>
                <w:color w:val="auto"/>
                <w:sz w:val="21"/>
                <w:szCs w:val="21"/>
              </w:rPr>
            </w:pPr>
          </w:p>
        </w:tc>
        <w:tc>
          <w:tcPr>
            <w:tcW w:w="1351" w:type="pct"/>
            <w:vMerge w:val="restart"/>
            <w:noWrap w:val="0"/>
            <w:vAlign w:val="center"/>
          </w:tcPr>
          <w:p w14:paraId="6C6B1402">
            <w:pPr>
              <w:pStyle w:val="24"/>
              <w:bidi w:val="0"/>
              <w:ind w:left="0" w:leftChars="0"/>
              <w:jc w:val="center"/>
              <w:rPr>
                <w:color w:val="auto"/>
                <w:sz w:val="21"/>
                <w:szCs w:val="21"/>
              </w:rPr>
            </w:pPr>
            <w:r>
              <w:rPr>
                <w:rFonts w:hint="eastAsia" w:ascii="Times New Roman" w:hAnsi="Times New Roman" w:eastAsia="宋体" w:cs="Courier New"/>
                <w:b w:val="0"/>
                <w:bCs w:val="0"/>
                <w:color w:val="auto"/>
                <w:sz w:val="21"/>
                <w:szCs w:val="21"/>
                <w:highlight w:val="none"/>
                <w:lang w:val="en-US" w:eastAsia="zh-CN"/>
              </w:rPr>
              <w:t>《挥发性有机物无组织排放控制标准》（GB 37822-2019）中无组织排放限值特别限值</w:t>
            </w:r>
          </w:p>
        </w:tc>
        <w:tc>
          <w:tcPr>
            <w:tcW w:w="629" w:type="pct"/>
            <w:noWrap w:val="0"/>
            <w:vAlign w:val="center"/>
          </w:tcPr>
          <w:p w14:paraId="3D1E9D3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6（1h平均浓度值）</w:t>
            </w:r>
          </w:p>
        </w:tc>
        <w:tc>
          <w:tcPr>
            <w:tcW w:w="579" w:type="pct"/>
            <w:vMerge w:val="continue"/>
            <w:noWrap w:val="0"/>
            <w:vAlign w:val="center"/>
          </w:tcPr>
          <w:p w14:paraId="1A8E977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r>
      <w:tr w14:paraId="1281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89" w:type="pct"/>
            <w:vMerge w:val="continue"/>
            <w:noWrap w:val="0"/>
            <w:vAlign w:val="center"/>
          </w:tcPr>
          <w:p w14:paraId="28ABD22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5175266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376829E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577" w:type="pct"/>
            <w:vMerge w:val="continue"/>
            <w:noWrap w:val="0"/>
            <w:vAlign w:val="center"/>
          </w:tcPr>
          <w:p w14:paraId="55844D2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643" w:type="pct"/>
            <w:vMerge w:val="continue"/>
            <w:noWrap w:val="0"/>
            <w:vAlign w:val="center"/>
          </w:tcPr>
          <w:p w14:paraId="08451DA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5524486B">
            <w:pPr>
              <w:pStyle w:val="24"/>
              <w:bidi w:val="0"/>
              <w:ind w:left="0" w:leftChars="0"/>
              <w:jc w:val="both"/>
              <w:rPr>
                <w:rFonts w:hint="eastAsia"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72DF1F6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20（任意一次浓度值）</w:t>
            </w:r>
          </w:p>
        </w:tc>
        <w:tc>
          <w:tcPr>
            <w:tcW w:w="579" w:type="pct"/>
            <w:vMerge w:val="continue"/>
            <w:noWrap w:val="0"/>
            <w:vAlign w:val="center"/>
          </w:tcPr>
          <w:p w14:paraId="380E9BB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r>
      <w:tr w14:paraId="11FC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89" w:type="pct"/>
            <w:vMerge w:val="continue"/>
            <w:noWrap w:val="0"/>
            <w:vAlign w:val="center"/>
          </w:tcPr>
          <w:p w14:paraId="10ED3D0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2FFD425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50122DF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577" w:type="pct"/>
            <w:noWrap w:val="0"/>
            <w:vAlign w:val="center"/>
          </w:tcPr>
          <w:p w14:paraId="04104B4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43" w:type="pct"/>
            <w:vMerge w:val="continue"/>
            <w:noWrap w:val="0"/>
            <w:vAlign w:val="center"/>
          </w:tcPr>
          <w:p w14:paraId="43577F4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351" w:type="pct"/>
            <w:vMerge w:val="restart"/>
            <w:noWrap w:val="0"/>
            <w:vAlign w:val="center"/>
          </w:tcPr>
          <w:p w14:paraId="0CB51F26">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《恶臭污染物排放标准》（GB14554-93）表1中排放限值</w:t>
            </w:r>
          </w:p>
        </w:tc>
        <w:tc>
          <w:tcPr>
            <w:tcW w:w="629" w:type="pct"/>
            <w:noWrap w:val="0"/>
            <w:vAlign w:val="center"/>
          </w:tcPr>
          <w:p w14:paraId="4235790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1.5</w:t>
            </w:r>
          </w:p>
        </w:tc>
        <w:tc>
          <w:tcPr>
            <w:tcW w:w="579" w:type="pct"/>
            <w:noWrap w:val="0"/>
            <w:vAlign w:val="center"/>
          </w:tcPr>
          <w:p w14:paraId="665A945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r>
      <w:tr w14:paraId="3318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289" w:type="pct"/>
            <w:vMerge w:val="continue"/>
            <w:noWrap w:val="0"/>
            <w:vAlign w:val="center"/>
          </w:tcPr>
          <w:p w14:paraId="0221928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096A90D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762338F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577" w:type="pct"/>
            <w:noWrap w:val="0"/>
            <w:vAlign w:val="center"/>
          </w:tcPr>
          <w:p w14:paraId="084702A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臭气浓度</w:t>
            </w:r>
          </w:p>
        </w:tc>
        <w:tc>
          <w:tcPr>
            <w:tcW w:w="643" w:type="pct"/>
            <w:vMerge w:val="continue"/>
            <w:noWrap w:val="0"/>
            <w:vAlign w:val="center"/>
          </w:tcPr>
          <w:p w14:paraId="21051AE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1223DEB1">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31DECE8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20（无量纲）</w:t>
            </w:r>
          </w:p>
        </w:tc>
        <w:tc>
          <w:tcPr>
            <w:tcW w:w="579" w:type="pct"/>
            <w:noWrap w:val="0"/>
            <w:vAlign w:val="center"/>
          </w:tcPr>
          <w:p w14:paraId="135CD0C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r>
      <w:tr w14:paraId="2BAC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restart"/>
            <w:noWrap w:val="0"/>
            <w:vAlign w:val="center"/>
          </w:tcPr>
          <w:p w14:paraId="4408C0D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w:t>
            </w:r>
          </w:p>
        </w:tc>
        <w:tc>
          <w:tcPr>
            <w:tcW w:w="470" w:type="pct"/>
            <w:vMerge w:val="restart"/>
            <w:noWrap w:val="0"/>
            <w:vAlign w:val="center"/>
          </w:tcPr>
          <w:p w14:paraId="3E4B9D2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MF002</w:t>
            </w:r>
          </w:p>
        </w:tc>
        <w:tc>
          <w:tcPr>
            <w:tcW w:w="458" w:type="pct"/>
            <w:vMerge w:val="restart"/>
            <w:noWrap w:val="0"/>
            <w:vAlign w:val="center"/>
          </w:tcPr>
          <w:p w14:paraId="4D34F3A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1</w:t>
            </w:r>
            <w:r>
              <w:rPr>
                <w:rFonts w:hint="eastAsia" w:ascii="Times New Roman" w:hAnsi="Times New Roman" w:eastAsia="宋体" w:cs="Courier New"/>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罐区</w:t>
            </w:r>
          </w:p>
        </w:tc>
        <w:tc>
          <w:tcPr>
            <w:tcW w:w="577" w:type="pct"/>
            <w:shd w:val="clear" w:color="auto" w:fill="auto"/>
            <w:noWrap w:val="0"/>
            <w:vAlign w:val="center"/>
          </w:tcPr>
          <w:p w14:paraId="4E4C2CAA">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硫酸雾</w:t>
            </w:r>
          </w:p>
        </w:tc>
        <w:tc>
          <w:tcPr>
            <w:tcW w:w="643" w:type="pct"/>
            <w:vMerge w:val="continue"/>
            <w:noWrap w:val="0"/>
            <w:vAlign w:val="center"/>
          </w:tcPr>
          <w:p w14:paraId="6ED77509">
            <w:pPr>
              <w:pStyle w:val="24"/>
              <w:bidi w:val="0"/>
              <w:rPr>
                <w:rFonts w:hint="default" w:ascii="Times New Roman" w:hAnsi="Times New Roman" w:eastAsia="宋体" w:cs="Courier New"/>
                <w:b w:val="0"/>
                <w:bCs w:val="0"/>
                <w:color w:val="auto"/>
                <w:sz w:val="21"/>
                <w:szCs w:val="21"/>
                <w:highlight w:val="none"/>
                <w:lang w:val="en-US" w:eastAsia="zh-CN"/>
              </w:rPr>
            </w:pPr>
          </w:p>
        </w:tc>
        <w:tc>
          <w:tcPr>
            <w:tcW w:w="1351" w:type="pct"/>
            <w:vMerge w:val="restart"/>
            <w:noWrap w:val="0"/>
            <w:vAlign w:val="center"/>
          </w:tcPr>
          <w:p w14:paraId="14CAB03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《无机化学工业污染物排放标准》（GB 31573-2015）表5中排放限值</w:t>
            </w:r>
          </w:p>
        </w:tc>
        <w:tc>
          <w:tcPr>
            <w:tcW w:w="629" w:type="pct"/>
            <w:noWrap w:val="0"/>
            <w:vAlign w:val="center"/>
          </w:tcPr>
          <w:p w14:paraId="31E4F4A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0.3</w:t>
            </w:r>
          </w:p>
        </w:tc>
        <w:tc>
          <w:tcPr>
            <w:tcW w:w="579" w:type="pct"/>
            <w:noWrap w:val="0"/>
            <w:vAlign w:val="center"/>
          </w:tcPr>
          <w:p w14:paraId="1B247BB3">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0.0031 </w:t>
            </w:r>
          </w:p>
        </w:tc>
      </w:tr>
      <w:tr w14:paraId="3FC8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0130EB5C">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060F90BF">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1E601A08">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shd w:val="clear" w:color="auto" w:fill="auto"/>
            <w:noWrap w:val="0"/>
            <w:vAlign w:val="center"/>
          </w:tcPr>
          <w:p w14:paraId="58BEA31E">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643" w:type="pct"/>
            <w:vMerge w:val="continue"/>
            <w:noWrap w:val="0"/>
            <w:vAlign w:val="center"/>
          </w:tcPr>
          <w:p w14:paraId="6557F15F">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094388C3">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236E20A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0.02</w:t>
            </w:r>
          </w:p>
        </w:tc>
        <w:tc>
          <w:tcPr>
            <w:tcW w:w="579" w:type="pct"/>
            <w:noWrap w:val="0"/>
            <w:vAlign w:val="center"/>
          </w:tcPr>
          <w:p w14:paraId="5BD272B2">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 xml:space="preserve">0.0054 </w:t>
            </w:r>
          </w:p>
        </w:tc>
      </w:tr>
      <w:tr w14:paraId="4B81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9" w:type="pct"/>
            <w:vMerge w:val="restart"/>
            <w:noWrap w:val="0"/>
            <w:vAlign w:val="center"/>
          </w:tcPr>
          <w:p w14:paraId="236F0D0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w:t>
            </w:r>
          </w:p>
        </w:tc>
        <w:tc>
          <w:tcPr>
            <w:tcW w:w="470" w:type="pct"/>
            <w:vMerge w:val="restart"/>
            <w:noWrap w:val="0"/>
            <w:vAlign w:val="center"/>
          </w:tcPr>
          <w:p w14:paraId="25E702E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MF003</w:t>
            </w:r>
          </w:p>
        </w:tc>
        <w:tc>
          <w:tcPr>
            <w:tcW w:w="458" w:type="pct"/>
            <w:vMerge w:val="restart"/>
            <w:noWrap w:val="0"/>
            <w:vAlign w:val="center"/>
          </w:tcPr>
          <w:p w14:paraId="20F7D1D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2#罐区</w:t>
            </w:r>
          </w:p>
        </w:tc>
        <w:tc>
          <w:tcPr>
            <w:tcW w:w="577" w:type="pct"/>
            <w:vMerge w:val="restart"/>
            <w:noWrap w:val="0"/>
            <w:vAlign w:val="center"/>
          </w:tcPr>
          <w:p w14:paraId="0E0071F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VOCs</w:t>
            </w:r>
          </w:p>
        </w:tc>
        <w:tc>
          <w:tcPr>
            <w:tcW w:w="643" w:type="pct"/>
            <w:vMerge w:val="continue"/>
            <w:noWrap w:val="0"/>
            <w:vAlign w:val="center"/>
          </w:tcPr>
          <w:p w14:paraId="587432E0">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noWrap w:val="0"/>
            <w:vAlign w:val="center"/>
          </w:tcPr>
          <w:p w14:paraId="30A4B025">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《四川省固定污染源大气挥发性有机物排放标准》（DB51/2377-2017）表5中无组织排放浓度限值</w:t>
            </w:r>
          </w:p>
        </w:tc>
        <w:tc>
          <w:tcPr>
            <w:tcW w:w="629" w:type="pct"/>
            <w:noWrap w:val="0"/>
            <w:vAlign w:val="center"/>
          </w:tcPr>
          <w:p w14:paraId="54045A9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w:t>
            </w:r>
          </w:p>
        </w:tc>
        <w:tc>
          <w:tcPr>
            <w:tcW w:w="579" w:type="pct"/>
            <w:vMerge w:val="restart"/>
            <w:noWrap w:val="0"/>
            <w:vAlign w:val="center"/>
          </w:tcPr>
          <w:p w14:paraId="7BA342BC">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0.00</w:t>
            </w:r>
            <w:r>
              <w:rPr>
                <w:rFonts w:hint="eastAsia" w:cs="Courier New"/>
                <w:b w:val="0"/>
                <w:bCs w:val="0"/>
                <w:color w:val="auto"/>
                <w:sz w:val="21"/>
                <w:szCs w:val="21"/>
                <w:highlight w:val="none"/>
                <w:lang w:val="en-US" w:eastAsia="zh-CN"/>
              </w:rPr>
              <w:t>40</w:t>
            </w:r>
          </w:p>
        </w:tc>
      </w:tr>
      <w:tr w14:paraId="5C7A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1E63D1E3">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1DFB17B5">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1B8E7EFA">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vMerge w:val="continue"/>
            <w:noWrap w:val="0"/>
            <w:vAlign w:val="center"/>
          </w:tcPr>
          <w:p w14:paraId="5FFEEB2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643" w:type="pct"/>
            <w:vMerge w:val="continue"/>
            <w:noWrap w:val="0"/>
            <w:vAlign w:val="center"/>
          </w:tcPr>
          <w:p w14:paraId="13E6448E">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restart"/>
            <w:noWrap w:val="0"/>
            <w:vAlign w:val="center"/>
          </w:tcPr>
          <w:p w14:paraId="007E3124">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《挥发性有机物无组织排放控制标准》（GB 37822-2019）中无组织排放限值特别限值</w:t>
            </w:r>
          </w:p>
        </w:tc>
        <w:tc>
          <w:tcPr>
            <w:tcW w:w="629" w:type="pct"/>
            <w:noWrap w:val="0"/>
            <w:vAlign w:val="center"/>
          </w:tcPr>
          <w:p w14:paraId="59CB8F5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6（1h平均浓度值）</w:t>
            </w:r>
          </w:p>
        </w:tc>
        <w:tc>
          <w:tcPr>
            <w:tcW w:w="579" w:type="pct"/>
            <w:vMerge w:val="continue"/>
            <w:noWrap w:val="0"/>
            <w:vAlign w:val="center"/>
          </w:tcPr>
          <w:p w14:paraId="24DFF670">
            <w:pPr>
              <w:pStyle w:val="24"/>
              <w:bidi w:val="0"/>
              <w:rPr>
                <w:rFonts w:hint="eastAsia" w:ascii="Times New Roman" w:hAnsi="Times New Roman" w:eastAsia="宋体" w:cs="Courier New"/>
                <w:b w:val="0"/>
                <w:bCs w:val="0"/>
                <w:color w:val="auto"/>
                <w:sz w:val="21"/>
                <w:szCs w:val="21"/>
                <w:highlight w:val="none"/>
                <w:lang w:val="en-US" w:eastAsia="zh-CN"/>
              </w:rPr>
            </w:pPr>
          </w:p>
        </w:tc>
      </w:tr>
      <w:tr w14:paraId="5131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6D358BA3">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6947B3B0">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17605C63">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vMerge w:val="continue"/>
            <w:noWrap w:val="0"/>
            <w:vAlign w:val="center"/>
          </w:tcPr>
          <w:p w14:paraId="6C5FD71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643" w:type="pct"/>
            <w:vMerge w:val="continue"/>
            <w:noWrap w:val="0"/>
            <w:vAlign w:val="center"/>
          </w:tcPr>
          <w:p w14:paraId="6B6FAF72">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31D081F2">
            <w:pPr>
              <w:pStyle w:val="24"/>
              <w:bidi w:val="0"/>
              <w:ind w:left="0" w:leftChars="0"/>
              <w:jc w:val="both"/>
              <w:rPr>
                <w:rFonts w:hint="eastAsia"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1AF8A8A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20（任意一次浓度值）</w:t>
            </w:r>
          </w:p>
        </w:tc>
        <w:tc>
          <w:tcPr>
            <w:tcW w:w="579" w:type="pct"/>
            <w:vMerge w:val="continue"/>
            <w:noWrap w:val="0"/>
            <w:vAlign w:val="center"/>
          </w:tcPr>
          <w:p w14:paraId="51EEE7BD">
            <w:pPr>
              <w:pStyle w:val="24"/>
              <w:bidi w:val="0"/>
              <w:rPr>
                <w:rFonts w:hint="eastAsia" w:ascii="Times New Roman" w:hAnsi="Times New Roman" w:eastAsia="宋体" w:cs="Courier New"/>
                <w:b w:val="0"/>
                <w:bCs w:val="0"/>
                <w:color w:val="auto"/>
                <w:sz w:val="21"/>
                <w:szCs w:val="21"/>
                <w:highlight w:val="none"/>
                <w:lang w:val="en-US" w:eastAsia="zh-CN"/>
              </w:rPr>
            </w:pPr>
          </w:p>
        </w:tc>
      </w:tr>
      <w:tr w14:paraId="7FBC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shd w:val="clear" w:color="auto" w:fill="auto"/>
            <w:noWrap w:val="0"/>
            <w:vAlign w:val="center"/>
          </w:tcPr>
          <w:p w14:paraId="348BEDC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4</w:t>
            </w:r>
          </w:p>
        </w:tc>
        <w:tc>
          <w:tcPr>
            <w:tcW w:w="470" w:type="pct"/>
            <w:shd w:val="clear" w:color="auto" w:fill="auto"/>
            <w:noWrap w:val="0"/>
            <w:vAlign w:val="center"/>
          </w:tcPr>
          <w:p w14:paraId="44D55CC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MF004</w:t>
            </w:r>
          </w:p>
        </w:tc>
        <w:tc>
          <w:tcPr>
            <w:tcW w:w="458" w:type="pct"/>
            <w:noWrap w:val="0"/>
            <w:vAlign w:val="center"/>
          </w:tcPr>
          <w:p w14:paraId="55419488">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3#罐区</w:t>
            </w:r>
          </w:p>
        </w:tc>
        <w:tc>
          <w:tcPr>
            <w:tcW w:w="577" w:type="pct"/>
            <w:noWrap w:val="0"/>
            <w:vAlign w:val="center"/>
          </w:tcPr>
          <w:p w14:paraId="65FB642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臭气浓度</w:t>
            </w:r>
          </w:p>
        </w:tc>
        <w:tc>
          <w:tcPr>
            <w:tcW w:w="643" w:type="pct"/>
            <w:vMerge w:val="continue"/>
            <w:noWrap w:val="0"/>
            <w:vAlign w:val="center"/>
          </w:tcPr>
          <w:p w14:paraId="2DAEE16C">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noWrap w:val="0"/>
            <w:vAlign w:val="center"/>
          </w:tcPr>
          <w:p w14:paraId="58A276BD">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《恶臭污染物排放标准》（GB14554-93）表1中排放限值</w:t>
            </w:r>
          </w:p>
        </w:tc>
        <w:tc>
          <w:tcPr>
            <w:tcW w:w="629" w:type="pct"/>
            <w:noWrap w:val="0"/>
            <w:vAlign w:val="center"/>
          </w:tcPr>
          <w:p w14:paraId="61D6F70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20（无量纲）</w:t>
            </w:r>
          </w:p>
        </w:tc>
        <w:tc>
          <w:tcPr>
            <w:tcW w:w="579" w:type="pct"/>
            <w:noWrap w:val="0"/>
            <w:vAlign w:val="center"/>
          </w:tcPr>
          <w:p w14:paraId="75FC47A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r>
      <w:tr w14:paraId="40184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restart"/>
            <w:noWrap w:val="0"/>
            <w:vAlign w:val="center"/>
          </w:tcPr>
          <w:p w14:paraId="7C3D3ED7">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5</w:t>
            </w:r>
          </w:p>
        </w:tc>
        <w:tc>
          <w:tcPr>
            <w:tcW w:w="470" w:type="pct"/>
            <w:vMerge w:val="restart"/>
            <w:noWrap w:val="0"/>
            <w:vAlign w:val="center"/>
          </w:tcPr>
          <w:p w14:paraId="1409A36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MF005</w:t>
            </w:r>
          </w:p>
        </w:tc>
        <w:tc>
          <w:tcPr>
            <w:tcW w:w="458" w:type="pct"/>
            <w:vMerge w:val="restart"/>
            <w:noWrap w:val="0"/>
            <w:vAlign w:val="center"/>
          </w:tcPr>
          <w:p w14:paraId="6C26A48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质检室</w:t>
            </w:r>
          </w:p>
        </w:tc>
        <w:tc>
          <w:tcPr>
            <w:tcW w:w="577" w:type="pct"/>
            <w:shd w:val="clear" w:color="auto" w:fill="auto"/>
            <w:noWrap w:val="0"/>
            <w:vAlign w:val="center"/>
          </w:tcPr>
          <w:p w14:paraId="48C7ADCF">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氯化氢</w:t>
            </w:r>
          </w:p>
        </w:tc>
        <w:tc>
          <w:tcPr>
            <w:tcW w:w="643" w:type="pct"/>
            <w:vMerge w:val="continue"/>
            <w:noWrap w:val="0"/>
            <w:vAlign w:val="center"/>
          </w:tcPr>
          <w:p w14:paraId="4C472A42">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restart"/>
            <w:noWrap w:val="0"/>
            <w:vAlign w:val="center"/>
          </w:tcPr>
          <w:p w14:paraId="4EDB29F1">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《大气污染物综合排放标准》（GB16297-1996）表2中二级标准</w:t>
            </w:r>
          </w:p>
        </w:tc>
        <w:tc>
          <w:tcPr>
            <w:tcW w:w="629" w:type="pct"/>
            <w:noWrap w:val="0"/>
            <w:vAlign w:val="center"/>
          </w:tcPr>
          <w:p w14:paraId="7CD72E8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0.2</w:t>
            </w:r>
          </w:p>
        </w:tc>
        <w:tc>
          <w:tcPr>
            <w:tcW w:w="579" w:type="pct"/>
            <w:noWrap w:val="0"/>
            <w:vAlign w:val="bottom"/>
          </w:tcPr>
          <w:p w14:paraId="3FDE7753">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1.14E-06</w:t>
            </w:r>
          </w:p>
        </w:tc>
      </w:tr>
      <w:tr w14:paraId="5E68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17A6DE3E">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74DF8136">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0610B8B2">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shd w:val="clear" w:color="auto" w:fill="auto"/>
            <w:noWrap w:val="0"/>
            <w:vAlign w:val="center"/>
          </w:tcPr>
          <w:p w14:paraId="0B2F9342">
            <w:pPr>
              <w:pStyle w:val="24"/>
              <w:bidi w:val="0"/>
              <w:ind w:left="0" w:leftChars="0"/>
              <w:jc w:val="center"/>
              <w:rPr>
                <w:rFonts w:hint="eastAsia" w:ascii="Times New Roman" w:hAnsi="Times New Roman" w:eastAsia="宋体" w:cs="Courier New"/>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643" w:type="pct"/>
            <w:vMerge w:val="continue"/>
            <w:noWrap w:val="0"/>
            <w:vAlign w:val="center"/>
          </w:tcPr>
          <w:p w14:paraId="6042ED74">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194F6183">
            <w:pPr>
              <w:pStyle w:val="24"/>
              <w:bidi w:val="0"/>
              <w:jc w:val="both"/>
              <w:rPr>
                <w:rFonts w:hint="eastAsia"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646DD54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579" w:type="pct"/>
            <w:noWrap w:val="0"/>
            <w:vAlign w:val="bottom"/>
          </w:tcPr>
          <w:p w14:paraId="0E386948">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1.92E-07</w:t>
            </w:r>
          </w:p>
        </w:tc>
      </w:tr>
      <w:tr w14:paraId="3121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9" w:type="pct"/>
            <w:vMerge w:val="continue"/>
            <w:noWrap w:val="0"/>
            <w:vAlign w:val="center"/>
          </w:tcPr>
          <w:p w14:paraId="56E69909">
            <w:pPr>
              <w:pStyle w:val="24"/>
              <w:bidi w:val="0"/>
              <w:rPr>
                <w:rFonts w:hint="eastAsia" w:ascii="Times New Roman" w:hAnsi="Times New Roman" w:eastAsia="宋体" w:cs="Courier New"/>
                <w:b w:val="0"/>
                <w:bCs w:val="0"/>
                <w:color w:val="auto"/>
                <w:sz w:val="21"/>
                <w:szCs w:val="21"/>
                <w:highlight w:val="none"/>
                <w:lang w:val="en-US" w:eastAsia="zh-CN"/>
              </w:rPr>
            </w:pPr>
          </w:p>
        </w:tc>
        <w:tc>
          <w:tcPr>
            <w:tcW w:w="470" w:type="pct"/>
            <w:vMerge w:val="continue"/>
            <w:noWrap w:val="0"/>
            <w:vAlign w:val="center"/>
          </w:tcPr>
          <w:p w14:paraId="023A0115">
            <w:pPr>
              <w:pStyle w:val="24"/>
              <w:bidi w:val="0"/>
              <w:rPr>
                <w:rFonts w:hint="eastAsia" w:ascii="Times New Roman" w:hAnsi="Times New Roman" w:eastAsia="宋体" w:cs="Courier New"/>
                <w:b w:val="0"/>
                <w:bCs w:val="0"/>
                <w:color w:val="auto"/>
                <w:sz w:val="21"/>
                <w:szCs w:val="21"/>
                <w:highlight w:val="none"/>
                <w:lang w:val="en-US" w:eastAsia="zh-CN"/>
              </w:rPr>
            </w:pPr>
          </w:p>
        </w:tc>
        <w:tc>
          <w:tcPr>
            <w:tcW w:w="458" w:type="pct"/>
            <w:vMerge w:val="continue"/>
            <w:noWrap w:val="0"/>
            <w:vAlign w:val="center"/>
          </w:tcPr>
          <w:p w14:paraId="272281C8">
            <w:pPr>
              <w:pStyle w:val="24"/>
              <w:bidi w:val="0"/>
              <w:rPr>
                <w:rFonts w:hint="eastAsia" w:ascii="Times New Roman" w:hAnsi="Times New Roman" w:eastAsia="宋体" w:cs="Courier New"/>
                <w:b w:val="0"/>
                <w:bCs w:val="0"/>
                <w:color w:val="auto"/>
                <w:sz w:val="21"/>
                <w:szCs w:val="21"/>
                <w:highlight w:val="none"/>
                <w:lang w:val="en-US" w:eastAsia="zh-CN"/>
              </w:rPr>
            </w:pPr>
          </w:p>
        </w:tc>
        <w:tc>
          <w:tcPr>
            <w:tcW w:w="577" w:type="pct"/>
            <w:shd w:val="clear" w:color="auto" w:fill="auto"/>
            <w:noWrap w:val="0"/>
            <w:vAlign w:val="center"/>
          </w:tcPr>
          <w:p w14:paraId="1F196CE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643" w:type="pct"/>
            <w:vMerge w:val="continue"/>
            <w:noWrap w:val="0"/>
            <w:vAlign w:val="center"/>
          </w:tcPr>
          <w:p w14:paraId="1CFBBBC1">
            <w:pPr>
              <w:pStyle w:val="24"/>
              <w:bidi w:val="0"/>
              <w:rPr>
                <w:rFonts w:hint="eastAsia" w:ascii="Times New Roman" w:hAnsi="Times New Roman" w:eastAsia="宋体" w:cs="Courier New"/>
                <w:b w:val="0"/>
                <w:bCs w:val="0"/>
                <w:color w:val="auto"/>
                <w:sz w:val="21"/>
                <w:szCs w:val="21"/>
                <w:highlight w:val="none"/>
                <w:lang w:val="en-US" w:eastAsia="zh-CN"/>
              </w:rPr>
            </w:pPr>
          </w:p>
        </w:tc>
        <w:tc>
          <w:tcPr>
            <w:tcW w:w="1351" w:type="pct"/>
            <w:vMerge w:val="continue"/>
            <w:noWrap w:val="0"/>
            <w:vAlign w:val="center"/>
          </w:tcPr>
          <w:p w14:paraId="46A35196">
            <w:pPr>
              <w:pStyle w:val="24"/>
              <w:bidi w:val="0"/>
              <w:jc w:val="center"/>
              <w:rPr>
                <w:rFonts w:hint="default" w:ascii="Times New Roman" w:hAnsi="Times New Roman" w:eastAsia="宋体" w:cs="Courier New"/>
                <w:b w:val="0"/>
                <w:bCs w:val="0"/>
                <w:color w:val="auto"/>
                <w:sz w:val="21"/>
                <w:szCs w:val="21"/>
                <w:highlight w:val="none"/>
                <w:lang w:val="en-US" w:eastAsia="zh-CN"/>
              </w:rPr>
            </w:pPr>
          </w:p>
        </w:tc>
        <w:tc>
          <w:tcPr>
            <w:tcW w:w="629" w:type="pct"/>
            <w:noWrap w:val="0"/>
            <w:vAlign w:val="center"/>
          </w:tcPr>
          <w:p w14:paraId="3AB2956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579" w:type="pct"/>
            <w:noWrap w:val="0"/>
            <w:vAlign w:val="bottom"/>
          </w:tcPr>
          <w:p w14:paraId="555E1653">
            <w:pPr>
              <w:pStyle w:val="24"/>
              <w:bidi w:val="0"/>
              <w:ind w:left="0" w:leftChars="0"/>
              <w:jc w:val="center"/>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1.20E-04</w:t>
            </w:r>
          </w:p>
        </w:tc>
      </w:tr>
      <w:tr w14:paraId="3024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000" w:type="pct"/>
            <w:gridSpan w:val="8"/>
            <w:noWrap w:val="0"/>
            <w:vAlign w:val="center"/>
          </w:tcPr>
          <w:p w14:paraId="38C25F1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无组织排放总计</w:t>
            </w:r>
          </w:p>
        </w:tc>
      </w:tr>
      <w:tr w14:paraId="02F1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restart"/>
            <w:noWrap w:val="0"/>
            <w:vAlign w:val="center"/>
          </w:tcPr>
          <w:p w14:paraId="3A27148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无组织排放总计</w:t>
            </w:r>
          </w:p>
        </w:tc>
        <w:tc>
          <w:tcPr>
            <w:tcW w:w="1995" w:type="pct"/>
            <w:gridSpan w:val="2"/>
            <w:shd w:val="clear" w:color="auto" w:fill="auto"/>
            <w:noWrap w:val="0"/>
            <w:vAlign w:val="center"/>
          </w:tcPr>
          <w:p w14:paraId="576D8B7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颗粒物</w:t>
            </w:r>
          </w:p>
        </w:tc>
        <w:tc>
          <w:tcPr>
            <w:tcW w:w="1209" w:type="pct"/>
            <w:gridSpan w:val="2"/>
            <w:shd w:val="clear" w:color="auto" w:fill="auto"/>
            <w:noWrap w:val="0"/>
            <w:vAlign w:val="bottom"/>
          </w:tcPr>
          <w:p w14:paraId="1DF83A3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0.006</w:t>
            </w:r>
          </w:p>
        </w:tc>
      </w:tr>
      <w:tr w14:paraId="7FD6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continue"/>
            <w:noWrap w:val="0"/>
            <w:vAlign w:val="center"/>
          </w:tcPr>
          <w:p w14:paraId="6B7039A3">
            <w:pPr>
              <w:pStyle w:val="24"/>
              <w:bidi w:val="0"/>
              <w:rPr>
                <w:rFonts w:hint="eastAsia" w:ascii="Times New Roman" w:hAnsi="Times New Roman" w:eastAsia="宋体" w:cs="Courier New"/>
                <w:b w:val="0"/>
                <w:bCs w:val="0"/>
                <w:color w:val="auto"/>
                <w:sz w:val="21"/>
                <w:szCs w:val="21"/>
                <w:highlight w:val="none"/>
                <w:lang w:val="en-US" w:eastAsia="zh-CN"/>
              </w:rPr>
            </w:pPr>
          </w:p>
        </w:tc>
        <w:tc>
          <w:tcPr>
            <w:tcW w:w="1995" w:type="pct"/>
            <w:gridSpan w:val="2"/>
            <w:shd w:val="clear" w:color="auto" w:fill="auto"/>
            <w:noWrap w:val="0"/>
            <w:vAlign w:val="center"/>
          </w:tcPr>
          <w:p w14:paraId="3703512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1209" w:type="pct"/>
            <w:gridSpan w:val="2"/>
            <w:shd w:val="clear" w:color="auto" w:fill="auto"/>
            <w:noWrap w:val="0"/>
            <w:vAlign w:val="bottom"/>
          </w:tcPr>
          <w:p w14:paraId="572E49C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0.0050 </w:t>
            </w:r>
          </w:p>
        </w:tc>
      </w:tr>
      <w:tr w14:paraId="60E6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continue"/>
            <w:noWrap w:val="0"/>
            <w:vAlign w:val="center"/>
          </w:tcPr>
          <w:p w14:paraId="2B5BC039">
            <w:pPr>
              <w:pStyle w:val="24"/>
              <w:bidi w:val="0"/>
              <w:rPr>
                <w:rFonts w:hint="eastAsia" w:ascii="Times New Roman" w:hAnsi="Times New Roman" w:eastAsia="宋体" w:cs="Courier New"/>
                <w:b w:val="0"/>
                <w:bCs w:val="0"/>
                <w:color w:val="auto"/>
                <w:sz w:val="21"/>
                <w:szCs w:val="21"/>
                <w:highlight w:val="none"/>
                <w:lang w:val="en-US" w:eastAsia="zh-CN"/>
              </w:rPr>
            </w:pPr>
          </w:p>
        </w:tc>
        <w:tc>
          <w:tcPr>
            <w:tcW w:w="1995" w:type="pct"/>
            <w:gridSpan w:val="2"/>
            <w:shd w:val="clear" w:color="auto" w:fill="auto"/>
            <w:noWrap w:val="0"/>
            <w:vAlign w:val="center"/>
          </w:tcPr>
          <w:p w14:paraId="767344C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209" w:type="pct"/>
            <w:gridSpan w:val="2"/>
            <w:shd w:val="clear" w:color="auto" w:fill="auto"/>
            <w:noWrap w:val="0"/>
            <w:vAlign w:val="bottom"/>
          </w:tcPr>
          <w:p w14:paraId="240BE71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0.0104 </w:t>
            </w:r>
          </w:p>
        </w:tc>
      </w:tr>
      <w:tr w14:paraId="799A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continue"/>
            <w:noWrap w:val="0"/>
            <w:vAlign w:val="center"/>
          </w:tcPr>
          <w:p w14:paraId="431DF433">
            <w:pPr>
              <w:pStyle w:val="24"/>
              <w:bidi w:val="0"/>
              <w:rPr>
                <w:rFonts w:hint="eastAsia" w:ascii="Times New Roman" w:hAnsi="Times New Roman" w:eastAsia="宋体" w:cs="Courier New"/>
                <w:b w:val="0"/>
                <w:bCs w:val="0"/>
                <w:color w:val="auto"/>
                <w:sz w:val="21"/>
                <w:szCs w:val="21"/>
                <w:highlight w:val="none"/>
                <w:lang w:val="en-US" w:eastAsia="zh-CN"/>
              </w:rPr>
            </w:pPr>
          </w:p>
        </w:tc>
        <w:tc>
          <w:tcPr>
            <w:tcW w:w="1995" w:type="pct"/>
            <w:gridSpan w:val="2"/>
            <w:shd w:val="clear" w:color="auto" w:fill="auto"/>
            <w:noWrap w:val="0"/>
            <w:vAlign w:val="center"/>
          </w:tcPr>
          <w:p w14:paraId="24DEE151">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氯化氢</w:t>
            </w:r>
          </w:p>
        </w:tc>
        <w:tc>
          <w:tcPr>
            <w:tcW w:w="1209" w:type="pct"/>
            <w:gridSpan w:val="2"/>
            <w:shd w:val="clear" w:color="auto" w:fill="auto"/>
            <w:noWrap w:val="0"/>
            <w:vAlign w:val="bottom"/>
          </w:tcPr>
          <w:p w14:paraId="0587AA2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1.14E-06</w:t>
            </w:r>
          </w:p>
        </w:tc>
      </w:tr>
      <w:tr w14:paraId="77F5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continue"/>
            <w:noWrap w:val="0"/>
            <w:vAlign w:val="center"/>
          </w:tcPr>
          <w:p w14:paraId="2AFA9B6C">
            <w:pPr>
              <w:pStyle w:val="24"/>
              <w:bidi w:val="0"/>
              <w:rPr>
                <w:rFonts w:hint="eastAsia" w:ascii="Times New Roman" w:hAnsi="Times New Roman" w:eastAsia="宋体" w:cs="Courier New"/>
                <w:b w:val="0"/>
                <w:bCs w:val="0"/>
                <w:color w:val="auto"/>
                <w:sz w:val="21"/>
                <w:szCs w:val="21"/>
                <w:highlight w:val="none"/>
                <w:lang w:val="en-US" w:eastAsia="zh-CN"/>
              </w:rPr>
            </w:pPr>
          </w:p>
        </w:tc>
        <w:tc>
          <w:tcPr>
            <w:tcW w:w="1995" w:type="pct"/>
            <w:gridSpan w:val="2"/>
            <w:shd w:val="clear" w:color="auto" w:fill="auto"/>
            <w:noWrap w:val="0"/>
            <w:vAlign w:val="center"/>
          </w:tcPr>
          <w:p w14:paraId="5912EA8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1209" w:type="pct"/>
            <w:gridSpan w:val="2"/>
            <w:shd w:val="clear" w:color="auto" w:fill="auto"/>
            <w:noWrap w:val="0"/>
            <w:vAlign w:val="bottom"/>
          </w:tcPr>
          <w:p w14:paraId="4CF45E7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0.0182</w:t>
            </w:r>
          </w:p>
        </w:tc>
      </w:tr>
      <w:tr w14:paraId="1ACB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continue"/>
            <w:noWrap w:val="0"/>
            <w:vAlign w:val="center"/>
          </w:tcPr>
          <w:p w14:paraId="0C317A45">
            <w:pPr>
              <w:pStyle w:val="24"/>
              <w:bidi w:val="0"/>
              <w:rPr>
                <w:rFonts w:hint="eastAsia" w:ascii="Times New Roman" w:hAnsi="Times New Roman" w:eastAsia="宋体" w:cs="Courier New"/>
                <w:b w:val="0"/>
                <w:bCs w:val="0"/>
                <w:color w:val="auto"/>
                <w:sz w:val="21"/>
                <w:szCs w:val="21"/>
                <w:highlight w:val="none"/>
                <w:lang w:val="en-US" w:eastAsia="zh-CN"/>
              </w:rPr>
            </w:pPr>
          </w:p>
        </w:tc>
        <w:tc>
          <w:tcPr>
            <w:tcW w:w="1995" w:type="pct"/>
            <w:gridSpan w:val="2"/>
            <w:shd w:val="clear" w:color="auto" w:fill="auto"/>
            <w:noWrap w:val="0"/>
            <w:vAlign w:val="center"/>
          </w:tcPr>
          <w:p w14:paraId="46B1A17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1209" w:type="pct"/>
            <w:gridSpan w:val="2"/>
            <w:shd w:val="clear" w:color="auto" w:fill="auto"/>
            <w:noWrap w:val="0"/>
            <w:vAlign w:val="center"/>
          </w:tcPr>
          <w:p w14:paraId="43FBEB69">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7340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95" w:type="pct"/>
            <w:gridSpan w:val="4"/>
            <w:vMerge w:val="continue"/>
            <w:noWrap w:val="0"/>
            <w:vAlign w:val="center"/>
          </w:tcPr>
          <w:p w14:paraId="744292F8">
            <w:pPr>
              <w:pStyle w:val="24"/>
              <w:bidi w:val="0"/>
              <w:rPr>
                <w:rFonts w:hint="eastAsia" w:ascii="Times New Roman" w:hAnsi="Times New Roman" w:eastAsia="宋体" w:cs="Courier New"/>
                <w:b w:val="0"/>
                <w:bCs w:val="0"/>
                <w:color w:val="auto"/>
                <w:sz w:val="21"/>
                <w:szCs w:val="21"/>
                <w:highlight w:val="none"/>
                <w:lang w:val="en-US" w:eastAsia="zh-CN"/>
              </w:rPr>
            </w:pPr>
          </w:p>
        </w:tc>
        <w:tc>
          <w:tcPr>
            <w:tcW w:w="1995" w:type="pct"/>
            <w:gridSpan w:val="2"/>
            <w:shd w:val="clear" w:color="auto" w:fill="auto"/>
            <w:noWrap w:val="0"/>
            <w:vAlign w:val="center"/>
          </w:tcPr>
          <w:p w14:paraId="207A666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1209" w:type="pct"/>
            <w:gridSpan w:val="2"/>
            <w:shd w:val="clear" w:color="auto" w:fill="auto"/>
            <w:noWrap w:val="0"/>
            <w:vAlign w:val="center"/>
          </w:tcPr>
          <w:p w14:paraId="42563DF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bl>
    <w:p w14:paraId="2A3DA035">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3、项目大气污染物年排放量核算</w:t>
      </w:r>
    </w:p>
    <w:p w14:paraId="03140654">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大气污染物年排放量核算表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3703"/>
        <w:gridCol w:w="3703"/>
      </w:tblGrid>
      <w:tr w14:paraId="7F15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3632972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1946" w:type="pct"/>
            <w:noWrap w:val="0"/>
            <w:vAlign w:val="center"/>
          </w:tcPr>
          <w:p w14:paraId="49AC22C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tc>
        <w:tc>
          <w:tcPr>
            <w:tcW w:w="1946" w:type="pct"/>
            <w:noWrap w:val="0"/>
            <w:vAlign w:val="center"/>
          </w:tcPr>
          <w:p w14:paraId="029F19E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年排放量（t/a）</w:t>
            </w:r>
          </w:p>
        </w:tc>
      </w:tr>
      <w:tr w14:paraId="5173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42815B4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1946" w:type="pct"/>
            <w:shd w:val="clear" w:color="auto" w:fill="auto"/>
            <w:noWrap w:val="0"/>
            <w:vAlign w:val="center"/>
          </w:tcPr>
          <w:p w14:paraId="233608B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颗粒物</w:t>
            </w:r>
          </w:p>
        </w:tc>
        <w:tc>
          <w:tcPr>
            <w:tcW w:w="1946" w:type="pct"/>
            <w:shd w:val="clear" w:color="auto" w:fill="auto"/>
            <w:noWrap w:val="0"/>
            <w:vAlign w:val="bottom"/>
          </w:tcPr>
          <w:p w14:paraId="7C617A6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0.0084</w:t>
            </w:r>
          </w:p>
        </w:tc>
      </w:tr>
      <w:tr w14:paraId="0E60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14AFD5C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w:t>
            </w:r>
          </w:p>
        </w:tc>
        <w:tc>
          <w:tcPr>
            <w:tcW w:w="1946" w:type="pct"/>
            <w:shd w:val="clear" w:color="auto" w:fill="auto"/>
            <w:noWrap w:val="0"/>
            <w:vAlign w:val="center"/>
          </w:tcPr>
          <w:p w14:paraId="632A157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1946" w:type="pct"/>
            <w:shd w:val="clear" w:color="auto" w:fill="auto"/>
            <w:noWrap w:val="0"/>
            <w:vAlign w:val="bottom"/>
          </w:tcPr>
          <w:p w14:paraId="714F42A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0.0145 </w:t>
            </w:r>
          </w:p>
        </w:tc>
      </w:tr>
      <w:tr w14:paraId="4F29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0C9F8B0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w:t>
            </w:r>
          </w:p>
        </w:tc>
        <w:tc>
          <w:tcPr>
            <w:tcW w:w="1946" w:type="pct"/>
            <w:shd w:val="clear" w:color="auto" w:fill="auto"/>
            <w:noWrap w:val="0"/>
            <w:vAlign w:val="center"/>
          </w:tcPr>
          <w:p w14:paraId="22AE856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1946" w:type="pct"/>
            <w:shd w:val="clear" w:color="auto" w:fill="auto"/>
            <w:noWrap w:val="0"/>
            <w:vAlign w:val="bottom"/>
          </w:tcPr>
          <w:p w14:paraId="4E863074">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 xml:space="preserve">0.0300 </w:t>
            </w:r>
          </w:p>
        </w:tc>
      </w:tr>
      <w:tr w14:paraId="4A94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38C5178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w:t>
            </w:r>
          </w:p>
        </w:tc>
        <w:tc>
          <w:tcPr>
            <w:tcW w:w="1946" w:type="pct"/>
            <w:shd w:val="clear" w:color="auto" w:fill="auto"/>
            <w:noWrap w:val="0"/>
            <w:vAlign w:val="center"/>
          </w:tcPr>
          <w:p w14:paraId="6B2C86FD">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氯化氢</w:t>
            </w:r>
          </w:p>
        </w:tc>
        <w:tc>
          <w:tcPr>
            <w:tcW w:w="1946" w:type="pct"/>
            <w:shd w:val="clear" w:color="auto" w:fill="auto"/>
            <w:noWrap w:val="0"/>
            <w:vAlign w:val="bottom"/>
          </w:tcPr>
          <w:p w14:paraId="2936BEB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1.60E-06</w:t>
            </w:r>
          </w:p>
        </w:tc>
      </w:tr>
      <w:tr w14:paraId="4D23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399955D9">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w:t>
            </w:r>
          </w:p>
        </w:tc>
        <w:tc>
          <w:tcPr>
            <w:tcW w:w="1946" w:type="pct"/>
            <w:shd w:val="clear" w:color="auto" w:fill="auto"/>
            <w:noWrap w:val="0"/>
            <w:vAlign w:val="center"/>
          </w:tcPr>
          <w:p w14:paraId="530DC66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1946" w:type="pct"/>
            <w:shd w:val="clear" w:color="auto" w:fill="auto"/>
            <w:noWrap w:val="0"/>
            <w:vAlign w:val="bottom"/>
          </w:tcPr>
          <w:p w14:paraId="13839E9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0.0605</w:t>
            </w:r>
          </w:p>
        </w:tc>
      </w:tr>
      <w:tr w14:paraId="4A5B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34626F2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w:t>
            </w:r>
          </w:p>
        </w:tc>
        <w:tc>
          <w:tcPr>
            <w:tcW w:w="1946" w:type="pct"/>
            <w:shd w:val="clear" w:color="auto" w:fill="auto"/>
            <w:noWrap w:val="0"/>
            <w:vAlign w:val="center"/>
          </w:tcPr>
          <w:p w14:paraId="4ECF83F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1946" w:type="pct"/>
            <w:shd w:val="clear" w:color="auto" w:fill="auto"/>
            <w:noWrap w:val="0"/>
            <w:vAlign w:val="center"/>
          </w:tcPr>
          <w:p w14:paraId="09F02084">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r w14:paraId="261D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7" w:type="pct"/>
            <w:noWrap w:val="0"/>
            <w:vAlign w:val="center"/>
          </w:tcPr>
          <w:p w14:paraId="5C75A168">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7</w:t>
            </w:r>
          </w:p>
        </w:tc>
        <w:tc>
          <w:tcPr>
            <w:tcW w:w="1946" w:type="pct"/>
            <w:shd w:val="clear" w:color="auto" w:fill="auto"/>
            <w:noWrap w:val="0"/>
            <w:vAlign w:val="center"/>
          </w:tcPr>
          <w:p w14:paraId="33E1AB10">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1946" w:type="pct"/>
            <w:shd w:val="clear" w:color="auto" w:fill="auto"/>
            <w:noWrap w:val="0"/>
            <w:vAlign w:val="center"/>
          </w:tcPr>
          <w:p w14:paraId="5C027BAC">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w:t>
            </w:r>
          </w:p>
        </w:tc>
      </w:tr>
    </w:tbl>
    <w:p w14:paraId="74E19717">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4、非正常排放量核算</w:t>
      </w:r>
    </w:p>
    <w:p w14:paraId="7E9A5556">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非正常排放源核算表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2078"/>
        <w:gridCol w:w="2216"/>
        <w:gridCol w:w="1725"/>
        <w:gridCol w:w="1187"/>
        <w:gridCol w:w="1185"/>
      </w:tblGrid>
      <w:tr w14:paraId="1A2D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85" w:type="pct"/>
            <w:noWrap w:val="0"/>
            <w:vAlign w:val="center"/>
          </w:tcPr>
          <w:p w14:paraId="39C5597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非正常排放源</w:t>
            </w:r>
          </w:p>
        </w:tc>
        <w:tc>
          <w:tcPr>
            <w:tcW w:w="1093" w:type="pct"/>
            <w:noWrap w:val="0"/>
            <w:vAlign w:val="center"/>
          </w:tcPr>
          <w:p w14:paraId="4F8D908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非正常排放原因</w:t>
            </w:r>
          </w:p>
        </w:tc>
        <w:tc>
          <w:tcPr>
            <w:tcW w:w="1165" w:type="pct"/>
            <w:noWrap w:val="0"/>
            <w:vAlign w:val="center"/>
          </w:tcPr>
          <w:p w14:paraId="51B732E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tc>
        <w:tc>
          <w:tcPr>
            <w:tcW w:w="907" w:type="pct"/>
            <w:noWrap w:val="0"/>
            <w:vAlign w:val="center"/>
          </w:tcPr>
          <w:p w14:paraId="11B2E85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非正常排放速率（kg/h）</w:t>
            </w:r>
          </w:p>
        </w:tc>
        <w:tc>
          <w:tcPr>
            <w:tcW w:w="624" w:type="pct"/>
            <w:noWrap w:val="0"/>
            <w:vAlign w:val="center"/>
          </w:tcPr>
          <w:p w14:paraId="6D4B4CA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单次持续时间（h）</w:t>
            </w:r>
          </w:p>
        </w:tc>
        <w:tc>
          <w:tcPr>
            <w:tcW w:w="623" w:type="pct"/>
            <w:noWrap w:val="0"/>
            <w:vAlign w:val="center"/>
          </w:tcPr>
          <w:p w14:paraId="5D4A506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年发生频次（次）</w:t>
            </w:r>
          </w:p>
        </w:tc>
      </w:tr>
      <w:tr w14:paraId="3103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restart"/>
            <w:noWrap w:val="0"/>
            <w:vAlign w:val="center"/>
          </w:tcPr>
          <w:p w14:paraId="5AED70EC">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DA0</w:t>
            </w:r>
            <w:r>
              <w:rPr>
                <w:rFonts w:hint="eastAsia" w:cs="Courier New"/>
                <w:b w:val="0"/>
                <w:bCs w:val="0"/>
                <w:color w:val="auto"/>
                <w:sz w:val="21"/>
                <w:szCs w:val="21"/>
                <w:highlight w:val="none"/>
                <w:lang w:val="en-US" w:eastAsia="zh-CN"/>
              </w:rPr>
              <w:t>01</w:t>
            </w:r>
          </w:p>
        </w:tc>
        <w:tc>
          <w:tcPr>
            <w:tcW w:w="1093" w:type="pct"/>
            <w:vMerge w:val="restart"/>
            <w:noWrap w:val="0"/>
            <w:vAlign w:val="center"/>
          </w:tcPr>
          <w:p w14:paraId="5ACE92C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废气处理系统故障，未及时更换活性炭</w:t>
            </w:r>
            <w:r>
              <w:rPr>
                <w:rFonts w:hint="eastAsia" w:cs="Courier New"/>
                <w:b w:val="0"/>
                <w:bCs w:val="0"/>
                <w:color w:val="auto"/>
                <w:sz w:val="21"/>
                <w:szCs w:val="21"/>
                <w:highlight w:val="none"/>
                <w:lang w:val="en-US" w:eastAsia="zh-CN"/>
              </w:rPr>
              <w:t>或喷淋介质</w:t>
            </w:r>
            <w:r>
              <w:rPr>
                <w:rFonts w:hint="eastAsia" w:ascii="Times New Roman" w:hAnsi="Times New Roman" w:eastAsia="宋体" w:cs="Courier New"/>
                <w:b w:val="0"/>
                <w:bCs w:val="0"/>
                <w:color w:val="auto"/>
                <w:sz w:val="21"/>
                <w:szCs w:val="21"/>
                <w:highlight w:val="none"/>
                <w:lang w:val="en-US" w:eastAsia="zh-CN"/>
              </w:rPr>
              <w:t>，</w:t>
            </w:r>
            <w:r>
              <w:rPr>
                <w:rFonts w:hint="eastAsia"/>
                <w:color w:val="auto"/>
                <w:sz w:val="21"/>
                <w:szCs w:val="21"/>
                <w:highlight w:val="none"/>
              </w:rPr>
              <w:t>污染物</w:t>
            </w:r>
            <w:r>
              <w:rPr>
                <w:rFonts w:hint="eastAsia"/>
                <w:color w:val="auto"/>
                <w:sz w:val="21"/>
                <w:szCs w:val="21"/>
                <w:highlight w:val="none"/>
                <w:lang w:val="en-US" w:eastAsia="zh-CN"/>
              </w:rPr>
              <w:t>处理</w:t>
            </w:r>
            <w:r>
              <w:rPr>
                <w:rFonts w:hint="eastAsia"/>
                <w:color w:val="auto"/>
                <w:sz w:val="21"/>
                <w:szCs w:val="21"/>
                <w:highlight w:val="none"/>
              </w:rPr>
              <w:t>效率</w:t>
            </w:r>
            <w:r>
              <w:rPr>
                <w:rFonts w:hint="eastAsia"/>
                <w:color w:val="auto"/>
                <w:sz w:val="21"/>
                <w:szCs w:val="21"/>
                <w:highlight w:val="none"/>
                <w:lang w:val="en-US" w:eastAsia="zh-CN"/>
              </w:rPr>
              <w:t>为50%</w:t>
            </w:r>
          </w:p>
        </w:tc>
        <w:tc>
          <w:tcPr>
            <w:tcW w:w="1165" w:type="pct"/>
            <w:noWrap w:val="0"/>
            <w:vAlign w:val="center"/>
          </w:tcPr>
          <w:p w14:paraId="3BA84F0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颗粒物</w:t>
            </w:r>
          </w:p>
        </w:tc>
        <w:tc>
          <w:tcPr>
            <w:tcW w:w="907" w:type="pct"/>
            <w:noWrap w:val="0"/>
            <w:vAlign w:val="bottom"/>
          </w:tcPr>
          <w:p w14:paraId="0E6B34E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w:t>
            </w:r>
          </w:p>
        </w:tc>
        <w:tc>
          <w:tcPr>
            <w:tcW w:w="624" w:type="pct"/>
            <w:vMerge w:val="restart"/>
            <w:noWrap w:val="0"/>
            <w:vAlign w:val="center"/>
          </w:tcPr>
          <w:p w14:paraId="1E37E874">
            <w:pPr>
              <w:pStyle w:val="24"/>
              <w:bidi w:val="0"/>
              <w:ind w:left="0" w:leftChars="0"/>
              <w:rPr>
                <w:rFonts w:hint="default" w:cs="Calibri"/>
                <w:b w:val="0"/>
                <w:bCs w:val="0"/>
                <w:color w:val="auto"/>
                <w:sz w:val="21"/>
                <w:szCs w:val="21"/>
                <w:highlight w:val="none"/>
                <w:lang w:val="en-US"/>
              </w:rPr>
            </w:pPr>
            <w:r>
              <w:rPr>
                <w:rFonts w:hint="eastAsia" w:ascii="Times New Roman" w:hAnsi="Times New Roman" w:eastAsia="宋体" w:cs="Courier New"/>
                <w:b w:val="0"/>
                <w:bCs w:val="0"/>
                <w:color w:val="auto"/>
                <w:sz w:val="21"/>
                <w:szCs w:val="21"/>
                <w:highlight w:val="none"/>
                <w:lang w:val="en-US" w:eastAsia="zh-CN"/>
              </w:rPr>
              <w:t>1</w:t>
            </w:r>
          </w:p>
        </w:tc>
        <w:tc>
          <w:tcPr>
            <w:tcW w:w="623" w:type="pct"/>
            <w:vMerge w:val="restart"/>
            <w:noWrap w:val="0"/>
            <w:vAlign w:val="center"/>
          </w:tcPr>
          <w:p w14:paraId="6EB9FF2B">
            <w:pPr>
              <w:pStyle w:val="24"/>
              <w:bidi w:val="0"/>
              <w:ind w:left="0" w:leftChars="0"/>
              <w:rPr>
                <w:rFonts w:hint="default" w:cs="Calibri"/>
                <w:b w:val="0"/>
                <w:bCs w:val="0"/>
                <w:color w:val="auto"/>
                <w:sz w:val="21"/>
                <w:szCs w:val="21"/>
                <w:highlight w:val="none"/>
                <w:lang w:val="en-US"/>
              </w:rPr>
            </w:pPr>
            <w:r>
              <w:rPr>
                <w:rFonts w:hint="eastAsia" w:ascii="Times New Roman" w:hAnsi="Times New Roman" w:eastAsia="宋体" w:cs="Courier New"/>
                <w:b w:val="0"/>
                <w:bCs w:val="0"/>
                <w:color w:val="auto"/>
                <w:sz w:val="21"/>
                <w:szCs w:val="21"/>
                <w:highlight w:val="none"/>
                <w:lang w:val="en-US" w:eastAsia="zh-CN"/>
              </w:rPr>
              <w:t>1</w:t>
            </w:r>
          </w:p>
        </w:tc>
      </w:tr>
      <w:tr w14:paraId="10AC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0053F9DA">
            <w:pPr>
              <w:pStyle w:val="24"/>
              <w:bidi w:val="0"/>
              <w:rPr>
                <w:rFonts w:hint="default"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0151C94E">
            <w:pPr>
              <w:pStyle w:val="24"/>
              <w:bidi w:val="0"/>
              <w:rPr>
                <w:rFonts w:hint="default"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671D515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907" w:type="pct"/>
            <w:noWrap w:val="0"/>
            <w:vAlign w:val="bottom"/>
          </w:tcPr>
          <w:p w14:paraId="35EB39AA">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0.0199 </w:t>
            </w:r>
          </w:p>
        </w:tc>
        <w:tc>
          <w:tcPr>
            <w:tcW w:w="624" w:type="pct"/>
            <w:vMerge w:val="continue"/>
            <w:noWrap w:val="0"/>
            <w:vAlign w:val="center"/>
          </w:tcPr>
          <w:p w14:paraId="388CA807">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551B092F">
            <w:pPr>
              <w:pStyle w:val="24"/>
              <w:bidi w:val="0"/>
              <w:rPr>
                <w:rFonts w:hint="eastAsia" w:ascii="Times New Roman" w:hAnsi="Times New Roman" w:eastAsia="宋体" w:cs="Courier New"/>
                <w:b w:val="0"/>
                <w:bCs w:val="0"/>
                <w:color w:val="auto"/>
                <w:sz w:val="21"/>
                <w:szCs w:val="21"/>
                <w:highlight w:val="none"/>
                <w:lang w:val="en-US" w:eastAsia="zh-CN"/>
              </w:rPr>
            </w:pPr>
          </w:p>
        </w:tc>
      </w:tr>
      <w:tr w14:paraId="4B47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1407BA56">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71C8FBFE">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36B9DEA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907" w:type="pct"/>
            <w:noWrap w:val="0"/>
            <w:vAlign w:val="bottom"/>
          </w:tcPr>
          <w:p w14:paraId="25BA3CFA">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0.0406 </w:t>
            </w:r>
          </w:p>
        </w:tc>
        <w:tc>
          <w:tcPr>
            <w:tcW w:w="624" w:type="pct"/>
            <w:vMerge w:val="continue"/>
            <w:noWrap w:val="0"/>
            <w:vAlign w:val="center"/>
          </w:tcPr>
          <w:p w14:paraId="7AA72DD7">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61EE2B4E">
            <w:pPr>
              <w:pStyle w:val="24"/>
              <w:bidi w:val="0"/>
              <w:rPr>
                <w:rFonts w:hint="eastAsia" w:ascii="Times New Roman" w:hAnsi="Times New Roman" w:eastAsia="宋体" w:cs="Courier New"/>
                <w:b w:val="0"/>
                <w:bCs w:val="0"/>
                <w:color w:val="auto"/>
                <w:sz w:val="21"/>
                <w:szCs w:val="21"/>
                <w:highlight w:val="none"/>
                <w:lang w:val="en-US" w:eastAsia="zh-CN"/>
              </w:rPr>
            </w:pPr>
          </w:p>
        </w:tc>
      </w:tr>
      <w:tr w14:paraId="0B98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21002519">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076192A1">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567AE91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VOCs</w:t>
            </w:r>
          </w:p>
        </w:tc>
        <w:tc>
          <w:tcPr>
            <w:tcW w:w="907" w:type="pct"/>
            <w:noWrap w:val="0"/>
            <w:vAlign w:val="bottom"/>
          </w:tcPr>
          <w:p w14:paraId="6943324B">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0.0720 </w:t>
            </w:r>
          </w:p>
        </w:tc>
        <w:tc>
          <w:tcPr>
            <w:tcW w:w="624" w:type="pct"/>
            <w:vMerge w:val="continue"/>
            <w:noWrap w:val="0"/>
            <w:vAlign w:val="center"/>
          </w:tcPr>
          <w:p w14:paraId="5486178D">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6C0C220E">
            <w:pPr>
              <w:pStyle w:val="24"/>
              <w:bidi w:val="0"/>
              <w:rPr>
                <w:rFonts w:hint="eastAsia" w:ascii="Times New Roman" w:hAnsi="Times New Roman" w:eastAsia="宋体" w:cs="Courier New"/>
                <w:b w:val="0"/>
                <w:bCs w:val="0"/>
                <w:color w:val="auto"/>
                <w:sz w:val="21"/>
                <w:szCs w:val="21"/>
                <w:highlight w:val="none"/>
                <w:lang w:val="en-US" w:eastAsia="zh-CN"/>
              </w:rPr>
            </w:pPr>
          </w:p>
        </w:tc>
      </w:tr>
      <w:tr w14:paraId="6C07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01A17134">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7525DD59">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599BA9D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NH</w:t>
            </w:r>
            <w:r>
              <w:rPr>
                <w:rFonts w:hint="eastAsia" w:ascii="Times New Roman" w:hAnsi="Times New Roman" w:eastAsia="宋体" w:cs="Courier New"/>
                <w:b w:val="0"/>
                <w:bCs w:val="0"/>
                <w:color w:val="auto"/>
                <w:sz w:val="21"/>
                <w:szCs w:val="21"/>
                <w:highlight w:val="none"/>
                <w:vertAlign w:val="subscript"/>
                <w:lang w:val="en-US" w:eastAsia="zh-CN"/>
              </w:rPr>
              <w:t>3</w:t>
            </w:r>
          </w:p>
        </w:tc>
        <w:tc>
          <w:tcPr>
            <w:tcW w:w="907" w:type="pct"/>
            <w:shd w:val="clear" w:color="auto" w:fill="auto"/>
            <w:noWrap w:val="0"/>
            <w:vAlign w:val="center"/>
          </w:tcPr>
          <w:p w14:paraId="691A003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624" w:type="pct"/>
            <w:vMerge w:val="continue"/>
            <w:noWrap w:val="0"/>
            <w:vAlign w:val="center"/>
          </w:tcPr>
          <w:p w14:paraId="637450CD">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71664831">
            <w:pPr>
              <w:pStyle w:val="24"/>
              <w:bidi w:val="0"/>
              <w:rPr>
                <w:rFonts w:hint="eastAsia" w:ascii="Times New Roman" w:hAnsi="Times New Roman" w:eastAsia="宋体" w:cs="Courier New"/>
                <w:b w:val="0"/>
                <w:bCs w:val="0"/>
                <w:color w:val="auto"/>
                <w:sz w:val="21"/>
                <w:szCs w:val="21"/>
                <w:highlight w:val="none"/>
                <w:lang w:val="en-US" w:eastAsia="zh-CN"/>
              </w:rPr>
            </w:pPr>
          </w:p>
        </w:tc>
      </w:tr>
      <w:tr w14:paraId="32A8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0DB6D8C1">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7C2264D5">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65" w:type="pct"/>
            <w:noWrap w:val="0"/>
            <w:vAlign w:val="center"/>
          </w:tcPr>
          <w:p w14:paraId="60E3ACB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臭气浓度</w:t>
            </w:r>
          </w:p>
        </w:tc>
        <w:tc>
          <w:tcPr>
            <w:tcW w:w="907" w:type="pct"/>
            <w:shd w:val="clear" w:color="auto" w:fill="auto"/>
            <w:noWrap w:val="0"/>
            <w:vAlign w:val="center"/>
          </w:tcPr>
          <w:p w14:paraId="6EE5F0EC">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624" w:type="pct"/>
            <w:vMerge w:val="continue"/>
            <w:noWrap w:val="0"/>
            <w:vAlign w:val="center"/>
          </w:tcPr>
          <w:p w14:paraId="703D9B43">
            <w:pPr>
              <w:pStyle w:val="24"/>
              <w:bidi w:val="0"/>
              <w:rPr>
                <w:rFonts w:hint="eastAsia" w:ascii="Times New Roman" w:hAnsi="Times New Roman" w:eastAsia="宋体" w:cs="Courier New"/>
                <w:b w:val="0"/>
                <w:bCs w:val="0"/>
                <w:color w:val="auto"/>
                <w:sz w:val="21"/>
                <w:szCs w:val="21"/>
                <w:highlight w:val="none"/>
                <w:lang w:val="en-US" w:eastAsia="zh-CN"/>
              </w:rPr>
            </w:pPr>
          </w:p>
        </w:tc>
        <w:tc>
          <w:tcPr>
            <w:tcW w:w="623" w:type="pct"/>
            <w:vMerge w:val="continue"/>
            <w:noWrap w:val="0"/>
            <w:vAlign w:val="center"/>
          </w:tcPr>
          <w:p w14:paraId="0D628DE4">
            <w:pPr>
              <w:pStyle w:val="24"/>
              <w:bidi w:val="0"/>
              <w:rPr>
                <w:rFonts w:hint="eastAsia" w:ascii="Times New Roman" w:hAnsi="Times New Roman" w:eastAsia="宋体" w:cs="Courier New"/>
                <w:b w:val="0"/>
                <w:bCs w:val="0"/>
                <w:color w:val="auto"/>
                <w:sz w:val="21"/>
                <w:szCs w:val="21"/>
                <w:highlight w:val="none"/>
                <w:lang w:val="en-US" w:eastAsia="zh-CN"/>
              </w:rPr>
            </w:pPr>
          </w:p>
        </w:tc>
      </w:tr>
      <w:tr w14:paraId="48AD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restart"/>
            <w:noWrap w:val="0"/>
            <w:vAlign w:val="center"/>
          </w:tcPr>
          <w:p w14:paraId="29902F9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DA00</w:t>
            </w:r>
            <w:r>
              <w:rPr>
                <w:rFonts w:hint="eastAsia" w:cs="Courier New"/>
                <w:b w:val="0"/>
                <w:bCs w:val="0"/>
                <w:color w:val="auto"/>
                <w:sz w:val="21"/>
                <w:szCs w:val="21"/>
                <w:highlight w:val="none"/>
                <w:lang w:val="en-US" w:eastAsia="zh-CN"/>
              </w:rPr>
              <w:t>2</w:t>
            </w:r>
          </w:p>
        </w:tc>
        <w:tc>
          <w:tcPr>
            <w:tcW w:w="1093" w:type="pct"/>
            <w:vMerge w:val="restart"/>
            <w:noWrap w:val="0"/>
            <w:vAlign w:val="center"/>
          </w:tcPr>
          <w:p w14:paraId="1D5CD43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废气处理系统故障，未及时更换</w:t>
            </w:r>
            <w:r>
              <w:rPr>
                <w:rFonts w:hint="eastAsia" w:cs="Courier New"/>
                <w:b w:val="0"/>
                <w:bCs w:val="0"/>
                <w:color w:val="auto"/>
                <w:sz w:val="21"/>
                <w:szCs w:val="21"/>
                <w:highlight w:val="none"/>
                <w:lang w:val="en-US" w:eastAsia="zh-CN"/>
              </w:rPr>
              <w:t>喷淋介质</w:t>
            </w:r>
            <w:r>
              <w:rPr>
                <w:rFonts w:hint="eastAsia" w:ascii="Times New Roman" w:hAnsi="Times New Roman" w:eastAsia="宋体" w:cs="Courier New"/>
                <w:b w:val="0"/>
                <w:bCs w:val="0"/>
                <w:color w:val="auto"/>
                <w:sz w:val="21"/>
                <w:szCs w:val="21"/>
                <w:highlight w:val="none"/>
                <w:lang w:val="en-US" w:eastAsia="zh-CN"/>
              </w:rPr>
              <w:t>，</w:t>
            </w:r>
            <w:r>
              <w:rPr>
                <w:rFonts w:hint="eastAsia"/>
                <w:color w:val="auto"/>
                <w:sz w:val="21"/>
                <w:szCs w:val="21"/>
                <w:highlight w:val="none"/>
              </w:rPr>
              <w:t>污染物</w:t>
            </w:r>
            <w:r>
              <w:rPr>
                <w:rFonts w:hint="eastAsia"/>
                <w:color w:val="auto"/>
                <w:sz w:val="21"/>
                <w:szCs w:val="21"/>
                <w:highlight w:val="none"/>
                <w:lang w:val="en-US" w:eastAsia="zh-CN"/>
              </w:rPr>
              <w:t>处理</w:t>
            </w:r>
            <w:r>
              <w:rPr>
                <w:rFonts w:hint="eastAsia"/>
                <w:color w:val="auto"/>
                <w:sz w:val="21"/>
                <w:szCs w:val="21"/>
                <w:highlight w:val="none"/>
              </w:rPr>
              <w:t>效率</w:t>
            </w:r>
            <w:r>
              <w:rPr>
                <w:rFonts w:hint="eastAsia"/>
                <w:color w:val="auto"/>
                <w:sz w:val="21"/>
                <w:szCs w:val="21"/>
                <w:highlight w:val="none"/>
                <w:lang w:val="en-US" w:eastAsia="zh-CN"/>
              </w:rPr>
              <w:t>为50%</w:t>
            </w:r>
          </w:p>
        </w:tc>
        <w:tc>
          <w:tcPr>
            <w:tcW w:w="2216" w:type="dxa"/>
            <w:noWrap w:val="0"/>
            <w:vAlign w:val="center"/>
          </w:tcPr>
          <w:p w14:paraId="2762538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氯化氢</w:t>
            </w:r>
          </w:p>
        </w:tc>
        <w:tc>
          <w:tcPr>
            <w:tcW w:w="1725" w:type="dxa"/>
            <w:noWrap w:val="0"/>
            <w:vAlign w:val="bottom"/>
          </w:tcPr>
          <w:p w14:paraId="68503E68">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1.90E-06</w:t>
            </w:r>
          </w:p>
        </w:tc>
        <w:tc>
          <w:tcPr>
            <w:tcW w:w="624" w:type="pct"/>
            <w:vMerge w:val="continue"/>
            <w:noWrap w:val="0"/>
            <w:vAlign w:val="center"/>
          </w:tcPr>
          <w:p w14:paraId="00392B22">
            <w:pPr>
              <w:pStyle w:val="24"/>
              <w:bidi w:val="0"/>
              <w:ind w:left="0" w:leftChars="0"/>
              <w:rPr>
                <w:rFonts w:cs="Calibri"/>
                <w:b w:val="0"/>
                <w:bCs w:val="0"/>
                <w:color w:val="auto"/>
                <w:sz w:val="21"/>
                <w:szCs w:val="21"/>
                <w:highlight w:val="none"/>
              </w:rPr>
            </w:pPr>
          </w:p>
        </w:tc>
        <w:tc>
          <w:tcPr>
            <w:tcW w:w="623" w:type="pct"/>
            <w:vMerge w:val="continue"/>
            <w:noWrap w:val="0"/>
            <w:vAlign w:val="center"/>
          </w:tcPr>
          <w:p w14:paraId="4ADC4EE1">
            <w:pPr>
              <w:pStyle w:val="24"/>
              <w:bidi w:val="0"/>
              <w:ind w:left="0" w:leftChars="0"/>
              <w:rPr>
                <w:rFonts w:cs="Calibri"/>
                <w:b w:val="0"/>
                <w:bCs w:val="0"/>
                <w:color w:val="auto"/>
                <w:sz w:val="21"/>
                <w:szCs w:val="21"/>
                <w:highlight w:val="none"/>
              </w:rPr>
            </w:pPr>
          </w:p>
        </w:tc>
      </w:tr>
      <w:tr w14:paraId="1688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85" w:type="pct"/>
            <w:vMerge w:val="continue"/>
            <w:noWrap w:val="0"/>
            <w:vAlign w:val="center"/>
          </w:tcPr>
          <w:p w14:paraId="7983BE3B">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6387B38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216" w:type="dxa"/>
            <w:noWrap w:val="0"/>
            <w:vAlign w:val="center"/>
          </w:tcPr>
          <w:p w14:paraId="2F1CEE6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硫酸雾</w:t>
            </w:r>
          </w:p>
        </w:tc>
        <w:tc>
          <w:tcPr>
            <w:tcW w:w="1725" w:type="dxa"/>
            <w:noWrap w:val="0"/>
            <w:vAlign w:val="bottom"/>
          </w:tcPr>
          <w:p w14:paraId="4F1C71D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3.20E-07</w:t>
            </w:r>
          </w:p>
        </w:tc>
        <w:tc>
          <w:tcPr>
            <w:tcW w:w="624" w:type="pct"/>
            <w:vMerge w:val="continue"/>
            <w:noWrap w:val="0"/>
            <w:vAlign w:val="center"/>
          </w:tcPr>
          <w:p w14:paraId="2B4EDEBD">
            <w:pPr>
              <w:pStyle w:val="24"/>
              <w:bidi w:val="0"/>
              <w:ind w:left="0" w:leftChars="0"/>
              <w:rPr>
                <w:rFonts w:cs="Calibri"/>
                <w:b w:val="0"/>
                <w:bCs w:val="0"/>
                <w:color w:val="auto"/>
                <w:sz w:val="21"/>
                <w:szCs w:val="21"/>
                <w:highlight w:val="none"/>
              </w:rPr>
            </w:pPr>
          </w:p>
        </w:tc>
        <w:tc>
          <w:tcPr>
            <w:tcW w:w="623" w:type="pct"/>
            <w:vMerge w:val="continue"/>
            <w:noWrap w:val="0"/>
            <w:vAlign w:val="center"/>
          </w:tcPr>
          <w:p w14:paraId="6EE618EF">
            <w:pPr>
              <w:pStyle w:val="24"/>
              <w:bidi w:val="0"/>
              <w:ind w:left="0" w:leftChars="0"/>
              <w:rPr>
                <w:rFonts w:cs="Calibri"/>
                <w:b w:val="0"/>
                <w:bCs w:val="0"/>
                <w:color w:val="auto"/>
                <w:sz w:val="21"/>
                <w:szCs w:val="21"/>
                <w:highlight w:val="none"/>
              </w:rPr>
            </w:pPr>
          </w:p>
        </w:tc>
      </w:tr>
      <w:tr w14:paraId="217E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85" w:type="pct"/>
            <w:vMerge w:val="continue"/>
            <w:noWrap w:val="0"/>
            <w:vAlign w:val="center"/>
          </w:tcPr>
          <w:p w14:paraId="009AA83B">
            <w:pPr>
              <w:pStyle w:val="24"/>
              <w:bidi w:val="0"/>
              <w:rPr>
                <w:rFonts w:hint="eastAsia" w:ascii="Times New Roman" w:hAnsi="Times New Roman" w:eastAsia="宋体" w:cs="Courier New"/>
                <w:b w:val="0"/>
                <w:bCs w:val="0"/>
                <w:color w:val="auto"/>
                <w:sz w:val="21"/>
                <w:szCs w:val="21"/>
                <w:highlight w:val="none"/>
                <w:lang w:val="en-US" w:eastAsia="zh-CN"/>
              </w:rPr>
            </w:pPr>
          </w:p>
        </w:tc>
        <w:tc>
          <w:tcPr>
            <w:tcW w:w="1093" w:type="pct"/>
            <w:vMerge w:val="continue"/>
            <w:noWrap w:val="0"/>
            <w:vAlign w:val="center"/>
          </w:tcPr>
          <w:p w14:paraId="7DCF22DE">
            <w:pPr>
              <w:pStyle w:val="24"/>
              <w:bidi w:val="0"/>
              <w:rPr>
                <w:rFonts w:hint="eastAsia" w:ascii="Times New Roman" w:hAnsi="Times New Roman" w:eastAsia="宋体" w:cs="Courier New"/>
                <w:b w:val="0"/>
                <w:bCs w:val="0"/>
                <w:color w:val="auto"/>
                <w:sz w:val="21"/>
                <w:szCs w:val="21"/>
                <w:highlight w:val="none"/>
                <w:lang w:val="en-US" w:eastAsia="zh-CN"/>
              </w:rPr>
            </w:pPr>
          </w:p>
        </w:tc>
        <w:tc>
          <w:tcPr>
            <w:tcW w:w="2216" w:type="dxa"/>
            <w:noWrap w:val="0"/>
            <w:vAlign w:val="center"/>
          </w:tcPr>
          <w:p w14:paraId="5694BF1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1725" w:type="dxa"/>
            <w:noWrap w:val="0"/>
            <w:vAlign w:val="bottom"/>
          </w:tcPr>
          <w:p w14:paraId="1D1D5A8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2.00E-04</w:t>
            </w:r>
          </w:p>
        </w:tc>
        <w:tc>
          <w:tcPr>
            <w:tcW w:w="624" w:type="pct"/>
            <w:vMerge w:val="continue"/>
            <w:noWrap w:val="0"/>
            <w:vAlign w:val="center"/>
          </w:tcPr>
          <w:p w14:paraId="7B02CA74">
            <w:pPr>
              <w:jc w:val="center"/>
              <w:rPr>
                <w:rFonts w:cs="Calibri"/>
                <w:b w:val="0"/>
                <w:bCs w:val="0"/>
                <w:color w:val="auto"/>
                <w:sz w:val="21"/>
                <w:szCs w:val="21"/>
                <w:highlight w:val="none"/>
              </w:rPr>
            </w:pPr>
          </w:p>
        </w:tc>
        <w:tc>
          <w:tcPr>
            <w:tcW w:w="623" w:type="pct"/>
            <w:vMerge w:val="continue"/>
            <w:noWrap w:val="0"/>
            <w:vAlign w:val="center"/>
          </w:tcPr>
          <w:p w14:paraId="5504D53B">
            <w:pPr>
              <w:jc w:val="center"/>
              <w:rPr>
                <w:rFonts w:cs="Calibri"/>
                <w:b w:val="0"/>
                <w:bCs w:val="0"/>
                <w:color w:val="auto"/>
                <w:sz w:val="21"/>
                <w:szCs w:val="21"/>
                <w:highlight w:val="none"/>
              </w:rPr>
            </w:pPr>
          </w:p>
        </w:tc>
      </w:tr>
    </w:tbl>
    <w:p w14:paraId="7FBF15CC">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自行监测计划</w:t>
      </w:r>
    </w:p>
    <w:p w14:paraId="511181EB">
      <w:pPr>
        <w:spacing w:line="360" w:lineRule="auto"/>
        <w:ind w:left="0" w:leftChars="0" w:firstLine="480" w:firstLineChars="200"/>
        <w:rPr>
          <w:bCs/>
          <w:color w:val="auto"/>
          <w:sz w:val="24"/>
          <w:highlight w:val="none"/>
        </w:rPr>
      </w:pPr>
      <w:r>
        <w:rPr>
          <w:rFonts w:hint="eastAsia"/>
          <w:bCs/>
          <w:color w:val="auto"/>
          <w:sz w:val="24"/>
          <w:highlight w:val="none"/>
        </w:rPr>
        <w:t>本次环评根据</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eastAsia="宋体" w:cs="Times New Roman"/>
          <w:color w:val="auto"/>
          <w:sz w:val="24"/>
          <w:lang w:val="en-US" w:eastAsia="zh-CN"/>
        </w:rPr>
        <w:t>和</w:t>
      </w:r>
      <w:r>
        <w:rPr>
          <w:rFonts w:hint="eastAsia" w:ascii="Times New Roman" w:hAnsi="Times New Roman" w:eastAsia="宋体" w:cs="Times New Roman"/>
          <w:color w:val="auto"/>
          <w:sz w:val="24"/>
          <w:lang w:eastAsia="zh-CN"/>
        </w:rPr>
        <w:t xml:space="preserve">《排污单位自行监测技术指南 </w:t>
      </w:r>
      <w:r>
        <w:rPr>
          <w:rFonts w:hint="eastAsia" w:cs="Times New Roman"/>
          <w:color w:val="auto"/>
          <w:sz w:val="24"/>
          <w:lang w:val="en-US" w:eastAsia="zh-CN"/>
        </w:rPr>
        <w:t>总则</w:t>
      </w:r>
      <w:r>
        <w:rPr>
          <w:rFonts w:hint="eastAsia" w:ascii="Times New Roman" w:hAnsi="Times New Roman" w:eastAsia="宋体" w:cs="Times New Roman"/>
          <w:color w:val="auto"/>
          <w:sz w:val="24"/>
          <w:lang w:eastAsia="zh-CN"/>
        </w:rPr>
        <w:t>》（HJ</w:t>
      </w:r>
      <w:r>
        <w:rPr>
          <w:rFonts w:hint="eastAsia" w:cs="Times New Roman"/>
          <w:color w:val="auto"/>
          <w:sz w:val="24"/>
          <w:lang w:val="en-US" w:eastAsia="zh-CN"/>
        </w:rPr>
        <w:t>819-2017</w:t>
      </w:r>
      <w:r>
        <w:rPr>
          <w:rFonts w:hint="eastAsia" w:ascii="Times New Roman" w:hAnsi="Times New Roman" w:eastAsia="宋体" w:cs="Times New Roman"/>
          <w:color w:val="auto"/>
          <w:sz w:val="24"/>
          <w:lang w:eastAsia="zh-CN"/>
        </w:rPr>
        <w:t>）</w:t>
      </w:r>
      <w:r>
        <w:rPr>
          <w:rFonts w:hint="eastAsia"/>
          <w:bCs/>
          <w:color w:val="auto"/>
          <w:sz w:val="24"/>
          <w:highlight w:val="none"/>
        </w:rPr>
        <w:t>提出项目生产运行阶段的污染源监测计划，详见下表。</w:t>
      </w:r>
    </w:p>
    <w:p w14:paraId="0ADB6C9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有组织废气监测计划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2225"/>
        <w:gridCol w:w="1277"/>
        <w:gridCol w:w="4906"/>
      </w:tblGrid>
      <w:tr w14:paraId="7319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noWrap w:val="0"/>
            <w:vAlign w:val="center"/>
          </w:tcPr>
          <w:p w14:paraId="6EA80727">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监测点位</w:t>
            </w:r>
          </w:p>
        </w:tc>
        <w:tc>
          <w:tcPr>
            <w:tcW w:w="1169" w:type="pct"/>
            <w:noWrap w:val="0"/>
            <w:vAlign w:val="center"/>
          </w:tcPr>
          <w:p w14:paraId="1F1EC1BF">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监测指标</w:t>
            </w:r>
          </w:p>
        </w:tc>
        <w:tc>
          <w:tcPr>
            <w:tcW w:w="671" w:type="pct"/>
            <w:noWrap w:val="0"/>
            <w:vAlign w:val="center"/>
          </w:tcPr>
          <w:p w14:paraId="33945115">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监测频次</w:t>
            </w:r>
          </w:p>
        </w:tc>
        <w:tc>
          <w:tcPr>
            <w:tcW w:w="2578" w:type="pct"/>
            <w:noWrap w:val="0"/>
            <w:vAlign w:val="center"/>
          </w:tcPr>
          <w:p w14:paraId="72A9B3C6">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执行排放标准</w:t>
            </w:r>
          </w:p>
        </w:tc>
      </w:tr>
      <w:tr w14:paraId="0C72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restart"/>
            <w:noWrap w:val="0"/>
            <w:vAlign w:val="center"/>
          </w:tcPr>
          <w:p w14:paraId="5C7E34F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DA001</w:t>
            </w:r>
          </w:p>
        </w:tc>
        <w:tc>
          <w:tcPr>
            <w:tcW w:w="1169" w:type="pct"/>
            <w:noWrap w:val="0"/>
            <w:vAlign w:val="center"/>
          </w:tcPr>
          <w:p w14:paraId="0836E1F3">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颗粒物</w:t>
            </w:r>
          </w:p>
        </w:tc>
        <w:tc>
          <w:tcPr>
            <w:tcW w:w="671" w:type="pct"/>
            <w:noWrap w:val="0"/>
            <w:vAlign w:val="center"/>
          </w:tcPr>
          <w:p w14:paraId="325FFFC4">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noWrap w:val="0"/>
            <w:vAlign w:val="center"/>
          </w:tcPr>
          <w:p w14:paraId="57567012">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《大气污染物综合排放标准》（GB16297-1996）表2中二级标准</w:t>
            </w:r>
          </w:p>
        </w:tc>
      </w:tr>
      <w:tr w14:paraId="2A5C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41F25ABF">
            <w:pPr>
              <w:pStyle w:val="24"/>
              <w:bidi w:val="0"/>
              <w:rPr>
                <w:rFonts w:hint="default"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1788C36C">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671" w:type="pct"/>
            <w:noWrap w:val="0"/>
            <w:vAlign w:val="center"/>
          </w:tcPr>
          <w:p w14:paraId="48E767AF">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restart"/>
            <w:noWrap w:val="0"/>
            <w:vAlign w:val="center"/>
          </w:tcPr>
          <w:p w14:paraId="352C04EB">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《无机化学工业污染物排放标准》（GB 31573-2015）表3中排放限值</w:t>
            </w:r>
          </w:p>
        </w:tc>
      </w:tr>
      <w:tr w14:paraId="59FD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159A4F83">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648A8AD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71" w:type="pct"/>
            <w:noWrap w:val="0"/>
            <w:vAlign w:val="center"/>
          </w:tcPr>
          <w:p w14:paraId="3FCF9A59">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142036A1">
            <w:pPr>
              <w:pStyle w:val="24"/>
              <w:bidi w:val="0"/>
              <w:rPr>
                <w:rFonts w:hint="eastAsia" w:ascii="Times New Roman" w:hAnsi="Times New Roman" w:eastAsia="宋体" w:cs="Times New Roman"/>
                <w:b w:val="0"/>
                <w:bCs w:val="0"/>
                <w:color w:val="auto"/>
                <w:sz w:val="21"/>
                <w:szCs w:val="21"/>
                <w:highlight w:val="none"/>
                <w:lang w:val="en-US" w:eastAsia="zh-CN"/>
              </w:rPr>
            </w:pPr>
          </w:p>
        </w:tc>
      </w:tr>
      <w:tr w14:paraId="48BD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7AD2C315">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3BFA2A3F">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VOCs</w:t>
            </w:r>
          </w:p>
        </w:tc>
        <w:tc>
          <w:tcPr>
            <w:tcW w:w="671" w:type="pct"/>
            <w:noWrap w:val="0"/>
            <w:vAlign w:val="center"/>
          </w:tcPr>
          <w:p w14:paraId="1CF1FB2C">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noWrap w:val="0"/>
            <w:vAlign w:val="center"/>
          </w:tcPr>
          <w:p w14:paraId="0843ACA9">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《四川省固定污染源大气挥发性有机物排放标准》（DB51/2377-2017）表 3中排放限值</w:t>
            </w:r>
          </w:p>
        </w:tc>
      </w:tr>
      <w:tr w14:paraId="137F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5D11962E">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5F9E0CE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71" w:type="pct"/>
            <w:noWrap w:val="0"/>
            <w:vAlign w:val="center"/>
          </w:tcPr>
          <w:p w14:paraId="4391DB46">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restart"/>
            <w:noWrap w:val="0"/>
            <w:vAlign w:val="center"/>
          </w:tcPr>
          <w:p w14:paraId="4E5F2005">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《恶臭污染物排放标准》（GB14554-93）表2中排放限值</w:t>
            </w:r>
          </w:p>
        </w:tc>
      </w:tr>
      <w:tr w14:paraId="7AD6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09D0C3C6">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18E9AF6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臭气浓度</w:t>
            </w:r>
          </w:p>
        </w:tc>
        <w:tc>
          <w:tcPr>
            <w:tcW w:w="671" w:type="pct"/>
            <w:noWrap w:val="0"/>
            <w:vAlign w:val="center"/>
          </w:tcPr>
          <w:p w14:paraId="732F60D3">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2740BA7E">
            <w:pPr>
              <w:pStyle w:val="24"/>
              <w:bidi w:val="0"/>
              <w:rPr>
                <w:rFonts w:hint="eastAsia" w:ascii="Times New Roman" w:hAnsi="Times New Roman" w:eastAsia="宋体" w:cs="Times New Roman"/>
                <w:b w:val="0"/>
                <w:bCs w:val="0"/>
                <w:color w:val="auto"/>
                <w:sz w:val="21"/>
                <w:szCs w:val="21"/>
                <w:highlight w:val="none"/>
                <w:lang w:val="en-US" w:eastAsia="zh-CN"/>
              </w:rPr>
            </w:pPr>
          </w:p>
        </w:tc>
      </w:tr>
      <w:tr w14:paraId="7D12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restart"/>
            <w:noWrap w:val="0"/>
            <w:vAlign w:val="center"/>
          </w:tcPr>
          <w:p w14:paraId="31FA292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DA00</w:t>
            </w:r>
            <w:r>
              <w:rPr>
                <w:rFonts w:hint="eastAsia" w:cs="Times New Roman"/>
                <w:b w:val="0"/>
                <w:bCs w:val="0"/>
                <w:color w:val="auto"/>
                <w:sz w:val="21"/>
                <w:szCs w:val="21"/>
                <w:highlight w:val="none"/>
                <w:lang w:val="en-US" w:eastAsia="zh-CN"/>
              </w:rPr>
              <w:t>2</w:t>
            </w:r>
          </w:p>
        </w:tc>
        <w:tc>
          <w:tcPr>
            <w:tcW w:w="1169" w:type="pct"/>
            <w:noWrap w:val="0"/>
            <w:vAlign w:val="center"/>
          </w:tcPr>
          <w:p w14:paraId="1D87ACF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氯化氢</w:t>
            </w:r>
          </w:p>
        </w:tc>
        <w:tc>
          <w:tcPr>
            <w:tcW w:w="671" w:type="pct"/>
            <w:noWrap w:val="0"/>
            <w:vAlign w:val="center"/>
          </w:tcPr>
          <w:p w14:paraId="2EB6A1A4">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restart"/>
            <w:noWrap w:val="0"/>
            <w:vAlign w:val="center"/>
          </w:tcPr>
          <w:p w14:paraId="77E56A61">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《大气污染物综合排放标准》（GB16297-1996）表2中二级标准</w:t>
            </w:r>
          </w:p>
        </w:tc>
      </w:tr>
      <w:tr w14:paraId="62C6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78FFAD24">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noWrap w:val="0"/>
            <w:vAlign w:val="center"/>
          </w:tcPr>
          <w:p w14:paraId="20C88D9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硫酸雾</w:t>
            </w:r>
          </w:p>
        </w:tc>
        <w:tc>
          <w:tcPr>
            <w:tcW w:w="671" w:type="pct"/>
            <w:noWrap w:val="0"/>
            <w:vAlign w:val="center"/>
          </w:tcPr>
          <w:p w14:paraId="53625C1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04B6086E">
            <w:pPr>
              <w:pStyle w:val="24"/>
              <w:bidi w:val="0"/>
              <w:rPr>
                <w:rFonts w:hint="eastAsia" w:ascii="Times New Roman" w:hAnsi="Times New Roman" w:eastAsia="宋体" w:cs="Courier New"/>
                <w:b w:val="0"/>
                <w:bCs w:val="0"/>
                <w:color w:val="auto"/>
                <w:sz w:val="21"/>
                <w:szCs w:val="21"/>
                <w:highlight w:val="none"/>
                <w:lang w:val="en-US" w:eastAsia="zh-CN"/>
              </w:rPr>
            </w:pPr>
          </w:p>
        </w:tc>
      </w:tr>
      <w:tr w14:paraId="5A8F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60F8BF87">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noWrap w:val="0"/>
            <w:vAlign w:val="center"/>
          </w:tcPr>
          <w:p w14:paraId="133D77B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71" w:type="pct"/>
            <w:noWrap w:val="0"/>
            <w:vAlign w:val="center"/>
          </w:tcPr>
          <w:p w14:paraId="56979EE6">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70EC1D1D">
            <w:pPr>
              <w:pStyle w:val="24"/>
              <w:bidi w:val="0"/>
              <w:rPr>
                <w:rFonts w:hint="eastAsia" w:ascii="Times New Roman" w:hAnsi="Times New Roman" w:eastAsia="宋体" w:cs="Times New Roman"/>
                <w:b w:val="0"/>
                <w:bCs w:val="0"/>
                <w:color w:val="auto"/>
                <w:sz w:val="21"/>
                <w:szCs w:val="21"/>
                <w:highlight w:val="none"/>
                <w:lang w:val="en-US" w:eastAsia="zh-CN"/>
              </w:rPr>
            </w:pPr>
          </w:p>
        </w:tc>
      </w:tr>
    </w:tbl>
    <w:p w14:paraId="16B2EAA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无组织废气监测计划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2225"/>
        <w:gridCol w:w="1275"/>
        <w:gridCol w:w="4891"/>
      </w:tblGrid>
      <w:tr w14:paraId="5304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noWrap w:val="0"/>
            <w:vAlign w:val="center"/>
          </w:tcPr>
          <w:p w14:paraId="67F011B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1169" w:type="pct"/>
            <w:noWrap w:val="0"/>
            <w:vAlign w:val="center"/>
          </w:tcPr>
          <w:p w14:paraId="6B078AB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监测指标</w:t>
            </w:r>
          </w:p>
        </w:tc>
        <w:tc>
          <w:tcPr>
            <w:tcW w:w="670" w:type="pct"/>
            <w:noWrap w:val="0"/>
            <w:vAlign w:val="center"/>
          </w:tcPr>
          <w:p w14:paraId="3EA5D54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监测频次</w:t>
            </w:r>
          </w:p>
        </w:tc>
        <w:tc>
          <w:tcPr>
            <w:tcW w:w="2570" w:type="pct"/>
            <w:noWrap w:val="0"/>
            <w:vAlign w:val="center"/>
          </w:tcPr>
          <w:p w14:paraId="626501D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执行排放标准</w:t>
            </w:r>
          </w:p>
        </w:tc>
      </w:tr>
      <w:tr w14:paraId="220C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noWrap w:val="0"/>
            <w:vAlign w:val="center"/>
          </w:tcPr>
          <w:p w14:paraId="1740661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厂房外监控点</w:t>
            </w:r>
          </w:p>
        </w:tc>
        <w:tc>
          <w:tcPr>
            <w:tcW w:w="1169" w:type="pct"/>
            <w:noWrap w:val="0"/>
            <w:vAlign w:val="center"/>
          </w:tcPr>
          <w:p w14:paraId="0FF6B71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VOCs</w:t>
            </w:r>
          </w:p>
        </w:tc>
        <w:tc>
          <w:tcPr>
            <w:tcW w:w="670" w:type="pct"/>
            <w:noWrap w:val="0"/>
            <w:vAlign w:val="center"/>
          </w:tcPr>
          <w:p w14:paraId="46721FF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1次/年</w:t>
            </w:r>
          </w:p>
        </w:tc>
        <w:tc>
          <w:tcPr>
            <w:tcW w:w="2570" w:type="pct"/>
            <w:noWrap w:val="0"/>
            <w:vAlign w:val="center"/>
          </w:tcPr>
          <w:p w14:paraId="6FCCD485">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《挥发性有机物无组织排放控制标准》（GB37822-2019）中表A.1厂区内无组织特别排放限值</w:t>
            </w:r>
          </w:p>
        </w:tc>
      </w:tr>
      <w:tr w14:paraId="1F30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restart"/>
            <w:noWrap w:val="0"/>
            <w:vAlign w:val="center"/>
          </w:tcPr>
          <w:p w14:paraId="0B07C15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厂界</w:t>
            </w:r>
          </w:p>
        </w:tc>
        <w:tc>
          <w:tcPr>
            <w:tcW w:w="1169" w:type="pct"/>
            <w:shd w:val="clear" w:color="auto" w:fill="auto"/>
            <w:noWrap w:val="0"/>
            <w:vAlign w:val="center"/>
          </w:tcPr>
          <w:p w14:paraId="2C8BE95A">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颗粒物</w:t>
            </w:r>
          </w:p>
        </w:tc>
        <w:tc>
          <w:tcPr>
            <w:tcW w:w="670" w:type="pct"/>
            <w:noWrap w:val="0"/>
            <w:vAlign w:val="center"/>
          </w:tcPr>
          <w:p w14:paraId="2A2F34BF">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noWrap w:val="0"/>
            <w:vAlign w:val="center"/>
          </w:tcPr>
          <w:p w14:paraId="6EA7109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《大气污染物综合排放标准》（GB16297-1996）表2中二级标准</w:t>
            </w:r>
          </w:p>
        </w:tc>
      </w:tr>
      <w:tr w14:paraId="426C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5B75545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3FB617E2">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670" w:type="pct"/>
            <w:noWrap w:val="0"/>
            <w:vAlign w:val="center"/>
          </w:tcPr>
          <w:p w14:paraId="15CFBB61">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restart"/>
            <w:noWrap w:val="0"/>
            <w:vAlign w:val="center"/>
          </w:tcPr>
          <w:p w14:paraId="524AB41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《无机化学工业污染物排放标准》（GB 31573-2015）表5中排放限值</w:t>
            </w:r>
          </w:p>
        </w:tc>
      </w:tr>
      <w:tr w14:paraId="63C2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6570A8E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732B7A78">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670" w:type="pct"/>
            <w:noWrap w:val="0"/>
            <w:vAlign w:val="center"/>
          </w:tcPr>
          <w:p w14:paraId="317241F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continue"/>
            <w:noWrap w:val="0"/>
            <w:vAlign w:val="center"/>
          </w:tcPr>
          <w:p w14:paraId="1CAC34B8">
            <w:pPr>
              <w:pStyle w:val="24"/>
              <w:bidi w:val="0"/>
              <w:rPr>
                <w:rFonts w:hint="eastAsia" w:ascii="Times New Roman" w:hAnsi="Times New Roman" w:eastAsia="宋体" w:cs="Courier New"/>
                <w:b w:val="0"/>
                <w:bCs w:val="0"/>
                <w:color w:val="auto"/>
                <w:sz w:val="21"/>
                <w:szCs w:val="21"/>
                <w:highlight w:val="none"/>
                <w:lang w:val="en-US" w:eastAsia="zh-CN"/>
              </w:rPr>
            </w:pPr>
          </w:p>
        </w:tc>
      </w:tr>
      <w:tr w14:paraId="0266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2585A46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43145EB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氯化氢</w:t>
            </w:r>
          </w:p>
        </w:tc>
        <w:tc>
          <w:tcPr>
            <w:tcW w:w="670" w:type="pct"/>
            <w:noWrap w:val="0"/>
            <w:vAlign w:val="center"/>
          </w:tcPr>
          <w:p w14:paraId="20EA063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noWrap w:val="0"/>
            <w:vAlign w:val="center"/>
          </w:tcPr>
          <w:p w14:paraId="35C7FC1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《大气污染物综合排放标准》（GB16297-1996）表2中二级标准</w:t>
            </w:r>
          </w:p>
        </w:tc>
      </w:tr>
      <w:tr w14:paraId="6A09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44536BA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606559D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670" w:type="pct"/>
            <w:noWrap w:val="0"/>
            <w:vAlign w:val="center"/>
          </w:tcPr>
          <w:p w14:paraId="178E9167">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noWrap w:val="0"/>
            <w:vAlign w:val="center"/>
          </w:tcPr>
          <w:p w14:paraId="19B2A9E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《四川省固定污染源大气挥发性有机物排放标准》（DB51/2377-2017）表5中排放限值</w:t>
            </w:r>
          </w:p>
        </w:tc>
      </w:tr>
      <w:tr w14:paraId="59C8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5C829CF3">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72FC211F">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70" w:type="pct"/>
            <w:noWrap w:val="0"/>
            <w:vAlign w:val="center"/>
          </w:tcPr>
          <w:p w14:paraId="166E001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restart"/>
            <w:noWrap w:val="0"/>
            <w:vAlign w:val="center"/>
          </w:tcPr>
          <w:p w14:paraId="3E5C756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《恶臭污染物排放标准》（GB14554-93）表1中排放限值</w:t>
            </w:r>
          </w:p>
        </w:tc>
      </w:tr>
      <w:tr w14:paraId="5250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5ABF613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2C106366">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670" w:type="pct"/>
            <w:noWrap w:val="0"/>
            <w:vAlign w:val="center"/>
          </w:tcPr>
          <w:p w14:paraId="737D877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continue"/>
            <w:noWrap w:val="0"/>
            <w:vAlign w:val="center"/>
          </w:tcPr>
          <w:p w14:paraId="5049D5B4">
            <w:pPr>
              <w:pStyle w:val="24"/>
              <w:bidi w:val="0"/>
              <w:rPr>
                <w:rFonts w:hint="eastAsia" w:ascii="Times New Roman" w:hAnsi="Times New Roman" w:eastAsia="宋体" w:cs="Courier New"/>
                <w:b w:val="0"/>
                <w:bCs w:val="0"/>
                <w:color w:val="auto"/>
                <w:sz w:val="21"/>
                <w:szCs w:val="21"/>
                <w:highlight w:val="none"/>
                <w:lang w:val="en-US" w:eastAsia="zh-CN"/>
              </w:rPr>
            </w:pPr>
          </w:p>
        </w:tc>
      </w:tr>
    </w:tbl>
    <w:p w14:paraId="1E9DC988">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大气环境影响评价结论</w:t>
      </w:r>
    </w:p>
    <w:p w14:paraId="26492A5E">
      <w:pPr>
        <w:ind w:left="0" w:leftChars="0" w:firstLine="480" w:firstLineChars="200"/>
        <w:rPr>
          <w:rFonts w:cs="Times New Roman"/>
          <w:color w:val="auto"/>
        </w:rPr>
      </w:pPr>
      <w:r>
        <w:rPr>
          <w:rFonts w:cs="Times New Roman"/>
          <w:color w:val="auto"/>
        </w:rPr>
        <w:t>根据</w:t>
      </w:r>
      <w:r>
        <w:rPr>
          <w:rFonts w:hint="eastAsia" w:cs="Times New Roman"/>
          <w:color w:val="auto"/>
          <w:lang w:val="en-US" w:eastAsia="zh-CN"/>
        </w:rPr>
        <w:t>大气</w:t>
      </w:r>
      <w:r>
        <w:rPr>
          <w:rFonts w:cs="Times New Roman"/>
          <w:color w:val="auto"/>
        </w:rPr>
        <w:t>环境影响预测结果可知：</w:t>
      </w:r>
    </w:p>
    <w:p w14:paraId="5FEB2852">
      <w:pPr>
        <w:ind w:left="0" w:leftChars="0" w:firstLine="480" w:firstLineChars="200"/>
        <w:rPr>
          <w:rFonts w:cs="Times New Roman"/>
          <w:color w:val="auto"/>
        </w:rPr>
      </w:pPr>
      <w:r>
        <w:rPr>
          <w:rFonts w:cs="Times New Roman"/>
          <w:color w:val="auto"/>
        </w:rPr>
        <w:t>①本项目新增污染源正常排放下污染物短期浓度（1小时平均</w:t>
      </w:r>
      <w:r>
        <w:rPr>
          <w:rFonts w:hint="eastAsia" w:cs="Times New Roman"/>
          <w:color w:val="auto"/>
          <w:lang w:eastAsia="zh-CN"/>
        </w:rPr>
        <w:t>、</w:t>
      </w:r>
      <w:r>
        <w:rPr>
          <w:rFonts w:hint="eastAsia" w:cs="Times New Roman"/>
          <w:color w:val="auto"/>
          <w:lang w:val="en-US" w:eastAsia="zh-CN"/>
        </w:rPr>
        <w:t>日平均</w:t>
      </w:r>
      <w:r>
        <w:rPr>
          <w:rFonts w:cs="Times New Roman"/>
          <w:color w:val="auto"/>
        </w:rPr>
        <w:t>）贡献值的最大浓度占标率均小于100%，污染物年均浓度贡献值的最大浓度占标率</w:t>
      </w:r>
      <w:r>
        <w:rPr>
          <w:rFonts w:hint="eastAsia" w:cs="Times New Roman"/>
          <w:color w:val="auto"/>
          <w:lang w:val="en-US" w:eastAsia="zh-CN"/>
        </w:rPr>
        <w:t>均</w:t>
      </w:r>
      <w:r>
        <w:rPr>
          <w:rFonts w:cs="Times New Roman"/>
          <w:color w:val="auto"/>
        </w:rPr>
        <w:t>小于30%。</w:t>
      </w:r>
    </w:p>
    <w:p w14:paraId="5B76B944">
      <w:pPr>
        <w:ind w:left="0" w:leftChars="0" w:firstLine="480" w:firstLineChars="200"/>
        <w:rPr>
          <w:rFonts w:cs="Times New Roman"/>
          <w:color w:val="auto"/>
        </w:rPr>
      </w:pPr>
      <w:r>
        <w:rPr>
          <w:rFonts w:cs="Times New Roman"/>
          <w:color w:val="auto"/>
        </w:rPr>
        <w:t>②</w:t>
      </w:r>
      <w:r>
        <w:rPr>
          <w:rFonts w:hint="eastAsia" w:cs="Times New Roman"/>
          <w:color w:val="auto"/>
          <w:lang w:val="en-US" w:eastAsia="zh-CN"/>
        </w:rPr>
        <w:t>针对现状达标的污染物，本</w:t>
      </w:r>
      <w:r>
        <w:rPr>
          <w:rFonts w:hint="eastAsia" w:cs="Times New Roman"/>
          <w:color w:val="auto"/>
        </w:rPr>
        <w:t>项目</w:t>
      </w:r>
      <w:r>
        <w:rPr>
          <w:rFonts w:hint="eastAsia" w:cs="Times New Roman"/>
          <w:color w:val="auto"/>
          <w:lang w:val="en-US" w:eastAsia="zh-CN"/>
        </w:rPr>
        <w:t>预测因子</w:t>
      </w:r>
      <w:r>
        <w:rPr>
          <w:rFonts w:hint="eastAsia" w:cs="Times New Roman"/>
          <w:color w:val="auto"/>
        </w:rPr>
        <w:t>叠加现状环境质量浓度及其他在建、拟建污染源影响后预测污染物浓度符合环境质量标准</w:t>
      </w:r>
      <w:r>
        <w:rPr>
          <w:rFonts w:cs="Times New Roman"/>
          <w:color w:val="auto"/>
        </w:rPr>
        <w:t>。</w:t>
      </w:r>
    </w:p>
    <w:p w14:paraId="24671A3E">
      <w:pPr>
        <w:ind w:left="0" w:leftChars="0" w:firstLine="480" w:firstLineChars="200"/>
        <w:rPr>
          <w:rFonts w:cs="Times New Roman"/>
          <w:color w:val="auto"/>
        </w:rPr>
      </w:pPr>
      <w:r>
        <w:rPr>
          <w:rFonts w:cs="Times New Roman"/>
          <w:color w:val="auto"/>
        </w:rPr>
        <w:t>③</w:t>
      </w:r>
      <w:r>
        <w:rPr>
          <w:rFonts w:hint="eastAsia" w:cs="Times New Roman"/>
          <w:color w:val="auto"/>
          <w:lang w:val="en-US" w:eastAsia="zh-CN"/>
        </w:rPr>
        <w:t>对于现状超标的</w:t>
      </w:r>
      <w:r>
        <w:rPr>
          <w:rFonts w:hint="default" w:cs="Times New Roman"/>
          <w:color w:val="auto"/>
          <w:lang w:val="en-US" w:eastAsia="zh-CN"/>
        </w:rPr>
        <w:t>PM</w:t>
      </w:r>
      <w:r>
        <w:rPr>
          <w:rFonts w:hint="default" w:cs="Times New Roman"/>
          <w:color w:val="auto"/>
          <w:vertAlign w:val="subscript"/>
          <w:lang w:val="en-US" w:eastAsia="zh-CN"/>
        </w:rPr>
        <w:t>2</w:t>
      </w:r>
      <w:r>
        <w:rPr>
          <w:rFonts w:hint="eastAsia" w:cs="Times New Roman"/>
          <w:color w:val="auto"/>
          <w:vertAlign w:val="subscript"/>
          <w:lang w:val="en-US" w:eastAsia="zh-CN"/>
        </w:rPr>
        <w:t>.5</w:t>
      </w:r>
      <w:r>
        <w:rPr>
          <w:rFonts w:hint="eastAsia" w:cs="Times New Roman"/>
          <w:color w:val="auto"/>
          <w:lang w:val="en-US" w:eastAsia="zh-CN"/>
        </w:rPr>
        <w:t>，本项目与区域削减方案实施后，年平均质量浓度变化率k≦-20%，本项目建设后区域环境质量得到整体改善</w:t>
      </w:r>
      <w:r>
        <w:rPr>
          <w:rFonts w:hint="eastAsia"/>
          <w:color w:val="auto"/>
        </w:rPr>
        <w:t>。</w:t>
      </w:r>
    </w:p>
    <w:p w14:paraId="74AE399F">
      <w:pPr>
        <w:ind w:left="0" w:leftChars="0" w:firstLine="480" w:firstLineChars="200"/>
        <w:rPr>
          <w:rFonts w:cs="Times New Roman"/>
          <w:color w:val="auto"/>
        </w:rPr>
      </w:pPr>
      <w:r>
        <w:rPr>
          <w:rFonts w:hint="eastAsia" w:cs="Times New Roman"/>
          <w:color w:val="auto"/>
        </w:rPr>
        <w:t>④</w:t>
      </w:r>
      <w:r>
        <w:rPr>
          <w:rFonts w:cs="Times New Roman"/>
          <w:color w:val="auto"/>
        </w:rPr>
        <w:t>本项目不需设置大气环境防护距离</w:t>
      </w:r>
      <w:r>
        <w:rPr>
          <w:rFonts w:hint="eastAsia" w:cs="Times New Roman"/>
          <w:color w:val="auto"/>
          <w:lang w:eastAsia="zh-CN"/>
        </w:rPr>
        <w:t>，</w:t>
      </w:r>
      <w:r>
        <w:rPr>
          <w:rFonts w:cs="Times New Roman"/>
          <w:color w:val="auto"/>
        </w:rPr>
        <w:t>根据《大气有害物质无组织排放卫生防护距离推导技术导则》（GB/T39499-2020）中卫生防护距离计算方法，本项目卫生防护距离为</w:t>
      </w:r>
      <w:r>
        <w:rPr>
          <w:rFonts w:hint="eastAsia"/>
          <w:color w:val="auto"/>
          <w:szCs w:val="24"/>
          <w:highlight w:val="none"/>
          <w:lang w:val="en-US" w:eastAsia="zh-CN"/>
        </w:rPr>
        <w:t>生产车间</w:t>
      </w:r>
      <w:r>
        <w:rPr>
          <w:rFonts w:hint="eastAsia"/>
          <w:color w:val="auto"/>
          <w:szCs w:val="24"/>
          <w:highlight w:val="none"/>
          <w:lang w:eastAsia="zh-CN"/>
        </w:rPr>
        <w:t>、</w:t>
      </w:r>
      <w:r>
        <w:rPr>
          <w:rFonts w:hint="eastAsia"/>
          <w:color w:val="auto"/>
          <w:szCs w:val="24"/>
          <w:highlight w:val="none"/>
          <w:lang w:val="en-US" w:eastAsia="zh-CN"/>
        </w:rPr>
        <w:t>1#罐区、2#罐区及质检室边界起</w:t>
      </w:r>
      <w:r>
        <w:rPr>
          <w:rFonts w:hint="eastAsia" w:ascii="Times New Roman" w:hAnsi="Times New Roman"/>
          <w:b w:val="0"/>
          <w:bCs w:val="0"/>
          <w:color w:val="auto"/>
          <w:sz w:val="24"/>
          <w:szCs w:val="24"/>
          <w:highlight w:val="none"/>
          <w:lang w:val="en-US" w:eastAsia="zh-CN"/>
        </w:rPr>
        <w:t>50</w:t>
      </w:r>
      <w:r>
        <w:rPr>
          <w:rFonts w:ascii="Times New Roman" w:hAnsi="Times New Roman"/>
          <w:b w:val="0"/>
          <w:bCs w:val="0"/>
          <w:color w:val="auto"/>
          <w:sz w:val="24"/>
          <w:szCs w:val="24"/>
          <w:highlight w:val="none"/>
        </w:rPr>
        <w:t>m</w:t>
      </w:r>
      <w:r>
        <w:rPr>
          <w:rFonts w:hint="eastAsia" w:ascii="Times New Roman" w:hAnsi="Times New Roman"/>
          <w:b w:val="0"/>
          <w:bCs w:val="0"/>
          <w:color w:val="auto"/>
          <w:sz w:val="24"/>
          <w:szCs w:val="24"/>
          <w:highlight w:val="none"/>
          <w:lang w:val="en-US" w:eastAsia="zh-CN"/>
        </w:rPr>
        <w:t>范围</w:t>
      </w:r>
      <w:r>
        <w:rPr>
          <w:rFonts w:cs="Times New Roman"/>
          <w:color w:val="auto"/>
        </w:rPr>
        <w:t>，</w:t>
      </w:r>
      <w:r>
        <w:rPr>
          <w:rFonts w:hint="eastAsia" w:cs="Times New Roman"/>
          <w:color w:val="auto"/>
          <w:lang w:val="en-US" w:eastAsia="zh-CN"/>
        </w:rPr>
        <w:t>卫生</w:t>
      </w:r>
      <w:r>
        <w:rPr>
          <w:rFonts w:cs="Times New Roman"/>
          <w:color w:val="auto"/>
        </w:rPr>
        <w:t>防护距离内不涉及环境敏感目标，同时卫生防护距离之内今后不得新增居民住宅、学校、医院等环境敏感目标。</w:t>
      </w:r>
    </w:p>
    <w:p w14:paraId="449E3445">
      <w:pPr>
        <w:widowControl w:val="0"/>
        <w:numPr>
          <w:ilvl w:val="0"/>
          <w:numId w:val="0"/>
        </w:numPr>
        <w:adjustRightInd w:val="0"/>
        <w:spacing w:line="360" w:lineRule="auto"/>
        <w:ind w:firstLine="480" w:firstLineChars="200"/>
        <w:rPr>
          <w:rFonts w:cs="Times New Roman"/>
          <w:color w:val="auto"/>
        </w:rPr>
      </w:pPr>
      <w:r>
        <w:rPr>
          <w:rFonts w:cs="Times New Roman"/>
          <w:color w:val="auto"/>
        </w:rPr>
        <w:t>综上所述，本项目大气环境影响可以接受。</w:t>
      </w:r>
    </w:p>
    <w:p w14:paraId="2F8862B9">
      <w:pPr>
        <w:pStyle w:val="5"/>
        <w:bidi w:val="0"/>
        <w:ind w:left="864" w:leftChars="0" w:hanging="864"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大气环境影响评价自查表</w:t>
      </w:r>
    </w:p>
    <w:p w14:paraId="1E40312B">
      <w:pPr>
        <w:pStyle w:val="26"/>
        <w:ind w:left="0" w:leftChars="0" w:firstLine="480" w:firstLineChars="200"/>
        <w:rPr>
          <w:rFonts w:cs="Times New Roman"/>
          <w:color w:val="auto"/>
        </w:rPr>
      </w:pPr>
      <w:r>
        <w:rPr>
          <w:rFonts w:cs="Times New Roman"/>
          <w:color w:val="auto"/>
        </w:rPr>
        <w:t>本项目大气环境影响评价自查表见下表。</w:t>
      </w:r>
    </w:p>
    <w:p w14:paraId="264629AC">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建设项目大气环境影响评价自查表</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303"/>
        <w:gridCol w:w="985"/>
        <w:gridCol w:w="1027"/>
        <w:gridCol w:w="8"/>
        <w:gridCol w:w="338"/>
        <w:gridCol w:w="289"/>
        <w:gridCol w:w="19"/>
        <w:gridCol w:w="17"/>
        <w:gridCol w:w="399"/>
        <w:gridCol w:w="451"/>
        <w:gridCol w:w="53"/>
        <w:gridCol w:w="158"/>
        <w:gridCol w:w="378"/>
        <w:gridCol w:w="593"/>
        <w:gridCol w:w="156"/>
        <w:gridCol w:w="323"/>
        <w:gridCol w:w="63"/>
        <w:gridCol w:w="816"/>
        <w:gridCol w:w="1048"/>
      </w:tblGrid>
      <w:tr w14:paraId="365E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5" w:type="pct"/>
            <w:gridSpan w:val="2"/>
            <w:noWrap w:val="0"/>
            <w:vAlign w:val="center"/>
          </w:tcPr>
          <w:p w14:paraId="6B7D3E3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工作内容</w:t>
            </w:r>
          </w:p>
        </w:tc>
        <w:tc>
          <w:tcPr>
            <w:tcW w:w="3744" w:type="pct"/>
            <w:gridSpan w:val="18"/>
            <w:noWrap w:val="0"/>
            <w:vAlign w:val="top"/>
          </w:tcPr>
          <w:p w14:paraId="42F7FBF5">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自查项目</w:t>
            </w:r>
          </w:p>
        </w:tc>
      </w:tr>
      <w:tr w14:paraId="66FD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restart"/>
            <w:noWrap w:val="0"/>
            <w:vAlign w:val="center"/>
          </w:tcPr>
          <w:p w14:paraId="6F9848E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评价等级与范围</w:t>
            </w:r>
          </w:p>
        </w:tc>
        <w:tc>
          <w:tcPr>
            <w:tcW w:w="685" w:type="pct"/>
            <w:noWrap w:val="0"/>
            <w:vAlign w:val="center"/>
          </w:tcPr>
          <w:p w14:paraId="651765F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评价等级</w:t>
            </w:r>
          </w:p>
        </w:tc>
        <w:tc>
          <w:tcPr>
            <w:tcW w:w="1402" w:type="pct"/>
            <w:gridSpan w:val="6"/>
            <w:noWrap w:val="0"/>
            <w:vAlign w:val="center"/>
          </w:tcPr>
          <w:p w14:paraId="3094395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一级</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1160" w:type="pct"/>
            <w:gridSpan w:val="8"/>
            <w:noWrap w:val="0"/>
            <w:vAlign w:val="center"/>
          </w:tcPr>
          <w:p w14:paraId="328B23F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二级</w:t>
            </w:r>
            <w:r>
              <w:rPr>
                <w:rFonts w:hint="eastAsia" w:cs="Courier New"/>
                <w:b w:val="0"/>
                <w:bCs w:val="0"/>
                <w:color w:val="auto"/>
                <w:sz w:val="21"/>
                <w:szCs w:val="21"/>
                <w:highlight w:val="none"/>
                <w:lang w:val="en-US" w:eastAsia="zh-CN"/>
              </w:rPr>
              <w:t>□</w:t>
            </w:r>
          </w:p>
        </w:tc>
        <w:tc>
          <w:tcPr>
            <w:tcW w:w="1180" w:type="pct"/>
            <w:gridSpan w:val="4"/>
            <w:noWrap w:val="0"/>
            <w:vAlign w:val="center"/>
          </w:tcPr>
          <w:p w14:paraId="1460479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三级□</w:t>
            </w:r>
          </w:p>
        </w:tc>
      </w:tr>
      <w:tr w14:paraId="54D6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70" w:type="pct"/>
            <w:vMerge w:val="continue"/>
            <w:noWrap w:val="0"/>
            <w:vAlign w:val="center"/>
          </w:tcPr>
          <w:p w14:paraId="13A8A727">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3AAA30D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评价范围</w:t>
            </w:r>
          </w:p>
        </w:tc>
        <w:tc>
          <w:tcPr>
            <w:tcW w:w="1402" w:type="pct"/>
            <w:gridSpan w:val="6"/>
            <w:noWrap w:val="0"/>
            <w:vAlign w:val="center"/>
          </w:tcPr>
          <w:p w14:paraId="5E8A1DE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边长=50km□</w:t>
            </w:r>
          </w:p>
        </w:tc>
        <w:tc>
          <w:tcPr>
            <w:tcW w:w="1160" w:type="pct"/>
            <w:gridSpan w:val="8"/>
            <w:noWrap w:val="0"/>
            <w:vAlign w:val="center"/>
          </w:tcPr>
          <w:p w14:paraId="749ABB0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边长5~50km</w:t>
            </w:r>
            <w:r>
              <w:rPr>
                <w:rFonts w:hint="eastAsia" w:ascii="Times New Roman" w:hAnsi="Times New Roman" w:eastAsia="宋体" w:cs="Courier New"/>
                <w:b w:val="0"/>
                <w:bCs w:val="0"/>
                <w:color w:val="auto"/>
                <w:sz w:val="21"/>
                <w:szCs w:val="21"/>
                <w:highlight w:val="none"/>
                <w:lang w:val="en-US" w:eastAsia="zh-CN"/>
              </w:rPr>
              <w:sym w:font="Wingdings 2" w:char="00A3"/>
            </w:r>
          </w:p>
        </w:tc>
        <w:tc>
          <w:tcPr>
            <w:tcW w:w="1180" w:type="pct"/>
            <w:gridSpan w:val="4"/>
            <w:noWrap w:val="0"/>
            <w:vAlign w:val="center"/>
          </w:tcPr>
          <w:p w14:paraId="1309A13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边长=5km</w:t>
            </w:r>
            <w:r>
              <w:rPr>
                <w:rFonts w:hint="eastAsia" w:ascii="Times New Roman" w:hAnsi="Times New Roman" w:cs="Courier New"/>
                <w:b w:val="0"/>
                <w:bCs w:val="0"/>
                <w:color w:val="auto"/>
                <w:sz w:val="21"/>
                <w:szCs w:val="21"/>
                <w:highlight w:val="none"/>
                <w:lang w:val="en-US" w:eastAsia="zh-CN"/>
              </w:rPr>
              <w:t>☑</w:t>
            </w:r>
          </w:p>
        </w:tc>
      </w:tr>
      <w:tr w14:paraId="52E8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restart"/>
            <w:noWrap w:val="0"/>
            <w:vAlign w:val="center"/>
          </w:tcPr>
          <w:p w14:paraId="6D0F144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评价因子</w:t>
            </w:r>
          </w:p>
        </w:tc>
        <w:tc>
          <w:tcPr>
            <w:tcW w:w="685" w:type="pct"/>
            <w:noWrap w:val="0"/>
            <w:vAlign w:val="center"/>
          </w:tcPr>
          <w:p w14:paraId="3682198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SO</w:t>
            </w:r>
            <w:r>
              <w:rPr>
                <w:rFonts w:hint="eastAsia" w:ascii="Times New Roman" w:hAnsi="Times New Roman" w:eastAsia="宋体" w:cs="Courier New"/>
                <w:b w:val="0"/>
                <w:bCs w:val="0"/>
                <w:color w:val="auto"/>
                <w:sz w:val="21"/>
                <w:szCs w:val="21"/>
                <w:highlight w:val="none"/>
                <w:vertAlign w:val="subscript"/>
                <w:lang w:val="en-US" w:eastAsia="zh-CN"/>
              </w:rPr>
              <w:t>2</w:t>
            </w:r>
            <w:r>
              <w:rPr>
                <w:rFonts w:hint="eastAsia" w:ascii="Times New Roman" w:hAnsi="Times New Roman" w:eastAsia="宋体" w:cs="Courier New"/>
                <w:b w:val="0"/>
                <w:bCs w:val="0"/>
                <w:color w:val="auto"/>
                <w:sz w:val="21"/>
                <w:szCs w:val="21"/>
                <w:highlight w:val="none"/>
                <w:lang w:val="en-US" w:eastAsia="zh-CN"/>
              </w:rPr>
              <w:t>+NOx排放量</w:t>
            </w:r>
          </w:p>
        </w:tc>
        <w:tc>
          <w:tcPr>
            <w:tcW w:w="1402" w:type="pct"/>
            <w:gridSpan w:val="6"/>
            <w:noWrap w:val="0"/>
            <w:vAlign w:val="center"/>
          </w:tcPr>
          <w:p w14:paraId="175CF41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≥2000t/a□</w:t>
            </w:r>
          </w:p>
        </w:tc>
        <w:tc>
          <w:tcPr>
            <w:tcW w:w="1160" w:type="pct"/>
            <w:gridSpan w:val="8"/>
            <w:noWrap w:val="0"/>
            <w:vAlign w:val="center"/>
          </w:tcPr>
          <w:p w14:paraId="1660327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500~2000t/a□</w:t>
            </w:r>
          </w:p>
        </w:tc>
        <w:tc>
          <w:tcPr>
            <w:tcW w:w="1180" w:type="pct"/>
            <w:gridSpan w:val="4"/>
            <w:noWrap w:val="0"/>
            <w:vAlign w:val="center"/>
          </w:tcPr>
          <w:p w14:paraId="6191366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&lt;500t/a</w:t>
            </w:r>
            <w:r>
              <w:rPr>
                <w:rFonts w:hint="eastAsia" w:ascii="Times New Roman" w:hAnsi="Times New Roman" w:eastAsia="宋体" w:cs="Courier New"/>
                <w:b w:val="0"/>
                <w:bCs w:val="0"/>
                <w:color w:val="auto"/>
                <w:sz w:val="21"/>
                <w:szCs w:val="21"/>
                <w:highlight w:val="none"/>
                <w:lang w:val="en-US" w:eastAsia="zh-CN"/>
              </w:rPr>
              <w:sym w:font="Wingdings 2" w:char="00A3"/>
            </w:r>
          </w:p>
        </w:tc>
      </w:tr>
      <w:tr w14:paraId="63DA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570" w:type="pct"/>
            <w:vMerge w:val="continue"/>
            <w:noWrap w:val="0"/>
            <w:vAlign w:val="center"/>
          </w:tcPr>
          <w:p w14:paraId="18555675">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4A9E9E5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评价因子</w:t>
            </w:r>
          </w:p>
        </w:tc>
        <w:tc>
          <w:tcPr>
            <w:tcW w:w="1886" w:type="pct"/>
            <w:gridSpan w:val="10"/>
            <w:noWrap w:val="0"/>
            <w:vAlign w:val="center"/>
          </w:tcPr>
          <w:p w14:paraId="1D6C11C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基本污染物（SO</w:t>
            </w:r>
            <w:r>
              <w:rPr>
                <w:rFonts w:hint="eastAsia" w:ascii="Times New Roman" w:hAnsi="Times New Roman" w:eastAsia="宋体" w:cs="Courier New"/>
                <w:b w:val="0"/>
                <w:bCs w:val="0"/>
                <w:color w:val="auto"/>
                <w:sz w:val="21"/>
                <w:szCs w:val="21"/>
                <w:highlight w:val="none"/>
                <w:vertAlign w:val="subscript"/>
                <w:lang w:val="en-US" w:eastAsia="zh-CN"/>
              </w:rPr>
              <w:t>2</w:t>
            </w:r>
            <w:r>
              <w:rPr>
                <w:rFonts w:hint="eastAsia" w:ascii="Times New Roman" w:hAnsi="Times New Roman" w:eastAsia="宋体" w:cs="Courier New"/>
                <w:b w:val="0"/>
                <w:bCs w:val="0"/>
                <w:color w:val="auto"/>
                <w:sz w:val="21"/>
                <w:szCs w:val="21"/>
                <w:highlight w:val="none"/>
                <w:lang w:val="en-US" w:eastAsia="zh-CN"/>
              </w:rPr>
              <w:t>、NO</w:t>
            </w:r>
            <w:r>
              <w:rPr>
                <w:rFonts w:hint="eastAsia" w:ascii="Times New Roman" w:hAnsi="Times New Roman" w:eastAsia="宋体" w:cs="Courier New"/>
                <w:b w:val="0"/>
                <w:bCs w:val="0"/>
                <w:color w:val="auto"/>
                <w:sz w:val="21"/>
                <w:szCs w:val="21"/>
                <w:highlight w:val="none"/>
                <w:vertAlign w:val="subscript"/>
                <w:lang w:val="en-US" w:eastAsia="zh-CN"/>
              </w:rPr>
              <w:t>2</w:t>
            </w:r>
            <w:r>
              <w:rPr>
                <w:rFonts w:hint="eastAsia" w:ascii="Times New Roman" w:hAnsi="Times New Roman" w:eastAsia="宋体" w:cs="Courier New"/>
                <w:b w:val="0"/>
                <w:bCs w:val="0"/>
                <w:color w:val="auto"/>
                <w:sz w:val="21"/>
                <w:szCs w:val="21"/>
                <w:highlight w:val="none"/>
                <w:lang w:val="en-US" w:eastAsia="zh-CN"/>
              </w:rPr>
              <w:t>、PM</w:t>
            </w:r>
            <w:r>
              <w:rPr>
                <w:rFonts w:hint="eastAsia" w:ascii="Times New Roman" w:hAnsi="Times New Roman" w:eastAsia="宋体" w:cs="Courier New"/>
                <w:b w:val="0"/>
                <w:bCs w:val="0"/>
                <w:color w:val="auto"/>
                <w:sz w:val="21"/>
                <w:szCs w:val="21"/>
                <w:highlight w:val="none"/>
                <w:vertAlign w:val="subscript"/>
                <w:lang w:val="en-US" w:eastAsia="zh-CN"/>
              </w:rPr>
              <w:t>10</w:t>
            </w:r>
            <w:r>
              <w:rPr>
                <w:rFonts w:hint="eastAsia" w:ascii="Times New Roman" w:hAnsi="Times New Roman" w:eastAsia="宋体" w:cs="Courier New"/>
                <w:b w:val="0"/>
                <w:bCs w:val="0"/>
                <w:color w:val="auto"/>
                <w:sz w:val="21"/>
                <w:szCs w:val="21"/>
                <w:highlight w:val="none"/>
                <w:lang w:val="en-US" w:eastAsia="zh-CN"/>
              </w:rPr>
              <w:t>、PM</w:t>
            </w:r>
            <w:r>
              <w:rPr>
                <w:rFonts w:hint="eastAsia" w:ascii="Times New Roman" w:hAnsi="Times New Roman" w:eastAsia="宋体" w:cs="Courier New"/>
                <w:b w:val="0"/>
                <w:bCs w:val="0"/>
                <w:color w:val="auto"/>
                <w:sz w:val="21"/>
                <w:szCs w:val="21"/>
                <w:highlight w:val="none"/>
                <w:vertAlign w:val="subscript"/>
                <w:lang w:val="en-US" w:eastAsia="zh-CN"/>
              </w:rPr>
              <w:t>2.5</w:t>
            </w:r>
            <w:r>
              <w:rPr>
                <w:rFonts w:hint="eastAsia" w:ascii="Times New Roman" w:hAnsi="Times New Roman" w:eastAsia="宋体" w:cs="Courier New"/>
                <w:b w:val="0"/>
                <w:bCs w:val="0"/>
                <w:color w:val="auto"/>
                <w:sz w:val="21"/>
                <w:szCs w:val="21"/>
                <w:highlight w:val="none"/>
                <w:lang w:val="en-US" w:eastAsia="zh-CN"/>
              </w:rPr>
              <w:t>、CO、O</w:t>
            </w:r>
            <w:r>
              <w:rPr>
                <w:rFonts w:hint="eastAsia" w:ascii="Times New Roman" w:hAnsi="Times New Roman" w:eastAsia="宋体" w:cs="Courier New"/>
                <w:b w:val="0"/>
                <w:bCs w:val="0"/>
                <w:color w:val="auto"/>
                <w:sz w:val="21"/>
                <w:szCs w:val="21"/>
                <w:highlight w:val="none"/>
                <w:vertAlign w:val="subscript"/>
                <w:lang w:val="en-US" w:eastAsia="zh-CN"/>
              </w:rPr>
              <w:t>3</w:t>
            </w:r>
            <w:r>
              <w:rPr>
                <w:rFonts w:hint="eastAsia" w:ascii="Times New Roman" w:hAnsi="Times New Roman" w:eastAsia="宋体" w:cs="Courier New"/>
                <w:b w:val="0"/>
                <w:bCs w:val="0"/>
                <w:color w:val="auto"/>
                <w:sz w:val="21"/>
                <w:szCs w:val="21"/>
                <w:highlight w:val="none"/>
                <w:lang w:val="en-US" w:eastAsia="zh-CN"/>
              </w:rPr>
              <w:t>）</w:t>
            </w:r>
          </w:p>
          <w:p w14:paraId="0D4192E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其他污染物（TSP、氟化物、氯化氢、硫酸、氨、TVOC）</w:t>
            </w:r>
          </w:p>
        </w:tc>
        <w:tc>
          <w:tcPr>
            <w:tcW w:w="1858" w:type="pct"/>
            <w:gridSpan w:val="8"/>
            <w:noWrap w:val="0"/>
            <w:vAlign w:val="center"/>
          </w:tcPr>
          <w:p w14:paraId="438E9AF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包括二次PM2.5□</w:t>
            </w:r>
          </w:p>
          <w:p w14:paraId="2281224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不包括二次PM2.5</w:t>
            </w:r>
            <w:r>
              <w:rPr>
                <w:rFonts w:hint="eastAsia" w:ascii="Times New Roman" w:hAnsi="Times New Roman" w:eastAsia="宋体" w:cs="Courier New"/>
                <w:b w:val="0"/>
                <w:bCs w:val="0"/>
                <w:color w:val="auto"/>
                <w:sz w:val="21"/>
                <w:szCs w:val="21"/>
                <w:highlight w:val="none"/>
                <w:lang w:val="en-US" w:eastAsia="zh-CN"/>
              </w:rPr>
              <w:sym w:font="Wingdings 2" w:char="F052"/>
            </w:r>
          </w:p>
        </w:tc>
      </w:tr>
      <w:tr w14:paraId="3F0C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noWrap w:val="0"/>
            <w:vAlign w:val="center"/>
          </w:tcPr>
          <w:p w14:paraId="7928075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评价标准</w:t>
            </w:r>
          </w:p>
        </w:tc>
        <w:tc>
          <w:tcPr>
            <w:tcW w:w="685" w:type="pct"/>
            <w:noWrap w:val="0"/>
            <w:vAlign w:val="center"/>
          </w:tcPr>
          <w:p w14:paraId="14F4ACA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评价标准</w:t>
            </w:r>
          </w:p>
        </w:tc>
        <w:tc>
          <w:tcPr>
            <w:tcW w:w="1058" w:type="pct"/>
            <w:gridSpan w:val="2"/>
            <w:noWrap w:val="0"/>
            <w:vAlign w:val="center"/>
          </w:tcPr>
          <w:p w14:paraId="28CF236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国家标准</w:t>
            </w:r>
            <w:r>
              <w:rPr>
                <w:rFonts w:hint="eastAsia" w:ascii="Times New Roman" w:hAnsi="Times New Roman" w:eastAsia="宋体" w:cs="Courier New"/>
                <w:b w:val="0"/>
                <w:bCs w:val="0"/>
                <w:color w:val="auto"/>
                <w:sz w:val="21"/>
                <w:szCs w:val="21"/>
                <w:highlight w:val="none"/>
                <w:lang w:val="en-US" w:eastAsia="zh-CN"/>
              </w:rPr>
              <w:sym w:font="Wingdings 2" w:char="F052"/>
            </w:r>
          </w:p>
        </w:tc>
        <w:tc>
          <w:tcPr>
            <w:tcW w:w="827" w:type="pct"/>
            <w:gridSpan w:val="8"/>
            <w:noWrap w:val="0"/>
            <w:vAlign w:val="center"/>
          </w:tcPr>
          <w:p w14:paraId="78CCFDB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地方标准□</w:t>
            </w:r>
          </w:p>
        </w:tc>
        <w:tc>
          <w:tcPr>
            <w:tcW w:w="879" w:type="pct"/>
            <w:gridSpan w:val="6"/>
            <w:noWrap w:val="0"/>
            <w:vAlign w:val="center"/>
          </w:tcPr>
          <w:p w14:paraId="7C65B63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附录D</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978" w:type="pct"/>
            <w:gridSpan w:val="2"/>
            <w:noWrap w:val="0"/>
            <w:vAlign w:val="center"/>
          </w:tcPr>
          <w:p w14:paraId="06B64FF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其他标准</w:t>
            </w:r>
            <w:r>
              <w:rPr>
                <w:rFonts w:hint="eastAsia" w:ascii="Times New Roman" w:hAnsi="Times New Roman" w:eastAsia="宋体" w:cs="Courier New"/>
                <w:b w:val="0"/>
                <w:bCs w:val="0"/>
                <w:color w:val="auto"/>
                <w:sz w:val="21"/>
                <w:szCs w:val="21"/>
                <w:highlight w:val="none"/>
                <w:lang w:val="en-US" w:eastAsia="zh-CN"/>
              </w:rPr>
              <w:sym w:font="Wingdings 2" w:char="00A3"/>
            </w:r>
          </w:p>
        </w:tc>
      </w:tr>
      <w:tr w14:paraId="5980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restart"/>
            <w:noWrap w:val="0"/>
            <w:vAlign w:val="center"/>
          </w:tcPr>
          <w:p w14:paraId="411E971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现状评价</w:t>
            </w:r>
          </w:p>
        </w:tc>
        <w:tc>
          <w:tcPr>
            <w:tcW w:w="685" w:type="pct"/>
            <w:noWrap w:val="0"/>
            <w:vAlign w:val="center"/>
          </w:tcPr>
          <w:p w14:paraId="50256BF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环境功能区</w:t>
            </w:r>
          </w:p>
        </w:tc>
        <w:tc>
          <w:tcPr>
            <w:tcW w:w="1411" w:type="pct"/>
            <w:gridSpan w:val="7"/>
            <w:noWrap w:val="0"/>
            <w:vAlign w:val="center"/>
          </w:tcPr>
          <w:p w14:paraId="6ECD0E9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一类区□</w:t>
            </w:r>
          </w:p>
        </w:tc>
        <w:tc>
          <w:tcPr>
            <w:tcW w:w="1151" w:type="pct"/>
            <w:gridSpan w:val="7"/>
            <w:noWrap w:val="0"/>
            <w:vAlign w:val="center"/>
          </w:tcPr>
          <w:p w14:paraId="5217B5C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二类区</w:t>
            </w:r>
            <w:r>
              <w:rPr>
                <w:rFonts w:hint="eastAsia" w:ascii="Times New Roman" w:hAnsi="Times New Roman" w:eastAsia="宋体" w:cs="Courier New"/>
                <w:b w:val="0"/>
                <w:bCs w:val="0"/>
                <w:color w:val="auto"/>
                <w:sz w:val="21"/>
                <w:szCs w:val="21"/>
                <w:highlight w:val="none"/>
                <w:lang w:val="en-US" w:eastAsia="zh-CN"/>
              </w:rPr>
              <w:sym w:font="Wingdings 2" w:char="F052"/>
            </w:r>
          </w:p>
        </w:tc>
        <w:tc>
          <w:tcPr>
            <w:tcW w:w="1180" w:type="pct"/>
            <w:gridSpan w:val="4"/>
            <w:noWrap w:val="0"/>
            <w:vAlign w:val="center"/>
          </w:tcPr>
          <w:p w14:paraId="3155084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一类区和二类区□</w:t>
            </w:r>
          </w:p>
        </w:tc>
      </w:tr>
      <w:tr w14:paraId="18C0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4CE502FA">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180E4C1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评价基准年</w:t>
            </w:r>
          </w:p>
        </w:tc>
        <w:tc>
          <w:tcPr>
            <w:tcW w:w="3744" w:type="pct"/>
            <w:gridSpan w:val="18"/>
            <w:noWrap w:val="0"/>
            <w:vAlign w:val="top"/>
          </w:tcPr>
          <w:p w14:paraId="7FFB278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（202</w:t>
            </w:r>
            <w:r>
              <w:rPr>
                <w:rFonts w:hint="eastAsia" w:cs="Courier New"/>
                <w:b w:val="0"/>
                <w:bCs w:val="0"/>
                <w:color w:val="auto"/>
                <w:sz w:val="21"/>
                <w:szCs w:val="21"/>
                <w:highlight w:val="none"/>
                <w:lang w:val="en-US" w:eastAsia="zh-CN"/>
              </w:rPr>
              <w:t>5</w:t>
            </w:r>
            <w:r>
              <w:rPr>
                <w:rFonts w:hint="eastAsia" w:ascii="Times New Roman" w:hAnsi="Times New Roman" w:eastAsia="宋体" w:cs="Courier New"/>
                <w:b w:val="0"/>
                <w:bCs w:val="0"/>
                <w:color w:val="auto"/>
                <w:sz w:val="21"/>
                <w:szCs w:val="21"/>
                <w:highlight w:val="none"/>
                <w:lang w:val="en-US" w:eastAsia="zh-CN"/>
              </w:rPr>
              <w:t>）年</w:t>
            </w:r>
          </w:p>
        </w:tc>
      </w:tr>
      <w:tr w14:paraId="0FC7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70" w:type="pct"/>
            <w:vMerge w:val="continue"/>
            <w:noWrap w:val="0"/>
            <w:vAlign w:val="center"/>
          </w:tcPr>
          <w:p w14:paraId="62C3D095">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481AD91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环境空气质量现状调查数据来源</w:t>
            </w:r>
          </w:p>
        </w:tc>
        <w:tc>
          <w:tcPr>
            <w:tcW w:w="1411" w:type="pct"/>
            <w:gridSpan w:val="7"/>
            <w:noWrap w:val="0"/>
            <w:vAlign w:val="center"/>
          </w:tcPr>
          <w:p w14:paraId="29D6FDA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长期例行监测数据</w:t>
            </w:r>
            <w:r>
              <w:rPr>
                <w:rFonts w:hint="eastAsia" w:ascii="Times New Roman" w:hAnsi="Times New Roman" w:cs="Courier New"/>
                <w:b w:val="0"/>
                <w:bCs w:val="0"/>
                <w:color w:val="auto"/>
                <w:sz w:val="21"/>
                <w:szCs w:val="21"/>
                <w:highlight w:val="none"/>
                <w:lang w:val="en-US" w:eastAsia="zh-CN"/>
              </w:rPr>
              <w:t>☑</w:t>
            </w:r>
          </w:p>
        </w:tc>
        <w:tc>
          <w:tcPr>
            <w:tcW w:w="1151" w:type="pct"/>
            <w:gridSpan w:val="7"/>
            <w:noWrap w:val="0"/>
            <w:vAlign w:val="center"/>
          </w:tcPr>
          <w:p w14:paraId="2CEA10D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主管部门发布的数据</w:t>
            </w:r>
            <w:r>
              <w:rPr>
                <w:rFonts w:hint="eastAsia" w:ascii="Times New Roman" w:hAnsi="Times New Roman" w:eastAsia="宋体" w:cs="Courier New"/>
                <w:b w:val="0"/>
                <w:bCs w:val="0"/>
                <w:color w:val="auto"/>
                <w:sz w:val="21"/>
                <w:szCs w:val="21"/>
                <w:highlight w:val="none"/>
                <w:lang w:val="en-US" w:eastAsia="zh-CN"/>
              </w:rPr>
              <w:sym w:font="Wingdings 2" w:char="00A3"/>
            </w:r>
          </w:p>
        </w:tc>
        <w:tc>
          <w:tcPr>
            <w:tcW w:w="1180" w:type="pct"/>
            <w:gridSpan w:val="4"/>
            <w:noWrap w:val="0"/>
            <w:vAlign w:val="center"/>
          </w:tcPr>
          <w:p w14:paraId="12D32BE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现状补充监测</w:t>
            </w:r>
            <w:r>
              <w:rPr>
                <w:rFonts w:hint="eastAsia" w:ascii="Times New Roman" w:hAnsi="Times New Roman" w:eastAsia="宋体" w:cs="Courier New"/>
                <w:b w:val="0"/>
                <w:bCs w:val="0"/>
                <w:color w:val="auto"/>
                <w:sz w:val="21"/>
                <w:szCs w:val="21"/>
                <w:highlight w:val="none"/>
                <w:lang w:val="en-US" w:eastAsia="zh-CN"/>
              </w:rPr>
              <w:sym w:font="Wingdings 2" w:char="F052"/>
            </w:r>
          </w:p>
        </w:tc>
      </w:tr>
      <w:tr w14:paraId="7FDD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5EFBB35C">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65F22AE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现状评价</w:t>
            </w:r>
          </w:p>
        </w:tc>
        <w:tc>
          <w:tcPr>
            <w:tcW w:w="1886" w:type="pct"/>
            <w:gridSpan w:val="10"/>
            <w:noWrap w:val="0"/>
            <w:vAlign w:val="top"/>
          </w:tcPr>
          <w:p w14:paraId="6D26583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达标区</w:t>
            </w:r>
            <w:r>
              <w:rPr>
                <w:rFonts w:hint="eastAsia" w:ascii="Times New Roman" w:hAnsi="Times New Roman" w:eastAsia="宋体" w:cs="Courier New"/>
                <w:b w:val="0"/>
                <w:bCs w:val="0"/>
                <w:color w:val="auto"/>
                <w:sz w:val="21"/>
                <w:szCs w:val="21"/>
                <w:highlight w:val="none"/>
                <w:lang w:val="en-US" w:eastAsia="zh-CN"/>
              </w:rPr>
              <w:sym w:font="Wingdings 2" w:char="00A3"/>
            </w:r>
          </w:p>
        </w:tc>
        <w:tc>
          <w:tcPr>
            <w:tcW w:w="1858" w:type="pct"/>
            <w:gridSpan w:val="8"/>
            <w:noWrap w:val="0"/>
            <w:vAlign w:val="top"/>
          </w:tcPr>
          <w:p w14:paraId="5C2735C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不达标区☑</w:t>
            </w:r>
          </w:p>
        </w:tc>
      </w:tr>
      <w:tr w14:paraId="2EF8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noWrap w:val="0"/>
            <w:vAlign w:val="center"/>
          </w:tcPr>
          <w:p w14:paraId="6BA1CD7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污染源</w:t>
            </w:r>
          </w:p>
          <w:p w14:paraId="30FC213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调查</w:t>
            </w:r>
          </w:p>
        </w:tc>
        <w:tc>
          <w:tcPr>
            <w:tcW w:w="685" w:type="pct"/>
            <w:noWrap w:val="0"/>
            <w:vAlign w:val="center"/>
          </w:tcPr>
          <w:p w14:paraId="56BD4B3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调查内容</w:t>
            </w:r>
          </w:p>
        </w:tc>
        <w:tc>
          <w:tcPr>
            <w:tcW w:w="1062" w:type="pct"/>
            <w:gridSpan w:val="3"/>
            <w:noWrap w:val="0"/>
            <w:vAlign w:val="center"/>
          </w:tcPr>
          <w:p w14:paraId="07F8C2C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本项目正常排放源</w:t>
            </w:r>
            <w:r>
              <w:rPr>
                <w:rFonts w:hint="eastAsia" w:ascii="Times New Roman" w:hAnsi="Times New Roman" w:eastAsia="宋体" w:cs="Courier New"/>
                <w:b w:val="0"/>
                <w:bCs w:val="0"/>
                <w:color w:val="auto"/>
                <w:sz w:val="21"/>
                <w:szCs w:val="21"/>
                <w:highlight w:val="none"/>
                <w:lang w:val="en-US" w:eastAsia="zh-CN"/>
              </w:rPr>
              <w:sym w:font="Wingdings 2" w:char="F052"/>
            </w:r>
          </w:p>
          <w:p w14:paraId="32790F8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本项目非正常排放源</w:t>
            </w:r>
            <w:r>
              <w:rPr>
                <w:rFonts w:hint="eastAsia" w:ascii="Times New Roman" w:hAnsi="Times New Roman" w:eastAsia="宋体" w:cs="Courier New"/>
                <w:b w:val="0"/>
                <w:bCs w:val="0"/>
                <w:color w:val="auto"/>
                <w:sz w:val="21"/>
                <w:szCs w:val="21"/>
                <w:highlight w:val="none"/>
                <w:lang w:val="en-US" w:eastAsia="zh-CN"/>
              </w:rPr>
              <w:sym w:font="Wingdings 2" w:char="F052"/>
            </w:r>
          </w:p>
          <w:p w14:paraId="7392EDF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现有污染源□</w:t>
            </w:r>
          </w:p>
        </w:tc>
        <w:tc>
          <w:tcPr>
            <w:tcW w:w="824" w:type="pct"/>
            <w:gridSpan w:val="7"/>
            <w:noWrap w:val="0"/>
            <w:vAlign w:val="center"/>
          </w:tcPr>
          <w:p w14:paraId="5A4CD97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拟替代的污染源</w:t>
            </w:r>
            <w:r>
              <w:rPr>
                <w:rFonts w:hint="eastAsia" w:ascii="Times New Roman" w:hAnsi="Times New Roman" w:eastAsia="宋体" w:cs="Courier New"/>
                <w:b w:val="0"/>
                <w:bCs w:val="0"/>
                <w:color w:val="auto"/>
                <w:sz w:val="21"/>
                <w:szCs w:val="21"/>
                <w:highlight w:val="none"/>
                <w:lang w:val="en-US" w:eastAsia="zh-CN"/>
              </w:rPr>
              <w:sym w:font="Wingdings 2" w:char="00A3"/>
            </w:r>
          </w:p>
        </w:tc>
        <w:tc>
          <w:tcPr>
            <w:tcW w:w="879" w:type="pct"/>
            <w:gridSpan w:val="6"/>
            <w:noWrap w:val="0"/>
            <w:vAlign w:val="center"/>
          </w:tcPr>
          <w:p w14:paraId="3FE602C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其他在建、拟建项目污染源</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978" w:type="pct"/>
            <w:gridSpan w:val="2"/>
            <w:noWrap w:val="0"/>
            <w:vAlign w:val="center"/>
          </w:tcPr>
          <w:p w14:paraId="072CF85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区域污染源□</w:t>
            </w:r>
          </w:p>
        </w:tc>
      </w:tr>
      <w:tr w14:paraId="41C3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restart"/>
            <w:noWrap w:val="0"/>
            <w:vAlign w:val="center"/>
          </w:tcPr>
          <w:p w14:paraId="58F6905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大气环境影响预测与评价</w:t>
            </w:r>
          </w:p>
        </w:tc>
        <w:tc>
          <w:tcPr>
            <w:tcW w:w="685" w:type="pct"/>
            <w:noWrap w:val="0"/>
            <w:vAlign w:val="center"/>
          </w:tcPr>
          <w:p w14:paraId="6B5AD45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预测模型</w:t>
            </w:r>
          </w:p>
        </w:tc>
        <w:tc>
          <w:tcPr>
            <w:tcW w:w="518" w:type="pct"/>
            <w:noWrap w:val="0"/>
            <w:vAlign w:val="center"/>
          </w:tcPr>
          <w:p w14:paraId="2AB2459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AERMO</w:t>
            </w:r>
          </w:p>
          <w:p w14:paraId="1BF4371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543" w:type="pct"/>
            <w:gridSpan w:val="2"/>
            <w:noWrap w:val="0"/>
            <w:vAlign w:val="center"/>
          </w:tcPr>
          <w:p w14:paraId="5F99F8B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ADMS□</w:t>
            </w:r>
          </w:p>
        </w:tc>
        <w:tc>
          <w:tcPr>
            <w:tcW w:w="559" w:type="pct"/>
            <w:gridSpan w:val="5"/>
            <w:noWrap w:val="0"/>
            <w:vAlign w:val="center"/>
          </w:tcPr>
          <w:p w14:paraId="7B2E177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AUSTAL</w:t>
            </w:r>
          </w:p>
          <w:p w14:paraId="02A8A51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2000□</w:t>
            </w:r>
          </w:p>
        </w:tc>
        <w:tc>
          <w:tcPr>
            <w:tcW w:w="547" w:type="pct"/>
            <w:gridSpan w:val="4"/>
            <w:noWrap w:val="0"/>
            <w:vAlign w:val="center"/>
          </w:tcPr>
          <w:p w14:paraId="4256736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EDMS/A</w:t>
            </w:r>
          </w:p>
          <w:p w14:paraId="464E0E0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EDT□</w:t>
            </w:r>
          </w:p>
        </w:tc>
        <w:tc>
          <w:tcPr>
            <w:tcW w:w="564" w:type="pct"/>
            <w:gridSpan w:val="3"/>
            <w:noWrap w:val="0"/>
            <w:vAlign w:val="center"/>
          </w:tcPr>
          <w:p w14:paraId="041DA0F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CALPUF</w:t>
            </w:r>
          </w:p>
          <w:p w14:paraId="14CF1A2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F□</w:t>
            </w:r>
          </w:p>
        </w:tc>
        <w:tc>
          <w:tcPr>
            <w:tcW w:w="462" w:type="pct"/>
            <w:gridSpan w:val="2"/>
            <w:noWrap w:val="0"/>
            <w:vAlign w:val="center"/>
          </w:tcPr>
          <w:p w14:paraId="773BF73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网格模</w:t>
            </w:r>
          </w:p>
          <w:p w14:paraId="640C6BF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型□</w:t>
            </w:r>
          </w:p>
        </w:tc>
        <w:tc>
          <w:tcPr>
            <w:tcW w:w="548" w:type="pct"/>
            <w:noWrap w:val="0"/>
            <w:vAlign w:val="center"/>
          </w:tcPr>
          <w:p w14:paraId="3128948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其他□</w:t>
            </w:r>
          </w:p>
        </w:tc>
      </w:tr>
      <w:tr w14:paraId="7EC9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0CC872EA">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55EBF11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预测范围</w:t>
            </w:r>
          </w:p>
        </w:tc>
        <w:tc>
          <w:tcPr>
            <w:tcW w:w="1240" w:type="pct"/>
            <w:gridSpan w:val="4"/>
            <w:noWrap w:val="0"/>
            <w:vAlign w:val="center"/>
          </w:tcPr>
          <w:p w14:paraId="14F97E5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边长≥50km□</w:t>
            </w:r>
          </w:p>
        </w:tc>
        <w:tc>
          <w:tcPr>
            <w:tcW w:w="1240" w:type="pct"/>
            <w:gridSpan w:val="9"/>
            <w:noWrap w:val="0"/>
            <w:vAlign w:val="center"/>
          </w:tcPr>
          <w:p w14:paraId="40C5921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边长5~50km</w:t>
            </w:r>
            <w:r>
              <w:rPr>
                <w:rFonts w:hint="eastAsia" w:ascii="Times New Roman" w:hAnsi="Times New Roman" w:eastAsia="宋体" w:cs="Courier New"/>
                <w:b w:val="0"/>
                <w:bCs w:val="0"/>
                <w:color w:val="auto"/>
                <w:sz w:val="21"/>
                <w:szCs w:val="21"/>
                <w:highlight w:val="none"/>
                <w:lang w:val="en-US" w:eastAsia="zh-CN"/>
              </w:rPr>
              <w:sym w:font="Wingdings 2" w:char="00A3"/>
            </w:r>
          </w:p>
        </w:tc>
        <w:tc>
          <w:tcPr>
            <w:tcW w:w="1262" w:type="pct"/>
            <w:gridSpan w:val="5"/>
            <w:noWrap w:val="0"/>
            <w:vAlign w:val="center"/>
          </w:tcPr>
          <w:p w14:paraId="44E14AC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边长=5km</w:t>
            </w:r>
            <w:r>
              <w:rPr>
                <w:rFonts w:hint="eastAsia" w:cs="Courier New"/>
                <w:b w:val="0"/>
                <w:bCs w:val="0"/>
                <w:color w:val="auto"/>
                <w:sz w:val="21"/>
                <w:szCs w:val="21"/>
                <w:highlight w:val="none"/>
                <w:lang w:val="en-US" w:eastAsia="zh-CN"/>
              </w:rPr>
              <w:t>☑</w:t>
            </w:r>
          </w:p>
        </w:tc>
      </w:tr>
      <w:tr w14:paraId="0D07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7FCC5223">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06FB318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预测因子</w:t>
            </w:r>
          </w:p>
        </w:tc>
        <w:tc>
          <w:tcPr>
            <w:tcW w:w="1858" w:type="pct"/>
            <w:gridSpan w:val="9"/>
            <w:noWrap w:val="0"/>
            <w:vAlign w:val="center"/>
          </w:tcPr>
          <w:p w14:paraId="107C47A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预测因子（</w:t>
            </w:r>
            <w:r>
              <w:rPr>
                <w:rFonts w:ascii="Times New Roman" w:hAnsi="Times New Roman"/>
                <w:color w:val="auto"/>
                <w:sz w:val="21"/>
                <w:szCs w:val="21"/>
              </w:rPr>
              <w:t>PM</w:t>
            </w:r>
            <w:r>
              <w:rPr>
                <w:rFonts w:ascii="Times New Roman" w:hAnsi="Times New Roman"/>
                <w:color w:val="auto"/>
                <w:sz w:val="21"/>
                <w:szCs w:val="21"/>
                <w:vertAlign w:val="subscript"/>
              </w:rPr>
              <w:t>10</w:t>
            </w:r>
            <w:r>
              <w:rPr>
                <w:rFonts w:ascii="Times New Roman" w:hAnsi="Times New Roman"/>
                <w:color w:val="auto"/>
                <w:sz w:val="21"/>
                <w:szCs w:val="21"/>
              </w:rPr>
              <w:t>、PM</w:t>
            </w:r>
            <w:r>
              <w:rPr>
                <w:rFonts w:ascii="Times New Roman" w:hAnsi="Times New Roman"/>
                <w:color w:val="auto"/>
                <w:sz w:val="21"/>
                <w:szCs w:val="21"/>
                <w:vertAlign w:val="subscript"/>
              </w:rPr>
              <w:t>2.5</w:t>
            </w:r>
            <w:r>
              <w:rPr>
                <w:rFonts w:ascii="Times New Roman" w:hAnsi="Times New Roman"/>
                <w:color w:val="auto"/>
                <w:sz w:val="21"/>
                <w:szCs w:val="21"/>
              </w:rPr>
              <w:t>、</w:t>
            </w:r>
            <w:r>
              <w:rPr>
                <w:rFonts w:hint="eastAsia" w:ascii="Times New Roman" w:hAnsi="Times New Roman"/>
                <w:color w:val="auto"/>
                <w:sz w:val="21"/>
                <w:szCs w:val="21"/>
              </w:rPr>
              <w:t>TSP、</w:t>
            </w:r>
            <w:r>
              <w:rPr>
                <w:rFonts w:hint="eastAsia" w:ascii="Times New Roman" w:hAnsi="Times New Roman" w:cs="Times New Roman"/>
                <w:color w:val="auto"/>
                <w:sz w:val="21"/>
                <w:szCs w:val="21"/>
                <w:lang w:val="en-US" w:eastAsia="zh-CN"/>
              </w:rPr>
              <w:t>氟化物、</w:t>
            </w:r>
            <w:r>
              <w:rPr>
                <w:rFonts w:hint="eastAsia" w:cs="Times New Roman"/>
                <w:color w:val="auto"/>
                <w:sz w:val="21"/>
                <w:szCs w:val="21"/>
                <w:lang w:val="en-US" w:eastAsia="zh-CN"/>
              </w:rPr>
              <w:t>氯化物、</w:t>
            </w:r>
            <w:r>
              <w:rPr>
                <w:rFonts w:hint="eastAsia" w:ascii="Times New Roman" w:hAnsi="Times New Roman" w:cs="Times New Roman"/>
                <w:color w:val="auto"/>
                <w:sz w:val="21"/>
                <w:szCs w:val="21"/>
                <w:lang w:val="en-US" w:eastAsia="zh-CN"/>
              </w:rPr>
              <w:t>硫酸、</w:t>
            </w:r>
            <w:r>
              <w:rPr>
                <w:rFonts w:hint="eastAsia" w:cs="Times New Roman"/>
                <w:color w:val="auto"/>
                <w:sz w:val="21"/>
                <w:szCs w:val="21"/>
                <w:lang w:val="en-US" w:eastAsia="zh-CN"/>
              </w:rPr>
              <w:t>TVOC</w:t>
            </w:r>
            <w:r>
              <w:rPr>
                <w:rFonts w:hint="eastAsia" w:ascii="Times New Roman" w:hAnsi="Times New Roman" w:eastAsia="宋体" w:cs="Courier New"/>
                <w:b w:val="0"/>
                <w:bCs w:val="0"/>
                <w:color w:val="auto"/>
                <w:sz w:val="21"/>
                <w:szCs w:val="21"/>
                <w:highlight w:val="none"/>
                <w:lang w:val="en-US" w:eastAsia="zh-CN"/>
              </w:rPr>
              <w:t>）</w:t>
            </w:r>
          </w:p>
        </w:tc>
        <w:tc>
          <w:tcPr>
            <w:tcW w:w="1885" w:type="pct"/>
            <w:gridSpan w:val="9"/>
            <w:noWrap w:val="0"/>
            <w:vAlign w:val="center"/>
          </w:tcPr>
          <w:p w14:paraId="64363DA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包括二次PM2.5□</w:t>
            </w:r>
          </w:p>
          <w:p w14:paraId="07CD0BF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不包括二次PM2.5</w:t>
            </w:r>
            <w:r>
              <w:rPr>
                <w:rFonts w:hint="eastAsia" w:ascii="Times New Roman" w:hAnsi="Times New Roman" w:eastAsia="宋体" w:cs="Courier New"/>
                <w:b w:val="0"/>
                <w:bCs w:val="0"/>
                <w:color w:val="auto"/>
                <w:sz w:val="21"/>
                <w:szCs w:val="21"/>
                <w:highlight w:val="none"/>
                <w:lang w:val="en-US" w:eastAsia="zh-CN"/>
              </w:rPr>
              <w:sym w:font="Wingdings 2" w:char="0052"/>
            </w:r>
          </w:p>
        </w:tc>
      </w:tr>
      <w:tr w14:paraId="6185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2D7611E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4FE6B35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正常排放短期浓度贡献值</w:t>
            </w:r>
          </w:p>
        </w:tc>
        <w:tc>
          <w:tcPr>
            <w:tcW w:w="1858" w:type="pct"/>
            <w:gridSpan w:val="9"/>
            <w:noWrap w:val="0"/>
            <w:vAlign w:val="center"/>
          </w:tcPr>
          <w:p w14:paraId="7E82A26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C本项目最大占标率≤100%</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1885" w:type="pct"/>
            <w:gridSpan w:val="9"/>
            <w:noWrap w:val="0"/>
            <w:vAlign w:val="center"/>
          </w:tcPr>
          <w:p w14:paraId="64C82F2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C本项目最大占标率&gt;100%□</w:t>
            </w:r>
          </w:p>
        </w:tc>
      </w:tr>
      <w:tr w14:paraId="0059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3C2A1D46">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vMerge w:val="restart"/>
            <w:noWrap w:val="0"/>
            <w:vAlign w:val="center"/>
          </w:tcPr>
          <w:p w14:paraId="47A51C4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正常排放年均浓度贡献值</w:t>
            </w:r>
          </w:p>
        </w:tc>
        <w:tc>
          <w:tcPr>
            <w:tcW w:w="1240" w:type="pct"/>
            <w:gridSpan w:val="4"/>
            <w:noWrap w:val="0"/>
            <w:vAlign w:val="center"/>
          </w:tcPr>
          <w:p w14:paraId="7DF47C8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一类区</w:t>
            </w:r>
          </w:p>
        </w:tc>
        <w:tc>
          <w:tcPr>
            <w:tcW w:w="1240" w:type="pct"/>
            <w:gridSpan w:val="9"/>
            <w:noWrap w:val="0"/>
            <w:vAlign w:val="center"/>
          </w:tcPr>
          <w:p w14:paraId="4A99958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C本项目最大占标率≤10%□</w:t>
            </w:r>
          </w:p>
        </w:tc>
        <w:tc>
          <w:tcPr>
            <w:tcW w:w="1262" w:type="pct"/>
            <w:gridSpan w:val="5"/>
            <w:noWrap w:val="0"/>
            <w:vAlign w:val="center"/>
          </w:tcPr>
          <w:p w14:paraId="4FBD77F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C本项目最大占标率&gt;10%□</w:t>
            </w:r>
          </w:p>
        </w:tc>
      </w:tr>
      <w:tr w14:paraId="3CC6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17D17D38">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vMerge w:val="continue"/>
            <w:noWrap w:val="0"/>
            <w:vAlign w:val="center"/>
          </w:tcPr>
          <w:p w14:paraId="17D03723">
            <w:pPr>
              <w:pStyle w:val="24"/>
              <w:bidi w:val="0"/>
              <w:rPr>
                <w:rFonts w:hint="eastAsia" w:ascii="Times New Roman" w:hAnsi="Times New Roman" w:eastAsia="宋体" w:cs="Courier New"/>
                <w:b w:val="0"/>
                <w:bCs w:val="0"/>
                <w:color w:val="auto"/>
                <w:sz w:val="21"/>
                <w:szCs w:val="21"/>
                <w:highlight w:val="none"/>
                <w:lang w:val="en-US" w:eastAsia="zh-CN"/>
              </w:rPr>
            </w:pPr>
          </w:p>
        </w:tc>
        <w:tc>
          <w:tcPr>
            <w:tcW w:w="1240" w:type="pct"/>
            <w:gridSpan w:val="4"/>
            <w:noWrap w:val="0"/>
            <w:vAlign w:val="center"/>
          </w:tcPr>
          <w:p w14:paraId="1F86733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二类区</w:t>
            </w:r>
          </w:p>
        </w:tc>
        <w:tc>
          <w:tcPr>
            <w:tcW w:w="1240" w:type="pct"/>
            <w:gridSpan w:val="9"/>
            <w:noWrap w:val="0"/>
            <w:vAlign w:val="center"/>
          </w:tcPr>
          <w:p w14:paraId="6449621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C本项目最大占标率≤30%</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1262" w:type="pct"/>
            <w:gridSpan w:val="5"/>
            <w:noWrap w:val="0"/>
            <w:vAlign w:val="center"/>
          </w:tcPr>
          <w:p w14:paraId="6ECE55C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C本项目最大占标率&gt;30%□</w:t>
            </w:r>
          </w:p>
        </w:tc>
      </w:tr>
      <w:tr w14:paraId="147F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22728031">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44FABFB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非正常排放1h浓度贡献值</w:t>
            </w:r>
          </w:p>
        </w:tc>
        <w:tc>
          <w:tcPr>
            <w:tcW w:w="1240" w:type="pct"/>
            <w:gridSpan w:val="4"/>
            <w:noWrap w:val="0"/>
            <w:vAlign w:val="center"/>
          </w:tcPr>
          <w:p w14:paraId="5A37A35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非正常持续时长（</w:t>
            </w:r>
            <w:r>
              <w:rPr>
                <w:rFonts w:hint="eastAsia" w:ascii="Times New Roman" w:hAnsi="Times New Roman" w:cs="Courier New"/>
                <w:b w:val="0"/>
                <w:bCs w:val="0"/>
                <w:color w:val="auto"/>
                <w:sz w:val="21"/>
                <w:szCs w:val="21"/>
                <w:highlight w:val="none"/>
                <w:lang w:val="en-US" w:eastAsia="zh-CN"/>
              </w:rPr>
              <w:t>1</w:t>
            </w:r>
            <w:r>
              <w:rPr>
                <w:rFonts w:hint="eastAsia" w:ascii="Times New Roman" w:hAnsi="Times New Roman" w:eastAsia="宋体" w:cs="Courier New"/>
                <w:b w:val="0"/>
                <w:bCs w:val="0"/>
                <w:color w:val="auto"/>
                <w:sz w:val="21"/>
                <w:szCs w:val="21"/>
                <w:highlight w:val="none"/>
                <w:lang w:val="en-US" w:eastAsia="zh-CN"/>
              </w:rPr>
              <w:t>）h</w:t>
            </w:r>
          </w:p>
        </w:tc>
        <w:tc>
          <w:tcPr>
            <w:tcW w:w="1240" w:type="pct"/>
            <w:gridSpan w:val="9"/>
            <w:noWrap w:val="0"/>
            <w:vAlign w:val="center"/>
          </w:tcPr>
          <w:p w14:paraId="4F9C904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C非正常占标率≤100%</w:t>
            </w:r>
            <w:r>
              <w:rPr>
                <w:rFonts w:hint="eastAsia" w:cs="Courier New"/>
                <w:b w:val="0"/>
                <w:bCs w:val="0"/>
                <w:color w:val="auto"/>
                <w:sz w:val="21"/>
                <w:szCs w:val="21"/>
                <w:highlight w:val="none"/>
                <w:lang w:val="en-US" w:eastAsia="zh-CN"/>
              </w:rPr>
              <w:t>☑</w:t>
            </w:r>
          </w:p>
        </w:tc>
        <w:tc>
          <w:tcPr>
            <w:tcW w:w="1262" w:type="pct"/>
            <w:gridSpan w:val="5"/>
            <w:noWrap w:val="0"/>
            <w:vAlign w:val="center"/>
          </w:tcPr>
          <w:p w14:paraId="5EB0537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C非正常占标率&gt;100%</w:t>
            </w:r>
            <w:r>
              <w:rPr>
                <w:rFonts w:hint="eastAsia" w:ascii="Times New Roman" w:hAnsi="Times New Roman" w:eastAsia="宋体" w:cs="Courier New"/>
                <w:b w:val="0"/>
                <w:bCs w:val="0"/>
                <w:color w:val="auto"/>
                <w:sz w:val="21"/>
                <w:szCs w:val="21"/>
                <w:highlight w:val="none"/>
                <w:lang w:val="en-US" w:eastAsia="zh-CN"/>
              </w:rPr>
              <w:sym w:font="Wingdings 2" w:char="00A3"/>
            </w:r>
          </w:p>
        </w:tc>
      </w:tr>
      <w:tr w14:paraId="6257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72DA7374">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737C58E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保证率日平均浓度和年平均浓度叠加值</w:t>
            </w:r>
          </w:p>
        </w:tc>
        <w:tc>
          <w:tcPr>
            <w:tcW w:w="1858" w:type="pct"/>
            <w:gridSpan w:val="9"/>
            <w:noWrap w:val="0"/>
            <w:vAlign w:val="center"/>
          </w:tcPr>
          <w:p w14:paraId="41217EC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C叠加达标</w:t>
            </w:r>
            <w:r>
              <w:rPr>
                <w:rFonts w:hint="eastAsia" w:ascii="Times New Roman" w:hAnsi="Times New Roman" w:eastAsia="宋体" w:cs="Courier New"/>
                <w:b w:val="0"/>
                <w:bCs w:val="0"/>
                <w:color w:val="auto"/>
                <w:sz w:val="21"/>
                <w:szCs w:val="21"/>
                <w:highlight w:val="none"/>
                <w:lang w:val="en-US" w:eastAsia="zh-CN"/>
              </w:rPr>
              <w:sym w:font="Wingdings 2" w:char="0052"/>
            </w:r>
          </w:p>
        </w:tc>
        <w:tc>
          <w:tcPr>
            <w:tcW w:w="1885" w:type="pct"/>
            <w:gridSpan w:val="9"/>
            <w:noWrap w:val="0"/>
            <w:vAlign w:val="center"/>
          </w:tcPr>
          <w:p w14:paraId="41404B2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C叠加不达标□</w:t>
            </w:r>
          </w:p>
        </w:tc>
      </w:tr>
      <w:tr w14:paraId="0E51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215E99EE">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3F7A5C2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区域环境质量的整体变化情况</w:t>
            </w:r>
          </w:p>
        </w:tc>
        <w:tc>
          <w:tcPr>
            <w:tcW w:w="1858" w:type="pct"/>
            <w:gridSpan w:val="9"/>
            <w:noWrap w:val="0"/>
            <w:vAlign w:val="center"/>
          </w:tcPr>
          <w:p w14:paraId="6049065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k≤-20%</w:t>
            </w:r>
            <w:r>
              <w:rPr>
                <w:rFonts w:hint="eastAsia" w:cs="Courier New"/>
                <w:b w:val="0"/>
                <w:bCs w:val="0"/>
                <w:color w:val="auto"/>
                <w:sz w:val="21"/>
                <w:szCs w:val="21"/>
                <w:highlight w:val="none"/>
                <w:lang w:val="en-US" w:eastAsia="zh-CN"/>
              </w:rPr>
              <w:t>☑</w:t>
            </w:r>
          </w:p>
        </w:tc>
        <w:tc>
          <w:tcPr>
            <w:tcW w:w="1885" w:type="pct"/>
            <w:gridSpan w:val="9"/>
            <w:noWrap w:val="0"/>
            <w:vAlign w:val="center"/>
          </w:tcPr>
          <w:p w14:paraId="7EF4676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k&gt;-20%□</w:t>
            </w:r>
          </w:p>
        </w:tc>
      </w:tr>
      <w:tr w14:paraId="619B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restart"/>
            <w:noWrap w:val="0"/>
            <w:vAlign w:val="center"/>
          </w:tcPr>
          <w:p w14:paraId="2615B43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环境监测计划</w:t>
            </w:r>
          </w:p>
        </w:tc>
        <w:tc>
          <w:tcPr>
            <w:tcW w:w="685" w:type="pct"/>
            <w:noWrap w:val="0"/>
            <w:vAlign w:val="center"/>
          </w:tcPr>
          <w:p w14:paraId="63FA30C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污染源监测</w:t>
            </w:r>
          </w:p>
        </w:tc>
        <w:tc>
          <w:tcPr>
            <w:tcW w:w="1392" w:type="pct"/>
            <w:gridSpan w:val="5"/>
            <w:noWrap w:val="0"/>
            <w:vAlign w:val="center"/>
          </w:tcPr>
          <w:p w14:paraId="629CAF1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监测因子（</w:t>
            </w:r>
            <w:r>
              <w:rPr>
                <w:rFonts w:hint="eastAsia" w:ascii="Times New Roman" w:hAnsi="Times New Roman"/>
                <w:color w:val="auto"/>
                <w:sz w:val="21"/>
                <w:szCs w:val="21"/>
                <w:lang w:val="en-US" w:eastAsia="zh-CN"/>
              </w:rPr>
              <w:t>颗粒物、</w:t>
            </w:r>
            <w:r>
              <w:rPr>
                <w:rFonts w:hint="eastAsia" w:cs="Times New Roman"/>
                <w:b w:val="0"/>
                <w:bCs w:val="0"/>
                <w:color w:val="auto"/>
                <w:sz w:val="21"/>
                <w:szCs w:val="21"/>
                <w:highlight w:val="none"/>
                <w:lang w:val="en-US" w:eastAsia="zh-CN"/>
              </w:rPr>
              <w:t>硫酸雾、氟化物、氯化氢、VOCs、NH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、臭气浓度</w:t>
            </w:r>
            <w:r>
              <w:rPr>
                <w:rFonts w:hint="eastAsia" w:ascii="Times New Roman" w:hAnsi="Times New Roman" w:eastAsia="宋体" w:cs="Courier New"/>
                <w:b w:val="0"/>
                <w:bCs w:val="0"/>
                <w:color w:val="auto"/>
                <w:sz w:val="21"/>
                <w:szCs w:val="21"/>
                <w:highlight w:val="none"/>
                <w:lang w:val="en-US" w:eastAsia="zh-CN"/>
              </w:rPr>
              <w:t>）</w:t>
            </w:r>
          </w:p>
        </w:tc>
        <w:tc>
          <w:tcPr>
            <w:tcW w:w="1088" w:type="pct"/>
            <w:gridSpan w:val="8"/>
            <w:noWrap w:val="0"/>
            <w:vAlign w:val="center"/>
          </w:tcPr>
          <w:p w14:paraId="36F83CB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有组织废气监测</w:t>
            </w:r>
            <w:r>
              <w:rPr>
                <w:rFonts w:hint="eastAsia" w:ascii="Times New Roman" w:hAnsi="Times New Roman" w:eastAsia="宋体" w:cs="Courier New"/>
                <w:b w:val="0"/>
                <w:bCs w:val="0"/>
                <w:color w:val="auto"/>
                <w:sz w:val="21"/>
                <w:szCs w:val="21"/>
                <w:highlight w:val="none"/>
                <w:lang w:val="en-US" w:eastAsia="zh-CN"/>
              </w:rPr>
              <w:sym w:font="Wingdings 2" w:char="F052"/>
            </w:r>
          </w:p>
          <w:p w14:paraId="6C4B65B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无组织废气监测</w:t>
            </w:r>
            <w:r>
              <w:rPr>
                <w:rFonts w:hint="eastAsia" w:ascii="Times New Roman" w:hAnsi="Times New Roman" w:eastAsia="宋体" w:cs="Courier New"/>
                <w:b w:val="0"/>
                <w:bCs w:val="0"/>
                <w:color w:val="auto"/>
                <w:sz w:val="21"/>
                <w:szCs w:val="21"/>
                <w:highlight w:val="none"/>
                <w:lang w:val="en-US" w:eastAsia="zh-CN"/>
              </w:rPr>
              <w:sym w:font="Wingdings 2" w:char="F052"/>
            </w:r>
          </w:p>
        </w:tc>
        <w:tc>
          <w:tcPr>
            <w:tcW w:w="1262" w:type="pct"/>
            <w:gridSpan w:val="5"/>
            <w:noWrap w:val="0"/>
            <w:vAlign w:val="center"/>
          </w:tcPr>
          <w:p w14:paraId="54FD1A2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无监测□</w:t>
            </w:r>
          </w:p>
        </w:tc>
      </w:tr>
      <w:tr w14:paraId="6F53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29D35A94">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5F643D7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环境质量监测</w:t>
            </w:r>
          </w:p>
        </w:tc>
        <w:tc>
          <w:tcPr>
            <w:tcW w:w="1392" w:type="pct"/>
            <w:gridSpan w:val="5"/>
            <w:noWrap w:val="0"/>
            <w:vAlign w:val="center"/>
          </w:tcPr>
          <w:p w14:paraId="421513A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监测因子（）</w:t>
            </w:r>
          </w:p>
        </w:tc>
        <w:tc>
          <w:tcPr>
            <w:tcW w:w="1088" w:type="pct"/>
            <w:gridSpan w:val="8"/>
            <w:noWrap w:val="0"/>
            <w:vAlign w:val="center"/>
          </w:tcPr>
          <w:p w14:paraId="1E726D6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监测点位数（）</w:t>
            </w:r>
          </w:p>
        </w:tc>
        <w:tc>
          <w:tcPr>
            <w:tcW w:w="1262" w:type="pct"/>
            <w:gridSpan w:val="5"/>
            <w:noWrap w:val="0"/>
            <w:vAlign w:val="center"/>
          </w:tcPr>
          <w:p w14:paraId="4BB88B3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无监测□</w:t>
            </w:r>
          </w:p>
        </w:tc>
      </w:tr>
      <w:tr w14:paraId="1855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restart"/>
            <w:noWrap w:val="0"/>
            <w:vAlign w:val="center"/>
          </w:tcPr>
          <w:p w14:paraId="0133ADC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评价结论</w:t>
            </w:r>
          </w:p>
        </w:tc>
        <w:tc>
          <w:tcPr>
            <w:tcW w:w="685" w:type="pct"/>
            <w:noWrap w:val="0"/>
            <w:vAlign w:val="center"/>
          </w:tcPr>
          <w:p w14:paraId="5FDE4AF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环境影响</w:t>
            </w:r>
          </w:p>
        </w:tc>
        <w:tc>
          <w:tcPr>
            <w:tcW w:w="3744" w:type="pct"/>
            <w:gridSpan w:val="18"/>
            <w:noWrap w:val="0"/>
            <w:vAlign w:val="center"/>
          </w:tcPr>
          <w:p w14:paraId="2311C6A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可以接受</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 xml:space="preserve">        不可以接受□</w:t>
            </w:r>
          </w:p>
        </w:tc>
      </w:tr>
      <w:tr w14:paraId="0A5D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1F4CA26C">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48182C5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大气环境防护距离</w:t>
            </w:r>
          </w:p>
        </w:tc>
        <w:tc>
          <w:tcPr>
            <w:tcW w:w="3744" w:type="pct"/>
            <w:gridSpan w:val="18"/>
            <w:noWrap w:val="0"/>
            <w:vAlign w:val="center"/>
          </w:tcPr>
          <w:p w14:paraId="4827AFB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距（  /  ）厂界最远（  /  ）m</w:t>
            </w:r>
          </w:p>
        </w:tc>
      </w:tr>
      <w:tr w14:paraId="49F9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0" w:type="pct"/>
            <w:vMerge w:val="continue"/>
            <w:noWrap w:val="0"/>
            <w:vAlign w:val="center"/>
          </w:tcPr>
          <w:p w14:paraId="0BFA1636">
            <w:pPr>
              <w:pStyle w:val="24"/>
              <w:bidi w:val="0"/>
              <w:rPr>
                <w:rFonts w:hint="eastAsia" w:ascii="Times New Roman" w:hAnsi="Times New Roman" w:eastAsia="宋体" w:cs="Courier New"/>
                <w:b w:val="0"/>
                <w:bCs w:val="0"/>
                <w:color w:val="auto"/>
                <w:sz w:val="21"/>
                <w:szCs w:val="21"/>
                <w:highlight w:val="none"/>
                <w:lang w:val="en-US" w:eastAsia="zh-CN"/>
              </w:rPr>
            </w:pPr>
          </w:p>
        </w:tc>
        <w:tc>
          <w:tcPr>
            <w:tcW w:w="685" w:type="pct"/>
            <w:noWrap w:val="0"/>
            <w:vAlign w:val="center"/>
          </w:tcPr>
          <w:p w14:paraId="0F5A768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污染源年排放量</w:t>
            </w:r>
          </w:p>
        </w:tc>
        <w:tc>
          <w:tcPr>
            <w:tcW w:w="1058" w:type="pct"/>
            <w:gridSpan w:val="2"/>
            <w:noWrap w:val="0"/>
            <w:vAlign w:val="center"/>
          </w:tcPr>
          <w:p w14:paraId="1D7ED22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SO</w:t>
            </w:r>
            <w:r>
              <w:rPr>
                <w:rFonts w:hint="eastAsia" w:ascii="Times New Roman" w:hAnsi="Times New Roman" w:eastAsia="宋体" w:cs="Courier New"/>
                <w:b w:val="0"/>
                <w:bCs w:val="0"/>
                <w:color w:val="auto"/>
                <w:sz w:val="21"/>
                <w:szCs w:val="21"/>
                <w:highlight w:val="none"/>
                <w:vertAlign w:val="subscript"/>
                <w:lang w:val="en-US" w:eastAsia="zh-CN"/>
              </w:rPr>
              <w:t>2</w:t>
            </w:r>
            <w:r>
              <w:rPr>
                <w:rFonts w:hint="eastAsia" w:ascii="Times New Roman" w:hAnsi="Times New Roman" w:eastAsia="宋体" w:cs="Courier New"/>
                <w:b w:val="0"/>
                <w:bCs w:val="0"/>
                <w:color w:val="auto"/>
                <w:sz w:val="21"/>
                <w:szCs w:val="21"/>
                <w:highlight w:val="none"/>
                <w:lang w:val="en-US" w:eastAsia="zh-CN"/>
              </w:rPr>
              <w:t>（）t/a</w:t>
            </w:r>
          </w:p>
        </w:tc>
        <w:tc>
          <w:tcPr>
            <w:tcW w:w="911" w:type="pct"/>
            <w:gridSpan w:val="9"/>
            <w:noWrap w:val="0"/>
            <w:vAlign w:val="center"/>
          </w:tcPr>
          <w:p w14:paraId="61C8ACE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NOx（）t/a</w:t>
            </w:r>
          </w:p>
        </w:tc>
        <w:tc>
          <w:tcPr>
            <w:tcW w:w="794" w:type="pct"/>
            <w:gridSpan w:val="5"/>
            <w:noWrap w:val="0"/>
            <w:vAlign w:val="center"/>
          </w:tcPr>
          <w:p w14:paraId="649073F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颗粒物（</w:t>
            </w:r>
            <w:r>
              <w:rPr>
                <w:rFonts w:hint="eastAsia" w:cs="Courier New"/>
                <w:b w:val="0"/>
                <w:bCs w:val="0"/>
                <w:color w:val="auto"/>
                <w:sz w:val="21"/>
                <w:szCs w:val="21"/>
                <w:highlight w:val="none"/>
                <w:lang w:val="en-US" w:eastAsia="zh-CN"/>
              </w:rPr>
              <w:t>0.0084</w:t>
            </w:r>
            <w:r>
              <w:rPr>
                <w:rFonts w:hint="eastAsia" w:ascii="Times New Roman" w:hAnsi="Times New Roman" w:eastAsia="宋体" w:cs="Courier New"/>
                <w:b w:val="0"/>
                <w:bCs w:val="0"/>
                <w:color w:val="auto"/>
                <w:sz w:val="21"/>
                <w:szCs w:val="21"/>
                <w:highlight w:val="none"/>
                <w:lang w:val="en-US" w:eastAsia="zh-CN"/>
              </w:rPr>
              <w:t>）t/a</w:t>
            </w:r>
          </w:p>
        </w:tc>
        <w:tc>
          <w:tcPr>
            <w:tcW w:w="978" w:type="pct"/>
            <w:gridSpan w:val="2"/>
            <w:noWrap w:val="0"/>
            <w:vAlign w:val="center"/>
          </w:tcPr>
          <w:p w14:paraId="1185D50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硫酸雾（0.0145）t/a、</w:t>
            </w:r>
            <w:r>
              <w:rPr>
                <w:rFonts w:hint="eastAsia" w:cs="Courier New"/>
                <w:b w:val="0"/>
                <w:bCs w:val="0"/>
                <w:color w:val="auto"/>
                <w:sz w:val="21"/>
                <w:szCs w:val="21"/>
                <w:highlight w:val="none"/>
                <w:lang w:val="en-US" w:eastAsia="zh-CN"/>
              </w:rPr>
              <w:t>氟化物</w:t>
            </w:r>
            <w:r>
              <w:rPr>
                <w:rFonts w:hint="eastAsia" w:ascii="Times New Roman" w:hAnsi="Times New Roman" w:cs="Courier New"/>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0.0300</w:t>
            </w:r>
            <w:r>
              <w:rPr>
                <w:rFonts w:hint="eastAsia" w:ascii="Times New Roman" w:hAnsi="Times New Roman" w:cs="Courier New"/>
                <w:b w:val="0"/>
                <w:bCs w:val="0"/>
                <w:color w:val="auto"/>
                <w:sz w:val="21"/>
                <w:szCs w:val="21"/>
                <w:highlight w:val="none"/>
                <w:lang w:val="en-US" w:eastAsia="zh-CN"/>
              </w:rPr>
              <w:t>）t/a、</w:t>
            </w:r>
            <w:r>
              <w:rPr>
                <w:rFonts w:hint="eastAsia" w:cs="Courier New"/>
                <w:b w:val="0"/>
                <w:bCs w:val="0"/>
                <w:color w:val="auto"/>
                <w:sz w:val="21"/>
                <w:szCs w:val="21"/>
                <w:highlight w:val="none"/>
                <w:lang w:val="en-US" w:eastAsia="zh-CN"/>
              </w:rPr>
              <w:t>氯化氢（1.60E-06）t/a、</w:t>
            </w:r>
            <w:r>
              <w:rPr>
                <w:rFonts w:hint="eastAsia" w:ascii="Times New Roman" w:hAnsi="Times New Roman" w:eastAsia="宋体" w:cs="Courier New"/>
                <w:b w:val="0"/>
                <w:bCs w:val="0"/>
                <w:color w:val="auto"/>
                <w:sz w:val="21"/>
                <w:szCs w:val="21"/>
                <w:highlight w:val="none"/>
                <w:lang w:val="en-US" w:eastAsia="zh-CN"/>
              </w:rPr>
              <w:t>VOCs（</w:t>
            </w:r>
            <w:r>
              <w:rPr>
                <w:rFonts w:hint="eastAsia" w:cs="Courier New"/>
                <w:b w:val="0"/>
                <w:bCs w:val="0"/>
                <w:color w:val="auto"/>
                <w:sz w:val="21"/>
                <w:szCs w:val="21"/>
                <w:highlight w:val="none"/>
                <w:lang w:val="en-US" w:eastAsia="zh-CN"/>
              </w:rPr>
              <w:t>0.0605</w:t>
            </w:r>
            <w:r>
              <w:rPr>
                <w:rFonts w:hint="eastAsia" w:ascii="Times New Roman" w:hAnsi="Times New Roman" w:eastAsia="宋体" w:cs="Courier New"/>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t</w:t>
            </w:r>
            <w:r>
              <w:rPr>
                <w:rFonts w:hint="eastAsia" w:ascii="Times New Roman" w:hAnsi="Times New Roman" w:eastAsia="宋体" w:cs="Courier New"/>
                <w:b w:val="0"/>
                <w:bCs w:val="0"/>
                <w:color w:val="auto"/>
                <w:sz w:val="21"/>
                <w:szCs w:val="21"/>
                <w:highlight w:val="none"/>
                <w:lang w:val="en-US" w:eastAsia="zh-CN"/>
              </w:rPr>
              <w:t>/a、NH</w:t>
            </w:r>
            <w:r>
              <w:rPr>
                <w:rFonts w:hint="eastAsia" w:ascii="Times New Roman" w:hAnsi="Times New Roman" w:eastAsia="宋体" w:cs="Courier New"/>
                <w:b w:val="0"/>
                <w:bCs w:val="0"/>
                <w:color w:val="auto"/>
                <w:sz w:val="21"/>
                <w:szCs w:val="21"/>
                <w:highlight w:val="none"/>
                <w:vertAlign w:val="subscript"/>
                <w:lang w:val="en-US" w:eastAsia="zh-CN"/>
              </w:rPr>
              <w:t>3</w:t>
            </w:r>
            <w:r>
              <w:rPr>
                <w:rFonts w:hint="eastAsia" w:ascii="Times New Roman" w:hAnsi="Times New Roman" w:eastAsia="宋体" w:cs="Courier New"/>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w:t>
            </w:r>
            <w:r>
              <w:rPr>
                <w:rFonts w:hint="eastAsia" w:cs="Courier New"/>
                <w:b w:val="0"/>
                <w:bCs w:val="0"/>
                <w:color w:val="auto"/>
                <w:sz w:val="21"/>
                <w:szCs w:val="21"/>
                <w:highlight w:val="none"/>
                <w:lang w:val="en-US" w:eastAsia="zh-CN"/>
              </w:rPr>
              <w:t>t</w:t>
            </w:r>
            <w:r>
              <w:rPr>
                <w:rFonts w:hint="eastAsia" w:ascii="Times New Roman" w:hAnsi="Times New Roman" w:eastAsia="宋体" w:cs="Courier New"/>
                <w:b w:val="0"/>
                <w:bCs w:val="0"/>
                <w:color w:val="auto"/>
                <w:sz w:val="21"/>
                <w:szCs w:val="21"/>
                <w:highlight w:val="none"/>
                <w:lang w:val="en-US" w:eastAsia="zh-CN"/>
              </w:rPr>
              <w:t>/a、</w:t>
            </w:r>
            <w:r>
              <w:rPr>
                <w:rFonts w:hint="eastAsia" w:cs="Courier New"/>
                <w:b w:val="0"/>
                <w:bCs w:val="0"/>
                <w:color w:val="auto"/>
                <w:sz w:val="21"/>
                <w:szCs w:val="21"/>
                <w:highlight w:val="none"/>
                <w:lang w:val="en-US" w:eastAsia="zh-CN"/>
              </w:rPr>
              <w:t>臭气浓度（/）t/a</w:t>
            </w:r>
          </w:p>
        </w:tc>
      </w:tr>
      <w:tr w14:paraId="6111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000" w:type="pct"/>
            <w:gridSpan w:val="20"/>
            <w:noWrap w:val="0"/>
            <w:vAlign w:val="center"/>
          </w:tcPr>
          <w:p w14:paraId="41C41671">
            <w:pPr>
              <w:pStyle w:val="24"/>
              <w:bidi w:val="0"/>
              <w:jc w:val="both"/>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注：</w:t>
            </w:r>
            <w:r>
              <w:rPr>
                <w:rFonts w:hint="eastAsia" w:ascii="宋体" w:hAnsi="宋体" w:eastAsia="宋体" w:cs="宋体"/>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为勾选项，填</w:t>
            </w:r>
            <w:r>
              <w:rPr>
                <w:rFonts w:hint="eastAsia" w:ascii="宋体" w:hAnsi="宋体" w:eastAsia="宋体" w:cs="宋体"/>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 ）</w:t>
            </w:r>
            <w:r>
              <w:rPr>
                <w:rFonts w:hint="eastAsia" w:ascii="宋体" w:hAnsi="宋体" w:eastAsia="宋体" w:cs="宋体"/>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为内容填写项</w:t>
            </w:r>
          </w:p>
        </w:tc>
      </w:tr>
    </w:tbl>
    <w:p w14:paraId="6BEBCF3F">
      <w:pPr>
        <w:pStyle w:val="4"/>
        <w:bidi w:val="0"/>
        <w:ind w:left="1855" w:leftChars="0" w:hanging="1855" w:firstLineChars="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地表水</w:t>
      </w:r>
      <w:r>
        <w:rPr>
          <w:rFonts w:hint="default" w:ascii="Times New Roman" w:hAnsi="Times New Roman"/>
          <w:color w:val="auto"/>
          <w:highlight w:val="none"/>
          <w:lang w:val="en-US" w:eastAsia="zh-CN"/>
        </w:rPr>
        <w:t>环境</w:t>
      </w:r>
      <w:r>
        <w:rPr>
          <w:rFonts w:hint="eastAsia" w:ascii="Times New Roman" w:hAnsi="Times New Roman"/>
          <w:color w:val="auto"/>
          <w:highlight w:val="none"/>
          <w:lang w:val="en-US" w:eastAsia="zh-CN"/>
        </w:rPr>
        <w:t>影响分析</w:t>
      </w:r>
    </w:p>
    <w:p w14:paraId="20BBABD1">
      <w:pPr>
        <w:pStyle w:val="5"/>
        <w:bidi w:val="0"/>
        <w:ind w:left="864" w:leftChars="0" w:hanging="864" w:firstLineChars="0"/>
        <w:rPr>
          <w:color w:val="auto"/>
          <w:highlight w:val="none"/>
        </w:rPr>
      </w:pPr>
      <w:r>
        <w:rPr>
          <w:rFonts w:hint="eastAsia"/>
          <w:color w:val="auto"/>
          <w:highlight w:val="none"/>
          <w:lang w:val="en-US" w:eastAsia="zh-CN"/>
        </w:rPr>
        <w:t>废水治理措施</w:t>
      </w:r>
    </w:p>
    <w:p w14:paraId="2315D725">
      <w:pPr>
        <w:pStyle w:val="26"/>
        <w:bidi w:val="0"/>
        <w:rPr>
          <w:rFonts w:hint="eastAsia"/>
          <w:color w:val="auto"/>
          <w:highlight w:val="none"/>
          <w:lang w:val="en-US" w:eastAsia="zh-CN"/>
        </w:rPr>
      </w:pPr>
      <w:r>
        <w:rPr>
          <w:rFonts w:hint="eastAsia"/>
          <w:color w:val="auto"/>
          <w:highlight w:val="none"/>
          <w:lang w:val="en-US" w:eastAsia="zh-CN"/>
        </w:rPr>
        <w:t>本项目生产用水进入产品，无废水产生；蒸汽用水冷凝后循环使用；质检废液、涉及磷及重金属的器皿清洗废水及其余器皿前三次清洗废水经收集后作为危废处置。运营期废水包括其余器皿三次后清洗废水、车间地面清洁废水、反冲洗废水、循环排污水、喷淋废水、生活污水和初期雨水</w:t>
      </w:r>
      <w:r>
        <w:rPr>
          <w:rFonts w:hint="eastAsia"/>
          <w:bCs/>
          <w:color w:val="auto"/>
          <w:sz w:val="24"/>
          <w:szCs w:val="24"/>
          <w:highlight w:val="none"/>
          <w:lang w:eastAsia="zh-CN"/>
        </w:rPr>
        <w:t>。</w:t>
      </w:r>
    </w:p>
    <w:p w14:paraId="4021F8D7">
      <w:pPr>
        <w:pStyle w:val="26"/>
        <w:bidi w:val="0"/>
        <w:rPr>
          <w:rFonts w:hint="eastAsia"/>
          <w:color w:val="auto"/>
          <w:highlight w:val="none"/>
          <w:lang w:val="en-US" w:eastAsia="zh-CN"/>
        </w:rPr>
      </w:pPr>
      <w:r>
        <w:rPr>
          <w:rFonts w:hint="eastAsia"/>
          <w:color w:val="auto"/>
          <w:highlight w:val="none"/>
          <w:lang w:val="en-US" w:eastAsia="zh-CN"/>
        </w:rPr>
        <w:t>本项目排水采用“雨污分流、清污分流”的方式，厂区设置</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w:t>
      </w:r>
      <w:r>
        <w:rPr>
          <w:rFonts w:hint="default" w:ascii="Times New Roman" w:hAnsi="Times New Roman" w:eastAsia="宋体" w:cs="Times New Roman"/>
          <w:color w:val="auto"/>
          <w:sz w:val="24"/>
          <w:szCs w:val="24"/>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vertAlign w:val="baseline"/>
          <w:lang w:val="en-US" w:eastAsia="zh-CN"/>
        </w:rPr>
        <w:t>沉淀池和</w:t>
      </w:r>
      <w:r>
        <w:rPr>
          <w:rFonts w:hint="default" w:ascii="Times New Roman" w:hAnsi="Times New Roman" w:cs="Times New Roman"/>
          <w:color w:val="auto"/>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预处理池</w:t>
      </w:r>
      <w:r>
        <w:rPr>
          <w:rFonts w:hint="eastAsia" w:cs="Times New Roman"/>
          <w:color w:val="auto"/>
          <w:lang w:val="en-US" w:eastAsia="zh-CN"/>
        </w:rPr>
        <w:t>。</w:t>
      </w:r>
      <w:r>
        <w:rPr>
          <w:rFonts w:hint="eastAsia" w:cs="Times New Roman"/>
          <w:color w:val="auto"/>
          <w:sz w:val="24"/>
          <w:szCs w:val="24"/>
          <w:lang w:val="en-US" w:eastAsia="zh-CN"/>
        </w:rPr>
        <w:t>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作为回用水用于高性能聚羧酸减水剂复配；运营期外排废水为生活污水。</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w:t>
      </w:r>
    </w:p>
    <w:p w14:paraId="4D6ECA40">
      <w:pPr>
        <w:bidi w:val="0"/>
        <w:ind w:left="0" w:leftChars="0" w:firstLine="480" w:firstLineChars="200"/>
        <w:rPr>
          <w:rFonts w:hint="eastAsia"/>
          <w:color w:val="auto"/>
          <w:highlight w:val="none"/>
          <w:lang w:val="en-US" w:eastAsia="zh-CN"/>
        </w:rPr>
      </w:pPr>
      <w:r>
        <w:rPr>
          <w:rFonts w:hint="eastAsia"/>
          <w:color w:val="auto"/>
          <w:sz w:val="24"/>
          <w:lang w:val="en-US" w:eastAsia="zh-CN"/>
        </w:rPr>
        <w:t>根据巴中市生态环境局《关于通江县秋锦山产业园区综合污水处理厂及配套设施建设项目环境影响报告书的批复》（巴环境审〔2024〕34号），通江县秋锦山产业园区综合污水处理厂环境影响评价文件</w:t>
      </w:r>
      <w:r>
        <w:rPr>
          <w:rFonts w:hint="eastAsia"/>
          <w:color w:val="auto"/>
          <w:highlight w:val="none"/>
          <w:lang w:val="en-US" w:eastAsia="zh-CN"/>
        </w:rPr>
        <w:t>于2024年11月通过审批，出水标准为《城镇污水处理厂污染物排放标准》（GB18918-2002）中一级A标准；</w:t>
      </w: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因此，根据</w:t>
      </w:r>
      <w:r>
        <w:rPr>
          <w:rFonts w:hint="eastAsia"/>
          <w:color w:val="auto"/>
          <w:highlight w:val="none"/>
          <w:lang w:val="en-US" w:eastAsia="zh-CN"/>
        </w:rPr>
        <w:t>2025年7月1日实施的</w:t>
      </w:r>
      <w:r>
        <w:rPr>
          <w:rFonts w:hint="eastAsia"/>
          <w:color w:val="auto"/>
          <w:sz w:val="24"/>
          <w:lang w:val="en-US" w:eastAsia="zh-CN"/>
        </w:rPr>
        <w:t>《四川省化工园区水污染物排放标准》（DB51/3202-2024）中“4.2.1 新建排污单位自本文件实施之日起，现有排污单位自本文件实施之日起24个月后，应执行表1、表2和表3的规定及其他污染控制要求。”，</w:t>
      </w:r>
      <w:r>
        <w:rPr>
          <w:rFonts w:hint="eastAsia"/>
          <w:color w:val="auto"/>
          <w:lang w:val="en-US" w:eastAsia="zh-CN"/>
        </w:rPr>
        <w:t>通江县秋锦山产业园区综合污水处理厂</w:t>
      </w:r>
      <w:r>
        <w:rPr>
          <w:rFonts w:hint="eastAsia"/>
          <w:color w:val="auto"/>
          <w:sz w:val="24"/>
          <w:lang w:val="en-US" w:eastAsia="zh-CN"/>
        </w:rPr>
        <w:t>近期</w:t>
      </w:r>
      <w:r>
        <w:rPr>
          <w:rFonts w:hint="eastAsia"/>
          <w:color w:val="auto"/>
          <w:lang w:val="en-US" w:eastAsia="zh-CN"/>
        </w:rPr>
        <w:t>出水标准为</w:t>
      </w:r>
      <w:r>
        <w:rPr>
          <w:rFonts w:hint="eastAsia"/>
          <w:color w:val="auto"/>
          <w:highlight w:val="none"/>
          <w:lang w:val="en-US" w:eastAsia="zh-CN"/>
        </w:rPr>
        <w:t>《城镇污水处理厂污染物排放标准》（GB18918-2002）中一级A标准；2027年7月1日起，出水标准为</w:t>
      </w:r>
      <w:r>
        <w:rPr>
          <w:rFonts w:hint="eastAsia"/>
          <w:color w:val="auto"/>
          <w:sz w:val="24"/>
          <w:lang w:val="en-US" w:eastAsia="zh-CN"/>
        </w:rPr>
        <w:t>《四川省化工园区水污染物排放标准》（DB51/3202-2024）表2中直接排放二级标准</w:t>
      </w:r>
      <w:r>
        <w:rPr>
          <w:rFonts w:hint="eastAsia"/>
          <w:color w:val="auto"/>
          <w:highlight w:val="none"/>
          <w:lang w:val="en-US" w:eastAsia="zh-CN"/>
        </w:rPr>
        <w:t>。</w:t>
      </w:r>
    </w:p>
    <w:p w14:paraId="411BEFFC">
      <w:pPr>
        <w:pStyle w:val="26"/>
        <w:bidi w:val="0"/>
        <w:rPr>
          <w:rFonts w:hint="default"/>
          <w:color w:val="auto"/>
          <w:highlight w:val="none"/>
          <w:lang w:val="en-US" w:eastAsia="zh-CN"/>
        </w:rPr>
      </w:pPr>
      <w:r>
        <w:rPr>
          <w:rFonts w:hint="eastAsia"/>
          <w:color w:val="auto"/>
          <w:highlight w:val="none"/>
          <w:lang w:val="en-US" w:eastAsia="zh-CN"/>
        </w:rPr>
        <w:t>综上，本项目</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通过园区污水管网排入通江县秋锦山产业园区综合污水处理厂进行处理，近期水质达到《城镇污水处理厂污染物排放标准》（GB18918-2002）中一级A标准后排入通江河；2027年7月1日起，水质达到</w:t>
      </w:r>
      <w:r>
        <w:rPr>
          <w:rFonts w:hint="eastAsia"/>
          <w:color w:val="auto"/>
          <w:sz w:val="24"/>
          <w:lang w:val="en-US" w:eastAsia="zh-CN"/>
        </w:rPr>
        <w:t>《四川省化工园区水污染物排放标准》（DB51/3202-2024）表2中直接排放二级标准后</w:t>
      </w:r>
      <w:r>
        <w:rPr>
          <w:rFonts w:hint="eastAsia"/>
          <w:color w:val="auto"/>
          <w:highlight w:val="none"/>
          <w:lang w:val="en-US" w:eastAsia="zh-CN"/>
        </w:rPr>
        <w:t>排入通江河。</w:t>
      </w:r>
      <w:r>
        <w:rPr>
          <w:rFonts w:hint="eastAsia"/>
          <w:b/>
          <w:bCs/>
          <w:color w:val="auto"/>
          <w:lang w:val="en-US" w:eastAsia="zh-CN"/>
        </w:rPr>
        <w:t>环评要求：为确保项目外排废水得到可靠有效的处理，在通江县秋锦山产业园区综合污水处理厂建成投运前，本项目不得投产。同时，建设单位应尽快与污水处理厂业主单位签订污水接纳协议，确保项目外排废水得到有效处理。</w:t>
      </w:r>
    </w:p>
    <w:p w14:paraId="66692DD3">
      <w:pPr>
        <w:pStyle w:val="5"/>
        <w:bidi w:val="0"/>
        <w:ind w:left="864" w:leftChars="0" w:hanging="864" w:firstLineChars="0"/>
        <w:rPr>
          <w:color w:val="auto"/>
          <w:highlight w:val="none"/>
        </w:rPr>
      </w:pPr>
      <w:r>
        <w:rPr>
          <w:rFonts w:hint="eastAsia"/>
          <w:color w:val="auto"/>
          <w:highlight w:val="none"/>
          <w:lang w:val="en-US" w:eastAsia="zh-CN"/>
        </w:rPr>
        <w:t>污水处理设施环境可行性</w:t>
      </w:r>
    </w:p>
    <w:p w14:paraId="6B817E10">
      <w:pPr>
        <w:pStyle w:val="6"/>
        <w:bidi w:val="0"/>
        <w:ind w:left="0" w:leftChars="0" w:firstLine="482" w:firstLineChars="20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eastAsia" w:ascii="Times New Roman" w:hAnsi="Times New Roman" w:cs="Times New Roman"/>
          <w:b/>
          <w:bCs/>
          <w:color w:val="auto"/>
          <w:highlight w:val="none"/>
          <w:lang w:val="en-US" w:eastAsia="zh-CN"/>
        </w:rPr>
        <w:t>初期雨水池及调节池</w:t>
      </w:r>
      <w:r>
        <w:rPr>
          <w:rFonts w:hint="eastAsia" w:ascii="Times New Roman" w:hAnsi="Times New Roman" w:eastAsia="宋体" w:cs="Times New Roman"/>
          <w:b/>
          <w:bCs/>
          <w:color w:val="auto"/>
          <w:highlight w:val="none"/>
          <w:lang w:val="en-US" w:eastAsia="zh-CN"/>
        </w:rPr>
        <w:t>环境可行性</w:t>
      </w:r>
    </w:p>
    <w:p w14:paraId="516EF74D">
      <w:pPr>
        <w:pStyle w:val="26"/>
        <w:bidi w:val="0"/>
        <w:rPr>
          <w:rFonts w:hint="eastAsia"/>
          <w:color w:val="auto"/>
          <w:kern w:val="24"/>
          <w:sz w:val="24"/>
          <w:highlight w:val="none"/>
          <w:lang w:val="en-US" w:eastAsia="zh-CN"/>
        </w:rPr>
      </w:pPr>
      <w:r>
        <w:rPr>
          <w:rFonts w:hint="eastAsia"/>
          <w:color w:val="auto"/>
          <w:highlight w:val="none"/>
          <w:lang w:val="en-US" w:eastAsia="zh-CN"/>
        </w:rPr>
        <w:t>厂区设置</w:t>
      </w:r>
      <w:r>
        <w:rPr>
          <w:rFonts w:hint="default" w:ascii="Times New Roman" w:hAnsi="Times New Roman" w:cs="Times New Roman"/>
          <w:color w:val="auto"/>
          <w:lang w:val="en-US" w:eastAsia="zh-CN"/>
        </w:rPr>
        <w:t>1</w:t>
      </w:r>
      <w:r>
        <w:rPr>
          <w:rFonts w:hint="eastAsia" w:cs="Times New Roman"/>
          <w:color w:val="auto"/>
          <w:lang w:val="en-US" w:eastAsia="zh-CN"/>
        </w:rPr>
        <w:t>座</w:t>
      </w:r>
      <w:r>
        <w:rPr>
          <w:rFonts w:hint="eastAsia" w:ascii="Times New Roman" w:hAnsi="Times New Roman" w:cs="Times New Roman"/>
          <w:color w:val="auto"/>
          <w:lang w:val="en-US" w:eastAsia="zh-CN"/>
        </w:rPr>
        <w:t>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ascii="Times New Roman" w:hAnsi="Times New Roman" w:eastAsia="宋体" w:cs="Times New Roman"/>
          <w:color w:val="auto"/>
          <w:sz w:val="24"/>
          <w:szCs w:val="24"/>
          <w:lang w:val="en-US" w:eastAsia="zh-CN"/>
        </w:rPr>
        <w:t>，</w:t>
      </w:r>
      <w:r>
        <w:rPr>
          <w:rFonts w:hint="eastAsia"/>
          <w:color w:val="auto"/>
          <w:sz w:val="24"/>
          <w:lang w:val="en-US" w:eastAsia="zh-CN"/>
        </w:rPr>
        <w:t>本项目一次初期雨水量为187.5</w:t>
      </w:r>
      <w:r>
        <w:rPr>
          <w:rFonts w:hint="eastAsia"/>
          <w:color w:val="auto"/>
          <w:kern w:val="24"/>
          <w:sz w:val="24"/>
          <w:highlight w:val="none"/>
          <w:lang w:val="en-US" w:eastAsia="zh-CN"/>
        </w:rPr>
        <w:t>m</w:t>
      </w:r>
      <w:r>
        <w:rPr>
          <w:rFonts w:hint="eastAsia"/>
          <w:color w:val="auto"/>
          <w:kern w:val="24"/>
          <w:sz w:val="24"/>
          <w:highlight w:val="none"/>
          <w:vertAlign w:val="superscript"/>
          <w:lang w:val="en-US" w:eastAsia="zh-CN"/>
        </w:rPr>
        <w:t>3</w:t>
      </w:r>
      <w:r>
        <w:rPr>
          <w:rFonts w:hint="eastAsia" w:ascii="Times New Roman" w:hAnsi="Times New Roman" w:eastAsia="宋体" w:cs="Times New Roman"/>
          <w:bCs/>
          <w:color w:val="auto"/>
          <w:sz w:val="24"/>
          <w:highlight w:val="none"/>
          <w:lang w:val="en-US" w:eastAsia="zh-CN" w:bidi="en-US"/>
        </w:rPr>
        <w:t>，</w:t>
      </w:r>
      <w:r>
        <w:rPr>
          <w:rFonts w:hint="default" w:ascii="Times New Roman" w:hAnsi="Times New Roman" w:cs="Times New Roman"/>
          <w:color w:val="auto"/>
          <w:lang w:val="en-US" w:eastAsia="zh-CN"/>
        </w:rPr>
        <w:t>初期雨水池</w:t>
      </w:r>
      <w:r>
        <w:rPr>
          <w:rFonts w:hint="eastAsia" w:ascii="Times New Roman" w:hAnsi="Times New Roman" w:cs="Times New Roman"/>
          <w:color w:val="auto"/>
          <w:lang w:val="en-US" w:eastAsia="zh-CN"/>
        </w:rPr>
        <w:t>容积满足厂区</w:t>
      </w:r>
      <w:r>
        <w:rPr>
          <w:rFonts w:hint="eastAsia"/>
          <w:color w:val="auto"/>
          <w:sz w:val="24"/>
          <w:lang w:val="en-US" w:eastAsia="zh-CN"/>
        </w:rPr>
        <w:t>一次初期雨水量暂存需求，</w:t>
      </w:r>
      <w:r>
        <w:rPr>
          <w:rFonts w:hint="eastAsia"/>
          <w:color w:val="auto"/>
          <w:kern w:val="24"/>
          <w:sz w:val="24"/>
          <w:highlight w:val="none"/>
          <w:lang w:val="en-US" w:eastAsia="zh-CN"/>
        </w:rPr>
        <w:t>满足环境可行性要求。</w:t>
      </w:r>
    </w:p>
    <w:p w14:paraId="03809642">
      <w:pPr>
        <w:pStyle w:val="6"/>
        <w:bidi w:val="0"/>
        <w:ind w:left="0" w:leftChars="0" w:firstLine="482" w:firstLineChars="20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2、沉淀池环境可行性</w:t>
      </w:r>
    </w:p>
    <w:p w14:paraId="07B6A1A6">
      <w:pPr>
        <w:pStyle w:val="26"/>
        <w:numPr>
          <w:ilvl w:val="0"/>
          <w:numId w:val="0"/>
        </w:numPr>
        <w:bidi w:val="0"/>
        <w:ind w:firstLine="480" w:firstLineChars="200"/>
        <w:rPr>
          <w:rFonts w:hint="eastAsia" w:eastAsia="宋体"/>
          <w:color w:val="auto"/>
          <w:kern w:val="24"/>
          <w:sz w:val="24"/>
          <w:highlight w:val="none"/>
          <w:lang w:val="en-US" w:eastAsia="zh-CN"/>
        </w:rPr>
      </w:pPr>
      <w:r>
        <w:rPr>
          <w:rFonts w:hint="default" w:ascii="Times New Roman" w:hAnsi="Times New Roman" w:cs="Times New Roman"/>
          <w:color w:val="auto"/>
          <w:lang w:val="en-US" w:eastAsia="zh-CN"/>
        </w:rPr>
        <w:t>厂区设置1个</w:t>
      </w:r>
      <w:r>
        <w:rPr>
          <w:rFonts w:hint="eastAsia" w:ascii="Times New Roman" w:hAnsi="Times New Roman" w:cs="Times New Roman"/>
          <w:color w:val="auto"/>
          <w:lang w:val="en-US" w:eastAsia="zh-CN"/>
        </w:rPr>
        <w:t>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沉淀池，</w:t>
      </w:r>
      <w:r>
        <w:rPr>
          <w:rFonts w:hint="eastAsia"/>
          <w:color w:val="auto"/>
          <w:kern w:val="24"/>
          <w:sz w:val="24"/>
          <w:highlight w:val="none"/>
          <w:lang w:val="en-US" w:eastAsia="zh-CN"/>
        </w:rPr>
        <w:t>本项目车间地面</w:t>
      </w:r>
      <w:r>
        <w:rPr>
          <w:rFonts w:hint="eastAsia"/>
          <w:color w:val="auto"/>
          <w:highlight w:val="none"/>
          <w:lang w:val="en-US" w:eastAsia="zh-CN"/>
        </w:rPr>
        <w:t>清洁废水</w:t>
      </w:r>
      <w:r>
        <w:rPr>
          <w:rFonts w:hint="eastAsia"/>
          <w:color w:val="auto"/>
          <w:kern w:val="24"/>
          <w:sz w:val="24"/>
          <w:highlight w:val="none"/>
          <w:lang w:val="en-US" w:eastAsia="zh-CN"/>
        </w:rPr>
        <w:t>产生量为</w:t>
      </w:r>
      <w:r>
        <w:rPr>
          <w:rFonts w:hint="eastAsia" w:cs="Times New Roman"/>
          <w:color w:val="auto"/>
          <w:sz w:val="24"/>
          <w:szCs w:val="24"/>
          <w:lang w:val="en-US" w:eastAsia="zh-CN"/>
        </w:rPr>
        <w:t>0.85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次</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color w:val="auto"/>
          <w:lang w:val="en-US" w:eastAsia="zh-CN"/>
        </w:rPr>
        <w:t>沉淀池容积满足厂区车间地面清洁废水</w:t>
      </w:r>
      <w:r>
        <w:rPr>
          <w:rFonts w:hint="eastAsia"/>
          <w:color w:val="auto"/>
          <w:sz w:val="24"/>
          <w:lang w:val="en-US" w:eastAsia="zh-CN"/>
        </w:rPr>
        <w:t>暂存需求；此外，</w:t>
      </w:r>
      <w:r>
        <w:rPr>
          <w:rFonts w:hint="eastAsia" w:cs="Times New Roman"/>
          <w:color w:val="auto"/>
          <w:sz w:val="24"/>
          <w:szCs w:val="24"/>
          <w:highlight w:val="none"/>
          <w:lang w:val="en-US" w:eastAsia="zh-CN"/>
        </w:rPr>
        <w:t>本项目</w:t>
      </w:r>
      <w:r>
        <w:rPr>
          <w:rFonts w:hint="eastAsia"/>
          <w:color w:val="auto"/>
          <w:highlight w:val="none"/>
          <w:lang w:val="en-US" w:eastAsia="zh-CN"/>
        </w:rPr>
        <w:t>除</w:t>
      </w:r>
      <w:r>
        <w:rPr>
          <w:rFonts w:hint="eastAsia" w:cs="Times New Roman"/>
          <w:color w:val="auto"/>
          <w:sz w:val="24"/>
          <w:szCs w:val="24"/>
          <w:highlight w:val="none"/>
          <w:lang w:val="en-US" w:eastAsia="zh-CN"/>
        </w:rPr>
        <w:t>固态原料采用人工投料外（投料完成后，关闭罐体上方投料孔），</w:t>
      </w:r>
      <w:r>
        <w:rPr>
          <w:rFonts w:hint="eastAsia"/>
          <w:color w:val="auto"/>
          <w:highlight w:val="none"/>
          <w:lang w:val="en-US" w:eastAsia="zh-CN"/>
        </w:rPr>
        <w:t>生产全流程采用管道输送，</w:t>
      </w:r>
      <w:r>
        <w:rPr>
          <w:rFonts w:hint="eastAsia"/>
          <w:color w:val="auto"/>
          <w:kern w:val="0"/>
          <w:sz w:val="24"/>
          <w:highlight w:val="none"/>
          <w:lang w:val="en-US" w:eastAsia="zh-CN"/>
        </w:rPr>
        <w:t>生产过程全密闭，且设置</w:t>
      </w:r>
      <w:r>
        <w:rPr>
          <w:rFonts w:hint="eastAsia"/>
          <w:color w:val="auto"/>
          <w:highlight w:val="none"/>
          <w:lang w:val="en-US" w:eastAsia="zh-CN"/>
        </w:rPr>
        <w:t>DCS分散型控制系统对泵、罐体和生产设备等的重要参数进行监视、控制及报警，</w:t>
      </w:r>
      <w:r>
        <w:rPr>
          <w:rFonts w:hint="eastAsia"/>
          <w:color w:val="auto"/>
          <w:kern w:val="24"/>
          <w:sz w:val="24"/>
          <w:highlight w:val="none"/>
          <w:lang w:val="en-US" w:eastAsia="zh-CN"/>
        </w:rPr>
        <w:t>车间地面</w:t>
      </w:r>
      <w:r>
        <w:rPr>
          <w:rFonts w:hint="eastAsia"/>
          <w:color w:val="auto"/>
          <w:highlight w:val="none"/>
          <w:lang w:val="en-US" w:eastAsia="zh-CN"/>
        </w:rPr>
        <w:t>清洁废水中污染物浓度较低，主要为生产人员进入车间带入的泥沙，</w:t>
      </w:r>
      <w:r>
        <w:rPr>
          <w:rFonts w:hint="eastAsia"/>
          <w:bCs/>
          <w:color w:val="auto"/>
          <w:sz w:val="24"/>
          <w:szCs w:val="24"/>
        </w:rPr>
        <w:t>废水</w:t>
      </w:r>
      <w:r>
        <w:rPr>
          <w:bCs/>
          <w:color w:val="auto"/>
          <w:sz w:val="24"/>
          <w:szCs w:val="24"/>
        </w:rPr>
        <w:t>经</w:t>
      </w:r>
      <w:r>
        <w:rPr>
          <w:rFonts w:hint="eastAsia"/>
          <w:bCs/>
          <w:color w:val="auto"/>
          <w:sz w:val="24"/>
          <w:szCs w:val="24"/>
          <w:lang w:val="en-US" w:eastAsia="zh-CN"/>
        </w:rPr>
        <w:t>沉淀</w:t>
      </w:r>
      <w:r>
        <w:rPr>
          <w:bCs/>
          <w:color w:val="auto"/>
          <w:sz w:val="24"/>
          <w:szCs w:val="24"/>
        </w:rPr>
        <w:t>处理后，可有效去除废水中</w:t>
      </w:r>
      <w:r>
        <w:rPr>
          <w:rFonts w:hint="eastAsia"/>
          <w:color w:val="auto"/>
          <w:sz w:val="24"/>
          <w:szCs w:val="24"/>
        </w:rPr>
        <w:t>的</w:t>
      </w:r>
      <w:r>
        <w:rPr>
          <w:rFonts w:hint="eastAsia"/>
          <w:color w:val="auto"/>
          <w:sz w:val="24"/>
          <w:szCs w:val="24"/>
          <w:lang w:val="en-US" w:eastAsia="zh-CN"/>
        </w:rPr>
        <w:t>悬浮物</w:t>
      </w:r>
      <w:r>
        <w:rPr>
          <w:color w:val="auto"/>
          <w:sz w:val="24"/>
          <w:szCs w:val="24"/>
        </w:rPr>
        <w:t>，满足环境可行性要求</w:t>
      </w:r>
      <w:r>
        <w:rPr>
          <w:bCs/>
          <w:color w:val="auto"/>
          <w:sz w:val="24"/>
          <w:szCs w:val="24"/>
        </w:rPr>
        <w:t>。</w:t>
      </w:r>
    </w:p>
    <w:p w14:paraId="01360CD3">
      <w:pPr>
        <w:pStyle w:val="6"/>
        <w:bidi w:val="0"/>
        <w:ind w:left="0" w:leftChars="0" w:firstLine="482" w:firstLineChars="200"/>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w:t>
      </w:r>
      <w:r>
        <w:rPr>
          <w:rFonts w:hint="eastAsia" w:ascii="Times New Roman" w:hAnsi="Times New Roman" w:cs="Times New Roman"/>
          <w:b/>
          <w:bCs/>
          <w:color w:val="auto"/>
          <w:highlight w:val="none"/>
          <w:lang w:val="en-US" w:eastAsia="zh-CN"/>
        </w:rPr>
        <w:t>预处理池环境</w:t>
      </w:r>
      <w:r>
        <w:rPr>
          <w:rFonts w:hint="eastAsia" w:ascii="Times New Roman" w:hAnsi="Times New Roman" w:eastAsia="宋体" w:cs="Times New Roman"/>
          <w:b/>
          <w:bCs/>
          <w:color w:val="auto"/>
          <w:highlight w:val="none"/>
          <w:lang w:val="en-US" w:eastAsia="zh-CN"/>
        </w:rPr>
        <w:t>可行性</w:t>
      </w:r>
    </w:p>
    <w:p w14:paraId="4261BE33">
      <w:pPr>
        <w:pStyle w:val="26"/>
        <w:bidi w:val="0"/>
        <w:rPr>
          <w:rFonts w:hint="eastAsia"/>
          <w:b w:val="0"/>
          <w:bCs w:val="0"/>
          <w:color w:val="auto"/>
          <w:highlight w:val="none"/>
          <w:lang w:val="en-US" w:eastAsia="zh-CN"/>
        </w:rPr>
      </w:pPr>
      <w:r>
        <w:rPr>
          <w:rFonts w:hint="eastAsia" w:cs="Times New Roman"/>
          <w:color w:val="auto"/>
          <w:sz w:val="24"/>
          <w:szCs w:val="24"/>
          <w:highlight w:val="none"/>
          <w:lang w:val="en-US" w:eastAsia="zh-CN"/>
        </w:rPr>
        <w:t>厂区设置</w:t>
      </w:r>
      <w:r>
        <w:rPr>
          <w:rFonts w:hint="default" w:ascii="Times New Roman" w:hAnsi="Times New Roman" w:eastAsia="宋体" w:cs="Times New Roman"/>
          <w:color w:val="auto"/>
          <w:sz w:val="24"/>
          <w:szCs w:val="24"/>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预处理</w:t>
      </w:r>
      <w:r>
        <w:rPr>
          <w:rFonts w:hint="eastAsia" w:ascii="Times New Roman" w:hAnsi="Times New Roman" w:eastAsia="宋体" w:cs="Times New Roman"/>
          <w:color w:val="auto"/>
          <w:sz w:val="24"/>
          <w:szCs w:val="24"/>
          <w:lang w:val="en-US" w:eastAsia="zh-CN"/>
        </w:rPr>
        <w:t>池</w:t>
      </w:r>
      <w:r>
        <w:rPr>
          <w:rFonts w:hint="eastAsia" w:ascii="Times New Roman" w:hAnsi="Times New Roman" w:eastAsia="宋体" w:cs="Times New Roman"/>
          <w:color w:val="auto"/>
          <w:sz w:val="24"/>
          <w:szCs w:val="24"/>
          <w:highlight w:val="none"/>
          <w:lang w:val="en-US" w:eastAsia="zh-CN"/>
        </w:rPr>
        <w:t>，</w:t>
      </w:r>
      <w:r>
        <w:rPr>
          <w:rFonts w:hint="eastAsia"/>
          <w:color w:val="auto"/>
          <w:kern w:val="24"/>
          <w:sz w:val="24"/>
          <w:highlight w:val="none"/>
          <w:lang w:val="en-US" w:eastAsia="zh-CN"/>
        </w:rPr>
        <w:t>本项目生活污水产生量为</w:t>
      </w:r>
      <w:r>
        <w:rPr>
          <w:rFonts w:hint="eastAsia" w:cs="Times New Roman"/>
          <w:color w:val="auto"/>
          <w:sz w:val="24"/>
          <w:szCs w:val="24"/>
          <w:lang w:val="en-US" w:eastAsia="zh-CN"/>
        </w:rPr>
        <w:t>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w:t>
      </w:r>
      <w:r>
        <w:rPr>
          <w:rFonts w:hint="eastAsia"/>
          <w:bCs/>
          <w:color w:val="auto"/>
          <w:sz w:val="24"/>
          <w:szCs w:val="24"/>
        </w:rPr>
        <w:t>废水</w:t>
      </w:r>
      <w:r>
        <w:rPr>
          <w:bCs/>
          <w:color w:val="auto"/>
          <w:sz w:val="24"/>
          <w:szCs w:val="24"/>
        </w:rPr>
        <w:t>在</w:t>
      </w:r>
      <w:r>
        <w:rPr>
          <w:rFonts w:hint="eastAsia"/>
          <w:bCs/>
          <w:color w:val="auto"/>
          <w:sz w:val="24"/>
          <w:szCs w:val="24"/>
          <w:lang w:val="en-US" w:eastAsia="zh-CN"/>
        </w:rPr>
        <w:t>预处理池</w:t>
      </w:r>
      <w:r>
        <w:rPr>
          <w:bCs/>
          <w:color w:val="auto"/>
          <w:sz w:val="24"/>
          <w:szCs w:val="24"/>
        </w:rPr>
        <w:t>中停留时间按</w:t>
      </w:r>
      <w:r>
        <w:rPr>
          <w:rFonts w:hint="eastAsia"/>
          <w:bCs/>
          <w:color w:val="auto"/>
          <w:sz w:val="24"/>
          <w:szCs w:val="24"/>
          <w:lang w:val="en-US" w:eastAsia="zh-CN"/>
        </w:rPr>
        <w:t>12</w:t>
      </w:r>
      <w:r>
        <w:rPr>
          <w:bCs/>
          <w:color w:val="auto"/>
          <w:sz w:val="24"/>
          <w:szCs w:val="24"/>
        </w:rPr>
        <w:t>h计</w:t>
      </w:r>
      <w:r>
        <w:rPr>
          <w:rFonts w:hint="eastAsia"/>
          <w:bCs/>
          <w:color w:val="auto"/>
          <w:sz w:val="24"/>
          <w:szCs w:val="24"/>
          <w:lang w:eastAsia="zh-CN"/>
        </w:rPr>
        <w:t>，</w:t>
      </w:r>
      <w:r>
        <w:rPr>
          <w:bCs/>
          <w:color w:val="auto"/>
          <w:sz w:val="24"/>
          <w:szCs w:val="24"/>
        </w:rPr>
        <w:t>则</w:t>
      </w:r>
      <w:r>
        <w:rPr>
          <w:rFonts w:hint="eastAsia"/>
          <w:bCs/>
          <w:color w:val="auto"/>
          <w:sz w:val="24"/>
          <w:szCs w:val="24"/>
          <w:lang w:val="en-US" w:eastAsia="zh-CN"/>
        </w:rPr>
        <w:t>预处理池</w:t>
      </w:r>
      <w:r>
        <w:rPr>
          <w:bCs/>
          <w:color w:val="auto"/>
          <w:sz w:val="24"/>
          <w:szCs w:val="24"/>
        </w:rPr>
        <w:t>最大接纳污水量为</w:t>
      </w:r>
      <w:r>
        <w:rPr>
          <w:rFonts w:hint="eastAsia"/>
          <w:bCs/>
          <w:color w:val="auto"/>
          <w:sz w:val="24"/>
          <w:szCs w:val="24"/>
          <w:lang w:val="en-US" w:eastAsia="zh-CN"/>
        </w:rPr>
        <w:t>16</w:t>
      </w:r>
      <w:r>
        <w:rPr>
          <w:bCs/>
          <w:color w:val="auto"/>
          <w:sz w:val="24"/>
          <w:szCs w:val="24"/>
        </w:rPr>
        <w:t>m</w:t>
      </w:r>
      <w:r>
        <w:rPr>
          <w:bCs/>
          <w:color w:val="auto"/>
          <w:sz w:val="24"/>
          <w:szCs w:val="24"/>
          <w:vertAlign w:val="superscript"/>
        </w:rPr>
        <w:t>3</w:t>
      </w:r>
      <w:r>
        <w:rPr>
          <w:rFonts w:hint="eastAsia"/>
          <w:bCs/>
          <w:color w:val="auto"/>
          <w:sz w:val="24"/>
          <w:szCs w:val="24"/>
          <w:lang w:eastAsia="zh-CN"/>
        </w:rPr>
        <w:t>，</w:t>
      </w:r>
      <w:r>
        <w:rPr>
          <w:rFonts w:hint="eastAsia"/>
          <w:color w:val="auto"/>
          <w:kern w:val="24"/>
          <w:sz w:val="24"/>
          <w:highlight w:val="none"/>
          <w:lang w:val="en-US" w:eastAsia="zh-CN"/>
        </w:rPr>
        <w:t>本项目废水产生量</w:t>
      </w:r>
      <w:r>
        <w:rPr>
          <w:bCs/>
          <w:color w:val="auto"/>
          <w:sz w:val="24"/>
          <w:szCs w:val="24"/>
        </w:rPr>
        <w:t>低于</w:t>
      </w:r>
      <w:r>
        <w:rPr>
          <w:rFonts w:hint="eastAsia"/>
          <w:bCs/>
          <w:color w:val="auto"/>
          <w:sz w:val="24"/>
          <w:szCs w:val="24"/>
        </w:rPr>
        <w:t>该</w:t>
      </w:r>
      <w:r>
        <w:rPr>
          <w:rFonts w:hint="eastAsia"/>
          <w:bCs/>
          <w:color w:val="auto"/>
          <w:sz w:val="24"/>
          <w:szCs w:val="24"/>
          <w:lang w:val="en-US" w:eastAsia="zh-CN"/>
        </w:rPr>
        <w:t>预处理池</w:t>
      </w:r>
      <w:r>
        <w:rPr>
          <w:rFonts w:hint="eastAsia"/>
          <w:bCs/>
          <w:color w:val="auto"/>
          <w:sz w:val="24"/>
          <w:szCs w:val="24"/>
        </w:rPr>
        <w:t>最大</w:t>
      </w:r>
      <w:r>
        <w:rPr>
          <w:bCs/>
          <w:color w:val="auto"/>
          <w:sz w:val="24"/>
          <w:szCs w:val="24"/>
        </w:rPr>
        <w:t>处理能力</w:t>
      </w:r>
      <w:r>
        <w:rPr>
          <w:rFonts w:hint="eastAsia"/>
          <w:bCs/>
          <w:color w:val="auto"/>
          <w:sz w:val="24"/>
          <w:szCs w:val="24"/>
          <w:lang w:eastAsia="zh-CN"/>
        </w:rPr>
        <w:t>。</w:t>
      </w:r>
      <w:r>
        <w:rPr>
          <w:rFonts w:hint="eastAsia"/>
          <w:bCs/>
          <w:color w:val="auto"/>
          <w:sz w:val="24"/>
          <w:szCs w:val="24"/>
          <w:lang w:val="en-US" w:eastAsia="zh-CN"/>
        </w:rPr>
        <w:t>根据表3.3-29，本项目废水</w:t>
      </w:r>
      <w:r>
        <w:rPr>
          <w:rFonts w:hint="eastAsia"/>
          <w:b w:val="0"/>
          <w:bCs w:val="0"/>
          <w:color w:val="auto"/>
          <w:kern w:val="24"/>
          <w:sz w:val="24"/>
          <w:highlight w:val="none"/>
          <w:lang w:val="en-US" w:eastAsia="zh-CN"/>
        </w:rPr>
        <w:t>COD：325mg/L、</w:t>
      </w:r>
      <w:r>
        <w:rPr>
          <w:rFonts w:hint="eastAsia"/>
          <w:b w:val="0"/>
          <w:bCs w:val="0"/>
          <w:color w:val="auto"/>
          <w:highlight w:val="none"/>
          <w:lang w:val="en-US" w:eastAsia="zh-CN"/>
        </w:rPr>
        <w:t>BOD</w:t>
      </w:r>
      <w:r>
        <w:rPr>
          <w:rFonts w:hint="eastAsia"/>
          <w:b w:val="0"/>
          <w:bCs w:val="0"/>
          <w:color w:val="auto"/>
          <w:highlight w:val="none"/>
          <w:vertAlign w:val="subscript"/>
          <w:lang w:val="en-US" w:eastAsia="zh-CN"/>
        </w:rPr>
        <w:t>5</w:t>
      </w:r>
      <w:r>
        <w:rPr>
          <w:rFonts w:hint="eastAsia"/>
          <w:b w:val="0"/>
          <w:bCs w:val="0"/>
          <w:color w:val="auto"/>
          <w:highlight w:val="none"/>
          <w:lang w:val="en-US" w:eastAsia="zh-CN"/>
        </w:rPr>
        <w:t>：140mg/L、SS：200mg/L、NH</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-N：37.7mg/L、TP：4.28mg/L、TN：49.8mg/L等，废水经预处理池处理后，可有效去除废水中COD、BOD</w:t>
      </w:r>
      <w:r>
        <w:rPr>
          <w:rFonts w:hint="eastAsia"/>
          <w:b w:val="0"/>
          <w:bCs w:val="0"/>
          <w:color w:val="auto"/>
          <w:highlight w:val="none"/>
          <w:vertAlign w:val="subscript"/>
          <w:lang w:val="en-US" w:eastAsia="zh-CN"/>
        </w:rPr>
        <w:t>5</w:t>
      </w:r>
      <w:r>
        <w:rPr>
          <w:rFonts w:hint="eastAsia"/>
          <w:b w:val="0"/>
          <w:bCs w:val="0"/>
          <w:color w:val="auto"/>
          <w:highlight w:val="none"/>
          <w:lang w:val="en-US" w:eastAsia="zh-CN"/>
        </w:rPr>
        <w:t>等，满足环境可行性要求。</w:t>
      </w:r>
    </w:p>
    <w:p w14:paraId="2BF30CE2">
      <w:pPr>
        <w:pStyle w:val="6"/>
        <w:bidi w:val="0"/>
        <w:ind w:left="0" w:leftChars="0" w:firstLine="482" w:firstLineChars="200"/>
        <w:rPr>
          <w:rFonts w:hint="default" w:ascii="Times New Roman" w:hAnsi="Times New Roman" w:eastAsia="宋体" w:cs="Times New Roman"/>
          <w:b/>
          <w:bCs/>
          <w:color w:val="auto"/>
          <w:highlight w:val="none"/>
          <w:lang w:val="en-US" w:eastAsia="zh-CN"/>
        </w:rPr>
      </w:pPr>
      <w:r>
        <w:rPr>
          <w:rFonts w:hint="eastAsia" w:cs="Times New Roman"/>
          <w:color w:val="auto"/>
          <w:highlight w:val="none"/>
          <w:lang w:val="en-US" w:eastAsia="zh-CN"/>
        </w:rPr>
        <w:t>4、污水处理厂环境可行性</w:t>
      </w:r>
    </w:p>
    <w:p w14:paraId="3444651F">
      <w:pPr>
        <w:pStyle w:val="26"/>
        <w:bidi w:val="0"/>
        <w:ind w:left="0" w:leftChars="0" w:firstLine="480" w:firstLineChars="200"/>
        <w:rPr>
          <w:rFonts w:hint="eastAsia"/>
          <w:color w:val="auto"/>
          <w:highlight w:val="none"/>
          <w:lang w:val="en-US" w:eastAsia="zh-CN"/>
        </w:rPr>
      </w:pPr>
      <w:r>
        <w:rPr>
          <w:rFonts w:hint="eastAsia"/>
          <w:color w:val="auto"/>
          <w:highlight w:val="none"/>
          <w:lang w:val="en-US" w:eastAsia="zh-CN"/>
        </w:rPr>
        <w:t>通江县秋锦山产业园区综合污水处理厂</w:t>
      </w:r>
      <w:r>
        <w:rPr>
          <w:rFonts w:hint="default" w:ascii="Times New Roman" w:hAnsi="Times New Roman" w:eastAsia="宋体" w:cs="Times New Roman"/>
          <w:color w:val="auto"/>
          <w:kern w:val="0"/>
          <w:sz w:val="24"/>
          <w:szCs w:val="24"/>
          <w:lang w:val="en-US" w:eastAsia="zh-CN" w:bidi="ar"/>
        </w:rPr>
        <w:t>为</w:t>
      </w:r>
      <w:r>
        <w:rPr>
          <w:rFonts w:hint="eastAsia"/>
          <w:color w:val="auto"/>
          <w:sz w:val="24"/>
          <w:lang w:val="en-US" w:eastAsia="zh-CN"/>
        </w:rPr>
        <w:t>四川巴中经济开发区金堂区块配套的工业</w:t>
      </w:r>
      <w:r>
        <w:rPr>
          <w:rFonts w:hint="default" w:ascii="Times New Roman" w:hAnsi="Times New Roman" w:eastAsia="宋体" w:cs="Times New Roman"/>
          <w:color w:val="auto"/>
          <w:kern w:val="0"/>
          <w:sz w:val="24"/>
          <w:szCs w:val="24"/>
          <w:lang w:val="en-US" w:eastAsia="zh-CN" w:bidi="ar"/>
        </w:rPr>
        <w:t>污水处理厂，位于</w:t>
      </w:r>
      <w:r>
        <w:rPr>
          <w:rFonts w:hint="eastAsia" w:ascii="Times New Roman" w:hAnsi="Times New Roman" w:eastAsia="宋体" w:cs="Times New Roman"/>
          <w:color w:val="auto"/>
          <w:kern w:val="0"/>
          <w:sz w:val="24"/>
          <w:szCs w:val="24"/>
          <w:lang w:val="en-US" w:eastAsia="zh-CN" w:bidi="ar"/>
        </w:rPr>
        <w:t>巴中市通江县诺江镇秋锦山村，地处</w:t>
      </w:r>
      <w:r>
        <w:rPr>
          <w:rFonts w:hint="eastAsia"/>
          <w:color w:val="auto"/>
          <w:sz w:val="24"/>
          <w:lang w:val="en-US" w:eastAsia="zh-CN"/>
        </w:rPr>
        <w:t>四川巴中经济开发区金堂区块西南侧</w:t>
      </w:r>
      <w:r>
        <w:rPr>
          <w:rFonts w:hint="eastAsia" w:ascii="Times New Roman" w:hAnsi="Times New Roman" w:eastAsia="宋体" w:cs="Times New Roman"/>
          <w:color w:val="auto"/>
          <w:kern w:val="0"/>
          <w:sz w:val="24"/>
          <w:szCs w:val="24"/>
          <w:lang w:val="en-US" w:eastAsia="zh-CN" w:bidi="ar"/>
        </w:rPr>
        <w:t>。</w:t>
      </w:r>
      <w:r>
        <w:rPr>
          <w:rFonts w:hint="eastAsia"/>
          <w:color w:val="auto"/>
          <w:highlight w:val="none"/>
          <w:lang w:val="en-US" w:eastAsia="zh-CN"/>
        </w:rPr>
        <w:t>通江县秋锦山产业园区综合污水处理厂</w:t>
      </w:r>
      <w:r>
        <w:rPr>
          <w:rFonts w:hint="default" w:ascii="Times New Roman" w:hAnsi="Times New Roman" w:eastAsia="宋体" w:cs="Times New Roman"/>
          <w:color w:val="auto"/>
          <w:kern w:val="0"/>
          <w:sz w:val="24"/>
          <w:szCs w:val="24"/>
          <w:lang w:val="en-US" w:eastAsia="zh-CN" w:bidi="ar"/>
        </w:rPr>
        <w:t>占地面积</w:t>
      </w:r>
      <w:r>
        <w:rPr>
          <w:rFonts w:hint="eastAsia" w:ascii="Times New Roman" w:hAnsi="Times New Roman" w:eastAsia="宋体" w:cs="Times New Roman"/>
          <w:color w:val="auto"/>
          <w:kern w:val="0"/>
          <w:sz w:val="24"/>
          <w:szCs w:val="24"/>
          <w:lang w:val="en-US" w:eastAsia="zh-CN" w:bidi="ar"/>
        </w:rPr>
        <w:t>42962m</w:t>
      </w:r>
      <w:r>
        <w:rPr>
          <w:rFonts w:hint="eastAsia"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分两期建设，总处理规模</w:t>
      </w:r>
      <w:r>
        <w:rPr>
          <w:rFonts w:hint="default" w:ascii="Times New Roman" w:hAnsi="Times New Roman" w:eastAsia="宋体" w:cs="Times New Roman"/>
          <w:color w:val="auto"/>
          <w:kern w:val="0"/>
          <w:sz w:val="24"/>
          <w:szCs w:val="24"/>
          <w:lang w:val="en-US" w:eastAsia="zh-CN" w:bidi="ar"/>
        </w:rPr>
        <w:t>为</w:t>
      </w:r>
      <w:r>
        <w:rPr>
          <w:rFonts w:hint="eastAsia" w:ascii="Times New Roman" w:hAnsi="Times New Roman" w:eastAsia="宋体" w:cs="Times New Roman"/>
          <w:color w:val="auto"/>
          <w:kern w:val="0"/>
          <w:sz w:val="24"/>
          <w:szCs w:val="24"/>
          <w:lang w:val="en-US" w:eastAsia="zh-CN" w:bidi="ar"/>
        </w:rPr>
        <w:t>8000</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eastAsia="宋体" w:cs="Times New Roman"/>
          <w:color w:val="auto"/>
          <w:kern w:val="0"/>
          <w:sz w:val="24"/>
          <w:szCs w:val="24"/>
          <w:lang w:val="en-US" w:eastAsia="zh-CN" w:bidi="ar"/>
        </w:rPr>
        <w:t>，一期、二期设计</w:t>
      </w:r>
      <w:r>
        <w:rPr>
          <w:rFonts w:hint="default" w:ascii="Times New Roman" w:hAnsi="Times New Roman" w:eastAsia="宋体" w:cs="Times New Roman"/>
          <w:color w:val="auto"/>
          <w:kern w:val="0"/>
          <w:sz w:val="24"/>
          <w:szCs w:val="24"/>
          <w:lang w:val="en-US" w:eastAsia="zh-CN" w:bidi="ar"/>
        </w:rPr>
        <w:t>处理规模</w:t>
      </w:r>
      <w:r>
        <w:rPr>
          <w:rFonts w:hint="eastAsia" w:ascii="Times New Roman" w:hAnsi="Times New Roman" w:eastAsia="宋体" w:cs="Times New Roman"/>
          <w:color w:val="auto"/>
          <w:kern w:val="0"/>
          <w:sz w:val="24"/>
          <w:szCs w:val="24"/>
          <w:lang w:val="en-US" w:eastAsia="zh-CN" w:bidi="ar"/>
        </w:rPr>
        <w:t>均</w:t>
      </w:r>
      <w:r>
        <w:rPr>
          <w:rFonts w:hint="default" w:ascii="Times New Roman" w:hAnsi="Times New Roman" w:eastAsia="宋体" w:cs="Times New Roman"/>
          <w:color w:val="auto"/>
          <w:kern w:val="0"/>
          <w:sz w:val="24"/>
          <w:szCs w:val="24"/>
          <w:lang w:val="en-US" w:eastAsia="zh-CN" w:bidi="ar"/>
        </w:rPr>
        <w:t>为</w:t>
      </w:r>
      <w:r>
        <w:rPr>
          <w:rFonts w:hint="eastAsia" w:ascii="Times New Roman" w:hAnsi="Times New Roman" w:eastAsia="宋体" w:cs="Times New Roman"/>
          <w:color w:val="auto"/>
          <w:kern w:val="0"/>
          <w:sz w:val="24"/>
          <w:szCs w:val="24"/>
          <w:lang w:val="en-US" w:eastAsia="zh-CN" w:bidi="ar"/>
        </w:rPr>
        <w:t>4000</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eastAsia="宋体" w:cs="Times New Roman"/>
          <w:color w:val="auto"/>
          <w:kern w:val="0"/>
          <w:sz w:val="24"/>
          <w:szCs w:val="24"/>
          <w:lang w:val="en-US" w:eastAsia="zh-CN" w:bidi="ar"/>
        </w:rPr>
        <w:t>，其中一期采用“预处理（粗格栅提升井+细格栅沉砂池+调节池+水解酸化池）+二级生化处理（改良 AAO 生化池+二沉池）+深度处理（高密沉淀池+臭氧氧化池+曝气生物滤池+消毒计量）”工艺，</w:t>
      </w:r>
      <w:r>
        <w:rPr>
          <w:rFonts w:hint="eastAsia"/>
          <w:color w:val="auto"/>
          <w:highlight w:val="none"/>
          <w:lang w:val="en-US" w:eastAsia="zh-CN"/>
        </w:rPr>
        <w:t>水质达到《城镇污水处理厂污染物排放标准》（GB18918-2002）中一级A标准后排入通江河（2027年7月1日起，水质达到</w:t>
      </w:r>
      <w:r>
        <w:rPr>
          <w:rFonts w:hint="eastAsia"/>
          <w:color w:val="auto"/>
          <w:sz w:val="24"/>
          <w:lang w:val="en-US" w:eastAsia="zh-CN"/>
        </w:rPr>
        <w:t>《四川省化工园区水污染物排放标准》（DB51/3202-2024）表2中直接排放二级标准后</w:t>
      </w:r>
      <w:r>
        <w:rPr>
          <w:rFonts w:hint="eastAsia"/>
          <w:color w:val="auto"/>
          <w:highlight w:val="none"/>
          <w:lang w:val="en-US" w:eastAsia="zh-CN"/>
        </w:rPr>
        <w:t>排入通江河），排污口设置于厂区南侧直线距离约1.6km处的通江河右岸，排污口坐标东经107°13′55.648″，北纬31°51′22.083″。</w:t>
      </w:r>
    </w:p>
    <w:p w14:paraId="5157E9FC">
      <w:pPr>
        <w:pStyle w:val="26"/>
        <w:bidi w:val="0"/>
        <w:ind w:left="0" w:leftChars="0" w:firstLine="0" w:firstLineChars="0"/>
        <w:jc w:val="center"/>
        <w:rPr>
          <w:rFonts w:hint="default" w:ascii="Times New Roman" w:hAnsi="Times New Roman" w:eastAsia="宋体" w:cs="Times New Roman"/>
          <w:color w:val="auto"/>
          <w:kern w:val="0"/>
          <w:sz w:val="24"/>
          <w:szCs w:val="24"/>
          <w:lang w:val="en-US" w:eastAsia="zh-CN" w:bidi="ar"/>
        </w:rPr>
      </w:pPr>
      <w:r>
        <w:rPr>
          <w:color w:val="auto"/>
        </w:rPr>
        <w:drawing>
          <wp:inline distT="0" distB="0" distL="114300" distR="114300">
            <wp:extent cx="5902325" cy="4764405"/>
            <wp:effectExtent l="0" t="0" r="3175" b="1714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77"/>
                    <a:stretch>
                      <a:fillRect/>
                    </a:stretch>
                  </pic:blipFill>
                  <pic:spPr>
                    <a:xfrm>
                      <a:off x="0" y="0"/>
                      <a:ext cx="5902325" cy="4764405"/>
                    </a:xfrm>
                    <a:prstGeom prst="rect">
                      <a:avLst/>
                    </a:prstGeom>
                    <a:noFill/>
                    <a:ln>
                      <a:noFill/>
                    </a:ln>
                  </pic:spPr>
                </pic:pic>
              </a:graphicData>
            </a:graphic>
          </wp:inline>
        </w:drawing>
      </w:r>
    </w:p>
    <w:p w14:paraId="2FA6C0B4">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通江县秋锦山产业园区综合污水处理厂污水处理工艺流程图</w:t>
      </w:r>
    </w:p>
    <w:p w14:paraId="11E8BD81">
      <w:pPr>
        <w:pStyle w:val="26"/>
        <w:bidi w:val="0"/>
        <w:rPr>
          <w:rFonts w:hint="eastAsia" w:eastAsia="宋体"/>
          <w:color w:val="auto"/>
          <w:sz w:val="24"/>
          <w:highlight w:val="none"/>
          <w:lang w:eastAsia="zh-CN"/>
        </w:rPr>
      </w:pPr>
      <w:r>
        <w:rPr>
          <w:rFonts w:hint="eastAsia"/>
          <w:b/>
          <w:bCs/>
          <w:color w:val="auto"/>
          <w:sz w:val="24"/>
          <w:highlight w:val="none"/>
          <w:lang w:val="en-US" w:eastAsia="zh-CN"/>
        </w:rPr>
        <w:t>服务范围：</w:t>
      </w:r>
      <w:r>
        <w:rPr>
          <w:rFonts w:hint="eastAsia"/>
          <w:b w:val="0"/>
          <w:bCs w:val="0"/>
          <w:color w:val="auto"/>
          <w:sz w:val="24"/>
          <w:highlight w:val="none"/>
          <w:lang w:val="en-US" w:eastAsia="zh-CN"/>
        </w:rPr>
        <w:t>根据《</w:t>
      </w:r>
      <w:r>
        <w:rPr>
          <w:rFonts w:hint="eastAsia"/>
          <w:color w:val="auto"/>
          <w:sz w:val="24"/>
          <w:lang w:val="en-US" w:eastAsia="zh-CN"/>
        </w:rPr>
        <w:t>通江县秋锦山产业园区综合污水处理厂及配套设施建设项目环境影响报告书</w:t>
      </w:r>
      <w:r>
        <w:rPr>
          <w:rFonts w:hint="eastAsia"/>
          <w:b w:val="0"/>
          <w:bCs w:val="0"/>
          <w:color w:val="auto"/>
          <w:sz w:val="24"/>
          <w:highlight w:val="none"/>
          <w:lang w:val="en-US" w:eastAsia="zh-CN"/>
        </w:rPr>
        <w:t>》，服务范围为四川巴中经济开发区金堂区块。</w:t>
      </w:r>
      <w:r>
        <w:rPr>
          <w:color w:val="auto"/>
          <w:sz w:val="24"/>
          <w:highlight w:val="none"/>
        </w:rPr>
        <w:t>本项目位于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内，在</w:t>
      </w:r>
      <w:r>
        <w:rPr>
          <w:rFonts w:hint="eastAsia"/>
          <w:color w:val="auto"/>
          <w:sz w:val="24"/>
          <w:lang w:val="en-US" w:eastAsia="zh-CN"/>
        </w:rPr>
        <w:t>通江县秋锦山产业园区综合污水处理厂</w:t>
      </w:r>
      <w:r>
        <w:rPr>
          <w:rFonts w:hint="eastAsia"/>
          <w:color w:val="auto"/>
          <w:sz w:val="24"/>
          <w:highlight w:val="none"/>
          <w:lang w:val="en-US" w:eastAsia="zh-CN"/>
        </w:rPr>
        <w:t>服务</w:t>
      </w:r>
      <w:r>
        <w:rPr>
          <w:color w:val="auto"/>
          <w:sz w:val="24"/>
          <w:highlight w:val="none"/>
        </w:rPr>
        <w:t>范围内</w:t>
      </w:r>
      <w:r>
        <w:rPr>
          <w:rFonts w:hint="eastAsia"/>
          <w:color w:val="auto"/>
          <w:sz w:val="24"/>
          <w:highlight w:val="none"/>
          <w:lang w:eastAsia="zh-CN"/>
        </w:rPr>
        <w:t>。</w:t>
      </w:r>
    </w:p>
    <w:p w14:paraId="79F24FF1">
      <w:pPr>
        <w:pStyle w:val="26"/>
        <w:bidi w:val="0"/>
        <w:rPr>
          <w:rFonts w:hint="eastAsia" w:ascii="Times New Roman" w:hAnsi="Times New Roman" w:eastAsia="宋体" w:cs="Times New Roman"/>
          <w:color w:val="auto"/>
          <w:kern w:val="0"/>
          <w:sz w:val="24"/>
          <w:szCs w:val="24"/>
          <w:lang w:val="en-US" w:eastAsia="zh-CN" w:bidi="ar"/>
        </w:rPr>
      </w:pPr>
      <w:r>
        <w:rPr>
          <w:rFonts w:hint="eastAsia"/>
          <w:b/>
          <w:bCs/>
          <w:color w:val="auto"/>
          <w:sz w:val="24"/>
          <w:highlight w:val="none"/>
          <w:lang w:val="en-US" w:eastAsia="zh-CN"/>
        </w:rPr>
        <w:t>处理能力：</w:t>
      </w:r>
      <w:r>
        <w:rPr>
          <w:rFonts w:hint="eastAsia"/>
          <w:color w:val="auto"/>
          <w:sz w:val="24"/>
          <w:lang w:val="en-US" w:eastAsia="zh-CN"/>
        </w:rPr>
        <w:t>通江县秋锦山产业园区综合污水处理厂一期</w:t>
      </w:r>
      <w:r>
        <w:rPr>
          <w:rFonts w:hint="eastAsia" w:ascii="Times New Roman" w:hAnsi="Times New Roman" w:eastAsia="宋体" w:cs="Times New Roman"/>
          <w:color w:val="auto"/>
          <w:kern w:val="0"/>
          <w:sz w:val="24"/>
          <w:szCs w:val="24"/>
          <w:lang w:val="en-US" w:eastAsia="zh-CN" w:bidi="ar"/>
        </w:rPr>
        <w:t>设计</w:t>
      </w:r>
      <w:r>
        <w:rPr>
          <w:rFonts w:hint="default" w:ascii="Times New Roman" w:hAnsi="Times New Roman" w:eastAsia="宋体" w:cs="Times New Roman"/>
          <w:color w:val="auto"/>
          <w:kern w:val="0"/>
          <w:sz w:val="24"/>
          <w:szCs w:val="24"/>
          <w:lang w:val="en-US" w:eastAsia="zh-CN" w:bidi="ar"/>
        </w:rPr>
        <w:t>处理规模为</w:t>
      </w:r>
      <w:r>
        <w:rPr>
          <w:rFonts w:hint="eastAsia" w:ascii="Times New Roman" w:hAnsi="Times New Roman" w:eastAsia="宋体" w:cs="Times New Roman"/>
          <w:color w:val="auto"/>
          <w:kern w:val="0"/>
          <w:sz w:val="24"/>
          <w:szCs w:val="24"/>
          <w:lang w:val="en-US" w:eastAsia="zh-CN" w:bidi="ar"/>
        </w:rPr>
        <w:t>4000</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eastAsia="宋体" w:cs="Times New Roman"/>
          <w:color w:val="auto"/>
          <w:kern w:val="0"/>
          <w:sz w:val="24"/>
          <w:szCs w:val="24"/>
          <w:lang w:val="en-US" w:eastAsia="zh-CN" w:bidi="ar"/>
        </w:rPr>
        <w:t>，根据调查，除本项目外，污水处理厂服务范围内暂无企业入驻。本项目外排废水量为4.42</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eastAsia="宋体" w:cs="Times New Roman"/>
          <w:color w:val="auto"/>
          <w:kern w:val="0"/>
          <w:sz w:val="24"/>
          <w:szCs w:val="24"/>
          <w:lang w:val="en-US" w:eastAsia="zh-CN" w:bidi="ar"/>
        </w:rPr>
        <w:t>，远远低于</w:t>
      </w:r>
      <w:r>
        <w:rPr>
          <w:rFonts w:hint="eastAsia"/>
          <w:color w:val="auto"/>
          <w:sz w:val="24"/>
          <w:lang w:val="en-US" w:eastAsia="zh-CN"/>
        </w:rPr>
        <w:t>通江县秋锦山产业园区综合污水处理厂</w:t>
      </w:r>
      <w:r>
        <w:rPr>
          <w:rFonts w:hint="eastAsia" w:ascii="Times New Roman" w:hAnsi="Times New Roman" w:eastAsia="宋体" w:cs="Times New Roman"/>
          <w:color w:val="auto"/>
          <w:kern w:val="0"/>
          <w:sz w:val="24"/>
          <w:szCs w:val="24"/>
          <w:lang w:val="en-US" w:eastAsia="zh-CN" w:bidi="ar"/>
        </w:rPr>
        <w:t>处理能力。</w:t>
      </w:r>
    </w:p>
    <w:p w14:paraId="0F8B6C20">
      <w:pPr>
        <w:pStyle w:val="26"/>
        <w:bidi w:val="0"/>
        <w:rPr>
          <w:rFonts w:hint="eastAsia"/>
          <w:b w:val="0"/>
          <w:bCs w:val="0"/>
          <w:color w:val="auto"/>
          <w:sz w:val="24"/>
          <w:highlight w:val="none"/>
          <w:lang w:val="en-US" w:eastAsia="zh-CN"/>
        </w:rPr>
      </w:pPr>
      <w:r>
        <w:rPr>
          <w:rFonts w:hint="eastAsia"/>
          <w:b/>
          <w:bCs/>
          <w:color w:val="auto"/>
          <w:sz w:val="24"/>
          <w:highlight w:val="none"/>
          <w:lang w:val="en-US" w:eastAsia="zh-CN"/>
        </w:rPr>
        <w:t>进水水质要求：</w:t>
      </w:r>
      <w:r>
        <w:rPr>
          <w:rFonts w:hint="eastAsia"/>
          <w:b w:val="0"/>
          <w:bCs w:val="0"/>
          <w:color w:val="auto"/>
          <w:sz w:val="24"/>
          <w:highlight w:val="none"/>
          <w:lang w:val="en-US" w:eastAsia="zh-CN"/>
        </w:rPr>
        <w:t>根据《</w:t>
      </w:r>
      <w:r>
        <w:rPr>
          <w:rFonts w:hint="eastAsia"/>
          <w:color w:val="auto"/>
          <w:sz w:val="24"/>
          <w:lang w:val="en-US" w:eastAsia="zh-CN"/>
        </w:rPr>
        <w:t>通江县秋锦山产业园区综合污水处理厂及配套设施建设项目环境影响报告书</w:t>
      </w:r>
      <w:r>
        <w:rPr>
          <w:rFonts w:hint="eastAsia"/>
          <w:b w:val="0"/>
          <w:bCs w:val="0"/>
          <w:color w:val="auto"/>
          <w:sz w:val="24"/>
          <w:highlight w:val="none"/>
          <w:lang w:val="en-US" w:eastAsia="zh-CN"/>
        </w:rPr>
        <w:t xml:space="preserve">》，为了使污水处理厂能够稳定运行、达标排放，结合园区废水特点及园区规划环评要求，进水水质应满足以下限制要求： </w:t>
      </w:r>
    </w:p>
    <w:p w14:paraId="4F47E10B">
      <w:pPr>
        <w:pStyle w:val="26"/>
        <w:bidi w:val="0"/>
        <w:rPr>
          <w:rFonts w:hint="eastAsia"/>
          <w:b w:val="0"/>
          <w:bCs w:val="0"/>
          <w:color w:val="auto"/>
          <w:sz w:val="24"/>
          <w:highlight w:val="none"/>
          <w:lang w:val="en-US" w:eastAsia="zh-CN"/>
        </w:rPr>
      </w:pPr>
      <w:r>
        <w:rPr>
          <w:rFonts w:hint="eastAsia"/>
          <w:b w:val="0"/>
          <w:bCs w:val="0"/>
          <w:color w:val="auto"/>
          <w:sz w:val="24"/>
          <w:highlight w:val="none"/>
          <w:lang w:val="en-US" w:eastAsia="zh-CN"/>
        </w:rPr>
        <w:t xml:space="preserve">（1）禁止排入毒害性较大的污染物质：园区禁止引入含重金属生产企业，禁止排入废水中含有如重金属、氰化物和致癌物质等。 </w:t>
      </w:r>
    </w:p>
    <w:p w14:paraId="0231EFA4">
      <w:pPr>
        <w:pStyle w:val="26"/>
        <w:bidi w:val="0"/>
        <w:ind w:left="0" w:leftChars="0" w:firstLine="480" w:firstLineChars="200"/>
        <w:rPr>
          <w:rFonts w:hint="eastAsia"/>
          <w:b w:val="0"/>
          <w:bCs w:val="0"/>
          <w:color w:val="auto"/>
          <w:sz w:val="24"/>
          <w:highlight w:val="none"/>
          <w:lang w:val="en-US" w:eastAsia="zh-CN"/>
        </w:rPr>
      </w:pPr>
      <w:r>
        <w:rPr>
          <w:rFonts w:hint="eastAsia"/>
          <w:b w:val="0"/>
          <w:bCs w:val="0"/>
          <w:color w:val="auto"/>
          <w:sz w:val="24"/>
          <w:highlight w:val="none"/>
          <w:lang w:val="en-US" w:eastAsia="zh-CN"/>
        </w:rPr>
        <w:t xml:space="preserve">（2）限制进入类污染物质：园区入住企业外排废水甲醛、苯、挥发酚、硫化物等特殊污染物需达到规划环评中规定的排放标准方可排入。 </w:t>
      </w:r>
    </w:p>
    <w:p w14:paraId="55F48A20">
      <w:pPr>
        <w:pStyle w:val="26"/>
        <w:bidi w:val="0"/>
        <w:rPr>
          <w:rFonts w:hint="eastAsia"/>
          <w:b w:val="0"/>
          <w:bCs w:val="0"/>
          <w:color w:val="auto"/>
          <w:sz w:val="24"/>
          <w:highlight w:val="none"/>
          <w:lang w:val="en-US" w:eastAsia="zh-CN"/>
        </w:rPr>
      </w:pPr>
      <w:r>
        <w:rPr>
          <w:rFonts w:hint="eastAsia"/>
          <w:b w:val="0"/>
          <w:bCs w:val="0"/>
          <w:color w:val="auto"/>
          <w:sz w:val="24"/>
          <w:highlight w:val="none"/>
          <w:lang w:val="en-US" w:eastAsia="zh-CN"/>
        </w:rPr>
        <w:t xml:space="preserve">（3）限制进入类污染物质：园区入住企业外排废水中氯化物需达到《四川省水污染排放标准》（DB51/190-93）中一级标准浓度限值要求方可纳入园区污水处理厂。 </w:t>
      </w:r>
    </w:p>
    <w:p w14:paraId="77041A0A">
      <w:pPr>
        <w:pStyle w:val="26"/>
        <w:bidi w:val="0"/>
        <w:rPr>
          <w:rFonts w:hint="eastAsia"/>
          <w:b w:val="0"/>
          <w:bCs w:val="0"/>
          <w:color w:val="auto"/>
          <w:sz w:val="24"/>
          <w:highlight w:val="none"/>
          <w:lang w:val="en-US" w:eastAsia="zh-CN"/>
        </w:rPr>
      </w:pPr>
      <w:r>
        <w:rPr>
          <w:rFonts w:hint="eastAsia"/>
          <w:b w:val="0"/>
          <w:bCs w:val="0"/>
          <w:color w:val="auto"/>
          <w:sz w:val="24"/>
          <w:highlight w:val="none"/>
          <w:lang w:val="en-US" w:eastAsia="zh-CN"/>
        </w:rPr>
        <w:t>（4）引入企业废水排放标准：服务范围内入驻企业废水须经自行处理达相关行业废水排放标准中的间接排放标准后，方可排入本项目污水处理厂处理。根据产业定位，入驻企业间接排放主要标准包括《石油化学工业污染物排放标准》（GB31571-2015）、《污水综合排放标准》（GB 898-1996）三级标准等。</w:t>
      </w:r>
    </w:p>
    <w:p w14:paraId="45DEA3E5">
      <w:pPr>
        <w:keepNext w:val="0"/>
        <w:keepLines w:val="0"/>
        <w:widowControl/>
        <w:suppressLineNumbers w:val="0"/>
        <w:ind w:left="0" w:leftChars="0" w:firstLine="480" w:firstLineChars="200"/>
        <w:jc w:val="left"/>
        <w:rPr>
          <w:color w:val="auto"/>
        </w:rPr>
      </w:pP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）污水处理厂业主单位应严格把关对进厂工业废水实施分析监测，签订相应的纳管协议后方可接收，确保污水处理厂正常运行。</w:t>
      </w:r>
    </w:p>
    <w:p w14:paraId="5697FA6D">
      <w:pPr>
        <w:pStyle w:val="26"/>
        <w:bidi w:val="0"/>
        <w:rPr>
          <w:rFonts w:hint="default"/>
          <w:b w:val="0"/>
          <w:bCs w:val="0"/>
          <w:color w:val="auto"/>
          <w:sz w:val="24"/>
          <w:highlight w:val="none"/>
          <w:lang w:val="en-US" w:eastAsia="zh-CN"/>
        </w:rPr>
      </w:pPr>
      <w:r>
        <w:rPr>
          <w:rFonts w:hint="eastAsia"/>
          <w:color w:val="auto"/>
          <w:sz w:val="24"/>
          <w:lang w:val="en-US" w:eastAsia="zh-CN"/>
        </w:rPr>
        <w:t>本项目外排废水为生活污水，废水中不涉及</w:t>
      </w:r>
      <w:r>
        <w:rPr>
          <w:rFonts w:hint="eastAsia"/>
          <w:b w:val="0"/>
          <w:bCs w:val="0"/>
          <w:color w:val="auto"/>
          <w:sz w:val="24"/>
          <w:highlight w:val="none"/>
          <w:lang w:val="en-US" w:eastAsia="zh-CN"/>
        </w:rPr>
        <w:t>重金属、氰化物和致癌物质等毒害性较大的污染物质，不涉及甲醛、苯、挥发酚、硫化物、氯化物等特殊污染物；</w:t>
      </w:r>
      <w:r>
        <w:rPr>
          <w:rFonts w:hint="eastAsia" w:cs="Times New Roman"/>
          <w:color w:val="auto"/>
          <w:kern w:val="2"/>
          <w:sz w:val="24"/>
          <w:szCs w:val="24"/>
          <w:lang w:val="en-US" w:eastAsia="zh-CN" w:bidi="ar-SA"/>
        </w:rPr>
        <w:t>本项目</w:t>
      </w:r>
      <w:r>
        <w:rPr>
          <w:rFonts w:hint="eastAsia"/>
          <w:bCs/>
          <w:color w:val="auto"/>
          <w:kern w:val="0"/>
          <w:sz w:val="24"/>
          <w:lang w:val="en-US" w:eastAsia="zh-CN"/>
        </w:rPr>
        <w:t>为《国民经济行业分类》（GB/T4754-2017）中“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hint="eastAsia"/>
          <w:color w:val="auto"/>
          <w:sz w:val="24"/>
          <w:lang w:val="en-US" w:eastAsia="zh-CN"/>
        </w:rPr>
        <w:t>无行业排放标准，本项目外排废水</w:t>
      </w:r>
      <w:r>
        <w:rPr>
          <w:rFonts w:hint="eastAsia" w:ascii="Times New Roman" w:hAnsi="Times New Roman" w:eastAsia="宋体" w:cs="Times New Roman"/>
          <w:color w:val="auto"/>
          <w:sz w:val="24"/>
          <w:szCs w:val="24"/>
          <w:lang w:val="en-US" w:eastAsia="zh-CN"/>
        </w:rPr>
        <w:t>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《四川省化工园区水污染物排放标准》（DB51/3202-2024）表1中间接排放标准后</w:t>
      </w:r>
      <w:r>
        <w:rPr>
          <w:rFonts w:hint="eastAsia"/>
          <w:color w:val="auto"/>
          <w:highlight w:val="none"/>
          <w:lang w:val="en-US" w:eastAsia="zh-CN"/>
        </w:rPr>
        <w:t>通过园区污水管网排入通江县秋锦山产业园区综合污水处理厂进一步处理。因此，本项目</w:t>
      </w:r>
      <w:r>
        <w:rPr>
          <w:rFonts w:hint="eastAsia"/>
          <w:color w:val="auto"/>
          <w:sz w:val="24"/>
          <w:lang w:val="en-US" w:eastAsia="zh-CN"/>
        </w:rPr>
        <w:t>外排废水</w:t>
      </w:r>
      <w:r>
        <w:rPr>
          <w:rFonts w:hint="eastAsia" w:ascii="Times New Roman" w:hAnsi="Times New Roman" w:eastAsia="宋体" w:cs="Times New Roman"/>
          <w:color w:val="auto"/>
          <w:sz w:val="24"/>
          <w:szCs w:val="24"/>
          <w:lang w:val="en-US" w:eastAsia="zh-CN"/>
        </w:rPr>
        <w:t>经预处理后水质可满足</w:t>
      </w:r>
      <w:r>
        <w:rPr>
          <w:rFonts w:hint="eastAsia"/>
          <w:color w:val="auto"/>
          <w:sz w:val="24"/>
          <w:lang w:val="en-US" w:eastAsia="zh-CN"/>
        </w:rPr>
        <w:t>通江县秋锦山产业园区综合污水处理厂进水水质要求。</w:t>
      </w:r>
    </w:p>
    <w:p w14:paraId="17626180">
      <w:pPr>
        <w:pStyle w:val="26"/>
        <w:bidi w:val="0"/>
        <w:ind w:left="0" w:leftChars="0" w:firstLine="482" w:firstLineChars="200"/>
        <w:rPr>
          <w:rFonts w:hint="eastAsia"/>
          <w:color w:val="auto"/>
          <w:lang w:val="en-US" w:eastAsia="zh-CN"/>
        </w:rPr>
      </w:pPr>
      <w:r>
        <w:rPr>
          <w:rFonts w:hint="eastAsia"/>
          <w:b/>
          <w:bCs/>
          <w:color w:val="auto"/>
          <w:lang w:val="en-US" w:eastAsia="zh-CN"/>
        </w:rPr>
        <w:t>依托可行性：</w:t>
      </w: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w:t>
      </w:r>
    </w:p>
    <w:p w14:paraId="20245BEC">
      <w:pPr>
        <w:pStyle w:val="26"/>
        <w:bidi w:val="0"/>
        <w:ind w:left="0" w:leftChars="0" w:firstLine="480" w:firstLineChars="200"/>
        <w:rPr>
          <w:rFonts w:hint="eastAsia"/>
          <w:b/>
          <w:bCs/>
          <w:color w:val="auto"/>
          <w:lang w:val="en-US" w:eastAsia="zh-CN"/>
        </w:rPr>
      </w:pPr>
      <w:r>
        <w:rPr>
          <w:rFonts w:hint="eastAsia"/>
          <w:color w:val="auto"/>
          <w:lang w:val="en-US" w:eastAsia="zh-CN"/>
        </w:rPr>
        <w:t>本项目计划于2026年7月开工建设，2027年1月建成投产，</w:t>
      </w:r>
      <w:r>
        <w:rPr>
          <w:rFonts w:hint="eastAsia"/>
          <w:b/>
          <w:bCs/>
          <w:color w:val="auto"/>
          <w:lang w:val="en-US" w:eastAsia="zh-CN"/>
        </w:rPr>
        <w:t>环评要求：为确保项目外排废水得到可靠有效的处理，在通江县秋锦山产业园区综合污水处理厂建成投运前，本项目不得投产。同时，建设单位应尽快与污水处理厂业主单位签订污水接纳协议，确保项目外排废水得到有效处理。</w:t>
      </w:r>
    </w:p>
    <w:p w14:paraId="387FD910">
      <w:pPr>
        <w:pStyle w:val="26"/>
        <w:bidi w:val="0"/>
        <w:ind w:left="0" w:leftChars="0" w:firstLine="480" w:firstLineChars="200"/>
        <w:rPr>
          <w:rFonts w:hint="eastAsia"/>
          <w:color w:val="auto"/>
          <w:sz w:val="24"/>
          <w:highlight w:val="none"/>
          <w:lang w:eastAsia="zh-CN"/>
        </w:rPr>
      </w:pPr>
      <w:r>
        <w:rPr>
          <w:rFonts w:hint="eastAsia"/>
          <w:bCs/>
          <w:color w:val="auto"/>
          <w:sz w:val="24"/>
          <w:highlight w:val="none"/>
          <w:lang w:val="en-US" w:eastAsia="zh-CN"/>
        </w:rPr>
        <w:t>综上，本项目</w:t>
      </w:r>
      <w:r>
        <w:rPr>
          <w:bCs/>
          <w:color w:val="auto"/>
          <w:sz w:val="24"/>
          <w:highlight w:val="none"/>
        </w:rPr>
        <w:t>废水</w:t>
      </w:r>
      <w:r>
        <w:rPr>
          <w:color w:val="auto"/>
          <w:sz w:val="24"/>
          <w:highlight w:val="none"/>
        </w:rPr>
        <w:t>经该污水处理厂处理后</w:t>
      </w:r>
      <w:r>
        <w:rPr>
          <w:rFonts w:hint="eastAsia"/>
          <w:color w:val="auto"/>
          <w:sz w:val="24"/>
          <w:highlight w:val="none"/>
        </w:rPr>
        <w:t>可</w:t>
      </w:r>
      <w:r>
        <w:rPr>
          <w:rFonts w:hint="eastAsia"/>
          <w:bCs/>
          <w:color w:val="auto"/>
          <w:sz w:val="24"/>
          <w:highlight w:val="none"/>
        </w:rPr>
        <w:t>达到</w:t>
      </w:r>
      <w:r>
        <w:rPr>
          <w:bCs/>
          <w:color w:val="auto"/>
          <w:sz w:val="24"/>
          <w:highlight w:val="none"/>
        </w:rPr>
        <w:t>相关标准，</w:t>
      </w:r>
      <w:r>
        <w:rPr>
          <w:color w:val="auto"/>
          <w:sz w:val="24"/>
          <w:highlight w:val="none"/>
        </w:rPr>
        <w:t>实现稳定达标排放，满足依托的环境可行性要求</w:t>
      </w:r>
      <w:r>
        <w:rPr>
          <w:rFonts w:hint="eastAsia"/>
          <w:color w:val="auto"/>
          <w:sz w:val="24"/>
          <w:highlight w:val="none"/>
          <w:lang w:eastAsia="zh-CN"/>
        </w:rPr>
        <w:t>。</w:t>
      </w:r>
    </w:p>
    <w:p w14:paraId="60BFB065">
      <w:pPr>
        <w:pStyle w:val="6"/>
        <w:bidi w:val="0"/>
        <w:ind w:left="0" w:leftChars="0" w:firstLine="482" w:firstLineChars="200"/>
        <w:rPr>
          <w:rFonts w:hint="default" w:ascii="Times New Roman" w:hAnsi="Times New Roman" w:eastAsia="宋体" w:cs="Times New Roman"/>
          <w:b/>
          <w:bCs/>
          <w:color w:val="auto"/>
          <w:highlight w:val="none"/>
          <w:lang w:val="en-US" w:eastAsia="zh-CN"/>
        </w:rPr>
      </w:pPr>
      <w:r>
        <w:rPr>
          <w:rFonts w:hint="eastAsia" w:cs="Times New Roman"/>
          <w:color w:val="auto"/>
          <w:highlight w:val="none"/>
          <w:lang w:val="en-US" w:eastAsia="zh-CN"/>
        </w:rPr>
        <w:t>5、废水回用可行性</w:t>
      </w:r>
    </w:p>
    <w:p w14:paraId="58F9048F">
      <w:pPr>
        <w:pStyle w:val="26"/>
        <w:bidi w:val="0"/>
        <w:rPr>
          <w:rFonts w:hint="eastAsia" w:ascii="Times New Roman" w:hAnsi="Times New Roman" w:cs="Times New Roman"/>
          <w:b w:val="0"/>
          <w:bCs/>
          <w:color w:val="auto"/>
          <w:highlight w:val="none"/>
          <w:lang w:val="en-US" w:eastAsia="zh-CN"/>
        </w:rPr>
      </w:pPr>
      <w:r>
        <w:rPr>
          <w:rFonts w:hint="eastAsia" w:ascii="Times New Roman" w:hAnsi="Times New Roman" w:cs="Times New Roman"/>
          <w:b w:val="0"/>
          <w:bCs/>
          <w:color w:val="auto"/>
          <w:highlight w:val="none"/>
          <w:lang w:val="en-US" w:eastAsia="zh-CN"/>
        </w:rPr>
        <w:t>本项目</w:t>
      </w:r>
      <w:r>
        <w:rPr>
          <w:rFonts w:hint="eastAsia" w:cs="Times New Roman"/>
          <w:color w:val="auto"/>
          <w:sz w:val="24"/>
          <w:szCs w:val="24"/>
          <w:lang w:val="en-US" w:eastAsia="zh-CN"/>
        </w:rPr>
        <w:t>生产用水量为29453.5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a（其中去离子水用量为17211.</w:t>
      </w:r>
      <w:r>
        <w:rPr>
          <w:rFonts w:hint="eastAsia" w:cs="Times New Roman"/>
          <w:color w:val="auto"/>
          <w:sz w:val="24"/>
          <w:szCs w:val="24"/>
          <w:highlight w:val="none"/>
          <w:vertAlign w:val="baseline"/>
          <w:lang w:val="en-US" w:eastAsia="zh-CN"/>
        </w:rPr>
        <w:t>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a、其余用水量为12242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w:t>
      </w:r>
      <w:r>
        <w:rPr>
          <w:rFonts w:hint="eastAsia" w:cs="Times New Roman"/>
          <w:color w:val="auto"/>
          <w:sz w:val="24"/>
          <w:szCs w:val="24"/>
          <w:vertAlign w:val="baseline"/>
          <w:lang w:val="en-US" w:eastAsia="zh-CN"/>
        </w:rPr>
        <w:t>），本项目</w:t>
      </w:r>
      <w:r>
        <w:rPr>
          <w:rFonts w:hint="eastAsia" w:cs="Times New Roman"/>
          <w:color w:val="auto"/>
          <w:sz w:val="24"/>
          <w:szCs w:val="24"/>
          <w:lang w:val="en-US" w:eastAsia="zh-CN"/>
        </w:rPr>
        <w:t>初期雨水、</w:t>
      </w:r>
      <w:r>
        <w:rPr>
          <w:rFonts w:hint="eastAsia"/>
          <w:color w:val="auto"/>
          <w:highlight w:val="none"/>
          <w:lang w:val="en-US" w:eastAsia="zh-CN"/>
        </w:rPr>
        <w:t>其余器皿三次后清洗废水、车间地面清洁废水、</w:t>
      </w:r>
      <w:r>
        <w:rPr>
          <w:rFonts w:hint="eastAsia" w:cs="Times New Roman"/>
          <w:color w:val="auto"/>
          <w:sz w:val="24"/>
          <w:szCs w:val="24"/>
          <w:lang w:val="en-US" w:eastAsia="zh-CN"/>
        </w:rPr>
        <w:t>反冲洗废水、循环排污水、喷淋废水产生量为835.74m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/a，</w:t>
      </w:r>
      <w:r>
        <w:rPr>
          <w:rFonts w:hint="eastAsia" w:ascii="Times New Roman" w:hAnsi="Times New Roman" w:eastAsia="宋体" w:cs="Times New Roman"/>
          <w:color w:val="auto"/>
          <w:kern w:val="0"/>
          <w:sz w:val="24"/>
          <w:szCs w:val="24"/>
          <w:lang w:val="en-US" w:eastAsia="zh-CN" w:bidi="ar"/>
        </w:rPr>
        <w:t>远远低于生产所需</w:t>
      </w:r>
      <w:r>
        <w:rPr>
          <w:rFonts w:hint="eastAsia" w:cs="Times New Roman"/>
          <w:color w:val="auto"/>
          <w:sz w:val="24"/>
          <w:szCs w:val="24"/>
          <w:highlight w:val="none"/>
          <w:vertAlign w:val="baseline"/>
          <w:lang w:val="en-US" w:eastAsia="zh-CN"/>
        </w:rPr>
        <w:t>其余用水量</w:t>
      </w:r>
      <w:r>
        <w:rPr>
          <w:rFonts w:hint="eastAsia" w:ascii="Times New Roman" w:hAnsi="Times New Roman" w:eastAsia="宋体" w:cs="Times New Roman"/>
          <w:color w:val="auto"/>
          <w:kern w:val="0"/>
          <w:sz w:val="24"/>
          <w:szCs w:val="24"/>
          <w:lang w:val="en-US" w:eastAsia="zh-CN" w:bidi="ar"/>
        </w:rPr>
        <w:t>需求；此外，</w:t>
      </w:r>
      <w:r>
        <w:rPr>
          <w:rFonts w:hint="eastAsia"/>
          <w:color w:val="auto"/>
          <w:highlight w:val="none"/>
          <w:lang w:val="en-US" w:eastAsia="zh-CN"/>
        </w:rPr>
        <w:t>高性能聚羧酸减水剂复配对水质要求较低，</w:t>
      </w:r>
      <w:r>
        <w:rPr>
          <w:rFonts w:hint="eastAsia" w:cs="Times New Roman"/>
          <w:color w:val="auto"/>
          <w:sz w:val="24"/>
          <w:szCs w:val="24"/>
          <w:lang w:val="en-US" w:eastAsia="zh-CN"/>
        </w:rPr>
        <w:t>初期雨水、</w:t>
      </w:r>
      <w:r>
        <w:rPr>
          <w:rFonts w:hint="eastAsia"/>
          <w:color w:val="auto"/>
          <w:highlight w:val="none"/>
          <w:lang w:val="en-US" w:eastAsia="zh-CN"/>
        </w:rPr>
        <w:t>其余器皿三次后清洗废水、车间地面清洁废水（先经沉淀池沉淀）、</w:t>
      </w:r>
      <w:r>
        <w:rPr>
          <w:rFonts w:hint="eastAsia" w:cs="Times New Roman"/>
          <w:color w:val="auto"/>
          <w:sz w:val="24"/>
          <w:szCs w:val="24"/>
          <w:lang w:val="en-US" w:eastAsia="zh-CN"/>
        </w:rPr>
        <w:t>反冲洗废水、循环排污水、喷淋废水可作为</w:t>
      </w:r>
      <w:r>
        <w:rPr>
          <w:rFonts w:hint="eastAsia"/>
          <w:color w:val="auto"/>
          <w:highlight w:val="none"/>
          <w:lang w:val="en-US" w:eastAsia="zh-CN"/>
        </w:rPr>
        <w:t>回用水用使用</w:t>
      </w:r>
      <w:r>
        <w:rPr>
          <w:rFonts w:hint="eastAsia" w:ascii="Times New Roman" w:hAnsi="Times New Roman" w:cs="Times New Roman"/>
          <w:b w:val="0"/>
          <w:bCs/>
          <w:color w:val="auto"/>
          <w:highlight w:val="none"/>
          <w:lang w:val="en-US" w:eastAsia="zh-CN"/>
        </w:rPr>
        <w:t>。</w:t>
      </w:r>
    </w:p>
    <w:p w14:paraId="7573C638">
      <w:pPr>
        <w:pStyle w:val="5"/>
        <w:bidi w:val="0"/>
        <w:ind w:left="864" w:leftChars="0" w:hanging="864" w:firstLineChars="0"/>
        <w:rPr>
          <w:rFonts w:hint="default" w:ascii="Times New Roman" w:hAnsi="Times New Roman" w:eastAsia="宋体" w:cs="Times New Roman"/>
          <w:b/>
          <w:bCs/>
          <w:color w:val="auto"/>
          <w:highlight w:val="none"/>
          <w:lang w:val="en-US" w:eastAsia="zh-CN"/>
        </w:rPr>
      </w:pPr>
      <w:r>
        <w:rPr>
          <w:rFonts w:hint="eastAsia"/>
          <w:color w:val="auto"/>
          <w:highlight w:val="none"/>
        </w:rPr>
        <w:t>建设项目废水污染物排放信息表</w:t>
      </w:r>
    </w:p>
    <w:p w14:paraId="5AAE3EAA">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1、废水类别、污染物及污染治理设施信息表</w:t>
      </w:r>
    </w:p>
    <w:p w14:paraId="52ABCCF8">
      <w:pPr>
        <w:pStyle w:val="26"/>
        <w:bidi w:val="0"/>
        <w:rPr>
          <w:rFonts w:hint="eastAsia" w:ascii="Times New Roman" w:hAnsi="Times New Roman" w:eastAsia="宋体" w:cs="Times New Roman"/>
          <w:snapToGrid w:val="0"/>
          <w:color w:val="auto"/>
          <w:kern w:val="2"/>
          <w:sz w:val="24"/>
          <w:szCs w:val="24"/>
          <w:highlight w:val="none"/>
          <w:lang w:val="en-US" w:eastAsia="zh-CN" w:bidi="ar-SA"/>
        </w:rPr>
      </w:pPr>
      <w:r>
        <w:rPr>
          <w:rFonts w:hint="eastAsia" w:ascii="Times New Roman" w:hAnsi="Times New Roman" w:cs="Times New Roman"/>
          <w:color w:val="auto"/>
          <w:spacing w:val="4"/>
          <w:sz w:val="24"/>
          <w:szCs w:val="24"/>
          <w:highlight w:val="none"/>
        </w:rPr>
        <w:t>本项目废水类别、污染物及治理设施见下表</w:t>
      </w:r>
      <w:r>
        <w:rPr>
          <w:rFonts w:hint="eastAsia" w:ascii="Times New Roman" w:hAnsi="Times New Roman" w:cs="Times New Roman"/>
          <w:color w:val="auto"/>
          <w:spacing w:val="4"/>
          <w:sz w:val="24"/>
          <w:szCs w:val="24"/>
          <w:highlight w:val="none"/>
          <w:lang w:eastAsia="zh-CN"/>
        </w:rPr>
        <w:t>。</w:t>
      </w:r>
    </w:p>
    <w:p w14:paraId="09CAC0FD">
      <w:pPr>
        <w:pStyle w:val="26"/>
        <w:bidi w:val="0"/>
        <w:ind w:left="0" w:leftChars="0" w:firstLine="480" w:firstLineChars="200"/>
        <w:rPr>
          <w:rFonts w:hint="default"/>
          <w:color w:val="auto"/>
          <w:sz w:val="24"/>
          <w:highlight w:val="none"/>
          <w:lang w:val="en-US" w:eastAsia="zh-CN"/>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p>
    <w:p w14:paraId="79EE745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废水类别、污染物及污染治理设施信息表</w:t>
      </w:r>
    </w:p>
    <w:tbl>
      <w:tblPr>
        <w:tblStyle w:val="20"/>
        <w:tblW w:w="499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595"/>
        <w:gridCol w:w="2291"/>
        <w:gridCol w:w="1273"/>
        <w:gridCol w:w="2314"/>
        <w:gridCol w:w="913"/>
        <w:gridCol w:w="1105"/>
        <w:gridCol w:w="859"/>
        <w:gridCol w:w="982"/>
        <w:gridCol w:w="1539"/>
        <w:gridCol w:w="865"/>
      </w:tblGrid>
      <w:tr w14:paraId="290F350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vMerge w:val="restart"/>
            <w:noWrap w:val="0"/>
            <w:vAlign w:val="center"/>
          </w:tcPr>
          <w:p w14:paraId="0BC1C09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558" w:type="pct"/>
            <w:vMerge w:val="restart"/>
            <w:noWrap w:val="0"/>
            <w:vAlign w:val="center"/>
          </w:tcPr>
          <w:p w14:paraId="701C9025">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废水类别</w:t>
            </w:r>
          </w:p>
        </w:tc>
        <w:tc>
          <w:tcPr>
            <w:tcW w:w="802" w:type="pct"/>
            <w:vMerge w:val="restart"/>
            <w:noWrap w:val="0"/>
            <w:vAlign w:val="center"/>
          </w:tcPr>
          <w:p w14:paraId="2C2974A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污染物种类</w:t>
            </w:r>
          </w:p>
        </w:tc>
        <w:tc>
          <w:tcPr>
            <w:tcW w:w="445" w:type="pct"/>
            <w:vMerge w:val="restart"/>
            <w:noWrap w:val="0"/>
            <w:vAlign w:val="center"/>
          </w:tcPr>
          <w:p w14:paraId="70A0A44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排放去向</w:t>
            </w:r>
          </w:p>
        </w:tc>
        <w:tc>
          <w:tcPr>
            <w:tcW w:w="810" w:type="pct"/>
            <w:vMerge w:val="restart"/>
            <w:noWrap w:val="0"/>
            <w:vAlign w:val="center"/>
          </w:tcPr>
          <w:p w14:paraId="1167F00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排放规律</w:t>
            </w:r>
          </w:p>
        </w:tc>
        <w:tc>
          <w:tcPr>
            <w:tcW w:w="1007" w:type="pct"/>
            <w:gridSpan w:val="3"/>
            <w:noWrap w:val="0"/>
            <w:vAlign w:val="center"/>
          </w:tcPr>
          <w:p w14:paraId="063A5F0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污染治理设施</w:t>
            </w:r>
          </w:p>
        </w:tc>
        <w:tc>
          <w:tcPr>
            <w:tcW w:w="343" w:type="pct"/>
            <w:vMerge w:val="restart"/>
            <w:noWrap w:val="0"/>
            <w:vAlign w:val="center"/>
          </w:tcPr>
          <w:p w14:paraId="053AED8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排放口编号</w:t>
            </w:r>
          </w:p>
        </w:tc>
        <w:tc>
          <w:tcPr>
            <w:tcW w:w="539" w:type="pct"/>
            <w:vMerge w:val="restart"/>
            <w:noWrap w:val="0"/>
            <w:vAlign w:val="center"/>
          </w:tcPr>
          <w:p w14:paraId="68E66544">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排放口设置是否符合要求</w:t>
            </w:r>
          </w:p>
        </w:tc>
        <w:tc>
          <w:tcPr>
            <w:tcW w:w="302" w:type="pct"/>
            <w:vMerge w:val="restart"/>
            <w:noWrap w:val="0"/>
            <w:vAlign w:val="center"/>
          </w:tcPr>
          <w:p w14:paraId="4D0F435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排放口类型</w:t>
            </w:r>
          </w:p>
        </w:tc>
      </w:tr>
      <w:tr w14:paraId="181F140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vMerge w:val="continue"/>
            <w:noWrap w:val="0"/>
            <w:vAlign w:val="center"/>
          </w:tcPr>
          <w:p w14:paraId="3042E9C9">
            <w:pPr>
              <w:pStyle w:val="24"/>
              <w:bidi w:val="0"/>
              <w:rPr>
                <w:rFonts w:hint="eastAsia" w:ascii="Times New Roman" w:hAnsi="Times New Roman" w:eastAsia="宋体" w:cs="Courier New"/>
                <w:b/>
                <w:bCs/>
                <w:color w:val="auto"/>
                <w:sz w:val="21"/>
                <w:szCs w:val="21"/>
                <w:highlight w:val="none"/>
                <w:lang w:val="en-US" w:eastAsia="zh-CN"/>
              </w:rPr>
            </w:pPr>
          </w:p>
        </w:tc>
        <w:tc>
          <w:tcPr>
            <w:tcW w:w="558" w:type="pct"/>
            <w:vMerge w:val="continue"/>
            <w:noWrap w:val="0"/>
            <w:vAlign w:val="center"/>
          </w:tcPr>
          <w:p w14:paraId="70AC3653">
            <w:pPr>
              <w:pStyle w:val="24"/>
              <w:bidi w:val="0"/>
              <w:rPr>
                <w:rFonts w:hint="eastAsia" w:ascii="Times New Roman" w:hAnsi="Times New Roman" w:eastAsia="宋体" w:cs="Courier New"/>
                <w:b/>
                <w:bCs/>
                <w:color w:val="auto"/>
                <w:sz w:val="21"/>
                <w:szCs w:val="21"/>
                <w:highlight w:val="none"/>
                <w:lang w:val="en-US" w:eastAsia="zh-CN"/>
              </w:rPr>
            </w:pPr>
          </w:p>
        </w:tc>
        <w:tc>
          <w:tcPr>
            <w:tcW w:w="802" w:type="pct"/>
            <w:vMerge w:val="continue"/>
            <w:noWrap w:val="0"/>
            <w:vAlign w:val="center"/>
          </w:tcPr>
          <w:p w14:paraId="17F97934">
            <w:pPr>
              <w:pStyle w:val="24"/>
              <w:bidi w:val="0"/>
              <w:rPr>
                <w:rFonts w:hint="eastAsia" w:ascii="Times New Roman" w:hAnsi="Times New Roman" w:eastAsia="宋体" w:cs="Courier New"/>
                <w:b/>
                <w:bCs/>
                <w:color w:val="auto"/>
                <w:sz w:val="21"/>
                <w:szCs w:val="21"/>
                <w:highlight w:val="none"/>
                <w:lang w:val="en-US" w:eastAsia="zh-CN"/>
              </w:rPr>
            </w:pPr>
          </w:p>
        </w:tc>
        <w:tc>
          <w:tcPr>
            <w:tcW w:w="445" w:type="pct"/>
            <w:vMerge w:val="continue"/>
            <w:noWrap w:val="0"/>
            <w:vAlign w:val="center"/>
          </w:tcPr>
          <w:p w14:paraId="7DFE4760">
            <w:pPr>
              <w:pStyle w:val="24"/>
              <w:bidi w:val="0"/>
              <w:rPr>
                <w:rFonts w:hint="eastAsia" w:ascii="Times New Roman" w:hAnsi="Times New Roman" w:eastAsia="宋体" w:cs="Courier New"/>
                <w:b/>
                <w:bCs/>
                <w:color w:val="auto"/>
                <w:sz w:val="21"/>
                <w:szCs w:val="21"/>
                <w:highlight w:val="none"/>
                <w:lang w:val="en-US" w:eastAsia="zh-CN"/>
              </w:rPr>
            </w:pPr>
          </w:p>
        </w:tc>
        <w:tc>
          <w:tcPr>
            <w:tcW w:w="810" w:type="pct"/>
            <w:vMerge w:val="continue"/>
            <w:noWrap w:val="0"/>
            <w:vAlign w:val="center"/>
          </w:tcPr>
          <w:p w14:paraId="425B523C">
            <w:pPr>
              <w:pStyle w:val="24"/>
              <w:bidi w:val="0"/>
              <w:rPr>
                <w:rFonts w:hint="eastAsia" w:ascii="Times New Roman" w:hAnsi="Times New Roman" w:eastAsia="宋体" w:cs="Courier New"/>
                <w:b/>
                <w:bCs/>
                <w:color w:val="auto"/>
                <w:sz w:val="21"/>
                <w:szCs w:val="21"/>
                <w:highlight w:val="none"/>
                <w:lang w:val="en-US" w:eastAsia="zh-CN"/>
              </w:rPr>
            </w:pPr>
          </w:p>
        </w:tc>
        <w:tc>
          <w:tcPr>
            <w:tcW w:w="319" w:type="pct"/>
            <w:noWrap w:val="0"/>
            <w:vAlign w:val="center"/>
          </w:tcPr>
          <w:p w14:paraId="5596877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编号</w:t>
            </w:r>
          </w:p>
        </w:tc>
        <w:tc>
          <w:tcPr>
            <w:tcW w:w="387" w:type="pct"/>
            <w:noWrap w:val="0"/>
            <w:vAlign w:val="center"/>
          </w:tcPr>
          <w:p w14:paraId="1D9CA19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名称</w:t>
            </w:r>
          </w:p>
        </w:tc>
        <w:tc>
          <w:tcPr>
            <w:tcW w:w="300" w:type="pct"/>
            <w:noWrap w:val="0"/>
            <w:vAlign w:val="center"/>
          </w:tcPr>
          <w:p w14:paraId="31EAE5C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工艺</w:t>
            </w:r>
          </w:p>
        </w:tc>
        <w:tc>
          <w:tcPr>
            <w:tcW w:w="343" w:type="pct"/>
            <w:vMerge w:val="continue"/>
            <w:noWrap w:val="0"/>
            <w:vAlign w:val="center"/>
          </w:tcPr>
          <w:p w14:paraId="7DB2C18B">
            <w:pPr>
              <w:pStyle w:val="24"/>
              <w:bidi w:val="0"/>
              <w:rPr>
                <w:rFonts w:hint="eastAsia" w:ascii="Times New Roman" w:hAnsi="Times New Roman" w:eastAsia="宋体" w:cs="Courier New"/>
                <w:b/>
                <w:bCs/>
                <w:color w:val="auto"/>
                <w:sz w:val="21"/>
                <w:szCs w:val="21"/>
                <w:highlight w:val="none"/>
                <w:lang w:val="en-US" w:eastAsia="zh-CN"/>
              </w:rPr>
            </w:pPr>
          </w:p>
        </w:tc>
        <w:tc>
          <w:tcPr>
            <w:tcW w:w="539" w:type="pct"/>
            <w:vMerge w:val="continue"/>
            <w:noWrap w:val="0"/>
            <w:vAlign w:val="center"/>
          </w:tcPr>
          <w:p w14:paraId="7A0225DD">
            <w:pPr>
              <w:pStyle w:val="24"/>
              <w:bidi w:val="0"/>
              <w:rPr>
                <w:rFonts w:hint="eastAsia" w:ascii="Times New Roman" w:hAnsi="Times New Roman" w:eastAsia="宋体" w:cs="Courier New"/>
                <w:b/>
                <w:bCs/>
                <w:color w:val="auto"/>
                <w:sz w:val="21"/>
                <w:szCs w:val="21"/>
                <w:highlight w:val="none"/>
                <w:lang w:val="en-US" w:eastAsia="zh-CN"/>
              </w:rPr>
            </w:pPr>
          </w:p>
        </w:tc>
        <w:tc>
          <w:tcPr>
            <w:tcW w:w="302" w:type="pct"/>
            <w:vMerge w:val="continue"/>
            <w:noWrap w:val="0"/>
            <w:vAlign w:val="center"/>
          </w:tcPr>
          <w:p w14:paraId="23AB7DF5">
            <w:pPr>
              <w:pStyle w:val="24"/>
              <w:bidi w:val="0"/>
              <w:rPr>
                <w:rFonts w:hint="eastAsia" w:ascii="Times New Roman" w:hAnsi="Times New Roman" w:eastAsia="宋体" w:cs="Courier New"/>
                <w:b/>
                <w:bCs/>
                <w:color w:val="auto"/>
                <w:sz w:val="21"/>
                <w:szCs w:val="21"/>
                <w:highlight w:val="none"/>
                <w:lang w:val="en-US" w:eastAsia="zh-CN"/>
              </w:rPr>
            </w:pPr>
          </w:p>
        </w:tc>
      </w:tr>
      <w:tr w14:paraId="50FFB8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noWrap w:val="0"/>
            <w:vAlign w:val="center"/>
          </w:tcPr>
          <w:p w14:paraId="40EB56C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558" w:type="pct"/>
            <w:noWrap w:val="0"/>
            <w:vAlign w:val="center"/>
          </w:tcPr>
          <w:p w14:paraId="013A968C">
            <w:pPr>
              <w:pStyle w:val="24"/>
              <w:bidi w:val="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生活污水</w:t>
            </w:r>
          </w:p>
        </w:tc>
        <w:tc>
          <w:tcPr>
            <w:tcW w:w="802" w:type="pct"/>
            <w:noWrap w:val="0"/>
            <w:vAlign w:val="center"/>
          </w:tcPr>
          <w:p w14:paraId="39D8DBB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-N、TP、TN等</w:t>
            </w:r>
          </w:p>
        </w:tc>
        <w:tc>
          <w:tcPr>
            <w:tcW w:w="445" w:type="pct"/>
            <w:noWrap w:val="0"/>
            <w:vAlign w:val="center"/>
          </w:tcPr>
          <w:p w14:paraId="15DE7A0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排入污水处理厂</w:t>
            </w:r>
          </w:p>
        </w:tc>
        <w:tc>
          <w:tcPr>
            <w:tcW w:w="810" w:type="pct"/>
            <w:noWrap w:val="0"/>
            <w:vAlign w:val="center"/>
          </w:tcPr>
          <w:p w14:paraId="42D2B97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间断排放，排放期间流量不稳定且无规律，但不属于冲击型排放</w:t>
            </w:r>
          </w:p>
        </w:tc>
        <w:tc>
          <w:tcPr>
            <w:tcW w:w="319" w:type="pct"/>
            <w:noWrap w:val="0"/>
            <w:vAlign w:val="center"/>
          </w:tcPr>
          <w:p w14:paraId="4467832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TW001</w:t>
            </w:r>
          </w:p>
        </w:tc>
        <w:tc>
          <w:tcPr>
            <w:tcW w:w="387" w:type="pct"/>
            <w:noWrap w:val="0"/>
            <w:vAlign w:val="center"/>
          </w:tcPr>
          <w:p w14:paraId="1842CBD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预处理池</w:t>
            </w:r>
          </w:p>
        </w:tc>
        <w:tc>
          <w:tcPr>
            <w:tcW w:w="300" w:type="pct"/>
            <w:noWrap w:val="0"/>
            <w:vAlign w:val="center"/>
          </w:tcPr>
          <w:p w14:paraId="2C2EB41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沉淀</w:t>
            </w:r>
          </w:p>
        </w:tc>
        <w:tc>
          <w:tcPr>
            <w:tcW w:w="343" w:type="pct"/>
            <w:shd w:val="clear" w:color="auto" w:fill="auto"/>
            <w:noWrap w:val="0"/>
            <w:vAlign w:val="center"/>
          </w:tcPr>
          <w:p w14:paraId="01CB77E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DW001</w:t>
            </w:r>
          </w:p>
        </w:tc>
        <w:tc>
          <w:tcPr>
            <w:tcW w:w="539" w:type="pct"/>
            <w:shd w:val="clear" w:color="auto" w:fill="auto"/>
            <w:noWrap w:val="0"/>
            <w:vAlign w:val="center"/>
          </w:tcPr>
          <w:p w14:paraId="46811A4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是</w:t>
            </w:r>
          </w:p>
        </w:tc>
        <w:tc>
          <w:tcPr>
            <w:tcW w:w="302" w:type="pct"/>
            <w:shd w:val="clear" w:color="auto" w:fill="auto"/>
            <w:noWrap w:val="0"/>
            <w:vAlign w:val="center"/>
          </w:tcPr>
          <w:p w14:paraId="5A9E0E5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企业总排口</w:t>
            </w:r>
          </w:p>
        </w:tc>
      </w:tr>
      <w:tr w14:paraId="001AF86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shd w:val="clear" w:color="auto" w:fill="auto"/>
            <w:noWrap w:val="0"/>
            <w:vAlign w:val="center"/>
          </w:tcPr>
          <w:p w14:paraId="64454D0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2</w:t>
            </w:r>
          </w:p>
        </w:tc>
        <w:tc>
          <w:tcPr>
            <w:tcW w:w="558" w:type="pct"/>
            <w:shd w:val="clear" w:color="auto" w:fill="auto"/>
            <w:noWrap w:val="0"/>
            <w:vAlign w:val="center"/>
          </w:tcPr>
          <w:p w14:paraId="1A50DF2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初期雨水</w:t>
            </w:r>
          </w:p>
        </w:tc>
        <w:tc>
          <w:tcPr>
            <w:tcW w:w="802" w:type="pct"/>
            <w:shd w:val="clear" w:color="auto" w:fill="auto"/>
            <w:noWrap w:val="0"/>
            <w:vAlign w:val="center"/>
          </w:tcPr>
          <w:p w14:paraId="2EAF9BB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-N、TN等</w:t>
            </w:r>
          </w:p>
        </w:tc>
        <w:tc>
          <w:tcPr>
            <w:tcW w:w="445" w:type="pct"/>
            <w:vMerge w:val="restart"/>
            <w:shd w:val="clear" w:color="auto" w:fill="auto"/>
            <w:noWrap w:val="0"/>
            <w:vAlign w:val="center"/>
          </w:tcPr>
          <w:p w14:paraId="47C1B97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olor w:val="auto"/>
                <w:sz w:val="21"/>
                <w:szCs w:val="21"/>
                <w:highlight w:val="none"/>
                <w:lang w:val="en-US" w:eastAsia="zh-CN"/>
              </w:rPr>
              <w:t>回用于高性能聚羧酸减水剂复配</w:t>
            </w:r>
          </w:p>
        </w:tc>
        <w:tc>
          <w:tcPr>
            <w:tcW w:w="810" w:type="pct"/>
            <w:vMerge w:val="restart"/>
            <w:shd w:val="clear" w:color="auto" w:fill="auto"/>
            <w:noWrap w:val="0"/>
            <w:vAlign w:val="center"/>
          </w:tcPr>
          <w:p w14:paraId="0E6F1D33">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19" w:type="pct"/>
            <w:shd w:val="clear" w:color="auto" w:fill="auto"/>
            <w:noWrap w:val="0"/>
            <w:vAlign w:val="center"/>
          </w:tcPr>
          <w:p w14:paraId="3C61F88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87" w:type="pct"/>
            <w:shd w:val="clear" w:color="auto" w:fill="auto"/>
            <w:noWrap w:val="0"/>
            <w:vAlign w:val="center"/>
          </w:tcPr>
          <w:p w14:paraId="2B9CAE6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00" w:type="pct"/>
            <w:shd w:val="clear" w:color="auto" w:fill="auto"/>
            <w:noWrap w:val="0"/>
            <w:vAlign w:val="center"/>
          </w:tcPr>
          <w:p w14:paraId="358175C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43" w:type="pct"/>
            <w:shd w:val="clear" w:color="auto" w:fill="auto"/>
            <w:noWrap w:val="0"/>
            <w:vAlign w:val="center"/>
          </w:tcPr>
          <w:p w14:paraId="6B578CC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539" w:type="pct"/>
            <w:shd w:val="clear" w:color="auto" w:fill="auto"/>
            <w:noWrap w:val="0"/>
            <w:vAlign w:val="center"/>
          </w:tcPr>
          <w:p w14:paraId="71F3171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02" w:type="pct"/>
            <w:shd w:val="clear" w:color="auto" w:fill="auto"/>
            <w:noWrap w:val="0"/>
            <w:vAlign w:val="center"/>
          </w:tcPr>
          <w:p w14:paraId="7391233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r>
      <w:tr w14:paraId="5FB3CCC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noWrap w:val="0"/>
            <w:vAlign w:val="center"/>
          </w:tcPr>
          <w:p w14:paraId="373719DA">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w:t>
            </w:r>
          </w:p>
        </w:tc>
        <w:tc>
          <w:tcPr>
            <w:tcW w:w="558" w:type="pct"/>
            <w:shd w:val="clear" w:color="auto" w:fill="auto"/>
            <w:noWrap w:val="0"/>
            <w:vAlign w:val="center"/>
          </w:tcPr>
          <w:p w14:paraId="18EACE3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其余器皿三次后清洗废水</w:t>
            </w:r>
          </w:p>
        </w:tc>
        <w:tc>
          <w:tcPr>
            <w:tcW w:w="802" w:type="pct"/>
            <w:noWrap w:val="0"/>
            <w:vAlign w:val="center"/>
          </w:tcPr>
          <w:p w14:paraId="1AFD24C0">
            <w:pPr>
              <w:pStyle w:val="24"/>
              <w:bidi w:val="0"/>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-N、TN等</w:t>
            </w:r>
          </w:p>
        </w:tc>
        <w:tc>
          <w:tcPr>
            <w:tcW w:w="445" w:type="pct"/>
            <w:vMerge w:val="continue"/>
            <w:noWrap w:val="0"/>
            <w:vAlign w:val="center"/>
          </w:tcPr>
          <w:p w14:paraId="13B9731A">
            <w:pPr>
              <w:pStyle w:val="24"/>
              <w:bidi w:val="0"/>
              <w:rPr>
                <w:rFonts w:hint="eastAsia" w:ascii="Times New Roman" w:hAnsi="Times New Roman" w:eastAsia="宋体" w:cs="Courier New"/>
                <w:b w:val="0"/>
                <w:bCs w:val="0"/>
                <w:color w:val="auto"/>
                <w:sz w:val="21"/>
                <w:szCs w:val="21"/>
                <w:highlight w:val="none"/>
                <w:lang w:val="en-US" w:eastAsia="zh-CN"/>
              </w:rPr>
            </w:pPr>
          </w:p>
        </w:tc>
        <w:tc>
          <w:tcPr>
            <w:tcW w:w="810" w:type="pct"/>
            <w:vMerge w:val="continue"/>
            <w:noWrap w:val="0"/>
            <w:vAlign w:val="center"/>
          </w:tcPr>
          <w:p w14:paraId="0794790A">
            <w:pPr>
              <w:pStyle w:val="24"/>
              <w:bidi w:val="0"/>
              <w:rPr>
                <w:rFonts w:hint="eastAsia" w:ascii="Times New Roman" w:hAnsi="Times New Roman" w:eastAsia="宋体" w:cs="Courier New"/>
                <w:b w:val="0"/>
                <w:bCs w:val="0"/>
                <w:color w:val="auto"/>
                <w:sz w:val="21"/>
                <w:szCs w:val="21"/>
                <w:highlight w:val="none"/>
                <w:lang w:val="en-US" w:eastAsia="zh-CN"/>
              </w:rPr>
            </w:pPr>
          </w:p>
        </w:tc>
        <w:tc>
          <w:tcPr>
            <w:tcW w:w="319" w:type="pct"/>
            <w:shd w:val="clear" w:color="auto" w:fill="auto"/>
            <w:noWrap w:val="0"/>
            <w:vAlign w:val="center"/>
          </w:tcPr>
          <w:p w14:paraId="7D85C78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87" w:type="pct"/>
            <w:shd w:val="clear" w:color="auto" w:fill="auto"/>
            <w:noWrap w:val="0"/>
            <w:vAlign w:val="center"/>
          </w:tcPr>
          <w:p w14:paraId="486F753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00" w:type="pct"/>
            <w:shd w:val="clear" w:color="auto" w:fill="auto"/>
            <w:noWrap w:val="0"/>
            <w:vAlign w:val="center"/>
          </w:tcPr>
          <w:p w14:paraId="010859F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w:t>
            </w:r>
          </w:p>
        </w:tc>
        <w:tc>
          <w:tcPr>
            <w:tcW w:w="343" w:type="pct"/>
            <w:shd w:val="clear" w:color="auto" w:fill="auto"/>
            <w:noWrap w:val="0"/>
            <w:vAlign w:val="center"/>
          </w:tcPr>
          <w:p w14:paraId="07F6D84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39" w:type="pct"/>
            <w:shd w:val="clear" w:color="auto" w:fill="auto"/>
            <w:noWrap w:val="0"/>
            <w:vAlign w:val="center"/>
          </w:tcPr>
          <w:p w14:paraId="2BA8C5C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2" w:type="pct"/>
            <w:shd w:val="clear" w:color="auto" w:fill="auto"/>
            <w:noWrap w:val="0"/>
            <w:vAlign w:val="center"/>
          </w:tcPr>
          <w:p w14:paraId="7904DEB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r w14:paraId="37B3EEB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noWrap w:val="0"/>
            <w:vAlign w:val="center"/>
          </w:tcPr>
          <w:p w14:paraId="2C80EA5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w:t>
            </w:r>
          </w:p>
        </w:tc>
        <w:tc>
          <w:tcPr>
            <w:tcW w:w="558" w:type="pct"/>
            <w:shd w:val="clear" w:color="auto" w:fill="auto"/>
            <w:noWrap w:val="0"/>
            <w:vAlign w:val="center"/>
          </w:tcPr>
          <w:p w14:paraId="6502C596">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车间地面清洁废水</w:t>
            </w:r>
          </w:p>
        </w:tc>
        <w:tc>
          <w:tcPr>
            <w:tcW w:w="802" w:type="pct"/>
            <w:noWrap w:val="0"/>
            <w:vAlign w:val="center"/>
          </w:tcPr>
          <w:p w14:paraId="607E6EFC">
            <w:pPr>
              <w:pStyle w:val="24"/>
              <w:bidi w:val="0"/>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pH、COD、BOD</w:t>
            </w:r>
            <w:r>
              <w:rPr>
                <w:rFonts w:hint="eastAsia" w:cs="Times New Roman"/>
                <w:b w:val="0"/>
                <w:bCs w:val="0"/>
                <w:color w:val="auto"/>
                <w:sz w:val="21"/>
                <w:szCs w:val="21"/>
                <w:highlight w:val="none"/>
                <w:vertAlign w:val="subscript"/>
                <w:lang w:val="en-US" w:eastAsia="zh-CN"/>
              </w:rPr>
              <w:t>5</w:t>
            </w:r>
            <w:r>
              <w:rPr>
                <w:rFonts w:hint="eastAsia" w:cs="Times New Roman"/>
                <w:b w:val="0"/>
                <w:bCs w:val="0"/>
                <w:color w:val="auto"/>
                <w:sz w:val="21"/>
                <w:szCs w:val="21"/>
                <w:highlight w:val="none"/>
                <w:lang w:val="en-US" w:eastAsia="zh-CN"/>
              </w:rPr>
              <w:t>、SS、NH</w:t>
            </w:r>
            <w:r>
              <w:rPr>
                <w:rFonts w:hint="eastAsia" w:cs="Times New Roman"/>
                <w:b w:val="0"/>
                <w:bCs w:val="0"/>
                <w:color w:val="auto"/>
                <w:sz w:val="21"/>
                <w:szCs w:val="21"/>
                <w:highlight w:val="none"/>
                <w:vertAlign w:val="subscript"/>
                <w:lang w:val="en-US" w:eastAsia="zh-CN"/>
              </w:rPr>
              <w:t>3</w:t>
            </w:r>
            <w:r>
              <w:rPr>
                <w:rFonts w:hint="eastAsia" w:cs="Times New Roman"/>
                <w:b w:val="0"/>
                <w:bCs w:val="0"/>
                <w:color w:val="auto"/>
                <w:sz w:val="21"/>
                <w:szCs w:val="21"/>
                <w:highlight w:val="none"/>
                <w:lang w:val="en-US" w:eastAsia="zh-CN"/>
              </w:rPr>
              <w:t>-N、TN、石油类、表面活性剂等</w:t>
            </w:r>
          </w:p>
        </w:tc>
        <w:tc>
          <w:tcPr>
            <w:tcW w:w="445" w:type="pct"/>
            <w:vMerge w:val="continue"/>
            <w:noWrap w:val="0"/>
            <w:vAlign w:val="center"/>
          </w:tcPr>
          <w:p w14:paraId="3BB00D6C">
            <w:pPr>
              <w:pStyle w:val="24"/>
              <w:bidi w:val="0"/>
              <w:rPr>
                <w:rFonts w:hint="eastAsia" w:ascii="Times New Roman" w:hAnsi="Times New Roman" w:eastAsia="宋体" w:cs="Courier New"/>
                <w:b w:val="0"/>
                <w:bCs w:val="0"/>
                <w:color w:val="auto"/>
                <w:sz w:val="21"/>
                <w:szCs w:val="21"/>
                <w:highlight w:val="none"/>
                <w:lang w:val="en-US" w:eastAsia="zh-CN"/>
              </w:rPr>
            </w:pPr>
          </w:p>
        </w:tc>
        <w:tc>
          <w:tcPr>
            <w:tcW w:w="810" w:type="pct"/>
            <w:vMerge w:val="continue"/>
            <w:noWrap w:val="0"/>
            <w:vAlign w:val="center"/>
          </w:tcPr>
          <w:p w14:paraId="51848255">
            <w:pPr>
              <w:pStyle w:val="24"/>
              <w:bidi w:val="0"/>
              <w:rPr>
                <w:rFonts w:hint="eastAsia" w:ascii="Times New Roman" w:hAnsi="Times New Roman" w:eastAsia="宋体" w:cs="Courier New"/>
                <w:b w:val="0"/>
                <w:bCs w:val="0"/>
                <w:color w:val="auto"/>
                <w:sz w:val="21"/>
                <w:szCs w:val="21"/>
                <w:highlight w:val="none"/>
                <w:lang w:val="en-US" w:eastAsia="zh-CN"/>
              </w:rPr>
            </w:pPr>
          </w:p>
        </w:tc>
        <w:tc>
          <w:tcPr>
            <w:tcW w:w="319" w:type="pct"/>
            <w:shd w:val="clear" w:color="auto" w:fill="auto"/>
            <w:noWrap w:val="0"/>
            <w:vAlign w:val="center"/>
          </w:tcPr>
          <w:p w14:paraId="2F2EF8D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TW002</w:t>
            </w:r>
          </w:p>
        </w:tc>
        <w:tc>
          <w:tcPr>
            <w:tcW w:w="387" w:type="pct"/>
            <w:shd w:val="clear" w:color="auto" w:fill="auto"/>
            <w:noWrap w:val="0"/>
            <w:vAlign w:val="center"/>
          </w:tcPr>
          <w:p w14:paraId="643EDED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沉淀池</w:t>
            </w:r>
          </w:p>
        </w:tc>
        <w:tc>
          <w:tcPr>
            <w:tcW w:w="300" w:type="pct"/>
            <w:shd w:val="clear" w:color="auto" w:fill="auto"/>
            <w:noWrap w:val="0"/>
            <w:vAlign w:val="center"/>
          </w:tcPr>
          <w:p w14:paraId="128B0A9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沉淀</w:t>
            </w:r>
          </w:p>
        </w:tc>
        <w:tc>
          <w:tcPr>
            <w:tcW w:w="343" w:type="pct"/>
            <w:shd w:val="clear" w:color="auto" w:fill="auto"/>
            <w:noWrap w:val="0"/>
            <w:vAlign w:val="center"/>
          </w:tcPr>
          <w:p w14:paraId="1644BC3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39" w:type="pct"/>
            <w:shd w:val="clear" w:color="auto" w:fill="auto"/>
            <w:noWrap w:val="0"/>
            <w:vAlign w:val="center"/>
          </w:tcPr>
          <w:p w14:paraId="0D9BBF5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2" w:type="pct"/>
            <w:shd w:val="clear" w:color="auto" w:fill="auto"/>
            <w:noWrap w:val="0"/>
            <w:vAlign w:val="center"/>
          </w:tcPr>
          <w:p w14:paraId="5F78629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r w14:paraId="615124C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8" w:type="pct"/>
            <w:noWrap w:val="0"/>
            <w:vAlign w:val="center"/>
          </w:tcPr>
          <w:p w14:paraId="0D13365A">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w:t>
            </w:r>
          </w:p>
        </w:tc>
        <w:tc>
          <w:tcPr>
            <w:tcW w:w="558" w:type="pct"/>
            <w:shd w:val="clear" w:color="auto" w:fill="auto"/>
            <w:noWrap w:val="0"/>
            <w:vAlign w:val="center"/>
          </w:tcPr>
          <w:p w14:paraId="043C9D7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反冲洗废水</w:t>
            </w:r>
          </w:p>
        </w:tc>
        <w:tc>
          <w:tcPr>
            <w:tcW w:w="802" w:type="pct"/>
            <w:noWrap w:val="0"/>
            <w:vAlign w:val="center"/>
          </w:tcPr>
          <w:p w14:paraId="3AAFF743">
            <w:pPr>
              <w:pStyle w:val="24"/>
              <w:bidi w:val="0"/>
              <w:rPr>
                <w:rFonts w:hint="eastAsia"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SS等</w:t>
            </w:r>
          </w:p>
        </w:tc>
        <w:tc>
          <w:tcPr>
            <w:tcW w:w="445" w:type="pct"/>
            <w:vMerge w:val="continue"/>
            <w:noWrap w:val="0"/>
            <w:vAlign w:val="center"/>
          </w:tcPr>
          <w:p w14:paraId="558B4D81">
            <w:pPr>
              <w:pStyle w:val="24"/>
              <w:bidi w:val="0"/>
              <w:rPr>
                <w:rFonts w:hint="eastAsia" w:ascii="Times New Roman" w:hAnsi="Times New Roman" w:eastAsia="宋体" w:cs="Courier New"/>
                <w:b w:val="0"/>
                <w:bCs w:val="0"/>
                <w:color w:val="auto"/>
                <w:sz w:val="21"/>
                <w:szCs w:val="21"/>
                <w:highlight w:val="none"/>
                <w:lang w:val="en-US" w:eastAsia="zh-CN"/>
              </w:rPr>
            </w:pPr>
          </w:p>
        </w:tc>
        <w:tc>
          <w:tcPr>
            <w:tcW w:w="810" w:type="pct"/>
            <w:vMerge w:val="continue"/>
            <w:noWrap w:val="0"/>
            <w:vAlign w:val="center"/>
          </w:tcPr>
          <w:p w14:paraId="52570BF2">
            <w:pPr>
              <w:pStyle w:val="24"/>
              <w:bidi w:val="0"/>
              <w:rPr>
                <w:rFonts w:hint="eastAsia" w:ascii="Times New Roman" w:hAnsi="Times New Roman" w:eastAsia="宋体" w:cs="Courier New"/>
                <w:b w:val="0"/>
                <w:bCs w:val="0"/>
                <w:color w:val="auto"/>
                <w:sz w:val="21"/>
                <w:szCs w:val="21"/>
                <w:highlight w:val="none"/>
                <w:lang w:val="en-US" w:eastAsia="zh-CN"/>
              </w:rPr>
            </w:pPr>
          </w:p>
        </w:tc>
        <w:tc>
          <w:tcPr>
            <w:tcW w:w="319" w:type="pct"/>
            <w:noWrap w:val="0"/>
            <w:vAlign w:val="center"/>
          </w:tcPr>
          <w:p w14:paraId="4FA8F31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87" w:type="pct"/>
            <w:noWrap w:val="0"/>
            <w:vAlign w:val="center"/>
          </w:tcPr>
          <w:p w14:paraId="2580AE49">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0" w:type="pct"/>
            <w:noWrap w:val="0"/>
            <w:vAlign w:val="center"/>
          </w:tcPr>
          <w:p w14:paraId="0169F46C">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43" w:type="pct"/>
            <w:shd w:val="clear" w:color="auto" w:fill="auto"/>
            <w:noWrap w:val="0"/>
            <w:vAlign w:val="center"/>
          </w:tcPr>
          <w:p w14:paraId="0577931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39" w:type="pct"/>
            <w:shd w:val="clear" w:color="auto" w:fill="auto"/>
            <w:noWrap w:val="0"/>
            <w:vAlign w:val="center"/>
          </w:tcPr>
          <w:p w14:paraId="0537492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2" w:type="pct"/>
            <w:shd w:val="clear" w:color="auto" w:fill="auto"/>
            <w:noWrap w:val="0"/>
            <w:vAlign w:val="center"/>
          </w:tcPr>
          <w:p w14:paraId="35F617C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r w14:paraId="0C5826C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noWrap w:val="0"/>
            <w:vAlign w:val="center"/>
          </w:tcPr>
          <w:p w14:paraId="5CFE520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w:t>
            </w:r>
          </w:p>
        </w:tc>
        <w:tc>
          <w:tcPr>
            <w:tcW w:w="558" w:type="pct"/>
            <w:shd w:val="clear" w:color="auto" w:fill="auto"/>
            <w:noWrap w:val="0"/>
            <w:vAlign w:val="center"/>
          </w:tcPr>
          <w:p w14:paraId="597433D8">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循环排污水</w:t>
            </w:r>
          </w:p>
        </w:tc>
        <w:tc>
          <w:tcPr>
            <w:tcW w:w="802" w:type="pct"/>
            <w:noWrap w:val="0"/>
            <w:vAlign w:val="center"/>
          </w:tcPr>
          <w:p w14:paraId="622BEB81">
            <w:pPr>
              <w:pStyle w:val="24"/>
              <w:bidi w:val="0"/>
              <w:rPr>
                <w:rFonts w:hint="eastAsia" w:cs="Times New Roman"/>
                <w:b w:val="0"/>
                <w:bCs w:val="0"/>
                <w:color w:val="auto"/>
                <w:sz w:val="21"/>
                <w:szCs w:val="21"/>
                <w:highlight w:val="none"/>
                <w:lang w:val="en-US" w:eastAsia="zh-CN"/>
              </w:rPr>
            </w:pPr>
            <w:r>
              <w:rPr>
                <w:rFonts w:hint="eastAsia" w:cs="Times New Roman"/>
                <w:b w:val="0"/>
                <w:bCs w:val="0"/>
                <w:color w:val="auto"/>
                <w:kern w:val="2"/>
                <w:sz w:val="21"/>
                <w:szCs w:val="21"/>
                <w:highlight w:val="none"/>
                <w:lang w:val="en-US" w:eastAsia="zh-CN" w:bidi="ar-SA"/>
              </w:rPr>
              <w:t>SS等</w:t>
            </w:r>
          </w:p>
        </w:tc>
        <w:tc>
          <w:tcPr>
            <w:tcW w:w="445" w:type="pct"/>
            <w:vMerge w:val="continue"/>
            <w:noWrap w:val="0"/>
            <w:vAlign w:val="center"/>
          </w:tcPr>
          <w:p w14:paraId="636D3BFB">
            <w:pPr>
              <w:pStyle w:val="24"/>
              <w:bidi w:val="0"/>
              <w:rPr>
                <w:rFonts w:hint="eastAsia" w:ascii="Times New Roman" w:hAnsi="Times New Roman" w:eastAsia="宋体" w:cs="Courier New"/>
                <w:b w:val="0"/>
                <w:bCs w:val="0"/>
                <w:color w:val="auto"/>
                <w:sz w:val="21"/>
                <w:szCs w:val="21"/>
                <w:highlight w:val="none"/>
                <w:lang w:val="en-US" w:eastAsia="zh-CN"/>
              </w:rPr>
            </w:pPr>
          </w:p>
        </w:tc>
        <w:tc>
          <w:tcPr>
            <w:tcW w:w="810" w:type="pct"/>
            <w:vMerge w:val="continue"/>
            <w:noWrap w:val="0"/>
            <w:vAlign w:val="center"/>
          </w:tcPr>
          <w:p w14:paraId="5F881694">
            <w:pPr>
              <w:pStyle w:val="24"/>
              <w:bidi w:val="0"/>
              <w:rPr>
                <w:rFonts w:hint="eastAsia" w:ascii="Times New Roman" w:hAnsi="Times New Roman" w:eastAsia="宋体" w:cs="Courier New"/>
                <w:b w:val="0"/>
                <w:bCs w:val="0"/>
                <w:color w:val="auto"/>
                <w:sz w:val="21"/>
                <w:szCs w:val="21"/>
                <w:highlight w:val="none"/>
                <w:lang w:val="en-US" w:eastAsia="zh-CN"/>
              </w:rPr>
            </w:pPr>
          </w:p>
        </w:tc>
        <w:tc>
          <w:tcPr>
            <w:tcW w:w="319" w:type="pct"/>
            <w:noWrap w:val="0"/>
            <w:vAlign w:val="center"/>
          </w:tcPr>
          <w:p w14:paraId="12DC445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87" w:type="pct"/>
            <w:noWrap w:val="0"/>
            <w:vAlign w:val="center"/>
          </w:tcPr>
          <w:p w14:paraId="61FB9AFB">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0" w:type="pct"/>
            <w:noWrap w:val="0"/>
            <w:vAlign w:val="center"/>
          </w:tcPr>
          <w:p w14:paraId="457070A2">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43" w:type="pct"/>
            <w:shd w:val="clear" w:color="auto" w:fill="auto"/>
            <w:noWrap w:val="0"/>
            <w:vAlign w:val="center"/>
          </w:tcPr>
          <w:p w14:paraId="2824CA7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39" w:type="pct"/>
            <w:shd w:val="clear" w:color="auto" w:fill="auto"/>
            <w:noWrap w:val="0"/>
            <w:vAlign w:val="center"/>
          </w:tcPr>
          <w:p w14:paraId="2662F48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2" w:type="pct"/>
            <w:shd w:val="clear" w:color="auto" w:fill="auto"/>
            <w:noWrap w:val="0"/>
            <w:vAlign w:val="center"/>
          </w:tcPr>
          <w:p w14:paraId="2F38F15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r w14:paraId="5DEB2CE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88" w:type="pct"/>
            <w:noWrap w:val="0"/>
            <w:vAlign w:val="center"/>
          </w:tcPr>
          <w:p w14:paraId="118A2CA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7</w:t>
            </w:r>
          </w:p>
        </w:tc>
        <w:tc>
          <w:tcPr>
            <w:tcW w:w="558" w:type="pct"/>
            <w:shd w:val="clear" w:color="auto" w:fill="auto"/>
            <w:noWrap w:val="0"/>
            <w:vAlign w:val="center"/>
          </w:tcPr>
          <w:p w14:paraId="6E025703">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喷淋废水</w:t>
            </w:r>
          </w:p>
        </w:tc>
        <w:tc>
          <w:tcPr>
            <w:tcW w:w="802" w:type="pct"/>
            <w:noWrap w:val="0"/>
            <w:vAlign w:val="center"/>
          </w:tcPr>
          <w:p w14:paraId="61F1D159">
            <w:pPr>
              <w:pStyle w:val="24"/>
              <w:bidi w:val="0"/>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pH、COD、SS等</w:t>
            </w:r>
          </w:p>
        </w:tc>
        <w:tc>
          <w:tcPr>
            <w:tcW w:w="445" w:type="pct"/>
            <w:vMerge w:val="continue"/>
            <w:noWrap w:val="0"/>
            <w:vAlign w:val="center"/>
          </w:tcPr>
          <w:p w14:paraId="0F94007B">
            <w:pPr>
              <w:pStyle w:val="24"/>
              <w:bidi w:val="0"/>
              <w:rPr>
                <w:rFonts w:hint="eastAsia" w:ascii="Times New Roman" w:hAnsi="Times New Roman" w:eastAsia="宋体" w:cs="Courier New"/>
                <w:b w:val="0"/>
                <w:bCs w:val="0"/>
                <w:color w:val="auto"/>
                <w:sz w:val="21"/>
                <w:szCs w:val="21"/>
                <w:highlight w:val="none"/>
                <w:lang w:val="en-US" w:eastAsia="zh-CN"/>
              </w:rPr>
            </w:pPr>
          </w:p>
        </w:tc>
        <w:tc>
          <w:tcPr>
            <w:tcW w:w="810" w:type="pct"/>
            <w:vMerge w:val="continue"/>
            <w:noWrap w:val="0"/>
            <w:vAlign w:val="center"/>
          </w:tcPr>
          <w:p w14:paraId="60E6D156">
            <w:pPr>
              <w:pStyle w:val="24"/>
              <w:bidi w:val="0"/>
              <w:rPr>
                <w:rFonts w:hint="eastAsia" w:ascii="Times New Roman" w:hAnsi="Times New Roman" w:eastAsia="宋体" w:cs="Courier New"/>
                <w:b w:val="0"/>
                <w:bCs w:val="0"/>
                <w:color w:val="auto"/>
                <w:sz w:val="21"/>
                <w:szCs w:val="21"/>
                <w:highlight w:val="none"/>
                <w:lang w:val="en-US" w:eastAsia="zh-CN"/>
              </w:rPr>
            </w:pPr>
          </w:p>
        </w:tc>
        <w:tc>
          <w:tcPr>
            <w:tcW w:w="319" w:type="pct"/>
            <w:noWrap w:val="0"/>
            <w:vAlign w:val="center"/>
          </w:tcPr>
          <w:p w14:paraId="2AE5BCD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87" w:type="pct"/>
            <w:noWrap w:val="0"/>
            <w:vAlign w:val="center"/>
          </w:tcPr>
          <w:p w14:paraId="28782DAF">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0" w:type="pct"/>
            <w:noWrap w:val="0"/>
            <w:vAlign w:val="center"/>
          </w:tcPr>
          <w:p w14:paraId="19F1CDA6">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43" w:type="pct"/>
            <w:shd w:val="clear" w:color="auto" w:fill="auto"/>
            <w:noWrap w:val="0"/>
            <w:vAlign w:val="center"/>
          </w:tcPr>
          <w:p w14:paraId="5F1BBB5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539" w:type="pct"/>
            <w:shd w:val="clear" w:color="auto" w:fill="auto"/>
            <w:noWrap w:val="0"/>
            <w:vAlign w:val="center"/>
          </w:tcPr>
          <w:p w14:paraId="12050BC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c>
          <w:tcPr>
            <w:tcW w:w="302" w:type="pct"/>
            <w:shd w:val="clear" w:color="auto" w:fill="auto"/>
            <w:noWrap w:val="0"/>
            <w:vAlign w:val="center"/>
          </w:tcPr>
          <w:p w14:paraId="364804C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w:t>
            </w:r>
          </w:p>
        </w:tc>
      </w:tr>
    </w:tbl>
    <w:p w14:paraId="4B8901E6">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2、废水排放口基本情况表</w:t>
      </w:r>
    </w:p>
    <w:p w14:paraId="17FCB5AD">
      <w:pPr>
        <w:spacing w:line="360" w:lineRule="auto"/>
        <w:rPr>
          <w:rFonts w:hint="eastAsia" w:ascii="Times New Roman" w:hAnsi="Times New Roman" w:eastAsia="宋体"/>
          <w:color w:val="auto"/>
          <w:sz w:val="24"/>
          <w:szCs w:val="24"/>
          <w:highlight w:val="none"/>
          <w:lang w:eastAsia="zh-CN"/>
        </w:rPr>
      </w:pPr>
      <w:r>
        <w:rPr>
          <w:rFonts w:hint="eastAsia" w:ascii="Times New Roman" w:hAnsi="Times New Roman" w:cs="Times New Roman"/>
          <w:color w:val="auto"/>
          <w:spacing w:val="4"/>
          <w:sz w:val="24"/>
          <w:szCs w:val="24"/>
          <w:highlight w:val="none"/>
        </w:rPr>
        <w:t>本项目废水排放口基本信息见下表</w:t>
      </w:r>
      <w:r>
        <w:rPr>
          <w:rFonts w:hint="eastAsia" w:ascii="Times New Roman" w:hAnsi="Times New Roman" w:cs="Times New Roman"/>
          <w:color w:val="auto"/>
          <w:spacing w:val="4"/>
          <w:sz w:val="24"/>
          <w:szCs w:val="24"/>
          <w:highlight w:val="none"/>
          <w:lang w:eastAsia="zh-CN"/>
        </w:rPr>
        <w:t>。</w:t>
      </w:r>
    </w:p>
    <w:p w14:paraId="3C717EE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废水间接排放口基本情况表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1274"/>
        <w:gridCol w:w="1566"/>
        <w:gridCol w:w="1448"/>
        <w:gridCol w:w="1251"/>
        <w:gridCol w:w="1129"/>
        <w:gridCol w:w="1508"/>
        <w:gridCol w:w="1074"/>
        <w:gridCol w:w="954"/>
        <w:gridCol w:w="1271"/>
        <w:gridCol w:w="2167"/>
      </w:tblGrid>
      <w:tr w14:paraId="4E75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restart"/>
            <w:noWrap w:val="0"/>
            <w:vAlign w:val="center"/>
          </w:tcPr>
          <w:p w14:paraId="720F625E">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446" w:type="pct"/>
            <w:vMerge w:val="restart"/>
            <w:noWrap w:val="0"/>
            <w:vAlign w:val="center"/>
          </w:tcPr>
          <w:p w14:paraId="442BAD7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排放口编号</w:t>
            </w:r>
          </w:p>
        </w:tc>
        <w:tc>
          <w:tcPr>
            <w:tcW w:w="1055" w:type="pct"/>
            <w:gridSpan w:val="2"/>
            <w:noWrap w:val="0"/>
            <w:vAlign w:val="center"/>
          </w:tcPr>
          <w:p w14:paraId="4A0E52FE">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排放口地理坐标</w:t>
            </w:r>
          </w:p>
        </w:tc>
        <w:tc>
          <w:tcPr>
            <w:tcW w:w="438" w:type="pct"/>
            <w:vMerge w:val="restart"/>
            <w:noWrap w:val="0"/>
            <w:vAlign w:val="center"/>
          </w:tcPr>
          <w:p w14:paraId="02E1296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废水排放量（万t/a）</w:t>
            </w:r>
          </w:p>
        </w:tc>
        <w:tc>
          <w:tcPr>
            <w:tcW w:w="395" w:type="pct"/>
            <w:vMerge w:val="restart"/>
            <w:noWrap w:val="0"/>
            <w:vAlign w:val="center"/>
          </w:tcPr>
          <w:p w14:paraId="413A9824">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排放去向</w:t>
            </w:r>
          </w:p>
        </w:tc>
        <w:tc>
          <w:tcPr>
            <w:tcW w:w="528" w:type="pct"/>
            <w:vMerge w:val="restart"/>
            <w:noWrap w:val="0"/>
            <w:vAlign w:val="center"/>
          </w:tcPr>
          <w:p w14:paraId="7386501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排放规律</w:t>
            </w:r>
          </w:p>
        </w:tc>
        <w:tc>
          <w:tcPr>
            <w:tcW w:w="376" w:type="pct"/>
            <w:vMerge w:val="restart"/>
            <w:noWrap w:val="0"/>
            <w:vAlign w:val="center"/>
          </w:tcPr>
          <w:p w14:paraId="4B843C7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间歇排放时段</w:t>
            </w:r>
          </w:p>
        </w:tc>
        <w:tc>
          <w:tcPr>
            <w:tcW w:w="1537" w:type="pct"/>
            <w:gridSpan w:val="3"/>
            <w:noWrap w:val="0"/>
            <w:vAlign w:val="center"/>
          </w:tcPr>
          <w:p w14:paraId="437476D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受纳污水处理厂信息</w:t>
            </w:r>
          </w:p>
        </w:tc>
      </w:tr>
      <w:tr w14:paraId="237D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10DDDA66">
            <w:pPr>
              <w:pStyle w:val="24"/>
              <w:bidi w:val="0"/>
              <w:rPr>
                <w:rFonts w:hint="eastAsia" w:ascii="Times New Roman" w:hAnsi="Times New Roman" w:eastAsia="宋体" w:cs="Courier New"/>
                <w:b/>
                <w:bCs/>
                <w:color w:val="auto"/>
                <w:sz w:val="21"/>
                <w:szCs w:val="21"/>
                <w:highlight w:val="none"/>
                <w:lang w:val="en-US" w:eastAsia="zh-CN"/>
              </w:rPr>
            </w:pPr>
          </w:p>
        </w:tc>
        <w:tc>
          <w:tcPr>
            <w:tcW w:w="446" w:type="pct"/>
            <w:vMerge w:val="continue"/>
            <w:noWrap w:val="0"/>
            <w:vAlign w:val="center"/>
          </w:tcPr>
          <w:p w14:paraId="0DD613A0">
            <w:pPr>
              <w:pStyle w:val="24"/>
              <w:bidi w:val="0"/>
              <w:rPr>
                <w:rFonts w:hint="eastAsia" w:ascii="Times New Roman" w:hAnsi="Times New Roman" w:eastAsia="宋体" w:cs="Courier New"/>
                <w:b/>
                <w:bCs/>
                <w:color w:val="auto"/>
                <w:sz w:val="21"/>
                <w:szCs w:val="21"/>
                <w:highlight w:val="none"/>
                <w:lang w:val="en-US" w:eastAsia="zh-CN"/>
              </w:rPr>
            </w:pPr>
          </w:p>
        </w:tc>
        <w:tc>
          <w:tcPr>
            <w:tcW w:w="548" w:type="pct"/>
            <w:noWrap w:val="0"/>
            <w:vAlign w:val="center"/>
          </w:tcPr>
          <w:p w14:paraId="025E8B17">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经度</w:t>
            </w:r>
          </w:p>
        </w:tc>
        <w:tc>
          <w:tcPr>
            <w:tcW w:w="507" w:type="pct"/>
            <w:noWrap w:val="0"/>
            <w:vAlign w:val="center"/>
          </w:tcPr>
          <w:p w14:paraId="7A1E7F60">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纬度</w:t>
            </w:r>
          </w:p>
        </w:tc>
        <w:tc>
          <w:tcPr>
            <w:tcW w:w="438" w:type="pct"/>
            <w:vMerge w:val="continue"/>
            <w:noWrap w:val="0"/>
            <w:vAlign w:val="center"/>
          </w:tcPr>
          <w:p w14:paraId="1D463471">
            <w:pPr>
              <w:pStyle w:val="24"/>
              <w:bidi w:val="0"/>
              <w:rPr>
                <w:rFonts w:hint="eastAsia" w:ascii="Times New Roman" w:hAnsi="Times New Roman" w:eastAsia="宋体" w:cs="Courier New"/>
                <w:b/>
                <w:bCs/>
                <w:color w:val="auto"/>
                <w:sz w:val="21"/>
                <w:szCs w:val="21"/>
                <w:highlight w:val="none"/>
                <w:lang w:val="en-US" w:eastAsia="zh-CN"/>
              </w:rPr>
            </w:pPr>
          </w:p>
        </w:tc>
        <w:tc>
          <w:tcPr>
            <w:tcW w:w="395" w:type="pct"/>
            <w:vMerge w:val="continue"/>
            <w:noWrap w:val="0"/>
            <w:vAlign w:val="center"/>
          </w:tcPr>
          <w:p w14:paraId="5C9DF22F">
            <w:pPr>
              <w:pStyle w:val="24"/>
              <w:bidi w:val="0"/>
              <w:rPr>
                <w:rFonts w:hint="eastAsia" w:ascii="Times New Roman" w:hAnsi="Times New Roman" w:eastAsia="宋体" w:cs="Courier New"/>
                <w:b/>
                <w:bCs/>
                <w:color w:val="auto"/>
                <w:sz w:val="21"/>
                <w:szCs w:val="21"/>
                <w:highlight w:val="none"/>
                <w:lang w:val="en-US" w:eastAsia="zh-CN"/>
              </w:rPr>
            </w:pPr>
          </w:p>
        </w:tc>
        <w:tc>
          <w:tcPr>
            <w:tcW w:w="528" w:type="pct"/>
            <w:vMerge w:val="continue"/>
            <w:noWrap w:val="0"/>
            <w:vAlign w:val="center"/>
          </w:tcPr>
          <w:p w14:paraId="4933F7F4">
            <w:pPr>
              <w:pStyle w:val="24"/>
              <w:bidi w:val="0"/>
              <w:rPr>
                <w:rFonts w:hint="eastAsia" w:ascii="Times New Roman" w:hAnsi="Times New Roman" w:eastAsia="宋体" w:cs="Courier New"/>
                <w:b/>
                <w:bCs/>
                <w:color w:val="auto"/>
                <w:sz w:val="21"/>
                <w:szCs w:val="21"/>
                <w:highlight w:val="none"/>
                <w:lang w:val="en-US" w:eastAsia="zh-CN"/>
              </w:rPr>
            </w:pPr>
          </w:p>
        </w:tc>
        <w:tc>
          <w:tcPr>
            <w:tcW w:w="376" w:type="pct"/>
            <w:vMerge w:val="continue"/>
            <w:noWrap w:val="0"/>
            <w:vAlign w:val="center"/>
          </w:tcPr>
          <w:p w14:paraId="5674C191">
            <w:pPr>
              <w:pStyle w:val="24"/>
              <w:bidi w:val="0"/>
              <w:rPr>
                <w:rFonts w:hint="eastAsia" w:ascii="Times New Roman" w:hAnsi="Times New Roman" w:eastAsia="宋体" w:cs="Courier New"/>
                <w:b/>
                <w:bCs/>
                <w:color w:val="auto"/>
                <w:sz w:val="21"/>
                <w:szCs w:val="21"/>
                <w:highlight w:val="none"/>
                <w:lang w:val="en-US" w:eastAsia="zh-CN"/>
              </w:rPr>
            </w:pPr>
          </w:p>
        </w:tc>
        <w:tc>
          <w:tcPr>
            <w:tcW w:w="334" w:type="pct"/>
            <w:noWrap w:val="0"/>
            <w:vAlign w:val="center"/>
          </w:tcPr>
          <w:p w14:paraId="03A152D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名称</w:t>
            </w:r>
          </w:p>
        </w:tc>
        <w:tc>
          <w:tcPr>
            <w:tcW w:w="445" w:type="pct"/>
            <w:noWrap w:val="0"/>
            <w:vAlign w:val="center"/>
          </w:tcPr>
          <w:p w14:paraId="2F8A2E0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污染物</w:t>
            </w:r>
          </w:p>
          <w:p w14:paraId="0BEBA47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种类</w:t>
            </w:r>
          </w:p>
        </w:tc>
        <w:tc>
          <w:tcPr>
            <w:tcW w:w="757" w:type="pct"/>
            <w:noWrap w:val="0"/>
            <w:vAlign w:val="center"/>
          </w:tcPr>
          <w:p w14:paraId="454C1C0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国家或地方污染物排放浓度限值（mg/L）</w:t>
            </w:r>
          </w:p>
        </w:tc>
      </w:tr>
      <w:tr w14:paraId="1F6C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restart"/>
            <w:noWrap w:val="0"/>
            <w:vAlign w:val="center"/>
          </w:tcPr>
          <w:p w14:paraId="57204A8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446" w:type="pct"/>
            <w:vMerge w:val="restart"/>
            <w:noWrap w:val="0"/>
            <w:vAlign w:val="center"/>
          </w:tcPr>
          <w:p w14:paraId="32999D0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DW001</w:t>
            </w:r>
          </w:p>
        </w:tc>
        <w:tc>
          <w:tcPr>
            <w:tcW w:w="548" w:type="pct"/>
            <w:vMerge w:val="restart"/>
            <w:noWrap w:val="0"/>
            <w:vAlign w:val="center"/>
          </w:tcPr>
          <w:p w14:paraId="0405E8B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107.230330</w:t>
            </w:r>
          </w:p>
        </w:tc>
        <w:tc>
          <w:tcPr>
            <w:tcW w:w="507" w:type="pct"/>
            <w:vMerge w:val="restart"/>
            <w:noWrap w:val="0"/>
            <w:vAlign w:val="center"/>
          </w:tcPr>
          <w:p w14:paraId="740854F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31.878832</w:t>
            </w:r>
          </w:p>
        </w:tc>
        <w:tc>
          <w:tcPr>
            <w:tcW w:w="438" w:type="pct"/>
            <w:vMerge w:val="restart"/>
            <w:noWrap w:val="0"/>
            <w:vAlign w:val="center"/>
          </w:tcPr>
          <w:p w14:paraId="02F9E58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0.1326</w:t>
            </w:r>
          </w:p>
        </w:tc>
        <w:tc>
          <w:tcPr>
            <w:tcW w:w="395" w:type="pct"/>
            <w:vMerge w:val="restart"/>
            <w:noWrap w:val="0"/>
            <w:vAlign w:val="center"/>
          </w:tcPr>
          <w:p w14:paraId="43EE03A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进入工业污水处理厂</w:t>
            </w:r>
          </w:p>
        </w:tc>
        <w:tc>
          <w:tcPr>
            <w:tcW w:w="528" w:type="pct"/>
            <w:vMerge w:val="restart"/>
            <w:noWrap w:val="0"/>
            <w:vAlign w:val="center"/>
          </w:tcPr>
          <w:p w14:paraId="27F4125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间断排放，排放期间流量不稳定且无规律，但不属于冲击型排放</w:t>
            </w:r>
          </w:p>
        </w:tc>
        <w:tc>
          <w:tcPr>
            <w:tcW w:w="376" w:type="pct"/>
            <w:vMerge w:val="restart"/>
            <w:noWrap w:val="0"/>
            <w:vAlign w:val="center"/>
          </w:tcPr>
          <w:p w14:paraId="46BE856A">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根据</w:t>
            </w:r>
            <w:r>
              <w:rPr>
                <w:rFonts w:hint="eastAsia" w:ascii="Times New Roman" w:hAnsi="Times New Roman" w:cs="Courier New"/>
                <w:b w:val="0"/>
                <w:bCs w:val="0"/>
                <w:color w:val="auto"/>
                <w:sz w:val="21"/>
                <w:szCs w:val="21"/>
                <w:highlight w:val="none"/>
                <w:lang w:val="en-US" w:eastAsia="zh-CN"/>
              </w:rPr>
              <w:t>实际</w:t>
            </w:r>
            <w:r>
              <w:rPr>
                <w:rFonts w:hint="eastAsia" w:ascii="Times New Roman" w:hAnsi="Times New Roman" w:eastAsia="宋体" w:cs="Courier New"/>
                <w:b w:val="0"/>
                <w:bCs w:val="0"/>
                <w:color w:val="auto"/>
                <w:sz w:val="21"/>
                <w:szCs w:val="21"/>
                <w:highlight w:val="none"/>
                <w:lang w:val="en-US" w:eastAsia="zh-CN"/>
              </w:rPr>
              <w:t>情况</w:t>
            </w:r>
            <w:r>
              <w:rPr>
                <w:rFonts w:hint="eastAsia" w:ascii="Times New Roman" w:hAnsi="Times New Roman" w:cs="Courier New"/>
                <w:b w:val="0"/>
                <w:bCs w:val="0"/>
                <w:color w:val="auto"/>
                <w:sz w:val="21"/>
                <w:szCs w:val="21"/>
                <w:highlight w:val="none"/>
                <w:lang w:val="en-US" w:eastAsia="zh-CN"/>
              </w:rPr>
              <w:t>排放</w:t>
            </w:r>
          </w:p>
        </w:tc>
        <w:tc>
          <w:tcPr>
            <w:tcW w:w="334" w:type="pct"/>
            <w:vMerge w:val="restart"/>
            <w:noWrap w:val="0"/>
            <w:vAlign w:val="center"/>
          </w:tcPr>
          <w:p w14:paraId="76F37AF7">
            <w:pPr>
              <w:pStyle w:val="24"/>
              <w:bidi w:val="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通江县秋锦山产业园区综合污水处理厂</w:t>
            </w:r>
          </w:p>
        </w:tc>
        <w:tc>
          <w:tcPr>
            <w:tcW w:w="445" w:type="pct"/>
            <w:noWrap w:val="0"/>
            <w:vAlign w:val="center"/>
          </w:tcPr>
          <w:p w14:paraId="439583C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pH</w:t>
            </w:r>
          </w:p>
        </w:tc>
        <w:tc>
          <w:tcPr>
            <w:tcW w:w="757" w:type="pct"/>
            <w:noWrap w:val="0"/>
            <w:vAlign w:val="center"/>
          </w:tcPr>
          <w:p w14:paraId="3CFEFA7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6~9</w:t>
            </w:r>
          </w:p>
        </w:tc>
      </w:tr>
      <w:tr w14:paraId="58B8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5B3DB0F4">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6" w:type="pct"/>
            <w:vMerge w:val="continue"/>
            <w:noWrap w:val="0"/>
            <w:vAlign w:val="center"/>
          </w:tcPr>
          <w:p w14:paraId="09222F18">
            <w:pPr>
              <w:pStyle w:val="24"/>
              <w:bidi w:val="0"/>
              <w:rPr>
                <w:rFonts w:hint="eastAsia" w:ascii="Times New Roman" w:hAnsi="Times New Roman" w:eastAsia="宋体" w:cs="Courier New"/>
                <w:b w:val="0"/>
                <w:bCs w:val="0"/>
                <w:color w:val="auto"/>
                <w:sz w:val="21"/>
                <w:szCs w:val="21"/>
                <w:highlight w:val="none"/>
                <w:lang w:val="en-US" w:eastAsia="zh-CN"/>
              </w:rPr>
            </w:pPr>
          </w:p>
        </w:tc>
        <w:tc>
          <w:tcPr>
            <w:tcW w:w="548" w:type="pct"/>
            <w:vMerge w:val="continue"/>
            <w:noWrap w:val="0"/>
            <w:vAlign w:val="center"/>
          </w:tcPr>
          <w:p w14:paraId="13AE585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07" w:type="pct"/>
            <w:vMerge w:val="continue"/>
            <w:noWrap w:val="0"/>
            <w:vAlign w:val="center"/>
          </w:tcPr>
          <w:p w14:paraId="2BD63611">
            <w:pPr>
              <w:pStyle w:val="24"/>
              <w:bidi w:val="0"/>
              <w:rPr>
                <w:rFonts w:hint="eastAsia" w:ascii="Times New Roman" w:hAnsi="Times New Roman" w:eastAsia="宋体" w:cs="Courier New"/>
                <w:b w:val="0"/>
                <w:bCs w:val="0"/>
                <w:color w:val="auto"/>
                <w:sz w:val="21"/>
                <w:szCs w:val="21"/>
                <w:highlight w:val="none"/>
                <w:lang w:val="en-US" w:eastAsia="zh-CN"/>
              </w:rPr>
            </w:pPr>
          </w:p>
        </w:tc>
        <w:tc>
          <w:tcPr>
            <w:tcW w:w="438" w:type="pct"/>
            <w:vMerge w:val="continue"/>
            <w:noWrap w:val="0"/>
            <w:vAlign w:val="center"/>
          </w:tcPr>
          <w:p w14:paraId="66AA5450">
            <w:pPr>
              <w:pStyle w:val="24"/>
              <w:bidi w:val="0"/>
              <w:rPr>
                <w:rFonts w:hint="eastAsia" w:ascii="Times New Roman" w:hAnsi="Times New Roman" w:eastAsia="宋体" w:cs="Courier New"/>
                <w:b w:val="0"/>
                <w:bCs w:val="0"/>
                <w:color w:val="auto"/>
                <w:sz w:val="21"/>
                <w:szCs w:val="21"/>
                <w:highlight w:val="none"/>
                <w:lang w:val="en-US" w:eastAsia="zh-CN"/>
              </w:rPr>
            </w:pPr>
          </w:p>
        </w:tc>
        <w:tc>
          <w:tcPr>
            <w:tcW w:w="395" w:type="pct"/>
            <w:vMerge w:val="continue"/>
            <w:noWrap w:val="0"/>
            <w:vAlign w:val="center"/>
          </w:tcPr>
          <w:p w14:paraId="5251F15A">
            <w:pPr>
              <w:pStyle w:val="24"/>
              <w:bidi w:val="0"/>
              <w:rPr>
                <w:rFonts w:hint="eastAsia" w:ascii="Times New Roman" w:hAnsi="Times New Roman" w:eastAsia="宋体" w:cs="Courier New"/>
                <w:b w:val="0"/>
                <w:bCs w:val="0"/>
                <w:color w:val="auto"/>
                <w:sz w:val="21"/>
                <w:szCs w:val="21"/>
                <w:highlight w:val="none"/>
                <w:lang w:val="en-US" w:eastAsia="zh-CN"/>
              </w:rPr>
            </w:pPr>
          </w:p>
        </w:tc>
        <w:tc>
          <w:tcPr>
            <w:tcW w:w="528" w:type="pct"/>
            <w:vMerge w:val="continue"/>
            <w:noWrap w:val="0"/>
            <w:vAlign w:val="center"/>
          </w:tcPr>
          <w:p w14:paraId="01C5EB41">
            <w:pPr>
              <w:pStyle w:val="24"/>
              <w:bidi w:val="0"/>
              <w:rPr>
                <w:rFonts w:hint="eastAsia" w:ascii="Times New Roman" w:hAnsi="Times New Roman" w:eastAsia="宋体" w:cs="Courier New"/>
                <w:b w:val="0"/>
                <w:bCs w:val="0"/>
                <w:color w:val="auto"/>
                <w:sz w:val="21"/>
                <w:szCs w:val="21"/>
                <w:highlight w:val="none"/>
                <w:lang w:val="en-US" w:eastAsia="zh-CN"/>
              </w:rPr>
            </w:pPr>
          </w:p>
        </w:tc>
        <w:tc>
          <w:tcPr>
            <w:tcW w:w="376" w:type="pct"/>
            <w:vMerge w:val="continue"/>
            <w:noWrap w:val="0"/>
            <w:vAlign w:val="center"/>
          </w:tcPr>
          <w:p w14:paraId="25F5B11D">
            <w:pPr>
              <w:pStyle w:val="24"/>
              <w:bidi w:val="0"/>
              <w:rPr>
                <w:rFonts w:hint="eastAsia" w:ascii="Times New Roman" w:hAnsi="Times New Roman" w:eastAsia="宋体" w:cs="Courier New"/>
                <w:b w:val="0"/>
                <w:bCs w:val="0"/>
                <w:color w:val="auto"/>
                <w:sz w:val="21"/>
                <w:szCs w:val="21"/>
                <w:highlight w:val="none"/>
                <w:lang w:val="en-US" w:eastAsia="zh-CN"/>
              </w:rPr>
            </w:pPr>
          </w:p>
        </w:tc>
        <w:tc>
          <w:tcPr>
            <w:tcW w:w="334" w:type="pct"/>
            <w:vMerge w:val="continue"/>
            <w:noWrap w:val="0"/>
            <w:vAlign w:val="center"/>
          </w:tcPr>
          <w:p w14:paraId="7271086A">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5" w:type="pct"/>
            <w:noWrap w:val="0"/>
            <w:vAlign w:val="center"/>
          </w:tcPr>
          <w:p w14:paraId="421ADB53">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COD</w:t>
            </w:r>
          </w:p>
        </w:tc>
        <w:tc>
          <w:tcPr>
            <w:tcW w:w="757" w:type="pct"/>
            <w:noWrap w:val="0"/>
            <w:vAlign w:val="center"/>
          </w:tcPr>
          <w:p w14:paraId="58ED880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50</w:t>
            </w:r>
          </w:p>
        </w:tc>
      </w:tr>
      <w:tr w14:paraId="2377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03ECA717">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6" w:type="pct"/>
            <w:vMerge w:val="continue"/>
            <w:noWrap w:val="0"/>
            <w:vAlign w:val="center"/>
          </w:tcPr>
          <w:p w14:paraId="2D32F8B0">
            <w:pPr>
              <w:pStyle w:val="24"/>
              <w:bidi w:val="0"/>
              <w:rPr>
                <w:rFonts w:hint="eastAsia" w:ascii="Times New Roman" w:hAnsi="Times New Roman" w:eastAsia="宋体" w:cs="Courier New"/>
                <w:b w:val="0"/>
                <w:bCs w:val="0"/>
                <w:color w:val="auto"/>
                <w:sz w:val="21"/>
                <w:szCs w:val="21"/>
                <w:highlight w:val="none"/>
                <w:lang w:val="en-US" w:eastAsia="zh-CN"/>
              </w:rPr>
            </w:pPr>
          </w:p>
        </w:tc>
        <w:tc>
          <w:tcPr>
            <w:tcW w:w="548" w:type="pct"/>
            <w:vMerge w:val="continue"/>
            <w:noWrap w:val="0"/>
            <w:vAlign w:val="center"/>
          </w:tcPr>
          <w:p w14:paraId="5CD7952A">
            <w:pPr>
              <w:pStyle w:val="24"/>
              <w:bidi w:val="0"/>
              <w:rPr>
                <w:rFonts w:hint="eastAsia" w:ascii="Times New Roman" w:hAnsi="Times New Roman" w:eastAsia="宋体" w:cs="Courier New"/>
                <w:b w:val="0"/>
                <w:bCs w:val="0"/>
                <w:color w:val="auto"/>
                <w:sz w:val="21"/>
                <w:szCs w:val="21"/>
                <w:highlight w:val="none"/>
                <w:lang w:val="en-US" w:eastAsia="zh-CN"/>
              </w:rPr>
            </w:pPr>
          </w:p>
        </w:tc>
        <w:tc>
          <w:tcPr>
            <w:tcW w:w="507" w:type="pct"/>
            <w:vMerge w:val="continue"/>
            <w:noWrap w:val="0"/>
            <w:vAlign w:val="center"/>
          </w:tcPr>
          <w:p w14:paraId="37F117A9">
            <w:pPr>
              <w:pStyle w:val="24"/>
              <w:bidi w:val="0"/>
              <w:rPr>
                <w:rFonts w:hint="eastAsia" w:ascii="Times New Roman" w:hAnsi="Times New Roman" w:eastAsia="宋体" w:cs="Courier New"/>
                <w:b w:val="0"/>
                <w:bCs w:val="0"/>
                <w:color w:val="auto"/>
                <w:sz w:val="21"/>
                <w:szCs w:val="21"/>
                <w:highlight w:val="none"/>
                <w:lang w:val="en-US" w:eastAsia="zh-CN"/>
              </w:rPr>
            </w:pPr>
          </w:p>
        </w:tc>
        <w:tc>
          <w:tcPr>
            <w:tcW w:w="438" w:type="pct"/>
            <w:vMerge w:val="continue"/>
            <w:noWrap w:val="0"/>
            <w:vAlign w:val="center"/>
          </w:tcPr>
          <w:p w14:paraId="579087D3">
            <w:pPr>
              <w:pStyle w:val="24"/>
              <w:bidi w:val="0"/>
              <w:rPr>
                <w:rFonts w:hint="eastAsia" w:ascii="Times New Roman" w:hAnsi="Times New Roman" w:eastAsia="宋体" w:cs="Courier New"/>
                <w:b w:val="0"/>
                <w:bCs w:val="0"/>
                <w:color w:val="auto"/>
                <w:sz w:val="21"/>
                <w:szCs w:val="21"/>
                <w:highlight w:val="none"/>
                <w:lang w:val="en-US" w:eastAsia="zh-CN"/>
              </w:rPr>
            </w:pPr>
          </w:p>
        </w:tc>
        <w:tc>
          <w:tcPr>
            <w:tcW w:w="395" w:type="pct"/>
            <w:vMerge w:val="continue"/>
            <w:noWrap w:val="0"/>
            <w:vAlign w:val="center"/>
          </w:tcPr>
          <w:p w14:paraId="1AA71770">
            <w:pPr>
              <w:pStyle w:val="24"/>
              <w:bidi w:val="0"/>
              <w:rPr>
                <w:rFonts w:hint="eastAsia" w:ascii="Times New Roman" w:hAnsi="Times New Roman" w:eastAsia="宋体" w:cs="Courier New"/>
                <w:b w:val="0"/>
                <w:bCs w:val="0"/>
                <w:color w:val="auto"/>
                <w:sz w:val="21"/>
                <w:szCs w:val="21"/>
                <w:highlight w:val="none"/>
                <w:lang w:val="en-US" w:eastAsia="zh-CN"/>
              </w:rPr>
            </w:pPr>
          </w:p>
        </w:tc>
        <w:tc>
          <w:tcPr>
            <w:tcW w:w="528" w:type="pct"/>
            <w:vMerge w:val="continue"/>
            <w:noWrap w:val="0"/>
            <w:vAlign w:val="center"/>
          </w:tcPr>
          <w:p w14:paraId="5D0EA3C5">
            <w:pPr>
              <w:pStyle w:val="24"/>
              <w:bidi w:val="0"/>
              <w:rPr>
                <w:rFonts w:hint="eastAsia" w:ascii="Times New Roman" w:hAnsi="Times New Roman" w:eastAsia="宋体" w:cs="Courier New"/>
                <w:b w:val="0"/>
                <w:bCs w:val="0"/>
                <w:color w:val="auto"/>
                <w:sz w:val="21"/>
                <w:szCs w:val="21"/>
                <w:highlight w:val="none"/>
                <w:lang w:val="en-US" w:eastAsia="zh-CN"/>
              </w:rPr>
            </w:pPr>
          </w:p>
        </w:tc>
        <w:tc>
          <w:tcPr>
            <w:tcW w:w="376" w:type="pct"/>
            <w:vMerge w:val="continue"/>
            <w:noWrap w:val="0"/>
            <w:vAlign w:val="center"/>
          </w:tcPr>
          <w:p w14:paraId="52C68D4C">
            <w:pPr>
              <w:pStyle w:val="24"/>
              <w:bidi w:val="0"/>
              <w:rPr>
                <w:rFonts w:hint="eastAsia" w:ascii="Times New Roman" w:hAnsi="Times New Roman" w:eastAsia="宋体" w:cs="Courier New"/>
                <w:b w:val="0"/>
                <w:bCs w:val="0"/>
                <w:color w:val="auto"/>
                <w:sz w:val="21"/>
                <w:szCs w:val="21"/>
                <w:highlight w:val="none"/>
                <w:lang w:val="en-US" w:eastAsia="zh-CN"/>
              </w:rPr>
            </w:pPr>
          </w:p>
        </w:tc>
        <w:tc>
          <w:tcPr>
            <w:tcW w:w="334" w:type="pct"/>
            <w:vMerge w:val="continue"/>
            <w:noWrap w:val="0"/>
            <w:vAlign w:val="center"/>
          </w:tcPr>
          <w:p w14:paraId="554F5E5A">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5" w:type="pct"/>
            <w:shd w:val="clear" w:color="auto" w:fill="auto"/>
            <w:noWrap w:val="0"/>
            <w:vAlign w:val="center"/>
          </w:tcPr>
          <w:p w14:paraId="04BB4BE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BOD</w:t>
            </w:r>
            <w:r>
              <w:rPr>
                <w:rFonts w:hint="eastAsia" w:ascii="Times New Roman" w:hAnsi="Times New Roman" w:eastAsia="宋体" w:cs="Courier New"/>
                <w:b w:val="0"/>
                <w:bCs w:val="0"/>
                <w:color w:val="auto"/>
                <w:sz w:val="21"/>
                <w:szCs w:val="21"/>
                <w:highlight w:val="none"/>
                <w:vertAlign w:val="subscript"/>
                <w:lang w:val="en-US" w:eastAsia="zh-CN"/>
              </w:rPr>
              <w:t>5</w:t>
            </w:r>
          </w:p>
        </w:tc>
        <w:tc>
          <w:tcPr>
            <w:tcW w:w="757" w:type="pct"/>
            <w:shd w:val="clear" w:color="auto" w:fill="auto"/>
            <w:noWrap w:val="0"/>
            <w:vAlign w:val="center"/>
          </w:tcPr>
          <w:p w14:paraId="142ECC81">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10</w:t>
            </w:r>
          </w:p>
        </w:tc>
      </w:tr>
      <w:tr w14:paraId="20A6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23663591">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6" w:type="pct"/>
            <w:vMerge w:val="continue"/>
            <w:noWrap w:val="0"/>
            <w:vAlign w:val="center"/>
          </w:tcPr>
          <w:p w14:paraId="7B6674E6">
            <w:pPr>
              <w:pStyle w:val="24"/>
              <w:bidi w:val="0"/>
              <w:rPr>
                <w:rFonts w:hint="eastAsia" w:ascii="Times New Roman" w:hAnsi="Times New Roman" w:eastAsia="宋体" w:cs="Courier New"/>
                <w:b w:val="0"/>
                <w:bCs w:val="0"/>
                <w:color w:val="auto"/>
                <w:sz w:val="21"/>
                <w:szCs w:val="21"/>
                <w:highlight w:val="none"/>
                <w:lang w:val="en-US" w:eastAsia="zh-CN"/>
              </w:rPr>
            </w:pPr>
          </w:p>
        </w:tc>
        <w:tc>
          <w:tcPr>
            <w:tcW w:w="548" w:type="pct"/>
            <w:vMerge w:val="continue"/>
            <w:noWrap w:val="0"/>
            <w:vAlign w:val="center"/>
          </w:tcPr>
          <w:p w14:paraId="6E0A909B">
            <w:pPr>
              <w:pStyle w:val="24"/>
              <w:bidi w:val="0"/>
              <w:rPr>
                <w:rFonts w:hint="eastAsia" w:ascii="Times New Roman" w:hAnsi="Times New Roman" w:eastAsia="宋体" w:cs="Courier New"/>
                <w:b w:val="0"/>
                <w:bCs w:val="0"/>
                <w:color w:val="auto"/>
                <w:sz w:val="21"/>
                <w:szCs w:val="21"/>
                <w:highlight w:val="none"/>
                <w:lang w:val="en-US" w:eastAsia="zh-CN"/>
              </w:rPr>
            </w:pPr>
          </w:p>
        </w:tc>
        <w:tc>
          <w:tcPr>
            <w:tcW w:w="507" w:type="pct"/>
            <w:vMerge w:val="continue"/>
            <w:noWrap w:val="0"/>
            <w:vAlign w:val="center"/>
          </w:tcPr>
          <w:p w14:paraId="3089CC5E">
            <w:pPr>
              <w:pStyle w:val="24"/>
              <w:bidi w:val="0"/>
              <w:rPr>
                <w:rFonts w:hint="eastAsia" w:ascii="Times New Roman" w:hAnsi="Times New Roman" w:eastAsia="宋体" w:cs="Courier New"/>
                <w:b w:val="0"/>
                <w:bCs w:val="0"/>
                <w:color w:val="auto"/>
                <w:sz w:val="21"/>
                <w:szCs w:val="21"/>
                <w:highlight w:val="none"/>
                <w:lang w:val="en-US" w:eastAsia="zh-CN"/>
              </w:rPr>
            </w:pPr>
          </w:p>
        </w:tc>
        <w:tc>
          <w:tcPr>
            <w:tcW w:w="438" w:type="pct"/>
            <w:vMerge w:val="continue"/>
            <w:noWrap w:val="0"/>
            <w:vAlign w:val="center"/>
          </w:tcPr>
          <w:p w14:paraId="17135192">
            <w:pPr>
              <w:pStyle w:val="24"/>
              <w:bidi w:val="0"/>
              <w:rPr>
                <w:rFonts w:hint="eastAsia" w:ascii="Times New Roman" w:hAnsi="Times New Roman" w:eastAsia="宋体" w:cs="Courier New"/>
                <w:b w:val="0"/>
                <w:bCs w:val="0"/>
                <w:color w:val="auto"/>
                <w:sz w:val="21"/>
                <w:szCs w:val="21"/>
                <w:highlight w:val="none"/>
                <w:lang w:val="en-US" w:eastAsia="zh-CN"/>
              </w:rPr>
            </w:pPr>
          </w:p>
        </w:tc>
        <w:tc>
          <w:tcPr>
            <w:tcW w:w="395" w:type="pct"/>
            <w:vMerge w:val="continue"/>
            <w:noWrap w:val="0"/>
            <w:vAlign w:val="center"/>
          </w:tcPr>
          <w:p w14:paraId="79F0BCF8">
            <w:pPr>
              <w:pStyle w:val="24"/>
              <w:bidi w:val="0"/>
              <w:rPr>
                <w:rFonts w:hint="eastAsia" w:ascii="Times New Roman" w:hAnsi="Times New Roman" w:eastAsia="宋体" w:cs="Courier New"/>
                <w:b w:val="0"/>
                <w:bCs w:val="0"/>
                <w:color w:val="auto"/>
                <w:sz w:val="21"/>
                <w:szCs w:val="21"/>
                <w:highlight w:val="none"/>
                <w:lang w:val="en-US" w:eastAsia="zh-CN"/>
              </w:rPr>
            </w:pPr>
          </w:p>
        </w:tc>
        <w:tc>
          <w:tcPr>
            <w:tcW w:w="528" w:type="pct"/>
            <w:vMerge w:val="continue"/>
            <w:noWrap w:val="0"/>
            <w:vAlign w:val="center"/>
          </w:tcPr>
          <w:p w14:paraId="0F6FCFBF">
            <w:pPr>
              <w:pStyle w:val="24"/>
              <w:bidi w:val="0"/>
              <w:rPr>
                <w:rFonts w:hint="eastAsia" w:ascii="Times New Roman" w:hAnsi="Times New Roman" w:eastAsia="宋体" w:cs="Courier New"/>
                <w:b w:val="0"/>
                <w:bCs w:val="0"/>
                <w:color w:val="auto"/>
                <w:sz w:val="21"/>
                <w:szCs w:val="21"/>
                <w:highlight w:val="none"/>
                <w:lang w:val="en-US" w:eastAsia="zh-CN"/>
              </w:rPr>
            </w:pPr>
          </w:p>
        </w:tc>
        <w:tc>
          <w:tcPr>
            <w:tcW w:w="376" w:type="pct"/>
            <w:vMerge w:val="continue"/>
            <w:noWrap w:val="0"/>
            <w:vAlign w:val="center"/>
          </w:tcPr>
          <w:p w14:paraId="4ADA97CF">
            <w:pPr>
              <w:pStyle w:val="24"/>
              <w:bidi w:val="0"/>
              <w:rPr>
                <w:rFonts w:hint="eastAsia" w:ascii="Times New Roman" w:hAnsi="Times New Roman" w:eastAsia="宋体" w:cs="Courier New"/>
                <w:b w:val="0"/>
                <w:bCs w:val="0"/>
                <w:color w:val="auto"/>
                <w:sz w:val="21"/>
                <w:szCs w:val="21"/>
                <w:highlight w:val="none"/>
                <w:lang w:val="en-US" w:eastAsia="zh-CN"/>
              </w:rPr>
            </w:pPr>
          </w:p>
        </w:tc>
        <w:tc>
          <w:tcPr>
            <w:tcW w:w="334" w:type="pct"/>
            <w:vMerge w:val="continue"/>
            <w:noWrap w:val="0"/>
            <w:vAlign w:val="center"/>
          </w:tcPr>
          <w:p w14:paraId="0F788844">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5" w:type="pct"/>
            <w:shd w:val="clear" w:color="auto" w:fill="auto"/>
            <w:noWrap w:val="0"/>
            <w:vAlign w:val="center"/>
          </w:tcPr>
          <w:p w14:paraId="0F434E8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SS</w:t>
            </w:r>
          </w:p>
        </w:tc>
        <w:tc>
          <w:tcPr>
            <w:tcW w:w="757" w:type="pct"/>
            <w:shd w:val="clear" w:color="auto" w:fill="auto"/>
            <w:noWrap w:val="0"/>
            <w:vAlign w:val="center"/>
          </w:tcPr>
          <w:p w14:paraId="77E8B2B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10</w:t>
            </w:r>
          </w:p>
        </w:tc>
      </w:tr>
      <w:tr w14:paraId="2FD6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1D4D3C1E">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6" w:type="pct"/>
            <w:vMerge w:val="continue"/>
            <w:noWrap w:val="0"/>
            <w:vAlign w:val="center"/>
          </w:tcPr>
          <w:p w14:paraId="257AFD4B">
            <w:pPr>
              <w:pStyle w:val="24"/>
              <w:bidi w:val="0"/>
              <w:rPr>
                <w:rFonts w:hint="eastAsia" w:ascii="Times New Roman" w:hAnsi="Times New Roman" w:eastAsia="宋体" w:cs="Courier New"/>
                <w:b w:val="0"/>
                <w:bCs w:val="0"/>
                <w:color w:val="auto"/>
                <w:sz w:val="21"/>
                <w:szCs w:val="21"/>
                <w:highlight w:val="none"/>
                <w:lang w:val="en-US" w:eastAsia="zh-CN"/>
              </w:rPr>
            </w:pPr>
          </w:p>
        </w:tc>
        <w:tc>
          <w:tcPr>
            <w:tcW w:w="548" w:type="pct"/>
            <w:vMerge w:val="continue"/>
            <w:noWrap w:val="0"/>
            <w:vAlign w:val="center"/>
          </w:tcPr>
          <w:p w14:paraId="5AE3186F">
            <w:pPr>
              <w:pStyle w:val="24"/>
              <w:bidi w:val="0"/>
              <w:rPr>
                <w:rFonts w:hint="eastAsia" w:ascii="Times New Roman" w:hAnsi="Times New Roman" w:eastAsia="宋体" w:cs="Courier New"/>
                <w:b w:val="0"/>
                <w:bCs w:val="0"/>
                <w:color w:val="auto"/>
                <w:sz w:val="21"/>
                <w:szCs w:val="21"/>
                <w:highlight w:val="none"/>
                <w:lang w:val="en-US" w:eastAsia="zh-CN"/>
              </w:rPr>
            </w:pPr>
          </w:p>
        </w:tc>
        <w:tc>
          <w:tcPr>
            <w:tcW w:w="507" w:type="pct"/>
            <w:vMerge w:val="continue"/>
            <w:noWrap w:val="0"/>
            <w:vAlign w:val="center"/>
          </w:tcPr>
          <w:p w14:paraId="565AAD4B">
            <w:pPr>
              <w:pStyle w:val="24"/>
              <w:bidi w:val="0"/>
              <w:rPr>
                <w:rFonts w:hint="eastAsia" w:ascii="Times New Roman" w:hAnsi="Times New Roman" w:eastAsia="宋体" w:cs="Courier New"/>
                <w:b w:val="0"/>
                <w:bCs w:val="0"/>
                <w:color w:val="auto"/>
                <w:sz w:val="21"/>
                <w:szCs w:val="21"/>
                <w:highlight w:val="none"/>
                <w:lang w:val="en-US" w:eastAsia="zh-CN"/>
              </w:rPr>
            </w:pPr>
          </w:p>
        </w:tc>
        <w:tc>
          <w:tcPr>
            <w:tcW w:w="438" w:type="pct"/>
            <w:vMerge w:val="continue"/>
            <w:noWrap w:val="0"/>
            <w:vAlign w:val="center"/>
          </w:tcPr>
          <w:p w14:paraId="0715C4C6">
            <w:pPr>
              <w:pStyle w:val="24"/>
              <w:bidi w:val="0"/>
              <w:rPr>
                <w:rFonts w:hint="eastAsia" w:ascii="Times New Roman" w:hAnsi="Times New Roman" w:eastAsia="宋体" w:cs="Courier New"/>
                <w:b w:val="0"/>
                <w:bCs w:val="0"/>
                <w:color w:val="auto"/>
                <w:sz w:val="21"/>
                <w:szCs w:val="21"/>
                <w:highlight w:val="none"/>
                <w:lang w:val="en-US" w:eastAsia="zh-CN"/>
              </w:rPr>
            </w:pPr>
          </w:p>
        </w:tc>
        <w:tc>
          <w:tcPr>
            <w:tcW w:w="395" w:type="pct"/>
            <w:vMerge w:val="continue"/>
            <w:noWrap w:val="0"/>
            <w:vAlign w:val="center"/>
          </w:tcPr>
          <w:p w14:paraId="357D2AAF">
            <w:pPr>
              <w:pStyle w:val="24"/>
              <w:bidi w:val="0"/>
              <w:rPr>
                <w:rFonts w:hint="eastAsia" w:ascii="Times New Roman" w:hAnsi="Times New Roman" w:eastAsia="宋体" w:cs="Courier New"/>
                <w:b w:val="0"/>
                <w:bCs w:val="0"/>
                <w:color w:val="auto"/>
                <w:sz w:val="21"/>
                <w:szCs w:val="21"/>
                <w:highlight w:val="none"/>
                <w:lang w:val="en-US" w:eastAsia="zh-CN"/>
              </w:rPr>
            </w:pPr>
          </w:p>
        </w:tc>
        <w:tc>
          <w:tcPr>
            <w:tcW w:w="528" w:type="pct"/>
            <w:vMerge w:val="continue"/>
            <w:noWrap w:val="0"/>
            <w:vAlign w:val="center"/>
          </w:tcPr>
          <w:p w14:paraId="2A349369">
            <w:pPr>
              <w:pStyle w:val="24"/>
              <w:bidi w:val="0"/>
              <w:rPr>
                <w:rFonts w:hint="eastAsia" w:ascii="Times New Roman" w:hAnsi="Times New Roman" w:eastAsia="宋体" w:cs="Courier New"/>
                <w:b w:val="0"/>
                <w:bCs w:val="0"/>
                <w:color w:val="auto"/>
                <w:sz w:val="21"/>
                <w:szCs w:val="21"/>
                <w:highlight w:val="none"/>
                <w:lang w:val="en-US" w:eastAsia="zh-CN"/>
              </w:rPr>
            </w:pPr>
          </w:p>
        </w:tc>
        <w:tc>
          <w:tcPr>
            <w:tcW w:w="376" w:type="pct"/>
            <w:vMerge w:val="continue"/>
            <w:noWrap w:val="0"/>
            <w:vAlign w:val="center"/>
          </w:tcPr>
          <w:p w14:paraId="122B13B5">
            <w:pPr>
              <w:pStyle w:val="24"/>
              <w:bidi w:val="0"/>
              <w:rPr>
                <w:rFonts w:hint="eastAsia" w:ascii="Times New Roman" w:hAnsi="Times New Roman" w:eastAsia="宋体" w:cs="Courier New"/>
                <w:b w:val="0"/>
                <w:bCs w:val="0"/>
                <w:color w:val="auto"/>
                <w:sz w:val="21"/>
                <w:szCs w:val="21"/>
                <w:highlight w:val="none"/>
                <w:lang w:val="en-US" w:eastAsia="zh-CN"/>
              </w:rPr>
            </w:pPr>
          </w:p>
        </w:tc>
        <w:tc>
          <w:tcPr>
            <w:tcW w:w="334" w:type="pct"/>
            <w:vMerge w:val="continue"/>
            <w:noWrap w:val="0"/>
            <w:vAlign w:val="center"/>
          </w:tcPr>
          <w:p w14:paraId="42457082">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5" w:type="pct"/>
            <w:shd w:val="clear" w:color="auto" w:fill="auto"/>
            <w:noWrap w:val="0"/>
            <w:vAlign w:val="center"/>
          </w:tcPr>
          <w:p w14:paraId="44D9A92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NH</w:t>
            </w:r>
            <w:r>
              <w:rPr>
                <w:rFonts w:hint="eastAsia" w:ascii="Times New Roman" w:hAnsi="Times New Roman" w:eastAsia="宋体" w:cs="Courier New"/>
                <w:b w:val="0"/>
                <w:bCs w:val="0"/>
                <w:color w:val="auto"/>
                <w:sz w:val="21"/>
                <w:szCs w:val="21"/>
                <w:highlight w:val="none"/>
                <w:vertAlign w:val="subscript"/>
                <w:lang w:val="en-US" w:eastAsia="zh-CN"/>
              </w:rPr>
              <w:t>3</w:t>
            </w:r>
            <w:r>
              <w:rPr>
                <w:rFonts w:hint="eastAsia" w:ascii="Times New Roman" w:hAnsi="Times New Roman" w:eastAsia="宋体" w:cs="Courier New"/>
                <w:b w:val="0"/>
                <w:bCs w:val="0"/>
                <w:color w:val="auto"/>
                <w:sz w:val="21"/>
                <w:szCs w:val="21"/>
                <w:highlight w:val="none"/>
                <w:lang w:val="en-US" w:eastAsia="zh-CN"/>
              </w:rPr>
              <w:t>-N</w:t>
            </w:r>
          </w:p>
        </w:tc>
        <w:tc>
          <w:tcPr>
            <w:tcW w:w="757" w:type="pct"/>
            <w:shd w:val="clear" w:color="auto" w:fill="auto"/>
            <w:noWrap w:val="0"/>
            <w:vAlign w:val="center"/>
          </w:tcPr>
          <w:p w14:paraId="468EF33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5（8）</w:t>
            </w:r>
          </w:p>
        </w:tc>
      </w:tr>
      <w:tr w14:paraId="0B33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3114D393">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6" w:type="pct"/>
            <w:vMerge w:val="continue"/>
            <w:noWrap w:val="0"/>
            <w:vAlign w:val="center"/>
          </w:tcPr>
          <w:p w14:paraId="34736C12">
            <w:pPr>
              <w:pStyle w:val="24"/>
              <w:bidi w:val="0"/>
              <w:rPr>
                <w:rFonts w:hint="eastAsia" w:ascii="Times New Roman" w:hAnsi="Times New Roman" w:eastAsia="宋体" w:cs="Courier New"/>
                <w:b w:val="0"/>
                <w:bCs w:val="0"/>
                <w:color w:val="auto"/>
                <w:sz w:val="21"/>
                <w:szCs w:val="21"/>
                <w:highlight w:val="none"/>
                <w:lang w:val="en-US" w:eastAsia="zh-CN"/>
              </w:rPr>
            </w:pPr>
          </w:p>
        </w:tc>
        <w:tc>
          <w:tcPr>
            <w:tcW w:w="548" w:type="pct"/>
            <w:vMerge w:val="continue"/>
            <w:noWrap w:val="0"/>
            <w:vAlign w:val="center"/>
          </w:tcPr>
          <w:p w14:paraId="0151C8A4">
            <w:pPr>
              <w:pStyle w:val="24"/>
              <w:bidi w:val="0"/>
              <w:rPr>
                <w:rFonts w:hint="eastAsia" w:ascii="Times New Roman" w:hAnsi="Times New Roman" w:eastAsia="宋体" w:cs="Courier New"/>
                <w:b w:val="0"/>
                <w:bCs w:val="0"/>
                <w:color w:val="auto"/>
                <w:sz w:val="21"/>
                <w:szCs w:val="21"/>
                <w:highlight w:val="none"/>
                <w:lang w:val="en-US" w:eastAsia="zh-CN"/>
              </w:rPr>
            </w:pPr>
          </w:p>
        </w:tc>
        <w:tc>
          <w:tcPr>
            <w:tcW w:w="507" w:type="pct"/>
            <w:vMerge w:val="continue"/>
            <w:noWrap w:val="0"/>
            <w:vAlign w:val="center"/>
          </w:tcPr>
          <w:p w14:paraId="552D96D8">
            <w:pPr>
              <w:pStyle w:val="24"/>
              <w:bidi w:val="0"/>
              <w:rPr>
                <w:rFonts w:hint="eastAsia" w:ascii="Times New Roman" w:hAnsi="Times New Roman" w:eastAsia="宋体" w:cs="Courier New"/>
                <w:b w:val="0"/>
                <w:bCs w:val="0"/>
                <w:color w:val="auto"/>
                <w:sz w:val="21"/>
                <w:szCs w:val="21"/>
                <w:highlight w:val="none"/>
                <w:lang w:val="en-US" w:eastAsia="zh-CN"/>
              </w:rPr>
            </w:pPr>
          </w:p>
        </w:tc>
        <w:tc>
          <w:tcPr>
            <w:tcW w:w="438" w:type="pct"/>
            <w:vMerge w:val="continue"/>
            <w:noWrap w:val="0"/>
            <w:vAlign w:val="center"/>
          </w:tcPr>
          <w:p w14:paraId="7B9D63E1">
            <w:pPr>
              <w:pStyle w:val="24"/>
              <w:bidi w:val="0"/>
              <w:rPr>
                <w:rFonts w:hint="eastAsia" w:ascii="Times New Roman" w:hAnsi="Times New Roman" w:eastAsia="宋体" w:cs="Courier New"/>
                <w:b w:val="0"/>
                <w:bCs w:val="0"/>
                <w:color w:val="auto"/>
                <w:sz w:val="21"/>
                <w:szCs w:val="21"/>
                <w:highlight w:val="none"/>
                <w:lang w:val="en-US" w:eastAsia="zh-CN"/>
              </w:rPr>
            </w:pPr>
          </w:p>
        </w:tc>
        <w:tc>
          <w:tcPr>
            <w:tcW w:w="395" w:type="pct"/>
            <w:vMerge w:val="continue"/>
            <w:noWrap w:val="0"/>
            <w:vAlign w:val="center"/>
          </w:tcPr>
          <w:p w14:paraId="379BF45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28" w:type="pct"/>
            <w:vMerge w:val="continue"/>
            <w:noWrap w:val="0"/>
            <w:vAlign w:val="center"/>
          </w:tcPr>
          <w:p w14:paraId="75E3EFF3">
            <w:pPr>
              <w:pStyle w:val="24"/>
              <w:bidi w:val="0"/>
              <w:rPr>
                <w:rFonts w:hint="eastAsia" w:ascii="Times New Roman" w:hAnsi="Times New Roman" w:eastAsia="宋体" w:cs="Courier New"/>
                <w:b w:val="0"/>
                <w:bCs w:val="0"/>
                <w:color w:val="auto"/>
                <w:sz w:val="21"/>
                <w:szCs w:val="21"/>
                <w:highlight w:val="none"/>
                <w:lang w:val="en-US" w:eastAsia="zh-CN"/>
              </w:rPr>
            </w:pPr>
          </w:p>
        </w:tc>
        <w:tc>
          <w:tcPr>
            <w:tcW w:w="376" w:type="pct"/>
            <w:vMerge w:val="continue"/>
            <w:noWrap w:val="0"/>
            <w:vAlign w:val="center"/>
          </w:tcPr>
          <w:p w14:paraId="29763138">
            <w:pPr>
              <w:pStyle w:val="24"/>
              <w:bidi w:val="0"/>
              <w:rPr>
                <w:rFonts w:hint="eastAsia" w:ascii="Times New Roman" w:hAnsi="Times New Roman" w:eastAsia="宋体" w:cs="Courier New"/>
                <w:b w:val="0"/>
                <w:bCs w:val="0"/>
                <w:color w:val="auto"/>
                <w:sz w:val="21"/>
                <w:szCs w:val="21"/>
                <w:highlight w:val="none"/>
                <w:lang w:val="en-US" w:eastAsia="zh-CN"/>
              </w:rPr>
            </w:pPr>
          </w:p>
        </w:tc>
        <w:tc>
          <w:tcPr>
            <w:tcW w:w="334" w:type="pct"/>
            <w:vMerge w:val="continue"/>
            <w:noWrap w:val="0"/>
            <w:vAlign w:val="center"/>
          </w:tcPr>
          <w:p w14:paraId="3D31DE42">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5" w:type="pct"/>
            <w:shd w:val="clear" w:color="auto" w:fill="auto"/>
            <w:noWrap w:val="0"/>
            <w:vAlign w:val="center"/>
          </w:tcPr>
          <w:p w14:paraId="221AD1F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TN</w:t>
            </w:r>
          </w:p>
        </w:tc>
        <w:tc>
          <w:tcPr>
            <w:tcW w:w="757" w:type="pct"/>
            <w:shd w:val="clear" w:color="auto" w:fill="auto"/>
            <w:noWrap w:val="0"/>
            <w:vAlign w:val="center"/>
          </w:tcPr>
          <w:p w14:paraId="1E00D34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15</w:t>
            </w:r>
          </w:p>
        </w:tc>
      </w:tr>
      <w:tr w14:paraId="58FC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623F59F4">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6" w:type="pct"/>
            <w:vMerge w:val="continue"/>
            <w:noWrap w:val="0"/>
            <w:vAlign w:val="center"/>
          </w:tcPr>
          <w:p w14:paraId="5C11B78D">
            <w:pPr>
              <w:pStyle w:val="24"/>
              <w:bidi w:val="0"/>
              <w:rPr>
                <w:rFonts w:hint="eastAsia" w:ascii="Times New Roman" w:hAnsi="Times New Roman" w:eastAsia="宋体" w:cs="Courier New"/>
                <w:b w:val="0"/>
                <w:bCs w:val="0"/>
                <w:color w:val="auto"/>
                <w:sz w:val="21"/>
                <w:szCs w:val="21"/>
                <w:highlight w:val="none"/>
                <w:lang w:val="en-US" w:eastAsia="zh-CN"/>
              </w:rPr>
            </w:pPr>
          </w:p>
        </w:tc>
        <w:tc>
          <w:tcPr>
            <w:tcW w:w="548" w:type="pct"/>
            <w:vMerge w:val="continue"/>
            <w:noWrap w:val="0"/>
            <w:vAlign w:val="center"/>
          </w:tcPr>
          <w:p w14:paraId="7EF3B2BC">
            <w:pPr>
              <w:pStyle w:val="24"/>
              <w:bidi w:val="0"/>
              <w:rPr>
                <w:rFonts w:hint="eastAsia" w:ascii="Times New Roman" w:hAnsi="Times New Roman" w:eastAsia="宋体" w:cs="Courier New"/>
                <w:b w:val="0"/>
                <w:bCs w:val="0"/>
                <w:color w:val="auto"/>
                <w:sz w:val="21"/>
                <w:szCs w:val="21"/>
                <w:highlight w:val="none"/>
                <w:lang w:val="en-US" w:eastAsia="zh-CN"/>
              </w:rPr>
            </w:pPr>
          </w:p>
        </w:tc>
        <w:tc>
          <w:tcPr>
            <w:tcW w:w="507" w:type="pct"/>
            <w:vMerge w:val="continue"/>
            <w:noWrap w:val="0"/>
            <w:vAlign w:val="center"/>
          </w:tcPr>
          <w:p w14:paraId="202CB1FD">
            <w:pPr>
              <w:pStyle w:val="24"/>
              <w:bidi w:val="0"/>
              <w:rPr>
                <w:rFonts w:hint="eastAsia" w:ascii="Times New Roman" w:hAnsi="Times New Roman" w:eastAsia="宋体" w:cs="Courier New"/>
                <w:b w:val="0"/>
                <w:bCs w:val="0"/>
                <w:color w:val="auto"/>
                <w:sz w:val="21"/>
                <w:szCs w:val="21"/>
                <w:highlight w:val="none"/>
                <w:lang w:val="en-US" w:eastAsia="zh-CN"/>
              </w:rPr>
            </w:pPr>
          </w:p>
        </w:tc>
        <w:tc>
          <w:tcPr>
            <w:tcW w:w="438" w:type="pct"/>
            <w:vMerge w:val="continue"/>
            <w:noWrap w:val="0"/>
            <w:vAlign w:val="center"/>
          </w:tcPr>
          <w:p w14:paraId="5B49BC2A">
            <w:pPr>
              <w:pStyle w:val="24"/>
              <w:bidi w:val="0"/>
              <w:rPr>
                <w:rFonts w:hint="eastAsia" w:ascii="Times New Roman" w:hAnsi="Times New Roman" w:eastAsia="宋体" w:cs="Courier New"/>
                <w:b w:val="0"/>
                <w:bCs w:val="0"/>
                <w:color w:val="auto"/>
                <w:sz w:val="21"/>
                <w:szCs w:val="21"/>
                <w:highlight w:val="none"/>
                <w:lang w:val="en-US" w:eastAsia="zh-CN"/>
              </w:rPr>
            </w:pPr>
          </w:p>
        </w:tc>
        <w:tc>
          <w:tcPr>
            <w:tcW w:w="395" w:type="pct"/>
            <w:vMerge w:val="continue"/>
            <w:noWrap w:val="0"/>
            <w:vAlign w:val="center"/>
          </w:tcPr>
          <w:p w14:paraId="4ADBB55B">
            <w:pPr>
              <w:pStyle w:val="24"/>
              <w:bidi w:val="0"/>
              <w:rPr>
                <w:rFonts w:hint="eastAsia" w:ascii="Times New Roman" w:hAnsi="Times New Roman" w:eastAsia="宋体" w:cs="Courier New"/>
                <w:b w:val="0"/>
                <w:bCs w:val="0"/>
                <w:color w:val="auto"/>
                <w:sz w:val="21"/>
                <w:szCs w:val="21"/>
                <w:highlight w:val="none"/>
                <w:lang w:val="en-US" w:eastAsia="zh-CN"/>
              </w:rPr>
            </w:pPr>
          </w:p>
        </w:tc>
        <w:tc>
          <w:tcPr>
            <w:tcW w:w="528" w:type="pct"/>
            <w:vMerge w:val="continue"/>
            <w:noWrap w:val="0"/>
            <w:vAlign w:val="center"/>
          </w:tcPr>
          <w:p w14:paraId="389269C0">
            <w:pPr>
              <w:pStyle w:val="24"/>
              <w:bidi w:val="0"/>
              <w:rPr>
                <w:rFonts w:hint="eastAsia" w:ascii="Times New Roman" w:hAnsi="Times New Roman" w:eastAsia="宋体" w:cs="Courier New"/>
                <w:b w:val="0"/>
                <w:bCs w:val="0"/>
                <w:color w:val="auto"/>
                <w:sz w:val="21"/>
                <w:szCs w:val="21"/>
                <w:highlight w:val="none"/>
                <w:lang w:val="en-US" w:eastAsia="zh-CN"/>
              </w:rPr>
            </w:pPr>
          </w:p>
        </w:tc>
        <w:tc>
          <w:tcPr>
            <w:tcW w:w="376" w:type="pct"/>
            <w:vMerge w:val="continue"/>
            <w:noWrap w:val="0"/>
            <w:vAlign w:val="center"/>
          </w:tcPr>
          <w:p w14:paraId="67C9E356">
            <w:pPr>
              <w:pStyle w:val="24"/>
              <w:bidi w:val="0"/>
              <w:rPr>
                <w:rFonts w:hint="eastAsia" w:ascii="Times New Roman" w:hAnsi="Times New Roman" w:eastAsia="宋体" w:cs="Courier New"/>
                <w:b w:val="0"/>
                <w:bCs w:val="0"/>
                <w:color w:val="auto"/>
                <w:sz w:val="21"/>
                <w:szCs w:val="21"/>
                <w:highlight w:val="none"/>
                <w:lang w:val="en-US" w:eastAsia="zh-CN"/>
              </w:rPr>
            </w:pPr>
          </w:p>
        </w:tc>
        <w:tc>
          <w:tcPr>
            <w:tcW w:w="334" w:type="pct"/>
            <w:vMerge w:val="continue"/>
            <w:noWrap w:val="0"/>
            <w:vAlign w:val="center"/>
          </w:tcPr>
          <w:p w14:paraId="292F1263">
            <w:pPr>
              <w:pStyle w:val="24"/>
              <w:bidi w:val="0"/>
              <w:rPr>
                <w:rFonts w:hint="eastAsia" w:ascii="Times New Roman" w:hAnsi="Times New Roman" w:eastAsia="宋体" w:cs="Courier New"/>
                <w:b w:val="0"/>
                <w:bCs w:val="0"/>
                <w:color w:val="auto"/>
                <w:sz w:val="21"/>
                <w:szCs w:val="21"/>
                <w:highlight w:val="none"/>
                <w:lang w:val="en-US" w:eastAsia="zh-CN"/>
              </w:rPr>
            </w:pPr>
          </w:p>
        </w:tc>
        <w:tc>
          <w:tcPr>
            <w:tcW w:w="445" w:type="pct"/>
            <w:shd w:val="clear" w:color="auto" w:fill="auto"/>
            <w:noWrap w:val="0"/>
            <w:vAlign w:val="center"/>
          </w:tcPr>
          <w:p w14:paraId="4791103C">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TP</w:t>
            </w:r>
          </w:p>
        </w:tc>
        <w:tc>
          <w:tcPr>
            <w:tcW w:w="757" w:type="pct"/>
            <w:shd w:val="clear" w:color="auto" w:fill="auto"/>
            <w:noWrap w:val="0"/>
            <w:vAlign w:val="center"/>
          </w:tcPr>
          <w:p w14:paraId="2425DC8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sz w:val="21"/>
                <w:szCs w:val="21"/>
                <w:highlight w:val="none"/>
                <w:lang w:val="en-US" w:eastAsia="zh-CN"/>
              </w:rPr>
              <w:t>0.5</w:t>
            </w:r>
          </w:p>
        </w:tc>
      </w:tr>
      <w:tr w14:paraId="4B2C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noWrap w:val="0"/>
            <w:vAlign w:val="center"/>
          </w:tcPr>
          <w:p w14:paraId="054ACCA1">
            <w:pPr>
              <w:jc w:val="center"/>
              <w:rPr>
                <w:rFonts w:ascii="Times New Roman" w:hAnsi="Times New Roman" w:cs="Times New Roman"/>
                <w:b w:val="0"/>
                <w:bCs w:val="0"/>
                <w:color w:val="auto"/>
                <w:spacing w:val="4"/>
                <w:sz w:val="21"/>
                <w:szCs w:val="21"/>
                <w:highlight w:val="none"/>
              </w:rPr>
            </w:pPr>
          </w:p>
        </w:tc>
        <w:tc>
          <w:tcPr>
            <w:tcW w:w="446" w:type="pct"/>
            <w:vMerge w:val="continue"/>
            <w:noWrap w:val="0"/>
            <w:vAlign w:val="center"/>
          </w:tcPr>
          <w:p w14:paraId="2BC76284">
            <w:pPr>
              <w:jc w:val="center"/>
              <w:rPr>
                <w:rFonts w:ascii="Times New Roman" w:hAnsi="Times New Roman" w:cs="Times New Roman"/>
                <w:b w:val="0"/>
                <w:bCs w:val="0"/>
                <w:color w:val="auto"/>
                <w:spacing w:val="4"/>
                <w:sz w:val="21"/>
                <w:szCs w:val="21"/>
                <w:highlight w:val="none"/>
              </w:rPr>
            </w:pPr>
          </w:p>
        </w:tc>
        <w:tc>
          <w:tcPr>
            <w:tcW w:w="548" w:type="pct"/>
            <w:vMerge w:val="continue"/>
            <w:noWrap w:val="0"/>
            <w:vAlign w:val="center"/>
          </w:tcPr>
          <w:p w14:paraId="096BB1A3">
            <w:pPr>
              <w:jc w:val="center"/>
              <w:rPr>
                <w:rFonts w:ascii="Times New Roman" w:hAnsi="Times New Roman" w:cs="Times New Roman"/>
                <w:b w:val="0"/>
                <w:bCs w:val="0"/>
                <w:color w:val="auto"/>
                <w:spacing w:val="4"/>
                <w:sz w:val="21"/>
                <w:szCs w:val="21"/>
                <w:highlight w:val="none"/>
              </w:rPr>
            </w:pPr>
          </w:p>
        </w:tc>
        <w:tc>
          <w:tcPr>
            <w:tcW w:w="507" w:type="pct"/>
            <w:vMerge w:val="continue"/>
            <w:noWrap w:val="0"/>
            <w:vAlign w:val="center"/>
          </w:tcPr>
          <w:p w14:paraId="7F10DF0D">
            <w:pPr>
              <w:jc w:val="center"/>
              <w:rPr>
                <w:rFonts w:ascii="Times New Roman" w:hAnsi="Times New Roman" w:cs="Times New Roman"/>
                <w:b w:val="0"/>
                <w:bCs w:val="0"/>
                <w:color w:val="auto"/>
                <w:spacing w:val="4"/>
                <w:sz w:val="21"/>
                <w:szCs w:val="21"/>
                <w:highlight w:val="none"/>
              </w:rPr>
            </w:pPr>
          </w:p>
        </w:tc>
        <w:tc>
          <w:tcPr>
            <w:tcW w:w="438" w:type="pct"/>
            <w:vMerge w:val="continue"/>
            <w:noWrap w:val="0"/>
            <w:vAlign w:val="center"/>
          </w:tcPr>
          <w:p w14:paraId="39A3186B">
            <w:pPr>
              <w:jc w:val="center"/>
              <w:rPr>
                <w:rFonts w:ascii="Times New Roman" w:hAnsi="Times New Roman" w:cs="Times New Roman"/>
                <w:b w:val="0"/>
                <w:bCs w:val="0"/>
                <w:color w:val="auto"/>
                <w:spacing w:val="4"/>
                <w:sz w:val="21"/>
                <w:szCs w:val="21"/>
                <w:highlight w:val="none"/>
              </w:rPr>
            </w:pPr>
          </w:p>
        </w:tc>
        <w:tc>
          <w:tcPr>
            <w:tcW w:w="395" w:type="pct"/>
            <w:vMerge w:val="continue"/>
            <w:noWrap w:val="0"/>
            <w:vAlign w:val="center"/>
          </w:tcPr>
          <w:p w14:paraId="57092481">
            <w:pPr>
              <w:jc w:val="center"/>
              <w:rPr>
                <w:rFonts w:ascii="Times New Roman" w:hAnsi="Times New Roman"/>
                <w:b w:val="0"/>
                <w:bCs w:val="0"/>
                <w:color w:val="auto"/>
                <w:sz w:val="21"/>
                <w:szCs w:val="21"/>
                <w:highlight w:val="none"/>
              </w:rPr>
            </w:pPr>
          </w:p>
        </w:tc>
        <w:tc>
          <w:tcPr>
            <w:tcW w:w="528" w:type="pct"/>
            <w:vMerge w:val="continue"/>
            <w:noWrap w:val="0"/>
            <w:vAlign w:val="center"/>
          </w:tcPr>
          <w:p w14:paraId="1931299A">
            <w:pPr>
              <w:jc w:val="center"/>
              <w:rPr>
                <w:rFonts w:ascii="Times New Roman" w:hAnsi="Times New Roman" w:cs="Times New Roman"/>
                <w:b w:val="0"/>
                <w:bCs w:val="0"/>
                <w:color w:val="auto"/>
                <w:spacing w:val="4"/>
                <w:sz w:val="21"/>
                <w:szCs w:val="21"/>
                <w:highlight w:val="none"/>
              </w:rPr>
            </w:pPr>
          </w:p>
        </w:tc>
        <w:tc>
          <w:tcPr>
            <w:tcW w:w="376" w:type="pct"/>
            <w:vMerge w:val="continue"/>
            <w:noWrap w:val="0"/>
            <w:vAlign w:val="center"/>
          </w:tcPr>
          <w:p w14:paraId="1C9A7D14">
            <w:pPr>
              <w:jc w:val="center"/>
              <w:rPr>
                <w:rFonts w:ascii="Times New Roman" w:hAnsi="Times New Roman" w:cs="Times New Roman"/>
                <w:b w:val="0"/>
                <w:bCs w:val="0"/>
                <w:color w:val="auto"/>
                <w:spacing w:val="4"/>
                <w:sz w:val="21"/>
                <w:szCs w:val="21"/>
                <w:highlight w:val="none"/>
              </w:rPr>
            </w:pPr>
          </w:p>
        </w:tc>
        <w:tc>
          <w:tcPr>
            <w:tcW w:w="334" w:type="pct"/>
            <w:vMerge w:val="continue"/>
            <w:noWrap w:val="0"/>
            <w:vAlign w:val="center"/>
          </w:tcPr>
          <w:p w14:paraId="2C0EB173">
            <w:pPr>
              <w:jc w:val="center"/>
              <w:rPr>
                <w:rFonts w:ascii="Times New Roman" w:hAnsi="Times New Roman" w:cs="Times New Roman"/>
                <w:b w:val="0"/>
                <w:bCs w:val="0"/>
                <w:color w:val="auto"/>
                <w:spacing w:val="4"/>
                <w:sz w:val="21"/>
                <w:szCs w:val="21"/>
                <w:highlight w:val="none"/>
              </w:rPr>
            </w:pPr>
          </w:p>
        </w:tc>
        <w:tc>
          <w:tcPr>
            <w:tcW w:w="445" w:type="pct"/>
            <w:shd w:val="clear" w:color="auto" w:fill="auto"/>
            <w:noWrap w:val="0"/>
            <w:vAlign w:val="center"/>
          </w:tcPr>
          <w:p w14:paraId="610A699F">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kern w:val="2"/>
                <w:sz w:val="21"/>
                <w:szCs w:val="21"/>
                <w:highlight w:val="none"/>
                <w:lang w:val="en-US" w:eastAsia="zh-CN" w:bidi="ar-SA"/>
              </w:rPr>
              <w:t>色度</w:t>
            </w:r>
          </w:p>
        </w:tc>
        <w:tc>
          <w:tcPr>
            <w:tcW w:w="757" w:type="pct"/>
            <w:shd w:val="clear" w:color="auto" w:fill="auto"/>
            <w:noWrap w:val="0"/>
            <w:vAlign w:val="center"/>
          </w:tcPr>
          <w:p w14:paraId="7155D512">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cs="Courier New"/>
                <w:b w:val="0"/>
                <w:bCs w:val="0"/>
                <w:color w:val="auto"/>
                <w:kern w:val="2"/>
                <w:sz w:val="21"/>
                <w:szCs w:val="21"/>
                <w:highlight w:val="none"/>
                <w:lang w:val="en-US" w:eastAsia="zh-CN" w:bidi="ar-SA"/>
              </w:rPr>
              <w:t>30</w:t>
            </w:r>
          </w:p>
        </w:tc>
      </w:tr>
    </w:tbl>
    <w:p w14:paraId="21090E74">
      <w:pPr>
        <w:pStyle w:val="5"/>
        <w:bidi w:val="0"/>
        <w:ind w:left="864" w:leftChars="0" w:hanging="864" w:firstLineChars="0"/>
        <w:rPr>
          <w:rFonts w:hint="default" w:ascii="Times New Roman" w:hAnsi="Times New Roman" w:eastAsia="宋体" w:cs="Times New Roman"/>
          <w:b/>
          <w:bCs/>
          <w:color w:val="auto"/>
          <w:highlight w:val="none"/>
          <w:lang w:val="en-US" w:eastAsia="zh-CN"/>
        </w:rPr>
      </w:pPr>
      <w:r>
        <w:rPr>
          <w:rFonts w:hint="eastAsia" w:ascii="Times New Roman" w:hAnsi="Times New Roman" w:cs="Courier New"/>
          <w:bCs/>
          <w:color w:val="auto"/>
          <w:highlight w:val="none"/>
          <w:lang w:val="en-US" w:eastAsia="zh-CN"/>
        </w:rPr>
        <w:t>自行监测计划</w:t>
      </w:r>
    </w:p>
    <w:p w14:paraId="12F32ACF">
      <w:pPr>
        <w:spacing w:line="360" w:lineRule="auto"/>
        <w:ind w:left="0" w:leftChars="0" w:firstLine="480" w:firstLineChars="200"/>
        <w:rPr>
          <w:rFonts w:hint="eastAsia"/>
          <w:bCs/>
          <w:color w:val="auto"/>
          <w:sz w:val="24"/>
          <w:highlight w:val="none"/>
        </w:rPr>
      </w:pPr>
      <w:r>
        <w:rPr>
          <w:rFonts w:hint="eastAsia"/>
          <w:bCs/>
          <w:color w:val="auto"/>
          <w:sz w:val="24"/>
          <w:highlight w:val="none"/>
        </w:rPr>
        <w:t>本次环评根据</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eastAsia="宋体" w:cs="Times New Roman"/>
          <w:color w:val="auto"/>
          <w:sz w:val="24"/>
          <w:lang w:val="en-US" w:eastAsia="zh-CN"/>
        </w:rPr>
        <w:t>和</w:t>
      </w:r>
      <w:r>
        <w:rPr>
          <w:rFonts w:hint="eastAsia" w:ascii="Times New Roman" w:hAnsi="Times New Roman" w:eastAsia="宋体" w:cs="Times New Roman"/>
          <w:color w:val="auto"/>
          <w:sz w:val="24"/>
          <w:lang w:eastAsia="zh-CN"/>
        </w:rPr>
        <w:t xml:space="preserve">《排污单位自行监测技术指南 </w:t>
      </w:r>
      <w:r>
        <w:rPr>
          <w:rFonts w:hint="eastAsia" w:cs="Times New Roman"/>
          <w:color w:val="auto"/>
          <w:sz w:val="24"/>
          <w:lang w:val="en-US" w:eastAsia="zh-CN"/>
        </w:rPr>
        <w:t>总则</w:t>
      </w:r>
      <w:r>
        <w:rPr>
          <w:rFonts w:hint="eastAsia" w:ascii="Times New Roman" w:hAnsi="Times New Roman" w:eastAsia="宋体" w:cs="Times New Roman"/>
          <w:color w:val="auto"/>
          <w:sz w:val="24"/>
          <w:lang w:eastAsia="zh-CN"/>
        </w:rPr>
        <w:t>》（HJ</w:t>
      </w:r>
      <w:r>
        <w:rPr>
          <w:rFonts w:hint="eastAsia" w:cs="Times New Roman"/>
          <w:color w:val="auto"/>
          <w:sz w:val="24"/>
          <w:lang w:val="en-US" w:eastAsia="zh-CN"/>
        </w:rPr>
        <w:t>819-2017</w:t>
      </w:r>
      <w:r>
        <w:rPr>
          <w:rFonts w:hint="eastAsia" w:ascii="Times New Roman" w:hAnsi="Times New Roman" w:eastAsia="宋体" w:cs="Times New Roman"/>
          <w:color w:val="auto"/>
          <w:sz w:val="24"/>
          <w:lang w:eastAsia="zh-CN"/>
        </w:rPr>
        <w:t>）</w:t>
      </w:r>
      <w:r>
        <w:rPr>
          <w:rFonts w:hint="eastAsia"/>
          <w:bCs/>
          <w:color w:val="auto"/>
          <w:sz w:val="24"/>
          <w:highlight w:val="none"/>
        </w:rPr>
        <w:t>提出项目生产运行阶段的污染源监测计划，详见下表。</w:t>
      </w:r>
    </w:p>
    <w:p w14:paraId="0A09BACB">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废水监测计划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4974"/>
        <w:gridCol w:w="2190"/>
        <w:gridCol w:w="5368"/>
      </w:tblGrid>
      <w:tr w14:paraId="4FA9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5E5C67F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1742" w:type="pct"/>
            <w:noWrap w:val="0"/>
            <w:vAlign w:val="center"/>
          </w:tcPr>
          <w:p w14:paraId="1FDC699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监测指标</w:t>
            </w:r>
          </w:p>
        </w:tc>
        <w:tc>
          <w:tcPr>
            <w:tcW w:w="767" w:type="pct"/>
            <w:noWrap w:val="0"/>
            <w:vAlign w:val="center"/>
          </w:tcPr>
          <w:p w14:paraId="3D915225">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监测频次</w:t>
            </w:r>
          </w:p>
        </w:tc>
        <w:tc>
          <w:tcPr>
            <w:tcW w:w="1879" w:type="pct"/>
            <w:noWrap w:val="0"/>
            <w:vAlign w:val="center"/>
          </w:tcPr>
          <w:p w14:paraId="4E57784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执行排放标准</w:t>
            </w:r>
          </w:p>
        </w:tc>
      </w:tr>
      <w:tr w14:paraId="3359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4985EA7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厂区废水总排口</w:t>
            </w:r>
          </w:p>
        </w:tc>
        <w:tc>
          <w:tcPr>
            <w:tcW w:w="1742" w:type="pct"/>
            <w:noWrap w:val="0"/>
            <w:vAlign w:val="center"/>
          </w:tcPr>
          <w:p w14:paraId="7547E9A9">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olor w:val="auto"/>
                <w:highlight w:val="none"/>
                <w:lang w:val="en-US" w:eastAsia="zh-CN"/>
              </w:rPr>
              <w:t>pH、</w:t>
            </w:r>
            <w:r>
              <w:rPr>
                <w:rFonts w:hint="eastAsia" w:ascii="Times New Roman" w:hAnsi="Times New Roman" w:eastAsia="宋体" w:cs="Courier New"/>
                <w:b w:val="0"/>
                <w:bCs w:val="0"/>
                <w:color w:val="auto"/>
                <w:sz w:val="21"/>
                <w:szCs w:val="21"/>
                <w:highlight w:val="none"/>
                <w:lang w:val="en-US" w:eastAsia="zh-CN"/>
              </w:rPr>
              <w:t>COD</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BOD</w:t>
            </w:r>
            <w:r>
              <w:rPr>
                <w:rFonts w:hint="eastAsia" w:ascii="Times New Roman" w:hAnsi="Times New Roman" w:eastAsia="宋体" w:cs="Courier New"/>
                <w:b w:val="0"/>
                <w:bCs w:val="0"/>
                <w:color w:val="auto"/>
                <w:sz w:val="21"/>
                <w:szCs w:val="21"/>
                <w:highlight w:val="none"/>
                <w:vertAlign w:val="subscript"/>
                <w:lang w:val="en-US" w:eastAsia="zh-CN"/>
              </w:rPr>
              <w:t>5</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NH</w:t>
            </w:r>
            <w:r>
              <w:rPr>
                <w:rFonts w:hint="eastAsia" w:ascii="Times New Roman" w:hAnsi="Times New Roman" w:eastAsia="宋体" w:cs="Courier New"/>
                <w:b w:val="0"/>
                <w:bCs w:val="0"/>
                <w:color w:val="auto"/>
                <w:sz w:val="21"/>
                <w:szCs w:val="21"/>
                <w:highlight w:val="none"/>
                <w:vertAlign w:val="subscript"/>
                <w:lang w:val="en-US" w:eastAsia="zh-CN"/>
              </w:rPr>
              <w:t>3</w:t>
            </w:r>
            <w:r>
              <w:rPr>
                <w:rFonts w:hint="eastAsia" w:ascii="Times New Roman" w:hAnsi="Times New Roman" w:eastAsia="宋体" w:cs="Courier New"/>
                <w:b w:val="0"/>
                <w:bCs w:val="0"/>
                <w:color w:val="auto"/>
                <w:sz w:val="21"/>
                <w:szCs w:val="21"/>
                <w:highlight w:val="none"/>
                <w:lang w:val="en-US" w:eastAsia="zh-CN"/>
              </w:rPr>
              <w:t>-N、TP、SS</w:t>
            </w:r>
          </w:p>
        </w:tc>
        <w:tc>
          <w:tcPr>
            <w:tcW w:w="767" w:type="pct"/>
            <w:noWrap w:val="0"/>
            <w:vAlign w:val="center"/>
          </w:tcPr>
          <w:p w14:paraId="58FCB34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1次/半年</w:t>
            </w:r>
          </w:p>
        </w:tc>
        <w:tc>
          <w:tcPr>
            <w:tcW w:w="1879" w:type="pct"/>
            <w:noWrap w:val="0"/>
            <w:vAlign w:val="center"/>
          </w:tcPr>
          <w:p w14:paraId="1BFAB09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《四川省化工园区水污染物排放标准》（DB51/3202-2024）表1中间接排放标准</w:t>
            </w:r>
          </w:p>
        </w:tc>
      </w:tr>
      <w:tr w14:paraId="59A1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3F318D3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雨水排放口</w:t>
            </w:r>
          </w:p>
        </w:tc>
        <w:tc>
          <w:tcPr>
            <w:tcW w:w="1742" w:type="pct"/>
            <w:noWrap w:val="0"/>
            <w:vAlign w:val="center"/>
          </w:tcPr>
          <w:p w14:paraId="20BA08B4">
            <w:pPr>
              <w:pStyle w:val="24"/>
              <w:bidi w:val="0"/>
              <w:ind w:left="0" w:leftChars="0"/>
              <w:rPr>
                <w:rFonts w:hint="eastAsia"/>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COD</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SS</w:t>
            </w:r>
          </w:p>
        </w:tc>
        <w:tc>
          <w:tcPr>
            <w:tcW w:w="767" w:type="pct"/>
            <w:noWrap w:val="0"/>
            <w:vAlign w:val="center"/>
          </w:tcPr>
          <w:p w14:paraId="6F504DB2">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1次/月*</w:t>
            </w:r>
          </w:p>
        </w:tc>
        <w:tc>
          <w:tcPr>
            <w:tcW w:w="1879" w:type="pct"/>
            <w:noWrap w:val="0"/>
            <w:vAlign w:val="center"/>
          </w:tcPr>
          <w:p w14:paraId="09E3C0EC">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w:t>
            </w:r>
          </w:p>
        </w:tc>
      </w:tr>
      <w:tr w14:paraId="45CB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000" w:type="pct"/>
            <w:gridSpan w:val="4"/>
            <w:noWrap w:val="0"/>
            <w:vAlign w:val="center"/>
          </w:tcPr>
          <w:p w14:paraId="24CAFF6B">
            <w:pPr>
              <w:pStyle w:val="24"/>
              <w:bidi w:val="0"/>
              <w:ind w:left="0" w:leftChars="0"/>
              <w:jc w:val="both"/>
              <w:rPr>
                <w:rFonts w:hint="default" w:ascii="Times New Roman" w:hAnsi="Times New Roman"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注：雨水排放口每月有流动水排放时开展一次监测。如监测一年无异常情况，可放宽至每季度有流动水排放时开展一次监测。</w:t>
            </w:r>
          </w:p>
        </w:tc>
      </w:tr>
    </w:tbl>
    <w:p w14:paraId="3E8CD347">
      <w:pPr>
        <w:spacing w:line="360" w:lineRule="auto"/>
        <w:ind w:left="0" w:leftChars="0" w:firstLine="480" w:firstLineChars="200"/>
        <w:rPr>
          <w:rFonts w:hint="eastAsia"/>
          <w:bCs/>
          <w:color w:val="auto"/>
          <w:sz w:val="24"/>
          <w:highlight w:val="none"/>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p>
    <w:p w14:paraId="6ACADED1">
      <w:pPr>
        <w:pStyle w:val="5"/>
        <w:bidi w:val="0"/>
        <w:ind w:left="864" w:leftChars="0" w:hanging="864" w:firstLineChars="0"/>
        <w:rPr>
          <w:rFonts w:hint="default" w:ascii="Times New Roman" w:hAnsi="Times New Roman" w:cs="Courier New"/>
          <w:bCs/>
          <w:color w:val="auto"/>
          <w:highlight w:val="none"/>
          <w:lang w:val="en-US" w:eastAsia="zh-CN"/>
        </w:rPr>
      </w:pPr>
      <w:r>
        <w:rPr>
          <w:rFonts w:hint="default" w:ascii="Times New Roman" w:hAnsi="Times New Roman" w:cs="Courier New"/>
          <w:bCs/>
          <w:color w:val="auto"/>
          <w:highlight w:val="none"/>
          <w:lang w:val="en-US" w:eastAsia="zh-CN"/>
        </w:rPr>
        <w:t>地表水环境影响评价自查表</w:t>
      </w:r>
    </w:p>
    <w:p w14:paraId="5F854D51">
      <w:pPr>
        <w:pStyle w:val="26"/>
        <w:bidi w:val="0"/>
        <w:rPr>
          <w:rFonts w:hint="eastAsia"/>
          <w:color w:val="auto"/>
          <w:highlight w:val="none"/>
        </w:rPr>
      </w:pPr>
      <w:r>
        <w:rPr>
          <w:rFonts w:hint="eastAsia"/>
          <w:color w:val="auto"/>
          <w:highlight w:val="none"/>
        </w:rPr>
        <w:t>本项目地表水环境影响评价自查表见下表。</w:t>
      </w:r>
    </w:p>
    <w:p w14:paraId="19041B13">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建设项目地表水环境影响评价自查表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1639"/>
        <w:gridCol w:w="1477"/>
        <w:gridCol w:w="369"/>
        <w:gridCol w:w="617"/>
        <w:gridCol w:w="645"/>
        <w:gridCol w:w="590"/>
        <w:gridCol w:w="736"/>
        <w:gridCol w:w="499"/>
        <w:gridCol w:w="617"/>
        <w:gridCol w:w="234"/>
        <w:gridCol w:w="1633"/>
      </w:tblGrid>
      <w:tr w14:paraId="355E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3" w:type="pct"/>
            <w:gridSpan w:val="2"/>
            <w:noWrap w:val="0"/>
            <w:vAlign w:val="center"/>
          </w:tcPr>
          <w:p w14:paraId="791DA26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工作内容</w:t>
            </w:r>
          </w:p>
        </w:tc>
        <w:tc>
          <w:tcPr>
            <w:tcW w:w="3896" w:type="pct"/>
            <w:gridSpan w:val="10"/>
            <w:noWrap w:val="0"/>
            <w:vAlign w:val="top"/>
          </w:tcPr>
          <w:p w14:paraId="2621774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自查项目</w:t>
            </w:r>
          </w:p>
        </w:tc>
      </w:tr>
      <w:tr w14:paraId="5957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restart"/>
            <w:noWrap w:val="0"/>
            <w:vAlign w:val="center"/>
          </w:tcPr>
          <w:p w14:paraId="35AE120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影响识别</w:t>
            </w:r>
          </w:p>
        </w:tc>
        <w:tc>
          <w:tcPr>
            <w:tcW w:w="861" w:type="pct"/>
            <w:noWrap w:val="0"/>
            <w:vAlign w:val="center"/>
          </w:tcPr>
          <w:p w14:paraId="5FA2B7F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影响类型</w:t>
            </w:r>
          </w:p>
        </w:tc>
        <w:tc>
          <w:tcPr>
            <w:tcW w:w="3896" w:type="pct"/>
            <w:gridSpan w:val="10"/>
            <w:noWrap w:val="0"/>
            <w:vAlign w:val="top"/>
          </w:tcPr>
          <w:p w14:paraId="637D404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水污染影响型</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；水文要素影响型□</w:t>
            </w:r>
          </w:p>
        </w:tc>
      </w:tr>
      <w:tr w14:paraId="7B86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9AE24BA">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51F0161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水环境保护目标</w:t>
            </w:r>
          </w:p>
        </w:tc>
        <w:tc>
          <w:tcPr>
            <w:tcW w:w="3896" w:type="pct"/>
            <w:gridSpan w:val="10"/>
            <w:noWrap w:val="0"/>
            <w:vAlign w:val="top"/>
          </w:tcPr>
          <w:p w14:paraId="60B1A01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饮用水水源保护区□；饮用水取水□；涉水的自然保护区□；重要湿地□；重点保护与珍稀水生生物的栖息地□；重要水生生物的自然产卵场及索饵场、越冬场和洄游通道、天然渔场等渔业水体□；涉水的风景名胜区□；其他</w:t>
            </w:r>
            <w:r>
              <w:rPr>
                <w:rFonts w:hint="eastAsia" w:ascii="Times New Roman" w:hAnsi="Times New Roman" w:eastAsia="宋体" w:cs="Courier New"/>
                <w:b w:val="0"/>
                <w:bCs w:val="0"/>
                <w:color w:val="auto"/>
                <w:highlight w:val="none"/>
                <w:lang w:val="en-US" w:eastAsia="zh-CN"/>
              </w:rPr>
              <w:sym w:font="Wingdings 2" w:char="F052"/>
            </w:r>
          </w:p>
        </w:tc>
      </w:tr>
      <w:tr w14:paraId="533B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FF7495A">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768E229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影响途径</w:t>
            </w:r>
          </w:p>
        </w:tc>
        <w:tc>
          <w:tcPr>
            <w:tcW w:w="1943" w:type="pct"/>
            <w:gridSpan w:val="5"/>
            <w:noWrap w:val="0"/>
            <w:vAlign w:val="top"/>
          </w:tcPr>
          <w:p w14:paraId="33E45C9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水污染影响型</w:t>
            </w:r>
          </w:p>
        </w:tc>
        <w:tc>
          <w:tcPr>
            <w:tcW w:w="1952" w:type="pct"/>
            <w:gridSpan w:val="5"/>
            <w:noWrap w:val="0"/>
            <w:vAlign w:val="top"/>
          </w:tcPr>
          <w:p w14:paraId="77B13A0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水文要素影响型</w:t>
            </w:r>
          </w:p>
        </w:tc>
      </w:tr>
      <w:tr w14:paraId="68C4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2EBEAEE">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61005C25">
            <w:pPr>
              <w:pStyle w:val="24"/>
              <w:bidi w:val="0"/>
              <w:rPr>
                <w:rFonts w:hint="eastAsia" w:ascii="Times New Roman" w:hAnsi="Times New Roman" w:eastAsia="宋体" w:cs="Courier New"/>
                <w:b w:val="0"/>
                <w:bCs w:val="0"/>
                <w:color w:val="auto"/>
                <w:highlight w:val="none"/>
                <w:lang w:val="en-US" w:eastAsia="zh-CN"/>
              </w:rPr>
            </w:pPr>
          </w:p>
        </w:tc>
        <w:tc>
          <w:tcPr>
            <w:tcW w:w="1943" w:type="pct"/>
            <w:gridSpan w:val="5"/>
            <w:noWrap w:val="0"/>
            <w:vAlign w:val="top"/>
          </w:tcPr>
          <w:p w14:paraId="21F602E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直接排放□；间接排放</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；其他□</w:t>
            </w:r>
          </w:p>
        </w:tc>
        <w:tc>
          <w:tcPr>
            <w:tcW w:w="1952" w:type="pct"/>
            <w:gridSpan w:val="5"/>
            <w:noWrap w:val="0"/>
            <w:vAlign w:val="top"/>
          </w:tcPr>
          <w:p w14:paraId="0F2ADD8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水温□；径流□；水域面积□</w:t>
            </w:r>
          </w:p>
        </w:tc>
      </w:tr>
      <w:tr w14:paraId="1D0F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349AAADF">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4983378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影响因子</w:t>
            </w:r>
          </w:p>
        </w:tc>
        <w:tc>
          <w:tcPr>
            <w:tcW w:w="1943" w:type="pct"/>
            <w:gridSpan w:val="5"/>
            <w:noWrap w:val="0"/>
            <w:vAlign w:val="top"/>
          </w:tcPr>
          <w:p w14:paraId="07940B5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持久性污染物□；有毒有害污染物□；非持久性污染物</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；pH值</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；热污染□；富营养化□；其他□</w:t>
            </w:r>
          </w:p>
        </w:tc>
        <w:tc>
          <w:tcPr>
            <w:tcW w:w="1952" w:type="pct"/>
            <w:gridSpan w:val="5"/>
            <w:noWrap w:val="0"/>
            <w:vAlign w:val="center"/>
          </w:tcPr>
          <w:p w14:paraId="5C4AF6E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水温□；水位（水深）□；流速□；流量□；其他□</w:t>
            </w:r>
          </w:p>
        </w:tc>
      </w:tr>
      <w:tr w14:paraId="0E23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3" w:type="pct"/>
            <w:gridSpan w:val="2"/>
            <w:vMerge w:val="restart"/>
            <w:noWrap w:val="0"/>
            <w:vAlign w:val="center"/>
          </w:tcPr>
          <w:p w14:paraId="02347D8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评价等级</w:t>
            </w:r>
          </w:p>
        </w:tc>
        <w:tc>
          <w:tcPr>
            <w:tcW w:w="1943" w:type="pct"/>
            <w:gridSpan w:val="5"/>
            <w:noWrap w:val="0"/>
            <w:vAlign w:val="top"/>
          </w:tcPr>
          <w:p w14:paraId="016837A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水污染影响型</w:t>
            </w:r>
          </w:p>
        </w:tc>
        <w:tc>
          <w:tcPr>
            <w:tcW w:w="1952" w:type="pct"/>
            <w:gridSpan w:val="5"/>
            <w:noWrap w:val="0"/>
            <w:vAlign w:val="top"/>
          </w:tcPr>
          <w:p w14:paraId="1BDECD3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水文要素影响型</w:t>
            </w:r>
          </w:p>
        </w:tc>
      </w:tr>
      <w:tr w14:paraId="651B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3" w:type="pct"/>
            <w:gridSpan w:val="2"/>
            <w:vMerge w:val="continue"/>
            <w:noWrap w:val="0"/>
            <w:vAlign w:val="center"/>
          </w:tcPr>
          <w:p w14:paraId="6655A9DF">
            <w:pPr>
              <w:pStyle w:val="24"/>
              <w:bidi w:val="0"/>
              <w:rPr>
                <w:rFonts w:hint="eastAsia" w:ascii="Times New Roman" w:hAnsi="Times New Roman" w:eastAsia="宋体" w:cs="Courier New"/>
                <w:b w:val="0"/>
                <w:bCs w:val="0"/>
                <w:color w:val="auto"/>
                <w:highlight w:val="none"/>
                <w:lang w:val="en-US" w:eastAsia="zh-CN"/>
              </w:rPr>
            </w:pPr>
          </w:p>
        </w:tc>
        <w:tc>
          <w:tcPr>
            <w:tcW w:w="1943" w:type="pct"/>
            <w:gridSpan w:val="5"/>
            <w:noWrap w:val="0"/>
            <w:vAlign w:val="top"/>
          </w:tcPr>
          <w:p w14:paraId="1DA64A8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一级□；二级□；三级A□；三级B</w:t>
            </w:r>
            <w:r>
              <w:rPr>
                <w:rFonts w:hint="eastAsia" w:ascii="Times New Roman" w:hAnsi="Times New Roman" w:eastAsia="宋体" w:cs="Courier New"/>
                <w:b w:val="0"/>
                <w:bCs w:val="0"/>
                <w:color w:val="auto"/>
                <w:highlight w:val="none"/>
                <w:lang w:val="en-US" w:eastAsia="zh-CN"/>
              </w:rPr>
              <w:sym w:font="Wingdings 2" w:char="F052"/>
            </w:r>
          </w:p>
        </w:tc>
        <w:tc>
          <w:tcPr>
            <w:tcW w:w="1952" w:type="pct"/>
            <w:gridSpan w:val="5"/>
            <w:noWrap w:val="0"/>
            <w:vAlign w:val="top"/>
          </w:tcPr>
          <w:p w14:paraId="6E690FF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一级□；二级□；三级□</w:t>
            </w:r>
          </w:p>
        </w:tc>
      </w:tr>
      <w:tr w14:paraId="7B75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restart"/>
            <w:noWrap w:val="0"/>
            <w:vAlign w:val="center"/>
          </w:tcPr>
          <w:p w14:paraId="045E589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现状调查</w:t>
            </w:r>
          </w:p>
        </w:tc>
        <w:tc>
          <w:tcPr>
            <w:tcW w:w="861" w:type="pct"/>
            <w:vMerge w:val="restart"/>
            <w:noWrap w:val="0"/>
            <w:vAlign w:val="center"/>
          </w:tcPr>
          <w:p w14:paraId="141F70C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区域污染源</w:t>
            </w:r>
          </w:p>
        </w:tc>
        <w:tc>
          <w:tcPr>
            <w:tcW w:w="1943" w:type="pct"/>
            <w:gridSpan w:val="5"/>
            <w:noWrap w:val="0"/>
            <w:vAlign w:val="top"/>
          </w:tcPr>
          <w:p w14:paraId="3E3A54D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调查项目</w:t>
            </w:r>
          </w:p>
        </w:tc>
        <w:tc>
          <w:tcPr>
            <w:tcW w:w="1952" w:type="pct"/>
            <w:gridSpan w:val="5"/>
            <w:noWrap w:val="0"/>
            <w:vAlign w:val="top"/>
          </w:tcPr>
          <w:p w14:paraId="592B249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数据来源</w:t>
            </w:r>
          </w:p>
        </w:tc>
      </w:tr>
      <w:tr w14:paraId="5C2D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12BFFF12">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28D132F0">
            <w:pPr>
              <w:pStyle w:val="24"/>
              <w:bidi w:val="0"/>
              <w:rPr>
                <w:rFonts w:hint="eastAsia" w:ascii="Times New Roman" w:hAnsi="Times New Roman" w:eastAsia="宋体" w:cs="Courier New"/>
                <w:b w:val="0"/>
                <w:bCs w:val="0"/>
                <w:color w:val="auto"/>
                <w:highlight w:val="none"/>
                <w:lang w:val="en-US" w:eastAsia="zh-CN"/>
              </w:rPr>
            </w:pPr>
          </w:p>
        </w:tc>
        <w:tc>
          <w:tcPr>
            <w:tcW w:w="970" w:type="pct"/>
            <w:gridSpan w:val="2"/>
            <w:noWrap w:val="0"/>
            <w:vAlign w:val="center"/>
          </w:tcPr>
          <w:p w14:paraId="6FDE757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已建□；在建□；拟建□；其他□</w:t>
            </w:r>
          </w:p>
        </w:tc>
        <w:tc>
          <w:tcPr>
            <w:tcW w:w="973" w:type="pct"/>
            <w:gridSpan w:val="3"/>
            <w:noWrap w:val="0"/>
            <w:vAlign w:val="center"/>
          </w:tcPr>
          <w:p w14:paraId="53B0B8F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拟替代的污染源□</w:t>
            </w:r>
          </w:p>
        </w:tc>
        <w:tc>
          <w:tcPr>
            <w:tcW w:w="1952" w:type="pct"/>
            <w:gridSpan w:val="5"/>
            <w:noWrap w:val="0"/>
            <w:vAlign w:val="center"/>
          </w:tcPr>
          <w:p w14:paraId="206D5C7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排污许可证□；环评□；环保验收□；既有实测□；现场监测□；入河排放口数据□；其他□</w:t>
            </w:r>
          </w:p>
        </w:tc>
      </w:tr>
      <w:tr w14:paraId="33E4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36D2647B">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6351CE0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受影响水体水环境质量</w:t>
            </w:r>
          </w:p>
        </w:tc>
        <w:tc>
          <w:tcPr>
            <w:tcW w:w="1943" w:type="pct"/>
            <w:gridSpan w:val="5"/>
            <w:noWrap w:val="0"/>
            <w:vAlign w:val="top"/>
          </w:tcPr>
          <w:p w14:paraId="7B1BF89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调查时期</w:t>
            </w:r>
          </w:p>
        </w:tc>
        <w:tc>
          <w:tcPr>
            <w:tcW w:w="1952" w:type="pct"/>
            <w:gridSpan w:val="5"/>
            <w:noWrap w:val="0"/>
            <w:vAlign w:val="top"/>
          </w:tcPr>
          <w:p w14:paraId="1DD2D79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数据来源</w:t>
            </w:r>
          </w:p>
        </w:tc>
      </w:tr>
      <w:tr w14:paraId="4FE6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E71EAE5">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78FB5611">
            <w:pPr>
              <w:pStyle w:val="24"/>
              <w:bidi w:val="0"/>
              <w:rPr>
                <w:rFonts w:hint="eastAsia" w:ascii="Times New Roman" w:hAnsi="Times New Roman" w:eastAsia="宋体" w:cs="Courier New"/>
                <w:b w:val="0"/>
                <w:bCs w:val="0"/>
                <w:color w:val="auto"/>
                <w:highlight w:val="none"/>
                <w:lang w:val="en-US" w:eastAsia="zh-CN"/>
              </w:rPr>
            </w:pPr>
          </w:p>
        </w:tc>
        <w:tc>
          <w:tcPr>
            <w:tcW w:w="1943" w:type="pct"/>
            <w:gridSpan w:val="5"/>
            <w:noWrap w:val="0"/>
            <w:vAlign w:val="top"/>
          </w:tcPr>
          <w:p w14:paraId="03EE3FE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丰水期□；平水期□；枯水期□；冰封期□；春季</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；夏季</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；秋季</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；冬季</w:t>
            </w:r>
            <w:r>
              <w:rPr>
                <w:rFonts w:hint="eastAsia" w:ascii="Times New Roman" w:hAnsi="Times New Roman" w:eastAsia="宋体" w:cs="Courier New"/>
                <w:b w:val="0"/>
                <w:bCs w:val="0"/>
                <w:color w:val="auto"/>
                <w:highlight w:val="none"/>
                <w:lang w:val="en-US" w:eastAsia="zh-CN"/>
              </w:rPr>
              <w:sym w:font="Wingdings 2" w:char="0052"/>
            </w:r>
          </w:p>
        </w:tc>
        <w:tc>
          <w:tcPr>
            <w:tcW w:w="1952" w:type="pct"/>
            <w:gridSpan w:val="5"/>
            <w:noWrap w:val="0"/>
            <w:vAlign w:val="center"/>
          </w:tcPr>
          <w:p w14:paraId="0D0C3F5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生态环境保护主管部门</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；补充监测</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；其他□</w:t>
            </w:r>
          </w:p>
        </w:tc>
      </w:tr>
      <w:tr w14:paraId="0B33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0B4A6DFE">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210BE1E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区域水资源开发利用状况</w:t>
            </w:r>
          </w:p>
        </w:tc>
        <w:tc>
          <w:tcPr>
            <w:tcW w:w="3896" w:type="pct"/>
            <w:gridSpan w:val="10"/>
            <w:noWrap w:val="0"/>
            <w:vAlign w:val="center"/>
          </w:tcPr>
          <w:p w14:paraId="064EC3A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未开发□；开发量40%以下□；开发量40%以上□</w:t>
            </w:r>
          </w:p>
        </w:tc>
      </w:tr>
      <w:tr w14:paraId="06C5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30712759">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7958F0F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水文情势调查</w:t>
            </w:r>
          </w:p>
        </w:tc>
        <w:tc>
          <w:tcPr>
            <w:tcW w:w="1943" w:type="pct"/>
            <w:gridSpan w:val="5"/>
            <w:noWrap w:val="0"/>
            <w:vAlign w:val="top"/>
          </w:tcPr>
          <w:p w14:paraId="5C70C2E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调查时期</w:t>
            </w:r>
          </w:p>
        </w:tc>
        <w:tc>
          <w:tcPr>
            <w:tcW w:w="1952" w:type="pct"/>
            <w:gridSpan w:val="5"/>
            <w:noWrap w:val="0"/>
            <w:vAlign w:val="top"/>
          </w:tcPr>
          <w:p w14:paraId="0BFFA5E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数据来源</w:t>
            </w:r>
          </w:p>
        </w:tc>
      </w:tr>
      <w:tr w14:paraId="6B63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042DB5A">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382BE4DE">
            <w:pPr>
              <w:pStyle w:val="24"/>
              <w:bidi w:val="0"/>
              <w:rPr>
                <w:rFonts w:hint="eastAsia" w:ascii="Times New Roman" w:hAnsi="Times New Roman" w:eastAsia="宋体" w:cs="Courier New"/>
                <w:b w:val="0"/>
                <w:bCs w:val="0"/>
                <w:color w:val="auto"/>
                <w:highlight w:val="none"/>
                <w:lang w:val="en-US" w:eastAsia="zh-CN"/>
              </w:rPr>
            </w:pPr>
          </w:p>
        </w:tc>
        <w:tc>
          <w:tcPr>
            <w:tcW w:w="1943" w:type="pct"/>
            <w:gridSpan w:val="5"/>
            <w:noWrap w:val="0"/>
            <w:vAlign w:val="top"/>
          </w:tcPr>
          <w:p w14:paraId="488DF37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丰水期□；平水期□；枯水期□；冰封期□；春季□；夏季□；秋季□；冬季□</w:t>
            </w:r>
          </w:p>
        </w:tc>
        <w:tc>
          <w:tcPr>
            <w:tcW w:w="1952" w:type="pct"/>
            <w:gridSpan w:val="5"/>
            <w:noWrap w:val="0"/>
            <w:vAlign w:val="center"/>
          </w:tcPr>
          <w:p w14:paraId="03EA2C6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水行政主管部门□；补充监测□；其他□</w:t>
            </w:r>
          </w:p>
        </w:tc>
      </w:tr>
      <w:tr w14:paraId="28CB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3D79D966">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786681E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补充监测</w:t>
            </w:r>
          </w:p>
        </w:tc>
        <w:tc>
          <w:tcPr>
            <w:tcW w:w="1943" w:type="pct"/>
            <w:gridSpan w:val="5"/>
            <w:noWrap w:val="0"/>
            <w:vAlign w:val="center"/>
          </w:tcPr>
          <w:p w14:paraId="2B62CB3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监测时期</w:t>
            </w:r>
          </w:p>
        </w:tc>
        <w:tc>
          <w:tcPr>
            <w:tcW w:w="973" w:type="pct"/>
            <w:gridSpan w:val="3"/>
            <w:noWrap w:val="0"/>
            <w:vAlign w:val="center"/>
          </w:tcPr>
          <w:p w14:paraId="7728DFE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监测因子</w:t>
            </w:r>
          </w:p>
        </w:tc>
        <w:tc>
          <w:tcPr>
            <w:tcW w:w="979" w:type="pct"/>
            <w:gridSpan w:val="2"/>
            <w:noWrap w:val="0"/>
            <w:vAlign w:val="center"/>
          </w:tcPr>
          <w:p w14:paraId="0EB8073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监测断面或点位</w:t>
            </w:r>
          </w:p>
        </w:tc>
      </w:tr>
      <w:tr w14:paraId="7A9B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4BD0B70E">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48686E42">
            <w:pPr>
              <w:pStyle w:val="24"/>
              <w:bidi w:val="0"/>
              <w:rPr>
                <w:rFonts w:hint="eastAsia" w:ascii="Times New Roman" w:hAnsi="Times New Roman" w:eastAsia="宋体" w:cs="Courier New"/>
                <w:b w:val="0"/>
                <w:bCs w:val="0"/>
                <w:color w:val="auto"/>
                <w:highlight w:val="none"/>
                <w:lang w:val="en-US" w:eastAsia="zh-CN"/>
              </w:rPr>
            </w:pPr>
          </w:p>
        </w:tc>
        <w:tc>
          <w:tcPr>
            <w:tcW w:w="1943" w:type="pct"/>
            <w:gridSpan w:val="5"/>
            <w:noWrap w:val="0"/>
            <w:vAlign w:val="center"/>
          </w:tcPr>
          <w:p w14:paraId="0E79AF6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丰水期□；平水期□；枯水期□；冰封期□；春季</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；夏季</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；秋季□；冬季□</w:t>
            </w:r>
          </w:p>
        </w:tc>
        <w:tc>
          <w:tcPr>
            <w:tcW w:w="973" w:type="pct"/>
            <w:gridSpan w:val="3"/>
            <w:noWrap w:val="0"/>
            <w:vAlign w:val="center"/>
          </w:tcPr>
          <w:p w14:paraId="26E7F7B3">
            <w:pPr>
              <w:pStyle w:val="24"/>
              <w:bidi w:val="0"/>
              <w:rPr>
                <w:rFonts w:hint="eastAsia" w:ascii="Times New Roman" w:hAnsi="Times New Roman" w:eastAsia="宋体" w:cs="Courier New"/>
                <w:b w:val="0"/>
                <w:bCs w:val="0"/>
                <w:color w:val="auto"/>
                <w:highlight w:val="none"/>
                <w:lang w:val="en-US" w:eastAsia="zh-CN"/>
              </w:rPr>
            </w:pPr>
          </w:p>
        </w:tc>
        <w:tc>
          <w:tcPr>
            <w:tcW w:w="979" w:type="pct"/>
            <w:gridSpan w:val="2"/>
            <w:noWrap w:val="0"/>
            <w:vAlign w:val="center"/>
          </w:tcPr>
          <w:p w14:paraId="1D335D2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监测断面或点位个数（）个</w:t>
            </w:r>
          </w:p>
        </w:tc>
      </w:tr>
      <w:tr w14:paraId="0E23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restart"/>
            <w:noWrap w:val="0"/>
            <w:vAlign w:val="center"/>
          </w:tcPr>
          <w:p w14:paraId="29A8DF4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现状评价</w:t>
            </w:r>
          </w:p>
        </w:tc>
        <w:tc>
          <w:tcPr>
            <w:tcW w:w="861" w:type="pct"/>
            <w:noWrap w:val="0"/>
            <w:vAlign w:val="center"/>
          </w:tcPr>
          <w:p w14:paraId="5402623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评价范围</w:t>
            </w:r>
          </w:p>
        </w:tc>
        <w:tc>
          <w:tcPr>
            <w:tcW w:w="3896" w:type="pct"/>
            <w:gridSpan w:val="10"/>
            <w:noWrap w:val="0"/>
            <w:vAlign w:val="center"/>
          </w:tcPr>
          <w:p w14:paraId="46C194D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河流：长度（3）km；湖库、河口及近岸海域：面积（/）km</w:t>
            </w:r>
            <w:r>
              <w:rPr>
                <w:rFonts w:hint="eastAsia" w:ascii="Times New Roman" w:hAnsi="Times New Roman" w:eastAsia="宋体" w:cs="Courier New"/>
                <w:b w:val="0"/>
                <w:bCs w:val="0"/>
                <w:color w:val="auto"/>
                <w:highlight w:val="none"/>
                <w:vertAlign w:val="superscript"/>
                <w:lang w:val="en-US" w:eastAsia="zh-CN"/>
              </w:rPr>
              <w:t>2</w:t>
            </w:r>
          </w:p>
        </w:tc>
      </w:tr>
      <w:tr w14:paraId="3817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31DF890D">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081C05D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评价因子</w:t>
            </w:r>
          </w:p>
        </w:tc>
        <w:tc>
          <w:tcPr>
            <w:tcW w:w="3896" w:type="pct"/>
            <w:gridSpan w:val="10"/>
            <w:noWrap w:val="0"/>
            <w:vAlign w:val="center"/>
          </w:tcPr>
          <w:p w14:paraId="248F57F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pH、溶解氧、高锰酸盐指数、化学需氧量、五日生化需氧量、氨氮、总磷、铜、锌、氟化物、硒、砷、汞、镉、铬（六价）、铅、氰化物、挥发酚、石油类、阴离子表面活性剂、硫化物</w:t>
            </w:r>
          </w:p>
        </w:tc>
      </w:tr>
      <w:tr w14:paraId="2AB5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04E25D64">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1991D05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评价标准</w:t>
            </w:r>
          </w:p>
        </w:tc>
        <w:tc>
          <w:tcPr>
            <w:tcW w:w="3896" w:type="pct"/>
            <w:gridSpan w:val="10"/>
            <w:noWrap w:val="0"/>
            <w:vAlign w:val="center"/>
          </w:tcPr>
          <w:p w14:paraId="4E61318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河流、湖库、河口：I类□；</w:t>
            </w:r>
            <w:r>
              <w:rPr>
                <w:rFonts w:hint="default" w:ascii="Times New Roman" w:hAnsi="Times New Roman" w:eastAsia="宋体" w:cs="Times New Roman"/>
                <w:b w:val="0"/>
                <w:bCs w:val="0"/>
                <w:color w:val="auto"/>
                <w:highlight w:val="none"/>
                <w:lang w:val="en-US" w:eastAsia="zh-CN"/>
              </w:rPr>
              <w:t>Ⅱ类</w:t>
            </w:r>
            <w:r>
              <w:rPr>
                <w:rFonts w:hint="eastAsia" w:ascii="Times New Roman" w:hAnsi="Times New Roman" w:eastAsia="宋体" w:cs="Courier New"/>
                <w:b w:val="0"/>
                <w:bCs w:val="0"/>
                <w:color w:val="auto"/>
                <w:highlight w:val="none"/>
                <w:lang w:val="en-US" w:eastAsia="zh-CN"/>
              </w:rPr>
              <w:t>□；III类</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Ⅳ</w:t>
            </w:r>
            <w:r>
              <w:rPr>
                <w:rFonts w:hint="eastAsia" w:ascii="Times New Roman" w:hAnsi="Times New Roman" w:eastAsia="宋体" w:cs="Courier New"/>
                <w:b w:val="0"/>
                <w:bCs w:val="0"/>
                <w:color w:val="auto"/>
                <w:highlight w:val="none"/>
                <w:lang w:val="en-US" w:eastAsia="zh-CN"/>
              </w:rPr>
              <w:t>类</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；V类□</w:t>
            </w:r>
          </w:p>
          <w:p w14:paraId="0509028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近岸海域：第一类□；第二类□；第三类□；第四类□</w:t>
            </w:r>
          </w:p>
          <w:p w14:paraId="645BDF5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规划年评价标准（ ）</w:t>
            </w:r>
          </w:p>
        </w:tc>
      </w:tr>
      <w:tr w14:paraId="6C10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43CBA4EC">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58184F0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评价时期</w:t>
            </w:r>
          </w:p>
        </w:tc>
        <w:tc>
          <w:tcPr>
            <w:tcW w:w="3896" w:type="pct"/>
            <w:gridSpan w:val="10"/>
            <w:noWrap w:val="0"/>
            <w:vAlign w:val="center"/>
          </w:tcPr>
          <w:p w14:paraId="77887C5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丰水期□；平水期□；枯水期□；冰封期□；春季</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；夏季</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；秋季</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；冬季</w:t>
            </w:r>
            <w:r>
              <w:rPr>
                <w:rFonts w:hint="eastAsia" w:ascii="Times New Roman" w:hAnsi="Times New Roman" w:eastAsia="宋体" w:cs="Courier New"/>
                <w:b w:val="0"/>
                <w:bCs w:val="0"/>
                <w:color w:val="auto"/>
                <w:highlight w:val="none"/>
                <w:lang w:val="en-US" w:eastAsia="zh-CN"/>
              </w:rPr>
              <w:sym w:font="Wingdings 2" w:char="F052"/>
            </w:r>
          </w:p>
        </w:tc>
      </w:tr>
      <w:tr w14:paraId="1B60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51540E84">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1A0C720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评价结论</w:t>
            </w:r>
          </w:p>
        </w:tc>
        <w:tc>
          <w:tcPr>
            <w:tcW w:w="3896" w:type="pct"/>
            <w:gridSpan w:val="10"/>
            <w:noWrap w:val="0"/>
            <w:vAlign w:val="center"/>
          </w:tcPr>
          <w:p w14:paraId="2E678BED">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水环境功能区或水功能区、近岸海域环境功能区水质达标状况</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：达标</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；不达标</w:t>
            </w:r>
            <w:r>
              <w:rPr>
                <w:rFonts w:hint="eastAsia" w:ascii="Times New Roman" w:hAnsi="Times New Roman" w:eastAsia="宋体" w:cs="Courier New"/>
                <w:b w:val="0"/>
                <w:bCs w:val="0"/>
                <w:color w:val="auto"/>
                <w:highlight w:val="none"/>
                <w:lang w:val="en-US" w:eastAsia="zh-CN"/>
              </w:rPr>
              <w:sym w:font="Wingdings 2" w:char="00A3"/>
            </w:r>
          </w:p>
          <w:p w14:paraId="5C72B953">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水环境控制单元或断面水质达标状况</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：达标</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；不达标□</w:t>
            </w:r>
          </w:p>
          <w:p w14:paraId="22C7019C">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水环境保护目标质量状况</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：达标</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；不达标</w:t>
            </w:r>
            <w:r>
              <w:rPr>
                <w:rFonts w:hint="eastAsia" w:ascii="Times New Roman" w:hAnsi="Times New Roman" w:eastAsia="宋体" w:cs="Courier New"/>
                <w:b w:val="0"/>
                <w:bCs w:val="0"/>
                <w:color w:val="auto"/>
                <w:highlight w:val="none"/>
                <w:lang w:val="en-US" w:eastAsia="zh-CN"/>
              </w:rPr>
              <w:sym w:font="Wingdings 2" w:char="00A3"/>
            </w:r>
          </w:p>
          <w:p w14:paraId="0D1D5B15">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对照断面、控制断面等代表性断面的水质状况</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：达标</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；不达标□</w:t>
            </w:r>
          </w:p>
          <w:p w14:paraId="51B662E2">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底泥污染评价□</w:t>
            </w:r>
          </w:p>
          <w:p w14:paraId="0CBE4062">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水资源与开发利用程度及其水文情势评价□</w:t>
            </w:r>
          </w:p>
          <w:p w14:paraId="7A25803B">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水环境质量回顾评价□</w:t>
            </w:r>
          </w:p>
          <w:p w14:paraId="31FD62AA">
            <w:pPr>
              <w:pStyle w:val="24"/>
              <w:bidi w:val="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流域（区域）水资源（包括水能资源）与开发利用总体状况、生态流量管理要求与现状满足程度、建设项目占用水域空间的水流状况与河湖演变状况□</w:t>
            </w:r>
          </w:p>
        </w:tc>
      </w:tr>
      <w:tr w14:paraId="456B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restart"/>
            <w:noWrap w:val="0"/>
            <w:vAlign w:val="center"/>
          </w:tcPr>
          <w:p w14:paraId="1A11E0E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影响预测</w:t>
            </w:r>
          </w:p>
        </w:tc>
        <w:tc>
          <w:tcPr>
            <w:tcW w:w="861" w:type="pct"/>
            <w:noWrap w:val="0"/>
            <w:vAlign w:val="center"/>
          </w:tcPr>
          <w:p w14:paraId="2193864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预测范围</w:t>
            </w:r>
          </w:p>
        </w:tc>
        <w:tc>
          <w:tcPr>
            <w:tcW w:w="3896" w:type="pct"/>
            <w:gridSpan w:val="10"/>
            <w:noWrap w:val="0"/>
            <w:vAlign w:val="center"/>
          </w:tcPr>
          <w:p w14:paraId="7314428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河流：长度（/）km；湖库、河口及近岸海域：面积（/）km</w:t>
            </w:r>
            <w:r>
              <w:rPr>
                <w:rFonts w:hint="eastAsia" w:ascii="Times New Roman" w:hAnsi="Times New Roman" w:eastAsia="宋体" w:cs="Courier New"/>
                <w:b w:val="0"/>
                <w:bCs w:val="0"/>
                <w:color w:val="auto"/>
                <w:highlight w:val="none"/>
                <w:vertAlign w:val="superscript"/>
                <w:lang w:val="en-US" w:eastAsia="zh-CN"/>
              </w:rPr>
              <w:t>2</w:t>
            </w:r>
          </w:p>
        </w:tc>
      </w:tr>
      <w:tr w14:paraId="518F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0D0B0F85">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2510142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预测因子</w:t>
            </w:r>
          </w:p>
        </w:tc>
        <w:tc>
          <w:tcPr>
            <w:tcW w:w="3896" w:type="pct"/>
            <w:gridSpan w:val="10"/>
            <w:noWrap w:val="0"/>
            <w:vAlign w:val="center"/>
          </w:tcPr>
          <w:p w14:paraId="0F6753C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0C77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5B3AA670">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5EB9742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预测时期</w:t>
            </w:r>
          </w:p>
        </w:tc>
        <w:tc>
          <w:tcPr>
            <w:tcW w:w="3896" w:type="pct"/>
            <w:gridSpan w:val="10"/>
            <w:noWrap w:val="0"/>
            <w:vAlign w:val="center"/>
          </w:tcPr>
          <w:p w14:paraId="5DD02B6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丰水期□；平水期□；枯水期□；冰封期□；春季</w:t>
            </w:r>
            <w:r>
              <w:rPr>
                <w:rFonts w:hint="eastAsia" w:ascii="Times New Roman" w:hAnsi="Times New Roman" w:eastAsia="宋体" w:cs="Courier New"/>
                <w:b w:val="0"/>
                <w:bCs w:val="0"/>
                <w:color w:val="auto"/>
                <w:highlight w:val="none"/>
                <w:lang w:val="en-US" w:eastAsia="zh-CN"/>
              </w:rPr>
              <w:sym w:font="Wingdings 2" w:char="00A3"/>
            </w:r>
            <w:r>
              <w:rPr>
                <w:rFonts w:hint="eastAsia" w:ascii="Times New Roman" w:hAnsi="Times New Roman" w:eastAsia="宋体" w:cs="Courier New"/>
                <w:b w:val="0"/>
                <w:bCs w:val="0"/>
                <w:color w:val="auto"/>
                <w:highlight w:val="none"/>
                <w:lang w:val="en-US" w:eastAsia="zh-CN"/>
              </w:rPr>
              <w:t>；夏季□；秋季□；冬季□；设计水文条件□</w:t>
            </w:r>
          </w:p>
        </w:tc>
      </w:tr>
      <w:tr w14:paraId="468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13953586">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018C4D3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预测情景</w:t>
            </w:r>
          </w:p>
        </w:tc>
        <w:tc>
          <w:tcPr>
            <w:tcW w:w="3896" w:type="pct"/>
            <w:gridSpan w:val="10"/>
            <w:noWrap w:val="0"/>
            <w:vAlign w:val="center"/>
          </w:tcPr>
          <w:p w14:paraId="5610D22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建设期□；生产运行期□；服务期满后□</w:t>
            </w:r>
          </w:p>
          <w:p w14:paraId="7E05D5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正常工况□；非正常工况□</w:t>
            </w:r>
          </w:p>
          <w:p w14:paraId="74D9959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污染控制和减缓措施方案□</w:t>
            </w:r>
          </w:p>
          <w:p w14:paraId="342FCFD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区（流）域环境质量改善目标要求情景□</w:t>
            </w:r>
          </w:p>
        </w:tc>
      </w:tr>
      <w:tr w14:paraId="25E3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241" w:type="pct"/>
            <w:vMerge w:val="continue"/>
            <w:noWrap w:val="0"/>
            <w:vAlign w:val="center"/>
          </w:tcPr>
          <w:p w14:paraId="2924FDFB">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6BA2D46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预测方法</w:t>
            </w:r>
          </w:p>
        </w:tc>
        <w:tc>
          <w:tcPr>
            <w:tcW w:w="3896" w:type="pct"/>
            <w:gridSpan w:val="10"/>
            <w:noWrap w:val="0"/>
            <w:vAlign w:val="center"/>
          </w:tcPr>
          <w:p w14:paraId="5209C59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数值解□：解析解□；其他□</w:t>
            </w:r>
          </w:p>
          <w:p w14:paraId="67EDAB5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导则推荐模式□：其他□</w:t>
            </w:r>
          </w:p>
        </w:tc>
      </w:tr>
      <w:tr w14:paraId="07C2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restart"/>
            <w:noWrap w:val="0"/>
            <w:vAlign w:val="center"/>
          </w:tcPr>
          <w:p w14:paraId="694FC37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影响评价</w:t>
            </w:r>
          </w:p>
        </w:tc>
        <w:tc>
          <w:tcPr>
            <w:tcW w:w="861" w:type="pct"/>
            <w:noWrap w:val="0"/>
            <w:vAlign w:val="center"/>
          </w:tcPr>
          <w:p w14:paraId="2235744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水污染控制和水环境影响减缓措施有效性评价</w:t>
            </w:r>
          </w:p>
        </w:tc>
        <w:tc>
          <w:tcPr>
            <w:tcW w:w="3896" w:type="pct"/>
            <w:gridSpan w:val="10"/>
            <w:noWrap w:val="0"/>
            <w:vAlign w:val="center"/>
          </w:tcPr>
          <w:p w14:paraId="0583716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区（流）域水环境质量改善目标□；替代削减源□</w:t>
            </w:r>
          </w:p>
        </w:tc>
      </w:tr>
      <w:tr w14:paraId="07F7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4163930B">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366F040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水环境影响评价</w:t>
            </w:r>
          </w:p>
        </w:tc>
        <w:tc>
          <w:tcPr>
            <w:tcW w:w="3896" w:type="pct"/>
            <w:gridSpan w:val="10"/>
            <w:noWrap w:val="0"/>
            <w:vAlign w:val="center"/>
          </w:tcPr>
          <w:p w14:paraId="3241657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排放口混合区外满足水环境管理要求□</w:t>
            </w:r>
          </w:p>
          <w:p w14:paraId="3257C4F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水环境功能区或水功能区、近岸海域环境功能区水质达标□</w:t>
            </w:r>
          </w:p>
          <w:p w14:paraId="56D3B01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满足水环境保护目标水域水环境质量要求□</w:t>
            </w:r>
          </w:p>
          <w:p w14:paraId="1AD44A9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水环境控制单元或断面水质达标□</w:t>
            </w:r>
          </w:p>
          <w:p w14:paraId="58DA04E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满足重点水污染物排放总量控制指标要求，重点行业建设项目， 主要污染物排放满足等量或减量替代要求□</w:t>
            </w:r>
          </w:p>
          <w:p w14:paraId="00B157B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满足区（流）域水环境质量改善目标要求□</w:t>
            </w:r>
          </w:p>
          <w:p w14:paraId="7F37CEB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水文要素影响型建设项目同时应包括水文情势变化评价、主要水文特征值影响评价、生态流量符合性评价□</w:t>
            </w:r>
          </w:p>
          <w:p w14:paraId="3B346EB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对于新设或调整入河（湖库、近岸海域）排放口的建设项目，应包括排放口设置的环境合理性评价□</w:t>
            </w:r>
          </w:p>
          <w:p w14:paraId="5F03194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满足生态保护红线、水环境质量底线、资源利用上线和环境准入清单管理要求□</w:t>
            </w:r>
          </w:p>
        </w:tc>
      </w:tr>
      <w:tr w14:paraId="64E0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0FDC6B18">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3642336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污染源排放量核算</w:t>
            </w:r>
          </w:p>
        </w:tc>
        <w:tc>
          <w:tcPr>
            <w:tcW w:w="1294" w:type="pct"/>
            <w:gridSpan w:val="3"/>
            <w:noWrap w:val="0"/>
            <w:vAlign w:val="center"/>
          </w:tcPr>
          <w:p w14:paraId="43ABF44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污染物名称</w:t>
            </w:r>
          </w:p>
        </w:tc>
        <w:tc>
          <w:tcPr>
            <w:tcW w:w="1298" w:type="pct"/>
            <w:gridSpan w:val="4"/>
            <w:noWrap w:val="0"/>
            <w:vAlign w:val="center"/>
          </w:tcPr>
          <w:p w14:paraId="2C98A88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排放量（t/a)</w:t>
            </w:r>
          </w:p>
        </w:tc>
        <w:tc>
          <w:tcPr>
            <w:tcW w:w="1303" w:type="pct"/>
            <w:gridSpan w:val="3"/>
            <w:noWrap w:val="0"/>
            <w:vAlign w:val="center"/>
          </w:tcPr>
          <w:p w14:paraId="75E813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排放浓度（mg/L)</w:t>
            </w:r>
          </w:p>
        </w:tc>
      </w:tr>
      <w:tr w14:paraId="3172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03CEAAE8">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31C7E8CC">
            <w:pPr>
              <w:pStyle w:val="24"/>
              <w:bidi w:val="0"/>
              <w:rPr>
                <w:rFonts w:hint="eastAsia" w:ascii="Times New Roman" w:hAnsi="Times New Roman" w:eastAsia="宋体" w:cs="Courier New"/>
                <w:b w:val="0"/>
                <w:bCs w:val="0"/>
                <w:color w:val="auto"/>
                <w:highlight w:val="none"/>
                <w:lang w:val="en-US" w:eastAsia="zh-CN"/>
              </w:rPr>
            </w:pPr>
          </w:p>
        </w:tc>
        <w:tc>
          <w:tcPr>
            <w:tcW w:w="1294" w:type="pct"/>
            <w:gridSpan w:val="3"/>
            <w:noWrap w:val="0"/>
            <w:vAlign w:val="center"/>
          </w:tcPr>
          <w:p w14:paraId="6F7FAEA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bCs/>
                <w:color w:val="auto"/>
                <w:sz w:val="21"/>
                <w:szCs w:val="21"/>
                <w:highlight w:val="none"/>
              </w:rPr>
              <w:t>COD</w:t>
            </w:r>
          </w:p>
        </w:tc>
        <w:tc>
          <w:tcPr>
            <w:tcW w:w="1298" w:type="pct"/>
            <w:gridSpan w:val="4"/>
            <w:noWrap w:val="0"/>
            <w:vAlign w:val="center"/>
          </w:tcPr>
          <w:p w14:paraId="50146C6B">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0.6630</w:t>
            </w:r>
          </w:p>
        </w:tc>
        <w:tc>
          <w:tcPr>
            <w:tcW w:w="2484" w:type="dxa"/>
            <w:gridSpan w:val="3"/>
            <w:noWrap w:val="0"/>
            <w:vAlign w:val="center"/>
          </w:tcPr>
          <w:p w14:paraId="3CC4E06B">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500</w:t>
            </w:r>
          </w:p>
        </w:tc>
      </w:tr>
      <w:tr w14:paraId="49F3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8E99D8D">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6A48E8A8">
            <w:pPr>
              <w:pStyle w:val="24"/>
              <w:bidi w:val="0"/>
              <w:rPr>
                <w:rFonts w:hint="eastAsia" w:ascii="Times New Roman" w:hAnsi="Times New Roman" w:eastAsia="宋体" w:cs="Courier New"/>
                <w:b w:val="0"/>
                <w:bCs w:val="0"/>
                <w:color w:val="auto"/>
                <w:highlight w:val="none"/>
                <w:lang w:val="en-US" w:eastAsia="zh-CN"/>
              </w:rPr>
            </w:pPr>
          </w:p>
        </w:tc>
        <w:tc>
          <w:tcPr>
            <w:tcW w:w="1294" w:type="pct"/>
            <w:gridSpan w:val="3"/>
            <w:shd w:val="clear" w:color="auto" w:fill="auto"/>
            <w:noWrap w:val="0"/>
            <w:vAlign w:val="center"/>
          </w:tcPr>
          <w:p w14:paraId="0DFBD6D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bCs/>
                <w:color w:val="auto"/>
                <w:sz w:val="21"/>
                <w:szCs w:val="21"/>
                <w:highlight w:val="none"/>
              </w:rPr>
              <w:t>NH</w:t>
            </w:r>
            <w:r>
              <w:rPr>
                <w:bCs/>
                <w:color w:val="auto"/>
                <w:sz w:val="21"/>
                <w:szCs w:val="21"/>
                <w:highlight w:val="none"/>
                <w:vertAlign w:val="subscript"/>
              </w:rPr>
              <w:t>3</w:t>
            </w:r>
            <w:r>
              <w:rPr>
                <w:bCs/>
                <w:color w:val="auto"/>
                <w:sz w:val="21"/>
                <w:szCs w:val="21"/>
                <w:highlight w:val="none"/>
              </w:rPr>
              <w:t>-N</w:t>
            </w:r>
          </w:p>
        </w:tc>
        <w:tc>
          <w:tcPr>
            <w:tcW w:w="1298" w:type="pct"/>
            <w:gridSpan w:val="4"/>
            <w:shd w:val="clear" w:color="auto" w:fill="auto"/>
            <w:noWrap w:val="0"/>
            <w:vAlign w:val="center"/>
          </w:tcPr>
          <w:p w14:paraId="46FD1EB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0.0597</w:t>
            </w:r>
          </w:p>
        </w:tc>
        <w:tc>
          <w:tcPr>
            <w:tcW w:w="2484" w:type="dxa"/>
            <w:gridSpan w:val="3"/>
            <w:shd w:val="clear" w:color="auto" w:fill="auto"/>
            <w:noWrap w:val="0"/>
            <w:vAlign w:val="center"/>
          </w:tcPr>
          <w:p w14:paraId="5D03793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45</w:t>
            </w:r>
          </w:p>
        </w:tc>
      </w:tr>
      <w:tr w14:paraId="1107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7C2E2CE8">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2169A72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替代源排放情况</w:t>
            </w:r>
          </w:p>
        </w:tc>
        <w:tc>
          <w:tcPr>
            <w:tcW w:w="776" w:type="pct"/>
            <w:noWrap w:val="0"/>
            <w:vAlign w:val="center"/>
          </w:tcPr>
          <w:p w14:paraId="4863D48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污染源名称</w:t>
            </w:r>
          </w:p>
        </w:tc>
        <w:tc>
          <w:tcPr>
            <w:tcW w:w="857" w:type="pct"/>
            <w:gridSpan w:val="3"/>
            <w:noWrap w:val="0"/>
            <w:vAlign w:val="center"/>
          </w:tcPr>
          <w:p w14:paraId="43E8415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排污许可证编号</w:t>
            </w:r>
          </w:p>
        </w:tc>
        <w:tc>
          <w:tcPr>
            <w:tcW w:w="697" w:type="pct"/>
            <w:gridSpan w:val="2"/>
            <w:noWrap w:val="0"/>
            <w:vAlign w:val="center"/>
          </w:tcPr>
          <w:p w14:paraId="4B91966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污染物名称</w:t>
            </w:r>
          </w:p>
        </w:tc>
        <w:tc>
          <w:tcPr>
            <w:tcW w:w="709" w:type="pct"/>
            <w:gridSpan w:val="3"/>
            <w:noWrap w:val="0"/>
            <w:vAlign w:val="center"/>
          </w:tcPr>
          <w:p w14:paraId="5C7D1D1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排放量（t/a)</w:t>
            </w:r>
          </w:p>
        </w:tc>
        <w:tc>
          <w:tcPr>
            <w:tcW w:w="855" w:type="pct"/>
            <w:noWrap w:val="0"/>
            <w:vAlign w:val="center"/>
          </w:tcPr>
          <w:p w14:paraId="06BE32C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排放浓度（mg/m</w:t>
            </w:r>
            <w:r>
              <w:rPr>
                <w:rFonts w:hint="eastAsia" w:ascii="Times New Roman" w:hAnsi="Times New Roman" w:eastAsia="宋体" w:cs="Courier New"/>
                <w:b w:val="0"/>
                <w:bCs w:val="0"/>
                <w:color w:val="auto"/>
                <w:highlight w:val="none"/>
                <w:vertAlign w:val="superscript"/>
                <w:lang w:val="en-US" w:eastAsia="zh-CN"/>
              </w:rPr>
              <w:t>3</w:t>
            </w:r>
            <w:r>
              <w:rPr>
                <w:rFonts w:hint="eastAsia" w:ascii="Times New Roman" w:hAnsi="Times New Roman" w:eastAsia="宋体" w:cs="Courier New"/>
                <w:b w:val="0"/>
                <w:bCs w:val="0"/>
                <w:color w:val="auto"/>
                <w:highlight w:val="none"/>
                <w:lang w:val="en-US" w:eastAsia="zh-CN"/>
              </w:rPr>
              <w:t>)</w:t>
            </w:r>
          </w:p>
        </w:tc>
      </w:tr>
      <w:tr w14:paraId="63A9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357B59B">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1839A6F5">
            <w:pPr>
              <w:pStyle w:val="24"/>
              <w:bidi w:val="0"/>
              <w:rPr>
                <w:rFonts w:hint="eastAsia" w:ascii="Times New Roman" w:hAnsi="Times New Roman" w:eastAsia="宋体" w:cs="Courier New"/>
                <w:b w:val="0"/>
                <w:bCs w:val="0"/>
                <w:color w:val="auto"/>
                <w:highlight w:val="none"/>
                <w:lang w:val="en-US" w:eastAsia="zh-CN"/>
              </w:rPr>
            </w:pPr>
          </w:p>
        </w:tc>
        <w:tc>
          <w:tcPr>
            <w:tcW w:w="776" w:type="pct"/>
            <w:noWrap w:val="0"/>
            <w:vAlign w:val="center"/>
          </w:tcPr>
          <w:p w14:paraId="19BC8F7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 / ）</w:t>
            </w:r>
          </w:p>
        </w:tc>
        <w:tc>
          <w:tcPr>
            <w:tcW w:w="857" w:type="pct"/>
            <w:gridSpan w:val="3"/>
            <w:noWrap w:val="0"/>
            <w:vAlign w:val="center"/>
          </w:tcPr>
          <w:p w14:paraId="7B3D915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 / ）</w:t>
            </w:r>
          </w:p>
        </w:tc>
        <w:tc>
          <w:tcPr>
            <w:tcW w:w="697" w:type="pct"/>
            <w:gridSpan w:val="2"/>
            <w:noWrap w:val="0"/>
            <w:vAlign w:val="center"/>
          </w:tcPr>
          <w:p w14:paraId="05094EF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 / ）</w:t>
            </w:r>
          </w:p>
        </w:tc>
        <w:tc>
          <w:tcPr>
            <w:tcW w:w="709" w:type="pct"/>
            <w:gridSpan w:val="3"/>
            <w:noWrap w:val="0"/>
            <w:vAlign w:val="center"/>
          </w:tcPr>
          <w:p w14:paraId="0EE18EC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 /</w:t>
            </w:r>
            <w:r>
              <w:rPr>
                <w:rFonts w:hint="eastAsia" w:ascii="Times New Roman" w:hAnsi="Times New Roman" w:cs="Courier New"/>
                <w:b w:val="0"/>
                <w:bCs w:val="0"/>
                <w:color w:val="auto"/>
                <w:highlight w:val="none"/>
                <w:lang w:val="en-US" w:eastAsia="zh-CN"/>
              </w:rPr>
              <w:t xml:space="preserve"> </w:t>
            </w:r>
            <w:r>
              <w:rPr>
                <w:rFonts w:hint="eastAsia" w:ascii="Times New Roman" w:hAnsi="Times New Roman" w:eastAsia="宋体" w:cs="Courier New"/>
                <w:b w:val="0"/>
                <w:bCs w:val="0"/>
                <w:color w:val="auto"/>
                <w:highlight w:val="none"/>
                <w:lang w:val="en-US" w:eastAsia="zh-CN"/>
              </w:rPr>
              <w:t>）</w:t>
            </w:r>
          </w:p>
        </w:tc>
        <w:tc>
          <w:tcPr>
            <w:tcW w:w="855" w:type="pct"/>
            <w:noWrap w:val="0"/>
            <w:vAlign w:val="center"/>
          </w:tcPr>
          <w:p w14:paraId="5854C4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r>
              <w:rPr>
                <w:rFonts w:hint="eastAsia" w:ascii="Times New Roman" w:hAnsi="Times New Roman" w:cs="Courier New"/>
                <w:b w:val="0"/>
                <w:bCs w:val="0"/>
                <w:color w:val="auto"/>
                <w:highlight w:val="none"/>
                <w:lang w:val="en-US" w:eastAsia="zh-CN"/>
              </w:rPr>
              <w:t xml:space="preserve"> </w:t>
            </w:r>
            <w:r>
              <w:rPr>
                <w:rFonts w:hint="eastAsia" w:ascii="Times New Roman" w:hAnsi="Times New Roman" w:eastAsia="宋体" w:cs="Courier New"/>
                <w:b w:val="0"/>
                <w:bCs w:val="0"/>
                <w:color w:val="auto"/>
                <w:highlight w:val="none"/>
                <w:lang w:val="en-US" w:eastAsia="zh-CN"/>
              </w:rPr>
              <w:t>/</w:t>
            </w:r>
            <w:r>
              <w:rPr>
                <w:rFonts w:hint="eastAsia" w:ascii="Times New Roman" w:hAnsi="Times New Roman" w:cs="Courier New"/>
                <w:b w:val="0"/>
                <w:bCs w:val="0"/>
                <w:color w:val="auto"/>
                <w:highlight w:val="none"/>
                <w:lang w:val="en-US" w:eastAsia="zh-CN"/>
              </w:rPr>
              <w:t xml:space="preserve"> </w:t>
            </w:r>
            <w:r>
              <w:rPr>
                <w:rFonts w:hint="eastAsia" w:ascii="Times New Roman" w:hAnsi="Times New Roman" w:eastAsia="宋体" w:cs="Courier New"/>
                <w:b w:val="0"/>
                <w:bCs w:val="0"/>
                <w:color w:val="auto"/>
                <w:highlight w:val="none"/>
                <w:lang w:val="en-US" w:eastAsia="zh-CN"/>
              </w:rPr>
              <w:t>）</w:t>
            </w:r>
          </w:p>
        </w:tc>
      </w:tr>
      <w:tr w14:paraId="7B06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52562FCB">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68EDF4E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生态流量确定</w:t>
            </w:r>
          </w:p>
        </w:tc>
        <w:tc>
          <w:tcPr>
            <w:tcW w:w="3896" w:type="pct"/>
            <w:gridSpan w:val="10"/>
            <w:noWrap w:val="0"/>
            <w:vAlign w:val="center"/>
          </w:tcPr>
          <w:p w14:paraId="305EF25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生态流量：一般水期（/ ）m</w:t>
            </w:r>
            <w:r>
              <w:rPr>
                <w:rFonts w:hint="eastAsia" w:ascii="Times New Roman" w:hAnsi="Times New Roman" w:eastAsia="宋体" w:cs="Courier New"/>
                <w:b w:val="0"/>
                <w:bCs w:val="0"/>
                <w:color w:val="auto"/>
                <w:highlight w:val="none"/>
                <w:vertAlign w:val="superscript"/>
                <w:lang w:val="en-US" w:eastAsia="zh-CN"/>
              </w:rPr>
              <w:t>3</w:t>
            </w:r>
            <w:r>
              <w:rPr>
                <w:rFonts w:hint="eastAsia" w:ascii="Times New Roman" w:hAnsi="Times New Roman" w:eastAsia="宋体" w:cs="Courier New"/>
                <w:b w:val="0"/>
                <w:bCs w:val="0"/>
                <w:color w:val="auto"/>
                <w:highlight w:val="none"/>
                <w:lang w:val="en-US" w:eastAsia="zh-CN"/>
              </w:rPr>
              <w:t>/s；鱼类繁殖期（ ）m</w:t>
            </w:r>
            <w:r>
              <w:rPr>
                <w:rFonts w:hint="eastAsia" w:ascii="Times New Roman" w:hAnsi="Times New Roman" w:eastAsia="宋体" w:cs="Courier New"/>
                <w:b w:val="0"/>
                <w:bCs w:val="0"/>
                <w:color w:val="auto"/>
                <w:highlight w:val="none"/>
                <w:vertAlign w:val="superscript"/>
                <w:lang w:val="en-US" w:eastAsia="zh-CN"/>
              </w:rPr>
              <w:t>3</w:t>
            </w:r>
            <w:r>
              <w:rPr>
                <w:rFonts w:hint="eastAsia" w:ascii="Times New Roman" w:hAnsi="Times New Roman" w:eastAsia="宋体" w:cs="Courier New"/>
                <w:b w:val="0"/>
                <w:bCs w:val="0"/>
                <w:color w:val="auto"/>
                <w:highlight w:val="none"/>
                <w:lang w:val="en-US" w:eastAsia="zh-CN"/>
              </w:rPr>
              <w:t>/s；其他（ ）m</w:t>
            </w:r>
            <w:r>
              <w:rPr>
                <w:rFonts w:hint="eastAsia" w:ascii="Times New Roman" w:hAnsi="Times New Roman" w:eastAsia="宋体" w:cs="Courier New"/>
                <w:b w:val="0"/>
                <w:bCs w:val="0"/>
                <w:color w:val="auto"/>
                <w:highlight w:val="none"/>
                <w:vertAlign w:val="superscript"/>
                <w:lang w:val="en-US" w:eastAsia="zh-CN"/>
              </w:rPr>
              <w:t>3</w:t>
            </w:r>
            <w:r>
              <w:rPr>
                <w:rFonts w:hint="eastAsia" w:ascii="Times New Roman" w:hAnsi="Times New Roman" w:eastAsia="宋体" w:cs="Courier New"/>
                <w:b w:val="0"/>
                <w:bCs w:val="0"/>
                <w:color w:val="auto"/>
                <w:highlight w:val="none"/>
                <w:lang w:val="en-US" w:eastAsia="zh-CN"/>
              </w:rPr>
              <w:t>/s</w:t>
            </w:r>
          </w:p>
          <w:p w14:paraId="49CC8AC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生态水位：一般水期（ /）m；鱼类繁殖期（ ）m；其他（ ）m</w:t>
            </w:r>
          </w:p>
        </w:tc>
      </w:tr>
      <w:tr w14:paraId="4DA0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restart"/>
            <w:noWrap w:val="0"/>
            <w:vAlign w:val="center"/>
          </w:tcPr>
          <w:p w14:paraId="23721C4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防治措施</w:t>
            </w:r>
          </w:p>
        </w:tc>
        <w:tc>
          <w:tcPr>
            <w:tcW w:w="861" w:type="pct"/>
            <w:noWrap w:val="0"/>
            <w:vAlign w:val="center"/>
          </w:tcPr>
          <w:p w14:paraId="0925E06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环保措施</w:t>
            </w:r>
          </w:p>
        </w:tc>
        <w:tc>
          <w:tcPr>
            <w:tcW w:w="3896" w:type="pct"/>
            <w:gridSpan w:val="10"/>
            <w:noWrap w:val="0"/>
            <w:vAlign w:val="center"/>
          </w:tcPr>
          <w:p w14:paraId="2BD89AB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污水处理设施</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；水文减缓设施□；生态流量保障设施□；区域削减□；依托其他工程措施□；其他□</w:t>
            </w:r>
          </w:p>
        </w:tc>
      </w:tr>
      <w:tr w14:paraId="7602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232914B2">
            <w:pPr>
              <w:pStyle w:val="24"/>
              <w:bidi w:val="0"/>
              <w:rPr>
                <w:rFonts w:hint="eastAsia" w:ascii="Times New Roman" w:hAnsi="Times New Roman" w:eastAsia="宋体" w:cs="Courier New"/>
                <w:b w:val="0"/>
                <w:bCs w:val="0"/>
                <w:color w:val="auto"/>
                <w:highlight w:val="none"/>
                <w:lang w:val="en-US" w:eastAsia="zh-CN"/>
              </w:rPr>
            </w:pPr>
          </w:p>
        </w:tc>
        <w:tc>
          <w:tcPr>
            <w:tcW w:w="861" w:type="pct"/>
            <w:vMerge w:val="restart"/>
            <w:noWrap w:val="0"/>
            <w:vAlign w:val="center"/>
          </w:tcPr>
          <w:p w14:paraId="62F9AEE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监测计划</w:t>
            </w:r>
          </w:p>
        </w:tc>
        <w:tc>
          <w:tcPr>
            <w:tcW w:w="1294" w:type="pct"/>
            <w:gridSpan w:val="3"/>
            <w:noWrap w:val="0"/>
            <w:vAlign w:val="center"/>
          </w:tcPr>
          <w:p w14:paraId="2B492F83">
            <w:pPr>
              <w:pStyle w:val="24"/>
              <w:bidi w:val="0"/>
              <w:rPr>
                <w:rFonts w:hint="eastAsia" w:ascii="Times New Roman" w:hAnsi="Times New Roman" w:eastAsia="宋体" w:cs="Courier New"/>
                <w:b w:val="0"/>
                <w:bCs w:val="0"/>
                <w:color w:val="auto"/>
                <w:highlight w:val="none"/>
                <w:lang w:val="en-US" w:eastAsia="zh-CN"/>
              </w:rPr>
            </w:pPr>
          </w:p>
        </w:tc>
        <w:tc>
          <w:tcPr>
            <w:tcW w:w="1298" w:type="pct"/>
            <w:gridSpan w:val="4"/>
            <w:noWrap w:val="0"/>
            <w:vAlign w:val="center"/>
          </w:tcPr>
          <w:p w14:paraId="4B15984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环境质量</w:t>
            </w:r>
          </w:p>
        </w:tc>
        <w:tc>
          <w:tcPr>
            <w:tcW w:w="1303" w:type="pct"/>
            <w:gridSpan w:val="3"/>
            <w:noWrap w:val="0"/>
            <w:vAlign w:val="center"/>
          </w:tcPr>
          <w:p w14:paraId="5944DAD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污染源</w:t>
            </w:r>
          </w:p>
        </w:tc>
      </w:tr>
      <w:tr w14:paraId="6F89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1AC0A75B">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7F747FF5">
            <w:pPr>
              <w:pStyle w:val="24"/>
              <w:bidi w:val="0"/>
              <w:rPr>
                <w:rFonts w:hint="eastAsia" w:ascii="Times New Roman" w:hAnsi="Times New Roman" w:eastAsia="宋体" w:cs="Courier New"/>
                <w:b w:val="0"/>
                <w:bCs w:val="0"/>
                <w:color w:val="auto"/>
                <w:highlight w:val="none"/>
                <w:lang w:val="en-US" w:eastAsia="zh-CN"/>
              </w:rPr>
            </w:pPr>
          </w:p>
        </w:tc>
        <w:tc>
          <w:tcPr>
            <w:tcW w:w="1294" w:type="pct"/>
            <w:gridSpan w:val="3"/>
            <w:noWrap w:val="0"/>
            <w:vAlign w:val="center"/>
          </w:tcPr>
          <w:p w14:paraId="0336C27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监测方式</w:t>
            </w:r>
          </w:p>
        </w:tc>
        <w:tc>
          <w:tcPr>
            <w:tcW w:w="1298" w:type="pct"/>
            <w:gridSpan w:val="4"/>
            <w:noWrap w:val="0"/>
            <w:vAlign w:val="center"/>
          </w:tcPr>
          <w:p w14:paraId="4840471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手动</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；自动□；无监测</w:t>
            </w:r>
            <w:r>
              <w:rPr>
                <w:rFonts w:hint="eastAsia" w:ascii="Times New Roman" w:hAnsi="Times New Roman" w:eastAsia="宋体" w:cs="Courier New"/>
                <w:b w:val="0"/>
                <w:bCs w:val="0"/>
                <w:color w:val="auto"/>
                <w:highlight w:val="none"/>
                <w:lang w:val="en-US" w:eastAsia="zh-CN"/>
              </w:rPr>
              <w:sym w:font="Wingdings 2" w:char="0052"/>
            </w:r>
          </w:p>
        </w:tc>
        <w:tc>
          <w:tcPr>
            <w:tcW w:w="1303" w:type="pct"/>
            <w:gridSpan w:val="3"/>
            <w:noWrap w:val="0"/>
            <w:vAlign w:val="center"/>
          </w:tcPr>
          <w:p w14:paraId="7A0AD31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手动</w:t>
            </w:r>
            <w:r>
              <w:rPr>
                <w:rFonts w:hint="eastAsia" w:ascii="Times New Roman" w:hAnsi="Times New Roman" w:eastAsia="宋体" w:cs="Courier New"/>
                <w:b w:val="0"/>
                <w:bCs w:val="0"/>
                <w:color w:val="auto"/>
                <w:highlight w:val="none"/>
                <w:lang w:val="en-US" w:eastAsia="zh-CN"/>
              </w:rPr>
              <w:sym w:font="Wingdings 2" w:char="0052"/>
            </w:r>
            <w:r>
              <w:rPr>
                <w:rFonts w:hint="eastAsia" w:ascii="Times New Roman" w:hAnsi="Times New Roman" w:eastAsia="宋体" w:cs="Courier New"/>
                <w:b w:val="0"/>
                <w:bCs w:val="0"/>
                <w:color w:val="auto"/>
                <w:highlight w:val="none"/>
                <w:lang w:val="en-US" w:eastAsia="zh-CN"/>
              </w:rPr>
              <w:t>；自动</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；无监测□</w:t>
            </w:r>
          </w:p>
        </w:tc>
      </w:tr>
      <w:tr w14:paraId="55F7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46B42D60">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3938D3ED">
            <w:pPr>
              <w:pStyle w:val="24"/>
              <w:bidi w:val="0"/>
              <w:rPr>
                <w:rFonts w:hint="eastAsia" w:ascii="Times New Roman" w:hAnsi="Times New Roman" w:eastAsia="宋体" w:cs="Courier New"/>
                <w:b w:val="0"/>
                <w:bCs w:val="0"/>
                <w:color w:val="auto"/>
                <w:highlight w:val="none"/>
                <w:lang w:val="en-US" w:eastAsia="zh-CN"/>
              </w:rPr>
            </w:pPr>
          </w:p>
        </w:tc>
        <w:tc>
          <w:tcPr>
            <w:tcW w:w="1294" w:type="pct"/>
            <w:gridSpan w:val="3"/>
            <w:noWrap w:val="0"/>
            <w:vAlign w:val="center"/>
          </w:tcPr>
          <w:p w14:paraId="6672871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监测点位</w:t>
            </w:r>
          </w:p>
        </w:tc>
        <w:tc>
          <w:tcPr>
            <w:tcW w:w="1298" w:type="pct"/>
            <w:gridSpan w:val="4"/>
            <w:noWrap w:val="0"/>
            <w:vAlign w:val="center"/>
          </w:tcPr>
          <w:p w14:paraId="1E1179E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 / ）</w:t>
            </w:r>
          </w:p>
        </w:tc>
        <w:tc>
          <w:tcPr>
            <w:tcW w:w="1303" w:type="pct"/>
            <w:gridSpan w:val="3"/>
            <w:noWrap w:val="0"/>
            <w:vAlign w:val="center"/>
          </w:tcPr>
          <w:p w14:paraId="0E925BB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r>
              <w:rPr>
                <w:rFonts w:hint="eastAsia" w:cs="Courier New"/>
                <w:b w:val="0"/>
                <w:bCs w:val="0"/>
                <w:color w:val="auto"/>
                <w:highlight w:val="none"/>
                <w:lang w:val="en-US" w:eastAsia="zh-CN"/>
              </w:rPr>
              <w:t>厂区废水总排口</w:t>
            </w:r>
            <w:r>
              <w:rPr>
                <w:rFonts w:hint="eastAsia" w:ascii="Times New Roman" w:hAnsi="Times New Roman" w:eastAsia="宋体" w:cs="Courier New"/>
                <w:b w:val="0"/>
                <w:bCs w:val="0"/>
                <w:color w:val="auto"/>
                <w:highlight w:val="none"/>
                <w:lang w:val="en-US" w:eastAsia="zh-CN"/>
              </w:rPr>
              <w:t xml:space="preserve"> ）</w:t>
            </w:r>
          </w:p>
        </w:tc>
      </w:tr>
      <w:tr w14:paraId="62CF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6773802B">
            <w:pPr>
              <w:pStyle w:val="24"/>
              <w:bidi w:val="0"/>
              <w:rPr>
                <w:rFonts w:hint="eastAsia" w:ascii="Times New Roman" w:hAnsi="Times New Roman" w:eastAsia="宋体" w:cs="Courier New"/>
                <w:b w:val="0"/>
                <w:bCs w:val="0"/>
                <w:color w:val="auto"/>
                <w:highlight w:val="none"/>
                <w:lang w:val="en-US" w:eastAsia="zh-CN"/>
              </w:rPr>
            </w:pPr>
          </w:p>
        </w:tc>
        <w:tc>
          <w:tcPr>
            <w:tcW w:w="861" w:type="pct"/>
            <w:vMerge w:val="continue"/>
            <w:noWrap w:val="0"/>
            <w:vAlign w:val="center"/>
          </w:tcPr>
          <w:p w14:paraId="073B8B02">
            <w:pPr>
              <w:pStyle w:val="24"/>
              <w:bidi w:val="0"/>
              <w:rPr>
                <w:rFonts w:hint="eastAsia" w:ascii="Times New Roman" w:hAnsi="Times New Roman" w:eastAsia="宋体" w:cs="Courier New"/>
                <w:b w:val="0"/>
                <w:bCs w:val="0"/>
                <w:color w:val="auto"/>
                <w:highlight w:val="none"/>
                <w:lang w:val="en-US" w:eastAsia="zh-CN"/>
              </w:rPr>
            </w:pPr>
          </w:p>
        </w:tc>
        <w:tc>
          <w:tcPr>
            <w:tcW w:w="1294" w:type="pct"/>
            <w:gridSpan w:val="3"/>
            <w:noWrap w:val="0"/>
            <w:vAlign w:val="center"/>
          </w:tcPr>
          <w:p w14:paraId="2263EF9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监测因子</w:t>
            </w:r>
          </w:p>
        </w:tc>
        <w:tc>
          <w:tcPr>
            <w:tcW w:w="1298" w:type="pct"/>
            <w:gridSpan w:val="4"/>
            <w:noWrap w:val="0"/>
            <w:vAlign w:val="center"/>
          </w:tcPr>
          <w:p w14:paraId="2C2E842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 / ）</w:t>
            </w:r>
          </w:p>
        </w:tc>
        <w:tc>
          <w:tcPr>
            <w:tcW w:w="1303" w:type="pct"/>
            <w:gridSpan w:val="3"/>
            <w:noWrap w:val="0"/>
            <w:vAlign w:val="center"/>
          </w:tcPr>
          <w:p w14:paraId="13199C7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r>
              <w:rPr>
                <w:rFonts w:hint="eastAsia"/>
                <w:color w:val="auto"/>
                <w:highlight w:val="none"/>
                <w:lang w:val="en-US" w:eastAsia="zh-CN"/>
              </w:rPr>
              <w:t>pH、</w:t>
            </w:r>
            <w:r>
              <w:rPr>
                <w:rFonts w:hint="eastAsia" w:ascii="Times New Roman" w:hAnsi="Times New Roman" w:eastAsia="宋体" w:cs="Courier New"/>
                <w:b w:val="0"/>
                <w:bCs w:val="0"/>
                <w:color w:val="auto"/>
                <w:sz w:val="21"/>
                <w:szCs w:val="21"/>
                <w:highlight w:val="none"/>
                <w:lang w:val="en-US" w:eastAsia="zh-CN"/>
              </w:rPr>
              <w:t>COD</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BOD</w:t>
            </w:r>
            <w:r>
              <w:rPr>
                <w:rFonts w:hint="eastAsia" w:ascii="Times New Roman" w:hAnsi="Times New Roman" w:eastAsia="宋体" w:cs="Courier New"/>
                <w:b w:val="0"/>
                <w:bCs w:val="0"/>
                <w:color w:val="auto"/>
                <w:sz w:val="21"/>
                <w:szCs w:val="21"/>
                <w:highlight w:val="none"/>
                <w:vertAlign w:val="subscript"/>
                <w:lang w:val="en-US" w:eastAsia="zh-CN"/>
              </w:rPr>
              <w:t>5</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NH</w:t>
            </w:r>
            <w:r>
              <w:rPr>
                <w:rFonts w:hint="eastAsia" w:ascii="Times New Roman" w:hAnsi="Times New Roman" w:eastAsia="宋体" w:cs="Courier New"/>
                <w:b w:val="0"/>
                <w:bCs w:val="0"/>
                <w:color w:val="auto"/>
                <w:sz w:val="21"/>
                <w:szCs w:val="21"/>
                <w:highlight w:val="none"/>
                <w:vertAlign w:val="subscript"/>
                <w:lang w:val="en-US" w:eastAsia="zh-CN"/>
              </w:rPr>
              <w:t>3</w:t>
            </w:r>
            <w:r>
              <w:rPr>
                <w:rFonts w:hint="eastAsia" w:ascii="Times New Roman" w:hAnsi="Times New Roman" w:eastAsia="宋体" w:cs="Courier New"/>
                <w:b w:val="0"/>
                <w:bCs w:val="0"/>
                <w:color w:val="auto"/>
                <w:sz w:val="21"/>
                <w:szCs w:val="21"/>
                <w:highlight w:val="none"/>
                <w:lang w:val="en-US" w:eastAsia="zh-CN"/>
              </w:rPr>
              <w:t>-N、TP、SS</w:t>
            </w:r>
            <w:r>
              <w:rPr>
                <w:rFonts w:hint="eastAsia" w:ascii="Times New Roman" w:hAnsi="Times New Roman" w:eastAsia="宋体" w:cs="Courier New"/>
                <w:b w:val="0"/>
                <w:bCs w:val="0"/>
                <w:color w:val="auto"/>
                <w:highlight w:val="none"/>
                <w:lang w:val="en-US" w:eastAsia="zh-CN"/>
              </w:rPr>
              <w:t>）</w:t>
            </w:r>
          </w:p>
        </w:tc>
      </w:tr>
      <w:tr w14:paraId="6360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41" w:type="pct"/>
            <w:vMerge w:val="continue"/>
            <w:noWrap w:val="0"/>
            <w:vAlign w:val="center"/>
          </w:tcPr>
          <w:p w14:paraId="2145A3F2">
            <w:pPr>
              <w:pStyle w:val="24"/>
              <w:bidi w:val="0"/>
              <w:rPr>
                <w:rFonts w:hint="eastAsia" w:ascii="Times New Roman" w:hAnsi="Times New Roman" w:eastAsia="宋体" w:cs="Courier New"/>
                <w:b w:val="0"/>
                <w:bCs w:val="0"/>
                <w:color w:val="auto"/>
                <w:highlight w:val="none"/>
                <w:lang w:val="en-US" w:eastAsia="zh-CN"/>
              </w:rPr>
            </w:pPr>
          </w:p>
        </w:tc>
        <w:tc>
          <w:tcPr>
            <w:tcW w:w="861" w:type="pct"/>
            <w:noWrap w:val="0"/>
            <w:vAlign w:val="center"/>
          </w:tcPr>
          <w:p w14:paraId="35AABA4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污染物排放清单</w:t>
            </w:r>
          </w:p>
        </w:tc>
        <w:tc>
          <w:tcPr>
            <w:tcW w:w="3896" w:type="pct"/>
            <w:gridSpan w:val="10"/>
            <w:noWrap w:val="0"/>
            <w:vAlign w:val="center"/>
          </w:tcPr>
          <w:p w14:paraId="19023B1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sym w:font="Wingdings 2" w:char="00A3"/>
            </w:r>
          </w:p>
        </w:tc>
      </w:tr>
      <w:tr w14:paraId="1181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03" w:type="pct"/>
            <w:gridSpan w:val="2"/>
            <w:noWrap w:val="0"/>
            <w:vAlign w:val="center"/>
          </w:tcPr>
          <w:p w14:paraId="0C3ACF0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评价结论</w:t>
            </w:r>
          </w:p>
        </w:tc>
        <w:tc>
          <w:tcPr>
            <w:tcW w:w="3896" w:type="pct"/>
            <w:gridSpan w:val="10"/>
            <w:noWrap w:val="0"/>
            <w:vAlign w:val="center"/>
          </w:tcPr>
          <w:p w14:paraId="4DD11B6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可以接受</w:t>
            </w:r>
            <w:r>
              <w:rPr>
                <w:rFonts w:hint="eastAsia" w:ascii="Times New Roman" w:hAnsi="Times New Roman" w:eastAsia="宋体" w:cs="Courier New"/>
                <w:b w:val="0"/>
                <w:bCs w:val="0"/>
                <w:color w:val="auto"/>
                <w:highlight w:val="none"/>
                <w:lang w:val="en-US" w:eastAsia="zh-CN"/>
              </w:rPr>
              <w:sym w:font="Wingdings 2" w:char="F052"/>
            </w:r>
            <w:r>
              <w:rPr>
                <w:rFonts w:hint="eastAsia" w:ascii="Times New Roman" w:hAnsi="Times New Roman" w:eastAsia="宋体" w:cs="Courier New"/>
                <w:b w:val="0"/>
                <w:bCs w:val="0"/>
                <w:color w:val="auto"/>
                <w:highlight w:val="none"/>
                <w:lang w:val="en-US" w:eastAsia="zh-CN"/>
              </w:rPr>
              <w:t>；不可以接受□</w:t>
            </w:r>
          </w:p>
        </w:tc>
      </w:tr>
      <w:tr w14:paraId="10A2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000" w:type="pct"/>
            <w:gridSpan w:val="12"/>
            <w:noWrap w:val="0"/>
            <w:vAlign w:val="center"/>
          </w:tcPr>
          <w:p w14:paraId="5D24C7E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注：</w:t>
            </w:r>
            <w:r>
              <w:rPr>
                <w:rFonts w:hint="eastAsia" w:ascii="宋体" w:hAnsi="宋体" w:eastAsia="宋体" w:cs="宋体"/>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w:t>
            </w:r>
            <w:r>
              <w:rPr>
                <w:rFonts w:hint="eastAsia" w:ascii="宋体" w:hAnsi="宋体" w:eastAsia="宋体" w:cs="宋体"/>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为勾选项，可√；</w:t>
            </w:r>
            <w:r>
              <w:rPr>
                <w:rFonts w:hint="eastAsia" w:ascii="宋体" w:hAnsi="宋体" w:eastAsia="宋体" w:cs="宋体"/>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 ）</w:t>
            </w:r>
            <w:r>
              <w:rPr>
                <w:rFonts w:hint="eastAsia" w:ascii="宋体" w:hAnsi="宋体" w:eastAsia="宋体" w:cs="宋体"/>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为内容填写项；</w:t>
            </w:r>
            <w:r>
              <w:rPr>
                <w:rFonts w:hint="eastAsia" w:ascii="宋体" w:hAnsi="宋体" w:eastAsia="宋体" w:cs="宋体"/>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备注</w:t>
            </w:r>
            <w:r>
              <w:rPr>
                <w:rFonts w:hint="eastAsia" w:ascii="宋体" w:hAnsi="宋体" w:eastAsia="宋体" w:cs="宋体"/>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为其他补充内容。</w:t>
            </w:r>
          </w:p>
        </w:tc>
      </w:tr>
    </w:tbl>
    <w:p w14:paraId="42FF41B5">
      <w:pPr>
        <w:pStyle w:val="4"/>
        <w:bidi w:val="0"/>
        <w:ind w:left="1855" w:leftChars="0" w:hanging="1855" w:firstLineChars="0"/>
        <w:rPr>
          <w:rFonts w:hint="default"/>
          <w:color w:val="auto"/>
          <w:highlight w:val="none"/>
        </w:rPr>
      </w:pPr>
      <w:r>
        <w:rPr>
          <w:rFonts w:hint="eastAsia"/>
          <w:color w:val="auto"/>
          <w:highlight w:val="none"/>
          <w:lang w:val="en-US" w:eastAsia="zh-CN"/>
        </w:rPr>
        <w:t>声</w:t>
      </w:r>
      <w:r>
        <w:rPr>
          <w:rFonts w:hint="default"/>
          <w:color w:val="auto"/>
          <w:highlight w:val="none"/>
        </w:rPr>
        <w:t>环境</w:t>
      </w:r>
      <w:r>
        <w:rPr>
          <w:rFonts w:hint="eastAsia"/>
          <w:color w:val="auto"/>
          <w:highlight w:val="none"/>
          <w:lang w:val="en-US" w:eastAsia="zh-CN"/>
        </w:rPr>
        <w:t>影响分析</w:t>
      </w:r>
    </w:p>
    <w:p w14:paraId="0EEDE7D2">
      <w:pPr>
        <w:pStyle w:val="5"/>
        <w:bidi w:val="0"/>
        <w:ind w:left="864" w:leftChars="0" w:hanging="864" w:firstLineChars="0"/>
        <w:rPr>
          <w:color w:val="auto"/>
          <w:highlight w:val="none"/>
        </w:rPr>
      </w:pPr>
      <w:r>
        <w:rPr>
          <w:rFonts w:hint="eastAsia"/>
          <w:color w:val="auto"/>
          <w:highlight w:val="none"/>
          <w:lang w:val="en-US" w:eastAsia="zh-CN"/>
        </w:rPr>
        <w:t>预测范围</w:t>
      </w:r>
    </w:p>
    <w:p w14:paraId="3369EBF2">
      <w:pPr>
        <w:pStyle w:val="26"/>
        <w:bidi w:val="0"/>
        <w:rPr>
          <w:rFonts w:hint="eastAsia"/>
          <w:color w:val="auto"/>
          <w:highlight w:val="none"/>
        </w:rPr>
      </w:pPr>
      <w:r>
        <w:rPr>
          <w:rFonts w:hint="eastAsia"/>
          <w:color w:val="auto"/>
          <w:highlight w:val="none"/>
        </w:rPr>
        <w:t>根据《环境影响评价技术导则 声环境》（HJ2.4-2021）中有关要求，本次声环境影响预测范围与评价范围相同，即自厂界向外延伸200m范围。</w:t>
      </w:r>
    </w:p>
    <w:p w14:paraId="5C56C706">
      <w:pPr>
        <w:pStyle w:val="5"/>
        <w:bidi w:val="0"/>
        <w:ind w:left="864" w:leftChars="0" w:hanging="864" w:firstLineChars="0"/>
        <w:rPr>
          <w:color w:val="auto"/>
          <w:highlight w:val="none"/>
        </w:rPr>
      </w:pPr>
      <w:r>
        <w:rPr>
          <w:rFonts w:hint="eastAsia"/>
          <w:color w:val="auto"/>
          <w:highlight w:val="none"/>
          <w:lang w:val="en-US" w:eastAsia="zh-CN"/>
        </w:rPr>
        <w:t>预测点和评价点</w:t>
      </w:r>
    </w:p>
    <w:p w14:paraId="44235DDC">
      <w:pPr>
        <w:pStyle w:val="26"/>
        <w:bidi w:val="0"/>
        <w:rPr>
          <w:rFonts w:hint="eastAsia"/>
          <w:color w:val="auto"/>
          <w:highlight w:val="none"/>
        </w:rPr>
      </w:pPr>
      <w:r>
        <w:rPr>
          <w:rFonts w:hint="eastAsia"/>
          <w:color w:val="auto"/>
          <w:highlight w:val="none"/>
        </w:rPr>
        <w:t>本次预测以厂界</w:t>
      </w:r>
      <w:r>
        <w:rPr>
          <w:rFonts w:hint="eastAsia"/>
          <w:color w:val="auto"/>
          <w:highlight w:val="none"/>
          <w:lang w:val="en-US" w:eastAsia="zh-CN"/>
        </w:rPr>
        <w:t>四周和</w:t>
      </w:r>
      <w:r>
        <w:rPr>
          <w:rFonts w:hint="default" w:ascii="Times New Roman" w:hAnsi="Times New Roman" w:cs="Times New Roman"/>
          <w:color w:val="auto"/>
          <w:highlight w:val="none"/>
        </w:rPr>
        <w:t>评价范围内涉及的声环境保护目标</w:t>
      </w:r>
      <w:r>
        <w:rPr>
          <w:rFonts w:hint="eastAsia" w:ascii="Times New Roman" w:hAnsi="Times New Roman" w:cs="Times New Roman"/>
          <w:color w:val="auto"/>
          <w:highlight w:val="none"/>
          <w:lang w:val="en-US" w:eastAsia="zh-CN"/>
        </w:rPr>
        <w:t>东北侧散户</w:t>
      </w:r>
      <w:r>
        <w:rPr>
          <w:rFonts w:hint="eastAsia"/>
          <w:color w:val="auto"/>
          <w:highlight w:val="none"/>
        </w:rPr>
        <w:t>作为预测点和评价点。</w:t>
      </w:r>
    </w:p>
    <w:p w14:paraId="7E44E4A1">
      <w:pPr>
        <w:pStyle w:val="5"/>
        <w:bidi w:val="0"/>
        <w:ind w:left="864" w:leftChars="0" w:hanging="864" w:firstLineChars="0"/>
        <w:rPr>
          <w:color w:val="auto"/>
          <w:highlight w:val="none"/>
        </w:rPr>
      </w:pPr>
      <w:r>
        <w:rPr>
          <w:rFonts w:hint="eastAsia"/>
          <w:color w:val="auto"/>
          <w:highlight w:val="none"/>
          <w:lang w:val="en-US" w:eastAsia="zh-CN"/>
        </w:rPr>
        <w:t>预测基础数据</w:t>
      </w:r>
    </w:p>
    <w:p w14:paraId="1A55F9C4">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1、声源数据</w:t>
      </w:r>
    </w:p>
    <w:p w14:paraId="760AF208">
      <w:pPr>
        <w:pStyle w:val="26"/>
        <w:bidi w:val="0"/>
        <w:rPr>
          <w:rFonts w:hint="eastAsia"/>
          <w:color w:val="auto"/>
          <w:sz w:val="24"/>
          <w:szCs w:val="24"/>
          <w:highlight w:val="none"/>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default" w:ascii="Times New Roman" w:hAnsi="Times New Roman" w:cs="Times New Roman"/>
          <w:color w:val="auto"/>
          <w:highlight w:val="none"/>
        </w:rPr>
        <w:t>运营期</w:t>
      </w:r>
      <w:r>
        <w:rPr>
          <w:rFonts w:hint="default" w:ascii="Times New Roman" w:hAnsi="Times New Roman" w:eastAsia="宋体" w:cs="Times New Roman"/>
          <w:color w:val="auto"/>
          <w:sz w:val="24"/>
          <w:szCs w:val="24"/>
          <w:highlight w:val="none"/>
          <w:lang w:val="en-US" w:eastAsia="zh-CN"/>
        </w:rPr>
        <w:t>主要噪声来自</w:t>
      </w:r>
      <w:r>
        <w:rPr>
          <w:rFonts w:hint="eastAsia"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lang w:val="en-US" w:eastAsia="zh-CN"/>
        </w:rPr>
        <w:t>设备运行噪声、各类泵机及风机等辅助设备运行噪声，噪声值</w:t>
      </w:r>
      <w:r>
        <w:rPr>
          <w:rFonts w:hint="eastAsia" w:ascii="Times New Roman" w:hAnsi="Times New Roman" w:eastAsia="宋体" w:cs="Times New Roman"/>
          <w:color w:val="auto"/>
          <w:sz w:val="24"/>
          <w:szCs w:val="24"/>
          <w:highlight w:val="none"/>
          <w:lang w:val="en-US" w:eastAsia="zh-CN"/>
        </w:rPr>
        <w:t>在60~95dB（A）之间</w:t>
      </w:r>
      <w:r>
        <w:rPr>
          <w:rFonts w:hint="eastAsia"/>
          <w:color w:val="auto"/>
          <w:sz w:val="24"/>
          <w:szCs w:val="24"/>
          <w:highlight w:val="none"/>
        </w:rPr>
        <w:t>。主要噪声源调查清单见下表。</w:t>
      </w:r>
    </w:p>
    <w:p w14:paraId="4E6F7818">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工业企业噪声源强调查清单（室内声源）</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702"/>
        <w:gridCol w:w="906"/>
        <w:gridCol w:w="516"/>
        <w:gridCol w:w="1319"/>
        <w:gridCol w:w="845"/>
        <w:gridCol w:w="1266"/>
        <w:gridCol w:w="805"/>
        <w:gridCol w:w="763"/>
        <w:gridCol w:w="737"/>
        <w:gridCol w:w="906"/>
        <w:gridCol w:w="945"/>
        <w:gridCol w:w="666"/>
        <w:gridCol w:w="693"/>
        <w:gridCol w:w="957"/>
        <w:gridCol w:w="856"/>
        <w:gridCol w:w="895"/>
      </w:tblGrid>
      <w:tr w14:paraId="798C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restart"/>
            <w:noWrap/>
            <w:vAlign w:val="center"/>
          </w:tcPr>
          <w:p w14:paraId="5AD2628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序号</w:t>
            </w:r>
          </w:p>
        </w:tc>
        <w:tc>
          <w:tcPr>
            <w:tcW w:w="245" w:type="pct"/>
            <w:vMerge w:val="restart"/>
            <w:noWrap/>
            <w:vAlign w:val="center"/>
          </w:tcPr>
          <w:p w14:paraId="330C106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建筑物名称</w:t>
            </w:r>
          </w:p>
        </w:tc>
        <w:tc>
          <w:tcPr>
            <w:tcW w:w="317" w:type="pct"/>
            <w:vMerge w:val="restart"/>
            <w:noWrap/>
            <w:vAlign w:val="center"/>
          </w:tcPr>
          <w:p w14:paraId="522CF7B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w:t>
            </w:r>
          </w:p>
          <w:p w14:paraId="3B81398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名称</w:t>
            </w:r>
          </w:p>
        </w:tc>
        <w:tc>
          <w:tcPr>
            <w:tcW w:w="180" w:type="pct"/>
            <w:vMerge w:val="restart"/>
            <w:noWrap/>
            <w:vAlign w:val="center"/>
          </w:tcPr>
          <w:p w14:paraId="2EE4932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型号</w:t>
            </w:r>
          </w:p>
        </w:tc>
        <w:tc>
          <w:tcPr>
            <w:tcW w:w="758" w:type="pct"/>
            <w:gridSpan w:val="2"/>
            <w:noWrap/>
            <w:vAlign w:val="center"/>
          </w:tcPr>
          <w:p w14:paraId="0C57283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声源源强（任选一种）</w:t>
            </w:r>
          </w:p>
        </w:tc>
        <w:tc>
          <w:tcPr>
            <w:tcW w:w="443" w:type="pct"/>
            <w:vMerge w:val="restart"/>
            <w:noWrap/>
            <w:vAlign w:val="center"/>
          </w:tcPr>
          <w:p w14:paraId="2E4919B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声源控制措施</w:t>
            </w:r>
          </w:p>
        </w:tc>
        <w:tc>
          <w:tcPr>
            <w:tcW w:w="807" w:type="pct"/>
            <w:gridSpan w:val="3"/>
            <w:noWrap/>
            <w:vAlign w:val="center"/>
          </w:tcPr>
          <w:p w14:paraId="07F6B41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空间相对位置</w:t>
            </w:r>
          </w:p>
        </w:tc>
        <w:tc>
          <w:tcPr>
            <w:tcW w:w="317" w:type="pct"/>
            <w:vMerge w:val="restart"/>
            <w:noWrap/>
            <w:vAlign w:val="center"/>
          </w:tcPr>
          <w:p w14:paraId="1EB527F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距室内边界距离/m</w:t>
            </w:r>
          </w:p>
        </w:tc>
        <w:tc>
          <w:tcPr>
            <w:tcW w:w="331" w:type="pct"/>
            <w:vMerge w:val="restart"/>
            <w:noWrap/>
            <w:vAlign w:val="center"/>
          </w:tcPr>
          <w:p w14:paraId="46704B0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室内边界声级/dB(A)</w:t>
            </w:r>
          </w:p>
        </w:tc>
        <w:tc>
          <w:tcPr>
            <w:tcW w:w="476" w:type="pct"/>
            <w:gridSpan w:val="2"/>
            <w:vMerge w:val="restart"/>
            <w:noWrap/>
            <w:vAlign w:val="center"/>
          </w:tcPr>
          <w:p w14:paraId="0587AE4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运行时段</w:t>
            </w:r>
          </w:p>
        </w:tc>
        <w:tc>
          <w:tcPr>
            <w:tcW w:w="335" w:type="pct"/>
            <w:vMerge w:val="restart"/>
            <w:noWrap/>
            <w:vAlign w:val="center"/>
          </w:tcPr>
          <w:p w14:paraId="11DEE8D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建筑物插入损失/dB(A)</w:t>
            </w:r>
          </w:p>
        </w:tc>
        <w:tc>
          <w:tcPr>
            <w:tcW w:w="613" w:type="pct"/>
            <w:gridSpan w:val="2"/>
            <w:noWrap/>
            <w:vAlign w:val="center"/>
          </w:tcPr>
          <w:p w14:paraId="376F825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建筑物外噪声</w:t>
            </w:r>
          </w:p>
        </w:tc>
      </w:tr>
      <w:tr w14:paraId="5537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59FA5BD4">
            <w:pPr>
              <w:pStyle w:val="24"/>
              <w:bidi w:val="0"/>
              <w:rPr>
                <w:rFonts w:hint="eastAsia" w:ascii="Times New Roman" w:hAnsi="Times New Roman" w:eastAsia="宋体" w:cs="Courier New"/>
                <w:b/>
                <w:bCs/>
                <w:color w:val="auto"/>
                <w:highlight w:val="none"/>
                <w:lang w:val="en-US" w:eastAsia="zh-CN"/>
              </w:rPr>
            </w:pPr>
          </w:p>
        </w:tc>
        <w:tc>
          <w:tcPr>
            <w:tcW w:w="245" w:type="pct"/>
            <w:vMerge w:val="continue"/>
            <w:noWrap w:val="0"/>
            <w:vAlign w:val="center"/>
          </w:tcPr>
          <w:p w14:paraId="7AF81CC3">
            <w:pPr>
              <w:pStyle w:val="24"/>
              <w:bidi w:val="0"/>
              <w:rPr>
                <w:rFonts w:hint="eastAsia" w:ascii="Times New Roman" w:hAnsi="Times New Roman" w:eastAsia="宋体" w:cs="Courier New"/>
                <w:b/>
                <w:bCs/>
                <w:color w:val="auto"/>
                <w:highlight w:val="none"/>
                <w:lang w:val="en-US" w:eastAsia="zh-CN"/>
              </w:rPr>
            </w:pPr>
          </w:p>
        </w:tc>
        <w:tc>
          <w:tcPr>
            <w:tcW w:w="317" w:type="pct"/>
            <w:vMerge w:val="continue"/>
            <w:noWrap w:val="0"/>
            <w:vAlign w:val="center"/>
          </w:tcPr>
          <w:p w14:paraId="2952408F">
            <w:pPr>
              <w:pStyle w:val="24"/>
              <w:bidi w:val="0"/>
              <w:rPr>
                <w:rFonts w:hint="eastAsia" w:ascii="Times New Roman" w:hAnsi="Times New Roman" w:eastAsia="宋体" w:cs="Courier New"/>
                <w:b/>
                <w:bCs/>
                <w:color w:val="auto"/>
                <w:highlight w:val="none"/>
                <w:lang w:val="en-US" w:eastAsia="zh-CN"/>
              </w:rPr>
            </w:pPr>
          </w:p>
        </w:tc>
        <w:tc>
          <w:tcPr>
            <w:tcW w:w="180" w:type="pct"/>
            <w:vMerge w:val="continue"/>
            <w:noWrap w:val="0"/>
            <w:vAlign w:val="center"/>
          </w:tcPr>
          <w:p w14:paraId="7918F29E">
            <w:pPr>
              <w:pStyle w:val="24"/>
              <w:bidi w:val="0"/>
              <w:rPr>
                <w:rFonts w:hint="eastAsia" w:ascii="Times New Roman" w:hAnsi="Times New Roman" w:eastAsia="宋体" w:cs="Courier New"/>
                <w:b/>
                <w:bCs/>
                <w:color w:val="auto"/>
                <w:highlight w:val="none"/>
                <w:lang w:val="en-US" w:eastAsia="zh-CN"/>
              </w:rPr>
            </w:pPr>
          </w:p>
        </w:tc>
        <w:tc>
          <w:tcPr>
            <w:tcW w:w="462" w:type="pct"/>
            <w:noWrap w:val="0"/>
            <w:vAlign w:val="center"/>
          </w:tcPr>
          <w:p w14:paraId="1420059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（声压级/距声源距离）/（dB(A)/m）</w:t>
            </w:r>
          </w:p>
        </w:tc>
        <w:tc>
          <w:tcPr>
            <w:tcW w:w="296" w:type="pct"/>
            <w:noWrap w:val="0"/>
            <w:vAlign w:val="center"/>
          </w:tcPr>
          <w:p w14:paraId="4A193C3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声功率级/dB(A)</w:t>
            </w:r>
          </w:p>
        </w:tc>
        <w:tc>
          <w:tcPr>
            <w:tcW w:w="443" w:type="pct"/>
            <w:vMerge w:val="continue"/>
            <w:noWrap w:val="0"/>
            <w:vAlign w:val="center"/>
          </w:tcPr>
          <w:p w14:paraId="49436028">
            <w:pPr>
              <w:pStyle w:val="24"/>
              <w:bidi w:val="0"/>
              <w:rPr>
                <w:rFonts w:hint="eastAsia" w:ascii="Times New Roman" w:hAnsi="Times New Roman" w:eastAsia="宋体" w:cs="Courier New"/>
                <w:b/>
                <w:bCs/>
                <w:color w:val="auto"/>
                <w:highlight w:val="none"/>
                <w:lang w:val="en-US" w:eastAsia="zh-CN"/>
              </w:rPr>
            </w:pPr>
          </w:p>
        </w:tc>
        <w:tc>
          <w:tcPr>
            <w:tcW w:w="282" w:type="pct"/>
            <w:noWrap/>
            <w:vAlign w:val="center"/>
          </w:tcPr>
          <w:p w14:paraId="7494F3E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X</w:t>
            </w:r>
          </w:p>
          <w:p w14:paraId="1366876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 xml:space="preserve">（m）      </w:t>
            </w:r>
          </w:p>
        </w:tc>
        <w:tc>
          <w:tcPr>
            <w:tcW w:w="267" w:type="pct"/>
            <w:noWrap/>
            <w:vAlign w:val="center"/>
          </w:tcPr>
          <w:p w14:paraId="6275AFF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Y</w:t>
            </w:r>
          </w:p>
          <w:p w14:paraId="698C9EF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（m）</w:t>
            </w:r>
          </w:p>
        </w:tc>
        <w:tc>
          <w:tcPr>
            <w:tcW w:w="258" w:type="pct"/>
            <w:noWrap/>
            <w:vAlign w:val="center"/>
          </w:tcPr>
          <w:p w14:paraId="20B2FFB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Z</w:t>
            </w:r>
          </w:p>
          <w:p w14:paraId="014F409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（m）</w:t>
            </w:r>
          </w:p>
        </w:tc>
        <w:tc>
          <w:tcPr>
            <w:tcW w:w="317" w:type="pct"/>
            <w:vMerge w:val="continue"/>
            <w:noWrap w:val="0"/>
            <w:vAlign w:val="center"/>
          </w:tcPr>
          <w:p w14:paraId="5C0EFF91">
            <w:pPr>
              <w:pStyle w:val="24"/>
              <w:bidi w:val="0"/>
              <w:rPr>
                <w:rFonts w:hint="eastAsia" w:ascii="Times New Roman" w:hAnsi="Times New Roman" w:eastAsia="宋体" w:cs="Courier New"/>
                <w:b/>
                <w:bCs/>
                <w:color w:val="auto"/>
                <w:highlight w:val="none"/>
                <w:lang w:val="en-US" w:eastAsia="zh-CN"/>
              </w:rPr>
            </w:pPr>
          </w:p>
        </w:tc>
        <w:tc>
          <w:tcPr>
            <w:tcW w:w="331" w:type="pct"/>
            <w:vMerge w:val="continue"/>
            <w:noWrap w:val="0"/>
            <w:vAlign w:val="center"/>
          </w:tcPr>
          <w:p w14:paraId="0AFB0B43">
            <w:pPr>
              <w:pStyle w:val="24"/>
              <w:bidi w:val="0"/>
              <w:rPr>
                <w:rFonts w:hint="eastAsia" w:ascii="Times New Roman" w:hAnsi="Times New Roman" w:eastAsia="宋体" w:cs="Courier New"/>
                <w:b/>
                <w:bCs/>
                <w:color w:val="auto"/>
                <w:highlight w:val="none"/>
                <w:lang w:val="en-US" w:eastAsia="zh-CN"/>
              </w:rPr>
            </w:pPr>
          </w:p>
        </w:tc>
        <w:tc>
          <w:tcPr>
            <w:tcW w:w="476" w:type="pct"/>
            <w:gridSpan w:val="2"/>
            <w:vMerge w:val="continue"/>
            <w:noWrap w:val="0"/>
            <w:vAlign w:val="center"/>
          </w:tcPr>
          <w:p w14:paraId="3382DCD8">
            <w:pPr>
              <w:pStyle w:val="24"/>
              <w:bidi w:val="0"/>
              <w:rPr>
                <w:rFonts w:hint="eastAsia" w:ascii="Times New Roman" w:hAnsi="Times New Roman" w:eastAsia="宋体" w:cs="Courier New"/>
                <w:b/>
                <w:bCs/>
                <w:color w:val="auto"/>
                <w:highlight w:val="none"/>
                <w:lang w:val="en-US" w:eastAsia="zh-CN"/>
              </w:rPr>
            </w:pPr>
          </w:p>
        </w:tc>
        <w:tc>
          <w:tcPr>
            <w:tcW w:w="335" w:type="pct"/>
            <w:vMerge w:val="continue"/>
            <w:noWrap w:val="0"/>
            <w:vAlign w:val="center"/>
          </w:tcPr>
          <w:p w14:paraId="106FD220">
            <w:pPr>
              <w:pStyle w:val="24"/>
              <w:bidi w:val="0"/>
              <w:rPr>
                <w:rFonts w:hint="eastAsia" w:ascii="Times New Roman" w:hAnsi="Times New Roman" w:eastAsia="宋体" w:cs="Courier New"/>
                <w:b/>
                <w:bCs/>
                <w:color w:val="auto"/>
                <w:highlight w:val="none"/>
                <w:lang w:val="en-US" w:eastAsia="zh-CN"/>
              </w:rPr>
            </w:pPr>
          </w:p>
        </w:tc>
        <w:tc>
          <w:tcPr>
            <w:tcW w:w="299" w:type="pct"/>
            <w:noWrap/>
            <w:vAlign w:val="center"/>
          </w:tcPr>
          <w:p w14:paraId="2C130F1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声压级/dB(A)</w:t>
            </w:r>
          </w:p>
        </w:tc>
        <w:tc>
          <w:tcPr>
            <w:tcW w:w="313" w:type="pct"/>
            <w:noWrap/>
            <w:vAlign w:val="center"/>
          </w:tcPr>
          <w:p w14:paraId="330A283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建筑物外距离</w:t>
            </w:r>
          </w:p>
        </w:tc>
      </w:tr>
      <w:tr w14:paraId="41D7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restart"/>
            <w:noWrap w:val="0"/>
            <w:vAlign w:val="center"/>
          </w:tcPr>
          <w:p w14:paraId="16DA679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245" w:type="pct"/>
            <w:vMerge w:val="restart"/>
            <w:noWrap w:val="0"/>
            <w:vAlign w:val="center"/>
          </w:tcPr>
          <w:p w14:paraId="19AE311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生产车间</w:t>
            </w:r>
          </w:p>
        </w:tc>
        <w:tc>
          <w:tcPr>
            <w:tcW w:w="317" w:type="pct"/>
            <w:vMerge w:val="restart"/>
            <w:noWrap w:val="0"/>
            <w:vAlign w:val="center"/>
          </w:tcPr>
          <w:p w14:paraId="2EAC74F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071DB4CA">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1C9033CC">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450FA8B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0BE0792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457074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7.12</w:t>
            </w:r>
          </w:p>
        </w:tc>
        <w:tc>
          <w:tcPr>
            <w:tcW w:w="267" w:type="pct"/>
            <w:vMerge w:val="restart"/>
            <w:noWrap/>
            <w:vAlign w:val="center"/>
          </w:tcPr>
          <w:p w14:paraId="3D69F75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19.69</w:t>
            </w:r>
          </w:p>
        </w:tc>
        <w:tc>
          <w:tcPr>
            <w:tcW w:w="258" w:type="pct"/>
            <w:vMerge w:val="restart"/>
            <w:noWrap/>
            <w:vAlign w:val="center"/>
          </w:tcPr>
          <w:p w14:paraId="313B2F63">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19EC8AB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38.56</w:t>
            </w:r>
          </w:p>
        </w:tc>
        <w:tc>
          <w:tcPr>
            <w:tcW w:w="331" w:type="pct"/>
            <w:noWrap w:val="0"/>
            <w:vAlign w:val="center"/>
          </w:tcPr>
          <w:p w14:paraId="7A42DB6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EDB268D">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0674FBB">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A3C64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5E8CA5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00D0EB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64F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743BFD46">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55FCD74D">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1CC9A55E">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p>
        </w:tc>
        <w:tc>
          <w:tcPr>
            <w:tcW w:w="180" w:type="pct"/>
            <w:vMerge w:val="continue"/>
            <w:noWrap w:val="0"/>
            <w:vAlign w:val="center"/>
          </w:tcPr>
          <w:p w14:paraId="64FB3B26">
            <w:pPr>
              <w:pStyle w:val="24"/>
              <w:bidi w:val="0"/>
              <w:rPr>
                <w:rFonts w:hint="eastAsia" w:ascii="Times New Roman" w:hAnsi="Times New Roman" w:eastAsia="宋体" w:cs="Courier New"/>
                <w:b w:val="0"/>
                <w:bCs w:val="0"/>
                <w:color w:val="auto"/>
                <w:highlight w:val="none"/>
                <w:lang w:val="en-US" w:eastAsia="zh-CN"/>
              </w:rPr>
            </w:pPr>
          </w:p>
        </w:tc>
        <w:tc>
          <w:tcPr>
            <w:tcW w:w="462" w:type="pct"/>
            <w:vMerge w:val="continue"/>
            <w:noWrap w:val="0"/>
            <w:vAlign w:val="center"/>
          </w:tcPr>
          <w:p w14:paraId="4BFBAD1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96" w:type="pct"/>
            <w:vMerge w:val="continue"/>
            <w:noWrap w:val="0"/>
            <w:vAlign w:val="center"/>
          </w:tcPr>
          <w:p w14:paraId="0E491C18">
            <w:pPr>
              <w:pStyle w:val="24"/>
              <w:bidi w:val="0"/>
              <w:rPr>
                <w:rFonts w:hint="eastAsia" w:ascii="Times New Roman" w:hAnsi="Times New Roman" w:eastAsia="宋体" w:cs="Courier New"/>
                <w:b w:val="0"/>
                <w:bCs w:val="0"/>
                <w:color w:val="auto"/>
                <w:highlight w:val="none"/>
                <w:lang w:val="en-US" w:eastAsia="zh-CN"/>
              </w:rPr>
            </w:pPr>
          </w:p>
        </w:tc>
        <w:tc>
          <w:tcPr>
            <w:tcW w:w="443" w:type="pct"/>
            <w:vMerge w:val="continue"/>
            <w:noWrap w:val="0"/>
            <w:vAlign w:val="center"/>
          </w:tcPr>
          <w:p w14:paraId="4742E58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631C137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154D49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0D89603">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D7D2B6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16.13</w:t>
            </w:r>
          </w:p>
        </w:tc>
        <w:tc>
          <w:tcPr>
            <w:tcW w:w="331" w:type="pct"/>
            <w:noWrap w:val="0"/>
            <w:vAlign w:val="center"/>
          </w:tcPr>
          <w:p w14:paraId="1EE848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0360712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973209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92643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21F49A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58490D7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C6E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72" w:type="pct"/>
            <w:vMerge w:val="continue"/>
            <w:noWrap w:val="0"/>
            <w:vAlign w:val="center"/>
          </w:tcPr>
          <w:p w14:paraId="39616B5C">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6360B731">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6ACAD385">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p>
        </w:tc>
        <w:tc>
          <w:tcPr>
            <w:tcW w:w="180" w:type="pct"/>
            <w:vMerge w:val="continue"/>
            <w:noWrap w:val="0"/>
            <w:vAlign w:val="center"/>
          </w:tcPr>
          <w:p w14:paraId="0A0699FF">
            <w:pPr>
              <w:pStyle w:val="24"/>
              <w:bidi w:val="0"/>
              <w:rPr>
                <w:rFonts w:hint="eastAsia" w:ascii="Times New Roman" w:hAnsi="Times New Roman" w:eastAsia="宋体" w:cs="Courier New"/>
                <w:b w:val="0"/>
                <w:bCs w:val="0"/>
                <w:color w:val="auto"/>
                <w:highlight w:val="none"/>
                <w:lang w:val="en-US" w:eastAsia="zh-CN"/>
              </w:rPr>
            </w:pPr>
          </w:p>
        </w:tc>
        <w:tc>
          <w:tcPr>
            <w:tcW w:w="462" w:type="pct"/>
            <w:vMerge w:val="continue"/>
            <w:noWrap w:val="0"/>
            <w:vAlign w:val="center"/>
          </w:tcPr>
          <w:p w14:paraId="4C3236A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96" w:type="pct"/>
            <w:vMerge w:val="continue"/>
            <w:noWrap w:val="0"/>
            <w:vAlign w:val="center"/>
          </w:tcPr>
          <w:p w14:paraId="02A8E84D">
            <w:pPr>
              <w:pStyle w:val="24"/>
              <w:bidi w:val="0"/>
              <w:rPr>
                <w:rFonts w:hint="eastAsia" w:ascii="Times New Roman" w:hAnsi="Times New Roman" w:eastAsia="宋体" w:cs="Courier New"/>
                <w:b w:val="0"/>
                <w:bCs w:val="0"/>
                <w:color w:val="auto"/>
                <w:highlight w:val="none"/>
                <w:lang w:val="en-US" w:eastAsia="zh-CN"/>
              </w:rPr>
            </w:pPr>
          </w:p>
        </w:tc>
        <w:tc>
          <w:tcPr>
            <w:tcW w:w="443" w:type="pct"/>
            <w:vMerge w:val="continue"/>
            <w:noWrap w:val="0"/>
            <w:vAlign w:val="center"/>
          </w:tcPr>
          <w:p w14:paraId="330F5EA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1E53E84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94FC5B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E3DA76F">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EF40C9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5.51</w:t>
            </w:r>
          </w:p>
        </w:tc>
        <w:tc>
          <w:tcPr>
            <w:tcW w:w="331" w:type="pct"/>
            <w:noWrap w:val="0"/>
            <w:vAlign w:val="center"/>
          </w:tcPr>
          <w:p w14:paraId="2B2C51C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68.71</w:t>
            </w:r>
          </w:p>
        </w:tc>
        <w:tc>
          <w:tcPr>
            <w:tcW w:w="233" w:type="pct"/>
            <w:noWrap w:val="0"/>
            <w:vAlign w:val="center"/>
          </w:tcPr>
          <w:p w14:paraId="09F2FA4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C08AC3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EF91C7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6DD8C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42.71</w:t>
            </w:r>
          </w:p>
        </w:tc>
        <w:tc>
          <w:tcPr>
            <w:tcW w:w="313" w:type="pct"/>
            <w:noWrap/>
            <w:vAlign w:val="center"/>
          </w:tcPr>
          <w:p w14:paraId="77D7492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EF3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013A81B5">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5FF0183D">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2FF7E4FB">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p>
        </w:tc>
        <w:tc>
          <w:tcPr>
            <w:tcW w:w="180" w:type="pct"/>
            <w:vMerge w:val="continue"/>
            <w:noWrap w:val="0"/>
            <w:vAlign w:val="center"/>
          </w:tcPr>
          <w:p w14:paraId="53B558F2">
            <w:pPr>
              <w:pStyle w:val="24"/>
              <w:bidi w:val="0"/>
              <w:rPr>
                <w:rFonts w:hint="eastAsia" w:ascii="Times New Roman" w:hAnsi="Times New Roman" w:eastAsia="宋体" w:cs="Courier New"/>
                <w:b w:val="0"/>
                <w:bCs w:val="0"/>
                <w:color w:val="auto"/>
                <w:highlight w:val="none"/>
                <w:lang w:val="en-US" w:eastAsia="zh-CN"/>
              </w:rPr>
            </w:pPr>
          </w:p>
        </w:tc>
        <w:tc>
          <w:tcPr>
            <w:tcW w:w="462" w:type="pct"/>
            <w:vMerge w:val="continue"/>
            <w:noWrap w:val="0"/>
            <w:vAlign w:val="center"/>
          </w:tcPr>
          <w:p w14:paraId="706CE6F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96" w:type="pct"/>
            <w:vMerge w:val="continue"/>
            <w:noWrap w:val="0"/>
            <w:vAlign w:val="center"/>
          </w:tcPr>
          <w:p w14:paraId="196572A7">
            <w:pPr>
              <w:pStyle w:val="24"/>
              <w:bidi w:val="0"/>
              <w:rPr>
                <w:rFonts w:hint="eastAsia" w:ascii="Times New Roman" w:hAnsi="Times New Roman" w:eastAsia="宋体" w:cs="Courier New"/>
                <w:b w:val="0"/>
                <w:bCs w:val="0"/>
                <w:color w:val="auto"/>
                <w:highlight w:val="none"/>
                <w:lang w:val="en-US" w:eastAsia="zh-CN"/>
              </w:rPr>
            </w:pPr>
          </w:p>
        </w:tc>
        <w:tc>
          <w:tcPr>
            <w:tcW w:w="443" w:type="pct"/>
            <w:vMerge w:val="continue"/>
            <w:noWrap w:val="0"/>
            <w:vAlign w:val="center"/>
          </w:tcPr>
          <w:p w14:paraId="58A4DB5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30E8108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67" w:type="pct"/>
            <w:vMerge w:val="continue"/>
            <w:noWrap/>
            <w:vAlign w:val="center"/>
          </w:tcPr>
          <w:p w14:paraId="597DA03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58" w:type="pct"/>
            <w:vMerge w:val="continue"/>
            <w:noWrap/>
            <w:vAlign w:val="center"/>
          </w:tcPr>
          <w:p w14:paraId="64B064C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noWrap w:val="0"/>
            <w:vAlign w:val="center"/>
          </w:tcPr>
          <w:p w14:paraId="1BA537F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21.03</w:t>
            </w:r>
          </w:p>
        </w:tc>
        <w:tc>
          <w:tcPr>
            <w:tcW w:w="331" w:type="pct"/>
            <w:noWrap w:val="0"/>
            <w:vAlign w:val="center"/>
          </w:tcPr>
          <w:p w14:paraId="439391A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0FD8858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96A6F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E9F4A5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693060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7D9EC9C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F5F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7241E41">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485DFCC5">
            <w:pPr>
              <w:pStyle w:val="24"/>
              <w:bidi w:val="0"/>
              <w:rPr>
                <w:rFonts w:hint="eastAsia" w:ascii="Times New Roman" w:hAnsi="Times New Roman" w:eastAsia="宋体" w:cs="Courier New"/>
                <w:b w:val="0"/>
                <w:bCs w:val="0"/>
                <w:color w:val="auto"/>
                <w:highlight w:val="none"/>
                <w:lang w:val="en-US" w:eastAsia="zh-CN"/>
              </w:rPr>
            </w:pPr>
          </w:p>
        </w:tc>
        <w:tc>
          <w:tcPr>
            <w:tcW w:w="317" w:type="pct"/>
            <w:vMerge w:val="restart"/>
            <w:noWrap w:val="0"/>
            <w:vAlign w:val="center"/>
          </w:tcPr>
          <w:p w14:paraId="6CF49324">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27998FD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3925481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2AD2A4C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51134C0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18E728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3.99</w:t>
            </w:r>
          </w:p>
        </w:tc>
        <w:tc>
          <w:tcPr>
            <w:tcW w:w="267" w:type="pct"/>
            <w:vMerge w:val="restart"/>
            <w:noWrap/>
            <w:vAlign w:val="center"/>
          </w:tcPr>
          <w:p w14:paraId="3392EE3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21.6</w:t>
            </w:r>
          </w:p>
        </w:tc>
        <w:tc>
          <w:tcPr>
            <w:tcW w:w="258" w:type="pct"/>
            <w:vMerge w:val="restart"/>
            <w:noWrap/>
            <w:vAlign w:val="center"/>
          </w:tcPr>
          <w:p w14:paraId="7DDBD4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594C67D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34.9</w:t>
            </w:r>
          </w:p>
        </w:tc>
        <w:tc>
          <w:tcPr>
            <w:tcW w:w="331" w:type="pct"/>
            <w:noWrap w:val="0"/>
            <w:vAlign w:val="center"/>
          </w:tcPr>
          <w:p w14:paraId="1621DA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7B29A87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6830A4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46A2D6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2336CD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321A4A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604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14A3AB0B">
            <w:pPr>
              <w:pStyle w:val="24"/>
              <w:bidi w:val="0"/>
              <w:ind w:left="0" w:leftChars="0"/>
              <w:rPr>
                <w:color w:val="auto"/>
              </w:rPr>
            </w:pPr>
          </w:p>
        </w:tc>
        <w:tc>
          <w:tcPr>
            <w:tcW w:w="245" w:type="pct"/>
            <w:vMerge w:val="continue"/>
            <w:noWrap w:val="0"/>
            <w:vAlign w:val="center"/>
          </w:tcPr>
          <w:p w14:paraId="1DE0C833">
            <w:pPr>
              <w:pStyle w:val="24"/>
              <w:bidi w:val="0"/>
              <w:ind w:left="0" w:leftChars="0"/>
              <w:rPr>
                <w:color w:val="auto"/>
              </w:rPr>
            </w:pPr>
          </w:p>
        </w:tc>
        <w:tc>
          <w:tcPr>
            <w:tcW w:w="317" w:type="pct"/>
            <w:vMerge w:val="continue"/>
            <w:noWrap w:val="0"/>
            <w:vAlign w:val="center"/>
          </w:tcPr>
          <w:p w14:paraId="58BCB142">
            <w:pPr>
              <w:pStyle w:val="24"/>
              <w:bidi w:val="0"/>
              <w:ind w:left="0" w:leftChars="0"/>
              <w:rPr>
                <w:color w:val="auto"/>
              </w:rPr>
            </w:pPr>
          </w:p>
        </w:tc>
        <w:tc>
          <w:tcPr>
            <w:tcW w:w="180" w:type="pct"/>
            <w:vMerge w:val="continue"/>
            <w:noWrap w:val="0"/>
            <w:vAlign w:val="center"/>
          </w:tcPr>
          <w:p w14:paraId="7D7BB346">
            <w:pPr>
              <w:pStyle w:val="24"/>
              <w:bidi w:val="0"/>
              <w:ind w:left="0" w:leftChars="0"/>
              <w:rPr>
                <w:color w:val="auto"/>
              </w:rPr>
            </w:pPr>
          </w:p>
        </w:tc>
        <w:tc>
          <w:tcPr>
            <w:tcW w:w="462" w:type="pct"/>
            <w:vMerge w:val="continue"/>
            <w:noWrap w:val="0"/>
            <w:vAlign w:val="center"/>
          </w:tcPr>
          <w:p w14:paraId="63982601">
            <w:pPr>
              <w:pStyle w:val="24"/>
              <w:bidi w:val="0"/>
              <w:ind w:left="0" w:leftChars="0"/>
              <w:rPr>
                <w:color w:val="auto"/>
              </w:rPr>
            </w:pPr>
          </w:p>
        </w:tc>
        <w:tc>
          <w:tcPr>
            <w:tcW w:w="296" w:type="pct"/>
            <w:vMerge w:val="continue"/>
            <w:noWrap w:val="0"/>
            <w:vAlign w:val="center"/>
          </w:tcPr>
          <w:p w14:paraId="0365E6E5">
            <w:pPr>
              <w:pStyle w:val="24"/>
              <w:bidi w:val="0"/>
              <w:ind w:left="0" w:leftChars="0"/>
              <w:rPr>
                <w:color w:val="auto"/>
              </w:rPr>
            </w:pPr>
          </w:p>
        </w:tc>
        <w:tc>
          <w:tcPr>
            <w:tcW w:w="443" w:type="pct"/>
            <w:vMerge w:val="continue"/>
            <w:noWrap w:val="0"/>
            <w:vAlign w:val="center"/>
          </w:tcPr>
          <w:p w14:paraId="73E1781D">
            <w:pPr>
              <w:pStyle w:val="24"/>
              <w:bidi w:val="0"/>
              <w:ind w:left="0" w:leftChars="0"/>
              <w:rPr>
                <w:color w:val="auto"/>
              </w:rPr>
            </w:pPr>
          </w:p>
        </w:tc>
        <w:tc>
          <w:tcPr>
            <w:tcW w:w="282" w:type="pct"/>
            <w:vMerge w:val="continue"/>
            <w:noWrap/>
            <w:vAlign w:val="center"/>
          </w:tcPr>
          <w:p w14:paraId="6543A4D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9F7786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5C9DDD8">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97235C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15.84</w:t>
            </w:r>
          </w:p>
        </w:tc>
        <w:tc>
          <w:tcPr>
            <w:tcW w:w="331" w:type="pct"/>
            <w:noWrap w:val="0"/>
            <w:vAlign w:val="center"/>
          </w:tcPr>
          <w:p w14:paraId="78B5E53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27117B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6C357A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6B2773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B02A47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2E22DCD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802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21213F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2204B8F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169054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1B85745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523153A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46AF6DA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2389AD9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C79201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832099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19A5C108">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53E71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9.17</w:t>
            </w:r>
          </w:p>
        </w:tc>
        <w:tc>
          <w:tcPr>
            <w:tcW w:w="331" w:type="pct"/>
            <w:noWrap w:val="0"/>
            <w:vAlign w:val="center"/>
          </w:tcPr>
          <w:p w14:paraId="0874C44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68.61</w:t>
            </w:r>
          </w:p>
        </w:tc>
        <w:tc>
          <w:tcPr>
            <w:tcW w:w="233" w:type="pct"/>
            <w:noWrap w:val="0"/>
            <w:vAlign w:val="center"/>
          </w:tcPr>
          <w:p w14:paraId="720E4E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AA7AD8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6C248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7A7281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42.61</w:t>
            </w:r>
          </w:p>
        </w:tc>
        <w:tc>
          <w:tcPr>
            <w:tcW w:w="313" w:type="pct"/>
            <w:noWrap/>
            <w:vAlign w:val="center"/>
          </w:tcPr>
          <w:p w14:paraId="58CEB4E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CC9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61CD70F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E67BF5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6767EF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7DD9884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02D3AF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483ECB7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08E3699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B3C533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75078A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8436EE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42B6B8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21.32</w:t>
            </w:r>
          </w:p>
        </w:tc>
        <w:tc>
          <w:tcPr>
            <w:tcW w:w="331" w:type="pct"/>
            <w:noWrap w:val="0"/>
            <w:vAlign w:val="center"/>
          </w:tcPr>
          <w:p w14:paraId="37B3740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0645FA3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8F375D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C00615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F373B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8DE2C9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823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188FD283">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7DA91E3C">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10386E85">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6ED8CE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41F247E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7D1BE0D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57E5620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20B283E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1.12</w:t>
            </w:r>
          </w:p>
        </w:tc>
        <w:tc>
          <w:tcPr>
            <w:tcW w:w="267" w:type="pct"/>
            <w:vMerge w:val="restart"/>
            <w:noWrap/>
            <w:vAlign w:val="center"/>
          </w:tcPr>
          <w:p w14:paraId="06E679F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23.08</w:t>
            </w:r>
          </w:p>
        </w:tc>
        <w:tc>
          <w:tcPr>
            <w:tcW w:w="258" w:type="pct"/>
            <w:vMerge w:val="restart"/>
            <w:noWrap/>
            <w:vAlign w:val="center"/>
          </w:tcPr>
          <w:p w14:paraId="0C19D93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65443D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31.7</w:t>
            </w:r>
          </w:p>
        </w:tc>
        <w:tc>
          <w:tcPr>
            <w:tcW w:w="331" w:type="pct"/>
            <w:noWrap w:val="0"/>
            <w:vAlign w:val="center"/>
          </w:tcPr>
          <w:p w14:paraId="1926D9D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7310464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68AAFB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0FD5B7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62238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4D15C25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6D61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261B49EA">
            <w:pPr>
              <w:pStyle w:val="24"/>
              <w:bidi w:val="0"/>
              <w:ind w:left="0" w:leftChars="0"/>
              <w:rPr>
                <w:color w:val="auto"/>
              </w:rPr>
            </w:pPr>
          </w:p>
        </w:tc>
        <w:tc>
          <w:tcPr>
            <w:tcW w:w="245" w:type="pct"/>
            <w:vMerge w:val="continue"/>
            <w:noWrap w:val="0"/>
            <w:vAlign w:val="center"/>
          </w:tcPr>
          <w:p w14:paraId="6D3CC229">
            <w:pPr>
              <w:pStyle w:val="24"/>
              <w:bidi w:val="0"/>
              <w:ind w:left="0" w:leftChars="0"/>
              <w:rPr>
                <w:color w:val="auto"/>
              </w:rPr>
            </w:pPr>
          </w:p>
        </w:tc>
        <w:tc>
          <w:tcPr>
            <w:tcW w:w="317" w:type="pct"/>
            <w:vMerge w:val="continue"/>
            <w:noWrap w:val="0"/>
            <w:vAlign w:val="center"/>
          </w:tcPr>
          <w:p w14:paraId="03DB30E9">
            <w:pPr>
              <w:pStyle w:val="24"/>
              <w:bidi w:val="0"/>
              <w:ind w:left="0" w:leftChars="0"/>
              <w:rPr>
                <w:color w:val="auto"/>
              </w:rPr>
            </w:pPr>
          </w:p>
        </w:tc>
        <w:tc>
          <w:tcPr>
            <w:tcW w:w="180" w:type="pct"/>
            <w:vMerge w:val="continue"/>
            <w:noWrap w:val="0"/>
            <w:vAlign w:val="center"/>
          </w:tcPr>
          <w:p w14:paraId="2FE351FE">
            <w:pPr>
              <w:pStyle w:val="24"/>
              <w:bidi w:val="0"/>
              <w:ind w:left="0" w:leftChars="0"/>
              <w:rPr>
                <w:color w:val="auto"/>
              </w:rPr>
            </w:pPr>
          </w:p>
        </w:tc>
        <w:tc>
          <w:tcPr>
            <w:tcW w:w="462" w:type="pct"/>
            <w:vMerge w:val="continue"/>
            <w:noWrap w:val="0"/>
            <w:vAlign w:val="center"/>
          </w:tcPr>
          <w:p w14:paraId="0CFDCE12">
            <w:pPr>
              <w:pStyle w:val="24"/>
              <w:bidi w:val="0"/>
              <w:ind w:left="0" w:leftChars="0"/>
              <w:rPr>
                <w:color w:val="auto"/>
              </w:rPr>
            </w:pPr>
          </w:p>
        </w:tc>
        <w:tc>
          <w:tcPr>
            <w:tcW w:w="296" w:type="pct"/>
            <w:vMerge w:val="continue"/>
            <w:noWrap w:val="0"/>
            <w:vAlign w:val="center"/>
          </w:tcPr>
          <w:p w14:paraId="6D8E07EB">
            <w:pPr>
              <w:pStyle w:val="24"/>
              <w:bidi w:val="0"/>
              <w:ind w:left="0" w:leftChars="0"/>
              <w:rPr>
                <w:color w:val="auto"/>
              </w:rPr>
            </w:pPr>
          </w:p>
        </w:tc>
        <w:tc>
          <w:tcPr>
            <w:tcW w:w="443" w:type="pct"/>
            <w:vMerge w:val="continue"/>
            <w:noWrap w:val="0"/>
            <w:vAlign w:val="center"/>
          </w:tcPr>
          <w:p w14:paraId="51346B22">
            <w:pPr>
              <w:pStyle w:val="24"/>
              <w:bidi w:val="0"/>
              <w:ind w:left="0" w:leftChars="0"/>
              <w:rPr>
                <w:color w:val="auto"/>
              </w:rPr>
            </w:pPr>
          </w:p>
        </w:tc>
        <w:tc>
          <w:tcPr>
            <w:tcW w:w="282" w:type="pct"/>
            <w:vMerge w:val="continue"/>
            <w:noWrap/>
            <w:vAlign w:val="center"/>
          </w:tcPr>
          <w:p w14:paraId="5F5CC50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4F8C6D5">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21D1B2F">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869DF8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15.82</w:t>
            </w:r>
          </w:p>
        </w:tc>
        <w:tc>
          <w:tcPr>
            <w:tcW w:w="331" w:type="pct"/>
            <w:noWrap w:val="0"/>
            <w:vAlign w:val="center"/>
          </w:tcPr>
          <w:p w14:paraId="4E1F474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4C79426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C54EE4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519600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70DC6D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6F1F2C8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CD2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F56CBF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7C13DDC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00971F2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3994E0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705E363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50A9D2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46C544E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028A68C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0A050F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75528E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D9F8B2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12.37</w:t>
            </w:r>
          </w:p>
        </w:tc>
        <w:tc>
          <w:tcPr>
            <w:tcW w:w="331" w:type="pct"/>
            <w:noWrap w:val="0"/>
            <w:vAlign w:val="center"/>
          </w:tcPr>
          <w:p w14:paraId="34676F1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68.59</w:t>
            </w:r>
          </w:p>
        </w:tc>
        <w:tc>
          <w:tcPr>
            <w:tcW w:w="233" w:type="pct"/>
            <w:noWrap w:val="0"/>
            <w:vAlign w:val="center"/>
          </w:tcPr>
          <w:p w14:paraId="57E24C2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8D0D73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DF5A9E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A4C771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42.59</w:t>
            </w:r>
          </w:p>
        </w:tc>
        <w:tc>
          <w:tcPr>
            <w:tcW w:w="313" w:type="pct"/>
            <w:noWrap/>
            <w:vAlign w:val="center"/>
          </w:tcPr>
          <w:p w14:paraId="57338B6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F8F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FCA2CD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2F11FAC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28D7490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1D9941F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3B18A60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4E603F1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2F66C4F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21C77585">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429ABD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33BEFC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E64F51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21.35</w:t>
            </w:r>
          </w:p>
        </w:tc>
        <w:tc>
          <w:tcPr>
            <w:tcW w:w="331" w:type="pct"/>
            <w:noWrap w:val="0"/>
            <w:vAlign w:val="center"/>
          </w:tcPr>
          <w:p w14:paraId="41C40F7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EDEE1D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E87183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F28A18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E16B1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853D44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EA8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2" w:type="pct"/>
            <w:vMerge w:val="continue"/>
            <w:noWrap w:val="0"/>
            <w:vAlign w:val="center"/>
          </w:tcPr>
          <w:p w14:paraId="34D76FD9">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2FFE5B39">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07C44920">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6B78C4F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486EC9D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3A3A105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452B097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3AA95BA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11.73</w:t>
            </w:r>
          </w:p>
        </w:tc>
        <w:tc>
          <w:tcPr>
            <w:tcW w:w="267" w:type="pct"/>
            <w:vMerge w:val="restart"/>
            <w:noWrap/>
            <w:vAlign w:val="center"/>
          </w:tcPr>
          <w:p w14:paraId="261E2F0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26.21</w:t>
            </w:r>
          </w:p>
        </w:tc>
        <w:tc>
          <w:tcPr>
            <w:tcW w:w="258" w:type="pct"/>
            <w:vMerge w:val="restart"/>
            <w:noWrap/>
            <w:vAlign w:val="center"/>
          </w:tcPr>
          <w:p w14:paraId="5BBC70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2F0DA5F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38.62</w:t>
            </w:r>
          </w:p>
        </w:tc>
        <w:tc>
          <w:tcPr>
            <w:tcW w:w="331" w:type="pct"/>
            <w:noWrap w:val="0"/>
            <w:vAlign w:val="center"/>
          </w:tcPr>
          <w:p w14:paraId="42A5976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49D3D00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AC7C56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78106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7B7190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544861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F96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359004FD">
            <w:pPr>
              <w:pStyle w:val="24"/>
              <w:bidi w:val="0"/>
              <w:ind w:left="0" w:leftChars="0"/>
              <w:rPr>
                <w:color w:val="auto"/>
              </w:rPr>
            </w:pPr>
          </w:p>
        </w:tc>
        <w:tc>
          <w:tcPr>
            <w:tcW w:w="245" w:type="pct"/>
            <w:vMerge w:val="continue"/>
            <w:noWrap w:val="0"/>
            <w:vAlign w:val="center"/>
          </w:tcPr>
          <w:p w14:paraId="624B7B4C">
            <w:pPr>
              <w:pStyle w:val="24"/>
              <w:bidi w:val="0"/>
              <w:ind w:left="0" w:leftChars="0"/>
              <w:rPr>
                <w:color w:val="auto"/>
              </w:rPr>
            </w:pPr>
          </w:p>
        </w:tc>
        <w:tc>
          <w:tcPr>
            <w:tcW w:w="317" w:type="pct"/>
            <w:vMerge w:val="continue"/>
            <w:noWrap w:val="0"/>
            <w:vAlign w:val="center"/>
          </w:tcPr>
          <w:p w14:paraId="40ADB940">
            <w:pPr>
              <w:pStyle w:val="24"/>
              <w:bidi w:val="0"/>
              <w:ind w:left="0" w:leftChars="0"/>
              <w:rPr>
                <w:color w:val="auto"/>
              </w:rPr>
            </w:pPr>
          </w:p>
        </w:tc>
        <w:tc>
          <w:tcPr>
            <w:tcW w:w="180" w:type="pct"/>
            <w:vMerge w:val="continue"/>
            <w:noWrap w:val="0"/>
            <w:vAlign w:val="center"/>
          </w:tcPr>
          <w:p w14:paraId="735E9C4F">
            <w:pPr>
              <w:pStyle w:val="24"/>
              <w:bidi w:val="0"/>
              <w:ind w:left="0" w:leftChars="0"/>
              <w:rPr>
                <w:color w:val="auto"/>
              </w:rPr>
            </w:pPr>
          </w:p>
        </w:tc>
        <w:tc>
          <w:tcPr>
            <w:tcW w:w="462" w:type="pct"/>
            <w:vMerge w:val="continue"/>
            <w:noWrap w:val="0"/>
            <w:vAlign w:val="center"/>
          </w:tcPr>
          <w:p w14:paraId="656E7719">
            <w:pPr>
              <w:pStyle w:val="24"/>
              <w:bidi w:val="0"/>
              <w:ind w:left="0" w:leftChars="0"/>
              <w:rPr>
                <w:color w:val="auto"/>
              </w:rPr>
            </w:pPr>
          </w:p>
        </w:tc>
        <w:tc>
          <w:tcPr>
            <w:tcW w:w="296" w:type="pct"/>
            <w:vMerge w:val="continue"/>
            <w:noWrap w:val="0"/>
            <w:vAlign w:val="center"/>
          </w:tcPr>
          <w:p w14:paraId="5C20AA14">
            <w:pPr>
              <w:pStyle w:val="24"/>
              <w:bidi w:val="0"/>
              <w:ind w:left="0" w:leftChars="0"/>
              <w:rPr>
                <w:color w:val="auto"/>
              </w:rPr>
            </w:pPr>
          </w:p>
        </w:tc>
        <w:tc>
          <w:tcPr>
            <w:tcW w:w="443" w:type="pct"/>
            <w:vMerge w:val="continue"/>
            <w:noWrap w:val="0"/>
            <w:vAlign w:val="center"/>
          </w:tcPr>
          <w:p w14:paraId="332D8B7D">
            <w:pPr>
              <w:pStyle w:val="24"/>
              <w:bidi w:val="0"/>
              <w:ind w:left="0" w:leftChars="0"/>
              <w:rPr>
                <w:color w:val="auto"/>
              </w:rPr>
            </w:pPr>
          </w:p>
        </w:tc>
        <w:tc>
          <w:tcPr>
            <w:tcW w:w="282" w:type="pct"/>
            <w:vMerge w:val="continue"/>
            <w:noWrap/>
            <w:vAlign w:val="center"/>
          </w:tcPr>
          <w:p w14:paraId="7B80D3B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BBD833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114E524">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DC4507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8.22</w:t>
            </w:r>
          </w:p>
        </w:tc>
        <w:tc>
          <w:tcPr>
            <w:tcW w:w="331" w:type="pct"/>
            <w:noWrap w:val="0"/>
            <w:vAlign w:val="center"/>
          </w:tcPr>
          <w:p w14:paraId="63D0FCB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17DB4A0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8338C6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1CA884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1BC79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7C7FC2E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363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00FAA5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1F05A3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24E9517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31E0ADF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5195158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3E51C2A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13BEC4A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170585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E9C13D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19690B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48A43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5.46</w:t>
            </w:r>
          </w:p>
        </w:tc>
        <w:tc>
          <w:tcPr>
            <w:tcW w:w="331" w:type="pct"/>
            <w:noWrap w:val="0"/>
            <w:vAlign w:val="center"/>
          </w:tcPr>
          <w:p w14:paraId="4D2D25A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68.71</w:t>
            </w:r>
          </w:p>
        </w:tc>
        <w:tc>
          <w:tcPr>
            <w:tcW w:w="233" w:type="pct"/>
            <w:noWrap w:val="0"/>
            <w:vAlign w:val="center"/>
          </w:tcPr>
          <w:p w14:paraId="60384FD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FFA4C3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DF91A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BB67FD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42.71</w:t>
            </w:r>
          </w:p>
        </w:tc>
        <w:tc>
          <w:tcPr>
            <w:tcW w:w="313" w:type="pct"/>
            <w:noWrap/>
            <w:vAlign w:val="center"/>
          </w:tcPr>
          <w:p w14:paraId="62A8FA4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7E1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1540C72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368F9C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468AE3D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E1CA32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7BDD7B0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47CF108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B38C47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51D6AF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21AB5F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0E5449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2C5DFA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28.93</w:t>
            </w:r>
          </w:p>
        </w:tc>
        <w:tc>
          <w:tcPr>
            <w:tcW w:w="331" w:type="pct"/>
            <w:noWrap w:val="0"/>
            <w:vAlign w:val="center"/>
          </w:tcPr>
          <w:p w14:paraId="4ABF0D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78C4409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3F7770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199E3E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BE896E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6DCD458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01D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726492E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507D418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906" w:type="dxa"/>
            <w:vMerge w:val="restart"/>
            <w:noWrap w:val="0"/>
            <w:vAlign w:val="center"/>
          </w:tcPr>
          <w:p w14:paraId="7AE20579">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shd w:val="clear" w:color="auto" w:fill="auto"/>
            <w:noWrap w:val="0"/>
            <w:vAlign w:val="center"/>
          </w:tcPr>
          <w:p w14:paraId="4B1BFCF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55E544E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shd w:val="clear" w:color="auto" w:fill="auto"/>
            <w:noWrap w:val="0"/>
            <w:vAlign w:val="center"/>
          </w:tcPr>
          <w:p w14:paraId="6F07371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6642142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0D75FF5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9.03</w:t>
            </w:r>
          </w:p>
        </w:tc>
        <w:tc>
          <w:tcPr>
            <w:tcW w:w="267" w:type="pct"/>
            <w:vMerge w:val="restart"/>
            <w:noWrap/>
            <w:vAlign w:val="center"/>
          </w:tcPr>
          <w:p w14:paraId="39080E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27.51</w:t>
            </w:r>
          </w:p>
        </w:tc>
        <w:tc>
          <w:tcPr>
            <w:tcW w:w="258" w:type="pct"/>
            <w:vMerge w:val="restart"/>
            <w:noWrap/>
            <w:vAlign w:val="center"/>
          </w:tcPr>
          <w:p w14:paraId="2E510E7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661E120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35.66</w:t>
            </w:r>
          </w:p>
        </w:tc>
        <w:tc>
          <w:tcPr>
            <w:tcW w:w="331" w:type="pct"/>
            <w:noWrap w:val="0"/>
            <w:vAlign w:val="center"/>
          </w:tcPr>
          <w:p w14:paraId="436424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7DF805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73EBF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5EDF15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E2FE13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A7CE1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0E0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32C1D913">
            <w:pPr>
              <w:pStyle w:val="24"/>
              <w:bidi w:val="0"/>
              <w:ind w:left="0" w:leftChars="0"/>
              <w:rPr>
                <w:color w:val="auto"/>
              </w:rPr>
            </w:pPr>
          </w:p>
        </w:tc>
        <w:tc>
          <w:tcPr>
            <w:tcW w:w="245" w:type="pct"/>
            <w:vMerge w:val="continue"/>
            <w:noWrap w:val="0"/>
            <w:vAlign w:val="center"/>
          </w:tcPr>
          <w:p w14:paraId="02C60C47">
            <w:pPr>
              <w:pStyle w:val="24"/>
              <w:bidi w:val="0"/>
              <w:ind w:left="0" w:leftChars="0"/>
              <w:rPr>
                <w:color w:val="auto"/>
              </w:rPr>
            </w:pPr>
          </w:p>
        </w:tc>
        <w:tc>
          <w:tcPr>
            <w:tcW w:w="317" w:type="pct"/>
            <w:vMerge w:val="continue"/>
            <w:noWrap w:val="0"/>
            <w:vAlign w:val="center"/>
          </w:tcPr>
          <w:p w14:paraId="1419765F">
            <w:pPr>
              <w:pStyle w:val="24"/>
              <w:bidi w:val="0"/>
              <w:ind w:left="0" w:leftChars="0"/>
              <w:rPr>
                <w:color w:val="auto"/>
              </w:rPr>
            </w:pPr>
          </w:p>
        </w:tc>
        <w:tc>
          <w:tcPr>
            <w:tcW w:w="180" w:type="pct"/>
            <w:vMerge w:val="continue"/>
            <w:shd w:val="clear" w:color="auto" w:fill="auto"/>
            <w:noWrap w:val="0"/>
            <w:vAlign w:val="center"/>
          </w:tcPr>
          <w:p w14:paraId="31E1D8A3">
            <w:pPr>
              <w:pStyle w:val="24"/>
              <w:bidi w:val="0"/>
              <w:ind w:left="0" w:leftChars="0"/>
              <w:rPr>
                <w:color w:val="auto"/>
              </w:rPr>
            </w:pPr>
          </w:p>
        </w:tc>
        <w:tc>
          <w:tcPr>
            <w:tcW w:w="462" w:type="pct"/>
            <w:vMerge w:val="continue"/>
            <w:shd w:val="clear" w:color="auto" w:fill="auto"/>
            <w:noWrap w:val="0"/>
            <w:vAlign w:val="center"/>
          </w:tcPr>
          <w:p w14:paraId="1F9F68C1">
            <w:pPr>
              <w:pStyle w:val="24"/>
              <w:bidi w:val="0"/>
              <w:ind w:left="0" w:leftChars="0"/>
              <w:rPr>
                <w:color w:val="auto"/>
              </w:rPr>
            </w:pPr>
          </w:p>
        </w:tc>
        <w:tc>
          <w:tcPr>
            <w:tcW w:w="296" w:type="pct"/>
            <w:vMerge w:val="continue"/>
            <w:shd w:val="clear" w:color="auto" w:fill="auto"/>
            <w:noWrap w:val="0"/>
            <w:vAlign w:val="center"/>
          </w:tcPr>
          <w:p w14:paraId="1403B008">
            <w:pPr>
              <w:pStyle w:val="24"/>
              <w:bidi w:val="0"/>
              <w:ind w:left="0" w:leftChars="0"/>
              <w:rPr>
                <w:color w:val="auto"/>
              </w:rPr>
            </w:pPr>
          </w:p>
        </w:tc>
        <w:tc>
          <w:tcPr>
            <w:tcW w:w="443" w:type="pct"/>
            <w:vMerge w:val="continue"/>
            <w:shd w:val="clear" w:color="auto" w:fill="auto"/>
            <w:noWrap w:val="0"/>
            <w:vAlign w:val="center"/>
          </w:tcPr>
          <w:p w14:paraId="3AC45B7A">
            <w:pPr>
              <w:pStyle w:val="24"/>
              <w:bidi w:val="0"/>
              <w:ind w:left="0" w:leftChars="0"/>
              <w:rPr>
                <w:color w:val="auto"/>
              </w:rPr>
            </w:pPr>
          </w:p>
        </w:tc>
        <w:tc>
          <w:tcPr>
            <w:tcW w:w="282" w:type="pct"/>
            <w:vMerge w:val="continue"/>
            <w:noWrap/>
            <w:vAlign w:val="center"/>
          </w:tcPr>
          <w:p w14:paraId="767C935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D1A793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82891D6">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D7664B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8.29</w:t>
            </w:r>
          </w:p>
        </w:tc>
        <w:tc>
          <w:tcPr>
            <w:tcW w:w="331" w:type="pct"/>
            <w:noWrap w:val="0"/>
            <w:vAlign w:val="center"/>
          </w:tcPr>
          <w:p w14:paraId="1FA5E86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1066EF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36C966A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1B85A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88C8B7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6B9988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716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55B1784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3E9A56A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00A1409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517CB5A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12B10BE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5A9B545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2590159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353269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663599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BEC5875">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A36FA9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8.42</w:t>
            </w:r>
          </w:p>
        </w:tc>
        <w:tc>
          <w:tcPr>
            <w:tcW w:w="331" w:type="pct"/>
            <w:noWrap w:val="0"/>
            <w:vAlign w:val="center"/>
          </w:tcPr>
          <w:p w14:paraId="6FFCFDB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48769A6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032060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4F3424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876EAC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7780174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184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2E58D9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3518174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51D86DF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4069F25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765572E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04B1DFC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05663A1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1CDC39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C7E1FD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22FF1CC">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EC4B22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28.87</w:t>
            </w:r>
          </w:p>
        </w:tc>
        <w:tc>
          <w:tcPr>
            <w:tcW w:w="331" w:type="pct"/>
            <w:noWrap w:val="0"/>
            <w:vAlign w:val="center"/>
          </w:tcPr>
          <w:p w14:paraId="70FDB69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48D8E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3CE5AB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A6764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46A24E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69F3C9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4A0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6459962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001F62F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906" w:type="dxa"/>
            <w:vMerge w:val="restart"/>
            <w:noWrap w:val="0"/>
            <w:vAlign w:val="center"/>
          </w:tcPr>
          <w:p w14:paraId="47615E9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122533A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102DC6E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08FA0EE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noWrap w:val="0"/>
            <w:vAlign w:val="center"/>
          </w:tcPr>
          <w:p w14:paraId="75D1A8C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48C7C7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5.9</w:t>
            </w:r>
          </w:p>
        </w:tc>
        <w:tc>
          <w:tcPr>
            <w:tcW w:w="267" w:type="pct"/>
            <w:vMerge w:val="restart"/>
            <w:noWrap/>
            <w:vAlign w:val="center"/>
          </w:tcPr>
          <w:p w14:paraId="707EFEB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28.99</w:t>
            </w:r>
          </w:p>
        </w:tc>
        <w:tc>
          <w:tcPr>
            <w:tcW w:w="258" w:type="pct"/>
            <w:vMerge w:val="restart"/>
            <w:noWrap/>
            <w:vAlign w:val="center"/>
          </w:tcPr>
          <w:p w14:paraId="7ABEA1E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6B1188B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32.24</w:t>
            </w:r>
          </w:p>
        </w:tc>
        <w:tc>
          <w:tcPr>
            <w:tcW w:w="331" w:type="pct"/>
            <w:noWrap w:val="0"/>
            <w:vAlign w:val="center"/>
          </w:tcPr>
          <w:p w14:paraId="2BEABDA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68F004A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E38DDF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9F2213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D99A31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8B7E95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63F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66DCF1B7">
            <w:pPr>
              <w:pStyle w:val="24"/>
              <w:bidi w:val="0"/>
              <w:ind w:left="0" w:leftChars="0"/>
              <w:rPr>
                <w:color w:val="auto"/>
              </w:rPr>
            </w:pPr>
          </w:p>
        </w:tc>
        <w:tc>
          <w:tcPr>
            <w:tcW w:w="245" w:type="pct"/>
            <w:vMerge w:val="continue"/>
            <w:noWrap w:val="0"/>
            <w:vAlign w:val="center"/>
          </w:tcPr>
          <w:p w14:paraId="5194B129">
            <w:pPr>
              <w:pStyle w:val="24"/>
              <w:bidi w:val="0"/>
              <w:ind w:left="0" w:leftChars="0"/>
              <w:rPr>
                <w:color w:val="auto"/>
              </w:rPr>
            </w:pPr>
          </w:p>
        </w:tc>
        <w:tc>
          <w:tcPr>
            <w:tcW w:w="317" w:type="pct"/>
            <w:vMerge w:val="continue"/>
            <w:noWrap w:val="0"/>
            <w:vAlign w:val="center"/>
          </w:tcPr>
          <w:p w14:paraId="665506AE">
            <w:pPr>
              <w:pStyle w:val="24"/>
              <w:bidi w:val="0"/>
              <w:ind w:left="0" w:leftChars="0"/>
              <w:rPr>
                <w:color w:val="auto"/>
              </w:rPr>
            </w:pPr>
          </w:p>
        </w:tc>
        <w:tc>
          <w:tcPr>
            <w:tcW w:w="180" w:type="pct"/>
            <w:vMerge w:val="continue"/>
            <w:noWrap w:val="0"/>
            <w:vAlign w:val="center"/>
          </w:tcPr>
          <w:p w14:paraId="42A0475D">
            <w:pPr>
              <w:pStyle w:val="24"/>
              <w:bidi w:val="0"/>
              <w:ind w:left="0" w:leftChars="0"/>
              <w:rPr>
                <w:color w:val="auto"/>
              </w:rPr>
            </w:pPr>
          </w:p>
        </w:tc>
        <w:tc>
          <w:tcPr>
            <w:tcW w:w="462" w:type="pct"/>
            <w:vMerge w:val="continue"/>
            <w:noWrap w:val="0"/>
            <w:vAlign w:val="center"/>
          </w:tcPr>
          <w:p w14:paraId="61EC5B7F">
            <w:pPr>
              <w:pStyle w:val="24"/>
              <w:bidi w:val="0"/>
              <w:ind w:left="0" w:leftChars="0"/>
              <w:rPr>
                <w:color w:val="auto"/>
              </w:rPr>
            </w:pPr>
          </w:p>
        </w:tc>
        <w:tc>
          <w:tcPr>
            <w:tcW w:w="296" w:type="pct"/>
            <w:vMerge w:val="continue"/>
            <w:noWrap w:val="0"/>
            <w:vAlign w:val="center"/>
          </w:tcPr>
          <w:p w14:paraId="22F396CF">
            <w:pPr>
              <w:pStyle w:val="24"/>
              <w:bidi w:val="0"/>
              <w:ind w:left="0" w:leftChars="0"/>
              <w:rPr>
                <w:color w:val="auto"/>
              </w:rPr>
            </w:pPr>
          </w:p>
        </w:tc>
        <w:tc>
          <w:tcPr>
            <w:tcW w:w="443" w:type="pct"/>
            <w:vMerge w:val="continue"/>
            <w:noWrap w:val="0"/>
            <w:vAlign w:val="center"/>
          </w:tcPr>
          <w:p w14:paraId="6AACF6B8">
            <w:pPr>
              <w:pStyle w:val="24"/>
              <w:bidi w:val="0"/>
              <w:ind w:left="0" w:leftChars="0"/>
              <w:rPr>
                <w:color w:val="auto"/>
              </w:rPr>
            </w:pPr>
          </w:p>
        </w:tc>
        <w:tc>
          <w:tcPr>
            <w:tcW w:w="282" w:type="pct"/>
            <w:vMerge w:val="continue"/>
            <w:noWrap/>
            <w:vAlign w:val="center"/>
          </w:tcPr>
          <w:p w14:paraId="07BFF51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48BF2AB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468E14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17680D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8.39</w:t>
            </w:r>
          </w:p>
        </w:tc>
        <w:tc>
          <w:tcPr>
            <w:tcW w:w="331" w:type="pct"/>
            <w:noWrap w:val="0"/>
            <w:vAlign w:val="center"/>
          </w:tcPr>
          <w:p w14:paraId="44DF310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6051ACE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38FEFA3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A014F5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CA6BD2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026A9C3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E0B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836F74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E0A873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629378D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5A73A50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08B4D19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7B94C08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94E287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2BC8F60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1C8E85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136D3011">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0DC804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11.83</w:t>
            </w:r>
          </w:p>
        </w:tc>
        <w:tc>
          <w:tcPr>
            <w:tcW w:w="331" w:type="pct"/>
            <w:noWrap w:val="0"/>
            <w:vAlign w:val="center"/>
          </w:tcPr>
          <w:p w14:paraId="7784B4B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68.59</w:t>
            </w:r>
          </w:p>
        </w:tc>
        <w:tc>
          <w:tcPr>
            <w:tcW w:w="233" w:type="pct"/>
            <w:noWrap w:val="0"/>
            <w:vAlign w:val="center"/>
          </w:tcPr>
          <w:p w14:paraId="6FD277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839EE4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684122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0B0A4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42.59</w:t>
            </w:r>
          </w:p>
        </w:tc>
        <w:tc>
          <w:tcPr>
            <w:tcW w:w="313" w:type="pct"/>
            <w:noWrap/>
            <w:vAlign w:val="center"/>
          </w:tcPr>
          <w:p w14:paraId="1755934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154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7A3804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2BE823B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6AC3748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02DB6B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CCF95A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687A4FE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7695AE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4553E5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C89CB2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F830E0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283D3E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28.78</w:t>
            </w:r>
          </w:p>
        </w:tc>
        <w:tc>
          <w:tcPr>
            <w:tcW w:w="331" w:type="pct"/>
            <w:noWrap w:val="0"/>
            <w:vAlign w:val="center"/>
          </w:tcPr>
          <w:p w14:paraId="785A787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7288B3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C6CD63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542AF6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9F4D7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4F4B6DE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066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5098745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22615C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906" w:type="dxa"/>
            <w:vMerge w:val="restart"/>
            <w:noWrap w:val="0"/>
            <w:vAlign w:val="center"/>
          </w:tcPr>
          <w:p w14:paraId="30A75F0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71226AC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236041C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3C33ECE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noWrap w:val="0"/>
            <w:vAlign w:val="center"/>
          </w:tcPr>
          <w:p w14:paraId="1009A6A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71C8EC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2.77</w:t>
            </w:r>
          </w:p>
        </w:tc>
        <w:tc>
          <w:tcPr>
            <w:tcW w:w="267" w:type="pct"/>
            <w:vMerge w:val="restart"/>
            <w:noWrap/>
            <w:vAlign w:val="center"/>
          </w:tcPr>
          <w:p w14:paraId="6C134FD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30.38</w:t>
            </w:r>
          </w:p>
        </w:tc>
        <w:tc>
          <w:tcPr>
            <w:tcW w:w="258" w:type="pct"/>
            <w:vMerge w:val="restart"/>
            <w:noWrap/>
            <w:vAlign w:val="center"/>
          </w:tcPr>
          <w:p w14:paraId="2A02044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14B217B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28.88</w:t>
            </w:r>
          </w:p>
        </w:tc>
        <w:tc>
          <w:tcPr>
            <w:tcW w:w="331" w:type="pct"/>
            <w:noWrap w:val="0"/>
            <w:vAlign w:val="center"/>
          </w:tcPr>
          <w:p w14:paraId="1FA52C0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0E539C9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4C9D46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83CF01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CA026E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32E0889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35D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23BB1930">
            <w:pPr>
              <w:pStyle w:val="24"/>
              <w:bidi w:val="0"/>
              <w:ind w:left="0" w:leftChars="0"/>
              <w:rPr>
                <w:color w:val="auto"/>
              </w:rPr>
            </w:pPr>
          </w:p>
        </w:tc>
        <w:tc>
          <w:tcPr>
            <w:tcW w:w="245" w:type="pct"/>
            <w:vMerge w:val="continue"/>
            <w:noWrap w:val="0"/>
            <w:vAlign w:val="center"/>
          </w:tcPr>
          <w:p w14:paraId="4E7F8969">
            <w:pPr>
              <w:pStyle w:val="24"/>
              <w:bidi w:val="0"/>
              <w:ind w:left="0" w:leftChars="0"/>
              <w:rPr>
                <w:color w:val="auto"/>
              </w:rPr>
            </w:pPr>
          </w:p>
        </w:tc>
        <w:tc>
          <w:tcPr>
            <w:tcW w:w="317" w:type="pct"/>
            <w:vMerge w:val="continue"/>
            <w:noWrap w:val="0"/>
            <w:vAlign w:val="center"/>
          </w:tcPr>
          <w:p w14:paraId="0AA21E42">
            <w:pPr>
              <w:pStyle w:val="24"/>
              <w:bidi w:val="0"/>
              <w:ind w:left="0" w:leftChars="0"/>
              <w:rPr>
                <w:color w:val="auto"/>
              </w:rPr>
            </w:pPr>
          </w:p>
        </w:tc>
        <w:tc>
          <w:tcPr>
            <w:tcW w:w="180" w:type="pct"/>
            <w:vMerge w:val="continue"/>
            <w:noWrap w:val="0"/>
            <w:vAlign w:val="center"/>
          </w:tcPr>
          <w:p w14:paraId="1317D1F8">
            <w:pPr>
              <w:pStyle w:val="24"/>
              <w:bidi w:val="0"/>
              <w:ind w:left="0" w:leftChars="0"/>
              <w:rPr>
                <w:color w:val="auto"/>
              </w:rPr>
            </w:pPr>
          </w:p>
        </w:tc>
        <w:tc>
          <w:tcPr>
            <w:tcW w:w="462" w:type="pct"/>
            <w:vMerge w:val="continue"/>
            <w:noWrap w:val="0"/>
            <w:vAlign w:val="center"/>
          </w:tcPr>
          <w:p w14:paraId="5C170736">
            <w:pPr>
              <w:pStyle w:val="24"/>
              <w:bidi w:val="0"/>
              <w:ind w:left="0" w:leftChars="0"/>
              <w:rPr>
                <w:color w:val="auto"/>
              </w:rPr>
            </w:pPr>
          </w:p>
        </w:tc>
        <w:tc>
          <w:tcPr>
            <w:tcW w:w="296" w:type="pct"/>
            <w:vMerge w:val="continue"/>
            <w:noWrap w:val="0"/>
            <w:vAlign w:val="center"/>
          </w:tcPr>
          <w:p w14:paraId="709C01C2">
            <w:pPr>
              <w:pStyle w:val="24"/>
              <w:bidi w:val="0"/>
              <w:ind w:left="0" w:leftChars="0"/>
              <w:rPr>
                <w:color w:val="auto"/>
              </w:rPr>
            </w:pPr>
          </w:p>
        </w:tc>
        <w:tc>
          <w:tcPr>
            <w:tcW w:w="443" w:type="pct"/>
            <w:vMerge w:val="continue"/>
            <w:noWrap w:val="0"/>
            <w:vAlign w:val="center"/>
          </w:tcPr>
          <w:p w14:paraId="702B9FA6">
            <w:pPr>
              <w:pStyle w:val="24"/>
              <w:bidi w:val="0"/>
              <w:ind w:left="0" w:leftChars="0"/>
              <w:rPr>
                <w:color w:val="auto"/>
              </w:rPr>
            </w:pPr>
          </w:p>
        </w:tc>
        <w:tc>
          <w:tcPr>
            <w:tcW w:w="282" w:type="pct"/>
            <w:vMerge w:val="continue"/>
            <w:noWrap/>
            <w:vAlign w:val="center"/>
          </w:tcPr>
          <w:p w14:paraId="4471A69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7E736A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2DD7CC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53BF38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8.57</w:t>
            </w:r>
          </w:p>
        </w:tc>
        <w:tc>
          <w:tcPr>
            <w:tcW w:w="331" w:type="pct"/>
            <w:noWrap w:val="0"/>
            <w:vAlign w:val="center"/>
          </w:tcPr>
          <w:p w14:paraId="3001771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3DEA466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9422D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23A890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557671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4932FFA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E14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42A195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BE9746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5F88D52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68CB9B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6A98E6D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599DEB5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71903E8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BA8EB9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00AE43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123F6C3">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E52653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15.19</w:t>
            </w:r>
          </w:p>
        </w:tc>
        <w:tc>
          <w:tcPr>
            <w:tcW w:w="331" w:type="pct"/>
            <w:noWrap w:val="0"/>
            <w:vAlign w:val="center"/>
          </w:tcPr>
          <w:p w14:paraId="5111DC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68.58</w:t>
            </w:r>
          </w:p>
        </w:tc>
        <w:tc>
          <w:tcPr>
            <w:tcW w:w="233" w:type="pct"/>
            <w:noWrap w:val="0"/>
            <w:vAlign w:val="center"/>
          </w:tcPr>
          <w:p w14:paraId="34400E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37015E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6A048E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2250F0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42.58</w:t>
            </w:r>
          </w:p>
        </w:tc>
        <w:tc>
          <w:tcPr>
            <w:tcW w:w="313" w:type="pct"/>
            <w:noWrap/>
            <w:vAlign w:val="center"/>
          </w:tcPr>
          <w:p w14:paraId="100541D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A8A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2" w:type="pct"/>
            <w:vMerge w:val="continue"/>
            <w:noWrap w:val="0"/>
            <w:vAlign w:val="center"/>
          </w:tcPr>
          <w:p w14:paraId="0A685C0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C3BEEC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031AB84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F4FE83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3EF99FC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71DE878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631AE8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000525B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EA65E0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7BB84C6">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FE81A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28.61</w:t>
            </w:r>
          </w:p>
        </w:tc>
        <w:tc>
          <w:tcPr>
            <w:tcW w:w="331" w:type="pct"/>
            <w:noWrap w:val="0"/>
            <w:vAlign w:val="center"/>
          </w:tcPr>
          <w:p w14:paraId="5C9D99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03461A1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DAE061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3B2185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5F3C36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E76511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A00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B75DC7D">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51FCC983">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1FF209EA">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0D860F5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14585E7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5C3352B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0BE9C05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3679917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-23.14</w:t>
            </w:r>
          </w:p>
        </w:tc>
        <w:tc>
          <w:tcPr>
            <w:tcW w:w="267" w:type="pct"/>
            <w:vMerge w:val="restart"/>
            <w:noWrap/>
            <w:vAlign w:val="center"/>
          </w:tcPr>
          <w:p w14:paraId="68764C3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35.43</w:t>
            </w:r>
          </w:p>
        </w:tc>
        <w:tc>
          <w:tcPr>
            <w:tcW w:w="258" w:type="pct"/>
            <w:vMerge w:val="restart"/>
            <w:noWrap/>
            <w:vAlign w:val="center"/>
          </w:tcPr>
          <w:p w14:paraId="4B2C91A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19A20D2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4.73</w:t>
            </w:r>
          </w:p>
        </w:tc>
        <w:tc>
          <w:tcPr>
            <w:tcW w:w="331" w:type="pct"/>
            <w:noWrap w:val="0"/>
            <w:vAlign w:val="center"/>
          </w:tcPr>
          <w:p w14:paraId="637CCCD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68.76</w:t>
            </w:r>
          </w:p>
        </w:tc>
        <w:tc>
          <w:tcPr>
            <w:tcW w:w="233" w:type="pct"/>
            <w:noWrap w:val="0"/>
            <w:vAlign w:val="center"/>
          </w:tcPr>
          <w:p w14:paraId="52DDA8D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6A258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7A996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2E0F59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42.76</w:t>
            </w:r>
          </w:p>
        </w:tc>
        <w:tc>
          <w:tcPr>
            <w:tcW w:w="313" w:type="pct"/>
            <w:noWrap/>
            <w:vAlign w:val="center"/>
          </w:tcPr>
          <w:p w14:paraId="79DC23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1CA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6E8A313A">
            <w:pPr>
              <w:pStyle w:val="24"/>
              <w:bidi w:val="0"/>
              <w:ind w:left="0" w:leftChars="0"/>
              <w:rPr>
                <w:color w:val="auto"/>
              </w:rPr>
            </w:pPr>
          </w:p>
        </w:tc>
        <w:tc>
          <w:tcPr>
            <w:tcW w:w="245" w:type="pct"/>
            <w:vMerge w:val="continue"/>
            <w:noWrap w:val="0"/>
            <w:vAlign w:val="center"/>
          </w:tcPr>
          <w:p w14:paraId="21B85FB8">
            <w:pPr>
              <w:pStyle w:val="24"/>
              <w:bidi w:val="0"/>
              <w:ind w:left="0" w:leftChars="0"/>
              <w:rPr>
                <w:color w:val="auto"/>
              </w:rPr>
            </w:pPr>
          </w:p>
        </w:tc>
        <w:tc>
          <w:tcPr>
            <w:tcW w:w="317" w:type="pct"/>
            <w:vMerge w:val="continue"/>
            <w:noWrap w:val="0"/>
            <w:vAlign w:val="center"/>
          </w:tcPr>
          <w:p w14:paraId="2C7988D2">
            <w:pPr>
              <w:pStyle w:val="24"/>
              <w:bidi w:val="0"/>
              <w:ind w:left="0" w:leftChars="0"/>
              <w:rPr>
                <w:color w:val="auto"/>
              </w:rPr>
            </w:pPr>
          </w:p>
        </w:tc>
        <w:tc>
          <w:tcPr>
            <w:tcW w:w="180" w:type="pct"/>
            <w:vMerge w:val="continue"/>
            <w:noWrap w:val="0"/>
            <w:vAlign w:val="center"/>
          </w:tcPr>
          <w:p w14:paraId="53F5F629">
            <w:pPr>
              <w:pStyle w:val="24"/>
              <w:bidi w:val="0"/>
              <w:ind w:left="0" w:leftChars="0"/>
              <w:rPr>
                <w:color w:val="auto"/>
              </w:rPr>
            </w:pPr>
          </w:p>
        </w:tc>
        <w:tc>
          <w:tcPr>
            <w:tcW w:w="462" w:type="pct"/>
            <w:vMerge w:val="continue"/>
            <w:noWrap w:val="0"/>
            <w:vAlign w:val="center"/>
          </w:tcPr>
          <w:p w14:paraId="4E1DB30F">
            <w:pPr>
              <w:pStyle w:val="24"/>
              <w:bidi w:val="0"/>
              <w:ind w:left="0" w:leftChars="0"/>
              <w:rPr>
                <w:color w:val="auto"/>
              </w:rPr>
            </w:pPr>
          </w:p>
        </w:tc>
        <w:tc>
          <w:tcPr>
            <w:tcW w:w="296" w:type="pct"/>
            <w:vMerge w:val="continue"/>
            <w:noWrap w:val="0"/>
            <w:vAlign w:val="center"/>
          </w:tcPr>
          <w:p w14:paraId="4D798585">
            <w:pPr>
              <w:pStyle w:val="24"/>
              <w:bidi w:val="0"/>
              <w:ind w:left="0" w:leftChars="0"/>
              <w:rPr>
                <w:color w:val="auto"/>
              </w:rPr>
            </w:pPr>
          </w:p>
        </w:tc>
        <w:tc>
          <w:tcPr>
            <w:tcW w:w="443" w:type="pct"/>
            <w:vMerge w:val="continue"/>
            <w:noWrap w:val="0"/>
            <w:vAlign w:val="center"/>
          </w:tcPr>
          <w:p w14:paraId="5B0C1B26">
            <w:pPr>
              <w:pStyle w:val="24"/>
              <w:bidi w:val="0"/>
              <w:ind w:left="0" w:leftChars="0"/>
              <w:rPr>
                <w:color w:val="auto"/>
              </w:rPr>
            </w:pPr>
          </w:p>
        </w:tc>
        <w:tc>
          <w:tcPr>
            <w:tcW w:w="282" w:type="pct"/>
            <w:vMerge w:val="continue"/>
            <w:noWrap/>
            <w:vAlign w:val="center"/>
          </w:tcPr>
          <w:p w14:paraId="430016E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7A9454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8DC3921">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23FC0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15.81</w:t>
            </w:r>
          </w:p>
        </w:tc>
        <w:tc>
          <w:tcPr>
            <w:tcW w:w="331" w:type="pct"/>
            <w:noWrap w:val="0"/>
            <w:vAlign w:val="center"/>
          </w:tcPr>
          <w:p w14:paraId="591514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5F6395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421FC7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A113A7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A8DF2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12840C6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C8E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8FF922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1D15350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37DDD32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C5A958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66CD31B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4A24D78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05F4DCF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2894FE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1466A6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96B293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0D770EB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39.33</w:t>
            </w:r>
          </w:p>
        </w:tc>
        <w:tc>
          <w:tcPr>
            <w:tcW w:w="331" w:type="pct"/>
            <w:noWrap w:val="0"/>
            <w:vAlign w:val="center"/>
          </w:tcPr>
          <w:p w14:paraId="21851C8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00E832E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CA3E96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B0D3C8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5F93F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477326E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463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64409A5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2E0BBC3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25C1633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779632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0FD3A8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1763777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15F77C8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79573715">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0DB0E4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9991343">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6A4695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21.41</w:t>
            </w:r>
          </w:p>
        </w:tc>
        <w:tc>
          <w:tcPr>
            <w:tcW w:w="331" w:type="pct"/>
            <w:noWrap w:val="0"/>
            <w:vAlign w:val="center"/>
          </w:tcPr>
          <w:p w14:paraId="2F0700B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FD7D6F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8CE28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9B7DDF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FFCB80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44B0CB9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CD7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5893CC79">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11D2C604">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6597997C">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6344D9B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53A15A3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766688F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05AE9F5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7855CB9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-18.7</w:t>
            </w:r>
          </w:p>
        </w:tc>
        <w:tc>
          <w:tcPr>
            <w:tcW w:w="267" w:type="pct"/>
            <w:vMerge w:val="restart"/>
            <w:noWrap/>
            <w:vAlign w:val="center"/>
          </w:tcPr>
          <w:p w14:paraId="6AB4D38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32.99</w:t>
            </w:r>
          </w:p>
        </w:tc>
        <w:tc>
          <w:tcPr>
            <w:tcW w:w="258" w:type="pct"/>
            <w:vMerge w:val="restart"/>
            <w:noWrap/>
            <w:vAlign w:val="center"/>
          </w:tcPr>
          <w:p w14:paraId="6B76525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2D00818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9.77</w:t>
            </w:r>
          </w:p>
        </w:tc>
        <w:tc>
          <w:tcPr>
            <w:tcW w:w="331" w:type="pct"/>
            <w:noWrap w:val="0"/>
            <w:vAlign w:val="center"/>
          </w:tcPr>
          <w:p w14:paraId="6CC4EBB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w:t>
            </w:r>
          </w:p>
        </w:tc>
        <w:tc>
          <w:tcPr>
            <w:tcW w:w="233" w:type="pct"/>
            <w:noWrap w:val="0"/>
            <w:vAlign w:val="center"/>
          </w:tcPr>
          <w:p w14:paraId="71981D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3A00B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AB8342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4D5B7E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w:t>
            </w:r>
          </w:p>
        </w:tc>
        <w:tc>
          <w:tcPr>
            <w:tcW w:w="313" w:type="pct"/>
            <w:noWrap/>
            <w:vAlign w:val="center"/>
          </w:tcPr>
          <w:p w14:paraId="18E4BE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9A4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259F1438">
            <w:pPr>
              <w:pStyle w:val="24"/>
              <w:bidi w:val="0"/>
              <w:ind w:left="0" w:leftChars="0"/>
              <w:rPr>
                <w:color w:val="auto"/>
              </w:rPr>
            </w:pPr>
          </w:p>
        </w:tc>
        <w:tc>
          <w:tcPr>
            <w:tcW w:w="245" w:type="pct"/>
            <w:vMerge w:val="continue"/>
            <w:noWrap w:val="0"/>
            <w:vAlign w:val="center"/>
          </w:tcPr>
          <w:p w14:paraId="7B030CB7">
            <w:pPr>
              <w:pStyle w:val="24"/>
              <w:bidi w:val="0"/>
              <w:ind w:left="0" w:leftChars="0"/>
              <w:rPr>
                <w:color w:val="auto"/>
              </w:rPr>
            </w:pPr>
          </w:p>
        </w:tc>
        <w:tc>
          <w:tcPr>
            <w:tcW w:w="317" w:type="pct"/>
            <w:vMerge w:val="continue"/>
            <w:noWrap w:val="0"/>
            <w:vAlign w:val="center"/>
          </w:tcPr>
          <w:p w14:paraId="080234BA">
            <w:pPr>
              <w:pStyle w:val="24"/>
              <w:bidi w:val="0"/>
              <w:ind w:left="0" w:leftChars="0"/>
              <w:rPr>
                <w:color w:val="auto"/>
              </w:rPr>
            </w:pPr>
          </w:p>
        </w:tc>
        <w:tc>
          <w:tcPr>
            <w:tcW w:w="180" w:type="pct"/>
            <w:vMerge w:val="continue"/>
            <w:noWrap w:val="0"/>
            <w:vAlign w:val="center"/>
          </w:tcPr>
          <w:p w14:paraId="1C0643F1">
            <w:pPr>
              <w:pStyle w:val="24"/>
              <w:bidi w:val="0"/>
              <w:ind w:left="0" w:leftChars="0"/>
              <w:rPr>
                <w:color w:val="auto"/>
              </w:rPr>
            </w:pPr>
          </w:p>
        </w:tc>
        <w:tc>
          <w:tcPr>
            <w:tcW w:w="462" w:type="pct"/>
            <w:vMerge w:val="continue"/>
            <w:noWrap w:val="0"/>
            <w:vAlign w:val="center"/>
          </w:tcPr>
          <w:p w14:paraId="032671B0">
            <w:pPr>
              <w:pStyle w:val="24"/>
              <w:bidi w:val="0"/>
              <w:ind w:left="0" w:leftChars="0"/>
              <w:rPr>
                <w:color w:val="auto"/>
              </w:rPr>
            </w:pPr>
          </w:p>
        </w:tc>
        <w:tc>
          <w:tcPr>
            <w:tcW w:w="296" w:type="pct"/>
            <w:vMerge w:val="continue"/>
            <w:noWrap w:val="0"/>
            <w:vAlign w:val="center"/>
          </w:tcPr>
          <w:p w14:paraId="46E175BA">
            <w:pPr>
              <w:pStyle w:val="24"/>
              <w:bidi w:val="0"/>
              <w:ind w:left="0" w:leftChars="0"/>
              <w:rPr>
                <w:color w:val="auto"/>
              </w:rPr>
            </w:pPr>
          </w:p>
        </w:tc>
        <w:tc>
          <w:tcPr>
            <w:tcW w:w="443" w:type="pct"/>
            <w:vMerge w:val="continue"/>
            <w:noWrap w:val="0"/>
            <w:vAlign w:val="center"/>
          </w:tcPr>
          <w:p w14:paraId="0395C68A">
            <w:pPr>
              <w:pStyle w:val="24"/>
              <w:bidi w:val="0"/>
              <w:ind w:left="0" w:leftChars="0"/>
              <w:rPr>
                <w:color w:val="auto"/>
              </w:rPr>
            </w:pPr>
          </w:p>
        </w:tc>
        <w:tc>
          <w:tcPr>
            <w:tcW w:w="282" w:type="pct"/>
            <w:vMerge w:val="continue"/>
            <w:noWrap/>
            <w:vAlign w:val="center"/>
          </w:tcPr>
          <w:p w14:paraId="370F73C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E8D597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9E346A8">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5EA61A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15.97</w:t>
            </w:r>
          </w:p>
        </w:tc>
        <w:tc>
          <w:tcPr>
            <w:tcW w:w="331" w:type="pct"/>
            <w:noWrap w:val="0"/>
            <w:vAlign w:val="center"/>
          </w:tcPr>
          <w:p w14:paraId="54F2397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5D5E6B8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2BC5E2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839490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7D3985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505299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6C3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441E33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7F4C332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158BC3E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4FB63DB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6DBEE75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661D90B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447679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304F20A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42AC41C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9ABD07D">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7FE2112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34.29</w:t>
            </w:r>
          </w:p>
        </w:tc>
        <w:tc>
          <w:tcPr>
            <w:tcW w:w="331" w:type="pct"/>
            <w:noWrap w:val="0"/>
            <w:vAlign w:val="center"/>
          </w:tcPr>
          <w:p w14:paraId="1E2D15B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4B9E5B5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40F1B0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ECAF8F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CFB875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038EEE8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BD0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35B99A5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84BA4F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72AA95A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111C780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62352E9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37E0528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B1BB66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2C019C95">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8617F4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C17370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1C4A14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21.24</w:t>
            </w:r>
          </w:p>
        </w:tc>
        <w:tc>
          <w:tcPr>
            <w:tcW w:w="331" w:type="pct"/>
            <w:noWrap w:val="0"/>
            <w:vAlign w:val="center"/>
          </w:tcPr>
          <w:p w14:paraId="0140B10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727C4FE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16905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11BE8B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E69806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D1F8BD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26D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1401EB6">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5597535A">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434DF851">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5AADBBB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21BD0BA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23FEF21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5E0DA0B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0F1C4A4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-18.1</w:t>
            </w:r>
          </w:p>
        </w:tc>
        <w:tc>
          <w:tcPr>
            <w:tcW w:w="267" w:type="pct"/>
            <w:vMerge w:val="restart"/>
            <w:noWrap/>
            <w:vAlign w:val="center"/>
          </w:tcPr>
          <w:p w14:paraId="7005AF7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40.64</w:t>
            </w:r>
          </w:p>
        </w:tc>
        <w:tc>
          <w:tcPr>
            <w:tcW w:w="258" w:type="pct"/>
            <w:vMerge w:val="restart"/>
            <w:noWrap/>
            <w:vAlign w:val="center"/>
          </w:tcPr>
          <w:p w14:paraId="64FA66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7C19EF7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5.89</w:t>
            </w:r>
          </w:p>
        </w:tc>
        <w:tc>
          <w:tcPr>
            <w:tcW w:w="331" w:type="pct"/>
            <w:noWrap w:val="0"/>
            <w:vAlign w:val="center"/>
          </w:tcPr>
          <w:p w14:paraId="7D8649F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68.69</w:t>
            </w:r>
          </w:p>
        </w:tc>
        <w:tc>
          <w:tcPr>
            <w:tcW w:w="233" w:type="pct"/>
            <w:noWrap w:val="0"/>
            <w:vAlign w:val="center"/>
          </w:tcPr>
          <w:p w14:paraId="3F6B038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E5C1A7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989CDA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B0F8EA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42.69</w:t>
            </w:r>
          </w:p>
        </w:tc>
        <w:tc>
          <w:tcPr>
            <w:tcW w:w="313" w:type="pct"/>
            <w:noWrap/>
            <w:vAlign w:val="center"/>
          </w:tcPr>
          <w:p w14:paraId="698C680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751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6A7473B">
            <w:pPr>
              <w:pStyle w:val="24"/>
              <w:bidi w:val="0"/>
              <w:ind w:left="0" w:leftChars="0"/>
              <w:rPr>
                <w:color w:val="auto"/>
              </w:rPr>
            </w:pPr>
          </w:p>
        </w:tc>
        <w:tc>
          <w:tcPr>
            <w:tcW w:w="245" w:type="pct"/>
            <w:vMerge w:val="continue"/>
            <w:noWrap w:val="0"/>
            <w:vAlign w:val="center"/>
          </w:tcPr>
          <w:p w14:paraId="472E0E70">
            <w:pPr>
              <w:pStyle w:val="24"/>
              <w:bidi w:val="0"/>
              <w:ind w:left="0" w:leftChars="0"/>
              <w:rPr>
                <w:color w:val="auto"/>
              </w:rPr>
            </w:pPr>
          </w:p>
        </w:tc>
        <w:tc>
          <w:tcPr>
            <w:tcW w:w="317" w:type="pct"/>
            <w:vMerge w:val="continue"/>
            <w:noWrap w:val="0"/>
            <w:vAlign w:val="center"/>
          </w:tcPr>
          <w:p w14:paraId="5E535143">
            <w:pPr>
              <w:pStyle w:val="24"/>
              <w:bidi w:val="0"/>
              <w:ind w:left="0" w:leftChars="0"/>
              <w:rPr>
                <w:color w:val="auto"/>
              </w:rPr>
            </w:pPr>
          </w:p>
        </w:tc>
        <w:tc>
          <w:tcPr>
            <w:tcW w:w="180" w:type="pct"/>
            <w:vMerge w:val="continue"/>
            <w:noWrap w:val="0"/>
            <w:vAlign w:val="center"/>
          </w:tcPr>
          <w:p w14:paraId="5D51092F">
            <w:pPr>
              <w:pStyle w:val="24"/>
              <w:bidi w:val="0"/>
              <w:ind w:left="0" w:leftChars="0"/>
              <w:rPr>
                <w:color w:val="auto"/>
              </w:rPr>
            </w:pPr>
          </w:p>
        </w:tc>
        <w:tc>
          <w:tcPr>
            <w:tcW w:w="462" w:type="pct"/>
            <w:vMerge w:val="continue"/>
            <w:noWrap w:val="0"/>
            <w:vAlign w:val="center"/>
          </w:tcPr>
          <w:p w14:paraId="0A5EF75A">
            <w:pPr>
              <w:pStyle w:val="24"/>
              <w:bidi w:val="0"/>
              <w:ind w:left="0" w:leftChars="0"/>
              <w:rPr>
                <w:color w:val="auto"/>
              </w:rPr>
            </w:pPr>
          </w:p>
        </w:tc>
        <w:tc>
          <w:tcPr>
            <w:tcW w:w="296" w:type="pct"/>
            <w:vMerge w:val="continue"/>
            <w:noWrap w:val="0"/>
            <w:vAlign w:val="center"/>
          </w:tcPr>
          <w:p w14:paraId="4F644A02">
            <w:pPr>
              <w:pStyle w:val="24"/>
              <w:bidi w:val="0"/>
              <w:ind w:left="0" w:leftChars="0"/>
              <w:rPr>
                <w:color w:val="auto"/>
              </w:rPr>
            </w:pPr>
          </w:p>
        </w:tc>
        <w:tc>
          <w:tcPr>
            <w:tcW w:w="443" w:type="pct"/>
            <w:vMerge w:val="continue"/>
            <w:noWrap w:val="0"/>
            <w:vAlign w:val="center"/>
          </w:tcPr>
          <w:p w14:paraId="29452C18">
            <w:pPr>
              <w:pStyle w:val="24"/>
              <w:bidi w:val="0"/>
              <w:ind w:left="0" w:leftChars="0"/>
              <w:rPr>
                <w:color w:val="auto"/>
              </w:rPr>
            </w:pPr>
          </w:p>
        </w:tc>
        <w:tc>
          <w:tcPr>
            <w:tcW w:w="282" w:type="pct"/>
            <w:vMerge w:val="continue"/>
            <w:noWrap/>
            <w:vAlign w:val="center"/>
          </w:tcPr>
          <w:p w14:paraId="786913A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1033BD7">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22AA116">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804949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8.88</w:t>
            </w:r>
          </w:p>
        </w:tc>
        <w:tc>
          <w:tcPr>
            <w:tcW w:w="331" w:type="pct"/>
            <w:noWrap w:val="0"/>
            <w:vAlign w:val="center"/>
          </w:tcPr>
          <w:p w14:paraId="5AF5B5D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68.61</w:t>
            </w:r>
          </w:p>
        </w:tc>
        <w:tc>
          <w:tcPr>
            <w:tcW w:w="233" w:type="pct"/>
            <w:noWrap w:val="0"/>
            <w:vAlign w:val="center"/>
          </w:tcPr>
          <w:p w14:paraId="4558BD9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65A9D7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A08AB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9A4284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42.61</w:t>
            </w:r>
          </w:p>
        </w:tc>
        <w:tc>
          <w:tcPr>
            <w:tcW w:w="313" w:type="pct"/>
            <w:noWrap/>
            <w:vAlign w:val="center"/>
          </w:tcPr>
          <w:p w14:paraId="676675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B64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24F0539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5D9392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73A2DA2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16F885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7E7EDD1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5262B96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962CE1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D67BD9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7C45EA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D244276">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41B5D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38.18</w:t>
            </w:r>
          </w:p>
        </w:tc>
        <w:tc>
          <w:tcPr>
            <w:tcW w:w="331" w:type="pct"/>
            <w:noWrap w:val="0"/>
            <w:vAlign w:val="center"/>
          </w:tcPr>
          <w:p w14:paraId="71F9CA8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5328D1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FDAA0A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9F84E3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5079A0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22084E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6C36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10A19B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3FFB6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1BBFEB0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3DF7FEF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5E7170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323571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01579D4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3D803F3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CB3AF85">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74A181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6AA2A6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28.33</w:t>
            </w:r>
          </w:p>
        </w:tc>
        <w:tc>
          <w:tcPr>
            <w:tcW w:w="331" w:type="pct"/>
            <w:noWrap w:val="0"/>
            <w:vAlign w:val="center"/>
          </w:tcPr>
          <w:p w14:paraId="4102435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5BB742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1F885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F51C3C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575945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4BE5C58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3A6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1E6F00C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125782C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906" w:type="dxa"/>
            <w:vMerge w:val="restart"/>
            <w:shd w:val="clear" w:color="auto" w:fill="auto"/>
            <w:noWrap w:val="0"/>
            <w:vAlign w:val="center"/>
          </w:tcPr>
          <w:p w14:paraId="44B7F35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
              </w:rPr>
            </w:pPr>
            <w:r>
              <w:rPr>
                <w:rFonts w:hint="eastAsia" w:cs="Courier New"/>
                <w:b w:val="0"/>
                <w:bCs w:val="0"/>
                <w:color w:val="auto"/>
                <w:sz w:val="21"/>
                <w:szCs w:val="21"/>
                <w:highlight w:val="none"/>
                <w:lang w:val="en-US" w:eastAsia="zh-CN"/>
              </w:rPr>
              <w:t>**</w:t>
            </w:r>
          </w:p>
        </w:tc>
        <w:tc>
          <w:tcPr>
            <w:tcW w:w="180" w:type="pct"/>
            <w:vMerge w:val="restart"/>
            <w:shd w:val="clear" w:color="auto" w:fill="auto"/>
            <w:noWrap w:val="0"/>
            <w:vAlign w:val="center"/>
          </w:tcPr>
          <w:p w14:paraId="30C9BB4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029849C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shd w:val="clear" w:color="auto" w:fill="auto"/>
            <w:noWrap w:val="0"/>
            <w:vAlign w:val="center"/>
          </w:tcPr>
          <w:p w14:paraId="0F282EA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3B0D819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392B596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-14.53</w:t>
            </w:r>
          </w:p>
        </w:tc>
        <w:tc>
          <w:tcPr>
            <w:tcW w:w="267" w:type="pct"/>
            <w:vMerge w:val="restart"/>
            <w:noWrap/>
            <w:vAlign w:val="center"/>
          </w:tcPr>
          <w:p w14:paraId="229EF2C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38.9</w:t>
            </w:r>
          </w:p>
        </w:tc>
        <w:tc>
          <w:tcPr>
            <w:tcW w:w="258" w:type="pct"/>
            <w:vMerge w:val="restart"/>
            <w:noWrap/>
            <w:vAlign w:val="center"/>
          </w:tcPr>
          <w:p w14:paraId="1ED14F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48CDC9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9.82</w:t>
            </w:r>
          </w:p>
        </w:tc>
        <w:tc>
          <w:tcPr>
            <w:tcW w:w="331" w:type="pct"/>
            <w:noWrap w:val="0"/>
            <w:vAlign w:val="center"/>
          </w:tcPr>
          <w:p w14:paraId="0627F96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w:t>
            </w:r>
          </w:p>
        </w:tc>
        <w:tc>
          <w:tcPr>
            <w:tcW w:w="233" w:type="pct"/>
            <w:noWrap w:val="0"/>
            <w:vAlign w:val="center"/>
          </w:tcPr>
          <w:p w14:paraId="25436A5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0DD69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5062EF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3B61DB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w:t>
            </w:r>
          </w:p>
        </w:tc>
        <w:tc>
          <w:tcPr>
            <w:tcW w:w="313" w:type="pct"/>
            <w:noWrap/>
            <w:vAlign w:val="center"/>
          </w:tcPr>
          <w:p w14:paraId="7EF8581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01E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1D34E5C7">
            <w:pPr>
              <w:pStyle w:val="24"/>
              <w:bidi w:val="0"/>
              <w:ind w:left="0" w:leftChars="0"/>
              <w:rPr>
                <w:color w:val="auto"/>
              </w:rPr>
            </w:pPr>
          </w:p>
        </w:tc>
        <w:tc>
          <w:tcPr>
            <w:tcW w:w="245" w:type="pct"/>
            <w:vMerge w:val="continue"/>
            <w:noWrap w:val="0"/>
            <w:vAlign w:val="center"/>
          </w:tcPr>
          <w:p w14:paraId="2EE9FA91">
            <w:pPr>
              <w:pStyle w:val="24"/>
              <w:bidi w:val="0"/>
              <w:ind w:left="0" w:leftChars="0"/>
              <w:rPr>
                <w:color w:val="auto"/>
              </w:rPr>
            </w:pPr>
          </w:p>
        </w:tc>
        <w:tc>
          <w:tcPr>
            <w:tcW w:w="317" w:type="pct"/>
            <w:vMerge w:val="continue"/>
            <w:shd w:val="clear" w:color="auto" w:fill="auto"/>
            <w:noWrap w:val="0"/>
            <w:vAlign w:val="center"/>
          </w:tcPr>
          <w:p w14:paraId="07DDC0D5">
            <w:pPr>
              <w:pStyle w:val="24"/>
              <w:bidi w:val="0"/>
              <w:ind w:left="0" w:leftChars="0"/>
              <w:rPr>
                <w:color w:val="auto"/>
              </w:rPr>
            </w:pPr>
          </w:p>
        </w:tc>
        <w:tc>
          <w:tcPr>
            <w:tcW w:w="180" w:type="pct"/>
            <w:vMerge w:val="continue"/>
            <w:shd w:val="clear" w:color="auto" w:fill="auto"/>
            <w:noWrap w:val="0"/>
            <w:vAlign w:val="center"/>
          </w:tcPr>
          <w:p w14:paraId="6D7B1BD3">
            <w:pPr>
              <w:pStyle w:val="24"/>
              <w:bidi w:val="0"/>
              <w:ind w:left="0" w:leftChars="0"/>
              <w:rPr>
                <w:color w:val="auto"/>
              </w:rPr>
            </w:pPr>
          </w:p>
        </w:tc>
        <w:tc>
          <w:tcPr>
            <w:tcW w:w="462" w:type="pct"/>
            <w:vMerge w:val="continue"/>
            <w:shd w:val="clear" w:color="auto" w:fill="auto"/>
            <w:noWrap w:val="0"/>
            <w:vAlign w:val="center"/>
          </w:tcPr>
          <w:p w14:paraId="739F8A6A">
            <w:pPr>
              <w:pStyle w:val="24"/>
              <w:bidi w:val="0"/>
              <w:ind w:left="0" w:leftChars="0"/>
              <w:rPr>
                <w:color w:val="auto"/>
              </w:rPr>
            </w:pPr>
          </w:p>
        </w:tc>
        <w:tc>
          <w:tcPr>
            <w:tcW w:w="296" w:type="pct"/>
            <w:vMerge w:val="continue"/>
            <w:shd w:val="clear" w:color="auto" w:fill="auto"/>
            <w:noWrap w:val="0"/>
            <w:vAlign w:val="center"/>
          </w:tcPr>
          <w:p w14:paraId="735AB0D6">
            <w:pPr>
              <w:pStyle w:val="24"/>
              <w:bidi w:val="0"/>
              <w:ind w:left="0" w:leftChars="0"/>
              <w:rPr>
                <w:color w:val="auto"/>
              </w:rPr>
            </w:pPr>
          </w:p>
        </w:tc>
        <w:tc>
          <w:tcPr>
            <w:tcW w:w="443" w:type="pct"/>
            <w:vMerge w:val="continue"/>
            <w:shd w:val="clear" w:color="auto" w:fill="auto"/>
            <w:noWrap w:val="0"/>
            <w:vAlign w:val="center"/>
          </w:tcPr>
          <w:p w14:paraId="59F6D890">
            <w:pPr>
              <w:pStyle w:val="24"/>
              <w:bidi w:val="0"/>
              <w:ind w:left="0" w:leftChars="0"/>
              <w:rPr>
                <w:color w:val="auto"/>
              </w:rPr>
            </w:pPr>
          </w:p>
        </w:tc>
        <w:tc>
          <w:tcPr>
            <w:tcW w:w="282" w:type="pct"/>
            <w:vMerge w:val="continue"/>
            <w:noWrap/>
            <w:vAlign w:val="center"/>
          </w:tcPr>
          <w:p w14:paraId="593940D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5A39EA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13E4E460">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0EA272A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8.81</w:t>
            </w:r>
          </w:p>
        </w:tc>
        <w:tc>
          <w:tcPr>
            <w:tcW w:w="331" w:type="pct"/>
            <w:noWrap w:val="0"/>
            <w:vAlign w:val="center"/>
          </w:tcPr>
          <w:p w14:paraId="11D498C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49560D3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613816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700C55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0D628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4A71915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8C4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4D85B32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1168125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shd w:val="clear" w:color="auto" w:fill="auto"/>
            <w:noWrap w:val="0"/>
            <w:vAlign w:val="center"/>
          </w:tcPr>
          <w:p w14:paraId="7552B03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1BAB83E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220C1E9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3C43EB4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2CD89DA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EDD35E7">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04527A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6C0692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5D54E3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34.26</w:t>
            </w:r>
          </w:p>
        </w:tc>
        <w:tc>
          <w:tcPr>
            <w:tcW w:w="331" w:type="pct"/>
            <w:noWrap w:val="0"/>
            <w:vAlign w:val="center"/>
          </w:tcPr>
          <w:p w14:paraId="45D88A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4732AF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BF4786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9FDEF4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E608EB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65EB83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696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42E301A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53AD2A6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shd w:val="clear" w:color="auto" w:fill="auto"/>
            <w:noWrap w:val="0"/>
            <w:vAlign w:val="center"/>
          </w:tcPr>
          <w:p w14:paraId="744BA1B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2F91FD5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68C4367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5EEA596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0D2FA0D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122F87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D728D8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BB202B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A7B417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28.39</w:t>
            </w:r>
          </w:p>
        </w:tc>
        <w:tc>
          <w:tcPr>
            <w:tcW w:w="331" w:type="pct"/>
            <w:noWrap w:val="0"/>
            <w:vAlign w:val="center"/>
          </w:tcPr>
          <w:p w14:paraId="59DDD15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6F4894E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8D10F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A90094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0D3CEA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04F0422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39B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14CF660">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6DC215CD">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4F98D9A8">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1A98DBB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344BD2A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77417FB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627B571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0DE798F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-13.44</w:t>
            </w:r>
          </w:p>
        </w:tc>
        <w:tc>
          <w:tcPr>
            <w:tcW w:w="267" w:type="pct"/>
            <w:vMerge w:val="restart"/>
            <w:noWrap/>
            <w:vAlign w:val="center"/>
          </w:tcPr>
          <w:p w14:paraId="58D85B8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30.45</w:t>
            </w:r>
          </w:p>
        </w:tc>
        <w:tc>
          <w:tcPr>
            <w:tcW w:w="258" w:type="pct"/>
            <w:vMerge w:val="restart"/>
            <w:noWrap/>
            <w:vAlign w:val="center"/>
          </w:tcPr>
          <w:p w14:paraId="536398D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5BE08E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15.54</w:t>
            </w:r>
          </w:p>
        </w:tc>
        <w:tc>
          <w:tcPr>
            <w:tcW w:w="331" w:type="pct"/>
            <w:noWrap w:val="0"/>
            <w:vAlign w:val="center"/>
          </w:tcPr>
          <w:p w14:paraId="446E1D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47E88E8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EB5E77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84913D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1CFEB4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34A041D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072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BA80D49">
            <w:pPr>
              <w:pStyle w:val="24"/>
              <w:bidi w:val="0"/>
              <w:ind w:left="0" w:leftChars="0"/>
              <w:rPr>
                <w:color w:val="auto"/>
              </w:rPr>
            </w:pPr>
          </w:p>
        </w:tc>
        <w:tc>
          <w:tcPr>
            <w:tcW w:w="245" w:type="pct"/>
            <w:vMerge w:val="continue"/>
            <w:noWrap w:val="0"/>
            <w:vAlign w:val="center"/>
          </w:tcPr>
          <w:p w14:paraId="38CC7F3B">
            <w:pPr>
              <w:pStyle w:val="24"/>
              <w:bidi w:val="0"/>
              <w:ind w:left="0" w:leftChars="0"/>
              <w:rPr>
                <w:color w:val="auto"/>
              </w:rPr>
            </w:pPr>
          </w:p>
        </w:tc>
        <w:tc>
          <w:tcPr>
            <w:tcW w:w="317" w:type="pct"/>
            <w:vMerge w:val="continue"/>
            <w:noWrap w:val="0"/>
            <w:vAlign w:val="center"/>
          </w:tcPr>
          <w:p w14:paraId="2693D88C">
            <w:pPr>
              <w:pStyle w:val="24"/>
              <w:bidi w:val="0"/>
              <w:ind w:left="0" w:leftChars="0"/>
              <w:rPr>
                <w:color w:val="auto"/>
              </w:rPr>
            </w:pPr>
          </w:p>
        </w:tc>
        <w:tc>
          <w:tcPr>
            <w:tcW w:w="180" w:type="pct"/>
            <w:vMerge w:val="continue"/>
            <w:noWrap w:val="0"/>
            <w:vAlign w:val="center"/>
          </w:tcPr>
          <w:p w14:paraId="149E43B7">
            <w:pPr>
              <w:pStyle w:val="24"/>
              <w:bidi w:val="0"/>
              <w:ind w:left="0" w:leftChars="0"/>
              <w:rPr>
                <w:color w:val="auto"/>
              </w:rPr>
            </w:pPr>
          </w:p>
        </w:tc>
        <w:tc>
          <w:tcPr>
            <w:tcW w:w="462" w:type="pct"/>
            <w:vMerge w:val="continue"/>
            <w:noWrap w:val="0"/>
            <w:vAlign w:val="center"/>
          </w:tcPr>
          <w:p w14:paraId="165A749E">
            <w:pPr>
              <w:pStyle w:val="24"/>
              <w:bidi w:val="0"/>
              <w:ind w:left="0" w:leftChars="0"/>
              <w:rPr>
                <w:color w:val="auto"/>
              </w:rPr>
            </w:pPr>
          </w:p>
        </w:tc>
        <w:tc>
          <w:tcPr>
            <w:tcW w:w="296" w:type="pct"/>
            <w:vMerge w:val="continue"/>
            <w:noWrap w:val="0"/>
            <w:vAlign w:val="center"/>
          </w:tcPr>
          <w:p w14:paraId="0133F52A">
            <w:pPr>
              <w:pStyle w:val="24"/>
              <w:bidi w:val="0"/>
              <w:ind w:left="0" w:leftChars="0"/>
              <w:rPr>
                <w:color w:val="auto"/>
              </w:rPr>
            </w:pPr>
          </w:p>
        </w:tc>
        <w:tc>
          <w:tcPr>
            <w:tcW w:w="443" w:type="pct"/>
            <w:vMerge w:val="continue"/>
            <w:noWrap w:val="0"/>
            <w:vAlign w:val="center"/>
          </w:tcPr>
          <w:p w14:paraId="3F72CEC4">
            <w:pPr>
              <w:pStyle w:val="24"/>
              <w:bidi w:val="0"/>
              <w:ind w:left="0" w:leftChars="0"/>
              <w:rPr>
                <w:color w:val="auto"/>
              </w:rPr>
            </w:pPr>
          </w:p>
        </w:tc>
        <w:tc>
          <w:tcPr>
            <w:tcW w:w="282" w:type="pct"/>
            <w:vMerge w:val="continue"/>
            <w:noWrap/>
            <w:vAlign w:val="center"/>
          </w:tcPr>
          <w:p w14:paraId="059477D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0BC365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AE1AC30">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474A4E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15.85</w:t>
            </w:r>
          </w:p>
        </w:tc>
        <w:tc>
          <w:tcPr>
            <w:tcW w:w="331" w:type="pct"/>
            <w:noWrap w:val="0"/>
            <w:vAlign w:val="center"/>
          </w:tcPr>
          <w:p w14:paraId="4B0F315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3D832FF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F64B27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6B189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485630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3049A5D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832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A88E3E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34D04E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37D3D9B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279C5F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3748142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1FB0D3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4EE034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2233535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E54F90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295140C">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01FA23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28.52</w:t>
            </w:r>
          </w:p>
        </w:tc>
        <w:tc>
          <w:tcPr>
            <w:tcW w:w="331" w:type="pct"/>
            <w:noWrap w:val="0"/>
            <w:vAlign w:val="center"/>
          </w:tcPr>
          <w:p w14:paraId="539782E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045DBF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BAE63B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D56D2B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F1BF5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AB18BE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EB3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1DA2450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1C66DB0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11268D5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720808B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9B3721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29B9A25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EEEFFC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39A026B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60C583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6B5CF9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660EA1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21.35</w:t>
            </w:r>
          </w:p>
        </w:tc>
        <w:tc>
          <w:tcPr>
            <w:tcW w:w="331" w:type="pct"/>
            <w:noWrap w:val="0"/>
            <w:vAlign w:val="center"/>
          </w:tcPr>
          <w:p w14:paraId="7EF449E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E38E54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D0B59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0302C2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02662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6EA95CB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6E75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45E6C6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3792521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906" w:type="dxa"/>
            <w:vMerge w:val="restart"/>
            <w:shd w:val="clear" w:color="auto" w:fill="auto"/>
            <w:noWrap w:val="0"/>
            <w:vAlign w:val="center"/>
          </w:tcPr>
          <w:p w14:paraId="3D88FB5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
              </w:rPr>
            </w:pPr>
            <w:r>
              <w:rPr>
                <w:rFonts w:hint="eastAsia" w:cs="Courier New"/>
                <w:b w:val="0"/>
                <w:bCs w:val="0"/>
                <w:color w:val="auto"/>
                <w:sz w:val="21"/>
                <w:szCs w:val="21"/>
                <w:highlight w:val="none"/>
                <w:lang w:val="en-US" w:eastAsia="zh-CN"/>
              </w:rPr>
              <w:t>**</w:t>
            </w:r>
          </w:p>
        </w:tc>
        <w:tc>
          <w:tcPr>
            <w:tcW w:w="180" w:type="pct"/>
            <w:vMerge w:val="restart"/>
            <w:shd w:val="clear" w:color="auto" w:fill="auto"/>
            <w:noWrap w:val="0"/>
            <w:vAlign w:val="center"/>
          </w:tcPr>
          <w:p w14:paraId="714069D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6702BD0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shd w:val="clear" w:color="auto" w:fill="auto"/>
            <w:noWrap w:val="0"/>
            <w:vAlign w:val="center"/>
          </w:tcPr>
          <w:p w14:paraId="08D2BB1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56F5DBA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75CE6C8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-10.46</w:t>
            </w:r>
          </w:p>
        </w:tc>
        <w:tc>
          <w:tcPr>
            <w:tcW w:w="267" w:type="pct"/>
            <w:vMerge w:val="restart"/>
            <w:noWrap/>
            <w:vAlign w:val="center"/>
          </w:tcPr>
          <w:p w14:paraId="5B23DF1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29.07</w:t>
            </w:r>
          </w:p>
        </w:tc>
        <w:tc>
          <w:tcPr>
            <w:tcW w:w="258" w:type="pct"/>
            <w:vMerge w:val="restart"/>
            <w:noWrap/>
            <w:vAlign w:val="center"/>
          </w:tcPr>
          <w:p w14:paraId="6EBDCC5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759E99F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18.77</w:t>
            </w:r>
          </w:p>
        </w:tc>
        <w:tc>
          <w:tcPr>
            <w:tcW w:w="331" w:type="pct"/>
            <w:noWrap w:val="0"/>
            <w:vAlign w:val="center"/>
          </w:tcPr>
          <w:p w14:paraId="08E8BCA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45CF34E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907D30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377BF4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AD806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58C8E7F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A84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3A9E1A13">
            <w:pPr>
              <w:pStyle w:val="24"/>
              <w:bidi w:val="0"/>
              <w:ind w:left="0" w:leftChars="0"/>
              <w:rPr>
                <w:color w:val="auto"/>
              </w:rPr>
            </w:pPr>
          </w:p>
        </w:tc>
        <w:tc>
          <w:tcPr>
            <w:tcW w:w="245" w:type="pct"/>
            <w:vMerge w:val="continue"/>
            <w:noWrap w:val="0"/>
            <w:vAlign w:val="center"/>
          </w:tcPr>
          <w:p w14:paraId="250106AA">
            <w:pPr>
              <w:pStyle w:val="24"/>
              <w:bidi w:val="0"/>
              <w:ind w:left="0" w:leftChars="0"/>
              <w:rPr>
                <w:color w:val="auto"/>
              </w:rPr>
            </w:pPr>
          </w:p>
        </w:tc>
        <w:tc>
          <w:tcPr>
            <w:tcW w:w="317" w:type="pct"/>
            <w:vMerge w:val="continue"/>
            <w:shd w:val="clear" w:color="auto" w:fill="auto"/>
            <w:noWrap w:val="0"/>
            <w:vAlign w:val="center"/>
          </w:tcPr>
          <w:p w14:paraId="0D0D41C2">
            <w:pPr>
              <w:pStyle w:val="24"/>
              <w:bidi w:val="0"/>
              <w:ind w:left="0" w:leftChars="0"/>
              <w:rPr>
                <w:color w:val="auto"/>
              </w:rPr>
            </w:pPr>
          </w:p>
        </w:tc>
        <w:tc>
          <w:tcPr>
            <w:tcW w:w="180" w:type="pct"/>
            <w:vMerge w:val="continue"/>
            <w:shd w:val="clear" w:color="auto" w:fill="auto"/>
            <w:noWrap w:val="0"/>
            <w:vAlign w:val="center"/>
          </w:tcPr>
          <w:p w14:paraId="765B07EC">
            <w:pPr>
              <w:pStyle w:val="24"/>
              <w:bidi w:val="0"/>
              <w:ind w:left="0" w:leftChars="0"/>
              <w:rPr>
                <w:color w:val="auto"/>
              </w:rPr>
            </w:pPr>
          </w:p>
        </w:tc>
        <w:tc>
          <w:tcPr>
            <w:tcW w:w="462" w:type="pct"/>
            <w:vMerge w:val="continue"/>
            <w:shd w:val="clear" w:color="auto" w:fill="auto"/>
            <w:noWrap w:val="0"/>
            <w:vAlign w:val="center"/>
          </w:tcPr>
          <w:p w14:paraId="0A18375D">
            <w:pPr>
              <w:pStyle w:val="24"/>
              <w:bidi w:val="0"/>
              <w:ind w:left="0" w:leftChars="0"/>
              <w:rPr>
                <w:color w:val="auto"/>
              </w:rPr>
            </w:pPr>
          </w:p>
        </w:tc>
        <w:tc>
          <w:tcPr>
            <w:tcW w:w="296" w:type="pct"/>
            <w:vMerge w:val="continue"/>
            <w:shd w:val="clear" w:color="auto" w:fill="auto"/>
            <w:noWrap w:val="0"/>
            <w:vAlign w:val="center"/>
          </w:tcPr>
          <w:p w14:paraId="1F7A20A0">
            <w:pPr>
              <w:pStyle w:val="24"/>
              <w:bidi w:val="0"/>
              <w:ind w:left="0" w:leftChars="0"/>
              <w:rPr>
                <w:color w:val="auto"/>
              </w:rPr>
            </w:pPr>
          </w:p>
        </w:tc>
        <w:tc>
          <w:tcPr>
            <w:tcW w:w="443" w:type="pct"/>
            <w:vMerge w:val="continue"/>
            <w:shd w:val="clear" w:color="auto" w:fill="auto"/>
            <w:noWrap w:val="0"/>
            <w:vAlign w:val="center"/>
          </w:tcPr>
          <w:p w14:paraId="23A42630">
            <w:pPr>
              <w:pStyle w:val="24"/>
              <w:bidi w:val="0"/>
              <w:ind w:left="0" w:leftChars="0"/>
              <w:rPr>
                <w:color w:val="auto"/>
              </w:rPr>
            </w:pPr>
          </w:p>
        </w:tc>
        <w:tc>
          <w:tcPr>
            <w:tcW w:w="282" w:type="pct"/>
            <w:vMerge w:val="continue"/>
            <w:noWrap/>
            <w:vAlign w:val="center"/>
          </w:tcPr>
          <w:p w14:paraId="7BF5D83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B4873F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769B15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8D653E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15.73</w:t>
            </w:r>
          </w:p>
        </w:tc>
        <w:tc>
          <w:tcPr>
            <w:tcW w:w="331" w:type="pct"/>
            <w:noWrap w:val="0"/>
            <w:vAlign w:val="center"/>
          </w:tcPr>
          <w:p w14:paraId="053722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7FA491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11E5C0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46D2E2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369A25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669AC1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4C2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5D40158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6FEE4B8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shd w:val="clear" w:color="auto" w:fill="auto"/>
            <w:noWrap w:val="0"/>
            <w:vAlign w:val="center"/>
          </w:tcPr>
          <w:p w14:paraId="1A4BB03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2293C81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5757144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0CC9A98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5654912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486C1D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B1F158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5BEEFB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794E281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25.29</w:t>
            </w:r>
          </w:p>
        </w:tc>
        <w:tc>
          <w:tcPr>
            <w:tcW w:w="331" w:type="pct"/>
            <w:noWrap w:val="0"/>
            <w:vAlign w:val="center"/>
          </w:tcPr>
          <w:p w14:paraId="3D8D79E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5F0E965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6A9A85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E9C1B6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1F49EA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82E0BF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768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779236A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11A8EB6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shd w:val="clear" w:color="auto" w:fill="auto"/>
            <w:noWrap w:val="0"/>
            <w:vAlign w:val="center"/>
          </w:tcPr>
          <w:p w14:paraId="362169C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6BB98EB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4BBB068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7DADD10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5252C4D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923440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B7DD1D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1EBBF89">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D7549F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21.46</w:t>
            </w:r>
          </w:p>
        </w:tc>
        <w:tc>
          <w:tcPr>
            <w:tcW w:w="331" w:type="pct"/>
            <w:noWrap w:val="0"/>
            <w:vAlign w:val="center"/>
          </w:tcPr>
          <w:p w14:paraId="18672D5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1385E5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96B6A9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7C885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634FDC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5C06F6E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D83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746C207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28673AC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906" w:type="dxa"/>
            <w:vMerge w:val="restart"/>
            <w:shd w:val="clear" w:color="auto" w:fill="auto"/>
            <w:noWrap w:val="0"/>
            <w:vAlign w:val="center"/>
          </w:tcPr>
          <w:p w14:paraId="36FF0CB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180" w:type="pct"/>
            <w:vMerge w:val="restart"/>
            <w:shd w:val="clear" w:color="auto" w:fill="auto"/>
            <w:noWrap w:val="0"/>
            <w:vAlign w:val="center"/>
          </w:tcPr>
          <w:p w14:paraId="75F372E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4F8AFB6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shd w:val="clear" w:color="auto" w:fill="auto"/>
            <w:noWrap w:val="0"/>
            <w:vAlign w:val="center"/>
          </w:tcPr>
          <w:p w14:paraId="75E624F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733A299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674629D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-7.48</w:t>
            </w:r>
          </w:p>
        </w:tc>
        <w:tc>
          <w:tcPr>
            <w:tcW w:w="267" w:type="pct"/>
            <w:vMerge w:val="restart"/>
            <w:noWrap/>
            <w:vAlign w:val="center"/>
          </w:tcPr>
          <w:p w14:paraId="6CB4CF9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27.26</w:t>
            </w:r>
          </w:p>
        </w:tc>
        <w:tc>
          <w:tcPr>
            <w:tcW w:w="258" w:type="pct"/>
            <w:vMerge w:val="restart"/>
            <w:noWrap/>
            <w:vAlign w:val="center"/>
          </w:tcPr>
          <w:p w14:paraId="321531D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2FC3A81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22.25</w:t>
            </w:r>
          </w:p>
        </w:tc>
        <w:tc>
          <w:tcPr>
            <w:tcW w:w="331" w:type="pct"/>
            <w:noWrap w:val="0"/>
            <w:vAlign w:val="center"/>
          </w:tcPr>
          <w:p w14:paraId="233D7B7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468F8A1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F3B990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506E3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9C82F3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2547788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A1F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06F827ED">
            <w:pPr>
              <w:pStyle w:val="24"/>
              <w:bidi w:val="0"/>
              <w:ind w:left="0" w:leftChars="0"/>
              <w:rPr>
                <w:color w:val="auto"/>
              </w:rPr>
            </w:pPr>
          </w:p>
        </w:tc>
        <w:tc>
          <w:tcPr>
            <w:tcW w:w="245" w:type="pct"/>
            <w:vMerge w:val="continue"/>
            <w:noWrap w:val="0"/>
            <w:vAlign w:val="center"/>
          </w:tcPr>
          <w:p w14:paraId="7DCCD0EA">
            <w:pPr>
              <w:pStyle w:val="24"/>
              <w:bidi w:val="0"/>
              <w:ind w:left="0" w:leftChars="0"/>
              <w:rPr>
                <w:color w:val="auto"/>
              </w:rPr>
            </w:pPr>
          </w:p>
        </w:tc>
        <w:tc>
          <w:tcPr>
            <w:tcW w:w="317" w:type="pct"/>
            <w:vMerge w:val="continue"/>
            <w:shd w:val="clear" w:color="auto" w:fill="auto"/>
            <w:noWrap w:val="0"/>
            <w:vAlign w:val="center"/>
          </w:tcPr>
          <w:p w14:paraId="525D815D">
            <w:pPr>
              <w:pStyle w:val="24"/>
              <w:bidi w:val="0"/>
              <w:ind w:left="0" w:leftChars="0"/>
              <w:rPr>
                <w:color w:val="auto"/>
              </w:rPr>
            </w:pPr>
          </w:p>
        </w:tc>
        <w:tc>
          <w:tcPr>
            <w:tcW w:w="180" w:type="pct"/>
            <w:vMerge w:val="continue"/>
            <w:shd w:val="clear" w:color="auto" w:fill="auto"/>
            <w:noWrap w:val="0"/>
            <w:vAlign w:val="center"/>
          </w:tcPr>
          <w:p w14:paraId="45A56667">
            <w:pPr>
              <w:pStyle w:val="24"/>
              <w:bidi w:val="0"/>
              <w:ind w:left="0" w:leftChars="0"/>
              <w:rPr>
                <w:color w:val="auto"/>
              </w:rPr>
            </w:pPr>
          </w:p>
        </w:tc>
        <w:tc>
          <w:tcPr>
            <w:tcW w:w="462" w:type="pct"/>
            <w:vMerge w:val="continue"/>
            <w:shd w:val="clear" w:color="auto" w:fill="auto"/>
            <w:noWrap w:val="0"/>
            <w:vAlign w:val="center"/>
          </w:tcPr>
          <w:p w14:paraId="4773D48C">
            <w:pPr>
              <w:pStyle w:val="24"/>
              <w:bidi w:val="0"/>
              <w:ind w:left="0" w:leftChars="0"/>
              <w:rPr>
                <w:color w:val="auto"/>
              </w:rPr>
            </w:pPr>
          </w:p>
        </w:tc>
        <w:tc>
          <w:tcPr>
            <w:tcW w:w="296" w:type="pct"/>
            <w:vMerge w:val="continue"/>
            <w:shd w:val="clear" w:color="auto" w:fill="auto"/>
            <w:noWrap w:val="0"/>
            <w:vAlign w:val="center"/>
          </w:tcPr>
          <w:p w14:paraId="666569C4">
            <w:pPr>
              <w:pStyle w:val="24"/>
              <w:bidi w:val="0"/>
              <w:ind w:left="0" w:leftChars="0"/>
              <w:rPr>
                <w:color w:val="auto"/>
              </w:rPr>
            </w:pPr>
          </w:p>
        </w:tc>
        <w:tc>
          <w:tcPr>
            <w:tcW w:w="443" w:type="pct"/>
            <w:vMerge w:val="continue"/>
            <w:shd w:val="clear" w:color="auto" w:fill="auto"/>
            <w:noWrap w:val="0"/>
            <w:vAlign w:val="center"/>
          </w:tcPr>
          <w:p w14:paraId="2243C525">
            <w:pPr>
              <w:pStyle w:val="24"/>
              <w:bidi w:val="0"/>
              <w:ind w:left="0" w:leftChars="0"/>
              <w:rPr>
                <w:color w:val="auto"/>
              </w:rPr>
            </w:pPr>
          </w:p>
        </w:tc>
        <w:tc>
          <w:tcPr>
            <w:tcW w:w="282" w:type="pct"/>
            <w:vMerge w:val="continue"/>
            <w:noWrap/>
            <w:vAlign w:val="center"/>
          </w:tcPr>
          <w:p w14:paraId="00F10AF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3D3267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03A27EF">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7378EA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15.99</w:t>
            </w:r>
          </w:p>
        </w:tc>
        <w:tc>
          <w:tcPr>
            <w:tcW w:w="331" w:type="pct"/>
            <w:noWrap w:val="0"/>
            <w:vAlign w:val="center"/>
          </w:tcPr>
          <w:p w14:paraId="5816138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525213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5F93A3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D12B6E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8B12F3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617A3AC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C28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5C87A90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77686A2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shd w:val="clear" w:color="auto" w:fill="auto"/>
            <w:noWrap w:val="0"/>
            <w:vAlign w:val="center"/>
          </w:tcPr>
          <w:p w14:paraId="39EE31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54A342F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37E813D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4992293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0099962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7C110877">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A1BBCF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ADF1E99">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C0A15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21.81</w:t>
            </w:r>
          </w:p>
        </w:tc>
        <w:tc>
          <w:tcPr>
            <w:tcW w:w="331" w:type="pct"/>
            <w:noWrap w:val="0"/>
            <w:vAlign w:val="center"/>
          </w:tcPr>
          <w:p w14:paraId="41404E8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61F184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F6BE75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99978A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41A8F7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35C0B5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70F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2" w:type="pct"/>
            <w:vMerge w:val="continue"/>
            <w:noWrap w:val="0"/>
            <w:vAlign w:val="center"/>
          </w:tcPr>
          <w:p w14:paraId="321400B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254412E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shd w:val="clear" w:color="auto" w:fill="auto"/>
            <w:noWrap w:val="0"/>
            <w:vAlign w:val="center"/>
          </w:tcPr>
          <w:p w14:paraId="0EDA20B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shd w:val="clear" w:color="auto" w:fill="auto"/>
            <w:noWrap w:val="0"/>
            <w:vAlign w:val="center"/>
          </w:tcPr>
          <w:p w14:paraId="5FDB65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shd w:val="clear" w:color="auto" w:fill="auto"/>
            <w:noWrap w:val="0"/>
            <w:vAlign w:val="center"/>
          </w:tcPr>
          <w:p w14:paraId="0DE12B6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shd w:val="clear" w:color="auto" w:fill="auto"/>
            <w:noWrap w:val="0"/>
            <w:vAlign w:val="center"/>
          </w:tcPr>
          <w:p w14:paraId="3C7C17C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shd w:val="clear" w:color="auto" w:fill="auto"/>
            <w:noWrap w:val="0"/>
            <w:vAlign w:val="center"/>
          </w:tcPr>
          <w:p w14:paraId="75D8A0B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AE577B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14CEEA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1178A8F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992B5F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21.19</w:t>
            </w:r>
          </w:p>
        </w:tc>
        <w:tc>
          <w:tcPr>
            <w:tcW w:w="331" w:type="pct"/>
            <w:noWrap w:val="0"/>
            <w:vAlign w:val="center"/>
          </w:tcPr>
          <w:p w14:paraId="6D39D6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45005C7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17FEFA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315384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4A08C1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1175417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429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1EAFD92B">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05179F00">
            <w:pPr>
              <w:pStyle w:val="24"/>
              <w:bidi w:val="0"/>
              <w:rPr>
                <w:rFonts w:hint="default" w:ascii="Times New Roman" w:hAnsi="Times New Roman" w:eastAsia="宋体" w:cs="Courier New"/>
                <w:b w:val="0"/>
                <w:bCs w:val="0"/>
                <w:color w:val="auto"/>
                <w:highlight w:val="none"/>
                <w:lang w:val="en-US" w:eastAsia="zh-CN"/>
              </w:rPr>
            </w:pPr>
          </w:p>
        </w:tc>
        <w:tc>
          <w:tcPr>
            <w:tcW w:w="906" w:type="dxa"/>
            <w:vMerge w:val="restart"/>
            <w:noWrap w:val="0"/>
            <w:vAlign w:val="center"/>
          </w:tcPr>
          <w:p w14:paraId="682BB8A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28594FF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3D40BD7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80/1</w:t>
            </w:r>
          </w:p>
        </w:tc>
        <w:tc>
          <w:tcPr>
            <w:tcW w:w="296" w:type="pct"/>
            <w:vMerge w:val="restart"/>
            <w:noWrap w:val="0"/>
            <w:vAlign w:val="center"/>
          </w:tcPr>
          <w:p w14:paraId="6BDF483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0F57AF3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1A129D1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-0.65</w:t>
            </w:r>
          </w:p>
        </w:tc>
        <w:tc>
          <w:tcPr>
            <w:tcW w:w="267" w:type="pct"/>
            <w:vMerge w:val="restart"/>
            <w:noWrap/>
            <w:vAlign w:val="center"/>
          </w:tcPr>
          <w:p w14:paraId="7F83E59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32.12</w:t>
            </w:r>
          </w:p>
        </w:tc>
        <w:tc>
          <w:tcPr>
            <w:tcW w:w="258" w:type="pct"/>
            <w:vMerge w:val="restart"/>
            <w:noWrap/>
            <w:vAlign w:val="center"/>
          </w:tcPr>
          <w:p w14:paraId="683296E1">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026985A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25.08</w:t>
            </w:r>
          </w:p>
        </w:tc>
        <w:tc>
          <w:tcPr>
            <w:tcW w:w="331" w:type="pct"/>
            <w:noWrap w:val="0"/>
            <w:vAlign w:val="center"/>
          </w:tcPr>
          <w:p w14:paraId="037D2C6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055C4404">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A9E39A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153E74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463320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6BBBC95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F9E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084249BE">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574DD6A1">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49BC2628">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p>
        </w:tc>
        <w:tc>
          <w:tcPr>
            <w:tcW w:w="180" w:type="pct"/>
            <w:vMerge w:val="continue"/>
            <w:noWrap w:val="0"/>
            <w:vAlign w:val="center"/>
          </w:tcPr>
          <w:p w14:paraId="53E9CDD9">
            <w:pPr>
              <w:pStyle w:val="24"/>
              <w:bidi w:val="0"/>
              <w:rPr>
                <w:rFonts w:hint="eastAsia" w:ascii="Times New Roman" w:hAnsi="Times New Roman" w:eastAsia="宋体" w:cs="Courier New"/>
                <w:b w:val="0"/>
                <w:bCs w:val="0"/>
                <w:color w:val="auto"/>
                <w:highlight w:val="none"/>
                <w:lang w:val="en-US" w:eastAsia="zh-CN"/>
              </w:rPr>
            </w:pPr>
          </w:p>
        </w:tc>
        <w:tc>
          <w:tcPr>
            <w:tcW w:w="462" w:type="pct"/>
            <w:vMerge w:val="continue"/>
            <w:noWrap w:val="0"/>
            <w:vAlign w:val="center"/>
          </w:tcPr>
          <w:p w14:paraId="3C027B2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96" w:type="pct"/>
            <w:vMerge w:val="continue"/>
            <w:noWrap w:val="0"/>
            <w:vAlign w:val="center"/>
          </w:tcPr>
          <w:p w14:paraId="6790CAB8">
            <w:pPr>
              <w:pStyle w:val="24"/>
              <w:bidi w:val="0"/>
              <w:rPr>
                <w:rFonts w:hint="eastAsia" w:ascii="Times New Roman" w:hAnsi="Times New Roman" w:eastAsia="宋体" w:cs="Courier New"/>
                <w:b w:val="0"/>
                <w:bCs w:val="0"/>
                <w:color w:val="auto"/>
                <w:highlight w:val="none"/>
                <w:lang w:val="en-US" w:eastAsia="zh-CN"/>
              </w:rPr>
            </w:pPr>
          </w:p>
        </w:tc>
        <w:tc>
          <w:tcPr>
            <w:tcW w:w="443" w:type="pct"/>
            <w:vMerge w:val="continue"/>
            <w:noWrap w:val="0"/>
            <w:vAlign w:val="center"/>
          </w:tcPr>
          <w:p w14:paraId="50B8162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714BCF8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E03C57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D65436C">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D6A90B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8.57</w:t>
            </w:r>
          </w:p>
        </w:tc>
        <w:tc>
          <w:tcPr>
            <w:tcW w:w="331" w:type="pct"/>
            <w:noWrap w:val="0"/>
            <w:vAlign w:val="center"/>
          </w:tcPr>
          <w:p w14:paraId="5EAEA79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2F621CF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413DE8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581E09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18DFCC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62C511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1B6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774AEA36">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5947C649">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4AE74C4A">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p>
        </w:tc>
        <w:tc>
          <w:tcPr>
            <w:tcW w:w="180" w:type="pct"/>
            <w:vMerge w:val="continue"/>
            <w:noWrap w:val="0"/>
            <w:vAlign w:val="center"/>
          </w:tcPr>
          <w:p w14:paraId="5DB36F9C">
            <w:pPr>
              <w:pStyle w:val="24"/>
              <w:bidi w:val="0"/>
              <w:rPr>
                <w:rFonts w:hint="eastAsia" w:ascii="Times New Roman" w:hAnsi="Times New Roman" w:eastAsia="宋体" w:cs="Courier New"/>
                <w:b w:val="0"/>
                <w:bCs w:val="0"/>
                <w:color w:val="auto"/>
                <w:highlight w:val="none"/>
                <w:lang w:val="en-US" w:eastAsia="zh-CN"/>
              </w:rPr>
            </w:pPr>
          </w:p>
        </w:tc>
        <w:tc>
          <w:tcPr>
            <w:tcW w:w="462" w:type="pct"/>
            <w:vMerge w:val="continue"/>
            <w:noWrap w:val="0"/>
            <w:vAlign w:val="center"/>
          </w:tcPr>
          <w:p w14:paraId="6534C01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96" w:type="pct"/>
            <w:vMerge w:val="continue"/>
            <w:noWrap w:val="0"/>
            <w:vAlign w:val="center"/>
          </w:tcPr>
          <w:p w14:paraId="0106DBD6">
            <w:pPr>
              <w:pStyle w:val="24"/>
              <w:bidi w:val="0"/>
              <w:rPr>
                <w:rFonts w:hint="eastAsia" w:ascii="Times New Roman" w:hAnsi="Times New Roman" w:eastAsia="宋体" w:cs="Courier New"/>
                <w:b w:val="0"/>
                <w:bCs w:val="0"/>
                <w:color w:val="auto"/>
                <w:highlight w:val="none"/>
                <w:lang w:val="en-US" w:eastAsia="zh-CN"/>
              </w:rPr>
            </w:pPr>
          </w:p>
        </w:tc>
        <w:tc>
          <w:tcPr>
            <w:tcW w:w="443" w:type="pct"/>
            <w:vMerge w:val="continue"/>
            <w:noWrap w:val="0"/>
            <w:vAlign w:val="center"/>
          </w:tcPr>
          <w:p w14:paraId="5708686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3ACAF61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F292F2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C606D1F">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BCE3E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18.99</w:t>
            </w:r>
          </w:p>
        </w:tc>
        <w:tc>
          <w:tcPr>
            <w:tcW w:w="331" w:type="pct"/>
            <w:noWrap w:val="0"/>
            <w:vAlign w:val="center"/>
          </w:tcPr>
          <w:p w14:paraId="722E16D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3B15A8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DD78C5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74DAA3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4B202D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6BF038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513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51571A3F">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642D61E1">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626237ED">
            <w:pPr>
              <w:pStyle w:val="24"/>
              <w:bidi w:val="0"/>
              <w:ind w:left="0" w:leftChars="0"/>
              <w:rPr>
                <w:rFonts w:hint="default" w:ascii="Times New Roman" w:hAnsi="Times New Roman" w:eastAsia="宋体" w:cs="Times New Roman"/>
                <w:b w:val="0"/>
                <w:bCs w:val="0"/>
                <w:color w:val="auto"/>
                <w:sz w:val="21"/>
                <w:szCs w:val="21"/>
                <w:highlight w:val="none"/>
                <w:lang w:val="en-US" w:eastAsia="zh-CN" w:bidi="ar"/>
              </w:rPr>
            </w:pPr>
          </w:p>
        </w:tc>
        <w:tc>
          <w:tcPr>
            <w:tcW w:w="180" w:type="pct"/>
            <w:vMerge w:val="continue"/>
            <w:noWrap w:val="0"/>
            <w:vAlign w:val="center"/>
          </w:tcPr>
          <w:p w14:paraId="5729D004">
            <w:pPr>
              <w:pStyle w:val="24"/>
              <w:bidi w:val="0"/>
              <w:rPr>
                <w:rFonts w:hint="eastAsia" w:ascii="Times New Roman" w:hAnsi="Times New Roman" w:eastAsia="宋体" w:cs="Courier New"/>
                <w:b w:val="0"/>
                <w:bCs w:val="0"/>
                <w:color w:val="auto"/>
                <w:highlight w:val="none"/>
                <w:lang w:val="en-US" w:eastAsia="zh-CN"/>
              </w:rPr>
            </w:pPr>
          </w:p>
        </w:tc>
        <w:tc>
          <w:tcPr>
            <w:tcW w:w="462" w:type="pct"/>
            <w:vMerge w:val="continue"/>
            <w:noWrap w:val="0"/>
            <w:vAlign w:val="center"/>
          </w:tcPr>
          <w:p w14:paraId="24F6BEF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96" w:type="pct"/>
            <w:vMerge w:val="continue"/>
            <w:noWrap w:val="0"/>
            <w:vAlign w:val="center"/>
          </w:tcPr>
          <w:p w14:paraId="389F186A">
            <w:pPr>
              <w:pStyle w:val="24"/>
              <w:bidi w:val="0"/>
              <w:rPr>
                <w:rFonts w:hint="eastAsia" w:ascii="Times New Roman" w:hAnsi="Times New Roman" w:eastAsia="宋体" w:cs="Courier New"/>
                <w:b w:val="0"/>
                <w:bCs w:val="0"/>
                <w:color w:val="auto"/>
                <w:highlight w:val="none"/>
                <w:lang w:val="en-US" w:eastAsia="zh-CN"/>
              </w:rPr>
            </w:pPr>
          </w:p>
        </w:tc>
        <w:tc>
          <w:tcPr>
            <w:tcW w:w="443" w:type="pct"/>
            <w:vMerge w:val="continue"/>
            <w:noWrap w:val="0"/>
            <w:vAlign w:val="center"/>
          </w:tcPr>
          <w:p w14:paraId="71C4DEC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4403672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97F428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B3943B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D5C7AB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28.61</w:t>
            </w:r>
          </w:p>
        </w:tc>
        <w:tc>
          <w:tcPr>
            <w:tcW w:w="331" w:type="pct"/>
            <w:noWrap w:val="0"/>
            <w:vAlign w:val="center"/>
          </w:tcPr>
          <w:p w14:paraId="0ACE1E4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5E81B9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44AC42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808A7E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C821C2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31D3A4B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196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4D03C348">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7DD39D89">
            <w:pPr>
              <w:pStyle w:val="24"/>
              <w:bidi w:val="0"/>
              <w:rPr>
                <w:rFonts w:hint="default" w:ascii="Times New Roman" w:hAnsi="Times New Roman" w:eastAsia="宋体" w:cs="Courier New"/>
                <w:b w:val="0"/>
                <w:bCs w:val="0"/>
                <w:color w:val="auto"/>
                <w:highlight w:val="none"/>
                <w:lang w:val="en-US" w:eastAsia="zh-CN"/>
              </w:rPr>
            </w:pPr>
          </w:p>
        </w:tc>
        <w:tc>
          <w:tcPr>
            <w:tcW w:w="906" w:type="dxa"/>
            <w:vMerge w:val="restart"/>
            <w:noWrap w:val="0"/>
            <w:vAlign w:val="center"/>
          </w:tcPr>
          <w:p w14:paraId="1489C57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6AC3601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27B588F0">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097163C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68D45CF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49FEC2B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-4.07</w:t>
            </w:r>
          </w:p>
        </w:tc>
        <w:tc>
          <w:tcPr>
            <w:tcW w:w="267" w:type="pct"/>
            <w:vMerge w:val="restart"/>
            <w:noWrap/>
            <w:vAlign w:val="center"/>
          </w:tcPr>
          <w:p w14:paraId="234BABC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33.79</w:t>
            </w:r>
          </w:p>
        </w:tc>
        <w:tc>
          <w:tcPr>
            <w:tcW w:w="258" w:type="pct"/>
            <w:vMerge w:val="restart"/>
            <w:noWrap/>
            <w:vAlign w:val="center"/>
          </w:tcPr>
          <w:p w14:paraId="503D5C3D">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1840169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21.32</w:t>
            </w:r>
          </w:p>
        </w:tc>
        <w:tc>
          <w:tcPr>
            <w:tcW w:w="331" w:type="pct"/>
            <w:noWrap w:val="0"/>
            <w:vAlign w:val="center"/>
          </w:tcPr>
          <w:p w14:paraId="63F410D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5A51F34B">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F4F30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9E01C3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53643C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7E9A6D1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AFD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2ED7B615">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7AB13AD1">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5C0529B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2120B12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1C3BD4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45933F3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259DC77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F4E539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E7D9ED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6376C5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7790970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8.63</w:t>
            </w:r>
          </w:p>
        </w:tc>
        <w:tc>
          <w:tcPr>
            <w:tcW w:w="331" w:type="pct"/>
            <w:noWrap w:val="0"/>
            <w:vAlign w:val="center"/>
          </w:tcPr>
          <w:p w14:paraId="0374EF5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31F2D7D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23C820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2B4B01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06F658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2A18FD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A22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40D614B7">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4A12FF21">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404F80D0">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5C72C00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53C7C4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5D2A71D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651FC6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024D59D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1E52F5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BD4F1A0">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083E0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22.75</w:t>
            </w:r>
          </w:p>
        </w:tc>
        <w:tc>
          <w:tcPr>
            <w:tcW w:w="331" w:type="pct"/>
            <w:noWrap w:val="0"/>
            <w:vAlign w:val="center"/>
          </w:tcPr>
          <w:p w14:paraId="5D082EB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0A8413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0E548D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392275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A587E7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0F217EF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28D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0433B4DB">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11660A25">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69EDBC0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4A24D7C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00A3715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24EA3DC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FC15E6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2CBD84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324346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E5CF46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A745B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28.56</w:t>
            </w:r>
          </w:p>
        </w:tc>
        <w:tc>
          <w:tcPr>
            <w:tcW w:w="331" w:type="pct"/>
            <w:noWrap w:val="0"/>
            <w:vAlign w:val="center"/>
          </w:tcPr>
          <w:p w14:paraId="7CE3785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6FF3A29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D045BD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35F406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AE60A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542DA0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F1B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1585DBEC">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4DF17F65">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21B4EAB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10AD22A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5646738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6819439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noWrap w:val="0"/>
            <w:vAlign w:val="center"/>
          </w:tcPr>
          <w:p w14:paraId="0941F2A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1095941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-7.55</w:t>
            </w:r>
          </w:p>
        </w:tc>
        <w:tc>
          <w:tcPr>
            <w:tcW w:w="267" w:type="pct"/>
            <w:vMerge w:val="restart"/>
            <w:noWrap/>
            <w:vAlign w:val="center"/>
          </w:tcPr>
          <w:p w14:paraId="60CEA1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35.32</w:t>
            </w:r>
          </w:p>
        </w:tc>
        <w:tc>
          <w:tcPr>
            <w:tcW w:w="258" w:type="pct"/>
            <w:vMerge w:val="restart"/>
            <w:noWrap/>
            <w:vAlign w:val="center"/>
          </w:tcPr>
          <w:p w14:paraId="7901C7C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7DA82C5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17.59</w:t>
            </w:r>
          </w:p>
        </w:tc>
        <w:tc>
          <w:tcPr>
            <w:tcW w:w="331" w:type="pct"/>
            <w:noWrap w:val="0"/>
            <w:vAlign w:val="center"/>
          </w:tcPr>
          <w:p w14:paraId="623EBFD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125E213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EDA975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4D96D9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5FA0C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4F397D9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89D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20F9A6A2">
            <w:pPr>
              <w:pStyle w:val="24"/>
              <w:bidi w:val="0"/>
              <w:ind w:left="0" w:leftChars="0"/>
              <w:rPr>
                <w:color w:val="auto"/>
              </w:rPr>
            </w:pPr>
          </w:p>
        </w:tc>
        <w:tc>
          <w:tcPr>
            <w:tcW w:w="245" w:type="pct"/>
            <w:vMerge w:val="continue"/>
            <w:noWrap w:val="0"/>
            <w:vAlign w:val="center"/>
          </w:tcPr>
          <w:p w14:paraId="1333F1F3">
            <w:pPr>
              <w:pStyle w:val="24"/>
              <w:bidi w:val="0"/>
              <w:ind w:left="0" w:leftChars="0"/>
              <w:rPr>
                <w:color w:val="auto"/>
              </w:rPr>
            </w:pPr>
          </w:p>
        </w:tc>
        <w:tc>
          <w:tcPr>
            <w:tcW w:w="317" w:type="pct"/>
            <w:vMerge w:val="continue"/>
            <w:noWrap w:val="0"/>
            <w:vAlign w:val="center"/>
          </w:tcPr>
          <w:p w14:paraId="6F8BC860">
            <w:pPr>
              <w:pStyle w:val="24"/>
              <w:bidi w:val="0"/>
              <w:ind w:left="0" w:leftChars="0"/>
              <w:rPr>
                <w:color w:val="auto"/>
              </w:rPr>
            </w:pPr>
          </w:p>
        </w:tc>
        <w:tc>
          <w:tcPr>
            <w:tcW w:w="180" w:type="pct"/>
            <w:vMerge w:val="continue"/>
            <w:noWrap w:val="0"/>
            <w:vAlign w:val="center"/>
          </w:tcPr>
          <w:p w14:paraId="3B0C52E0">
            <w:pPr>
              <w:pStyle w:val="24"/>
              <w:bidi w:val="0"/>
              <w:ind w:left="0" w:leftChars="0"/>
              <w:rPr>
                <w:color w:val="auto"/>
              </w:rPr>
            </w:pPr>
          </w:p>
        </w:tc>
        <w:tc>
          <w:tcPr>
            <w:tcW w:w="462" w:type="pct"/>
            <w:vMerge w:val="continue"/>
            <w:noWrap w:val="0"/>
            <w:vAlign w:val="center"/>
          </w:tcPr>
          <w:p w14:paraId="426AF368">
            <w:pPr>
              <w:pStyle w:val="24"/>
              <w:bidi w:val="0"/>
              <w:ind w:left="0" w:leftChars="0"/>
              <w:rPr>
                <w:color w:val="auto"/>
              </w:rPr>
            </w:pPr>
          </w:p>
        </w:tc>
        <w:tc>
          <w:tcPr>
            <w:tcW w:w="296" w:type="pct"/>
            <w:vMerge w:val="continue"/>
            <w:noWrap w:val="0"/>
            <w:vAlign w:val="center"/>
          </w:tcPr>
          <w:p w14:paraId="18F098B1">
            <w:pPr>
              <w:pStyle w:val="24"/>
              <w:bidi w:val="0"/>
              <w:ind w:left="0" w:leftChars="0"/>
              <w:rPr>
                <w:color w:val="auto"/>
              </w:rPr>
            </w:pPr>
          </w:p>
        </w:tc>
        <w:tc>
          <w:tcPr>
            <w:tcW w:w="443" w:type="pct"/>
            <w:vMerge w:val="continue"/>
            <w:noWrap w:val="0"/>
            <w:vAlign w:val="center"/>
          </w:tcPr>
          <w:p w14:paraId="46AFA636">
            <w:pPr>
              <w:pStyle w:val="24"/>
              <w:bidi w:val="0"/>
              <w:ind w:left="0" w:leftChars="0"/>
              <w:rPr>
                <w:color w:val="auto"/>
              </w:rPr>
            </w:pPr>
          </w:p>
        </w:tc>
        <w:tc>
          <w:tcPr>
            <w:tcW w:w="282" w:type="pct"/>
            <w:vMerge w:val="continue"/>
            <w:noWrap/>
            <w:vAlign w:val="center"/>
          </w:tcPr>
          <w:p w14:paraId="40911E1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E7F3DA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B177791">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1C6306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8.84</w:t>
            </w:r>
          </w:p>
        </w:tc>
        <w:tc>
          <w:tcPr>
            <w:tcW w:w="331" w:type="pct"/>
            <w:noWrap w:val="0"/>
            <w:vAlign w:val="center"/>
          </w:tcPr>
          <w:p w14:paraId="004C97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5279997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711AFC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31ABBC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2EA678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40F735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6F6E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6F3904E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9BC1E0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7E60723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852A28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16408EF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1674CD8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1D0EDB6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C9D209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D0D2FA5">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5B6E98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A17611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26.48</w:t>
            </w:r>
          </w:p>
        </w:tc>
        <w:tc>
          <w:tcPr>
            <w:tcW w:w="331" w:type="pct"/>
            <w:noWrap w:val="0"/>
            <w:vAlign w:val="center"/>
          </w:tcPr>
          <w:p w14:paraId="6D9894C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2004690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C6D8D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11A9FC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F22C0F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3952180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573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382FEA9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85A185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26B19C6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35284A1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1B4CE0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786E520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0FEA97E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CA3B2E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D574457">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5EA12ED">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7D7B6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28.35</w:t>
            </w:r>
          </w:p>
        </w:tc>
        <w:tc>
          <w:tcPr>
            <w:tcW w:w="331" w:type="pct"/>
            <w:noWrap w:val="0"/>
            <w:vAlign w:val="center"/>
          </w:tcPr>
          <w:p w14:paraId="4576911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E85079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96149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CAF184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782020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4C05B1D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8A4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0CC3C0D5">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624F95C3">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73C00AA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1A35845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149D5E5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7D078B9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noWrap w:val="0"/>
            <w:vAlign w:val="center"/>
          </w:tcPr>
          <w:p w14:paraId="529A68D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29159E5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-10.75</w:t>
            </w:r>
          </w:p>
        </w:tc>
        <w:tc>
          <w:tcPr>
            <w:tcW w:w="267" w:type="pct"/>
            <w:vMerge w:val="restart"/>
            <w:noWrap/>
            <w:vAlign w:val="center"/>
          </w:tcPr>
          <w:p w14:paraId="158B6EE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36.99</w:t>
            </w:r>
          </w:p>
        </w:tc>
        <w:tc>
          <w:tcPr>
            <w:tcW w:w="258" w:type="pct"/>
            <w:vMerge w:val="restart"/>
            <w:noWrap/>
            <w:vAlign w:val="center"/>
          </w:tcPr>
          <w:p w14:paraId="676E108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7BB5883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14.01</w:t>
            </w:r>
          </w:p>
        </w:tc>
        <w:tc>
          <w:tcPr>
            <w:tcW w:w="331" w:type="pct"/>
            <w:noWrap w:val="0"/>
            <w:vAlign w:val="center"/>
          </w:tcPr>
          <w:p w14:paraId="51C61FA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68.58</w:t>
            </w:r>
          </w:p>
        </w:tc>
        <w:tc>
          <w:tcPr>
            <w:tcW w:w="233" w:type="pct"/>
            <w:noWrap w:val="0"/>
            <w:vAlign w:val="center"/>
          </w:tcPr>
          <w:p w14:paraId="3B1231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3FE957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C322CA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651AD3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42.58</w:t>
            </w:r>
          </w:p>
        </w:tc>
        <w:tc>
          <w:tcPr>
            <w:tcW w:w="313" w:type="pct"/>
            <w:noWrap/>
            <w:vAlign w:val="center"/>
          </w:tcPr>
          <w:p w14:paraId="628EB24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BA5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63746E5E">
            <w:pPr>
              <w:pStyle w:val="24"/>
              <w:bidi w:val="0"/>
              <w:ind w:left="0" w:leftChars="0"/>
              <w:rPr>
                <w:color w:val="auto"/>
              </w:rPr>
            </w:pPr>
          </w:p>
        </w:tc>
        <w:tc>
          <w:tcPr>
            <w:tcW w:w="245" w:type="pct"/>
            <w:vMerge w:val="continue"/>
            <w:noWrap w:val="0"/>
            <w:vAlign w:val="center"/>
          </w:tcPr>
          <w:p w14:paraId="62355C40">
            <w:pPr>
              <w:pStyle w:val="24"/>
              <w:bidi w:val="0"/>
              <w:ind w:left="0" w:leftChars="0"/>
              <w:rPr>
                <w:color w:val="auto"/>
              </w:rPr>
            </w:pPr>
          </w:p>
        </w:tc>
        <w:tc>
          <w:tcPr>
            <w:tcW w:w="317" w:type="pct"/>
            <w:vMerge w:val="continue"/>
            <w:noWrap w:val="0"/>
            <w:vAlign w:val="center"/>
          </w:tcPr>
          <w:p w14:paraId="0CFE6DAC">
            <w:pPr>
              <w:pStyle w:val="24"/>
              <w:bidi w:val="0"/>
              <w:ind w:left="0" w:leftChars="0"/>
              <w:rPr>
                <w:color w:val="auto"/>
              </w:rPr>
            </w:pPr>
          </w:p>
        </w:tc>
        <w:tc>
          <w:tcPr>
            <w:tcW w:w="180" w:type="pct"/>
            <w:vMerge w:val="continue"/>
            <w:noWrap w:val="0"/>
            <w:vAlign w:val="center"/>
          </w:tcPr>
          <w:p w14:paraId="0C5AE6AE">
            <w:pPr>
              <w:pStyle w:val="24"/>
              <w:bidi w:val="0"/>
              <w:ind w:left="0" w:leftChars="0"/>
              <w:rPr>
                <w:color w:val="auto"/>
              </w:rPr>
            </w:pPr>
          </w:p>
        </w:tc>
        <w:tc>
          <w:tcPr>
            <w:tcW w:w="462" w:type="pct"/>
            <w:vMerge w:val="continue"/>
            <w:noWrap w:val="0"/>
            <w:vAlign w:val="center"/>
          </w:tcPr>
          <w:p w14:paraId="76037382">
            <w:pPr>
              <w:pStyle w:val="24"/>
              <w:bidi w:val="0"/>
              <w:ind w:left="0" w:leftChars="0"/>
              <w:rPr>
                <w:color w:val="auto"/>
              </w:rPr>
            </w:pPr>
          </w:p>
        </w:tc>
        <w:tc>
          <w:tcPr>
            <w:tcW w:w="296" w:type="pct"/>
            <w:vMerge w:val="continue"/>
            <w:noWrap w:val="0"/>
            <w:vAlign w:val="center"/>
          </w:tcPr>
          <w:p w14:paraId="7A5E793D">
            <w:pPr>
              <w:pStyle w:val="24"/>
              <w:bidi w:val="0"/>
              <w:ind w:left="0" w:leftChars="0"/>
              <w:rPr>
                <w:color w:val="auto"/>
              </w:rPr>
            </w:pPr>
          </w:p>
        </w:tc>
        <w:tc>
          <w:tcPr>
            <w:tcW w:w="443" w:type="pct"/>
            <w:vMerge w:val="continue"/>
            <w:noWrap w:val="0"/>
            <w:vAlign w:val="center"/>
          </w:tcPr>
          <w:p w14:paraId="7D467C01">
            <w:pPr>
              <w:pStyle w:val="24"/>
              <w:bidi w:val="0"/>
              <w:ind w:left="0" w:leftChars="0"/>
              <w:rPr>
                <w:color w:val="auto"/>
              </w:rPr>
            </w:pPr>
          </w:p>
        </w:tc>
        <w:tc>
          <w:tcPr>
            <w:tcW w:w="282" w:type="pct"/>
            <w:vMerge w:val="continue"/>
            <w:noWrap/>
            <w:vAlign w:val="center"/>
          </w:tcPr>
          <w:p w14:paraId="26D36F9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23A608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D839F6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2CCC60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8.8</w:t>
            </w:r>
          </w:p>
        </w:tc>
        <w:tc>
          <w:tcPr>
            <w:tcW w:w="331" w:type="pct"/>
            <w:noWrap w:val="0"/>
            <w:vAlign w:val="center"/>
          </w:tcPr>
          <w:p w14:paraId="69AD447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68.62</w:t>
            </w:r>
          </w:p>
        </w:tc>
        <w:tc>
          <w:tcPr>
            <w:tcW w:w="233" w:type="pct"/>
            <w:noWrap w:val="0"/>
            <w:vAlign w:val="center"/>
          </w:tcPr>
          <w:p w14:paraId="4B0ED4E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CAD366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D78C0C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899F3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42.62</w:t>
            </w:r>
          </w:p>
        </w:tc>
        <w:tc>
          <w:tcPr>
            <w:tcW w:w="313" w:type="pct"/>
            <w:noWrap/>
            <w:vAlign w:val="center"/>
          </w:tcPr>
          <w:p w14:paraId="2E2FB89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E24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0067B06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03B9ED3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38A2B0E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70B2F32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11A3080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A5DD51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704523B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6DB8783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41E58B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DC4BCE9">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C2D748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30.06</w:t>
            </w:r>
          </w:p>
        </w:tc>
        <w:tc>
          <w:tcPr>
            <w:tcW w:w="331" w:type="pct"/>
            <w:noWrap w:val="0"/>
            <w:vAlign w:val="center"/>
          </w:tcPr>
          <w:p w14:paraId="56B4257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5E015E5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846D1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A3682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97F98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152DFC2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706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72" w:type="pct"/>
            <w:vMerge w:val="continue"/>
            <w:noWrap w:val="0"/>
            <w:vAlign w:val="center"/>
          </w:tcPr>
          <w:p w14:paraId="664FD5C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018D248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799DE02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2A2E64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0387194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CB2924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D828B8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63D3E2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0F2605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FCEDA5C">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6231A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28.4</w:t>
            </w:r>
          </w:p>
        </w:tc>
        <w:tc>
          <w:tcPr>
            <w:tcW w:w="331" w:type="pct"/>
            <w:noWrap w:val="0"/>
            <w:vAlign w:val="center"/>
          </w:tcPr>
          <w:p w14:paraId="71E0D89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1C2B7A4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7AE3EB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8B31CF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D64964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01B1576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BFD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5182F5EE">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2FE534EE">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0769B931">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55C97C1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494AD2E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13D1308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2ABB2E5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55AC493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-5.16</w:t>
            </w:r>
          </w:p>
        </w:tc>
        <w:tc>
          <w:tcPr>
            <w:tcW w:w="267" w:type="pct"/>
            <w:vMerge w:val="restart"/>
            <w:noWrap/>
            <w:vAlign w:val="center"/>
          </w:tcPr>
          <w:p w14:paraId="390F16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25.95</w:t>
            </w:r>
          </w:p>
        </w:tc>
        <w:tc>
          <w:tcPr>
            <w:tcW w:w="258" w:type="pct"/>
            <w:vMerge w:val="restart"/>
            <w:noWrap/>
            <w:vAlign w:val="center"/>
          </w:tcPr>
          <w:p w14:paraId="447FF2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53F0A59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24.91</w:t>
            </w:r>
          </w:p>
        </w:tc>
        <w:tc>
          <w:tcPr>
            <w:tcW w:w="331" w:type="pct"/>
            <w:noWrap w:val="0"/>
            <w:vAlign w:val="center"/>
          </w:tcPr>
          <w:p w14:paraId="1BEB620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00E4315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52325D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01B10F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EEFD41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147DD0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25A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1957CA89">
            <w:pPr>
              <w:pStyle w:val="24"/>
              <w:bidi w:val="0"/>
              <w:ind w:left="0" w:leftChars="0"/>
              <w:rPr>
                <w:color w:val="auto"/>
              </w:rPr>
            </w:pPr>
          </w:p>
        </w:tc>
        <w:tc>
          <w:tcPr>
            <w:tcW w:w="245" w:type="pct"/>
            <w:vMerge w:val="continue"/>
            <w:noWrap w:val="0"/>
            <w:vAlign w:val="center"/>
          </w:tcPr>
          <w:p w14:paraId="54750BA1">
            <w:pPr>
              <w:pStyle w:val="24"/>
              <w:bidi w:val="0"/>
              <w:ind w:left="0" w:leftChars="0"/>
              <w:rPr>
                <w:color w:val="auto"/>
              </w:rPr>
            </w:pPr>
          </w:p>
        </w:tc>
        <w:tc>
          <w:tcPr>
            <w:tcW w:w="317" w:type="pct"/>
            <w:vMerge w:val="continue"/>
            <w:noWrap w:val="0"/>
            <w:vAlign w:val="center"/>
          </w:tcPr>
          <w:p w14:paraId="51A7EDB1">
            <w:pPr>
              <w:pStyle w:val="24"/>
              <w:bidi w:val="0"/>
              <w:ind w:left="0" w:leftChars="0"/>
              <w:rPr>
                <w:color w:val="auto"/>
              </w:rPr>
            </w:pPr>
          </w:p>
        </w:tc>
        <w:tc>
          <w:tcPr>
            <w:tcW w:w="180" w:type="pct"/>
            <w:vMerge w:val="continue"/>
            <w:noWrap w:val="0"/>
            <w:vAlign w:val="center"/>
          </w:tcPr>
          <w:p w14:paraId="58BCC6FE">
            <w:pPr>
              <w:pStyle w:val="24"/>
              <w:bidi w:val="0"/>
              <w:ind w:left="0" w:leftChars="0"/>
              <w:rPr>
                <w:color w:val="auto"/>
              </w:rPr>
            </w:pPr>
          </w:p>
        </w:tc>
        <w:tc>
          <w:tcPr>
            <w:tcW w:w="462" w:type="pct"/>
            <w:vMerge w:val="continue"/>
            <w:noWrap w:val="0"/>
            <w:vAlign w:val="center"/>
          </w:tcPr>
          <w:p w14:paraId="0F25CDEC">
            <w:pPr>
              <w:pStyle w:val="24"/>
              <w:bidi w:val="0"/>
              <w:ind w:left="0" w:leftChars="0"/>
              <w:rPr>
                <w:color w:val="auto"/>
              </w:rPr>
            </w:pPr>
          </w:p>
        </w:tc>
        <w:tc>
          <w:tcPr>
            <w:tcW w:w="296" w:type="pct"/>
            <w:vMerge w:val="continue"/>
            <w:noWrap w:val="0"/>
            <w:vAlign w:val="center"/>
          </w:tcPr>
          <w:p w14:paraId="3975E691">
            <w:pPr>
              <w:pStyle w:val="24"/>
              <w:bidi w:val="0"/>
              <w:ind w:left="0" w:leftChars="0"/>
              <w:rPr>
                <w:color w:val="auto"/>
              </w:rPr>
            </w:pPr>
          </w:p>
        </w:tc>
        <w:tc>
          <w:tcPr>
            <w:tcW w:w="443" w:type="pct"/>
            <w:vMerge w:val="continue"/>
            <w:noWrap w:val="0"/>
            <w:vAlign w:val="center"/>
          </w:tcPr>
          <w:p w14:paraId="3AC76705">
            <w:pPr>
              <w:pStyle w:val="24"/>
              <w:bidi w:val="0"/>
              <w:ind w:left="0" w:leftChars="0"/>
              <w:rPr>
                <w:color w:val="auto"/>
              </w:rPr>
            </w:pPr>
          </w:p>
        </w:tc>
        <w:tc>
          <w:tcPr>
            <w:tcW w:w="282" w:type="pct"/>
            <w:vMerge w:val="continue"/>
            <w:noWrap/>
            <w:vAlign w:val="center"/>
          </w:tcPr>
          <w:p w14:paraId="6EF3B15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696604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00A25CF">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618E06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16.11</w:t>
            </w:r>
          </w:p>
        </w:tc>
        <w:tc>
          <w:tcPr>
            <w:tcW w:w="331" w:type="pct"/>
            <w:noWrap w:val="0"/>
            <w:vAlign w:val="center"/>
          </w:tcPr>
          <w:p w14:paraId="0748EC9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485F40D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B3C86C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47A35F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48CB3B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4ADA7A0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6AA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05CA49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31686CE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3068024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5248F0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6100AF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71CBA5B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4E8EF02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A70829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1B38E0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01640A6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77E930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19.16</w:t>
            </w:r>
          </w:p>
        </w:tc>
        <w:tc>
          <w:tcPr>
            <w:tcW w:w="331" w:type="pct"/>
            <w:noWrap w:val="0"/>
            <w:vAlign w:val="center"/>
          </w:tcPr>
          <w:p w14:paraId="356D43A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029D2AB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32BBEC4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26A9A3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AE6348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216BCA4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8C2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439BAB4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7458A9E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2BA0738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2F59574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B600DB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714C621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FB8EF9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2B841B7">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885DCA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178C959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C87DF8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21.07</w:t>
            </w:r>
          </w:p>
        </w:tc>
        <w:tc>
          <w:tcPr>
            <w:tcW w:w="331" w:type="pct"/>
            <w:noWrap w:val="0"/>
            <w:vAlign w:val="center"/>
          </w:tcPr>
          <w:p w14:paraId="5B80728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61D7B0D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B07B10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B4A4CD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803B38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33C20D9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B34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3D6454F">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773A506D">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145010A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5E3B164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3CCC0CC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80/1</w:t>
            </w:r>
          </w:p>
        </w:tc>
        <w:tc>
          <w:tcPr>
            <w:tcW w:w="296" w:type="pct"/>
            <w:vMerge w:val="restart"/>
            <w:noWrap w:val="0"/>
            <w:vAlign w:val="center"/>
          </w:tcPr>
          <w:p w14:paraId="0D2A4C5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20CFFC9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066C847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w:t>
            </w:r>
          </w:p>
        </w:tc>
        <w:tc>
          <w:tcPr>
            <w:tcW w:w="267" w:type="pct"/>
            <w:vMerge w:val="restart"/>
            <w:noWrap/>
            <w:vAlign w:val="center"/>
          </w:tcPr>
          <w:p w14:paraId="5C3601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24.13</w:t>
            </w:r>
          </w:p>
        </w:tc>
        <w:tc>
          <w:tcPr>
            <w:tcW w:w="258" w:type="pct"/>
            <w:vMerge w:val="restart"/>
            <w:noWrap/>
            <w:vAlign w:val="center"/>
          </w:tcPr>
          <w:p w14:paraId="3FA6B2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602B09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28.87</w:t>
            </w:r>
          </w:p>
        </w:tc>
        <w:tc>
          <w:tcPr>
            <w:tcW w:w="331" w:type="pct"/>
            <w:noWrap w:val="0"/>
            <w:vAlign w:val="center"/>
          </w:tcPr>
          <w:p w14:paraId="792B50A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68.56</w:t>
            </w:r>
          </w:p>
        </w:tc>
        <w:tc>
          <w:tcPr>
            <w:tcW w:w="233" w:type="pct"/>
            <w:noWrap w:val="0"/>
            <w:vAlign w:val="center"/>
          </w:tcPr>
          <w:p w14:paraId="790602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D88211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D8B9B6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55DF2D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42.56</w:t>
            </w:r>
          </w:p>
        </w:tc>
        <w:tc>
          <w:tcPr>
            <w:tcW w:w="313" w:type="pct"/>
            <w:noWrap/>
            <w:vAlign w:val="center"/>
          </w:tcPr>
          <w:p w14:paraId="638664D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091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54BCACC1">
            <w:pPr>
              <w:pStyle w:val="24"/>
              <w:bidi w:val="0"/>
              <w:ind w:left="0" w:leftChars="0"/>
              <w:rPr>
                <w:color w:val="auto"/>
              </w:rPr>
            </w:pPr>
          </w:p>
        </w:tc>
        <w:tc>
          <w:tcPr>
            <w:tcW w:w="245" w:type="pct"/>
            <w:vMerge w:val="continue"/>
            <w:noWrap w:val="0"/>
            <w:vAlign w:val="center"/>
          </w:tcPr>
          <w:p w14:paraId="194EB9E6">
            <w:pPr>
              <w:pStyle w:val="24"/>
              <w:bidi w:val="0"/>
              <w:ind w:left="0" w:leftChars="0"/>
              <w:rPr>
                <w:color w:val="auto"/>
              </w:rPr>
            </w:pPr>
          </w:p>
        </w:tc>
        <w:tc>
          <w:tcPr>
            <w:tcW w:w="317" w:type="pct"/>
            <w:vMerge w:val="continue"/>
            <w:noWrap w:val="0"/>
            <w:vAlign w:val="center"/>
          </w:tcPr>
          <w:p w14:paraId="543E50EF">
            <w:pPr>
              <w:pStyle w:val="24"/>
              <w:bidi w:val="0"/>
              <w:ind w:left="0" w:leftChars="0"/>
              <w:rPr>
                <w:color w:val="auto"/>
              </w:rPr>
            </w:pPr>
          </w:p>
        </w:tc>
        <w:tc>
          <w:tcPr>
            <w:tcW w:w="180" w:type="pct"/>
            <w:vMerge w:val="continue"/>
            <w:noWrap w:val="0"/>
            <w:vAlign w:val="center"/>
          </w:tcPr>
          <w:p w14:paraId="5DA947F7">
            <w:pPr>
              <w:pStyle w:val="24"/>
              <w:bidi w:val="0"/>
              <w:ind w:left="0" w:leftChars="0"/>
              <w:rPr>
                <w:color w:val="auto"/>
              </w:rPr>
            </w:pPr>
          </w:p>
        </w:tc>
        <w:tc>
          <w:tcPr>
            <w:tcW w:w="462" w:type="pct"/>
            <w:vMerge w:val="continue"/>
            <w:noWrap w:val="0"/>
            <w:vAlign w:val="center"/>
          </w:tcPr>
          <w:p w14:paraId="383FAAC8">
            <w:pPr>
              <w:pStyle w:val="24"/>
              <w:bidi w:val="0"/>
              <w:ind w:left="0" w:leftChars="0"/>
              <w:rPr>
                <w:color w:val="auto"/>
              </w:rPr>
            </w:pPr>
          </w:p>
        </w:tc>
        <w:tc>
          <w:tcPr>
            <w:tcW w:w="296" w:type="pct"/>
            <w:vMerge w:val="continue"/>
            <w:noWrap w:val="0"/>
            <w:vAlign w:val="center"/>
          </w:tcPr>
          <w:p w14:paraId="3FCEB6F5">
            <w:pPr>
              <w:pStyle w:val="24"/>
              <w:bidi w:val="0"/>
              <w:ind w:left="0" w:leftChars="0"/>
              <w:rPr>
                <w:color w:val="auto"/>
              </w:rPr>
            </w:pPr>
          </w:p>
        </w:tc>
        <w:tc>
          <w:tcPr>
            <w:tcW w:w="443" w:type="pct"/>
            <w:vMerge w:val="continue"/>
            <w:noWrap w:val="0"/>
            <w:vAlign w:val="center"/>
          </w:tcPr>
          <w:p w14:paraId="14E645DE">
            <w:pPr>
              <w:pStyle w:val="24"/>
              <w:bidi w:val="0"/>
              <w:ind w:left="0" w:leftChars="0"/>
              <w:rPr>
                <w:color w:val="auto"/>
              </w:rPr>
            </w:pPr>
          </w:p>
        </w:tc>
        <w:tc>
          <w:tcPr>
            <w:tcW w:w="282" w:type="pct"/>
            <w:vMerge w:val="continue"/>
            <w:noWrap/>
            <w:vAlign w:val="center"/>
          </w:tcPr>
          <w:p w14:paraId="52690E9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898411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8DF147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193266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16.12</w:t>
            </w:r>
          </w:p>
        </w:tc>
        <w:tc>
          <w:tcPr>
            <w:tcW w:w="331" w:type="pct"/>
            <w:noWrap w:val="0"/>
            <w:vAlign w:val="center"/>
          </w:tcPr>
          <w:p w14:paraId="1D9BB4A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166ADC5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E4D642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4A3BD4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8ED794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7A0ADD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40B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23F94BD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42DD3A4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3BCD521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24CB56E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552371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3480877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199B19D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F9B4DF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4956F0B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8FFFC2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3B01B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15.2</w:t>
            </w:r>
          </w:p>
        </w:tc>
        <w:tc>
          <w:tcPr>
            <w:tcW w:w="331" w:type="pct"/>
            <w:noWrap w:val="0"/>
            <w:vAlign w:val="center"/>
          </w:tcPr>
          <w:p w14:paraId="21D1EA8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68.58</w:t>
            </w:r>
          </w:p>
        </w:tc>
        <w:tc>
          <w:tcPr>
            <w:tcW w:w="233" w:type="pct"/>
            <w:noWrap w:val="0"/>
            <w:vAlign w:val="center"/>
          </w:tcPr>
          <w:p w14:paraId="4AB8280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2FED56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EA990F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F0C552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42.58</w:t>
            </w:r>
          </w:p>
        </w:tc>
        <w:tc>
          <w:tcPr>
            <w:tcW w:w="313" w:type="pct"/>
            <w:noWrap/>
            <w:vAlign w:val="center"/>
          </w:tcPr>
          <w:p w14:paraId="04ACCF6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774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B7BD34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53A1E6E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3C80CD2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B82835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5390469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3D7EAF0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49DD97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422432E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A3D94D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5F5365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19AAF9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21.06</w:t>
            </w:r>
          </w:p>
        </w:tc>
        <w:tc>
          <w:tcPr>
            <w:tcW w:w="331" w:type="pct"/>
            <w:noWrap w:val="0"/>
            <w:vAlign w:val="center"/>
          </w:tcPr>
          <w:p w14:paraId="502FC44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68.57</w:t>
            </w:r>
          </w:p>
        </w:tc>
        <w:tc>
          <w:tcPr>
            <w:tcW w:w="233" w:type="pct"/>
            <w:noWrap w:val="0"/>
            <w:vAlign w:val="center"/>
          </w:tcPr>
          <w:p w14:paraId="32E26E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8BC3DD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4D0583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891CBA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42.57</w:t>
            </w:r>
          </w:p>
        </w:tc>
        <w:tc>
          <w:tcPr>
            <w:tcW w:w="313" w:type="pct"/>
            <w:noWrap/>
            <w:vAlign w:val="center"/>
          </w:tcPr>
          <w:p w14:paraId="5EA71E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FDA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768D6873">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6EA35813">
            <w:pPr>
              <w:pStyle w:val="24"/>
              <w:bidi w:val="0"/>
              <w:rPr>
                <w:rFonts w:hint="eastAsia" w:ascii="Times New Roman" w:hAnsi="Times New Roman" w:eastAsia="宋体" w:cs="Courier New"/>
                <w:b w:val="0"/>
                <w:bCs w:val="0"/>
                <w:color w:val="auto"/>
                <w:highlight w:val="none"/>
                <w:lang w:val="en-US" w:eastAsia="zh-CN"/>
              </w:rPr>
            </w:pPr>
          </w:p>
        </w:tc>
        <w:tc>
          <w:tcPr>
            <w:tcW w:w="906" w:type="dxa"/>
            <w:vMerge w:val="restart"/>
            <w:noWrap w:val="0"/>
            <w:vAlign w:val="center"/>
          </w:tcPr>
          <w:p w14:paraId="3C3C1376">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5618E29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4F131BD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85/1</w:t>
            </w:r>
          </w:p>
        </w:tc>
        <w:tc>
          <w:tcPr>
            <w:tcW w:w="296" w:type="pct"/>
            <w:vMerge w:val="restart"/>
            <w:noWrap w:val="0"/>
            <w:vAlign w:val="center"/>
          </w:tcPr>
          <w:p w14:paraId="6058A04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3DC00E2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04F2C7A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11.1</w:t>
            </w:r>
          </w:p>
        </w:tc>
        <w:tc>
          <w:tcPr>
            <w:tcW w:w="267" w:type="pct"/>
            <w:vMerge w:val="restart"/>
            <w:noWrap/>
            <w:vAlign w:val="center"/>
          </w:tcPr>
          <w:p w14:paraId="596ECB8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21.32</w:t>
            </w:r>
          </w:p>
        </w:tc>
        <w:tc>
          <w:tcPr>
            <w:tcW w:w="258" w:type="pct"/>
            <w:vMerge w:val="restart"/>
            <w:noWrap/>
            <w:vAlign w:val="center"/>
          </w:tcPr>
          <w:p w14:paraId="3B716F2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4.5</w:t>
            </w:r>
          </w:p>
        </w:tc>
        <w:tc>
          <w:tcPr>
            <w:tcW w:w="317" w:type="pct"/>
            <w:noWrap w:val="0"/>
            <w:vAlign w:val="center"/>
          </w:tcPr>
          <w:p w14:paraId="5AB7A9F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40.89</w:t>
            </w:r>
          </w:p>
        </w:tc>
        <w:tc>
          <w:tcPr>
            <w:tcW w:w="331" w:type="pct"/>
            <w:noWrap w:val="0"/>
            <w:vAlign w:val="center"/>
          </w:tcPr>
          <w:p w14:paraId="3E7796F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73.56</w:t>
            </w:r>
          </w:p>
        </w:tc>
        <w:tc>
          <w:tcPr>
            <w:tcW w:w="233" w:type="pct"/>
            <w:noWrap w:val="0"/>
            <w:vAlign w:val="center"/>
          </w:tcPr>
          <w:p w14:paraId="3062B60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64DF68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062134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B72545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47.56</w:t>
            </w:r>
          </w:p>
        </w:tc>
        <w:tc>
          <w:tcPr>
            <w:tcW w:w="313" w:type="pct"/>
            <w:noWrap/>
            <w:vAlign w:val="center"/>
          </w:tcPr>
          <w:p w14:paraId="589ACD2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2E0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55736BA2">
            <w:pPr>
              <w:pStyle w:val="24"/>
              <w:bidi w:val="0"/>
              <w:ind w:left="0" w:leftChars="0"/>
              <w:rPr>
                <w:color w:val="auto"/>
              </w:rPr>
            </w:pPr>
          </w:p>
        </w:tc>
        <w:tc>
          <w:tcPr>
            <w:tcW w:w="245" w:type="pct"/>
            <w:vMerge w:val="continue"/>
            <w:noWrap w:val="0"/>
            <w:vAlign w:val="center"/>
          </w:tcPr>
          <w:p w14:paraId="417E9E15">
            <w:pPr>
              <w:pStyle w:val="24"/>
              <w:bidi w:val="0"/>
              <w:ind w:left="0" w:leftChars="0"/>
              <w:rPr>
                <w:color w:val="auto"/>
              </w:rPr>
            </w:pPr>
          </w:p>
        </w:tc>
        <w:tc>
          <w:tcPr>
            <w:tcW w:w="317" w:type="pct"/>
            <w:vMerge w:val="continue"/>
            <w:noWrap w:val="0"/>
            <w:vAlign w:val="center"/>
          </w:tcPr>
          <w:p w14:paraId="65BD2F07">
            <w:pPr>
              <w:pStyle w:val="24"/>
              <w:bidi w:val="0"/>
              <w:ind w:left="0" w:leftChars="0"/>
              <w:rPr>
                <w:color w:val="auto"/>
              </w:rPr>
            </w:pPr>
          </w:p>
        </w:tc>
        <w:tc>
          <w:tcPr>
            <w:tcW w:w="180" w:type="pct"/>
            <w:vMerge w:val="continue"/>
            <w:noWrap w:val="0"/>
            <w:vAlign w:val="center"/>
          </w:tcPr>
          <w:p w14:paraId="7BFE702E">
            <w:pPr>
              <w:pStyle w:val="24"/>
              <w:bidi w:val="0"/>
              <w:ind w:left="0" w:leftChars="0"/>
              <w:rPr>
                <w:color w:val="auto"/>
              </w:rPr>
            </w:pPr>
          </w:p>
        </w:tc>
        <w:tc>
          <w:tcPr>
            <w:tcW w:w="462" w:type="pct"/>
            <w:vMerge w:val="continue"/>
            <w:noWrap w:val="0"/>
            <w:vAlign w:val="center"/>
          </w:tcPr>
          <w:p w14:paraId="2FF423FE">
            <w:pPr>
              <w:pStyle w:val="24"/>
              <w:bidi w:val="0"/>
              <w:ind w:left="0" w:leftChars="0"/>
              <w:rPr>
                <w:color w:val="auto"/>
              </w:rPr>
            </w:pPr>
          </w:p>
        </w:tc>
        <w:tc>
          <w:tcPr>
            <w:tcW w:w="296" w:type="pct"/>
            <w:vMerge w:val="continue"/>
            <w:noWrap w:val="0"/>
            <w:vAlign w:val="center"/>
          </w:tcPr>
          <w:p w14:paraId="5254B4C1">
            <w:pPr>
              <w:pStyle w:val="24"/>
              <w:bidi w:val="0"/>
              <w:ind w:left="0" w:leftChars="0"/>
              <w:rPr>
                <w:color w:val="auto"/>
              </w:rPr>
            </w:pPr>
          </w:p>
        </w:tc>
        <w:tc>
          <w:tcPr>
            <w:tcW w:w="443" w:type="pct"/>
            <w:vMerge w:val="continue"/>
            <w:noWrap w:val="0"/>
            <w:vAlign w:val="center"/>
          </w:tcPr>
          <w:p w14:paraId="33A56C09">
            <w:pPr>
              <w:pStyle w:val="24"/>
              <w:bidi w:val="0"/>
              <w:ind w:left="0" w:leftChars="0"/>
              <w:rPr>
                <w:color w:val="auto"/>
              </w:rPr>
            </w:pPr>
          </w:p>
        </w:tc>
        <w:tc>
          <w:tcPr>
            <w:tcW w:w="282" w:type="pct"/>
            <w:vMerge w:val="continue"/>
            <w:noWrap/>
            <w:vAlign w:val="center"/>
          </w:tcPr>
          <w:p w14:paraId="1E5B862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44E26D2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45B9853">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77C074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12.87</w:t>
            </w:r>
          </w:p>
        </w:tc>
        <w:tc>
          <w:tcPr>
            <w:tcW w:w="331" w:type="pct"/>
            <w:noWrap w:val="0"/>
            <w:vAlign w:val="center"/>
          </w:tcPr>
          <w:p w14:paraId="100DC27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73.58</w:t>
            </w:r>
          </w:p>
        </w:tc>
        <w:tc>
          <w:tcPr>
            <w:tcW w:w="233" w:type="pct"/>
            <w:noWrap w:val="0"/>
            <w:vAlign w:val="center"/>
          </w:tcPr>
          <w:p w14:paraId="72231BE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7E1235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73B24E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11058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47.58</w:t>
            </w:r>
          </w:p>
        </w:tc>
        <w:tc>
          <w:tcPr>
            <w:tcW w:w="313" w:type="pct"/>
            <w:noWrap/>
            <w:vAlign w:val="center"/>
          </w:tcPr>
          <w:p w14:paraId="6019F9F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D72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5C47CFF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5DF4CBC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0BDE44F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302DCB9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6C7C83C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3100541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5320412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7B2B47D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2977567">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010BD2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6180B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3.18</w:t>
            </w:r>
          </w:p>
        </w:tc>
        <w:tc>
          <w:tcPr>
            <w:tcW w:w="331" w:type="pct"/>
            <w:noWrap w:val="0"/>
            <w:vAlign w:val="center"/>
          </w:tcPr>
          <w:p w14:paraId="706E4D8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74.01</w:t>
            </w:r>
          </w:p>
        </w:tc>
        <w:tc>
          <w:tcPr>
            <w:tcW w:w="233" w:type="pct"/>
            <w:noWrap w:val="0"/>
            <w:vAlign w:val="center"/>
          </w:tcPr>
          <w:p w14:paraId="138F53C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854768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98D30D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F16E7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48.01</w:t>
            </w:r>
          </w:p>
        </w:tc>
        <w:tc>
          <w:tcPr>
            <w:tcW w:w="313" w:type="pct"/>
            <w:noWrap/>
            <w:vAlign w:val="center"/>
          </w:tcPr>
          <w:p w14:paraId="4B4C442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9E9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72" w:type="pct"/>
            <w:vMerge w:val="continue"/>
            <w:noWrap w:val="0"/>
            <w:vAlign w:val="center"/>
          </w:tcPr>
          <w:p w14:paraId="030B337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45" w:type="pct"/>
            <w:vMerge w:val="continue"/>
            <w:noWrap w:val="0"/>
            <w:vAlign w:val="center"/>
          </w:tcPr>
          <w:p w14:paraId="1F229AD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317" w:type="pct"/>
            <w:vMerge w:val="continue"/>
            <w:noWrap w:val="0"/>
            <w:vAlign w:val="center"/>
          </w:tcPr>
          <w:p w14:paraId="6BD293E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CE231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7A9968C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3CB6751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4C009F2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1753323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49326F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6B5B744">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6FEA7A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24.29</w:t>
            </w:r>
          </w:p>
        </w:tc>
        <w:tc>
          <w:tcPr>
            <w:tcW w:w="331" w:type="pct"/>
            <w:noWrap w:val="0"/>
            <w:vAlign w:val="center"/>
          </w:tcPr>
          <w:p w14:paraId="4F217F5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73.56</w:t>
            </w:r>
          </w:p>
        </w:tc>
        <w:tc>
          <w:tcPr>
            <w:tcW w:w="233" w:type="pct"/>
            <w:noWrap w:val="0"/>
            <w:vAlign w:val="center"/>
          </w:tcPr>
          <w:p w14:paraId="0EF9B2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3488570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BCBDC6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452F4C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47.56</w:t>
            </w:r>
          </w:p>
        </w:tc>
        <w:tc>
          <w:tcPr>
            <w:tcW w:w="313" w:type="pct"/>
            <w:noWrap/>
            <w:vAlign w:val="center"/>
          </w:tcPr>
          <w:p w14:paraId="69CB44E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59F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11C909FD">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7E7DFE9B">
            <w:pPr>
              <w:pStyle w:val="24"/>
              <w:bidi w:val="0"/>
              <w:rPr>
                <w:rFonts w:hint="default" w:ascii="Times New Roman" w:hAnsi="Times New Roman" w:eastAsia="宋体" w:cs="Courier New"/>
                <w:b w:val="0"/>
                <w:bCs w:val="0"/>
                <w:color w:val="auto"/>
                <w:highlight w:val="none"/>
                <w:lang w:val="en-US" w:eastAsia="zh-CN"/>
              </w:rPr>
            </w:pPr>
          </w:p>
        </w:tc>
        <w:tc>
          <w:tcPr>
            <w:tcW w:w="906" w:type="dxa"/>
            <w:vMerge w:val="restart"/>
            <w:noWrap w:val="0"/>
            <w:vAlign w:val="center"/>
          </w:tcPr>
          <w:p w14:paraId="3658403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180" w:type="pct"/>
            <w:vMerge w:val="restart"/>
            <w:noWrap w:val="0"/>
            <w:vAlign w:val="center"/>
          </w:tcPr>
          <w:p w14:paraId="55D6C07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18238C7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85/1</w:t>
            </w:r>
          </w:p>
        </w:tc>
        <w:tc>
          <w:tcPr>
            <w:tcW w:w="296" w:type="pct"/>
            <w:vMerge w:val="restart"/>
            <w:noWrap w:val="0"/>
            <w:vAlign w:val="center"/>
          </w:tcPr>
          <w:p w14:paraId="1A19C0F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1ABB009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198585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13.95</w:t>
            </w:r>
          </w:p>
        </w:tc>
        <w:tc>
          <w:tcPr>
            <w:tcW w:w="267" w:type="pct"/>
            <w:vMerge w:val="restart"/>
            <w:noWrap/>
            <w:vAlign w:val="center"/>
          </w:tcPr>
          <w:p w14:paraId="0C94BA1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24.53</w:t>
            </w:r>
          </w:p>
        </w:tc>
        <w:tc>
          <w:tcPr>
            <w:tcW w:w="258" w:type="pct"/>
            <w:vMerge w:val="restart"/>
            <w:noWrap/>
            <w:vAlign w:val="center"/>
          </w:tcPr>
          <w:p w14:paraId="6B69E312">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4.5</w:t>
            </w:r>
          </w:p>
        </w:tc>
        <w:tc>
          <w:tcPr>
            <w:tcW w:w="317" w:type="pct"/>
            <w:noWrap w:val="0"/>
            <w:vAlign w:val="center"/>
          </w:tcPr>
          <w:p w14:paraId="42F84C7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41.4</w:t>
            </w:r>
          </w:p>
        </w:tc>
        <w:tc>
          <w:tcPr>
            <w:tcW w:w="331" w:type="pct"/>
            <w:noWrap w:val="0"/>
            <w:vAlign w:val="center"/>
          </w:tcPr>
          <w:p w14:paraId="211FABC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73.56</w:t>
            </w:r>
          </w:p>
        </w:tc>
        <w:tc>
          <w:tcPr>
            <w:tcW w:w="233" w:type="pct"/>
            <w:noWrap w:val="0"/>
            <w:vAlign w:val="center"/>
          </w:tcPr>
          <w:p w14:paraId="018B8C2E">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DE85A0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2F95754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73CAC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47.56</w:t>
            </w:r>
          </w:p>
        </w:tc>
        <w:tc>
          <w:tcPr>
            <w:tcW w:w="313" w:type="pct"/>
            <w:noWrap/>
            <w:vAlign w:val="center"/>
          </w:tcPr>
          <w:p w14:paraId="41C5BBA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582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1ED6B57E">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29969B80">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0C22380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20F962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502927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5B5892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08BCCFD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61A211B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4B76C25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D8FC1BC">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71D1AFC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8.72</w:t>
            </w:r>
          </w:p>
        </w:tc>
        <w:tc>
          <w:tcPr>
            <w:tcW w:w="331" w:type="pct"/>
            <w:noWrap w:val="0"/>
            <w:vAlign w:val="center"/>
          </w:tcPr>
          <w:p w14:paraId="04F8791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73.62</w:t>
            </w:r>
          </w:p>
        </w:tc>
        <w:tc>
          <w:tcPr>
            <w:tcW w:w="233" w:type="pct"/>
            <w:noWrap w:val="0"/>
            <w:vAlign w:val="center"/>
          </w:tcPr>
          <w:p w14:paraId="41D34E4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422D4B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4FC5D0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710409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47.62</w:t>
            </w:r>
          </w:p>
        </w:tc>
        <w:tc>
          <w:tcPr>
            <w:tcW w:w="313" w:type="pct"/>
            <w:noWrap/>
            <w:vAlign w:val="center"/>
          </w:tcPr>
          <w:p w14:paraId="1BCB5A4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1FD0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3A4097C0">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3241824B">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10BA95C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20CA7FB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404626B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7A348C5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64862D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30A124D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241D46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A9E501A">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BA88C7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2.68</w:t>
            </w:r>
          </w:p>
        </w:tc>
        <w:tc>
          <w:tcPr>
            <w:tcW w:w="331" w:type="pct"/>
            <w:noWrap w:val="0"/>
            <w:vAlign w:val="center"/>
          </w:tcPr>
          <w:p w14:paraId="6740808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74.18</w:t>
            </w:r>
          </w:p>
        </w:tc>
        <w:tc>
          <w:tcPr>
            <w:tcW w:w="233" w:type="pct"/>
            <w:noWrap w:val="0"/>
            <w:vAlign w:val="center"/>
          </w:tcPr>
          <w:p w14:paraId="6B7602B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417EAF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411F9E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241EC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48.18</w:t>
            </w:r>
          </w:p>
        </w:tc>
        <w:tc>
          <w:tcPr>
            <w:tcW w:w="313" w:type="pct"/>
            <w:noWrap/>
            <w:vAlign w:val="center"/>
          </w:tcPr>
          <w:p w14:paraId="51D6B6B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ABB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2BDF5033">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38388EA7">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5A3040F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698192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6A7D521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27C825B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2F7D8A1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2A8C402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490C3F2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E1928C1">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8382D8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28.44</w:t>
            </w:r>
          </w:p>
        </w:tc>
        <w:tc>
          <w:tcPr>
            <w:tcW w:w="331" w:type="pct"/>
            <w:noWrap w:val="0"/>
            <w:vAlign w:val="center"/>
          </w:tcPr>
          <w:p w14:paraId="18648E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73.56</w:t>
            </w:r>
          </w:p>
        </w:tc>
        <w:tc>
          <w:tcPr>
            <w:tcW w:w="233" w:type="pct"/>
            <w:noWrap w:val="0"/>
            <w:vAlign w:val="center"/>
          </w:tcPr>
          <w:p w14:paraId="257F037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94236A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F2B247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2DAB28A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47.56</w:t>
            </w:r>
          </w:p>
        </w:tc>
        <w:tc>
          <w:tcPr>
            <w:tcW w:w="313" w:type="pct"/>
            <w:noWrap/>
            <w:vAlign w:val="center"/>
          </w:tcPr>
          <w:p w14:paraId="2CB6BDA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06A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restart"/>
            <w:noWrap w:val="0"/>
            <w:vAlign w:val="center"/>
          </w:tcPr>
          <w:p w14:paraId="492F8EAE">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w:t>
            </w:r>
          </w:p>
        </w:tc>
        <w:tc>
          <w:tcPr>
            <w:tcW w:w="245" w:type="pct"/>
            <w:vMerge w:val="restart"/>
            <w:noWrap w:val="0"/>
            <w:vAlign w:val="center"/>
          </w:tcPr>
          <w:p w14:paraId="622BC48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质检</w:t>
            </w:r>
          </w:p>
        </w:tc>
        <w:tc>
          <w:tcPr>
            <w:tcW w:w="906" w:type="dxa"/>
            <w:vMerge w:val="restart"/>
            <w:noWrap w:val="0"/>
            <w:vAlign w:val="center"/>
          </w:tcPr>
          <w:p w14:paraId="2756E27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noWrap w:val="0"/>
            <w:vAlign w:val="center"/>
          </w:tcPr>
          <w:p w14:paraId="465E948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62" w:type="pct"/>
            <w:vMerge w:val="restart"/>
            <w:noWrap w:val="0"/>
            <w:vAlign w:val="center"/>
          </w:tcPr>
          <w:p w14:paraId="781DE5A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60/1</w:t>
            </w:r>
          </w:p>
        </w:tc>
        <w:tc>
          <w:tcPr>
            <w:tcW w:w="296" w:type="pct"/>
            <w:vMerge w:val="restart"/>
            <w:noWrap w:val="0"/>
            <w:vAlign w:val="center"/>
          </w:tcPr>
          <w:p w14:paraId="5A2F5D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443" w:type="pct"/>
            <w:vMerge w:val="restart"/>
            <w:noWrap w:val="0"/>
            <w:vAlign w:val="center"/>
          </w:tcPr>
          <w:p w14:paraId="28FD00F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399ECC7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27.83</w:t>
            </w:r>
          </w:p>
        </w:tc>
        <w:tc>
          <w:tcPr>
            <w:tcW w:w="267" w:type="pct"/>
            <w:vMerge w:val="restart"/>
            <w:noWrap/>
            <w:vAlign w:val="center"/>
          </w:tcPr>
          <w:p w14:paraId="78DA966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-46.96</w:t>
            </w:r>
          </w:p>
        </w:tc>
        <w:tc>
          <w:tcPr>
            <w:tcW w:w="258" w:type="pct"/>
            <w:vMerge w:val="restart"/>
            <w:noWrap/>
            <w:vAlign w:val="center"/>
          </w:tcPr>
          <w:p w14:paraId="7922DBF5">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shd w:val="clear" w:color="auto" w:fill="auto"/>
            <w:noWrap w:val="0"/>
            <w:vAlign w:val="center"/>
          </w:tcPr>
          <w:p w14:paraId="464B5AC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32.04</w:t>
            </w:r>
          </w:p>
        </w:tc>
        <w:tc>
          <w:tcPr>
            <w:tcW w:w="331" w:type="pct"/>
            <w:shd w:val="clear" w:color="auto" w:fill="auto"/>
            <w:noWrap w:val="0"/>
            <w:vAlign w:val="center"/>
          </w:tcPr>
          <w:p w14:paraId="19BEC3D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51.95</w:t>
            </w:r>
          </w:p>
        </w:tc>
        <w:tc>
          <w:tcPr>
            <w:tcW w:w="233" w:type="pct"/>
            <w:shd w:val="clear" w:color="auto" w:fill="auto"/>
            <w:noWrap w:val="0"/>
            <w:vAlign w:val="center"/>
          </w:tcPr>
          <w:p w14:paraId="7829614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shd w:val="clear" w:color="auto" w:fill="auto"/>
            <w:noWrap w:val="0"/>
            <w:vAlign w:val="center"/>
          </w:tcPr>
          <w:p w14:paraId="732240B7">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shd w:val="clear" w:color="auto" w:fill="auto"/>
            <w:noWrap w:val="0"/>
            <w:vAlign w:val="center"/>
          </w:tcPr>
          <w:p w14:paraId="10AAEB1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shd w:val="clear" w:color="auto" w:fill="auto"/>
            <w:noWrap/>
            <w:vAlign w:val="center"/>
          </w:tcPr>
          <w:p w14:paraId="2BCC42E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25.95</w:t>
            </w:r>
          </w:p>
        </w:tc>
        <w:tc>
          <w:tcPr>
            <w:tcW w:w="313" w:type="pct"/>
            <w:shd w:val="clear" w:color="auto" w:fill="auto"/>
            <w:noWrap/>
            <w:vAlign w:val="center"/>
          </w:tcPr>
          <w:p w14:paraId="62BD204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670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6340D745">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341A721D">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1436AC4A">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0074FC5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1B74B12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43074E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0F2B16F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9D226FD">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61CEAAD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CF92186">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shd w:val="clear" w:color="auto" w:fill="auto"/>
            <w:noWrap w:val="0"/>
            <w:vAlign w:val="center"/>
          </w:tcPr>
          <w:p w14:paraId="19EBD36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6.92</w:t>
            </w:r>
          </w:p>
        </w:tc>
        <w:tc>
          <w:tcPr>
            <w:tcW w:w="331" w:type="pct"/>
            <w:shd w:val="clear" w:color="auto" w:fill="auto"/>
            <w:noWrap w:val="0"/>
            <w:vAlign w:val="center"/>
          </w:tcPr>
          <w:p w14:paraId="2BF26C4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51.99</w:t>
            </w:r>
          </w:p>
        </w:tc>
        <w:tc>
          <w:tcPr>
            <w:tcW w:w="233" w:type="pct"/>
            <w:shd w:val="clear" w:color="auto" w:fill="auto"/>
            <w:noWrap w:val="0"/>
            <w:vAlign w:val="center"/>
          </w:tcPr>
          <w:p w14:paraId="56152CE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shd w:val="clear" w:color="auto" w:fill="auto"/>
            <w:noWrap w:val="0"/>
            <w:vAlign w:val="center"/>
          </w:tcPr>
          <w:p w14:paraId="6DAF2AE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shd w:val="clear" w:color="auto" w:fill="auto"/>
            <w:noWrap w:val="0"/>
            <w:vAlign w:val="center"/>
          </w:tcPr>
          <w:p w14:paraId="5C2F354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shd w:val="clear" w:color="auto" w:fill="auto"/>
            <w:noWrap/>
            <w:vAlign w:val="center"/>
          </w:tcPr>
          <w:p w14:paraId="27E67F8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25.99</w:t>
            </w:r>
          </w:p>
        </w:tc>
        <w:tc>
          <w:tcPr>
            <w:tcW w:w="313" w:type="pct"/>
            <w:shd w:val="clear" w:color="auto" w:fill="auto"/>
            <w:noWrap/>
            <w:vAlign w:val="center"/>
          </w:tcPr>
          <w:p w14:paraId="076D27E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719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027A340F">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046472A7">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71FD1313">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6473A6D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091BF88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34A470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33EA404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0C268E7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08076AD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33715FB">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shd w:val="clear" w:color="auto" w:fill="auto"/>
            <w:noWrap w:val="0"/>
            <w:vAlign w:val="center"/>
          </w:tcPr>
          <w:p w14:paraId="24F9383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8.01</w:t>
            </w:r>
          </w:p>
        </w:tc>
        <w:tc>
          <w:tcPr>
            <w:tcW w:w="331" w:type="pct"/>
            <w:shd w:val="clear" w:color="auto" w:fill="auto"/>
            <w:noWrap w:val="0"/>
            <w:vAlign w:val="center"/>
          </w:tcPr>
          <w:p w14:paraId="18D79FA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51.98</w:t>
            </w:r>
          </w:p>
        </w:tc>
        <w:tc>
          <w:tcPr>
            <w:tcW w:w="233" w:type="pct"/>
            <w:shd w:val="clear" w:color="auto" w:fill="auto"/>
            <w:noWrap w:val="0"/>
            <w:vAlign w:val="center"/>
          </w:tcPr>
          <w:p w14:paraId="07C0114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shd w:val="clear" w:color="auto" w:fill="auto"/>
            <w:noWrap w:val="0"/>
            <w:vAlign w:val="center"/>
          </w:tcPr>
          <w:p w14:paraId="691C7EE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shd w:val="clear" w:color="auto" w:fill="auto"/>
            <w:noWrap w:val="0"/>
            <w:vAlign w:val="center"/>
          </w:tcPr>
          <w:p w14:paraId="27F435E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shd w:val="clear" w:color="auto" w:fill="auto"/>
            <w:noWrap/>
            <w:vAlign w:val="center"/>
          </w:tcPr>
          <w:p w14:paraId="4BB56D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25.98</w:t>
            </w:r>
          </w:p>
        </w:tc>
        <w:tc>
          <w:tcPr>
            <w:tcW w:w="313" w:type="pct"/>
            <w:shd w:val="clear" w:color="auto" w:fill="auto"/>
            <w:noWrap/>
            <w:vAlign w:val="center"/>
          </w:tcPr>
          <w:p w14:paraId="316AE47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11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 w:type="pct"/>
            <w:vMerge w:val="continue"/>
            <w:noWrap w:val="0"/>
            <w:vAlign w:val="center"/>
          </w:tcPr>
          <w:p w14:paraId="61066668">
            <w:pPr>
              <w:pStyle w:val="24"/>
              <w:bidi w:val="0"/>
              <w:rPr>
                <w:rFonts w:hint="eastAsia" w:ascii="Times New Roman" w:hAnsi="Times New Roman" w:eastAsia="宋体" w:cs="Courier New"/>
                <w:b w:val="0"/>
                <w:bCs w:val="0"/>
                <w:color w:val="auto"/>
                <w:highlight w:val="none"/>
                <w:lang w:val="en-US" w:eastAsia="zh-CN"/>
              </w:rPr>
            </w:pPr>
          </w:p>
        </w:tc>
        <w:tc>
          <w:tcPr>
            <w:tcW w:w="245" w:type="pct"/>
            <w:vMerge w:val="continue"/>
            <w:noWrap w:val="0"/>
            <w:vAlign w:val="center"/>
          </w:tcPr>
          <w:p w14:paraId="4D5615E0">
            <w:pPr>
              <w:pStyle w:val="24"/>
              <w:bidi w:val="0"/>
              <w:rPr>
                <w:rFonts w:hint="eastAsia" w:ascii="Times New Roman" w:hAnsi="Times New Roman" w:eastAsia="宋体" w:cs="Courier New"/>
                <w:b w:val="0"/>
                <w:bCs w:val="0"/>
                <w:color w:val="auto"/>
                <w:highlight w:val="none"/>
                <w:lang w:val="en-US" w:eastAsia="zh-CN"/>
              </w:rPr>
            </w:pPr>
          </w:p>
        </w:tc>
        <w:tc>
          <w:tcPr>
            <w:tcW w:w="317" w:type="pct"/>
            <w:vMerge w:val="continue"/>
            <w:noWrap w:val="0"/>
            <w:vAlign w:val="center"/>
          </w:tcPr>
          <w:p w14:paraId="359E4DE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p>
        </w:tc>
        <w:tc>
          <w:tcPr>
            <w:tcW w:w="180" w:type="pct"/>
            <w:vMerge w:val="continue"/>
            <w:noWrap w:val="0"/>
            <w:vAlign w:val="center"/>
          </w:tcPr>
          <w:p w14:paraId="3A2299E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62" w:type="pct"/>
            <w:vMerge w:val="continue"/>
            <w:noWrap w:val="0"/>
            <w:vAlign w:val="center"/>
          </w:tcPr>
          <w:p w14:paraId="2D6F9DE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96" w:type="pct"/>
            <w:vMerge w:val="continue"/>
            <w:noWrap w:val="0"/>
            <w:vAlign w:val="center"/>
          </w:tcPr>
          <w:p w14:paraId="04D3FC9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443" w:type="pct"/>
            <w:vMerge w:val="continue"/>
            <w:noWrap w:val="0"/>
            <w:vAlign w:val="center"/>
          </w:tcPr>
          <w:p w14:paraId="6E381A9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p>
        </w:tc>
        <w:tc>
          <w:tcPr>
            <w:tcW w:w="282" w:type="pct"/>
            <w:vMerge w:val="continue"/>
            <w:noWrap/>
            <w:vAlign w:val="center"/>
          </w:tcPr>
          <w:p w14:paraId="56CB7EEB">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FB9B30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BFF1835">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shd w:val="clear" w:color="auto" w:fill="auto"/>
            <w:noWrap w:val="0"/>
            <w:vAlign w:val="center"/>
          </w:tcPr>
          <w:p w14:paraId="4489E88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6.18</w:t>
            </w:r>
          </w:p>
        </w:tc>
        <w:tc>
          <w:tcPr>
            <w:tcW w:w="331" w:type="pct"/>
            <w:shd w:val="clear" w:color="auto" w:fill="auto"/>
            <w:noWrap w:val="0"/>
            <w:vAlign w:val="center"/>
          </w:tcPr>
          <w:p w14:paraId="4C63D1A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52.01</w:t>
            </w:r>
          </w:p>
        </w:tc>
        <w:tc>
          <w:tcPr>
            <w:tcW w:w="233" w:type="pct"/>
            <w:shd w:val="clear" w:color="auto" w:fill="auto"/>
            <w:noWrap w:val="0"/>
            <w:vAlign w:val="center"/>
          </w:tcPr>
          <w:p w14:paraId="24253F3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shd w:val="clear" w:color="auto" w:fill="auto"/>
            <w:noWrap w:val="0"/>
            <w:vAlign w:val="center"/>
          </w:tcPr>
          <w:p w14:paraId="5DEA46A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shd w:val="clear" w:color="auto" w:fill="auto"/>
            <w:noWrap w:val="0"/>
            <w:vAlign w:val="center"/>
          </w:tcPr>
          <w:p w14:paraId="42DC3E9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shd w:val="clear" w:color="auto" w:fill="auto"/>
            <w:noWrap/>
            <w:vAlign w:val="center"/>
          </w:tcPr>
          <w:p w14:paraId="0E28C23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26.01</w:t>
            </w:r>
          </w:p>
        </w:tc>
        <w:tc>
          <w:tcPr>
            <w:tcW w:w="313" w:type="pct"/>
            <w:shd w:val="clear" w:color="auto" w:fill="auto"/>
            <w:noWrap/>
            <w:vAlign w:val="center"/>
          </w:tcPr>
          <w:p w14:paraId="7A6276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477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72" w:type="pct"/>
            <w:vMerge w:val="restart"/>
            <w:noWrap w:val="0"/>
            <w:vAlign w:val="center"/>
          </w:tcPr>
          <w:p w14:paraId="7F94BFB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w:t>
            </w:r>
          </w:p>
        </w:tc>
        <w:tc>
          <w:tcPr>
            <w:tcW w:w="245" w:type="pct"/>
            <w:vMerge w:val="restart"/>
            <w:noWrap w:val="0"/>
            <w:vAlign w:val="center"/>
          </w:tcPr>
          <w:p w14:paraId="4520332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公辅设施</w:t>
            </w:r>
          </w:p>
        </w:tc>
        <w:tc>
          <w:tcPr>
            <w:tcW w:w="906" w:type="dxa"/>
            <w:vMerge w:val="restart"/>
            <w:noWrap w:val="0"/>
            <w:vAlign w:val="center"/>
          </w:tcPr>
          <w:p w14:paraId="67F95C5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Times New Roman"/>
                <w:b w:val="0"/>
                <w:bCs w:val="0"/>
                <w:color w:val="auto"/>
                <w:sz w:val="21"/>
                <w:szCs w:val="21"/>
                <w:highlight w:val="none"/>
                <w:lang w:val="en-US" w:eastAsia="zh-CN" w:bidi="ar"/>
              </w:rPr>
              <w:t>**</w:t>
            </w:r>
          </w:p>
        </w:tc>
        <w:tc>
          <w:tcPr>
            <w:tcW w:w="180" w:type="pct"/>
            <w:vMerge w:val="restart"/>
            <w:shd w:val="clear" w:color="auto" w:fill="auto"/>
            <w:noWrap w:val="0"/>
            <w:vAlign w:val="center"/>
          </w:tcPr>
          <w:p w14:paraId="5876603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6BAA7AA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85</w:t>
            </w:r>
            <w:r>
              <w:rPr>
                <w:rFonts w:hint="eastAsia" w:ascii="Times New Roman" w:hAnsi="Times New Roman" w:eastAsia="宋体" w:cs="Courier New"/>
                <w:b w:val="0"/>
                <w:bCs w:val="0"/>
                <w:color w:val="auto"/>
                <w:highlight w:val="none"/>
                <w:lang w:val="en-US" w:eastAsia="zh-CN"/>
              </w:rPr>
              <w:t>/1</w:t>
            </w:r>
          </w:p>
        </w:tc>
        <w:tc>
          <w:tcPr>
            <w:tcW w:w="296" w:type="pct"/>
            <w:vMerge w:val="restart"/>
            <w:shd w:val="clear" w:color="auto" w:fill="auto"/>
            <w:noWrap w:val="0"/>
            <w:vAlign w:val="center"/>
          </w:tcPr>
          <w:p w14:paraId="048C4EF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33DF1D2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77A3597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-31.96</w:t>
            </w:r>
          </w:p>
        </w:tc>
        <w:tc>
          <w:tcPr>
            <w:tcW w:w="267" w:type="pct"/>
            <w:vMerge w:val="restart"/>
            <w:noWrap/>
            <w:vAlign w:val="center"/>
          </w:tcPr>
          <w:p w14:paraId="1A607BA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-12.31</w:t>
            </w:r>
          </w:p>
        </w:tc>
        <w:tc>
          <w:tcPr>
            <w:tcW w:w="258" w:type="pct"/>
            <w:vMerge w:val="restart"/>
            <w:noWrap/>
            <w:vAlign w:val="center"/>
          </w:tcPr>
          <w:p w14:paraId="67D9A47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0B78158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8.95</w:t>
            </w:r>
          </w:p>
        </w:tc>
        <w:tc>
          <w:tcPr>
            <w:tcW w:w="331" w:type="pct"/>
            <w:noWrap w:val="0"/>
            <w:vAlign w:val="center"/>
          </w:tcPr>
          <w:p w14:paraId="3641E8A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79.48</w:t>
            </w:r>
          </w:p>
        </w:tc>
        <w:tc>
          <w:tcPr>
            <w:tcW w:w="233" w:type="pct"/>
            <w:noWrap w:val="0"/>
            <w:vAlign w:val="center"/>
          </w:tcPr>
          <w:p w14:paraId="57CB33C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D4B7B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5B71CF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E73CB6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53.48</w:t>
            </w:r>
          </w:p>
        </w:tc>
        <w:tc>
          <w:tcPr>
            <w:tcW w:w="313" w:type="pct"/>
            <w:noWrap/>
            <w:vAlign w:val="center"/>
          </w:tcPr>
          <w:p w14:paraId="14AEA2B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609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72" w:type="pct"/>
            <w:vMerge w:val="continue"/>
            <w:noWrap w:val="0"/>
            <w:vAlign w:val="center"/>
          </w:tcPr>
          <w:p w14:paraId="1FB94B3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01EAE95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noWrap w:val="0"/>
            <w:vAlign w:val="center"/>
          </w:tcPr>
          <w:p w14:paraId="5E91217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5F8E29F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6644E62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5DA73D5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446C772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64468A3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186E6F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AD76884">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492289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11.02</w:t>
            </w:r>
          </w:p>
        </w:tc>
        <w:tc>
          <w:tcPr>
            <w:tcW w:w="331" w:type="pct"/>
            <w:noWrap w:val="0"/>
            <w:vAlign w:val="center"/>
          </w:tcPr>
          <w:p w14:paraId="36F8AC9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79.48</w:t>
            </w:r>
          </w:p>
        </w:tc>
        <w:tc>
          <w:tcPr>
            <w:tcW w:w="233" w:type="pct"/>
            <w:noWrap w:val="0"/>
            <w:vAlign w:val="center"/>
          </w:tcPr>
          <w:p w14:paraId="41A9391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0E6C10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8BC96C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BD87B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53.48</w:t>
            </w:r>
          </w:p>
        </w:tc>
        <w:tc>
          <w:tcPr>
            <w:tcW w:w="313" w:type="pct"/>
            <w:noWrap/>
            <w:vAlign w:val="center"/>
          </w:tcPr>
          <w:p w14:paraId="50FAC95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25F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72" w:type="pct"/>
            <w:vMerge w:val="continue"/>
            <w:noWrap w:val="0"/>
            <w:vAlign w:val="center"/>
          </w:tcPr>
          <w:p w14:paraId="0FEB516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353FD87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noWrap w:val="0"/>
            <w:vAlign w:val="center"/>
          </w:tcPr>
          <w:p w14:paraId="13589AC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187DF2A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34FEE3B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35548AE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07C178F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78B7ACC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E2BE57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67E1D5D">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D1FA8D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19.75</w:t>
            </w:r>
          </w:p>
        </w:tc>
        <w:tc>
          <w:tcPr>
            <w:tcW w:w="331" w:type="pct"/>
            <w:noWrap w:val="0"/>
            <w:vAlign w:val="center"/>
          </w:tcPr>
          <w:p w14:paraId="1047DD9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79.47</w:t>
            </w:r>
          </w:p>
        </w:tc>
        <w:tc>
          <w:tcPr>
            <w:tcW w:w="233" w:type="pct"/>
            <w:noWrap w:val="0"/>
            <w:vAlign w:val="center"/>
          </w:tcPr>
          <w:p w14:paraId="3DA4CE7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39AAE47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289480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53F807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53.47</w:t>
            </w:r>
          </w:p>
        </w:tc>
        <w:tc>
          <w:tcPr>
            <w:tcW w:w="313" w:type="pct"/>
            <w:noWrap/>
            <w:vAlign w:val="center"/>
          </w:tcPr>
          <w:p w14:paraId="42E291D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586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72" w:type="pct"/>
            <w:vMerge w:val="continue"/>
            <w:noWrap w:val="0"/>
            <w:vAlign w:val="center"/>
          </w:tcPr>
          <w:p w14:paraId="4327CD5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05D4D43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noWrap w:val="0"/>
            <w:vAlign w:val="center"/>
          </w:tcPr>
          <w:p w14:paraId="5085004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34893CA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305E9AE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0042188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0FE4D25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15FBA01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5183BD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104356C">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0F5FF8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2.38</w:t>
            </w:r>
          </w:p>
        </w:tc>
        <w:tc>
          <w:tcPr>
            <w:tcW w:w="331" w:type="pct"/>
            <w:noWrap w:val="0"/>
            <w:vAlign w:val="center"/>
          </w:tcPr>
          <w:p w14:paraId="4A8BE98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79.68</w:t>
            </w:r>
          </w:p>
        </w:tc>
        <w:tc>
          <w:tcPr>
            <w:tcW w:w="233" w:type="pct"/>
            <w:noWrap w:val="0"/>
            <w:vAlign w:val="center"/>
          </w:tcPr>
          <w:p w14:paraId="3FA3AA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3BC35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699F20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745AC7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53.68</w:t>
            </w:r>
          </w:p>
        </w:tc>
        <w:tc>
          <w:tcPr>
            <w:tcW w:w="313" w:type="pct"/>
            <w:noWrap/>
            <w:vAlign w:val="center"/>
          </w:tcPr>
          <w:p w14:paraId="1D1FD3C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4F5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6C8A591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43E3A49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906" w:type="dxa"/>
            <w:vMerge w:val="restart"/>
            <w:shd w:val="clear" w:color="auto" w:fill="auto"/>
            <w:noWrap w:val="0"/>
            <w:vAlign w:val="center"/>
          </w:tcPr>
          <w:p w14:paraId="7F686E5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shd w:val="clear" w:color="auto" w:fill="auto"/>
            <w:noWrap w:val="0"/>
            <w:vAlign w:val="center"/>
          </w:tcPr>
          <w:p w14:paraId="2059E2D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6ACF8A4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95</w:t>
            </w:r>
            <w:r>
              <w:rPr>
                <w:rFonts w:hint="eastAsia" w:ascii="Times New Roman" w:hAnsi="Times New Roman" w:eastAsia="宋体" w:cs="Courier New"/>
                <w:b w:val="0"/>
                <w:bCs w:val="0"/>
                <w:color w:val="auto"/>
                <w:highlight w:val="none"/>
                <w:lang w:val="en-US" w:eastAsia="zh-CN"/>
              </w:rPr>
              <w:t>/1</w:t>
            </w:r>
          </w:p>
        </w:tc>
        <w:tc>
          <w:tcPr>
            <w:tcW w:w="296" w:type="pct"/>
            <w:vMerge w:val="restart"/>
            <w:shd w:val="clear" w:color="auto" w:fill="auto"/>
            <w:noWrap w:val="0"/>
            <w:vAlign w:val="center"/>
          </w:tcPr>
          <w:p w14:paraId="3E04DC6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0565A05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3415A1E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-32.76</w:t>
            </w:r>
          </w:p>
        </w:tc>
        <w:tc>
          <w:tcPr>
            <w:tcW w:w="267" w:type="pct"/>
            <w:vMerge w:val="restart"/>
            <w:noWrap/>
            <w:vAlign w:val="center"/>
          </w:tcPr>
          <w:p w14:paraId="37860C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-11.76</w:t>
            </w:r>
          </w:p>
        </w:tc>
        <w:tc>
          <w:tcPr>
            <w:tcW w:w="258" w:type="pct"/>
            <w:vMerge w:val="restart"/>
            <w:noWrap/>
            <w:vAlign w:val="center"/>
          </w:tcPr>
          <w:p w14:paraId="66B0F2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63A43F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7.98</w:t>
            </w:r>
          </w:p>
        </w:tc>
        <w:tc>
          <w:tcPr>
            <w:tcW w:w="331" w:type="pct"/>
            <w:noWrap w:val="0"/>
            <w:vAlign w:val="center"/>
          </w:tcPr>
          <w:p w14:paraId="3292E47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89.49</w:t>
            </w:r>
          </w:p>
        </w:tc>
        <w:tc>
          <w:tcPr>
            <w:tcW w:w="233" w:type="pct"/>
            <w:noWrap w:val="0"/>
            <w:vAlign w:val="center"/>
          </w:tcPr>
          <w:p w14:paraId="1836698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559B448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750153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707995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63.49</w:t>
            </w:r>
          </w:p>
        </w:tc>
        <w:tc>
          <w:tcPr>
            <w:tcW w:w="313" w:type="pct"/>
            <w:noWrap/>
            <w:vAlign w:val="center"/>
          </w:tcPr>
          <w:p w14:paraId="4D983AB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45B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168D9318">
            <w:pPr>
              <w:pStyle w:val="24"/>
              <w:bidi w:val="0"/>
              <w:ind w:left="0" w:leftChars="0"/>
              <w:rPr>
                <w:color w:val="auto"/>
              </w:rPr>
            </w:pPr>
          </w:p>
        </w:tc>
        <w:tc>
          <w:tcPr>
            <w:tcW w:w="245" w:type="pct"/>
            <w:vMerge w:val="continue"/>
            <w:noWrap w:val="0"/>
            <w:vAlign w:val="center"/>
          </w:tcPr>
          <w:p w14:paraId="17383AF0">
            <w:pPr>
              <w:pStyle w:val="24"/>
              <w:bidi w:val="0"/>
              <w:ind w:left="0" w:leftChars="0"/>
              <w:rPr>
                <w:color w:val="auto"/>
              </w:rPr>
            </w:pPr>
          </w:p>
        </w:tc>
        <w:tc>
          <w:tcPr>
            <w:tcW w:w="317" w:type="pct"/>
            <w:vMerge w:val="continue"/>
            <w:shd w:val="clear" w:color="auto" w:fill="auto"/>
            <w:noWrap w:val="0"/>
            <w:vAlign w:val="center"/>
          </w:tcPr>
          <w:p w14:paraId="5CA5C5EC">
            <w:pPr>
              <w:pStyle w:val="24"/>
              <w:bidi w:val="0"/>
              <w:ind w:left="0" w:leftChars="0"/>
              <w:rPr>
                <w:color w:val="auto"/>
              </w:rPr>
            </w:pPr>
          </w:p>
        </w:tc>
        <w:tc>
          <w:tcPr>
            <w:tcW w:w="180" w:type="pct"/>
            <w:vMerge w:val="continue"/>
            <w:shd w:val="clear" w:color="auto" w:fill="auto"/>
            <w:noWrap w:val="0"/>
            <w:vAlign w:val="center"/>
          </w:tcPr>
          <w:p w14:paraId="1BA2B7A9">
            <w:pPr>
              <w:pStyle w:val="24"/>
              <w:bidi w:val="0"/>
              <w:ind w:left="0" w:leftChars="0"/>
              <w:rPr>
                <w:color w:val="auto"/>
              </w:rPr>
            </w:pPr>
          </w:p>
        </w:tc>
        <w:tc>
          <w:tcPr>
            <w:tcW w:w="462" w:type="pct"/>
            <w:vMerge w:val="continue"/>
            <w:shd w:val="clear" w:color="auto" w:fill="auto"/>
            <w:noWrap w:val="0"/>
            <w:vAlign w:val="center"/>
          </w:tcPr>
          <w:p w14:paraId="138BC985">
            <w:pPr>
              <w:pStyle w:val="24"/>
              <w:bidi w:val="0"/>
              <w:ind w:left="0" w:leftChars="0"/>
              <w:rPr>
                <w:color w:val="auto"/>
              </w:rPr>
            </w:pPr>
          </w:p>
        </w:tc>
        <w:tc>
          <w:tcPr>
            <w:tcW w:w="296" w:type="pct"/>
            <w:vMerge w:val="continue"/>
            <w:shd w:val="clear" w:color="auto" w:fill="auto"/>
            <w:noWrap w:val="0"/>
            <w:vAlign w:val="center"/>
          </w:tcPr>
          <w:p w14:paraId="5C1AD4B9">
            <w:pPr>
              <w:pStyle w:val="24"/>
              <w:bidi w:val="0"/>
              <w:ind w:left="0" w:leftChars="0"/>
              <w:rPr>
                <w:color w:val="auto"/>
              </w:rPr>
            </w:pPr>
          </w:p>
        </w:tc>
        <w:tc>
          <w:tcPr>
            <w:tcW w:w="443" w:type="pct"/>
            <w:vMerge w:val="continue"/>
            <w:shd w:val="clear" w:color="auto" w:fill="auto"/>
            <w:noWrap w:val="0"/>
            <w:vAlign w:val="center"/>
          </w:tcPr>
          <w:p w14:paraId="50C66861">
            <w:pPr>
              <w:pStyle w:val="24"/>
              <w:bidi w:val="0"/>
              <w:ind w:left="0" w:leftChars="0"/>
              <w:rPr>
                <w:color w:val="auto"/>
              </w:rPr>
            </w:pPr>
          </w:p>
        </w:tc>
        <w:tc>
          <w:tcPr>
            <w:tcW w:w="282" w:type="pct"/>
            <w:vMerge w:val="continue"/>
            <w:noWrap/>
            <w:vAlign w:val="center"/>
          </w:tcPr>
          <w:p w14:paraId="08EB04D4">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F3505BC">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0D30949">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75E8FF1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11.15</w:t>
            </w:r>
          </w:p>
        </w:tc>
        <w:tc>
          <w:tcPr>
            <w:tcW w:w="331" w:type="pct"/>
            <w:noWrap w:val="0"/>
            <w:vAlign w:val="center"/>
          </w:tcPr>
          <w:p w14:paraId="3B98C93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89.48</w:t>
            </w:r>
          </w:p>
        </w:tc>
        <w:tc>
          <w:tcPr>
            <w:tcW w:w="233" w:type="pct"/>
            <w:noWrap w:val="0"/>
            <w:vAlign w:val="center"/>
          </w:tcPr>
          <w:p w14:paraId="1215686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579573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1E851FC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3FD59AC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63.48</w:t>
            </w:r>
          </w:p>
        </w:tc>
        <w:tc>
          <w:tcPr>
            <w:tcW w:w="313" w:type="pct"/>
            <w:noWrap/>
            <w:vAlign w:val="center"/>
          </w:tcPr>
          <w:p w14:paraId="4FF2208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466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6A13F8E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765F68B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shd w:val="clear" w:color="auto" w:fill="auto"/>
            <w:noWrap w:val="0"/>
            <w:vAlign w:val="center"/>
          </w:tcPr>
          <w:p w14:paraId="45A2BFF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20CA2BA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2E0B24C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1A18321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298A27A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1D4244B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22B2FCF">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1C7274C1">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2551114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20.72</w:t>
            </w:r>
          </w:p>
        </w:tc>
        <w:tc>
          <w:tcPr>
            <w:tcW w:w="331" w:type="pct"/>
            <w:noWrap w:val="0"/>
            <w:vAlign w:val="center"/>
          </w:tcPr>
          <w:p w14:paraId="31B3F65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89.47</w:t>
            </w:r>
          </w:p>
        </w:tc>
        <w:tc>
          <w:tcPr>
            <w:tcW w:w="233" w:type="pct"/>
            <w:noWrap w:val="0"/>
            <w:vAlign w:val="center"/>
          </w:tcPr>
          <w:p w14:paraId="73099C7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347CEE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ECF375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30C29B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63.47</w:t>
            </w:r>
          </w:p>
        </w:tc>
        <w:tc>
          <w:tcPr>
            <w:tcW w:w="313" w:type="pct"/>
            <w:noWrap/>
            <w:vAlign w:val="center"/>
          </w:tcPr>
          <w:p w14:paraId="037AA05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6A7C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75C912B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3D4FA80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shd w:val="clear" w:color="auto" w:fill="auto"/>
            <w:noWrap w:val="0"/>
            <w:vAlign w:val="center"/>
          </w:tcPr>
          <w:p w14:paraId="3EF8178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3618731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64B6430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03D04A7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4FA7324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5D8D2F1E">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35E18BF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44431AA2">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5C40C4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2.24</w:t>
            </w:r>
          </w:p>
        </w:tc>
        <w:tc>
          <w:tcPr>
            <w:tcW w:w="331" w:type="pct"/>
            <w:noWrap w:val="0"/>
            <w:vAlign w:val="center"/>
          </w:tcPr>
          <w:p w14:paraId="692BFF9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89.71</w:t>
            </w:r>
          </w:p>
        </w:tc>
        <w:tc>
          <w:tcPr>
            <w:tcW w:w="233" w:type="pct"/>
            <w:noWrap w:val="0"/>
            <w:vAlign w:val="center"/>
          </w:tcPr>
          <w:p w14:paraId="2471024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1028CAF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1BFF83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5FDDE8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63.71</w:t>
            </w:r>
          </w:p>
        </w:tc>
        <w:tc>
          <w:tcPr>
            <w:tcW w:w="313" w:type="pct"/>
            <w:noWrap/>
            <w:vAlign w:val="center"/>
          </w:tcPr>
          <w:p w14:paraId="3D39E63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BB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54C4420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415A948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906" w:type="dxa"/>
            <w:vMerge w:val="restart"/>
            <w:shd w:val="clear" w:color="auto" w:fill="auto"/>
            <w:noWrap w:val="0"/>
            <w:vAlign w:val="center"/>
          </w:tcPr>
          <w:p w14:paraId="1350CCA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180" w:type="pct"/>
            <w:vMerge w:val="restart"/>
            <w:shd w:val="clear" w:color="auto" w:fill="auto"/>
            <w:noWrap w:val="0"/>
            <w:vAlign w:val="center"/>
          </w:tcPr>
          <w:p w14:paraId="554CDCB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337998C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70</w:t>
            </w:r>
            <w:r>
              <w:rPr>
                <w:rFonts w:hint="eastAsia" w:ascii="Times New Roman" w:hAnsi="Times New Roman" w:eastAsia="宋体" w:cs="Courier New"/>
                <w:b w:val="0"/>
                <w:bCs w:val="0"/>
                <w:color w:val="auto"/>
                <w:highlight w:val="none"/>
                <w:lang w:val="en-US" w:eastAsia="zh-CN"/>
              </w:rPr>
              <w:t>/1</w:t>
            </w:r>
          </w:p>
        </w:tc>
        <w:tc>
          <w:tcPr>
            <w:tcW w:w="296" w:type="pct"/>
            <w:vMerge w:val="restart"/>
            <w:shd w:val="clear" w:color="auto" w:fill="auto"/>
            <w:noWrap w:val="0"/>
            <w:vAlign w:val="center"/>
          </w:tcPr>
          <w:p w14:paraId="2D04F75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0B97EC4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2550669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-35.11</w:t>
            </w:r>
          </w:p>
        </w:tc>
        <w:tc>
          <w:tcPr>
            <w:tcW w:w="267" w:type="pct"/>
            <w:vMerge w:val="restart"/>
            <w:noWrap/>
            <w:vAlign w:val="center"/>
          </w:tcPr>
          <w:p w14:paraId="22DA165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-14.61</w:t>
            </w:r>
          </w:p>
        </w:tc>
        <w:tc>
          <w:tcPr>
            <w:tcW w:w="258" w:type="pct"/>
            <w:vMerge w:val="restart"/>
            <w:noWrap/>
            <w:vAlign w:val="center"/>
          </w:tcPr>
          <w:p w14:paraId="0EC64C6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67ADD3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7.72</w:t>
            </w:r>
          </w:p>
        </w:tc>
        <w:tc>
          <w:tcPr>
            <w:tcW w:w="331" w:type="pct"/>
            <w:noWrap w:val="0"/>
            <w:vAlign w:val="center"/>
          </w:tcPr>
          <w:p w14:paraId="5A23348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64.49</w:t>
            </w:r>
          </w:p>
        </w:tc>
        <w:tc>
          <w:tcPr>
            <w:tcW w:w="233" w:type="pct"/>
            <w:noWrap w:val="0"/>
            <w:vAlign w:val="center"/>
          </w:tcPr>
          <w:p w14:paraId="0E1B16B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E5C686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9FBE2F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F5A253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38.49</w:t>
            </w:r>
          </w:p>
        </w:tc>
        <w:tc>
          <w:tcPr>
            <w:tcW w:w="313" w:type="pct"/>
            <w:noWrap/>
            <w:vAlign w:val="center"/>
          </w:tcPr>
          <w:p w14:paraId="21282FA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2BF5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58B19553">
            <w:pPr>
              <w:pStyle w:val="24"/>
              <w:bidi w:val="0"/>
              <w:ind w:left="0" w:leftChars="0"/>
              <w:rPr>
                <w:color w:val="auto"/>
              </w:rPr>
            </w:pPr>
          </w:p>
        </w:tc>
        <w:tc>
          <w:tcPr>
            <w:tcW w:w="245" w:type="pct"/>
            <w:vMerge w:val="continue"/>
            <w:noWrap w:val="0"/>
            <w:vAlign w:val="center"/>
          </w:tcPr>
          <w:p w14:paraId="3259495C">
            <w:pPr>
              <w:pStyle w:val="24"/>
              <w:bidi w:val="0"/>
              <w:ind w:left="0" w:leftChars="0"/>
              <w:rPr>
                <w:color w:val="auto"/>
              </w:rPr>
            </w:pPr>
          </w:p>
        </w:tc>
        <w:tc>
          <w:tcPr>
            <w:tcW w:w="317" w:type="pct"/>
            <w:vMerge w:val="continue"/>
            <w:shd w:val="clear" w:color="auto" w:fill="auto"/>
            <w:noWrap w:val="0"/>
            <w:vAlign w:val="center"/>
          </w:tcPr>
          <w:p w14:paraId="74945AD4">
            <w:pPr>
              <w:pStyle w:val="24"/>
              <w:bidi w:val="0"/>
              <w:ind w:left="0" w:leftChars="0"/>
              <w:rPr>
                <w:color w:val="auto"/>
              </w:rPr>
            </w:pPr>
          </w:p>
        </w:tc>
        <w:tc>
          <w:tcPr>
            <w:tcW w:w="180" w:type="pct"/>
            <w:vMerge w:val="continue"/>
            <w:shd w:val="clear" w:color="auto" w:fill="auto"/>
            <w:noWrap w:val="0"/>
            <w:vAlign w:val="center"/>
          </w:tcPr>
          <w:p w14:paraId="238789A4">
            <w:pPr>
              <w:pStyle w:val="24"/>
              <w:bidi w:val="0"/>
              <w:ind w:left="0" w:leftChars="0"/>
              <w:rPr>
                <w:color w:val="auto"/>
              </w:rPr>
            </w:pPr>
          </w:p>
        </w:tc>
        <w:tc>
          <w:tcPr>
            <w:tcW w:w="462" w:type="pct"/>
            <w:vMerge w:val="continue"/>
            <w:shd w:val="clear" w:color="auto" w:fill="auto"/>
            <w:noWrap w:val="0"/>
            <w:vAlign w:val="center"/>
          </w:tcPr>
          <w:p w14:paraId="54B0B3B1">
            <w:pPr>
              <w:pStyle w:val="24"/>
              <w:bidi w:val="0"/>
              <w:ind w:left="0" w:leftChars="0"/>
              <w:rPr>
                <w:color w:val="auto"/>
              </w:rPr>
            </w:pPr>
          </w:p>
        </w:tc>
        <w:tc>
          <w:tcPr>
            <w:tcW w:w="296" w:type="pct"/>
            <w:vMerge w:val="continue"/>
            <w:shd w:val="clear" w:color="auto" w:fill="auto"/>
            <w:noWrap w:val="0"/>
            <w:vAlign w:val="center"/>
          </w:tcPr>
          <w:p w14:paraId="4BCDB13A">
            <w:pPr>
              <w:pStyle w:val="24"/>
              <w:bidi w:val="0"/>
              <w:ind w:left="0" w:leftChars="0"/>
              <w:rPr>
                <w:color w:val="auto"/>
              </w:rPr>
            </w:pPr>
          </w:p>
        </w:tc>
        <w:tc>
          <w:tcPr>
            <w:tcW w:w="443" w:type="pct"/>
            <w:vMerge w:val="continue"/>
            <w:shd w:val="clear" w:color="auto" w:fill="auto"/>
            <w:noWrap w:val="0"/>
            <w:vAlign w:val="center"/>
          </w:tcPr>
          <w:p w14:paraId="2C06963E">
            <w:pPr>
              <w:pStyle w:val="24"/>
              <w:bidi w:val="0"/>
              <w:ind w:left="0" w:leftChars="0"/>
              <w:rPr>
                <w:color w:val="auto"/>
              </w:rPr>
            </w:pPr>
          </w:p>
        </w:tc>
        <w:tc>
          <w:tcPr>
            <w:tcW w:w="282" w:type="pct"/>
            <w:vMerge w:val="continue"/>
            <w:noWrap/>
            <w:vAlign w:val="center"/>
          </w:tcPr>
          <w:p w14:paraId="5908255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C9AAD22">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85350DE">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6FA6F09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7.54</w:t>
            </w:r>
          </w:p>
        </w:tc>
        <w:tc>
          <w:tcPr>
            <w:tcW w:w="331" w:type="pct"/>
            <w:noWrap w:val="0"/>
            <w:vAlign w:val="center"/>
          </w:tcPr>
          <w:p w14:paraId="6CAFA09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64.49</w:t>
            </w:r>
          </w:p>
        </w:tc>
        <w:tc>
          <w:tcPr>
            <w:tcW w:w="233" w:type="pct"/>
            <w:noWrap w:val="0"/>
            <w:vAlign w:val="center"/>
          </w:tcPr>
          <w:p w14:paraId="0735B24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55E33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A79739A">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00748CE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38.49</w:t>
            </w:r>
          </w:p>
        </w:tc>
        <w:tc>
          <w:tcPr>
            <w:tcW w:w="313" w:type="pct"/>
            <w:noWrap/>
            <w:vAlign w:val="center"/>
          </w:tcPr>
          <w:p w14:paraId="1D61504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0484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5BFFA95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6A76FAB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shd w:val="clear" w:color="auto" w:fill="auto"/>
            <w:noWrap w:val="0"/>
            <w:vAlign w:val="center"/>
          </w:tcPr>
          <w:p w14:paraId="7289F6E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17A81BA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6820CD7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3D5B05A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1719A0A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58B0B7F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20166CA8">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27ED42C4">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CF4E9B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20.95</w:t>
            </w:r>
          </w:p>
        </w:tc>
        <w:tc>
          <w:tcPr>
            <w:tcW w:w="331" w:type="pct"/>
            <w:noWrap w:val="0"/>
            <w:vAlign w:val="center"/>
          </w:tcPr>
          <w:p w14:paraId="40A6513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64.47</w:t>
            </w:r>
          </w:p>
        </w:tc>
        <w:tc>
          <w:tcPr>
            <w:tcW w:w="233" w:type="pct"/>
            <w:noWrap w:val="0"/>
            <w:vAlign w:val="center"/>
          </w:tcPr>
          <w:p w14:paraId="2E43813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2F1674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45D0FF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2E159B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38.47</w:t>
            </w:r>
          </w:p>
        </w:tc>
        <w:tc>
          <w:tcPr>
            <w:tcW w:w="313" w:type="pct"/>
            <w:noWrap/>
            <w:vAlign w:val="center"/>
          </w:tcPr>
          <w:p w14:paraId="2814487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5D8E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2" w:type="pct"/>
            <w:vMerge w:val="continue"/>
            <w:noWrap w:val="0"/>
            <w:vAlign w:val="center"/>
          </w:tcPr>
          <w:p w14:paraId="2DAA2FC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6FF24CF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shd w:val="clear" w:color="auto" w:fill="auto"/>
            <w:noWrap w:val="0"/>
            <w:vAlign w:val="center"/>
          </w:tcPr>
          <w:p w14:paraId="4A6BF3A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233DA4C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6A27116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6B47936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3B8402D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0DD3D6D1">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5C2637A9">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502715E9">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5B8C0A0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5.84</w:t>
            </w:r>
          </w:p>
        </w:tc>
        <w:tc>
          <w:tcPr>
            <w:tcW w:w="331" w:type="pct"/>
            <w:noWrap w:val="0"/>
            <w:vAlign w:val="center"/>
          </w:tcPr>
          <w:p w14:paraId="306DB47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64.5</w:t>
            </w:r>
          </w:p>
        </w:tc>
        <w:tc>
          <w:tcPr>
            <w:tcW w:w="233" w:type="pct"/>
            <w:noWrap w:val="0"/>
            <w:vAlign w:val="center"/>
          </w:tcPr>
          <w:p w14:paraId="4416E24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3E61E3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3F4B582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E36D4A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38.5</w:t>
            </w:r>
          </w:p>
        </w:tc>
        <w:tc>
          <w:tcPr>
            <w:tcW w:w="313" w:type="pct"/>
            <w:noWrap/>
            <w:vAlign w:val="center"/>
          </w:tcPr>
          <w:p w14:paraId="19FF746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76A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172" w:type="pct"/>
            <w:vMerge w:val="continue"/>
            <w:noWrap w:val="0"/>
            <w:vAlign w:val="center"/>
          </w:tcPr>
          <w:p w14:paraId="7F3005C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773CDF9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906" w:type="dxa"/>
            <w:vMerge w:val="restart"/>
            <w:shd w:val="clear" w:color="auto" w:fill="auto"/>
            <w:noWrap w:val="0"/>
            <w:vAlign w:val="center"/>
          </w:tcPr>
          <w:p w14:paraId="3AC391C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sz w:val="21"/>
                <w:szCs w:val="21"/>
                <w:highlight w:val="none"/>
                <w:lang w:val="en-US" w:eastAsia="zh-CN"/>
              </w:rPr>
              <w:t>**</w:t>
            </w:r>
          </w:p>
        </w:tc>
        <w:tc>
          <w:tcPr>
            <w:tcW w:w="180" w:type="pct"/>
            <w:vMerge w:val="restart"/>
            <w:shd w:val="clear" w:color="auto" w:fill="auto"/>
            <w:noWrap w:val="0"/>
            <w:vAlign w:val="center"/>
          </w:tcPr>
          <w:p w14:paraId="4439869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62" w:type="pct"/>
            <w:vMerge w:val="restart"/>
            <w:shd w:val="clear" w:color="auto" w:fill="auto"/>
            <w:noWrap w:val="0"/>
            <w:vAlign w:val="center"/>
          </w:tcPr>
          <w:p w14:paraId="54F4C90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70</w:t>
            </w:r>
            <w:r>
              <w:rPr>
                <w:rFonts w:hint="eastAsia" w:ascii="Times New Roman" w:hAnsi="Times New Roman" w:eastAsia="宋体" w:cs="Courier New"/>
                <w:b w:val="0"/>
                <w:bCs w:val="0"/>
                <w:color w:val="auto"/>
                <w:highlight w:val="none"/>
                <w:lang w:val="en-US" w:eastAsia="zh-CN"/>
              </w:rPr>
              <w:t>/1</w:t>
            </w:r>
          </w:p>
        </w:tc>
        <w:tc>
          <w:tcPr>
            <w:tcW w:w="296" w:type="pct"/>
            <w:vMerge w:val="restart"/>
            <w:shd w:val="clear" w:color="auto" w:fill="auto"/>
            <w:noWrap w:val="0"/>
            <w:vAlign w:val="center"/>
          </w:tcPr>
          <w:p w14:paraId="227FCC8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443" w:type="pct"/>
            <w:vMerge w:val="restart"/>
            <w:shd w:val="clear" w:color="auto" w:fill="auto"/>
            <w:noWrap w:val="0"/>
            <w:vAlign w:val="center"/>
          </w:tcPr>
          <w:p w14:paraId="4505B61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highlight w:val="none"/>
                <w:lang w:val="en-US" w:eastAsia="zh-CN"/>
              </w:rPr>
              <w:t>墙体隔声</w:t>
            </w:r>
          </w:p>
        </w:tc>
        <w:tc>
          <w:tcPr>
            <w:tcW w:w="282" w:type="pct"/>
            <w:vMerge w:val="restart"/>
            <w:noWrap/>
            <w:vAlign w:val="center"/>
          </w:tcPr>
          <w:p w14:paraId="3990D5E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-34.1</w:t>
            </w:r>
          </w:p>
        </w:tc>
        <w:tc>
          <w:tcPr>
            <w:tcW w:w="267" w:type="pct"/>
            <w:vMerge w:val="restart"/>
            <w:noWrap/>
            <w:vAlign w:val="center"/>
          </w:tcPr>
          <w:p w14:paraId="412622A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-15.15</w:t>
            </w:r>
          </w:p>
        </w:tc>
        <w:tc>
          <w:tcPr>
            <w:tcW w:w="258" w:type="pct"/>
            <w:vMerge w:val="restart"/>
            <w:noWrap/>
            <w:vAlign w:val="center"/>
          </w:tcPr>
          <w:p w14:paraId="21DAB32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17" w:type="pct"/>
            <w:noWrap w:val="0"/>
            <w:vAlign w:val="center"/>
          </w:tcPr>
          <w:p w14:paraId="3FDE15E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8.86</w:t>
            </w:r>
          </w:p>
        </w:tc>
        <w:tc>
          <w:tcPr>
            <w:tcW w:w="331" w:type="pct"/>
            <w:noWrap w:val="0"/>
            <w:vAlign w:val="center"/>
          </w:tcPr>
          <w:p w14:paraId="10B1FA7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64.48</w:t>
            </w:r>
          </w:p>
        </w:tc>
        <w:tc>
          <w:tcPr>
            <w:tcW w:w="233" w:type="pct"/>
            <w:noWrap w:val="0"/>
            <w:vAlign w:val="center"/>
          </w:tcPr>
          <w:p w14:paraId="0A68675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742A8E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5C77490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585AA96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38.48</w:t>
            </w:r>
          </w:p>
        </w:tc>
        <w:tc>
          <w:tcPr>
            <w:tcW w:w="313" w:type="pct"/>
            <w:noWrap/>
            <w:vAlign w:val="center"/>
          </w:tcPr>
          <w:p w14:paraId="1025137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3ED8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172" w:type="pct"/>
            <w:vMerge w:val="continue"/>
            <w:noWrap w:val="0"/>
            <w:vAlign w:val="center"/>
          </w:tcPr>
          <w:p w14:paraId="5F0B7727">
            <w:pPr>
              <w:pStyle w:val="24"/>
              <w:bidi w:val="0"/>
              <w:ind w:left="0" w:leftChars="0"/>
              <w:rPr>
                <w:color w:val="auto"/>
              </w:rPr>
            </w:pPr>
          </w:p>
        </w:tc>
        <w:tc>
          <w:tcPr>
            <w:tcW w:w="245" w:type="pct"/>
            <w:vMerge w:val="continue"/>
            <w:noWrap w:val="0"/>
            <w:vAlign w:val="center"/>
          </w:tcPr>
          <w:p w14:paraId="47D5CA00">
            <w:pPr>
              <w:pStyle w:val="24"/>
              <w:bidi w:val="0"/>
              <w:ind w:left="0" w:leftChars="0"/>
              <w:rPr>
                <w:color w:val="auto"/>
              </w:rPr>
            </w:pPr>
          </w:p>
        </w:tc>
        <w:tc>
          <w:tcPr>
            <w:tcW w:w="317" w:type="pct"/>
            <w:vMerge w:val="continue"/>
            <w:shd w:val="clear" w:color="auto" w:fill="auto"/>
            <w:noWrap w:val="0"/>
            <w:vAlign w:val="center"/>
          </w:tcPr>
          <w:p w14:paraId="35871E7F">
            <w:pPr>
              <w:pStyle w:val="24"/>
              <w:bidi w:val="0"/>
              <w:ind w:left="0" w:leftChars="0"/>
              <w:rPr>
                <w:color w:val="auto"/>
              </w:rPr>
            </w:pPr>
          </w:p>
        </w:tc>
        <w:tc>
          <w:tcPr>
            <w:tcW w:w="180" w:type="pct"/>
            <w:vMerge w:val="continue"/>
            <w:shd w:val="clear" w:color="auto" w:fill="auto"/>
            <w:noWrap w:val="0"/>
            <w:vAlign w:val="center"/>
          </w:tcPr>
          <w:p w14:paraId="5C253BBA">
            <w:pPr>
              <w:pStyle w:val="24"/>
              <w:bidi w:val="0"/>
              <w:ind w:left="0" w:leftChars="0"/>
              <w:rPr>
                <w:color w:val="auto"/>
              </w:rPr>
            </w:pPr>
          </w:p>
        </w:tc>
        <w:tc>
          <w:tcPr>
            <w:tcW w:w="462" w:type="pct"/>
            <w:vMerge w:val="continue"/>
            <w:shd w:val="clear" w:color="auto" w:fill="auto"/>
            <w:noWrap w:val="0"/>
            <w:vAlign w:val="center"/>
          </w:tcPr>
          <w:p w14:paraId="25336907">
            <w:pPr>
              <w:pStyle w:val="24"/>
              <w:bidi w:val="0"/>
              <w:ind w:left="0" w:leftChars="0"/>
              <w:rPr>
                <w:color w:val="auto"/>
              </w:rPr>
            </w:pPr>
          </w:p>
        </w:tc>
        <w:tc>
          <w:tcPr>
            <w:tcW w:w="296" w:type="pct"/>
            <w:vMerge w:val="continue"/>
            <w:shd w:val="clear" w:color="auto" w:fill="auto"/>
            <w:noWrap w:val="0"/>
            <w:vAlign w:val="center"/>
          </w:tcPr>
          <w:p w14:paraId="56D3C6A6">
            <w:pPr>
              <w:pStyle w:val="24"/>
              <w:bidi w:val="0"/>
              <w:ind w:left="0" w:leftChars="0"/>
              <w:rPr>
                <w:color w:val="auto"/>
              </w:rPr>
            </w:pPr>
          </w:p>
        </w:tc>
        <w:tc>
          <w:tcPr>
            <w:tcW w:w="443" w:type="pct"/>
            <w:vMerge w:val="continue"/>
            <w:shd w:val="clear" w:color="auto" w:fill="auto"/>
            <w:noWrap w:val="0"/>
            <w:vAlign w:val="center"/>
          </w:tcPr>
          <w:p w14:paraId="5AE92376">
            <w:pPr>
              <w:pStyle w:val="24"/>
              <w:bidi w:val="0"/>
              <w:ind w:left="0" w:leftChars="0"/>
              <w:rPr>
                <w:color w:val="auto"/>
              </w:rPr>
            </w:pPr>
          </w:p>
        </w:tc>
        <w:tc>
          <w:tcPr>
            <w:tcW w:w="282" w:type="pct"/>
            <w:vMerge w:val="continue"/>
            <w:noWrap/>
            <w:vAlign w:val="center"/>
          </w:tcPr>
          <w:p w14:paraId="0350255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65D9800">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6A9BE785">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0F03A3A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7.52</w:t>
            </w:r>
          </w:p>
        </w:tc>
        <w:tc>
          <w:tcPr>
            <w:tcW w:w="331" w:type="pct"/>
            <w:noWrap w:val="0"/>
            <w:vAlign w:val="center"/>
          </w:tcPr>
          <w:p w14:paraId="24530DB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64.49</w:t>
            </w:r>
          </w:p>
        </w:tc>
        <w:tc>
          <w:tcPr>
            <w:tcW w:w="233" w:type="pct"/>
            <w:noWrap w:val="0"/>
            <w:vAlign w:val="center"/>
          </w:tcPr>
          <w:p w14:paraId="37FB05A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4502555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4E08B98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6FD92C1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38.49</w:t>
            </w:r>
          </w:p>
        </w:tc>
        <w:tc>
          <w:tcPr>
            <w:tcW w:w="313" w:type="pct"/>
            <w:noWrap/>
            <w:vAlign w:val="center"/>
          </w:tcPr>
          <w:p w14:paraId="22407FB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4C9C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172" w:type="pct"/>
            <w:vMerge w:val="continue"/>
            <w:noWrap w:val="0"/>
            <w:vAlign w:val="center"/>
          </w:tcPr>
          <w:p w14:paraId="33D6DE9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575808E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shd w:val="clear" w:color="auto" w:fill="auto"/>
            <w:noWrap w:val="0"/>
            <w:vAlign w:val="center"/>
          </w:tcPr>
          <w:p w14:paraId="18FF029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29A8E5E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61C26FD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2EA46F1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116FD4E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54086BA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14B02086">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35B01754">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33891FA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19.82</w:t>
            </w:r>
          </w:p>
        </w:tc>
        <w:tc>
          <w:tcPr>
            <w:tcW w:w="331" w:type="pct"/>
            <w:noWrap w:val="0"/>
            <w:vAlign w:val="center"/>
          </w:tcPr>
          <w:p w14:paraId="24592E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64.47</w:t>
            </w:r>
          </w:p>
        </w:tc>
        <w:tc>
          <w:tcPr>
            <w:tcW w:w="233" w:type="pct"/>
            <w:noWrap w:val="0"/>
            <w:vAlign w:val="center"/>
          </w:tcPr>
          <w:p w14:paraId="74AA5D9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621A33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61939F8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7D62B37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38.47</w:t>
            </w:r>
          </w:p>
        </w:tc>
        <w:tc>
          <w:tcPr>
            <w:tcW w:w="313" w:type="pct"/>
            <w:noWrap/>
            <w:vAlign w:val="center"/>
          </w:tcPr>
          <w:p w14:paraId="69335F3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r w14:paraId="715F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172" w:type="pct"/>
            <w:vMerge w:val="continue"/>
            <w:noWrap w:val="0"/>
            <w:vAlign w:val="center"/>
          </w:tcPr>
          <w:p w14:paraId="56D70B4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45" w:type="pct"/>
            <w:vMerge w:val="continue"/>
            <w:noWrap w:val="0"/>
            <w:vAlign w:val="center"/>
          </w:tcPr>
          <w:p w14:paraId="12866BE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317" w:type="pct"/>
            <w:vMerge w:val="continue"/>
            <w:shd w:val="clear" w:color="auto" w:fill="auto"/>
            <w:noWrap w:val="0"/>
            <w:vAlign w:val="center"/>
          </w:tcPr>
          <w:p w14:paraId="44EBBB4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180" w:type="pct"/>
            <w:vMerge w:val="continue"/>
            <w:shd w:val="clear" w:color="auto" w:fill="auto"/>
            <w:noWrap w:val="0"/>
            <w:vAlign w:val="center"/>
          </w:tcPr>
          <w:p w14:paraId="0239DA0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62" w:type="pct"/>
            <w:vMerge w:val="continue"/>
            <w:shd w:val="clear" w:color="auto" w:fill="auto"/>
            <w:noWrap w:val="0"/>
            <w:vAlign w:val="center"/>
          </w:tcPr>
          <w:p w14:paraId="1F99C334">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96" w:type="pct"/>
            <w:vMerge w:val="continue"/>
            <w:shd w:val="clear" w:color="auto" w:fill="auto"/>
            <w:noWrap w:val="0"/>
            <w:vAlign w:val="center"/>
          </w:tcPr>
          <w:p w14:paraId="3F84B0C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443" w:type="pct"/>
            <w:vMerge w:val="continue"/>
            <w:shd w:val="clear" w:color="auto" w:fill="auto"/>
            <w:noWrap w:val="0"/>
            <w:vAlign w:val="center"/>
          </w:tcPr>
          <w:p w14:paraId="0F268B7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82" w:type="pct"/>
            <w:vMerge w:val="continue"/>
            <w:noWrap/>
            <w:vAlign w:val="center"/>
          </w:tcPr>
          <w:p w14:paraId="35AE7F0A">
            <w:pPr>
              <w:pStyle w:val="24"/>
              <w:bidi w:val="0"/>
              <w:ind w:left="0" w:leftChars="0"/>
              <w:rPr>
                <w:rFonts w:hint="eastAsia" w:ascii="Times New Roman" w:hAnsi="Times New Roman" w:eastAsia="宋体" w:cs="Courier New"/>
                <w:b w:val="0"/>
                <w:bCs w:val="0"/>
                <w:color w:val="auto"/>
                <w:highlight w:val="none"/>
                <w:lang w:val="en-US" w:eastAsia="zh-CN"/>
              </w:rPr>
            </w:pPr>
          </w:p>
        </w:tc>
        <w:tc>
          <w:tcPr>
            <w:tcW w:w="267" w:type="pct"/>
            <w:vMerge w:val="continue"/>
            <w:noWrap/>
            <w:vAlign w:val="center"/>
          </w:tcPr>
          <w:p w14:paraId="7E597023">
            <w:pPr>
              <w:pStyle w:val="24"/>
              <w:bidi w:val="0"/>
              <w:ind w:left="0" w:leftChars="0"/>
              <w:rPr>
                <w:rFonts w:hint="eastAsia" w:ascii="Times New Roman" w:hAnsi="Times New Roman" w:eastAsia="宋体" w:cs="Courier New"/>
                <w:b w:val="0"/>
                <w:bCs w:val="0"/>
                <w:color w:val="auto"/>
                <w:highlight w:val="none"/>
                <w:lang w:val="en-US" w:eastAsia="zh-CN"/>
              </w:rPr>
            </w:pPr>
          </w:p>
        </w:tc>
        <w:tc>
          <w:tcPr>
            <w:tcW w:w="258" w:type="pct"/>
            <w:vMerge w:val="continue"/>
            <w:noWrap/>
            <w:vAlign w:val="center"/>
          </w:tcPr>
          <w:p w14:paraId="77977708">
            <w:pPr>
              <w:pStyle w:val="24"/>
              <w:bidi w:val="0"/>
              <w:ind w:left="0" w:leftChars="0"/>
              <w:rPr>
                <w:rFonts w:hint="eastAsia" w:ascii="Times New Roman" w:hAnsi="Times New Roman" w:eastAsia="宋体" w:cs="Courier New"/>
                <w:b w:val="0"/>
                <w:bCs w:val="0"/>
                <w:color w:val="auto"/>
                <w:highlight w:val="none"/>
                <w:lang w:val="en-US" w:eastAsia="zh-CN"/>
              </w:rPr>
            </w:pPr>
          </w:p>
        </w:tc>
        <w:tc>
          <w:tcPr>
            <w:tcW w:w="317" w:type="pct"/>
            <w:noWrap w:val="0"/>
            <w:vAlign w:val="center"/>
          </w:tcPr>
          <w:p w14:paraId="155955C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5.88</w:t>
            </w:r>
          </w:p>
        </w:tc>
        <w:tc>
          <w:tcPr>
            <w:tcW w:w="331" w:type="pct"/>
            <w:noWrap w:val="0"/>
            <w:vAlign w:val="center"/>
          </w:tcPr>
          <w:p w14:paraId="2B26273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64.5</w:t>
            </w:r>
          </w:p>
        </w:tc>
        <w:tc>
          <w:tcPr>
            <w:tcW w:w="233" w:type="pct"/>
            <w:noWrap w:val="0"/>
            <w:vAlign w:val="center"/>
          </w:tcPr>
          <w:p w14:paraId="1041E32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昼间</w:t>
            </w:r>
          </w:p>
        </w:tc>
        <w:tc>
          <w:tcPr>
            <w:tcW w:w="242" w:type="pct"/>
            <w:noWrap w:val="0"/>
            <w:vAlign w:val="center"/>
          </w:tcPr>
          <w:p w14:paraId="03FDF41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c>
          <w:tcPr>
            <w:tcW w:w="335" w:type="pct"/>
            <w:noWrap w:val="0"/>
            <w:vAlign w:val="center"/>
          </w:tcPr>
          <w:p w14:paraId="0D24EC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26</w:t>
            </w:r>
          </w:p>
        </w:tc>
        <w:tc>
          <w:tcPr>
            <w:tcW w:w="299" w:type="pct"/>
            <w:noWrap/>
            <w:vAlign w:val="center"/>
          </w:tcPr>
          <w:p w14:paraId="137F1DA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38.5</w:t>
            </w:r>
          </w:p>
        </w:tc>
        <w:tc>
          <w:tcPr>
            <w:tcW w:w="313" w:type="pct"/>
            <w:noWrap/>
            <w:vAlign w:val="center"/>
          </w:tcPr>
          <w:p w14:paraId="41B1125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r>
    </w:tbl>
    <w:p w14:paraId="15F0C8C9">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工业企业噪声源强调查清单（室外声源）</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720"/>
        <w:gridCol w:w="699"/>
        <w:gridCol w:w="1875"/>
        <w:gridCol w:w="1250"/>
        <w:gridCol w:w="2338"/>
        <w:gridCol w:w="1025"/>
        <w:gridCol w:w="925"/>
        <w:gridCol w:w="962"/>
        <w:gridCol w:w="925"/>
        <w:gridCol w:w="834"/>
      </w:tblGrid>
      <w:tr w14:paraId="122E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vMerge w:val="restart"/>
            <w:noWrap/>
            <w:vAlign w:val="center"/>
          </w:tcPr>
          <w:p w14:paraId="6E39899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序号</w:t>
            </w:r>
          </w:p>
        </w:tc>
        <w:tc>
          <w:tcPr>
            <w:tcW w:w="952" w:type="pct"/>
            <w:vMerge w:val="restart"/>
            <w:noWrap/>
            <w:vAlign w:val="center"/>
          </w:tcPr>
          <w:p w14:paraId="1DECE0E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声源名称</w:t>
            </w:r>
          </w:p>
        </w:tc>
        <w:tc>
          <w:tcPr>
            <w:tcW w:w="244" w:type="pct"/>
            <w:vMerge w:val="restart"/>
            <w:noWrap/>
            <w:vAlign w:val="center"/>
          </w:tcPr>
          <w:p w14:paraId="5DE0177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型号</w:t>
            </w:r>
          </w:p>
        </w:tc>
        <w:tc>
          <w:tcPr>
            <w:tcW w:w="1094" w:type="pct"/>
            <w:gridSpan w:val="2"/>
            <w:noWrap/>
            <w:vAlign w:val="center"/>
          </w:tcPr>
          <w:p w14:paraId="306675B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声源源强（任选一种）</w:t>
            </w:r>
          </w:p>
        </w:tc>
        <w:tc>
          <w:tcPr>
            <w:tcW w:w="818" w:type="pct"/>
            <w:vMerge w:val="restart"/>
            <w:noWrap/>
            <w:vAlign w:val="center"/>
          </w:tcPr>
          <w:p w14:paraId="2D172CA5">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声源控制措施</w:t>
            </w:r>
          </w:p>
        </w:tc>
        <w:tc>
          <w:tcPr>
            <w:tcW w:w="1019" w:type="pct"/>
            <w:gridSpan w:val="3"/>
            <w:noWrap/>
            <w:vAlign w:val="center"/>
          </w:tcPr>
          <w:p w14:paraId="63E4BC8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空间相对位置</w:t>
            </w:r>
          </w:p>
        </w:tc>
        <w:tc>
          <w:tcPr>
            <w:tcW w:w="616" w:type="pct"/>
            <w:gridSpan w:val="2"/>
            <w:vMerge w:val="restart"/>
            <w:noWrap/>
            <w:vAlign w:val="center"/>
          </w:tcPr>
          <w:p w14:paraId="5E3F279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运行时段</w:t>
            </w:r>
          </w:p>
        </w:tc>
      </w:tr>
      <w:tr w14:paraId="2417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vMerge w:val="continue"/>
            <w:noWrap w:val="0"/>
            <w:vAlign w:val="center"/>
          </w:tcPr>
          <w:p w14:paraId="7A70C810">
            <w:pPr>
              <w:pStyle w:val="24"/>
              <w:bidi w:val="0"/>
              <w:rPr>
                <w:rFonts w:hint="eastAsia" w:ascii="Times New Roman" w:hAnsi="Times New Roman" w:eastAsia="宋体" w:cs="Courier New"/>
                <w:b/>
                <w:bCs/>
                <w:color w:val="auto"/>
                <w:highlight w:val="none"/>
                <w:lang w:val="en-US" w:eastAsia="zh-CN"/>
              </w:rPr>
            </w:pPr>
          </w:p>
        </w:tc>
        <w:tc>
          <w:tcPr>
            <w:tcW w:w="952" w:type="pct"/>
            <w:vMerge w:val="continue"/>
            <w:noWrap w:val="0"/>
            <w:vAlign w:val="center"/>
          </w:tcPr>
          <w:p w14:paraId="79D8A396">
            <w:pPr>
              <w:pStyle w:val="24"/>
              <w:bidi w:val="0"/>
              <w:rPr>
                <w:rFonts w:hint="eastAsia" w:ascii="Times New Roman" w:hAnsi="Times New Roman" w:eastAsia="宋体" w:cs="Courier New"/>
                <w:b/>
                <w:bCs/>
                <w:color w:val="auto"/>
                <w:highlight w:val="none"/>
                <w:lang w:val="en-US" w:eastAsia="zh-CN"/>
              </w:rPr>
            </w:pPr>
          </w:p>
        </w:tc>
        <w:tc>
          <w:tcPr>
            <w:tcW w:w="244" w:type="pct"/>
            <w:vMerge w:val="continue"/>
            <w:noWrap w:val="0"/>
            <w:vAlign w:val="center"/>
          </w:tcPr>
          <w:p w14:paraId="3B16EAD0">
            <w:pPr>
              <w:pStyle w:val="24"/>
              <w:bidi w:val="0"/>
              <w:rPr>
                <w:rFonts w:hint="eastAsia" w:ascii="Times New Roman" w:hAnsi="Times New Roman" w:eastAsia="宋体" w:cs="Courier New"/>
                <w:b/>
                <w:bCs/>
                <w:color w:val="auto"/>
                <w:highlight w:val="none"/>
                <w:lang w:val="en-US" w:eastAsia="zh-CN"/>
              </w:rPr>
            </w:pPr>
          </w:p>
        </w:tc>
        <w:tc>
          <w:tcPr>
            <w:tcW w:w="656" w:type="pct"/>
            <w:noWrap w:val="0"/>
            <w:vAlign w:val="center"/>
          </w:tcPr>
          <w:p w14:paraId="5A77AA53">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（声压级/距声源距离）/（dB(A)/m）</w:t>
            </w:r>
          </w:p>
        </w:tc>
        <w:tc>
          <w:tcPr>
            <w:tcW w:w="437" w:type="pct"/>
            <w:noWrap w:val="0"/>
            <w:vAlign w:val="center"/>
          </w:tcPr>
          <w:p w14:paraId="614BAFF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声功率级/dB(A)</w:t>
            </w:r>
          </w:p>
        </w:tc>
        <w:tc>
          <w:tcPr>
            <w:tcW w:w="818" w:type="pct"/>
            <w:vMerge w:val="continue"/>
            <w:noWrap w:val="0"/>
            <w:vAlign w:val="center"/>
          </w:tcPr>
          <w:p w14:paraId="3237FF41">
            <w:pPr>
              <w:pStyle w:val="24"/>
              <w:bidi w:val="0"/>
              <w:rPr>
                <w:rFonts w:hint="eastAsia" w:ascii="Times New Roman" w:hAnsi="Times New Roman" w:eastAsia="宋体" w:cs="Courier New"/>
                <w:b/>
                <w:bCs/>
                <w:color w:val="auto"/>
                <w:highlight w:val="none"/>
                <w:lang w:val="en-US" w:eastAsia="zh-CN"/>
              </w:rPr>
            </w:pPr>
          </w:p>
        </w:tc>
        <w:tc>
          <w:tcPr>
            <w:tcW w:w="358" w:type="pct"/>
            <w:noWrap/>
            <w:vAlign w:val="center"/>
          </w:tcPr>
          <w:p w14:paraId="616D5F9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 xml:space="preserve">X（m）      </w:t>
            </w:r>
          </w:p>
        </w:tc>
        <w:tc>
          <w:tcPr>
            <w:tcW w:w="323" w:type="pct"/>
            <w:noWrap/>
            <w:vAlign w:val="center"/>
          </w:tcPr>
          <w:p w14:paraId="49B6285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Y（m）</w:t>
            </w:r>
          </w:p>
        </w:tc>
        <w:tc>
          <w:tcPr>
            <w:tcW w:w="336" w:type="pct"/>
            <w:noWrap/>
            <w:vAlign w:val="center"/>
          </w:tcPr>
          <w:p w14:paraId="7C06388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Z（m）</w:t>
            </w:r>
          </w:p>
        </w:tc>
        <w:tc>
          <w:tcPr>
            <w:tcW w:w="616" w:type="pct"/>
            <w:gridSpan w:val="2"/>
            <w:vMerge w:val="continue"/>
            <w:noWrap w:val="0"/>
            <w:vAlign w:val="center"/>
          </w:tcPr>
          <w:p w14:paraId="1720C9A7">
            <w:pPr>
              <w:pStyle w:val="24"/>
              <w:bidi w:val="0"/>
              <w:rPr>
                <w:rFonts w:hint="eastAsia" w:ascii="Times New Roman" w:hAnsi="Times New Roman" w:eastAsia="宋体" w:cs="Courier New"/>
                <w:b w:val="0"/>
                <w:bCs w:val="0"/>
                <w:color w:val="auto"/>
                <w:highlight w:val="none"/>
                <w:lang w:val="en-US" w:eastAsia="zh-CN"/>
              </w:rPr>
            </w:pPr>
          </w:p>
        </w:tc>
      </w:tr>
      <w:tr w14:paraId="43B1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shd w:val="clear" w:color="auto" w:fill="auto"/>
            <w:noWrap w:val="0"/>
            <w:vAlign w:val="center"/>
          </w:tcPr>
          <w:p w14:paraId="6A4AE95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w:t>
            </w:r>
          </w:p>
        </w:tc>
        <w:tc>
          <w:tcPr>
            <w:tcW w:w="2720" w:type="dxa"/>
            <w:shd w:val="clear" w:color="auto" w:fill="auto"/>
            <w:noWrap w:val="0"/>
            <w:vAlign w:val="center"/>
          </w:tcPr>
          <w:p w14:paraId="77F465BE">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
              </w:rPr>
            </w:pPr>
            <w:r>
              <w:rPr>
                <w:rFonts w:hint="eastAsia" w:cs="Courier New"/>
                <w:b w:val="0"/>
                <w:bCs w:val="0"/>
                <w:color w:val="auto"/>
                <w:sz w:val="21"/>
                <w:szCs w:val="21"/>
                <w:highlight w:val="none"/>
                <w:lang w:val="en-US" w:eastAsia="zh-CN"/>
              </w:rPr>
              <w:t>**</w:t>
            </w:r>
          </w:p>
        </w:tc>
        <w:tc>
          <w:tcPr>
            <w:tcW w:w="244" w:type="pct"/>
            <w:shd w:val="clear" w:color="auto" w:fill="auto"/>
            <w:noWrap w:val="0"/>
            <w:vAlign w:val="center"/>
          </w:tcPr>
          <w:p w14:paraId="6BF115B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56" w:type="pct"/>
            <w:shd w:val="clear" w:color="auto" w:fill="auto"/>
            <w:noWrap w:val="0"/>
            <w:vAlign w:val="center"/>
          </w:tcPr>
          <w:p w14:paraId="7A0A45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cs="Courier New"/>
                <w:b w:val="0"/>
                <w:bCs w:val="0"/>
                <w:color w:val="auto"/>
                <w:highlight w:val="none"/>
                <w:lang w:val="en-US" w:eastAsia="zh-CN"/>
              </w:rPr>
              <w:t>85</w:t>
            </w:r>
            <w:r>
              <w:rPr>
                <w:rFonts w:hint="eastAsia" w:ascii="Times New Roman" w:hAnsi="Times New Roman" w:eastAsia="宋体" w:cs="Courier New"/>
                <w:b w:val="0"/>
                <w:bCs w:val="0"/>
                <w:color w:val="auto"/>
                <w:highlight w:val="none"/>
                <w:lang w:val="en-US" w:eastAsia="zh-CN"/>
              </w:rPr>
              <w:t>/1</w:t>
            </w:r>
          </w:p>
        </w:tc>
        <w:tc>
          <w:tcPr>
            <w:tcW w:w="437" w:type="pct"/>
            <w:noWrap w:val="0"/>
            <w:vAlign w:val="center"/>
          </w:tcPr>
          <w:p w14:paraId="16A08C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18" w:type="pct"/>
            <w:noWrap w:val="0"/>
            <w:vAlign w:val="center"/>
          </w:tcPr>
          <w:p w14:paraId="262A6DE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基础减振</w:t>
            </w:r>
          </w:p>
        </w:tc>
        <w:tc>
          <w:tcPr>
            <w:tcW w:w="358" w:type="pct"/>
            <w:noWrap/>
            <w:vAlign w:val="bottom"/>
          </w:tcPr>
          <w:p w14:paraId="11C3962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69.85</w:t>
            </w:r>
          </w:p>
        </w:tc>
        <w:tc>
          <w:tcPr>
            <w:tcW w:w="323" w:type="pct"/>
            <w:noWrap/>
            <w:vAlign w:val="bottom"/>
          </w:tcPr>
          <w:p w14:paraId="70B6CA0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38.81</w:t>
            </w:r>
          </w:p>
        </w:tc>
        <w:tc>
          <w:tcPr>
            <w:tcW w:w="336" w:type="pct"/>
            <w:noWrap/>
            <w:vAlign w:val="bottom"/>
          </w:tcPr>
          <w:p w14:paraId="119A7F4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23" w:type="pct"/>
            <w:noWrap w:val="0"/>
            <w:vAlign w:val="center"/>
          </w:tcPr>
          <w:p w14:paraId="7D46841C">
            <w:pPr>
              <w:pStyle w:val="24"/>
              <w:bidi w:val="0"/>
              <w:ind w:left="0" w:leftChars="0"/>
              <w:rPr>
                <w:rFonts w:hint="default" w:cs="Courier New"/>
                <w:b w:val="0"/>
                <w:bCs w:val="0"/>
                <w:color w:val="auto"/>
                <w:highlight w:val="none"/>
                <w:lang w:val="en-US" w:eastAsia="zh-CN"/>
              </w:rPr>
            </w:pPr>
            <w:r>
              <w:rPr>
                <w:rFonts w:hint="eastAsia" w:cs="Courier New"/>
                <w:b w:val="0"/>
                <w:bCs w:val="0"/>
                <w:color w:val="auto"/>
                <w:highlight w:val="none"/>
                <w:lang w:val="en-US" w:eastAsia="zh-CN"/>
              </w:rPr>
              <w:t>昼间</w:t>
            </w:r>
          </w:p>
        </w:tc>
        <w:tc>
          <w:tcPr>
            <w:tcW w:w="292" w:type="pct"/>
            <w:noWrap w:val="0"/>
            <w:vAlign w:val="center"/>
          </w:tcPr>
          <w:p w14:paraId="252B9AD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r>
      <w:tr w14:paraId="2F66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shd w:val="clear" w:color="auto" w:fill="auto"/>
            <w:noWrap w:val="0"/>
            <w:vAlign w:val="center"/>
          </w:tcPr>
          <w:p w14:paraId="32D00B4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cs="Courier New"/>
                <w:b w:val="0"/>
                <w:bCs w:val="0"/>
                <w:color w:val="auto"/>
                <w:highlight w:val="none"/>
                <w:lang w:val="en-US" w:eastAsia="zh-CN"/>
              </w:rPr>
              <w:t>2</w:t>
            </w:r>
          </w:p>
        </w:tc>
        <w:tc>
          <w:tcPr>
            <w:tcW w:w="2720" w:type="dxa"/>
            <w:shd w:val="clear" w:color="auto" w:fill="auto"/>
            <w:noWrap w:val="0"/>
            <w:vAlign w:val="center"/>
          </w:tcPr>
          <w:p w14:paraId="0D31217A">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sz w:val="21"/>
                <w:szCs w:val="21"/>
                <w:highlight w:val="none"/>
                <w:lang w:val="en-US" w:eastAsia="zh-CN" w:bidi="ar"/>
              </w:rPr>
              <w:t>**</w:t>
            </w:r>
          </w:p>
        </w:tc>
        <w:tc>
          <w:tcPr>
            <w:tcW w:w="244" w:type="pct"/>
            <w:shd w:val="clear" w:color="auto" w:fill="auto"/>
            <w:noWrap w:val="0"/>
            <w:vAlign w:val="center"/>
          </w:tcPr>
          <w:p w14:paraId="0B98091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56" w:type="pct"/>
            <w:shd w:val="clear" w:color="auto" w:fill="auto"/>
            <w:noWrap w:val="0"/>
            <w:vAlign w:val="center"/>
          </w:tcPr>
          <w:p w14:paraId="134B291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cs="Courier New"/>
                <w:b w:val="0"/>
                <w:bCs w:val="0"/>
                <w:color w:val="auto"/>
                <w:highlight w:val="none"/>
                <w:lang w:val="en-US" w:eastAsia="zh-CN"/>
              </w:rPr>
              <w:t>85</w:t>
            </w:r>
            <w:r>
              <w:rPr>
                <w:rFonts w:hint="eastAsia" w:ascii="Times New Roman" w:hAnsi="Times New Roman" w:eastAsia="宋体" w:cs="Courier New"/>
                <w:b w:val="0"/>
                <w:bCs w:val="0"/>
                <w:color w:val="auto"/>
                <w:highlight w:val="none"/>
                <w:lang w:val="en-US" w:eastAsia="zh-CN"/>
              </w:rPr>
              <w:t>/1</w:t>
            </w:r>
          </w:p>
        </w:tc>
        <w:tc>
          <w:tcPr>
            <w:tcW w:w="437" w:type="pct"/>
            <w:noWrap w:val="0"/>
            <w:vAlign w:val="center"/>
          </w:tcPr>
          <w:p w14:paraId="4556EE4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18" w:type="pct"/>
            <w:noWrap w:val="0"/>
            <w:vAlign w:val="center"/>
          </w:tcPr>
          <w:p w14:paraId="51A74EE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基础减振</w:t>
            </w:r>
          </w:p>
        </w:tc>
        <w:tc>
          <w:tcPr>
            <w:tcW w:w="358" w:type="pct"/>
            <w:noWrap/>
            <w:vAlign w:val="bottom"/>
          </w:tcPr>
          <w:p w14:paraId="1EA47DAD">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64.36</w:t>
            </w:r>
          </w:p>
        </w:tc>
        <w:tc>
          <w:tcPr>
            <w:tcW w:w="323" w:type="pct"/>
            <w:noWrap/>
            <w:vAlign w:val="bottom"/>
          </w:tcPr>
          <w:p w14:paraId="2AEB7F1F">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27.14</w:t>
            </w:r>
          </w:p>
        </w:tc>
        <w:tc>
          <w:tcPr>
            <w:tcW w:w="336" w:type="pct"/>
            <w:noWrap/>
            <w:vAlign w:val="bottom"/>
          </w:tcPr>
          <w:p w14:paraId="5AC5F77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23" w:type="pct"/>
            <w:noWrap w:val="0"/>
            <w:vAlign w:val="center"/>
          </w:tcPr>
          <w:p w14:paraId="64909C21">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昼间</w:t>
            </w:r>
          </w:p>
        </w:tc>
        <w:tc>
          <w:tcPr>
            <w:tcW w:w="292" w:type="pct"/>
            <w:noWrap w:val="0"/>
            <w:vAlign w:val="center"/>
          </w:tcPr>
          <w:p w14:paraId="0414A8E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r>
      <w:tr w14:paraId="77F1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shd w:val="clear" w:color="auto" w:fill="auto"/>
            <w:noWrap w:val="0"/>
            <w:vAlign w:val="center"/>
          </w:tcPr>
          <w:p w14:paraId="1151E10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3</w:t>
            </w:r>
          </w:p>
        </w:tc>
        <w:tc>
          <w:tcPr>
            <w:tcW w:w="2720" w:type="dxa"/>
            <w:shd w:val="clear" w:color="auto" w:fill="auto"/>
            <w:noWrap w:val="0"/>
            <w:vAlign w:val="center"/>
          </w:tcPr>
          <w:p w14:paraId="4E311F41">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
              </w:rPr>
            </w:pPr>
            <w:r>
              <w:rPr>
                <w:rFonts w:hint="eastAsia" w:cs="Courier New"/>
                <w:b w:val="0"/>
                <w:bCs w:val="0"/>
                <w:color w:val="auto"/>
                <w:sz w:val="21"/>
                <w:szCs w:val="21"/>
                <w:highlight w:val="none"/>
                <w:lang w:val="en-US" w:eastAsia="zh-CN"/>
              </w:rPr>
              <w:t>**</w:t>
            </w:r>
          </w:p>
        </w:tc>
        <w:tc>
          <w:tcPr>
            <w:tcW w:w="244" w:type="pct"/>
            <w:shd w:val="clear" w:color="auto" w:fill="auto"/>
            <w:noWrap w:val="0"/>
            <w:vAlign w:val="center"/>
          </w:tcPr>
          <w:p w14:paraId="74811EC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56" w:type="pct"/>
            <w:shd w:val="clear" w:color="auto" w:fill="auto"/>
            <w:noWrap w:val="0"/>
            <w:vAlign w:val="center"/>
          </w:tcPr>
          <w:p w14:paraId="060E5B9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cs="Courier New"/>
                <w:b w:val="0"/>
                <w:bCs w:val="0"/>
                <w:color w:val="auto"/>
                <w:highlight w:val="none"/>
                <w:lang w:val="en-US" w:eastAsia="zh-CN"/>
              </w:rPr>
              <w:t>85</w:t>
            </w:r>
            <w:r>
              <w:rPr>
                <w:rFonts w:hint="eastAsia" w:ascii="Times New Roman" w:hAnsi="Times New Roman" w:eastAsia="宋体" w:cs="Courier New"/>
                <w:b w:val="0"/>
                <w:bCs w:val="0"/>
                <w:color w:val="auto"/>
                <w:highlight w:val="none"/>
                <w:lang w:val="en-US" w:eastAsia="zh-CN"/>
              </w:rPr>
              <w:t>/1</w:t>
            </w:r>
          </w:p>
        </w:tc>
        <w:tc>
          <w:tcPr>
            <w:tcW w:w="437" w:type="pct"/>
            <w:noWrap w:val="0"/>
            <w:vAlign w:val="center"/>
          </w:tcPr>
          <w:p w14:paraId="257AE76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18" w:type="pct"/>
            <w:noWrap w:val="0"/>
            <w:vAlign w:val="center"/>
          </w:tcPr>
          <w:p w14:paraId="177D7AF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基础减振</w:t>
            </w:r>
          </w:p>
        </w:tc>
        <w:tc>
          <w:tcPr>
            <w:tcW w:w="358" w:type="pct"/>
            <w:noWrap/>
            <w:vAlign w:val="bottom"/>
          </w:tcPr>
          <w:p w14:paraId="017E1F3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19.5</w:t>
            </w:r>
          </w:p>
        </w:tc>
        <w:tc>
          <w:tcPr>
            <w:tcW w:w="323" w:type="pct"/>
            <w:noWrap/>
            <w:vAlign w:val="bottom"/>
          </w:tcPr>
          <w:p w14:paraId="1A503796">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52.88</w:t>
            </w:r>
          </w:p>
        </w:tc>
        <w:tc>
          <w:tcPr>
            <w:tcW w:w="336" w:type="pct"/>
            <w:noWrap/>
            <w:vAlign w:val="bottom"/>
          </w:tcPr>
          <w:p w14:paraId="5ED75F10">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23" w:type="pct"/>
            <w:noWrap w:val="0"/>
            <w:vAlign w:val="center"/>
          </w:tcPr>
          <w:p w14:paraId="032CD27D">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昼间</w:t>
            </w:r>
          </w:p>
        </w:tc>
        <w:tc>
          <w:tcPr>
            <w:tcW w:w="292" w:type="pct"/>
            <w:noWrap w:val="0"/>
            <w:vAlign w:val="center"/>
          </w:tcPr>
          <w:p w14:paraId="7DB96B1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r>
      <w:tr w14:paraId="43B8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noWrap w:val="0"/>
            <w:vAlign w:val="center"/>
          </w:tcPr>
          <w:p w14:paraId="47700B27">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cs="Courier New"/>
                <w:b w:val="0"/>
                <w:bCs w:val="0"/>
                <w:color w:val="auto"/>
                <w:highlight w:val="none"/>
                <w:lang w:val="en-US" w:eastAsia="zh-CN"/>
              </w:rPr>
              <w:t>4</w:t>
            </w:r>
          </w:p>
        </w:tc>
        <w:tc>
          <w:tcPr>
            <w:tcW w:w="2720" w:type="dxa"/>
            <w:noWrap w:val="0"/>
            <w:vAlign w:val="center"/>
          </w:tcPr>
          <w:p w14:paraId="0950C21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Times New Roman"/>
                <w:b w:val="0"/>
                <w:bCs w:val="0"/>
                <w:color w:val="auto"/>
                <w:sz w:val="21"/>
                <w:szCs w:val="21"/>
                <w:highlight w:val="none"/>
                <w:lang w:val="en-US" w:eastAsia="zh-CN" w:bidi="ar"/>
              </w:rPr>
              <w:t>**</w:t>
            </w:r>
          </w:p>
        </w:tc>
        <w:tc>
          <w:tcPr>
            <w:tcW w:w="244" w:type="pct"/>
            <w:noWrap w:val="0"/>
            <w:vAlign w:val="center"/>
          </w:tcPr>
          <w:p w14:paraId="16F91EC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656" w:type="pct"/>
            <w:noWrap w:val="0"/>
            <w:vAlign w:val="center"/>
          </w:tcPr>
          <w:p w14:paraId="14E039E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kern w:val="2"/>
                <w:sz w:val="21"/>
                <w:szCs w:val="24"/>
                <w:highlight w:val="none"/>
                <w:lang w:val="en-US" w:eastAsia="zh-CN" w:bidi="ar-SA"/>
              </w:rPr>
              <w:t>75</w:t>
            </w:r>
            <w:r>
              <w:rPr>
                <w:rFonts w:hint="eastAsia" w:ascii="Times New Roman" w:hAnsi="Times New Roman" w:eastAsia="宋体" w:cs="Courier New"/>
                <w:b w:val="0"/>
                <w:bCs w:val="0"/>
                <w:color w:val="auto"/>
                <w:highlight w:val="none"/>
                <w:lang w:val="en-US" w:eastAsia="zh-CN"/>
              </w:rPr>
              <w:t>/1</w:t>
            </w:r>
          </w:p>
        </w:tc>
        <w:tc>
          <w:tcPr>
            <w:tcW w:w="437" w:type="pct"/>
            <w:noWrap w:val="0"/>
            <w:vAlign w:val="center"/>
          </w:tcPr>
          <w:p w14:paraId="2102BD4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18" w:type="pct"/>
            <w:noWrap w:val="0"/>
            <w:vAlign w:val="center"/>
          </w:tcPr>
          <w:p w14:paraId="15C9C48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p>
        </w:tc>
        <w:tc>
          <w:tcPr>
            <w:tcW w:w="358" w:type="pct"/>
            <w:noWrap/>
            <w:vAlign w:val="bottom"/>
          </w:tcPr>
          <w:p w14:paraId="208A54F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0.79</w:t>
            </w:r>
          </w:p>
        </w:tc>
        <w:tc>
          <w:tcPr>
            <w:tcW w:w="323" w:type="pct"/>
            <w:noWrap/>
            <w:vAlign w:val="bottom"/>
          </w:tcPr>
          <w:p w14:paraId="7387E5A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41.77</w:t>
            </w:r>
          </w:p>
        </w:tc>
        <w:tc>
          <w:tcPr>
            <w:tcW w:w="336" w:type="pct"/>
            <w:noWrap/>
            <w:vAlign w:val="bottom"/>
          </w:tcPr>
          <w:p w14:paraId="52FB3B69">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23" w:type="pct"/>
            <w:noWrap w:val="0"/>
            <w:vAlign w:val="center"/>
          </w:tcPr>
          <w:p w14:paraId="0284C713">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昼间</w:t>
            </w:r>
          </w:p>
        </w:tc>
        <w:tc>
          <w:tcPr>
            <w:tcW w:w="292" w:type="pct"/>
            <w:noWrap w:val="0"/>
            <w:vAlign w:val="center"/>
          </w:tcPr>
          <w:p w14:paraId="1050D681">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r>
      <w:tr w14:paraId="53EB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noWrap w:val="0"/>
            <w:vAlign w:val="center"/>
          </w:tcPr>
          <w:p w14:paraId="0772D0E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cs="Courier New"/>
                <w:b w:val="0"/>
                <w:bCs w:val="0"/>
                <w:color w:val="auto"/>
                <w:highlight w:val="none"/>
                <w:lang w:val="en-US" w:eastAsia="zh-CN"/>
              </w:rPr>
              <w:t>5</w:t>
            </w:r>
          </w:p>
        </w:tc>
        <w:tc>
          <w:tcPr>
            <w:tcW w:w="2720" w:type="dxa"/>
            <w:noWrap w:val="0"/>
            <w:vAlign w:val="center"/>
          </w:tcPr>
          <w:p w14:paraId="4398F6BA">
            <w:pPr>
              <w:pStyle w:val="24"/>
              <w:bidi w:val="0"/>
              <w:ind w:left="0" w:leftChars="0"/>
              <w:rPr>
                <w:rFonts w:hint="default" w:cs="Courier New"/>
                <w:b w:val="0"/>
                <w:bCs w:val="0"/>
                <w:color w:val="auto"/>
                <w:highlight w:val="none"/>
                <w:lang w:val="en-US" w:eastAsia="zh-CN"/>
              </w:rPr>
            </w:pPr>
            <w:r>
              <w:rPr>
                <w:rFonts w:hint="eastAsia" w:cs="Courier New"/>
                <w:b w:val="0"/>
                <w:bCs w:val="0"/>
                <w:color w:val="auto"/>
                <w:sz w:val="21"/>
                <w:szCs w:val="21"/>
                <w:highlight w:val="none"/>
                <w:lang w:val="en-US" w:eastAsia="zh-CN"/>
              </w:rPr>
              <w:t>**</w:t>
            </w:r>
          </w:p>
        </w:tc>
        <w:tc>
          <w:tcPr>
            <w:tcW w:w="244" w:type="pct"/>
            <w:shd w:val="clear" w:color="auto" w:fill="auto"/>
            <w:noWrap w:val="0"/>
            <w:vAlign w:val="center"/>
          </w:tcPr>
          <w:p w14:paraId="6BFBEFE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56" w:type="pct"/>
            <w:shd w:val="clear" w:color="auto" w:fill="auto"/>
            <w:noWrap w:val="0"/>
            <w:vAlign w:val="center"/>
          </w:tcPr>
          <w:p w14:paraId="4F12C37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95</w:t>
            </w:r>
            <w:r>
              <w:rPr>
                <w:rFonts w:hint="eastAsia" w:ascii="Times New Roman" w:hAnsi="Times New Roman" w:eastAsia="宋体" w:cs="Courier New"/>
                <w:b w:val="0"/>
                <w:bCs w:val="0"/>
                <w:color w:val="auto"/>
                <w:highlight w:val="none"/>
                <w:lang w:val="en-US" w:eastAsia="zh-CN"/>
              </w:rPr>
              <w:t>/1</w:t>
            </w:r>
          </w:p>
        </w:tc>
        <w:tc>
          <w:tcPr>
            <w:tcW w:w="437" w:type="pct"/>
            <w:shd w:val="clear" w:color="auto" w:fill="auto"/>
            <w:noWrap w:val="0"/>
            <w:vAlign w:val="center"/>
          </w:tcPr>
          <w:p w14:paraId="39CABF4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818" w:type="pct"/>
            <w:noWrap w:val="0"/>
            <w:vAlign w:val="center"/>
          </w:tcPr>
          <w:p w14:paraId="037783F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基础减振+安装消声器</w:t>
            </w:r>
          </w:p>
        </w:tc>
        <w:tc>
          <w:tcPr>
            <w:tcW w:w="358" w:type="pct"/>
            <w:noWrap/>
            <w:vAlign w:val="bottom"/>
          </w:tcPr>
          <w:p w14:paraId="0FF396B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20.2</w:t>
            </w:r>
          </w:p>
        </w:tc>
        <w:tc>
          <w:tcPr>
            <w:tcW w:w="323" w:type="pct"/>
            <w:noWrap/>
            <w:vAlign w:val="bottom"/>
          </w:tcPr>
          <w:p w14:paraId="45568962">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31.92</w:t>
            </w:r>
          </w:p>
        </w:tc>
        <w:tc>
          <w:tcPr>
            <w:tcW w:w="336" w:type="pct"/>
            <w:noWrap/>
            <w:vAlign w:val="bottom"/>
          </w:tcPr>
          <w:p w14:paraId="3C0DC9B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323" w:type="pct"/>
            <w:shd w:val="clear" w:color="auto" w:fill="auto"/>
            <w:noWrap w:val="0"/>
            <w:vAlign w:val="center"/>
          </w:tcPr>
          <w:p w14:paraId="088667B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昼间</w:t>
            </w:r>
          </w:p>
        </w:tc>
        <w:tc>
          <w:tcPr>
            <w:tcW w:w="292" w:type="pct"/>
            <w:shd w:val="clear" w:color="auto" w:fill="auto"/>
            <w:noWrap w:val="0"/>
            <w:vAlign w:val="center"/>
          </w:tcPr>
          <w:p w14:paraId="55E667D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连续</w:t>
            </w:r>
          </w:p>
        </w:tc>
      </w:tr>
      <w:tr w14:paraId="20EC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noWrap w:val="0"/>
            <w:vAlign w:val="center"/>
          </w:tcPr>
          <w:p w14:paraId="6C90C5A6">
            <w:pPr>
              <w:pStyle w:val="24"/>
              <w:bidi w:val="0"/>
              <w:rPr>
                <w:rFonts w:hint="default" w:ascii="Times New Roman" w:hAnsi="Times New Roman" w:cs="Courier New"/>
                <w:b w:val="0"/>
                <w:bCs w:val="0"/>
                <w:color w:val="auto"/>
                <w:highlight w:val="none"/>
                <w:lang w:val="en-US" w:eastAsia="zh-CN"/>
              </w:rPr>
            </w:pPr>
            <w:r>
              <w:rPr>
                <w:rFonts w:hint="eastAsia" w:ascii="Times New Roman" w:hAnsi="Times New Roman" w:cs="Courier New"/>
                <w:b w:val="0"/>
                <w:bCs w:val="0"/>
                <w:color w:val="auto"/>
                <w:highlight w:val="none"/>
                <w:lang w:val="en-US" w:eastAsia="zh-CN"/>
              </w:rPr>
              <w:t>6</w:t>
            </w:r>
          </w:p>
        </w:tc>
        <w:tc>
          <w:tcPr>
            <w:tcW w:w="2720" w:type="dxa"/>
            <w:shd w:val="clear" w:color="auto" w:fill="auto"/>
            <w:noWrap w:val="0"/>
            <w:vAlign w:val="center"/>
          </w:tcPr>
          <w:p w14:paraId="4750043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bidi="ar"/>
              </w:rPr>
              <w:t>**</w:t>
            </w:r>
          </w:p>
        </w:tc>
        <w:tc>
          <w:tcPr>
            <w:tcW w:w="244" w:type="pct"/>
            <w:shd w:val="clear" w:color="auto" w:fill="auto"/>
            <w:noWrap w:val="0"/>
            <w:vAlign w:val="center"/>
          </w:tcPr>
          <w:p w14:paraId="3018636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56" w:type="pct"/>
            <w:shd w:val="clear" w:color="auto" w:fill="auto"/>
            <w:noWrap w:val="0"/>
            <w:vAlign w:val="center"/>
          </w:tcPr>
          <w:p w14:paraId="2D5A9BF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95</w:t>
            </w:r>
            <w:r>
              <w:rPr>
                <w:rFonts w:hint="eastAsia" w:ascii="Times New Roman" w:hAnsi="Times New Roman" w:eastAsia="宋体" w:cs="Courier New"/>
                <w:b w:val="0"/>
                <w:bCs w:val="0"/>
                <w:color w:val="auto"/>
                <w:highlight w:val="none"/>
                <w:lang w:val="en-US" w:eastAsia="zh-CN"/>
              </w:rPr>
              <w:t>/1</w:t>
            </w:r>
          </w:p>
        </w:tc>
        <w:tc>
          <w:tcPr>
            <w:tcW w:w="437" w:type="pct"/>
            <w:shd w:val="clear" w:color="auto" w:fill="auto"/>
            <w:noWrap w:val="0"/>
            <w:vAlign w:val="center"/>
          </w:tcPr>
          <w:p w14:paraId="70890C7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818" w:type="pct"/>
            <w:shd w:val="clear" w:color="auto" w:fill="auto"/>
            <w:noWrap w:val="0"/>
            <w:vAlign w:val="center"/>
          </w:tcPr>
          <w:p w14:paraId="403CAE36">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基础减振+安装消声器</w:t>
            </w:r>
          </w:p>
        </w:tc>
        <w:tc>
          <w:tcPr>
            <w:tcW w:w="358" w:type="pct"/>
            <w:shd w:val="clear" w:color="auto" w:fill="auto"/>
            <w:noWrap/>
            <w:vAlign w:val="bottom"/>
          </w:tcPr>
          <w:p w14:paraId="7194F6B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36.02</w:t>
            </w:r>
          </w:p>
        </w:tc>
        <w:tc>
          <w:tcPr>
            <w:tcW w:w="323" w:type="pct"/>
            <w:shd w:val="clear" w:color="auto" w:fill="auto"/>
            <w:noWrap/>
            <w:vAlign w:val="bottom"/>
          </w:tcPr>
          <w:p w14:paraId="3195EF5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-50.77</w:t>
            </w:r>
          </w:p>
        </w:tc>
        <w:tc>
          <w:tcPr>
            <w:tcW w:w="336" w:type="pct"/>
            <w:shd w:val="clear" w:color="auto" w:fill="auto"/>
            <w:noWrap/>
            <w:vAlign w:val="bottom"/>
          </w:tcPr>
          <w:p w14:paraId="2C507C2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w:t>
            </w:r>
          </w:p>
        </w:tc>
        <w:tc>
          <w:tcPr>
            <w:tcW w:w="323" w:type="pct"/>
            <w:shd w:val="clear" w:color="auto" w:fill="auto"/>
            <w:noWrap w:val="0"/>
            <w:vAlign w:val="center"/>
          </w:tcPr>
          <w:p w14:paraId="166A81F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昼间</w:t>
            </w:r>
          </w:p>
        </w:tc>
        <w:tc>
          <w:tcPr>
            <w:tcW w:w="292" w:type="pct"/>
            <w:shd w:val="clear" w:color="auto" w:fill="auto"/>
            <w:noWrap w:val="0"/>
            <w:vAlign w:val="center"/>
          </w:tcPr>
          <w:p w14:paraId="00CEAA4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连续</w:t>
            </w:r>
          </w:p>
        </w:tc>
      </w:tr>
      <w:tr w14:paraId="17A9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noWrap w:val="0"/>
            <w:vAlign w:val="center"/>
          </w:tcPr>
          <w:p w14:paraId="615B98A1">
            <w:pPr>
              <w:pStyle w:val="24"/>
              <w:bidi w:val="0"/>
              <w:rPr>
                <w:rFonts w:hint="default" w:ascii="Times New Roman" w:hAnsi="Times New Roman" w:cs="Courier New"/>
                <w:b w:val="0"/>
                <w:bCs w:val="0"/>
                <w:color w:val="auto"/>
                <w:highlight w:val="none"/>
                <w:lang w:val="en-US" w:eastAsia="zh-CN"/>
              </w:rPr>
            </w:pPr>
            <w:r>
              <w:rPr>
                <w:rFonts w:hint="eastAsia" w:ascii="Times New Roman" w:hAnsi="Times New Roman" w:cs="Courier New"/>
                <w:b w:val="0"/>
                <w:bCs w:val="0"/>
                <w:color w:val="auto"/>
                <w:highlight w:val="none"/>
                <w:lang w:val="en-US" w:eastAsia="zh-CN"/>
              </w:rPr>
              <w:t>7</w:t>
            </w:r>
          </w:p>
        </w:tc>
        <w:tc>
          <w:tcPr>
            <w:tcW w:w="2720" w:type="dxa"/>
            <w:noWrap w:val="0"/>
            <w:vAlign w:val="center"/>
          </w:tcPr>
          <w:p w14:paraId="0B2F89FC">
            <w:pPr>
              <w:pStyle w:val="24"/>
              <w:bidi w:val="0"/>
              <w:ind w:left="0" w:leftChars="0"/>
              <w:rPr>
                <w:rFonts w:hint="eastAsia" w:cs="Courier New"/>
                <w:b w:val="0"/>
                <w:bCs w:val="0"/>
                <w:color w:val="auto"/>
                <w:highlight w:val="none"/>
                <w:lang w:val="en-US" w:eastAsia="zh-CN"/>
              </w:rPr>
            </w:pPr>
            <w:r>
              <w:rPr>
                <w:rFonts w:hint="eastAsia" w:cs="Courier New"/>
                <w:b w:val="0"/>
                <w:bCs w:val="0"/>
                <w:color w:val="auto"/>
                <w:sz w:val="21"/>
                <w:szCs w:val="21"/>
                <w:highlight w:val="none"/>
                <w:lang w:val="en-US" w:eastAsia="zh-CN"/>
              </w:rPr>
              <w:t>**</w:t>
            </w:r>
          </w:p>
        </w:tc>
        <w:tc>
          <w:tcPr>
            <w:tcW w:w="244" w:type="pct"/>
            <w:shd w:val="clear" w:color="auto" w:fill="auto"/>
            <w:noWrap w:val="0"/>
            <w:vAlign w:val="center"/>
          </w:tcPr>
          <w:p w14:paraId="26659AFC">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656" w:type="pct"/>
            <w:shd w:val="clear" w:color="auto" w:fill="auto"/>
            <w:noWrap w:val="0"/>
            <w:vAlign w:val="center"/>
          </w:tcPr>
          <w:p w14:paraId="1037F474">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85</w:t>
            </w:r>
            <w:r>
              <w:rPr>
                <w:rFonts w:hint="eastAsia" w:ascii="Times New Roman" w:hAnsi="Times New Roman" w:eastAsia="宋体" w:cs="Courier New"/>
                <w:b w:val="0"/>
                <w:bCs w:val="0"/>
                <w:color w:val="auto"/>
                <w:highlight w:val="none"/>
                <w:lang w:val="en-US" w:eastAsia="zh-CN"/>
              </w:rPr>
              <w:t>/1</w:t>
            </w:r>
          </w:p>
        </w:tc>
        <w:tc>
          <w:tcPr>
            <w:tcW w:w="437" w:type="pct"/>
            <w:shd w:val="clear" w:color="auto" w:fill="auto"/>
            <w:noWrap w:val="0"/>
            <w:vAlign w:val="center"/>
          </w:tcPr>
          <w:p w14:paraId="6D424770">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18" w:type="pct"/>
            <w:noWrap w:val="0"/>
            <w:vAlign w:val="center"/>
          </w:tcPr>
          <w:p w14:paraId="77B2C8B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基础减振</w:t>
            </w:r>
          </w:p>
        </w:tc>
        <w:tc>
          <w:tcPr>
            <w:tcW w:w="358" w:type="pct"/>
            <w:shd w:val="clear" w:color="auto" w:fill="auto"/>
            <w:noWrap/>
            <w:vAlign w:val="bottom"/>
          </w:tcPr>
          <w:p w14:paraId="37191C3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17.13</w:t>
            </w:r>
          </w:p>
        </w:tc>
        <w:tc>
          <w:tcPr>
            <w:tcW w:w="323" w:type="pct"/>
            <w:shd w:val="clear" w:color="auto" w:fill="auto"/>
            <w:noWrap/>
            <w:vAlign w:val="bottom"/>
          </w:tcPr>
          <w:p w14:paraId="1BDBC3A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-40.98</w:t>
            </w:r>
          </w:p>
        </w:tc>
        <w:tc>
          <w:tcPr>
            <w:tcW w:w="336" w:type="pct"/>
            <w:shd w:val="clear" w:color="auto" w:fill="auto"/>
            <w:noWrap/>
            <w:vAlign w:val="bottom"/>
          </w:tcPr>
          <w:p w14:paraId="2CF86D2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14.65</w:t>
            </w:r>
          </w:p>
        </w:tc>
        <w:tc>
          <w:tcPr>
            <w:tcW w:w="323" w:type="pct"/>
            <w:shd w:val="clear" w:color="auto" w:fill="auto"/>
            <w:noWrap w:val="0"/>
            <w:vAlign w:val="center"/>
          </w:tcPr>
          <w:p w14:paraId="10211592">
            <w:pPr>
              <w:pStyle w:val="24"/>
              <w:bidi w:val="0"/>
              <w:ind w:left="0" w:leftChars="0"/>
              <w:rPr>
                <w:rFonts w:hint="eastAsia" w:cs="Courier New"/>
                <w:b w:val="0"/>
                <w:bCs w:val="0"/>
                <w:color w:val="auto"/>
                <w:highlight w:val="none"/>
                <w:lang w:val="en-US" w:eastAsia="zh-CN"/>
              </w:rPr>
            </w:pPr>
            <w:r>
              <w:rPr>
                <w:rFonts w:hint="eastAsia" w:cs="Courier New"/>
                <w:b w:val="0"/>
                <w:bCs w:val="0"/>
                <w:color w:val="auto"/>
                <w:highlight w:val="none"/>
                <w:lang w:val="en-US" w:eastAsia="zh-CN"/>
              </w:rPr>
              <w:t>昼间</w:t>
            </w:r>
          </w:p>
        </w:tc>
        <w:tc>
          <w:tcPr>
            <w:tcW w:w="292" w:type="pct"/>
            <w:shd w:val="clear" w:color="auto" w:fill="auto"/>
            <w:noWrap w:val="0"/>
            <w:vAlign w:val="center"/>
          </w:tcPr>
          <w:p w14:paraId="5C9C440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连续</w:t>
            </w:r>
          </w:p>
        </w:tc>
      </w:tr>
    </w:tbl>
    <w:p w14:paraId="29D021C1">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2、声环境保护目标数据</w:t>
      </w:r>
    </w:p>
    <w:p w14:paraId="56DAE5DD">
      <w:pPr>
        <w:spacing w:line="360" w:lineRule="auto"/>
        <w:rPr>
          <w:rFonts w:hint="eastAsia"/>
          <w:color w:val="auto"/>
          <w:highlight w:val="none"/>
          <w:lang w:eastAsia="zh-CN"/>
        </w:rPr>
      </w:pPr>
      <w:r>
        <w:rPr>
          <w:rFonts w:hint="eastAsia"/>
          <w:color w:val="auto"/>
          <w:highlight w:val="none"/>
          <w:lang w:val="en-US" w:eastAsia="zh-CN"/>
        </w:rPr>
        <w:t>本项目评价范围内</w:t>
      </w:r>
      <w:r>
        <w:rPr>
          <w:rFonts w:hint="eastAsia"/>
          <w:color w:val="auto"/>
          <w:highlight w:val="none"/>
        </w:rPr>
        <w:t>声环境保护目标</w:t>
      </w:r>
      <w:r>
        <w:rPr>
          <w:rFonts w:hint="eastAsia"/>
          <w:color w:val="auto"/>
          <w:highlight w:val="none"/>
          <w:lang w:val="en-US" w:eastAsia="zh-CN"/>
        </w:rPr>
        <w:t>调查情况见下表</w:t>
      </w:r>
      <w:r>
        <w:rPr>
          <w:rFonts w:hint="eastAsia"/>
          <w:color w:val="auto"/>
          <w:highlight w:val="none"/>
          <w:lang w:eastAsia="zh-CN"/>
        </w:rPr>
        <w:t>。</w:t>
      </w:r>
    </w:p>
    <w:p w14:paraId="67E7BAA0">
      <w:pPr>
        <w:spacing w:line="360" w:lineRule="auto"/>
        <w:rPr>
          <w:rFonts w:hint="eastAsia"/>
          <w:color w:val="auto"/>
          <w:highlight w:val="none"/>
          <w:lang w:eastAsia="zh-CN"/>
        </w:rPr>
        <w:sectPr>
          <w:pgSz w:w="16838" w:h="11906" w:orient="landscape"/>
          <w:pgMar w:top="1361" w:right="1474" w:bottom="1247" w:left="1304"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eastAsia" w:ascii="Times New Roman" w:hAnsi="Times New Roman" w:eastAsia="黑体" w:cs="Times New Roman"/>
          <w:color w:val="auto"/>
          <w:sz w:val="21"/>
          <w:szCs w:val="21"/>
          <w:highlight w:val="none"/>
          <w:lang w:val="en-US" w:eastAsia="zh-CN"/>
        </w:rPr>
        <w:t xml:space="preserve">  </w:t>
      </w:r>
    </w:p>
    <w:p w14:paraId="66795BC9">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声环境保护目标调查表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518"/>
        <w:gridCol w:w="795"/>
        <w:gridCol w:w="795"/>
        <w:gridCol w:w="780"/>
        <w:gridCol w:w="1155"/>
        <w:gridCol w:w="675"/>
        <w:gridCol w:w="1365"/>
        <w:gridCol w:w="1925"/>
      </w:tblGrid>
      <w:tr w14:paraId="3B1B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restart"/>
            <w:noWrap/>
            <w:vAlign w:val="center"/>
          </w:tcPr>
          <w:p w14:paraId="54D5680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序号</w:t>
            </w:r>
          </w:p>
        </w:tc>
        <w:tc>
          <w:tcPr>
            <w:tcW w:w="797" w:type="pct"/>
            <w:vMerge w:val="restart"/>
            <w:noWrap/>
            <w:vAlign w:val="center"/>
          </w:tcPr>
          <w:p w14:paraId="7C28FAC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声环境保护目标名称</w:t>
            </w:r>
          </w:p>
        </w:tc>
        <w:tc>
          <w:tcPr>
            <w:tcW w:w="1245" w:type="pct"/>
            <w:gridSpan w:val="3"/>
            <w:noWrap/>
            <w:vAlign w:val="center"/>
          </w:tcPr>
          <w:p w14:paraId="3CD313A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空间相对位置</w:t>
            </w:r>
          </w:p>
        </w:tc>
        <w:tc>
          <w:tcPr>
            <w:tcW w:w="607" w:type="pct"/>
            <w:vMerge w:val="restart"/>
            <w:noWrap/>
            <w:vAlign w:val="center"/>
          </w:tcPr>
          <w:p w14:paraId="71BF3656">
            <w:pPr>
              <w:pStyle w:val="24"/>
              <w:bidi w:val="0"/>
              <w:rPr>
                <w:rFonts w:hint="eastAsia" w:ascii="Times New Roman" w:hAnsi="Times New Roman" w:eastAsia="宋体" w:cs="Courier New"/>
                <w:b/>
                <w:bCs/>
                <w:color w:val="auto"/>
                <w:highlight w:val="none"/>
                <w:lang w:val="en-US" w:eastAsia="zh-CN"/>
              </w:rPr>
            </w:pPr>
            <w:r>
              <w:rPr>
                <w:rFonts w:hint="default" w:ascii="Times New Roman" w:hAnsi="Times New Roman" w:eastAsia="宋体" w:cs="Courier New"/>
                <w:b/>
                <w:bCs/>
                <w:color w:val="auto"/>
                <w:highlight w:val="none"/>
                <w:lang w:val="en-US" w:eastAsia="zh-CN"/>
              </w:rPr>
              <w:t>距厂界最近距离/m</w:t>
            </w:r>
          </w:p>
        </w:tc>
        <w:tc>
          <w:tcPr>
            <w:tcW w:w="354" w:type="pct"/>
            <w:vMerge w:val="restart"/>
            <w:noWrap/>
            <w:vAlign w:val="center"/>
          </w:tcPr>
          <w:p w14:paraId="0C7BAAEA">
            <w:pPr>
              <w:pStyle w:val="24"/>
              <w:bidi w:val="0"/>
              <w:rPr>
                <w:rFonts w:hint="eastAsia" w:ascii="Times New Roman" w:hAnsi="Times New Roman" w:eastAsia="宋体" w:cs="Courier New"/>
                <w:b/>
                <w:bCs/>
                <w:color w:val="auto"/>
                <w:highlight w:val="none"/>
                <w:lang w:val="en-US" w:eastAsia="zh-CN"/>
              </w:rPr>
            </w:pPr>
            <w:r>
              <w:rPr>
                <w:rFonts w:hint="default" w:ascii="Times New Roman" w:hAnsi="Times New Roman" w:eastAsia="宋体" w:cs="Courier New"/>
                <w:b/>
                <w:bCs/>
                <w:color w:val="auto"/>
                <w:highlight w:val="none"/>
                <w:lang w:val="en-US" w:eastAsia="zh-CN"/>
              </w:rPr>
              <w:t>方位</w:t>
            </w:r>
          </w:p>
        </w:tc>
        <w:tc>
          <w:tcPr>
            <w:tcW w:w="717" w:type="pct"/>
            <w:vMerge w:val="restart"/>
            <w:noWrap/>
            <w:vAlign w:val="center"/>
          </w:tcPr>
          <w:p w14:paraId="2E6D7CCC">
            <w:pPr>
              <w:pStyle w:val="24"/>
              <w:bidi w:val="0"/>
              <w:rPr>
                <w:rFonts w:hint="eastAsia" w:ascii="Times New Roman" w:hAnsi="Times New Roman" w:eastAsia="宋体" w:cs="Courier New"/>
                <w:b/>
                <w:bCs/>
                <w:color w:val="auto"/>
                <w:highlight w:val="none"/>
                <w:lang w:val="en-US" w:eastAsia="zh-CN"/>
              </w:rPr>
            </w:pPr>
            <w:r>
              <w:rPr>
                <w:rFonts w:hint="default" w:ascii="Times New Roman" w:hAnsi="Times New Roman" w:eastAsia="宋体" w:cs="Courier New"/>
                <w:b/>
                <w:bCs/>
                <w:color w:val="auto"/>
                <w:highlight w:val="none"/>
                <w:lang w:val="en-US" w:eastAsia="zh-CN"/>
              </w:rPr>
              <w:t>执行标准/功能区类别</w:t>
            </w:r>
          </w:p>
        </w:tc>
        <w:tc>
          <w:tcPr>
            <w:tcW w:w="1011" w:type="pct"/>
            <w:vMerge w:val="restart"/>
            <w:noWrap/>
            <w:vAlign w:val="center"/>
          </w:tcPr>
          <w:p w14:paraId="3EF78162">
            <w:pPr>
              <w:pStyle w:val="24"/>
              <w:bidi w:val="0"/>
              <w:rPr>
                <w:rFonts w:hint="eastAsia" w:ascii="Times New Roman" w:hAnsi="Times New Roman" w:eastAsia="宋体" w:cs="Courier New"/>
                <w:b/>
                <w:bCs/>
                <w:color w:val="auto"/>
                <w:highlight w:val="none"/>
                <w:lang w:val="en-US" w:eastAsia="zh-CN"/>
              </w:rPr>
            </w:pPr>
            <w:r>
              <w:rPr>
                <w:rFonts w:hint="default" w:ascii="Times New Roman" w:hAnsi="Times New Roman" w:eastAsia="宋体" w:cs="Courier New"/>
                <w:b/>
                <w:bCs/>
                <w:color w:val="auto"/>
                <w:highlight w:val="none"/>
                <w:lang w:val="en-US" w:eastAsia="zh-CN"/>
              </w:rPr>
              <w:t>声环境保护目标情况说明</w:t>
            </w:r>
          </w:p>
        </w:tc>
      </w:tr>
      <w:tr w14:paraId="4F98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noWrap w:val="0"/>
            <w:vAlign w:val="center"/>
          </w:tcPr>
          <w:p w14:paraId="03AAB0B7">
            <w:pPr>
              <w:pStyle w:val="24"/>
              <w:bidi w:val="0"/>
              <w:rPr>
                <w:rFonts w:hint="eastAsia" w:ascii="Times New Roman" w:hAnsi="Times New Roman" w:eastAsia="宋体" w:cs="Courier New"/>
                <w:b/>
                <w:bCs/>
                <w:color w:val="auto"/>
                <w:highlight w:val="none"/>
                <w:lang w:val="en-US" w:eastAsia="zh-CN"/>
              </w:rPr>
            </w:pPr>
          </w:p>
        </w:tc>
        <w:tc>
          <w:tcPr>
            <w:tcW w:w="797" w:type="pct"/>
            <w:vMerge w:val="continue"/>
            <w:noWrap w:val="0"/>
            <w:vAlign w:val="center"/>
          </w:tcPr>
          <w:p w14:paraId="292B42C5">
            <w:pPr>
              <w:pStyle w:val="24"/>
              <w:bidi w:val="0"/>
              <w:rPr>
                <w:rFonts w:hint="eastAsia" w:ascii="Times New Roman" w:hAnsi="Times New Roman" w:eastAsia="宋体" w:cs="Courier New"/>
                <w:b/>
                <w:bCs/>
                <w:color w:val="auto"/>
                <w:highlight w:val="none"/>
                <w:lang w:val="en-US" w:eastAsia="zh-CN"/>
              </w:rPr>
            </w:pPr>
          </w:p>
        </w:tc>
        <w:tc>
          <w:tcPr>
            <w:tcW w:w="417" w:type="pct"/>
            <w:noWrap/>
            <w:vAlign w:val="center"/>
          </w:tcPr>
          <w:p w14:paraId="015BAF6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 xml:space="preserve">X（m）      </w:t>
            </w:r>
          </w:p>
        </w:tc>
        <w:tc>
          <w:tcPr>
            <w:tcW w:w="417" w:type="pct"/>
            <w:noWrap/>
            <w:vAlign w:val="center"/>
          </w:tcPr>
          <w:p w14:paraId="11C3013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Y（m）</w:t>
            </w:r>
          </w:p>
        </w:tc>
        <w:tc>
          <w:tcPr>
            <w:tcW w:w="409" w:type="pct"/>
            <w:noWrap/>
            <w:vAlign w:val="center"/>
          </w:tcPr>
          <w:p w14:paraId="3E59C77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Z（m）</w:t>
            </w:r>
          </w:p>
        </w:tc>
        <w:tc>
          <w:tcPr>
            <w:tcW w:w="607" w:type="pct"/>
            <w:vMerge w:val="continue"/>
            <w:noWrap w:val="0"/>
            <w:vAlign w:val="center"/>
          </w:tcPr>
          <w:p w14:paraId="72D49D12">
            <w:pPr>
              <w:pStyle w:val="24"/>
              <w:bidi w:val="0"/>
              <w:rPr>
                <w:rFonts w:hint="eastAsia" w:ascii="Times New Roman" w:hAnsi="Times New Roman" w:eastAsia="宋体" w:cs="Courier New"/>
                <w:b/>
                <w:bCs/>
                <w:color w:val="auto"/>
                <w:highlight w:val="none"/>
                <w:lang w:val="en-US" w:eastAsia="zh-CN"/>
              </w:rPr>
            </w:pPr>
          </w:p>
        </w:tc>
        <w:tc>
          <w:tcPr>
            <w:tcW w:w="354" w:type="pct"/>
            <w:vMerge w:val="continue"/>
            <w:noWrap w:val="0"/>
            <w:vAlign w:val="center"/>
          </w:tcPr>
          <w:p w14:paraId="3389C20D">
            <w:pPr>
              <w:pStyle w:val="24"/>
              <w:bidi w:val="0"/>
              <w:rPr>
                <w:rFonts w:hint="eastAsia" w:ascii="Times New Roman" w:hAnsi="Times New Roman" w:eastAsia="宋体" w:cs="Courier New"/>
                <w:b/>
                <w:bCs/>
                <w:color w:val="auto"/>
                <w:highlight w:val="none"/>
                <w:lang w:val="en-US" w:eastAsia="zh-CN"/>
              </w:rPr>
            </w:pPr>
          </w:p>
        </w:tc>
        <w:tc>
          <w:tcPr>
            <w:tcW w:w="717" w:type="pct"/>
            <w:vMerge w:val="continue"/>
            <w:noWrap w:val="0"/>
            <w:vAlign w:val="center"/>
          </w:tcPr>
          <w:p w14:paraId="33B171A9">
            <w:pPr>
              <w:pStyle w:val="24"/>
              <w:bidi w:val="0"/>
              <w:rPr>
                <w:rFonts w:hint="eastAsia" w:ascii="Times New Roman" w:hAnsi="Times New Roman" w:eastAsia="宋体" w:cs="Courier New"/>
                <w:b/>
                <w:bCs/>
                <w:color w:val="auto"/>
                <w:highlight w:val="none"/>
                <w:lang w:val="en-US" w:eastAsia="zh-CN"/>
              </w:rPr>
            </w:pPr>
          </w:p>
        </w:tc>
        <w:tc>
          <w:tcPr>
            <w:tcW w:w="1011" w:type="pct"/>
            <w:vMerge w:val="continue"/>
            <w:noWrap w:val="0"/>
            <w:vAlign w:val="center"/>
          </w:tcPr>
          <w:p w14:paraId="40A2D12E">
            <w:pPr>
              <w:pStyle w:val="24"/>
              <w:bidi w:val="0"/>
              <w:rPr>
                <w:rFonts w:hint="eastAsia" w:ascii="Times New Roman" w:hAnsi="Times New Roman" w:eastAsia="宋体" w:cs="Courier New"/>
                <w:b/>
                <w:bCs/>
                <w:color w:val="auto"/>
                <w:highlight w:val="none"/>
                <w:lang w:val="en-US" w:eastAsia="zh-CN"/>
              </w:rPr>
            </w:pPr>
          </w:p>
        </w:tc>
      </w:tr>
      <w:tr w14:paraId="01CB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shd w:val="clear" w:color="auto" w:fill="auto"/>
            <w:noWrap w:val="0"/>
            <w:vAlign w:val="center"/>
          </w:tcPr>
          <w:p w14:paraId="58F3992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w:t>
            </w:r>
          </w:p>
        </w:tc>
        <w:tc>
          <w:tcPr>
            <w:tcW w:w="797" w:type="pct"/>
            <w:shd w:val="clear" w:color="auto" w:fill="auto"/>
            <w:noWrap w:val="0"/>
            <w:vAlign w:val="center"/>
          </w:tcPr>
          <w:p w14:paraId="4C81445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东北侧散户</w:t>
            </w:r>
          </w:p>
        </w:tc>
        <w:tc>
          <w:tcPr>
            <w:tcW w:w="417" w:type="pct"/>
            <w:noWrap/>
            <w:vAlign w:val="center"/>
          </w:tcPr>
          <w:p w14:paraId="1B70BBC1">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139.82</w:t>
            </w:r>
          </w:p>
        </w:tc>
        <w:tc>
          <w:tcPr>
            <w:tcW w:w="417" w:type="pct"/>
            <w:noWrap/>
            <w:vAlign w:val="center"/>
          </w:tcPr>
          <w:p w14:paraId="77D31D39">
            <w:pPr>
              <w:pStyle w:val="24"/>
              <w:bidi w:val="0"/>
              <w:ind w:left="0" w:leftChars="0"/>
              <w:rPr>
                <w:rFonts w:hint="eastAsia" w:ascii="Times New Roman" w:hAnsi="Times New Roman" w:eastAsia="宋体" w:cs="Times New Roman"/>
                <w:b w:val="0"/>
                <w:bCs w:val="0"/>
                <w:color w:val="auto"/>
                <w:kern w:val="2"/>
                <w:sz w:val="21"/>
                <w:szCs w:val="21"/>
                <w:highlight w:val="none"/>
                <w:lang w:val="en-US" w:eastAsia="zh-CN" w:bidi="ar"/>
              </w:rPr>
            </w:pPr>
            <w:r>
              <w:rPr>
                <w:rFonts w:hint="eastAsia" w:ascii="Times New Roman" w:hAnsi="Times New Roman" w:eastAsia="宋体" w:cs="Times New Roman"/>
                <w:b w:val="0"/>
                <w:bCs w:val="0"/>
                <w:color w:val="auto"/>
                <w:kern w:val="2"/>
                <w:sz w:val="21"/>
                <w:szCs w:val="21"/>
                <w:highlight w:val="none"/>
                <w:lang w:val="en-US" w:eastAsia="zh-CN" w:bidi="ar"/>
              </w:rPr>
              <w:t>89.33</w:t>
            </w:r>
          </w:p>
        </w:tc>
        <w:tc>
          <w:tcPr>
            <w:tcW w:w="409" w:type="pct"/>
            <w:noWrap/>
            <w:vAlign w:val="center"/>
          </w:tcPr>
          <w:p w14:paraId="7003177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w:t>
            </w:r>
          </w:p>
        </w:tc>
        <w:tc>
          <w:tcPr>
            <w:tcW w:w="607" w:type="pct"/>
            <w:noWrap w:val="0"/>
            <w:vAlign w:val="center"/>
          </w:tcPr>
          <w:p w14:paraId="471E678B">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6</w:t>
            </w:r>
            <w:r>
              <w:rPr>
                <w:rFonts w:hint="eastAsia" w:cs="Courier New"/>
                <w:b w:val="0"/>
                <w:bCs w:val="0"/>
                <w:color w:val="auto"/>
                <w:highlight w:val="none"/>
                <w:lang w:val="en-US" w:eastAsia="zh-CN"/>
              </w:rPr>
              <w:t>6</w:t>
            </w:r>
          </w:p>
        </w:tc>
        <w:tc>
          <w:tcPr>
            <w:tcW w:w="354" w:type="pct"/>
            <w:noWrap w:val="0"/>
            <w:vAlign w:val="center"/>
          </w:tcPr>
          <w:p w14:paraId="034A4676">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东北</w:t>
            </w:r>
          </w:p>
        </w:tc>
        <w:tc>
          <w:tcPr>
            <w:tcW w:w="717" w:type="pct"/>
            <w:noWrap w:val="0"/>
            <w:vAlign w:val="center"/>
          </w:tcPr>
          <w:p w14:paraId="2578225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2类</w:t>
            </w:r>
          </w:p>
        </w:tc>
        <w:tc>
          <w:tcPr>
            <w:tcW w:w="1011" w:type="pct"/>
            <w:noWrap w:val="0"/>
            <w:vAlign w:val="center"/>
          </w:tcPr>
          <w:p w14:paraId="5B95D44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F，钢筋混凝土结构</w:t>
            </w:r>
          </w:p>
        </w:tc>
      </w:tr>
    </w:tbl>
    <w:p w14:paraId="09116963">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3、环境数据</w:t>
      </w:r>
    </w:p>
    <w:p w14:paraId="09A96466">
      <w:pPr>
        <w:pStyle w:val="26"/>
        <w:bidi w:val="0"/>
        <w:ind w:left="0" w:leftChars="0" w:firstLine="480" w:firstLineChars="200"/>
        <w:rPr>
          <w:rFonts w:hint="eastAsia" w:eastAsia="宋体"/>
          <w:color w:val="auto"/>
          <w:highlight w:val="none"/>
          <w:lang w:eastAsia="zh-CN"/>
        </w:rPr>
      </w:pPr>
      <w:r>
        <w:rPr>
          <w:color w:val="auto"/>
          <w:highlight w:val="none"/>
        </w:rPr>
        <w:t>根据调查，影响声波传播的各类数据见下表</w:t>
      </w:r>
      <w:r>
        <w:rPr>
          <w:rFonts w:hint="eastAsia"/>
          <w:color w:val="auto"/>
          <w:highlight w:val="none"/>
          <w:lang w:eastAsia="zh-CN"/>
        </w:rPr>
        <w:t>。</w:t>
      </w:r>
    </w:p>
    <w:p w14:paraId="2A6C74CC">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影响声波传播的各类环境数据表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1"/>
        <w:gridCol w:w="2545"/>
        <w:gridCol w:w="1674"/>
        <w:gridCol w:w="1674"/>
        <w:gridCol w:w="1676"/>
      </w:tblGrid>
      <w:tr w14:paraId="3CDE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359" w:type="pct"/>
            <w:gridSpan w:val="2"/>
            <w:noWrap w:val="0"/>
            <w:vAlign w:val="center"/>
          </w:tcPr>
          <w:p w14:paraId="6DE51F4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参数</w:t>
            </w:r>
          </w:p>
        </w:tc>
        <w:tc>
          <w:tcPr>
            <w:tcW w:w="880" w:type="pct"/>
            <w:noWrap w:val="0"/>
            <w:vAlign w:val="center"/>
          </w:tcPr>
          <w:p w14:paraId="1AAF079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单位</w:t>
            </w:r>
          </w:p>
        </w:tc>
        <w:tc>
          <w:tcPr>
            <w:tcW w:w="880" w:type="pct"/>
            <w:noWrap w:val="0"/>
            <w:vAlign w:val="center"/>
          </w:tcPr>
          <w:p w14:paraId="2FBE332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取值</w:t>
            </w:r>
          </w:p>
        </w:tc>
        <w:tc>
          <w:tcPr>
            <w:tcW w:w="878" w:type="pct"/>
            <w:noWrap w:val="0"/>
            <w:vAlign w:val="top"/>
          </w:tcPr>
          <w:p w14:paraId="7AC24BA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备注</w:t>
            </w:r>
          </w:p>
        </w:tc>
      </w:tr>
      <w:tr w14:paraId="0AA0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124079D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年平均风速</w:t>
            </w:r>
          </w:p>
        </w:tc>
        <w:tc>
          <w:tcPr>
            <w:tcW w:w="880" w:type="pct"/>
            <w:noWrap w:val="0"/>
            <w:vAlign w:val="center"/>
          </w:tcPr>
          <w:p w14:paraId="2FA40CF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m/s</w:t>
            </w:r>
          </w:p>
        </w:tc>
        <w:tc>
          <w:tcPr>
            <w:tcW w:w="880" w:type="pct"/>
            <w:noWrap w:val="0"/>
            <w:vAlign w:val="center"/>
          </w:tcPr>
          <w:p w14:paraId="5170D8F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w:t>
            </w:r>
          </w:p>
        </w:tc>
        <w:tc>
          <w:tcPr>
            <w:tcW w:w="878" w:type="pct"/>
            <w:noWrap w:val="0"/>
            <w:vAlign w:val="top"/>
          </w:tcPr>
          <w:p w14:paraId="2CF6803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4D2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1B34657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主导风向</w:t>
            </w:r>
          </w:p>
        </w:tc>
        <w:tc>
          <w:tcPr>
            <w:tcW w:w="880" w:type="pct"/>
            <w:noWrap w:val="0"/>
            <w:vAlign w:val="center"/>
          </w:tcPr>
          <w:p w14:paraId="1D5FA51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80" w:type="pct"/>
            <w:noWrap w:val="0"/>
            <w:vAlign w:val="center"/>
          </w:tcPr>
          <w:p w14:paraId="6E2E6FA6">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NN</w:t>
            </w:r>
            <w:r>
              <w:rPr>
                <w:rFonts w:hint="eastAsia" w:ascii="Times New Roman" w:hAnsi="Times New Roman" w:eastAsia="宋体" w:cs="Courier New"/>
                <w:b w:val="0"/>
                <w:bCs w:val="0"/>
                <w:color w:val="auto"/>
                <w:highlight w:val="none"/>
                <w:lang w:val="en-US" w:eastAsia="zh-CN"/>
              </w:rPr>
              <w:t>W</w:t>
            </w:r>
          </w:p>
        </w:tc>
        <w:tc>
          <w:tcPr>
            <w:tcW w:w="878" w:type="pct"/>
            <w:noWrap w:val="0"/>
            <w:vAlign w:val="top"/>
          </w:tcPr>
          <w:p w14:paraId="4C7255F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695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0B6E7F6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年平均气温</w:t>
            </w:r>
          </w:p>
        </w:tc>
        <w:tc>
          <w:tcPr>
            <w:tcW w:w="880" w:type="pct"/>
            <w:noWrap w:val="0"/>
            <w:vAlign w:val="center"/>
          </w:tcPr>
          <w:p w14:paraId="479038E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80" w:type="pct"/>
            <w:noWrap w:val="0"/>
            <w:vAlign w:val="center"/>
          </w:tcPr>
          <w:p w14:paraId="2424557E">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16.8</w:t>
            </w:r>
          </w:p>
        </w:tc>
        <w:tc>
          <w:tcPr>
            <w:tcW w:w="878" w:type="pct"/>
            <w:noWrap w:val="0"/>
            <w:vAlign w:val="top"/>
          </w:tcPr>
          <w:p w14:paraId="6C5BCDD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F51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3BB0E4F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年平均相对湿度</w:t>
            </w:r>
          </w:p>
        </w:tc>
        <w:tc>
          <w:tcPr>
            <w:tcW w:w="880" w:type="pct"/>
            <w:noWrap w:val="0"/>
            <w:vAlign w:val="center"/>
          </w:tcPr>
          <w:p w14:paraId="08D732B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80" w:type="pct"/>
            <w:noWrap w:val="0"/>
            <w:vAlign w:val="center"/>
          </w:tcPr>
          <w:p w14:paraId="737BD67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77.0</w:t>
            </w:r>
          </w:p>
        </w:tc>
        <w:tc>
          <w:tcPr>
            <w:tcW w:w="878" w:type="pct"/>
            <w:noWrap w:val="0"/>
            <w:vAlign w:val="top"/>
          </w:tcPr>
          <w:p w14:paraId="1638919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1426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58AC1E6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大气压强</w:t>
            </w:r>
          </w:p>
        </w:tc>
        <w:tc>
          <w:tcPr>
            <w:tcW w:w="880" w:type="pct"/>
            <w:noWrap w:val="0"/>
            <w:vAlign w:val="center"/>
          </w:tcPr>
          <w:p w14:paraId="5E4A2F0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Pa</w:t>
            </w:r>
          </w:p>
        </w:tc>
        <w:tc>
          <w:tcPr>
            <w:tcW w:w="880" w:type="pct"/>
            <w:noWrap w:val="0"/>
            <w:vAlign w:val="center"/>
          </w:tcPr>
          <w:p w14:paraId="6E716CD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101325</w:t>
            </w:r>
          </w:p>
        </w:tc>
        <w:tc>
          <w:tcPr>
            <w:tcW w:w="878" w:type="pct"/>
            <w:noWrap w:val="0"/>
            <w:vAlign w:val="top"/>
          </w:tcPr>
          <w:p w14:paraId="053B3C5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38A6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1" w:type="pct"/>
            <w:vMerge w:val="restart"/>
            <w:noWrap w:val="0"/>
            <w:vAlign w:val="center"/>
          </w:tcPr>
          <w:p w14:paraId="18E2581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是否考虑地形</w:t>
            </w:r>
          </w:p>
        </w:tc>
        <w:tc>
          <w:tcPr>
            <w:tcW w:w="1338" w:type="pct"/>
            <w:noWrap w:val="0"/>
            <w:vAlign w:val="center"/>
          </w:tcPr>
          <w:p w14:paraId="30F4CA1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考虑地形</w:t>
            </w:r>
          </w:p>
        </w:tc>
        <w:tc>
          <w:tcPr>
            <w:tcW w:w="880" w:type="pct"/>
            <w:noWrap w:val="0"/>
            <w:vAlign w:val="center"/>
          </w:tcPr>
          <w:p w14:paraId="092FA5F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80" w:type="pct"/>
            <w:noWrap w:val="0"/>
            <w:vAlign w:val="center"/>
          </w:tcPr>
          <w:p w14:paraId="5315FA73">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是</w:t>
            </w:r>
          </w:p>
        </w:tc>
        <w:tc>
          <w:tcPr>
            <w:tcW w:w="878" w:type="pct"/>
            <w:vMerge w:val="restart"/>
            <w:noWrap w:val="0"/>
            <w:vAlign w:val="center"/>
          </w:tcPr>
          <w:p w14:paraId="014B8B0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4B99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1" w:type="pct"/>
            <w:vMerge w:val="continue"/>
            <w:noWrap w:val="0"/>
            <w:vAlign w:val="center"/>
          </w:tcPr>
          <w:p w14:paraId="0EACF769">
            <w:pPr>
              <w:pStyle w:val="24"/>
              <w:bidi w:val="0"/>
              <w:rPr>
                <w:rFonts w:hint="eastAsia" w:ascii="Times New Roman" w:hAnsi="Times New Roman" w:eastAsia="宋体" w:cs="Courier New"/>
                <w:b w:val="0"/>
                <w:bCs w:val="0"/>
                <w:color w:val="auto"/>
                <w:highlight w:val="none"/>
                <w:lang w:val="en-US" w:eastAsia="zh-CN"/>
              </w:rPr>
            </w:pPr>
          </w:p>
        </w:tc>
        <w:tc>
          <w:tcPr>
            <w:tcW w:w="1338" w:type="pct"/>
            <w:noWrap w:val="0"/>
            <w:vAlign w:val="center"/>
          </w:tcPr>
          <w:p w14:paraId="2ED276B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地形数据分辨率</w:t>
            </w:r>
          </w:p>
        </w:tc>
        <w:tc>
          <w:tcPr>
            <w:tcW w:w="880" w:type="pct"/>
            <w:noWrap w:val="0"/>
            <w:vAlign w:val="center"/>
          </w:tcPr>
          <w:p w14:paraId="4B5088C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m</w:t>
            </w:r>
          </w:p>
        </w:tc>
        <w:tc>
          <w:tcPr>
            <w:tcW w:w="880" w:type="pct"/>
            <w:noWrap w:val="0"/>
            <w:vAlign w:val="center"/>
          </w:tcPr>
          <w:p w14:paraId="3D31FAD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78" w:type="pct"/>
            <w:vMerge w:val="continue"/>
            <w:noWrap w:val="0"/>
            <w:vAlign w:val="top"/>
          </w:tcPr>
          <w:p w14:paraId="536C1896">
            <w:pPr>
              <w:pStyle w:val="24"/>
              <w:bidi w:val="0"/>
              <w:rPr>
                <w:rFonts w:hint="eastAsia" w:ascii="Times New Roman" w:hAnsi="Times New Roman" w:eastAsia="宋体" w:cs="Courier New"/>
                <w:b w:val="0"/>
                <w:bCs w:val="0"/>
                <w:color w:val="auto"/>
                <w:highlight w:val="none"/>
                <w:lang w:val="en-US" w:eastAsia="zh-CN"/>
              </w:rPr>
            </w:pPr>
          </w:p>
        </w:tc>
      </w:tr>
      <w:tr w14:paraId="7329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4802795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声源和预测点间树林、灌木等的分布情况</w:t>
            </w:r>
          </w:p>
        </w:tc>
        <w:tc>
          <w:tcPr>
            <w:tcW w:w="880" w:type="pct"/>
            <w:noWrap w:val="0"/>
            <w:vAlign w:val="center"/>
          </w:tcPr>
          <w:p w14:paraId="08607C7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80" w:type="pct"/>
            <w:noWrap w:val="0"/>
            <w:vAlign w:val="center"/>
          </w:tcPr>
          <w:p w14:paraId="186E8F4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无</w:t>
            </w:r>
          </w:p>
        </w:tc>
        <w:tc>
          <w:tcPr>
            <w:tcW w:w="878" w:type="pct"/>
            <w:noWrap w:val="0"/>
            <w:vAlign w:val="top"/>
          </w:tcPr>
          <w:p w14:paraId="65103BD0">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A66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pct"/>
            <w:gridSpan w:val="2"/>
            <w:noWrap w:val="0"/>
            <w:vAlign w:val="center"/>
          </w:tcPr>
          <w:p w14:paraId="2F19FB7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地面覆盖情况</w:t>
            </w:r>
          </w:p>
        </w:tc>
        <w:tc>
          <w:tcPr>
            <w:tcW w:w="880" w:type="pct"/>
            <w:noWrap w:val="0"/>
            <w:vAlign w:val="center"/>
          </w:tcPr>
          <w:p w14:paraId="3F5FB0A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c>
          <w:tcPr>
            <w:tcW w:w="880" w:type="pct"/>
            <w:noWrap w:val="0"/>
            <w:vAlign w:val="center"/>
          </w:tcPr>
          <w:p w14:paraId="0C3E207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水泥地面</w:t>
            </w:r>
          </w:p>
        </w:tc>
        <w:tc>
          <w:tcPr>
            <w:tcW w:w="878" w:type="pct"/>
            <w:noWrap w:val="0"/>
            <w:vAlign w:val="top"/>
          </w:tcPr>
          <w:p w14:paraId="7A1970F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w:t>
            </w:r>
          </w:p>
        </w:tc>
      </w:tr>
      <w:tr w14:paraId="7D9B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center"/>
          </w:tcPr>
          <w:p w14:paraId="0F621C10">
            <w:pPr>
              <w:pStyle w:val="24"/>
              <w:bidi w:val="0"/>
              <w:jc w:val="both"/>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注：</w:t>
            </w:r>
            <w:r>
              <w:rPr>
                <w:rFonts w:hint="eastAsia" w:ascii="Times New Roman" w:hAnsi="Times New Roman" w:eastAsia="宋体" w:cs="Courier New"/>
                <w:b w:val="0"/>
                <w:bCs w:val="0"/>
                <w:color w:val="auto"/>
                <w:sz w:val="21"/>
                <w:szCs w:val="21"/>
                <w:highlight w:val="none"/>
                <w:lang w:val="en-US" w:eastAsia="zh-CN"/>
              </w:rPr>
              <w:t>年平均风速、气温、相对湿度采用通江气象站近20年（2006-2025）</w:t>
            </w:r>
            <w:r>
              <w:rPr>
                <w:rFonts w:hint="eastAsia" w:cs="Courier New"/>
                <w:b w:val="0"/>
                <w:bCs w:val="0"/>
                <w:color w:val="auto"/>
                <w:sz w:val="21"/>
                <w:szCs w:val="21"/>
                <w:highlight w:val="none"/>
                <w:lang w:val="en-US" w:eastAsia="zh-CN"/>
              </w:rPr>
              <w:t>统计结果。</w:t>
            </w:r>
          </w:p>
        </w:tc>
      </w:tr>
    </w:tbl>
    <w:p w14:paraId="446F1BA6">
      <w:pPr>
        <w:pStyle w:val="5"/>
        <w:bidi w:val="0"/>
        <w:ind w:left="864" w:leftChars="0" w:hanging="864" w:firstLineChars="0"/>
        <w:rPr>
          <w:rFonts w:hint="default"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预测方法</w:t>
      </w:r>
    </w:p>
    <w:p w14:paraId="2F448D49">
      <w:pPr>
        <w:pStyle w:val="26"/>
        <w:bidi w:val="0"/>
        <w:rPr>
          <w:rFonts w:hint="eastAsia"/>
          <w:color w:val="auto"/>
          <w:highlight w:val="none"/>
        </w:rPr>
      </w:pPr>
      <w:r>
        <w:rPr>
          <w:rFonts w:hint="eastAsia"/>
          <w:color w:val="auto"/>
          <w:highlight w:val="none"/>
        </w:rPr>
        <w:t>本次环评采用《环境影响评价技术导则 声环境》（HJ2.4-2021）中工业噪声预测计算模型，预测方法为：</w:t>
      </w:r>
    </w:p>
    <w:p w14:paraId="0B758610">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1、声源描述</w:t>
      </w:r>
    </w:p>
    <w:p w14:paraId="340515E3">
      <w:pPr>
        <w:numPr>
          <w:ilvl w:val="0"/>
          <w:numId w:val="0"/>
        </w:numPr>
        <w:spacing w:line="360" w:lineRule="auto"/>
        <w:ind w:left="0" w:leftChars="0" w:firstLine="480" w:firstLineChars="200"/>
        <w:rPr>
          <w:color w:val="auto"/>
          <w:sz w:val="24"/>
          <w:szCs w:val="24"/>
          <w:highlight w:val="none"/>
        </w:rPr>
      </w:pPr>
      <w:r>
        <w:rPr>
          <w:rFonts w:hint="eastAsia"/>
          <w:color w:val="auto"/>
          <w:sz w:val="24"/>
          <w:szCs w:val="24"/>
          <w:highlight w:val="none"/>
        </w:rPr>
        <w:t>声环境影响预测，一般采用声源的倍频带声功率级、A声功率级或靠近声源某一位置的倍频带声压级、A声级来预测计算距声源不同距离的声级。工业声源有室外和室内两种声源，应分别计算。</w:t>
      </w:r>
    </w:p>
    <w:p w14:paraId="7D9488BF">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2、室外声源在预测点产生的声级计算</w:t>
      </w:r>
    </w:p>
    <w:p w14:paraId="583614C4">
      <w:pPr>
        <w:spacing w:line="360" w:lineRule="auto"/>
        <w:rPr>
          <w:color w:val="auto"/>
          <w:sz w:val="24"/>
          <w:szCs w:val="24"/>
          <w:highlight w:val="none"/>
        </w:rPr>
      </w:pPr>
      <w:r>
        <w:rPr>
          <w:color w:val="auto"/>
          <w:sz w:val="24"/>
          <w:szCs w:val="24"/>
          <w:highlight w:val="none"/>
        </w:rPr>
        <w:t>按照无指向性点声源几何发散衰减进行计算</w:t>
      </w:r>
      <w:r>
        <w:rPr>
          <w:rFonts w:hint="eastAsia"/>
          <w:color w:val="auto"/>
          <w:sz w:val="24"/>
          <w:szCs w:val="24"/>
          <w:highlight w:val="none"/>
        </w:rPr>
        <w:t>：</w:t>
      </w:r>
    </w:p>
    <w:p w14:paraId="63B89015">
      <w:pPr>
        <w:spacing w:line="360" w:lineRule="auto"/>
        <w:jc w:val="center"/>
        <w:rPr>
          <w:color w:val="auto"/>
          <w:sz w:val="24"/>
          <w:szCs w:val="24"/>
          <w:highlight w:val="none"/>
        </w:rPr>
      </w:pPr>
      <w:r>
        <w:rPr>
          <w:color w:val="auto"/>
          <w:position w:val="-14"/>
          <w:highlight w:val="none"/>
        </w:rPr>
        <w:object>
          <v:shape id="_x0000_i1041" o:spt="75" type="#_x0000_t75" style="height:21.75pt;width:144pt;" o:ole="t" filled="f" o:preferrelative="t" stroked="f" coordsize="21600,21600">
            <v:path/>
            <v:fill on="f" focussize="0,0"/>
            <v:stroke on="f" joinstyle="miter"/>
            <v:imagedata r:id="rId79" o:title=""/>
            <o:lock v:ext="edit" aspectratio="t"/>
            <w10:wrap type="none"/>
            <w10:anchorlock/>
          </v:shape>
          <o:OLEObject Type="Embed" ProgID="Equation.DSMT4" ShapeID="_x0000_i1041" DrawAspect="Content" ObjectID="_1468075741" r:id="rId78">
            <o:LockedField>false</o:LockedField>
          </o:OLEObject>
        </w:object>
      </w:r>
    </w:p>
    <w:p w14:paraId="7E3A6427">
      <w:pPr>
        <w:spacing w:line="360" w:lineRule="auto"/>
        <w:rPr>
          <w:color w:val="auto"/>
          <w:sz w:val="24"/>
          <w:szCs w:val="24"/>
          <w:highlight w:val="none"/>
        </w:rPr>
      </w:pPr>
      <w:r>
        <w:rPr>
          <w:rFonts w:hint="eastAsia"/>
          <w:color w:val="auto"/>
          <w:sz w:val="24"/>
          <w:szCs w:val="24"/>
          <w:highlight w:val="none"/>
        </w:rPr>
        <w:t>式中</w:t>
      </w:r>
      <w:r>
        <w:rPr>
          <w:color w:val="auto"/>
          <w:sz w:val="24"/>
          <w:szCs w:val="24"/>
          <w:highlight w:val="none"/>
        </w:rPr>
        <w:t>，</w:t>
      </w:r>
      <w:r>
        <w:rPr>
          <w:i/>
          <w:color w:val="auto"/>
          <w:sz w:val="24"/>
          <w:szCs w:val="24"/>
          <w:highlight w:val="none"/>
        </w:rPr>
        <w:t>L</w:t>
      </w:r>
      <w:r>
        <w:rPr>
          <w:i/>
          <w:color w:val="auto"/>
          <w:sz w:val="24"/>
          <w:szCs w:val="24"/>
          <w:highlight w:val="none"/>
          <w:vertAlign w:val="subscript"/>
        </w:rPr>
        <w:t>p</w:t>
      </w:r>
      <w:r>
        <w:rPr>
          <w:color w:val="auto"/>
          <w:sz w:val="24"/>
          <w:szCs w:val="24"/>
          <w:highlight w:val="none"/>
        </w:rPr>
        <w:t>（</w:t>
      </w:r>
      <w:r>
        <w:rPr>
          <w:i/>
          <w:color w:val="auto"/>
          <w:sz w:val="24"/>
          <w:szCs w:val="24"/>
          <w:highlight w:val="none"/>
        </w:rPr>
        <w:t>r</w:t>
      </w:r>
      <w:r>
        <w:rPr>
          <w:color w:val="auto"/>
          <w:sz w:val="24"/>
          <w:szCs w:val="24"/>
          <w:highlight w:val="none"/>
        </w:rPr>
        <w:t>）——</w:t>
      </w:r>
      <w:r>
        <w:rPr>
          <w:rFonts w:hint="eastAsia"/>
          <w:color w:val="auto"/>
          <w:sz w:val="24"/>
          <w:szCs w:val="24"/>
          <w:highlight w:val="none"/>
        </w:rPr>
        <w:t>预测点处声压级，dB；</w:t>
      </w:r>
    </w:p>
    <w:p w14:paraId="761CFA73">
      <w:pPr>
        <w:spacing w:line="360" w:lineRule="auto"/>
        <w:ind w:firstLine="720" w:firstLineChars="300"/>
        <w:rPr>
          <w:color w:val="auto"/>
          <w:sz w:val="24"/>
          <w:szCs w:val="24"/>
          <w:highlight w:val="none"/>
        </w:rPr>
      </w:pPr>
      <w:r>
        <w:rPr>
          <w:i/>
          <w:color w:val="auto"/>
          <w:sz w:val="24"/>
          <w:szCs w:val="24"/>
          <w:highlight w:val="none"/>
        </w:rPr>
        <w:t>L</w:t>
      </w:r>
      <w:r>
        <w:rPr>
          <w:i/>
          <w:color w:val="auto"/>
          <w:sz w:val="24"/>
          <w:szCs w:val="24"/>
          <w:highlight w:val="none"/>
          <w:vertAlign w:val="subscript"/>
        </w:rPr>
        <w:t>p</w:t>
      </w:r>
      <w:r>
        <w:rPr>
          <w:color w:val="auto"/>
          <w:sz w:val="24"/>
          <w:szCs w:val="24"/>
          <w:highlight w:val="none"/>
        </w:rPr>
        <w:t>（</w:t>
      </w:r>
      <w:r>
        <w:rPr>
          <w:i/>
          <w:color w:val="auto"/>
          <w:sz w:val="24"/>
          <w:szCs w:val="24"/>
          <w:highlight w:val="none"/>
        </w:rPr>
        <w:t>r</w:t>
      </w:r>
      <w:r>
        <w:rPr>
          <w:i/>
          <w:color w:val="auto"/>
          <w:sz w:val="24"/>
          <w:szCs w:val="24"/>
          <w:highlight w:val="none"/>
          <w:vertAlign w:val="subscript"/>
        </w:rPr>
        <w:t>0</w:t>
      </w:r>
      <w:r>
        <w:rPr>
          <w:color w:val="auto"/>
          <w:sz w:val="24"/>
          <w:szCs w:val="24"/>
          <w:highlight w:val="none"/>
        </w:rPr>
        <w:t>）——</w:t>
      </w:r>
      <w:r>
        <w:rPr>
          <w:rFonts w:hint="eastAsia"/>
          <w:color w:val="auto"/>
          <w:sz w:val="24"/>
          <w:szCs w:val="24"/>
          <w:highlight w:val="none"/>
        </w:rPr>
        <w:t>参考位置</w:t>
      </w:r>
      <w:r>
        <w:rPr>
          <w:rFonts w:hint="eastAsia"/>
          <w:i/>
          <w:color w:val="auto"/>
          <w:sz w:val="24"/>
          <w:szCs w:val="24"/>
          <w:highlight w:val="none"/>
        </w:rPr>
        <w:t>r</w:t>
      </w:r>
      <w:r>
        <w:rPr>
          <w:color w:val="auto"/>
          <w:sz w:val="24"/>
          <w:szCs w:val="24"/>
          <w:highlight w:val="none"/>
          <w:vertAlign w:val="subscript"/>
        </w:rPr>
        <w:t>0</w:t>
      </w:r>
      <w:r>
        <w:rPr>
          <w:color w:val="auto"/>
          <w:sz w:val="24"/>
          <w:szCs w:val="24"/>
          <w:highlight w:val="none"/>
        </w:rPr>
        <w:t>处的声压级</w:t>
      </w:r>
      <w:r>
        <w:rPr>
          <w:rFonts w:hint="eastAsia"/>
          <w:color w:val="auto"/>
          <w:sz w:val="24"/>
          <w:szCs w:val="24"/>
          <w:highlight w:val="none"/>
        </w:rPr>
        <w:t>，dB；</w:t>
      </w:r>
    </w:p>
    <w:p w14:paraId="673404FE">
      <w:pPr>
        <w:spacing w:line="360" w:lineRule="auto"/>
        <w:ind w:firstLine="720" w:firstLineChars="300"/>
        <w:rPr>
          <w:color w:val="auto"/>
          <w:sz w:val="24"/>
          <w:szCs w:val="24"/>
          <w:highlight w:val="none"/>
        </w:rPr>
      </w:pPr>
      <w:r>
        <w:rPr>
          <w:rFonts w:hint="eastAsia"/>
          <w:i/>
          <w:color w:val="auto"/>
          <w:sz w:val="24"/>
          <w:szCs w:val="24"/>
          <w:highlight w:val="none"/>
        </w:rPr>
        <w:t>r</w:t>
      </w:r>
      <w:r>
        <w:rPr>
          <w:color w:val="auto"/>
          <w:sz w:val="24"/>
          <w:szCs w:val="24"/>
          <w:highlight w:val="none"/>
        </w:rPr>
        <w:t>——</w:t>
      </w:r>
      <w:r>
        <w:rPr>
          <w:rFonts w:hint="eastAsia"/>
          <w:color w:val="auto"/>
          <w:sz w:val="24"/>
          <w:szCs w:val="24"/>
          <w:highlight w:val="none"/>
        </w:rPr>
        <w:t>预测点距声源的距离，m；</w:t>
      </w:r>
    </w:p>
    <w:p w14:paraId="72AF8DCF">
      <w:pPr>
        <w:spacing w:line="360" w:lineRule="auto"/>
        <w:ind w:firstLine="720" w:firstLineChars="300"/>
        <w:rPr>
          <w:color w:val="auto"/>
          <w:sz w:val="24"/>
          <w:szCs w:val="24"/>
          <w:highlight w:val="none"/>
        </w:rPr>
      </w:pPr>
      <w:r>
        <w:rPr>
          <w:rFonts w:hint="eastAsia"/>
          <w:i/>
          <w:color w:val="auto"/>
          <w:sz w:val="24"/>
          <w:szCs w:val="24"/>
          <w:highlight w:val="none"/>
        </w:rPr>
        <w:t>r</w:t>
      </w:r>
      <w:r>
        <w:rPr>
          <w:color w:val="auto"/>
          <w:sz w:val="24"/>
          <w:szCs w:val="24"/>
          <w:highlight w:val="none"/>
          <w:vertAlign w:val="subscript"/>
        </w:rPr>
        <w:t>0</w:t>
      </w:r>
      <w:r>
        <w:rPr>
          <w:color w:val="auto"/>
          <w:sz w:val="24"/>
          <w:szCs w:val="24"/>
          <w:highlight w:val="none"/>
        </w:rPr>
        <w:t>——</w:t>
      </w:r>
      <w:r>
        <w:rPr>
          <w:rFonts w:hint="eastAsia"/>
          <w:color w:val="auto"/>
          <w:sz w:val="24"/>
          <w:szCs w:val="24"/>
          <w:highlight w:val="none"/>
        </w:rPr>
        <w:t>参考位置距声源的距离，m。</w:t>
      </w:r>
    </w:p>
    <w:p w14:paraId="0313CDB9">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3、室内声源等效室外声源声功率级计算</w:t>
      </w:r>
    </w:p>
    <w:p w14:paraId="20817A5F">
      <w:pPr>
        <w:pStyle w:val="26"/>
        <w:bidi w:val="0"/>
        <w:rPr>
          <w:color w:val="auto"/>
          <w:sz w:val="24"/>
          <w:szCs w:val="24"/>
          <w:highlight w:val="none"/>
        </w:rPr>
      </w:pPr>
      <w:r>
        <w:rPr>
          <w:rFonts w:hint="eastAsia"/>
          <w:color w:val="auto"/>
          <w:sz w:val="24"/>
          <w:szCs w:val="24"/>
          <w:highlight w:val="none"/>
        </w:rPr>
        <w:t>如</w:t>
      </w:r>
      <w:r>
        <w:rPr>
          <w:rFonts w:hint="eastAsia"/>
          <w:color w:val="auto"/>
          <w:sz w:val="24"/>
          <w:szCs w:val="24"/>
          <w:highlight w:val="none"/>
          <w:lang w:val="en-US" w:eastAsia="zh-CN"/>
        </w:rPr>
        <w:t>下图</w:t>
      </w:r>
      <w:r>
        <w:rPr>
          <w:rFonts w:hint="eastAsia"/>
          <w:color w:val="auto"/>
          <w:sz w:val="24"/>
          <w:szCs w:val="24"/>
          <w:highlight w:val="none"/>
        </w:rPr>
        <w:t>所示，声源位于室内，</w:t>
      </w:r>
      <w:r>
        <w:rPr>
          <w:color w:val="auto"/>
          <w:sz w:val="24"/>
          <w:szCs w:val="24"/>
          <w:highlight w:val="none"/>
        </w:rPr>
        <w:t>室内声源可采用等效室外声源声功率级</w:t>
      </w:r>
      <w:r>
        <w:rPr>
          <w:rFonts w:hint="eastAsia"/>
          <w:color w:val="auto"/>
          <w:sz w:val="24"/>
          <w:szCs w:val="24"/>
          <w:highlight w:val="none"/>
        </w:rPr>
        <w:t>法</w:t>
      </w:r>
      <w:r>
        <w:rPr>
          <w:color w:val="auto"/>
          <w:sz w:val="24"/>
          <w:szCs w:val="24"/>
          <w:highlight w:val="none"/>
        </w:rPr>
        <w:t>进行计算</w:t>
      </w:r>
      <w:r>
        <w:rPr>
          <w:rFonts w:hint="eastAsia"/>
          <w:color w:val="auto"/>
          <w:sz w:val="24"/>
          <w:szCs w:val="24"/>
          <w:highlight w:val="none"/>
        </w:rPr>
        <w:t>。</w:t>
      </w:r>
      <w:r>
        <w:rPr>
          <w:color w:val="auto"/>
          <w:sz w:val="24"/>
          <w:szCs w:val="24"/>
          <w:highlight w:val="none"/>
        </w:rPr>
        <w:t>设靠近开口处（</w:t>
      </w:r>
      <w:r>
        <w:rPr>
          <w:rFonts w:hint="eastAsia"/>
          <w:color w:val="auto"/>
          <w:sz w:val="24"/>
          <w:szCs w:val="24"/>
          <w:highlight w:val="none"/>
        </w:rPr>
        <w:t>或</w:t>
      </w:r>
      <w:r>
        <w:rPr>
          <w:color w:val="auto"/>
          <w:sz w:val="24"/>
          <w:szCs w:val="24"/>
          <w:highlight w:val="none"/>
        </w:rPr>
        <w:t>窗户）</w:t>
      </w:r>
      <w:r>
        <w:rPr>
          <w:rFonts w:hint="eastAsia"/>
          <w:color w:val="auto"/>
          <w:sz w:val="24"/>
          <w:szCs w:val="24"/>
          <w:highlight w:val="none"/>
        </w:rPr>
        <w:t>室内</w:t>
      </w:r>
      <w:r>
        <w:rPr>
          <w:color w:val="auto"/>
          <w:sz w:val="24"/>
          <w:szCs w:val="24"/>
          <w:highlight w:val="none"/>
        </w:rPr>
        <w:t>、室外某倍频带的声压级分别为</w:t>
      </w:r>
      <w:r>
        <w:rPr>
          <w:i/>
          <w:color w:val="auto"/>
          <w:sz w:val="24"/>
          <w:szCs w:val="24"/>
          <w:highlight w:val="none"/>
        </w:rPr>
        <w:t>L</w:t>
      </w:r>
      <w:r>
        <w:rPr>
          <w:i/>
          <w:color w:val="auto"/>
          <w:sz w:val="24"/>
          <w:szCs w:val="24"/>
          <w:highlight w:val="none"/>
          <w:vertAlign w:val="subscript"/>
        </w:rPr>
        <w:t>p</w:t>
      </w:r>
      <w:r>
        <w:rPr>
          <w:color w:val="auto"/>
          <w:sz w:val="24"/>
          <w:szCs w:val="24"/>
          <w:highlight w:val="none"/>
          <w:vertAlign w:val="subscript"/>
        </w:rPr>
        <w:t>1</w:t>
      </w:r>
      <w:r>
        <w:rPr>
          <w:rFonts w:hint="eastAsia"/>
          <w:color w:val="auto"/>
          <w:sz w:val="24"/>
          <w:szCs w:val="24"/>
          <w:highlight w:val="none"/>
        </w:rPr>
        <w:t>和</w:t>
      </w:r>
      <w:r>
        <w:rPr>
          <w:i/>
          <w:color w:val="auto"/>
          <w:sz w:val="24"/>
          <w:szCs w:val="24"/>
          <w:highlight w:val="none"/>
        </w:rPr>
        <w:t>L</w:t>
      </w:r>
      <w:r>
        <w:rPr>
          <w:i/>
          <w:color w:val="auto"/>
          <w:sz w:val="24"/>
          <w:szCs w:val="24"/>
          <w:highlight w:val="none"/>
          <w:vertAlign w:val="subscript"/>
        </w:rPr>
        <w:t>p</w:t>
      </w:r>
      <w:r>
        <w:rPr>
          <w:color w:val="auto"/>
          <w:sz w:val="24"/>
          <w:szCs w:val="24"/>
          <w:highlight w:val="none"/>
          <w:vertAlign w:val="subscript"/>
        </w:rPr>
        <w:t>2</w:t>
      </w:r>
      <w:r>
        <w:rPr>
          <w:rFonts w:hint="eastAsia"/>
          <w:color w:val="auto"/>
          <w:sz w:val="24"/>
          <w:szCs w:val="24"/>
          <w:highlight w:val="none"/>
        </w:rPr>
        <w:t>，</w:t>
      </w:r>
      <w:r>
        <w:rPr>
          <w:color w:val="auto"/>
          <w:sz w:val="24"/>
          <w:szCs w:val="24"/>
          <w:highlight w:val="none"/>
        </w:rPr>
        <w:t>若</w:t>
      </w:r>
      <w:r>
        <w:rPr>
          <w:rFonts w:hint="eastAsia"/>
          <w:color w:val="auto"/>
          <w:sz w:val="24"/>
          <w:szCs w:val="24"/>
          <w:highlight w:val="none"/>
        </w:rPr>
        <w:t>声源</w:t>
      </w:r>
      <w:r>
        <w:rPr>
          <w:color w:val="auto"/>
          <w:sz w:val="24"/>
          <w:szCs w:val="24"/>
          <w:highlight w:val="none"/>
        </w:rPr>
        <w:t>所在室内声场为近似扩散声场，则室外倍频带声压级按下式计算：</w:t>
      </w:r>
    </w:p>
    <w:p w14:paraId="64895FE6">
      <w:pPr>
        <w:spacing w:line="360" w:lineRule="auto"/>
        <w:jc w:val="center"/>
        <w:rPr>
          <w:color w:val="auto"/>
          <w:sz w:val="24"/>
          <w:szCs w:val="24"/>
          <w:highlight w:val="none"/>
        </w:rPr>
      </w:pPr>
      <w:r>
        <w:rPr>
          <w:color w:val="auto"/>
          <w:position w:val="-14"/>
          <w:highlight w:val="none"/>
        </w:rPr>
        <w:object>
          <v:shape id="_x0000_i1042" o:spt="75" type="#_x0000_t75" style="height:21.75pt;width:93.75pt;" o:ole="t" filled="f" o:preferrelative="t" stroked="f" coordsize="21600,21600">
            <v:path/>
            <v:fill on="f" focussize="0,0"/>
            <v:stroke on="f" joinstyle="miter"/>
            <v:imagedata r:id="rId81" o:title=""/>
            <o:lock v:ext="edit" aspectratio="t"/>
            <w10:wrap type="none"/>
            <w10:anchorlock/>
          </v:shape>
          <o:OLEObject Type="Embed" ProgID="Equation.DSMT4" ShapeID="_x0000_i1042" DrawAspect="Content" ObjectID="_1468075742" r:id="rId80">
            <o:LockedField>false</o:LockedField>
          </o:OLEObject>
        </w:object>
      </w:r>
    </w:p>
    <w:p w14:paraId="3FBAAFAE">
      <w:pPr>
        <w:spacing w:line="360" w:lineRule="auto"/>
        <w:rPr>
          <w:color w:val="auto"/>
          <w:sz w:val="24"/>
          <w:szCs w:val="24"/>
          <w:highlight w:val="none"/>
        </w:rPr>
      </w:pPr>
      <w:r>
        <w:rPr>
          <w:rFonts w:hint="eastAsia"/>
          <w:color w:val="auto"/>
          <w:sz w:val="24"/>
          <w:szCs w:val="24"/>
          <w:highlight w:val="none"/>
        </w:rPr>
        <w:t>式中</w:t>
      </w:r>
      <w:r>
        <w:rPr>
          <w:color w:val="auto"/>
          <w:sz w:val="24"/>
          <w:szCs w:val="24"/>
          <w:highlight w:val="none"/>
        </w:rPr>
        <w:t>，</w:t>
      </w:r>
      <w:r>
        <w:rPr>
          <w:i/>
          <w:color w:val="auto"/>
          <w:sz w:val="24"/>
          <w:szCs w:val="24"/>
          <w:highlight w:val="none"/>
        </w:rPr>
        <w:t>L</w:t>
      </w:r>
      <w:r>
        <w:rPr>
          <w:i/>
          <w:color w:val="auto"/>
          <w:sz w:val="24"/>
          <w:szCs w:val="24"/>
          <w:highlight w:val="none"/>
          <w:vertAlign w:val="subscript"/>
        </w:rPr>
        <w:t>p</w:t>
      </w:r>
      <w:r>
        <w:rPr>
          <w:color w:val="auto"/>
          <w:sz w:val="24"/>
          <w:szCs w:val="24"/>
          <w:highlight w:val="none"/>
          <w:vertAlign w:val="subscript"/>
        </w:rPr>
        <w:t>1</w:t>
      </w:r>
      <w:r>
        <w:rPr>
          <w:color w:val="auto"/>
          <w:sz w:val="24"/>
          <w:szCs w:val="24"/>
          <w:highlight w:val="none"/>
        </w:rPr>
        <w:t>——</w:t>
      </w:r>
      <w:r>
        <w:rPr>
          <w:rFonts w:hint="eastAsia"/>
          <w:color w:val="auto"/>
          <w:sz w:val="24"/>
          <w:szCs w:val="24"/>
          <w:highlight w:val="none"/>
        </w:rPr>
        <w:t>靠近开口处（或窗户）室内某倍频带的声压级或A声级，dB；</w:t>
      </w:r>
    </w:p>
    <w:p w14:paraId="18A3C0FD">
      <w:pPr>
        <w:spacing w:line="360" w:lineRule="auto"/>
        <w:ind w:firstLine="720" w:firstLineChars="300"/>
        <w:rPr>
          <w:color w:val="auto"/>
          <w:sz w:val="24"/>
          <w:szCs w:val="24"/>
          <w:highlight w:val="none"/>
        </w:rPr>
      </w:pPr>
      <w:r>
        <w:rPr>
          <w:i/>
          <w:color w:val="auto"/>
          <w:sz w:val="24"/>
          <w:szCs w:val="24"/>
          <w:highlight w:val="none"/>
        </w:rPr>
        <w:t>L</w:t>
      </w:r>
      <w:r>
        <w:rPr>
          <w:i/>
          <w:color w:val="auto"/>
          <w:sz w:val="24"/>
          <w:szCs w:val="24"/>
          <w:highlight w:val="none"/>
          <w:vertAlign w:val="subscript"/>
        </w:rPr>
        <w:t>p</w:t>
      </w:r>
      <w:r>
        <w:rPr>
          <w:color w:val="auto"/>
          <w:sz w:val="24"/>
          <w:szCs w:val="24"/>
          <w:highlight w:val="none"/>
          <w:vertAlign w:val="subscript"/>
        </w:rPr>
        <w:t>2</w:t>
      </w:r>
      <w:r>
        <w:rPr>
          <w:color w:val="auto"/>
          <w:sz w:val="24"/>
          <w:szCs w:val="24"/>
          <w:highlight w:val="none"/>
        </w:rPr>
        <w:t>——</w:t>
      </w:r>
      <w:r>
        <w:rPr>
          <w:rFonts w:hint="eastAsia"/>
          <w:color w:val="auto"/>
          <w:sz w:val="24"/>
          <w:szCs w:val="24"/>
          <w:highlight w:val="none"/>
        </w:rPr>
        <w:t>靠近开口处（或窗户）室外某倍频带的声压级或A声级，dB；</w:t>
      </w:r>
    </w:p>
    <w:p w14:paraId="5E486683">
      <w:pPr>
        <w:spacing w:line="360" w:lineRule="auto"/>
        <w:ind w:firstLine="720" w:firstLineChars="300"/>
        <w:rPr>
          <w:color w:val="auto"/>
          <w:sz w:val="24"/>
          <w:szCs w:val="24"/>
          <w:highlight w:val="none"/>
        </w:rPr>
      </w:pPr>
      <w:r>
        <w:rPr>
          <w:rFonts w:hint="eastAsia"/>
          <w:i/>
          <w:color w:val="auto"/>
          <w:sz w:val="24"/>
          <w:szCs w:val="24"/>
          <w:highlight w:val="none"/>
        </w:rPr>
        <w:t>TL</w:t>
      </w:r>
      <w:r>
        <w:rPr>
          <w:color w:val="auto"/>
          <w:sz w:val="24"/>
          <w:szCs w:val="24"/>
          <w:highlight w:val="none"/>
        </w:rPr>
        <w:t>——</w:t>
      </w:r>
      <w:r>
        <w:rPr>
          <w:rFonts w:hint="eastAsia"/>
          <w:color w:val="auto"/>
          <w:sz w:val="24"/>
          <w:szCs w:val="24"/>
          <w:highlight w:val="none"/>
        </w:rPr>
        <w:t>隔墙（或</w:t>
      </w:r>
      <w:r>
        <w:rPr>
          <w:color w:val="auto"/>
          <w:sz w:val="24"/>
          <w:szCs w:val="24"/>
          <w:highlight w:val="none"/>
        </w:rPr>
        <w:t>窗户</w:t>
      </w:r>
      <w:r>
        <w:rPr>
          <w:rFonts w:hint="eastAsia"/>
          <w:color w:val="auto"/>
          <w:sz w:val="24"/>
          <w:szCs w:val="24"/>
          <w:highlight w:val="none"/>
        </w:rPr>
        <w:t>）倍频带或A声级的隔声量，dB。</w:t>
      </w:r>
    </w:p>
    <w:p w14:paraId="0AA6F8C4">
      <w:pPr>
        <w:spacing w:line="360" w:lineRule="auto"/>
        <w:jc w:val="center"/>
        <w:rPr>
          <w:color w:val="auto"/>
          <w:sz w:val="24"/>
          <w:szCs w:val="24"/>
          <w:highlight w:val="none"/>
        </w:rPr>
      </w:pPr>
      <w:r>
        <w:rPr>
          <w:color w:val="auto"/>
          <w:highlight w:val="none"/>
        </w:rPr>
        <w:drawing>
          <wp:inline distT="0" distB="0" distL="114300" distR="114300">
            <wp:extent cx="2497455" cy="1200785"/>
            <wp:effectExtent l="0" t="0" r="17145" b="18415"/>
            <wp:docPr id="8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8"/>
                    <pic:cNvPicPr>
                      <a:picLocks noChangeAspect="1"/>
                    </pic:cNvPicPr>
                  </pic:nvPicPr>
                  <pic:blipFill>
                    <a:blip r:embed="rId82"/>
                    <a:stretch>
                      <a:fillRect/>
                    </a:stretch>
                  </pic:blipFill>
                  <pic:spPr>
                    <a:xfrm>
                      <a:off x="0" y="0"/>
                      <a:ext cx="2497455" cy="1200785"/>
                    </a:xfrm>
                    <a:prstGeom prst="rect">
                      <a:avLst/>
                    </a:prstGeom>
                    <a:noFill/>
                    <a:ln>
                      <a:noFill/>
                    </a:ln>
                  </pic:spPr>
                </pic:pic>
              </a:graphicData>
            </a:graphic>
          </wp:inline>
        </w:drawing>
      </w:r>
    </w:p>
    <w:p w14:paraId="3A0597B1">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室内声源等效为室外声源图例</w:t>
      </w:r>
    </w:p>
    <w:p w14:paraId="00C20DB3">
      <w:pPr>
        <w:pStyle w:val="26"/>
        <w:bidi w:val="0"/>
        <w:rPr>
          <w:color w:val="auto"/>
          <w:highlight w:val="none"/>
        </w:rPr>
      </w:pPr>
      <w:r>
        <w:rPr>
          <w:rFonts w:hint="eastAsia"/>
          <w:color w:val="auto"/>
          <w:highlight w:val="none"/>
        </w:rPr>
        <w:t>某一室内声源靠近围护结构处产生的倍频带声压级或A声级按下式计算：</w:t>
      </w:r>
    </w:p>
    <w:p w14:paraId="281521BB">
      <w:pPr>
        <w:spacing w:line="360" w:lineRule="auto"/>
        <w:jc w:val="center"/>
        <w:rPr>
          <w:color w:val="auto"/>
          <w:sz w:val="24"/>
          <w:szCs w:val="24"/>
          <w:highlight w:val="none"/>
        </w:rPr>
      </w:pPr>
      <w:r>
        <w:rPr>
          <w:color w:val="auto"/>
          <w:position w:val="-28"/>
          <w:highlight w:val="none"/>
        </w:rPr>
        <w:object>
          <v:shape id="_x0000_i1043" o:spt="75" type="#_x0000_t75" style="height:36pt;width:136.5pt;" o:ole="t" filled="f" o:preferrelative="t" stroked="f" coordsize="21600,21600">
            <v:path/>
            <v:fill on="f" focussize="0,0"/>
            <v:stroke on="f" joinstyle="miter"/>
            <v:imagedata r:id="rId84" o:title=""/>
            <o:lock v:ext="edit" aspectratio="t"/>
            <w10:wrap type="none"/>
            <w10:anchorlock/>
          </v:shape>
          <o:OLEObject Type="Embed" ProgID="Equation.DSMT4" ShapeID="_x0000_i1043" DrawAspect="Content" ObjectID="_1468075743" r:id="rId83">
            <o:LockedField>false</o:LockedField>
          </o:OLEObject>
        </w:object>
      </w:r>
    </w:p>
    <w:p w14:paraId="6BD90BF5">
      <w:pPr>
        <w:spacing w:line="360" w:lineRule="auto"/>
        <w:ind w:left="0" w:leftChars="0" w:firstLine="480" w:firstLineChars="200"/>
        <w:rPr>
          <w:color w:val="auto"/>
          <w:sz w:val="24"/>
          <w:szCs w:val="24"/>
          <w:highlight w:val="none"/>
        </w:rPr>
      </w:pPr>
      <w:r>
        <w:rPr>
          <w:color w:val="auto"/>
          <w:sz w:val="24"/>
          <w:szCs w:val="24"/>
          <w:highlight w:val="none"/>
        </w:rPr>
        <w:t>式中，</w:t>
      </w:r>
      <w:r>
        <w:rPr>
          <w:i/>
          <w:iCs/>
          <w:color w:val="auto"/>
          <w:sz w:val="24"/>
          <w:szCs w:val="24"/>
          <w:highlight w:val="none"/>
        </w:rPr>
        <w:t>L</w:t>
      </w:r>
      <w:r>
        <w:rPr>
          <w:i/>
          <w:iCs/>
          <w:color w:val="auto"/>
          <w:sz w:val="24"/>
          <w:szCs w:val="24"/>
          <w:highlight w:val="none"/>
          <w:vertAlign w:val="subscript"/>
        </w:rPr>
        <w:t>w</w:t>
      </w:r>
      <w:r>
        <w:rPr>
          <w:color w:val="auto"/>
          <w:sz w:val="24"/>
          <w:szCs w:val="24"/>
          <w:highlight w:val="none"/>
        </w:rPr>
        <w:t>——点声源声功率级（A计权或倍频带），dB；</w:t>
      </w:r>
    </w:p>
    <w:p w14:paraId="33D1917E">
      <w:pPr>
        <w:pStyle w:val="26"/>
        <w:bidi w:val="0"/>
        <w:ind w:firstLine="1200" w:firstLineChars="500"/>
        <w:rPr>
          <w:color w:val="auto"/>
          <w:sz w:val="24"/>
          <w:szCs w:val="24"/>
          <w:highlight w:val="none"/>
        </w:rPr>
      </w:pPr>
      <w:r>
        <w:rPr>
          <w:rFonts w:hint="eastAsia"/>
          <w:i/>
          <w:color w:val="auto"/>
          <w:sz w:val="24"/>
          <w:szCs w:val="24"/>
          <w:highlight w:val="none"/>
        </w:rPr>
        <w:t>Q</w:t>
      </w:r>
      <w:r>
        <w:rPr>
          <w:color w:val="auto"/>
          <w:sz w:val="24"/>
          <w:szCs w:val="24"/>
          <w:highlight w:val="none"/>
        </w:rPr>
        <w:t>——</w:t>
      </w:r>
      <w:r>
        <w:rPr>
          <w:rFonts w:hint="eastAsia"/>
          <w:color w:val="auto"/>
          <w:sz w:val="24"/>
          <w:szCs w:val="24"/>
          <w:highlight w:val="none"/>
        </w:rPr>
        <w:t>指向性因数；通常对无指向性声源，当声源放在房间中心时，</w:t>
      </w:r>
      <w:r>
        <w:rPr>
          <w:rFonts w:hint="eastAsia"/>
          <w:i/>
          <w:iCs/>
          <w:color w:val="auto"/>
          <w:sz w:val="24"/>
          <w:szCs w:val="24"/>
          <w:highlight w:val="none"/>
        </w:rPr>
        <w:t>Q</w:t>
      </w:r>
      <w:r>
        <w:rPr>
          <w:rFonts w:hint="eastAsia"/>
          <w:color w:val="auto"/>
          <w:sz w:val="24"/>
          <w:szCs w:val="24"/>
          <w:highlight w:val="none"/>
        </w:rPr>
        <w:t>=1；当放在一面墙的中心时，</w:t>
      </w:r>
      <w:r>
        <w:rPr>
          <w:rFonts w:hint="eastAsia"/>
          <w:i/>
          <w:iCs/>
          <w:color w:val="auto"/>
          <w:sz w:val="24"/>
          <w:szCs w:val="24"/>
          <w:highlight w:val="none"/>
        </w:rPr>
        <w:t>Q</w:t>
      </w:r>
      <w:r>
        <w:rPr>
          <w:rFonts w:hint="eastAsia"/>
          <w:color w:val="auto"/>
          <w:sz w:val="24"/>
          <w:szCs w:val="24"/>
          <w:highlight w:val="none"/>
        </w:rPr>
        <w:t>=2；当放在两面墙夹角处时，</w:t>
      </w:r>
      <w:r>
        <w:rPr>
          <w:rFonts w:hint="eastAsia"/>
          <w:i/>
          <w:iCs/>
          <w:color w:val="auto"/>
          <w:sz w:val="24"/>
          <w:szCs w:val="24"/>
          <w:highlight w:val="none"/>
        </w:rPr>
        <w:t>Q</w:t>
      </w:r>
      <w:r>
        <w:rPr>
          <w:rFonts w:hint="eastAsia"/>
          <w:color w:val="auto"/>
          <w:sz w:val="24"/>
          <w:szCs w:val="24"/>
          <w:highlight w:val="none"/>
        </w:rPr>
        <w:t>=4；当放在三面墙夹角处时，</w:t>
      </w:r>
      <w:r>
        <w:rPr>
          <w:rFonts w:hint="eastAsia"/>
          <w:i/>
          <w:iCs/>
          <w:color w:val="auto"/>
          <w:sz w:val="24"/>
          <w:szCs w:val="24"/>
          <w:highlight w:val="none"/>
        </w:rPr>
        <w:t>Q</w:t>
      </w:r>
      <w:r>
        <w:rPr>
          <w:rFonts w:hint="eastAsia"/>
          <w:color w:val="auto"/>
          <w:sz w:val="24"/>
          <w:szCs w:val="24"/>
          <w:highlight w:val="none"/>
        </w:rPr>
        <w:t>=8；</w:t>
      </w:r>
    </w:p>
    <w:p w14:paraId="11AB6404">
      <w:pPr>
        <w:spacing w:line="360" w:lineRule="auto"/>
        <w:ind w:firstLine="720" w:firstLineChars="300"/>
        <w:rPr>
          <w:color w:val="auto"/>
          <w:sz w:val="24"/>
          <w:szCs w:val="24"/>
          <w:highlight w:val="none"/>
        </w:rPr>
      </w:pPr>
      <w:r>
        <w:rPr>
          <w:i/>
          <w:color w:val="auto"/>
          <w:sz w:val="24"/>
          <w:szCs w:val="24"/>
          <w:highlight w:val="none"/>
        </w:rPr>
        <w:t>R</w:t>
      </w:r>
      <w:r>
        <w:rPr>
          <w:color w:val="auto"/>
          <w:sz w:val="24"/>
          <w:szCs w:val="24"/>
          <w:highlight w:val="none"/>
        </w:rPr>
        <w:t>——房间常数；</w:t>
      </w:r>
      <w:r>
        <w:rPr>
          <w:i/>
          <w:iCs/>
          <w:color w:val="auto"/>
          <w:sz w:val="24"/>
          <w:szCs w:val="24"/>
          <w:highlight w:val="none"/>
        </w:rPr>
        <w:t>R</w:t>
      </w:r>
      <w:r>
        <w:rPr>
          <w:color w:val="auto"/>
          <w:sz w:val="24"/>
          <w:szCs w:val="24"/>
          <w:highlight w:val="none"/>
        </w:rPr>
        <w:t>=</w:t>
      </w:r>
      <w:r>
        <w:rPr>
          <w:i/>
          <w:iCs/>
          <w:color w:val="auto"/>
          <w:sz w:val="24"/>
          <w:szCs w:val="24"/>
          <w:highlight w:val="none"/>
        </w:rPr>
        <w:t>Sα</w:t>
      </w:r>
      <w:r>
        <w:rPr>
          <w:color w:val="auto"/>
          <w:sz w:val="24"/>
          <w:szCs w:val="24"/>
          <w:highlight w:val="none"/>
        </w:rPr>
        <w:t>/（1-</w:t>
      </w:r>
      <w:r>
        <w:rPr>
          <w:i/>
          <w:iCs/>
          <w:color w:val="auto"/>
          <w:sz w:val="24"/>
          <w:szCs w:val="24"/>
          <w:highlight w:val="none"/>
        </w:rPr>
        <w:t>α</w:t>
      </w:r>
      <w:r>
        <w:rPr>
          <w:color w:val="auto"/>
          <w:sz w:val="24"/>
          <w:szCs w:val="24"/>
          <w:highlight w:val="none"/>
        </w:rPr>
        <w:t>），</w:t>
      </w:r>
      <w:r>
        <w:rPr>
          <w:i/>
          <w:iCs/>
          <w:color w:val="auto"/>
          <w:sz w:val="24"/>
          <w:szCs w:val="24"/>
          <w:highlight w:val="none"/>
        </w:rPr>
        <w:t>S</w:t>
      </w:r>
      <w:r>
        <w:rPr>
          <w:color w:val="auto"/>
          <w:sz w:val="24"/>
          <w:szCs w:val="24"/>
          <w:highlight w:val="none"/>
        </w:rPr>
        <w:t>为房间内表面面积，m</w:t>
      </w:r>
      <w:r>
        <w:rPr>
          <w:color w:val="auto"/>
          <w:sz w:val="24"/>
          <w:szCs w:val="24"/>
          <w:highlight w:val="none"/>
          <w:vertAlign w:val="superscript"/>
        </w:rPr>
        <w:t>2</w:t>
      </w:r>
      <w:r>
        <w:rPr>
          <w:color w:val="auto"/>
          <w:sz w:val="24"/>
          <w:szCs w:val="24"/>
          <w:highlight w:val="none"/>
        </w:rPr>
        <w:t>；</w:t>
      </w:r>
      <w:r>
        <w:rPr>
          <w:i/>
          <w:iCs/>
          <w:color w:val="auto"/>
          <w:sz w:val="24"/>
          <w:szCs w:val="24"/>
          <w:highlight w:val="none"/>
        </w:rPr>
        <w:t>α</w:t>
      </w:r>
      <w:r>
        <w:rPr>
          <w:color w:val="auto"/>
          <w:sz w:val="24"/>
          <w:szCs w:val="24"/>
          <w:highlight w:val="none"/>
        </w:rPr>
        <w:t>为平均吸声系数；</w:t>
      </w:r>
    </w:p>
    <w:p w14:paraId="5FEB78DF">
      <w:pPr>
        <w:spacing w:line="360" w:lineRule="auto"/>
        <w:ind w:firstLine="720" w:firstLineChars="300"/>
        <w:rPr>
          <w:color w:val="auto"/>
          <w:sz w:val="24"/>
          <w:szCs w:val="24"/>
          <w:highlight w:val="none"/>
        </w:rPr>
      </w:pPr>
      <w:r>
        <w:rPr>
          <w:rFonts w:hint="eastAsia"/>
          <w:i/>
          <w:color w:val="auto"/>
          <w:sz w:val="24"/>
          <w:szCs w:val="24"/>
          <w:highlight w:val="none"/>
        </w:rPr>
        <w:t>r</w:t>
      </w:r>
      <w:r>
        <w:rPr>
          <w:color w:val="auto"/>
          <w:sz w:val="24"/>
          <w:szCs w:val="24"/>
          <w:highlight w:val="none"/>
        </w:rPr>
        <w:t>——</w:t>
      </w:r>
      <w:r>
        <w:rPr>
          <w:rFonts w:hint="eastAsia"/>
          <w:color w:val="auto"/>
          <w:sz w:val="24"/>
          <w:szCs w:val="24"/>
          <w:highlight w:val="none"/>
        </w:rPr>
        <w:t>声源到靠近围护结构某点处的距离，m。</w:t>
      </w:r>
    </w:p>
    <w:p w14:paraId="7EF0EFCA">
      <w:pPr>
        <w:spacing w:line="360" w:lineRule="auto"/>
        <w:rPr>
          <w:color w:val="auto"/>
          <w:sz w:val="24"/>
          <w:szCs w:val="24"/>
          <w:highlight w:val="none"/>
        </w:rPr>
      </w:pPr>
      <w:r>
        <w:rPr>
          <w:rFonts w:hint="eastAsia"/>
          <w:color w:val="auto"/>
          <w:sz w:val="24"/>
          <w:szCs w:val="24"/>
          <w:highlight w:val="none"/>
        </w:rPr>
        <w:t>然后按下式计算出所有室内声源在围护结构处产生的</w:t>
      </w:r>
      <w:r>
        <w:rPr>
          <w:rFonts w:hint="eastAsia"/>
          <w:i/>
          <w:iCs/>
          <w:color w:val="auto"/>
          <w:sz w:val="24"/>
          <w:szCs w:val="24"/>
          <w:highlight w:val="none"/>
        </w:rPr>
        <w:t xml:space="preserve">i </w:t>
      </w:r>
      <w:r>
        <w:rPr>
          <w:rFonts w:hint="eastAsia"/>
          <w:color w:val="auto"/>
          <w:sz w:val="24"/>
          <w:szCs w:val="24"/>
          <w:highlight w:val="none"/>
        </w:rPr>
        <w:t>倍频带叠加声压级：</w:t>
      </w:r>
    </w:p>
    <w:p w14:paraId="1CE27981">
      <w:pPr>
        <w:spacing w:line="360" w:lineRule="auto"/>
        <w:jc w:val="center"/>
        <w:rPr>
          <w:color w:val="auto"/>
          <w:sz w:val="24"/>
          <w:szCs w:val="24"/>
          <w:highlight w:val="none"/>
        </w:rPr>
      </w:pPr>
      <w:r>
        <w:rPr>
          <w:color w:val="auto"/>
          <w:position w:val="-32"/>
          <w:highlight w:val="none"/>
        </w:rPr>
        <w:object>
          <v:shape id="_x0000_i1044" o:spt="75" type="#_x0000_t75" style="height:36pt;width:136.5pt;" o:ole="t" filled="f" o:preferrelative="t" stroked="f" coordsize="21600,21600">
            <v:path/>
            <v:fill on="f" focussize="0,0"/>
            <v:stroke on="f" joinstyle="miter"/>
            <v:imagedata r:id="rId86" o:title=""/>
            <o:lock v:ext="edit" aspectratio="t"/>
            <w10:wrap type="none"/>
            <w10:anchorlock/>
          </v:shape>
          <o:OLEObject Type="Embed" ProgID="Equation.DSMT4" ShapeID="_x0000_i1044" DrawAspect="Content" ObjectID="_1468075744" r:id="rId85">
            <o:LockedField>false</o:LockedField>
          </o:OLEObject>
        </w:object>
      </w:r>
    </w:p>
    <w:p w14:paraId="4F369A10">
      <w:pPr>
        <w:spacing w:line="360" w:lineRule="auto"/>
        <w:rPr>
          <w:color w:val="auto"/>
          <w:sz w:val="24"/>
          <w:szCs w:val="24"/>
          <w:highlight w:val="none"/>
        </w:rPr>
      </w:pPr>
      <w:r>
        <w:rPr>
          <w:color w:val="auto"/>
          <w:sz w:val="24"/>
          <w:szCs w:val="24"/>
          <w:highlight w:val="none"/>
        </w:rPr>
        <w:t>式中，</w:t>
      </w:r>
      <w:r>
        <w:rPr>
          <w:i/>
          <w:iCs/>
          <w:color w:val="auto"/>
          <w:sz w:val="24"/>
          <w:szCs w:val="24"/>
          <w:highlight w:val="none"/>
        </w:rPr>
        <w:t>L</w:t>
      </w:r>
      <w:r>
        <w:rPr>
          <w:i/>
          <w:iCs/>
          <w:color w:val="auto"/>
          <w:sz w:val="24"/>
          <w:szCs w:val="24"/>
          <w:highlight w:val="none"/>
          <w:vertAlign w:val="subscript"/>
        </w:rPr>
        <w:t>p1i</w:t>
      </w:r>
      <w:r>
        <w:rPr>
          <w:color w:val="auto"/>
          <w:sz w:val="24"/>
          <w:szCs w:val="24"/>
          <w:highlight w:val="none"/>
        </w:rPr>
        <w:t>(</w:t>
      </w:r>
      <w:r>
        <w:rPr>
          <w:i/>
          <w:iCs/>
          <w:color w:val="auto"/>
          <w:sz w:val="24"/>
          <w:szCs w:val="24"/>
          <w:highlight w:val="none"/>
        </w:rPr>
        <w:t>T</w:t>
      </w:r>
      <w:r>
        <w:rPr>
          <w:color w:val="auto"/>
          <w:sz w:val="24"/>
          <w:szCs w:val="24"/>
          <w:highlight w:val="none"/>
        </w:rPr>
        <w:t>)——</w:t>
      </w:r>
      <w:r>
        <w:rPr>
          <w:rFonts w:hint="eastAsia"/>
          <w:color w:val="auto"/>
          <w:sz w:val="24"/>
          <w:szCs w:val="24"/>
          <w:highlight w:val="none"/>
        </w:rPr>
        <w:t>靠近围护结构处室内N个声源</w:t>
      </w:r>
      <w:r>
        <w:rPr>
          <w:rFonts w:hint="eastAsia"/>
          <w:i/>
          <w:iCs/>
          <w:color w:val="auto"/>
          <w:sz w:val="24"/>
          <w:szCs w:val="24"/>
          <w:highlight w:val="none"/>
        </w:rPr>
        <w:t>i</w:t>
      </w:r>
      <w:r>
        <w:rPr>
          <w:rFonts w:hint="eastAsia"/>
          <w:color w:val="auto"/>
          <w:sz w:val="24"/>
          <w:szCs w:val="24"/>
          <w:highlight w:val="none"/>
        </w:rPr>
        <w:t>倍频带的叠加声压级，dB；</w:t>
      </w:r>
    </w:p>
    <w:p w14:paraId="71D870DE">
      <w:pPr>
        <w:spacing w:line="360" w:lineRule="auto"/>
        <w:ind w:firstLine="720" w:firstLineChars="300"/>
        <w:rPr>
          <w:color w:val="auto"/>
          <w:sz w:val="24"/>
          <w:szCs w:val="24"/>
          <w:highlight w:val="none"/>
        </w:rPr>
      </w:pPr>
      <w:r>
        <w:rPr>
          <w:i/>
          <w:iCs/>
          <w:color w:val="auto"/>
          <w:sz w:val="24"/>
          <w:szCs w:val="24"/>
          <w:highlight w:val="none"/>
        </w:rPr>
        <w:t>L</w:t>
      </w:r>
      <w:r>
        <w:rPr>
          <w:i/>
          <w:iCs/>
          <w:color w:val="auto"/>
          <w:sz w:val="24"/>
          <w:szCs w:val="24"/>
          <w:highlight w:val="none"/>
          <w:vertAlign w:val="subscript"/>
        </w:rPr>
        <w:t>p1ij</w:t>
      </w:r>
      <w:r>
        <w:rPr>
          <w:color w:val="auto"/>
          <w:sz w:val="24"/>
          <w:szCs w:val="24"/>
          <w:highlight w:val="none"/>
        </w:rPr>
        <w:t>——</w:t>
      </w:r>
      <w:r>
        <w:rPr>
          <w:rFonts w:hint="eastAsia"/>
          <w:color w:val="auto"/>
          <w:sz w:val="24"/>
          <w:szCs w:val="24"/>
          <w:highlight w:val="none"/>
        </w:rPr>
        <w:t>室内</w:t>
      </w:r>
      <w:r>
        <w:rPr>
          <w:rFonts w:hint="eastAsia"/>
          <w:i/>
          <w:iCs/>
          <w:color w:val="auto"/>
          <w:sz w:val="24"/>
          <w:szCs w:val="24"/>
          <w:highlight w:val="none"/>
        </w:rPr>
        <w:t>j</w:t>
      </w:r>
      <w:r>
        <w:rPr>
          <w:rFonts w:hint="eastAsia"/>
          <w:color w:val="auto"/>
          <w:sz w:val="24"/>
          <w:szCs w:val="24"/>
          <w:highlight w:val="none"/>
        </w:rPr>
        <w:t>声源</w:t>
      </w:r>
      <w:r>
        <w:rPr>
          <w:rFonts w:hint="eastAsia"/>
          <w:i/>
          <w:iCs/>
          <w:color w:val="auto"/>
          <w:sz w:val="24"/>
          <w:szCs w:val="24"/>
          <w:highlight w:val="none"/>
        </w:rPr>
        <w:t>i</w:t>
      </w:r>
      <w:r>
        <w:rPr>
          <w:rFonts w:hint="eastAsia"/>
          <w:color w:val="auto"/>
          <w:sz w:val="24"/>
          <w:szCs w:val="24"/>
          <w:highlight w:val="none"/>
        </w:rPr>
        <w:t>倍频带的声压级，dB；</w:t>
      </w:r>
    </w:p>
    <w:p w14:paraId="051DE81E">
      <w:pPr>
        <w:spacing w:line="360" w:lineRule="auto"/>
        <w:ind w:firstLine="720" w:firstLineChars="300"/>
        <w:rPr>
          <w:color w:val="auto"/>
          <w:sz w:val="24"/>
          <w:szCs w:val="24"/>
          <w:highlight w:val="none"/>
        </w:rPr>
      </w:pPr>
      <w:r>
        <w:rPr>
          <w:rFonts w:hint="eastAsia"/>
          <w:i/>
          <w:iCs/>
          <w:color w:val="auto"/>
          <w:sz w:val="24"/>
          <w:szCs w:val="24"/>
          <w:highlight w:val="none"/>
        </w:rPr>
        <w:t>N</w:t>
      </w:r>
      <w:r>
        <w:rPr>
          <w:color w:val="auto"/>
          <w:sz w:val="24"/>
          <w:szCs w:val="24"/>
          <w:highlight w:val="none"/>
        </w:rPr>
        <w:t>——</w:t>
      </w:r>
      <w:r>
        <w:rPr>
          <w:rFonts w:hint="eastAsia"/>
          <w:color w:val="auto"/>
          <w:sz w:val="24"/>
          <w:szCs w:val="24"/>
          <w:highlight w:val="none"/>
        </w:rPr>
        <w:t>室内声源总数。</w:t>
      </w:r>
    </w:p>
    <w:p w14:paraId="4078828E">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4、靠近声源处的预测点噪声预测模型</w:t>
      </w:r>
    </w:p>
    <w:p w14:paraId="484FD0F8">
      <w:pPr>
        <w:pStyle w:val="26"/>
        <w:bidi w:val="0"/>
        <w:rPr>
          <w:color w:val="auto"/>
          <w:highlight w:val="none"/>
        </w:rPr>
      </w:pPr>
      <w:r>
        <w:rPr>
          <w:rFonts w:hint="eastAsia"/>
          <w:color w:val="auto"/>
          <w:highlight w:val="none"/>
        </w:rPr>
        <w:t>如预测点在靠近声源处，但不能满足点声源条件时，需按线声源或面声源模型计算。</w:t>
      </w:r>
    </w:p>
    <w:p w14:paraId="43856EA5">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5、工业企业噪声计算</w:t>
      </w:r>
    </w:p>
    <w:p w14:paraId="193E1B73">
      <w:pPr>
        <w:pStyle w:val="26"/>
        <w:bidi w:val="0"/>
        <w:rPr>
          <w:color w:val="auto"/>
          <w:sz w:val="24"/>
          <w:szCs w:val="24"/>
          <w:highlight w:val="none"/>
        </w:rPr>
      </w:pPr>
      <w:r>
        <w:rPr>
          <w:rFonts w:hint="eastAsia"/>
          <w:color w:val="auto"/>
          <w:sz w:val="24"/>
          <w:szCs w:val="24"/>
          <w:highlight w:val="none"/>
        </w:rPr>
        <w:t>设</w:t>
      </w:r>
      <w:r>
        <w:rPr>
          <w:color w:val="auto"/>
          <w:sz w:val="24"/>
          <w:szCs w:val="24"/>
          <w:highlight w:val="none"/>
        </w:rPr>
        <w:t>第</w:t>
      </w:r>
      <w:r>
        <w:rPr>
          <w:i/>
          <w:color w:val="auto"/>
          <w:sz w:val="24"/>
          <w:szCs w:val="24"/>
          <w:highlight w:val="none"/>
        </w:rPr>
        <w:t>i</w:t>
      </w:r>
      <w:r>
        <w:rPr>
          <w:color w:val="auto"/>
          <w:sz w:val="24"/>
          <w:szCs w:val="24"/>
          <w:highlight w:val="none"/>
        </w:rPr>
        <w:t>个室外</w:t>
      </w:r>
      <w:r>
        <w:rPr>
          <w:rFonts w:hint="eastAsia"/>
          <w:color w:val="auto"/>
          <w:sz w:val="24"/>
          <w:szCs w:val="24"/>
          <w:highlight w:val="none"/>
        </w:rPr>
        <w:t>声源</w:t>
      </w:r>
      <w:r>
        <w:rPr>
          <w:color w:val="auto"/>
          <w:sz w:val="24"/>
          <w:szCs w:val="24"/>
          <w:highlight w:val="none"/>
        </w:rPr>
        <w:t>在预测点产生的A声级为</w:t>
      </w:r>
      <w:r>
        <w:rPr>
          <w:i/>
          <w:color w:val="auto"/>
          <w:sz w:val="24"/>
          <w:szCs w:val="24"/>
          <w:highlight w:val="none"/>
        </w:rPr>
        <w:t>L</w:t>
      </w:r>
      <w:r>
        <w:rPr>
          <w:color w:val="auto"/>
          <w:sz w:val="24"/>
          <w:szCs w:val="24"/>
          <w:highlight w:val="none"/>
          <w:vertAlign w:val="subscript"/>
        </w:rPr>
        <w:t>A</w:t>
      </w:r>
      <w:r>
        <w:rPr>
          <w:i/>
          <w:color w:val="auto"/>
          <w:sz w:val="24"/>
          <w:szCs w:val="24"/>
          <w:highlight w:val="none"/>
          <w:vertAlign w:val="subscript"/>
        </w:rPr>
        <w:t>i</w:t>
      </w:r>
      <w:r>
        <w:rPr>
          <w:color w:val="auto"/>
          <w:sz w:val="24"/>
          <w:szCs w:val="24"/>
          <w:highlight w:val="none"/>
        </w:rPr>
        <w:t>，在</w:t>
      </w:r>
      <w:r>
        <w:rPr>
          <w:i/>
          <w:color w:val="auto"/>
          <w:sz w:val="24"/>
          <w:szCs w:val="24"/>
          <w:highlight w:val="none"/>
        </w:rPr>
        <w:t>T</w:t>
      </w:r>
      <w:r>
        <w:rPr>
          <w:color w:val="auto"/>
          <w:sz w:val="24"/>
          <w:szCs w:val="24"/>
          <w:highlight w:val="none"/>
        </w:rPr>
        <w:t>时间内该声源工作时间为</w:t>
      </w:r>
      <w:r>
        <w:rPr>
          <w:rFonts w:hint="eastAsia"/>
          <w:i/>
          <w:color w:val="auto"/>
          <w:sz w:val="24"/>
          <w:szCs w:val="24"/>
          <w:highlight w:val="none"/>
        </w:rPr>
        <w:t>t</w:t>
      </w:r>
      <w:r>
        <w:rPr>
          <w:rFonts w:hint="eastAsia"/>
          <w:i/>
          <w:color w:val="auto"/>
          <w:sz w:val="24"/>
          <w:szCs w:val="24"/>
          <w:highlight w:val="none"/>
          <w:vertAlign w:val="subscript"/>
        </w:rPr>
        <w:t>i</w:t>
      </w:r>
      <w:r>
        <w:rPr>
          <w:rFonts w:hint="eastAsia"/>
          <w:color w:val="auto"/>
          <w:sz w:val="24"/>
          <w:szCs w:val="24"/>
          <w:highlight w:val="none"/>
        </w:rPr>
        <w:t>，第</w:t>
      </w:r>
      <w:r>
        <w:rPr>
          <w:rFonts w:hint="eastAsia"/>
          <w:i/>
          <w:iCs/>
          <w:color w:val="auto"/>
          <w:sz w:val="24"/>
          <w:szCs w:val="24"/>
          <w:highlight w:val="none"/>
        </w:rPr>
        <w:t>j</w:t>
      </w:r>
      <w:r>
        <w:rPr>
          <w:rFonts w:hint="eastAsia"/>
          <w:color w:val="auto"/>
          <w:sz w:val="24"/>
          <w:szCs w:val="24"/>
          <w:highlight w:val="none"/>
        </w:rPr>
        <w:t>个等效室外声源在预测点产生的A声级为</w:t>
      </w:r>
      <w:r>
        <w:rPr>
          <w:rFonts w:hint="eastAsia"/>
          <w:i/>
          <w:iCs/>
          <w:color w:val="auto"/>
          <w:sz w:val="24"/>
          <w:szCs w:val="24"/>
          <w:highlight w:val="none"/>
        </w:rPr>
        <w:t>L</w:t>
      </w:r>
      <w:r>
        <w:rPr>
          <w:rFonts w:hint="eastAsia"/>
          <w:color w:val="auto"/>
          <w:sz w:val="24"/>
          <w:szCs w:val="24"/>
          <w:highlight w:val="none"/>
          <w:vertAlign w:val="subscript"/>
        </w:rPr>
        <w:t>A</w:t>
      </w:r>
      <w:r>
        <w:rPr>
          <w:rFonts w:hint="eastAsia"/>
          <w:i/>
          <w:iCs/>
          <w:color w:val="auto"/>
          <w:sz w:val="24"/>
          <w:szCs w:val="24"/>
          <w:highlight w:val="none"/>
          <w:vertAlign w:val="subscript"/>
        </w:rPr>
        <w:t>j</w:t>
      </w:r>
      <w:r>
        <w:rPr>
          <w:rFonts w:hint="eastAsia"/>
          <w:color w:val="auto"/>
          <w:sz w:val="24"/>
          <w:szCs w:val="24"/>
          <w:highlight w:val="none"/>
        </w:rPr>
        <w:t xml:space="preserve"> ，在</w:t>
      </w:r>
      <w:r>
        <w:rPr>
          <w:rFonts w:hint="eastAsia"/>
          <w:i/>
          <w:iCs/>
          <w:color w:val="auto"/>
          <w:sz w:val="24"/>
          <w:szCs w:val="24"/>
          <w:highlight w:val="none"/>
        </w:rPr>
        <w:t>T</w:t>
      </w:r>
      <w:r>
        <w:rPr>
          <w:rFonts w:hint="eastAsia"/>
          <w:color w:val="auto"/>
          <w:sz w:val="24"/>
          <w:szCs w:val="24"/>
          <w:highlight w:val="none"/>
        </w:rPr>
        <w:t>时间内该声源工作时间为</w:t>
      </w:r>
      <w:r>
        <w:rPr>
          <w:rFonts w:hint="eastAsia"/>
          <w:i/>
          <w:color w:val="auto"/>
          <w:sz w:val="24"/>
          <w:szCs w:val="24"/>
          <w:highlight w:val="none"/>
        </w:rPr>
        <w:t>t</w:t>
      </w:r>
      <w:r>
        <w:rPr>
          <w:rFonts w:hint="eastAsia"/>
          <w:i/>
          <w:color w:val="auto"/>
          <w:sz w:val="24"/>
          <w:szCs w:val="24"/>
          <w:highlight w:val="none"/>
          <w:vertAlign w:val="subscript"/>
        </w:rPr>
        <w:t>j</w:t>
      </w:r>
      <w:r>
        <w:rPr>
          <w:rFonts w:hint="eastAsia"/>
          <w:color w:val="auto"/>
          <w:sz w:val="24"/>
          <w:szCs w:val="24"/>
          <w:highlight w:val="none"/>
        </w:rPr>
        <w:t>，则拟建工程声源对预测点产生的贡献值（</w:t>
      </w:r>
      <w:r>
        <w:rPr>
          <w:rFonts w:hint="eastAsia"/>
          <w:i/>
          <w:iCs/>
          <w:color w:val="auto"/>
          <w:sz w:val="24"/>
          <w:szCs w:val="24"/>
          <w:highlight w:val="none"/>
        </w:rPr>
        <w:t>L</w:t>
      </w:r>
      <w:r>
        <w:rPr>
          <w:rFonts w:hint="eastAsia"/>
          <w:color w:val="auto"/>
          <w:sz w:val="24"/>
          <w:szCs w:val="24"/>
          <w:highlight w:val="none"/>
          <w:vertAlign w:val="subscript"/>
        </w:rPr>
        <w:t>eqg</w:t>
      </w:r>
      <w:r>
        <w:rPr>
          <w:rFonts w:hint="eastAsia"/>
          <w:color w:val="auto"/>
          <w:sz w:val="24"/>
          <w:szCs w:val="24"/>
          <w:highlight w:val="none"/>
        </w:rPr>
        <w:t>）为</w:t>
      </w:r>
      <w:r>
        <w:rPr>
          <w:color w:val="auto"/>
          <w:sz w:val="24"/>
          <w:szCs w:val="24"/>
          <w:highlight w:val="none"/>
        </w:rPr>
        <w:t>：</w:t>
      </w:r>
    </w:p>
    <w:p w14:paraId="6FDE3F68">
      <w:pPr>
        <w:spacing w:line="360" w:lineRule="auto"/>
        <w:jc w:val="center"/>
        <w:rPr>
          <w:color w:val="auto"/>
          <w:sz w:val="24"/>
          <w:szCs w:val="24"/>
          <w:highlight w:val="none"/>
        </w:rPr>
      </w:pPr>
      <w:r>
        <w:rPr>
          <w:color w:val="auto"/>
          <w:position w:val="-34"/>
          <w:sz w:val="24"/>
          <w:szCs w:val="24"/>
          <w:highlight w:val="none"/>
        </w:rPr>
        <w:object>
          <v:shape id="_x0000_i1045" o:spt="75" type="#_x0000_t75" style="height:43.5pt;width:208.5pt;" o:ole="t" filled="f" o:preferrelative="t" stroked="f" coordsize="21600,21600">
            <v:path/>
            <v:fill on="f" focussize="0,0"/>
            <v:stroke on="f" joinstyle="miter"/>
            <v:imagedata r:id="rId88" o:title=""/>
            <o:lock v:ext="edit" aspectratio="t"/>
            <w10:wrap type="none"/>
            <w10:anchorlock/>
          </v:shape>
          <o:OLEObject Type="Embed" ProgID="Equation.DSMT4" ShapeID="_x0000_i1045" DrawAspect="Content" ObjectID="_1468075745" r:id="rId87">
            <o:LockedField>false</o:LockedField>
          </o:OLEObject>
        </w:object>
      </w:r>
    </w:p>
    <w:p w14:paraId="551A4415">
      <w:pPr>
        <w:spacing w:line="360" w:lineRule="auto"/>
        <w:rPr>
          <w:color w:val="auto"/>
          <w:sz w:val="24"/>
          <w:szCs w:val="24"/>
          <w:highlight w:val="none"/>
        </w:rPr>
      </w:pPr>
      <w:r>
        <w:rPr>
          <w:rFonts w:hint="eastAsia"/>
          <w:color w:val="auto"/>
          <w:sz w:val="24"/>
          <w:szCs w:val="24"/>
          <w:highlight w:val="none"/>
        </w:rPr>
        <w:t>式中</w:t>
      </w:r>
      <w:r>
        <w:rPr>
          <w:color w:val="auto"/>
          <w:sz w:val="24"/>
          <w:szCs w:val="24"/>
          <w:highlight w:val="none"/>
        </w:rPr>
        <w:t>，</w:t>
      </w:r>
      <w:r>
        <w:rPr>
          <w:rFonts w:hint="eastAsia"/>
          <w:i/>
          <w:iCs/>
          <w:color w:val="auto"/>
          <w:sz w:val="24"/>
          <w:szCs w:val="24"/>
          <w:highlight w:val="none"/>
        </w:rPr>
        <w:t>L</w:t>
      </w:r>
      <w:r>
        <w:rPr>
          <w:rFonts w:hint="eastAsia"/>
          <w:color w:val="auto"/>
          <w:sz w:val="24"/>
          <w:szCs w:val="24"/>
          <w:highlight w:val="none"/>
          <w:vertAlign w:val="subscript"/>
        </w:rPr>
        <w:t>eqg</w:t>
      </w:r>
      <w:r>
        <w:rPr>
          <w:color w:val="auto"/>
          <w:sz w:val="24"/>
          <w:szCs w:val="24"/>
          <w:highlight w:val="none"/>
        </w:rPr>
        <w:t>——</w:t>
      </w:r>
      <w:r>
        <w:rPr>
          <w:rFonts w:hint="eastAsia"/>
          <w:color w:val="auto"/>
          <w:sz w:val="24"/>
          <w:szCs w:val="24"/>
          <w:highlight w:val="none"/>
        </w:rPr>
        <w:t>建设项目声源在预测点产生的噪声贡献值，dB；</w:t>
      </w:r>
    </w:p>
    <w:p w14:paraId="5BEC1BA2">
      <w:pPr>
        <w:spacing w:line="360" w:lineRule="auto"/>
        <w:ind w:firstLine="720" w:firstLineChars="300"/>
        <w:rPr>
          <w:color w:val="auto"/>
          <w:sz w:val="24"/>
          <w:szCs w:val="24"/>
          <w:highlight w:val="none"/>
        </w:rPr>
      </w:pPr>
      <w:r>
        <w:rPr>
          <w:i/>
          <w:color w:val="auto"/>
          <w:sz w:val="24"/>
          <w:szCs w:val="24"/>
          <w:highlight w:val="none"/>
        </w:rPr>
        <w:t>T</w:t>
      </w:r>
      <w:r>
        <w:rPr>
          <w:color w:val="auto"/>
          <w:sz w:val="24"/>
          <w:szCs w:val="24"/>
          <w:highlight w:val="none"/>
        </w:rPr>
        <w:t>——</w:t>
      </w:r>
      <w:r>
        <w:rPr>
          <w:rFonts w:hint="eastAsia"/>
          <w:color w:val="auto"/>
          <w:sz w:val="24"/>
          <w:szCs w:val="24"/>
          <w:highlight w:val="none"/>
        </w:rPr>
        <w:t>用于</w:t>
      </w:r>
      <w:r>
        <w:rPr>
          <w:color w:val="auto"/>
          <w:sz w:val="24"/>
          <w:szCs w:val="24"/>
          <w:highlight w:val="none"/>
        </w:rPr>
        <w:t>计算等效声级的时间</w:t>
      </w:r>
      <w:r>
        <w:rPr>
          <w:rFonts w:hint="eastAsia"/>
          <w:color w:val="auto"/>
          <w:sz w:val="24"/>
          <w:szCs w:val="24"/>
          <w:highlight w:val="none"/>
        </w:rPr>
        <w:t>，</w:t>
      </w:r>
      <w:r>
        <w:rPr>
          <w:color w:val="auto"/>
          <w:sz w:val="24"/>
          <w:szCs w:val="24"/>
          <w:highlight w:val="none"/>
        </w:rPr>
        <w:t>s</w:t>
      </w:r>
      <w:r>
        <w:rPr>
          <w:rFonts w:hint="eastAsia"/>
          <w:color w:val="auto"/>
          <w:sz w:val="24"/>
          <w:szCs w:val="24"/>
          <w:highlight w:val="none"/>
        </w:rPr>
        <w:t>；</w:t>
      </w:r>
    </w:p>
    <w:p w14:paraId="3156D56E">
      <w:pPr>
        <w:spacing w:line="360" w:lineRule="auto"/>
        <w:ind w:firstLine="720" w:firstLineChars="300"/>
        <w:rPr>
          <w:color w:val="auto"/>
          <w:sz w:val="24"/>
          <w:szCs w:val="24"/>
          <w:highlight w:val="none"/>
        </w:rPr>
      </w:pPr>
      <w:r>
        <w:rPr>
          <w:i/>
          <w:color w:val="auto"/>
          <w:sz w:val="24"/>
          <w:szCs w:val="24"/>
          <w:highlight w:val="none"/>
        </w:rPr>
        <w:t>N</w:t>
      </w:r>
      <w:r>
        <w:rPr>
          <w:color w:val="auto"/>
          <w:sz w:val="24"/>
          <w:szCs w:val="24"/>
          <w:highlight w:val="none"/>
        </w:rPr>
        <w:t>——</w:t>
      </w:r>
      <w:r>
        <w:rPr>
          <w:rFonts w:hint="eastAsia"/>
          <w:color w:val="auto"/>
          <w:sz w:val="24"/>
          <w:szCs w:val="24"/>
          <w:highlight w:val="none"/>
        </w:rPr>
        <w:t>室外</w:t>
      </w:r>
      <w:r>
        <w:rPr>
          <w:color w:val="auto"/>
          <w:sz w:val="24"/>
          <w:szCs w:val="24"/>
          <w:highlight w:val="none"/>
        </w:rPr>
        <w:t>声源个数</w:t>
      </w:r>
      <w:r>
        <w:rPr>
          <w:rFonts w:hint="eastAsia"/>
          <w:color w:val="auto"/>
          <w:sz w:val="24"/>
          <w:szCs w:val="24"/>
          <w:highlight w:val="none"/>
        </w:rPr>
        <w:t>；</w:t>
      </w:r>
    </w:p>
    <w:p w14:paraId="4F954C6F">
      <w:pPr>
        <w:spacing w:line="360" w:lineRule="auto"/>
        <w:ind w:firstLine="720" w:firstLineChars="300"/>
        <w:rPr>
          <w:color w:val="auto"/>
          <w:sz w:val="24"/>
          <w:szCs w:val="24"/>
          <w:highlight w:val="none"/>
        </w:rPr>
      </w:pPr>
      <w:r>
        <w:rPr>
          <w:i/>
          <w:iCs/>
          <w:color w:val="auto"/>
          <w:sz w:val="24"/>
          <w:szCs w:val="24"/>
          <w:highlight w:val="none"/>
        </w:rPr>
        <w:t>t</w:t>
      </w:r>
      <w:r>
        <w:rPr>
          <w:rFonts w:hint="eastAsia"/>
          <w:i/>
          <w:iCs/>
          <w:color w:val="auto"/>
          <w:sz w:val="24"/>
          <w:szCs w:val="24"/>
          <w:highlight w:val="none"/>
          <w:vertAlign w:val="subscript"/>
        </w:rPr>
        <w:t>i</w:t>
      </w:r>
      <w:r>
        <w:rPr>
          <w:color w:val="auto"/>
          <w:sz w:val="24"/>
          <w:szCs w:val="24"/>
          <w:highlight w:val="none"/>
        </w:rPr>
        <w:t>——在</w:t>
      </w:r>
      <w:r>
        <w:rPr>
          <w:i/>
          <w:iCs/>
          <w:color w:val="auto"/>
          <w:sz w:val="24"/>
          <w:szCs w:val="24"/>
          <w:highlight w:val="none"/>
        </w:rPr>
        <w:t>T</w:t>
      </w:r>
      <w:r>
        <w:rPr>
          <w:color w:val="auto"/>
          <w:sz w:val="24"/>
          <w:szCs w:val="24"/>
          <w:highlight w:val="none"/>
        </w:rPr>
        <w:t>时间内</w:t>
      </w:r>
      <w:r>
        <w:rPr>
          <w:i/>
          <w:iCs/>
          <w:color w:val="auto"/>
          <w:sz w:val="24"/>
          <w:szCs w:val="24"/>
          <w:highlight w:val="none"/>
        </w:rPr>
        <w:t>i</w:t>
      </w:r>
      <w:r>
        <w:rPr>
          <w:color w:val="auto"/>
          <w:sz w:val="24"/>
          <w:szCs w:val="24"/>
          <w:highlight w:val="none"/>
        </w:rPr>
        <w:t>声源工作时间，s；</w:t>
      </w:r>
    </w:p>
    <w:p w14:paraId="4CC5CDC2">
      <w:pPr>
        <w:spacing w:line="360" w:lineRule="auto"/>
        <w:ind w:firstLine="720" w:firstLineChars="300"/>
        <w:rPr>
          <w:color w:val="auto"/>
          <w:sz w:val="24"/>
          <w:szCs w:val="24"/>
          <w:highlight w:val="none"/>
        </w:rPr>
      </w:pPr>
      <w:r>
        <w:rPr>
          <w:i/>
          <w:iCs/>
          <w:color w:val="auto"/>
          <w:sz w:val="24"/>
          <w:szCs w:val="24"/>
          <w:highlight w:val="none"/>
        </w:rPr>
        <w:t>M</w:t>
      </w:r>
      <w:r>
        <w:rPr>
          <w:color w:val="auto"/>
          <w:sz w:val="24"/>
          <w:szCs w:val="24"/>
          <w:highlight w:val="none"/>
        </w:rPr>
        <w:t>——等效室外声源个数；</w:t>
      </w:r>
    </w:p>
    <w:p w14:paraId="2D8BA3CF">
      <w:pPr>
        <w:spacing w:line="360" w:lineRule="auto"/>
        <w:ind w:firstLine="720" w:firstLineChars="300"/>
        <w:rPr>
          <w:color w:val="auto"/>
          <w:sz w:val="24"/>
          <w:szCs w:val="24"/>
          <w:highlight w:val="none"/>
        </w:rPr>
      </w:pPr>
      <w:r>
        <w:rPr>
          <w:rFonts w:hint="eastAsia"/>
          <w:i/>
          <w:iCs/>
          <w:color w:val="auto"/>
          <w:sz w:val="24"/>
          <w:szCs w:val="24"/>
          <w:highlight w:val="none"/>
        </w:rPr>
        <w:t>t</w:t>
      </w:r>
      <w:r>
        <w:rPr>
          <w:rFonts w:hint="eastAsia"/>
          <w:i/>
          <w:iCs/>
          <w:color w:val="auto"/>
          <w:sz w:val="24"/>
          <w:szCs w:val="24"/>
          <w:highlight w:val="none"/>
          <w:vertAlign w:val="subscript"/>
        </w:rPr>
        <w:t>j</w:t>
      </w:r>
      <w:r>
        <w:rPr>
          <w:color w:val="auto"/>
          <w:sz w:val="24"/>
          <w:szCs w:val="24"/>
          <w:highlight w:val="none"/>
        </w:rPr>
        <w:t>——在</w:t>
      </w:r>
      <w:r>
        <w:rPr>
          <w:i/>
          <w:iCs/>
          <w:color w:val="auto"/>
          <w:sz w:val="24"/>
          <w:szCs w:val="24"/>
          <w:highlight w:val="none"/>
        </w:rPr>
        <w:t>T</w:t>
      </w:r>
      <w:r>
        <w:rPr>
          <w:color w:val="auto"/>
          <w:sz w:val="24"/>
          <w:szCs w:val="24"/>
          <w:highlight w:val="none"/>
        </w:rPr>
        <w:t>时间内</w:t>
      </w:r>
      <w:r>
        <w:rPr>
          <w:i/>
          <w:iCs/>
          <w:color w:val="auto"/>
          <w:sz w:val="24"/>
          <w:szCs w:val="24"/>
          <w:highlight w:val="none"/>
        </w:rPr>
        <w:t>j</w:t>
      </w:r>
      <w:r>
        <w:rPr>
          <w:color w:val="auto"/>
          <w:sz w:val="24"/>
          <w:szCs w:val="24"/>
          <w:highlight w:val="none"/>
        </w:rPr>
        <w:t>声源工作时间，s。</w:t>
      </w:r>
    </w:p>
    <w:p w14:paraId="24DAC08F">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6、预测值计算</w:t>
      </w:r>
    </w:p>
    <w:p w14:paraId="392B41C1">
      <w:pPr>
        <w:spacing w:line="360" w:lineRule="auto"/>
        <w:jc w:val="center"/>
        <w:rPr>
          <w:color w:val="auto"/>
          <w:sz w:val="24"/>
          <w:szCs w:val="24"/>
          <w:highlight w:val="none"/>
        </w:rPr>
      </w:pPr>
      <w:r>
        <w:rPr>
          <w:color w:val="auto"/>
          <w:position w:val="-14"/>
          <w:highlight w:val="none"/>
        </w:rPr>
        <w:object>
          <v:shape id="_x0000_i1046" o:spt="75" type="#_x0000_t75" style="height:21.75pt;width:136.5pt;" o:ole="t" filled="f" o:preferrelative="t" stroked="f" coordsize="21600,21600">
            <v:path/>
            <v:fill on="f" focussize="0,0"/>
            <v:stroke on="f" joinstyle="miter"/>
            <v:imagedata r:id="rId90" o:title=""/>
            <o:lock v:ext="edit" aspectratio="t"/>
            <w10:wrap type="none"/>
            <w10:anchorlock/>
          </v:shape>
          <o:OLEObject Type="Embed" ProgID="Equation.DSMT4" ShapeID="_x0000_i1046" DrawAspect="Content" ObjectID="_1468075746" r:id="rId89">
            <o:LockedField>false</o:LockedField>
          </o:OLEObject>
        </w:object>
      </w:r>
    </w:p>
    <w:p w14:paraId="01812D82">
      <w:pPr>
        <w:spacing w:line="360" w:lineRule="auto"/>
        <w:rPr>
          <w:color w:val="auto"/>
          <w:sz w:val="24"/>
          <w:szCs w:val="24"/>
          <w:highlight w:val="none"/>
        </w:rPr>
      </w:pPr>
      <w:r>
        <w:rPr>
          <w:rFonts w:hint="eastAsia"/>
          <w:color w:val="auto"/>
          <w:sz w:val="24"/>
          <w:szCs w:val="24"/>
          <w:highlight w:val="none"/>
        </w:rPr>
        <w:t>式中</w:t>
      </w:r>
      <w:r>
        <w:rPr>
          <w:color w:val="auto"/>
          <w:sz w:val="24"/>
          <w:szCs w:val="24"/>
          <w:highlight w:val="none"/>
        </w:rPr>
        <w:t>，</w:t>
      </w:r>
      <w:r>
        <w:rPr>
          <w:i/>
          <w:color w:val="auto"/>
          <w:sz w:val="24"/>
          <w:szCs w:val="24"/>
          <w:highlight w:val="none"/>
        </w:rPr>
        <w:t>L</w:t>
      </w:r>
      <w:r>
        <w:rPr>
          <w:color w:val="auto"/>
          <w:sz w:val="24"/>
          <w:szCs w:val="24"/>
          <w:highlight w:val="none"/>
          <w:vertAlign w:val="subscript"/>
        </w:rPr>
        <w:t>eq</w:t>
      </w:r>
      <w:r>
        <w:rPr>
          <w:color w:val="auto"/>
          <w:sz w:val="24"/>
          <w:szCs w:val="24"/>
          <w:highlight w:val="none"/>
        </w:rPr>
        <w:t>——</w:t>
      </w:r>
      <w:r>
        <w:rPr>
          <w:rFonts w:hint="eastAsia"/>
          <w:color w:val="auto"/>
          <w:sz w:val="24"/>
          <w:szCs w:val="24"/>
          <w:highlight w:val="none"/>
        </w:rPr>
        <w:t>预测点的噪声预测值，dB；</w:t>
      </w:r>
    </w:p>
    <w:p w14:paraId="1FE1C9EA">
      <w:pPr>
        <w:tabs>
          <w:tab w:val="left" w:pos="318"/>
        </w:tabs>
        <w:spacing w:line="360" w:lineRule="auto"/>
        <w:ind w:firstLine="480" w:firstLineChars="200"/>
        <w:rPr>
          <w:rFonts w:hint="eastAsia" w:ascii="Times New Roman" w:hAnsi="Times New Roman"/>
          <w:color w:val="auto"/>
          <w:sz w:val="24"/>
          <w:szCs w:val="24"/>
          <w:highlight w:val="none"/>
        </w:rPr>
      </w:pPr>
      <w:r>
        <w:rPr>
          <w:rFonts w:hint="eastAsia"/>
          <w:i/>
          <w:color w:val="auto"/>
          <w:sz w:val="24"/>
          <w:szCs w:val="24"/>
          <w:highlight w:val="none"/>
          <w:lang w:eastAsia="zh-CN"/>
        </w:rPr>
        <w:tab/>
      </w:r>
      <w:r>
        <w:rPr>
          <w:i/>
          <w:color w:val="auto"/>
          <w:sz w:val="24"/>
          <w:szCs w:val="24"/>
          <w:highlight w:val="none"/>
        </w:rPr>
        <w:t>L</w:t>
      </w:r>
      <w:r>
        <w:rPr>
          <w:color w:val="auto"/>
          <w:sz w:val="24"/>
          <w:szCs w:val="24"/>
          <w:highlight w:val="none"/>
          <w:vertAlign w:val="subscript"/>
        </w:rPr>
        <w:t>eqb</w:t>
      </w:r>
      <w:r>
        <w:rPr>
          <w:color w:val="auto"/>
          <w:sz w:val="24"/>
          <w:szCs w:val="24"/>
          <w:highlight w:val="none"/>
        </w:rPr>
        <w:t>——</w:t>
      </w:r>
      <w:r>
        <w:rPr>
          <w:rFonts w:hint="eastAsia"/>
          <w:color w:val="auto"/>
          <w:sz w:val="24"/>
          <w:szCs w:val="24"/>
          <w:highlight w:val="none"/>
        </w:rPr>
        <w:t>预测点</w:t>
      </w:r>
      <w:r>
        <w:rPr>
          <w:color w:val="auto"/>
          <w:sz w:val="24"/>
          <w:szCs w:val="24"/>
          <w:highlight w:val="none"/>
        </w:rPr>
        <w:t>的背景值</w:t>
      </w:r>
      <w:r>
        <w:rPr>
          <w:rFonts w:hint="eastAsia"/>
          <w:color w:val="auto"/>
          <w:sz w:val="24"/>
          <w:szCs w:val="24"/>
          <w:highlight w:val="none"/>
        </w:rPr>
        <w:t>，</w:t>
      </w:r>
      <w:r>
        <w:rPr>
          <w:color w:val="auto"/>
          <w:sz w:val="24"/>
          <w:szCs w:val="24"/>
          <w:highlight w:val="none"/>
        </w:rPr>
        <w:t>dB</w:t>
      </w:r>
      <w:r>
        <w:rPr>
          <w:rFonts w:hint="eastAsia"/>
          <w:color w:val="auto"/>
          <w:sz w:val="24"/>
          <w:szCs w:val="24"/>
          <w:highlight w:val="none"/>
        </w:rPr>
        <w:t>。</w:t>
      </w:r>
    </w:p>
    <w:p w14:paraId="2D7406C1">
      <w:pPr>
        <w:pStyle w:val="5"/>
        <w:bidi w:val="0"/>
        <w:ind w:left="864" w:leftChars="0" w:hanging="864" w:firstLineChars="0"/>
        <w:rPr>
          <w:rFonts w:hint="default"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预测结果</w:t>
      </w:r>
    </w:p>
    <w:p w14:paraId="66838337">
      <w:pPr>
        <w:pStyle w:val="26"/>
        <w:bidi w:val="0"/>
        <w:rPr>
          <w:rFonts w:hint="eastAsia"/>
          <w:color w:val="auto"/>
          <w:highlight w:val="none"/>
        </w:rPr>
      </w:pPr>
      <w:r>
        <w:rPr>
          <w:rFonts w:hint="eastAsia"/>
          <w:color w:val="auto"/>
          <w:highlight w:val="none"/>
          <w:lang w:val="en-US" w:eastAsia="zh-CN"/>
        </w:rPr>
        <w:t>本项目夜间不生产，</w:t>
      </w:r>
      <w:r>
        <w:rPr>
          <w:rFonts w:hint="eastAsia"/>
          <w:color w:val="auto"/>
          <w:highlight w:val="none"/>
        </w:rPr>
        <w:t>通过预测模型计算，运营期厂界</w:t>
      </w:r>
      <w:r>
        <w:rPr>
          <w:rFonts w:hint="eastAsia"/>
          <w:color w:val="auto"/>
          <w:highlight w:val="none"/>
          <w:lang w:val="en-US" w:eastAsia="zh-CN"/>
        </w:rPr>
        <w:t>昼间</w:t>
      </w:r>
      <w:r>
        <w:rPr>
          <w:rFonts w:hint="eastAsia"/>
          <w:color w:val="auto"/>
          <w:highlight w:val="none"/>
        </w:rPr>
        <w:t>噪声贡献值预测结果见下表。</w:t>
      </w:r>
    </w:p>
    <w:p w14:paraId="1B66610E">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运营期厂界昼间噪声预测结果</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208"/>
        <w:gridCol w:w="989"/>
        <w:gridCol w:w="989"/>
        <w:gridCol w:w="1602"/>
        <w:gridCol w:w="928"/>
        <w:gridCol w:w="978"/>
        <w:gridCol w:w="1155"/>
        <w:gridCol w:w="967"/>
      </w:tblGrid>
      <w:tr w14:paraId="3FED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61" w:type="pct"/>
            <w:noWrap w:val="0"/>
            <w:vAlign w:val="center"/>
          </w:tcPr>
          <w:p w14:paraId="5F7289E6">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635" w:type="pct"/>
            <w:noWrap w:val="0"/>
            <w:vAlign w:val="center"/>
          </w:tcPr>
          <w:p w14:paraId="38F91AB7">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名称</w:t>
            </w:r>
          </w:p>
        </w:tc>
        <w:tc>
          <w:tcPr>
            <w:tcW w:w="1040" w:type="pct"/>
            <w:gridSpan w:val="2"/>
            <w:noWrap w:val="0"/>
            <w:vAlign w:val="center"/>
          </w:tcPr>
          <w:p w14:paraId="1A7A8208">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空间相对位置</w:t>
            </w:r>
          </w:p>
        </w:tc>
        <w:tc>
          <w:tcPr>
            <w:tcW w:w="842" w:type="pct"/>
            <w:noWrap w:val="0"/>
            <w:vAlign w:val="center"/>
          </w:tcPr>
          <w:p w14:paraId="514E68A6">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离地高度（m）</w:t>
            </w:r>
          </w:p>
        </w:tc>
        <w:tc>
          <w:tcPr>
            <w:tcW w:w="488" w:type="pct"/>
            <w:noWrap w:val="0"/>
            <w:vAlign w:val="center"/>
          </w:tcPr>
          <w:p w14:paraId="06928BE2">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贡献值（dB）</w:t>
            </w:r>
          </w:p>
        </w:tc>
        <w:tc>
          <w:tcPr>
            <w:tcW w:w="514" w:type="pct"/>
            <w:noWrap w:val="0"/>
            <w:vAlign w:val="center"/>
          </w:tcPr>
          <w:p w14:paraId="3415F5D8">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功能区类型</w:t>
            </w:r>
          </w:p>
        </w:tc>
        <w:tc>
          <w:tcPr>
            <w:tcW w:w="607" w:type="pct"/>
            <w:noWrap w:val="0"/>
            <w:vAlign w:val="center"/>
          </w:tcPr>
          <w:p w14:paraId="4DDA0443">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标准值（dB）</w:t>
            </w:r>
          </w:p>
        </w:tc>
        <w:tc>
          <w:tcPr>
            <w:tcW w:w="508" w:type="pct"/>
            <w:noWrap w:val="0"/>
            <w:vAlign w:val="center"/>
          </w:tcPr>
          <w:p w14:paraId="78742416">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是否达标</w:t>
            </w:r>
          </w:p>
        </w:tc>
      </w:tr>
      <w:tr w14:paraId="24BA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5B07163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635" w:type="pct"/>
            <w:noWrap w:val="0"/>
            <w:vAlign w:val="center"/>
          </w:tcPr>
          <w:p w14:paraId="50A87DAC">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北侧厂界预测点</w:t>
            </w:r>
          </w:p>
        </w:tc>
        <w:tc>
          <w:tcPr>
            <w:tcW w:w="989" w:type="dxa"/>
            <w:noWrap w:val="0"/>
            <w:vAlign w:val="center"/>
          </w:tcPr>
          <w:p w14:paraId="6DF23E6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42.48</w:t>
            </w:r>
          </w:p>
        </w:tc>
        <w:tc>
          <w:tcPr>
            <w:tcW w:w="989" w:type="dxa"/>
            <w:noWrap w:val="0"/>
            <w:vAlign w:val="center"/>
          </w:tcPr>
          <w:p w14:paraId="29009D0E">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52.57</w:t>
            </w:r>
          </w:p>
        </w:tc>
        <w:tc>
          <w:tcPr>
            <w:tcW w:w="842" w:type="pct"/>
            <w:noWrap w:val="0"/>
            <w:vAlign w:val="center"/>
          </w:tcPr>
          <w:p w14:paraId="3566B81E">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488" w:type="pct"/>
            <w:noWrap w:val="0"/>
            <w:vAlign w:val="center"/>
          </w:tcPr>
          <w:p w14:paraId="50053B0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26.1</w:t>
            </w:r>
          </w:p>
        </w:tc>
        <w:tc>
          <w:tcPr>
            <w:tcW w:w="514" w:type="pct"/>
            <w:noWrap w:val="0"/>
            <w:vAlign w:val="center"/>
          </w:tcPr>
          <w:p w14:paraId="0045C59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3类</w:t>
            </w:r>
          </w:p>
        </w:tc>
        <w:tc>
          <w:tcPr>
            <w:tcW w:w="607" w:type="pct"/>
            <w:noWrap w:val="0"/>
            <w:vAlign w:val="center"/>
          </w:tcPr>
          <w:p w14:paraId="1CDE25DC">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65</w:t>
            </w:r>
            <w:r>
              <w:rPr>
                <w:rFonts w:hint="eastAsia" w:ascii="Times New Roman" w:hAnsi="Times New Roman" w:cs="Courier New"/>
                <w:b w:val="0"/>
                <w:bCs w:val="0"/>
                <w:color w:val="auto"/>
                <w:sz w:val="21"/>
                <w:szCs w:val="21"/>
                <w:highlight w:val="none"/>
                <w:lang w:val="en-US" w:eastAsia="zh-CN"/>
              </w:rPr>
              <w:t>/55</w:t>
            </w:r>
          </w:p>
        </w:tc>
        <w:tc>
          <w:tcPr>
            <w:tcW w:w="508" w:type="pct"/>
            <w:noWrap w:val="0"/>
            <w:vAlign w:val="center"/>
          </w:tcPr>
          <w:p w14:paraId="5267DEF5">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是</w:t>
            </w:r>
          </w:p>
        </w:tc>
      </w:tr>
      <w:tr w14:paraId="15DB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24D8079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w:t>
            </w:r>
          </w:p>
        </w:tc>
        <w:tc>
          <w:tcPr>
            <w:tcW w:w="635" w:type="pct"/>
            <w:noWrap w:val="0"/>
            <w:vAlign w:val="center"/>
          </w:tcPr>
          <w:p w14:paraId="4DDCD2F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东侧厂界预测点</w:t>
            </w:r>
          </w:p>
        </w:tc>
        <w:tc>
          <w:tcPr>
            <w:tcW w:w="989" w:type="dxa"/>
            <w:noWrap w:val="0"/>
            <w:vAlign w:val="center"/>
          </w:tcPr>
          <w:p w14:paraId="1327B42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72.46</w:t>
            </w:r>
          </w:p>
        </w:tc>
        <w:tc>
          <w:tcPr>
            <w:tcW w:w="989" w:type="dxa"/>
            <w:noWrap w:val="0"/>
            <w:vAlign w:val="center"/>
          </w:tcPr>
          <w:p w14:paraId="0DF01C7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-24.55</w:t>
            </w:r>
          </w:p>
        </w:tc>
        <w:tc>
          <w:tcPr>
            <w:tcW w:w="842" w:type="pct"/>
            <w:noWrap w:val="0"/>
            <w:vAlign w:val="center"/>
          </w:tcPr>
          <w:p w14:paraId="4388AB2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488" w:type="pct"/>
            <w:noWrap w:val="0"/>
            <w:vAlign w:val="center"/>
          </w:tcPr>
          <w:p w14:paraId="48D1EB7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22.3</w:t>
            </w:r>
          </w:p>
        </w:tc>
        <w:tc>
          <w:tcPr>
            <w:tcW w:w="514" w:type="pct"/>
            <w:noWrap w:val="0"/>
            <w:vAlign w:val="center"/>
          </w:tcPr>
          <w:p w14:paraId="0A33091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3类</w:t>
            </w:r>
          </w:p>
        </w:tc>
        <w:tc>
          <w:tcPr>
            <w:tcW w:w="607" w:type="pct"/>
            <w:noWrap w:val="0"/>
            <w:vAlign w:val="center"/>
          </w:tcPr>
          <w:p w14:paraId="781C7AB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65</w:t>
            </w:r>
            <w:r>
              <w:rPr>
                <w:rFonts w:hint="eastAsia" w:ascii="Times New Roman" w:hAnsi="Times New Roman" w:cs="Courier New"/>
                <w:b w:val="0"/>
                <w:bCs w:val="0"/>
                <w:color w:val="auto"/>
                <w:sz w:val="21"/>
                <w:szCs w:val="21"/>
                <w:highlight w:val="none"/>
                <w:lang w:val="en-US" w:eastAsia="zh-CN"/>
              </w:rPr>
              <w:t>/55</w:t>
            </w:r>
          </w:p>
        </w:tc>
        <w:tc>
          <w:tcPr>
            <w:tcW w:w="508" w:type="pct"/>
            <w:noWrap w:val="0"/>
            <w:vAlign w:val="center"/>
          </w:tcPr>
          <w:p w14:paraId="501E8C2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是</w:t>
            </w:r>
          </w:p>
        </w:tc>
      </w:tr>
      <w:tr w14:paraId="26DB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5B4CA88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w:t>
            </w:r>
          </w:p>
        </w:tc>
        <w:tc>
          <w:tcPr>
            <w:tcW w:w="635" w:type="pct"/>
            <w:noWrap w:val="0"/>
            <w:vAlign w:val="center"/>
          </w:tcPr>
          <w:p w14:paraId="5EF413B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南侧厂界预测点</w:t>
            </w:r>
          </w:p>
        </w:tc>
        <w:tc>
          <w:tcPr>
            <w:tcW w:w="989" w:type="dxa"/>
            <w:noWrap w:val="0"/>
            <w:vAlign w:val="center"/>
          </w:tcPr>
          <w:p w14:paraId="146B491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-22.92</w:t>
            </w:r>
          </w:p>
        </w:tc>
        <w:tc>
          <w:tcPr>
            <w:tcW w:w="989" w:type="dxa"/>
            <w:noWrap w:val="0"/>
            <w:vAlign w:val="center"/>
          </w:tcPr>
          <w:p w14:paraId="5CB5993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-43.02</w:t>
            </w:r>
          </w:p>
        </w:tc>
        <w:tc>
          <w:tcPr>
            <w:tcW w:w="842" w:type="pct"/>
            <w:noWrap w:val="0"/>
            <w:vAlign w:val="center"/>
          </w:tcPr>
          <w:p w14:paraId="6715CC1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488" w:type="pct"/>
            <w:noWrap w:val="0"/>
            <w:vAlign w:val="center"/>
          </w:tcPr>
          <w:p w14:paraId="5C140428">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52.8</w:t>
            </w:r>
          </w:p>
        </w:tc>
        <w:tc>
          <w:tcPr>
            <w:tcW w:w="514" w:type="pct"/>
            <w:noWrap w:val="0"/>
            <w:vAlign w:val="center"/>
          </w:tcPr>
          <w:p w14:paraId="62A082C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3类</w:t>
            </w:r>
          </w:p>
        </w:tc>
        <w:tc>
          <w:tcPr>
            <w:tcW w:w="1155" w:type="dxa"/>
            <w:noWrap w:val="0"/>
            <w:vAlign w:val="center"/>
          </w:tcPr>
          <w:p w14:paraId="6EDE0FF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65</w:t>
            </w:r>
            <w:r>
              <w:rPr>
                <w:rFonts w:hint="eastAsia" w:ascii="Times New Roman" w:hAnsi="Times New Roman" w:cs="Courier New"/>
                <w:b w:val="0"/>
                <w:bCs w:val="0"/>
                <w:color w:val="auto"/>
                <w:sz w:val="21"/>
                <w:szCs w:val="21"/>
                <w:highlight w:val="none"/>
                <w:lang w:val="en-US" w:eastAsia="zh-CN"/>
              </w:rPr>
              <w:t>/55</w:t>
            </w:r>
          </w:p>
        </w:tc>
        <w:tc>
          <w:tcPr>
            <w:tcW w:w="508" w:type="pct"/>
            <w:noWrap w:val="0"/>
            <w:vAlign w:val="center"/>
          </w:tcPr>
          <w:p w14:paraId="488ED0F0">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是</w:t>
            </w:r>
          </w:p>
        </w:tc>
      </w:tr>
      <w:tr w14:paraId="6744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344CA27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w:t>
            </w:r>
          </w:p>
        </w:tc>
        <w:tc>
          <w:tcPr>
            <w:tcW w:w="635" w:type="pct"/>
            <w:noWrap w:val="0"/>
            <w:vAlign w:val="center"/>
          </w:tcPr>
          <w:p w14:paraId="747BD77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西侧厂界预测点</w:t>
            </w:r>
          </w:p>
        </w:tc>
        <w:tc>
          <w:tcPr>
            <w:tcW w:w="989" w:type="dxa"/>
            <w:noWrap w:val="0"/>
            <w:vAlign w:val="center"/>
          </w:tcPr>
          <w:p w14:paraId="430AA45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-50.72</w:t>
            </w:r>
          </w:p>
        </w:tc>
        <w:tc>
          <w:tcPr>
            <w:tcW w:w="989" w:type="dxa"/>
            <w:noWrap w:val="0"/>
            <w:vAlign w:val="center"/>
          </w:tcPr>
          <w:p w14:paraId="33A7B2F3">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31.07</w:t>
            </w:r>
          </w:p>
        </w:tc>
        <w:tc>
          <w:tcPr>
            <w:tcW w:w="842" w:type="pct"/>
            <w:noWrap w:val="0"/>
            <w:vAlign w:val="center"/>
          </w:tcPr>
          <w:p w14:paraId="0AEFA9D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488" w:type="pct"/>
            <w:noWrap w:val="0"/>
            <w:vAlign w:val="center"/>
          </w:tcPr>
          <w:p w14:paraId="3D101EA7">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30.3</w:t>
            </w:r>
          </w:p>
        </w:tc>
        <w:tc>
          <w:tcPr>
            <w:tcW w:w="514" w:type="pct"/>
            <w:noWrap w:val="0"/>
            <w:vAlign w:val="center"/>
          </w:tcPr>
          <w:p w14:paraId="1C20737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3类</w:t>
            </w:r>
          </w:p>
        </w:tc>
        <w:tc>
          <w:tcPr>
            <w:tcW w:w="1155" w:type="dxa"/>
            <w:noWrap w:val="0"/>
            <w:vAlign w:val="center"/>
          </w:tcPr>
          <w:p w14:paraId="14B0DD1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65</w:t>
            </w:r>
            <w:r>
              <w:rPr>
                <w:rFonts w:hint="eastAsia" w:ascii="Times New Roman" w:hAnsi="Times New Roman" w:cs="Courier New"/>
                <w:b w:val="0"/>
                <w:bCs w:val="0"/>
                <w:color w:val="auto"/>
                <w:sz w:val="21"/>
                <w:szCs w:val="21"/>
                <w:highlight w:val="none"/>
                <w:lang w:val="en-US" w:eastAsia="zh-CN"/>
              </w:rPr>
              <w:t>/55</w:t>
            </w:r>
          </w:p>
        </w:tc>
        <w:tc>
          <w:tcPr>
            <w:tcW w:w="508" w:type="pct"/>
            <w:noWrap w:val="0"/>
            <w:vAlign w:val="center"/>
          </w:tcPr>
          <w:p w14:paraId="2AEBED7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是</w:t>
            </w:r>
          </w:p>
        </w:tc>
      </w:tr>
      <w:tr w14:paraId="17F1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550A2C5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w:t>
            </w:r>
          </w:p>
        </w:tc>
        <w:tc>
          <w:tcPr>
            <w:tcW w:w="635" w:type="pct"/>
            <w:noWrap w:val="0"/>
            <w:vAlign w:val="center"/>
          </w:tcPr>
          <w:p w14:paraId="387DD787">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最大值</w:t>
            </w:r>
          </w:p>
        </w:tc>
        <w:tc>
          <w:tcPr>
            <w:tcW w:w="520" w:type="pct"/>
            <w:noWrap w:val="0"/>
            <w:vAlign w:val="center"/>
          </w:tcPr>
          <w:p w14:paraId="51D981EA">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-23.65</w:t>
            </w:r>
          </w:p>
        </w:tc>
        <w:tc>
          <w:tcPr>
            <w:tcW w:w="520" w:type="pct"/>
            <w:noWrap w:val="0"/>
            <w:vAlign w:val="center"/>
          </w:tcPr>
          <w:p w14:paraId="5F60944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-41.48</w:t>
            </w:r>
          </w:p>
        </w:tc>
        <w:tc>
          <w:tcPr>
            <w:tcW w:w="842" w:type="pct"/>
            <w:noWrap w:val="0"/>
            <w:vAlign w:val="center"/>
          </w:tcPr>
          <w:p w14:paraId="2DCB77F5">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488" w:type="pct"/>
            <w:noWrap w:val="0"/>
            <w:vAlign w:val="center"/>
          </w:tcPr>
          <w:p w14:paraId="06116E1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53.7</w:t>
            </w:r>
          </w:p>
        </w:tc>
        <w:tc>
          <w:tcPr>
            <w:tcW w:w="514" w:type="pct"/>
            <w:noWrap w:val="0"/>
            <w:vAlign w:val="center"/>
          </w:tcPr>
          <w:p w14:paraId="23BF867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3类</w:t>
            </w:r>
          </w:p>
        </w:tc>
        <w:tc>
          <w:tcPr>
            <w:tcW w:w="1155" w:type="dxa"/>
            <w:noWrap w:val="0"/>
            <w:vAlign w:val="center"/>
          </w:tcPr>
          <w:p w14:paraId="10C88A6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65</w:t>
            </w:r>
            <w:r>
              <w:rPr>
                <w:rFonts w:hint="eastAsia" w:ascii="Times New Roman" w:hAnsi="Times New Roman" w:cs="Courier New"/>
                <w:b w:val="0"/>
                <w:bCs w:val="0"/>
                <w:color w:val="auto"/>
                <w:sz w:val="21"/>
                <w:szCs w:val="21"/>
                <w:highlight w:val="none"/>
                <w:lang w:val="en-US" w:eastAsia="zh-CN"/>
              </w:rPr>
              <w:t>/55</w:t>
            </w:r>
          </w:p>
        </w:tc>
        <w:tc>
          <w:tcPr>
            <w:tcW w:w="508" w:type="pct"/>
            <w:noWrap w:val="0"/>
            <w:vAlign w:val="center"/>
          </w:tcPr>
          <w:p w14:paraId="02C212A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是</w:t>
            </w:r>
          </w:p>
        </w:tc>
      </w:tr>
      <w:tr w14:paraId="3E15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36818EF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w:t>
            </w:r>
          </w:p>
        </w:tc>
        <w:tc>
          <w:tcPr>
            <w:tcW w:w="635" w:type="pct"/>
            <w:noWrap w:val="0"/>
            <w:vAlign w:val="center"/>
          </w:tcPr>
          <w:p w14:paraId="581FCD5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最小值</w:t>
            </w:r>
          </w:p>
        </w:tc>
        <w:tc>
          <w:tcPr>
            <w:tcW w:w="520" w:type="pct"/>
            <w:noWrap w:val="0"/>
            <w:vAlign w:val="center"/>
          </w:tcPr>
          <w:p w14:paraId="166BA8B6">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110.63</w:t>
            </w:r>
          </w:p>
        </w:tc>
        <w:tc>
          <w:tcPr>
            <w:tcW w:w="520" w:type="pct"/>
            <w:noWrap w:val="0"/>
            <w:vAlign w:val="center"/>
          </w:tcPr>
          <w:p w14:paraId="61DAB5FB">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33.77</w:t>
            </w:r>
          </w:p>
        </w:tc>
        <w:tc>
          <w:tcPr>
            <w:tcW w:w="842" w:type="pct"/>
            <w:noWrap w:val="0"/>
            <w:vAlign w:val="center"/>
          </w:tcPr>
          <w:p w14:paraId="405E5DA0">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1.2</w:t>
            </w:r>
          </w:p>
        </w:tc>
        <w:tc>
          <w:tcPr>
            <w:tcW w:w="488" w:type="pct"/>
            <w:noWrap w:val="0"/>
            <w:vAlign w:val="center"/>
          </w:tcPr>
          <w:p w14:paraId="2067BDE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20.0</w:t>
            </w:r>
          </w:p>
        </w:tc>
        <w:tc>
          <w:tcPr>
            <w:tcW w:w="514" w:type="pct"/>
            <w:noWrap w:val="0"/>
            <w:vAlign w:val="center"/>
          </w:tcPr>
          <w:p w14:paraId="4C4DBA82">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3类</w:t>
            </w:r>
          </w:p>
        </w:tc>
        <w:tc>
          <w:tcPr>
            <w:tcW w:w="1155" w:type="dxa"/>
            <w:noWrap w:val="0"/>
            <w:vAlign w:val="center"/>
          </w:tcPr>
          <w:p w14:paraId="63275581">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65</w:t>
            </w:r>
            <w:r>
              <w:rPr>
                <w:rFonts w:hint="eastAsia" w:ascii="Times New Roman" w:hAnsi="Times New Roman" w:cs="Courier New"/>
                <w:b w:val="0"/>
                <w:bCs w:val="0"/>
                <w:color w:val="auto"/>
                <w:sz w:val="21"/>
                <w:szCs w:val="21"/>
                <w:highlight w:val="none"/>
                <w:lang w:val="en-US" w:eastAsia="zh-CN"/>
              </w:rPr>
              <w:t>/55</w:t>
            </w:r>
          </w:p>
        </w:tc>
        <w:tc>
          <w:tcPr>
            <w:tcW w:w="508" w:type="pct"/>
            <w:noWrap w:val="0"/>
            <w:vAlign w:val="center"/>
          </w:tcPr>
          <w:p w14:paraId="645288F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是</w:t>
            </w:r>
          </w:p>
        </w:tc>
      </w:tr>
    </w:tbl>
    <w:p w14:paraId="43DF553F">
      <w:pPr>
        <w:numPr>
          <w:ilvl w:val="0"/>
          <w:numId w:val="0"/>
        </w:numPr>
        <w:spacing w:line="360" w:lineRule="auto"/>
        <w:ind w:leftChars="0"/>
        <w:jc w:val="center"/>
        <w:rPr>
          <w:rFonts w:hint="eastAsia" w:eastAsia="黑体"/>
          <w:color w:val="auto"/>
          <w:szCs w:val="21"/>
          <w:highlight w:val="none"/>
          <w:lang w:val="en-US" w:eastAsia="zh-CN"/>
        </w:rPr>
      </w:pPr>
      <w:r>
        <w:rPr>
          <w:color w:val="auto"/>
        </w:rPr>
        <w:drawing>
          <wp:inline distT="0" distB="0" distL="114300" distR="114300">
            <wp:extent cx="5857875" cy="4095750"/>
            <wp:effectExtent l="0" t="0" r="9525" b="0"/>
            <wp:docPr id="4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9"/>
                    <pic:cNvPicPr>
                      <a:picLocks noChangeAspect="1"/>
                    </pic:cNvPicPr>
                  </pic:nvPicPr>
                  <pic:blipFill>
                    <a:blip r:embed="rId91"/>
                    <a:stretch>
                      <a:fillRect/>
                    </a:stretch>
                  </pic:blipFill>
                  <pic:spPr>
                    <a:xfrm>
                      <a:off x="0" y="0"/>
                      <a:ext cx="5857875" cy="4095750"/>
                    </a:xfrm>
                    <a:prstGeom prst="rect">
                      <a:avLst/>
                    </a:prstGeom>
                    <a:noFill/>
                    <a:ln>
                      <a:noFill/>
                    </a:ln>
                  </pic:spPr>
                </pic:pic>
              </a:graphicData>
            </a:graphic>
          </wp:inline>
        </w:drawing>
      </w:r>
    </w:p>
    <w:p w14:paraId="09EED950">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运营期昼间等声级线图</w:t>
      </w:r>
    </w:p>
    <w:p w14:paraId="68438D0D">
      <w:pPr>
        <w:pStyle w:val="26"/>
        <w:bidi w:val="0"/>
        <w:rPr>
          <w:rFonts w:hint="eastAsia"/>
          <w:color w:val="auto"/>
          <w:highlight w:val="none"/>
        </w:rPr>
      </w:pPr>
      <w:r>
        <w:rPr>
          <w:rFonts w:hint="eastAsia"/>
          <w:color w:val="auto"/>
          <w:highlight w:val="none"/>
        </w:rPr>
        <w:t>运营期</w:t>
      </w:r>
      <w:r>
        <w:rPr>
          <w:rFonts w:hint="eastAsia"/>
          <w:color w:val="auto"/>
          <w:highlight w:val="none"/>
          <w:lang w:val="en-US" w:eastAsia="zh-CN"/>
        </w:rPr>
        <w:t>声环境保护目标处</w:t>
      </w:r>
      <w:r>
        <w:rPr>
          <w:rFonts w:hint="eastAsia"/>
          <w:color w:val="auto"/>
          <w:highlight w:val="none"/>
        </w:rPr>
        <w:t>噪声贡献值预测结果见下表。</w:t>
      </w:r>
    </w:p>
    <w:p w14:paraId="643BABA1">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运营期厂界昼间噪声预测结果</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191"/>
        <w:gridCol w:w="1539"/>
        <w:gridCol w:w="1539"/>
        <w:gridCol w:w="1539"/>
        <w:gridCol w:w="1539"/>
        <w:gridCol w:w="1539"/>
      </w:tblGrid>
      <w:tr w14:paraId="34D8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25" w:type="pct"/>
            <w:noWrap w:val="0"/>
            <w:vAlign w:val="center"/>
          </w:tcPr>
          <w:p w14:paraId="10CB96D3">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626" w:type="pct"/>
            <w:noWrap w:val="0"/>
            <w:vAlign w:val="center"/>
          </w:tcPr>
          <w:p w14:paraId="160458C8">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名称</w:t>
            </w:r>
          </w:p>
        </w:tc>
        <w:tc>
          <w:tcPr>
            <w:tcW w:w="809" w:type="pct"/>
            <w:noWrap w:val="0"/>
            <w:vAlign w:val="center"/>
          </w:tcPr>
          <w:p w14:paraId="1A07FC5D">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default" w:ascii="Times New Roman" w:hAnsi="Times New Roman" w:cs="Times New Roman"/>
                <w:b/>
                <w:bCs/>
                <w:color w:val="auto"/>
                <w:highlight w:val="none"/>
              </w:rPr>
              <w:t>噪声背景值/dB（A）</w:t>
            </w:r>
          </w:p>
        </w:tc>
        <w:tc>
          <w:tcPr>
            <w:tcW w:w="809" w:type="pct"/>
            <w:noWrap w:val="0"/>
            <w:vAlign w:val="center"/>
          </w:tcPr>
          <w:p w14:paraId="7439AA85">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default" w:ascii="Times New Roman" w:hAnsi="Times New Roman" w:cs="Times New Roman"/>
                <w:b/>
                <w:bCs/>
                <w:color w:val="auto"/>
                <w:highlight w:val="none"/>
              </w:rPr>
              <w:t>噪声贡献值/dB（A）</w:t>
            </w:r>
          </w:p>
        </w:tc>
        <w:tc>
          <w:tcPr>
            <w:tcW w:w="809" w:type="pct"/>
            <w:noWrap w:val="0"/>
            <w:vAlign w:val="center"/>
          </w:tcPr>
          <w:p w14:paraId="18292035">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default" w:ascii="Times New Roman" w:hAnsi="Times New Roman" w:cs="Times New Roman"/>
                <w:b/>
                <w:bCs/>
                <w:color w:val="auto"/>
                <w:highlight w:val="none"/>
              </w:rPr>
              <w:t>噪声预测值/dB（A）</w:t>
            </w:r>
          </w:p>
        </w:tc>
        <w:tc>
          <w:tcPr>
            <w:tcW w:w="809" w:type="pct"/>
            <w:noWrap w:val="0"/>
            <w:vAlign w:val="center"/>
          </w:tcPr>
          <w:p w14:paraId="60D389E0">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default" w:ascii="Times New Roman" w:hAnsi="Times New Roman" w:cs="Times New Roman"/>
                <w:b/>
                <w:bCs/>
                <w:color w:val="auto"/>
                <w:highlight w:val="none"/>
              </w:rPr>
              <w:t>较现状增量/dB（A）</w:t>
            </w:r>
          </w:p>
        </w:tc>
        <w:tc>
          <w:tcPr>
            <w:tcW w:w="809" w:type="pct"/>
            <w:noWrap w:val="0"/>
            <w:vAlign w:val="center"/>
          </w:tcPr>
          <w:p w14:paraId="4CC2FE65">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default" w:ascii="Times New Roman" w:hAnsi="Times New Roman" w:cs="Times New Roman"/>
                <w:b/>
                <w:bCs/>
                <w:color w:val="auto"/>
                <w:highlight w:val="none"/>
              </w:rPr>
              <w:t>超标和达标情况</w:t>
            </w:r>
          </w:p>
        </w:tc>
      </w:tr>
      <w:tr w14:paraId="3094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noWrap w:val="0"/>
            <w:vAlign w:val="center"/>
          </w:tcPr>
          <w:p w14:paraId="5773E659">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626" w:type="pct"/>
            <w:noWrap w:val="0"/>
            <w:vAlign w:val="center"/>
          </w:tcPr>
          <w:p w14:paraId="1340E5F1">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东北侧</w:t>
            </w:r>
            <w:r>
              <w:rPr>
                <w:rFonts w:hint="eastAsia" w:ascii="Times New Roman" w:hAnsi="Times New Roman" w:eastAsia="宋体" w:cs="Courier New"/>
                <w:b w:val="0"/>
                <w:bCs w:val="0"/>
                <w:color w:val="auto"/>
                <w:sz w:val="21"/>
                <w:szCs w:val="21"/>
                <w:highlight w:val="none"/>
                <w:lang w:val="en-US" w:eastAsia="zh-CN"/>
              </w:rPr>
              <w:t>散户</w:t>
            </w:r>
          </w:p>
        </w:tc>
        <w:tc>
          <w:tcPr>
            <w:tcW w:w="809" w:type="pct"/>
            <w:noWrap w:val="0"/>
            <w:vAlign w:val="center"/>
          </w:tcPr>
          <w:p w14:paraId="5AAC9EF4">
            <w:pPr>
              <w:bidi w:val="0"/>
              <w:ind w:left="482"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56</w:t>
            </w:r>
          </w:p>
        </w:tc>
        <w:tc>
          <w:tcPr>
            <w:tcW w:w="809" w:type="pct"/>
            <w:noWrap w:val="0"/>
            <w:vAlign w:val="center"/>
          </w:tcPr>
          <w:p w14:paraId="6BE34007">
            <w:pPr>
              <w:bidi w:val="0"/>
              <w:ind w:left="482"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16.9</w:t>
            </w:r>
          </w:p>
        </w:tc>
        <w:tc>
          <w:tcPr>
            <w:tcW w:w="809" w:type="pct"/>
            <w:noWrap w:val="0"/>
            <w:vAlign w:val="center"/>
          </w:tcPr>
          <w:p w14:paraId="6D537D1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56.0</w:t>
            </w:r>
          </w:p>
        </w:tc>
        <w:tc>
          <w:tcPr>
            <w:tcW w:w="809" w:type="pct"/>
            <w:noWrap w:val="0"/>
            <w:vAlign w:val="center"/>
          </w:tcPr>
          <w:p w14:paraId="7642039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w:t>
            </w:r>
          </w:p>
        </w:tc>
        <w:tc>
          <w:tcPr>
            <w:tcW w:w="809" w:type="pct"/>
            <w:noWrap w:val="0"/>
            <w:vAlign w:val="center"/>
          </w:tcPr>
          <w:p w14:paraId="0F4309E7">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达标</w:t>
            </w:r>
          </w:p>
        </w:tc>
      </w:tr>
    </w:tbl>
    <w:p w14:paraId="36CD1D93">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噪声防治措施</w:t>
      </w:r>
    </w:p>
    <w:p w14:paraId="1A63D669">
      <w:pPr>
        <w:pStyle w:val="26"/>
        <w:bidi w:val="0"/>
        <w:rPr>
          <w:color w:val="auto"/>
          <w:highlight w:val="none"/>
        </w:rPr>
      </w:pPr>
      <w:r>
        <w:rPr>
          <w:rFonts w:hint="eastAsia"/>
          <w:color w:val="auto"/>
          <w:highlight w:val="none"/>
        </w:rPr>
        <w:t>本</w:t>
      </w:r>
      <w:r>
        <w:rPr>
          <w:color w:val="auto"/>
          <w:highlight w:val="none"/>
        </w:rPr>
        <w:t>项目主要从以下几个方面进行噪声控制</w:t>
      </w:r>
      <w:r>
        <w:rPr>
          <w:rFonts w:hint="eastAsia"/>
          <w:color w:val="auto"/>
          <w:highlight w:val="none"/>
        </w:rPr>
        <w:t>：</w:t>
      </w:r>
    </w:p>
    <w:p w14:paraId="3BB1E24E">
      <w:pPr>
        <w:bidi w:val="0"/>
        <w:ind w:left="0" w:leftChars="0" w:firstLine="480" w:firstLineChars="200"/>
        <w:rPr>
          <w:rFonts w:hint="eastAsia"/>
          <w:color w:val="auto"/>
          <w:lang w:val="en-US" w:eastAsia="zh-CN"/>
        </w:rPr>
      </w:pPr>
      <w:r>
        <w:rPr>
          <w:rFonts w:hint="eastAsia"/>
          <w:color w:val="auto"/>
          <w:lang w:val="en-US" w:eastAsia="zh-CN"/>
        </w:rPr>
        <w:t>①选用低噪声设备，定期进行设备检修，保证设备正常运行，减少故障性噪声排放概率。</w:t>
      </w:r>
    </w:p>
    <w:p w14:paraId="09DBC501">
      <w:pPr>
        <w:bidi w:val="0"/>
        <w:ind w:left="0" w:leftChars="0" w:firstLine="480" w:firstLineChars="200"/>
        <w:rPr>
          <w:rFonts w:hint="eastAsia"/>
          <w:color w:val="auto"/>
          <w:lang w:val="en-US" w:eastAsia="zh-CN"/>
        </w:rPr>
      </w:pPr>
      <w:r>
        <w:rPr>
          <w:rFonts w:hint="eastAsia"/>
          <w:color w:val="auto"/>
          <w:lang w:val="en-US" w:eastAsia="zh-CN"/>
        </w:rPr>
        <w:t>②合理进行设备布局，生产设备均布置于室内，底部采取基础减振措施，并利用墙体隔声。</w:t>
      </w:r>
    </w:p>
    <w:p w14:paraId="0F2D7B7E">
      <w:pPr>
        <w:bidi w:val="0"/>
        <w:ind w:left="0" w:leftChars="0" w:firstLine="480" w:firstLineChars="200"/>
        <w:rPr>
          <w:rFonts w:hint="default"/>
          <w:color w:val="auto"/>
          <w:lang w:val="en-US" w:eastAsia="zh-CN"/>
        </w:rPr>
      </w:pPr>
      <w:r>
        <w:rPr>
          <w:rFonts w:hint="eastAsia"/>
          <w:color w:val="auto"/>
          <w:lang w:val="en-US" w:eastAsia="zh-CN"/>
        </w:rPr>
        <w:t>③空压机组、软水机组、电蒸汽发生器均设置于密闭设备间内，且空压机组采用螺杆式空压机，从源头控制噪声源强。</w:t>
      </w:r>
    </w:p>
    <w:p w14:paraId="7D3CCA13">
      <w:pPr>
        <w:pStyle w:val="26"/>
        <w:bidi w:val="0"/>
        <w:rPr>
          <w:rFonts w:hint="eastAsia" w:ascii="Times New Roman" w:hAnsi="Times New Roman" w:eastAsia="宋体" w:cs="Times New Roman"/>
          <w:color w:val="auto"/>
          <w:sz w:val="24"/>
          <w:szCs w:val="24"/>
          <w:highlight w:val="none"/>
          <w:lang w:val="en-US" w:eastAsia="zh-CN"/>
        </w:rPr>
      </w:pPr>
      <w:r>
        <w:rPr>
          <w:rFonts w:hint="eastAsia"/>
          <w:color w:val="auto"/>
          <w:lang w:val="en-US" w:eastAsia="zh-CN"/>
        </w:rPr>
        <w:t>④风机安装消声器，管道进出口采用柔性连接。</w:t>
      </w:r>
    </w:p>
    <w:p w14:paraId="656388DB">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cs="Courier New"/>
          <w:bCs/>
          <w:color w:val="auto"/>
          <w:highlight w:val="none"/>
          <w:lang w:val="en-US" w:eastAsia="zh-CN"/>
        </w:rPr>
        <w:t>自行监测计划</w:t>
      </w:r>
    </w:p>
    <w:p w14:paraId="71AE212C">
      <w:pPr>
        <w:spacing w:line="360" w:lineRule="auto"/>
        <w:ind w:left="0" w:leftChars="0" w:firstLine="480" w:firstLineChars="200"/>
        <w:rPr>
          <w:rFonts w:hint="eastAsia"/>
          <w:bCs/>
          <w:color w:val="auto"/>
          <w:sz w:val="24"/>
          <w:highlight w:val="none"/>
        </w:rPr>
      </w:pPr>
      <w:r>
        <w:rPr>
          <w:rFonts w:hint="eastAsia"/>
          <w:bCs/>
          <w:color w:val="auto"/>
          <w:sz w:val="24"/>
          <w:highlight w:val="none"/>
        </w:rPr>
        <w:t>本次环评根据</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eastAsia="宋体" w:cs="Times New Roman"/>
          <w:color w:val="auto"/>
          <w:sz w:val="24"/>
          <w:lang w:val="en-US" w:eastAsia="zh-CN"/>
        </w:rPr>
        <w:t>和</w:t>
      </w:r>
      <w:r>
        <w:rPr>
          <w:rFonts w:hint="eastAsia" w:ascii="Times New Roman" w:hAnsi="Times New Roman" w:eastAsia="宋体" w:cs="Times New Roman"/>
          <w:color w:val="auto"/>
          <w:sz w:val="24"/>
          <w:lang w:eastAsia="zh-CN"/>
        </w:rPr>
        <w:t xml:space="preserve">《排污单位自行监测技术指南 </w:t>
      </w:r>
      <w:r>
        <w:rPr>
          <w:rFonts w:hint="eastAsia" w:cs="Times New Roman"/>
          <w:color w:val="auto"/>
          <w:sz w:val="24"/>
          <w:lang w:val="en-US" w:eastAsia="zh-CN"/>
        </w:rPr>
        <w:t>总则</w:t>
      </w:r>
      <w:r>
        <w:rPr>
          <w:rFonts w:hint="eastAsia" w:ascii="Times New Roman" w:hAnsi="Times New Roman" w:eastAsia="宋体" w:cs="Times New Roman"/>
          <w:color w:val="auto"/>
          <w:sz w:val="24"/>
          <w:lang w:eastAsia="zh-CN"/>
        </w:rPr>
        <w:t>》（HJ</w:t>
      </w:r>
      <w:r>
        <w:rPr>
          <w:rFonts w:hint="eastAsia" w:cs="Times New Roman"/>
          <w:color w:val="auto"/>
          <w:sz w:val="24"/>
          <w:lang w:val="en-US" w:eastAsia="zh-CN"/>
        </w:rPr>
        <w:t>819-2017</w:t>
      </w:r>
      <w:r>
        <w:rPr>
          <w:rFonts w:hint="eastAsia" w:ascii="Times New Roman" w:hAnsi="Times New Roman" w:eastAsia="宋体" w:cs="Times New Roman"/>
          <w:color w:val="auto"/>
          <w:sz w:val="24"/>
          <w:lang w:eastAsia="zh-CN"/>
        </w:rPr>
        <w:t>）</w:t>
      </w:r>
      <w:r>
        <w:rPr>
          <w:rFonts w:hint="eastAsia"/>
          <w:bCs/>
          <w:color w:val="auto"/>
          <w:sz w:val="24"/>
          <w:highlight w:val="none"/>
        </w:rPr>
        <w:t>提出项目生产运行阶段的污染源监测计划，详见下表。</w:t>
      </w:r>
    </w:p>
    <w:p w14:paraId="51B97A50">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噪声监测计划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315"/>
        <w:gridCol w:w="1460"/>
        <w:gridCol w:w="3576"/>
      </w:tblGrid>
      <w:tr w14:paraId="39D7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4EB93EF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1742" w:type="pct"/>
            <w:noWrap w:val="0"/>
            <w:vAlign w:val="center"/>
          </w:tcPr>
          <w:p w14:paraId="446C7CB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监测指标</w:t>
            </w:r>
          </w:p>
        </w:tc>
        <w:tc>
          <w:tcPr>
            <w:tcW w:w="767" w:type="pct"/>
            <w:noWrap w:val="0"/>
            <w:vAlign w:val="center"/>
          </w:tcPr>
          <w:p w14:paraId="2737B16F">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监测频次</w:t>
            </w:r>
          </w:p>
        </w:tc>
        <w:tc>
          <w:tcPr>
            <w:tcW w:w="1879" w:type="pct"/>
            <w:noWrap w:val="0"/>
            <w:vAlign w:val="center"/>
          </w:tcPr>
          <w:p w14:paraId="5DDB5613">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执行排放标准</w:t>
            </w:r>
          </w:p>
        </w:tc>
      </w:tr>
      <w:tr w14:paraId="64CB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77DD572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厂界四周</w:t>
            </w:r>
          </w:p>
        </w:tc>
        <w:tc>
          <w:tcPr>
            <w:tcW w:w="1742" w:type="pct"/>
            <w:noWrap w:val="0"/>
            <w:vAlign w:val="center"/>
          </w:tcPr>
          <w:p w14:paraId="45785C5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olor w:val="auto"/>
              </w:rPr>
              <w:t>厂界噪声</w:t>
            </w:r>
          </w:p>
        </w:tc>
        <w:tc>
          <w:tcPr>
            <w:tcW w:w="767" w:type="pct"/>
            <w:noWrap w:val="0"/>
            <w:vAlign w:val="center"/>
          </w:tcPr>
          <w:p w14:paraId="047AE25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1次/</w:t>
            </w:r>
            <w:r>
              <w:rPr>
                <w:rFonts w:hint="eastAsia" w:cs="Courier New"/>
                <w:b w:val="0"/>
                <w:bCs w:val="0"/>
                <w:color w:val="auto"/>
                <w:sz w:val="21"/>
                <w:szCs w:val="21"/>
                <w:highlight w:val="none"/>
                <w:lang w:val="en-US" w:eastAsia="zh-CN"/>
              </w:rPr>
              <w:t>季度</w:t>
            </w:r>
          </w:p>
        </w:tc>
        <w:tc>
          <w:tcPr>
            <w:tcW w:w="1879" w:type="pct"/>
            <w:noWrap w:val="0"/>
            <w:vAlign w:val="center"/>
          </w:tcPr>
          <w:p w14:paraId="4AD1F70C">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color w:val="auto"/>
                <w:szCs w:val="21"/>
              </w:rPr>
              <w:t>《工业企业厂界环境噪声排放标准》（GB12348-2008）3类标准</w:t>
            </w:r>
          </w:p>
        </w:tc>
      </w:tr>
    </w:tbl>
    <w:p w14:paraId="219C7996">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声环境影响结论</w:t>
      </w:r>
    </w:p>
    <w:p w14:paraId="4897AD0D">
      <w:pPr>
        <w:pStyle w:val="26"/>
        <w:bidi w:val="0"/>
        <w:rPr>
          <w:rFonts w:hint="eastAsia"/>
          <w:color w:val="auto"/>
          <w:highlight w:val="none"/>
        </w:rPr>
      </w:pPr>
      <w:r>
        <w:rPr>
          <w:color w:val="auto"/>
          <w:highlight w:val="none"/>
        </w:rPr>
        <w:t>根据噪声预测结果，项目运营期在</w:t>
      </w:r>
      <w:r>
        <w:rPr>
          <w:rFonts w:hint="eastAsia"/>
          <w:color w:val="auto"/>
          <w:highlight w:val="none"/>
        </w:rPr>
        <w:t>采取本环评提出的噪声控制措施后，厂界各预测点噪声均满足《工业企业厂界环境噪声排放标准》（GB12348-2008）</w:t>
      </w:r>
      <w:r>
        <w:rPr>
          <w:color w:val="auto"/>
          <w:highlight w:val="none"/>
        </w:rPr>
        <w:t>3</w:t>
      </w:r>
      <w:r>
        <w:rPr>
          <w:rFonts w:hint="eastAsia"/>
          <w:color w:val="auto"/>
          <w:highlight w:val="none"/>
        </w:rPr>
        <w:t>类标准，实现达标排放</w:t>
      </w:r>
      <w:r>
        <w:rPr>
          <w:rFonts w:hint="eastAsia"/>
          <w:color w:val="auto"/>
          <w:highlight w:val="none"/>
          <w:lang w:eastAsia="zh-CN"/>
        </w:rPr>
        <w:t>，</w:t>
      </w:r>
      <w:r>
        <w:rPr>
          <w:rFonts w:hint="eastAsia"/>
          <w:color w:val="auto"/>
          <w:highlight w:val="none"/>
          <w:lang w:val="en-US" w:eastAsia="zh-CN"/>
        </w:rPr>
        <w:t>且声环境保护目标处噪声能满足</w:t>
      </w:r>
      <w:r>
        <w:rPr>
          <w:rFonts w:hint="eastAsia"/>
          <w:color w:val="auto"/>
          <w:highlight w:val="none"/>
          <w:lang w:eastAsia="zh-CN"/>
        </w:rPr>
        <w:t>《声环境质量标准》（GB3096-2008）2类标准</w:t>
      </w:r>
      <w:r>
        <w:rPr>
          <w:rFonts w:hint="eastAsia"/>
          <w:color w:val="auto"/>
          <w:highlight w:val="none"/>
        </w:rPr>
        <w:t>。</w:t>
      </w:r>
    </w:p>
    <w:p w14:paraId="5E7AB8A7">
      <w:pPr>
        <w:pStyle w:val="5"/>
        <w:bidi w:val="0"/>
        <w:ind w:left="864" w:leftChars="0" w:hanging="864" w:firstLineChars="0"/>
        <w:rPr>
          <w:rFonts w:hint="eastAsia" w:ascii="Times New Roman" w:hAnsi="Times New Roman" w:cs="Courier New"/>
          <w:bCs/>
          <w:color w:val="auto"/>
          <w:highlight w:val="none"/>
          <w:lang w:val="en-US" w:eastAsia="zh-CN"/>
        </w:rPr>
      </w:pPr>
      <w:bookmarkStart w:id="133" w:name="_Toc3981"/>
      <w:bookmarkStart w:id="134" w:name="_Toc10366"/>
      <w:bookmarkStart w:id="135" w:name="_Toc8494"/>
      <w:bookmarkStart w:id="136" w:name="_Toc14283"/>
      <w:bookmarkStart w:id="137" w:name="_Toc28581"/>
      <w:bookmarkStart w:id="138" w:name="_Toc446"/>
      <w:bookmarkStart w:id="139" w:name="_Toc15620"/>
      <w:bookmarkStart w:id="140" w:name="_Toc29168"/>
      <w:bookmarkStart w:id="141" w:name="_Toc15043"/>
      <w:bookmarkStart w:id="142" w:name="_Toc28453"/>
      <w:bookmarkStart w:id="143" w:name="_Toc10322"/>
      <w:bookmarkStart w:id="144" w:name="_Toc13602"/>
      <w:bookmarkStart w:id="145" w:name="_Toc22472"/>
      <w:bookmarkStart w:id="146" w:name="_Toc20358"/>
      <w:bookmarkStart w:id="147" w:name="_Toc29246"/>
      <w:bookmarkStart w:id="148" w:name="_Toc29522"/>
      <w:bookmarkStart w:id="149" w:name="_Toc6883"/>
      <w:bookmarkStart w:id="150" w:name="_Toc23880"/>
      <w:bookmarkStart w:id="151" w:name="_Toc24139"/>
      <w:bookmarkStart w:id="152" w:name="_Toc20311"/>
      <w:bookmarkStart w:id="153" w:name="_Toc134263108"/>
      <w:bookmarkStart w:id="154" w:name="_Toc28137"/>
      <w:r>
        <w:rPr>
          <w:rFonts w:hint="eastAsia" w:ascii="Times New Roman" w:hAnsi="Times New Roman" w:cs="Courier New"/>
          <w:bCs/>
          <w:color w:val="auto"/>
          <w:highlight w:val="none"/>
          <w:lang w:val="en-US" w:eastAsia="zh-CN"/>
        </w:rPr>
        <w:t>声环境影响评价自查表</w:t>
      </w:r>
    </w:p>
    <w:p w14:paraId="14163E84">
      <w:pPr>
        <w:pStyle w:val="26"/>
        <w:bidi w:val="0"/>
        <w:rPr>
          <w:rFonts w:hint="eastAsia"/>
          <w:color w:val="auto"/>
          <w:highlight w:val="none"/>
          <w:lang w:val="en-US" w:eastAsia="zh-CN"/>
        </w:rPr>
      </w:pPr>
      <w:r>
        <w:rPr>
          <w:rFonts w:hint="eastAsia"/>
          <w:color w:val="auto"/>
          <w:highlight w:val="none"/>
        </w:rPr>
        <w:t>本项目</w:t>
      </w:r>
      <w:r>
        <w:rPr>
          <w:rFonts w:hint="eastAsia"/>
          <w:color w:val="auto"/>
          <w:highlight w:val="none"/>
          <w:lang w:val="en-US" w:eastAsia="zh-CN"/>
        </w:rPr>
        <w:t>声</w:t>
      </w:r>
      <w:r>
        <w:rPr>
          <w:rFonts w:hint="eastAsia"/>
          <w:color w:val="auto"/>
          <w:highlight w:val="none"/>
        </w:rPr>
        <w:t>环境影响评价自查表见下表。</w:t>
      </w:r>
    </w:p>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14:paraId="430D2C7C">
      <w:pPr>
        <w:pStyle w:val="26"/>
        <w:numPr>
          <w:ilvl w:val="0"/>
          <w:numId w:val="25"/>
        </w:numPr>
        <w:tabs>
          <w:tab w:val="left" w:pos="0"/>
        </w:tabs>
        <w:ind w:left="0" w:leftChars="0" w:firstLine="420" w:firstLineChars="0"/>
        <w:jc w:val="center"/>
        <w:rPr>
          <w:rFonts w:hint="default" w:ascii="Times New Roman" w:hAnsi="Times New Roman" w:eastAsia="黑体" w:cs="Times New Roman"/>
          <w:color w:val="auto"/>
          <w:sz w:val="21"/>
          <w:szCs w:val="21"/>
          <w:highlight w:val="none"/>
          <w:lang w:val="zh-CN" w:eastAsia="zh-CN"/>
        </w:rPr>
      </w:pPr>
      <w:r>
        <w:rPr>
          <w:rFonts w:hint="eastAsia" w:ascii="Times New Roman" w:hAnsi="Times New Roman" w:eastAsia="黑体" w:cs="Times New Roman"/>
          <w:color w:val="auto"/>
          <w:sz w:val="21"/>
          <w:szCs w:val="21"/>
          <w:highlight w:val="none"/>
          <w:lang w:val="en-US" w:eastAsia="zh-CN"/>
        </w:rPr>
        <w:t>声环境影响评价自查表</w:t>
      </w:r>
    </w:p>
    <w:tbl>
      <w:tblPr>
        <w:tblStyle w:val="21"/>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361"/>
        <w:gridCol w:w="1688"/>
        <w:gridCol w:w="1008"/>
        <w:gridCol w:w="506"/>
        <w:gridCol w:w="506"/>
        <w:gridCol w:w="1014"/>
        <w:gridCol w:w="1010"/>
        <w:gridCol w:w="504"/>
        <w:gridCol w:w="714"/>
        <w:gridCol w:w="1203"/>
      </w:tblGrid>
      <w:tr w14:paraId="75205F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tcBorders>
              <w:tl2br w:val="nil"/>
              <w:tr2bl w:val="nil"/>
            </w:tcBorders>
            <w:noWrap w:val="0"/>
            <w:vAlign w:val="center"/>
          </w:tcPr>
          <w:p w14:paraId="08792C0A">
            <w:pPr>
              <w:pStyle w:val="24"/>
              <w:bidi w:val="0"/>
              <w:rPr>
                <w:rFonts w:hint="default" w:ascii="Times New Roman" w:hAnsi="Times New Roman" w:eastAsia="宋体" w:cs="Courier New"/>
                <w:b/>
                <w:bCs/>
                <w:color w:val="auto"/>
                <w:highlight w:val="none"/>
                <w:lang w:val="en-US" w:eastAsia="zh-CN"/>
              </w:rPr>
            </w:pPr>
            <w:r>
              <w:rPr>
                <w:rFonts w:hint="default" w:ascii="Times New Roman" w:hAnsi="Times New Roman" w:eastAsia="宋体" w:cs="Courier New"/>
                <w:b/>
                <w:bCs/>
                <w:color w:val="auto"/>
                <w:highlight w:val="none"/>
                <w:lang w:val="en-US" w:eastAsia="zh-CN"/>
              </w:rPr>
              <w:t>工作内容</w:t>
            </w:r>
          </w:p>
        </w:tc>
        <w:tc>
          <w:tcPr>
            <w:tcW w:w="4284" w:type="pct"/>
            <w:gridSpan w:val="9"/>
            <w:tcBorders>
              <w:tl2br w:val="nil"/>
              <w:tr2bl w:val="nil"/>
            </w:tcBorders>
            <w:noWrap w:val="0"/>
            <w:vAlign w:val="center"/>
          </w:tcPr>
          <w:p w14:paraId="07D74562">
            <w:pPr>
              <w:pStyle w:val="24"/>
              <w:bidi w:val="0"/>
              <w:rPr>
                <w:rFonts w:hint="default" w:ascii="Times New Roman" w:hAnsi="Times New Roman" w:eastAsia="宋体" w:cs="Courier New"/>
                <w:b/>
                <w:bCs/>
                <w:color w:val="auto"/>
                <w:highlight w:val="none"/>
                <w:lang w:val="en-US" w:eastAsia="zh-CN"/>
              </w:rPr>
            </w:pPr>
            <w:r>
              <w:rPr>
                <w:rFonts w:hint="default" w:ascii="Times New Roman" w:hAnsi="Times New Roman" w:eastAsia="宋体" w:cs="Courier New"/>
                <w:b/>
                <w:bCs/>
                <w:color w:val="auto"/>
                <w:highlight w:val="none"/>
                <w:lang w:val="en-US" w:eastAsia="zh-CN"/>
              </w:rPr>
              <w:t>自查项目</w:t>
            </w:r>
          </w:p>
        </w:tc>
      </w:tr>
      <w:tr w14:paraId="4FB310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restart"/>
            <w:tcBorders>
              <w:tl2br w:val="nil"/>
              <w:tr2bl w:val="nil"/>
            </w:tcBorders>
            <w:noWrap w:val="0"/>
            <w:vAlign w:val="center"/>
          </w:tcPr>
          <w:p w14:paraId="34522436">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评价等级与范围</w:t>
            </w:r>
          </w:p>
        </w:tc>
        <w:tc>
          <w:tcPr>
            <w:tcW w:w="887" w:type="pct"/>
            <w:tcBorders>
              <w:tl2br w:val="nil"/>
              <w:tr2bl w:val="nil"/>
            </w:tcBorders>
            <w:noWrap w:val="0"/>
            <w:vAlign w:val="center"/>
          </w:tcPr>
          <w:p w14:paraId="396E64AF">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评价等级</w:t>
            </w:r>
          </w:p>
        </w:tc>
        <w:tc>
          <w:tcPr>
            <w:tcW w:w="3397" w:type="pct"/>
            <w:gridSpan w:val="8"/>
            <w:tcBorders>
              <w:tl2br w:val="nil"/>
              <w:tr2bl w:val="nil"/>
            </w:tcBorders>
            <w:noWrap w:val="0"/>
            <w:vAlign w:val="center"/>
          </w:tcPr>
          <w:p w14:paraId="1041BA1A">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一级</w:t>
            </w:r>
            <w:r>
              <w:rPr>
                <w:rFonts w:hint="eastAsia" w:ascii="Times New Roman Regular" w:hAnsi="Times New Roman Regular" w:eastAsia="宋体" w:cs="Times New Roman Regular"/>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 xml:space="preserve">                     二级</w:t>
            </w:r>
            <w:r>
              <w:rPr>
                <w:rFonts w:hint="eastAsia" w:ascii="Times New Roman Regular" w:hAnsi="Times New Roman Regular" w:cs="Times New Roman Regular"/>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 xml:space="preserve">                  三级</w:t>
            </w:r>
            <w:r>
              <w:rPr>
                <w:rFonts w:hint="eastAsia" w:ascii="Times New Roman Regular" w:hAnsi="Times New Roman Regular" w:cs="Times New Roman Regular"/>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 xml:space="preserve"> </w:t>
            </w:r>
          </w:p>
        </w:tc>
      </w:tr>
      <w:tr w14:paraId="06858E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49C232FE">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5C029798">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评价范围</w:t>
            </w:r>
          </w:p>
        </w:tc>
        <w:tc>
          <w:tcPr>
            <w:tcW w:w="3397" w:type="pct"/>
            <w:gridSpan w:val="8"/>
            <w:tcBorders>
              <w:tl2br w:val="nil"/>
              <w:tr2bl w:val="nil"/>
            </w:tcBorders>
            <w:noWrap w:val="0"/>
            <w:vAlign w:val="center"/>
          </w:tcPr>
          <w:p w14:paraId="5F60C6E1">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200m</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大于200m□               小于200m□ </w:t>
            </w:r>
          </w:p>
        </w:tc>
      </w:tr>
      <w:tr w14:paraId="435F6F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tcBorders>
              <w:tl2br w:val="nil"/>
              <w:tr2bl w:val="nil"/>
            </w:tcBorders>
            <w:noWrap w:val="0"/>
            <w:vAlign w:val="center"/>
          </w:tcPr>
          <w:p w14:paraId="7F922EFB">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评价因子</w:t>
            </w:r>
          </w:p>
        </w:tc>
        <w:tc>
          <w:tcPr>
            <w:tcW w:w="887" w:type="pct"/>
            <w:tcBorders>
              <w:tl2br w:val="nil"/>
              <w:tr2bl w:val="nil"/>
            </w:tcBorders>
            <w:noWrap w:val="0"/>
            <w:vAlign w:val="center"/>
          </w:tcPr>
          <w:p w14:paraId="27BEEDB9">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评价因子</w:t>
            </w:r>
          </w:p>
        </w:tc>
        <w:tc>
          <w:tcPr>
            <w:tcW w:w="3397" w:type="pct"/>
            <w:gridSpan w:val="8"/>
            <w:tcBorders>
              <w:tl2br w:val="nil"/>
              <w:tr2bl w:val="nil"/>
            </w:tcBorders>
            <w:noWrap w:val="0"/>
            <w:vAlign w:val="center"/>
          </w:tcPr>
          <w:p w14:paraId="10FEE47C">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等效连续A声级</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最大A声级□    计权等效连续感觉噪声级□</w:t>
            </w:r>
          </w:p>
        </w:tc>
      </w:tr>
      <w:tr w14:paraId="3B1589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tcBorders>
              <w:tl2br w:val="nil"/>
              <w:tr2bl w:val="nil"/>
            </w:tcBorders>
            <w:noWrap w:val="0"/>
            <w:vAlign w:val="center"/>
          </w:tcPr>
          <w:p w14:paraId="56A22A65">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评价标准</w:t>
            </w:r>
          </w:p>
        </w:tc>
        <w:tc>
          <w:tcPr>
            <w:tcW w:w="887" w:type="pct"/>
            <w:tcBorders>
              <w:tl2br w:val="nil"/>
              <w:tr2bl w:val="nil"/>
            </w:tcBorders>
            <w:noWrap w:val="0"/>
            <w:vAlign w:val="center"/>
          </w:tcPr>
          <w:p w14:paraId="5ABC3C91">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评价标准</w:t>
            </w:r>
          </w:p>
        </w:tc>
        <w:tc>
          <w:tcPr>
            <w:tcW w:w="3397" w:type="pct"/>
            <w:gridSpan w:val="8"/>
            <w:tcBorders>
              <w:tl2br w:val="nil"/>
              <w:tr2bl w:val="nil"/>
            </w:tcBorders>
            <w:noWrap w:val="0"/>
            <w:vAlign w:val="center"/>
          </w:tcPr>
          <w:p w14:paraId="655E0EAF">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国家标准</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地方标准□             国外标准□</w:t>
            </w:r>
          </w:p>
        </w:tc>
      </w:tr>
      <w:tr w14:paraId="1A2DBF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restart"/>
            <w:tcBorders>
              <w:tl2br w:val="nil"/>
              <w:tr2bl w:val="nil"/>
            </w:tcBorders>
            <w:noWrap w:val="0"/>
            <w:vAlign w:val="center"/>
          </w:tcPr>
          <w:p w14:paraId="6EBDB264">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现状评价</w:t>
            </w:r>
          </w:p>
        </w:tc>
        <w:tc>
          <w:tcPr>
            <w:tcW w:w="887" w:type="pct"/>
            <w:tcBorders>
              <w:tl2br w:val="nil"/>
              <w:tr2bl w:val="nil"/>
            </w:tcBorders>
            <w:noWrap w:val="0"/>
            <w:vAlign w:val="center"/>
          </w:tcPr>
          <w:p w14:paraId="125A2221">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环境功能区</w:t>
            </w:r>
          </w:p>
        </w:tc>
        <w:tc>
          <w:tcPr>
            <w:tcW w:w="530" w:type="pct"/>
            <w:tcBorders>
              <w:tl2br w:val="nil"/>
              <w:tr2bl w:val="nil"/>
            </w:tcBorders>
            <w:noWrap w:val="0"/>
            <w:vAlign w:val="center"/>
          </w:tcPr>
          <w:p w14:paraId="504CB5DE">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0类区□</w:t>
            </w:r>
          </w:p>
        </w:tc>
        <w:tc>
          <w:tcPr>
            <w:tcW w:w="531" w:type="pct"/>
            <w:gridSpan w:val="2"/>
            <w:tcBorders>
              <w:tl2br w:val="nil"/>
              <w:tr2bl w:val="nil"/>
            </w:tcBorders>
            <w:noWrap w:val="0"/>
            <w:vAlign w:val="center"/>
          </w:tcPr>
          <w:p w14:paraId="2183FE62">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1类区□</w:t>
            </w:r>
          </w:p>
        </w:tc>
        <w:tc>
          <w:tcPr>
            <w:tcW w:w="532" w:type="pct"/>
            <w:tcBorders>
              <w:tl2br w:val="nil"/>
              <w:tr2bl w:val="nil"/>
            </w:tcBorders>
            <w:noWrap w:val="0"/>
            <w:vAlign w:val="center"/>
          </w:tcPr>
          <w:p w14:paraId="2FCC7809">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2类区</w:t>
            </w:r>
            <w:r>
              <w:rPr>
                <w:rFonts w:hint="default" w:ascii="Times New Roman Regular" w:hAnsi="Times New Roman Regular" w:eastAsia="宋体" w:cs="Times New Roman Regular"/>
                <w:b w:val="0"/>
                <w:bCs/>
                <w:color w:val="auto"/>
                <w:highlight w:val="none"/>
                <w:u w:val="none"/>
              </w:rPr>
              <w:sym w:font="Wingdings 2" w:char="0052"/>
            </w:r>
          </w:p>
        </w:tc>
        <w:tc>
          <w:tcPr>
            <w:tcW w:w="531" w:type="pct"/>
            <w:tcBorders>
              <w:tl2br w:val="nil"/>
              <w:tr2bl w:val="nil"/>
            </w:tcBorders>
            <w:noWrap w:val="0"/>
            <w:vAlign w:val="center"/>
          </w:tcPr>
          <w:p w14:paraId="2504D383">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3类区</w:t>
            </w:r>
            <w:r>
              <w:rPr>
                <w:rFonts w:hint="default" w:ascii="Times New Roman Regular" w:hAnsi="Times New Roman Regular" w:eastAsia="宋体" w:cs="Times New Roman Regular"/>
                <w:b w:val="0"/>
                <w:bCs/>
                <w:color w:val="auto"/>
                <w:highlight w:val="none"/>
                <w:u w:val="none"/>
              </w:rPr>
              <w:sym w:font="Wingdings 2" w:char="0052"/>
            </w:r>
          </w:p>
        </w:tc>
        <w:tc>
          <w:tcPr>
            <w:tcW w:w="640" w:type="pct"/>
            <w:gridSpan w:val="2"/>
            <w:tcBorders>
              <w:tl2br w:val="nil"/>
              <w:tr2bl w:val="nil"/>
            </w:tcBorders>
            <w:noWrap w:val="0"/>
            <w:vAlign w:val="center"/>
          </w:tcPr>
          <w:p w14:paraId="6B79561A">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4a类区</w:t>
            </w:r>
            <w:r>
              <w:rPr>
                <w:rFonts w:hint="default" w:ascii="Times New Roman Regular" w:hAnsi="Times New Roman Regular" w:eastAsia="宋体" w:cs="Times New Roman Regular"/>
                <w:b w:val="0"/>
                <w:bCs/>
                <w:color w:val="auto"/>
                <w:highlight w:val="none"/>
                <w:u w:val="none"/>
              </w:rPr>
              <w:sym w:font="Wingdings 2" w:char="00A3"/>
            </w:r>
          </w:p>
        </w:tc>
        <w:tc>
          <w:tcPr>
            <w:tcW w:w="629" w:type="pct"/>
            <w:tcBorders>
              <w:tl2br w:val="nil"/>
              <w:tr2bl w:val="nil"/>
            </w:tcBorders>
            <w:noWrap w:val="0"/>
            <w:vAlign w:val="center"/>
          </w:tcPr>
          <w:p w14:paraId="65F9F2D9">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4b类区□</w:t>
            </w:r>
          </w:p>
        </w:tc>
      </w:tr>
      <w:tr w14:paraId="6EA26B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11D4FD3B">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04AF2E9A">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评价年度</w:t>
            </w:r>
          </w:p>
        </w:tc>
        <w:tc>
          <w:tcPr>
            <w:tcW w:w="796" w:type="pct"/>
            <w:gridSpan w:val="2"/>
            <w:tcBorders>
              <w:tl2br w:val="nil"/>
              <w:tr2bl w:val="nil"/>
            </w:tcBorders>
            <w:noWrap w:val="0"/>
            <w:vAlign w:val="center"/>
          </w:tcPr>
          <w:p w14:paraId="63A753EA">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初期□</w:t>
            </w:r>
          </w:p>
        </w:tc>
        <w:tc>
          <w:tcPr>
            <w:tcW w:w="798" w:type="pct"/>
            <w:gridSpan w:val="2"/>
            <w:tcBorders>
              <w:tl2br w:val="nil"/>
              <w:tr2bl w:val="nil"/>
            </w:tcBorders>
            <w:noWrap w:val="0"/>
            <w:vAlign w:val="center"/>
          </w:tcPr>
          <w:p w14:paraId="226662BF">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近期</w:t>
            </w:r>
            <w:r>
              <w:rPr>
                <w:rFonts w:hint="default" w:ascii="Times New Roman Regular" w:hAnsi="Times New Roman Regular" w:eastAsia="宋体" w:cs="Times New Roman Regular"/>
                <w:b w:val="0"/>
                <w:bCs/>
                <w:color w:val="auto"/>
                <w:highlight w:val="none"/>
                <w:u w:val="none"/>
              </w:rPr>
              <w:sym w:font="Wingdings 2" w:char="00A3"/>
            </w:r>
          </w:p>
        </w:tc>
        <w:tc>
          <w:tcPr>
            <w:tcW w:w="796" w:type="pct"/>
            <w:gridSpan w:val="2"/>
            <w:tcBorders>
              <w:tl2br w:val="nil"/>
              <w:tr2bl w:val="nil"/>
            </w:tcBorders>
            <w:noWrap w:val="0"/>
            <w:vAlign w:val="center"/>
          </w:tcPr>
          <w:p w14:paraId="272B508F">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中期</w:t>
            </w:r>
            <w:r>
              <w:rPr>
                <w:rFonts w:hint="default" w:ascii="Times New Roman Regular" w:hAnsi="Times New Roman Regular" w:eastAsia="宋体" w:cs="Times New Roman Regular"/>
                <w:b w:val="0"/>
                <w:bCs/>
                <w:color w:val="auto"/>
                <w:highlight w:val="none"/>
                <w:u w:val="none"/>
              </w:rPr>
              <w:sym w:font="Wingdings 2" w:char="00A3"/>
            </w:r>
          </w:p>
        </w:tc>
        <w:tc>
          <w:tcPr>
            <w:tcW w:w="1004" w:type="pct"/>
            <w:gridSpan w:val="2"/>
            <w:tcBorders>
              <w:tl2br w:val="nil"/>
              <w:tr2bl w:val="nil"/>
            </w:tcBorders>
            <w:noWrap w:val="0"/>
            <w:vAlign w:val="center"/>
          </w:tcPr>
          <w:p w14:paraId="4DCB0649">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远期</w:t>
            </w:r>
            <w:r>
              <w:rPr>
                <w:rFonts w:hint="default" w:ascii="Times New Roman Regular" w:hAnsi="Times New Roman Regular" w:eastAsia="宋体" w:cs="Times New Roman Regular"/>
                <w:b w:val="0"/>
                <w:bCs/>
                <w:color w:val="auto"/>
                <w:highlight w:val="none"/>
                <w:u w:val="none"/>
              </w:rPr>
              <w:sym w:font="Wingdings 2" w:char="00A3"/>
            </w:r>
          </w:p>
        </w:tc>
      </w:tr>
      <w:tr w14:paraId="5B720B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20A91D78">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2D6D48A3">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现状调查方法</w:t>
            </w:r>
          </w:p>
        </w:tc>
        <w:tc>
          <w:tcPr>
            <w:tcW w:w="3397" w:type="pct"/>
            <w:gridSpan w:val="8"/>
            <w:tcBorders>
              <w:tl2br w:val="nil"/>
              <w:tr2bl w:val="nil"/>
            </w:tcBorders>
            <w:noWrap w:val="0"/>
            <w:vAlign w:val="center"/>
          </w:tcPr>
          <w:p w14:paraId="5906EB1D">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现场实测法</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现场实测加模型计算法□       收集资料□ </w:t>
            </w:r>
          </w:p>
        </w:tc>
      </w:tr>
      <w:tr w14:paraId="1D2399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5B434509">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47BF5C3D">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现状评价</w:t>
            </w:r>
          </w:p>
        </w:tc>
        <w:tc>
          <w:tcPr>
            <w:tcW w:w="1062" w:type="pct"/>
            <w:gridSpan w:val="3"/>
            <w:tcBorders>
              <w:tl2br w:val="nil"/>
              <w:tr2bl w:val="nil"/>
            </w:tcBorders>
            <w:noWrap w:val="0"/>
            <w:vAlign w:val="center"/>
          </w:tcPr>
          <w:p w14:paraId="0591BB7C">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达标百分比</w:t>
            </w:r>
          </w:p>
        </w:tc>
        <w:tc>
          <w:tcPr>
            <w:tcW w:w="2334" w:type="pct"/>
            <w:gridSpan w:val="5"/>
            <w:tcBorders>
              <w:tl2br w:val="nil"/>
              <w:tr2bl w:val="nil"/>
            </w:tcBorders>
            <w:noWrap w:val="0"/>
            <w:vAlign w:val="center"/>
          </w:tcPr>
          <w:p w14:paraId="038AA1F8">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100%</w:t>
            </w:r>
          </w:p>
        </w:tc>
      </w:tr>
      <w:tr w14:paraId="33B96B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tcBorders>
              <w:tl2br w:val="nil"/>
              <w:tr2bl w:val="nil"/>
            </w:tcBorders>
            <w:noWrap w:val="0"/>
            <w:vAlign w:val="center"/>
          </w:tcPr>
          <w:p w14:paraId="5609A957">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噪声源调查</w:t>
            </w:r>
          </w:p>
        </w:tc>
        <w:tc>
          <w:tcPr>
            <w:tcW w:w="887" w:type="pct"/>
            <w:tcBorders>
              <w:tl2br w:val="nil"/>
              <w:tr2bl w:val="nil"/>
            </w:tcBorders>
            <w:noWrap w:val="0"/>
            <w:vAlign w:val="center"/>
          </w:tcPr>
          <w:p w14:paraId="18F7DA9D">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噪声源调查方法</w:t>
            </w:r>
          </w:p>
        </w:tc>
        <w:tc>
          <w:tcPr>
            <w:tcW w:w="3397" w:type="pct"/>
            <w:gridSpan w:val="8"/>
            <w:tcBorders>
              <w:tl2br w:val="nil"/>
              <w:tr2bl w:val="nil"/>
            </w:tcBorders>
            <w:noWrap w:val="0"/>
            <w:vAlign w:val="center"/>
          </w:tcPr>
          <w:p w14:paraId="323E77AE">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现场实测□                已有资料□              研究成果</w:t>
            </w:r>
            <w:r>
              <w:rPr>
                <w:rFonts w:hint="default" w:ascii="Times New Roman Regular" w:hAnsi="Times New Roman Regular" w:eastAsia="宋体" w:cs="Times New Roman Regular"/>
                <w:b w:val="0"/>
                <w:bCs/>
                <w:color w:val="auto"/>
                <w:highlight w:val="none"/>
                <w:u w:val="none"/>
              </w:rPr>
              <w:sym w:font="Wingdings 2" w:char="0052"/>
            </w:r>
          </w:p>
        </w:tc>
      </w:tr>
      <w:tr w14:paraId="1115FC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restart"/>
            <w:tcBorders>
              <w:tl2br w:val="nil"/>
              <w:tr2bl w:val="nil"/>
            </w:tcBorders>
            <w:noWrap w:val="0"/>
            <w:vAlign w:val="center"/>
          </w:tcPr>
          <w:p w14:paraId="5C19125F">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声环境影响预测与评价</w:t>
            </w:r>
          </w:p>
        </w:tc>
        <w:tc>
          <w:tcPr>
            <w:tcW w:w="887" w:type="pct"/>
            <w:tcBorders>
              <w:tl2br w:val="nil"/>
              <w:tr2bl w:val="nil"/>
            </w:tcBorders>
            <w:noWrap w:val="0"/>
            <w:vAlign w:val="center"/>
          </w:tcPr>
          <w:p w14:paraId="3DE49691">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预测模型</w:t>
            </w:r>
          </w:p>
        </w:tc>
        <w:tc>
          <w:tcPr>
            <w:tcW w:w="3397" w:type="pct"/>
            <w:gridSpan w:val="8"/>
            <w:tcBorders>
              <w:tl2br w:val="nil"/>
              <w:tr2bl w:val="nil"/>
            </w:tcBorders>
            <w:noWrap w:val="0"/>
            <w:vAlign w:val="center"/>
          </w:tcPr>
          <w:p w14:paraId="3661C2C0">
            <w:pPr>
              <w:pStyle w:val="24"/>
              <w:spacing w:line="273" w:lineRule="auto"/>
              <w:jc w:val="both"/>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导则推荐模型</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其他□</w:t>
            </w:r>
          </w:p>
        </w:tc>
      </w:tr>
      <w:tr w14:paraId="52A9DA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53D21DE1">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036A38D2">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预测范围</w:t>
            </w:r>
          </w:p>
        </w:tc>
        <w:tc>
          <w:tcPr>
            <w:tcW w:w="3397" w:type="pct"/>
            <w:gridSpan w:val="8"/>
            <w:tcBorders>
              <w:tl2br w:val="nil"/>
              <w:tr2bl w:val="nil"/>
            </w:tcBorders>
            <w:noWrap w:val="0"/>
            <w:vAlign w:val="center"/>
          </w:tcPr>
          <w:p w14:paraId="2E1566D9">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200m</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大于200m□               小于200m□</w:t>
            </w:r>
          </w:p>
        </w:tc>
      </w:tr>
      <w:tr w14:paraId="652DF1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594A8F6D">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0B0FFACB">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预测因子</w:t>
            </w:r>
          </w:p>
        </w:tc>
        <w:tc>
          <w:tcPr>
            <w:tcW w:w="3397" w:type="pct"/>
            <w:gridSpan w:val="8"/>
            <w:tcBorders>
              <w:tl2br w:val="nil"/>
              <w:tr2bl w:val="nil"/>
            </w:tcBorders>
            <w:noWrap w:val="0"/>
            <w:vAlign w:val="center"/>
          </w:tcPr>
          <w:p w14:paraId="27A88755">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等效连续A声级</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最大A声级□    计权等效连续感觉噪声级□</w:t>
            </w:r>
          </w:p>
        </w:tc>
      </w:tr>
      <w:tr w14:paraId="4E9692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0F477F25">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7B77B8B1">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厂界噪声贡献值</w:t>
            </w:r>
          </w:p>
        </w:tc>
        <w:tc>
          <w:tcPr>
            <w:tcW w:w="3397" w:type="pct"/>
            <w:gridSpan w:val="8"/>
            <w:tcBorders>
              <w:tl2br w:val="nil"/>
              <w:tr2bl w:val="nil"/>
            </w:tcBorders>
            <w:noWrap w:val="0"/>
            <w:vAlign w:val="center"/>
          </w:tcPr>
          <w:p w14:paraId="480AD3B6">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达标</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不达标□ </w:t>
            </w:r>
          </w:p>
        </w:tc>
      </w:tr>
      <w:tr w14:paraId="32683E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6B615066">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5827B351">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声环境保护目标处噪声值</w:t>
            </w:r>
          </w:p>
        </w:tc>
        <w:tc>
          <w:tcPr>
            <w:tcW w:w="3397" w:type="pct"/>
            <w:gridSpan w:val="8"/>
            <w:tcBorders>
              <w:tl2br w:val="nil"/>
              <w:tr2bl w:val="nil"/>
            </w:tcBorders>
            <w:noWrap w:val="0"/>
            <w:vAlign w:val="center"/>
          </w:tcPr>
          <w:p w14:paraId="42530B6D">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达标</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不达标</w:t>
            </w:r>
            <w:r>
              <w:rPr>
                <w:rFonts w:hint="default" w:ascii="Times New Roman Regular" w:hAnsi="Times New Roman Regular" w:eastAsia="宋体" w:cs="Times New Roman Regular"/>
                <w:b w:val="0"/>
                <w:bCs/>
                <w:color w:val="auto"/>
                <w:highlight w:val="none"/>
                <w:u w:val="none"/>
              </w:rPr>
              <w:sym w:font="Wingdings 2" w:char="00A3"/>
            </w:r>
          </w:p>
        </w:tc>
      </w:tr>
      <w:tr w14:paraId="34E64E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restart"/>
            <w:tcBorders>
              <w:tl2br w:val="nil"/>
              <w:tr2bl w:val="nil"/>
            </w:tcBorders>
            <w:noWrap w:val="0"/>
            <w:vAlign w:val="center"/>
          </w:tcPr>
          <w:p w14:paraId="519795B0">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环境监测计划</w:t>
            </w:r>
          </w:p>
        </w:tc>
        <w:tc>
          <w:tcPr>
            <w:tcW w:w="887" w:type="pct"/>
            <w:tcBorders>
              <w:tl2br w:val="nil"/>
              <w:tr2bl w:val="nil"/>
            </w:tcBorders>
            <w:noWrap w:val="0"/>
            <w:vAlign w:val="center"/>
          </w:tcPr>
          <w:p w14:paraId="73103959">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排放监测</w:t>
            </w:r>
          </w:p>
        </w:tc>
        <w:tc>
          <w:tcPr>
            <w:tcW w:w="3397" w:type="pct"/>
            <w:gridSpan w:val="8"/>
            <w:tcBorders>
              <w:tl2br w:val="nil"/>
              <w:tr2bl w:val="nil"/>
            </w:tcBorders>
            <w:noWrap w:val="0"/>
            <w:vAlign w:val="center"/>
          </w:tcPr>
          <w:p w14:paraId="0ADE8A3B">
            <w:pPr>
              <w:pStyle w:val="24"/>
              <w:spacing w:line="273" w:lineRule="auto"/>
              <w:jc w:val="both"/>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厂界监测</w:t>
            </w:r>
            <w:r>
              <w:rPr>
                <w:rFonts w:hint="eastAsia" w:ascii="Times New Roman Regular" w:hAnsi="Times New Roman Regular" w:cs="Times New Roman Regular"/>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 xml:space="preserve">  固定位置监测□  自动检测□   手动监测</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无监测□ </w:t>
            </w:r>
          </w:p>
        </w:tc>
      </w:tr>
      <w:tr w14:paraId="31FE1A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vMerge w:val="continue"/>
            <w:tcBorders>
              <w:tl2br w:val="nil"/>
              <w:tr2bl w:val="nil"/>
            </w:tcBorders>
            <w:noWrap w:val="0"/>
            <w:vAlign w:val="center"/>
          </w:tcPr>
          <w:p w14:paraId="4A977F04">
            <w:pPr>
              <w:pStyle w:val="24"/>
              <w:spacing w:line="273" w:lineRule="auto"/>
              <w:rPr>
                <w:rFonts w:hint="default" w:ascii="Times New Roman Regular" w:hAnsi="Times New Roman Regular" w:eastAsia="宋体" w:cs="Times New Roman Regular"/>
                <w:b w:val="0"/>
                <w:bCs/>
                <w:color w:val="auto"/>
                <w:highlight w:val="none"/>
                <w:u w:val="none"/>
              </w:rPr>
            </w:pPr>
          </w:p>
        </w:tc>
        <w:tc>
          <w:tcPr>
            <w:tcW w:w="887" w:type="pct"/>
            <w:tcBorders>
              <w:tl2br w:val="nil"/>
              <w:tr2bl w:val="nil"/>
            </w:tcBorders>
            <w:noWrap w:val="0"/>
            <w:vAlign w:val="center"/>
          </w:tcPr>
          <w:p w14:paraId="2D4EF83E">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声环境保护目标处噪声监测</w:t>
            </w:r>
          </w:p>
        </w:tc>
        <w:tc>
          <w:tcPr>
            <w:tcW w:w="1595" w:type="pct"/>
            <w:gridSpan w:val="4"/>
            <w:tcBorders>
              <w:tl2br w:val="nil"/>
              <w:tr2bl w:val="nil"/>
            </w:tcBorders>
            <w:noWrap w:val="0"/>
            <w:vAlign w:val="center"/>
          </w:tcPr>
          <w:p w14:paraId="23E562BA">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监测因子：（）</w:t>
            </w:r>
          </w:p>
        </w:tc>
        <w:tc>
          <w:tcPr>
            <w:tcW w:w="1171" w:type="pct"/>
            <w:gridSpan w:val="3"/>
            <w:tcBorders>
              <w:tl2br w:val="nil"/>
              <w:tr2bl w:val="nil"/>
            </w:tcBorders>
            <w:noWrap w:val="0"/>
            <w:vAlign w:val="center"/>
          </w:tcPr>
          <w:p w14:paraId="0FCFB096">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监测点位数（）</w:t>
            </w:r>
          </w:p>
        </w:tc>
        <w:tc>
          <w:tcPr>
            <w:tcW w:w="629" w:type="pct"/>
            <w:tcBorders>
              <w:tl2br w:val="nil"/>
              <w:tr2bl w:val="nil"/>
            </w:tcBorders>
            <w:noWrap w:val="0"/>
            <w:vAlign w:val="center"/>
          </w:tcPr>
          <w:p w14:paraId="11501783">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无监测</w:t>
            </w:r>
            <w:r>
              <w:rPr>
                <w:rFonts w:hint="eastAsia" w:ascii="Times New Roman Regular" w:hAnsi="Times New Roman Regular" w:cs="Times New Roman Regular"/>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 xml:space="preserve"> </w:t>
            </w:r>
          </w:p>
        </w:tc>
      </w:tr>
      <w:tr w14:paraId="67CE59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15" w:type="pct"/>
            <w:tcBorders>
              <w:tl2br w:val="nil"/>
              <w:tr2bl w:val="nil"/>
            </w:tcBorders>
            <w:noWrap w:val="0"/>
            <w:vAlign w:val="center"/>
          </w:tcPr>
          <w:p w14:paraId="3F972A3D">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评价结论</w:t>
            </w:r>
          </w:p>
        </w:tc>
        <w:tc>
          <w:tcPr>
            <w:tcW w:w="887" w:type="pct"/>
            <w:tcBorders>
              <w:tl2br w:val="nil"/>
              <w:tr2bl w:val="nil"/>
            </w:tcBorders>
            <w:noWrap w:val="0"/>
            <w:vAlign w:val="center"/>
          </w:tcPr>
          <w:p w14:paraId="4B7F9CAF">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环境影响</w:t>
            </w:r>
          </w:p>
        </w:tc>
        <w:tc>
          <w:tcPr>
            <w:tcW w:w="3397" w:type="pct"/>
            <w:gridSpan w:val="8"/>
            <w:tcBorders>
              <w:tl2br w:val="nil"/>
              <w:tr2bl w:val="nil"/>
            </w:tcBorders>
            <w:noWrap w:val="0"/>
            <w:vAlign w:val="center"/>
          </w:tcPr>
          <w:p w14:paraId="19E31DBA">
            <w:pPr>
              <w:pStyle w:val="24"/>
              <w:spacing w:line="273" w:lineRule="auto"/>
              <w:rPr>
                <w:rFonts w:hint="default" w:ascii="Times New Roman Regular" w:hAnsi="Times New Roman Regular" w:eastAsia="宋体" w:cs="Times New Roman Regular"/>
                <w:b w:val="0"/>
                <w:bCs/>
                <w:color w:val="auto"/>
                <w:highlight w:val="none"/>
                <w:u w:val="none"/>
              </w:rPr>
            </w:pPr>
            <w:r>
              <w:rPr>
                <w:rFonts w:hint="default" w:ascii="Times New Roman Regular" w:hAnsi="Times New Roman Regular" w:eastAsia="宋体" w:cs="Times New Roman Regular"/>
                <w:b w:val="0"/>
                <w:bCs/>
                <w:color w:val="auto"/>
                <w:highlight w:val="none"/>
                <w:u w:val="none"/>
              </w:rPr>
              <w:t>可行</w:t>
            </w:r>
            <w:r>
              <w:rPr>
                <w:rFonts w:hint="default" w:ascii="Times New Roman Regular" w:hAnsi="Times New Roman Regular" w:eastAsia="宋体" w:cs="Times New Roman Regular"/>
                <w:b w:val="0"/>
                <w:bCs/>
                <w:color w:val="auto"/>
                <w:highlight w:val="none"/>
                <w:u w:val="none"/>
              </w:rPr>
              <w:sym w:font="Wingdings 2" w:char="0052"/>
            </w:r>
            <w:r>
              <w:rPr>
                <w:rFonts w:hint="default" w:ascii="Times New Roman Regular" w:hAnsi="Times New Roman Regular" w:eastAsia="宋体" w:cs="Times New Roman Regular"/>
                <w:b w:val="0"/>
                <w:bCs/>
                <w:color w:val="auto"/>
                <w:highlight w:val="none"/>
                <w:u w:val="none"/>
              </w:rPr>
              <w:t xml:space="preserve">                             不可行□ </w:t>
            </w:r>
          </w:p>
        </w:tc>
      </w:tr>
      <w:tr w14:paraId="280C55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00" w:type="pct"/>
            <w:gridSpan w:val="10"/>
            <w:tcBorders>
              <w:tl2br w:val="nil"/>
              <w:tr2bl w:val="nil"/>
            </w:tcBorders>
            <w:noWrap w:val="0"/>
            <w:vAlign w:val="center"/>
          </w:tcPr>
          <w:p w14:paraId="319994C8">
            <w:pPr>
              <w:pStyle w:val="24"/>
              <w:spacing w:line="273" w:lineRule="auto"/>
              <w:rPr>
                <w:rFonts w:hint="default" w:ascii="Times New Roman Regular" w:hAnsi="Times New Roman Regular" w:eastAsia="宋体" w:cs="Times New Roman Regular"/>
                <w:color w:val="auto"/>
                <w:highlight w:val="none"/>
                <w:u w:val="none"/>
              </w:rPr>
            </w:pPr>
            <w:r>
              <w:rPr>
                <w:rFonts w:hint="default" w:ascii="Times New Roman Regular" w:hAnsi="Times New Roman Regular" w:eastAsia="宋体" w:cs="Times New Roman Regular"/>
                <w:b w:val="0"/>
                <w:bCs/>
                <w:color w:val="auto"/>
                <w:highlight w:val="none"/>
                <w:u w:val="none"/>
              </w:rPr>
              <w:t>注：</w:t>
            </w:r>
            <w:r>
              <w:rPr>
                <w:rFonts w:hint="eastAsia" w:ascii="宋体" w:hAnsi="宋体" w:eastAsia="宋体" w:cs="宋体"/>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w:t>
            </w:r>
            <w:r>
              <w:rPr>
                <w:rFonts w:hint="eastAsia" w:ascii="宋体" w:hAnsi="宋体" w:eastAsia="宋体" w:cs="宋体"/>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为勾选项，可√；</w:t>
            </w:r>
            <w:r>
              <w:rPr>
                <w:rFonts w:hint="eastAsia" w:ascii="宋体" w:hAnsi="宋体" w:eastAsia="宋体" w:cs="宋体"/>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w:t>
            </w:r>
            <w:r>
              <w:rPr>
                <w:rFonts w:hint="eastAsia" w:ascii="宋体" w:hAnsi="宋体" w:eastAsia="宋体" w:cs="宋体"/>
                <w:b w:val="0"/>
                <w:bCs/>
                <w:color w:val="auto"/>
                <w:highlight w:val="none"/>
                <w:u w:val="none"/>
                <w:lang w:eastAsia="zh-CN"/>
              </w:rPr>
              <w:t>”</w:t>
            </w:r>
            <w:r>
              <w:rPr>
                <w:rFonts w:hint="default" w:ascii="Times New Roman Regular" w:hAnsi="Times New Roman Regular" w:eastAsia="宋体" w:cs="Times New Roman Regular"/>
                <w:b w:val="0"/>
                <w:bCs/>
                <w:color w:val="auto"/>
                <w:highlight w:val="none"/>
                <w:u w:val="none"/>
              </w:rPr>
              <w:t>为内容填写项。</w:t>
            </w:r>
          </w:p>
        </w:tc>
      </w:tr>
    </w:tbl>
    <w:p w14:paraId="398B4A40">
      <w:pPr>
        <w:pStyle w:val="4"/>
        <w:bidi w:val="0"/>
        <w:ind w:left="1855" w:leftChars="0" w:hanging="1855" w:firstLineChars="0"/>
        <w:rPr>
          <w:rFonts w:hint="default"/>
          <w:color w:val="auto"/>
          <w:highlight w:val="none"/>
        </w:rPr>
      </w:pPr>
      <w:r>
        <w:rPr>
          <w:rFonts w:hint="eastAsia"/>
          <w:color w:val="auto"/>
          <w:highlight w:val="none"/>
          <w:lang w:val="en-US" w:eastAsia="zh-CN"/>
        </w:rPr>
        <w:t>固体废物影响分析</w:t>
      </w:r>
    </w:p>
    <w:p w14:paraId="431C29C6">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固体废物处置措施</w:t>
      </w:r>
    </w:p>
    <w:p w14:paraId="5D7F425C">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1、一般废物</w:t>
      </w:r>
    </w:p>
    <w:p w14:paraId="4BCDC8E6">
      <w:pPr>
        <w:pStyle w:val="26"/>
        <w:bidi w:val="0"/>
        <w:rPr>
          <w:rFonts w:ascii="Times New Roman" w:hAnsi="Times New Roman" w:cs="Times New Roman"/>
          <w:b w:val="0"/>
          <w:bCs w:val="0"/>
          <w:color w:val="auto"/>
          <w:sz w:val="24"/>
          <w:szCs w:val="24"/>
          <w:highlight w:val="none"/>
        </w:rPr>
      </w:pPr>
      <w:r>
        <w:rPr>
          <w:rFonts w:hint="eastAsia" w:cs="Times New Roman"/>
          <w:color w:val="auto"/>
          <w:sz w:val="24"/>
          <w:szCs w:val="24"/>
          <w:highlight w:val="none"/>
          <w:lang w:val="en-US" w:eastAsia="zh-CN"/>
        </w:rPr>
        <w:t>废离子交换树脂</w:t>
      </w:r>
      <w:r>
        <w:rPr>
          <w:rFonts w:hint="eastAsia" w:ascii="Times New Roman" w:hAnsi="Times New Roman" w:cs="Times New Roman"/>
          <w:color w:val="auto"/>
          <w:highlight w:val="none"/>
          <w:lang w:val="en-US" w:eastAsia="zh-CN"/>
        </w:rPr>
        <w:t>交由厂家回收处理，</w:t>
      </w:r>
      <w:r>
        <w:rPr>
          <w:rFonts w:hint="eastAsia" w:ascii="Times New Roman" w:hAnsi="Times New Roman" w:eastAsia="宋体" w:cs="Times New Roman"/>
          <w:color w:val="auto"/>
          <w:sz w:val="24"/>
          <w:szCs w:val="24"/>
          <w:highlight w:val="none"/>
          <w:lang w:val="en-US" w:eastAsia="zh-CN"/>
        </w:rPr>
        <w:t>未沾染化学品的废包装材料</w:t>
      </w:r>
      <w:r>
        <w:rPr>
          <w:color w:val="auto"/>
          <w:sz w:val="24"/>
          <w:szCs w:val="24"/>
          <w:highlight w:val="none"/>
        </w:rPr>
        <w:t>外售至废旧物资回收单位</w:t>
      </w:r>
      <w:r>
        <w:rPr>
          <w:rFonts w:hint="eastAsia"/>
          <w:color w:val="auto"/>
          <w:sz w:val="24"/>
          <w:szCs w:val="24"/>
          <w:highlight w:val="none"/>
          <w:lang w:eastAsia="zh-CN"/>
        </w:rPr>
        <w:t>，</w:t>
      </w:r>
      <w:r>
        <w:rPr>
          <w:rFonts w:hint="eastAsia" w:cs="Times New Roman"/>
          <w:color w:val="auto"/>
          <w:sz w:val="24"/>
          <w:szCs w:val="24"/>
          <w:highlight w:val="none"/>
          <w:lang w:val="en-US" w:eastAsia="zh-CN"/>
        </w:rPr>
        <w:t>生活垃圾</w:t>
      </w:r>
      <w:r>
        <w:rPr>
          <w:rFonts w:ascii="Times New Roman" w:hAnsi="Times New Roman" w:cs="Times New Roman"/>
          <w:color w:val="auto"/>
          <w:sz w:val="24"/>
          <w:szCs w:val="24"/>
        </w:rPr>
        <w:t>交由环卫部门</w:t>
      </w:r>
      <w:r>
        <w:rPr>
          <w:rFonts w:hint="eastAsia" w:ascii="Times New Roman" w:hAnsi="Times New Roman" w:cs="Times New Roman"/>
          <w:color w:val="auto"/>
          <w:sz w:val="24"/>
          <w:szCs w:val="24"/>
        </w:rPr>
        <w:t>清运</w:t>
      </w:r>
      <w:r>
        <w:rPr>
          <w:rFonts w:ascii="Times New Roman" w:hAnsi="Times New Roman" w:cs="Times New Roman"/>
          <w:color w:val="auto"/>
          <w:sz w:val="24"/>
          <w:szCs w:val="24"/>
        </w:rPr>
        <w:t>处理</w:t>
      </w:r>
      <w:r>
        <w:rPr>
          <w:rFonts w:hint="eastAsia" w:ascii="Times New Roman" w:hAnsi="Times New Roman" w:cs="Times New Roman"/>
          <w:color w:val="auto"/>
          <w:sz w:val="24"/>
          <w:szCs w:val="24"/>
          <w:lang w:eastAsia="zh-CN"/>
        </w:rPr>
        <w:t>，</w:t>
      </w:r>
      <w:r>
        <w:rPr>
          <w:rFonts w:hint="eastAsia" w:cs="Times New Roman"/>
          <w:color w:val="auto"/>
          <w:sz w:val="24"/>
          <w:szCs w:val="24"/>
          <w:highlight w:val="none"/>
          <w:lang w:val="en-US" w:eastAsia="zh-CN"/>
        </w:rPr>
        <w:t>预处理池</w:t>
      </w:r>
      <w:r>
        <w:rPr>
          <w:rFonts w:hint="eastAsia" w:ascii="Times New Roman" w:hAnsi="Times New Roman" w:eastAsia="宋体" w:cs="Times New Roman"/>
          <w:color w:val="auto"/>
          <w:sz w:val="24"/>
          <w:szCs w:val="24"/>
          <w:highlight w:val="none"/>
          <w:lang w:val="en-US" w:eastAsia="zh-CN"/>
        </w:rPr>
        <w:t>污泥及沉淀池沉渣</w:t>
      </w:r>
      <w:r>
        <w:rPr>
          <w:rFonts w:hint="eastAsia" w:ascii="Times New Roman" w:hAnsi="Times New Roman" w:eastAsia="宋体" w:cs="Times New Roman"/>
          <w:b w:val="0"/>
          <w:bCs w:val="0"/>
          <w:color w:val="auto"/>
          <w:highlight w:val="none"/>
          <w:lang w:val="en-US" w:eastAsia="zh-CN"/>
        </w:rPr>
        <w:t>交由环卫部门清掏处理</w:t>
      </w:r>
      <w:r>
        <w:rPr>
          <w:rFonts w:hint="eastAsia" w:ascii="Times New Roman" w:hAnsi="Times New Roman" w:cs="Times New Roman"/>
          <w:b w:val="0"/>
          <w:bCs w:val="0"/>
          <w:color w:val="auto"/>
          <w:sz w:val="24"/>
          <w:szCs w:val="24"/>
          <w:highlight w:val="none"/>
        </w:rPr>
        <w:t>。</w:t>
      </w:r>
    </w:p>
    <w:p w14:paraId="0B9F1112">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2、危险废物</w:t>
      </w:r>
    </w:p>
    <w:p w14:paraId="54382893">
      <w:pPr>
        <w:pStyle w:val="26"/>
        <w:bidi w:val="0"/>
        <w:rPr>
          <w:rFonts w:ascii="Times New Roman" w:hAnsi="Times New Roman" w:cs="Times New Roman"/>
          <w:color w:val="auto"/>
          <w:sz w:val="24"/>
          <w:szCs w:val="24"/>
          <w:highlight w:val="none"/>
        </w:rPr>
      </w:pPr>
      <w:r>
        <w:rPr>
          <w:rFonts w:hint="eastAsia"/>
          <w:color w:val="auto"/>
          <w:sz w:val="24"/>
          <w:szCs w:val="24"/>
          <w:highlight w:val="none"/>
          <w:lang w:val="en-US" w:eastAsia="zh-CN"/>
        </w:rPr>
        <w:t>沾染化学品的废包装材料、质检废液、剩余检验样品、涉及磷及重金属器皿清洗废水、喷淋废渣、废过滤棉、废活性炭、废润滑油、废油桶、含油废棉纱手套等危险废物经收集</w:t>
      </w:r>
      <w:r>
        <w:rPr>
          <w:rFonts w:hint="eastAsia"/>
          <w:color w:val="auto"/>
          <w:sz w:val="24"/>
          <w:szCs w:val="24"/>
          <w:highlight w:val="none"/>
        </w:rPr>
        <w:t>后暂存于</w:t>
      </w:r>
      <w:r>
        <w:rPr>
          <w:rFonts w:hint="eastAsia" w:cs="Times New Roman"/>
          <w:b w:val="0"/>
          <w:bCs w:val="0"/>
          <w:color w:val="auto"/>
          <w:highlight w:val="none"/>
          <w:lang w:val="en-US" w:eastAsia="zh-CN"/>
        </w:rPr>
        <w:t>危废暂存间</w:t>
      </w:r>
      <w:r>
        <w:rPr>
          <w:rFonts w:hint="eastAsia"/>
          <w:color w:val="auto"/>
          <w:sz w:val="24"/>
          <w:szCs w:val="24"/>
          <w:highlight w:val="none"/>
        </w:rPr>
        <w:t>，定期交由具资质单位处理</w:t>
      </w:r>
      <w:r>
        <w:rPr>
          <w:rFonts w:hint="eastAsia" w:ascii="Times New Roman" w:hAnsi="Times New Roman" w:cs="Times New Roman"/>
          <w:color w:val="auto"/>
          <w:sz w:val="24"/>
          <w:szCs w:val="24"/>
          <w:highlight w:val="none"/>
        </w:rPr>
        <w:t>。</w:t>
      </w:r>
    </w:p>
    <w:p w14:paraId="62FCF967">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危险废物贮存及转运要求</w:t>
      </w:r>
    </w:p>
    <w:p w14:paraId="04FD535C">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1、贮存要求</w:t>
      </w:r>
    </w:p>
    <w:p w14:paraId="69D2C769">
      <w:pPr>
        <w:pStyle w:val="26"/>
        <w:bidi w:val="0"/>
        <w:rPr>
          <w:color w:val="auto"/>
          <w:sz w:val="24"/>
          <w:szCs w:val="24"/>
          <w:highlight w:val="none"/>
        </w:rPr>
      </w:pPr>
      <w:r>
        <w:rPr>
          <w:color w:val="auto"/>
          <w:sz w:val="24"/>
          <w:szCs w:val="24"/>
          <w:highlight w:val="none"/>
        </w:rPr>
        <w:t>危险废物应分类收集储存在</w:t>
      </w:r>
      <w:r>
        <w:rPr>
          <w:rFonts w:hint="eastAsia" w:cs="Times New Roman"/>
          <w:b w:val="0"/>
          <w:bCs w:val="0"/>
          <w:color w:val="auto"/>
          <w:highlight w:val="none"/>
          <w:lang w:val="en-US" w:eastAsia="zh-CN"/>
        </w:rPr>
        <w:t>危废暂存间</w:t>
      </w:r>
      <w:r>
        <w:rPr>
          <w:color w:val="auto"/>
          <w:sz w:val="24"/>
          <w:szCs w:val="24"/>
          <w:highlight w:val="none"/>
        </w:rPr>
        <w:t>，</w:t>
      </w:r>
      <w:r>
        <w:rPr>
          <w:rFonts w:hint="eastAsia" w:cs="Times New Roman"/>
          <w:b w:val="0"/>
          <w:bCs w:val="0"/>
          <w:color w:val="auto"/>
          <w:highlight w:val="none"/>
          <w:lang w:val="en-US" w:eastAsia="zh-CN"/>
        </w:rPr>
        <w:t>危废暂存间</w:t>
      </w:r>
      <w:r>
        <w:rPr>
          <w:rFonts w:ascii="Times New Roman" w:hAnsi="Times New Roman" w:cs="Times New Roman"/>
          <w:b w:val="0"/>
          <w:bCs w:val="0"/>
          <w:color w:val="auto"/>
          <w:sz w:val="24"/>
          <w:highlight w:val="none"/>
        </w:rPr>
        <w:t>地面</w:t>
      </w:r>
      <w:r>
        <w:rPr>
          <w:rFonts w:hint="eastAsia" w:ascii="Times New Roman" w:hAnsi="Times New Roman" w:eastAsia="宋体" w:cs="Times New Roman"/>
          <w:color w:val="auto"/>
          <w:sz w:val="24"/>
          <w:szCs w:val="24"/>
          <w:highlight w:val="none"/>
          <w:lang w:val="en-US" w:eastAsia="zh-CN"/>
        </w:rPr>
        <w:t>防渗技术要求为：</w:t>
      </w:r>
      <w:r>
        <w:rPr>
          <w:rFonts w:hint="eastAsia" w:cs="Times New Roman"/>
          <w:b w:val="0"/>
          <w:bCs w:val="0"/>
          <w:color w:val="auto"/>
          <w:sz w:val="24"/>
          <w:szCs w:val="24"/>
          <w:highlight w:val="none"/>
          <w:lang w:val="en-US" w:eastAsia="zh-CN"/>
        </w:rPr>
        <w:t>需</w:t>
      </w:r>
      <w:r>
        <w:rPr>
          <w:rFonts w:hint="eastAsia"/>
          <w:color w:val="auto"/>
          <w:lang w:val="en-US" w:eastAsia="zh-CN"/>
        </w:rPr>
        <w:t>满足渗透系数K≤10</w:t>
      </w:r>
      <w:r>
        <w:rPr>
          <w:rFonts w:hint="eastAsia"/>
          <w:color w:val="auto"/>
          <w:vertAlign w:val="superscript"/>
          <w:lang w:val="en-US" w:eastAsia="zh-CN"/>
        </w:rPr>
        <w:t>-10</w:t>
      </w:r>
      <w:r>
        <w:rPr>
          <w:rFonts w:hint="eastAsia"/>
          <w:color w:val="auto"/>
          <w:lang w:val="en-US" w:eastAsia="zh-CN"/>
        </w:rPr>
        <w:t>cm/s的防渗技术要求</w:t>
      </w:r>
      <w:r>
        <w:rPr>
          <w:rFonts w:hint="eastAsia" w:cs="Times New Roman"/>
          <w:b w:val="0"/>
          <w:bCs w:val="0"/>
          <w:color w:val="auto"/>
          <w:sz w:val="24"/>
          <w:szCs w:val="24"/>
          <w:highlight w:val="none"/>
          <w:lang w:val="en-US" w:eastAsia="zh-CN"/>
        </w:rPr>
        <w:t>。</w:t>
      </w:r>
      <w:r>
        <w:rPr>
          <w:rFonts w:hint="eastAsia"/>
          <w:color w:val="auto"/>
          <w:lang w:val="en-US" w:eastAsia="zh-CN"/>
        </w:rPr>
        <w:t>根据项目初步设计资料，</w:t>
      </w:r>
      <w:r>
        <w:rPr>
          <w:rFonts w:hint="eastAsia"/>
          <w:b w:val="0"/>
          <w:bCs w:val="0"/>
          <w:color w:val="auto"/>
          <w:lang w:val="en-US" w:eastAsia="zh-CN"/>
        </w:rPr>
        <w:t>危废暂存间</w:t>
      </w:r>
      <w:r>
        <w:rPr>
          <w:rFonts w:hint="eastAsia"/>
          <w:color w:val="auto"/>
          <w:lang w:val="en-US" w:eastAsia="zh-CN"/>
        </w:rPr>
        <w:t>地面拟采取压实填土+膜下保护层（长丝无纺土工布）+混凝土垫层+1.5厚高密度聚乙烯（HDPE）膜+膜上保护层（长丝无纺土工布）+200厚砂石层+混凝土垫层+界面剂+40厚C25细石混凝土表层（混凝土抗渗等级不低于P8）进行重点防渗</w:t>
      </w:r>
      <w:r>
        <w:rPr>
          <w:rFonts w:ascii="Times New Roman" w:hAnsi="Times New Roman" w:cs="Times New Roman"/>
          <w:b w:val="0"/>
          <w:bCs w:val="0"/>
          <w:color w:val="auto"/>
          <w:sz w:val="24"/>
          <w:highlight w:val="none"/>
        </w:rPr>
        <w:t>。</w:t>
      </w:r>
      <w:r>
        <w:rPr>
          <w:rFonts w:hint="eastAsia" w:ascii="Times New Roman" w:hAnsi="Times New Roman" w:cs="Times New Roman"/>
          <w:b w:val="0"/>
          <w:bCs w:val="0"/>
          <w:color w:val="auto"/>
          <w:sz w:val="24"/>
          <w:highlight w:val="none"/>
        </w:rPr>
        <w:t>同时，</w:t>
      </w:r>
      <w:r>
        <w:rPr>
          <w:rFonts w:hint="eastAsia" w:cs="Times New Roman"/>
          <w:b w:val="0"/>
          <w:bCs w:val="0"/>
          <w:color w:val="auto"/>
          <w:highlight w:val="none"/>
          <w:lang w:val="en-US" w:eastAsia="zh-CN"/>
        </w:rPr>
        <w:t>危废暂存间</w:t>
      </w:r>
      <w:r>
        <w:rPr>
          <w:rFonts w:hint="eastAsia" w:ascii="Times New Roman" w:hAnsi="Times New Roman" w:cs="Times New Roman"/>
          <w:b w:val="0"/>
          <w:bCs w:val="0"/>
          <w:color w:val="auto"/>
          <w:sz w:val="24"/>
          <w:highlight w:val="none"/>
          <w:lang w:val="en-US" w:eastAsia="zh-CN"/>
        </w:rPr>
        <w:t>应</w:t>
      </w:r>
      <w:r>
        <w:rPr>
          <w:rFonts w:hint="eastAsia"/>
          <w:color w:val="auto"/>
          <w:highlight w:val="none"/>
        </w:rPr>
        <w:t>按照《危险废物识别标志设置技术规范》（</w:t>
      </w:r>
      <w:r>
        <w:rPr>
          <w:color w:val="auto"/>
          <w:highlight w:val="none"/>
        </w:rPr>
        <w:t>HJ1276-2022</w:t>
      </w:r>
      <w:r>
        <w:rPr>
          <w:rFonts w:hint="eastAsia"/>
          <w:color w:val="auto"/>
          <w:highlight w:val="none"/>
        </w:rPr>
        <w:t>）</w:t>
      </w:r>
      <w:r>
        <w:rPr>
          <w:rFonts w:hint="eastAsia"/>
          <w:color w:val="auto"/>
          <w:highlight w:val="none"/>
          <w:lang w:val="en-US" w:eastAsia="zh-CN"/>
        </w:rPr>
        <w:t>中相关要求</w:t>
      </w:r>
      <w:r>
        <w:rPr>
          <w:rFonts w:ascii="Times New Roman" w:hAnsi="Times New Roman" w:cs="Times New Roman"/>
          <w:b w:val="0"/>
          <w:bCs w:val="0"/>
          <w:color w:val="auto"/>
          <w:sz w:val="24"/>
          <w:highlight w:val="none"/>
        </w:rPr>
        <w:t>设置警示标识，</w:t>
      </w:r>
      <w:r>
        <w:rPr>
          <w:rFonts w:hint="eastAsia"/>
          <w:color w:val="auto"/>
          <w:lang w:val="en-US" w:eastAsia="zh-CN"/>
        </w:rPr>
        <w:t>进出侧设防渗斜坡，并设置地漏，室外设置</w:t>
      </w:r>
      <w:r>
        <w:rPr>
          <w:rFonts w:hint="eastAsia" w:ascii="Times New Roman" w:hAnsi="Times New Roman" w:eastAsia="宋体"/>
          <w:color w:val="auto"/>
          <w:highlight w:val="none"/>
          <w:lang w:val="en-US" w:eastAsia="zh-CN"/>
        </w:rPr>
        <w:t>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color w:val="auto"/>
          <w:lang w:val="en-US" w:eastAsia="zh-CN"/>
        </w:rPr>
        <w:t>，</w:t>
      </w:r>
      <w:r>
        <w:rPr>
          <w:color w:val="auto"/>
        </w:rPr>
        <w:t>落实</w:t>
      </w:r>
      <w:r>
        <w:rPr>
          <w:rFonts w:hint="eastAsia"/>
          <w:color w:val="auto"/>
        </w:rPr>
        <w:t>防风、防晒、防雨、防漏、防渗、防腐的“六防”措施。</w:t>
      </w:r>
      <w:r>
        <w:rPr>
          <w:rFonts w:hint="eastAsia"/>
          <w:color w:val="auto"/>
          <w:sz w:val="24"/>
          <w:szCs w:val="24"/>
          <w:highlight w:val="none"/>
        </w:rPr>
        <w:t>危险废物贮存必须严格按照《危险废物贮存污染控制标准》（GB</w:t>
      </w:r>
      <w:r>
        <w:rPr>
          <w:rFonts w:hint="eastAsia"/>
          <w:color w:val="auto"/>
          <w:sz w:val="24"/>
          <w:szCs w:val="24"/>
          <w:highlight w:val="none"/>
          <w:lang w:val="en-US" w:eastAsia="zh-CN"/>
        </w:rPr>
        <w:t>18597</w:t>
      </w:r>
      <w:r>
        <w:rPr>
          <w:rFonts w:hint="eastAsia"/>
          <w:color w:val="auto"/>
          <w:sz w:val="24"/>
          <w:szCs w:val="24"/>
          <w:highlight w:val="none"/>
        </w:rPr>
        <w:t>-20</w:t>
      </w:r>
      <w:r>
        <w:rPr>
          <w:rFonts w:hint="eastAsia"/>
          <w:color w:val="auto"/>
          <w:sz w:val="24"/>
          <w:szCs w:val="24"/>
          <w:highlight w:val="none"/>
          <w:lang w:val="en-US" w:eastAsia="zh-CN"/>
        </w:rPr>
        <w:t>23</w:t>
      </w:r>
      <w:r>
        <w:rPr>
          <w:rFonts w:hint="eastAsia"/>
          <w:color w:val="auto"/>
          <w:sz w:val="24"/>
          <w:szCs w:val="24"/>
          <w:highlight w:val="none"/>
        </w:rPr>
        <w:t>）要求执行：</w:t>
      </w:r>
    </w:p>
    <w:p w14:paraId="4D0421E9">
      <w:pPr>
        <w:pStyle w:val="26"/>
        <w:bidi w:val="0"/>
        <w:rPr>
          <w:color w:val="auto"/>
          <w:highlight w:val="none"/>
        </w:rPr>
      </w:pPr>
      <w:r>
        <w:rPr>
          <w:rFonts w:hint="eastAsia"/>
          <w:color w:val="auto"/>
          <w:highlight w:val="none"/>
        </w:rPr>
        <w:t>①使用符合标准的容器盛装危险废物。</w:t>
      </w:r>
    </w:p>
    <w:p w14:paraId="66CF8120">
      <w:pPr>
        <w:pStyle w:val="26"/>
        <w:bidi w:val="0"/>
        <w:rPr>
          <w:color w:val="auto"/>
          <w:highlight w:val="none"/>
        </w:rPr>
      </w:pPr>
      <w:r>
        <w:rPr>
          <w:rFonts w:hint="eastAsia"/>
          <w:color w:val="auto"/>
          <w:highlight w:val="none"/>
        </w:rPr>
        <w:t>②装载危险废物的容器及材质要满足相应的强度要求。</w:t>
      </w:r>
    </w:p>
    <w:p w14:paraId="59BAB6FC">
      <w:pPr>
        <w:pStyle w:val="26"/>
        <w:bidi w:val="0"/>
        <w:rPr>
          <w:color w:val="auto"/>
          <w:highlight w:val="none"/>
        </w:rPr>
      </w:pPr>
      <w:r>
        <w:rPr>
          <w:rFonts w:hint="eastAsia"/>
          <w:color w:val="auto"/>
          <w:highlight w:val="none"/>
        </w:rPr>
        <w:t>③装载危险废物的容器必须完好无损。</w:t>
      </w:r>
    </w:p>
    <w:p w14:paraId="47AF0276">
      <w:pPr>
        <w:pStyle w:val="26"/>
        <w:bidi w:val="0"/>
        <w:rPr>
          <w:color w:val="auto"/>
          <w:highlight w:val="none"/>
        </w:rPr>
      </w:pPr>
      <w:r>
        <w:rPr>
          <w:rFonts w:hint="eastAsia"/>
          <w:color w:val="auto"/>
          <w:highlight w:val="none"/>
        </w:rPr>
        <w:t>④盛装危险废物的容器材质和衬里要与危险废物相容（不相互反应）。</w:t>
      </w:r>
    </w:p>
    <w:p w14:paraId="25AFAA20">
      <w:pPr>
        <w:pStyle w:val="26"/>
        <w:bidi w:val="0"/>
        <w:rPr>
          <w:color w:val="auto"/>
          <w:highlight w:val="none"/>
        </w:rPr>
      </w:pPr>
      <w:r>
        <w:rPr>
          <w:rFonts w:hint="eastAsia"/>
          <w:color w:val="auto"/>
          <w:highlight w:val="none"/>
        </w:rPr>
        <w:t>⑤液体危险废物可注入开孔直径不超过70mm并有放气孔的桶中。</w:t>
      </w:r>
    </w:p>
    <w:p w14:paraId="2E12981C">
      <w:pPr>
        <w:spacing w:line="360" w:lineRule="auto"/>
        <w:ind w:left="0" w:leftChars="0" w:firstLine="480" w:firstLineChars="200"/>
        <w:rPr>
          <w:color w:val="auto"/>
          <w:sz w:val="24"/>
          <w:szCs w:val="24"/>
          <w:highlight w:val="none"/>
        </w:rPr>
      </w:pPr>
      <w:r>
        <w:rPr>
          <w:color w:val="auto"/>
          <w:sz w:val="24"/>
          <w:szCs w:val="24"/>
          <w:highlight w:val="none"/>
        </w:rPr>
        <w:t>同时，环评要求各类危险废物应进行分类收集，并贴上相应的标签，指定专人负责管理，落实责任制。</w:t>
      </w:r>
    </w:p>
    <w:p w14:paraId="5AC6594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2、转运要求</w:t>
      </w:r>
    </w:p>
    <w:p w14:paraId="12BAC09D">
      <w:pPr>
        <w:pStyle w:val="26"/>
        <w:bidi w:val="0"/>
        <w:rPr>
          <w:color w:val="auto"/>
          <w:highlight w:val="none"/>
        </w:rPr>
      </w:pPr>
      <w:r>
        <w:rPr>
          <w:rFonts w:hint="eastAsia"/>
          <w:color w:val="auto"/>
          <w:highlight w:val="none"/>
        </w:rPr>
        <w:t>危险废物转运时必须安全转移，防止撒漏，且由</w:t>
      </w:r>
      <w:r>
        <w:rPr>
          <w:rFonts w:hint="eastAsia"/>
          <w:color w:val="auto"/>
          <w:highlight w:val="none"/>
          <w:lang w:eastAsia="zh-CN"/>
        </w:rPr>
        <w:t>具有</w:t>
      </w:r>
      <w:r>
        <w:rPr>
          <w:rFonts w:hint="eastAsia"/>
          <w:color w:val="auto"/>
          <w:highlight w:val="none"/>
          <w:lang w:val="en-US" w:eastAsia="zh-CN"/>
        </w:rPr>
        <w:t>危险废物处置</w:t>
      </w:r>
      <w:r>
        <w:rPr>
          <w:rFonts w:hint="eastAsia"/>
          <w:color w:val="auto"/>
          <w:highlight w:val="none"/>
        </w:rPr>
        <w:t>资质的单位</w:t>
      </w:r>
      <w:r>
        <w:rPr>
          <w:rFonts w:hint="eastAsia"/>
          <w:color w:val="auto"/>
          <w:highlight w:val="none"/>
          <w:lang w:eastAsia="zh-CN"/>
        </w:rPr>
        <w:t>接收</w:t>
      </w:r>
      <w:r>
        <w:rPr>
          <w:rFonts w:hint="eastAsia"/>
          <w:color w:val="auto"/>
          <w:highlight w:val="none"/>
        </w:rPr>
        <w:t>，严格按照</w:t>
      </w:r>
      <w:r>
        <w:rPr>
          <w:rFonts w:hint="eastAsia" w:ascii="Times New Roman" w:hAnsi="Times New Roman" w:cs="Times New Roman"/>
          <w:bCs/>
          <w:color w:val="auto"/>
          <w:sz w:val="24"/>
          <w:highlight w:val="none"/>
          <w:lang w:val="en-US" w:eastAsia="zh-CN"/>
        </w:rPr>
        <w:t>《危险废物转移管理办法》（部令第23号）</w:t>
      </w:r>
      <w:r>
        <w:rPr>
          <w:rFonts w:hint="eastAsia"/>
          <w:color w:val="auto"/>
          <w:highlight w:val="none"/>
        </w:rPr>
        <w:t>规定办理危险废物转移手续，并严格落实以下要求：</w:t>
      </w:r>
    </w:p>
    <w:p w14:paraId="23A2C35D">
      <w:pPr>
        <w:spacing w:line="360" w:lineRule="auto"/>
        <w:rPr>
          <w:rFonts w:ascii="Times New Roman" w:hAnsi="Times New Roman"/>
          <w:color w:val="auto"/>
          <w:sz w:val="24"/>
          <w:szCs w:val="24"/>
          <w:highlight w:val="none"/>
        </w:rPr>
      </w:pPr>
      <w:r>
        <w:rPr>
          <w:rFonts w:hint="eastAsia" w:ascii="Times New Roman" w:hAnsi="Times New Roman"/>
          <w:color w:val="auto"/>
          <w:sz w:val="24"/>
          <w:szCs w:val="24"/>
          <w:highlight w:val="none"/>
        </w:rPr>
        <w:t>①危险废物每次外运处置均需做好运输登记，认真填写危险废物转移联单。</w:t>
      </w:r>
    </w:p>
    <w:p w14:paraId="390C9D54">
      <w:pPr>
        <w:spacing w:line="360" w:lineRule="auto"/>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②废弃物运输必须由已签订的危废处置单位负责，处置单位每次处置应以书面形式告知建设单位危险废物最终去向。</w:t>
      </w:r>
    </w:p>
    <w:p w14:paraId="7982B6DC">
      <w:pPr>
        <w:spacing w:line="360" w:lineRule="auto"/>
        <w:ind w:left="0" w:leftChars="0"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③危险废物运输路线必须严格按照有关部门</w:t>
      </w:r>
      <w:r>
        <w:rPr>
          <w:rFonts w:ascii="Times New Roman" w:hAnsi="Times New Roman"/>
          <w:color w:val="auto"/>
          <w:sz w:val="24"/>
          <w:szCs w:val="24"/>
          <w:highlight w:val="none"/>
        </w:rPr>
        <w:t>批准的</w:t>
      </w:r>
      <w:r>
        <w:rPr>
          <w:rFonts w:hint="eastAsia" w:ascii="Times New Roman" w:hAnsi="Times New Roman"/>
          <w:color w:val="auto"/>
          <w:sz w:val="24"/>
          <w:szCs w:val="24"/>
          <w:highlight w:val="none"/>
        </w:rPr>
        <w:t>路线运输；若必须更改运输路线，需经有关部门同意</w:t>
      </w:r>
      <w:r>
        <w:rPr>
          <w:rFonts w:hint="eastAsia" w:ascii="Times New Roman" w:hAnsi="Times New Roman"/>
          <w:color w:val="auto"/>
          <w:sz w:val="24"/>
          <w:szCs w:val="24"/>
          <w:highlight w:val="none"/>
          <w:lang w:eastAsia="zh-CN"/>
        </w:rPr>
        <w:t>后方可</w:t>
      </w:r>
      <w:r>
        <w:rPr>
          <w:rFonts w:hint="eastAsia" w:ascii="Times New Roman" w:hAnsi="Times New Roman"/>
          <w:color w:val="auto"/>
          <w:sz w:val="24"/>
          <w:szCs w:val="24"/>
          <w:highlight w:val="none"/>
        </w:rPr>
        <w:t>实施。</w:t>
      </w:r>
    </w:p>
    <w:p w14:paraId="4BC91A79">
      <w:pPr>
        <w:bidi w:val="0"/>
        <w:ind w:left="0" w:leftChars="0" w:firstLine="480" w:firstLineChars="200"/>
        <w:rPr>
          <w:rFonts w:hint="eastAsia" w:ascii="Times New Roman" w:hAnsi="Times New Roman" w:cs="Times New Roman"/>
          <w:color w:val="auto"/>
          <w:sz w:val="24"/>
          <w:szCs w:val="24"/>
          <w:highlight w:val="none"/>
        </w:rPr>
      </w:pPr>
      <w:r>
        <w:rPr>
          <w:rFonts w:hint="eastAsia"/>
          <w:color w:val="auto"/>
          <w:sz w:val="24"/>
          <w:szCs w:val="24"/>
          <w:highlight w:val="none"/>
        </w:rPr>
        <w:t>综上所述，本项目运营期严格落实本环评中提出的各类废物处置措施，落实危险废物储存和转运要求，可防止因处置不当出现的环境二次污染</w:t>
      </w:r>
      <w:r>
        <w:rPr>
          <w:rFonts w:hint="eastAsia" w:ascii="Times New Roman" w:hAnsi="Times New Roman" w:cs="Times New Roman"/>
          <w:color w:val="auto"/>
          <w:sz w:val="24"/>
          <w:szCs w:val="24"/>
          <w:highlight w:val="none"/>
        </w:rPr>
        <w:t>。</w:t>
      </w:r>
    </w:p>
    <w:p w14:paraId="64E6170B">
      <w:pPr>
        <w:pStyle w:val="4"/>
        <w:bidi w:val="0"/>
        <w:ind w:left="1855" w:leftChars="0" w:hanging="1855" w:firstLineChars="0"/>
        <w:rPr>
          <w:rFonts w:hint="default"/>
          <w:color w:val="auto"/>
          <w:highlight w:val="none"/>
        </w:rPr>
      </w:pPr>
      <w:r>
        <w:rPr>
          <w:rFonts w:hint="eastAsia"/>
          <w:color w:val="auto"/>
          <w:highlight w:val="none"/>
        </w:rPr>
        <w:t>地下水环境</w:t>
      </w:r>
      <w:r>
        <w:rPr>
          <w:color w:val="auto"/>
          <w:highlight w:val="none"/>
        </w:rPr>
        <w:t>影响</w:t>
      </w:r>
      <w:r>
        <w:rPr>
          <w:rFonts w:hint="eastAsia"/>
          <w:color w:val="auto"/>
          <w:highlight w:val="none"/>
        </w:rPr>
        <w:t>分析</w:t>
      </w:r>
    </w:p>
    <w:p w14:paraId="39E9F8E8">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评价区地质情况</w:t>
      </w:r>
    </w:p>
    <w:p w14:paraId="7525E528">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1、地形地貌</w:t>
      </w:r>
    </w:p>
    <w:p w14:paraId="73B854E0">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通江县属中低山区</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包括中切割低山、中切割中山和深切割中山。呈"三山夹两谷"地形。通江县地貌具有以下基本特征:</w:t>
      </w:r>
    </w:p>
    <w:p w14:paraId="03AB3513">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①低、中山界限明显</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均受三个二级构造单元的构造线控制。涪阳一一五龙山鼻状构造轴线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为县境低、中山的分界线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此线以南为中长初割低山。川北台陷与米仓山、大巴山交界线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形成县境中切割中山与深切割中山的分界线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此线以北为深切割中山。</w:t>
      </w:r>
    </w:p>
    <w:p w14:paraId="1462BD0E">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米仓山台穹中楼子庙--空山坝挠曲褶皱带之南端</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为县境岩溶地貌的分界线</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此线以北为中山岩溶地貌。</w:t>
      </w:r>
    </w:p>
    <w:p w14:paraId="606F3492">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②切割深</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多窄谷、峡谷。中切割低山切割深度一般为600m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多"V"型谷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平底谷:中切割中山切割一为般700~900m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多窄谷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深切割中山切割高达1200m以上</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多峡谷。</w:t>
      </w:r>
    </w:p>
    <w:p w14:paraId="58588812">
      <w:pPr>
        <w:pStyle w:val="26"/>
        <w:bidi w:val="0"/>
        <w:ind w:left="0" w:leftChars="0" w:firstLine="480" w:firstLineChars="20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③三级阶梯状构造</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从北至南逐渐降低。北部深切割中山海扬发1500~2000m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中部中切割中山海拔1300~1500m</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南部中切割低山海拔800~1000m。地貌成因类型的分布详见通江县地貌类型图。</w:t>
      </w:r>
    </w:p>
    <w:p w14:paraId="0DBCFB0B">
      <w:pPr>
        <w:pStyle w:val="26"/>
        <w:bidi w:val="0"/>
        <w:ind w:left="0" w:leftChars="0" w:firstLine="0" w:firstLineChars="0"/>
        <w:jc w:val="center"/>
        <w:rPr>
          <w:rFonts w:hint="eastAsia" w:ascii="Times New Roman" w:hAnsi="Times New Roman" w:cs="Times New Roman"/>
          <w:bCs/>
          <w:color w:val="auto"/>
        </w:rPr>
      </w:pPr>
      <w:r>
        <w:rPr>
          <w:color w:val="auto"/>
          <w:highlight w:val="none"/>
        </w:rPr>
        <w:drawing>
          <wp:inline distT="0" distB="0" distL="114300" distR="114300">
            <wp:extent cx="5901055" cy="4743450"/>
            <wp:effectExtent l="0" t="0" r="4445" b="0"/>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92"/>
                    <a:stretch>
                      <a:fillRect/>
                    </a:stretch>
                  </pic:blipFill>
                  <pic:spPr>
                    <a:xfrm>
                      <a:off x="0" y="0"/>
                      <a:ext cx="5901055" cy="4743450"/>
                    </a:xfrm>
                    <a:prstGeom prst="rect">
                      <a:avLst/>
                    </a:prstGeom>
                    <a:noFill/>
                    <a:ln>
                      <a:noFill/>
                    </a:ln>
                  </pic:spPr>
                </pic:pic>
              </a:graphicData>
            </a:graphic>
          </wp:inline>
        </w:drawing>
      </w:r>
    </w:p>
    <w:p w14:paraId="1DC06404">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通江县地貌类型图</w:t>
      </w:r>
    </w:p>
    <w:p w14:paraId="20D555E3">
      <w:pPr>
        <w:numPr>
          <w:ilvl w:val="0"/>
          <w:numId w:val="0"/>
        </w:numPr>
        <w:tabs>
          <w:tab w:val="left" w:pos="0"/>
        </w:tabs>
        <w:ind w:firstLine="480" w:firstLineChars="200"/>
        <w:jc w:val="both"/>
        <w:rPr>
          <w:rFonts w:hint="eastAsia" w:ascii="Times New Roman" w:hAnsi="Times New Roman"/>
          <w:color w:val="auto"/>
          <w:szCs w:val="20"/>
          <w:highlight w:val="none"/>
          <w:lang w:val="en-US" w:eastAsia="zh-CN"/>
        </w:rPr>
      </w:pPr>
      <w:r>
        <w:rPr>
          <w:rFonts w:ascii="Times New Roman" w:hAnsi="Times New Roman"/>
          <w:color w:val="auto"/>
          <w:szCs w:val="20"/>
          <w:highlight w:val="none"/>
        </w:rPr>
        <w:t>根据</w:t>
      </w:r>
      <w:r>
        <w:rPr>
          <w:rFonts w:hint="eastAsia" w:ascii="Times New Roman" w:hAnsi="Times New Roman"/>
          <w:color w:val="auto"/>
          <w:szCs w:val="20"/>
          <w:highlight w:val="none"/>
        </w:rPr>
        <w:t>《</w:t>
      </w:r>
      <w:r>
        <w:rPr>
          <w:rFonts w:hint="eastAsia"/>
          <w:color w:val="auto"/>
          <w:szCs w:val="20"/>
          <w:lang w:eastAsia="zh-CN"/>
        </w:rPr>
        <w:t>聚羧酸减水剂和无碱速凝剂生产项目</w:t>
      </w:r>
      <w:r>
        <w:rPr>
          <w:rFonts w:hint="eastAsia" w:ascii="Times New Roman" w:hAnsi="Times New Roman"/>
          <w:color w:val="auto"/>
          <w:szCs w:val="20"/>
        </w:rPr>
        <w:t>岩土工程勘察报告</w:t>
      </w:r>
      <w:r>
        <w:rPr>
          <w:rFonts w:hint="eastAsia" w:ascii="Times New Roman" w:hAnsi="Times New Roman"/>
          <w:color w:val="auto"/>
          <w:szCs w:val="20"/>
          <w:highlight w:val="none"/>
        </w:rPr>
        <w:t>》</w:t>
      </w:r>
      <w:r>
        <w:rPr>
          <w:rFonts w:ascii="Times New Roman" w:hAnsi="Times New Roman"/>
          <w:color w:val="auto"/>
          <w:szCs w:val="20"/>
          <w:highlight w:val="none"/>
        </w:rPr>
        <w:t>，</w:t>
      </w:r>
      <w:r>
        <w:rPr>
          <w:rFonts w:hint="eastAsia" w:ascii="Times New Roman" w:hAnsi="Times New Roman"/>
          <w:color w:val="auto"/>
          <w:szCs w:val="20"/>
          <w:highlight w:val="none"/>
          <w:lang w:val="en-US" w:eastAsia="zh-CN"/>
        </w:rPr>
        <w:t>拟建场地地貌类型单一，场地大地貌属低山区构造剥蚀地貌，场地地貌单元为缓～中坡坡地。</w:t>
      </w:r>
    </w:p>
    <w:p w14:paraId="64D45971">
      <w:pPr>
        <w:numPr>
          <w:ilvl w:val="0"/>
          <w:numId w:val="0"/>
        </w:numPr>
        <w:tabs>
          <w:tab w:val="left" w:pos="0"/>
        </w:tabs>
        <w:jc w:val="center"/>
        <w:rPr>
          <w:color w:val="auto"/>
          <w:highlight w:val="none"/>
        </w:rPr>
      </w:pPr>
      <w:r>
        <w:rPr>
          <w:color w:val="auto"/>
          <w:highlight w:val="none"/>
        </w:rPr>
        <w:drawing>
          <wp:inline distT="0" distB="0" distL="114300" distR="114300">
            <wp:extent cx="5219700" cy="3952875"/>
            <wp:effectExtent l="0" t="0" r="0" b="952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93"/>
                    <a:stretch>
                      <a:fillRect/>
                    </a:stretch>
                  </pic:blipFill>
                  <pic:spPr>
                    <a:xfrm>
                      <a:off x="0" y="0"/>
                      <a:ext cx="5219700" cy="3952875"/>
                    </a:xfrm>
                    <a:prstGeom prst="rect">
                      <a:avLst/>
                    </a:prstGeom>
                    <a:noFill/>
                    <a:ln>
                      <a:noFill/>
                    </a:ln>
                  </pic:spPr>
                </pic:pic>
              </a:graphicData>
            </a:graphic>
          </wp:inline>
        </w:drawing>
      </w:r>
    </w:p>
    <w:p w14:paraId="4CA134D9">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场地地形地貌照片</w:t>
      </w:r>
    </w:p>
    <w:p w14:paraId="6B502FA3">
      <w:pPr>
        <w:pStyle w:val="6"/>
        <w:ind w:firstLine="482"/>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2、地层岩性</w:t>
      </w:r>
    </w:p>
    <w:p w14:paraId="472AE71F">
      <w:pPr>
        <w:adjustRightInd w:val="0"/>
        <w:snapToGrid w:val="0"/>
        <w:spacing w:line="360" w:lineRule="auto"/>
        <w:ind w:left="0" w:leftChars="0" w:firstLine="480" w:firstLineChars="200"/>
        <w:rPr>
          <w:rFonts w:ascii="Times New Roman" w:hAnsi="Times New Roman"/>
          <w:color w:val="auto"/>
          <w:szCs w:val="20"/>
          <w:highlight w:val="none"/>
        </w:rPr>
      </w:pPr>
      <w:r>
        <w:rPr>
          <w:rFonts w:ascii="Times New Roman" w:hAnsi="Times New Roman"/>
          <w:color w:val="auto"/>
          <w:szCs w:val="20"/>
          <w:highlight w:val="none"/>
        </w:rPr>
        <w:t>根据</w:t>
      </w:r>
      <w:r>
        <w:rPr>
          <w:rFonts w:hint="eastAsia" w:ascii="Times New Roman" w:hAnsi="Times New Roman"/>
          <w:color w:val="auto"/>
          <w:szCs w:val="20"/>
          <w:highlight w:val="none"/>
        </w:rPr>
        <w:t>《聚羧酸减水剂和无碱速凝剂生产项目岩土工程勘察报告》</w:t>
      </w:r>
      <w:r>
        <w:rPr>
          <w:rFonts w:ascii="Times New Roman" w:hAnsi="Times New Roman"/>
          <w:color w:val="auto"/>
          <w:szCs w:val="20"/>
          <w:highlight w:val="none"/>
        </w:rPr>
        <w:t>，</w:t>
      </w:r>
      <w:r>
        <w:rPr>
          <w:rFonts w:hint="eastAsia" w:ascii="Times New Roman" w:hAnsi="Times New Roman"/>
          <w:color w:val="auto"/>
          <w:szCs w:val="20"/>
          <w:highlight w:val="none"/>
        </w:rPr>
        <w:t>根据钻探揭露</w:t>
      </w:r>
      <w:r>
        <w:rPr>
          <w:rFonts w:hint="eastAsia"/>
          <w:color w:val="auto"/>
          <w:szCs w:val="20"/>
          <w:highlight w:val="none"/>
          <w:lang w:eastAsia="zh-CN"/>
        </w:rPr>
        <w:t>，</w:t>
      </w:r>
      <w:r>
        <w:rPr>
          <w:rFonts w:hint="eastAsia" w:ascii="Times New Roman" w:hAnsi="Times New Roman"/>
          <w:color w:val="auto"/>
          <w:szCs w:val="20"/>
          <w:highlight w:val="none"/>
        </w:rPr>
        <w:t>勘探深度范围内场地地层结构较复杂</w:t>
      </w:r>
      <w:r>
        <w:rPr>
          <w:rFonts w:hint="eastAsia"/>
          <w:color w:val="auto"/>
          <w:szCs w:val="20"/>
          <w:highlight w:val="none"/>
          <w:lang w:eastAsia="zh-CN"/>
        </w:rPr>
        <w:t>，</w:t>
      </w:r>
      <w:r>
        <w:rPr>
          <w:rFonts w:hint="eastAsia" w:ascii="Times New Roman" w:hAnsi="Times New Roman"/>
          <w:color w:val="auto"/>
          <w:szCs w:val="20"/>
          <w:highlight w:val="none"/>
        </w:rPr>
        <w:t>连线读性较差</w:t>
      </w:r>
      <w:r>
        <w:rPr>
          <w:rFonts w:hint="eastAsia"/>
          <w:color w:val="auto"/>
          <w:szCs w:val="20"/>
          <w:highlight w:val="none"/>
          <w:lang w:eastAsia="zh-CN"/>
        </w:rPr>
        <w:t>，</w:t>
      </w:r>
      <w:r>
        <w:rPr>
          <w:rFonts w:hint="eastAsia" w:ascii="Times New Roman" w:hAnsi="Times New Roman"/>
          <w:color w:val="auto"/>
          <w:szCs w:val="20"/>
          <w:highlight w:val="none"/>
        </w:rPr>
        <w:t>上覆第四系土层主要由全新统人工填土层</w:t>
      </w:r>
      <w:r>
        <w:rPr>
          <w:rFonts w:hint="eastAsia"/>
          <w:color w:val="auto"/>
          <w:szCs w:val="20"/>
          <w:highlight w:val="none"/>
          <w:lang w:eastAsia="zh-CN"/>
        </w:rPr>
        <w:t>（</w:t>
      </w:r>
      <w:r>
        <w:rPr>
          <w:rFonts w:hint="eastAsia" w:ascii="Times New Roman" w:hAnsi="Times New Roman"/>
          <w:color w:val="auto"/>
          <w:szCs w:val="20"/>
          <w:highlight w:val="none"/>
        </w:rPr>
        <w:t>Q</w:t>
      </w:r>
      <w:r>
        <w:rPr>
          <w:rFonts w:hint="eastAsia"/>
          <w:color w:val="auto"/>
          <w:szCs w:val="20"/>
          <w:highlight w:val="none"/>
          <w:vertAlign w:val="subscript"/>
          <w:lang w:val="en-US" w:eastAsia="zh-CN"/>
        </w:rPr>
        <w:t>4</w:t>
      </w:r>
      <w:r>
        <w:rPr>
          <w:rFonts w:hint="eastAsia"/>
          <w:color w:val="auto"/>
          <w:szCs w:val="20"/>
          <w:highlight w:val="none"/>
          <w:vertAlign w:val="superscript"/>
          <w:lang w:val="en-US" w:eastAsia="zh-CN"/>
        </w:rPr>
        <w:t>ml</w:t>
      </w:r>
      <w:r>
        <w:rPr>
          <w:rFonts w:hint="eastAsia"/>
          <w:color w:val="auto"/>
          <w:szCs w:val="20"/>
          <w:highlight w:val="none"/>
          <w:lang w:eastAsia="zh-CN"/>
        </w:rPr>
        <w:t>）</w:t>
      </w:r>
      <w:r>
        <w:rPr>
          <w:rFonts w:hint="eastAsia" w:ascii="Times New Roman" w:hAnsi="Times New Roman"/>
          <w:color w:val="auto"/>
          <w:szCs w:val="20"/>
          <w:highlight w:val="none"/>
        </w:rPr>
        <w:t>素填土、第四系全新统崩积粉质粘土</w:t>
      </w:r>
      <w:r>
        <w:rPr>
          <w:rFonts w:hint="eastAsia"/>
          <w:color w:val="auto"/>
          <w:szCs w:val="20"/>
          <w:highlight w:val="none"/>
          <w:lang w:eastAsia="zh-CN"/>
        </w:rPr>
        <w:t>（</w:t>
      </w:r>
      <w:r>
        <w:rPr>
          <w:rFonts w:hint="eastAsia" w:ascii="Times New Roman" w:hAnsi="Times New Roman"/>
          <w:color w:val="auto"/>
          <w:szCs w:val="20"/>
          <w:highlight w:val="none"/>
        </w:rPr>
        <w:t>Q</w:t>
      </w:r>
      <w:r>
        <w:rPr>
          <w:rFonts w:hint="eastAsia"/>
          <w:color w:val="auto"/>
          <w:szCs w:val="20"/>
          <w:highlight w:val="none"/>
          <w:vertAlign w:val="subscript"/>
          <w:lang w:val="en-US" w:eastAsia="zh-CN"/>
        </w:rPr>
        <w:t>4</w:t>
      </w:r>
      <w:r>
        <w:rPr>
          <w:rFonts w:hint="eastAsia"/>
          <w:color w:val="auto"/>
          <w:szCs w:val="20"/>
          <w:highlight w:val="none"/>
          <w:vertAlign w:val="superscript"/>
          <w:lang w:val="en-US" w:eastAsia="zh-CN"/>
        </w:rPr>
        <w:t>col</w:t>
      </w:r>
      <w:r>
        <w:rPr>
          <w:rFonts w:hint="eastAsia"/>
          <w:color w:val="auto"/>
          <w:szCs w:val="20"/>
          <w:highlight w:val="none"/>
          <w:lang w:eastAsia="zh-CN"/>
        </w:rPr>
        <w:t>）</w:t>
      </w:r>
      <w:r>
        <w:rPr>
          <w:rFonts w:hint="eastAsia" w:ascii="Times New Roman" w:hAnsi="Times New Roman"/>
          <w:color w:val="auto"/>
          <w:szCs w:val="20"/>
          <w:highlight w:val="none"/>
        </w:rPr>
        <w:t>组成</w:t>
      </w:r>
      <w:r>
        <w:rPr>
          <w:rFonts w:hint="eastAsia"/>
          <w:color w:val="auto"/>
          <w:szCs w:val="20"/>
          <w:highlight w:val="none"/>
          <w:lang w:eastAsia="zh-CN"/>
        </w:rPr>
        <w:t>，</w:t>
      </w:r>
      <w:r>
        <w:rPr>
          <w:rFonts w:hint="eastAsia" w:ascii="Times New Roman" w:hAnsi="Times New Roman"/>
          <w:color w:val="auto"/>
          <w:szCs w:val="20"/>
          <w:highlight w:val="none"/>
        </w:rPr>
        <w:t>下伏基岩为白垩系白龙组(K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)泥岩与砂岩</w:t>
      </w:r>
      <w:r>
        <w:rPr>
          <w:rFonts w:ascii="Times New Roman" w:hAnsi="Times New Roman"/>
          <w:color w:val="auto"/>
          <w:szCs w:val="20"/>
          <w:highlight w:val="none"/>
        </w:rPr>
        <w:t>。地层从上到下分别描述如下：</w:t>
      </w:r>
    </w:p>
    <w:p w14:paraId="68659919">
      <w:pPr>
        <w:adjustRightInd w:val="0"/>
        <w:snapToGrid w:val="0"/>
        <w:spacing w:line="360" w:lineRule="auto"/>
        <w:ind w:left="0" w:leftChars="0" w:firstLine="480" w:firstLineChars="200"/>
        <w:rPr>
          <w:rFonts w:hint="eastAsia" w:ascii="Times New Roman" w:hAnsi="Times New Roman" w:eastAsia="宋体"/>
          <w:color w:val="auto"/>
          <w:szCs w:val="20"/>
          <w:highlight w:val="none"/>
          <w:lang w:val="en-US" w:eastAsia="zh-CN"/>
        </w:rPr>
      </w:pPr>
      <w:r>
        <w:rPr>
          <w:rFonts w:ascii="Times New Roman" w:hAnsi="Times New Roman"/>
          <w:color w:val="auto"/>
          <w:szCs w:val="20"/>
          <w:highlight w:val="none"/>
        </w:rPr>
        <w:t>（1）第四系全新统人工填土（Q</w:t>
      </w:r>
      <w:r>
        <w:rPr>
          <w:rFonts w:ascii="Times New Roman" w:hAnsi="Times New Roman"/>
          <w:color w:val="auto"/>
          <w:szCs w:val="20"/>
          <w:highlight w:val="none"/>
          <w:vertAlign w:val="subscript"/>
        </w:rPr>
        <w:t>4</w:t>
      </w:r>
      <w:r>
        <w:rPr>
          <w:rFonts w:ascii="Times New Roman" w:hAnsi="Times New Roman"/>
          <w:color w:val="auto"/>
          <w:szCs w:val="20"/>
          <w:highlight w:val="none"/>
          <w:vertAlign w:val="superscript"/>
        </w:rPr>
        <w:t>ml</w:t>
      </w:r>
      <w:r>
        <w:rPr>
          <w:rFonts w:ascii="Times New Roman" w:hAnsi="Times New Roman"/>
          <w:color w:val="auto"/>
          <w:szCs w:val="20"/>
          <w:highlight w:val="none"/>
        </w:rPr>
        <w:t>）</w:t>
      </w:r>
      <w:r>
        <w:rPr>
          <w:rFonts w:hint="eastAsia"/>
          <w:color w:val="auto"/>
          <w:szCs w:val="20"/>
          <w:highlight w:val="none"/>
          <w:lang w:val="en-US" w:eastAsia="zh-CN"/>
        </w:rPr>
        <w:t>层</w:t>
      </w:r>
    </w:p>
    <w:p w14:paraId="1F6B18A5">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ascii="Times New Roman" w:hAnsi="Times New Roman"/>
          <w:color w:val="auto"/>
          <w:szCs w:val="20"/>
          <w:highlight w:val="none"/>
        </w:rPr>
        <w:t>松散状</w:t>
      </w:r>
      <w:r>
        <w:rPr>
          <w:rFonts w:hint="eastAsia"/>
          <w:color w:val="auto"/>
          <w:szCs w:val="20"/>
          <w:highlight w:val="none"/>
          <w:lang w:eastAsia="zh-CN"/>
        </w:rPr>
        <w:t>，</w:t>
      </w:r>
      <w:r>
        <w:rPr>
          <w:rFonts w:hint="eastAsia" w:ascii="Times New Roman" w:hAnsi="Times New Roman"/>
          <w:color w:val="auto"/>
          <w:szCs w:val="20"/>
          <w:highlight w:val="none"/>
        </w:rPr>
        <w:t>杂色(颜色较混乱)</w:t>
      </w:r>
      <w:r>
        <w:rPr>
          <w:rFonts w:hint="eastAsia"/>
          <w:color w:val="auto"/>
          <w:szCs w:val="20"/>
          <w:highlight w:val="none"/>
          <w:lang w:eastAsia="zh-CN"/>
        </w:rPr>
        <w:t>，</w:t>
      </w:r>
      <w:r>
        <w:rPr>
          <w:rFonts w:hint="eastAsia" w:ascii="Times New Roman" w:hAnsi="Times New Roman"/>
          <w:color w:val="auto"/>
          <w:szCs w:val="20"/>
          <w:highlight w:val="none"/>
        </w:rPr>
        <w:t>稍湿</w:t>
      </w:r>
      <w:r>
        <w:rPr>
          <w:rFonts w:hint="eastAsia"/>
          <w:color w:val="auto"/>
          <w:szCs w:val="20"/>
          <w:highlight w:val="none"/>
          <w:lang w:eastAsia="zh-CN"/>
        </w:rPr>
        <w:t>，</w:t>
      </w:r>
      <w:r>
        <w:rPr>
          <w:rFonts w:hint="eastAsia" w:ascii="Times New Roman" w:hAnsi="Times New Roman"/>
          <w:color w:val="auto"/>
          <w:szCs w:val="20"/>
          <w:highlight w:val="none"/>
        </w:rPr>
        <w:t>欠固结(不均匀</w:t>
      </w:r>
      <w:r>
        <w:rPr>
          <w:rFonts w:hint="eastAsia"/>
          <w:color w:val="auto"/>
          <w:szCs w:val="20"/>
          <w:highlight w:val="none"/>
          <w:lang w:eastAsia="zh-CN"/>
        </w:rPr>
        <w:t>，</w:t>
      </w:r>
      <w:r>
        <w:rPr>
          <w:rFonts w:hint="eastAsia" w:ascii="Times New Roman" w:hAnsi="Times New Roman"/>
          <w:color w:val="auto"/>
          <w:szCs w:val="20"/>
          <w:highlight w:val="none"/>
        </w:rPr>
        <w:t>级配较差</w:t>
      </w:r>
      <w:r>
        <w:rPr>
          <w:rFonts w:hint="eastAsia"/>
          <w:color w:val="auto"/>
          <w:szCs w:val="20"/>
          <w:highlight w:val="none"/>
          <w:lang w:eastAsia="zh-CN"/>
        </w:rPr>
        <w:t>，</w:t>
      </w:r>
      <w:r>
        <w:rPr>
          <w:rFonts w:hint="eastAsia" w:ascii="Times New Roman" w:hAnsi="Times New Roman"/>
          <w:color w:val="auto"/>
          <w:szCs w:val="20"/>
          <w:highlight w:val="none"/>
        </w:rPr>
        <w:t>局部地段粒径不连续</w:t>
      </w:r>
      <w:r>
        <w:rPr>
          <w:rFonts w:hint="eastAsia"/>
          <w:color w:val="auto"/>
          <w:szCs w:val="20"/>
          <w:highlight w:val="none"/>
          <w:lang w:eastAsia="zh-CN"/>
        </w:rPr>
        <w:t>，</w:t>
      </w:r>
      <w:r>
        <w:rPr>
          <w:rFonts w:hint="eastAsia" w:ascii="Times New Roman" w:hAnsi="Times New Roman"/>
          <w:color w:val="auto"/>
          <w:szCs w:val="20"/>
          <w:highlight w:val="none"/>
        </w:rPr>
        <w:t>勘探中在勘探孔位置未见架空现象)</w:t>
      </w:r>
      <w:r>
        <w:rPr>
          <w:rFonts w:hint="eastAsia"/>
          <w:color w:val="auto"/>
          <w:szCs w:val="20"/>
          <w:highlight w:val="none"/>
          <w:lang w:eastAsia="zh-CN"/>
        </w:rPr>
        <w:t>，</w:t>
      </w:r>
      <w:r>
        <w:rPr>
          <w:rFonts w:hint="eastAsia" w:ascii="Times New Roman" w:hAnsi="Times New Roman"/>
          <w:color w:val="auto"/>
          <w:szCs w:val="20"/>
          <w:highlight w:val="none"/>
        </w:rPr>
        <w:t>该层主要分布在拟建场地的北东角、南西角、南东角</w:t>
      </w:r>
      <w:r>
        <w:rPr>
          <w:rFonts w:hint="eastAsia"/>
          <w:color w:val="auto"/>
          <w:szCs w:val="20"/>
          <w:highlight w:val="none"/>
          <w:lang w:eastAsia="zh-CN"/>
        </w:rPr>
        <w:t>，</w:t>
      </w:r>
      <w:r>
        <w:rPr>
          <w:rFonts w:hint="eastAsia" w:ascii="Times New Roman" w:hAnsi="Times New Roman"/>
          <w:color w:val="auto"/>
          <w:szCs w:val="20"/>
          <w:highlight w:val="none"/>
        </w:rPr>
        <w:t>主要由粉质粘土含大量的泥岩、砂岩块石组成</w:t>
      </w:r>
      <w:r>
        <w:rPr>
          <w:rFonts w:hint="eastAsia"/>
          <w:color w:val="auto"/>
          <w:szCs w:val="20"/>
          <w:highlight w:val="none"/>
          <w:lang w:eastAsia="zh-CN"/>
        </w:rPr>
        <w:t>，</w:t>
      </w:r>
      <w:r>
        <w:rPr>
          <w:rFonts w:hint="eastAsia" w:ascii="Times New Roman" w:hAnsi="Times New Roman"/>
          <w:color w:val="auto"/>
          <w:szCs w:val="20"/>
          <w:highlight w:val="none"/>
        </w:rPr>
        <w:t>块石粒径在0.05~0.50m、块石含量在25~30%</w:t>
      </w:r>
      <w:r>
        <w:rPr>
          <w:rFonts w:hint="eastAsia"/>
          <w:color w:val="auto"/>
          <w:szCs w:val="20"/>
          <w:highlight w:val="none"/>
          <w:lang w:eastAsia="zh-CN"/>
        </w:rPr>
        <w:t>，</w:t>
      </w:r>
      <w:r>
        <w:rPr>
          <w:rFonts w:hint="eastAsia" w:ascii="Times New Roman" w:hAnsi="Times New Roman"/>
          <w:color w:val="auto"/>
          <w:szCs w:val="20"/>
          <w:highlight w:val="none"/>
        </w:rPr>
        <w:t>局部地段块石含量达35~40%</w:t>
      </w:r>
      <w:r>
        <w:rPr>
          <w:rFonts w:hint="eastAsia"/>
          <w:color w:val="auto"/>
          <w:szCs w:val="20"/>
          <w:highlight w:val="none"/>
          <w:lang w:eastAsia="zh-CN"/>
        </w:rPr>
        <w:t>，</w:t>
      </w:r>
      <w:r>
        <w:rPr>
          <w:rFonts w:hint="eastAsia" w:ascii="Times New Roman" w:hAnsi="Times New Roman"/>
          <w:color w:val="auto"/>
          <w:szCs w:val="20"/>
          <w:highlight w:val="none"/>
        </w:rPr>
        <w:t>素填土为场地开挖整平时堆填</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未分层回填</w:t>
      </w:r>
      <w:r>
        <w:rPr>
          <w:rFonts w:hint="eastAsia"/>
          <w:color w:val="auto"/>
          <w:szCs w:val="20"/>
          <w:highlight w:val="none"/>
          <w:lang w:eastAsia="zh-CN"/>
        </w:rPr>
        <w:t>，</w:t>
      </w:r>
      <w:r>
        <w:rPr>
          <w:rFonts w:hint="eastAsia" w:ascii="Times New Roman" w:hAnsi="Times New Roman"/>
          <w:color w:val="auto"/>
          <w:szCs w:val="20"/>
          <w:highlight w:val="none"/>
        </w:rPr>
        <w:t>回填过程经轻微碾压</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堆填时间约为1个月</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时间为2025年12月</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为新近填土</w:t>
      </w:r>
      <w:r>
        <w:rPr>
          <w:rFonts w:hint="eastAsia"/>
          <w:color w:val="auto"/>
          <w:szCs w:val="20"/>
          <w:highlight w:val="none"/>
          <w:lang w:eastAsia="zh-CN"/>
        </w:rPr>
        <w:t>，</w:t>
      </w:r>
      <w:r>
        <w:rPr>
          <w:rFonts w:hint="eastAsia" w:ascii="Times New Roman" w:hAnsi="Times New Roman"/>
          <w:color w:val="auto"/>
          <w:szCs w:val="20"/>
          <w:highlight w:val="none"/>
        </w:rPr>
        <w:t>层厚0.50~2.90m</w:t>
      </w:r>
      <w:r>
        <w:rPr>
          <w:rFonts w:hint="eastAsia"/>
          <w:color w:val="auto"/>
          <w:szCs w:val="20"/>
          <w:highlight w:val="none"/>
          <w:lang w:eastAsia="zh-CN"/>
        </w:rPr>
        <w:t>，</w:t>
      </w:r>
      <w:r>
        <w:rPr>
          <w:rFonts w:hint="eastAsia" w:ascii="Times New Roman" w:hAnsi="Times New Roman"/>
          <w:color w:val="auto"/>
          <w:szCs w:val="20"/>
          <w:highlight w:val="none"/>
        </w:rPr>
        <w:t>层底标高</w:t>
      </w:r>
      <w:r>
        <w:rPr>
          <w:rFonts w:hint="eastAsia"/>
          <w:color w:val="auto"/>
          <w:szCs w:val="20"/>
          <w:highlight w:val="none"/>
          <w:lang w:val="en-US" w:eastAsia="zh-CN"/>
        </w:rPr>
        <w:t>5</w:t>
      </w:r>
      <w:r>
        <w:rPr>
          <w:rFonts w:hint="eastAsia" w:ascii="Times New Roman" w:hAnsi="Times New Roman"/>
          <w:color w:val="auto"/>
          <w:szCs w:val="20"/>
          <w:highlight w:val="none"/>
        </w:rPr>
        <w:t>16.88~523.39m。</w:t>
      </w:r>
    </w:p>
    <w:p w14:paraId="5A3A8948">
      <w:pPr>
        <w:adjustRightInd w:val="0"/>
        <w:snapToGrid w:val="0"/>
        <w:spacing w:line="360" w:lineRule="auto"/>
        <w:ind w:left="0" w:leftChars="0" w:firstLine="480" w:firstLineChars="200"/>
        <w:rPr>
          <w:rFonts w:hint="eastAsia" w:ascii="Times New Roman" w:hAnsi="Times New Roman"/>
          <w:color w:val="auto"/>
          <w:szCs w:val="20"/>
          <w:highlight w:val="none"/>
        </w:rPr>
      </w:pPr>
      <w:r>
        <w:rPr>
          <w:rFonts w:hint="eastAsia"/>
          <w:color w:val="auto"/>
          <w:szCs w:val="20"/>
          <w:highlight w:val="none"/>
          <w:lang w:eastAsia="zh-CN"/>
        </w:rPr>
        <w:t>（</w:t>
      </w:r>
      <w:r>
        <w:rPr>
          <w:rFonts w:hint="eastAsia"/>
          <w:color w:val="auto"/>
          <w:szCs w:val="20"/>
          <w:highlight w:val="none"/>
          <w:lang w:val="en-US" w:eastAsia="zh-CN"/>
        </w:rPr>
        <w:t>2</w:t>
      </w:r>
      <w:r>
        <w:rPr>
          <w:rFonts w:hint="eastAsia"/>
          <w:color w:val="auto"/>
          <w:szCs w:val="20"/>
          <w:highlight w:val="none"/>
          <w:lang w:eastAsia="zh-CN"/>
        </w:rPr>
        <w:t>）</w:t>
      </w:r>
      <w:r>
        <w:rPr>
          <w:rFonts w:hint="eastAsia" w:ascii="Times New Roman" w:hAnsi="Times New Roman"/>
          <w:color w:val="auto"/>
          <w:szCs w:val="20"/>
          <w:highlight w:val="none"/>
        </w:rPr>
        <w:t>第四系全新统崩积层(Q</w:t>
      </w:r>
      <w:r>
        <w:rPr>
          <w:rFonts w:hint="eastAsia"/>
          <w:color w:val="auto"/>
          <w:szCs w:val="20"/>
          <w:highlight w:val="none"/>
          <w:vertAlign w:val="subscript"/>
          <w:lang w:val="en-US" w:eastAsia="zh-CN"/>
        </w:rPr>
        <w:t>4</w:t>
      </w:r>
      <w:r>
        <w:rPr>
          <w:rFonts w:hint="eastAsia"/>
          <w:color w:val="auto"/>
          <w:szCs w:val="20"/>
          <w:highlight w:val="none"/>
          <w:vertAlign w:val="superscript"/>
          <w:lang w:val="en-US" w:eastAsia="zh-CN"/>
        </w:rPr>
        <w:t>col</w:t>
      </w:r>
      <w:r>
        <w:rPr>
          <w:rFonts w:hint="eastAsia" w:ascii="Times New Roman" w:hAnsi="Times New Roman"/>
          <w:color w:val="auto"/>
          <w:szCs w:val="20"/>
          <w:highlight w:val="none"/>
        </w:rPr>
        <w:t>)</w:t>
      </w:r>
    </w:p>
    <w:p w14:paraId="6AE8A87C">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ascii="Times New Roman" w:hAnsi="Times New Roman"/>
          <w:color w:val="auto"/>
          <w:szCs w:val="20"/>
          <w:highlight w:val="none"/>
        </w:rPr>
        <w:t>黄褐色、灰褐色</w:t>
      </w:r>
      <w:r>
        <w:rPr>
          <w:rFonts w:hint="eastAsia"/>
          <w:color w:val="auto"/>
          <w:szCs w:val="20"/>
          <w:highlight w:val="none"/>
          <w:lang w:eastAsia="zh-CN"/>
        </w:rPr>
        <w:t>，</w:t>
      </w:r>
      <w:r>
        <w:rPr>
          <w:rFonts w:hint="eastAsia" w:ascii="Times New Roman" w:hAnsi="Times New Roman"/>
          <w:color w:val="auto"/>
          <w:szCs w:val="20"/>
          <w:highlight w:val="none"/>
        </w:rPr>
        <w:t>稍湿</w:t>
      </w:r>
      <w:r>
        <w:rPr>
          <w:rFonts w:hint="eastAsia"/>
          <w:color w:val="auto"/>
          <w:szCs w:val="20"/>
          <w:highlight w:val="none"/>
          <w:lang w:eastAsia="zh-CN"/>
        </w:rPr>
        <w:t>，</w:t>
      </w:r>
      <w:r>
        <w:rPr>
          <w:rFonts w:hint="eastAsia" w:ascii="Times New Roman" w:hAnsi="Times New Roman"/>
          <w:color w:val="auto"/>
          <w:szCs w:val="20"/>
          <w:highlight w:val="none"/>
        </w:rPr>
        <w:t>呈可塑状态</w:t>
      </w:r>
      <w:r>
        <w:rPr>
          <w:rFonts w:hint="eastAsia"/>
          <w:color w:val="auto"/>
          <w:szCs w:val="20"/>
          <w:highlight w:val="none"/>
          <w:lang w:eastAsia="zh-CN"/>
        </w:rPr>
        <w:t>，</w:t>
      </w:r>
      <w:r>
        <w:rPr>
          <w:rFonts w:hint="eastAsia" w:ascii="Times New Roman" w:hAnsi="Times New Roman"/>
          <w:color w:val="auto"/>
          <w:szCs w:val="20"/>
          <w:highlight w:val="none"/>
        </w:rPr>
        <w:t>主要由粘粒组成</w:t>
      </w:r>
      <w:r>
        <w:rPr>
          <w:rFonts w:hint="eastAsia"/>
          <w:color w:val="auto"/>
          <w:szCs w:val="20"/>
          <w:highlight w:val="none"/>
          <w:lang w:eastAsia="zh-CN"/>
        </w:rPr>
        <w:t>，</w:t>
      </w:r>
      <w:r>
        <w:rPr>
          <w:rFonts w:hint="eastAsia" w:ascii="Times New Roman" w:hAnsi="Times New Roman"/>
          <w:color w:val="auto"/>
          <w:szCs w:val="20"/>
          <w:highlight w:val="none"/>
        </w:rPr>
        <w:t>含铁核包含物</w:t>
      </w:r>
      <w:r>
        <w:rPr>
          <w:rFonts w:hint="eastAsia"/>
          <w:color w:val="auto"/>
          <w:szCs w:val="20"/>
          <w:highlight w:val="none"/>
          <w:lang w:eastAsia="zh-CN"/>
        </w:rPr>
        <w:t>，</w:t>
      </w:r>
      <w:r>
        <w:rPr>
          <w:rFonts w:hint="eastAsia" w:ascii="Times New Roman" w:hAnsi="Times New Roman"/>
          <w:color w:val="auto"/>
          <w:szCs w:val="20"/>
          <w:highlight w:val="none"/>
        </w:rPr>
        <w:t>局部含块石与孤石</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块石含量最大达10%</w:t>
      </w:r>
      <w:r>
        <w:rPr>
          <w:rFonts w:hint="eastAsia"/>
          <w:color w:val="auto"/>
          <w:szCs w:val="20"/>
          <w:highlight w:val="none"/>
          <w:lang w:eastAsia="zh-CN"/>
        </w:rPr>
        <w:t>，</w:t>
      </w:r>
      <w:r>
        <w:rPr>
          <w:rFonts w:hint="eastAsia" w:ascii="Times New Roman" w:hAnsi="Times New Roman"/>
          <w:color w:val="auto"/>
          <w:szCs w:val="20"/>
          <w:highlight w:val="none"/>
        </w:rPr>
        <w:t>勘察中查明孤石直径最大达2.10m</w:t>
      </w:r>
      <w:r>
        <w:rPr>
          <w:rFonts w:hint="eastAsia"/>
          <w:color w:val="auto"/>
          <w:szCs w:val="20"/>
          <w:highlight w:val="none"/>
          <w:lang w:eastAsia="zh-CN"/>
        </w:rPr>
        <w:t>，</w:t>
      </w:r>
      <w:r>
        <w:rPr>
          <w:rFonts w:hint="eastAsia" w:ascii="Times New Roman" w:hAnsi="Times New Roman"/>
          <w:color w:val="auto"/>
          <w:szCs w:val="20"/>
          <w:highlight w:val="none"/>
        </w:rPr>
        <w:t>孤石母岩主要为砂岩</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切面光滑</w:t>
      </w:r>
      <w:r>
        <w:rPr>
          <w:rFonts w:hint="eastAsia"/>
          <w:color w:val="auto"/>
          <w:szCs w:val="20"/>
          <w:highlight w:val="none"/>
          <w:lang w:eastAsia="zh-CN"/>
        </w:rPr>
        <w:t>，</w:t>
      </w:r>
      <w:r>
        <w:rPr>
          <w:rFonts w:hint="eastAsia" w:ascii="Times New Roman" w:hAnsi="Times New Roman"/>
          <w:color w:val="auto"/>
          <w:szCs w:val="20"/>
          <w:highlight w:val="none"/>
        </w:rPr>
        <w:t>摇振反应无</w:t>
      </w:r>
      <w:r>
        <w:rPr>
          <w:rFonts w:hint="eastAsia"/>
          <w:color w:val="auto"/>
          <w:szCs w:val="20"/>
          <w:highlight w:val="none"/>
          <w:lang w:eastAsia="zh-CN"/>
        </w:rPr>
        <w:t>，</w:t>
      </w:r>
      <w:r>
        <w:rPr>
          <w:rFonts w:hint="eastAsia" w:ascii="Times New Roman" w:hAnsi="Times New Roman"/>
          <w:color w:val="auto"/>
          <w:szCs w:val="20"/>
          <w:highlight w:val="none"/>
        </w:rPr>
        <w:t>干强度较高</w:t>
      </w:r>
      <w:r>
        <w:rPr>
          <w:rFonts w:hint="eastAsia"/>
          <w:color w:val="auto"/>
          <w:szCs w:val="20"/>
          <w:highlight w:val="none"/>
          <w:lang w:eastAsia="zh-CN"/>
        </w:rPr>
        <w:t>，</w:t>
      </w:r>
      <w:r>
        <w:rPr>
          <w:rFonts w:hint="eastAsia" w:ascii="Times New Roman" w:hAnsi="Times New Roman"/>
          <w:color w:val="auto"/>
          <w:szCs w:val="20"/>
          <w:highlight w:val="none"/>
        </w:rPr>
        <w:t>韧性较好</w:t>
      </w:r>
      <w:r>
        <w:rPr>
          <w:rFonts w:hint="eastAsia"/>
          <w:color w:val="auto"/>
          <w:szCs w:val="20"/>
          <w:highlight w:val="none"/>
          <w:lang w:eastAsia="zh-CN"/>
        </w:rPr>
        <w:t>，</w:t>
      </w:r>
      <w:r>
        <w:rPr>
          <w:rFonts w:hint="eastAsia" w:ascii="Times New Roman" w:hAnsi="Times New Roman"/>
          <w:color w:val="auto"/>
          <w:szCs w:val="20"/>
          <w:highlight w:val="none"/>
        </w:rPr>
        <w:t>属崩积成因。该层在勘察场地内普遍分布</w:t>
      </w:r>
      <w:r>
        <w:rPr>
          <w:rFonts w:hint="eastAsia"/>
          <w:color w:val="auto"/>
          <w:szCs w:val="20"/>
          <w:highlight w:val="none"/>
          <w:lang w:eastAsia="zh-CN"/>
        </w:rPr>
        <w:t>，</w:t>
      </w:r>
      <w:r>
        <w:rPr>
          <w:rFonts w:hint="eastAsia" w:ascii="Times New Roman" w:hAnsi="Times New Roman"/>
          <w:color w:val="auto"/>
          <w:szCs w:val="20"/>
          <w:highlight w:val="none"/>
        </w:rPr>
        <w:t>层厚2.90~15.70m</w:t>
      </w:r>
      <w:r>
        <w:rPr>
          <w:rFonts w:hint="eastAsia"/>
          <w:color w:val="auto"/>
          <w:szCs w:val="20"/>
          <w:highlight w:val="none"/>
          <w:lang w:eastAsia="zh-CN"/>
        </w:rPr>
        <w:t>，</w:t>
      </w:r>
      <w:r>
        <w:rPr>
          <w:rFonts w:hint="eastAsia" w:ascii="Times New Roman" w:hAnsi="Times New Roman"/>
          <w:color w:val="auto"/>
          <w:szCs w:val="20"/>
          <w:highlight w:val="none"/>
        </w:rPr>
        <w:t>层底标高505.94~521.73m。</w:t>
      </w:r>
    </w:p>
    <w:p w14:paraId="568A9DE9">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eastAsia="zh-CN"/>
        </w:rPr>
        <w:t>（</w:t>
      </w:r>
      <w:r>
        <w:rPr>
          <w:rFonts w:hint="eastAsia"/>
          <w:color w:val="auto"/>
          <w:szCs w:val="20"/>
          <w:highlight w:val="none"/>
          <w:lang w:val="en-US" w:eastAsia="zh-CN"/>
        </w:rPr>
        <w:t>3</w:t>
      </w:r>
      <w:r>
        <w:rPr>
          <w:rFonts w:hint="eastAsia"/>
          <w:color w:val="auto"/>
          <w:szCs w:val="20"/>
          <w:highlight w:val="none"/>
          <w:lang w:eastAsia="zh-CN"/>
        </w:rPr>
        <w:t>）</w:t>
      </w: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p>
    <w:p w14:paraId="2A84C44B">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val="en-US" w:eastAsia="zh-CN"/>
        </w:rPr>
        <w:t>1）</w:t>
      </w:r>
      <w:r>
        <w:rPr>
          <w:rFonts w:hint="eastAsia" w:ascii="Times New Roman" w:hAnsi="Times New Roman"/>
          <w:color w:val="auto"/>
          <w:szCs w:val="20"/>
          <w:highlight w:val="none"/>
        </w:rPr>
        <w:t>强风化泥岩(K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):岩体呈强风化状态</w:t>
      </w:r>
      <w:r>
        <w:rPr>
          <w:rFonts w:hint="eastAsia"/>
          <w:color w:val="auto"/>
          <w:szCs w:val="20"/>
          <w:highlight w:val="none"/>
          <w:lang w:eastAsia="zh-CN"/>
        </w:rPr>
        <w:t>，</w:t>
      </w:r>
      <w:r>
        <w:rPr>
          <w:rFonts w:hint="eastAsia" w:ascii="Times New Roman" w:hAnsi="Times New Roman"/>
          <w:color w:val="auto"/>
          <w:szCs w:val="20"/>
          <w:highlight w:val="none"/>
        </w:rPr>
        <w:t>红褐色</w:t>
      </w:r>
      <w:r>
        <w:rPr>
          <w:rFonts w:hint="eastAsia"/>
          <w:color w:val="auto"/>
          <w:szCs w:val="20"/>
          <w:highlight w:val="none"/>
          <w:lang w:eastAsia="zh-CN"/>
        </w:rPr>
        <w:t>，</w:t>
      </w:r>
      <w:r>
        <w:rPr>
          <w:rFonts w:hint="eastAsia" w:ascii="Times New Roman" w:hAnsi="Times New Roman"/>
          <w:color w:val="auto"/>
          <w:szCs w:val="20"/>
          <w:highlight w:val="none"/>
        </w:rPr>
        <w:t>层状构造</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170°∠2°</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粘粒结构</w:t>
      </w:r>
      <w:r>
        <w:rPr>
          <w:rFonts w:hint="eastAsia"/>
          <w:color w:val="auto"/>
          <w:szCs w:val="20"/>
          <w:highlight w:val="none"/>
          <w:lang w:eastAsia="zh-CN"/>
        </w:rPr>
        <w:t>，</w:t>
      </w:r>
      <w:r>
        <w:rPr>
          <w:rFonts w:hint="eastAsia" w:ascii="Times New Roman" w:hAnsi="Times New Roman"/>
          <w:color w:val="auto"/>
          <w:szCs w:val="20"/>
          <w:highlight w:val="none"/>
        </w:rPr>
        <w:t>泥质胶结</w:t>
      </w:r>
      <w:r>
        <w:rPr>
          <w:rFonts w:hint="eastAsia"/>
          <w:color w:val="auto"/>
          <w:szCs w:val="20"/>
          <w:highlight w:val="none"/>
          <w:lang w:eastAsia="zh-CN"/>
        </w:rPr>
        <w:t>，</w:t>
      </w:r>
      <w:r>
        <w:rPr>
          <w:rFonts w:hint="eastAsia" w:ascii="Times New Roman" w:hAnsi="Times New Roman"/>
          <w:color w:val="auto"/>
          <w:szCs w:val="20"/>
          <w:highlight w:val="none"/>
        </w:rPr>
        <w:t>主要矿物成份为粘土矿物。该层在E勘察场地内普遍分布</w:t>
      </w:r>
      <w:r>
        <w:rPr>
          <w:rFonts w:hint="eastAsia"/>
          <w:color w:val="auto"/>
          <w:szCs w:val="20"/>
          <w:highlight w:val="none"/>
          <w:lang w:eastAsia="zh-CN"/>
        </w:rPr>
        <w:t>，</w:t>
      </w:r>
      <w:r>
        <w:rPr>
          <w:rFonts w:hint="eastAsia" w:ascii="Times New Roman" w:hAnsi="Times New Roman"/>
          <w:color w:val="auto"/>
          <w:szCs w:val="20"/>
          <w:highlight w:val="none"/>
        </w:rPr>
        <w:t>层厚0.50~2.00m</w:t>
      </w:r>
      <w:r>
        <w:rPr>
          <w:rFonts w:hint="eastAsia"/>
          <w:color w:val="auto"/>
          <w:szCs w:val="20"/>
          <w:highlight w:val="none"/>
          <w:lang w:eastAsia="zh-CN"/>
        </w:rPr>
        <w:t>，</w:t>
      </w:r>
      <w:r>
        <w:rPr>
          <w:rFonts w:hint="eastAsia" w:ascii="Times New Roman" w:hAnsi="Times New Roman"/>
          <w:color w:val="auto"/>
          <w:szCs w:val="20"/>
          <w:highlight w:val="none"/>
        </w:rPr>
        <w:t>层底标高507.28~522.38m。强风化泥岩岩体破碎</w:t>
      </w:r>
      <w:r>
        <w:rPr>
          <w:rFonts w:hint="eastAsia"/>
          <w:color w:val="auto"/>
          <w:szCs w:val="20"/>
          <w:highlight w:val="none"/>
          <w:lang w:eastAsia="zh-CN"/>
        </w:rPr>
        <w:t>，</w:t>
      </w:r>
      <w:r>
        <w:rPr>
          <w:rFonts w:hint="eastAsia" w:ascii="Times New Roman" w:hAnsi="Times New Roman"/>
          <w:color w:val="auto"/>
          <w:szCs w:val="20"/>
          <w:highlight w:val="none"/>
        </w:rPr>
        <w:t>用镐可挖</w:t>
      </w:r>
      <w:r>
        <w:rPr>
          <w:rFonts w:hint="eastAsia"/>
          <w:color w:val="auto"/>
          <w:szCs w:val="20"/>
          <w:highlight w:val="none"/>
          <w:lang w:eastAsia="zh-CN"/>
        </w:rPr>
        <w:t>，</w:t>
      </w:r>
      <w:r>
        <w:rPr>
          <w:rFonts w:hint="eastAsia" w:ascii="Times New Roman" w:hAnsi="Times New Roman"/>
          <w:color w:val="auto"/>
          <w:szCs w:val="20"/>
          <w:highlight w:val="none"/>
        </w:rPr>
        <w:t>干钻不易钻进</w:t>
      </w:r>
      <w:r>
        <w:rPr>
          <w:rFonts w:hint="eastAsia"/>
          <w:color w:val="auto"/>
          <w:szCs w:val="20"/>
          <w:highlight w:val="none"/>
          <w:lang w:eastAsia="zh-CN"/>
        </w:rPr>
        <w:t>，</w:t>
      </w:r>
      <w:r>
        <w:rPr>
          <w:rFonts w:hint="eastAsia" w:ascii="Times New Roman" w:hAnsi="Times New Roman"/>
          <w:color w:val="auto"/>
          <w:szCs w:val="20"/>
          <w:highlight w:val="none"/>
        </w:rPr>
        <w:t>岩芯多呈碎块状、短柱状</w:t>
      </w:r>
      <w:r>
        <w:rPr>
          <w:rFonts w:hint="eastAsia"/>
          <w:color w:val="auto"/>
          <w:szCs w:val="20"/>
          <w:highlight w:val="none"/>
          <w:lang w:eastAsia="zh-CN"/>
        </w:rPr>
        <w:t>，</w:t>
      </w:r>
      <w:r>
        <w:rPr>
          <w:rFonts w:hint="eastAsia" w:ascii="Times New Roman" w:hAnsi="Times New Roman"/>
          <w:color w:val="auto"/>
          <w:szCs w:val="20"/>
          <w:highlight w:val="none"/>
        </w:rPr>
        <w:t>岩芯采取率65~70%。依据现场钻勘资料与试验可知:其坚硬程度分类为极软岩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岩体完整程度分类为砂破碎</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岩体基本质量等级分类为V类。</w:t>
      </w:r>
    </w:p>
    <w:p w14:paraId="362943B2">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val="en-US" w:eastAsia="zh-CN"/>
        </w:rPr>
        <w:t>2）</w:t>
      </w:r>
      <w:r>
        <w:rPr>
          <w:rFonts w:hint="eastAsia" w:ascii="Times New Roman" w:hAnsi="Times New Roman"/>
          <w:color w:val="auto"/>
          <w:szCs w:val="20"/>
          <w:highlight w:val="none"/>
        </w:rPr>
        <w:t>中等风化泥岩(K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):岩体呈中等风化状态</w:t>
      </w:r>
      <w:r>
        <w:rPr>
          <w:rFonts w:hint="eastAsia"/>
          <w:color w:val="auto"/>
          <w:szCs w:val="20"/>
          <w:highlight w:val="none"/>
          <w:lang w:eastAsia="zh-CN"/>
        </w:rPr>
        <w:t>，</w:t>
      </w:r>
      <w:r>
        <w:rPr>
          <w:rFonts w:hint="eastAsia" w:ascii="Times New Roman" w:hAnsi="Times New Roman"/>
          <w:color w:val="auto"/>
          <w:szCs w:val="20"/>
          <w:highlight w:val="none"/>
        </w:rPr>
        <w:t>红褐色</w:t>
      </w:r>
      <w:r>
        <w:rPr>
          <w:rFonts w:hint="eastAsia"/>
          <w:color w:val="auto"/>
          <w:szCs w:val="20"/>
          <w:highlight w:val="none"/>
          <w:lang w:eastAsia="zh-CN"/>
        </w:rPr>
        <w:t>，</w:t>
      </w:r>
      <w:r>
        <w:rPr>
          <w:rFonts w:hint="eastAsia" w:ascii="Times New Roman" w:hAnsi="Times New Roman"/>
          <w:color w:val="auto"/>
          <w:szCs w:val="20"/>
          <w:highlight w:val="none"/>
        </w:rPr>
        <w:t>层状构造</w:t>
      </w:r>
      <w:r>
        <w:rPr>
          <w:rFonts w:hint="eastAsia"/>
          <w:color w:val="auto"/>
          <w:szCs w:val="20"/>
          <w:highlight w:val="none"/>
          <w:lang w:eastAsia="zh-CN"/>
        </w:rPr>
        <w:t>，</w:t>
      </w:r>
      <w:r>
        <w:rPr>
          <w:rFonts w:hint="eastAsia" w:ascii="Times New Roman" w:hAnsi="Times New Roman"/>
          <w:color w:val="auto"/>
          <w:szCs w:val="20"/>
          <w:highlight w:val="none"/>
        </w:rPr>
        <w:t>粘粒结构</w:t>
      </w:r>
      <w:r>
        <w:rPr>
          <w:rFonts w:hint="eastAsia"/>
          <w:color w:val="auto"/>
          <w:szCs w:val="20"/>
          <w:highlight w:val="none"/>
          <w:lang w:eastAsia="zh-CN"/>
        </w:rPr>
        <w:t>，</w:t>
      </w:r>
      <w:r>
        <w:rPr>
          <w:rFonts w:hint="eastAsia" w:ascii="Times New Roman" w:hAnsi="Times New Roman"/>
          <w:color w:val="auto"/>
          <w:szCs w:val="20"/>
          <w:highlight w:val="none"/>
        </w:rPr>
        <w:t>泥质胶结</w:t>
      </w:r>
      <w:r>
        <w:rPr>
          <w:rFonts w:hint="eastAsia"/>
          <w:color w:val="auto"/>
          <w:szCs w:val="20"/>
          <w:highlight w:val="none"/>
          <w:lang w:eastAsia="zh-CN"/>
        </w:rPr>
        <w:t>，</w:t>
      </w:r>
      <w:r>
        <w:rPr>
          <w:rFonts w:hint="eastAsia" w:ascii="Times New Roman" w:hAnsi="Times New Roman"/>
          <w:color w:val="auto"/>
          <w:szCs w:val="20"/>
          <w:highlight w:val="none"/>
        </w:rPr>
        <w:t>岩层产状呈170°/2°</w:t>
      </w:r>
      <w:r>
        <w:rPr>
          <w:rFonts w:hint="eastAsia"/>
          <w:color w:val="auto"/>
          <w:szCs w:val="20"/>
          <w:highlight w:val="none"/>
          <w:lang w:eastAsia="zh-CN"/>
        </w:rPr>
        <w:t>，</w:t>
      </w:r>
      <w:r>
        <w:rPr>
          <w:rFonts w:hint="eastAsia" w:ascii="Times New Roman" w:hAnsi="Times New Roman"/>
          <w:color w:val="auto"/>
          <w:szCs w:val="20"/>
          <w:highlight w:val="none"/>
        </w:rPr>
        <w:t>主要矿物成份为粘土矿物</w:t>
      </w:r>
      <w:r>
        <w:rPr>
          <w:rFonts w:hint="eastAsia"/>
          <w:color w:val="auto"/>
          <w:szCs w:val="20"/>
          <w:highlight w:val="none"/>
          <w:lang w:eastAsia="zh-CN"/>
        </w:rPr>
        <w:t>，</w:t>
      </w:r>
      <w:r>
        <w:rPr>
          <w:rFonts w:hint="eastAsia" w:ascii="Times New Roman" w:hAnsi="Times New Roman"/>
          <w:color w:val="auto"/>
          <w:szCs w:val="20"/>
          <w:highlight w:val="none"/>
        </w:rPr>
        <w:t>该层在勘察场地内普遍分布</w:t>
      </w:r>
      <w:r>
        <w:rPr>
          <w:rFonts w:hint="eastAsia"/>
          <w:color w:val="auto"/>
          <w:szCs w:val="20"/>
          <w:highlight w:val="none"/>
          <w:lang w:eastAsia="zh-CN"/>
        </w:rPr>
        <w:t>，</w:t>
      </w:r>
      <w:r>
        <w:rPr>
          <w:rFonts w:hint="eastAsia" w:ascii="Times New Roman" w:hAnsi="Times New Roman"/>
          <w:color w:val="auto"/>
          <w:szCs w:val="20"/>
          <w:highlight w:val="none"/>
        </w:rPr>
        <w:t>层厚1.10~6.50m</w:t>
      </w:r>
      <w:r>
        <w:rPr>
          <w:rFonts w:hint="eastAsia"/>
          <w:color w:val="auto"/>
          <w:szCs w:val="20"/>
          <w:highlight w:val="none"/>
          <w:lang w:eastAsia="zh-CN"/>
        </w:rPr>
        <w:t>，</w:t>
      </w:r>
      <w:r>
        <w:rPr>
          <w:rFonts w:hint="eastAsia" w:ascii="Times New Roman" w:hAnsi="Times New Roman"/>
          <w:color w:val="auto"/>
          <w:szCs w:val="20"/>
          <w:highlight w:val="none"/>
        </w:rPr>
        <w:t>未揭穿</w:t>
      </w:r>
      <w:r>
        <w:rPr>
          <w:rFonts w:hint="eastAsia"/>
          <w:color w:val="auto"/>
          <w:szCs w:val="20"/>
          <w:highlight w:val="none"/>
          <w:lang w:eastAsia="zh-CN"/>
        </w:rPr>
        <w:t>，</w:t>
      </w:r>
      <w:r>
        <w:rPr>
          <w:rFonts w:hint="eastAsia" w:ascii="Times New Roman" w:hAnsi="Times New Roman"/>
          <w:color w:val="auto"/>
          <w:szCs w:val="20"/>
          <w:highlight w:val="none"/>
        </w:rPr>
        <w:t>层底标高503.70~517.63m。中等风化泥岩用镐难挖</w:t>
      </w:r>
      <w:r>
        <w:rPr>
          <w:rFonts w:hint="eastAsia"/>
          <w:color w:val="auto"/>
          <w:szCs w:val="20"/>
          <w:highlight w:val="none"/>
          <w:lang w:eastAsia="zh-CN"/>
        </w:rPr>
        <w:t>，</w:t>
      </w:r>
      <w:r>
        <w:rPr>
          <w:rFonts w:hint="eastAsia" w:ascii="Times New Roman" w:hAnsi="Times New Roman"/>
          <w:color w:val="auto"/>
          <w:szCs w:val="20"/>
          <w:highlight w:val="none"/>
        </w:rPr>
        <w:t>岩芯多呈短柱状、长柱状</w:t>
      </w:r>
      <w:r>
        <w:rPr>
          <w:rFonts w:hint="eastAsia"/>
          <w:color w:val="auto"/>
          <w:szCs w:val="20"/>
          <w:highlight w:val="none"/>
          <w:lang w:eastAsia="zh-CN"/>
        </w:rPr>
        <w:t>，</w:t>
      </w:r>
      <w:r>
        <w:rPr>
          <w:rFonts w:hint="eastAsia" w:ascii="Times New Roman" w:hAnsi="Times New Roman"/>
          <w:color w:val="auto"/>
          <w:szCs w:val="20"/>
          <w:highlight w:val="none"/>
        </w:rPr>
        <w:t>岩芯采取率80~85%</w:t>
      </w:r>
      <w:r>
        <w:rPr>
          <w:rFonts w:hint="eastAsia"/>
          <w:color w:val="auto"/>
          <w:szCs w:val="20"/>
          <w:highlight w:val="none"/>
          <w:lang w:eastAsia="zh-CN"/>
        </w:rPr>
        <w:t>，</w:t>
      </w:r>
      <w:r>
        <w:rPr>
          <w:rFonts w:hint="eastAsia" w:ascii="Times New Roman" w:hAnsi="Times New Roman"/>
          <w:color w:val="auto"/>
          <w:szCs w:val="20"/>
          <w:highlight w:val="none"/>
        </w:rPr>
        <w:t>RQD=55~75。依据现场钻勘资料与试验判定中等风化泥岩坚硬程度分类为极软岩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岩体完整程度分类为较完整</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岩体基本质量等级分类为V类</w:t>
      </w:r>
      <w:r>
        <w:rPr>
          <w:rFonts w:hint="eastAsia"/>
          <w:color w:val="auto"/>
          <w:szCs w:val="20"/>
          <w:highlight w:val="none"/>
          <w:lang w:eastAsia="zh-CN"/>
        </w:rPr>
        <w:t>，</w:t>
      </w:r>
      <w:r>
        <w:rPr>
          <w:rFonts w:hint="eastAsia" w:ascii="Times New Roman" w:hAnsi="Times New Roman"/>
          <w:color w:val="auto"/>
          <w:szCs w:val="20"/>
          <w:highlight w:val="none"/>
        </w:rPr>
        <w:t>软化系数小于0.75</w:t>
      </w:r>
      <w:r>
        <w:rPr>
          <w:rFonts w:hint="eastAsia"/>
          <w:color w:val="auto"/>
          <w:szCs w:val="20"/>
          <w:highlight w:val="none"/>
          <w:lang w:eastAsia="zh-CN"/>
        </w:rPr>
        <w:t>，</w:t>
      </w:r>
      <w:r>
        <w:rPr>
          <w:rFonts w:hint="eastAsia" w:ascii="Times New Roman" w:hAnsi="Times New Roman"/>
          <w:color w:val="auto"/>
          <w:szCs w:val="20"/>
          <w:highlight w:val="none"/>
        </w:rPr>
        <w:t>为软化岩石。</w:t>
      </w:r>
    </w:p>
    <w:p w14:paraId="57EFE6B9">
      <w:pPr>
        <w:adjustRightInd w:val="0"/>
        <w:snapToGrid w:val="0"/>
        <w:spacing w:line="360" w:lineRule="auto"/>
        <w:ind w:left="0" w:leftChars="0" w:firstLine="480" w:firstLineChars="200"/>
        <w:jc w:val="both"/>
        <w:rPr>
          <w:rFonts w:hint="eastAsia" w:ascii="Times New Roman" w:hAnsi="Times New Roman"/>
          <w:color w:val="auto"/>
          <w:szCs w:val="20"/>
          <w:highlight w:val="none"/>
          <w:lang w:val="en-US" w:eastAsia="zh-CN"/>
        </w:rPr>
      </w:pPr>
      <w:r>
        <w:rPr>
          <w:rFonts w:hint="eastAsia"/>
          <w:color w:val="auto"/>
          <w:szCs w:val="20"/>
          <w:highlight w:val="none"/>
          <w:lang w:val="en-US" w:eastAsia="zh-CN"/>
        </w:rPr>
        <w:t>3）</w:t>
      </w:r>
      <w:r>
        <w:rPr>
          <w:rFonts w:hint="eastAsia" w:ascii="Times New Roman" w:hAnsi="Times New Roman"/>
          <w:color w:val="auto"/>
          <w:szCs w:val="20"/>
          <w:highlight w:val="none"/>
        </w:rPr>
        <w:t>强风化砂岩(K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):岩体呈强风化状态</w:t>
      </w:r>
      <w:r>
        <w:rPr>
          <w:rFonts w:hint="eastAsia"/>
          <w:color w:val="auto"/>
          <w:szCs w:val="20"/>
          <w:highlight w:val="none"/>
          <w:lang w:eastAsia="zh-CN"/>
        </w:rPr>
        <w:t>，</w:t>
      </w:r>
      <w:r>
        <w:rPr>
          <w:rFonts w:hint="eastAsia" w:ascii="Times New Roman" w:hAnsi="Times New Roman"/>
          <w:color w:val="auto"/>
          <w:szCs w:val="20"/>
          <w:highlight w:val="none"/>
        </w:rPr>
        <w:t>灰白色</w:t>
      </w:r>
      <w:r>
        <w:rPr>
          <w:rFonts w:hint="eastAsia"/>
          <w:color w:val="auto"/>
          <w:szCs w:val="20"/>
          <w:highlight w:val="none"/>
          <w:lang w:eastAsia="zh-CN"/>
        </w:rPr>
        <w:t>，</w:t>
      </w:r>
      <w:r>
        <w:rPr>
          <w:rFonts w:hint="eastAsia" w:ascii="Times New Roman" w:hAnsi="Times New Roman"/>
          <w:color w:val="auto"/>
          <w:szCs w:val="20"/>
          <w:highlight w:val="none"/>
        </w:rPr>
        <w:t>层状构造</w:t>
      </w:r>
      <w:r>
        <w:rPr>
          <w:rFonts w:hint="eastAsia" w:ascii="Times New Roman" w:hAnsi="Times New Roman"/>
          <w:color w:val="auto"/>
          <w:szCs w:val="20"/>
          <w:highlight w:val="none"/>
          <w:lang w:eastAsia="zh-CN"/>
        </w:rPr>
        <w:t>（</w:t>
      </w:r>
      <w:r>
        <w:rPr>
          <w:rFonts w:hint="eastAsia" w:ascii="Times New Roman" w:hAnsi="Times New Roman"/>
          <w:color w:val="auto"/>
          <w:szCs w:val="20"/>
          <w:highlight w:val="none"/>
        </w:rPr>
        <w:t>170°∠2°</w:t>
      </w:r>
      <w:r>
        <w:rPr>
          <w:rFonts w:hint="eastAsia" w:ascii="Times New Roman" w:hAnsi="Times New Roman"/>
          <w:color w:val="auto"/>
          <w:szCs w:val="20"/>
          <w:highlight w:val="none"/>
          <w:lang w:eastAsia="zh-CN"/>
        </w:rPr>
        <w:t>）</w:t>
      </w:r>
      <w:r>
        <w:rPr>
          <w:rFonts w:hint="eastAsia"/>
          <w:color w:val="auto"/>
          <w:szCs w:val="20"/>
          <w:highlight w:val="none"/>
          <w:lang w:eastAsia="zh-CN"/>
        </w:rPr>
        <w:t>，</w:t>
      </w:r>
      <w:r>
        <w:rPr>
          <w:rFonts w:hint="eastAsia" w:ascii="Times New Roman" w:hAnsi="Times New Roman"/>
          <w:color w:val="auto"/>
          <w:szCs w:val="20"/>
          <w:highlight w:val="none"/>
        </w:rPr>
        <w:t>细粒结构</w:t>
      </w:r>
      <w:r>
        <w:rPr>
          <w:rFonts w:hint="eastAsia"/>
          <w:color w:val="auto"/>
          <w:szCs w:val="20"/>
          <w:highlight w:val="none"/>
          <w:lang w:eastAsia="zh-CN"/>
        </w:rPr>
        <w:t>，</w:t>
      </w:r>
      <w:r>
        <w:rPr>
          <w:rFonts w:hint="eastAsia" w:ascii="Times New Roman" w:hAnsi="Times New Roman"/>
          <w:color w:val="auto"/>
          <w:szCs w:val="20"/>
          <w:highlight w:val="none"/>
        </w:rPr>
        <w:t>钙、硅质胶结</w:t>
      </w:r>
      <w:r>
        <w:rPr>
          <w:rFonts w:hint="eastAsia"/>
          <w:color w:val="auto"/>
          <w:szCs w:val="20"/>
          <w:highlight w:val="none"/>
          <w:lang w:eastAsia="zh-CN"/>
        </w:rPr>
        <w:t>，</w:t>
      </w:r>
      <w:r>
        <w:rPr>
          <w:rFonts w:hint="eastAsia" w:ascii="Times New Roman" w:hAnsi="Times New Roman"/>
          <w:color w:val="auto"/>
          <w:szCs w:val="20"/>
          <w:highlight w:val="none"/>
        </w:rPr>
        <w:t>主要矿物成份为长石、石英、云母等原生矿物。该层主要分布在场地南东角(仅zk39见)</w:t>
      </w:r>
      <w:r>
        <w:rPr>
          <w:rFonts w:hint="eastAsia"/>
          <w:color w:val="auto"/>
          <w:szCs w:val="20"/>
          <w:highlight w:val="none"/>
          <w:lang w:eastAsia="zh-CN"/>
        </w:rPr>
        <w:t>，</w:t>
      </w:r>
      <w:r>
        <w:rPr>
          <w:rFonts w:hint="eastAsia" w:ascii="Times New Roman" w:hAnsi="Times New Roman"/>
          <w:color w:val="auto"/>
          <w:szCs w:val="20"/>
          <w:highlight w:val="none"/>
        </w:rPr>
        <w:t>层厚0.60m</w:t>
      </w:r>
      <w:r>
        <w:rPr>
          <w:rFonts w:hint="eastAsia"/>
          <w:color w:val="auto"/>
          <w:szCs w:val="20"/>
          <w:highlight w:val="none"/>
          <w:lang w:eastAsia="zh-CN"/>
        </w:rPr>
        <w:t>，</w:t>
      </w:r>
      <w:r>
        <w:rPr>
          <w:rFonts w:hint="eastAsia" w:ascii="Times New Roman" w:hAnsi="Times New Roman"/>
          <w:color w:val="auto"/>
          <w:szCs w:val="20"/>
          <w:highlight w:val="none"/>
        </w:rPr>
        <w:t>层底标高505.34m。强风化砂岩岩体破碎</w:t>
      </w:r>
      <w:r>
        <w:rPr>
          <w:rFonts w:hint="eastAsia"/>
          <w:color w:val="auto"/>
          <w:szCs w:val="20"/>
          <w:highlight w:val="none"/>
          <w:lang w:eastAsia="zh-CN"/>
        </w:rPr>
        <w:t>，</w:t>
      </w:r>
      <w:r>
        <w:rPr>
          <w:rFonts w:hint="eastAsia" w:ascii="Times New Roman" w:hAnsi="Times New Roman"/>
          <w:color w:val="auto"/>
          <w:szCs w:val="20"/>
          <w:highlight w:val="none"/>
        </w:rPr>
        <w:t>用镐可挖</w:t>
      </w:r>
      <w:r>
        <w:rPr>
          <w:rFonts w:hint="eastAsia"/>
          <w:color w:val="auto"/>
          <w:szCs w:val="20"/>
          <w:highlight w:val="none"/>
          <w:lang w:eastAsia="zh-CN"/>
        </w:rPr>
        <w:t>，</w:t>
      </w:r>
      <w:r>
        <w:rPr>
          <w:rFonts w:hint="eastAsia" w:ascii="Times New Roman" w:hAnsi="Times New Roman"/>
          <w:color w:val="auto"/>
          <w:szCs w:val="20"/>
          <w:highlight w:val="none"/>
        </w:rPr>
        <w:t>干钻不易钻进</w:t>
      </w:r>
      <w:r>
        <w:rPr>
          <w:rFonts w:hint="eastAsia"/>
          <w:color w:val="auto"/>
          <w:szCs w:val="20"/>
          <w:highlight w:val="none"/>
          <w:lang w:eastAsia="zh-CN"/>
        </w:rPr>
        <w:t>，</w:t>
      </w:r>
      <w:r>
        <w:rPr>
          <w:rFonts w:hint="eastAsia" w:ascii="Times New Roman" w:hAnsi="Times New Roman"/>
          <w:color w:val="auto"/>
          <w:szCs w:val="20"/>
          <w:highlight w:val="none"/>
        </w:rPr>
        <w:t>岩芯多呈碎块状、短柱状</w:t>
      </w:r>
      <w:r>
        <w:rPr>
          <w:rFonts w:hint="eastAsia"/>
          <w:color w:val="auto"/>
          <w:szCs w:val="20"/>
          <w:highlight w:val="none"/>
          <w:lang w:eastAsia="zh-CN"/>
        </w:rPr>
        <w:t>，</w:t>
      </w:r>
      <w:r>
        <w:rPr>
          <w:rFonts w:hint="eastAsia" w:ascii="Times New Roman" w:hAnsi="Times New Roman"/>
          <w:color w:val="auto"/>
          <w:szCs w:val="20"/>
          <w:highlight w:val="none"/>
        </w:rPr>
        <w:t>岩芯采取率70~75%。依据现场钻勘资料可知:其坚硬程度分类为材吸软岩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岩体完整程度分类为破碎</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岩体基本质量等级分类为V类。</w:t>
      </w:r>
      <w:r>
        <w:rPr>
          <w:rFonts w:hint="eastAsia" w:ascii="Times New Roman" w:hAnsi="Times New Roman"/>
          <w:color w:val="auto"/>
          <w:szCs w:val="20"/>
          <w:highlight w:val="none"/>
          <w:lang w:val="en-US" w:eastAsia="zh-CN"/>
        </w:rPr>
        <w:t xml:space="preserve">  </w:t>
      </w:r>
    </w:p>
    <w:p w14:paraId="09AB487A">
      <w:pPr>
        <w:adjustRightInd w:val="0"/>
        <w:snapToGrid w:val="0"/>
        <w:spacing w:line="360" w:lineRule="auto"/>
        <w:ind w:left="0" w:leftChars="0" w:firstLine="480" w:firstLineChars="200"/>
        <w:jc w:val="both"/>
        <w:rPr>
          <w:rFonts w:hint="eastAsia" w:ascii="Times New Roman" w:hAnsi="Times New Roman"/>
          <w:color w:val="auto"/>
          <w:szCs w:val="20"/>
          <w:highlight w:val="none"/>
        </w:rPr>
      </w:pPr>
      <w:r>
        <w:rPr>
          <w:rFonts w:hint="eastAsia"/>
          <w:color w:val="auto"/>
          <w:szCs w:val="20"/>
          <w:highlight w:val="none"/>
          <w:lang w:val="en-US" w:eastAsia="zh-CN"/>
        </w:rPr>
        <w:t>4）</w:t>
      </w:r>
      <w:r>
        <w:rPr>
          <w:rFonts w:hint="eastAsia" w:ascii="Times New Roman" w:hAnsi="Times New Roman"/>
          <w:color w:val="auto"/>
          <w:szCs w:val="20"/>
          <w:highlight w:val="none"/>
        </w:rPr>
        <w:t>中等风化砂岩(K</w:t>
      </w:r>
      <w:r>
        <w:rPr>
          <w:rFonts w:hint="eastAsia"/>
          <w:color w:val="auto"/>
          <w:szCs w:val="20"/>
          <w:highlight w:val="none"/>
          <w:vertAlign w:val="subscript"/>
          <w:lang w:val="en-US" w:eastAsia="zh-CN"/>
        </w:rPr>
        <w:t>1</w:t>
      </w:r>
      <w:r>
        <w:rPr>
          <w:rFonts w:hint="eastAsia"/>
          <w:color w:val="auto"/>
          <w:szCs w:val="20"/>
          <w:highlight w:val="none"/>
          <w:lang w:val="en-US" w:eastAsia="zh-CN"/>
        </w:rPr>
        <w:t>b</w:t>
      </w:r>
      <w:r>
        <w:rPr>
          <w:rFonts w:hint="eastAsia" w:ascii="Times New Roman" w:hAnsi="Times New Roman"/>
          <w:color w:val="auto"/>
          <w:szCs w:val="20"/>
          <w:highlight w:val="none"/>
        </w:rPr>
        <w:t>):岩体呈中等风化状态</w:t>
      </w:r>
      <w:r>
        <w:rPr>
          <w:rFonts w:hint="eastAsia"/>
          <w:color w:val="auto"/>
          <w:szCs w:val="20"/>
          <w:highlight w:val="none"/>
          <w:lang w:eastAsia="zh-CN"/>
        </w:rPr>
        <w:t>，</w:t>
      </w:r>
      <w:r>
        <w:rPr>
          <w:rFonts w:hint="eastAsia" w:ascii="Times New Roman" w:hAnsi="Times New Roman"/>
          <w:color w:val="auto"/>
          <w:szCs w:val="20"/>
          <w:highlight w:val="none"/>
        </w:rPr>
        <w:t>灰白色</w:t>
      </w:r>
      <w:r>
        <w:rPr>
          <w:rFonts w:hint="eastAsia"/>
          <w:color w:val="auto"/>
          <w:szCs w:val="20"/>
          <w:highlight w:val="none"/>
          <w:lang w:eastAsia="zh-CN"/>
        </w:rPr>
        <w:t>，</w:t>
      </w:r>
      <w:r>
        <w:rPr>
          <w:rFonts w:hint="eastAsia" w:ascii="Times New Roman" w:hAnsi="Times New Roman"/>
          <w:color w:val="auto"/>
          <w:szCs w:val="20"/>
          <w:highlight w:val="none"/>
        </w:rPr>
        <w:t>房层状构造</w:t>
      </w:r>
      <w:r>
        <w:rPr>
          <w:rFonts w:hint="eastAsia"/>
          <w:color w:val="auto"/>
          <w:szCs w:val="20"/>
          <w:highlight w:val="none"/>
          <w:lang w:eastAsia="zh-CN"/>
        </w:rPr>
        <w:t>，</w:t>
      </w:r>
      <w:r>
        <w:rPr>
          <w:rFonts w:hint="eastAsia" w:ascii="Times New Roman" w:hAnsi="Times New Roman"/>
          <w:color w:val="auto"/>
          <w:szCs w:val="20"/>
          <w:highlight w:val="none"/>
        </w:rPr>
        <w:t>细粒结构</w:t>
      </w:r>
      <w:r>
        <w:rPr>
          <w:rFonts w:hint="eastAsia"/>
          <w:color w:val="auto"/>
          <w:szCs w:val="20"/>
          <w:highlight w:val="none"/>
          <w:lang w:eastAsia="zh-CN"/>
        </w:rPr>
        <w:t>，</w:t>
      </w:r>
      <w:r>
        <w:rPr>
          <w:rFonts w:hint="eastAsia" w:ascii="Times New Roman" w:hAnsi="Times New Roman"/>
          <w:color w:val="auto"/>
          <w:szCs w:val="20"/>
          <w:highlight w:val="none"/>
        </w:rPr>
        <w:t>钙、硅质胶结</w:t>
      </w:r>
      <w:r>
        <w:rPr>
          <w:rFonts w:hint="eastAsia"/>
          <w:color w:val="auto"/>
          <w:szCs w:val="20"/>
          <w:highlight w:val="none"/>
          <w:lang w:eastAsia="zh-CN"/>
        </w:rPr>
        <w:t>，</w:t>
      </w:r>
      <w:r>
        <w:rPr>
          <w:rFonts w:hint="eastAsia" w:ascii="Times New Roman" w:hAnsi="Times New Roman"/>
          <w:color w:val="auto"/>
          <w:szCs w:val="20"/>
          <w:highlight w:val="none"/>
        </w:rPr>
        <w:t>岩层产状呈170°/2°</w:t>
      </w:r>
      <w:r>
        <w:rPr>
          <w:rFonts w:hint="eastAsia"/>
          <w:color w:val="auto"/>
          <w:szCs w:val="20"/>
          <w:highlight w:val="none"/>
          <w:lang w:eastAsia="zh-CN"/>
        </w:rPr>
        <w:t>，</w:t>
      </w:r>
      <w:r>
        <w:rPr>
          <w:rFonts w:hint="eastAsia" w:ascii="Times New Roman" w:hAnsi="Times New Roman"/>
          <w:color w:val="auto"/>
          <w:szCs w:val="20"/>
          <w:highlight w:val="none"/>
        </w:rPr>
        <w:t>主要矿物成份为长石、石英、云母等原生矿物。该层主要分布在场地南东角(仅zk39见)</w:t>
      </w:r>
      <w:r>
        <w:rPr>
          <w:rFonts w:hint="eastAsia"/>
          <w:color w:val="auto"/>
          <w:szCs w:val="20"/>
          <w:highlight w:val="none"/>
          <w:lang w:eastAsia="zh-CN"/>
        </w:rPr>
        <w:t>，</w:t>
      </w:r>
      <w:r>
        <w:rPr>
          <w:rFonts w:hint="eastAsia" w:ascii="Times New Roman" w:hAnsi="Times New Roman"/>
          <w:color w:val="auto"/>
          <w:szCs w:val="20"/>
          <w:highlight w:val="none"/>
        </w:rPr>
        <w:t>月层厚3.90m</w:t>
      </w:r>
      <w:r>
        <w:rPr>
          <w:rFonts w:hint="eastAsia"/>
          <w:color w:val="auto"/>
          <w:szCs w:val="20"/>
          <w:highlight w:val="none"/>
          <w:lang w:eastAsia="zh-CN"/>
        </w:rPr>
        <w:t>，</w:t>
      </w:r>
      <w:r>
        <w:rPr>
          <w:rFonts w:hint="eastAsia" w:ascii="Times New Roman" w:hAnsi="Times New Roman"/>
          <w:color w:val="auto"/>
          <w:szCs w:val="20"/>
          <w:highlight w:val="none"/>
        </w:rPr>
        <w:t>层底标高501.44m。中等风化砂岩用镐难挖</w:t>
      </w:r>
      <w:r>
        <w:rPr>
          <w:rFonts w:hint="eastAsia"/>
          <w:color w:val="auto"/>
          <w:szCs w:val="20"/>
          <w:highlight w:val="none"/>
          <w:lang w:eastAsia="zh-CN"/>
        </w:rPr>
        <w:t>，</w:t>
      </w:r>
      <w:r>
        <w:rPr>
          <w:rFonts w:hint="eastAsia" w:ascii="Times New Roman" w:hAnsi="Times New Roman"/>
          <w:color w:val="auto"/>
          <w:szCs w:val="20"/>
          <w:highlight w:val="none"/>
        </w:rPr>
        <w:t>岩芯多呈短柱状、长柱状</w:t>
      </w:r>
      <w:r>
        <w:rPr>
          <w:rFonts w:hint="eastAsia"/>
          <w:color w:val="auto"/>
          <w:szCs w:val="20"/>
          <w:highlight w:val="none"/>
          <w:lang w:eastAsia="zh-CN"/>
        </w:rPr>
        <w:t>，</w:t>
      </w:r>
      <w:r>
        <w:rPr>
          <w:rFonts w:hint="eastAsia" w:ascii="Times New Roman" w:hAnsi="Times New Roman"/>
          <w:color w:val="auto"/>
          <w:szCs w:val="20"/>
          <w:highlight w:val="none"/>
        </w:rPr>
        <w:t>岩芯采取率85~90%</w:t>
      </w:r>
      <w:r>
        <w:rPr>
          <w:rFonts w:hint="eastAsia"/>
          <w:color w:val="auto"/>
          <w:szCs w:val="20"/>
          <w:highlight w:val="none"/>
          <w:lang w:eastAsia="zh-CN"/>
        </w:rPr>
        <w:t>，</w:t>
      </w:r>
      <w:r>
        <w:rPr>
          <w:rFonts w:hint="eastAsia" w:ascii="Times New Roman" w:hAnsi="Times New Roman"/>
          <w:color w:val="auto"/>
          <w:szCs w:val="20"/>
          <w:highlight w:val="none"/>
        </w:rPr>
        <w:t>RQD=75~85。依据现场钻勘资料可知:其坚硬程度分类为较软岩</w:t>
      </w:r>
      <w:r>
        <w:rPr>
          <w:rFonts w:hint="eastAsia"/>
          <w:color w:val="auto"/>
          <w:szCs w:val="20"/>
          <w:highlight w:val="none"/>
          <w:lang w:eastAsia="zh-CN"/>
        </w:rPr>
        <w:t>，</w:t>
      </w:r>
      <w:r>
        <w:rPr>
          <w:rFonts w:hint="eastAsia" w:ascii="Times New Roman" w:hAnsi="Times New Roman"/>
          <w:color w:val="auto"/>
          <w:szCs w:val="20"/>
          <w:highlight w:val="none"/>
        </w:rPr>
        <w:t>岩体完整程度分类为完整</w:t>
      </w:r>
      <w:r>
        <w:rPr>
          <w:rFonts w:hint="eastAsia"/>
          <w:color w:val="auto"/>
          <w:szCs w:val="20"/>
          <w:highlight w:val="none"/>
          <w:lang w:eastAsia="zh-CN"/>
        </w:rPr>
        <w:t>，</w:t>
      </w:r>
      <w:r>
        <w:rPr>
          <w:rFonts w:hint="eastAsia" w:ascii="Times New Roman" w:hAnsi="Times New Roman"/>
          <w:color w:val="auto"/>
          <w:szCs w:val="20"/>
          <w:highlight w:val="none"/>
        </w:rPr>
        <w:t>岩体基本质量等级分类为III类。依据国地区经验判断其软化系数大于0.75</w:t>
      </w:r>
      <w:r>
        <w:rPr>
          <w:rFonts w:hint="eastAsia"/>
          <w:color w:val="auto"/>
          <w:szCs w:val="20"/>
          <w:highlight w:val="none"/>
          <w:lang w:eastAsia="zh-CN"/>
        </w:rPr>
        <w:t>，</w:t>
      </w:r>
      <w:r>
        <w:rPr>
          <w:rFonts w:hint="eastAsia" w:ascii="Times New Roman" w:hAnsi="Times New Roman"/>
          <w:color w:val="auto"/>
          <w:szCs w:val="20"/>
          <w:highlight w:val="none"/>
        </w:rPr>
        <w:t>为非软化岩石。</w:t>
      </w:r>
    </w:p>
    <w:p w14:paraId="6B86D8BC">
      <w:pPr>
        <w:adjustRightInd w:val="0"/>
        <w:snapToGrid w:val="0"/>
        <w:spacing w:line="360" w:lineRule="auto"/>
        <w:ind w:left="0" w:leftChars="0" w:firstLine="480" w:firstLineChars="200"/>
        <w:jc w:val="center"/>
        <w:rPr>
          <w:rFonts w:hint="eastAsia" w:ascii="Times New Roman" w:hAnsi="Times New Roman" w:eastAsia="宋体"/>
          <w:color w:val="auto"/>
          <w:szCs w:val="20"/>
          <w:lang w:eastAsia="zh-CN"/>
        </w:rPr>
      </w:pPr>
      <w:r>
        <w:rPr>
          <w:rFonts w:hint="eastAsia" w:ascii="Times New Roman" w:hAnsi="Times New Roman" w:eastAsia="宋体"/>
          <w:color w:val="auto"/>
          <w:szCs w:val="20"/>
          <w:highlight w:val="none"/>
          <w:lang w:eastAsia="zh-CN"/>
        </w:rPr>
        <w:drawing>
          <wp:inline distT="0" distB="0" distL="114300" distR="114300">
            <wp:extent cx="5353685" cy="7875905"/>
            <wp:effectExtent l="0" t="0" r="18415" b="10795"/>
            <wp:docPr id="47" name="图片 47" descr="3勘察图（修正）-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3勘察图（修正）-模型"/>
                    <pic:cNvPicPr>
                      <a:picLocks noChangeAspect="1"/>
                    </pic:cNvPicPr>
                  </pic:nvPicPr>
                  <pic:blipFill>
                    <a:blip r:embed="rId94"/>
                    <a:stretch>
                      <a:fillRect/>
                    </a:stretch>
                  </pic:blipFill>
                  <pic:spPr>
                    <a:xfrm>
                      <a:off x="0" y="0"/>
                      <a:ext cx="5353685" cy="7875905"/>
                    </a:xfrm>
                    <a:prstGeom prst="rect">
                      <a:avLst/>
                    </a:prstGeom>
                  </pic:spPr>
                </pic:pic>
              </a:graphicData>
            </a:graphic>
          </wp:inline>
        </w:drawing>
      </w:r>
    </w:p>
    <w:p w14:paraId="186D6BC4">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场地钻孔柱状图</w:t>
      </w:r>
    </w:p>
    <w:p w14:paraId="3DDEC738">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3、地质构造</w:t>
      </w:r>
    </w:p>
    <w:p w14:paraId="089D17C1">
      <w:pPr>
        <w:pStyle w:val="26"/>
        <w:bidi w:val="0"/>
        <w:rPr>
          <w:rFonts w:hint="eastAsia" w:ascii="Times New Roman" w:hAnsi="Times New Roman"/>
          <w:color w:val="auto"/>
          <w:szCs w:val="20"/>
          <w:highlight w:val="none"/>
        </w:rPr>
      </w:pPr>
      <w:r>
        <w:rPr>
          <w:rFonts w:hint="eastAsia" w:ascii="Times New Roman" w:hAnsi="Times New Roman"/>
          <w:color w:val="auto"/>
          <w:szCs w:val="20"/>
          <w:highlight w:val="none"/>
          <w:lang w:val="en-US" w:eastAsia="zh-CN"/>
        </w:rPr>
        <w:t>通江县处于大巴山歹字型构造中段的南侧</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与川东新华厦系构造</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巴（中）-平（昌）莲花状构造的复合交接部位</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因而</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区内构造线展向多变</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构造形迹总的是以褶皱为主</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而断裂不发育。根据构造在区内的分布及其水文地质意义以大巴山弧形构造和川东新华夏系构造较为重要。在复杂的区域构造旋扭应力的作用下</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使区内褶皱轴线多呈弧形</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岩层倾角变化频繁</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并常有挠曲现象</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从而在一定程度上影响和决定了通江县地质灾害的分布发育特征。岩层平缓</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产状155°</w:t>
      </w:r>
      <w:r>
        <w:rPr>
          <w:rFonts w:hint="eastAsia" w:ascii="Times New Roman" w:hAnsi="Times New Roman"/>
          <w:color w:val="auto"/>
          <w:szCs w:val="20"/>
          <w:highlight w:val="none"/>
        </w:rPr>
        <w:t>∠</w:t>
      </w:r>
      <w:r>
        <w:rPr>
          <w:rFonts w:hint="eastAsia"/>
          <w:color w:val="auto"/>
          <w:szCs w:val="20"/>
          <w:highlight w:val="none"/>
          <w:lang w:val="en-US" w:eastAsia="zh-CN"/>
        </w:rPr>
        <w:t>5</w:t>
      </w:r>
      <w:r>
        <w:rPr>
          <w:rFonts w:hint="eastAsia" w:ascii="Times New Roman" w:hAnsi="Times New Roman"/>
          <w:color w:val="auto"/>
          <w:szCs w:val="20"/>
          <w:highlight w:val="none"/>
        </w:rPr>
        <w:t>°</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岩性单一</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无断层分布、发育。勘察区新构造运动仅表现为大面积的整体抬升</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未发现断裂活动迹象。地震危险性主要受外围地震波及影响</w:t>
      </w:r>
      <w:r>
        <w:rPr>
          <w:rFonts w:hint="eastAsia"/>
          <w:color w:val="auto"/>
          <w:szCs w:val="20"/>
          <w:highlight w:val="none"/>
          <w:lang w:val="en-US" w:eastAsia="zh-CN"/>
        </w:rPr>
        <w:t>，</w:t>
      </w:r>
      <w:r>
        <w:rPr>
          <w:rFonts w:hint="eastAsia" w:ascii="Times New Roman" w:hAnsi="Times New Roman"/>
          <w:color w:val="auto"/>
          <w:szCs w:val="20"/>
          <w:highlight w:val="none"/>
          <w:lang w:val="en-US" w:eastAsia="zh-CN"/>
        </w:rPr>
        <w:t>在区域上属相对稳定区。通江县地层岩性及地质构造分布如下图所示。</w:t>
      </w:r>
    </w:p>
    <w:p w14:paraId="090D68CB">
      <w:pPr>
        <w:pStyle w:val="26"/>
        <w:bidi w:val="0"/>
        <w:rPr>
          <w:rFonts w:hint="eastAsia" w:ascii="Times New Roman" w:hAnsi="Times New Roman" w:eastAsia="宋体" w:cs="Times New Roman"/>
          <w:color w:val="auto"/>
          <w:highlight w:val="none"/>
          <w:lang w:val="en-US" w:eastAsia="zh-CN"/>
        </w:rPr>
      </w:pPr>
      <w:r>
        <w:rPr>
          <w:rFonts w:hint="eastAsia"/>
          <w:color w:val="auto"/>
          <w:highlight w:val="none"/>
          <w:lang w:val="en-US" w:eastAsia="zh-CN"/>
        </w:rPr>
        <w:t>场地内岩层产状呈172°∠2°，无断层分布、发育，层间裂隙与卸荷裂隙发育。</w:t>
      </w:r>
    </w:p>
    <w:p w14:paraId="4D547D6C">
      <w:pPr>
        <w:pStyle w:val="26"/>
        <w:bidi w:val="0"/>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drawing>
          <wp:inline distT="0" distB="0" distL="114300" distR="114300">
            <wp:extent cx="5054600" cy="5746750"/>
            <wp:effectExtent l="0" t="0" r="12700" b="6350"/>
            <wp:docPr id="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
                    <pic:cNvPicPr>
                      <a:picLocks noChangeAspect="1"/>
                    </pic:cNvPicPr>
                  </pic:nvPicPr>
                  <pic:blipFill>
                    <a:blip r:embed="rId95"/>
                    <a:stretch>
                      <a:fillRect/>
                    </a:stretch>
                  </pic:blipFill>
                  <pic:spPr>
                    <a:xfrm>
                      <a:off x="0" y="0"/>
                      <a:ext cx="5054600" cy="5746750"/>
                    </a:xfrm>
                    <a:prstGeom prst="rect">
                      <a:avLst/>
                    </a:prstGeom>
                    <a:noFill/>
                    <a:ln>
                      <a:noFill/>
                    </a:ln>
                  </pic:spPr>
                </pic:pic>
              </a:graphicData>
            </a:graphic>
          </wp:inline>
        </w:drawing>
      </w:r>
    </w:p>
    <w:p w14:paraId="1D32B58F">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区域地质构造图</w:t>
      </w:r>
    </w:p>
    <w:p w14:paraId="4B8191D8">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地下水类型及赋存条件</w:t>
      </w:r>
    </w:p>
    <w:p w14:paraId="7799BB87">
      <w:pPr>
        <w:spacing w:line="360" w:lineRule="auto"/>
        <w:ind w:left="0" w:leftChars="0" w:firstLine="480" w:firstLineChars="200"/>
        <w:rPr>
          <w:rFonts w:ascii="Times New Roman" w:hAnsi="Times New Roman" w:cs="Times New Roman"/>
          <w:color w:val="auto"/>
          <w:highlight w:val="none"/>
        </w:rPr>
      </w:pPr>
      <w:r>
        <w:rPr>
          <w:rFonts w:hint="eastAsia" w:ascii="Times New Roman" w:hAnsi="Times New Roman" w:cs="Times New Roman"/>
          <w:color w:val="auto"/>
          <w:highlight w:val="none"/>
        </w:rPr>
        <w:t>依据地下水赋存条件、水动力特征、含水介质等因素的组合情况，</w:t>
      </w:r>
      <w:r>
        <w:rPr>
          <w:rFonts w:hint="eastAsia" w:ascii="Times New Roman" w:hAnsi="Times New Roman" w:cs="Times New Roman"/>
          <w:color w:val="auto"/>
          <w:highlight w:val="none"/>
          <w:lang w:val="en-US" w:eastAsia="zh-CN"/>
        </w:rPr>
        <w:t>本</w:t>
      </w:r>
      <w:r>
        <w:rPr>
          <w:rFonts w:hint="eastAsia" w:ascii="Times New Roman" w:hAnsi="Times New Roman" w:cs="Times New Roman"/>
          <w:color w:val="auto"/>
          <w:highlight w:val="none"/>
        </w:rPr>
        <w:t>项目评价范围内及周边区域地下水类型主要为</w:t>
      </w:r>
      <w:r>
        <w:rPr>
          <w:rFonts w:hint="eastAsia" w:cs="Times New Roman"/>
          <w:color w:val="auto"/>
          <w:highlight w:val="none"/>
          <w:lang w:val="en-US" w:eastAsia="zh-CN"/>
        </w:rPr>
        <w:t>构造裂隙水</w:t>
      </w:r>
      <w:r>
        <w:rPr>
          <w:rFonts w:hint="eastAsia" w:ascii="Times New Roman" w:hAnsi="Times New Roman" w:cs="Times New Roman"/>
          <w:color w:val="auto"/>
          <w:highlight w:val="none"/>
        </w:rPr>
        <w:t>。</w:t>
      </w:r>
    </w:p>
    <w:p w14:paraId="00DF1086">
      <w:pPr>
        <w:pStyle w:val="26"/>
        <w:bidi w:val="0"/>
        <w:rPr>
          <w:color w:val="auto"/>
          <w:highlight w:val="none"/>
        </w:rPr>
      </w:pPr>
      <w:r>
        <w:rPr>
          <w:rFonts w:hint="eastAsia" w:cs="Times New Roman"/>
          <w:color w:val="auto"/>
          <w:highlight w:val="none"/>
          <w:lang w:val="en-US" w:eastAsia="zh-CN"/>
        </w:rPr>
        <w:t>构造裂隙水</w:t>
      </w:r>
      <w:r>
        <w:rPr>
          <w:rFonts w:ascii="Times New Roman" w:hAnsi="Times New Roman" w:cs="Times New Roman"/>
          <w:color w:val="auto"/>
          <w:highlight w:val="none"/>
        </w:rPr>
        <w:t>主赋存于评价区范围内所有区域，含水岩组主要为</w:t>
      </w:r>
      <w:r>
        <w:rPr>
          <w:rFonts w:hint="eastAsia" w:cs="Times New Roman"/>
          <w:color w:val="auto"/>
          <w:szCs w:val="20"/>
          <w:highlight w:val="none"/>
          <w:lang w:val="en-US" w:eastAsia="zh-CN"/>
        </w:rPr>
        <w:t>白垩系下统白龙组（K</w:t>
      </w:r>
      <w:r>
        <w:rPr>
          <w:rFonts w:hint="eastAsia" w:cs="Times New Roman"/>
          <w:color w:val="auto"/>
          <w:szCs w:val="20"/>
          <w:highlight w:val="none"/>
          <w:vertAlign w:val="subscript"/>
          <w:lang w:val="en-US" w:eastAsia="zh-CN"/>
        </w:rPr>
        <w:t>1</w:t>
      </w:r>
      <w:r>
        <w:rPr>
          <w:rFonts w:hint="eastAsia" w:cs="Times New Roman"/>
          <w:color w:val="auto"/>
          <w:szCs w:val="20"/>
          <w:highlight w:val="none"/>
          <w:lang w:val="en-US" w:eastAsia="zh-CN"/>
        </w:rPr>
        <w:t>b）砂泥岩</w:t>
      </w:r>
      <w:r>
        <w:rPr>
          <w:rFonts w:ascii="Times New Roman" w:hAnsi="Times New Roman" w:cs="Times New Roman"/>
          <w:color w:val="auto"/>
          <w:highlight w:val="none"/>
        </w:rPr>
        <w:t>，该含水岩组</w:t>
      </w:r>
      <w:r>
        <w:rPr>
          <w:rFonts w:hint="eastAsia" w:ascii="Times New Roman" w:hAnsi="Times New Roman" w:cs="Times New Roman"/>
          <w:color w:val="auto"/>
          <w:highlight w:val="none"/>
        </w:rPr>
        <w:t>富</w:t>
      </w:r>
      <w:r>
        <w:rPr>
          <w:rFonts w:ascii="Times New Roman" w:hAnsi="Times New Roman" w:cs="Times New Roman"/>
          <w:color w:val="auto"/>
          <w:highlight w:val="none"/>
        </w:rPr>
        <w:t>水性较</w:t>
      </w:r>
      <w:r>
        <w:rPr>
          <w:rFonts w:hint="eastAsia" w:cs="Times New Roman"/>
          <w:color w:val="auto"/>
          <w:highlight w:val="none"/>
          <w:lang w:val="en-US" w:eastAsia="zh-CN"/>
        </w:rPr>
        <w:t>弱</w:t>
      </w:r>
      <w:r>
        <w:rPr>
          <w:rFonts w:ascii="Times New Roman" w:hAnsi="Times New Roman" w:cs="Times New Roman"/>
          <w:color w:val="auto"/>
          <w:highlight w:val="none"/>
        </w:rPr>
        <w:t>，</w:t>
      </w:r>
      <w:r>
        <w:rPr>
          <w:rFonts w:hint="eastAsia" w:cs="Times New Roman"/>
          <w:color w:val="auto"/>
          <w:highlight w:val="none"/>
          <w:lang w:val="en-US" w:eastAsia="zh-CN"/>
        </w:rPr>
        <w:t>泉流量</w:t>
      </w:r>
      <w:r>
        <w:rPr>
          <w:rFonts w:hint="eastAsia" w:ascii="Times New Roman" w:hAnsi="Times New Roman" w:cs="Times New Roman"/>
          <w:color w:val="auto"/>
          <w:highlight w:val="none"/>
        </w:rPr>
        <w:t>为</w:t>
      </w:r>
      <w:r>
        <w:rPr>
          <w:rFonts w:hint="eastAsia" w:cs="Times New Roman"/>
          <w:color w:val="auto"/>
          <w:highlight w:val="none"/>
          <w:lang w:val="en-US" w:eastAsia="zh-CN"/>
        </w:rPr>
        <w:t>0.01</w:t>
      </w:r>
      <w:r>
        <w:rPr>
          <w:rFonts w:hint="eastAsia" w:ascii="Times New Roman" w:hAnsi="Times New Roman" w:cs="Times New Roman"/>
          <w:color w:val="auto"/>
          <w:highlight w:val="none"/>
        </w:rPr>
        <w:t>-</w:t>
      </w:r>
      <w:r>
        <w:rPr>
          <w:rFonts w:hint="eastAsia" w:cs="Times New Roman"/>
          <w:color w:val="auto"/>
          <w:highlight w:val="none"/>
          <w:lang w:val="en-US" w:eastAsia="zh-CN"/>
        </w:rPr>
        <w:t>0.1L</w:t>
      </w:r>
      <w:r>
        <w:rPr>
          <w:rFonts w:hint="eastAsia" w:ascii="Times New Roman" w:hAnsi="Times New Roman" w:cs="Times New Roman"/>
          <w:color w:val="auto"/>
          <w:highlight w:val="none"/>
        </w:rPr>
        <w:t>/</w:t>
      </w:r>
      <w:r>
        <w:rPr>
          <w:rFonts w:hint="eastAsia" w:cs="Times New Roman"/>
          <w:color w:val="auto"/>
          <w:highlight w:val="none"/>
          <w:lang w:val="en-US" w:eastAsia="zh-CN"/>
        </w:rPr>
        <w:t>s</w:t>
      </w:r>
      <w:r>
        <w:rPr>
          <w:rFonts w:ascii="Times New Roman" w:hAnsi="Times New Roman" w:cs="Times New Roman"/>
          <w:color w:val="auto"/>
          <w:highlight w:val="none"/>
        </w:rPr>
        <w:t>，该类地下水主要接受大气降水及上游地下水径流补给。水化学类型主要为重碳酸钙型水，矿化度一般为0.1-0.</w:t>
      </w:r>
      <w:r>
        <w:rPr>
          <w:rFonts w:hint="eastAsia" w:cs="Times New Roman"/>
          <w:color w:val="auto"/>
          <w:highlight w:val="none"/>
          <w:lang w:val="en-US" w:eastAsia="zh-CN"/>
        </w:rPr>
        <w:t>3</w:t>
      </w:r>
      <w:r>
        <w:rPr>
          <w:rFonts w:ascii="Times New Roman" w:hAnsi="Times New Roman" w:cs="Times New Roman"/>
          <w:color w:val="auto"/>
          <w:highlight w:val="none"/>
        </w:rPr>
        <w:t>g/L</w:t>
      </w:r>
      <w:r>
        <w:rPr>
          <w:rFonts w:hint="eastAsia" w:ascii="Times New Roman" w:hAnsi="Times New Roman" w:cs="Times New Roman"/>
          <w:color w:val="auto"/>
          <w:highlight w:val="none"/>
        </w:rPr>
        <w:t>。</w:t>
      </w:r>
    </w:p>
    <w:p w14:paraId="111F9D32">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地下水补给、径流及排泄条件</w:t>
      </w:r>
    </w:p>
    <w:p w14:paraId="2387EB57">
      <w:pPr>
        <w:pStyle w:val="26"/>
        <w:bidi w:val="0"/>
        <w:rPr>
          <w:rFonts w:hint="eastAsia" w:ascii="Times New Roman" w:hAnsi="Times New Roman"/>
          <w:color w:val="auto"/>
          <w:szCs w:val="20"/>
          <w:highlight w:val="none"/>
        </w:rPr>
      </w:pPr>
      <w:r>
        <w:rPr>
          <w:rFonts w:hint="eastAsia" w:ascii="Times New Roman" w:hAnsi="Times New Roman"/>
          <w:color w:val="auto"/>
          <w:szCs w:val="20"/>
          <w:highlight w:val="none"/>
        </w:rPr>
        <w:t>区内赋存的</w:t>
      </w:r>
      <w:r>
        <w:rPr>
          <w:rFonts w:hint="eastAsia"/>
          <w:color w:val="auto"/>
          <w:szCs w:val="20"/>
          <w:highlight w:val="none"/>
          <w:lang w:val="en-US" w:eastAsia="zh-CN"/>
        </w:rPr>
        <w:t>构造裂隙水</w:t>
      </w:r>
      <w:r>
        <w:rPr>
          <w:rFonts w:hint="eastAsia" w:ascii="Times New Roman" w:hAnsi="Times New Roman"/>
          <w:color w:val="auto"/>
          <w:szCs w:val="20"/>
          <w:highlight w:val="none"/>
        </w:rPr>
        <w:t>主要接受大气降雨补给和地下水径流补给，接受大气降雨和北西侧地下水径流补给后，降雨通过包气带垂向入渗补给进入</w:t>
      </w:r>
      <w:r>
        <w:rPr>
          <w:rFonts w:hint="eastAsia" w:cs="Times New Roman"/>
          <w:color w:val="auto"/>
          <w:szCs w:val="20"/>
          <w:highlight w:val="none"/>
          <w:lang w:val="en-US" w:eastAsia="zh-CN"/>
        </w:rPr>
        <w:t>白垩系下统白龙组（K</w:t>
      </w:r>
      <w:r>
        <w:rPr>
          <w:rFonts w:hint="eastAsia" w:cs="Times New Roman"/>
          <w:color w:val="auto"/>
          <w:szCs w:val="20"/>
          <w:highlight w:val="none"/>
          <w:vertAlign w:val="subscript"/>
          <w:lang w:val="en-US" w:eastAsia="zh-CN"/>
        </w:rPr>
        <w:t>1</w:t>
      </w:r>
      <w:r>
        <w:rPr>
          <w:rFonts w:hint="eastAsia" w:cs="Times New Roman"/>
          <w:color w:val="auto"/>
          <w:szCs w:val="20"/>
          <w:highlight w:val="none"/>
          <w:lang w:val="en-US" w:eastAsia="zh-CN"/>
        </w:rPr>
        <w:t>b）砂泥岩</w:t>
      </w:r>
      <w:r>
        <w:rPr>
          <w:rFonts w:hint="eastAsia" w:ascii="Times New Roman" w:hAnsi="Times New Roman"/>
          <w:color w:val="auto"/>
          <w:szCs w:val="20"/>
          <w:highlight w:val="none"/>
        </w:rPr>
        <w:t>含水岩组中。项目地区域地势呈现北</w:t>
      </w:r>
      <w:r>
        <w:rPr>
          <w:rFonts w:hint="eastAsia" w:cs="Times New Roman"/>
          <w:color w:val="auto"/>
          <w:highlight w:val="none"/>
          <w:lang w:val="en-US" w:eastAsia="zh-CN"/>
        </w:rPr>
        <w:t>东</w:t>
      </w:r>
      <w:r>
        <w:rPr>
          <w:rFonts w:hint="eastAsia" w:ascii="Times New Roman" w:hAnsi="Times New Roman" w:cs="Times New Roman"/>
          <w:color w:val="auto"/>
          <w:highlight w:val="none"/>
        </w:rPr>
        <w:t>高，南</w:t>
      </w:r>
      <w:r>
        <w:rPr>
          <w:rFonts w:hint="eastAsia" w:cs="Times New Roman"/>
          <w:color w:val="auto"/>
          <w:highlight w:val="none"/>
          <w:lang w:val="en-US" w:eastAsia="zh-CN"/>
        </w:rPr>
        <w:t>西</w:t>
      </w:r>
      <w:r>
        <w:rPr>
          <w:rFonts w:hint="eastAsia" w:ascii="Times New Roman" w:hAnsi="Times New Roman" w:cs="Times New Roman"/>
          <w:color w:val="auto"/>
          <w:highlight w:val="none"/>
        </w:rPr>
        <w:t>低</w:t>
      </w:r>
      <w:r>
        <w:rPr>
          <w:rFonts w:hint="eastAsia" w:ascii="Times New Roman" w:hAnsi="Times New Roman"/>
          <w:color w:val="auto"/>
          <w:szCs w:val="20"/>
          <w:highlight w:val="none"/>
        </w:rPr>
        <w:t>的特征，在水力梯度的作用下，地下水总体向南</w:t>
      </w:r>
      <w:r>
        <w:rPr>
          <w:rFonts w:hint="eastAsia"/>
          <w:color w:val="auto"/>
          <w:szCs w:val="20"/>
          <w:highlight w:val="none"/>
          <w:lang w:val="en-US" w:eastAsia="zh-CN"/>
        </w:rPr>
        <w:t>西</w:t>
      </w:r>
      <w:r>
        <w:rPr>
          <w:rFonts w:hint="eastAsia" w:ascii="Times New Roman" w:hAnsi="Times New Roman"/>
          <w:color w:val="auto"/>
          <w:szCs w:val="20"/>
          <w:highlight w:val="none"/>
        </w:rPr>
        <w:t>方向径流，最终排泄于场地</w:t>
      </w:r>
      <w:r>
        <w:rPr>
          <w:rFonts w:hint="eastAsia"/>
          <w:color w:val="auto"/>
          <w:szCs w:val="20"/>
          <w:highlight w:val="none"/>
          <w:lang w:val="en-US" w:eastAsia="zh-CN"/>
        </w:rPr>
        <w:t>西</w:t>
      </w:r>
      <w:r>
        <w:rPr>
          <w:rFonts w:hint="eastAsia" w:ascii="Times New Roman" w:hAnsi="Times New Roman"/>
          <w:color w:val="auto"/>
          <w:szCs w:val="20"/>
          <w:highlight w:val="none"/>
        </w:rPr>
        <w:t>侧</w:t>
      </w:r>
      <w:r>
        <w:rPr>
          <w:rFonts w:hint="eastAsia"/>
          <w:color w:val="auto"/>
          <w:szCs w:val="20"/>
          <w:highlight w:val="none"/>
          <w:lang w:val="en-US" w:eastAsia="zh-CN"/>
        </w:rPr>
        <w:t>龙潭沟等</w:t>
      </w:r>
      <w:r>
        <w:rPr>
          <w:rFonts w:hint="eastAsia" w:ascii="Times New Roman" w:hAnsi="Times New Roman"/>
          <w:color w:val="auto"/>
          <w:szCs w:val="20"/>
          <w:highlight w:val="none"/>
        </w:rPr>
        <w:t>地势低洼地带。</w:t>
      </w:r>
    </w:p>
    <w:p w14:paraId="4AD93CC5">
      <w:pPr>
        <w:pStyle w:val="26"/>
        <w:bidi w:val="0"/>
        <w:rPr>
          <w:rFonts w:hint="eastAsia" w:ascii="Times New Roman" w:hAnsi="Times New Roman"/>
          <w:color w:val="auto"/>
          <w:szCs w:val="20"/>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r>
        <w:rPr>
          <w:rFonts w:hint="eastAsia"/>
          <w:color w:val="auto"/>
          <w:szCs w:val="20"/>
          <w:highlight w:val="none"/>
          <w:lang w:val="en-US" w:eastAsia="zh-CN"/>
        </w:rPr>
        <w:t>然而，受沉积环境与后期构造运动的双重控制影响，厂区范围内</w:t>
      </w:r>
      <w:r>
        <w:rPr>
          <w:rFonts w:hint="eastAsia" w:cs="Times New Roman"/>
          <w:color w:val="auto"/>
          <w:szCs w:val="20"/>
          <w:highlight w:val="none"/>
          <w:lang w:val="en-US" w:eastAsia="zh-CN"/>
        </w:rPr>
        <w:t>白垩系下统白龙组（K</w:t>
      </w:r>
      <w:r>
        <w:rPr>
          <w:rFonts w:hint="eastAsia" w:cs="Times New Roman"/>
          <w:color w:val="auto"/>
          <w:szCs w:val="20"/>
          <w:highlight w:val="none"/>
          <w:vertAlign w:val="subscript"/>
          <w:lang w:val="en-US" w:eastAsia="zh-CN"/>
        </w:rPr>
        <w:t>1</w:t>
      </w:r>
      <w:r>
        <w:rPr>
          <w:rFonts w:hint="eastAsia" w:cs="Times New Roman"/>
          <w:color w:val="auto"/>
          <w:szCs w:val="20"/>
          <w:highlight w:val="none"/>
          <w:lang w:val="en-US" w:eastAsia="zh-CN"/>
        </w:rPr>
        <w:t>b）地层存在</w:t>
      </w:r>
      <w:r>
        <w:rPr>
          <w:rFonts w:hint="eastAsia"/>
          <w:color w:val="auto"/>
          <w:szCs w:val="20"/>
          <w:highlight w:val="none"/>
          <w:lang w:val="en-US" w:eastAsia="zh-CN"/>
        </w:rPr>
        <w:t>非均质性强、裂隙发育差异大的特点，其富水性严格受岩性及裂隙网络连通性控制，厂区范围内钻孔D1~D3并未见稳定地下水。</w:t>
      </w:r>
    </w:p>
    <w:p w14:paraId="20D5ABC2">
      <w:pPr>
        <w:pStyle w:val="26"/>
        <w:bidi w:val="0"/>
        <w:ind w:left="0" w:leftChars="0" w:firstLine="0" w:firstLineChars="0"/>
        <w:jc w:val="center"/>
        <w:rPr>
          <w:rFonts w:hint="eastAsia" w:eastAsia="宋体"/>
          <w:color w:val="auto"/>
          <w:highlight w:val="green"/>
          <w:lang w:eastAsia="zh-CN"/>
        </w:rPr>
      </w:pPr>
      <w:r>
        <w:rPr>
          <w:rFonts w:hint="eastAsia" w:eastAsia="宋体"/>
          <w:color w:val="auto"/>
          <w:highlight w:val="none"/>
          <w:lang w:eastAsia="zh-CN"/>
        </w:rPr>
        <w:drawing>
          <wp:inline distT="0" distB="0" distL="114300" distR="114300">
            <wp:extent cx="7788910" cy="5457190"/>
            <wp:effectExtent l="0" t="0" r="2540" b="10160"/>
            <wp:docPr id="49" name="图片 49" descr="附图1 聚羧酸减水剂和无碱速凝剂生产项目区域水文地质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附图1 聚羧酸减水剂和无碱速凝剂生产项目区域水文地质图_01"/>
                    <pic:cNvPicPr>
                      <a:picLocks noChangeAspect="1"/>
                    </pic:cNvPicPr>
                  </pic:nvPicPr>
                  <pic:blipFill>
                    <a:blip r:embed="rId96"/>
                    <a:srcRect l="11681" t="13229" r="12616" b="11690"/>
                    <a:stretch>
                      <a:fillRect/>
                    </a:stretch>
                  </pic:blipFill>
                  <pic:spPr>
                    <a:xfrm>
                      <a:off x="0" y="0"/>
                      <a:ext cx="7788910" cy="5457190"/>
                    </a:xfrm>
                    <a:prstGeom prst="rect">
                      <a:avLst/>
                    </a:prstGeom>
                  </pic:spPr>
                </pic:pic>
              </a:graphicData>
            </a:graphic>
          </wp:inline>
        </w:drawing>
      </w:r>
    </w:p>
    <w:p w14:paraId="5923AF63">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区域水文地质图</w:t>
      </w:r>
    </w:p>
    <w:p w14:paraId="47A7FF5E">
      <w:pPr>
        <w:pStyle w:val="26"/>
        <w:bidi w:val="0"/>
        <w:ind w:left="0" w:leftChars="0" w:firstLine="0" w:firstLineChars="0"/>
        <w:jc w:val="center"/>
        <w:rPr>
          <w:rFonts w:hint="eastAsia" w:eastAsia="宋体"/>
          <w:color w:val="auto"/>
          <w:highlight w:val="green"/>
          <w:lang w:eastAsia="zh-CN"/>
        </w:rPr>
      </w:pPr>
      <w:r>
        <w:rPr>
          <w:rFonts w:hint="eastAsia" w:ascii="Times New Roman" w:hAnsi="Times New Roman" w:eastAsia="宋体" w:cs="Times New Roman"/>
          <w:color w:val="auto"/>
          <w:highlight w:val="none"/>
          <w:lang w:eastAsia="zh-CN"/>
        </w:rPr>
        <w:drawing>
          <wp:inline distT="0" distB="0" distL="114300" distR="114300">
            <wp:extent cx="5554980" cy="4371340"/>
            <wp:effectExtent l="0" t="0" r="7620" b="10160"/>
            <wp:docPr id="50" name="图片 50" descr="附图2 聚羧酸减水剂和无碱速凝剂生产项目水文地质图(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附图2 聚羧酸减水剂和无碱速凝剂生产项目水文地质图(1)_01"/>
                    <pic:cNvPicPr>
                      <a:picLocks noChangeAspect="1"/>
                    </pic:cNvPicPr>
                  </pic:nvPicPr>
                  <pic:blipFill>
                    <a:blip r:embed="rId97"/>
                    <a:srcRect l="15601" t="11048" r="18308" b="15325"/>
                    <a:stretch>
                      <a:fillRect/>
                    </a:stretch>
                  </pic:blipFill>
                  <pic:spPr>
                    <a:xfrm>
                      <a:off x="0" y="0"/>
                      <a:ext cx="5554980" cy="4371340"/>
                    </a:xfrm>
                    <a:prstGeom prst="rect">
                      <a:avLst/>
                    </a:prstGeom>
                  </pic:spPr>
                </pic:pic>
              </a:graphicData>
            </a:graphic>
          </wp:inline>
        </w:drawing>
      </w:r>
    </w:p>
    <w:p w14:paraId="45320DF0">
      <w:pPr>
        <w:pStyle w:val="26"/>
        <w:bidi w:val="0"/>
        <w:ind w:left="0" w:leftChars="0" w:firstLine="0" w:firstLineChars="0"/>
        <w:jc w:val="center"/>
        <w:rPr>
          <w:rFonts w:hint="eastAsia" w:eastAsia="宋体"/>
          <w:color w:val="auto"/>
          <w:highlight w:val="none"/>
          <w:lang w:eastAsia="zh-CN"/>
        </w:rPr>
      </w:pPr>
    </w:p>
    <w:p w14:paraId="3CFE9D88">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场地内水文地质图</w:t>
      </w:r>
    </w:p>
    <w:p w14:paraId="49874789">
      <w:pPr>
        <w:pStyle w:val="26"/>
        <w:bidi w:val="0"/>
        <w:rPr>
          <w:rFonts w:hint="eastAsia" w:eastAsia="宋体"/>
          <w:color w:val="auto"/>
          <w:highlight w:val="none"/>
          <w:lang w:eastAsia="zh-CN"/>
        </w:rPr>
        <w:sectPr>
          <w:pgSz w:w="11906" w:h="16838"/>
          <w:pgMar w:top="1474" w:right="1247" w:bottom="1304" w:left="1361" w:header="851" w:footer="992" w:gutter="0"/>
          <w:pgBorders>
            <w:top w:val="none" w:sz="0" w:space="0"/>
            <w:left w:val="none" w:sz="0" w:space="0"/>
            <w:bottom w:val="none" w:sz="0" w:space="0"/>
            <w:right w:val="none" w:sz="0" w:space="0"/>
          </w:pgBorders>
          <w:cols w:space="0" w:num="1"/>
          <w:rtlGutter w:val="0"/>
          <w:docGrid w:type="lines" w:linePitch="343" w:charSpace="0"/>
        </w:sectPr>
      </w:pPr>
    </w:p>
    <w:p w14:paraId="5B33D613">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地下水动态特征</w:t>
      </w:r>
    </w:p>
    <w:p w14:paraId="0796F8B9">
      <w:pPr>
        <w:pStyle w:val="26"/>
        <w:bidi w:val="0"/>
        <w:rPr>
          <w:rFonts w:hint="eastAsia"/>
          <w:color w:val="auto"/>
          <w:highlight w:val="none"/>
          <w:lang w:val="en-US" w:eastAsia="zh-CN"/>
        </w:rPr>
      </w:pPr>
      <w:r>
        <w:rPr>
          <w:rFonts w:hint="eastAsia" w:ascii="Times New Roman" w:hAnsi="Times New Roman"/>
          <w:bCs/>
          <w:color w:val="auto"/>
          <w:highlight w:val="none"/>
          <w:lang w:bidi="ar"/>
        </w:rPr>
        <w:t>本次在项目所在地按区域地下水水流方向上游、两侧和下游设置地下水水位监测点位共计</w:t>
      </w:r>
      <w:r>
        <w:rPr>
          <w:rFonts w:hint="eastAsia"/>
          <w:bCs/>
          <w:color w:val="auto"/>
          <w:highlight w:val="none"/>
          <w:lang w:val="en-US" w:eastAsia="zh-CN" w:bidi="ar"/>
        </w:rPr>
        <w:t>14</w:t>
      </w:r>
      <w:r>
        <w:rPr>
          <w:rFonts w:hint="eastAsia" w:ascii="Times New Roman" w:hAnsi="Times New Roman"/>
          <w:bCs/>
          <w:color w:val="auto"/>
          <w:highlight w:val="none"/>
          <w:lang w:bidi="ar"/>
        </w:rPr>
        <w:t>个</w:t>
      </w:r>
      <w:r>
        <w:rPr>
          <w:rFonts w:hint="eastAsia" w:ascii="Times New Roman" w:hAnsi="Times New Roman"/>
          <w:bCs/>
          <w:color w:val="auto"/>
          <w:highlight w:val="none"/>
          <w:lang w:eastAsia="zh-CN" w:bidi="ar"/>
        </w:rPr>
        <w:t>，</w:t>
      </w:r>
      <w:r>
        <w:rPr>
          <w:rFonts w:hint="eastAsia" w:ascii="Times New Roman" w:hAnsi="Times New Roman"/>
          <w:bCs/>
          <w:color w:val="auto"/>
          <w:highlight w:val="none"/>
          <w:lang w:val="en-US" w:eastAsia="zh-CN" w:bidi="ar"/>
        </w:rPr>
        <w:t>分别对枯、丰</w:t>
      </w:r>
      <w:r>
        <w:rPr>
          <w:rFonts w:hint="eastAsia"/>
          <w:color w:val="auto"/>
          <w:highlight w:val="none"/>
          <w:lang w:val="en-US" w:eastAsia="zh-CN"/>
        </w:rPr>
        <w:t>水期地下水水位进行了调查，统计如下：</w:t>
      </w:r>
    </w:p>
    <w:p w14:paraId="05C04461">
      <w:pPr>
        <w:pStyle w:val="26"/>
        <w:bidi w:val="0"/>
        <w:rPr>
          <w:rFonts w:hint="default"/>
          <w:color w:val="auto"/>
          <w:highlight w:val="none"/>
          <w:lang w:val="en-US" w:eastAsia="zh-CN"/>
        </w:rPr>
      </w:pPr>
      <w:r>
        <w:rPr>
          <w:rFonts w:hint="eastAsia"/>
          <w:color w:val="auto"/>
          <w:highlight w:val="none"/>
          <w:lang w:val="en-US" w:eastAsia="zh-CN"/>
        </w:rPr>
        <w:t>略。</w:t>
      </w:r>
    </w:p>
    <w:p w14:paraId="12145F7D">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水文地质试验统计</w:t>
      </w:r>
    </w:p>
    <w:p w14:paraId="07A4B85E">
      <w:pPr>
        <w:spacing w:line="360" w:lineRule="auto"/>
        <w:ind w:left="0" w:leftChars="0" w:firstLine="480" w:firstLineChars="200"/>
        <w:rPr>
          <w:rFonts w:hint="eastAsia"/>
          <w:b w:val="0"/>
          <w:bCs w:val="0"/>
          <w:color w:val="auto"/>
          <w:sz w:val="24"/>
          <w:highlight w:val="none"/>
          <w:lang w:val="en-US" w:eastAsia="zh-CN"/>
        </w:rPr>
      </w:pPr>
      <w:r>
        <w:rPr>
          <w:rFonts w:hint="eastAsia"/>
          <w:b w:val="0"/>
          <w:bCs w:val="0"/>
          <w:color w:val="auto"/>
          <w:sz w:val="24"/>
          <w:highlight w:val="none"/>
          <w:lang w:val="en-US" w:eastAsia="zh-CN"/>
        </w:rPr>
        <w:t>由于场地内钻孔D1~D3并未见稳定地下水，因此对周边民井开展抽水试验，以达到获取</w:t>
      </w:r>
      <w:r>
        <w:rPr>
          <w:rFonts w:hint="eastAsia" w:cs="Times New Roman"/>
          <w:b w:val="0"/>
          <w:bCs w:val="0"/>
          <w:color w:val="auto"/>
          <w:szCs w:val="20"/>
          <w:highlight w:val="none"/>
          <w:lang w:val="en-US" w:eastAsia="zh-CN"/>
        </w:rPr>
        <w:t>白垩系下统白龙组（K</w:t>
      </w:r>
      <w:r>
        <w:rPr>
          <w:rFonts w:hint="eastAsia" w:cs="Times New Roman"/>
          <w:b w:val="0"/>
          <w:bCs w:val="0"/>
          <w:color w:val="auto"/>
          <w:szCs w:val="20"/>
          <w:highlight w:val="none"/>
          <w:vertAlign w:val="subscript"/>
          <w:lang w:val="en-US" w:eastAsia="zh-CN"/>
        </w:rPr>
        <w:t>1</w:t>
      </w:r>
      <w:r>
        <w:rPr>
          <w:rFonts w:hint="eastAsia" w:cs="Times New Roman"/>
          <w:b w:val="0"/>
          <w:bCs w:val="0"/>
          <w:color w:val="auto"/>
          <w:szCs w:val="20"/>
          <w:highlight w:val="none"/>
          <w:lang w:val="en-US" w:eastAsia="zh-CN"/>
        </w:rPr>
        <w:t>b）砂泥岩地层水文地质参数的目的</w:t>
      </w:r>
      <w:r>
        <w:rPr>
          <w:rFonts w:hint="eastAsia" w:ascii="Times New Roman" w:hAnsi="Times New Roman"/>
          <w:b w:val="0"/>
          <w:bCs w:val="0"/>
          <w:color w:val="auto"/>
          <w:sz w:val="24"/>
          <w:highlight w:val="none"/>
          <w:lang w:val="en-US" w:eastAsia="zh-CN"/>
        </w:rPr>
        <w:t>，</w:t>
      </w:r>
      <w:r>
        <w:rPr>
          <w:rFonts w:hint="eastAsia"/>
          <w:b w:val="0"/>
          <w:bCs w:val="0"/>
          <w:color w:val="auto"/>
          <w:sz w:val="24"/>
          <w:highlight w:val="none"/>
          <w:lang w:val="en-US" w:eastAsia="zh-CN"/>
        </w:rPr>
        <w:t>同时对场地内钻孔开展注水试验，以获取厂区范围内地层水文地质参数，对厂区范围内表层填土开展渗水试验，以获取包气带水文地质参数。</w:t>
      </w:r>
    </w:p>
    <w:p w14:paraId="5AD9653A">
      <w:pPr>
        <w:spacing w:line="360" w:lineRule="auto"/>
        <w:ind w:left="0" w:leftChars="0" w:firstLine="480" w:firstLineChars="200"/>
        <w:rPr>
          <w:rFonts w:hint="eastAsia"/>
          <w:b w:val="0"/>
          <w:bCs w:val="0"/>
          <w:color w:val="auto"/>
          <w:sz w:val="24"/>
          <w:highlight w:val="none"/>
          <w:lang w:val="en-US" w:eastAsia="zh-CN"/>
        </w:rPr>
      </w:pPr>
      <w:r>
        <w:rPr>
          <w:rFonts w:hint="eastAsia" w:ascii="Times New Roman" w:hAnsi="Times New Roman"/>
          <w:color w:val="auto"/>
          <w:sz w:val="24"/>
          <w:highlight w:val="none"/>
        </w:rPr>
        <w:t>基于</w:t>
      </w:r>
      <w:r>
        <w:rPr>
          <w:rFonts w:hint="eastAsia" w:ascii="Times New Roman" w:hAnsi="Times New Roman"/>
          <w:color w:val="auto"/>
          <w:sz w:val="24"/>
          <w:highlight w:val="none"/>
          <w:lang w:val="en-US" w:eastAsia="zh-CN"/>
        </w:rPr>
        <w:t>调查及试验</w:t>
      </w:r>
      <w:r>
        <w:rPr>
          <w:rFonts w:hint="eastAsia" w:ascii="Times New Roman" w:hAnsi="Times New Roman"/>
          <w:color w:val="auto"/>
          <w:sz w:val="24"/>
          <w:highlight w:val="none"/>
        </w:rPr>
        <w:t>成果，对场地包气带特征及防污性能进行分析。场地包气带</w:t>
      </w:r>
      <w:r>
        <w:rPr>
          <w:rFonts w:hint="eastAsia"/>
          <w:color w:val="auto"/>
          <w:sz w:val="24"/>
          <w:highlight w:val="none"/>
          <w:lang w:val="en-US" w:eastAsia="zh-CN"/>
        </w:rPr>
        <w:t>主要</w:t>
      </w:r>
      <w:r>
        <w:rPr>
          <w:rFonts w:hint="eastAsia" w:ascii="Times New Roman" w:hAnsi="Times New Roman"/>
          <w:color w:val="auto"/>
          <w:sz w:val="24"/>
          <w:highlight w:val="none"/>
        </w:rPr>
        <w:t>由素填土构成，厚度为</w:t>
      </w:r>
      <w:r>
        <w:rPr>
          <w:rFonts w:hint="eastAsia"/>
          <w:color w:val="auto"/>
          <w:sz w:val="24"/>
          <w:highlight w:val="none"/>
          <w:lang w:val="en-US" w:eastAsia="zh-CN"/>
        </w:rPr>
        <w:t>0.5</w:t>
      </w:r>
      <w:r>
        <w:rPr>
          <w:rFonts w:hint="eastAsia" w:ascii="Times New Roman" w:hAnsi="Times New Roman"/>
          <w:color w:val="auto"/>
          <w:sz w:val="24"/>
          <w:highlight w:val="none"/>
          <w:lang w:val="en-US" w:eastAsia="zh-CN"/>
        </w:rPr>
        <w:t>-</w:t>
      </w:r>
      <w:r>
        <w:rPr>
          <w:rFonts w:hint="eastAsia"/>
          <w:color w:val="auto"/>
          <w:sz w:val="24"/>
          <w:highlight w:val="none"/>
          <w:lang w:val="en-US" w:eastAsia="zh-CN"/>
        </w:rPr>
        <w:t>2.90</w:t>
      </w:r>
      <w:r>
        <w:rPr>
          <w:rFonts w:hint="eastAsia" w:ascii="Times New Roman" w:hAnsi="Times New Roman"/>
          <w:color w:val="auto"/>
          <w:sz w:val="24"/>
          <w:highlight w:val="none"/>
        </w:rPr>
        <w:t>m，其渗透系数</w:t>
      </w:r>
      <w:r>
        <w:rPr>
          <w:rFonts w:hint="eastAsia"/>
          <w:color w:val="auto"/>
          <w:sz w:val="24"/>
          <w:highlight w:val="none"/>
          <w:lang w:val="en-US" w:eastAsia="zh-CN"/>
        </w:rPr>
        <w:t>为0.029</w:t>
      </w:r>
      <w:r>
        <w:rPr>
          <w:rFonts w:hint="eastAsia" w:ascii="Times New Roman" w:hAnsi="Times New Roman"/>
          <w:color w:val="auto"/>
          <w:sz w:val="24"/>
          <w:highlight w:val="none"/>
        </w:rPr>
        <w:t>m/</w:t>
      </w:r>
      <w:r>
        <w:rPr>
          <w:rFonts w:hint="eastAsia" w:ascii="Times New Roman" w:hAnsi="Times New Roman"/>
          <w:color w:val="auto"/>
          <w:sz w:val="24"/>
          <w:highlight w:val="none"/>
          <w:lang w:val="en-US" w:eastAsia="zh-CN"/>
        </w:rPr>
        <w:t>d</w:t>
      </w:r>
      <w:r>
        <w:rPr>
          <w:rFonts w:hint="eastAsia" w:ascii="Times New Roman" w:hAnsi="Times New Roman"/>
          <w:color w:val="auto"/>
          <w:sz w:val="24"/>
          <w:highlight w:val="none"/>
        </w:rPr>
        <w:t>。由于包气带整体由</w:t>
      </w:r>
      <w:r>
        <w:rPr>
          <w:rFonts w:hint="eastAsia"/>
          <w:color w:val="auto"/>
          <w:sz w:val="24"/>
          <w:highlight w:val="none"/>
          <w:lang w:val="en-US" w:eastAsia="zh-CN"/>
        </w:rPr>
        <w:t>弱</w:t>
      </w:r>
      <w:r>
        <w:rPr>
          <w:rFonts w:hint="eastAsia" w:ascii="Times New Roman" w:hAnsi="Times New Roman"/>
          <w:color w:val="auto"/>
          <w:sz w:val="24"/>
          <w:highlight w:val="none"/>
        </w:rPr>
        <w:t>透水层构成，依据《环境影响评价技术导则 地下水环境》（HJ 610-2016），判定其防污性能等级为</w:t>
      </w:r>
      <w:r>
        <w:rPr>
          <w:rFonts w:hint="eastAsia" w:ascii="Times New Roman" w:hAnsi="Times New Roman"/>
          <w:color w:val="auto"/>
          <w:sz w:val="24"/>
          <w:highlight w:val="none"/>
          <w:lang w:eastAsia="zh-CN"/>
        </w:rPr>
        <w:t>“</w:t>
      </w:r>
      <w:r>
        <w:rPr>
          <w:rFonts w:hint="eastAsia"/>
          <w:color w:val="auto"/>
          <w:sz w:val="24"/>
          <w:highlight w:val="none"/>
          <w:lang w:val="en-US" w:eastAsia="zh-CN"/>
        </w:rPr>
        <w:t>中</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rPr>
        <w:t>。该评价结果表明，场地天然条件下对地下水的保护能力</w:t>
      </w:r>
      <w:r>
        <w:rPr>
          <w:rFonts w:hint="eastAsia"/>
          <w:color w:val="auto"/>
          <w:sz w:val="24"/>
          <w:highlight w:val="none"/>
          <w:lang w:val="en-US" w:eastAsia="zh-CN"/>
        </w:rPr>
        <w:t>中等</w:t>
      </w:r>
      <w:r>
        <w:rPr>
          <w:rFonts w:hint="eastAsia" w:ascii="Times New Roman" w:hAnsi="Times New Roman"/>
          <w:color w:val="auto"/>
          <w:sz w:val="24"/>
          <w:highlight w:val="none"/>
        </w:rPr>
        <w:t>，在项目运营中需</w:t>
      </w:r>
      <w:r>
        <w:rPr>
          <w:rFonts w:hint="eastAsia"/>
          <w:color w:val="auto"/>
          <w:sz w:val="24"/>
          <w:highlight w:val="none"/>
          <w:lang w:val="en-US" w:eastAsia="zh-CN"/>
        </w:rPr>
        <w:t>对</w:t>
      </w:r>
      <w:r>
        <w:rPr>
          <w:rFonts w:hint="eastAsia" w:ascii="Times New Roman" w:hAnsi="Times New Roman"/>
          <w:color w:val="auto"/>
          <w:sz w:val="24"/>
          <w:highlight w:val="none"/>
        </w:rPr>
        <w:t>地面</w:t>
      </w:r>
      <w:r>
        <w:rPr>
          <w:rFonts w:hint="eastAsia"/>
          <w:color w:val="auto"/>
          <w:sz w:val="24"/>
          <w:highlight w:val="none"/>
          <w:lang w:val="en-US" w:eastAsia="zh-CN"/>
        </w:rPr>
        <w:t>进行</w:t>
      </w:r>
      <w:r>
        <w:rPr>
          <w:rFonts w:hint="eastAsia" w:ascii="Times New Roman" w:hAnsi="Times New Roman"/>
          <w:color w:val="auto"/>
          <w:sz w:val="24"/>
          <w:highlight w:val="none"/>
        </w:rPr>
        <w:t>防渗设计。</w:t>
      </w:r>
    </w:p>
    <w:p w14:paraId="74A4AC6A">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1、抽水试验</w:t>
      </w:r>
    </w:p>
    <w:p w14:paraId="7AD4B828">
      <w:pPr>
        <w:pStyle w:val="26"/>
        <w:bidi w:val="0"/>
        <w:rPr>
          <w:rFonts w:hint="default"/>
          <w:color w:val="auto"/>
          <w:highlight w:val="none"/>
          <w:lang w:val="en-US" w:eastAsia="zh-CN"/>
        </w:rPr>
      </w:pPr>
      <w:r>
        <w:rPr>
          <w:rFonts w:hint="eastAsia"/>
          <w:color w:val="auto"/>
          <w:highlight w:val="none"/>
          <w:lang w:val="en-US" w:eastAsia="zh-CN"/>
        </w:rPr>
        <w:t>略。</w:t>
      </w:r>
    </w:p>
    <w:p w14:paraId="2D78A817">
      <w:pPr>
        <w:pStyle w:val="6"/>
        <w:ind w:firstLine="482"/>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2、渗水试验</w:t>
      </w:r>
    </w:p>
    <w:p w14:paraId="657C40AA">
      <w:pPr>
        <w:pStyle w:val="26"/>
        <w:bidi w:val="0"/>
        <w:rPr>
          <w:rFonts w:hint="default"/>
          <w:color w:val="auto"/>
          <w:highlight w:val="none"/>
          <w:lang w:val="en-US" w:eastAsia="zh-CN"/>
        </w:rPr>
      </w:pPr>
      <w:r>
        <w:rPr>
          <w:rFonts w:hint="eastAsia"/>
          <w:color w:val="auto"/>
          <w:highlight w:val="none"/>
          <w:lang w:val="en-US" w:eastAsia="zh-CN"/>
        </w:rPr>
        <w:t>略。</w:t>
      </w:r>
    </w:p>
    <w:p w14:paraId="535E3CF4">
      <w:pPr>
        <w:pStyle w:val="6"/>
        <w:ind w:firstLine="482"/>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3</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注</w:t>
      </w:r>
      <w:r>
        <w:rPr>
          <w:rFonts w:hint="eastAsia" w:ascii="Times New Roman" w:hAnsi="Times New Roman" w:eastAsia="宋体" w:cs="Times New Roman"/>
          <w:b/>
          <w:bCs/>
          <w:color w:val="auto"/>
          <w:highlight w:val="none"/>
          <w:lang w:val="en-US" w:eastAsia="zh-CN"/>
        </w:rPr>
        <w:t>水试验</w:t>
      </w:r>
    </w:p>
    <w:p w14:paraId="040C825F">
      <w:pPr>
        <w:pStyle w:val="26"/>
        <w:bidi w:val="0"/>
        <w:rPr>
          <w:rFonts w:hint="default"/>
          <w:color w:val="auto"/>
          <w:highlight w:val="none"/>
          <w:lang w:val="en-US" w:eastAsia="zh-CN"/>
        </w:rPr>
      </w:pPr>
      <w:r>
        <w:rPr>
          <w:rFonts w:hint="eastAsia"/>
          <w:color w:val="auto"/>
          <w:highlight w:val="none"/>
          <w:lang w:val="en-US" w:eastAsia="zh-CN"/>
        </w:rPr>
        <w:t>略。</w:t>
      </w:r>
    </w:p>
    <w:p w14:paraId="2A591F4B">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地下水化学特征</w:t>
      </w:r>
    </w:p>
    <w:p w14:paraId="789C4574">
      <w:pPr>
        <w:pStyle w:val="26"/>
        <w:bidi w:val="0"/>
        <w:rPr>
          <w:rFonts w:hint="eastAsia"/>
          <w:color w:val="auto"/>
          <w:highlight w:val="none"/>
          <w:lang w:val="en-US" w:eastAsia="zh-CN"/>
        </w:rPr>
      </w:pPr>
      <w:r>
        <w:rPr>
          <w:rFonts w:hint="eastAsia"/>
          <w:color w:val="auto"/>
          <w:highlight w:val="none"/>
        </w:rPr>
        <w:t>为分析评价区地下水水化学特征，本次委托四川华皓检测技术有限公司对评价区域地下水进行了采样检测，对地下水主要常量组分进行了分析</w:t>
      </w:r>
      <w:r>
        <w:rPr>
          <w:rFonts w:hint="eastAsia"/>
          <w:color w:val="auto"/>
          <w:highlight w:val="none"/>
          <w:lang w:eastAsia="zh-CN"/>
        </w:rPr>
        <w:t>，</w:t>
      </w:r>
      <w:r>
        <w:rPr>
          <w:rFonts w:hint="eastAsia"/>
          <w:color w:val="auto"/>
          <w:highlight w:val="none"/>
          <w:lang w:val="en-US" w:eastAsia="zh-CN"/>
        </w:rPr>
        <w:t>结果如下。</w:t>
      </w:r>
    </w:p>
    <w:p w14:paraId="1C0471AD">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地下水化学特征统计表</w:t>
      </w:r>
    </w:p>
    <w:tbl>
      <w:tblPr>
        <w:tblStyle w:val="2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608"/>
        <w:gridCol w:w="608"/>
        <w:gridCol w:w="758"/>
        <w:gridCol w:w="627"/>
        <w:gridCol w:w="697"/>
        <w:gridCol w:w="836"/>
        <w:gridCol w:w="715"/>
        <w:gridCol w:w="611"/>
        <w:gridCol w:w="1050"/>
        <w:gridCol w:w="2080"/>
      </w:tblGrid>
      <w:tr w14:paraId="0807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pct"/>
            <w:tcBorders>
              <w:tl2br w:val="single" w:color="auto" w:sz="4" w:space="0"/>
            </w:tcBorders>
            <w:vAlign w:val="center"/>
          </w:tcPr>
          <w:p w14:paraId="2FF61F0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 xml:space="preserve"> 因子</w:t>
            </w:r>
          </w:p>
          <w:p w14:paraId="10552503">
            <w:pPr>
              <w:pStyle w:val="24"/>
              <w:bidi w:val="0"/>
              <w:jc w:val="both"/>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点位</w:t>
            </w:r>
          </w:p>
        </w:tc>
        <w:tc>
          <w:tcPr>
            <w:tcW w:w="345" w:type="pct"/>
            <w:vAlign w:val="center"/>
          </w:tcPr>
          <w:p w14:paraId="27FC142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pH</w:t>
            </w:r>
          </w:p>
        </w:tc>
        <w:tc>
          <w:tcPr>
            <w:tcW w:w="345" w:type="pct"/>
            <w:vAlign w:val="center"/>
          </w:tcPr>
          <w:p w14:paraId="2DE9AF8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K</w:t>
            </w:r>
            <w:r>
              <w:rPr>
                <w:rFonts w:hint="eastAsia" w:ascii="Times New Roman" w:hAnsi="Times New Roman" w:eastAsia="宋体" w:cs="Courier New"/>
                <w:b/>
                <w:bCs/>
                <w:color w:val="auto"/>
                <w:highlight w:val="none"/>
                <w:vertAlign w:val="superscript"/>
                <w:lang w:val="en-US" w:eastAsia="zh-CN"/>
              </w:rPr>
              <w:t>+</w:t>
            </w:r>
          </w:p>
        </w:tc>
        <w:tc>
          <w:tcPr>
            <w:tcW w:w="424" w:type="pct"/>
            <w:vAlign w:val="center"/>
          </w:tcPr>
          <w:p w14:paraId="5A513A9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Na</w:t>
            </w:r>
            <w:r>
              <w:rPr>
                <w:rFonts w:hint="eastAsia" w:ascii="Times New Roman" w:hAnsi="Times New Roman" w:eastAsia="宋体" w:cs="Courier New"/>
                <w:b/>
                <w:bCs/>
                <w:color w:val="auto"/>
                <w:highlight w:val="none"/>
                <w:vertAlign w:val="superscript"/>
                <w:lang w:val="en-US" w:eastAsia="zh-CN"/>
              </w:rPr>
              <w:t>+</w:t>
            </w:r>
          </w:p>
        </w:tc>
        <w:tc>
          <w:tcPr>
            <w:tcW w:w="355" w:type="pct"/>
            <w:vAlign w:val="center"/>
          </w:tcPr>
          <w:p w14:paraId="1F9C55B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Ca</w:t>
            </w:r>
            <w:r>
              <w:rPr>
                <w:rFonts w:hint="eastAsia" w:ascii="Times New Roman" w:hAnsi="Times New Roman" w:eastAsia="宋体" w:cs="Courier New"/>
                <w:b/>
                <w:bCs/>
                <w:color w:val="auto"/>
                <w:highlight w:val="none"/>
                <w:vertAlign w:val="superscript"/>
                <w:lang w:val="en-US" w:eastAsia="zh-CN"/>
              </w:rPr>
              <w:t>2+</w:t>
            </w:r>
          </w:p>
        </w:tc>
        <w:tc>
          <w:tcPr>
            <w:tcW w:w="392" w:type="pct"/>
            <w:vAlign w:val="center"/>
          </w:tcPr>
          <w:p w14:paraId="2DB5CCA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Mg</w:t>
            </w:r>
            <w:r>
              <w:rPr>
                <w:rFonts w:hint="eastAsia" w:ascii="Times New Roman" w:hAnsi="Times New Roman" w:eastAsia="宋体" w:cs="Courier New"/>
                <w:b/>
                <w:bCs/>
                <w:color w:val="auto"/>
                <w:highlight w:val="none"/>
                <w:vertAlign w:val="superscript"/>
                <w:lang w:val="en-US" w:eastAsia="zh-CN"/>
              </w:rPr>
              <w:t>2+</w:t>
            </w:r>
          </w:p>
        </w:tc>
        <w:tc>
          <w:tcPr>
            <w:tcW w:w="465" w:type="pct"/>
            <w:vAlign w:val="center"/>
          </w:tcPr>
          <w:p w14:paraId="69D9D6E2">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HCO</w:t>
            </w:r>
            <w:r>
              <w:rPr>
                <w:rFonts w:hint="eastAsia" w:ascii="Times New Roman" w:hAnsi="Times New Roman" w:eastAsia="宋体" w:cs="Courier New"/>
                <w:b/>
                <w:bCs/>
                <w:color w:val="auto"/>
                <w:highlight w:val="none"/>
                <w:vertAlign w:val="subscript"/>
                <w:lang w:val="en-US" w:eastAsia="zh-CN"/>
              </w:rPr>
              <w:t>3</w:t>
            </w:r>
            <w:r>
              <w:rPr>
                <w:rFonts w:hint="eastAsia" w:ascii="Times New Roman" w:hAnsi="Times New Roman" w:eastAsia="宋体" w:cs="Courier New"/>
                <w:b/>
                <w:bCs/>
                <w:color w:val="auto"/>
                <w:highlight w:val="none"/>
                <w:vertAlign w:val="superscript"/>
                <w:lang w:val="en-US" w:eastAsia="zh-CN"/>
              </w:rPr>
              <w:t>-</w:t>
            </w:r>
          </w:p>
        </w:tc>
        <w:tc>
          <w:tcPr>
            <w:tcW w:w="401" w:type="pct"/>
            <w:vAlign w:val="center"/>
          </w:tcPr>
          <w:p w14:paraId="6443D57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SO</w:t>
            </w:r>
            <w:r>
              <w:rPr>
                <w:rFonts w:hint="eastAsia" w:ascii="Times New Roman" w:hAnsi="Times New Roman" w:eastAsia="宋体" w:cs="Courier New"/>
                <w:b/>
                <w:bCs/>
                <w:color w:val="auto"/>
                <w:highlight w:val="none"/>
                <w:vertAlign w:val="subscript"/>
                <w:lang w:val="en-US" w:eastAsia="zh-CN"/>
              </w:rPr>
              <w:t>4</w:t>
            </w:r>
            <w:r>
              <w:rPr>
                <w:rFonts w:hint="eastAsia" w:ascii="Times New Roman" w:hAnsi="Times New Roman" w:eastAsia="宋体" w:cs="Courier New"/>
                <w:b/>
                <w:bCs/>
                <w:color w:val="auto"/>
                <w:highlight w:val="none"/>
                <w:vertAlign w:val="superscript"/>
                <w:lang w:val="en-US" w:eastAsia="zh-CN"/>
              </w:rPr>
              <w:t>2-</w:t>
            </w:r>
          </w:p>
        </w:tc>
        <w:tc>
          <w:tcPr>
            <w:tcW w:w="346" w:type="pct"/>
            <w:vAlign w:val="center"/>
          </w:tcPr>
          <w:p w14:paraId="5E34940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Cl</w:t>
            </w:r>
            <w:r>
              <w:rPr>
                <w:rFonts w:hint="eastAsia" w:ascii="Times New Roman" w:hAnsi="Times New Roman" w:eastAsia="宋体" w:cs="Courier New"/>
                <w:b/>
                <w:bCs/>
                <w:color w:val="auto"/>
                <w:highlight w:val="none"/>
                <w:vertAlign w:val="superscript"/>
                <w:lang w:val="en-US" w:eastAsia="zh-CN"/>
              </w:rPr>
              <w:t>-</w:t>
            </w:r>
          </w:p>
        </w:tc>
        <w:tc>
          <w:tcPr>
            <w:tcW w:w="577" w:type="pct"/>
            <w:vAlign w:val="center"/>
          </w:tcPr>
          <w:p w14:paraId="2A7DFBE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矿化度</w:t>
            </w:r>
          </w:p>
        </w:tc>
        <w:tc>
          <w:tcPr>
            <w:tcW w:w="837" w:type="pct"/>
            <w:vAlign w:val="center"/>
          </w:tcPr>
          <w:p w14:paraId="7EFB47AC">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水化学类型</w:t>
            </w:r>
          </w:p>
        </w:tc>
      </w:tr>
      <w:tr w14:paraId="66C0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23D55648">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WX1</w:t>
            </w:r>
          </w:p>
        </w:tc>
        <w:tc>
          <w:tcPr>
            <w:tcW w:w="577" w:type="dxa"/>
            <w:vAlign w:val="center"/>
          </w:tcPr>
          <w:p w14:paraId="064AA4A9">
            <w:pPr>
              <w:pStyle w:val="24"/>
              <w:bidi w:val="0"/>
              <w:rPr>
                <w:rFonts w:hint="eastAsia"/>
                <w:color w:val="auto"/>
                <w:highlight w:val="none"/>
                <w:lang w:val="en-US" w:eastAsia="zh-CN"/>
              </w:rPr>
            </w:pPr>
            <w:r>
              <w:rPr>
                <w:rFonts w:hint="default"/>
                <w:color w:val="auto"/>
                <w:highlight w:val="none"/>
                <w:lang w:val="en-US" w:eastAsia="zh-CN"/>
              </w:rPr>
              <w:t>7.8</w:t>
            </w:r>
          </w:p>
        </w:tc>
        <w:tc>
          <w:tcPr>
            <w:tcW w:w="584" w:type="dxa"/>
            <w:vAlign w:val="center"/>
          </w:tcPr>
          <w:p w14:paraId="7605B3B4">
            <w:pPr>
              <w:pStyle w:val="24"/>
              <w:bidi w:val="0"/>
              <w:rPr>
                <w:rFonts w:hint="eastAsia"/>
                <w:color w:val="auto"/>
                <w:highlight w:val="none"/>
                <w:lang w:val="en-US" w:eastAsia="zh-CN"/>
              </w:rPr>
            </w:pPr>
            <w:r>
              <w:rPr>
                <w:rFonts w:hint="default"/>
                <w:color w:val="auto"/>
                <w:highlight w:val="none"/>
                <w:lang w:val="en-US" w:eastAsia="zh-CN"/>
              </w:rPr>
              <w:t>2.21</w:t>
            </w:r>
          </w:p>
        </w:tc>
        <w:tc>
          <w:tcPr>
            <w:tcW w:w="693" w:type="dxa"/>
            <w:vAlign w:val="center"/>
          </w:tcPr>
          <w:p w14:paraId="242CD3BB">
            <w:pPr>
              <w:pStyle w:val="24"/>
              <w:bidi w:val="0"/>
              <w:rPr>
                <w:rFonts w:hint="eastAsia"/>
                <w:color w:val="auto"/>
                <w:highlight w:val="none"/>
                <w:lang w:val="en-US" w:eastAsia="zh-CN"/>
              </w:rPr>
            </w:pPr>
            <w:r>
              <w:rPr>
                <w:rFonts w:hint="default"/>
                <w:color w:val="auto"/>
                <w:highlight w:val="none"/>
                <w:lang w:val="en-US" w:eastAsia="zh-CN"/>
              </w:rPr>
              <w:t>10.5</w:t>
            </w:r>
          </w:p>
        </w:tc>
        <w:tc>
          <w:tcPr>
            <w:tcW w:w="619" w:type="dxa"/>
            <w:vAlign w:val="center"/>
          </w:tcPr>
          <w:p w14:paraId="46C92DC0">
            <w:pPr>
              <w:pStyle w:val="24"/>
              <w:bidi w:val="0"/>
              <w:rPr>
                <w:rFonts w:hint="eastAsia"/>
                <w:color w:val="auto"/>
                <w:highlight w:val="none"/>
                <w:lang w:val="en-US" w:eastAsia="zh-CN"/>
              </w:rPr>
            </w:pPr>
            <w:r>
              <w:rPr>
                <w:rFonts w:hint="default"/>
                <w:color w:val="auto"/>
                <w:highlight w:val="none"/>
                <w:lang w:val="en-US" w:eastAsia="zh-CN"/>
              </w:rPr>
              <w:t>31.1</w:t>
            </w:r>
          </w:p>
        </w:tc>
        <w:tc>
          <w:tcPr>
            <w:tcW w:w="665" w:type="dxa"/>
            <w:vAlign w:val="center"/>
          </w:tcPr>
          <w:p w14:paraId="4B485126">
            <w:pPr>
              <w:pStyle w:val="24"/>
              <w:bidi w:val="0"/>
              <w:rPr>
                <w:rFonts w:hint="eastAsia"/>
                <w:color w:val="auto"/>
                <w:highlight w:val="none"/>
                <w:lang w:val="en-US" w:eastAsia="zh-CN"/>
              </w:rPr>
            </w:pPr>
            <w:r>
              <w:rPr>
                <w:rFonts w:hint="default"/>
                <w:color w:val="auto"/>
                <w:highlight w:val="none"/>
                <w:lang w:val="en-US" w:eastAsia="zh-CN"/>
              </w:rPr>
              <w:t>21.5</w:t>
            </w:r>
          </w:p>
        </w:tc>
        <w:tc>
          <w:tcPr>
            <w:tcW w:w="808" w:type="dxa"/>
            <w:vAlign w:val="center"/>
          </w:tcPr>
          <w:p w14:paraId="0B76DF69">
            <w:pPr>
              <w:pStyle w:val="24"/>
              <w:bidi w:val="0"/>
              <w:rPr>
                <w:rFonts w:hint="eastAsia"/>
                <w:color w:val="auto"/>
                <w:highlight w:val="none"/>
                <w:lang w:val="en-US" w:eastAsia="zh-CN"/>
              </w:rPr>
            </w:pPr>
            <w:r>
              <w:rPr>
                <w:rFonts w:hint="default"/>
                <w:color w:val="auto"/>
                <w:highlight w:val="none"/>
                <w:lang w:val="en-US" w:eastAsia="zh-CN"/>
              </w:rPr>
              <w:t>166</w:t>
            </w:r>
          </w:p>
        </w:tc>
        <w:tc>
          <w:tcPr>
            <w:tcW w:w="678" w:type="dxa"/>
            <w:vAlign w:val="center"/>
          </w:tcPr>
          <w:p w14:paraId="254230E6">
            <w:pPr>
              <w:pStyle w:val="24"/>
              <w:bidi w:val="0"/>
              <w:rPr>
                <w:rFonts w:hint="eastAsia"/>
                <w:color w:val="auto"/>
                <w:highlight w:val="none"/>
                <w:lang w:val="en-US" w:eastAsia="zh-CN"/>
              </w:rPr>
            </w:pPr>
            <w:r>
              <w:rPr>
                <w:rFonts w:hint="default"/>
                <w:color w:val="auto"/>
                <w:highlight w:val="none"/>
                <w:lang w:val="en-US" w:eastAsia="zh-CN"/>
              </w:rPr>
              <w:t>16</w:t>
            </w:r>
          </w:p>
        </w:tc>
        <w:tc>
          <w:tcPr>
            <w:tcW w:w="584" w:type="dxa"/>
            <w:vAlign w:val="center"/>
          </w:tcPr>
          <w:p w14:paraId="21046CA2">
            <w:pPr>
              <w:pStyle w:val="24"/>
              <w:bidi w:val="0"/>
              <w:rPr>
                <w:rFonts w:hint="eastAsia"/>
                <w:color w:val="auto"/>
                <w:highlight w:val="none"/>
                <w:lang w:val="en-US" w:eastAsia="zh-CN"/>
              </w:rPr>
            </w:pPr>
            <w:r>
              <w:rPr>
                <w:rFonts w:hint="default"/>
                <w:color w:val="auto"/>
                <w:highlight w:val="none"/>
                <w:lang w:val="en-US" w:eastAsia="zh-CN"/>
              </w:rPr>
              <w:t>22</w:t>
            </w:r>
          </w:p>
        </w:tc>
        <w:tc>
          <w:tcPr>
            <w:tcW w:w="932" w:type="dxa"/>
            <w:vAlign w:val="center"/>
          </w:tcPr>
          <w:p w14:paraId="6868DE92">
            <w:pPr>
              <w:pStyle w:val="24"/>
              <w:bidi w:val="0"/>
              <w:rPr>
                <w:rFonts w:hint="eastAsia"/>
                <w:color w:val="auto"/>
                <w:highlight w:val="none"/>
                <w:lang w:val="en-US" w:eastAsia="zh-CN"/>
              </w:rPr>
            </w:pPr>
            <w:r>
              <w:rPr>
                <w:rFonts w:hint="default"/>
                <w:color w:val="auto"/>
                <w:highlight w:val="none"/>
                <w:lang w:val="en-US" w:eastAsia="zh-CN"/>
              </w:rPr>
              <w:t>187</w:t>
            </w:r>
          </w:p>
        </w:tc>
        <w:tc>
          <w:tcPr>
            <w:tcW w:w="837" w:type="pct"/>
            <w:vAlign w:val="center"/>
          </w:tcPr>
          <w:p w14:paraId="080E578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-Ca·Mg</w:t>
            </w:r>
          </w:p>
        </w:tc>
      </w:tr>
      <w:tr w14:paraId="095E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5BB28D32">
            <w:pPr>
              <w:keepNext w:val="0"/>
              <w:keepLines w:val="0"/>
              <w:pageBreakBefore w:val="0"/>
              <w:widowControl w:val="0"/>
              <w:kinsoku/>
              <w:wordWrap/>
              <w:overflowPunct/>
              <w:topLinePunct w:val="0"/>
              <w:autoSpaceDE/>
              <w:autoSpaceDN/>
              <w:bidi w:val="0"/>
              <w:adjustRightInd w:val="0"/>
              <w:snapToGrid/>
              <w:ind w:left="0" w:leftChars="0"/>
              <w:jc w:val="center"/>
              <w:textAlignment w:val="auto"/>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WX2</w:t>
            </w:r>
          </w:p>
        </w:tc>
        <w:tc>
          <w:tcPr>
            <w:tcW w:w="577" w:type="dxa"/>
            <w:vAlign w:val="center"/>
          </w:tcPr>
          <w:p w14:paraId="55AD75F2">
            <w:pPr>
              <w:pStyle w:val="24"/>
              <w:bidi w:val="0"/>
              <w:rPr>
                <w:rFonts w:hint="eastAsia"/>
                <w:color w:val="auto"/>
                <w:highlight w:val="none"/>
                <w:lang w:val="en-US" w:eastAsia="zh-CN"/>
              </w:rPr>
            </w:pPr>
            <w:r>
              <w:rPr>
                <w:rFonts w:hint="default"/>
                <w:color w:val="auto"/>
                <w:highlight w:val="none"/>
                <w:lang w:val="en-US" w:eastAsia="zh-CN"/>
              </w:rPr>
              <w:t>7.8</w:t>
            </w:r>
          </w:p>
        </w:tc>
        <w:tc>
          <w:tcPr>
            <w:tcW w:w="584" w:type="dxa"/>
            <w:vAlign w:val="center"/>
          </w:tcPr>
          <w:p w14:paraId="66DD3F21">
            <w:pPr>
              <w:pStyle w:val="24"/>
              <w:bidi w:val="0"/>
              <w:rPr>
                <w:rFonts w:hint="eastAsia"/>
                <w:color w:val="auto"/>
                <w:highlight w:val="none"/>
                <w:lang w:val="en-US" w:eastAsia="zh-CN"/>
              </w:rPr>
            </w:pPr>
            <w:r>
              <w:rPr>
                <w:rFonts w:hint="default"/>
                <w:color w:val="auto"/>
                <w:highlight w:val="none"/>
                <w:lang w:val="en-US" w:eastAsia="zh-CN"/>
              </w:rPr>
              <w:t>3.14</w:t>
            </w:r>
          </w:p>
        </w:tc>
        <w:tc>
          <w:tcPr>
            <w:tcW w:w="693" w:type="dxa"/>
            <w:vAlign w:val="center"/>
          </w:tcPr>
          <w:p w14:paraId="34B3CD41">
            <w:pPr>
              <w:pStyle w:val="24"/>
              <w:bidi w:val="0"/>
              <w:rPr>
                <w:rFonts w:hint="eastAsia"/>
                <w:color w:val="auto"/>
                <w:highlight w:val="none"/>
                <w:lang w:val="en-US" w:eastAsia="zh-CN"/>
              </w:rPr>
            </w:pPr>
            <w:r>
              <w:rPr>
                <w:rFonts w:hint="default"/>
                <w:color w:val="auto"/>
                <w:highlight w:val="none"/>
                <w:lang w:val="en-US" w:eastAsia="zh-CN"/>
              </w:rPr>
              <w:t>6.38</w:t>
            </w:r>
          </w:p>
        </w:tc>
        <w:tc>
          <w:tcPr>
            <w:tcW w:w="619" w:type="dxa"/>
            <w:vAlign w:val="center"/>
          </w:tcPr>
          <w:p w14:paraId="28946A3A">
            <w:pPr>
              <w:pStyle w:val="24"/>
              <w:bidi w:val="0"/>
              <w:rPr>
                <w:rFonts w:hint="eastAsia"/>
                <w:color w:val="auto"/>
                <w:highlight w:val="none"/>
                <w:lang w:val="en-US" w:eastAsia="zh-CN"/>
              </w:rPr>
            </w:pPr>
            <w:r>
              <w:rPr>
                <w:rFonts w:hint="default"/>
                <w:color w:val="auto"/>
                <w:highlight w:val="none"/>
                <w:lang w:val="en-US" w:eastAsia="zh-CN"/>
              </w:rPr>
              <w:t>31.4</w:t>
            </w:r>
          </w:p>
        </w:tc>
        <w:tc>
          <w:tcPr>
            <w:tcW w:w="665" w:type="dxa"/>
            <w:vAlign w:val="center"/>
          </w:tcPr>
          <w:p w14:paraId="6DF1BF12">
            <w:pPr>
              <w:pStyle w:val="24"/>
              <w:bidi w:val="0"/>
              <w:rPr>
                <w:rFonts w:hint="eastAsia"/>
                <w:color w:val="auto"/>
                <w:highlight w:val="none"/>
                <w:lang w:val="en-US" w:eastAsia="zh-CN"/>
              </w:rPr>
            </w:pPr>
            <w:r>
              <w:rPr>
                <w:rFonts w:hint="default"/>
                <w:color w:val="auto"/>
                <w:highlight w:val="none"/>
                <w:lang w:val="en-US" w:eastAsia="zh-CN"/>
              </w:rPr>
              <w:t>21.9</w:t>
            </w:r>
          </w:p>
        </w:tc>
        <w:tc>
          <w:tcPr>
            <w:tcW w:w="808" w:type="dxa"/>
            <w:vAlign w:val="center"/>
          </w:tcPr>
          <w:p w14:paraId="6F412968">
            <w:pPr>
              <w:pStyle w:val="24"/>
              <w:bidi w:val="0"/>
              <w:rPr>
                <w:rFonts w:hint="eastAsia"/>
                <w:color w:val="auto"/>
                <w:highlight w:val="none"/>
                <w:lang w:val="en-US" w:eastAsia="zh-CN"/>
              </w:rPr>
            </w:pPr>
            <w:r>
              <w:rPr>
                <w:rFonts w:hint="default"/>
                <w:color w:val="auto"/>
                <w:highlight w:val="none"/>
                <w:lang w:val="en-US" w:eastAsia="zh-CN"/>
              </w:rPr>
              <w:t>164</w:t>
            </w:r>
          </w:p>
        </w:tc>
        <w:tc>
          <w:tcPr>
            <w:tcW w:w="678" w:type="dxa"/>
            <w:vAlign w:val="center"/>
          </w:tcPr>
          <w:p w14:paraId="1C12FE89">
            <w:pPr>
              <w:pStyle w:val="24"/>
              <w:bidi w:val="0"/>
              <w:rPr>
                <w:rFonts w:hint="eastAsia"/>
                <w:color w:val="auto"/>
                <w:highlight w:val="none"/>
                <w:lang w:val="en-US" w:eastAsia="zh-CN"/>
              </w:rPr>
            </w:pPr>
            <w:r>
              <w:rPr>
                <w:rFonts w:hint="default"/>
                <w:color w:val="auto"/>
                <w:highlight w:val="none"/>
                <w:lang w:val="en-US" w:eastAsia="zh-CN"/>
              </w:rPr>
              <w:t>10</w:t>
            </w:r>
          </w:p>
        </w:tc>
        <w:tc>
          <w:tcPr>
            <w:tcW w:w="584" w:type="dxa"/>
            <w:vAlign w:val="center"/>
          </w:tcPr>
          <w:p w14:paraId="34B4A2E7">
            <w:pPr>
              <w:pStyle w:val="24"/>
              <w:bidi w:val="0"/>
              <w:rPr>
                <w:rFonts w:hint="eastAsia"/>
                <w:color w:val="auto"/>
                <w:highlight w:val="none"/>
                <w:lang w:val="en-US" w:eastAsia="zh-CN"/>
              </w:rPr>
            </w:pPr>
            <w:r>
              <w:rPr>
                <w:rFonts w:hint="default"/>
                <w:color w:val="auto"/>
                <w:highlight w:val="none"/>
                <w:lang w:val="en-US" w:eastAsia="zh-CN"/>
              </w:rPr>
              <w:t>21</w:t>
            </w:r>
          </w:p>
        </w:tc>
        <w:tc>
          <w:tcPr>
            <w:tcW w:w="932" w:type="dxa"/>
            <w:vAlign w:val="center"/>
          </w:tcPr>
          <w:p w14:paraId="489E70BC">
            <w:pPr>
              <w:pStyle w:val="24"/>
              <w:bidi w:val="0"/>
              <w:rPr>
                <w:rFonts w:hint="eastAsia"/>
                <w:color w:val="auto"/>
                <w:highlight w:val="none"/>
                <w:lang w:val="en-US" w:eastAsia="zh-CN"/>
              </w:rPr>
            </w:pPr>
            <w:r>
              <w:rPr>
                <w:rFonts w:hint="default"/>
                <w:color w:val="auto"/>
                <w:highlight w:val="none"/>
                <w:lang w:val="en-US" w:eastAsia="zh-CN"/>
              </w:rPr>
              <w:t>185</w:t>
            </w:r>
          </w:p>
        </w:tc>
        <w:tc>
          <w:tcPr>
            <w:tcW w:w="837" w:type="pct"/>
            <w:vAlign w:val="center"/>
          </w:tcPr>
          <w:p w14:paraId="466DAFB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-Ca·Mg</w:t>
            </w:r>
          </w:p>
        </w:tc>
      </w:tr>
      <w:tr w14:paraId="3CB1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7B03A94F">
            <w:pPr>
              <w:keepNext w:val="0"/>
              <w:keepLines w:val="0"/>
              <w:pageBreakBefore w:val="0"/>
              <w:widowControl w:val="0"/>
              <w:kinsoku/>
              <w:wordWrap/>
              <w:overflowPunct/>
              <w:topLinePunct w:val="0"/>
              <w:autoSpaceDE/>
              <w:autoSpaceDN/>
              <w:bidi w:val="0"/>
              <w:adjustRightInd w:val="0"/>
              <w:snapToGrid/>
              <w:ind w:left="0" w:leftChars="0"/>
              <w:jc w:val="center"/>
              <w:textAlignment w:val="auto"/>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WX3</w:t>
            </w:r>
          </w:p>
        </w:tc>
        <w:tc>
          <w:tcPr>
            <w:tcW w:w="577" w:type="dxa"/>
            <w:vAlign w:val="center"/>
          </w:tcPr>
          <w:p w14:paraId="63F7B87D">
            <w:pPr>
              <w:pStyle w:val="24"/>
              <w:bidi w:val="0"/>
              <w:rPr>
                <w:rFonts w:hint="eastAsia"/>
                <w:color w:val="auto"/>
                <w:highlight w:val="none"/>
                <w:lang w:val="en-US" w:eastAsia="zh-CN"/>
              </w:rPr>
            </w:pPr>
            <w:r>
              <w:rPr>
                <w:rFonts w:hint="default"/>
                <w:color w:val="auto"/>
                <w:highlight w:val="none"/>
                <w:lang w:val="en-US" w:eastAsia="zh-CN"/>
              </w:rPr>
              <w:t>7.6</w:t>
            </w:r>
          </w:p>
        </w:tc>
        <w:tc>
          <w:tcPr>
            <w:tcW w:w="584" w:type="dxa"/>
            <w:vAlign w:val="center"/>
          </w:tcPr>
          <w:p w14:paraId="54A97728">
            <w:pPr>
              <w:pStyle w:val="24"/>
              <w:bidi w:val="0"/>
              <w:rPr>
                <w:rFonts w:hint="eastAsia"/>
                <w:color w:val="auto"/>
                <w:highlight w:val="none"/>
                <w:lang w:val="en-US" w:eastAsia="zh-CN"/>
              </w:rPr>
            </w:pPr>
            <w:r>
              <w:rPr>
                <w:rFonts w:hint="default"/>
                <w:color w:val="auto"/>
                <w:highlight w:val="none"/>
                <w:lang w:val="en-US" w:eastAsia="zh-CN"/>
              </w:rPr>
              <w:t>7.24</w:t>
            </w:r>
          </w:p>
        </w:tc>
        <w:tc>
          <w:tcPr>
            <w:tcW w:w="693" w:type="dxa"/>
            <w:vAlign w:val="center"/>
          </w:tcPr>
          <w:p w14:paraId="05D9EB96">
            <w:pPr>
              <w:pStyle w:val="24"/>
              <w:bidi w:val="0"/>
              <w:rPr>
                <w:rFonts w:hint="eastAsia"/>
                <w:color w:val="auto"/>
                <w:highlight w:val="none"/>
                <w:lang w:val="en-US" w:eastAsia="zh-CN"/>
              </w:rPr>
            </w:pPr>
            <w:r>
              <w:rPr>
                <w:rFonts w:hint="default"/>
                <w:color w:val="auto"/>
                <w:highlight w:val="none"/>
                <w:lang w:val="en-US" w:eastAsia="zh-CN"/>
              </w:rPr>
              <w:t>13.6</w:t>
            </w:r>
          </w:p>
        </w:tc>
        <w:tc>
          <w:tcPr>
            <w:tcW w:w="619" w:type="dxa"/>
            <w:vAlign w:val="center"/>
          </w:tcPr>
          <w:p w14:paraId="040849D7">
            <w:pPr>
              <w:pStyle w:val="24"/>
              <w:bidi w:val="0"/>
              <w:rPr>
                <w:rFonts w:hint="eastAsia"/>
                <w:color w:val="auto"/>
                <w:highlight w:val="none"/>
                <w:lang w:val="en-US" w:eastAsia="zh-CN"/>
              </w:rPr>
            </w:pPr>
            <w:r>
              <w:rPr>
                <w:rFonts w:hint="default"/>
                <w:color w:val="auto"/>
                <w:highlight w:val="none"/>
                <w:lang w:val="en-US" w:eastAsia="zh-CN"/>
              </w:rPr>
              <w:t>31.4</w:t>
            </w:r>
          </w:p>
        </w:tc>
        <w:tc>
          <w:tcPr>
            <w:tcW w:w="665" w:type="dxa"/>
            <w:vAlign w:val="center"/>
          </w:tcPr>
          <w:p w14:paraId="6EB47BE4">
            <w:pPr>
              <w:pStyle w:val="24"/>
              <w:bidi w:val="0"/>
              <w:rPr>
                <w:rFonts w:hint="eastAsia"/>
                <w:color w:val="auto"/>
                <w:highlight w:val="none"/>
                <w:lang w:val="en-US" w:eastAsia="zh-CN"/>
              </w:rPr>
            </w:pPr>
            <w:r>
              <w:rPr>
                <w:rFonts w:hint="default"/>
                <w:color w:val="auto"/>
                <w:highlight w:val="none"/>
                <w:lang w:val="en-US" w:eastAsia="zh-CN"/>
              </w:rPr>
              <w:t>23.2</w:t>
            </w:r>
          </w:p>
        </w:tc>
        <w:tc>
          <w:tcPr>
            <w:tcW w:w="808" w:type="dxa"/>
            <w:vAlign w:val="center"/>
          </w:tcPr>
          <w:p w14:paraId="60E418DA">
            <w:pPr>
              <w:pStyle w:val="24"/>
              <w:bidi w:val="0"/>
              <w:rPr>
                <w:rFonts w:hint="eastAsia"/>
                <w:color w:val="auto"/>
                <w:highlight w:val="none"/>
                <w:lang w:val="en-US" w:eastAsia="zh-CN"/>
              </w:rPr>
            </w:pPr>
            <w:r>
              <w:rPr>
                <w:rFonts w:hint="default"/>
                <w:color w:val="auto"/>
                <w:highlight w:val="none"/>
                <w:lang w:val="en-US" w:eastAsia="zh-CN"/>
              </w:rPr>
              <w:t>154</w:t>
            </w:r>
          </w:p>
        </w:tc>
        <w:tc>
          <w:tcPr>
            <w:tcW w:w="678" w:type="dxa"/>
            <w:vAlign w:val="center"/>
          </w:tcPr>
          <w:p w14:paraId="4283AC25">
            <w:pPr>
              <w:pStyle w:val="24"/>
              <w:bidi w:val="0"/>
              <w:rPr>
                <w:rFonts w:hint="eastAsia"/>
                <w:color w:val="auto"/>
                <w:highlight w:val="none"/>
                <w:lang w:val="en-US" w:eastAsia="zh-CN"/>
              </w:rPr>
            </w:pPr>
            <w:r>
              <w:rPr>
                <w:rFonts w:hint="default"/>
                <w:color w:val="auto"/>
                <w:highlight w:val="none"/>
                <w:lang w:val="en-US" w:eastAsia="zh-CN"/>
              </w:rPr>
              <w:t>32</w:t>
            </w:r>
          </w:p>
        </w:tc>
        <w:tc>
          <w:tcPr>
            <w:tcW w:w="584" w:type="dxa"/>
            <w:vAlign w:val="center"/>
          </w:tcPr>
          <w:p w14:paraId="76D9D37F">
            <w:pPr>
              <w:pStyle w:val="24"/>
              <w:bidi w:val="0"/>
              <w:rPr>
                <w:rFonts w:hint="eastAsia"/>
                <w:color w:val="auto"/>
                <w:highlight w:val="none"/>
                <w:lang w:val="en-US" w:eastAsia="zh-CN"/>
              </w:rPr>
            </w:pPr>
            <w:r>
              <w:rPr>
                <w:rFonts w:hint="default"/>
                <w:color w:val="auto"/>
                <w:highlight w:val="none"/>
                <w:lang w:val="en-US" w:eastAsia="zh-CN"/>
              </w:rPr>
              <w:t>30</w:t>
            </w:r>
          </w:p>
        </w:tc>
        <w:tc>
          <w:tcPr>
            <w:tcW w:w="932" w:type="dxa"/>
            <w:vAlign w:val="center"/>
          </w:tcPr>
          <w:p w14:paraId="37BFC7C9">
            <w:pPr>
              <w:pStyle w:val="24"/>
              <w:bidi w:val="0"/>
              <w:rPr>
                <w:rFonts w:hint="eastAsia"/>
                <w:color w:val="auto"/>
                <w:highlight w:val="none"/>
                <w:lang w:val="en-US" w:eastAsia="zh-CN"/>
              </w:rPr>
            </w:pPr>
            <w:r>
              <w:rPr>
                <w:rFonts w:hint="default"/>
                <w:color w:val="auto"/>
                <w:highlight w:val="none"/>
                <w:lang w:val="en-US" w:eastAsia="zh-CN"/>
              </w:rPr>
              <w:t>219</w:t>
            </w:r>
          </w:p>
        </w:tc>
        <w:tc>
          <w:tcPr>
            <w:tcW w:w="837" w:type="pct"/>
            <w:vAlign w:val="center"/>
          </w:tcPr>
          <w:p w14:paraId="40290F7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Ca·Mg</w:t>
            </w:r>
          </w:p>
        </w:tc>
      </w:tr>
      <w:tr w14:paraId="2E5E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6EE64BD9">
            <w:pPr>
              <w:keepNext w:val="0"/>
              <w:keepLines w:val="0"/>
              <w:pageBreakBefore w:val="0"/>
              <w:widowControl w:val="0"/>
              <w:kinsoku/>
              <w:wordWrap/>
              <w:overflowPunct/>
              <w:topLinePunct w:val="0"/>
              <w:autoSpaceDE/>
              <w:autoSpaceDN/>
              <w:bidi w:val="0"/>
              <w:adjustRightInd w:val="0"/>
              <w:snapToGrid/>
              <w:ind w:left="0" w:leftChars="0"/>
              <w:jc w:val="center"/>
              <w:textAlignment w:val="auto"/>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WX4</w:t>
            </w:r>
          </w:p>
        </w:tc>
        <w:tc>
          <w:tcPr>
            <w:tcW w:w="577" w:type="dxa"/>
            <w:vAlign w:val="center"/>
          </w:tcPr>
          <w:p w14:paraId="0DE43675">
            <w:pPr>
              <w:pStyle w:val="24"/>
              <w:bidi w:val="0"/>
              <w:rPr>
                <w:rFonts w:hint="eastAsia"/>
                <w:color w:val="auto"/>
                <w:highlight w:val="none"/>
                <w:lang w:val="en-US" w:eastAsia="zh-CN"/>
              </w:rPr>
            </w:pPr>
            <w:r>
              <w:rPr>
                <w:rFonts w:hint="default"/>
                <w:color w:val="auto"/>
                <w:highlight w:val="none"/>
                <w:lang w:val="en-US" w:eastAsia="zh-CN"/>
              </w:rPr>
              <w:t>7.8</w:t>
            </w:r>
          </w:p>
        </w:tc>
        <w:tc>
          <w:tcPr>
            <w:tcW w:w="584" w:type="dxa"/>
            <w:vAlign w:val="center"/>
          </w:tcPr>
          <w:p w14:paraId="2D0D8D9F">
            <w:pPr>
              <w:pStyle w:val="24"/>
              <w:bidi w:val="0"/>
              <w:rPr>
                <w:rFonts w:hint="eastAsia"/>
                <w:color w:val="auto"/>
                <w:highlight w:val="none"/>
                <w:lang w:val="en-US" w:eastAsia="zh-CN"/>
              </w:rPr>
            </w:pPr>
            <w:r>
              <w:rPr>
                <w:rFonts w:hint="default"/>
                <w:color w:val="auto"/>
                <w:highlight w:val="none"/>
                <w:lang w:val="en-US" w:eastAsia="zh-CN"/>
              </w:rPr>
              <w:t>7.19</w:t>
            </w:r>
          </w:p>
        </w:tc>
        <w:tc>
          <w:tcPr>
            <w:tcW w:w="693" w:type="dxa"/>
            <w:vAlign w:val="center"/>
          </w:tcPr>
          <w:p w14:paraId="584407CB">
            <w:pPr>
              <w:pStyle w:val="24"/>
              <w:bidi w:val="0"/>
              <w:rPr>
                <w:rFonts w:hint="eastAsia"/>
                <w:color w:val="auto"/>
                <w:highlight w:val="none"/>
                <w:lang w:val="en-US" w:eastAsia="zh-CN"/>
              </w:rPr>
            </w:pPr>
            <w:r>
              <w:rPr>
                <w:rFonts w:hint="default"/>
                <w:color w:val="auto"/>
                <w:highlight w:val="none"/>
                <w:lang w:val="en-US" w:eastAsia="zh-CN"/>
              </w:rPr>
              <w:t>13.2</w:t>
            </w:r>
          </w:p>
        </w:tc>
        <w:tc>
          <w:tcPr>
            <w:tcW w:w="619" w:type="dxa"/>
            <w:vAlign w:val="center"/>
          </w:tcPr>
          <w:p w14:paraId="09C685ED">
            <w:pPr>
              <w:pStyle w:val="24"/>
              <w:bidi w:val="0"/>
              <w:rPr>
                <w:rFonts w:hint="eastAsia"/>
                <w:color w:val="auto"/>
                <w:highlight w:val="none"/>
                <w:lang w:val="en-US" w:eastAsia="zh-CN"/>
              </w:rPr>
            </w:pPr>
            <w:r>
              <w:rPr>
                <w:rFonts w:hint="default"/>
                <w:color w:val="auto"/>
                <w:highlight w:val="none"/>
                <w:lang w:val="en-US" w:eastAsia="zh-CN"/>
              </w:rPr>
              <w:t>32.6</w:t>
            </w:r>
          </w:p>
        </w:tc>
        <w:tc>
          <w:tcPr>
            <w:tcW w:w="665" w:type="dxa"/>
            <w:vAlign w:val="center"/>
          </w:tcPr>
          <w:p w14:paraId="2FDE94D6">
            <w:pPr>
              <w:pStyle w:val="24"/>
              <w:bidi w:val="0"/>
              <w:rPr>
                <w:rFonts w:hint="eastAsia"/>
                <w:color w:val="auto"/>
                <w:highlight w:val="none"/>
                <w:lang w:val="en-US" w:eastAsia="zh-CN"/>
              </w:rPr>
            </w:pPr>
            <w:r>
              <w:rPr>
                <w:rFonts w:hint="default"/>
                <w:color w:val="auto"/>
                <w:highlight w:val="none"/>
                <w:lang w:val="en-US" w:eastAsia="zh-CN"/>
              </w:rPr>
              <w:t>23.3</w:t>
            </w:r>
          </w:p>
        </w:tc>
        <w:tc>
          <w:tcPr>
            <w:tcW w:w="808" w:type="dxa"/>
            <w:vAlign w:val="center"/>
          </w:tcPr>
          <w:p w14:paraId="61CA7FB9">
            <w:pPr>
              <w:pStyle w:val="24"/>
              <w:bidi w:val="0"/>
              <w:rPr>
                <w:rFonts w:hint="eastAsia"/>
                <w:color w:val="auto"/>
                <w:highlight w:val="none"/>
                <w:lang w:val="en-US" w:eastAsia="zh-CN"/>
              </w:rPr>
            </w:pPr>
            <w:r>
              <w:rPr>
                <w:rFonts w:hint="default"/>
                <w:color w:val="auto"/>
                <w:highlight w:val="none"/>
                <w:lang w:val="en-US" w:eastAsia="zh-CN"/>
              </w:rPr>
              <w:t>138</w:t>
            </w:r>
          </w:p>
        </w:tc>
        <w:tc>
          <w:tcPr>
            <w:tcW w:w="678" w:type="dxa"/>
            <w:vAlign w:val="center"/>
          </w:tcPr>
          <w:p w14:paraId="176A76BC">
            <w:pPr>
              <w:pStyle w:val="24"/>
              <w:bidi w:val="0"/>
              <w:rPr>
                <w:rFonts w:hint="eastAsia"/>
                <w:color w:val="auto"/>
                <w:highlight w:val="none"/>
                <w:lang w:val="en-US" w:eastAsia="zh-CN"/>
              </w:rPr>
            </w:pPr>
            <w:r>
              <w:rPr>
                <w:rFonts w:hint="default"/>
                <w:color w:val="auto"/>
                <w:highlight w:val="none"/>
                <w:lang w:val="en-US" w:eastAsia="zh-CN"/>
              </w:rPr>
              <w:t>79</w:t>
            </w:r>
          </w:p>
        </w:tc>
        <w:tc>
          <w:tcPr>
            <w:tcW w:w="584" w:type="dxa"/>
            <w:vAlign w:val="center"/>
          </w:tcPr>
          <w:p w14:paraId="4A9CD971">
            <w:pPr>
              <w:pStyle w:val="24"/>
              <w:bidi w:val="0"/>
              <w:rPr>
                <w:rFonts w:hint="eastAsia"/>
                <w:color w:val="auto"/>
                <w:highlight w:val="none"/>
                <w:lang w:val="en-US" w:eastAsia="zh-CN"/>
              </w:rPr>
            </w:pPr>
            <w:r>
              <w:rPr>
                <w:rFonts w:hint="default"/>
                <w:color w:val="auto"/>
                <w:highlight w:val="none"/>
                <w:lang w:val="en-US" w:eastAsia="zh-CN"/>
              </w:rPr>
              <w:t>ND</w:t>
            </w:r>
          </w:p>
        </w:tc>
        <w:tc>
          <w:tcPr>
            <w:tcW w:w="932" w:type="dxa"/>
            <w:vAlign w:val="center"/>
          </w:tcPr>
          <w:p w14:paraId="03728619">
            <w:pPr>
              <w:pStyle w:val="24"/>
              <w:bidi w:val="0"/>
              <w:rPr>
                <w:rFonts w:hint="eastAsia"/>
                <w:color w:val="auto"/>
                <w:highlight w:val="none"/>
                <w:lang w:val="en-US" w:eastAsia="zh-CN"/>
              </w:rPr>
            </w:pPr>
            <w:r>
              <w:rPr>
                <w:rFonts w:hint="default"/>
                <w:color w:val="auto"/>
                <w:highlight w:val="none"/>
                <w:lang w:val="en-US" w:eastAsia="zh-CN"/>
              </w:rPr>
              <w:t>230</w:t>
            </w:r>
          </w:p>
        </w:tc>
        <w:tc>
          <w:tcPr>
            <w:tcW w:w="837" w:type="pct"/>
            <w:vAlign w:val="center"/>
          </w:tcPr>
          <w:p w14:paraId="3A4B126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·SO</w:t>
            </w:r>
            <w:r>
              <w:rPr>
                <w:rFonts w:hint="eastAsia" w:ascii="Times New Roman" w:hAnsi="Times New Roman" w:eastAsia="宋体" w:cs="Courier New"/>
                <w:b w:val="0"/>
                <w:bCs w:val="0"/>
                <w:color w:val="auto"/>
                <w:highlight w:val="none"/>
                <w:vertAlign w:val="subscript"/>
                <w:lang w:val="en-US" w:eastAsia="zh-CN"/>
              </w:rPr>
              <w:t>4</w:t>
            </w:r>
            <w:r>
              <w:rPr>
                <w:rFonts w:hint="eastAsia" w:ascii="Times New Roman" w:hAnsi="Times New Roman" w:eastAsia="宋体" w:cs="Courier New"/>
                <w:b w:val="0"/>
                <w:bCs w:val="0"/>
                <w:color w:val="auto"/>
                <w:highlight w:val="none"/>
                <w:lang w:val="en-US" w:eastAsia="zh-CN"/>
              </w:rPr>
              <w:t>-Ca·Mg</w:t>
            </w:r>
          </w:p>
        </w:tc>
      </w:tr>
      <w:tr w14:paraId="0754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5F788E9E">
            <w:pPr>
              <w:keepNext w:val="0"/>
              <w:keepLines w:val="0"/>
              <w:pageBreakBefore w:val="0"/>
              <w:widowControl w:val="0"/>
              <w:kinsoku/>
              <w:wordWrap/>
              <w:overflowPunct/>
              <w:topLinePunct w:val="0"/>
              <w:autoSpaceDE/>
              <w:autoSpaceDN/>
              <w:bidi w:val="0"/>
              <w:adjustRightInd w:val="0"/>
              <w:snapToGrid/>
              <w:ind w:left="0" w:leftChars="0"/>
              <w:jc w:val="center"/>
              <w:textAlignment w:val="auto"/>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WX5</w:t>
            </w:r>
          </w:p>
        </w:tc>
        <w:tc>
          <w:tcPr>
            <w:tcW w:w="577" w:type="dxa"/>
            <w:vAlign w:val="center"/>
          </w:tcPr>
          <w:p w14:paraId="4E902AD4">
            <w:pPr>
              <w:pStyle w:val="24"/>
              <w:bidi w:val="0"/>
              <w:rPr>
                <w:rFonts w:hint="eastAsia"/>
                <w:color w:val="auto"/>
                <w:highlight w:val="none"/>
                <w:lang w:val="en-US" w:eastAsia="zh-CN"/>
              </w:rPr>
            </w:pPr>
            <w:r>
              <w:rPr>
                <w:rFonts w:hint="default"/>
                <w:color w:val="auto"/>
                <w:highlight w:val="none"/>
                <w:lang w:val="en-US" w:eastAsia="zh-CN"/>
              </w:rPr>
              <w:t>7.7</w:t>
            </w:r>
          </w:p>
        </w:tc>
        <w:tc>
          <w:tcPr>
            <w:tcW w:w="584" w:type="dxa"/>
            <w:vAlign w:val="center"/>
          </w:tcPr>
          <w:p w14:paraId="1A18C543">
            <w:pPr>
              <w:pStyle w:val="24"/>
              <w:bidi w:val="0"/>
              <w:rPr>
                <w:rFonts w:hint="eastAsia"/>
                <w:color w:val="auto"/>
                <w:highlight w:val="none"/>
                <w:lang w:val="en-US" w:eastAsia="zh-CN"/>
              </w:rPr>
            </w:pPr>
            <w:r>
              <w:rPr>
                <w:rFonts w:hint="default"/>
                <w:color w:val="auto"/>
                <w:highlight w:val="none"/>
                <w:lang w:val="en-US" w:eastAsia="zh-CN"/>
              </w:rPr>
              <w:t>1.58</w:t>
            </w:r>
          </w:p>
        </w:tc>
        <w:tc>
          <w:tcPr>
            <w:tcW w:w="693" w:type="dxa"/>
            <w:vAlign w:val="center"/>
          </w:tcPr>
          <w:p w14:paraId="600164FE">
            <w:pPr>
              <w:pStyle w:val="24"/>
              <w:bidi w:val="0"/>
              <w:rPr>
                <w:rFonts w:hint="eastAsia"/>
                <w:color w:val="auto"/>
                <w:highlight w:val="none"/>
                <w:lang w:val="en-US" w:eastAsia="zh-CN"/>
              </w:rPr>
            </w:pPr>
            <w:r>
              <w:rPr>
                <w:rFonts w:hint="default"/>
                <w:color w:val="auto"/>
                <w:highlight w:val="none"/>
                <w:lang w:val="en-US" w:eastAsia="zh-CN"/>
              </w:rPr>
              <w:t>1.94</w:t>
            </w:r>
          </w:p>
        </w:tc>
        <w:tc>
          <w:tcPr>
            <w:tcW w:w="619" w:type="dxa"/>
            <w:vAlign w:val="center"/>
          </w:tcPr>
          <w:p w14:paraId="647D6504">
            <w:pPr>
              <w:pStyle w:val="24"/>
              <w:bidi w:val="0"/>
              <w:rPr>
                <w:rFonts w:hint="eastAsia"/>
                <w:color w:val="auto"/>
                <w:highlight w:val="none"/>
                <w:lang w:val="en-US" w:eastAsia="zh-CN"/>
              </w:rPr>
            </w:pPr>
            <w:r>
              <w:rPr>
                <w:rFonts w:hint="default"/>
                <w:color w:val="auto"/>
                <w:highlight w:val="none"/>
                <w:lang w:val="en-US" w:eastAsia="zh-CN"/>
              </w:rPr>
              <w:t>31.7</w:t>
            </w:r>
          </w:p>
        </w:tc>
        <w:tc>
          <w:tcPr>
            <w:tcW w:w="665" w:type="dxa"/>
            <w:vAlign w:val="center"/>
          </w:tcPr>
          <w:p w14:paraId="3EE6802D">
            <w:pPr>
              <w:pStyle w:val="24"/>
              <w:bidi w:val="0"/>
              <w:rPr>
                <w:rFonts w:hint="eastAsia"/>
                <w:color w:val="auto"/>
                <w:highlight w:val="none"/>
                <w:lang w:val="en-US" w:eastAsia="zh-CN"/>
              </w:rPr>
            </w:pPr>
            <w:r>
              <w:rPr>
                <w:rFonts w:hint="default"/>
                <w:color w:val="auto"/>
                <w:highlight w:val="none"/>
                <w:lang w:val="en-US" w:eastAsia="zh-CN"/>
              </w:rPr>
              <w:t>21.3</w:t>
            </w:r>
          </w:p>
        </w:tc>
        <w:tc>
          <w:tcPr>
            <w:tcW w:w="808" w:type="dxa"/>
            <w:vAlign w:val="center"/>
          </w:tcPr>
          <w:p w14:paraId="03B2ADD0">
            <w:pPr>
              <w:pStyle w:val="24"/>
              <w:bidi w:val="0"/>
              <w:rPr>
                <w:rFonts w:hint="eastAsia"/>
                <w:color w:val="auto"/>
                <w:highlight w:val="none"/>
                <w:lang w:val="en-US" w:eastAsia="zh-CN"/>
              </w:rPr>
            </w:pPr>
            <w:r>
              <w:rPr>
                <w:rFonts w:hint="default"/>
                <w:color w:val="auto"/>
                <w:highlight w:val="none"/>
                <w:lang w:val="en-US" w:eastAsia="zh-CN"/>
              </w:rPr>
              <w:t>110</w:t>
            </w:r>
          </w:p>
        </w:tc>
        <w:tc>
          <w:tcPr>
            <w:tcW w:w="678" w:type="dxa"/>
            <w:vAlign w:val="center"/>
          </w:tcPr>
          <w:p w14:paraId="6FD9A31B">
            <w:pPr>
              <w:pStyle w:val="24"/>
              <w:bidi w:val="0"/>
              <w:rPr>
                <w:rFonts w:hint="eastAsia"/>
                <w:color w:val="auto"/>
                <w:highlight w:val="none"/>
                <w:lang w:val="en-US" w:eastAsia="zh-CN"/>
              </w:rPr>
            </w:pPr>
            <w:r>
              <w:rPr>
                <w:rFonts w:hint="default"/>
                <w:color w:val="auto"/>
                <w:highlight w:val="none"/>
                <w:lang w:val="en-US" w:eastAsia="zh-CN"/>
              </w:rPr>
              <w:t>84</w:t>
            </w:r>
          </w:p>
        </w:tc>
        <w:tc>
          <w:tcPr>
            <w:tcW w:w="584" w:type="dxa"/>
            <w:vAlign w:val="center"/>
          </w:tcPr>
          <w:p w14:paraId="47546478">
            <w:pPr>
              <w:pStyle w:val="24"/>
              <w:bidi w:val="0"/>
              <w:rPr>
                <w:rFonts w:hint="eastAsia"/>
                <w:color w:val="auto"/>
                <w:highlight w:val="none"/>
                <w:lang w:val="en-US" w:eastAsia="zh-CN"/>
              </w:rPr>
            </w:pPr>
            <w:r>
              <w:rPr>
                <w:rFonts w:hint="default"/>
                <w:color w:val="auto"/>
                <w:highlight w:val="none"/>
                <w:lang w:val="en-US" w:eastAsia="zh-CN"/>
              </w:rPr>
              <w:t>ND</w:t>
            </w:r>
          </w:p>
        </w:tc>
        <w:tc>
          <w:tcPr>
            <w:tcW w:w="932" w:type="dxa"/>
            <w:vAlign w:val="center"/>
          </w:tcPr>
          <w:p w14:paraId="723E8B9E">
            <w:pPr>
              <w:pStyle w:val="24"/>
              <w:bidi w:val="0"/>
              <w:rPr>
                <w:rFonts w:hint="eastAsia"/>
                <w:color w:val="auto"/>
                <w:highlight w:val="none"/>
                <w:lang w:val="en-US" w:eastAsia="zh-CN"/>
              </w:rPr>
            </w:pPr>
            <w:r>
              <w:rPr>
                <w:rFonts w:hint="default"/>
                <w:color w:val="auto"/>
                <w:highlight w:val="none"/>
                <w:lang w:val="en-US" w:eastAsia="zh-CN"/>
              </w:rPr>
              <w:t>204</w:t>
            </w:r>
          </w:p>
        </w:tc>
        <w:tc>
          <w:tcPr>
            <w:tcW w:w="837" w:type="pct"/>
            <w:vAlign w:val="center"/>
          </w:tcPr>
          <w:p w14:paraId="2D86DF5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SO</w:t>
            </w:r>
            <w:r>
              <w:rPr>
                <w:rFonts w:hint="eastAsia" w:ascii="Times New Roman" w:hAnsi="Times New Roman" w:eastAsia="宋体" w:cs="Courier New"/>
                <w:b w:val="0"/>
                <w:bCs w:val="0"/>
                <w:color w:val="auto"/>
                <w:highlight w:val="none"/>
                <w:vertAlign w:val="subscript"/>
                <w:lang w:val="en-US" w:eastAsia="zh-CN"/>
              </w:rPr>
              <w:t>4</w:t>
            </w: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Ca·Mg</w:t>
            </w:r>
          </w:p>
        </w:tc>
      </w:tr>
      <w:tr w14:paraId="376E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0561807E">
            <w:pPr>
              <w:keepNext w:val="0"/>
              <w:keepLines w:val="0"/>
              <w:pageBreakBefore w:val="0"/>
              <w:widowControl w:val="0"/>
              <w:kinsoku/>
              <w:wordWrap/>
              <w:overflowPunct/>
              <w:topLinePunct w:val="0"/>
              <w:autoSpaceDE/>
              <w:autoSpaceDN/>
              <w:bidi w:val="0"/>
              <w:adjustRightInd w:val="0"/>
              <w:snapToGrid/>
              <w:ind w:left="0" w:leftChars="0"/>
              <w:jc w:val="center"/>
              <w:textAlignment w:val="auto"/>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WX6</w:t>
            </w:r>
          </w:p>
        </w:tc>
        <w:tc>
          <w:tcPr>
            <w:tcW w:w="577" w:type="dxa"/>
            <w:vAlign w:val="center"/>
          </w:tcPr>
          <w:p w14:paraId="09496A0C">
            <w:pPr>
              <w:pStyle w:val="24"/>
              <w:bidi w:val="0"/>
              <w:rPr>
                <w:rFonts w:hint="default"/>
                <w:color w:val="auto"/>
                <w:highlight w:val="none"/>
                <w:lang w:val="en-US" w:eastAsia="zh-CN"/>
              </w:rPr>
            </w:pPr>
            <w:r>
              <w:rPr>
                <w:rFonts w:hint="default"/>
                <w:color w:val="auto"/>
                <w:highlight w:val="none"/>
                <w:lang w:val="en-US" w:eastAsia="zh-CN"/>
              </w:rPr>
              <w:t>7.8</w:t>
            </w:r>
          </w:p>
        </w:tc>
        <w:tc>
          <w:tcPr>
            <w:tcW w:w="644" w:type="dxa"/>
            <w:vAlign w:val="center"/>
          </w:tcPr>
          <w:p w14:paraId="4691B09C">
            <w:pPr>
              <w:pStyle w:val="24"/>
              <w:bidi w:val="0"/>
              <w:rPr>
                <w:rFonts w:hint="default"/>
                <w:color w:val="auto"/>
                <w:highlight w:val="none"/>
                <w:lang w:val="en-US" w:eastAsia="zh-CN"/>
              </w:rPr>
            </w:pPr>
            <w:r>
              <w:rPr>
                <w:rFonts w:hint="default"/>
                <w:color w:val="auto"/>
                <w:highlight w:val="none"/>
                <w:lang w:val="en-US" w:eastAsia="zh-CN"/>
              </w:rPr>
              <w:t>1.59</w:t>
            </w:r>
          </w:p>
        </w:tc>
        <w:tc>
          <w:tcPr>
            <w:tcW w:w="794" w:type="dxa"/>
            <w:vAlign w:val="center"/>
          </w:tcPr>
          <w:p w14:paraId="4A421E7D">
            <w:pPr>
              <w:pStyle w:val="24"/>
              <w:bidi w:val="0"/>
              <w:rPr>
                <w:rFonts w:hint="default"/>
                <w:color w:val="auto"/>
                <w:highlight w:val="none"/>
                <w:lang w:val="en-US" w:eastAsia="zh-CN"/>
              </w:rPr>
            </w:pPr>
            <w:r>
              <w:rPr>
                <w:rFonts w:hint="default"/>
                <w:color w:val="auto"/>
                <w:highlight w:val="none"/>
                <w:lang w:val="en-US" w:eastAsia="zh-CN"/>
              </w:rPr>
              <w:t>0.91</w:t>
            </w:r>
          </w:p>
        </w:tc>
        <w:tc>
          <w:tcPr>
            <w:tcW w:w="663" w:type="dxa"/>
            <w:vAlign w:val="center"/>
          </w:tcPr>
          <w:p w14:paraId="2C48A0B6">
            <w:pPr>
              <w:pStyle w:val="24"/>
              <w:bidi w:val="0"/>
              <w:rPr>
                <w:rFonts w:hint="default"/>
                <w:color w:val="auto"/>
                <w:highlight w:val="none"/>
                <w:lang w:val="en-US" w:eastAsia="zh-CN"/>
              </w:rPr>
            </w:pPr>
            <w:r>
              <w:rPr>
                <w:rFonts w:hint="default"/>
                <w:color w:val="auto"/>
                <w:highlight w:val="none"/>
                <w:lang w:val="en-US" w:eastAsia="zh-CN"/>
              </w:rPr>
              <w:t>31.4</w:t>
            </w:r>
          </w:p>
        </w:tc>
        <w:tc>
          <w:tcPr>
            <w:tcW w:w="733" w:type="dxa"/>
            <w:vAlign w:val="center"/>
          </w:tcPr>
          <w:p w14:paraId="78FE721D">
            <w:pPr>
              <w:pStyle w:val="24"/>
              <w:bidi w:val="0"/>
              <w:rPr>
                <w:rFonts w:hint="default"/>
                <w:color w:val="auto"/>
                <w:highlight w:val="none"/>
                <w:lang w:val="en-US" w:eastAsia="zh-CN"/>
              </w:rPr>
            </w:pPr>
            <w:r>
              <w:rPr>
                <w:rFonts w:hint="default"/>
                <w:color w:val="auto"/>
                <w:highlight w:val="none"/>
                <w:lang w:val="en-US" w:eastAsia="zh-CN"/>
              </w:rPr>
              <w:t>23.2</w:t>
            </w:r>
          </w:p>
        </w:tc>
        <w:tc>
          <w:tcPr>
            <w:tcW w:w="872" w:type="dxa"/>
            <w:vAlign w:val="center"/>
          </w:tcPr>
          <w:p w14:paraId="251E908D">
            <w:pPr>
              <w:pStyle w:val="24"/>
              <w:bidi w:val="0"/>
              <w:rPr>
                <w:rFonts w:hint="default"/>
                <w:color w:val="auto"/>
                <w:highlight w:val="none"/>
                <w:lang w:val="en-US" w:eastAsia="zh-CN"/>
              </w:rPr>
            </w:pPr>
            <w:r>
              <w:rPr>
                <w:rFonts w:hint="default"/>
                <w:color w:val="auto"/>
                <w:highlight w:val="none"/>
                <w:lang w:val="en-US" w:eastAsia="zh-CN"/>
              </w:rPr>
              <w:t>112</w:t>
            </w:r>
          </w:p>
        </w:tc>
        <w:tc>
          <w:tcPr>
            <w:tcW w:w="751" w:type="dxa"/>
            <w:vAlign w:val="center"/>
          </w:tcPr>
          <w:p w14:paraId="72C70B9B">
            <w:pPr>
              <w:pStyle w:val="24"/>
              <w:bidi w:val="0"/>
              <w:rPr>
                <w:rFonts w:hint="default"/>
                <w:color w:val="auto"/>
                <w:highlight w:val="none"/>
                <w:lang w:val="en-US" w:eastAsia="zh-CN"/>
              </w:rPr>
            </w:pPr>
            <w:r>
              <w:rPr>
                <w:rFonts w:hint="default"/>
                <w:color w:val="auto"/>
                <w:highlight w:val="none"/>
                <w:lang w:val="en-US" w:eastAsia="zh-CN"/>
              </w:rPr>
              <w:t>82</w:t>
            </w:r>
          </w:p>
        </w:tc>
        <w:tc>
          <w:tcPr>
            <w:tcW w:w="647" w:type="dxa"/>
            <w:vAlign w:val="center"/>
          </w:tcPr>
          <w:p w14:paraId="5EFDD689">
            <w:pPr>
              <w:pStyle w:val="24"/>
              <w:bidi w:val="0"/>
              <w:rPr>
                <w:rFonts w:hint="default"/>
                <w:color w:val="auto"/>
                <w:highlight w:val="none"/>
                <w:lang w:val="en-US" w:eastAsia="zh-CN"/>
              </w:rPr>
            </w:pPr>
            <w:r>
              <w:rPr>
                <w:rFonts w:hint="default"/>
                <w:color w:val="auto"/>
                <w:highlight w:val="none"/>
                <w:lang w:val="en-US" w:eastAsia="zh-CN"/>
              </w:rPr>
              <w:t>ND</w:t>
            </w:r>
          </w:p>
        </w:tc>
        <w:tc>
          <w:tcPr>
            <w:tcW w:w="1086" w:type="dxa"/>
            <w:vAlign w:val="center"/>
          </w:tcPr>
          <w:p w14:paraId="645DBFDA">
            <w:pPr>
              <w:pStyle w:val="24"/>
              <w:bidi w:val="0"/>
              <w:rPr>
                <w:rFonts w:hint="default"/>
                <w:color w:val="auto"/>
                <w:highlight w:val="none"/>
                <w:lang w:val="en-US" w:eastAsia="zh-CN"/>
              </w:rPr>
            </w:pPr>
            <w:r>
              <w:rPr>
                <w:rFonts w:hint="default"/>
                <w:color w:val="auto"/>
                <w:highlight w:val="none"/>
                <w:lang w:val="en-US" w:eastAsia="zh-CN"/>
              </w:rPr>
              <w:t>201</w:t>
            </w:r>
          </w:p>
        </w:tc>
        <w:tc>
          <w:tcPr>
            <w:tcW w:w="1581" w:type="dxa"/>
            <w:vAlign w:val="center"/>
          </w:tcPr>
          <w:p w14:paraId="3A88CA8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SO</w:t>
            </w:r>
            <w:r>
              <w:rPr>
                <w:rFonts w:hint="eastAsia" w:ascii="Times New Roman" w:hAnsi="Times New Roman" w:eastAsia="宋体" w:cs="Courier New"/>
                <w:b w:val="0"/>
                <w:bCs w:val="0"/>
                <w:color w:val="auto"/>
                <w:highlight w:val="none"/>
                <w:vertAlign w:val="subscript"/>
                <w:lang w:val="en-US" w:eastAsia="zh-CN"/>
              </w:rPr>
              <w:t>4</w:t>
            </w: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-Ca·Mg</w:t>
            </w:r>
          </w:p>
        </w:tc>
      </w:tr>
      <w:tr w14:paraId="0BFD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 w:type="dxa"/>
            <w:vAlign w:val="center"/>
          </w:tcPr>
          <w:p w14:paraId="62AA71FE">
            <w:pPr>
              <w:keepNext w:val="0"/>
              <w:keepLines w:val="0"/>
              <w:pageBreakBefore w:val="0"/>
              <w:widowControl w:val="0"/>
              <w:kinsoku/>
              <w:wordWrap/>
              <w:overflowPunct/>
              <w:topLinePunct w:val="0"/>
              <w:autoSpaceDE/>
              <w:autoSpaceDN/>
              <w:bidi w:val="0"/>
              <w:adjustRightInd w:val="0"/>
              <w:snapToGrid/>
              <w:ind w:left="0" w:leftChars="0"/>
              <w:jc w:val="center"/>
              <w:textAlignment w:val="auto"/>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WX7</w:t>
            </w:r>
          </w:p>
        </w:tc>
        <w:tc>
          <w:tcPr>
            <w:tcW w:w="577" w:type="dxa"/>
            <w:vAlign w:val="center"/>
          </w:tcPr>
          <w:p w14:paraId="58FBB6D0">
            <w:pPr>
              <w:pStyle w:val="24"/>
              <w:bidi w:val="0"/>
              <w:rPr>
                <w:rFonts w:hint="default"/>
                <w:color w:val="auto"/>
                <w:highlight w:val="none"/>
                <w:lang w:val="en-US" w:eastAsia="zh-CN"/>
              </w:rPr>
            </w:pPr>
            <w:r>
              <w:rPr>
                <w:rFonts w:hint="default"/>
                <w:color w:val="auto"/>
                <w:highlight w:val="none"/>
                <w:lang w:val="en-US" w:eastAsia="zh-CN"/>
              </w:rPr>
              <w:t>7.8</w:t>
            </w:r>
          </w:p>
        </w:tc>
        <w:tc>
          <w:tcPr>
            <w:tcW w:w="644" w:type="dxa"/>
            <w:vAlign w:val="center"/>
          </w:tcPr>
          <w:p w14:paraId="3BA84C32">
            <w:pPr>
              <w:pStyle w:val="24"/>
              <w:bidi w:val="0"/>
              <w:rPr>
                <w:rFonts w:hint="default"/>
                <w:color w:val="auto"/>
                <w:highlight w:val="none"/>
                <w:lang w:val="en-US" w:eastAsia="zh-CN"/>
              </w:rPr>
            </w:pPr>
            <w:r>
              <w:rPr>
                <w:rFonts w:hint="default"/>
                <w:color w:val="auto"/>
                <w:highlight w:val="none"/>
                <w:lang w:val="en-US" w:eastAsia="zh-CN"/>
              </w:rPr>
              <w:t>1.59</w:t>
            </w:r>
          </w:p>
        </w:tc>
        <w:tc>
          <w:tcPr>
            <w:tcW w:w="794" w:type="dxa"/>
            <w:vAlign w:val="center"/>
          </w:tcPr>
          <w:p w14:paraId="45DAC159">
            <w:pPr>
              <w:pStyle w:val="24"/>
              <w:bidi w:val="0"/>
              <w:rPr>
                <w:rFonts w:hint="default"/>
                <w:color w:val="auto"/>
                <w:highlight w:val="none"/>
                <w:lang w:val="en-US" w:eastAsia="zh-CN"/>
              </w:rPr>
            </w:pPr>
            <w:r>
              <w:rPr>
                <w:rFonts w:hint="default"/>
                <w:color w:val="auto"/>
                <w:highlight w:val="none"/>
                <w:lang w:val="en-US" w:eastAsia="zh-CN"/>
              </w:rPr>
              <w:t>0.16</w:t>
            </w:r>
          </w:p>
        </w:tc>
        <w:tc>
          <w:tcPr>
            <w:tcW w:w="663" w:type="dxa"/>
            <w:vAlign w:val="center"/>
          </w:tcPr>
          <w:p w14:paraId="3177D498">
            <w:pPr>
              <w:pStyle w:val="24"/>
              <w:bidi w:val="0"/>
              <w:rPr>
                <w:rFonts w:hint="default"/>
                <w:color w:val="auto"/>
                <w:highlight w:val="none"/>
                <w:lang w:val="en-US" w:eastAsia="zh-CN"/>
              </w:rPr>
            </w:pPr>
            <w:r>
              <w:rPr>
                <w:rFonts w:hint="default"/>
                <w:color w:val="auto"/>
                <w:highlight w:val="none"/>
                <w:lang w:val="en-US" w:eastAsia="zh-CN"/>
              </w:rPr>
              <w:t>30.4</w:t>
            </w:r>
          </w:p>
        </w:tc>
        <w:tc>
          <w:tcPr>
            <w:tcW w:w="733" w:type="dxa"/>
            <w:vAlign w:val="center"/>
          </w:tcPr>
          <w:p w14:paraId="40E21D04">
            <w:pPr>
              <w:pStyle w:val="24"/>
              <w:bidi w:val="0"/>
              <w:rPr>
                <w:rFonts w:hint="default"/>
                <w:color w:val="auto"/>
                <w:highlight w:val="none"/>
                <w:lang w:val="en-US" w:eastAsia="zh-CN"/>
              </w:rPr>
            </w:pPr>
            <w:r>
              <w:rPr>
                <w:rFonts w:hint="default"/>
                <w:color w:val="auto"/>
                <w:highlight w:val="none"/>
                <w:lang w:val="en-US" w:eastAsia="zh-CN"/>
              </w:rPr>
              <w:t>22.2</w:t>
            </w:r>
          </w:p>
        </w:tc>
        <w:tc>
          <w:tcPr>
            <w:tcW w:w="872" w:type="dxa"/>
            <w:vAlign w:val="center"/>
          </w:tcPr>
          <w:p w14:paraId="0D58C0B8">
            <w:pPr>
              <w:pStyle w:val="24"/>
              <w:bidi w:val="0"/>
              <w:rPr>
                <w:rFonts w:hint="default"/>
                <w:color w:val="auto"/>
                <w:highlight w:val="none"/>
                <w:lang w:val="en-US" w:eastAsia="zh-CN"/>
              </w:rPr>
            </w:pPr>
            <w:r>
              <w:rPr>
                <w:rFonts w:hint="default"/>
                <w:color w:val="auto"/>
                <w:highlight w:val="none"/>
                <w:lang w:val="en-US" w:eastAsia="zh-CN"/>
              </w:rPr>
              <w:t>109</w:t>
            </w:r>
          </w:p>
        </w:tc>
        <w:tc>
          <w:tcPr>
            <w:tcW w:w="751" w:type="dxa"/>
            <w:vAlign w:val="center"/>
          </w:tcPr>
          <w:p w14:paraId="7A166AAE">
            <w:pPr>
              <w:pStyle w:val="24"/>
              <w:bidi w:val="0"/>
              <w:rPr>
                <w:rFonts w:hint="default"/>
                <w:color w:val="auto"/>
                <w:highlight w:val="none"/>
                <w:lang w:val="en-US" w:eastAsia="zh-CN"/>
              </w:rPr>
            </w:pPr>
            <w:r>
              <w:rPr>
                <w:rFonts w:hint="default"/>
                <w:color w:val="auto"/>
                <w:highlight w:val="none"/>
                <w:lang w:val="en-US" w:eastAsia="zh-CN"/>
              </w:rPr>
              <w:t>86</w:t>
            </w:r>
          </w:p>
        </w:tc>
        <w:tc>
          <w:tcPr>
            <w:tcW w:w="647" w:type="dxa"/>
            <w:vAlign w:val="center"/>
          </w:tcPr>
          <w:p w14:paraId="77A55A72">
            <w:pPr>
              <w:pStyle w:val="24"/>
              <w:bidi w:val="0"/>
              <w:rPr>
                <w:rFonts w:hint="default"/>
                <w:color w:val="auto"/>
                <w:highlight w:val="none"/>
                <w:lang w:val="en-US" w:eastAsia="zh-CN"/>
              </w:rPr>
            </w:pPr>
            <w:r>
              <w:rPr>
                <w:rFonts w:hint="default"/>
                <w:color w:val="auto"/>
                <w:highlight w:val="none"/>
                <w:lang w:val="en-US" w:eastAsia="zh-CN"/>
              </w:rPr>
              <w:t>ND</w:t>
            </w:r>
          </w:p>
        </w:tc>
        <w:tc>
          <w:tcPr>
            <w:tcW w:w="1086" w:type="dxa"/>
            <w:vAlign w:val="center"/>
          </w:tcPr>
          <w:p w14:paraId="29CD266F">
            <w:pPr>
              <w:pStyle w:val="24"/>
              <w:bidi w:val="0"/>
              <w:rPr>
                <w:rFonts w:hint="default"/>
                <w:color w:val="auto"/>
                <w:highlight w:val="none"/>
                <w:lang w:val="en-US" w:eastAsia="zh-CN"/>
              </w:rPr>
            </w:pPr>
            <w:r>
              <w:rPr>
                <w:rFonts w:hint="default"/>
                <w:color w:val="auto"/>
                <w:highlight w:val="none"/>
                <w:lang w:val="en-US" w:eastAsia="zh-CN"/>
              </w:rPr>
              <w:t>198</w:t>
            </w:r>
          </w:p>
        </w:tc>
        <w:tc>
          <w:tcPr>
            <w:tcW w:w="1581" w:type="dxa"/>
            <w:vAlign w:val="center"/>
          </w:tcPr>
          <w:p w14:paraId="652C94C8">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SO</w:t>
            </w:r>
            <w:r>
              <w:rPr>
                <w:rFonts w:hint="eastAsia" w:ascii="Times New Roman" w:hAnsi="Times New Roman" w:eastAsia="宋体" w:cs="Courier New"/>
                <w:b w:val="0"/>
                <w:bCs w:val="0"/>
                <w:color w:val="auto"/>
                <w:highlight w:val="none"/>
                <w:vertAlign w:val="subscript"/>
                <w:lang w:val="en-US" w:eastAsia="zh-CN"/>
              </w:rPr>
              <w:t>4</w:t>
            </w:r>
            <w:r>
              <w:rPr>
                <w:rFonts w:hint="eastAsia" w:ascii="Times New Roman" w:hAnsi="Times New Roman" w:eastAsia="宋体" w:cs="Courier New"/>
                <w:b w:val="0"/>
                <w:bCs w:val="0"/>
                <w:color w:val="auto"/>
                <w:highlight w:val="none"/>
                <w:lang w:val="en-US" w:eastAsia="zh-CN"/>
              </w:rPr>
              <w:t>·HCO</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Ca·Mg</w:t>
            </w:r>
          </w:p>
        </w:tc>
      </w:tr>
    </w:tbl>
    <w:p w14:paraId="51BEE28A">
      <w:pPr>
        <w:pStyle w:val="26"/>
        <w:bidi w:val="0"/>
        <w:rPr>
          <w:rFonts w:hint="eastAsia" w:ascii="Times New Roman" w:hAnsi="Times New Roman" w:cstheme="minorHAnsi"/>
          <w:color w:val="auto"/>
        </w:rPr>
      </w:pPr>
      <w:r>
        <w:rPr>
          <w:rFonts w:hint="eastAsia" w:ascii="Times New Roman" w:hAnsi="Times New Roman" w:eastAsia="宋体" w:cs="Times New Roman"/>
          <w:color w:val="auto"/>
          <w:sz w:val="24"/>
          <w:szCs w:val="24"/>
          <w:highlight w:val="none"/>
        </w:rPr>
        <w:t>监测结果显示，</w:t>
      </w:r>
      <w:r>
        <w:rPr>
          <w:rFonts w:hint="eastAsia" w:ascii="Times New Roman" w:hAnsi="Times New Roman" w:cstheme="minorHAnsi"/>
          <w:color w:val="auto"/>
          <w:highlight w:val="none"/>
        </w:rPr>
        <w:t>本项目所在区域地下水矿化度介于</w:t>
      </w:r>
      <w:r>
        <w:rPr>
          <w:rFonts w:hint="eastAsia" w:cstheme="minorHAnsi"/>
          <w:color w:val="auto"/>
          <w:highlight w:val="none"/>
          <w:lang w:val="en-US" w:eastAsia="zh-CN"/>
        </w:rPr>
        <w:t>185</w:t>
      </w:r>
      <w:r>
        <w:rPr>
          <w:rFonts w:hint="eastAsia" w:ascii="Times New Roman" w:hAnsi="Times New Roman" w:cstheme="minorHAnsi"/>
          <w:color w:val="auto"/>
          <w:highlight w:val="none"/>
        </w:rPr>
        <w:t>~2</w:t>
      </w:r>
      <w:r>
        <w:rPr>
          <w:rFonts w:hint="eastAsia" w:cstheme="minorHAnsi"/>
          <w:color w:val="auto"/>
          <w:highlight w:val="none"/>
          <w:lang w:val="en-US" w:eastAsia="zh-CN"/>
        </w:rPr>
        <w:t>30</w:t>
      </w:r>
      <w:r>
        <w:rPr>
          <w:rFonts w:hint="eastAsia" w:ascii="Times New Roman" w:hAnsi="Times New Roman" w:cstheme="minorHAnsi"/>
          <w:color w:val="auto"/>
          <w:highlight w:val="none"/>
        </w:rPr>
        <w:t>mg/L，均＜1</w:t>
      </w:r>
      <w:r>
        <w:rPr>
          <w:rFonts w:ascii="Times New Roman" w:hAnsi="Times New Roman" w:cstheme="minorHAnsi"/>
          <w:color w:val="auto"/>
          <w:highlight w:val="none"/>
        </w:rPr>
        <w:t>.5</w:t>
      </w:r>
      <w:r>
        <w:rPr>
          <w:rFonts w:hint="eastAsia" w:ascii="Times New Roman" w:hAnsi="Times New Roman" w:cstheme="minorHAnsi"/>
          <w:color w:val="auto"/>
          <w:highlight w:val="none"/>
        </w:rPr>
        <w:t>g/L，属于低矿化度水，主要阳离子均为Ca</w:t>
      </w:r>
      <w:r>
        <w:rPr>
          <w:rFonts w:hint="eastAsia" w:ascii="Times New Roman" w:hAnsi="Times New Roman" w:cstheme="minorHAnsi"/>
          <w:color w:val="auto"/>
          <w:highlight w:val="none"/>
          <w:vertAlign w:val="superscript"/>
        </w:rPr>
        <w:t>2+</w:t>
      </w:r>
      <w:r>
        <w:rPr>
          <w:rFonts w:hint="eastAsia" w:ascii="Times New Roman" w:hAnsi="Times New Roman" w:cstheme="minorHAnsi"/>
          <w:color w:val="auto"/>
          <w:highlight w:val="none"/>
        </w:rPr>
        <w:t>、Mg</w:t>
      </w:r>
      <w:r>
        <w:rPr>
          <w:rFonts w:hint="eastAsia" w:ascii="Times New Roman" w:hAnsi="Times New Roman" w:cstheme="minorHAnsi"/>
          <w:color w:val="auto"/>
          <w:highlight w:val="none"/>
          <w:vertAlign w:val="superscript"/>
        </w:rPr>
        <w:t>2+</w:t>
      </w:r>
      <w:r>
        <w:rPr>
          <w:rFonts w:hint="eastAsia" w:ascii="Times New Roman" w:hAnsi="Times New Roman" w:cstheme="minorHAnsi"/>
          <w:color w:val="auto"/>
          <w:highlight w:val="none"/>
        </w:rPr>
        <w:t>，主要阴离子均为HCO</w:t>
      </w:r>
      <w:r>
        <w:rPr>
          <w:rFonts w:hint="eastAsia" w:ascii="Times New Roman" w:hAnsi="Times New Roman" w:cstheme="minorHAnsi"/>
          <w:color w:val="auto"/>
          <w:highlight w:val="none"/>
          <w:vertAlign w:val="subscript"/>
        </w:rPr>
        <w:t>3</w:t>
      </w:r>
      <w:r>
        <w:rPr>
          <w:rFonts w:hint="eastAsia" w:ascii="Times New Roman" w:hAnsi="Times New Roman" w:cstheme="minorHAnsi"/>
          <w:color w:val="auto"/>
          <w:highlight w:val="none"/>
          <w:vertAlign w:val="superscript"/>
        </w:rPr>
        <w:t>-</w:t>
      </w:r>
      <w:r>
        <w:rPr>
          <w:rFonts w:hint="eastAsia" w:cstheme="minorHAnsi"/>
          <w:color w:val="auto"/>
          <w:highlight w:val="none"/>
          <w:vertAlign w:val="baseline"/>
          <w:lang w:eastAsia="zh-CN"/>
        </w:rPr>
        <w:t>、</w:t>
      </w:r>
      <w:r>
        <w:rPr>
          <w:rFonts w:hint="eastAsia" w:cstheme="minorHAnsi"/>
          <w:color w:val="auto"/>
          <w:highlight w:val="none"/>
          <w:vertAlign w:val="baseline"/>
          <w:lang w:val="en-US" w:eastAsia="zh-CN"/>
        </w:rPr>
        <w:t>SO</w:t>
      </w:r>
      <w:r>
        <w:rPr>
          <w:rFonts w:hint="eastAsia" w:cstheme="minorHAnsi"/>
          <w:color w:val="auto"/>
          <w:highlight w:val="none"/>
          <w:vertAlign w:val="subscript"/>
          <w:lang w:val="en-US" w:eastAsia="zh-CN"/>
        </w:rPr>
        <w:t>4</w:t>
      </w:r>
      <w:r>
        <w:rPr>
          <w:rFonts w:hint="eastAsia" w:cstheme="minorHAnsi"/>
          <w:color w:val="auto"/>
          <w:highlight w:val="none"/>
          <w:vertAlign w:val="superscript"/>
          <w:lang w:val="en-US" w:eastAsia="zh-CN"/>
        </w:rPr>
        <w:t>2-</w:t>
      </w:r>
      <w:r>
        <w:rPr>
          <w:rFonts w:hint="eastAsia" w:ascii="Times New Roman" w:hAnsi="Times New Roman" w:cstheme="minorHAnsi"/>
          <w:color w:val="auto"/>
          <w:highlight w:val="none"/>
        </w:rPr>
        <w:t>。</w:t>
      </w:r>
    </w:p>
    <w:p w14:paraId="053EFEDD">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地下水开发利用现状</w:t>
      </w:r>
    </w:p>
    <w:p w14:paraId="26F8FBDD">
      <w:pPr>
        <w:pStyle w:val="26"/>
        <w:bidi w:val="0"/>
        <w:rPr>
          <w:color w:val="auto"/>
          <w:highlight w:val="none"/>
        </w:rPr>
      </w:pPr>
      <w:r>
        <w:rPr>
          <w:rFonts w:hint="eastAsia"/>
          <w:color w:val="auto"/>
          <w:highlight w:val="none"/>
        </w:rPr>
        <w:t>根据调查，评价</w:t>
      </w:r>
      <w:r>
        <w:rPr>
          <w:rFonts w:hint="eastAsia"/>
          <w:color w:val="auto"/>
          <w:highlight w:val="none"/>
          <w:lang w:val="en-US" w:eastAsia="zh-CN"/>
        </w:rPr>
        <w:t>范围内</w:t>
      </w:r>
      <w:r>
        <w:rPr>
          <w:rFonts w:hint="eastAsia"/>
          <w:color w:val="auto"/>
          <w:highlight w:val="none"/>
        </w:rPr>
        <w:t>无集中式地下水供水设施</w:t>
      </w:r>
      <w:r>
        <w:rPr>
          <w:rFonts w:hint="eastAsia"/>
          <w:color w:val="auto"/>
          <w:highlight w:val="none"/>
          <w:lang w:eastAsia="zh-CN"/>
        </w:rPr>
        <w:t>，</w:t>
      </w:r>
      <w:r>
        <w:rPr>
          <w:rFonts w:hint="eastAsia"/>
          <w:color w:val="auto"/>
          <w:highlight w:val="none"/>
          <w:lang w:val="en-US" w:eastAsia="zh-CN"/>
        </w:rPr>
        <w:t>农村现存部分分散式水井</w:t>
      </w:r>
      <w:r>
        <w:rPr>
          <w:rFonts w:hint="eastAsia"/>
          <w:color w:val="auto"/>
          <w:highlight w:val="none"/>
        </w:rPr>
        <w:t>，总体而言，区域地下水开发力度较轻，受人类活动影响较小。</w:t>
      </w:r>
    </w:p>
    <w:p w14:paraId="639B945A">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地下水污染源调查</w:t>
      </w:r>
    </w:p>
    <w:p w14:paraId="013368A6">
      <w:pPr>
        <w:pStyle w:val="26"/>
        <w:bidi w:val="0"/>
        <w:rPr>
          <w:color w:val="auto"/>
          <w:highlight w:val="none"/>
        </w:rPr>
      </w:pPr>
      <w:r>
        <w:rPr>
          <w:rFonts w:hint="eastAsia"/>
          <w:color w:val="auto"/>
          <w:highlight w:val="none"/>
        </w:rPr>
        <w:t>按照《环境影响评价技术导则 地下水环境》（HJ610-2016），针对本项目特征，本次污染源调查包括：①原水水文地质问题调查；②地下水污染源分布及类型调查。</w:t>
      </w:r>
    </w:p>
    <w:p w14:paraId="5107397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1、原水水文地质问题调查</w:t>
      </w:r>
    </w:p>
    <w:p w14:paraId="53CABFF6">
      <w:pPr>
        <w:pStyle w:val="26"/>
        <w:bidi w:val="0"/>
        <w:rPr>
          <w:color w:val="auto"/>
          <w:sz w:val="24"/>
          <w:szCs w:val="24"/>
          <w:highlight w:val="none"/>
        </w:rPr>
      </w:pPr>
      <w:r>
        <w:rPr>
          <w:rFonts w:hint="eastAsia"/>
          <w:color w:val="auto"/>
          <w:sz w:val="24"/>
          <w:szCs w:val="24"/>
          <w:highlight w:val="none"/>
        </w:rPr>
        <w:t>根据监测结果，</w:t>
      </w:r>
      <w:r>
        <w:rPr>
          <w:rFonts w:hint="eastAsia" w:ascii="Times New Roman" w:hAnsi="Times New Roman" w:cs="Times New Roman"/>
          <w:color w:val="auto"/>
          <w:kern w:val="24"/>
          <w:highlight w:val="none"/>
          <w:lang w:bidi="he-IL"/>
        </w:rPr>
        <w:t>评价区</w:t>
      </w:r>
      <w:r>
        <w:rPr>
          <w:rFonts w:ascii="Times New Roman" w:hAnsi="Times New Roman" w:cs="Times New Roman"/>
          <w:color w:val="auto"/>
          <w:kern w:val="24"/>
          <w:highlight w:val="none"/>
          <w:lang w:bidi="he-IL"/>
        </w:rPr>
        <w:t>区域地下水矿化度在</w:t>
      </w:r>
      <w:r>
        <w:rPr>
          <w:rFonts w:hint="eastAsia" w:cstheme="minorHAnsi"/>
          <w:color w:val="auto"/>
          <w:highlight w:val="none"/>
          <w:lang w:val="en-US" w:eastAsia="zh-CN"/>
        </w:rPr>
        <w:t>185</w:t>
      </w:r>
      <w:r>
        <w:rPr>
          <w:rFonts w:hint="eastAsia" w:ascii="Times New Roman" w:hAnsi="Times New Roman" w:cstheme="minorHAnsi"/>
          <w:color w:val="auto"/>
          <w:highlight w:val="none"/>
        </w:rPr>
        <w:t>~2</w:t>
      </w:r>
      <w:r>
        <w:rPr>
          <w:rFonts w:hint="eastAsia" w:cstheme="minorHAnsi"/>
          <w:color w:val="auto"/>
          <w:highlight w:val="none"/>
          <w:lang w:val="en-US" w:eastAsia="zh-CN"/>
        </w:rPr>
        <w:t>30</w:t>
      </w:r>
      <w:r>
        <w:rPr>
          <w:rFonts w:hint="eastAsia" w:ascii="Times New Roman" w:hAnsi="Times New Roman" w:cstheme="minorHAnsi"/>
          <w:color w:val="auto"/>
          <w:highlight w:val="none"/>
        </w:rPr>
        <w:t>mg/L</w:t>
      </w:r>
      <w:r>
        <w:rPr>
          <w:rFonts w:ascii="Times New Roman" w:hAnsi="Times New Roman" w:cs="Times New Roman"/>
          <w:color w:val="auto"/>
          <w:kern w:val="24"/>
          <w:highlight w:val="none"/>
          <w:lang w:bidi="he-IL"/>
        </w:rPr>
        <w:t>，属于</w:t>
      </w:r>
      <w:r>
        <w:rPr>
          <w:rFonts w:hint="eastAsia" w:ascii="Times New Roman" w:hAnsi="Times New Roman" w:cstheme="minorHAnsi"/>
          <w:color w:val="auto"/>
          <w:highlight w:val="none"/>
        </w:rPr>
        <w:t>低矿化度水</w:t>
      </w:r>
      <w:r>
        <w:rPr>
          <w:rFonts w:ascii="Times New Roman" w:hAnsi="Times New Roman" w:cs="Times New Roman"/>
          <w:color w:val="auto"/>
          <w:kern w:val="24"/>
          <w:highlight w:val="none"/>
          <w:lang w:bidi="he-IL"/>
        </w:rPr>
        <w:t>；pH介于</w:t>
      </w:r>
      <w:r>
        <w:rPr>
          <w:rFonts w:hint="eastAsia" w:ascii="Times New Roman" w:hAnsi="Times New Roman" w:cs="Times New Roman"/>
          <w:color w:val="auto"/>
          <w:kern w:val="24"/>
          <w:highlight w:val="none"/>
          <w:lang w:bidi="he-IL"/>
        </w:rPr>
        <w:t>7.</w:t>
      </w:r>
      <w:r>
        <w:rPr>
          <w:rFonts w:hint="eastAsia" w:cs="Times New Roman"/>
          <w:color w:val="auto"/>
          <w:kern w:val="24"/>
          <w:highlight w:val="none"/>
          <w:lang w:val="en-US" w:eastAsia="zh-CN" w:bidi="he-IL"/>
        </w:rPr>
        <w:t>6</w:t>
      </w:r>
      <w:r>
        <w:rPr>
          <w:rFonts w:ascii="Times New Roman" w:hAnsi="Times New Roman" w:cs="Times New Roman"/>
          <w:color w:val="auto"/>
          <w:kern w:val="24"/>
          <w:highlight w:val="none"/>
          <w:lang w:bidi="he-IL"/>
        </w:rPr>
        <w:t>～7.</w:t>
      </w:r>
      <w:r>
        <w:rPr>
          <w:rFonts w:hint="eastAsia" w:cs="Times New Roman"/>
          <w:color w:val="auto"/>
          <w:kern w:val="24"/>
          <w:highlight w:val="none"/>
          <w:lang w:val="en-US" w:eastAsia="zh-CN" w:bidi="he-IL"/>
        </w:rPr>
        <w:t>8</w:t>
      </w:r>
      <w:r>
        <w:rPr>
          <w:rFonts w:ascii="Times New Roman" w:hAnsi="Times New Roman" w:cs="Times New Roman"/>
          <w:color w:val="auto"/>
          <w:kern w:val="24"/>
          <w:highlight w:val="none"/>
          <w:lang w:bidi="he-IL"/>
        </w:rPr>
        <w:t>，呈</w:t>
      </w:r>
      <w:r>
        <w:rPr>
          <w:rFonts w:hint="eastAsia" w:ascii="Times New Roman" w:hAnsi="Times New Roman" w:cs="Times New Roman"/>
          <w:color w:val="auto"/>
          <w:kern w:val="24"/>
          <w:highlight w:val="none"/>
          <w:lang w:bidi="he-IL"/>
        </w:rPr>
        <w:t>中</w:t>
      </w:r>
      <w:r>
        <w:rPr>
          <w:rFonts w:ascii="Times New Roman" w:hAnsi="Times New Roman" w:cs="Times New Roman"/>
          <w:color w:val="auto"/>
          <w:kern w:val="24"/>
          <w:highlight w:val="none"/>
          <w:lang w:bidi="he-IL"/>
        </w:rPr>
        <w:t>性</w:t>
      </w:r>
      <w:r>
        <w:rPr>
          <w:rFonts w:hint="eastAsia" w:ascii="Times New Roman" w:hAnsi="Times New Roman" w:cs="Times New Roman"/>
          <w:color w:val="auto"/>
          <w:kern w:val="24"/>
          <w:highlight w:val="none"/>
          <w:lang w:bidi="he-IL"/>
        </w:rPr>
        <w:t>~弱碱性</w:t>
      </w:r>
      <w:r>
        <w:rPr>
          <w:rFonts w:ascii="Times New Roman" w:hAnsi="Times New Roman" w:cs="Times New Roman"/>
          <w:color w:val="auto"/>
          <w:kern w:val="24"/>
          <w:highlight w:val="none"/>
          <w:lang w:bidi="he-IL"/>
        </w:rPr>
        <w:t>。水质情况总体良好</w:t>
      </w:r>
      <w:r>
        <w:rPr>
          <w:rFonts w:hint="eastAsia" w:ascii="Times New Roman" w:hAnsi="Times New Roman" w:cs="Times New Roman"/>
          <w:color w:val="auto"/>
          <w:kern w:val="24"/>
          <w:highlight w:val="none"/>
          <w:lang w:bidi="he-IL"/>
        </w:rPr>
        <w:t>，</w:t>
      </w:r>
      <w:r>
        <w:rPr>
          <w:rFonts w:ascii="Times New Roman" w:hAnsi="Times New Roman" w:cs="Times New Roman"/>
          <w:color w:val="auto"/>
          <w:kern w:val="24"/>
          <w:highlight w:val="none"/>
          <w:lang w:bidi="he-IL"/>
        </w:rPr>
        <w:t>根据相关资料及调查访问，评价区未出现地方病等与地下水相关的环境问题。</w:t>
      </w:r>
    </w:p>
    <w:p w14:paraId="061F3CC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2、地下水污染源调查</w:t>
      </w:r>
    </w:p>
    <w:p w14:paraId="07830013">
      <w:pPr>
        <w:pStyle w:val="26"/>
        <w:bidi w:val="0"/>
        <w:rPr>
          <w:color w:val="auto"/>
          <w:sz w:val="24"/>
          <w:szCs w:val="24"/>
          <w:highlight w:val="none"/>
        </w:rPr>
      </w:pPr>
      <w:r>
        <w:rPr>
          <w:rFonts w:hint="eastAsia"/>
          <w:color w:val="auto"/>
          <w:sz w:val="24"/>
          <w:szCs w:val="24"/>
          <w:highlight w:val="none"/>
        </w:rPr>
        <w:t>评价区内主要为</w:t>
      </w:r>
      <w:r>
        <w:rPr>
          <w:rFonts w:hint="eastAsia"/>
          <w:color w:val="auto"/>
          <w:highlight w:val="none"/>
          <w:lang w:val="en-US" w:eastAsia="zh-CN"/>
        </w:rPr>
        <w:t>金堂区块和农村区域</w:t>
      </w:r>
      <w:r>
        <w:rPr>
          <w:rFonts w:hint="eastAsia"/>
          <w:color w:val="auto"/>
          <w:sz w:val="24"/>
          <w:szCs w:val="24"/>
          <w:highlight w:val="none"/>
        </w:rPr>
        <w:t>，</w:t>
      </w:r>
      <w:r>
        <w:rPr>
          <w:rFonts w:hint="eastAsia" w:ascii="Times New Roman" w:hAnsi="Times New Roman" w:eastAsia="宋体" w:cs="Times New Roman"/>
          <w:color w:val="auto"/>
          <w:kern w:val="0"/>
          <w:sz w:val="24"/>
          <w:szCs w:val="24"/>
          <w:lang w:val="en-US" w:eastAsia="zh-CN" w:bidi="ar"/>
        </w:rPr>
        <w:t>除本项目外，金堂区块暂无企业入驻，区域</w:t>
      </w:r>
      <w:r>
        <w:rPr>
          <w:rFonts w:hint="eastAsia"/>
          <w:color w:val="auto"/>
          <w:sz w:val="24"/>
          <w:szCs w:val="24"/>
          <w:highlight w:val="none"/>
        </w:rPr>
        <w:t>地下水主要受人类活动影响。因此，本项目评价区地下水污染源包括：①周边居民产生的生活污水因收集处理不当，废水下渗对地下水环境造成污染</w:t>
      </w:r>
      <w:r>
        <w:rPr>
          <w:rFonts w:hint="eastAsia"/>
          <w:color w:val="auto"/>
          <w:sz w:val="24"/>
          <w:szCs w:val="24"/>
          <w:highlight w:val="none"/>
          <w:lang w:eastAsia="zh-CN"/>
        </w:rPr>
        <w:t>；</w:t>
      </w:r>
      <w:r>
        <w:rPr>
          <w:rFonts w:hint="eastAsia"/>
          <w:color w:val="auto"/>
          <w:sz w:val="24"/>
          <w:szCs w:val="24"/>
          <w:highlight w:val="none"/>
        </w:rPr>
        <w:t>②</w:t>
      </w:r>
      <w:r>
        <w:rPr>
          <w:rFonts w:hint="eastAsia"/>
          <w:color w:val="auto"/>
          <w:sz w:val="24"/>
          <w:szCs w:val="24"/>
          <w:highlight w:val="none"/>
          <w:lang w:val="en-US" w:eastAsia="zh-CN"/>
        </w:rPr>
        <w:t>周边耕地在农业生产活动中使用的化肥、农家肥等可能对区域地下水水质产生影响</w:t>
      </w:r>
      <w:r>
        <w:rPr>
          <w:rFonts w:hint="eastAsia"/>
          <w:color w:val="auto"/>
          <w:sz w:val="24"/>
          <w:szCs w:val="24"/>
          <w:highlight w:val="none"/>
        </w:rPr>
        <w:t>。</w:t>
      </w:r>
    </w:p>
    <w:p w14:paraId="18A91B9D">
      <w:pPr>
        <w:pStyle w:val="5"/>
        <w:bidi w:val="0"/>
        <w:ind w:left="864" w:leftChars="0" w:hanging="864" w:firstLineChars="0"/>
        <w:rPr>
          <w:rFonts w:hint="eastAsia" w:ascii="Times New Roman" w:hAnsi="Times New Roman" w:cs="Courier New"/>
          <w:bCs/>
          <w:color w:val="auto"/>
          <w:highlight w:val="none"/>
          <w:lang w:val="en-US" w:eastAsia="zh-CN"/>
        </w:rPr>
      </w:pPr>
      <w:bookmarkStart w:id="155" w:name="_Hlk92668692"/>
      <w:r>
        <w:rPr>
          <w:rFonts w:hint="eastAsia" w:ascii="Times New Roman" w:hAnsi="Times New Roman" w:cs="Courier New"/>
          <w:bCs/>
          <w:color w:val="auto"/>
          <w:highlight w:val="none"/>
          <w:lang w:val="en-US" w:eastAsia="zh-CN"/>
        </w:rPr>
        <w:t>地下水污染源强</w:t>
      </w:r>
    </w:p>
    <w:bookmarkEnd w:id="155"/>
    <w:p w14:paraId="50DC2D6E">
      <w:pPr>
        <w:pStyle w:val="6"/>
        <w:ind w:firstLine="482"/>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1、运行过程设计</w:t>
      </w:r>
    </w:p>
    <w:p w14:paraId="43408C1E">
      <w:pPr>
        <w:pStyle w:val="26"/>
        <w:bidi w:val="0"/>
        <w:rPr>
          <w:color w:val="auto"/>
          <w:highlight w:val="none"/>
        </w:rPr>
      </w:pPr>
      <w:r>
        <w:rPr>
          <w:rFonts w:hint="eastAsia"/>
          <w:color w:val="auto"/>
          <w:highlight w:val="none"/>
        </w:rPr>
        <w:t>根据工程分析，运营期可能产生地下水环境影响的构筑物包括：</w:t>
      </w:r>
    </w:p>
    <w:p w14:paraId="3374CC99">
      <w:pPr>
        <w:numPr>
          <w:ilvl w:val="0"/>
          <w:numId w:val="27"/>
        </w:numPr>
        <w:spacing w:line="360" w:lineRule="auto"/>
        <w:ind w:left="0" w:leftChars="0" w:firstLine="480" w:firstLineChars="200"/>
        <w:rPr>
          <w:rFonts w:hint="eastAsia"/>
          <w:color w:val="auto"/>
          <w:sz w:val="24"/>
          <w:szCs w:val="24"/>
          <w:highlight w:val="none"/>
        </w:rPr>
      </w:pPr>
      <w:r>
        <w:rPr>
          <w:rFonts w:hint="eastAsia"/>
          <w:color w:val="auto"/>
          <w:sz w:val="24"/>
          <w:szCs w:val="24"/>
          <w:highlight w:val="none"/>
        </w:rPr>
        <w:t>主体工程：</w:t>
      </w:r>
      <w:r>
        <w:rPr>
          <w:rFonts w:hint="eastAsia"/>
          <w:color w:val="auto"/>
          <w:sz w:val="24"/>
          <w:szCs w:val="24"/>
          <w:highlight w:val="none"/>
          <w:lang w:val="en-US" w:eastAsia="zh-CN"/>
        </w:rPr>
        <w:t>生产车间、罐区、仓库等</w:t>
      </w:r>
      <w:r>
        <w:rPr>
          <w:rFonts w:hint="eastAsia"/>
          <w:color w:val="auto"/>
          <w:sz w:val="24"/>
          <w:szCs w:val="24"/>
          <w:highlight w:val="none"/>
        </w:rPr>
        <w:t>；</w:t>
      </w:r>
    </w:p>
    <w:p w14:paraId="1BF592BB">
      <w:pPr>
        <w:numPr>
          <w:ilvl w:val="0"/>
          <w:numId w:val="27"/>
        </w:numPr>
        <w:spacing w:line="360" w:lineRule="auto"/>
        <w:ind w:left="0" w:leftChars="0" w:firstLine="480" w:firstLineChars="200"/>
        <w:rPr>
          <w:color w:val="auto"/>
          <w:highlight w:val="none"/>
        </w:rPr>
      </w:pPr>
      <w:r>
        <w:rPr>
          <w:rFonts w:hint="eastAsia"/>
          <w:color w:val="auto"/>
          <w:sz w:val="24"/>
          <w:szCs w:val="24"/>
          <w:highlight w:val="none"/>
          <w:lang w:val="en-US" w:eastAsia="zh-CN"/>
        </w:rPr>
        <w:t>辅助工程：质检室等；</w:t>
      </w:r>
    </w:p>
    <w:p w14:paraId="251B1933">
      <w:pPr>
        <w:numPr>
          <w:ilvl w:val="0"/>
          <w:numId w:val="27"/>
        </w:numPr>
        <w:spacing w:line="360" w:lineRule="auto"/>
        <w:ind w:left="0" w:leftChars="0" w:firstLine="480" w:firstLineChars="200"/>
        <w:rPr>
          <w:color w:val="auto"/>
          <w:highlight w:val="none"/>
        </w:rPr>
      </w:pPr>
      <w:r>
        <w:rPr>
          <w:rFonts w:hint="eastAsia"/>
          <w:color w:val="auto"/>
          <w:highlight w:val="none"/>
        </w:rPr>
        <w:t>环保工程：</w:t>
      </w:r>
      <w:r>
        <w:rPr>
          <w:rFonts w:hint="eastAsia"/>
          <w:color w:val="auto"/>
          <w:highlight w:val="none"/>
          <w:lang w:val="en-US" w:eastAsia="zh-CN"/>
        </w:rPr>
        <w:t>污水处理设施、</w:t>
      </w:r>
      <w:r>
        <w:rPr>
          <w:rFonts w:hint="eastAsia" w:cs="Times New Roman"/>
          <w:b w:val="0"/>
          <w:bCs w:val="0"/>
          <w:color w:val="auto"/>
          <w:highlight w:val="none"/>
          <w:lang w:val="en-US" w:eastAsia="zh-CN"/>
        </w:rPr>
        <w:t>危废暂存间等</w:t>
      </w:r>
      <w:r>
        <w:rPr>
          <w:rFonts w:hint="eastAsia"/>
          <w:color w:val="auto"/>
          <w:highlight w:val="none"/>
        </w:rPr>
        <w:t>。</w:t>
      </w:r>
    </w:p>
    <w:p w14:paraId="749B0595">
      <w:pPr>
        <w:pStyle w:val="26"/>
        <w:bidi w:val="0"/>
        <w:rPr>
          <w:rFonts w:hint="eastAsia" w:eastAsia="宋体"/>
          <w:color w:val="auto"/>
          <w:highlight w:val="none"/>
          <w:lang w:val="en-US" w:eastAsia="zh-CN"/>
        </w:rPr>
      </w:pPr>
      <w:r>
        <w:rPr>
          <w:rFonts w:hint="eastAsia"/>
          <w:color w:val="auto"/>
          <w:highlight w:val="none"/>
        </w:rPr>
        <w:t>上述构筑物中，</w:t>
      </w:r>
      <w:r>
        <w:rPr>
          <w:rFonts w:hint="eastAsia"/>
          <w:color w:val="auto"/>
          <w:sz w:val="24"/>
          <w:szCs w:val="24"/>
          <w:highlight w:val="none"/>
          <w:lang w:val="en-US" w:eastAsia="zh-CN"/>
        </w:rPr>
        <w:t>生产车间内液态物料通过密闭管道输送，生产过程中采用密闭管罐系统，并采用DCS集散控制系统进行监视、控制及报警，仅可能存在少量液态物料因阀门老化泄漏，在采取相应地下水环境保护措施后，运行过程中产生污染物下渗进入含水层几率较小。质检室化学试剂储存量较小，且设防倾倒试剂柜；污水中各污染物含量较小，且污水处理设施各池体均采取防渗措施；</w:t>
      </w:r>
      <w:r>
        <w:rPr>
          <w:rFonts w:hint="eastAsia" w:cs="Times New Roman"/>
          <w:b w:val="0"/>
          <w:bCs w:val="0"/>
          <w:color w:val="auto"/>
          <w:highlight w:val="none"/>
          <w:lang w:val="en-US" w:eastAsia="zh-CN"/>
        </w:rPr>
        <w:t>危废暂存间</w:t>
      </w:r>
      <w:r>
        <w:rPr>
          <w:rFonts w:hint="eastAsia"/>
          <w:color w:val="auto"/>
          <w:highlight w:val="none"/>
          <w:lang w:val="en-US" w:eastAsia="zh-CN"/>
        </w:rPr>
        <w:t>暂存的液态危废较少，且</w:t>
      </w:r>
      <w:r>
        <w:rPr>
          <w:rFonts w:hint="eastAsia" w:cs="Times New Roman"/>
          <w:b w:val="0"/>
          <w:bCs w:val="0"/>
          <w:color w:val="auto"/>
          <w:sz w:val="24"/>
          <w:szCs w:val="24"/>
          <w:highlight w:val="none"/>
          <w:lang w:val="en-US" w:eastAsia="zh-CN"/>
        </w:rPr>
        <w:t>设</w:t>
      </w:r>
      <w:r>
        <w:rPr>
          <w:rFonts w:hint="eastAsia"/>
          <w:color w:val="auto"/>
          <w:sz w:val="24"/>
          <w:szCs w:val="24"/>
          <w:highlight w:val="none"/>
          <w:lang w:val="en-US" w:eastAsia="zh-CN"/>
        </w:rPr>
        <w:t>地漏，出现泄漏情况时可及时对废液进行收集，基本不会造成物料下渗进入含水层。</w:t>
      </w:r>
    </w:p>
    <w:p w14:paraId="2CC7F76F">
      <w:pPr>
        <w:pStyle w:val="26"/>
        <w:bidi w:val="0"/>
        <w:rPr>
          <w:rFonts w:hint="eastAsia"/>
          <w:color w:val="auto"/>
          <w:highlight w:val="none"/>
          <w:lang w:eastAsia="zh-CN"/>
        </w:rPr>
      </w:pPr>
      <w:r>
        <w:rPr>
          <w:rFonts w:hint="eastAsia"/>
          <w:color w:val="auto"/>
          <w:highlight w:val="none"/>
          <w:lang w:val="en-US" w:eastAsia="zh-CN"/>
        </w:rPr>
        <w:t>本次将重点针对罐区及仓库非正常状况下污染源进行分析</w:t>
      </w:r>
      <w:r>
        <w:rPr>
          <w:rFonts w:hint="eastAsia"/>
          <w:color w:val="auto"/>
          <w:highlight w:val="none"/>
          <w:lang w:eastAsia="zh-CN"/>
        </w:rPr>
        <w:t>。</w:t>
      </w:r>
    </w:p>
    <w:p w14:paraId="2EE4A59C">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各构筑物运行状况设计</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694"/>
        <w:gridCol w:w="1625"/>
        <w:gridCol w:w="4979"/>
      </w:tblGrid>
      <w:tr w14:paraId="0BEB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noWrap w:val="0"/>
            <w:vAlign w:val="center"/>
          </w:tcPr>
          <w:p w14:paraId="63FFCFB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功能分区</w:t>
            </w:r>
          </w:p>
        </w:tc>
        <w:tc>
          <w:tcPr>
            <w:tcW w:w="891" w:type="pct"/>
            <w:noWrap w:val="0"/>
            <w:vAlign w:val="center"/>
          </w:tcPr>
          <w:p w14:paraId="67AB9A7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构筑物</w:t>
            </w:r>
          </w:p>
        </w:tc>
        <w:tc>
          <w:tcPr>
            <w:tcW w:w="855" w:type="pct"/>
            <w:noWrap w:val="0"/>
            <w:vAlign w:val="center"/>
          </w:tcPr>
          <w:p w14:paraId="72BF100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正常状况</w:t>
            </w:r>
          </w:p>
        </w:tc>
        <w:tc>
          <w:tcPr>
            <w:tcW w:w="2619" w:type="pct"/>
            <w:noWrap w:val="0"/>
            <w:vAlign w:val="center"/>
          </w:tcPr>
          <w:p w14:paraId="35B1F8F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非正常状况</w:t>
            </w:r>
          </w:p>
        </w:tc>
      </w:tr>
      <w:tr w14:paraId="0484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34" w:type="pct"/>
            <w:vMerge w:val="restart"/>
            <w:noWrap w:val="0"/>
            <w:vAlign w:val="center"/>
          </w:tcPr>
          <w:p w14:paraId="06D01A89">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主体工程</w:t>
            </w:r>
          </w:p>
        </w:tc>
        <w:tc>
          <w:tcPr>
            <w:tcW w:w="891" w:type="pct"/>
            <w:noWrap w:val="0"/>
            <w:vAlign w:val="center"/>
          </w:tcPr>
          <w:p w14:paraId="66F160D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kern w:val="2"/>
                <w:sz w:val="21"/>
                <w:szCs w:val="24"/>
                <w:highlight w:val="none"/>
                <w:lang w:val="en-US" w:eastAsia="zh-CN" w:bidi="ar-SA"/>
              </w:rPr>
              <w:t>罐区</w:t>
            </w:r>
          </w:p>
        </w:tc>
        <w:tc>
          <w:tcPr>
            <w:tcW w:w="855" w:type="pct"/>
            <w:vMerge w:val="restart"/>
            <w:noWrap w:val="0"/>
            <w:vAlign w:val="center"/>
          </w:tcPr>
          <w:p w14:paraId="2BE57AC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在采取防渗措施情况下，正常运行状况对地下水环境影响较小，将不作为预测重点</w:t>
            </w:r>
          </w:p>
        </w:tc>
        <w:tc>
          <w:tcPr>
            <w:tcW w:w="2619" w:type="pct"/>
            <w:noWrap w:val="0"/>
            <w:vAlign w:val="center"/>
          </w:tcPr>
          <w:p w14:paraId="557E2AC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非正常状况下，</w:t>
            </w:r>
            <w:r>
              <w:rPr>
                <w:rFonts w:hint="eastAsia" w:cs="Courier New"/>
                <w:b w:val="0"/>
                <w:bCs w:val="0"/>
                <w:color w:val="auto"/>
                <w:highlight w:val="none"/>
                <w:lang w:val="en-US" w:eastAsia="zh-CN"/>
              </w:rPr>
              <w:t>罐体破损，物料</w:t>
            </w:r>
            <w:r>
              <w:rPr>
                <w:rFonts w:hint="eastAsia" w:ascii="Times New Roman" w:hAnsi="Times New Roman" w:eastAsia="宋体" w:cs="Courier New"/>
                <w:b w:val="0"/>
                <w:bCs w:val="0"/>
                <w:color w:val="auto"/>
                <w:highlight w:val="none"/>
                <w:lang w:val="en-US" w:eastAsia="zh-CN"/>
              </w:rPr>
              <w:t>发生泄漏，恰好发生泄漏处的地下水防渗层破裂或损坏</w:t>
            </w:r>
            <w:r>
              <w:rPr>
                <w:rFonts w:hint="eastAsia" w:cs="Courier New"/>
                <w:b w:val="0"/>
                <w:bCs w:val="0"/>
                <w:color w:val="auto"/>
                <w:highlight w:val="none"/>
                <w:lang w:val="en-US" w:eastAsia="zh-CN"/>
              </w:rPr>
              <w:t>。</w:t>
            </w:r>
            <w:r>
              <w:rPr>
                <w:rFonts w:hint="eastAsia" w:ascii="Times New Roman" w:hAnsi="Times New Roman"/>
                <w:color w:val="auto"/>
                <w:szCs w:val="21"/>
                <w:highlight w:val="none"/>
              </w:rPr>
              <w:t>假设</w:t>
            </w:r>
            <w:r>
              <w:rPr>
                <w:rFonts w:hint="eastAsia" w:ascii="Times New Roman" w:hAnsi="Times New Roman"/>
                <w:color w:val="auto"/>
                <w:szCs w:val="21"/>
                <w:highlight w:val="none"/>
                <w:lang w:val="en-US" w:eastAsia="zh-CN"/>
              </w:rPr>
              <w:t>罐体裂缝大小为其直径的10%</w:t>
            </w:r>
            <w:r>
              <w:rPr>
                <w:rFonts w:hint="eastAsia" w:ascii="Times New Roman" w:hAnsi="Times New Roman"/>
                <w:color w:val="auto"/>
                <w:szCs w:val="21"/>
                <w:highlight w:val="none"/>
              </w:rPr>
              <w:t>，防渗地面裂缝大小为</w:t>
            </w:r>
            <w:r>
              <w:rPr>
                <w:rFonts w:hint="eastAsia" w:ascii="Times New Roman" w:hAnsi="Times New Roman"/>
                <w:color w:val="auto"/>
                <w:szCs w:val="21"/>
                <w:highlight w:val="none"/>
                <w:lang w:eastAsia="zh-CN"/>
              </w:rPr>
              <w:t>泄漏</w:t>
            </w:r>
            <w:r>
              <w:rPr>
                <w:rFonts w:hint="eastAsia" w:ascii="Times New Roman" w:hAnsi="Times New Roman"/>
                <w:color w:val="auto"/>
                <w:szCs w:val="21"/>
                <w:highlight w:val="none"/>
              </w:rPr>
              <w:t>区域面积的10%</w:t>
            </w:r>
            <w:r>
              <w:rPr>
                <w:rFonts w:hint="eastAsia" w:ascii="Times New Roman" w:hAnsi="Times New Roman"/>
                <w:color w:val="auto"/>
                <w:szCs w:val="21"/>
                <w:highlight w:val="none"/>
                <w:lang w:eastAsia="zh-CN"/>
              </w:rPr>
              <w:t>。</w:t>
            </w:r>
          </w:p>
        </w:tc>
      </w:tr>
      <w:tr w14:paraId="4DEB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34" w:type="pct"/>
            <w:vMerge w:val="continue"/>
            <w:noWrap w:val="0"/>
            <w:vAlign w:val="center"/>
          </w:tcPr>
          <w:p w14:paraId="4154C4CD">
            <w:pPr>
              <w:pStyle w:val="24"/>
              <w:bidi w:val="0"/>
              <w:rPr>
                <w:rFonts w:hint="eastAsia" w:ascii="Times New Roman" w:hAnsi="Times New Roman" w:eastAsia="宋体" w:cs="Courier New"/>
                <w:b w:val="0"/>
                <w:bCs w:val="0"/>
                <w:color w:val="auto"/>
                <w:highlight w:val="none"/>
                <w:lang w:val="en-US" w:eastAsia="zh-CN"/>
              </w:rPr>
            </w:pPr>
          </w:p>
        </w:tc>
        <w:tc>
          <w:tcPr>
            <w:tcW w:w="891" w:type="pct"/>
            <w:noWrap w:val="0"/>
            <w:vAlign w:val="center"/>
          </w:tcPr>
          <w:p w14:paraId="0C1A5CCB">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kern w:val="2"/>
                <w:sz w:val="21"/>
                <w:szCs w:val="24"/>
                <w:highlight w:val="none"/>
                <w:lang w:val="en-US" w:eastAsia="zh-CN" w:bidi="ar-SA"/>
              </w:rPr>
              <w:t>仓库</w:t>
            </w:r>
          </w:p>
        </w:tc>
        <w:tc>
          <w:tcPr>
            <w:tcW w:w="855" w:type="pct"/>
            <w:vMerge w:val="continue"/>
            <w:noWrap w:val="0"/>
            <w:vAlign w:val="center"/>
          </w:tcPr>
          <w:p w14:paraId="5CA1B4D8">
            <w:pPr>
              <w:pStyle w:val="24"/>
              <w:bidi w:val="0"/>
              <w:ind w:left="0" w:leftChars="0"/>
              <w:rPr>
                <w:rFonts w:hint="eastAsia" w:ascii="Times New Roman" w:hAnsi="Times New Roman" w:eastAsia="宋体" w:cs="Courier New"/>
                <w:b w:val="0"/>
                <w:bCs w:val="0"/>
                <w:color w:val="auto"/>
                <w:sz w:val="21"/>
                <w:szCs w:val="21"/>
                <w:highlight w:val="none"/>
                <w:lang w:val="en-US" w:eastAsia="zh-CN"/>
              </w:rPr>
            </w:pPr>
          </w:p>
        </w:tc>
        <w:tc>
          <w:tcPr>
            <w:tcW w:w="2619" w:type="pct"/>
            <w:noWrap w:val="0"/>
            <w:vAlign w:val="center"/>
          </w:tcPr>
          <w:p w14:paraId="487FA7F7">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非正常状况下，</w:t>
            </w:r>
            <w:r>
              <w:rPr>
                <w:rFonts w:hint="eastAsia" w:cs="Courier New"/>
                <w:b w:val="0"/>
                <w:bCs w:val="0"/>
                <w:color w:val="auto"/>
                <w:highlight w:val="none"/>
                <w:lang w:val="en-US" w:eastAsia="zh-CN"/>
              </w:rPr>
              <w:t>原料桶破损，物料</w:t>
            </w:r>
            <w:r>
              <w:rPr>
                <w:rFonts w:hint="eastAsia" w:ascii="Times New Roman" w:hAnsi="Times New Roman" w:eastAsia="宋体" w:cs="Courier New"/>
                <w:b w:val="0"/>
                <w:bCs w:val="0"/>
                <w:color w:val="auto"/>
                <w:highlight w:val="none"/>
                <w:lang w:val="en-US" w:eastAsia="zh-CN"/>
              </w:rPr>
              <w:t>发生泄漏，恰好发生泄漏处的地下水防渗层破裂或损坏</w:t>
            </w:r>
            <w:r>
              <w:rPr>
                <w:rFonts w:hint="eastAsia" w:cs="Courier New"/>
                <w:b w:val="0"/>
                <w:bCs w:val="0"/>
                <w:color w:val="auto"/>
                <w:highlight w:val="none"/>
                <w:lang w:val="en-US" w:eastAsia="zh-CN"/>
              </w:rPr>
              <w:t>。</w:t>
            </w:r>
            <w:r>
              <w:rPr>
                <w:rFonts w:hint="eastAsia" w:ascii="Times New Roman" w:hAnsi="Times New Roman"/>
                <w:color w:val="auto"/>
                <w:szCs w:val="21"/>
                <w:highlight w:val="none"/>
              </w:rPr>
              <w:t>假设</w:t>
            </w:r>
            <w:r>
              <w:rPr>
                <w:rFonts w:hint="eastAsia" w:cs="Courier New"/>
                <w:b w:val="0"/>
                <w:bCs w:val="0"/>
                <w:color w:val="auto"/>
                <w:highlight w:val="none"/>
                <w:lang w:val="en-US" w:eastAsia="zh-CN"/>
              </w:rPr>
              <w:t>原料桶</w:t>
            </w:r>
            <w:r>
              <w:rPr>
                <w:rFonts w:hint="eastAsia" w:ascii="Times New Roman" w:hAnsi="Times New Roman"/>
                <w:color w:val="auto"/>
                <w:szCs w:val="21"/>
                <w:highlight w:val="none"/>
                <w:lang w:val="en-US" w:eastAsia="zh-CN"/>
              </w:rPr>
              <w:t>裂缝大小为其直径的10%</w:t>
            </w:r>
            <w:r>
              <w:rPr>
                <w:rFonts w:hint="eastAsia" w:ascii="Times New Roman" w:hAnsi="Times New Roman"/>
                <w:color w:val="auto"/>
                <w:szCs w:val="21"/>
                <w:highlight w:val="none"/>
              </w:rPr>
              <w:t>，防渗地面裂缝大小为</w:t>
            </w:r>
            <w:r>
              <w:rPr>
                <w:rFonts w:hint="eastAsia"/>
                <w:color w:val="auto"/>
                <w:szCs w:val="21"/>
                <w:highlight w:val="none"/>
                <w:lang w:eastAsia="zh-CN"/>
              </w:rPr>
              <w:t>泄漏</w:t>
            </w:r>
            <w:r>
              <w:rPr>
                <w:rFonts w:hint="eastAsia" w:ascii="Times New Roman" w:hAnsi="Times New Roman"/>
                <w:color w:val="auto"/>
                <w:szCs w:val="21"/>
                <w:highlight w:val="none"/>
              </w:rPr>
              <w:t>区域面积的10%</w:t>
            </w:r>
            <w:r>
              <w:rPr>
                <w:rFonts w:hint="eastAsia" w:ascii="Times New Roman" w:hAnsi="Times New Roman"/>
                <w:color w:val="auto"/>
                <w:szCs w:val="21"/>
                <w:highlight w:val="none"/>
                <w:lang w:eastAsia="zh-CN"/>
              </w:rPr>
              <w:t>。</w:t>
            </w:r>
          </w:p>
        </w:tc>
      </w:tr>
    </w:tbl>
    <w:p w14:paraId="527C8AB9">
      <w:pPr>
        <w:pStyle w:val="6"/>
        <w:ind w:firstLine="482"/>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2、污染因子及浓度分析</w:t>
      </w:r>
    </w:p>
    <w:p w14:paraId="4CF6EC9B">
      <w:pPr>
        <w:pStyle w:val="26"/>
        <w:bidi w:val="0"/>
        <w:rPr>
          <w:rFonts w:hint="eastAsia" w:ascii="Times New Roman" w:hAnsi="Times New Roman" w:cs="Times New Roman"/>
          <w:color w:val="auto"/>
          <w:highlight w:val="none"/>
          <w:lang w:eastAsia="zh-CN"/>
        </w:rPr>
      </w:pPr>
      <w:r>
        <w:rPr>
          <w:rFonts w:hint="eastAsia"/>
          <w:color w:val="auto"/>
          <w:sz w:val="24"/>
          <w:highlight w:val="none"/>
          <w:lang w:val="en-US" w:eastAsia="zh-CN"/>
        </w:rPr>
        <w:t>本项目罐区储存的氢氧化钠、浓硫酸、氟硅酸、</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聚羧酸减水剂母液</w:t>
      </w:r>
      <w:r>
        <w:rPr>
          <w:rFonts w:hint="eastAsia" w:cs="Times New Roman"/>
          <w:color w:val="auto"/>
          <w:highlight w:val="none"/>
          <w:lang w:val="en-US" w:eastAsia="zh-CN"/>
        </w:rPr>
        <w:t>、有碱速凝剂、无碱速凝剂</w:t>
      </w:r>
      <w:r>
        <w:rPr>
          <w:rFonts w:hint="eastAsia"/>
          <w:color w:val="auto"/>
          <w:sz w:val="24"/>
          <w:highlight w:val="none"/>
          <w:lang w:val="en-US" w:eastAsia="zh-CN"/>
        </w:rPr>
        <w:t>等</w:t>
      </w:r>
      <w:r>
        <w:rPr>
          <w:rFonts w:hint="eastAsia" w:ascii="Times New Roman" w:hAnsi="Times New Roman" w:cs="Times New Roman"/>
          <w:color w:val="auto"/>
          <w:highlight w:val="none"/>
        </w:rPr>
        <w:t>涉及地下水评价因子</w:t>
      </w:r>
      <w:r>
        <w:rPr>
          <w:rFonts w:hint="eastAsia" w:cs="Times New Roman"/>
          <w:color w:val="auto"/>
          <w:highlight w:val="none"/>
          <w:lang w:val="en-US" w:eastAsia="zh-CN"/>
        </w:rPr>
        <w:t>钠、</w:t>
      </w:r>
      <w:r>
        <w:rPr>
          <w:rFonts w:hint="eastAsia" w:ascii="Times New Roman" w:hAnsi="Times New Roman" w:cs="Times New Roman"/>
          <w:color w:val="auto"/>
          <w:highlight w:val="none"/>
          <w:lang w:val="en-US" w:eastAsia="zh-CN"/>
        </w:rPr>
        <w:t>硫酸盐</w:t>
      </w:r>
      <w:r>
        <w:rPr>
          <w:rFonts w:hint="eastAsia" w:cs="Times New Roman"/>
          <w:color w:val="auto"/>
          <w:highlight w:val="none"/>
          <w:lang w:val="en-US" w:eastAsia="zh-CN"/>
        </w:rPr>
        <w:t>、氟化物、</w:t>
      </w:r>
      <w:r>
        <w:rPr>
          <w:rFonts w:hint="eastAsia" w:ascii="Times New Roman" w:hAnsi="Times New Roman" w:cs="Times New Roman"/>
          <w:color w:val="auto"/>
          <w:highlight w:val="none"/>
          <w:lang w:val="en-US" w:eastAsia="zh-CN"/>
        </w:rPr>
        <w:t>COD</w:t>
      </w:r>
      <w:r>
        <w:rPr>
          <w:rFonts w:hint="eastAsia"/>
          <w:color w:val="auto"/>
          <w:sz w:val="24"/>
          <w:highlight w:val="none"/>
          <w:vertAlign w:val="subscript"/>
        </w:rPr>
        <w:t>Mn</w:t>
      </w:r>
      <w:r>
        <w:rPr>
          <w:rFonts w:hint="eastAsia"/>
          <w:color w:val="auto"/>
          <w:sz w:val="24"/>
          <w:highlight w:val="none"/>
        </w:rPr>
        <w:t>、</w:t>
      </w:r>
      <w:r>
        <w:rPr>
          <w:rFonts w:hint="eastAsia"/>
          <w:color w:val="auto"/>
          <w:sz w:val="24"/>
          <w:highlight w:val="none"/>
          <w:lang w:val="en-US" w:eastAsia="zh-CN"/>
        </w:rPr>
        <w:t>铁、总磷、铝</w:t>
      </w:r>
      <w:r>
        <w:rPr>
          <w:rFonts w:hint="eastAsia" w:cs="Times New Roman"/>
          <w:color w:val="auto"/>
          <w:highlight w:val="none"/>
          <w:lang w:val="en-US" w:eastAsia="zh-CN"/>
        </w:rPr>
        <w:t>；本项目仓库储存的巯基乙醇、三乙醇胺、二乙醇胺涉及</w:t>
      </w:r>
      <w:r>
        <w:rPr>
          <w:rFonts w:hint="eastAsia" w:ascii="Times New Roman" w:hAnsi="Times New Roman" w:cs="Times New Roman"/>
          <w:color w:val="auto"/>
          <w:highlight w:val="none"/>
        </w:rPr>
        <w:t>地下水评价因子</w:t>
      </w:r>
      <w:r>
        <w:rPr>
          <w:rFonts w:hint="eastAsia" w:ascii="Times New Roman" w:hAnsi="Times New Roman" w:cs="Times New Roman"/>
          <w:color w:val="auto"/>
          <w:highlight w:val="none"/>
          <w:lang w:val="en-US" w:eastAsia="zh-CN"/>
        </w:rPr>
        <w:t>COD</w:t>
      </w:r>
      <w:r>
        <w:rPr>
          <w:rFonts w:hint="eastAsia"/>
          <w:color w:val="auto"/>
          <w:sz w:val="24"/>
          <w:highlight w:val="none"/>
          <w:vertAlign w:val="subscript"/>
        </w:rPr>
        <w:t>Mn</w:t>
      </w:r>
      <w:r>
        <w:rPr>
          <w:rFonts w:hint="eastAsia" w:ascii="Times New Roman" w:hAnsi="Times New Roman" w:cs="Times New Roman"/>
          <w:color w:val="auto"/>
          <w:highlight w:val="none"/>
          <w:lang w:val="en-US" w:eastAsia="zh-CN"/>
        </w:rPr>
        <w:t>。</w:t>
      </w:r>
    </w:p>
    <w:p w14:paraId="15DE7842">
      <w:pPr>
        <w:pStyle w:val="26"/>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仓库</w:t>
      </w:r>
    </w:p>
    <w:p w14:paraId="116D42DF">
      <w:pPr>
        <w:pStyle w:val="26"/>
        <w:bidi w:val="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仓库暂存的液态原料</w:t>
      </w:r>
      <w:r>
        <w:rPr>
          <w:rFonts w:hint="eastAsia" w:cs="Times New Roman"/>
          <w:color w:val="auto"/>
          <w:highlight w:val="none"/>
          <w:lang w:val="en-US" w:eastAsia="zh-CN"/>
        </w:rPr>
        <w:t>涉及巯基乙醇、三乙醇胺、二乙醇胺，巯基乙醇</w:t>
      </w:r>
      <w:r>
        <w:rPr>
          <w:rFonts w:hint="default" w:ascii="Times New Roman" w:hAnsi="Times New Roman" w:cs="Times New Roman"/>
          <w:color w:val="auto"/>
          <w:highlight w:val="none"/>
          <w:lang w:val="en-US" w:eastAsia="zh-CN"/>
        </w:rPr>
        <w:t>与COD的换算比例为1:</w:t>
      </w:r>
      <w:r>
        <w:rPr>
          <w:rFonts w:hint="eastAsia" w:cs="Times New Roman"/>
          <w:color w:val="auto"/>
          <w:highlight w:val="none"/>
          <w:lang w:val="en-US" w:eastAsia="zh-CN"/>
        </w:rPr>
        <w:t>1.23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三乙醇胺</w:t>
      </w:r>
      <w:r>
        <w:rPr>
          <w:rFonts w:hint="default" w:ascii="Times New Roman" w:hAnsi="Times New Roman" w:cs="Times New Roman"/>
          <w:color w:val="auto"/>
          <w:highlight w:val="none"/>
          <w:lang w:val="en-US" w:eastAsia="zh-CN"/>
        </w:rPr>
        <w:t>与COD的换算比例为1:</w:t>
      </w:r>
      <w:r>
        <w:rPr>
          <w:rFonts w:hint="eastAsia" w:cs="Times New Roman"/>
          <w:color w:val="auto"/>
          <w:highlight w:val="none"/>
          <w:lang w:val="en-US" w:eastAsia="zh-CN"/>
        </w:rPr>
        <w:t>1.93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二乙醇胺</w:t>
      </w:r>
      <w:r>
        <w:rPr>
          <w:rFonts w:hint="default" w:ascii="Times New Roman" w:hAnsi="Times New Roman" w:cs="Times New Roman"/>
          <w:color w:val="auto"/>
          <w:highlight w:val="none"/>
          <w:lang w:val="en-US" w:eastAsia="zh-CN"/>
        </w:rPr>
        <w:t>与COD的换算比例为1:</w:t>
      </w:r>
      <w:r>
        <w:rPr>
          <w:rFonts w:hint="eastAsia" w:cs="Times New Roman"/>
          <w:color w:val="auto"/>
          <w:highlight w:val="none"/>
          <w:lang w:val="en-US" w:eastAsia="zh-CN"/>
        </w:rPr>
        <w:t>1.52</w:t>
      </w:r>
      <w:r>
        <w:rPr>
          <w:rFonts w:hint="default" w:ascii="Times New Roman" w:hAnsi="Times New Roman" w:cs="Times New Roman"/>
          <w:color w:val="auto"/>
          <w:highlight w:val="none"/>
          <w:lang w:val="en-US" w:eastAsia="zh-CN"/>
        </w:rPr>
        <w:t>，考虑几乎不存在多个</w:t>
      </w:r>
      <w:r>
        <w:rPr>
          <w:rFonts w:hint="eastAsia" w:cs="Times New Roman"/>
          <w:color w:val="auto"/>
          <w:highlight w:val="none"/>
          <w:lang w:val="en-US" w:eastAsia="zh-CN"/>
        </w:rPr>
        <w:t>原料桶</w:t>
      </w:r>
      <w:r>
        <w:rPr>
          <w:rFonts w:hint="default" w:ascii="Times New Roman" w:hAnsi="Times New Roman" w:cs="Times New Roman"/>
          <w:color w:val="auto"/>
          <w:highlight w:val="none"/>
          <w:lang w:val="en-US" w:eastAsia="zh-CN"/>
        </w:rPr>
        <w:t>同时泄漏的情况，选取</w:t>
      </w:r>
      <w:r>
        <w:rPr>
          <w:rFonts w:hint="eastAsia" w:cs="Times New Roman"/>
          <w:color w:val="auto"/>
          <w:highlight w:val="none"/>
          <w:lang w:val="en-US" w:eastAsia="zh-CN"/>
        </w:rPr>
        <w:t>三乙醇胺原料桶</w:t>
      </w:r>
      <w:r>
        <w:rPr>
          <w:rFonts w:hint="default" w:ascii="Times New Roman" w:hAnsi="Times New Roman" w:cs="Times New Roman"/>
          <w:color w:val="auto"/>
          <w:highlight w:val="none"/>
          <w:lang w:val="en-US" w:eastAsia="zh-CN"/>
        </w:rPr>
        <w:t>作为非正常状况下污染源，</w:t>
      </w:r>
      <w:r>
        <w:rPr>
          <w:rFonts w:hint="eastAsia" w:ascii="Times New Roman" w:hAnsi="Times New Roman" w:cs="Times New Roman"/>
          <w:color w:val="auto"/>
          <w:highlight w:val="none"/>
          <w:lang w:val="en-US" w:eastAsia="zh-CN"/>
        </w:rPr>
        <w:t>且</w:t>
      </w:r>
      <w:r>
        <w:rPr>
          <w:rFonts w:hint="default" w:ascii="Times New Roman" w:hAnsi="Times New Roman" w:cs="Times New Roman"/>
          <w:color w:val="auto"/>
          <w:highlight w:val="none"/>
          <w:lang w:val="en-US" w:eastAsia="zh-CN"/>
        </w:rPr>
        <w:t>COD =1.42×COD</w:t>
      </w:r>
      <w:r>
        <w:rPr>
          <w:rFonts w:hint="eastAsia"/>
          <w:color w:val="auto"/>
          <w:sz w:val="24"/>
          <w:highlight w:val="none"/>
          <w:vertAlign w:val="subscript"/>
        </w:rPr>
        <w:t>Mn</w:t>
      </w:r>
      <w:r>
        <w:rPr>
          <w:rFonts w:hint="default" w:ascii="Times New Roman" w:hAnsi="Times New Roman" w:cs="Times New Roman"/>
          <w:color w:val="auto"/>
          <w:highlight w:val="none"/>
          <w:lang w:val="en-US" w:eastAsia="zh-CN"/>
        </w:rPr>
        <w:t>+9.18。</w:t>
      </w:r>
    </w:p>
    <w:p w14:paraId="2866B677">
      <w:pPr>
        <w:pStyle w:val="26"/>
        <w:numPr>
          <w:ilvl w:val="0"/>
          <w:numId w:val="0"/>
        </w:numPr>
        <w:bidi w:val="0"/>
        <w:ind w:left="0" w:leftChars="0" w:firstLine="480" w:firstLineChars="200"/>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kern w:val="2"/>
          <w:sz w:val="24"/>
          <w:szCs w:val="30"/>
          <w:highlight w:val="none"/>
          <w:lang w:val="en-US" w:eastAsia="zh-CN" w:bidi="ar-SA"/>
        </w:rPr>
        <w:t>（2）</w:t>
      </w:r>
      <w:r>
        <w:rPr>
          <w:rFonts w:hint="eastAsia" w:ascii="Times New Roman" w:hAnsi="Times New Roman" w:cs="Times New Roman"/>
          <w:color w:val="auto"/>
          <w:highlight w:val="none"/>
          <w:lang w:val="en-US" w:eastAsia="zh-CN"/>
        </w:rPr>
        <w:t>罐区</w:t>
      </w:r>
    </w:p>
    <w:p w14:paraId="602E8D58">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w:t>
      </w:r>
      <w:r>
        <w:rPr>
          <w:rFonts w:hint="eastAsia" w:cs="Times New Roman"/>
          <w:color w:val="auto"/>
          <w:highlight w:val="none"/>
          <w:lang w:val="en-US" w:eastAsia="zh-CN"/>
        </w:rPr>
        <w:t>钠</w:t>
      </w:r>
    </w:p>
    <w:p w14:paraId="5DCA9469">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罐区储存的</w:t>
      </w:r>
      <w:r>
        <w:rPr>
          <w:rFonts w:hint="eastAsia" w:cs="Times New Roman"/>
          <w:color w:val="auto"/>
          <w:highlight w:val="none"/>
          <w:lang w:val="en-US" w:eastAsia="zh-CN"/>
        </w:rPr>
        <w:t>氢氧化钠、葡萄糖酸钠</w:t>
      </w:r>
      <w:r>
        <w:rPr>
          <w:rFonts w:hint="default" w:ascii="Times New Roman" w:hAnsi="Times New Roman" w:cs="Times New Roman"/>
          <w:color w:val="auto"/>
          <w:highlight w:val="none"/>
          <w:lang w:val="en-US" w:eastAsia="zh-CN"/>
        </w:rPr>
        <w:t>涉及地下水评价因子</w:t>
      </w:r>
      <w:r>
        <w:rPr>
          <w:rFonts w:hint="eastAsia" w:ascii="Times New Roman" w:hAnsi="Times New Roman" w:cs="Times New Roman"/>
          <w:color w:val="auto"/>
          <w:highlight w:val="none"/>
          <w:lang w:eastAsia="zh-CN"/>
        </w:rPr>
        <w:t>钠，</w:t>
      </w:r>
      <w:r>
        <w:rPr>
          <w:rFonts w:hint="default" w:ascii="Times New Roman" w:hAnsi="Times New Roman" w:cs="Times New Roman"/>
          <w:color w:val="auto"/>
          <w:highlight w:val="none"/>
          <w:lang w:val="en-US" w:eastAsia="zh-CN"/>
        </w:rPr>
        <w:t>选取</w:t>
      </w:r>
      <w:r>
        <w:rPr>
          <w:rFonts w:hint="eastAsia" w:cs="Times New Roman"/>
          <w:color w:val="auto"/>
          <w:highlight w:val="none"/>
          <w:lang w:val="en-US" w:eastAsia="zh-CN"/>
        </w:rPr>
        <w:t>钠含量最大的氢氧化钠</w:t>
      </w:r>
      <w:r>
        <w:rPr>
          <w:rFonts w:hint="default" w:ascii="Times New Roman" w:hAnsi="Times New Roman" w:cs="Times New Roman"/>
          <w:color w:val="auto"/>
          <w:highlight w:val="none"/>
          <w:lang w:val="en-US" w:eastAsia="zh-CN"/>
        </w:rPr>
        <w:t>储罐作为非正常状况下污染源</w:t>
      </w:r>
      <w:r>
        <w:rPr>
          <w:rFonts w:hint="eastAsia" w:ascii="Times New Roman" w:hAnsi="Times New Roman" w:cs="Times New Roman"/>
          <w:color w:val="auto"/>
          <w:highlight w:val="none"/>
          <w:lang w:eastAsia="zh-CN"/>
        </w:rPr>
        <w:t>。</w:t>
      </w:r>
    </w:p>
    <w:p w14:paraId="276E06AC">
      <w:pPr>
        <w:pStyle w:val="26"/>
        <w:numPr>
          <w:ilvl w:val="0"/>
          <w:numId w:val="0"/>
        </w:numPr>
        <w:bidi w:val="0"/>
        <w:ind w:left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②硫酸根</w:t>
      </w:r>
    </w:p>
    <w:p w14:paraId="2B2E12EB">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罐区储存的</w:t>
      </w:r>
      <w:r>
        <w:rPr>
          <w:rFonts w:hint="eastAsia" w:cs="Times New Roman"/>
          <w:color w:val="auto"/>
          <w:highlight w:val="none"/>
          <w:lang w:val="en-US" w:eastAsia="zh-CN"/>
        </w:rPr>
        <w:t>浓</w:t>
      </w:r>
      <w:r>
        <w:rPr>
          <w:rFonts w:hint="default" w:ascii="Times New Roman" w:hAnsi="Times New Roman" w:cs="Times New Roman"/>
          <w:color w:val="auto"/>
          <w:highlight w:val="none"/>
          <w:lang w:val="en-US" w:eastAsia="zh-CN"/>
        </w:rPr>
        <w:t>硫酸涉及地下水评价因子硫酸根，选取</w:t>
      </w:r>
      <w:r>
        <w:rPr>
          <w:rFonts w:hint="eastAsia" w:cs="Times New Roman"/>
          <w:color w:val="auto"/>
          <w:highlight w:val="none"/>
          <w:lang w:val="en-US" w:eastAsia="zh-CN"/>
        </w:rPr>
        <w:t>浓</w:t>
      </w:r>
      <w:r>
        <w:rPr>
          <w:rFonts w:hint="default" w:ascii="Times New Roman" w:hAnsi="Times New Roman" w:cs="Times New Roman"/>
          <w:color w:val="auto"/>
          <w:highlight w:val="none"/>
          <w:lang w:val="en-US" w:eastAsia="zh-CN"/>
        </w:rPr>
        <w:t>硫酸储罐作为非正常状况下污染源。</w:t>
      </w:r>
    </w:p>
    <w:p w14:paraId="182D2341">
      <w:pPr>
        <w:pStyle w:val="26"/>
        <w:numPr>
          <w:ilvl w:val="0"/>
          <w:numId w:val="0"/>
        </w:numPr>
        <w:bidi w:val="0"/>
        <w:ind w:left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③氟化物</w:t>
      </w:r>
    </w:p>
    <w:p w14:paraId="3FF99028">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罐区储存的</w:t>
      </w: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涉及地下水评价因子氟化物，考虑几乎不存在多个储罐同时泄漏的情况，选取</w:t>
      </w: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储罐作为非正常状况下污染源。</w:t>
      </w:r>
    </w:p>
    <w:p w14:paraId="1B639311">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④COD</w:t>
      </w:r>
      <w:r>
        <w:rPr>
          <w:rFonts w:hint="eastAsia"/>
          <w:color w:val="auto"/>
          <w:sz w:val="24"/>
          <w:highlight w:val="none"/>
          <w:vertAlign w:val="subscript"/>
        </w:rPr>
        <w:t>Mn</w:t>
      </w:r>
    </w:p>
    <w:p w14:paraId="3765F275">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与COD的换算比例为1:</w:t>
      </w:r>
      <w:r>
        <w:rPr>
          <w:rFonts w:hint="eastAsia" w:cs="Times New Roman"/>
          <w:color w:val="auto"/>
          <w:highlight w:val="none"/>
          <w:lang w:val="en-US" w:eastAsia="zh-CN"/>
        </w:rPr>
        <w:t>1.33</w:t>
      </w:r>
      <w:r>
        <w:rPr>
          <w:rFonts w:hint="default" w:ascii="Times New Roman" w:hAnsi="Times New Roman" w:cs="Times New Roman"/>
          <w:color w:val="auto"/>
          <w:highlight w:val="none"/>
          <w:lang w:val="en-US" w:eastAsia="zh-CN"/>
        </w:rPr>
        <w:t>，选取</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储罐作为非正常状况下污染源，</w:t>
      </w:r>
      <w:r>
        <w:rPr>
          <w:rFonts w:hint="eastAsia" w:ascii="Times New Roman" w:hAnsi="Times New Roman" w:cs="Times New Roman"/>
          <w:color w:val="auto"/>
          <w:highlight w:val="none"/>
          <w:lang w:val="en-US" w:eastAsia="zh-CN"/>
        </w:rPr>
        <w:t>且</w:t>
      </w:r>
      <w:r>
        <w:rPr>
          <w:rFonts w:hint="default" w:ascii="Times New Roman" w:hAnsi="Times New Roman" w:cs="Times New Roman"/>
          <w:color w:val="auto"/>
          <w:highlight w:val="none"/>
          <w:lang w:val="en-US" w:eastAsia="zh-CN"/>
        </w:rPr>
        <w:t>COD =1.42×COD</w:t>
      </w:r>
      <w:r>
        <w:rPr>
          <w:rFonts w:hint="eastAsia"/>
          <w:color w:val="auto"/>
          <w:sz w:val="24"/>
          <w:highlight w:val="none"/>
          <w:vertAlign w:val="subscript"/>
        </w:rPr>
        <w:t>Mn</w:t>
      </w:r>
      <w:r>
        <w:rPr>
          <w:rFonts w:hint="default" w:ascii="Times New Roman" w:hAnsi="Times New Roman" w:cs="Times New Roman"/>
          <w:color w:val="auto"/>
          <w:highlight w:val="none"/>
          <w:lang w:val="en-US" w:eastAsia="zh-CN"/>
        </w:rPr>
        <w:t>+9.18。</w:t>
      </w:r>
    </w:p>
    <w:p w14:paraId="29E15F3E">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w:t>
      </w:r>
      <w:r>
        <w:rPr>
          <w:rFonts w:hint="eastAsia" w:cs="Times New Roman"/>
          <w:color w:val="auto"/>
          <w:highlight w:val="none"/>
          <w:lang w:val="en-US" w:eastAsia="zh-CN"/>
        </w:rPr>
        <w:t>铁</w:t>
      </w:r>
    </w:p>
    <w:p w14:paraId="55ACC0E2">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罐区储存的聚羧酸减水剂母液涉及地下水评价因子</w:t>
      </w:r>
      <w:r>
        <w:rPr>
          <w:rFonts w:hint="eastAsia" w:cs="Times New Roman"/>
          <w:color w:val="auto"/>
          <w:highlight w:val="none"/>
          <w:lang w:val="en-US" w:eastAsia="zh-CN"/>
        </w:rPr>
        <w:t>铁</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考虑几乎不存在多个储罐同时泄漏的情况，选取聚羧酸减水剂母液储罐作为非正常状况下污染源</w:t>
      </w:r>
      <w:r>
        <w:rPr>
          <w:rFonts w:hint="eastAsia" w:ascii="Times New Roman" w:hAnsi="Times New Roman" w:cs="Times New Roman"/>
          <w:color w:val="auto"/>
          <w:highlight w:val="none"/>
          <w:lang w:eastAsia="zh-CN"/>
        </w:rPr>
        <w:t>。</w:t>
      </w:r>
    </w:p>
    <w:p w14:paraId="1A46FD72">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⑥总磷</w:t>
      </w:r>
    </w:p>
    <w:p w14:paraId="21600683">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罐区储存的聚羧酸减水剂母液涉及地下水评价因子总磷，考虑几乎不存在多个储罐同时泄漏的情况，选取聚羧酸减水剂母液储罐作为非正常状况下污染源。</w:t>
      </w:r>
    </w:p>
    <w:p w14:paraId="3D796AD7">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w:t>
      </w:r>
      <w:r>
        <w:rPr>
          <w:rFonts w:hint="eastAsia" w:cs="Times New Roman"/>
          <w:color w:val="auto"/>
          <w:highlight w:val="none"/>
          <w:lang w:val="en-US" w:eastAsia="zh-CN"/>
        </w:rPr>
        <w:t>铝</w:t>
      </w:r>
    </w:p>
    <w:p w14:paraId="7EC6DAA1">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罐区储存的</w:t>
      </w:r>
      <w:r>
        <w:rPr>
          <w:rFonts w:hint="eastAsia" w:cs="Times New Roman"/>
          <w:color w:val="auto"/>
          <w:highlight w:val="none"/>
          <w:lang w:val="en-US" w:eastAsia="zh-CN"/>
        </w:rPr>
        <w:t>有碱速凝剂、无碱速凝剂</w:t>
      </w:r>
      <w:r>
        <w:rPr>
          <w:rFonts w:hint="default" w:ascii="Times New Roman" w:hAnsi="Times New Roman" w:cs="Times New Roman"/>
          <w:color w:val="auto"/>
          <w:highlight w:val="none"/>
          <w:lang w:val="en-US" w:eastAsia="zh-CN"/>
        </w:rPr>
        <w:t>涉及地下水评价因子</w:t>
      </w:r>
      <w:r>
        <w:rPr>
          <w:rFonts w:hint="eastAsia" w:cs="Times New Roman"/>
          <w:color w:val="auto"/>
          <w:highlight w:val="none"/>
          <w:lang w:val="en-US" w:eastAsia="zh-CN"/>
        </w:rPr>
        <w:t>铝</w:t>
      </w:r>
      <w:r>
        <w:rPr>
          <w:rFonts w:hint="default" w:ascii="Times New Roman" w:hAnsi="Times New Roman" w:cs="Times New Roman"/>
          <w:color w:val="auto"/>
          <w:highlight w:val="none"/>
          <w:lang w:val="en-US" w:eastAsia="zh-CN"/>
        </w:rPr>
        <w:t>，考虑几乎不存在多个储罐同时泄漏的情况，选取</w:t>
      </w:r>
      <w:r>
        <w:rPr>
          <w:rFonts w:hint="eastAsia" w:cs="Times New Roman"/>
          <w:color w:val="auto"/>
          <w:highlight w:val="none"/>
          <w:lang w:val="en-US" w:eastAsia="zh-CN"/>
        </w:rPr>
        <w:t>铝含量最大的有碱速凝剂</w:t>
      </w:r>
      <w:r>
        <w:rPr>
          <w:rFonts w:hint="default" w:ascii="Times New Roman" w:hAnsi="Times New Roman" w:cs="Times New Roman"/>
          <w:color w:val="auto"/>
          <w:highlight w:val="none"/>
          <w:lang w:val="en-US" w:eastAsia="zh-CN"/>
        </w:rPr>
        <w:t>储罐作为非正常状况下污染源。</w:t>
      </w:r>
    </w:p>
    <w:p w14:paraId="0AFF16F8">
      <w:pPr>
        <w:pStyle w:val="26"/>
        <w:numPr>
          <w:ilvl w:val="0"/>
          <w:numId w:val="0"/>
        </w:numPr>
        <w:bidi w:val="0"/>
        <w:ind w:firstLine="480" w:firstLineChars="200"/>
        <w:rPr>
          <w:rFonts w:hint="default" w:ascii="Times New Roman" w:hAnsi="Times New Roman" w:cs="Times New Roman"/>
          <w:color w:val="auto"/>
          <w:lang w:val="en-US" w:eastAsia="zh-CN"/>
        </w:rPr>
      </w:pPr>
      <w:r>
        <w:rPr>
          <w:rFonts w:hint="eastAsia" w:ascii="Times New Roman" w:hAnsi="Times New Roman" w:cs="Times New Roman"/>
          <w:color w:val="auto"/>
          <w:highlight w:val="none"/>
          <w:lang w:val="en-US" w:eastAsia="zh-CN"/>
        </w:rPr>
        <w:t>根据各物料理化性质及暂存情况，确定本项目污染因子浓度如下：</w:t>
      </w:r>
    </w:p>
    <w:p w14:paraId="527096B1">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各污染因子浓度</w:t>
      </w:r>
    </w:p>
    <w:tbl>
      <w:tblPr>
        <w:tblStyle w:val="20"/>
        <w:tblW w:w="499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37"/>
        <w:gridCol w:w="1012"/>
        <w:gridCol w:w="1187"/>
        <w:gridCol w:w="1225"/>
        <w:gridCol w:w="1563"/>
        <w:gridCol w:w="994"/>
        <w:gridCol w:w="1218"/>
        <w:gridCol w:w="1277"/>
      </w:tblGrid>
      <w:tr w14:paraId="5EF852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tcBorders>
              <w:tl2br w:val="nil"/>
              <w:tr2bl w:val="nil"/>
            </w:tcBorders>
            <w:shd w:val="clear" w:color="auto" w:fill="auto"/>
            <w:noWrap/>
            <w:vAlign w:val="center"/>
          </w:tcPr>
          <w:p w14:paraId="10382B5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位置</w:t>
            </w:r>
          </w:p>
        </w:tc>
        <w:tc>
          <w:tcPr>
            <w:tcW w:w="532" w:type="pct"/>
            <w:tcBorders>
              <w:tl2br w:val="nil"/>
              <w:tr2bl w:val="nil"/>
            </w:tcBorders>
            <w:shd w:val="clear" w:color="auto" w:fill="auto"/>
            <w:noWrap/>
            <w:vAlign w:val="center"/>
          </w:tcPr>
          <w:p w14:paraId="4A8636A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污染物</w:t>
            </w:r>
          </w:p>
        </w:tc>
        <w:tc>
          <w:tcPr>
            <w:tcW w:w="623" w:type="pct"/>
            <w:tcBorders>
              <w:tl2br w:val="nil"/>
              <w:tr2bl w:val="nil"/>
            </w:tcBorders>
            <w:shd w:val="clear" w:color="auto" w:fill="auto"/>
            <w:noWrap/>
            <w:vAlign w:val="center"/>
          </w:tcPr>
          <w:p w14:paraId="14465ABF">
            <w:pPr>
              <w:pStyle w:val="24"/>
              <w:bidi w:val="0"/>
              <w:rPr>
                <w:rFonts w:hint="eastAsia" w:ascii="Times New Roman" w:hAnsi="Times New Roman" w:eastAsia="宋体" w:cs="Courier New"/>
                <w:b/>
                <w:bCs/>
                <w:color w:val="auto"/>
                <w:highlight w:val="none"/>
                <w:lang w:val="en-US" w:eastAsia="zh-CN"/>
              </w:rPr>
            </w:pPr>
            <w:r>
              <w:rPr>
                <w:rFonts w:hint="eastAsia" w:cs="Courier New"/>
                <w:b/>
                <w:bCs/>
                <w:color w:val="auto"/>
                <w:highlight w:val="none"/>
                <w:lang w:val="en-US" w:eastAsia="zh-CN"/>
              </w:rPr>
              <w:t>物料</w:t>
            </w:r>
            <w:r>
              <w:rPr>
                <w:rFonts w:hint="eastAsia" w:ascii="Times New Roman" w:hAnsi="Times New Roman" w:eastAsia="宋体" w:cs="Courier New"/>
                <w:b/>
                <w:bCs/>
                <w:color w:val="auto"/>
                <w:highlight w:val="none"/>
                <w:lang w:val="en-US" w:eastAsia="zh-CN"/>
              </w:rPr>
              <w:t>名称</w:t>
            </w:r>
          </w:p>
        </w:tc>
        <w:tc>
          <w:tcPr>
            <w:tcW w:w="643" w:type="pct"/>
            <w:tcBorders>
              <w:tl2br w:val="nil"/>
              <w:tr2bl w:val="nil"/>
            </w:tcBorders>
            <w:shd w:val="clear" w:color="auto" w:fill="auto"/>
            <w:noWrap/>
            <w:vAlign w:val="center"/>
          </w:tcPr>
          <w:p w14:paraId="3002CAFE">
            <w:pPr>
              <w:pStyle w:val="24"/>
              <w:bidi w:val="0"/>
              <w:rPr>
                <w:rFonts w:hint="eastAsia" w:ascii="Times New Roman" w:hAnsi="Times New Roman" w:eastAsia="宋体" w:cs="Courier New"/>
                <w:b/>
                <w:bCs/>
                <w:color w:val="auto"/>
                <w:highlight w:val="none"/>
                <w:lang w:val="en-US" w:eastAsia="zh-CN"/>
              </w:rPr>
            </w:pPr>
            <w:r>
              <w:rPr>
                <w:rFonts w:hint="eastAsia" w:cs="Courier New"/>
                <w:b/>
                <w:bCs/>
                <w:color w:val="auto"/>
                <w:highlight w:val="none"/>
                <w:lang w:val="en-US" w:eastAsia="zh-CN"/>
              </w:rPr>
              <w:t>物料</w:t>
            </w:r>
            <w:r>
              <w:rPr>
                <w:rFonts w:hint="eastAsia" w:ascii="Times New Roman" w:hAnsi="Times New Roman" w:eastAsia="宋体" w:cs="Courier New"/>
                <w:b/>
                <w:bCs/>
                <w:color w:val="auto"/>
                <w:highlight w:val="none"/>
                <w:lang w:val="en-US" w:eastAsia="zh-CN"/>
              </w:rPr>
              <w:t>浓度</w:t>
            </w:r>
          </w:p>
        </w:tc>
        <w:tc>
          <w:tcPr>
            <w:tcW w:w="821" w:type="pct"/>
            <w:tcBorders>
              <w:tl2br w:val="nil"/>
              <w:tr2bl w:val="nil"/>
            </w:tcBorders>
            <w:shd w:val="clear" w:color="auto" w:fill="auto"/>
            <w:noWrap/>
            <w:vAlign w:val="center"/>
          </w:tcPr>
          <w:p w14:paraId="3E50F118">
            <w:pPr>
              <w:pStyle w:val="24"/>
              <w:bidi w:val="0"/>
              <w:rPr>
                <w:rFonts w:hint="eastAsia" w:ascii="Times New Roman" w:hAnsi="Times New Roman" w:eastAsia="宋体" w:cs="Courier New"/>
                <w:b/>
                <w:bCs/>
                <w:color w:val="auto"/>
                <w:highlight w:val="none"/>
                <w:lang w:val="en-US" w:eastAsia="zh-CN"/>
              </w:rPr>
            </w:pPr>
            <w:r>
              <w:rPr>
                <w:rFonts w:hint="eastAsia" w:cs="Courier New"/>
                <w:b/>
                <w:bCs/>
                <w:color w:val="auto"/>
                <w:highlight w:val="none"/>
                <w:lang w:val="en-US" w:eastAsia="zh-CN"/>
              </w:rPr>
              <w:t>物料</w:t>
            </w:r>
            <w:r>
              <w:rPr>
                <w:rFonts w:hint="eastAsia" w:ascii="Times New Roman" w:hAnsi="Times New Roman" w:eastAsia="宋体" w:cs="Courier New"/>
                <w:b/>
                <w:bCs/>
                <w:color w:val="auto"/>
                <w:highlight w:val="none"/>
                <w:lang w:val="en-US" w:eastAsia="zh-CN"/>
              </w:rPr>
              <w:t>密度（g/cm³）</w:t>
            </w:r>
          </w:p>
        </w:tc>
        <w:tc>
          <w:tcPr>
            <w:tcW w:w="522" w:type="pct"/>
            <w:tcBorders>
              <w:tl2br w:val="nil"/>
              <w:tr2bl w:val="nil"/>
            </w:tcBorders>
            <w:shd w:val="clear" w:color="auto" w:fill="auto"/>
            <w:noWrap/>
            <w:vAlign w:val="center"/>
          </w:tcPr>
          <w:p w14:paraId="344E2A6A">
            <w:pPr>
              <w:pStyle w:val="24"/>
              <w:bidi w:val="0"/>
              <w:rPr>
                <w:rFonts w:hint="default" w:ascii="Times New Roman" w:hAnsi="Times New Roman" w:eastAsia="宋体" w:cs="Courier New"/>
                <w:b/>
                <w:bCs/>
                <w:color w:val="auto"/>
                <w:highlight w:val="none"/>
                <w:lang w:val="en-US" w:eastAsia="zh-CN"/>
              </w:rPr>
            </w:pPr>
            <w:r>
              <w:rPr>
                <w:rFonts w:hint="eastAsia" w:cs="Courier New"/>
                <w:b/>
                <w:bCs/>
                <w:color w:val="auto"/>
                <w:highlight w:val="none"/>
                <w:lang w:val="en-US" w:eastAsia="zh-CN"/>
              </w:rPr>
              <w:t>储存量</w:t>
            </w:r>
          </w:p>
        </w:tc>
        <w:tc>
          <w:tcPr>
            <w:tcW w:w="640" w:type="pct"/>
            <w:tcBorders>
              <w:tl2br w:val="nil"/>
              <w:tr2bl w:val="nil"/>
            </w:tcBorders>
            <w:shd w:val="clear" w:color="auto" w:fill="auto"/>
            <w:noWrap/>
            <w:vAlign w:val="center"/>
          </w:tcPr>
          <w:p w14:paraId="79B3EF97">
            <w:pPr>
              <w:pStyle w:val="24"/>
              <w:bidi w:val="0"/>
              <w:rPr>
                <w:rFonts w:hint="eastAsia" w:ascii="Times New Roman" w:hAnsi="Times New Roman" w:eastAsia="宋体" w:cs="Courier New"/>
                <w:b/>
                <w:bCs/>
                <w:color w:val="auto"/>
                <w:highlight w:val="none"/>
                <w:lang w:val="en-US" w:eastAsia="zh-CN"/>
              </w:rPr>
            </w:pPr>
            <w:r>
              <w:rPr>
                <w:rFonts w:hint="eastAsia" w:cs="Courier New"/>
                <w:b/>
                <w:bCs/>
                <w:color w:val="auto"/>
                <w:highlight w:val="none"/>
                <w:lang w:val="en-US" w:eastAsia="zh-CN"/>
              </w:rPr>
              <w:t>污染物</w:t>
            </w:r>
            <w:r>
              <w:rPr>
                <w:rFonts w:hint="eastAsia" w:ascii="Times New Roman" w:hAnsi="Times New Roman" w:eastAsia="宋体" w:cs="Courier New"/>
                <w:b/>
                <w:bCs/>
                <w:color w:val="auto"/>
                <w:highlight w:val="none"/>
                <w:lang w:val="en-US" w:eastAsia="zh-CN"/>
              </w:rPr>
              <w:t>质量占比</w:t>
            </w:r>
          </w:p>
        </w:tc>
        <w:tc>
          <w:tcPr>
            <w:tcW w:w="671" w:type="pct"/>
            <w:tcBorders>
              <w:tl2br w:val="nil"/>
              <w:tr2bl w:val="nil"/>
            </w:tcBorders>
            <w:shd w:val="clear" w:color="auto" w:fill="auto"/>
            <w:noWrap/>
            <w:vAlign w:val="center"/>
          </w:tcPr>
          <w:p w14:paraId="70D4FB1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污染物浓度（mg/L）</w:t>
            </w:r>
          </w:p>
        </w:tc>
      </w:tr>
      <w:tr w14:paraId="240545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tcBorders>
              <w:tl2br w:val="nil"/>
              <w:tr2bl w:val="nil"/>
            </w:tcBorders>
            <w:shd w:val="clear" w:color="auto" w:fill="auto"/>
            <w:noWrap/>
            <w:vAlign w:val="center"/>
          </w:tcPr>
          <w:p w14:paraId="007C99D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仓库</w:t>
            </w:r>
          </w:p>
        </w:tc>
        <w:tc>
          <w:tcPr>
            <w:tcW w:w="532" w:type="pct"/>
            <w:tcBorders>
              <w:tl2br w:val="nil"/>
              <w:tr2bl w:val="nil"/>
            </w:tcBorders>
            <w:shd w:val="clear" w:color="auto" w:fill="auto"/>
            <w:noWrap/>
            <w:vAlign w:val="center"/>
          </w:tcPr>
          <w:p w14:paraId="744DD24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COD</w:t>
            </w:r>
          </w:p>
        </w:tc>
        <w:tc>
          <w:tcPr>
            <w:tcW w:w="623" w:type="pct"/>
            <w:tcBorders>
              <w:tl2br w:val="nil"/>
              <w:tr2bl w:val="nil"/>
            </w:tcBorders>
            <w:shd w:val="clear" w:color="auto" w:fill="auto"/>
            <w:noWrap/>
            <w:vAlign w:val="center"/>
          </w:tcPr>
          <w:p w14:paraId="186A6DB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三乙醇胺</w:t>
            </w:r>
          </w:p>
        </w:tc>
        <w:tc>
          <w:tcPr>
            <w:tcW w:w="643" w:type="pct"/>
            <w:tcBorders>
              <w:tl2br w:val="nil"/>
              <w:tr2bl w:val="nil"/>
            </w:tcBorders>
            <w:shd w:val="clear" w:color="auto" w:fill="auto"/>
            <w:noWrap/>
            <w:vAlign w:val="center"/>
          </w:tcPr>
          <w:p w14:paraId="60A22F1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w:t>
            </w:r>
            <w:r>
              <w:rPr>
                <w:rFonts w:hint="eastAsia" w:cs="Courier New"/>
                <w:b w:val="0"/>
                <w:bCs w:val="0"/>
                <w:color w:val="auto"/>
                <w:highlight w:val="none"/>
                <w:lang w:val="en-US" w:eastAsia="zh-CN"/>
              </w:rPr>
              <w:t>9</w:t>
            </w:r>
            <w:r>
              <w:rPr>
                <w:rFonts w:hint="eastAsia" w:ascii="Times New Roman" w:hAnsi="Times New Roman" w:eastAsia="宋体" w:cs="Courier New"/>
                <w:b w:val="0"/>
                <w:bCs w:val="0"/>
                <w:color w:val="auto"/>
                <w:highlight w:val="none"/>
                <w:lang w:val="en-US" w:eastAsia="zh-CN"/>
              </w:rPr>
              <w:t>%</w:t>
            </w:r>
            <w:r>
              <w:rPr>
                <w:rFonts w:hint="eastAsia" w:cs="Courier New"/>
                <w:b w:val="0"/>
                <w:bCs w:val="0"/>
                <w:color w:val="auto"/>
                <w:highlight w:val="none"/>
                <w:lang w:val="en-US" w:eastAsia="zh-CN"/>
              </w:rPr>
              <w:t>以上</w:t>
            </w:r>
          </w:p>
        </w:tc>
        <w:tc>
          <w:tcPr>
            <w:tcW w:w="821" w:type="pct"/>
            <w:tcBorders>
              <w:tl2br w:val="nil"/>
              <w:tr2bl w:val="nil"/>
            </w:tcBorders>
            <w:shd w:val="clear" w:color="auto" w:fill="auto"/>
            <w:noWrap/>
            <w:vAlign w:val="center"/>
          </w:tcPr>
          <w:p w14:paraId="0FF3B96D">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1.12</w:t>
            </w:r>
          </w:p>
        </w:tc>
        <w:tc>
          <w:tcPr>
            <w:tcW w:w="522" w:type="pct"/>
            <w:tcBorders>
              <w:tl2br w:val="nil"/>
              <w:tr2bl w:val="nil"/>
            </w:tcBorders>
            <w:shd w:val="clear" w:color="auto" w:fill="auto"/>
            <w:noWrap/>
            <w:vAlign w:val="center"/>
          </w:tcPr>
          <w:p w14:paraId="65C3D32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200kg/桶</w:t>
            </w:r>
          </w:p>
        </w:tc>
        <w:tc>
          <w:tcPr>
            <w:tcW w:w="640" w:type="pct"/>
            <w:tcBorders>
              <w:tl2br w:val="nil"/>
              <w:tr2bl w:val="nil"/>
            </w:tcBorders>
            <w:shd w:val="clear" w:color="auto" w:fill="auto"/>
            <w:noWrap/>
            <w:vAlign w:val="center"/>
          </w:tcPr>
          <w:p w14:paraId="59DAB9B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w:t>
            </w:r>
          </w:p>
        </w:tc>
        <w:tc>
          <w:tcPr>
            <w:tcW w:w="671" w:type="pct"/>
            <w:tcBorders>
              <w:tl2br w:val="nil"/>
              <w:tr2bl w:val="nil"/>
            </w:tcBorders>
            <w:shd w:val="clear" w:color="auto" w:fill="auto"/>
            <w:noWrap/>
            <w:vAlign w:val="center"/>
          </w:tcPr>
          <w:p w14:paraId="025BF7C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2161600</w:t>
            </w:r>
          </w:p>
        </w:tc>
      </w:tr>
      <w:tr w14:paraId="2396F4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restart"/>
            <w:tcBorders>
              <w:tl2br w:val="nil"/>
              <w:tr2bl w:val="nil"/>
            </w:tcBorders>
            <w:shd w:val="clear" w:color="auto" w:fill="auto"/>
            <w:noWrap/>
            <w:vAlign w:val="center"/>
          </w:tcPr>
          <w:p w14:paraId="1BDDF76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罐区</w:t>
            </w:r>
          </w:p>
        </w:tc>
        <w:tc>
          <w:tcPr>
            <w:tcW w:w="532" w:type="pct"/>
            <w:tcBorders>
              <w:tl2br w:val="nil"/>
              <w:tr2bl w:val="nil"/>
            </w:tcBorders>
            <w:shd w:val="clear" w:color="auto" w:fill="auto"/>
            <w:noWrap/>
            <w:vAlign w:val="center"/>
          </w:tcPr>
          <w:p w14:paraId="148D705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钠</w:t>
            </w:r>
          </w:p>
        </w:tc>
        <w:tc>
          <w:tcPr>
            <w:tcW w:w="623" w:type="pct"/>
            <w:tcBorders>
              <w:tl2br w:val="nil"/>
              <w:tr2bl w:val="nil"/>
            </w:tcBorders>
            <w:shd w:val="clear" w:color="auto" w:fill="auto"/>
            <w:noWrap/>
            <w:vAlign w:val="center"/>
          </w:tcPr>
          <w:p w14:paraId="17491C6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氢氧化钠</w:t>
            </w:r>
          </w:p>
        </w:tc>
        <w:tc>
          <w:tcPr>
            <w:tcW w:w="643" w:type="pct"/>
            <w:tcBorders>
              <w:tl2br w:val="nil"/>
              <w:tr2bl w:val="nil"/>
            </w:tcBorders>
            <w:shd w:val="clear" w:color="auto" w:fill="auto"/>
            <w:noWrap/>
            <w:vAlign w:val="center"/>
          </w:tcPr>
          <w:p w14:paraId="6CC73C4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3</w:t>
            </w:r>
            <w:r>
              <w:rPr>
                <w:rFonts w:hint="eastAsia" w:cs="Courier New"/>
                <w:b w:val="0"/>
                <w:bCs w:val="0"/>
                <w:color w:val="auto"/>
                <w:highlight w:val="none"/>
                <w:lang w:val="en-US" w:eastAsia="zh-CN"/>
              </w:rPr>
              <w:t>0</w:t>
            </w:r>
            <w:r>
              <w:rPr>
                <w:rFonts w:hint="eastAsia" w:ascii="Times New Roman" w:hAnsi="Times New Roman" w:eastAsia="宋体" w:cs="Courier New"/>
                <w:b w:val="0"/>
                <w:bCs w:val="0"/>
                <w:color w:val="auto"/>
                <w:highlight w:val="none"/>
                <w:lang w:val="en-US" w:eastAsia="zh-CN"/>
              </w:rPr>
              <w:t>%</w:t>
            </w:r>
          </w:p>
        </w:tc>
        <w:tc>
          <w:tcPr>
            <w:tcW w:w="821" w:type="pct"/>
            <w:tcBorders>
              <w:tl2br w:val="nil"/>
              <w:tr2bl w:val="nil"/>
            </w:tcBorders>
            <w:shd w:val="clear" w:color="auto" w:fill="auto"/>
            <w:noWrap/>
            <w:vAlign w:val="center"/>
          </w:tcPr>
          <w:p w14:paraId="27A0671F">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1.33</w:t>
            </w:r>
          </w:p>
        </w:tc>
        <w:tc>
          <w:tcPr>
            <w:tcW w:w="522" w:type="pct"/>
            <w:tcBorders>
              <w:tl2br w:val="nil"/>
              <w:tr2bl w:val="nil"/>
            </w:tcBorders>
            <w:shd w:val="clear" w:color="auto" w:fill="auto"/>
            <w:noWrap/>
            <w:vAlign w:val="center"/>
          </w:tcPr>
          <w:p w14:paraId="0E5B312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45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08808BC7">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0.575</w:t>
            </w:r>
          </w:p>
        </w:tc>
        <w:tc>
          <w:tcPr>
            <w:tcW w:w="1144" w:type="dxa"/>
            <w:tcBorders>
              <w:tl2br w:val="nil"/>
              <w:tr2bl w:val="nil"/>
            </w:tcBorders>
            <w:shd w:val="clear" w:color="auto" w:fill="auto"/>
            <w:noWrap/>
            <w:vAlign w:val="center"/>
          </w:tcPr>
          <w:p w14:paraId="64C61146">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229425</w:t>
            </w:r>
          </w:p>
        </w:tc>
      </w:tr>
      <w:tr w14:paraId="3E12CB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continue"/>
            <w:tcBorders>
              <w:tl2br w:val="nil"/>
              <w:tr2bl w:val="nil"/>
            </w:tcBorders>
            <w:shd w:val="clear" w:color="auto" w:fill="auto"/>
            <w:noWrap/>
            <w:vAlign w:val="center"/>
          </w:tcPr>
          <w:p w14:paraId="27792480">
            <w:pPr>
              <w:pStyle w:val="24"/>
              <w:bidi w:val="0"/>
              <w:rPr>
                <w:rFonts w:hint="eastAsia" w:ascii="Times New Roman" w:hAnsi="Times New Roman" w:eastAsia="宋体" w:cs="Courier New"/>
                <w:b w:val="0"/>
                <w:bCs w:val="0"/>
                <w:color w:val="auto"/>
                <w:highlight w:val="none"/>
                <w:lang w:val="en-US" w:eastAsia="zh-CN"/>
              </w:rPr>
            </w:pPr>
          </w:p>
        </w:tc>
        <w:tc>
          <w:tcPr>
            <w:tcW w:w="532" w:type="pct"/>
            <w:tcBorders>
              <w:tl2br w:val="nil"/>
              <w:tr2bl w:val="nil"/>
            </w:tcBorders>
            <w:shd w:val="clear" w:color="auto" w:fill="auto"/>
            <w:noWrap/>
            <w:vAlign w:val="center"/>
          </w:tcPr>
          <w:p w14:paraId="0499AE9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硫酸根</w:t>
            </w:r>
          </w:p>
        </w:tc>
        <w:tc>
          <w:tcPr>
            <w:tcW w:w="623" w:type="pct"/>
            <w:tcBorders>
              <w:tl2br w:val="nil"/>
              <w:tr2bl w:val="nil"/>
            </w:tcBorders>
            <w:shd w:val="clear" w:color="auto" w:fill="auto"/>
            <w:noWrap/>
            <w:vAlign w:val="center"/>
          </w:tcPr>
          <w:p w14:paraId="7C59628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浓</w:t>
            </w:r>
            <w:r>
              <w:rPr>
                <w:rFonts w:hint="eastAsia" w:ascii="Times New Roman" w:hAnsi="Times New Roman" w:eastAsia="宋体" w:cs="Courier New"/>
                <w:b w:val="0"/>
                <w:bCs w:val="0"/>
                <w:color w:val="auto"/>
                <w:highlight w:val="none"/>
                <w:lang w:val="en-US" w:eastAsia="zh-CN"/>
              </w:rPr>
              <w:t>硫酸</w:t>
            </w:r>
          </w:p>
        </w:tc>
        <w:tc>
          <w:tcPr>
            <w:tcW w:w="643" w:type="pct"/>
            <w:tcBorders>
              <w:tl2br w:val="nil"/>
              <w:tr2bl w:val="nil"/>
            </w:tcBorders>
            <w:shd w:val="clear" w:color="auto" w:fill="auto"/>
            <w:noWrap/>
            <w:vAlign w:val="center"/>
          </w:tcPr>
          <w:p w14:paraId="766A607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98%</w:t>
            </w:r>
          </w:p>
        </w:tc>
        <w:tc>
          <w:tcPr>
            <w:tcW w:w="821" w:type="pct"/>
            <w:tcBorders>
              <w:tl2br w:val="nil"/>
              <w:tr2bl w:val="nil"/>
            </w:tcBorders>
            <w:shd w:val="clear" w:color="auto" w:fill="auto"/>
            <w:noWrap/>
            <w:vAlign w:val="center"/>
          </w:tcPr>
          <w:p w14:paraId="0D0B283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1.84</w:t>
            </w:r>
          </w:p>
        </w:tc>
        <w:tc>
          <w:tcPr>
            <w:tcW w:w="522" w:type="pct"/>
            <w:tcBorders>
              <w:tl2br w:val="nil"/>
              <w:tr2bl w:val="nil"/>
            </w:tcBorders>
            <w:shd w:val="clear" w:color="auto" w:fill="auto"/>
            <w:noWrap/>
            <w:vAlign w:val="center"/>
          </w:tcPr>
          <w:p w14:paraId="2D86F58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45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43DA85B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0.98</w:t>
            </w:r>
          </w:p>
        </w:tc>
        <w:tc>
          <w:tcPr>
            <w:tcW w:w="1144" w:type="dxa"/>
            <w:tcBorders>
              <w:tl2br w:val="nil"/>
              <w:tr2bl w:val="nil"/>
            </w:tcBorders>
            <w:shd w:val="clear" w:color="auto" w:fill="auto"/>
            <w:noWrap/>
            <w:vAlign w:val="center"/>
          </w:tcPr>
          <w:p w14:paraId="0809C4A6">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1767136</w:t>
            </w:r>
          </w:p>
        </w:tc>
      </w:tr>
      <w:tr w14:paraId="6AB564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continue"/>
            <w:tcBorders>
              <w:tl2br w:val="nil"/>
              <w:tr2bl w:val="nil"/>
            </w:tcBorders>
            <w:shd w:val="clear" w:color="auto" w:fill="auto"/>
            <w:noWrap/>
            <w:vAlign w:val="center"/>
          </w:tcPr>
          <w:p w14:paraId="28A65D44">
            <w:pPr>
              <w:pStyle w:val="24"/>
              <w:bidi w:val="0"/>
              <w:rPr>
                <w:rFonts w:hint="eastAsia" w:ascii="Times New Roman" w:hAnsi="Times New Roman" w:eastAsia="宋体" w:cs="Courier New"/>
                <w:b w:val="0"/>
                <w:bCs w:val="0"/>
                <w:color w:val="auto"/>
                <w:highlight w:val="none"/>
                <w:lang w:val="en-US" w:eastAsia="zh-CN"/>
              </w:rPr>
            </w:pPr>
          </w:p>
        </w:tc>
        <w:tc>
          <w:tcPr>
            <w:tcW w:w="532" w:type="pct"/>
            <w:tcBorders>
              <w:tl2br w:val="nil"/>
              <w:tr2bl w:val="nil"/>
            </w:tcBorders>
            <w:shd w:val="clear" w:color="auto" w:fill="auto"/>
            <w:noWrap/>
            <w:vAlign w:val="center"/>
          </w:tcPr>
          <w:p w14:paraId="139336D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氟化物</w:t>
            </w:r>
          </w:p>
        </w:tc>
        <w:tc>
          <w:tcPr>
            <w:tcW w:w="623" w:type="pct"/>
            <w:tcBorders>
              <w:tl2br w:val="nil"/>
              <w:tr2bl w:val="nil"/>
            </w:tcBorders>
            <w:shd w:val="clear" w:color="auto" w:fill="auto"/>
            <w:noWrap/>
            <w:vAlign w:val="center"/>
          </w:tcPr>
          <w:p w14:paraId="6974C432">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氟硅酸</w:t>
            </w:r>
          </w:p>
        </w:tc>
        <w:tc>
          <w:tcPr>
            <w:tcW w:w="643" w:type="pct"/>
            <w:tcBorders>
              <w:tl2br w:val="nil"/>
              <w:tr2bl w:val="nil"/>
            </w:tcBorders>
            <w:shd w:val="clear" w:color="auto" w:fill="auto"/>
            <w:noWrap/>
            <w:vAlign w:val="center"/>
          </w:tcPr>
          <w:p w14:paraId="5B10EB7C">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4</w:t>
            </w:r>
            <w:r>
              <w:rPr>
                <w:rFonts w:hint="eastAsia" w:ascii="Times New Roman" w:hAnsi="Times New Roman" w:eastAsia="宋体" w:cs="Courier New"/>
                <w:b w:val="0"/>
                <w:bCs w:val="0"/>
                <w:color w:val="auto"/>
                <w:highlight w:val="none"/>
                <w:lang w:val="en-US" w:eastAsia="zh-CN"/>
              </w:rPr>
              <w:t>0%</w:t>
            </w:r>
          </w:p>
        </w:tc>
        <w:tc>
          <w:tcPr>
            <w:tcW w:w="821" w:type="pct"/>
            <w:tcBorders>
              <w:tl2br w:val="nil"/>
              <w:tr2bl w:val="nil"/>
            </w:tcBorders>
            <w:shd w:val="clear" w:color="auto" w:fill="auto"/>
            <w:noWrap/>
            <w:vAlign w:val="center"/>
          </w:tcPr>
          <w:p w14:paraId="3827E2C6">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w:t>
            </w:r>
            <w:r>
              <w:rPr>
                <w:rFonts w:hint="eastAsia" w:cs="Courier New"/>
                <w:b w:val="0"/>
                <w:bCs w:val="0"/>
                <w:color w:val="auto"/>
                <w:highlight w:val="none"/>
                <w:lang w:val="en-US" w:eastAsia="zh-CN"/>
              </w:rPr>
              <w:t>4</w:t>
            </w:r>
          </w:p>
        </w:tc>
        <w:tc>
          <w:tcPr>
            <w:tcW w:w="522" w:type="pct"/>
            <w:tcBorders>
              <w:tl2br w:val="nil"/>
              <w:tr2bl w:val="nil"/>
            </w:tcBorders>
            <w:shd w:val="clear" w:color="auto" w:fill="auto"/>
            <w:noWrap/>
            <w:vAlign w:val="center"/>
          </w:tcPr>
          <w:p w14:paraId="34B584E3">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kern w:val="2"/>
                <w:sz w:val="21"/>
                <w:szCs w:val="24"/>
                <w:highlight w:val="none"/>
                <w:lang w:val="en-US" w:eastAsia="zh-CN" w:bidi="ar-SA"/>
              </w:rPr>
              <w:t>31.5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1AB222A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0.79</w:t>
            </w:r>
          </w:p>
        </w:tc>
        <w:tc>
          <w:tcPr>
            <w:tcW w:w="1144" w:type="dxa"/>
            <w:tcBorders>
              <w:tl2br w:val="nil"/>
              <w:tr2bl w:val="nil"/>
            </w:tcBorders>
            <w:shd w:val="clear" w:color="auto" w:fill="auto"/>
            <w:noWrap/>
            <w:vAlign w:val="center"/>
          </w:tcPr>
          <w:p w14:paraId="05648413">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328640</w:t>
            </w:r>
          </w:p>
        </w:tc>
      </w:tr>
      <w:tr w14:paraId="29C4F2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continue"/>
            <w:tcBorders>
              <w:tl2br w:val="nil"/>
              <w:tr2bl w:val="nil"/>
            </w:tcBorders>
            <w:shd w:val="clear" w:color="auto" w:fill="auto"/>
            <w:noWrap/>
            <w:vAlign w:val="center"/>
          </w:tcPr>
          <w:p w14:paraId="78F49A0C">
            <w:pPr>
              <w:pStyle w:val="24"/>
              <w:bidi w:val="0"/>
              <w:rPr>
                <w:rFonts w:hint="eastAsia" w:ascii="Times New Roman" w:hAnsi="Times New Roman" w:eastAsia="宋体" w:cs="Courier New"/>
                <w:b w:val="0"/>
                <w:bCs w:val="0"/>
                <w:color w:val="auto"/>
                <w:highlight w:val="none"/>
                <w:lang w:val="en-US" w:eastAsia="zh-CN"/>
              </w:rPr>
            </w:pPr>
          </w:p>
        </w:tc>
        <w:tc>
          <w:tcPr>
            <w:tcW w:w="532" w:type="pct"/>
            <w:tcBorders>
              <w:tl2br w:val="nil"/>
              <w:tr2bl w:val="nil"/>
            </w:tcBorders>
            <w:shd w:val="clear" w:color="auto" w:fill="auto"/>
            <w:noWrap/>
            <w:vAlign w:val="center"/>
          </w:tcPr>
          <w:p w14:paraId="759E1E1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COD</w:t>
            </w:r>
          </w:p>
        </w:tc>
        <w:tc>
          <w:tcPr>
            <w:tcW w:w="623" w:type="pct"/>
            <w:tcBorders>
              <w:tl2br w:val="nil"/>
              <w:tr2bl w:val="nil"/>
            </w:tcBorders>
            <w:shd w:val="clear" w:color="auto" w:fill="auto"/>
            <w:noWrap/>
            <w:vAlign w:val="center"/>
          </w:tcPr>
          <w:p w14:paraId="53DA2866">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丙烯酸</w:t>
            </w:r>
          </w:p>
        </w:tc>
        <w:tc>
          <w:tcPr>
            <w:tcW w:w="643" w:type="pct"/>
            <w:tcBorders>
              <w:tl2br w:val="nil"/>
              <w:tr2bl w:val="nil"/>
            </w:tcBorders>
            <w:shd w:val="clear" w:color="auto" w:fill="auto"/>
            <w:noWrap/>
            <w:vAlign w:val="center"/>
          </w:tcPr>
          <w:p w14:paraId="00AD81E5">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99.5%</w:t>
            </w:r>
          </w:p>
        </w:tc>
        <w:tc>
          <w:tcPr>
            <w:tcW w:w="821" w:type="pct"/>
            <w:tcBorders>
              <w:tl2br w:val="nil"/>
              <w:tr2bl w:val="nil"/>
            </w:tcBorders>
            <w:shd w:val="clear" w:color="auto" w:fill="auto"/>
            <w:noWrap/>
            <w:vAlign w:val="center"/>
          </w:tcPr>
          <w:p w14:paraId="1BA8D95D">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1.05</w:t>
            </w:r>
          </w:p>
        </w:tc>
        <w:tc>
          <w:tcPr>
            <w:tcW w:w="522" w:type="pct"/>
            <w:tcBorders>
              <w:tl2br w:val="nil"/>
              <w:tr2bl w:val="nil"/>
            </w:tcBorders>
            <w:shd w:val="clear" w:color="auto" w:fill="auto"/>
            <w:noWrap/>
            <w:vAlign w:val="center"/>
          </w:tcPr>
          <w:p w14:paraId="3F09FE16">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kern w:val="2"/>
                <w:sz w:val="21"/>
                <w:szCs w:val="24"/>
                <w:highlight w:val="none"/>
                <w:lang w:val="en-US" w:eastAsia="zh-CN" w:bidi="ar-SA"/>
              </w:rPr>
              <w:t>45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1F405F5B">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w:t>
            </w:r>
          </w:p>
        </w:tc>
        <w:tc>
          <w:tcPr>
            <w:tcW w:w="1144" w:type="dxa"/>
            <w:tcBorders>
              <w:tl2br w:val="nil"/>
              <w:tr2bl w:val="nil"/>
            </w:tcBorders>
            <w:shd w:val="clear" w:color="auto" w:fill="auto"/>
            <w:noWrap/>
            <w:vAlign w:val="center"/>
          </w:tcPr>
          <w:p w14:paraId="35937A0C">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1389517.493</w:t>
            </w:r>
          </w:p>
        </w:tc>
      </w:tr>
      <w:tr w14:paraId="441B29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continue"/>
            <w:tcBorders>
              <w:tl2br w:val="nil"/>
              <w:tr2bl w:val="nil"/>
            </w:tcBorders>
            <w:shd w:val="clear" w:color="auto" w:fill="auto"/>
            <w:noWrap/>
            <w:vAlign w:val="center"/>
          </w:tcPr>
          <w:p w14:paraId="39D37A55">
            <w:pPr>
              <w:pStyle w:val="24"/>
              <w:bidi w:val="0"/>
              <w:rPr>
                <w:rFonts w:hint="eastAsia" w:ascii="Times New Roman" w:hAnsi="Times New Roman" w:eastAsia="宋体" w:cs="Courier New"/>
                <w:b w:val="0"/>
                <w:bCs w:val="0"/>
                <w:color w:val="auto"/>
                <w:highlight w:val="none"/>
                <w:lang w:val="en-US" w:eastAsia="zh-CN"/>
              </w:rPr>
            </w:pPr>
          </w:p>
        </w:tc>
        <w:tc>
          <w:tcPr>
            <w:tcW w:w="532" w:type="pct"/>
            <w:tcBorders>
              <w:tl2br w:val="nil"/>
              <w:tr2bl w:val="nil"/>
            </w:tcBorders>
            <w:shd w:val="clear" w:color="auto" w:fill="auto"/>
            <w:noWrap/>
            <w:vAlign w:val="center"/>
          </w:tcPr>
          <w:p w14:paraId="02D6741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铁</w:t>
            </w:r>
          </w:p>
        </w:tc>
        <w:tc>
          <w:tcPr>
            <w:tcW w:w="623" w:type="pct"/>
            <w:tcBorders>
              <w:tl2br w:val="nil"/>
              <w:tr2bl w:val="nil"/>
            </w:tcBorders>
            <w:shd w:val="clear" w:color="auto" w:fill="auto"/>
            <w:noWrap/>
            <w:vAlign w:val="center"/>
          </w:tcPr>
          <w:p w14:paraId="1FBBE77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聚羧酸减水剂母液</w:t>
            </w:r>
          </w:p>
        </w:tc>
        <w:tc>
          <w:tcPr>
            <w:tcW w:w="643" w:type="pct"/>
            <w:tcBorders>
              <w:tl2br w:val="nil"/>
              <w:tr2bl w:val="nil"/>
            </w:tcBorders>
            <w:shd w:val="clear" w:color="auto" w:fill="auto"/>
            <w:noWrap/>
            <w:vAlign w:val="center"/>
          </w:tcPr>
          <w:p w14:paraId="6CC8A012">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21" w:type="pct"/>
            <w:tcBorders>
              <w:tl2br w:val="nil"/>
              <w:tr2bl w:val="nil"/>
            </w:tcBorders>
            <w:shd w:val="clear" w:color="auto" w:fill="auto"/>
            <w:noWrap/>
            <w:vAlign w:val="center"/>
          </w:tcPr>
          <w:p w14:paraId="2761009E">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1.08</w:t>
            </w:r>
          </w:p>
        </w:tc>
        <w:tc>
          <w:tcPr>
            <w:tcW w:w="522" w:type="pct"/>
            <w:tcBorders>
              <w:tl2br w:val="nil"/>
              <w:tr2bl w:val="nil"/>
            </w:tcBorders>
            <w:shd w:val="clear" w:color="auto" w:fill="auto"/>
            <w:noWrap/>
            <w:vAlign w:val="center"/>
          </w:tcPr>
          <w:p w14:paraId="070476F2">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kern w:val="2"/>
                <w:sz w:val="21"/>
                <w:szCs w:val="24"/>
                <w:highlight w:val="none"/>
                <w:lang w:val="en-US" w:eastAsia="zh-CN" w:bidi="ar-SA"/>
              </w:rPr>
              <w:t>45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0D321432">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0.000001</w:t>
            </w:r>
          </w:p>
        </w:tc>
        <w:tc>
          <w:tcPr>
            <w:tcW w:w="1144" w:type="dxa"/>
            <w:tcBorders>
              <w:tl2br w:val="nil"/>
              <w:tr2bl w:val="nil"/>
            </w:tcBorders>
            <w:shd w:val="clear" w:color="auto" w:fill="auto"/>
            <w:noWrap/>
            <w:vAlign w:val="center"/>
          </w:tcPr>
          <w:p w14:paraId="62B875FD">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1.08</w:t>
            </w:r>
          </w:p>
        </w:tc>
      </w:tr>
      <w:tr w14:paraId="406E7C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continue"/>
            <w:tcBorders>
              <w:tl2br w:val="nil"/>
              <w:tr2bl w:val="nil"/>
            </w:tcBorders>
            <w:shd w:val="clear" w:color="auto" w:fill="auto"/>
            <w:noWrap/>
            <w:vAlign w:val="center"/>
          </w:tcPr>
          <w:p w14:paraId="7D432582">
            <w:pPr>
              <w:pStyle w:val="24"/>
              <w:bidi w:val="0"/>
              <w:rPr>
                <w:rFonts w:hint="eastAsia" w:ascii="Times New Roman" w:hAnsi="Times New Roman" w:eastAsia="宋体" w:cs="Courier New"/>
                <w:b w:val="0"/>
                <w:bCs w:val="0"/>
                <w:color w:val="auto"/>
                <w:highlight w:val="none"/>
                <w:lang w:val="en-US" w:eastAsia="zh-CN"/>
              </w:rPr>
            </w:pPr>
          </w:p>
        </w:tc>
        <w:tc>
          <w:tcPr>
            <w:tcW w:w="532" w:type="pct"/>
            <w:tcBorders>
              <w:tl2br w:val="nil"/>
              <w:tr2bl w:val="nil"/>
            </w:tcBorders>
            <w:shd w:val="clear" w:color="auto" w:fill="auto"/>
            <w:noWrap/>
            <w:vAlign w:val="center"/>
          </w:tcPr>
          <w:p w14:paraId="6222117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总磷</w:t>
            </w:r>
          </w:p>
        </w:tc>
        <w:tc>
          <w:tcPr>
            <w:tcW w:w="623" w:type="pct"/>
            <w:tcBorders>
              <w:tl2br w:val="nil"/>
              <w:tr2bl w:val="nil"/>
            </w:tcBorders>
            <w:shd w:val="clear" w:color="auto" w:fill="auto"/>
            <w:noWrap/>
            <w:vAlign w:val="center"/>
          </w:tcPr>
          <w:p w14:paraId="3C80178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kern w:val="2"/>
                <w:sz w:val="21"/>
                <w:szCs w:val="24"/>
                <w:highlight w:val="none"/>
                <w:lang w:val="en-US" w:eastAsia="zh-CN" w:bidi="ar-SA"/>
              </w:rPr>
              <w:t>聚羧酸减水剂母液</w:t>
            </w:r>
          </w:p>
        </w:tc>
        <w:tc>
          <w:tcPr>
            <w:tcW w:w="643" w:type="pct"/>
            <w:tcBorders>
              <w:tl2br w:val="nil"/>
              <w:tr2bl w:val="nil"/>
            </w:tcBorders>
            <w:shd w:val="clear" w:color="auto" w:fill="auto"/>
            <w:noWrap/>
            <w:vAlign w:val="center"/>
          </w:tcPr>
          <w:p w14:paraId="64B05706">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w:t>
            </w:r>
          </w:p>
        </w:tc>
        <w:tc>
          <w:tcPr>
            <w:tcW w:w="821" w:type="pct"/>
            <w:tcBorders>
              <w:tl2br w:val="nil"/>
              <w:tr2bl w:val="nil"/>
            </w:tcBorders>
            <w:shd w:val="clear" w:color="auto" w:fill="auto"/>
            <w:noWrap/>
            <w:vAlign w:val="center"/>
          </w:tcPr>
          <w:p w14:paraId="47322BA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1.08</w:t>
            </w:r>
          </w:p>
        </w:tc>
        <w:tc>
          <w:tcPr>
            <w:tcW w:w="522" w:type="pct"/>
            <w:tcBorders>
              <w:tl2br w:val="nil"/>
              <w:tr2bl w:val="nil"/>
            </w:tcBorders>
            <w:shd w:val="clear" w:color="auto" w:fill="auto"/>
            <w:noWrap/>
            <w:vAlign w:val="center"/>
          </w:tcPr>
          <w:p w14:paraId="31C2F4A0">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45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65B5C35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highlight w:val="none"/>
                <w:lang w:val="en-US" w:eastAsia="zh-CN"/>
              </w:rPr>
              <w:t>0.0014</w:t>
            </w:r>
          </w:p>
        </w:tc>
        <w:tc>
          <w:tcPr>
            <w:tcW w:w="1144" w:type="dxa"/>
            <w:tcBorders>
              <w:tl2br w:val="nil"/>
              <w:tr2bl w:val="nil"/>
            </w:tcBorders>
            <w:shd w:val="clear" w:color="auto" w:fill="auto"/>
            <w:noWrap/>
            <w:vAlign w:val="center"/>
          </w:tcPr>
          <w:p w14:paraId="6E002E39">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1512</w:t>
            </w:r>
          </w:p>
        </w:tc>
      </w:tr>
      <w:tr w14:paraId="341A4E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2" w:hRule="atLeast"/>
        </w:trPr>
        <w:tc>
          <w:tcPr>
            <w:tcW w:w="545" w:type="pct"/>
            <w:vMerge w:val="continue"/>
            <w:tcBorders>
              <w:tl2br w:val="nil"/>
              <w:tr2bl w:val="nil"/>
            </w:tcBorders>
            <w:shd w:val="clear" w:color="auto" w:fill="auto"/>
            <w:noWrap/>
            <w:vAlign w:val="center"/>
          </w:tcPr>
          <w:p w14:paraId="16C02D9F">
            <w:pPr>
              <w:pStyle w:val="24"/>
              <w:bidi w:val="0"/>
              <w:rPr>
                <w:rFonts w:hint="eastAsia" w:ascii="Times New Roman" w:hAnsi="Times New Roman" w:eastAsia="宋体" w:cs="Courier New"/>
                <w:b w:val="0"/>
                <w:bCs w:val="0"/>
                <w:color w:val="auto"/>
                <w:highlight w:val="none"/>
                <w:lang w:val="en-US" w:eastAsia="zh-CN"/>
              </w:rPr>
            </w:pPr>
          </w:p>
        </w:tc>
        <w:tc>
          <w:tcPr>
            <w:tcW w:w="532" w:type="pct"/>
            <w:tcBorders>
              <w:tl2br w:val="nil"/>
              <w:tr2bl w:val="nil"/>
            </w:tcBorders>
            <w:shd w:val="clear" w:color="auto" w:fill="auto"/>
            <w:noWrap/>
            <w:vAlign w:val="center"/>
          </w:tcPr>
          <w:p w14:paraId="0FE6FF77">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铝</w:t>
            </w:r>
          </w:p>
        </w:tc>
        <w:tc>
          <w:tcPr>
            <w:tcW w:w="623" w:type="pct"/>
            <w:tcBorders>
              <w:tl2br w:val="nil"/>
              <w:tr2bl w:val="nil"/>
            </w:tcBorders>
            <w:shd w:val="clear" w:color="auto" w:fill="auto"/>
            <w:noWrap/>
            <w:vAlign w:val="center"/>
          </w:tcPr>
          <w:p w14:paraId="41C952B7">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有碱速凝剂</w:t>
            </w:r>
          </w:p>
        </w:tc>
        <w:tc>
          <w:tcPr>
            <w:tcW w:w="643" w:type="pct"/>
            <w:tcBorders>
              <w:tl2br w:val="nil"/>
              <w:tr2bl w:val="nil"/>
            </w:tcBorders>
            <w:shd w:val="clear" w:color="auto" w:fill="auto"/>
            <w:noWrap/>
            <w:vAlign w:val="center"/>
          </w:tcPr>
          <w:p w14:paraId="6812EA3B">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w:t>
            </w:r>
          </w:p>
        </w:tc>
        <w:tc>
          <w:tcPr>
            <w:tcW w:w="821" w:type="pct"/>
            <w:tcBorders>
              <w:tl2br w:val="nil"/>
              <w:tr2bl w:val="nil"/>
            </w:tcBorders>
            <w:shd w:val="clear" w:color="auto" w:fill="auto"/>
            <w:noWrap/>
            <w:vAlign w:val="center"/>
          </w:tcPr>
          <w:p w14:paraId="15BC1287">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1.4</w:t>
            </w:r>
          </w:p>
        </w:tc>
        <w:tc>
          <w:tcPr>
            <w:tcW w:w="522" w:type="pct"/>
            <w:tcBorders>
              <w:tl2br w:val="nil"/>
              <w:tr2bl w:val="nil"/>
            </w:tcBorders>
            <w:shd w:val="clear" w:color="auto" w:fill="auto"/>
            <w:noWrap/>
            <w:vAlign w:val="center"/>
          </w:tcPr>
          <w:p w14:paraId="70E706B2">
            <w:pPr>
              <w:pStyle w:val="24"/>
              <w:bidi w:val="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kern w:val="2"/>
                <w:sz w:val="21"/>
                <w:szCs w:val="24"/>
                <w:highlight w:val="none"/>
                <w:lang w:val="en-US" w:eastAsia="zh-CN" w:bidi="ar-SA"/>
              </w:rPr>
              <w:t>45</w:t>
            </w:r>
            <w:r>
              <w:rPr>
                <w:rFonts w:hint="eastAsia" w:ascii="Times New Roman" w:hAnsi="Times New Roman" w:eastAsia="宋体" w:cs="Courier New"/>
                <w:b w:val="0"/>
                <w:bCs w:val="0"/>
                <w:color w:val="auto"/>
                <w:highlight w:val="none"/>
                <w:lang w:val="en-US" w:eastAsia="zh-CN"/>
              </w:rPr>
              <w:t>m</w:t>
            </w:r>
            <w:r>
              <w:rPr>
                <w:rFonts w:hint="eastAsia" w:ascii="Times New Roman" w:hAnsi="Times New Roman" w:eastAsia="宋体" w:cs="Courier New"/>
                <w:b w:val="0"/>
                <w:bCs w:val="0"/>
                <w:color w:val="auto"/>
                <w:highlight w:val="none"/>
                <w:vertAlign w:val="superscript"/>
                <w:lang w:val="en-US" w:eastAsia="zh-CN"/>
              </w:rPr>
              <w:t>3</w:t>
            </w:r>
          </w:p>
        </w:tc>
        <w:tc>
          <w:tcPr>
            <w:tcW w:w="640" w:type="pct"/>
            <w:tcBorders>
              <w:tl2br w:val="nil"/>
              <w:tr2bl w:val="nil"/>
            </w:tcBorders>
            <w:shd w:val="clear" w:color="auto" w:fill="auto"/>
            <w:noWrap/>
            <w:vAlign w:val="center"/>
          </w:tcPr>
          <w:p w14:paraId="08AEF0F4">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0.0935</w:t>
            </w:r>
          </w:p>
        </w:tc>
        <w:tc>
          <w:tcPr>
            <w:tcW w:w="1144" w:type="dxa"/>
            <w:tcBorders>
              <w:tl2br w:val="nil"/>
              <w:tr2bl w:val="nil"/>
            </w:tcBorders>
            <w:shd w:val="clear" w:color="auto" w:fill="auto"/>
            <w:noWrap/>
            <w:vAlign w:val="center"/>
          </w:tcPr>
          <w:p w14:paraId="78F88BE1">
            <w:pPr>
              <w:pStyle w:val="24"/>
              <w:bidi w:val="0"/>
              <w:ind w:left="0" w:leftChars="0"/>
              <w:rPr>
                <w:rFonts w:hint="eastAsia"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130900</w:t>
            </w:r>
          </w:p>
        </w:tc>
      </w:tr>
    </w:tbl>
    <w:p w14:paraId="1CAD6223">
      <w:pPr>
        <w:pStyle w:val="6"/>
        <w:ind w:firstLine="482"/>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3</w:t>
      </w:r>
      <w:r>
        <w:rPr>
          <w:rFonts w:hint="eastAsia" w:ascii="Times New Roman" w:hAnsi="Times New Roman" w:eastAsia="宋体" w:cs="Times New Roman"/>
          <w:b/>
          <w:bCs/>
          <w:color w:val="auto"/>
          <w:highlight w:val="none"/>
          <w:lang w:val="en-US" w:eastAsia="zh-CN"/>
        </w:rPr>
        <w:t>、下渗量计算</w:t>
      </w:r>
    </w:p>
    <w:p w14:paraId="655150B8">
      <w:pPr>
        <w:pStyle w:val="26"/>
        <w:bidi w:val="0"/>
        <w:rPr>
          <w:rFonts w:hint="eastAsia"/>
          <w:color w:val="auto"/>
          <w:sz w:val="24"/>
          <w:highlight w:val="none"/>
          <w:lang w:val="en-US" w:eastAsia="zh-CN"/>
        </w:rPr>
      </w:pPr>
      <w:r>
        <w:rPr>
          <w:rFonts w:ascii="Times New Roman" w:hAnsi="Times New Roman" w:cs="Times New Roman"/>
          <w:color w:val="auto"/>
          <w:highlight w:val="none"/>
        </w:rPr>
        <w:t>非正常状况下，</w:t>
      </w:r>
      <w:r>
        <w:rPr>
          <w:rFonts w:hint="eastAsia"/>
          <w:color w:val="auto"/>
          <w:highlight w:val="none"/>
        </w:rPr>
        <w:t>罐区、仓库中液体</w:t>
      </w:r>
      <w:r>
        <w:rPr>
          <w:rFonts w:hint="eastAsia"/>
          <w:color w:val="auto"/>
          <w:highlight w:val="none"/>
          <w:lang w:val="en-US" w:eastAsia="zh-CN"/>
        </w:rPr>
        <w:t>物料</w:t>
      </w:r>
      <w:r>
        <w:rPr>
          <w:rFonts w:hint="eastAsia"/>
          <w:color w:val="auto"/>
          <w:highlight w:val="none"/>
        </w:rPr>
        <w:t>储存容器产生裂缝，并发生泄漏，</w:t>
      </w:r>
      <w:r>
        <w:rPr>
          <w:rFonts w:hint="eastAsia" w:ascii="Times New Roman" w:hAnsi="Times New Roman"/>
          <w:color w:val="auto"/>
          <w:sz w:val="24"/>
          <w:highlight w:val="none"/>
          <w:lang w:val="en-US" w:eastAsia="zh-CN"/>
        </w:rPr>
        <w:t>恰好发生泄漏处的地下水防渗层破裂或损坏</w:t>
      </w:r>
      <w:r>
        <w:rPr>
          <w:rFonts w:hint="eastAsia"/>
          <w:color w:val="auto"/>
          <w:sz w:val="24"/>
          <w:highlight w:val="none"/>
          <w:lang w:val="en-US" w:eastAsia="zh-CN"/>
        </w:rPr>
        <w:t>。</w:t>
      </w:r>
      <w:r>
        <w:rPr>
          <w:rFonts w:hint="eastAsia" w:ascii="Times New Roman" w:hAnsi="Times New Roman"/>
          <w:color w:val="auto"/>
          <w:szCs w:val="21"/>
          <w:highlight w:val="none"/>
        </w:rPr>
        <w:t>假设</w:t>
      </w:r>
      <w:r>
        <w:rPr>
          <w:rFonts w:hint="eastAsia" w:ascii="Times New Roman" w:hAnsi="Times New Roman"/>
          <w:color w:val="auto"/>
          <w:szCs w:val="21"/>
          <w:highlight w:val="none"/>
          <w:lang w:val="en-US" w:eastAsia="zh-CN"/>
        </w:rPr>
        <w:t>罐体</w:t>
      </w:r>
      <w:r>
        <w:rPr>
          <w:rFonts w:hint="eastAsia"/>
          <w:color w:val="auto"/>
          <w:szCs w:val="21"/>
          <w:highlight w:val="none"/>
          <w:lang w:val="en-US" w:eastAsia="zh-CN"/>
        </w:rPr>
        <w:t>/原料桶</w:t>
      </w:r>
      <w:r>
        <w:rPr>
          <w:rFonts w:hint="eastAsia" w:ascii="Times New Roman" w:hAnsi="Times New Roman"/>
          <w:color w:val="auto"/>
          <w:szCs w:val="21"/>
          <w:highlight w:val="none"/>
          <w:lang w:val="en-US" w:eastAsia="zh-CN"/>
        </w:rPr>
        <w:t>裂缝大小为其直径的10%</w:t>
      </w:r>
      <w:r>
        <w:rPr>
          <w:rFonts w:hint="eastAsia" w:ascii="Times New Roman" w:hAnsi="Times New Roman"/>
          <w:color w:val="auto"/>
          <w:szCs w:val="21"/>
          <w:highlight w:val="none"/>
        </w:rPr>
        <w:t>，防渗地面裂缝大小为</w:t>
      </w:r>
      <w:r>
        <w:rPr>
          <w:rFonts w:hint="eastAsia"/>
          <w:color w:val="auto"/>
          <w:szCs w:val="21"/>
          <w:highlight w:val="none"/>
          <w:lang w:eastAsia="zh-CN"/>
        </w:rPr>
        <w:t>泄漏</w:t>
      </w:r>
      <w:r>
        <w:rPr>
          <w:rFonts w:hint="eastAsia" w:ascii="Times New Roman" w:hAnsi="Times New Roman"/>
          <w:color w:val="auto"/>
          <w:szCs w:val="21"/>
          <w:highlight w:val="none"/>
        </w:rPr>
        <w:t>区域面积的10%</w:t>
      </w:r>
      <w:r>
        <w:rPr>
          <w:rFonts w:hint="eastAsia" w:ascii="Times New Roman" w:hAnsi="Times New Roman"/>
          <w:color w:val="auto"/>
          <w:szCs w:val="21"/>
          <w:highlight w:val="none"/>
          <w:lang w:eastAsia="zh-CN"/>
        </w:rPr>
        <w:t>。</w:t>
      </w:r>
    </w:p>
    <w:p w14:paraId="68766CD7">
      <w:pPr>
        <w:pStyle w:val="26"/>
        <w:bidi w:val="0"/>
        <w:rPr>
          <w:rFonts w:hint="eastAsia" w:ascii="Times New Roman" w:hAnsi="Times New Roman" w:cs="Times New Roman"/>
          <w:color w:val="auto"/>
          <w:sz w:val="24"/>
          <w:szCs w:val="24"/>
          <w:highlight w:val="none"/>
        </w:rPr>
      </w:pPr>
      <w:r>
        <w:rPr>
          <w:rFonts w:hint="eastAsia"/>
          <w:color w:val="auto"/>
          <w:highlight w:val="none"/>
        </w:rPr>
        <w:t>液体容器渗漏量可采用伯努利公式计算：</w:t>
      </w:r>
    </w:p>
    <w:p w14:paraId="616A3D8F">
      <w:pPr>
        <w:autoSpaceDE w:val="0"/>
        <w:autoSpaceDN w:val="0"/>
        <w:spacing w:line="360" w:lineRule="auto"/>
        <w:ind w:firstLine="480" w:firstLineChars="200"/>
        <w:jc w:val="center"/>
        <w:rPr>
          <w:rFonts w:hAnsi="Cambria Math" w:cs="Cambria Math"/>
          <w:color w:val="auto"/>
          <w:highlight w:val="none"/>
        </w:rPr>
      </w:pPr>
      <m:oMathPara>
        <m:oMath>
          <m:r>
            <m:rPr>
              <m:sty m:val="p"/>
            </m:rPr>
            <w:rPr>
              <w:rFonts w:ascii="Cambria Math" w:hAnsi="Cambria Math"/>
              <w:color w:val="auto"/>
              <w:highlight w:val="none"/>
            </w:rPr>
            <m:t>Q=</m:t>
          </m:r>
          <m:r>
            <m:rPr>
              <m:sty m:val="p"/>
            </m:rPr>
            <w:rPr>
              <w:rFonts w:ascii="Cambria Math" w:hAnsi="Cambria Math" w:cs="Cambria Math"/>
              <w:color w:val="auto"/>
              <w:highlight w:val="none"/>
            </w:rPr>
            <m:t>π</m:t>
          </m:r>
          <m:sSup>
            <m:sSupPr>
              <m:ctrlPr>
                <w:rPr>
                  <w:rFonts w:ascii="Cambria Math" w:hAnsi="Cambria Math" w:cs="Cambria Math"/>
                  <w:color w:val="auto"/>
                  <w:highlight w:val="none"/>
                </w:rPr>
              </m:ctrlPr>
            </m:sSupPr>
            <m:e>
              <m:r>
                <m:rPr>
                  <m:sty m:val="p"/>
                </m:rPr>
                <w:rPr>
                  <w:rFonts w:ascii="Cambria Math" w:hAnsi="Cambria Math" w:cs="Cambria Math"/>
                  <w:color w:val="auto"/>
                  <w:highlight w:val="none"/>
                </w:rPr>
                <m:t>R</m:t>
              </m:r>
              <m:ctrlPr>
                <w:rPr>
                  <w:rFonts w:ascii="Cambria Math" w:hAnsi="Cambria Math" w:cs="Cambria Math"/>
                  <w:color w:val="auto"/>
                  <w:highlight w:val="none"/>
                </w:rPr>
              </m:ctrlPr>
            </m:e>
            <m:sup>
              <m:r>
                <m:rPr>
                  <m:sty m:val="p"/>
                </m:rPr>
                <w:rPr>
                  <w:rFonts w:ascii="Cambria Math" w:hAnsi="Cambria Math" w:cs="Cambria Math"/>
                  <w:color w:val="auto"/>
                  <w:highlight w:val="none"/>
                </w:rPr>
                <m:t>2</m:t>
              </m:r>
              <m:ctrlPr>
                <w:rPr>
                  <w:rFonts w:ascii="Cambria Math" w:hAnsi="Cambria Math" w:cs="Cambria Math"/>
                  <w:color w:val="auto"/>
                  <w:highlight w:val="none"/>
                </w:rPr>
              </m:ctrlPr>
            </m:sup>
          </m:sSup>
          <m:rad>
            <m:radPr>
              <m:degHide m:val="1"/>
              <m:ctrlPr>
                <w:rPr>
                  <w:rFonts w:ascii="Cambria Math" w:hAnsi="Cambria Math" w:cs="Cambria Math"/>
                  <w:color w:val="auto"/>
                  <w:highlight w:val="none"/>
                </w:rPr>
              </m:ctrlPr>
            </m:radPr>
            <m:deg>
              <m:ctrlPr>
                <w:rPr>
                  <w:rFonts w:ascii="Cambria Math" w:hAnsi="Cambria Math" w:cs="Cambria Math"/>
                  <w:color w:val="auto"/>
                  <w:highlight w:val="none"/>
                </w:rPr>
              </m:ctrlPr>
            </m:deg>
            <m:e>
              <m:r>
                <m:rPr>
                  <m:sty m:val="p"/>
                </m:rPr>
                <w:rPr>
                  <w:rFonts w:ascii="Cambria Math" w:hAnsi="Cambria Math" w:cs="Cambria Math"/>
                  <w:color w:val="auto"/>
                  <w:highlight w:val="none"/>
                </w:rPr>
                <m:t>2</m:t>
              </m:r>
              <m:r>
                <m:rPr>
                  <m:sty m:val="p"/>
                </m:rPr>
                <w:rPr>
                  <w:rFonts w:hint="eastAsia" w:ascii="Cambria Math" w:hAnsi="Cambria Math" w:cs="Cambria Math"/>
                  <w:color w:val="auto"/>
                  <w:highlight w:val="none"/>
                </w:rPr>
                <m:t>gh</m:t>
              </m:r>
              <m:ctrlPr>
                <w:rPr>
                  <w:rFonts w:ascii="Cambria Math" w:hAnsi="Cambria Math" w:cs="Cambria Math"/>
                  <w:color w:val="auto"/>
                  <w:highlight w:val="none"/>
                </w:rPr>
              </m:ctrlPr>
            </m:e>
          </m:rad>
        </m:oMath>
      </m:oMathPara>
    </w:p>
    <w:p w14:paraId="52A71F4E">
      <w:pPr>
        <w:autoSpaceDE w:val="0"/>
        <w:autoSpaceDN w:val="0"/>
        <w:spacing w:line="360" w:lineRule="auto"/>
        <w:rPr>
          <w:rFonts w:ascii="Times New Roman" w:hAnsi="Times New Roman" w:cs="Times New Roman"/>
          <w:color w:val="auto"/>
          <w:highlight w:val="none"/>
        </w:rPr>
      </w:pPr>
      <w:r>
        <w:rPr>
          <w:rFonts w:hint="eastAsia" w:hAnsi="Cambria Math" w:cs="Cambria Math"/>
          <w:color w:val="auto"/>
          <w:highlight w:val="none"/>
        </w:rPr>
        <w:t>式中：</w:t>
      </w:r>
      <w:r>
        <w:rPr>
          <w:rFonts w:ascii="Times New Roman" w:hAnsi="Times New Roman" w:cs="Times New Roman"/>
          <w:color w:val="auto"/>
          <w:highlight w:val="none"/>
        </w:rPr>
        <w:t>Q</w:t>
      </w:r>
      <w:r>
        <w:rPr>
          <w:rFonts w:hint="eastAsia" w:ascii="Times New Roman" w:hAnsi="Times New Roman" w:cs="Times New Roman"/>
          <w:color w:val="auto"/>
          <w:highlight w:val="none"/>
        </w:rPr>
        <w:t>——</w:t>
      </w:r>
      <w:r>
        <w:rPr>
          <w:rFonts w:ascii="Times New Roman" w:hAnsi="Times New Roman" w:cs="Times New Roman"/>
          <w:color w:val="auto"/>
          <w:highlight w:val="none"/>
        </w:rPr>
        <w:t>体积泄漏量（m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/s）</w:t>
      </w:r>
      <w:r>
        <w:rPr>
          <w:rFonts w:hint="eastAsia" w:ascii="Times New Roman" w:hAnsi="Times New Roman" w:cs="Times New Roman"/>
          <w:color w:val="auto"/>
          <w:highlight w:val="none"/>
        </w:rPr>
        <w:t>；</w:t>
      </w:r>
    </w:p>
    <w:p w14:paraId="4D9EE062">
      <w:pPr>
        <w:autoSpaceDE w:val="0"/>
        <w:autoSpaceDN w:val="0"/>
        <w:spacing w:line="360" w:lineRule="auto"/>
        <w:ind w:firstLine="720" w:firstLineChars="300"/>
        <w:rPr>
          <w:rFonts w:ascii="Times New Roman" w:hAnsi="Times New Roman" w:cs="Times New Roman"/>
          <w:color w:val="auto"/>
          <w:highlight w:val="none"/>
        </w:rPr>
      </w:pPr>
      <w:r>
        <w:rPr>
          <w:rFonts w:ascii="Times New Roman" w:hAnsi="Times New Roman" w:cs="Times New Roman"/>
          <w:color w:val="auto"/>
          <w:highlight w:val="none"/>
        </w:rPr>
        <w:t>R</w:t>
      </w:r>
      <w:r>
        <w:rPr>
          <w:rFonts w:hint="eastAsia" w:ascii="Times New Roman" w:hAnsi="Times New Roman" w:cs="Times New Roman"/>
          <w:color w:val="auto"/>
          <w:highlight w:val="none"/>
        </w:rPr>
        <w:t>——</w:t>
      </w:r>
      <w:r>
        <w:rPr>
          <w:rFonts w:ascii="Times New Roman" w:hAnsi="Times New Roman" w:cs="Times New Roman"/>
          <w:color w:val="auto"/>
          <w:highlight w:val="none"/>
        </w:rPr>
        <w:t>裂缝半径（m）</w:t>
      </w:r>
      <w:r>
        <w:rPr>
          <w:rFonts w:hint="eastAsia" w:ascii="Times New Roman" w:hAnsi="Times New Roman" w:cs="Times New Roman"/>
          <w:color w:val="auto"/>
          <w:highlight w:val="none"/>
        </w:rPr>
        <w:t>；</w:t>
      </w:r>
    </w:p>
    <w:p w14:paraId="3F241837">
      <w:pPr>
        <w:autoSpaceDE w:val="0"/>
        <w:autoSpaceDN w:val="0"/>
        <w:spacing w:line="360" w:lineRule="auto"/>
        <w:ind w:firstLine="720" w:firstLineChars="300"/>
        <w:rPr>
          <w:rFonts w:ascii="Times New Roman" w:hAnsi="Times New Roman" w:cs="Times New Roman"/>
          <w:color w:val="auto"/>
          <w:highlight w:val="none"/>
        </w:rPr>
      </w:pPr>
      <w:r>
        <w:rPr>
          <w:rFonts w:ascii="Times New Roman" w:hAnsi="Times New Roman" w:cs="Times New Roman"/>
          <w:color w:val="auto"/>
          <w:highlight w:val="none"/>
        </w:rPr>
        <w:t>g</w:t>
      </w:r>
      <w:r>
        <w:rPr>
          <w:rFonts w:hint="eastAsia" w:ascii="Times New Roman" w:hAnsi="Times New Roman" w:cs="Times New Roman"/>
          <w:color w:val="auto"/>
          <w:highlight w:val="none"/>
        </w:rPr>
        <w:t>——</w:t>
      </w:r>
      <w:r>
        <w:rPr>
          <w:rFonts w:ascii="Times New Roman" w:hAnsi="Times New Roman" w:cs="Times New Roman"/>
          <w:color w:val="auto"/>
          <w:highlight w:val="none"/>
        </w:rPr>
        <w:t>重力加速度（m/s</w:t>
      </w:r>
      <w:r>
        <w:rPr>
          <w:rFonts w:ascii="Times New Roman" w:hAnsi="Times New Roman" w:cs="Times New Roman"/>
          <w:color w:val="auto"/>
          <w:highlight w:val="none"/>
          <w:vertAlign w:val="superscript"/>
        </w:rPr>
        <w:t>2</w:t>
      </w:r>
      <w:r>
        <w:rPr>
          <w:rFonts w:ascii="Times New Roman" w:hAnsi="Times New Roman" w:cs="Times New Roman"/>
          <w:color w:val="auto"/>
          <w:highlight w:val="none"/>
        </w:rPr>
        <w:t>）</w:t>
      </w:r>
      <w:r>
        <w:rPr>
          <w:rFonts w:hint="eastAsia" w:ascii="Times New Roman" w:hAnsi="Times New Roman" w:cs="Times New Roman"/>
          <w:color w:val="auto"/>
          <w:highlight w:val="none"/>
        </w:rPr>
        <w:t>；</w:t>
      </w:r>
    </w:p>
    <w:p w14:paraId="69B3EDC5">
      <w:pPr>
        <w:autoSpaceDE w:val="0"/>
        <w:autoSpaceDN w:val="0"/>
        <w:spacing w:line="360" w:lineRule="auto"/>
        <w:ind w:firstLine="720" w:firstLineChars="300"/>
        <w:rPr>
          <w:rFonts w:hAnsi="Cambria Math" w:cs="Cambria Math"/>
          <w:color w:val="auto"/>
          <w:highlight w:val="none"/>
        </w:rPr>
      </w:pPr>
      <w:r>
        <w:rPr>
          <w:rFonts w:ascii="Times New Roman" w:hAnsi="Times New Roman" w:cs="Times New Roman"/>
          <w:color w:val="auto"/>
          <w:highlight w:val="none"/>
        </w:rPr>
        <w:t>h</w:t>
      </w:r>
      <w:r>
        <w:rPr>
          <w:rFonts w:hint="eastAsia" w:ascii="Times New Roman" w:hAnsi="Times New Roman" w:cs="Times New Roman"/>
          <w:color w:val="auto"/>
          <w:highlight w:val="none"/>
        </w:rPr>
        <w:t>——</w:t>
      </w:r>
      <w:r>
        <w:rPr>
          <w:rFonts w:ascii="Times New Roman" w:hAnsi="Times New Roman" w:cs="Times New Roman"/>
          <w:color w:val="auto"/>
          <w:highlight w:val="none"/>
        </w:rPr>
        <w:t>液面到裂缝的垂直高度（m）</w:t>
      </w:r>
      <w:r>
        <w:rPr>
          <w:rFonts w:hint="eastAsia" w:ascii="Times New Roman" w:hAnsi="Times New Roman" w:cs="Times New Roman"/>
          <w:color w:val="auto"/>
          <w:highlight w:val="none"/>
        </w:rPr>
        <w:t>。</w:t>
      </w:r>
    </w:p>
    <w:p w14:paraId="2A449A10">
      <w:pPr>
        <w:pStyle w:val="26"/>
        <w:bidi w:val="0"/>
        <w:rPr>
          <w:rFonts w:ascii="Times New Roman" w:hAnsi="Times New Roman" w:cs="Times New Roman"/>
          <w:color w:val="auto"/>
        </w:rPr>
      </w:pPr>
      <w:r>
        <w:rPr>
          <w:rFonts w:hint="eastAsia" w:ascii="Times New Roman" w:hAnsi="Times New Roman" w:cs="Times New Roman"/>
          <w:color w:val="auto"/>
          <w:highlight w:val="none"/>
          <w:lang w:val="en-US" w:eastAsia="zh-CN"/>
        </w:rPr>
        <w:t>非</w:t>
      </w:r>
      <w:r>
        <w:rPr>
          <w:rFonts w:ascii="Times New Roman" w:hAnsi="Times New Roman" w:cs="Times New Roman"/>
          <w:color w:val="auto"/>
          <w:highlight w:val="none"/>
        </w:rPr>
        <w:t>正常状况下，</w:t>
      </w:r>
      <w:r>
        <w:rPr>
          <w:rFonts w:hint="eastAsia" w:ascii="Times New Roman" w:hAnsi="Times New Roman" w:cs="Times New Roman"/>
          <w:color w:val="auto"/>
          <w:highlight w:val="none"/>
          <w:lang w:val="en-US" w:eastAsia="zh-CN"/>
        </w:rPr>
        <w:t>废液</w:t>
      </w:r>
      <w:r>
        <w:rPr>
          <w:rFonts w:ascii="Times New Roman" w:hAnsi="Times New Roman" w:cs="Times New Roman"/>
          <w:color w:val="auto"/>
          <w:highlight w:val="none"/>
        </w:rPr>
        <w:t>穿过防渗层及包气带，渗漏进入含水层</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废液</w:t>
      </w:r>
      <w:r>
        <w:rPr>
          <w:rFonts w:ascii="Times New Roman" w:hAnsi="Times New Roman" w:cs="Times New Roman"/>
          <w:color w:val="auto"/>
          <w:highlight w:val="none"/>
        </w:rPr>
        <w:t>下渗量可采用基于达西定律具有防渗层条件的下渗量估算公式进行估算：</w:t>
      </w:r>
    </w:p>
    <w:p w14:paraId="62406113">
      <w:pPr>
        <w:pStyle w:val="26"/>
        <w:bidi w:val="0"/>
        <w:ind w:left="0" w:leftChars="0" w:firstLine="0" w:firstLineChars="0"/>
        <w:jc w:val="center"/>
        <w:rPr>
          <w:rFonts w:ascii="Times New Roman" w:hAnsi="Times New Roman" w:cs="Times New Roman"/>
          <w:color w:val="auto"/>
        </w:rPr>
      </w:pPr>
      <w:r>
        <w:rPr>
          <w:rFonts w:ascii="Times New Roman" w:hAnsi="Times New Roman" w:cs="Times New Roman"/>
          <w:color w:val="auto"/>
        </w:rPr>
        <w:drawing>
          <wp:inline distT="0" distB="0" distL="0" distR="0">
            <wp:extent cx="2783205" cy="2284095"/>
            <wp:effectExtent l="0" t="0" r="17145" b="1905"/>
            <wp:docPr id="570933369" name="图片 91" descr="说明: C:\Users\Fei-Wang\Desktop\1\池体构筑物渗透示意图-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33369" name="图片 91" descr="说明: C:\Users\Fei-Wang\Desktop\1\池体构筑物渗透示意图-Model.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2783205" cy="2284095"/>
                    </a:xfrm>
                    <a:prstGeom prst="rect">
                      <a:avLst/>
                    </a:prstGeom>
                    <a:noFill/>
                    <a:ln>
                      <a:noFill/>
                    </a:ln>
                  </pic:spPr>
                </pic:pic>
              </a:graphicData>
            </a:graphic>
          </wp:inline>
        </w:drawing>
      </w:r>
    </w:p>
    <w:p w14:paraId="34018CC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有防渗层条件的构筑物污水下渗示意图</w:t>
      </w:r>
    </w:p>
    <w:p w14:paraId="2DD95DA7">
      <w:pPr>
        <w:pStyle w:val="26"/>
        <w:bidi w:val="0"/>
        <w:ind w:left="0" w:leftChars="0"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①未破损区下渗量估算公式：</w:t>
      </w:r>
    </w:p>
    <w:p w14:paraId="7EE1E70C">
      <w:pPr>
        <w:pStyle w:val="26"/>
        <w:bidi w:val="0"/>
        <w:ind w:left="0" w:leftChars="0" w:firstLine="0" w:firstLineChars="0"/>
        <w:jc w:val="center"/>
        <w:rPr>
          <w:rFonts w:ascii="Times New Roman" w:hAnsi="Times New Roman" w:cs="Times New Roman"/>
          <w:color w:val="auto"/>
        </w:rPr>
      </w:pPr>
      <w:r>
        <w:rPr>
          <w:rFonts w:ascii="Times New Roman" w:hAnsi="Times New Roman" w:cs="Times New Roman"/>
          <w:color w:val="auto"/>
        </w:rPr>
        <w:drawing>
          <wp:inline distT="0" distB="0" distL="114300" distR="114300">
            <wp:extent cx="1104900" cy="600075"/>
            <wp:effectExtent l="0" t="0" r="0" b="0"/>
            <wp:docPr id="89" name="图片 8"/>
            <wp:cNvGraphicFramePr/>
            <a:graphic xmlns:a="http://schemas.openxmlformats.org/drawingml/2006/main">
              <a:graphicData uri="http://schemas.openxmlformats.org/drawingml/2006/picture">
                <pic:pic xmlns:pic="http://schemas.openxmlformats.org/drawingml/2006/picture">
                  <pic:nvPicPr>
                    <pic:cNvPr id="89" name="图片 8"/>
                    <pic:cNvPicPr/>
                  </pic:nvPicPr>
                  <pic:blipFill>
                    <a:blip r:embed="rId99"/>
                    <a:stretch>
                      <a:fillRect/>
                    </a:stretch>
                  </pic:blipFill>
                  <pic:spPr>
                    <a:xfrm>
                      <a:off x="0" y="0"/>
                      <a:ext cx="1104900" cy="600075"/>
                    </a:xfrm>
                    <a:prstGeom prst="rect">
                      <a:avLst/>
                    </a:prstGeom>
                    <a:noFill/>
                    <a:ln>
                      <a:noFill/>
                    </a:ln>
                  </pic:spPr>
                </pic:pic>
              </a:graphicData>
            </a:graphic>
          </wp:inline>
        </w:drawing>
      </w:r>
    </w:p>
    <w:p w14:paraId="34CC31F7">
      <w:pPr>
        <w:pStyle w:val="26"/>
        <w:bidi w:val="0"/>
        <w:jc w:val="center"/>
        <w:rPr>
          <w:rFonts w:ascii="Times New Roman" w:hAnsi="Times New Roman" w:cs="Times New Roman"/>
          <w:color w:val="auto"/>
        </w:rPr>
      </w:pPr>
      <w:r>
        <w:rPr>
          <w:rFonts w:ascii="Times New Roman" w:hAnsi="Times New Roman" w:cs="Times New Roman"/>
          <w:color w:val="auto"/>
        </w:rPr>
        <w:drawing>
          <wp:inline distT="0" distB="0" distL="114300" distR="114300">
            <wp:extent cx="1390650" cy="600075"/>
            <wp:effectExtent l="0" t="0" r="0" b="0"/>
            <wp:docPr id="90" name="图片 9"/>
            <wp:cNvGraphicFramePr/>
            <a:graphic xmlns:a="http://schemas.openxmlformats.org/drawingml/2006/main">
              <a:graphicData uri="http://schemas.openxmlformats.org/drawingml/2006/picture">
                <pic:pic xmlns:pic="http://schemas.openxmlformats.org/drawingml/2006/picture">
                  <pic:nvPicPr>
                    <pic:cNvPr id="90" name="图片 9"/>
                    <pic:cNvPicPr/>
                  </pic:nvPicPr>
                  <pic:blipFill>
                    <a:blip r:embed="rId100"/>
                    <a:stretch>
                      <a:fillRect/>
                    </a:stretch>
                  </pic:blipFill>
                  <pic:spPr>
                    <a:xfrm>
                      <a:off x="0" y="0"/>
                      <a:ext cx="1390650" cy="600075"/>
                    </a:xfrm>
                    <a:prstGeom prst="rect">
                      <a:avLst/>
                    </a:prstGeom>
                    <a:noFill/>
                    <a:ln>
                      <a:noFill/>
                    </a:ln>
                  </pic:spPr>
                </pic:pic>
              </a:graphicData>
            </a:graphic>
          </wp:inline>
        </w:drawing>
      </w:r>
    </w:p>
    <w:p w14:paraId="1ACA6C9A">
      <w:pPr>
        <w:pStyle w:val="26"/>
        <w:bidi w:val="0"/>
        <w:ind w:left="0" w:leftChars="0" w:firstLine="480" w:firstLineChars="200"/>
        <w:rPr>
          <w:rFonts w:hint="default" w:ascii="Times New Roman" w:hAnsi="Times New Roman" w:cs="Times New Roman"/>
          <w:color w:val="auto"/>
          <w:lang w:val="en-US"/>
        </w:rPr>
      </w:pPr>
      <w:r>
        <w:rPr>
          <w:rFonts w:hint="eastAsia" w:ascii="Times New Roman" w:hAnsi="Times New Roman" w:cs="Times New Roman"/>
          <w:color w:val="auto"/>
          <w:lang w:val="en-US" w:eastAsia="zh-CN"/>
        </w:rPr>
        <w:t>②</w:t>
      </w:r>
      <w:r>
        <w:rPr>
          <w:rFonts w:hint="eastAsia" w:cs="Times New Roman"/>
          <w:color w:val="auto"/>
          <w:lang w:val="en-US" w:eastAsia="zh-CN"/>
        </w:rPr>
        <w:t>破损区</w:t>
      </w:r>
      <w:r>
        <w:rPr>
          <w:rFonts w:hint="eastAsia" w:ascii="Times New Roman" w:hAnsi="Times New Roman" w:cs="Times New Roman"/>
          <w:color w:val="auto"/>
          <w:lang w:val="en-US" w:eastAsia="zh-CN"/>
        </w:rPr>
        <w:t>下渗量估算公式</w:t>
      </w:r>
      <w:r>
        <w:rPr>
          <w:rFonts w:hint="eastAsia" w:cs="Times New Roman"/>
          <w:color w:val="auto"/>
          <w:lang w:val="en-US" w:eastAsia="zh-CN"/>
        </w:rPr>
        <w:t>：</w:t>
      </w:r>
    </w:p>
    <w:p w14:paraId="087703CD">
      <w:pPr>
        <w:pStyle w:val="26"/>
        <w:bidi w:val="0"/>
        <w:jc w:val="center"/>
        <w:rPr>
          <w:rFonts w:ascii="Times New Roman" w:hAnsi="Times New Roman" w:cs="Times New Roman"/>
          <w:color w:val="auto"/>
          <w:sz w:val="24"/>
          <w:szCs w:val="24"/>
          <w:highlight w:val="none"/>
        </w:rPr>
      </w:pPr>
      <w:r>
        <w:rPr>
          <w:rFonts w:ascii="Times New Roman" w:hAnsi="Times New Roman" w:cs="Times New Roman"/>
          <w:color w:val="auto"/>
        </w:rPr>
        <w:drawing>
          <wp:inline distT="0" distB="0" distL="114300" distR="114300">
            <wp:extent cx="1162050" cy="600075"/>
            <wp:effectExtent l="0" t="0" r="0" b="0"/>
            <wp:docPr id="91" name="图片 10"/>
            <wp:cNvGraphicFramePr/>
            <a:graphic xmlns:a="http://schemas.openxmlformats.org/drawingml/2006/main">
              <a:graphicData uri="http://schemas.openxmlformats.org/drawingml/2006/picture">
                <pic:pic xmlns:pic="http://schemas.openxmlformats.org/drawingml/2006/picture">
                  <pic:nvPicPr>
                    <pic:cNvPr id="91" name="图片 10"/>
                    <pic:cNvPicPr/>
                  </pic:nvPicPr>
                  <pic:blipFill>
                    <a:blip r:embed="rId101"/>
                    <a:stretch>
                      <a:fillRect/>
                    </a:stretch>
                  </pic:blipFill>
                  <pic:spPr>
                    <a:xfrm>
                      <a:off x="0" y="0"/>
                      <a:ext cx="1162050" cy="600075"/>
                    </a:xfrm>
                    <a:prstGeom prst="rect">
                      <a:avLst/>
                    </a:prstGeom>
                    <a:noFill/>
                    <a:ln>
                      <a:noFill/>
                    </a:ln>
                  </pic:spPr>
                </pic:pic>
              </a:graphicData>
            </a:graphic>
          </wp:inline>
        </w:drawing>
      </w:r>
    </w:p>
    <w:p w14:paraId="158516BC">
      <w:pPr>
        <w:autoSpaceDE w:val="0"/>
        <w:autoSpaceDN w:val="0"/>
        <w:adjustRightInd w:val="0"/>
        <w:spacing w:line="360" w:lineRule="auto"/>
        <w:rPr>
          <w:rFonts w:ascii="Times New Roman" w:hAnsi="Times New Roman" w:cs="Times New Roman"/>
          <w:color w:val="auto"/>
        </w:rPr>
      </w:pPr>
      <w:r>
        <w:rPr>
          <w:rFonts w:hint="eastAsia" w:ascii="Times New Roman" w:hAnsi="Times New Roman" w:cs="Times New Roman"/>
          <w:color w:val="auto"/>
          <w:sz w:val="24"/>
          <w:szCs w:val="24"/>
          <w:highlight w:val="none"/>
        </w:rPr>
        <w:t>式中：</w:t>
      </w:r>
      <w:r>
        <w:rPr>
          <w:rFonts w:ascii="Times New Roman" w:hAnsi="Times New Roman" w:cs="Times New Roman"/>
          <w:color w:val="auto"/>
        </w:rPr>
        <w:t>K</w:t>
      </w:r>
      <w:r>
        <w:rPr>
          <w:rFonts w:ascii="Times New Roman" w:hAnsi="Times New Roman" w:cs="Times New Roman"/>
          <w:color w:val="auto"/>
          <w:vertAlign w:val="subscript"/>
        </w:rPr>
        <w:t>1</w:t>
      </w:r>
      <w:r>
        <w:rPr>
          <w:rFonts w:ascii="Times New Roman" w:hAnsi="Times New Roman" w:cs="Times New Roman"/>
          <w:color w:val="auto"/>
        </w:rPr>
        <w:t>—防渗层渗透系数（m/d）；</w:t>
      </w:r>
    </w:p>
    <w:p w14:paraId="2DC5EF75">
      <w:pPr>
        <w:autoSpaceDE w:val="0"/>
        <w:autoSpaceDN w:val="0"/>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K</w:t>
      </w:r>
      <w:r>
        <w:rPr>
          <w:rFonts w:ascii="Times New Roman" w:hAnsi="Times New Roman" w:cs="Times New Roman"/>
          <w:color w:val="auto"/>
          <w:vertAlign w:val="subscript"/>
        </w:rPr>
        <w:t>2</w:t>
      </w:r>
      <w:r>
        <w:rPr>
          <w:rFonts w:ascii="Times New Roman" w:hAnsi="Times New Roman" w:cs="Times New Roman"/>
          <w:color w:val="auto"/>
        </w:rPr>
        <w:t>—包气带渗透系数（m/d）；</w:t>
      </w:r>
    </w:p>
    <w:p w14:paraId="1D802815">
      <w:pPr>
        <w:autoSpaceDE w:val="0"/>
        <w:autoSpaceDN w:val="0"/>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h</w:t>
      </w:r>
      <w:r>
        <w:rPr>
          <w:rFonts w:ascii="Times New Roman" w:hAnsi="Times New Roman" w:cs="Times New Roman"/>
          <w:color w:val="auto"/>
          <w:vertAlign w:val="subscript"/>
        </w:rPr>
        <w:t>池</w:t>
      </w:r>
      <w:r>
        <w:rPr>
          <w:rFonts w:ascii="Times New Roman" w:hAnsi="Times New Roman" w:cs="Times New Roman"/>
          <w:color w:val="auto"/>
        </w:rPr>
        <w:t>—池体内水头高度；</w:t>
      </w:r>
    </w:p>
    <w:p w14:paraId="588E7988">
      <w:pPr>
        <w:autoSpaceDE w:val="0"/>
        <w:autoSpaceDN w:val="0"/>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h</w:t>
      </w:r>
      <w:r>
        <w:rPr>
          <w:rFonts w:ascii="Times New Roman" w:hAnsi="Times New Roman" w:cs="Times New Roman"/>
          <w:color w:val="auto"/>
          <w:vertAlign w:val="subscript"/>
        </w:rPr>
        <w:t>1</w:t>
      </w:r>
      <w:r>
        <w:rPr>
          <w:rFonts w:ascii="Times New Roman" w:hAnsi="Times New Roman" w:cs="Times New Roman"/>
          <w:color w:val="auto"/>
        </w:rPr>
        <w:t>—池内水头克服防渗层阻力后，防渗层底板水头（m）；</w:t>
      </w:r>
    </w:p>
    <w:p w14:paraId="6CD93051">
      <w:pPr>
        <w:autoSpaceDE w:val="0"/>
        <w:autoSpaceDN w:val="0"/>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Q—池体内废水渗漏量（m</w:t>
      </w:r>
      <w:r>
        <w:rPr>
          <w:rFonts w:ascii="Times New Roman" w:hAnsi="Times New Roman" w:cs="Times New Roman"/>
          <w:color w:val="auto"/>
          <w:vertAlign w:val="superscript"/>
        </w:rPr>
        <w:t>3</w:t>
      </w:r>
      <w:r>
        <w:rPr>
          <w:rFonts w:ascii="Times New Roman" w:hAnsi="Times New Roman" w:cs="Times New Roman"/>
          <w:color w:val="auto"/>
        </w:rPr>
        <w:t>/d）；</w:t>
      </w:r>
    </w:p>
    <w:p w14:paraId="631F926D">
      <w:pPr>
        <w:autoSpaceDE w:val="0"/>
        <w:autoSpaceDN w:val="0"/>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h</w:t>
      </w:r>
      <w:r>
        <w:rPr>
          <w:rFonts w:ascii="Times New Roman" w:hAnsi="Times New Roman" w:cs="Times New Roman"/>
          <w:color w:val="auto"/>
          <w:vertAlign w:val="subscript"/>
        </w:rPr>
        <w:t>防</w:t>
      </w:r>
      <w:r>
        <w:rPr>
          <w:rFonts w:ascii="Times New Roman" w:hAnsi="Times New Roman" w:cs="Times New Roman"/>
          <w:color w:val="auto"/>
        </w:rPr>
        <w:t xml:space="preserve">—防渗层厚度（m）； </w:t>
      </w:r>
    </w:p>
    <w:p w14:paraId="4D415B4E">
      <w:pPr>
        <w:autoSpaceDE w:val="0"/>
        <w:autoSpaceDN w:val="0"/>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h</w:t>
      </w:r>
      <w:r>
        <w:rPr>
          <w:rFonts w:ascii="Times New Roman" w:hAnsi="Times New Roman" w:cs="Times New Roman"/>
          <w:color w:val="auto"/>
          <w:vertAlign w:val="subscript"/>
        </w:rPr>
        <w:t>包</w:t>
      </w:r>
      <w:r>
        <w:rPr>
          <w:rFonts w:ascii="Times New Roman" w:hAnsi="Times New Roman" w:cs="Times New Roman"/>
          <w:color w:val="auto"/>
        </w:rPr>
        <w:t>—包气带厚度（m）；</w:t>
      </w:r>
    </w:p>
    <w:p w14:paraId="487BF995">
      <w:pPr>
        <w:pStyle w:val="26"/>
        <w:bidi w:val="0"/>
        <w:ind w:firstLine="1200" w:firstLineChars="500"/>
        <w:rPr>
          <w:rFonts w:hint="eastAsia"/>
          <w:color w:val="auto"/>
          <w:sz w:val="24"/>
          <w:highlight w:val="none"/>
          <w:lang w:val="en-US" w:eastAsia="zh-CN"/>
        </w:rPr>
      </w:pPr>
      <w:r>
        <w:rPr>
          <w:rFonts w:ascii="Times New Roman" w:hAnsi="Times New Roman" w:cs="Times New Roman"/>
          <w:color w:val="auto"/>
        </w:rPr>
        <w:t>A—面积（m</w:t>
      </w:r>
      <w:r>
        <w:rPr>
          <w:rFonts w:ascii="Times New Roman" w:hAnsi="Times New Roman" w:cs="Times New Roman"/>
          <w:color w:val="auto"/>
          <w:vertAlign w:val="superscript"/>
        </w:rPr>
        <w:t>2</w:t>
      </w:r>
      <w:r>
        <w:rPr>
          <w:rFonts w:ascii="Times New Roman" w:hAnsi="Times New Roman" w:cs="Times New Roman"/>
          <w:color w:val="auto"/>
        </w:rPr>
        <w:t>）。</w:t>
      </w:r>
    </w:p>
    <w:p w14:paraId="0B2D49E7">
      <w:pPr>
        <w:pStyle w:val="26"/>
        <w:bidi w:val="0"/>
        <w:rPr>
          <w:rFonts w:hint="eastAsia" w:ascii="Times New Roman" w:hAnsi="Times New Roman"/>
          <w:color w:val="auto"/>
          <w:sz w:val="24"/>
          <w:highlight w:val="none"/>
        </w:rPr>
      </w:pPr>
      <w:r>
        <w:rPr>
          <w:rFonts w:hint="eastAsia" w:ascii="Times New Roman" w:hAnsi="Times New Roman" w:cs="Times New Roman"/>
          <w:color w:val="auto"/>
          <w:highlight w:val="none"/>
          <w:lang w:val="en-US" w:eastAsia="zh-CN"/>
        </w:rPr>
        <w:t>本</w:t>
      </w:r>
      <w:r>
        <w:rPr>
          <w:rFonts w:hint="eastAsia" w:ascii="Times New Roman" w:hAnsi="Times New Roman" w:cs="Times New Roman"/>
          <w:color w:val="auto"/>
          <w:highlight w:val="none"/>
        </w:rPr>
        <w:t>项目</w:t>
      </w:r>
      <w:r>
        <w:rPr>
          <w:rFonts w:hint="eastAsia"/>
          <w:color w:val="auto"/>
          <w:highlight w:val="none"/>
        </w:rPr>
        <w:t>仓库占地</w:t>
      </w:r>
      <w:r>
        <w:rPr>
          <w:rFonts w:hint="eastAsia"/>
          <w:color w:val="auto"/>
          <w:highlight w:val="none"/>
          <w:lang w:val="en-US" w:eastAsia="zh-CN"/>
        </w:rPr>
        <w:t>面积1923</w:t>
      </w:r>
      <w:r>
        <w:rPr>
          <w:color w:val="auto"/>
          <w:highlight w:val="none"/>
        </w:rPr>
        <w:t>m</w:t>
      </w:r>
      <w:r>
        <w:rPr>
          <w:color w:val="auto"/>
          <w:highlight w:val="none"/>
          <w:vertAlign w:val="superscript"/>
        </w:rPr>
        <w:t>2</w:t>
      </w:r>
      <w:r>
        <w:rPr>
          <w:rFonts w:hint="eastAsia"/>
          <w:color w:val="auto"/>
          <w:highlight w:val="none"/>
        </w:rPr>
        <w:t>、罐区</w:t>
      </w:r>
      <w:r>
        <w:rPr>
          <w:rFonts w:hint="eastAsia"/>
          <w:color w:val="auto"/>
          <w:highlight w:val="none"/>
          <w:lang w:val="en-US" w:eastAsia="zh-CN"/>
        </w:rPr>
        <w:t>总</w:t>
      </w:r>
      <w:r>
        <w:rPr>
          <w:rFonts w:hint="eastAsia"/>
          <w:color w:val="auto"/>
          <w:highlight w:val="none"/>
        </w:rPr>
        <w:t>占地</w:t>
      </w:r>
      <w:r>
        <w:rPr>
          <w:rFonts w:hint="eastAsia"/>
          <w:color w:val="auto"/>
          <w:highlight w:val="none"/>
          <w:lang w:val="en-US" w:eastAsia="zh-CN"/>
        </w:rPr>
        <w:t>面积636.4</w:t>
      </w:r>
      <w:r>
        <w:rPr>
          <w:color w:val="auto"/>
          <w:highlight w:val="none"/>
        </w:rPr>
        <w:t>m</w:t>
      </w:r>
      <w:r>
        <w:rPr>
          <w:color w:val="auto"/>
          <w:highlight w:val="none"/>
          <w:vertAlign w:val="superscript"/>
        </w:rPr>
        <w:t>2</w:t>
      </w:r>
      <w:r>
        <w:rPr>
          <w:rFonts w:hint="eastAsia" w:ascii="Times New Roman" w:hAnsi="Times New Roman" w:cs="Times New Roman"/>
          <w:color w:val="auto"/>
          <w:highlight w:val="none"/>
          <w:lang w:eastAsia="zh-CN"/>
        </w:rPr>
        <w:t>；</w:t>
      </w:r>
      <w:r>
        <w:rPr>
          <w:rFonts w:hint="eastAsia" w:cs="Times New Roman"/>
          <w:color w:val="auto"/>
          <w:highlight w:val="none"/>
          <w:lang w:val="en-US" w:eastAsia="zh-CN"/>
        </w:rPr>
        <w:t>三乙醇胺</w:t>
      </w:r>
      <w:r>
        <w:rPr>
          <w:rFonts w:hint="eastAsia" w:ascii="Times New Roman" w:hAnsi="Times New Roman" w:cs="Times New Roman"/>
          <w:color w:val="auto"/>
          <w:highlight w:val="none"/>
          <w:lang w:val="en-US" w:eastAsia="zh-CN"/>
        </w:rPr>
        <w:t>包装桶规格为200kg；</w:t>
      </w:r>
      <w:r>
        <w:rPr>
          <w:rFonts w:hint="eastAsia" w:cs="Times New Roman"/>
          <w:color w:val="auto"/>
          <w:highlight w:val="none"/>
          <w:lang w:val="en-US" w:eastAsia="zh-CN"/>
        </w:rPr>
        <w:t>氢氧化钠</w:t>
      </w:r>
      <w:r>
        <w:rPr>
          <w:rFonts w:hint="eastAsia" w:ascii="Times New Roman" w:hAnsi="Times New Roman" w:cs="Times New Roman"/>
          <w:color w:val="auto"/>
          <w:highlight w:val="none"/>
        </w:rPr>
        <w:t>、</w:t>
      </w:r>
      <w:r>
        <w:rPr>
          <w:rFonts w:hint="eastAsia" w:cs="Times New Roman"/>
          <w:color w:val="auto"/>
          <w:highlight w:val="none"/>
          <w:lang w:val="en-US" w:eastAsia="zh-CN"/>
        </w:rPr>
        <w:t>浓</w:t>
      </w:r>
      <w:r>
        <w:rPr>
          <w:rFonts w:hint="eastAsia" w:ascii="Times New Roman" w:hAnsi="Times New Roman" w:cs="Times New Roman"/>
          <w:color w:val="auto"/>
          <w:highlight w:val="none"/>
        </w:rPr>
        <w:t>硫酸</w:t>
      </w:r>
      <w:r>
        <w:rPr>
          <w:rFonts w:hint="eastAsia" w:ascii="Times New Roman" w:hAnsi="Times New Roman" w:cs="Times New Roman"/>
          <w:color w:val="auto"/>
          <w:highlight w:val="none"/>
          <w:lang w:val="en-US" w:eastAsia="zh-CN"/>
        </w:rPr>
        <w:t>储罐容积为4</w:t>
      </w:r>
      <w:r>
        <w:rPr>
          <w:rFonts w:hint="eastAsia" w:cs="Times New Roman"/>
          <w:color w:val="auto"/>
          <w:highlight w:val="none"/>
          <w:lang w:val="en-US" w:eastAsia="zh-CN"/>
        </w:rPr>
        <w:t>5</w:t>
      </w:r>
      <w:r>
        <w:rPr>
          <w:rFonts w:hint="eastAsia" w:ascii="Times New Roman" w:hAnsi="Times New Roman" w:cs="Times New Roman"/>
          <w:color w:val="auto"/>
          <w:highlight w:val="none"/>
        </w:rPr>
        <w:t>m</w:t>
      </w:r>
      <w:r>
        <w:rPr>
          <w:rFonts w:hint="eastAsia" w:cs="Times New Roman"/>
          <w:color w:val="auto"/>
          <w:highlight w:val="none"/>
          <w:vertAlign w:val="superscript"/>
          <w:lang w:val="en-US" w:eastAsia="zh-CN"/>
        </w:rPr>
        <w:t>3</w:t>
      </w:r>
      <w:r>
        <w:rPr>
          <w:rFonts w:hint="eastAsia" w:cs="Times New Roman"/>
          <w:color w:val="auto"/>
          <w:highlight w:val="none"/>
          <w:lang w:eastAsia="zh-CN"/>
        </w:rPr>
        <w:t>；</w:t>
      </w:r>
      <w:r>
        <w:rPr>
          <w:rFonts w:hint="eastAsia" w:ascii="Times New Roman" w:hAnsi="Times New Roman" w:cs="Times New Roman"/>
          <w:color w:val="auto"/>
          <w:highlight w:val="none"/>
        </w:rPr>
        <w:t>氟</w:t>
      </w:r>
      <w:r>
        <w:rPr>
          <w:rFonts w:hint="eastAsia" w:cs="Times New Roman"/>
          <w:color w:val="auto"/>
          <w:highlight w:val="none"/>
          <w:lang w:val="en-US" w:eastAsia="zh-CN"/>
        </w:rPr>
        <w:t>硅</w:t>
      </w:r>
      <w:r>
        <w:rPr>
          <w:rFonts w:hint="eastAsia" w:ascii="Times New Roman" w:hAnsi="Times New Roman" w:cs="Times New Roman"/>
          <w:color w:val="auto"/>
          <w:highlight w:val="none"/>
        </w:rPr>
        <w:t>酸</w:t>
      </w:r>
      <w:r>
        <w:rPr>
          <w:rFonts w:hint="eastAsia" w:ascii="Times New Roman" w:hAnsi="Times New Roman" w:cs="Times New Roman"/>
          <w:color w:val="auto"/>
          <w:highlight w:val="none"/>
          <w:lang w:val="en-US" w:eastAsia="zh-CN"/>
        </w:rPr>
        <w:t>储罐容积为</w:t>
      </w:r>
      <w:r>
        <w:rPr>
          <w:rFonts w:hint="eastAsia" w:cs="Times New Roman"/>
          <w:color w:val="auto"/>
          <w:highlight w:val="none"/>
          <w:lang w:val="en-US" w:eastAsia="zh-CN"/>
        </w:rPr>
        <w:t>31.5</w:t>
      </w:r>
      <w:r>
        <w:rPr>
          <w:rFonts w:hint="eastAsia" w:ascii="Times New Roman" w:hAnsi="Times New Roman" w:cs="Times New Roman"/>
          <w:color w:val="auto"/>
          <w:highlight w:val="none"/>
        </w:rPr>
        <w:t>m</w:t>
      </w:r>
      <w:r>
        <w:rPr>
          <w:rFonts w:hint="eastAsia" w:cs="Times New Roman"/>
          <w:color w:val="auto"/>
          <w:highlight w:val="none"/>
          <w:vertAlign w:val="superscript"/>
          <w:lang w:val="en-US" w:eastAsia="zh-CN"/>
        </w:rPr>
        <w:t>3</w:t>
      </w:r>
      <w:r>
        <w:rPr>
          <w:rFonts w:hint="eastAsia" w:cs="Times New Roman"/>
          <w:color w:val="auto"/>
          <w:highlight w:val="none"/>
          <w:vertAlign w:val="baseline"/>
          <w:lang w:val="en-US" w:eastAsia="zh-CN"/>
        </w:rPr>
        <w:t>；丙烯酸、聚羧酸减水剂母液、有碱速凝剂</w:t>
      </w:r>
      <w:r>
        <w:rPr>
          <w:rFonts w:hint="eastAsia" w:ascii="Times New Roman" w:hAnsi="Times New Roman" w:cs="Times New Roman"/>
          <w:color w:val="auto"/>
          <w:highlight w:val="none"/>
          <w:lang w:val="en-US" w:eastAsia="zh-CN"/>
        </w:rPr>
        <w:t>储罐容积为</w:t>
      </w:r>
      <w:r>
        <w:rPr>
          <w:rFonts w:hint="eastAsia" w:cs="Times New Roman"/>
          <w:color w:val="auto"/>
          <w:highlight w:val="none"/>
          <w:lang w:val="en-US" w:eastAsia="zh-CN"/>
        </w:rPr>
        <w:t>45</w:t>
      </w:r>
      <w:r>
        <w:rPr>
          <w:rFonts w:hint="eastAsia" w:ascii="Times New Roman" w:hAnsi="Times New Roman" w:cs="Times New Roman"/>
          <w:color w:val="auto"/>
          <w:highlight w:val="none"/>
        </w:rPr>
        <w:t>m</w:t>
      </w:r>
      <w:r>
        <w:rPr>
          <w:rFonts w:hint="eastAsia" w:cs="Times New Roman"/>
          <w:color w:val="auto"/>
          <w:highlight w:val="none"/>
          <w:vertAlign w:val="superscript"/>
          <w:lang w:val="en-US" w:eastAsia="zh-CN"/>
        </w:rPr>
        <w:t>3</w:t>
      </w:r>
      <w:r>
        <w:rPr>
          <w:rFonts w:hint="eastAsia" w:cs="Times New Roman"/>
          <w:color w:val="auto"/>
          <w:highlight w:val="none"/>
          <w:lang w:eastAsia="zh-CN"/>
        </w:rPr>
        <w:t>。</w:t>
      </w:r>
      <w:r>
        <w:rPr>
          <w:rFonts w:hint="eastAsia" w:ascii="Times New Roman" w:hAnsi="Times New Roman" w:cs="Times New Roman"/>
          <w:color w:val="auto"/>
          <w:highlight w:val="none"/>
        </w:rPr>
        <w:t>假设防渗层破损10%，防渗层厚度为0.55m，渗透系数为</w:t>
      </w:r>
      <w:r>
        <w:rPr>
          <w:rFonts w:hint="eastAsia" w:cs="Times New Roman"/>
          <w:color w:val="auto"/>
          <w:highlight w:val="none"/>
          <w:lang w:val="en-US" w:eastAsia="zh-CN"/>
        </w:rPr>
        <w:t>5</w:t>
      </w:r>
      <w:r>
        <w:rPr>
          <w:rFonts w:hint="eastAsia" w:ascii="Times New Roman" w:hAnsi="Times New Roman" w:cs="Times New Roman"/>
          <w:color w:val="auto"/>
          <w:highlight w:val="none"/>
        </w:rPr>
        <w:t>.0E-12cm/s，根据《聚羧酸减水剂和无碱速凝剂生产项目岩土工程勘察报告》并结合现场调查，项目区地层由</w:t>
      </w:r>
      <w:r>
        <w:rPr>
          <w:rFonts w:ascii="Times New Roman" w:hAnsi="Times New Roman"/>
          <w:color w:val="auto"/>
          <w:szCs w:val="20"/>
          <w:highlight w:val="none"/>
        </w:rPr>
        <w:t>第四系全新统人工填土（Q</w:t>
      </w:r>
      <w:r>
        <w:rPr>
          <w:rFonts w:ascii="Times New Roman" w:hAnsi="Times New Roman"/>
          <w:color w:val="auto"/>
          <w:szCs w:val="20"/>
          <w:highlight w:val="none"/>
          <w:vertAlign w:val="subscript"/>
        </w:rPr>
        <w:t>4</w:t>
      </w:r>
      <w:r>
        <w:rPr>
          <w:rFonts w:ascii="Times New Roman" w:hAnsi="Times New Roman"/>
          <w:color w:val="auto"/>
          <w:szCs w:val="20"/>
          <w:highlight w:val="none"/>
          <w:vertAlign w:val="superscript"/>
        </w:rPr>
        <w:t>ml</w:t>
      </w:r>
      <w:r>
        <w:rPr>
          <w:rFonts w:ascii="Times New Roman" w:hAnsi="Times New Roman"/>
          <w:color w:val="auto"/>
          <w:szCs w:val="20"/>
          <w:highlight w:val="none"/>
        </w:rPr>
        <w:t>）</w:t>
      </w:r>
      <w:r>
        <w:rPr>
          <w:rFonts w:hint="eastAsia"/>
          <w:color w:val="auto"/>
          <w:szCs w:val="20"/>
          <w:highlight w:val="none"/>
          <w:lang w:val="en-US" w:eastAsia="zh-CN"/>
        </w:rPr>
        <w:t>以及下覆</w:t>
      </w:r>
      <w:r>
        <w:rPr>
          <w:rFonts w:hint="eastAsia" w:ascii="Times New Roman" w:hAnsi="Times New Roman"/>
          <w:color w:val="auto"/>
          <w:szCs w:val="20"/>
          <w:highlight w:val="none"/>
        </w:rPr>
        <w:t>白垩系白龙组</w:t>
      </w:r>
      <w:r>
        <w:rPr>
          <w:rFonts w:hint="eastAsia"/>
          <w:color w:val="auto"/>
          <w:szCs w:val="20"/>
          <w:highlight w:val="none"/>
          <w:lang w:eastAsia="zh-CN"/>
        </w:rPr>
        <w:t>（</w:t>
      </w:r>
      <w:r>
        <w:rPr>
          <w:rFonts w:hint="eastAsia" w:ascii="Times New Roman" w:hAnsi="Times New Roman"/>
          <w:color w:val="auto"/>
          <w:szCs w:val="20"/>
          <w:highlight w:val="none"/>
        </w:rPr>
        <w:t>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color w:val="auto"/>
          <w:szCs w:val="20"/>
          <w:highlight w:val="none"/>
          <w:lang w:eastAsia="zh-CN"/>
        </w:rPr>
        <w:t>）</w:t>
      </w:r>
      <w:r>
        <w:rPr>
          <w:rFonts w:hint="eastAsia"/>
          <w:color w:val="auto"/>
          <w:szCs w:val="20"/>
          <w:highlight w:val="none"/>
          <w:lang w:val="en-US" w:eastAsia="zh-CN"/>
        </w:rPr>
        <w:t>砂泥岩</w:t>
      </w:r>
      <w:r>
        <w:rPr>
          <w:rFonts w:hint="eastAsia" w:ascii="Times New Roman" w:hAnsi="Times New Roman"/>
          <w:color w:val="auto"/>
          <w:szCs w:val="20"/>
          <w:highlight w:val="none"/>
        </w:rPr>
        <w:t>组成，</w:t>
      </w:r>
      <w:r>
        <w:rPr>
          <w:rFonts w:hint="eastAsia" w:ascii="Times New Roman" w:hAnsi="Times New Roman" w:cs="Times New Roman"/>
          <w:color w:val="auto"/>
          <w:highlight w:val="none"/>
        </w:rPr>
        <w:t>渗透系数根据抽水试验成果取</w:t>
      </w:r>
      <w:r>
        <w:rPr>
          <w:rFonts w:hint="eastAsia" w:cs="Times New Roman"/>
          <w:color w:val="auto"/>
          <w:highlight w:val="none"/>
          <w:lang w:val="en-US" w:eastAsia="zh-CN"/>
        </w:rPr>
        <w:t>0.029</w:t>
      </w:r>
      <w:r>
        <w:rPr>
          <w:rFonts w:hint="eastAsia" w:ascii="Times New Roman" w:hAnsi="Times New Roman" w:cs="Times New Roman"/>
          <w:color w:val="auto"/>
          <w:highlight w:val="none"/>
        </w:rPr>
        <w:t>m/d，根据上述公式计算</w:t>
      </w:r>
      <w:r>
        <w:rPr>
          <w:rFonts w:hint="eastAsia" w:ascii="Times New Roman" w:hAnsi="Times New Roman" w:cs="Times New Roman"/>
          <w:color w:val="auto"/>
          <w:highlight w:val="none"/>
          <w:lang w:val="en-US" w:eastAsia="zh-CN"/>
        </w:rPr>
        <w:t>可</w:t>
      </w:r>
      <w:r>
        <w:rPr>
          <w:rFonts w:hint="eastAsia" w:ascii="Times New Roman" w:hAnsi="Times New Roman" w:cs="Times New Roman"/>
          <w:color w:val="auto"/>
          <w:highlight w:val="none"/>
        </w:rPr>
        <w:t>得仓库</w:t>
      </w:r>
      <w:r>
        <w:rPr>
          <w:rFonts w:ascii="Times New Roman" w:hAnsi="Times New Roman" w:cs="Times New Roman"/>
          <w:color w:val="auto"/>
          <w:highlight w:val="none"/>
        </w:rPr>
        <w:t>污染因子</w:t>
      </w:r>
      <w:r>
        <w:rPr>
          <w:rFonts w:hint="eastAsia" w:ascii="Times New Roman" w:hAnsi="Times New Roman" w:cs="Times New Roman"/>
          <w:color w:val="auto"/>
          <w:highlight w:val="none"/>
        </w:rPr>
        <w:t>下渗量约为0.</w:t>
      </w:r>
      <w:r>
        <w:rPr>
          <w:rFonts w:hint="eastAsia" w:cs="Times New Roman"/>
          <w:color w:val="auto"/>
          <w:highlight w:val="none"/>
          <w:lang w:val="en-US" w:eastAsia="zh-CN"/>
        </w:rPr>
        <w:t>103</w:t>
      </w:r>
      <w:r>
        <w:rPr>
          <w:rFonts w:hint="eastAsia" w:ascii="Times New Roman" w:hAnsi="Times New Roman" w:cs="Times New Roman"/>
          <w:color w:val="auto"/>
          <w:highlight w:val="none"/>
        </w:rPr>
        <w:t>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/s，罐区</w:t>
      </w:r>
      <w:r>
        <w:rPr>
          <w:rFonts w:ascii="Times New Roman" w:hAnsi="Times New Roman" w:cs="Times New Roman"/>
          <w:color w:val="auto"/>
          <w:highlight w:val="none"/>
        </w:rPr>
        <w:t>污染因子</w:t>
      </w:r>
      <w:r>
        <w:rPr>
          <w:rFonts w:hint="eastAsia" w:ascii="Times New Roman" w:hAnsi="Times New Roman" w:cs="Times New Roman"/>
          <w:color w:val="auto"/>
          <w:highlight w:val="none"/>
        </w:rPr>
        <w:t>下渗量约为0.</w:t>
      </w:r>
      <w:r>
        <w:rPr>
          <w:rFonts w:hint="eastAsia" w:cs="Times New Roman"/>
          <w:color w:val="auto"/>
          <w:highlight w:val="none"/>
          <w:lang w:val="en-US" w:eastAsia="zh-CN"/>
        </w:rPr>
        <w:t>267</w:t>
      </w:r>
      <w:r>
        <w:rPr>
          <w:rFonts w:hint="eastAsia" w:ascii="Times New Roman" w:hAnsi="Times New Roman" w:cs="Times New Roman"/>
          <w:color w:val="auto"/>
          <w:highlight w:val="none"/>
        </w:rPr>
        <w:t>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/s。</w:t>
      </w:r>
    </w:p>
    <w:p w14:paraId="3CD52C13">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非正常状况下废液下渗量计算</w:t>
      </w:r>
    </w:p>
    <w:tbl>
      <w:tblPr>
        <w:tblStyle w:val="20"/>
        <w:tblW w:w="496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68"/>
        <w:gridCol w:w="1006"/>
        <w:gridCol w:w="1004"/>
        <w:gridCol w:w="1048"/>
        <w:gridCol w:w="1037"/>
        <w:gridCol w:w="842"/>
        <w:gridCol w:w="772"/>
        <w:gridCol w:w="918"/>
        <w:gridCol w:w="833"/>
        <w:gridCol w:w="1011"/>
      </w:tblGrid>
      <w:tr w14:paraId="495C3B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9" w:hRule="atLeast"/>
          <w:jc w:val="center"/>
        </w:trPr>
        <w:tc>
          <w:tcPr>
            <w:tcW w:w="512" w:type="pct"/>
            <w:vMerge w:val="restart"/>
            <w:tcBorders>
              <w:tl2br w:val="nil"/>
              <w:tr2bl w:val="nil"/>
            </w:tcBorders>
            <w:noWrap/>
            <w:vAlign w:val="center"/>
          </w:tcPr>
          <w:p w14:paraId="179A8368">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构筑物</w:t>
            </w:r>
          </w:p>
        </w:tc>
        <w:tc>
          <w:tcPr>
            <w:tcW w:w="532" w:type="pct"/>
            <w:vMerge w:val="restart"/>
            <w:tcBorders>
              <w:tl2br w:val="nil"/>
              <w:tr2bl w:val="nil"/>
            </w:tcBorders>
            <w:noWrap/>
            <w:vAlign w:val="center"/>
          </w:tcPr>
          <w:p w14:paraId="1DAFEA00">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等效</w:t>
            </w:r>
            <w:r>
              <w:rPr>
                <w:rFonts w:ascii="Times New Roman" w:hAnsi="Times New Roman" w:cs="Times New Roman"/>
                <w:b/>
                <w:color w:val="auto"/>
                <w:sz w:val="21"/>
                <w:szCs w:val="21"/>
              </w:rPr>
              <w:t>占地</w:t>
            </w:r>
          </w:p>
          <w:p w14:paraId="00B0C4D7">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面积A</w:t>
            </w:r>
          </w:p>
          <w:p w14:paraId="187C207C">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（m</w:t>
            </w:r>
            <w:r>
              <w:rPr>
                <w:rFonts w:ascii="Times New Roman" w:hAnsi="Times New Roman" w:cs="Times New Roman"/>
                <w:b/>
                <w:color w:val="auto"/>
                <w:sz w:val="21"/>
                <w:szCs w:val="21"/>
                <w:vertAlign w:val="superscript"/>
              </w:rPr>
              <w:t>2</w:t>
            </w:r>
            <w:r>
              <w:rPr>
                <w:rFonts w:ascii="Times New Roman" w:hAnsi="Times New Roman" w:cs="Times New Roman"/>
                <w:b/>
                <w:color w:val="auto"/>
                <w:sz w:val="21"/>
                <w:szCs w:val="21"/>
              </w:rPr>
              <w:t>）</w:t>
            </w:r>
          </w:p>
        </w:tc>
        <w:tc>
          <w:tcPr>
            <w:tcW w:w="531" w:type="pct"/>
            <w:vMerge w:val="restart"/>
            <w:tcBorders>
              <w:tl2br w:val="nil"/>
              <w:tr2bl w:val="nil"/>
            </w:tcBorders>
            <w:noWrap/>
            <w:vAlign w:val="center"/>
          </w:tcPr>
          <w:p w14:paraId="6CF6E73F">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等效</w:t>
            </w:r>
          </w:p>
          <w:p w14:paraId="57125C0D">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水深</w:t>
            </w:r>
          </w:p>
          <w:p w14:paraId="76624034">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h</w:t>
            </w:r>
            <w:r>
              <w:rPr>
                <w:rFonts w:ascii="Times New Roman" w:hAnsi="Times New Roman" w:cs="Times New Roman"/>
                <w:b/>
                <w:color w:val="auto"/>
                <w:sz w:val="21"/>
                <w:szCs w:val="21"/>
                <w:vertAlign w:val="subscript"/>
              </w:rPr>
              <w:t>池</w:t>
            </w:r>
            <w:r>
              <w:rPr>
                <w:rFonts w:ascii="Times New Roman" w:hAnsi="Times New Roman" w:cs="Times New Roman"/>
                <w:b/>
                <w:color w:val="auto"/>
                <w:sz w:val="21"/>
                <w:szCs w:val="21"/>
              </w:rPr>
              <w:t>（m）</w:t>
            </w:r>
          </w:p>
        </w:tc>
        <w:tc>
          <w:tcPr>
            <w:tcW w:w="1549" w:type="pct"/>
            <w:gridSpan w:val="3"/>
            <w:tcBorders>
              <w:tl2br w:val="nil"/>
              <w:tr2bl w:val="nil"/>
            </w:tcBorders>
            <w:vAlign w:val="center"/>
          </w:tcPr>
          <w:p w14:paraId="3245F0CB">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防渗层</w:t>
            </w:r>
          </w:p>
        </w:tc>
        <w:tc>
          <w:tcPr>
            <w:tcW w:w="1336" w:type="pct"/>
            <w:gridSpan w:val="3"/>
            <w:tcBorders>
              <w:tl2br w:val="nil"/>
              <w:tr2bl w:val="nil"/>
            </w:tcBorders>
            <w:vAlign w:val="center"/>
          </w:tcPr>
          <w:p w14:paraId="403376C9">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下伏介质+夯实基础</w:t>
            </w:r>
          </w:p>
        </w:tc>
        <w:tc>
          <w:tcPr>
            <w:tcW w:w="536" w:type="pct"/>
            <w:vMerge w:val="restart"/>
            <w:tcBorders>
              <w:tl2br w:val="nil"/>
              <w:tr2bl w:val="nil"/>
            </w:tcBorders>
            <w:vAlign w:val="center"/>
          </w:tcPr>
          <w:p w14:paraId="1160CB19">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下渗量（m</w:t>
            </w:r>
            <w:r>
              <w:rPr>
                <w:rFonts w:ascii="Times New Roman" w:hAnsi="Times New Roman" w:cs="Times New Roman"/>
                <w:b/>
                <w:color w:val="auto"/>
                <w:sz w:val="21"/>
                <w:szCs w:val="21"/>
                <w:vertAlign w:val="superscript"/>
              </w:rPr>
              <w:t>3</w:t>
            </w:r>
            <w:r>
              <w:rPr>
                <w:rFonts w:ascii="Times New Roman" w:hAnsi="Times New Roman" w:cs="Times New Roman"/>
                <w:b/>
                <w:color w:val="auto"/>
                <w:sz w:val="21"/>
                <w:szCs w:val="21"/>
              </w:rPr>
              <w:t>/</w:t>
            </w:r>
            <w:r>
              <w:rPr>
                <w:rFonts w:hint="eastAsia" w:ascii="Times New Roman" w:hAnsi="Times New Roman" w:cs="Times New Roman"/>
                <w:b/>
                <w:color w:val="auto"/>
                <w:sz w:val="21"/>
                <w:szCs w:val="21"/>
              </w:rPr>
              <w:t>s</w:t>
            </w:r>
            <w:r>
              <w:rPr>
                <w:rFonts w:ascii="Times New Roman" w:hAnsi="Times New Roman" w:cs="Times New Roman"/>
                <w:b/>
                <w:color w:val="auto"/>
                <w:sz w:val="21"/>
                <w:szCs w:val="21"/>
              </w:rPr>
              <w:t>）</w:t>
            </w:r>
          </w:p>
        </w:tc>
      </w:tr>
      <w:tr w14:paraId="545517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6" w:hRule="atLeast"/>
          <w:jc w:val="center"/>
        </w:trPr>
        <w:tc>
          <w:tcPr>
            <w:tcW w:w="512" w:type="pct"/>
            <w:vMerge w:val="continue"/>
            <w:tcBorders>
              <w:tl2br w:val="nil"/>
              <w:tr2bl w:val="nil"/>
            </w:tcBorders>
            <w:noWrap/>
            <w:vAlign w:val="center"/>
          </w:tcPr>
          <w:p w14:paraId="7272BAC5">
            <w:pPr>
              <w:adjustRightInd w:val="0"/>
              <w:snapToGrid w:val="0"/>
              <w:spacing w:line="240" w:lineRule="auto"/>
              <w:ind w:left="-120" w:leftChars="-50" w:right="-120" w:rightChars="-50"/>
              <w:jc w:val="center"/>
              <w:rPr>
                <w:rFonts w:ascii="Times New Roman" w:hAnsi="Times New Roman" w:cs="Times New Roman"/>
                <w:b/>
                <w:color w:val="auto"/>
                <w:sz w:val="21"/>
                <w:szCs w:val="21"/>
              </w:rPr>
            </w:pPr>
          </w:p>
        </w:tc>
        <w:tc>
          <w:tcPr>
            <w:tcW w:w="532" w:type="pct"/>
            <w:vMerge w:val="continue"/>
            <w:tcBorders>
              <w:tl2br w:val="nil"/>
              <w:tr2bl w:val="nil"/>
            </w:tcBorders>
            <w:noWrap/>
            <w:vAlign w:val="center"/>
          </w:tcPr>
          <w:p w14:paraId="36741E10">
            <w:pPr>
              <w:adjustRightInd w:val="0"/>
              <w:snapToGrid w:val="0"/>
              <w:spacing w:line="240" w:lineRule="auto"/>
              <w:ind w:left="-120" w:leftChars="-50" w:right="-120" w:rightChars="-50"/>
              <w:jc w:val="center"/>
              <w:rPr>
                <w:rFonts w:ascii="Times New Roman" w:hAnsi="Times New Roman" w:cs="Times New Roman"/>
                <w:b/>
                <w:color w:val="auto"/>
                <w:sz w:val="21"/>
                <w:szCs w:val="21"/>
              </w:rPr>
            </w:pPr>
          </w:p>
        </w:tc>
        <w:tc>
          <w:tcPr>
            <w:tcW w:w="531" w:type="pct"/>
            <w:vMerge w:val="continue"/>
            <w:tcBorders>
              <w:tl2br w:val="nil"/>
              <w:tr2bl w:val="nil"/>
            </w:tcBorders>
            <w:noWrap/>
            <w:vAlign w:val="center"/>
          </w:tcPr>
          <w:p w14:paraId="1FB22774">
            <w:pPr>
              <w:adjustRightInd w:val="0"/>
              <w:snapToGrid w:val="0"/>
              <w:spacing w:line="240" w:lineRule="auto"/>
              <w:ind w:left="-120" w:leftChars="-50" w:right="-120" w:rightChars="-50"/>
              <w:jc w:val="center"/>
              <w:rPr>
                <w:rFonts w:ascii="Times New Roman" w:hAnsi="Times New Roman" w:cs="Times New Roman"/>
                <w:b/>
                <w:color w:val="auto"/>
                <w:sz w:val="21"/>
                <w:szCs w:val="21"/>
              </w:rPr>
            </w:pPr>
          </w:p>
        </w:tc>
        <w:tc>
          <w:tcPr>
            <w:tcW w:w="555" w:type="pct"/>
            <w:tcBorders>
              <w:tl2br w:val="nil"/>
              <w:tr2bl w:val="nil"/>
            </w:tcBorders>
            <w:vAlign w:val="center"/>
          </w:tcPr>
          <w:p w14:paraId="10A0463D">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厚度</w:t>
            </w:r>
          </w:p>
          <w:p w14:paraId="6FB3555E">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h</w:t>
            </w:r>
            <w:r>
              <w:rPr>
                <w:rFonts w:ascii="Times New Roman" w:hAnsi="Times New Roman" w:cs="Times New Roman"/>
                <w:b/>
                <w:color w:val="auto"/>
                <w:sz w:val="21"/>
                <w:szCs w:val="21"/>
                <w:vertAlign w:val="subscript"/>
              </w:rPr>
              <w:t>防</w:t>
            </w:r>
          </w:p>
          <w:p w14:paraId="4DDEF4BA">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（m）</w:t>
            </w:r>
          </w:p>
        </w:tc>
        <w:tc>
          <w:tcPr>
            <w:tcW w:w="549" w:type="pct"/>
            <w:tcBorders>
              <w:tl2br w:val="nil"/>
              <w:tr2bl w:val="nil"/>
            </w:tcBorders>
            <w:vAlign w:val="center"/>
          </w:tcPr>
          <w:p w14:paraId="7D5F6DE4">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渗透系数K</w:t>
            </w:r>
            <w:r>
              <w:rPr>
                <w:rFonts w:ascii="Times New Roman" w:hAnsi="Times New Roman" w:cs="Times New Roman"/>
                <w:b/>
                <w:color w:val="auto"/>
                <w:sz w:val="21"/>
                <w:szCs w:val="21"/>
                <w:vertAlign w:val="subscript"/>
              </w:rPr>
              <w:t>1</w:t>
            </w:r>
            <w:r>
              <w:rPr>
                <w:rFonts w:ascii="Times New Roman" w:hAnsi="Times New Roman" w:cs="Times New Roman"/>
                <w:b/>
                <w:color w:val="auto"/>
                <w:sz w:val="21"/>
                <w:szCs w:val="21"/>
              </w:rPr>
              <w:t>（cm/s）</w:t>
            </w:r>
          </w:p>
        </w:tc>
        <w:tc>
          <w:tcPr>
            <w:tcW w:w="445" w:type="pct"/>
            <w:tcBorders>
              <w:tl2br w:val="nil"/>
              <w:tr2bl w:val="nil"/>
            </w:tcBorders>
            <w:vAlign w:val="center"/>
          </w:tcPr>
          <w:p w14:paraId="5107BA5D">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破损比例</w:t>
            </w:r>
          </w:p>
        </w:tc>
        <w:tc>
          <w:tcPr>
            <w:tcW w:w="409" w:type="pct"/>
            <w:tcBorders>
              <w:tl2br w:val="nil"/>
              <w:tr2bl w:val="nil"/>
            </w:tcBorders>
            <w:vAlign w:val="center"/>
          </w:tcPr>
          <w:p w14:paraId="3085696A">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厚度</w:t>
            </w:r>
          </w:p>
          <w:p w14:paraId="0929C301">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h</w:t>
            </w:r>
            <w:r>
              <w:rPr>
                <w:rFonts w:ascii="Times New Roman" w:hAnsi="Times New Roman" w:cs="Times New Roman"/>
                <w:b/>
                <w:color w:val="auto"/>
                <w:sz w:val="21"/>
                <w:szCs w:val="21"/>
                <w:vertAlign w:val="subscript"/>
              </w:rPr>
              <w:t>防</w:t>
            </w:r>
          </w:p>
          <w:p w14:paraId="222AB962">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（m）</w:t>
            </w:r>
          </w:p>
        </w:tc>
        <w:tc>
          <w:tcPr>
            <w:tcW w:w="486" w:type="pct"/>
            <w:tcBorders>
              <w:tl2br w:val="nil"/>
              <w:tr2bl w:val="nil"/>
            </w:tcBorders>
            <w:vAlign w:val="center"/>
          </w:tcPr>
          <w:p w14:paraId="5C16AB08">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等效渗透系数K</w:t>
            </w:r>
            <w:r>
              <w:rPr>
                <w:rFonts w:ascii="Times New Roman" w:hAnsi="Times New Roman" w:cs="Times New Roman"/>
                <w:b/>
                <w:color w:val="auto"/>
                <w:sz w:val="21"/>
                <w:szCs w:val="21"/>
                <w:vertAlign w:val="subscript"/>
              </w:rPr>
              <w:t>2</w:t>
            </w:r>
            <w:r>
              <w:rPr>
                <w:rFonts w:ascii="Times New Roman" w:hAnsi="Times New Roman" w:cs="Times New Roman"/>
                <w:b/>
                <w:color w:val="auto"/>
                <w:sz w:val="21"/>
                <w:szCs w:val="21"/>
              </w:rPr>
              <w:t>（cm/s）</w:t>
            </w:r>
          </w:p>
        </w:tc>
        <w:tc>
          <w:tcPr>
            <w:tcW w:w="440" w:type="pct"/>
            <w:tcBorders>
              <w:tl2br w:val="nil"/>
              <w:tr2bl w:val="nil"/>
            </w:tcBorders>
            <w:vAlign w:val="center"/>
          </w:tcPr>
          <w:p w14:paraId="6CAC4837">
            <w:pPr>
              <w:adjustRightInd w:val="0"/>
              <w:snapToGrid w:val="0"/>
              <w:spacing w:line="240" w:lineRule="auto"/>
              <w:ind w:left="-120" w:leftChars="-50" w:right="-120" w:rightChars="-50"/>
              <w:jc w:val="center"/>
              <w:rPr>
                <w:rFonts w:ascii="Times New Roman" w:hAnsi="Times New Roman" w:cs="Times New Roman"/>
                <w:b/>
                <w:color w:val="auto"/>
                <w:sz w:val="21"/>
                <w:szCs w:val="21"/>
              </w:rPr>
            </w:pPr>
            <w:r>
              <w:rPr>
                <w:rFonts w:ascii="Times New Roman" w:hAnsi="Times New Roman" w:cs="Times New Roman"/>
                <w:b/>
                <w:color w:val="auto"/>
                <w:sz w:val="21"/>
                <w:szCs w:val="21"/>
              </w:rPr>
              <w:t>渗漏区比例</w:t>
            </w:r>
          </w:p>
        </w:tc>
        <w:tc>
          <w:tcPr>
            <w:tcW w:w="536" w:type="pct"/>
            <w:vMerge w:val="continue"/>
            <w:tcBorders>
              <w:tl2br w:val="nil"/>
              <w:tr2bl w:val="nil"/>
            </w:tcBorders>
            <w:vAlign w:val="center"/>
          </w:tcPr>
          <w:p w14:paraId="285B5EEB">
            <w:pPr>
              <w:adjustRightInd w:val="0"/>
              <w:snapToGrid w:val="0"/>
              <w:spacing w:line="240" w:lineRule="auto"/>
              <w:ind w:left="-120" w:leftChars="-50" w:right="-120" w:rightChars="-50"/>
              <w:jc w:val="center"/>
              <w:rPr>
                <w:rFonts w:ascii="Times New Roman" w:hAnsi="Times New Roman" w:cs="Times New Roman"/>
                <w:color w:val="auto"/>
                <w:sz w:val="21"/>
                <w:szCs w:val="21"/>
              </w:rPr>
            </w:pPr>
          </w:p>
        </w:tc>
      </w:tr>
      <w:tr w14:paraId="7E321D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0" w:hRule="atLeast"/>
          <w:jc w:val="center"/>
        </w:trPr>
        <w:tc>
          <w:tcPr>
            <w:tcW w:w="512" w:type="pct"/>
            <w:tcBorders>
              <w:tl2br w:val="nil"/>
              <w:tr2bl w:val="nil"/>
            </w:tcBorders>
            <w:noWrap/>
            <w:vAlign w:val="center"/>
          </w:tcPr>
          <w:p w14:paraId="5F711B1F">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仓库</w:t>
            </w:r>
          </w:p>
        </w:tc>
        <w:tc>
          <w:tcPr>
            <w:tcW w:w="532" w:type="pct"/>
            <w:tcBorders>
              <w:tl2br w:val="nil"/>
              <w:tr2bl w:val="nil"/>
            </w:tcBorders>
            <w:noWrap/>
            <w:vAlign w:val="center"/>
          </w:tcPr>
          <w:p w14:paraId="112A62A2">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130</w:t>
            </w:r>
          </w:p>
        </w:tc>
        <w:tc>
          <w:tcPr>
            <w:tcW w:w="531" w:type="pct"/>
            <w:tcBorders>
              <w:tl2br w:val="nil"/>
              <w:tr2bl w:val="nil"/>
            </w:tcBorders>
            <w:noWrap/>
            <w:vAlign w:val="center"/>
          </w:tcPr>
          <w:p w14:paraId="2216A9AF">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0.0615</w:t>
            </w:r>
          </w:p>
        </w:tc>
        <w:tc>
          <w:tcPr>
            <w:tcW w:w="555" w:type="pct"/>
            <w:tcBorders>
              <w:tl2br w:val="nil"/>
              <w:tr2bl w:val="nil"/>
            </w:tcBorders>
            <w:vAlign w:val="center"/>
          </w:tcPr>
          <w:p w14:paraId="5A786754">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w:t>
            </w:r>
            <w:r>
              <w:rPr>
                <w:rFonts w:hint="eastAsia" w:ascii="Times New Roman" w:hAnsi="Times New Roman" w:cs="Times New Roman"/>
                <w:color w:val="auto"/>
                <w:sz w:val="21"/>
                <w:szCs w:val="21"/>
              </w:rPr>
              <w:t>55</w:t>
            </w:r>
          </w:p>
        </w:tc>
        <w:tc>
          <w:tcPr>
            <w:tcW w:w="549" w:type="pct"/>
            <w:tcBorders>
              <w:tl2br w:val="nil"/>
              <w:tr2bl w:val="nil"/>
            </w:tcBorders>
            <w:vAlign w:val="center"/>
          </w:tcPr>
          <w:p w14:paraId="5820E9AA">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color w:val="auto"/>
                <w:sz w:val="21"/>
                <w:szCs w:val="21"/>
                <w:lang w:val="en-US" w:eastAsia="zh-CN"/>
              </w:rPr>
              <w:t>5</w:t>
            </w:r>
            <w:r>
              <w:rPr>
                <w:rFonts w:ascii="Times New Roman" w:hAnsi="Times New Roman"/>
                <w:color w:val="auto"/>
                <w:sz w:val="21"/>
                <w:szCs w:val="21"/>
              </w:rPr>
              <w:t>.0E-12</w:t>
            </w:r>
          </w:p>
        </w:tc>
        <w:tc>
          <w:tcPr>
            <w:tcW w:w="445" w:type="pct"/>
            <w:tcBorders>
              <w:tl2br w:val="nil"/>
              <w:tr2bl w:val="nil"/>
            </w:tcBorders>
            <w:vAlign w:val="center"/>
          </w:tcPr>
          <w:p w14:paraId="01B10B09">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0.1</w:t>
            </w:r>
          </w:p>
        </w:tc>
        <w:tc>
          <w:tcPr>
            <w:tcW w:w="409" w:type="pct"/>
            <w:tcBorders>
              <w:tl2br w:val="nil"/>
              <w:tr2bl w:val="nil"/>
            </w:tcBorders>
            <w:vAlign w:val="center"/>
          </w:tcPr>
          <w:p w14:paraId="0000F772">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6</w:t>
            </w:r>
          </w:p>
        </w:tc>
        <w:tc>
          <w:tcPr>
            <w:tcW w:w="486" w:type="pct"/>
            <w:tcBorders>
              <w:tl2br w:val="nil"/>
              <w:tr2bl w:val="nil"/>
            </w:tcBorders>
            <w:vAlign w:val="center"/>
          </w:tcPr>
          <w:p w14:paraId="4021731C">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0.014</w:t>
            </w:r>
          </w:p>
        </w:tc>
        <w:tc>
          <w:tcPr>
            <w:tcW w:w="440" w:type="pct"/>
            <w:tcBorders>
              <w:tl2br w:val="nil"/>
              <w:tr2bl w:val="nil"/>
            </w:tcBorders>
            <w:vAlign w:val="center"/>
          </w:tcPr>
          <w:p w14:paraId="5E49C777">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0.1</w:t>
            </w:r>
          </w:p>
        </w:tc>
        <w:tc>
          <w:tcPr>
            <w:tcW w:w="536" w:type="pct"/>
            <w:tcBorders>
              <w:tl2br w:val="nil"/>
              <w:tr2bl w:val="nil"/>
            </w:tcBorders>
            <w:vAlign w:val="center"/>
          </w:tcPr>
          <w:p w14:paraId="4F760888">
            <w:pPr>
              <w:adjustRightInd w:val="0"/>
              <w:snapToGrid w:val="0"/>
              <w:spacing w:line="240" w:lineRule="auto"/>
              <w:ind w:left="-120" w:leftChars="-50" w:right="-120" w:rightChars="-5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0.103</w:t>
            </w:r>
          </w:p>
        </w:tc>
      </w:tr>
      <w:tr w14:paraId="7C10B5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0" w:hRule="atLeast"/>
          <w:jc w:val="center"/>
        </w:trPr>
        <w:tc>
          <w:tcPr>
            <w:tcW w:w="512" w:type="pct"/>
            <w:tcBorders>
              <w:tl2br w:val="nil"/>
              <w:tr2bl w:val="nil"/>
            </w:tcBorders>
            <w:noWrap/>
            <w:vAlign w:val="center"/>
          </w:tcPr>
          <w:p w14:paraId="639903E7">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罐区</w:t>
            </w:r>
          </w:p>
        </w:tc>
        <w:tc>
          <w:tcPr>
            <w:tcW w:w="532" w:type="pct"/>
            <w:tcBorders>
              <w:tl2br w:val="nil"/>
              <w:tr2bl w:val="nil"/>
            </w:tcBorders>
            <w:noWrap/>
            <w:vAlign w:val="center"/>
          </w:tcPr>
          <w:p w14:paraId="0037A53D">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336.603</w:t>
            </w:r>
          </w:p>
        </w:tc>
        <w:tc>
          <w:tcPr>
            <w:tcW w:w="531" w:type="pct"/>
            <w:tcBorders>
              <w:tl2br w:val="nil"/>
              <w:tr2bl w:val="nil"/>
            </w:tcBorders>
            <w:noWrap/>
            <w:vAlign w:val="center"/>
          </w:tcPr>
          <w:p w14:paraId="71CAD359">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0.0238</w:t>
            </w:r>
          </w:p>
        </w:tc>
        <w:tc>
          <w:tcPr>
            <w:tcW w:w="555" w:type="pct"/>
            <w:tcBorders>
              <w:tl2br w:val="nil"/>
              <w:tr2bl w:val="nil"/>
            </w:tcBorders>
            <w:vAlign w:val="center"/>
          </w:tcPr>
          <w:p w14:paraId="0D1AF466">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w:t>
            </w:r>
            <w:r>
              <w:rPr>
                <w:rFonts w:hint="eastAsia" w:ascii="Times New Roman" w:hAnsi="Times New Roman" w:cs="Times New Roman"/>
                <w:color w:val="auto"/>
                <w:sz w:val="21"/>
                <w:szCs w:val="21"/>
              </w:rPr>
              <w:t>55</w:t>
            </w:r>
          </w:p>
        </w:tc>
        <w:tc>
          <w:tcPr>
            <w:tcW w:w="549" w:type="pct"/>
            <w:tcBorders>
              <w:tl2br w:val="nil"/>
              <w:tr2bl w:val="nil"/>
            </w:tcBorders>
            <w:vAlign w:val="center"/>
          </w:tcPr>
          <w:p w14:paraId="5E1EA0AE">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color w:val="auto"/>
                <w:sz w:val="21"/>
                <w:szCs w:val="21"/>
                <w:lang w:val="en-US" w:eastAsia="zh-CN"/>
              </w:rPr>
              <w:t>5</w:t>
            </w:r>
            <w:r>
              <w:rPr>
                <w:rFonts w:ascii="Times New Roman" w:hAnsi="Times New Roman"/>
                <w:color w:val="auto"/>
                <w:sz w:val="21"/>
                <w:szCs w:val="21"/>
              </w:rPr>
              <w:t>.0E-12</w:t>
            </w:r>
          </w:p>
        </w:tc>
        <w:tc>
          <w:tcPr>
            <w:tcW w:w="445" w:type="pct"/>
            <w:tcBorders>
              <w:tl2br w:val="nil"/>
              <w:tr2bl w:val="nil"/>
            </w:tcBorders>
            <w:vAlign w:val="center"/>
          </w:tcPr>
          <w:p w14:paraId="580712D1">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0.1</w:t>
            </w:r>
          </w:p>
        </w:tc>
        <w:tc>
          <w:tcPr>
            <w:tcW w:w="409" w:type="pct"/>
            <w:tcBorders>
              <w:tl2br w:val="nil"/>
              <w:tr2bl w:val="nil"/>
            </w:tcBorders>
            <w:vAlign w:val="center"/>
          </w:tcPr>
          <w:p w14:paraId="2269D370">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6</w:t>
            </w:r>
          </w:p>
        </w:tc>
        <w:tc>
          <w:tcPr>
            <w:tcW w:w="486" w:type="pct"/>
            <w:tcBorders>
              <w:tl2br w:val="nil"/>
              <w:tr2bl w:val="nil"/>
            </w:tcBorders>
            <w:vAlign w:val="center"/>
          </w:tcPr>
          <w:p w14:paraId="50E13EA9">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0.014</w:t>
            </w:r>
          </w:p>
        </w:tc>
        <w:tc>
          <w:tcPr>
            <w:tcW w:w="440" w:type="pct"/>
            <w:tcBorders>
              <w:tl2br w:val="nil"/>
              <w:tr2bl w:val="nil"/>
            </w:tcBorders>
            <w:vAlign w:val="center"/>
          </w:tcPr>
          <w:p w14:paraId="6C2DC477">
            <w:pPr>
              <w:adjustRightInd w:val="0"/>
              <w:snapToGrid w:val="0"/>
              <w:spacing w:line="240" w:lineRule="auto"/>
              <w:ind w:left="-120" w:leftChars="-50" w:right="-12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0.1</w:t>
            </w:r>
          </w:p>
        </w:tc>
        <w:tc>
          <w:tcPr>
            <w:tcW w:w="536" w:type="pct"/>
            <w:tcBorders>
              <w:tl2br w:val="nil"/>
              <w:tr2bl w:val="nil"/>
            </w:tcBorders>
            <w:vAlign w:val="center"/>
          </w:tcPr>
          <w:p w14:paraId="32D6F8BA">
            <w:pPr>
              <w:adjustRightInd w:val="0"/>
              <w:snapToGrid w:val="0"/>
              <w:spacing w:line="240" w:lineRule="auto"/>
              <w:ind w:left="-120" w:leftChars="-50" w:right="-120" w:rightChars="-5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0.267</w:t>
            </w:r>
          </w:p>
        </w:tc>
      </w:tr>
    </w:tbl>
    <w:p w14:paraId="152CA59A">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4、污染源强</w:t>
      </w:r>
    </w:p>
    <w:p w14:paraId="073B78B4">
      <w:pPr>
        <w:pStyle w:val="26"/>
        <w:bidi w:val="0"/>
        <w:rPr>
          <w:rFonts w:hint="eastAsia"/>
          <w:color w:val="auto"/>
          <w:highlight w:val="none"/>
        </w:rPr>
      </w:pPr>
      <w:r>
        <w:rPr>
          <w:rFonts w:hint="eastAsia"/>
          <w:color w:val="auto"/>
          <w:highlight w:val="none"/>
        </w:rPr>
        <w:t>综上，</w:t>
      </w:r>
      <w:r>
        <w:rPr>
          <w:rFonts w:hint="eastAsia"/>
          <w:color w:val="auto"/>
          <w:highlight w:val="none"/>
          <w:lang w:val="en-US" w:eastAsia="zh-CN"/>
        </w:rPr>
        <w:t>本</w:t>
      </w:r>
      <w:r>
        <w:rPr>
          <w:rFonts w:hint="eastAsia"/>
          <w:color w:val="auto"/>
          <w:highlight w:val="none"/>
        </w:rPr>
        <w:t>项目非正常状况下仓库、罐区本地下水污染源强预测结果见下表：</w:t>
      </w:r>
    </w:p>
    <w:p w14:paraId="2C0D5D5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非正常状况下地下污染源强预测结果表</w:t>
      </w:r>
    </w:p>
    <w:tbl>
      <w:tblPr>
        <w:tblStyle w:val="20"/>
        <w:tblW w:w="499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720"/>
        <w:gridCol w:w="3891"/>
        <w:gridCol w:w="3892"/>
      </w:tblGrid>
      <w:tr w14:paraId="70441B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3" w:hRule="atLeast"/>
          <w:tblHeader/>
          <w:jc w:val="center"/>
        </w:trPr>
        <w:tc>
          <w:tcPr>
            <w:tcW w:w="905" w:type="pct"/>
            <w:tcBorders>
              <w:tl2br w:val="nil"/>
              <w:tr2bl w:val="nil"/>
            </w:tcBorders>
            <w:vAlign w:val="center"/>
          </w:tcPr>
          <w:p w14:paraId="753172D3">
            <w:pPr>
              <w:adjustRightInd w:val="0"/>
              <w:snapToGrid w:val="0"/>
              <w:spacing w:line="240" w:lineRule="auto"/>
              <w:ind w:left="-120" w:leftChars="-50" w:right="-120" w:rightChars="-50"/>
              <w:jc w:val="center"/>
              <w:rPr>
                <w:rFonts w:ascii="Times New Roman" w:hAnsi="Times New Roman" w:cs="Times New Roman"/>
                <w:b/>
                <w:bCs w:val="0"/>
                <w:color w:val="auto"/>
                <w:sz w:val="21"/>
                <w:szCs w:val="21"/>
                <w:highlight w:val="none"/>
              </w:rPr>
            </w:pPr>
            <w:r>
              <w:rPr>
                <w:rFonts w:ascii="Times New Roman" w:hAnsi="Times New Roman" w:cs="Times New Roman"/>
                <w:b/>
                <w:bCs w:val="0"/>
                <w:color w:val="auto"/>
                <w:sz w:val="21"/>
                <w:szCs w:val="21"/>
                <w:highlight w:val="none"/>
              </w:rPr>
              <w:t>污染源</w:t>
            </w:r>
          </w:p>
        </w:tc>
        <w:tc>
          <w:tcPr>
            <w:tcW w:w="2047" w:type="pct"/>
            <w:tcBorders>
              <w:tl2br w:val="nil"/>
              <w:tr2bl w:val="nil"/>
            </w:tcBorders>
            <w:vAlign w:val="center"/>
          </w:tcPr>
          <w:p w14:paraId="1FA81BEF">
            <w:pPr>
              <w:adjustRightInd w:val="0"/>
              <w:snapToGrid w:val="0"/>
              <w:spacing w:line="240" w:lineRule="auto"/>
              <w:ind w:left="-120" w:leftChars="-50" w:right="-120" w:rightChars="-50"/>
              <w:jc w:val="center"/>
              <w:rPr>
                <w:rFonts w:ascii="Times New Roman" w:hAnsi="Times New Roman" w:cs="Times New Roman"/>
                <w:b/>
                <w:bCs w:val="0"/>
                <w:color w:val="auto"/>
                <w:sz w:val="21"/>
                <w:szCs w:val="21"/>
                <w:highlight w:val="none"/>
              </w:rPr>
            </w:pPr>
            <w:r>
              <w:rPr>
                <w:rFonts w:ascii="Times New Roman" w:hAnsi="Times New Roman" w:cs="Times New Roman"/>
                <w:b/>
                <w:bCs w:val="0"/>
                <w:color w:val="auto"/>
                <w:sz w:val="21"/>
                <w:szCs w:val="21"/>
                <w:highlight w:val="none"/>
              </w:rPr>
              <w:t>主要污染因子</w:t>
            </w:r>
          </w:p>
        </w:tc>
        <w:tc>
          <w:tcPr>
            <w:tcW w:w="2047" w:type="pct"/>
            <w:tcBorders>
              <w:tl2br w:val="nil"/>
              <w:tr2bl w:val="nil"/>
            </w:tcBorders>
            <w:vAlign w:val="center"/>
          </w:tcPr>
          <w:p w14:paraId="5CDB4639">
            <w:pPr>
              <w:adjustRightInd w:val="0"/>
              <w:snapToGrid w:val="0"/>
              <w:spacing w:line="240" w:lineRule="auto"/>
              <w:ind w:left="-120" w:leftChars="-50" w:right="-120" w:rightChars="-50"/>
              <w:jc w:val="center"/>
              <w:rPr>
                <w:rFonts w:ascii="Times New Roman" w:hAnsi="Times New Roman" w:cs="Times New Roman"/>
                <w:b/>
                <w:bCs w:val="0"/>
                <w:color w:val="auto"/>
                <w:sz w:val="21"/>
                <w:szCs w:val="21"/>
                <w:highlight w:val="none"/>
              </w:rPr>
            </w:pPr>
            <w:r>
              <w:rPr>
                <w:rFonts w:ascii="Times New Roman" w:hAnsi="Times New Roman" w:cs="Times New Roman"/>
                <w:b/>
                <w:bCs w:val="0"/>
                <w:color w:val="auto"/>
                <w:sz w:val="21"/>
                <w:szCs w:val="21"/>
                <w:highlight w:val="none"/>
              </w:rPr>
              <w:t>污染物渗漏量</w:t>
            </w:r>
            <w:r>
              <w:rPr>
                <w:rFonts w:hint="eastAsia" w:ascii="Times New Roman" w:hAnsi="Times New Roman" w:cs="Times New Roman"/>
                <w:b/>
                <w:bCs w:val="0"/>
                <w:color w:val="auto"/>
                <w:sz w:val="21"/>
                <w:szCs w:val="21"/>
                <w:highlight w:val="none"/>
              </w:rPr>
              <w:t>（m</w:t>
            </w:r>
            <w:r>
              <w:rPr>
                <w:rFonts w:hint="eastAsia" w:ascii="Times New Roman" w:hAnsi="Times New Roman" w:cs="Times New Roman"/>
                <w:b/>
                <w:bCs w:val="0"/>
                <w:color w:val="auto"/>
                <w:sz w:val="21"/>
                <w:szCs w:val="21"/>
                <w:highlight w:val="none"/>
                <w:vertAlign w:val="superscript"/>
              </w:rPr>
              <w:t>3/</w:t>
            </w:r>
            <w:r>
              <w:rPr>
                <w:rFonts w:hint="eastAsia" w:ascii="Times New Roman" w:hAnsi="Times New Roman" w:cs="Times New Roman"/>
                <w:b/>
                <w:bCs w:val="0"/>
                <w:color w:val="auto"/>
                <w:sz w:val="21"/>
                <w:szCs w:val="21"/>
                <w:highlight w:val="none"/>
              </w:rPr>
              <w:t>h）</w:t>
            </w:r>
          </w:p>
        </w:tc>
      </w:tr>
      <w:tr w14:paraId="07BAF1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905" w:type="pct"/>
            <w:tcBorders>
              <w:tl2br w:val="nil"/>
              <w:tr2bl w:val="nil"/>
            </w:tcBorders>
            <w:vAlign w:val="center"/>
          </w:tcPr>
          <w:p w14:paraId="12299593">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hint="eastAsia" w:ascii="Times New Roman" w:hAnsi="Times New Roman" w:cs="Times New Roman"/>
                <w:b w:val="0"/>
                <w:bCs/>
                <w:color w:val="auto"/>
                <w:sz w:val="21"/>
                <w:szCs w:val="21"/>
                <w:highlight w:val="none"/>
              </w:rPr>
              <w:t>仓库</w:t>
            </w:r>
          </w:p>
        </w:tc>
        <w:tc>
          <w:tcPr>
            <w:tcW w:w="2047" w:type="pct"/>
            <w:tcBorders>
              <w:tl2br w:val="nil"/>
              <w:tr2bl w:val="nil"/>
            </w:tcBorders>
            <w:vAlign w:val="center"/>
          </w:tcPr>
          <w:p w14:paraId="1CAA409E">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hint="eastAsia" w:cs="Times New Roman"/>
                <w:b w:val="0"/>
                <w:bCs/>
                <w:color w:val="auto"/>
                <w:sz w:val="21"/>
                <w:szCs w:val="21"/>
                <w:highlight w:val="none"/>
                <w:lang w:val="en-US" w:eastAsia="zh-CN"/>
              </w:rPr>
              <w:t>COD</w:t>
            </w:r>
            <w:r>
              <w:rPr>
                <w:rFonts w:hint="eastAsia" w:ascii="Times New Roman" w:hAnsi="Times New Roman" w:cs="Times New Roman"/>
                <w:b w:val="0"/>
                <w:bCs/>
                <w:color w:val="auto"/>
                <w:sz w:val="21"/>
                <w:szCs w:val="21"/>
                <w:highlight w:val="none"/>
              </w:rPr>
              <w:t>：2161600mg/L</w:t>
            </w:r>
          </w:p>
        </w:tc>
        <w:tc>
          <w:tcPr>
            <w:tcW w:w="2047" w:type="pct"/>
            <w:tcBorders>
              <w:tl2br w:val="nil"/>
              <w:tr2bl w:val="nil"/>
            </w:tcBorders>
            <w:vAlign w:val="center"/>
          </w:tcPr>
          <w:p w14:paraId="603A9B74">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0.288</w:t>
            </w:r>
          </w:p>
        </w:tc>
      </w:tr>
      <w:tr w14:paraId="21014E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905" w:type="pct"/>
            <w:tcBorders>
              <w:tl2br w:val="nil"/>
              <w:tr2bl w:val="nil"/>
            </w:tcBorders>
            <w:vAlign w:val="center"/>
          </w:tcPr>
          <w:p w14:paraId="2F1FF7AB">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hint="eastAsia" w:ascii="Times New Roman" w:hAnsi="Times New Roman" w:cs="Times New Roman"/>
                <w:b w:val="0"/>
                <w:bCs/>
                <w:color w:val="auto"/>
                <w:sz w:val="21"/>
                <w:szCs w:val="21"/>
                <w:highlight w:val="none"/>
              </w:rPr>
              <w:t>罐区</w:t>
            </w:r>
          </w:p>
        </w:tc>
        <w:tc>
          <w:tcPr>
            <w:tcW w:w="2047" w:type="pct"/>
            <w:tcBorders>
              <w:tl2br w:val="nil"/>
              <w:tr2bl w:val="nil"/>
            </w:tcBorders>
            <w:vAlign w:val="center"/>
          </w:tcPr>
          <w:p w14:paraId="0E125042">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hint="eastAsia" w:cs="Times New Roman"/>
                <w:b w:val="0"/>
                <w:bCs/>
                <w:color w:val="auto"/>
                <w:sz w:val="21"/>
                <w:szCs w:val="21"/>
                <w:highlight w:val="none"/>
                <w:lang w:val="en-US" w:eastAsia="zh-CN"/>
              </w:rPr>
              <w:t>钠</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229425</w:t>
            </w:r>
            <w:r>
              <w:rPr>
                <w:rFonts w:hint="eastAsia" w:ascii="Times New Roman" w:hAnsi="Times New Roman" w:cs="Times New Roman"/>
                <w:b w:val="0"/>
                <w:bCs/>
                <w:color w:val="auto"/>
                <w:sz w:val="21"/>
                <w:szCs w:val="21"/>
                <w:highlight w:val="none"/>
              </w:rPr>
              <w:t>mg/L</w:t>
            </w:r>
          </w:p>
          <w:p w14:paraId="2FFC0D77">
            <w:pPr>
              <w:adjustRightInd w:val="0"/>
              <w:snapToGrid w:val="0"/>
              <w:spacing w:line="240" w:lineRule="auto"/>
              <w:ind w:left="-120" w:leftChars="-50" w:right="-120" w:rightChars="-50"/>
              <w:jc w:val="center"/>
              <w:rPr>
                <w:rFonts w:hint="eastAsia" w:ascii="Times New Roman" w:hAnsi="Times New Roman" w:cs="Times New Roman"/>
                <w:b w:val="0"/>
                <w:bCs/>
                <w:color w:val="auto"/>
                <w:sz w:val="21"/>
                <w:szCs w:val="21"/>
                <w:highlight w:val="none"/>
              </w:rPr>
            </w:pPr>
            <w:r>
              <w:rPr>
                <w:rFonts w:hint="eastAsia" w:ascii="Times New Roman" w:hAnsi="Times New Roman" w:cs="Times New Roman"/>
                <w:b w:val="0"/>
                <w:bCs/>
                <w:color w:val="auto"/>
                <w:sz w:val="21"/>
                <w:szCs w:val="21"/>
                <w:highlight w:val="none"/>
              </w:rPr>
              <w:t>硫酸根：1767136mg/L</w:t>
            </w:r>
          </w:p>
          <w:p w14:paraId="31B51389">
            <w:pPr>
              <w:adjustRightInd w:val="0"/>
              <w:snapToGrid w:val="0"/>
              <w:spacing w:line="240" w:lineRule="auto"/>
              <w:ind w:left="-120" w:leftChars="-50" w:right="-120" w:rightChars="-50"/>
              <w:jc w:val="center"/>
              <w:rPr>
                <w:rFonts w:hint="eastAsia" w:ascii="Times New Roman" w:hAnsi="Times New Roman" w:cs="Times New Roman"/>
                <w:b w:val="0"/>
                <w:bCs/>
                <w:color w:val="auto"/>
                <w:sz w:val="21"/>
                <w:szCs w:val="21"/>
                <w:highlight w:val="none"/>
              </w:rPr>
            </w:pPr>
            <w:r>
              <w:rPr>
                <w:rFonts w:hint="eastAsia" w:cs="Times New Roman"/>
                <w:b w:val="0"/>
                <w:bCs/>
                <w:color w:val="auto"/>
                <w:sz w:val="21"/>
                <w:szCs w:val="21"/>
                <w:highlight w:val="none"/>
                <w:lang w:val="en-US" w:eastAsia="zh-CN"/>
              </w:rPr>
              <w:t>COD</w:t>
            </w:r>
            <w:r>
              <w:rPr>
                <w:rFonts w:hint="eastAsia" w:ascii="Times New Roman" w:hAnsi="Times New Roman" w:cs="Times New Roman"/>
                <w:b w:val="0"/>
                <w:bCs/>
                <w:color w:val="auto"/>
                <w:sz w:val="21"/>
                <w:szCs w:val="21"/>
                <w:highlight w:val="none"/>
              </w:rPr>
              <w:t>：</w:t>
            </w:r>
            <w:r>
              <w:rPr>
                <w:rFonts w:hint="eastAsia" w:cs="Times New Roman"/>
                <w:b w:val="0"/>
                <w:bCs/>
                <w:color w:val="auto"/>
                <w:sz w:val="21"/>
                <w:szCs w:val="21"/>
                <w:highlight w:val="none"/>
                <w:lang w:val="en-US" w:eastAsia="zh-CN"/>
              </w:rPr>
              <w:t>1389517.493</w:t>
            </w:r>
            <w:r>
              <w:rPr>
                <w:rFonts w:hint="eastAsia" w:ascii="Times New Roman" w:hAnsi="Times New Roman" w:cs="Times New Roman"/>
                <w:b w:val="0"/>
                <w:bCs/>
                <w:color w:val="auto"/>
                <w:sz w:val="21"/>
                <w:szCs w:val="21"/>
                <w:highlight w:val="none"/>
              </w:rPr>
              <w:t>mg/L</w:t>
            </w:r>
          </w:p>
          <w:p w14:paraId="330E6B60">
            <w:pPr>
              <w:adjustRightInd w:val="0"/>
              <w:snapToGrid w:val="0"/>
              <w:spacing w:line="240" w:lineRule="auto"/>
              <w:ind w:left="-120" w:leftChars="-50" w:right="-120" w:rightChars="-50"/>
              <w:jc w:val="center"/>
              <w:rPr>
                <w:rFonts w:hint="eastAsia" w:ascii="Times New Roman" w:hAnsi="Times New Roman" w:cs="Times New Roman"/>
                <w:b w:val="0"/>
                <w:bCs/>
                <w:color w:val="auto"/>
                <w:sz w:val="21"/>
                <w:szCs w:val="21"/>
                <w:highlight w:val="none"/>
              </w:rPr>
            </w:pPr>
            <w:r>
              <w:rPr>
                <w:rFonts w:hint="eastAsia" w:cs="Times New Roman"/>
                <w:b w:val="0"/>
                <w:bCs/>
                <w:color w:val="auto"/>
                <w:sz w:val="21"/>
                <w:szCs w:val="21"/>
                <w:highlight w:val="none"/>
                <w:lang w:val="en-US" w:eastAsia="zh-CN"/>
              </w:rPr>
              <w:t>铁</w:t>
            </w:r>
            <w:r>
              <w:rPr>
                <w:rFonts w:hint="eastAsia" w:ascii="Times New Roman" w:hAnsi="Times New Roman" w:cs="Times New Roman"/>
                <w:b w:val="0"/>
                <w:bCs/>
                <w:color w:val="auto"/>
                <w:sz w:val="21"/>
                <w:szCs w:val="21"/>
                <w:highlight w:val="none"/>
              </w:rPr>
              <w:t>：</w:t>
            </w:r>
            <w:r>
              <w:rPr>
                <w:rFonts w:hint="eastAsia" w:cs="Times New Roman"/>
                <w:b w:val="0"/>
                <w:bCs/>
                <w:color w:val="auto"/>
                <w:sz w:val="21"/>
                <w:szCs w:val="21"/>
                <w:highlight w:val="none"/>
                <w:lang w:val="en-US" w:eastAsia="zh-CN"/>
              </w:rPr>
              <w:t>1.08</w:t>
            </w:r>
            <w:r>
              <w:rPr>
                <w:rFonts w:hint="eastAsia" w:ascii="Times New Roman" w:hAnsi="Times New Roman" w:cs="Times New Roman"/>
                <w:b w:val="0"/>
                <w:bCs/>
                <w:color w:val="auto"/>
                <w:sz w:val="21"/>
                <w:szCs w:val="21"/>
                <w:highlight w:val="none"/>
              </w:rPr>
              <w:t>mg/L</w:t>
            </w:r>
          </w:p>
          <w:p w14:paraId="2E5F7757">
            <w:pPr>
              <w:adjustRightInd w:val="0"/>
              <w:snapToGrid w:val="0"/>
              <w:spacing w:line="240" w:lineRule="auto"/>
              <w:ind w:left="-120" w:leftChars="-50" w:right="-120" w:rightChars="-50"/>
              <w:jc w:val="center"/>
              <w:rPr>
                <w:rFonts w:hint="eastAsia" w:ascii="Times New Roman" w:hAnsi="Times New Roman" w:cs="Times New Roman"/>
                <w:b w:val="0"/>
                <w:bCs/>
                <w:color w:val="auto"/>
                <w:sz w:val="21"/>
                <w:szCs w:val="21"/>
                <w:highlight w:val="none"/>
              </w:rPr>
            </w:pPr>
            <w:r>
              <w:rPr>
                <w:rFonts w:hint="eastAsia" w:cs="Times New Roman"/>
                <w:b w:val="0"/>
                <w:bCs/>
                <w:color w:val="auto"/>
                <w:sz w:val="21"/>
                <w:szCs w:val="21"/>
                <w:highlight w:val="none"/>
                <w:lang w:val="en-US" w:eastAsia="zh-CN"/>
              </w:rPr>
              <w:t>总磷</w:t>
            </w:r>
            <w:r>
              <w:rPr>
                <w:rFonts w:hint="eastAsia" w:ascii="Times New Roman" w:hAnsi="Times New Roman" w:cs="Times New Roman"/>
                <w:b w:val="0"/>
                <w:bCs/>
                <w:color w:val="auto"/>
                <w:sz w:val="21"/>
                <w:szCs w:val="21"/>
                <w:highlight w:val="none"/>
              </w:rPr>
              <w:t>：</w:t>
            </w:r>
            <w:r>
              <w:rPr>
                <w:rFonts w:hint="eastAsia" w:cs="Times New Roman"/>
                <w:b w:val="0"/>
                <w:bCs/>
                <w:color w:val="auto"/>
                <w:sz w:val="21"/>
                <w:szCs w:val="21"/>
                <w:highlight w:val="none"/>
                <w:lang w:val="en-US" w:eastAsia="zh-CN"/>
              </w:rPr>
              <w:t>1512</w:t>
            </w:r>
            <w:r>
              <w:rPr>
                <w:rFonts w:hint="eastAsia" w:ascii="Times New Roman" w:hAnsi="Times New Roman" w:cs="Times New Roman"/>
                <w:b w:val="0"/>
                <w:bCs/>
                <w:color w:val="auto"/>
                <w:sz w:val="21"/>
                <w:szCs w:val="21"/>
                <w:highlight w:val="none"/>
              </w:rPr>
              <w:t>mg/L</w:t>
            </w:r>
          </w:p>
          <w:p w14:paraId="4C61BA60">
            <w:pPr>
              <w:adjustRightInd w:val="0"/>
              <w:snapToGrid w:val="0"/>
              <w:spacing w:line="240" w:lineRule="auto"/>
              <w:ind w:left="-120" w:leftChars="-50" w:right="-120" w:rightChars="-50"/>
              <w:jc w:val="center"/>
              <w:rPr>
                <w:rFonts w:hint="eastAsia" w:ascii="Times New Roman" w:hAnsi="Times New Roman" w:cs="Times New Roman"/>
                <w:b w:val="0"/>
                <w:bCs/>
                <w:color w:val="auto"/>
                <w:sz w:val="21"/>
                <w:szCs w:val="21"/>
                <w:highlight w:val="none"/>
              </w:rPr>
            </w:pPr>
            <w:r>
              <w:rPr>
                <w:rFonts w:hint="eastAsia" w:cs="Times New Roman"/>
                <w:b w:val="0"/>
                <w:bCs/>
                <w:color w:val="auto"/>
                <w:sz w:val="21"/>
                <w:szCs w:val="21"/>
                <w:highlight w:val="none"/>
                <w:lang w:val="en-US" w:eastAsia="zh-CN"/>
              </w:rPr>
              <w:t>铝</w:t>
            </w:r>
            <w:r>
              <w:rPr>
                <w:rFonts w:hint="eastAsia" w:ascii="Times New Roman" w:hAnsi="Times New Roman" w:cs="Times New Roman"/>
                <w:b w:val="0"/>
                <w:bCs/>
                <w:color w:val="auto"/>
                <w:sz w:val="21"/>
                <w:szCs w:val="21"/>
                <w:highlight w:val="none"/>
              </w:rPr>
              <w:t>：</w:t>
            </w:r>
            <w:r>
              <w:rPr>
                <w:rFonts w:hint="eastAsia" w:cs="Times New Roman"/>
                <w:b w:val="0"/>
                <w:bCs/>
                <w:color w:val="auto"/>
                <w:sz w:val="21"/>
                <w:szCs w:val="21"/>
                <w:highlight w:val="none"/>
                <w:lang w:val="en-US" w:eastAsia="zh-CN"/>
              </w:rPr>
              <w:t>130900</w:t>
            </w:r>
            <w:r>
              <w:rPr>
                <w:rFonts w:hint="eastAsia" w:ascii="Times New Roman" w:hAnsi="Times New Roman" w:cs="Times New Roman"/>
                <w:b w:val="0"/>
                <w:bCs/>
                <w:color w:val="auto"/>
                <w:sz w:val="21"/>
                <w:szCs w:val="21"/>
                <w:highlight w:val="none"/>
              </w:rPr>
              <w:t>mg/L</w:t>
            </w:r>
          </w:p>
          <w:p w14:paraId="10B603D4">
            <w:pPr>
              <w:adjustRightInd w:val="0"/>
              <w:snapToGrid w:val="0"/>
              <w:spacing w:line="240" w:lineRule="auto"/>
              <w:ind w:left="-120" w:leftChars="-50" w:right="-120" w:rightChars="-50"/>
              <w:jc w:val="center"/>
              <w:rPr>
                <w:rFonts w:hint="eastAsia" w:ascii="Times New Roman" w:hAnsi="Times New Roman" w:cs="Times New Roman"/>
                <w:b w:val="0"/>
                <w:bCs/>
                <w:color w:val="auto"/>
                <w:sz w:val="21"/>
                <w:szCs w:val="21"/>
                <w:highlight w:val="none"/>
              </w:rPr>
            </w:pPr>
            <w:r>
              <w:rPr>
                <w:rFonts w:hint="eastAsia" w:ascii="Times New Roman" w:hAnsi="Times New Roman" w:cs="Times New Roman"/>
                <w:b w:val="0"/>
                <w:bCs/>
                <w:color w:val="auto"/>
                <w:sz w:val="21"/>
                <w:szCs w:val="21"/>
                <w:highlight w:val="none"/>
              </w:rPr>
              <w:t>氟化物：</w:t>
            </w:r>
            <w:r>
              <w:rPr>
                <w:rFonts w:hint="eastAsia" w:cs="Times New Roman"/>
                <w:b w:val="0"/>
                <w:bCs/>
                <w:color w:val="auto"/>
                <w:sz w:val="21"/>
                <w:szCs w:val="21"/>
                <w:highlight w:val="none"/>
                <w:lang w:val="en-US" w:eastAsia="zh-CN"/>
              </w:rPr>
              <w:t>328640</w:t>
            </w:r>
            <w:r>
              <w:rPr>
                <w:rFonts w:hint="eastAsia" w:ascii="Times New Roman" w:hAnsi="Times New Roman" w:cs="Times New Roman"/>
                <w:b w:val="0"/>
                <w:bCs/>
                <w:color w:val="auto"/>
                <w:sz w:val="21"/>
                <w:szCs w:val="21"/>
                <w:highlight w:val="none"/>
              </w:rPr>
              <w:t>mg/L</w:t>
            </w:r>
          </w:p>
        </w:tc>
        <w:tc>
          <w:tcPr>
            <w:tcW w:w="2047" w:type="pct"/>
            <w:tcBorders>
              <w:tl2br w:val="nil"/>
              <w:tr2bl w:val="nil"/>
            </w:tcBorders>
            <w:vAlign w:val="center"/>
          </w:tcPr>
          <w:p w14:paraId="6117C49D">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0.252</w:t>
            </w:r>
          </w:p>
        </w:tc>
      </w:tr>
    </w:tbl>
    <w:p w14:paraId="671E7341">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地下水环境影响预测</w:t>
      </w:r>
    </w:p>
    <w:p w14:paraId="0C138EDB">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1、预测范围、时段</w:t>
      </w:r>
    </w:p>
    <w:p w14:paraId="1F4E0AA4">
      <w:pPr>
        <w:pStyle w:val="26"/>
        <w:bidi w:val="0"/>
        <w:rPr>
          <w:rFonts w:hint="eastAsia" w:ascii="Times New Roman" w:hAnsi="Times New Roman"/>
          <w:b/>
          <w:color w:val="auto"/>
          <w:sz w:val="24"/>
        </w:rPr>
      </w:pPr>
      <w:r>
        <w:rPr>
          <w:rFonts w:hint="eastAsia" w:ascii="Times New Roman" w:hAnsi="Times New Roman"/>
          <w:b/>
          <w:color w:val="auto"/>
          <w:sz w:val="24"/>
        </w:rPr>
        <w:t>①预测范围</w:t>
      </w:r>
    </w:p>
    <w:p w14:paraId="3D271308">
      <w:pPr>
        <w:pStyle w:val="26"/>
        <w:bidi w:val="0"/>
        <w:rPr>
          <w:rFonts w:hint="default" w:ascii="Times New Roman" w:hAnsi="Times New Roman" w:cs="Times New Roman"/>
          <w:color w:val="auto"/>
          <w:highlight w:val="none"/>
          <w:u w:val="none"/>
        </w:rPr>
      </w:pPr>
      <w:r>
        <w:rPr>
          <w:color w:val="auto"/>
          <w:sz w:val="24"/>
          <w:highlight w:val="none"/>
        </w:rPr>
        <w:t>根据</w:t>
      </w:r>
      <w:r>
        <w:rPr>
          <w:rFonts w:hint="eastAsia"/>
          <w:color w:val="auto"/>
          <w:sz w:val="24"/>
          <w:highlight w:val="none"/>
        </w:rPr>
        <w:t>《环境影响评价技术导则 地下水环境》（HJ610-2016）中有关要求，本次地下水环境影响</w:t>
      </w:r>
      <w:r>
        <w:rPr>
          <w:rFonts w:hint="eastAsia"/>
          <w:color w:val="auto"/>
          <w:sz w:val="24"/>
          <w:szCs w:val="24"/>
          <w:highlight w:val="none"/>
        </w:rPr>
        <w:t>预测范围与调查评价范围一致</w:t>
      </w:r>
      <w:r>
        <w:rPr>
          <w:rFonts w:hint="eastAsia"/>
          <w:color w:val="auto"/>
          <w:sz w:val="24"/>
          <w:szCs w:val="24"/>
          <w:highlight w:val="none"/>
          <w:lang w:eastAsia="zh-CN"/>
        </w:rPr>
        <w:t>，</w:t>
      </w:r>
      <w:r>
        <w:rPr>
          <w:rFonts w:hint="eastAsia"/>
          <w:color w:val="auto"/>
          <w:sz w:val="24"/>
          <w:szCs w:val="24"/>
          <w:highlight w:val="none"/>
          <w:lang w:val="en-US" w:eastAsia="zh-CN"/>
        </w:rPr>
        <w:t>即</w:t>
      </w:r>
      <w:r>
        <w:rPr>
          <w:rFonts w:hint="eastAsia"/>
          <w:color w:val="auto"/>
          <w:sz w:val="24"/>
          <w:szCs w:val="24"/>
          <w:highlight w:val="none"/>
        </w:rPr>
        <w:t>：</w:t>
      </w:r>
      <w:r>
        <w:rPr>
          <w:rFonts w:hint="default" w:ascii="Times New Roman" w:hAnsi="Times New Roman" w:cs="Times New Roman"/>
          <w:color w:val="auto"/>
          <w:highlight w:val="none"/>
          <w:u w:val="none"/>
        </w:rPr>
        <w:t>西侧以</w:t>
      </w:r>
      <w:r>
        <w:rPr>
          <w:rFonts w:hint="eastAsia" w:cs="Times New Roman"/>
          <w:color w:val="auto"/>
          <w:highlight w:val="none"/>
          <w:u w:val="none"/>
          <w:lang w:eastAsia="zh-CN"/>
        </w:rPr>
        <w:t>龙潭沟</w:t>
      </w:r>
      <w:r>
        <w:rPr>
          <w:rFonts w:hint="default" w:ascii="Times New Roman" w:hAnsi="Times New Roman" w:cs="Times New Roman"/>
          <w:color w:val="auto"/>
          <w:highlight w:val="none"/>
          <w:u w:val="none"/>
        </w:rPr>
        <w:t>为界、北侧以麻石口-杜家院一带分水岭为界、东侧以杜家院-团梁包一带分水岭为界，南侧以大通江为界，本项目地下水环境影响评价范围面积8.63km</w:t>
      </w:r>
      <w:r>
        <w:rPr>
          <w:rFonts w:hint="default" w:ascii="Times New Roman" w:hAnsi="Times New Roman" w:cs="Times New Roman"/>
          <w:color w:val="auto"/>
          <w:highlight w:val="none"/>
          <w:u w:val="none"/>
          <w:vertAlign w:val="superscript"/>
        </w:rPr>
        <w:t>2</w:t>
      </w:r>
      <w:r>
        <w:rPr>
          <w:rFonts w:hint="default" w:ascii="Times New Roman" w:hAnsi="Times New Roman" w:cs="Times New Roman"/>
          <w:color w:val="auto"/>
          <w:highlight w:val="none"/>
          <w:u w:val="none"/>
        </w:rPr>
        <w:t>。</w:t>
      </w:r>
    </w:p>
    <w:p w14:paraId="41C82120">
      <w:pPr>
        <w:pStyle w:val="26"/>
        <w:bidi w:val="0"/>
        <w:rPr>
          <w:rFonts w:hint="eastAsia" w:cs="宋体"/>
          <w:b/>
          <w:color w:val="auto"/>
          <w:sz w:val="24"/>
          <w:szCs w:val="24"/>
        </w:rPr>
      </w:pPr>
      <w:r>
        <w:rPr>
          <w:rFonts w:hint="eastAsia" w:cs="宋体"/>
          <w:b/>
          <w:color w:val="auto"/>
          <w:sz w:val="24"/>
          <w:szCs w:val="24"/>
        </w:rPr>
        <w:t>②预测时段</w:t>
      </w:r>
    </w:p>
    <w:p w14:paraId="45BC1423">
      <w:pPr>
        <w:spacing w:line="360" w:lineRule="auto"/>
        <w:ind w:left="0" w:leftChars="0" w:firstLine="480" w:firstLineChars="200"/>
        <w:jc w:val="both"/>
        <w:rPr>
          <w:rFonts w:ascii="Times New Roman" w:hAnsi="Times New Roman" w:cs="Times New Roman"/>
          <w:color w:val="auto"/>
        </w:rPr>
      </w:pPr>
      <w:r>
        <w:rPr>
          <w:rFonts w:hint="eastAsia" w:ascii="Times New Roman" w:hAnsi="Times New Roman" w:cs="Times New Roman"/>
          <w:color w:val="auto"/>
        </w:rPr>
        <w:t>本项目</w:t>
      </w:r>
      <w:r>
        <w:rPr>
          <w:rFonts w:hint="eastAsia"/>
          <w:color w:val="auto"/>
          <w:highlight w:val="none"/>
          <w:lang w:val="en-US" w:eastAsia="zh-CN"/>
        </w:rPr>
        <w:t>采用DCS集散控制系统对罐区进行监视、控制及报警，</w:t>
      </w:r>
      <w:r>
        <w:rPr>
          <w:rFonts w:hint="eastAsia" w:ascii="Times New Roman" w:hAnsi="Times New Roman" w:cs="Times New Roman"/>
          <w:color w:val="auto"/>
          <w:highlight w:val="none"/>
          <w:lang w:val="en-US" w:eastAsia="zh-CN"/>
        </w:rPr>
        <w:t>物料</w:t>
      </w:r>
      <w:r>
        <w:rPr>
          <w:rFonts w:hint="eastAsia" w:ascii="Times New Roman" w:hAnsi="Times New Roman" w:cs="Times New Roman"/>
          <w:color w:val="auto"/>
          <w:highlight w:val="none"/>
        </w:rPr>
        <w:t>非正常</w:t>
      </w:r>
      <w:r>
        <w:rPr>
          <w:rFonts w:hint="eastAsia" w:ascii="Times New Roman" w:hAnsi="Times New Roman" w:cs="Times New Roman"/>
          <w:color w:val="auto"/>
          <w:highlight w:val="none"/>
          <w:lang w:eastAsia="zh-CN"/>
        </w:rPr>
        <w:t>泄漏</w:t>
      </w:r>
      <w:r>
        <w:rPr>
          <w:rFonts w:hint="eastAsia" w:ascii="Times New Roman" w:hAnsi="Times New Roman" w:cs="Times New Roman"/>
          <w:color w:val="auto"/>
          <w:highlight w:val="none"/>
        </w:rPr>
        <w:t>后能在</w:t>
      </w:r>
      <w:r>
        <w:rPr>
          <w:rFonts w:hint="eastAsia" w:ascii="Times New Roman" w:hAnsi="Times New Roman" w:cs="Times New Roman"/>
          <w:color w:val="auto"/>
          <w:highlight w:val="none"/>
          <w:lang w:val="en-US" w:eastAsia="zh-CN"/>
        </w:rPr>
        <w:t>15min</w:t>
      </w:r>
      <w:r>
        <w:rPr>
          <w:rFonts w:hint="eastAsia" w:ascii="Times New Roman" w:hAnsi="Times New Roman" w:cs="Times New Roman"/>
          <w:color w:val="auto"/>
          <w:highlight w:val="none"/>
        </w:rPr>
        <w:t>内做出响应，为满足极端工况下的预测模拟，本次</w:t>
      </w:r>
      <w:r>
        <w:rPr>
          <w:rFonts w:hint="eastAsia" w:ascii="Times New Roman" w:hAnsi="Times New Roman" w:cs="Times New Roman"/>
          <w:color w:val="auto"/>
          <w:highlight w:val="none"/>
          <w:lang w:val="en-US" w:eastAsia="zh-CN"/>
        </w:rPr>
        <w:t>物料</w:t>
      </w:r>
      <w:r>
        <w:rPr>
          <w:rFonts w:hint="eastAsia" w:ascii="Times New Roman" w:hAnsi="Times New Roman" w:cs="Times New Roman"/>
          <w:color w:val="auto"/>
          <w:highlight w:val="none"/>
          <w:lang w:eastAsia="zh-CN"/>
        </w:rPr>
        <w:t>泄漏</w:t>
      </w:r>
      <w:r>
        <w:rPr>
          <w:rFonts w:hint="eastAsia" w:ascii="Times New Roman" w:hAnsi="Times New Roman" w:cs="Times New Roman"/>
          <w:color w:val="auto"/>
          <w:highlight w:val="none"/>
        </w:rPr>
        <w:t>模拟时间设置为1d，总模拟时间为7300d，时间步长为0.01d。</w:t>
      </w:r>
    </w:p>
    <w:p w14:paraId="2AE42A36">
      <w:pPr>
        <w:pStyle w:val="26"/>
        <w:bidi w:val="0"/>
        <w:rPr>
          <w:rFonts w:cs="宋体"/>
          <w:color w:val="auto"/>
          <w:sz w:val="24"/>
          <w:szCs w:val="24"/>
          <w:highlight w:val="none"/>
        </w:rPr>
      </w:pPr>
      <w:r>
        <w:rPr>
          <w:rFonts w:ascii="Times New Roman" w:hAnsi="Times New Roman" w:cs="Times New Roman"/>
          <w:color w:val="auto"/>
          <w:highlight w:val="none"/>
        </w:rPr>
        <w:t>特征因子污染迁移情况</w:t>
      </w:r>
      <w:r>
        <w:rPr>
          <w:rFonts w:hint="eastAsia" w:ascii="Times New Roman" w:hAnsi="Times New Roman" w:cs="Times New Roman"/>
          <w:color w:val="auto"/>
          <w:highlight w:val="none"/>
        </w:rPr>
        <w:t>按</w:t>
      </w:r>
      <w:r>
        <w:rPr>
          <w:rFonts w:ascii="Times New Roman" w:hAnsi="Times New Roman" w:cs="Times New Roman"/>
          <w:color w:val="auto"/>
          <w:highlight w:val="none"/>
        </w:rPr>
        <w:t>30d</w:t>
      </w:r>
      <w:r>
        <w:rPr>
          <w:rFonts w:hint="eastAsia" w:ascii="Times New Roman" w:hAnsi="Times New Roman" w:cs="Times New Roman"/>
          <w:color w:val="auto"/>
          <w:highlight w:val="none"/>
        </w:rPr>
        <w:t>、365</w:t>
      </w:r>
      <w:r>
        <w:rPr>
          <w:rFonts w:ascii="Times New Roman" w:hAnsi="Times New Roman" w:cs="Times New Roman"/>
          <w:color w:val="auto"/>
          <w:highlight w:val="none"/>
        </w:rPr>
        <w:t>d</w:t>
      </w:r>
      <w:r>
        <w:rPr>
          <w:rFonts w:hint="eastAsia" w:ascii="Times New Roman" w:hAnsi="Times New Roman" w:cs="Times New Roman"/>
          <w:color w:val="auto"/>
          <w:highlight w:val="none"/>
        </w:rPr>
        <w:t>、730</w:t>
      </w:r>
      <w:r>
        <w:rPr>
          <w:rFonts w:ascii="Times New Roman" w:hAnsi="Times New Roman" w:cs="Times New Roman"/>
          <w:color w:val="auto"/>
          <w:highlight w:val="none"/>
        </w:rPr>
        <w:t>d</w:t>
      </w:r>
      <w:r>
        <w:rPr>
          <w:rFonts w:hint="eastAsia" w:ascii="Times New Roman" w:hAnsi="Times New Roman" w:cs="Times New Roman"/>
          <w:color w:val="auto"/>
          <w:highlight w:val="none"/>
        </w:rPr>
        <w:t>、1825</w:t>
      </w:r>
      <w:r>
        <w:rPr>
          <w:rFonts w:ascii="Times New Roman" w:hAnsi="Times New Roman" w:cs="Times New Roman"/>
          <w:color w:val="auto"/>
          <w:highlight w:val="none"/>
        </w:rPr>
        <w:t>d</w:t>
      </w:r>
      <w:r>
        <w:rPr>
          <w:rFonts w:hint="eastAsia" w:ascii="Times New Roman" w:hAnsi="Times New Roman" w:cs="Times New Roman"/>
          <w:color w:val="auto"/>
          <w:highlight w:val="none"/>
        </w:rPr>
        <w:t>、3650</w:t>
      </w:r>
      <w:r>
        <w:rPr>
          <w:rFonts w:ascii="Times New Roman" w:hAnsi="Times New Roman" w:cs="Times New Roman"/>
          <w:color w:val="auto"/>
          <w:highlight w:val="none"/>
        </w:rPr>
        <w:t>d</w:t>
      </w:r>
      <w:r>
        <w:rPr>
          <w:rFonts w:hint="eastAsia" w:ascii="Times New Roman" w:hAnsi="Times New Roman" w:cs="Times New Roman"/>
          <w:color w:val="auto"/>
          <w:highlight w:val="none"/>
        </w:rPr>
        <w:t>、7</w:t>
      </w:r>
      <w:r>
        <w:rPr>
          <w:rFonts w:ascii="Times New Roman" w:hAnsi="Times New Roman" w:cs="Times New Roman"/>
          <w:color w:val="auto"/>
          <w:highlight w:val="none"/>
        </w:rPr>
        <w:t>300d</w:t>
      </w:r>
      <w:r>
        <w:rPr>
          <w:rFonts w:hint="eastAsia" w:ascii="Times New Roman" w:hAnsi="Times New Roman" w:cs="Times New Roman"/>
          <w:color w:val="auto"/>
          <w:highlight w:val="none"/>
        </w:rPr>
        <w:t>分时</w:t>
      </w:r>
      <w:r>
        <w:rPr>
          <w:rFonts w:ascii="Times New Roman" w:hAnsi="Times New Roman" w:cs="Times New Roman"/>
          <w:color w:val="auto"/>
          <w:highlight w:val="none"/>
        </w:rPr>
        <w:t>段出图。</w:t>
      </w:r>
    </w:p>
    <w:p w14:paraId="2B629A8B">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2、预测因子</w:t>
      </w:r>
    </w:p>
    <w:p w14:paraId="3E94D07A">
      <w:pPr>
        <w:pStyle w:val="26"/>
        <w:bidi w:val="0"/>
        <w:rPr>
          <w:color w:val="auto"/>
          <w:sz w:val="24"/>
          <w:szCs w:val="24"/>
          <w:highlight w:val="none"/>
        </w:rPr>
      </w:pPr>
      <w:r>
        <w:rPr>
          <w:rFonts w:hint="eastAsia"/>
          <w:color w:val="auto"/>
          <w:sz w:val="24"/>
          <w:szCs w:val="24"/>
          <w:highlight w:val="none"/>
        </w:rPr>
        <w:t>根据地下水污染</w:t>
      </w:r>
      <w:r>
        <w:rPr>
          <w:rFonts w:hint="eastAsia"/>
          <w:color w:val="auto"/>
          <w:sz w:val="24"/>
          <w:szCs w:val="24"/>
          <w:highlight w:val="none"/>
          <w:lang w:val="en-US" w:eastAsia="zh-CN"/>
        </w:rPr>
        <w:t>因子及</w:t>
      </w:r>
      <w:r>
        <w:rPr>
          <w:rFonts w:hint="eastAsia"/>
          <w:color w:val="auto"/>
          <w:sz w:val="24"/>
          <w:szCs w:val="24"/>
          <w:highlight w:val="none"/>
        </w:rPr>
        <w:t>源强分析结果，本次预测</w:t>
      </w:r>
      <w:r>
        <w:rPr>
          <w:rFonts w:hint="eastAsia"/>
          <w:color w:val="auto"/>
          <w:sz w:val="24"/>
          <w:szCs w:val="24"/>
          <w:highlight w:val="none"/>
          <w:lang w:val="en-US" w:eastAsia="zh-CN"/>
        </w:rPr>
        <w:t>仓库</w:t>
      </w:r>
      <w:r>
        <w:rPr>
          <w:rFonts w:hint="eastAsia"/>
          <w:color w:val="auto"/>
          <w:sz w:val="24"/>
          <w:szCs w:val="24"/>
          <w:highlight w:val="none"/>
        </w:rPr>
        <w:t>选取</w:t>
      </w:r>
      <w:r>
        <w:rPr>
          <w:rFonts w:hint="eastAsia"/>
          <w:color w:val="auto"/>
          <w:sz w:val="24"/>
          <w:highlight w:val="none"/>
        </w:rPr>
        <w:t>COD</w:t>
      </w:r>
      <w:r>
        <w:rPr>
          <w:rFonts w:hint="eastAsia"/>
          <w:color w:val="auto"/>
          <w:sz w:val="24"/>
          <w:highlight w:val="none"/>
          <w:vertAlign w:val="subscript"/>
        </w:rPr>
        <w:t>Mn</w:t>
      </w:r>
      <w:r>
        <w:rPr>
          <w:rFonts w:hint="eastAsia"/>
          <w:color w:val="auto"/>
          <w:sz w:val="24"/>
          <w:highlight w:val="none"/>
        </w:rPr>
        <w:t>为预测因子</w:t>
      </w:r>
      <w:r>
        <w:rPr>
          <w:rFonts w:hint="eastAsia"/>
          <w:color w:val="auto"/>
          <w:sz w:val="24"/>
          <w:highlight w:val="none"/>
          <w:lang w:eastAsia="zh-CN"/>
        </w:rPr>
        <w:t>，</w:t>
      </w:r>
      <w:r>
        <w:rPr>
          <w:rFonts w:hint="eastAsia"/>
          <w:color w:val="auto"/>
          <w:sz w:val="24"/>
          <w:highlight w:val="none"/>
          <w:lang w:val="en-US" w:eastAsia="zh-CN"/>
        </w:rPr>
        <w:t>罐区选取钠、硫酸根、氟化物、</w:t>
      </w:r>
      <w:r>
        <w:rPr>
          <w:rFonts w:hint="eastAsia"/>
          <w:color w:val="auto"/>
          <w:sz w:val="24"/>
          <w:highlight w:val="none"/>
        </w:rPr>
        <w:t>COD</w:t>
      </w:r>
      <w:r>
        <w:rPr>
          <w:rFonts w:hint="eastAsia"/>
          <w:color w:val="auto"/>
          <w:sz w:val="24"/>
          <w:highlight w:val="none"/>
          <w:vertAlign w:val="subscript"/>
        </w:rPr>
        <w:t>Mn</w:t>
      </w:r>
      <w:r>
        <w:rPr>
          <w:rFonts w:hint="eastAsia"/>
          <w:color w:val="auto"/>
          <w:sz w:val="24"/>
          <w:highlight w:val="none"/>
        </w:rPr>
        <w:t>、</w:t>
      </w:r>
      <w:r>
        <w:rPr>
          <w:rFonts w:hint="eastAsia"/>
          <w:color w:val="auto"/>
          <w:sz w:val="24"/>
          <w:highlight w:val="none"/>
          <w:lang w:val="en-US" w:eastAsia="zh-CN"/>
        </w:rPr>
        <w:t>铁、总磷、铝</w:t>
      </w:r>
      <w:r>
        <w:rPr>
          <w:rFonts w:hint="eastAsia"/>
          <w:color w:val="auto"/>
          <w:sz w:val="24"/>
          <w:highlight w:val="none"/>
        </w:rPr>
        <w:t>为预测因子。</w:t>
      </w:r>
    </w:p>
    <w:p w14:paraId="5AD9CEA3">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3、预测方法</w:t>
      </w:r>
    </w:p>
    <w:p w14:paraId="1EA3E615">
      <w:pPr>
        <w:spacing w:line="360" w:lineRule="auto"/>
        <w:ind w:left="0" w:leftChars="0" w:firstLine="480" w:firstLineChars="200"/>
        <w:rPr>
          <w:rFonts w:hint="eastAsia"/>
          <w:b w:val="0"/>
          <w:bCs w:val="0"/>
          <w:color w:val="auto"/>
          <w:sz w:val="24"/>
          <w:highlight w:val="none"/>
        </w:rPr>
      </w:pPr>
      <w:r>
        <w:rPr>
          <w:rFonts w:hint="eastAsia"/>
          <w:b w:val="0"/>
          <w:bCs w:val="0"/>
          <w:color w:val="auto"/>
          <w:sz w:val="24"/>
          <w:highlight w:val="none"/>
        </w:rPr>
        <w:t>基于资料收集和现场调查，分析并掌握项目区的环境和水文地质特征，建立地下水流动的污染物迁移的数学模型，根据工程分析确定各状况下的污染源强及预测参数，建立以Feflow数值计算的水量和水质预测模型，针对本项目运行期非正常状况可能对地下水环境产生的影响进行预测。</w:t>
      </w:r>
    </w:p>
    <w:p w14:paraId="3D465FF8">
      <w:pPr>
        <w:spacing w:line="360" w:lineRule="auto"/>
        <w:rPr>
          <w:b/>
          <w:bCs/>
          <w:color w:val="auto"/>
          <w:sz w:val="24"/>
          <w:highlight w:val="none"/>
        </w:rPr>
      </w:pPr>
      <w:r>
        <w:rPr>
          <w:rFonts w:hint="eastAsia"/>
          <w:b/>
          <w:bCs/>
          <w:color w:val="auto"/>
          <w:sz w:val="24"/>
          <w:highlight w:val="none"/>
        </w:rPr>
        <w:t>（1）地下水流场数值模拟</w:t>
      </w:r>
    </w:p>
    <w:p w14:paraId="541D0594">
      <w:pPr>
        <w:tabs>
          <w:tab w:val="left" w:pos="2790"/>
        </w:tabs>
        <w:spacing w:line="360" w:lineRule="auto"/>
        <w:ind w:left="0" w:leftChars="0" w:firstLine="480" w:firstLineChars="200"/>
        <w:rPr>
          <w:rFonts w:ascii="Times New Roman" w:hAnsi="Times New Roman" w:cs="Times New Roman"/>
          <w:color w:val="auto"/>
        </w:rPr>
      </w:pPr>
      <w:r>
        <w:rPr>
          <w:rFonts w:hint="eastAsia"/>
          <w:color w:val="auto"/>
          <w:highlight w:val="none"/>
        </w:rPr>
        <w:t>①</w:t>
      </w:r>
      <w:r>
        <w:rPr>
          <w:rFonts w:ascii="Times New Roman" w:hAnsi="Times New Roman" w:cs="Times New Roman"/>
          <w:color w:val="auto"/>
        </w:rPr>
        <w:t>数学模型</w:t>
      </w:r>
    </w:p>
    <w:p w14:paraId="786BE856">
      <w:pPr>
        <w:spacing w:line="360" w:lineRule="auto"/>
        <w:ind w:left="0" w:leftChars="0" w:firstLine="480" w:firstLineChars="200"/>
        <w:rPr>
          <w:rFonts w:ascii="Times New Roman" w:hAnsi="Times New Roman" w:cs="Times New Roman"/>
          <w:bCs/>
          <w:color w:val="auto"/>
        </w:rPr>
      </w:pPr>
      <w:r>
        <w:rPr>
          <w:rFonts w:ascii="Times New Roman" w:hAnsi="Times New Roman" w:cs="Times New Roman"/>
          <w:bCs/>
          <w:color w:val="auto"/>
          <w:szCs w:val="20"/>
          <w:lang w:bidi="ar"/>
        </w:rPr>
        <w:t>根据《环境影响评价技术导则</w:t>
      </w:r>
      <w:r>
        <w:rPr>
          <w:rFonts w:hint="eastAsia" w:ascii="Times New Roman" w:hAnsi="Times New Roman" w:cs="Times New Roman"/>
          <w:bCs/>
          <w:color w:val="auto"/>
          <w:szCs w:val="20"/>
          <w:lang w:val="en-US" w:eastAsia="zh-CN" w:bidi="ar"/>
        </w:rPr>
        <w:t xml:space="preserve"> </w:t>
      </w:r>
      <w:r>
        <w:rPr>
          <w:rFonts w:ascii="Times New Roman" w:hAnsi="Times New Roman" w:cs="Times New Roman"/>
          <w:bCs/>
          <w:color w:val="auto"/>
          <w:szCs w:val="20"/>
          <w:lang w:bidi="ar"/>
        </w:rPr>
        <w:t>地下水环境》（HJ610-2016），</w:t>
      </w:r>
      <w:r>
        <w:rPr>
          <w:rFonts w:ascii="Times New Roman" w:hAnsi="Times New Roman" w:cs="Times New Roman"/>
          <w:bCs/>
          <w:color w:val="auto"/>
        </w:rPr>
        <w:t>地下水流模拟采用分块均质、各向异性、非稳定三维分布参数地下水流数学模型，其数学表达形式如下:</w:t>
      </w:r>
    </w:p>
    <w:p w14:paraId="5EBD28D2">
      <w:pPr>
        <w:spacing w:line="360" w:lineRule="auto"/>
        <w:ind w:left="0" w:leftChars="0" w:firstLine="0" w:firstLineChars="0"/>
        <w:jc w:val="center"/>
        <w:rPr>
          <w:rFonts w:ascii="Times New Roman" w:hAnsi="Times New Roman" w:cs="Times New Roman"/>
          <w:color w:val="auto"/>
        </w:rPr>
      </w:pPr>
      <w:r>
        <w:rPr>
          <w:rFonts w:ascii="Times New Roman" w:hAnsi="Times New Roman" w:cs="Times New Roman"/>
          <w:color w:val="auto"/>
          <w:position w:val="-112"/>
        </w:rPr>
        <w:drawing>
          <wp:inline distT="0" distB="0" distL="0" distR="0">
            <wp:extent cx="4838700" cy="1257300"/>
            <wp:effectExtent l="0" t="0" r="0" b="0"/>
            <wp:docPr id="128751077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10772" name="图片 7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4838700" cy="1257300"/>
                    </a:xfrm>
                    <a:prstGeom prst="rect">
                      <a:avLst/>
                    </a:prstGeom>
                    <a:noFill/>
                    <a:ln>
                      <a:noFill/>
                    </a:ln>
                  </pic:spPr>
                </pic:pic>
              </a:graphicData>
            </a:graphic>
          </wp:inline>
        </w:drawing>
      </w:r>
    </w:p>
    <w:p w14:paraId="71DC5935">
      <w:pPr>
        <w:adjustRightInd w:val="0"/>
        <w:spacing w:line="360" w:lineRule="auto"/>
        <w:rPr>
          <w:rFonts w:ascii="Times New Roman" w:hAnsi="Times New Roman" w:cs="Times New Roman"/>
          <w:color w:val="auto"/>
        </w:rPr>
      </w:pPr>
      <w:r>
        <w:rPr>
          <w:rFonts w:ascii="Times New Roman" w:hAnsi="Times New Roman" w:cs="Times New Roman"/>
          <w:color w:val="auto"/>
        </w:rPr>
        <w:t>式中：H（x，y，z，t）表示模拟区任一点（x，y，z）任一时刻t的水头值（m）；</w:t>
      </w:r>
    </w:p>
    <w:p w14:paraId="2D572DBB">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Ω表示地下水渗流区域；</w:t>
      </w:r>
    </w:p>
    <w:p w14:paraId="048232EF">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S</w:t>
      </w:r>
      <w:r>
        <w:rPr>
          <w:rFonts w:ascii="Times New Roman" w:hAnsi="Times New Roman" w:cs="Times New Roman"/>
          <w:color w:val="auto"/>
          <w:vertAlign w:val="subscript"/>
        </w:rPr>
        <w:t>1</w:t>
      </w:r>
      <w:r>
        <w:rPr>
          <w:rFonts w:ascii="Times New Roman" w:hAnsi="Times New Roman" w:cs="Times New Roman"/>
          <w:color w:val="auto"/>
        </w:rPr>
        <w:t>为模型的第一类边界；</w:t>
      </w:r>
    </w:p>
    <w:p w14:paraId="11E89FB1">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S</w:t>
      </w:r>
      <w:r>
        <w:rPr>
          <w:rFonts w:ascii="Times New Roman" w:hAnsi="Times New Roman" w:cs="Times New Roman"/>
          <w:color w:val="auto"/>
          <w:vertAlign w:val="subscript"/>
        </w:rPr>
        <w:t>2</w:t>
      </w:r>
      <w:r>
        <w:rPr>
          <w:rFonts w:ascii="Times New Roman" w:hAnsi="Times New Roman" w:cs="Times New Roman"/>
          <w:color w:val="auto"/>
        </w:rPr>
        <w:t>为模型的第二类边界；</w:t>
      </w:r>
    </w:p>
    <w:p w14:paraId="24430ADD">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K</w:t>
      </w:r>
      <w:r>
        <w:rPr>
          <w:rFonts w:ascii="Times New Roman" w:hAnsi="Times New Roman" w:cs="Times New Roman"/>
          <w:color w:val="auto"/>
          <w:vertAlign w:val="subscript"/>
        </w:rPr>
        <w:t>xx</w:t>
      </w:r>
      <w:r>
        <w:rPr>
          <w:rFonts w:ascii="Times New Roman" w:hAnsi="Times New Roman" w:cs="Times New Roman"/>
          <w:color w:val="auto"/>
        </w:rPr>
        <w:t>，K</w:t>
      </w:r>
      <w:r>
        <w:rPr>
          <w:rFonts w:ascii="Times New Roman" w:hAnsi="Times New Roman" w:cs="Times New Roman"/>
          <w:color w:val="auto"/>
          <w:vertAlign w:val="subscript"/>
        </w:rPr>
        <w:t>yy</w:t>
      </w:r>
      <w:r>
        <w:rPr>
          <w:rFonts w:ascii="Times New Roman" w:hAnsi="Times New Roman" w:cs="Times New Roman"/>
          <w:color w:val="auto"/>
        </w:rPr>
        <w:t>，K</w:t>
      </w:r>
      <w:r>
        <w:rPr>
          <w:rFonts w:ascii="Times New Roman" w:hAnsi="Times New Roman" w:cs="Times New Roman"/>
          <w:color w:val="auto"/>
          <w:vertAlign w:val="subscript"/>
        </w:rPr>
        <w:t>zz</w:t>
      </w:r>
      <w:r>
        <w:rPr>
          <w:rFonts w:ascii="Times New Roman" w:hAnsi="Times New Roman" w:cs="Times New Roman"/>
          <w:color w:val="auto"/>
        </w:rPr>
        <w:t>分别表示x，y，z主方向的渗透系数（m/d）。</w:t>
      </w:r>
    </w:p>
    <w:p w14:paraId="3B0497A7">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w表示源汇项，包括降水入渗补给、蒸发、井的抽水量和泉的排泄量（d</w:t>
      </w:r>
      <w:r>
        <w:rPr>
          <w:rFonts w:ascii="Times New Roman" w:hAnsi="Times New Roman" w:cs="Times New Roman"/>
          <w:color w:val="auto"/>
          <w:vertAlign w:val="superscript"/>
        </w:rPr>
        <w:t>-1</w:t>
      </w:r>
      <w:r>
        <w:rPr>
          <w:rFonts w:ascii="Times New Roman" w:hAnsi="Times New Roman" w:cs="Times New Roman"/>
          <w:color w:val="auto"/>
        </w:rPr>
        <w:t>）；</w:t>
      </w:r>
    </w:p>
    <w:p w14:paraId="3A3AB391">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μ</w:t>
      </w:r>
      <w:r>
        <w:rPr>
          <w:rFonts w:ascii="Times New Roman" w:hAnsi="Times New Roman" w:cs="Times New Roman"/>
          <w:color w:val="auto"/>
          <w:vertAlign w:val="subscript"/>
        </w:rPr>
        <w:t>s</w:t>
      </w:r>
      <w:r>
        <w:rPr>
          <w:rFonts w:ascii="Times New Roman" w:hAnsi="Times New Roman" w:cs="Times New Roman"/>
          <w:color w:val="auto"/>
        </w:rPr>
        <w:t>表示单位贮水率；</w:t>
      </w:r>
    </w:p>
    <w:p w14:paraId="7907899B">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H</w:t>
      </w:r>
      <w:r>
        <w:rPr>
          <w:rFonts w:ascii="Times New Roman" w:hAnsi="Times New Roman" w:cs="Times New Roman"/>
          <w:color w:val="auto"/>
          <w:vertAlign w:val="subscript"/>
        </w:rPr>
        <w:t>0</w:t>
      </w:r>
      <w:r>
        <w:rPr>
          <w:rFonts w:ascii="Times New Roman" w:hAnsi="Times New Roman" w:cs="Times New Roman"/>
          <w:color w:val="auto"/>
        </w:rPr>
        <w:t>（x，y，z）表示初始地下水水头函数（m）；</w:t>
      </w:r>
    </w:p>
    <w:p w14:paraId="3136E789">
      <w:pPr>
        <w:adjustRightInd w:val="0"/>
        <w:spacing w:line="360" w:lineRule="auto"/>
        <w:ind w:firstLine="720" w:firstLineChars="300"/>
        <w:rPr>
          <w:rFonts w:ascii="Times New Roman" w:hAnsi="Times New Roman" w:cs="Times New Roman"/>
          <w:color w:val="auto"/>
        </w:rPr>
      </w:pPr>
      <w:r>
        <w:rPr>
          <w:rFonts w:ascii="Times New Roman" w:hAnsi="Times New Roman" w:cs="Times New Roman"/>
          <w:color w:val="auto"/>
        </w:rPr>
        <w:t>H</w:t>
      </w:r>
      <w:r>
        <w:rPr>
          <w:rFonts w:ascii="Times New Roman" w:hAnsi="Times New Roman" w:cs="Times New Roman"/>
          <w:color w:val="auto"/>
          <w:vertAlign w:val="subscript"/>
        </w:rPr>
        <w:t>1</w:t>
      </w:r>
      <w:r>
        <w:rPr>
          <w:rFonts w:ascii="Times New Roman" w:hAnsi="Times New Roman" w:cs="Times New Roman"/>
          <w:color w:val="auto"/>
        </w:rPr>
        <w:t>（x，y，z）为第一类边界</w:t>
      </w:r>
      <w:r>
        <w:rPr>
          <w:rFonts w:hint="eastAsia" w:cs="Times New Roman"/>
          <w:color w:val="auto"/>
          <w:lang w:val="en-US" w:eastAsia="zh-CN"/>
        </w:rPr>
        <w:t>已知</w:t>
      </w:r>
      <w:r>
        <w:rPr>
          <w:rFonts w:ascii="Times New Roman" w:hAnsi="Times New Roman" w:cs="Times New Roman"/>
          <w:color w:val="auto"/>
        </w:rPr>
        <w:t>地下水水头函数（m）；</w:t>
      </w:r>
    </w:p>
    <w:p w14:paraId="225D3FB9">
      <w:pPr>
        <w:spacing w:line="360" w:lineRule="auto"/>
        <w:ind w:left="0" w:leftChars="0" w:firstLine="1200" w:firstLineChars="500"/>
        <w:rPr>
          <w:rFonts w:ascii="Times New Roman" w:hAnsi="Times New Roman" w:cs="Times New Roman"/>
          <w:color w:val="auto"/>
        </w:rPr>
      </w:pPr>
      <w:r>
        <w:rPr>
          <w:rFonts w:ascii="Times New Roman" w:hAnsi="Times New Roman" w:cs="Times New Roman"/>
          <w:color w:val="auto"/>
        </w:rPr>
        <w:t>Q（x，y，z，t）为第二类边界</w:t>
      </w:r>
      <w:r>
        <w:rPr>
          <w:rFonts w:hint="eastAsia" w:cs="Times New Roman"/>
          <w:color w:val="auto"/>
          <w:lang w:val="en-US" w:eastAsia="zh-CN"/>
        </w:rPr>
        <w:t>已知</w:t>
      </w:r>
      <w:r>
        <w:rPr>
          <w:rFonts w:ascii="Times New Roman" w:hAnsi="Times New Roman" w:cs="Times New Roman"/>
          <w:color w:val="auto"/>
        </w:rPr>
        <w:t>单位面积流量或单宽流量函数（m</w:t>
      </w:r>
      <w:r>
        <w:rPr>
          <w:rFonts w:ascii="Times New Roman" w:hAnsi="Times New Roman" w:cs="Times New Roman"/>
          <w:color w:val="auto"/>
          <w:vertAlign w:val="superscript"/>
        </w:rPr>
        <w:t>3</w:t>
      </w:r>
      <w:r>
        <w:rPr>
          <w:rFonts w:ascii="Times New Roman" w:hAnsi="Times New Roman" w:cs="Times New Roman"/>
          <w:color w:val="auto"/>
        </w:rPr>
        <w:t>/d·m</w:t>
      </w:r>
      <w:r>
        <w:rPr>
          <w:rFonts w:ascii="Times New Roman" w:hAnsi="Times New Roman" w:cs="Times New Roman"/>
          <w:color w:val="auto"/>
          <w:vertAlign w:val="superscript"/>
        </w:rPr>
        <w:t>2</w:t>
      </w:r>
      <w:r>
        <w:rPr>
          <w:rFonts w:ascii="Times New Roman" w:hAnsi="Times New Roman" w:cs="Times New Roman"/>
          <w:color w:val="auto"/>
        </w:rPr>
        <w:t>），零流量边界或隔水边界q=0。</w:t>
      </w:r>
    </w:p>
    <w:p w14:paraId="6E626496">
      <w:pPr>
        <w:tabs>
          <w:tab w:val="left" w:pos="2790"/>
        </w:tabs>
        <w:spacing w:line="360" w:lineRule="auto"/>
        <w:ind w:left="0" w:leftChars="0" w:firstLine="480" w:firstLineChars="200"/>
        <w:jc w:val="both"/>
        <w:rPr>
          <w:rFonts w:ascii="Times New Roman" w:hAnsi="Times New Roman" w:cs="Times New Roman"/>
          <w:color w:val="auto"/>
        </w:rPr>
      </w:pPr>
      <w:r>
        <w:rPr>
          <w:rFonts w:hint="eastAsia" w:ascii="Times New Roman" w:hAnsi="Times New Roman" w:cs="Times New Roman"/>
          <w:color w:val="auto"/>
        </w:rPr>
        <w:t>②</w:t>
      </w:r>
      <w:r>
        <w:rPr>
          <w:rFonts w:ascii="Times New Roman" w:hAnsi="Times New Roman" w:cs="Times New Roman"/>
          <w:color w:val="auto"/>
        </w:rPr>
        <w:t>预测软件</w:t>
      </w:r>
    </w:p>
    <w:p w14:paraId="4FB9BA2A">
      <w:pPr>
        <w:spacing w:line="360" w:lineRule="auto"/>
        <w:ind w:left="0" w:leftChars="0" w:firstLine="480" w:firstLineChars="200"/>
        <w:jc w:val="both"/>
        <w:rPr>
          <w:rFonts w:ascii="Times New Roman" w:hAnsi="Times New Roman" w:cs="Times New Roman"/>
          <w:bCs/>
          <w:color w:val="auto"/>
        </w:rPr>
      </w:pPr>
      <w:r>
        <w:rPr>
          <w:rFonts w:hint="eastAsia" w:ascii="Times New Roman" w:hAnsi="Times New Roman" w:cs="Times New Roman"/>
          <w:color w:val="auto"/>
        </w:rPr>
        <w:t>目前常用的模拟软件有由加拿大Waterloo水文地质公司基于MODFLOW的基础上研制开发的Visual MODFLOW，另一种是德国WASY公司基于有限单元法开发的地下水数值模拟软件FEFLOW （Finite element subsurface flow system）。Visual MODFLOW其特点是离散方法简单化，结构化模块程序设计、时间步长设置灵活，求解方法多样。但是有限差分法是用正交网格剖分渗流区域，所以对很多水文地质问题拟合自然边界及非均质边界的灵活性较差，例如可动边界的处理等，还有就是方法本身要求水头函数须具有二阶连续可导，这一条件对地下水</w:t>
      </w:r>
      <w:r>
        <w:rPr>
          <w:rFonts w:hint="eastAsia" w:ascii="Times New Roman" w:hAnsi="Times New Roman" w:cs="Times New Roman"/>
          <w:bCs/>
          <w:color w:val="auto"/>
        </w:rPr>
        <w:t>流容易突变的部位经常难以满足。</w:t>
      </w:r>
    </w:p>
    <w:p w14:paraId="2327B7D9">
      <w:pPr>
        <w:spacing w:line="360" w:lineRule="auto"/>
        <w:ind w:left="0" w:leftChars="0" w:firstLine="480" w:firstLineChars="200"/>
        <w:jc w:val="both"/>
        <w:rPr>
          <w:rFonts w:ascii="Times New Roman" w:hAnsi="Times New Roman" w:cs="Times New Roman"/>
          <w:bCs/>
          <w:color w:val="auto"/>
        </w:rPr>
      </w:pPr>
      <w:r>
        <w:rPr>
          <w:rFonts w:hint="eastAsia" w:ascii="Times New Roman" w:hAnsi="Times New Roman" w:cs="Times New Roman"/>
          <w:bCs/>
          <w:color w:val="auto"/>
        </w:rPr>
        <w:t>而FEFLOW （Finite element subsurface flow system），是迄今为止功能最为齐全的地下水模拟软件之一，可用于解决复杂的三维非稳定水流和溶质运移等问题。FEFLOW软件基于有限元方法，可以对已运行的空间三维地下水流模型进行后期分析，在这方面其功能要强于其他基于有限差分方法的模拟软件。同时它还具有交互式图形输入输出和地理信息系统数据接口，能方便地自动产生空间多种有限单元网格，可以进行空间参数区域化和定义边界条件，并且内部采用了多种快速、精确的数值计算法。在实时图形显示结果与成图方面，提供了其它任何地下水模拟软件都无法比拟的、丰富实用的图形显示和数据结果分析工具。另外，对于非承压含水层还采用了变动上边界的办法（BASD）以适应变化的潜水水位。这些特点都是其它模拟软件所不能完全具备的。此次选用能对复杂地质体进行较精确刻画的FEFLOW模拟软件对工程区进行数值模拟。</w:t>
      </w:r>
    </w:p>
    <w:p w14:paraId="45C4CA76">
      <w:pPr>
        <w:tabs>
          <w:tab w:val="left" w:pos="2790"/>
        </w:tabs>
        <w:spacing w:line="360" w:lineRule="auto"/>
        <w:ind w:left="0" w:leftChars="0" w:firstLine="480" w:firstLineChars="200"/>
        <w:rPr>
          <w:rFonts w:ascii="Times New Roman" w:hAnsi="Times New Roman" w:cs="Times New Roman"/>
          <w:color w:val="auto"/>
        </w:rPr>
      </w:pPr>
      <w:r>
        <w:rPr>
          <w:rFonts w:hint="eastAsia" w:ascii="Times New Roman" w:hAnsi="Times New Roman" w:cs="Times New Roman"/>
          <w:color w:val="auto"/>
        </w:rPr>
        <w:t>③</w:t>
      </w:r>
      <w:r>
        <w:rPr>
          <w:rFonts w:ascii="Times New Roman" w:hAnsi="Times New Roman" w:cs="Times New Roman"/>
          <w:color w:val="auto"/>
        </w:rPr>
        <w:t>渗流场模拟</w:t>
      </w:r>
    </w:p>
    <w:p w14:paraId="2997E769">
      <w:pPr>
        <w:tabs>
          <w:tab w:val="left" w:pos="2790"/>
        </w:tabs>
        <w:spacing w:line="360" w:lineRule="auto"/>
        <w:ind w:left="0" w:leftChars="0" w:firstLine="480" w:firstLineChars="200"/>
        <w:jc w:val="both"/>
        <w:rPr>
          <w:rFonts w:ascii="Times New Roman" w:hAnsi="Times New Roman" w:cs="Times New Roman"/>
          <w:color w:val="auto"/>
        </w:rPr>
      </w:pPr>
      <w:r>
        <w:rPr>
          <w:rFonts w:hint="eastAsia" w:ascii="Times New Roman" w:hAnsi="Times New Roman" w:cs="Times New Roman"/>
          <w:color w:val="auto"/>
          <w:lang w:val="en-US" w:eastAsia="zh-CN"/>
        </w:rPr>
        <w:t>A.</w:t>
      </w:r>
      <w:r>
        <w:rPr>
          <w:rFonts w:ascii="Times New Roman" w:hAnsi="Times New Roman" w:cs="Times New Roman"/>
          <w:color w:val="auto"/>
        </w:rPr>
        <w:t>模拟区的概化及离散</w:t>
      </w:r>
    </w:p>
    <w:p w14:paraId="2E193895">
      <w:pPr>
        <w:spacing w:line="360" w:lineRule="auto"/>
        <w:ind w:left="0" w:leftChars="0" w:firstLine="480" w:firstLineChars="200"/>
        <w:jc w:val="both"/>
        <w:rPr>
          <w:rFonts w:ascii="Times New Roman" w:hAnsi="Times New Roman" w:cs="Times New Roman"/>
          <w:bCs/>
          <w:color w:val="auto"/>
          <w:highlight w:val="none"/>
        </w:rPr>
      </w:pPr>
      <w:r>
        <w:rPr>
          <w:rFonts w:ascii="Times New Roman" w:hAnsi="Times New Roman" w:cs="Times New Roman"/>
          <w:color w:val="auto"/>
          <w:highlight w:val="none"/>
        </w:rPr>
        <w:t>本次地下水</w:t>
      </w:r>
      <w:r>
        <w:rPr>
          <w:rFonts w:hint="eastAsia" w:ascii="Times New Roman" w:hAnsi="Times New Roman" w:cs="Times New Roman"/>
          <w:color w:val="auto"/>
          <w:highlight w:val="none"/>
          <w:lang w:val="en-US" w:eastAsia="zh-CN"/>
        </w:rPr>
        <w:t>模拟</w:t>
      </w:r>
      <w:r>
        <w:rPr>
          <w:rFonts w:ascii="Times New Roman" w:hAnsi="Times New Roman" w:cs="Times New Roman"/>
          <w:color w:val="auto"/>
          <w:highlight w:val="none"/>
        </w:rPr>
        <w:t>范围</w:t>
      </w:r>
      <w:r>
        <w:rPr>
          <w:rFonts w:hint="eastAsia" w:ascii="Times New Roman" w:hAnsi="Times New Roman" w:cs="Times New Roman"/>
          <w:color w:val="auto"/>
          <w:highlight w:val="none"/>
          <w:lang w:val="en-US" w:eastAsia="zh-CN"/>
        </w:rPr>
        <w:t>选取场地周边天然分水岭及地表河流围成的范围</w:t>
      </w:r>
      <w:r>
        <w:rPr>
          <w:rFonts w:ascii="Times New Roman" w:hAnsi="Times New Roman" w:cs="Times New Roman"/>
          <w:color w:val="auto"/>
          <w:highlight w:val="none"/>
        </w:rPr>
        <w:t>。</w:t>
      </w:r>
      <w:r>
        <w:rPr>
          <w:rFonts w:ascii="Times New Roman" w:hAnsi="Times New Roman" w:cs="Times New Roman"/>
          <w:bCs/>
          <w:color w:val="auto"/>
          <w:highlight w:val="none"/>
        </w:rPr>
        <w:t>项目预测范围</w:t>
      </w:r>
      <w:r>
        <w:rPr>
          <w:rFonts w:hint="eastAsia" w:ascii="Times New Roman" w:hAnsi="Times New Roman" w:cs="Times New Roman"/>
          <w:bCs/>
          <w:color w:val="auto"/>
          <w:highlight w:val="none"/>
        </w:rPr>
        <w:t>与</w:t>
      </w:r>
      <w:r>
        <w:rPr>
          <w:rFonts w:ascii="Times New Roman" w:hAnsi="Times New Roman" w:cs="Times New Roman"/>
          <w:bCs/>
          <w:color w:val="auto"/>
          <w:highlight w:val="none"/>
        </w:rPr>
        <w:t>评价范围</w:t>
      </w:r>
      <w:r>
        <w:rPr>
          <w:rFonts w:hint="eastAsia" w:ascii="Times New Roman" w:hAnsi="Times New Roman" w:cs="Times New Roman"/>
          <w:bCs/>
          <w:color w:val="auto"/>
          <w:highlight w:val="none"/>
        </w:rPr>
        <w:t>相同。</w:t>
      </w:r>
    </w:p>
    <w:p w14:paraId="521AD805">
      <w:pPr>
        <w:tabs>
          <w:tab w:val="left" w:pos="2790"/>
        </w:tabs>
        <w:spacing w:line="360" w:lineRule="auto"/>
        <w:ind w:left="0" w:leftChars="0" w:firstLine="480" w:firstLineChars="200"/>
        <w:jc w:val="both"/>
        <w:rPr>
          <w:rFonts w:ascii="Times New Roman" w:hAnsi="Times New Roman" w:cs="Times New Roman"/>
          <w:color w:val="auto"/>
        </w:rPr>
      </w:pPr>
      <w:r>
        <w:rPr>
          <w:rFonts w:ascii="Times New Roman" w:hAnsi="Times New Roman" w:cs="Times New Roman"/>
          <w:color w:val="auto"/>
          <w:highlight w:val="none"/>
        </w:rPr>
        <w:t>根据</w:t>
      </w:r>
      <w:r>
        <w:rPr>
          <w:rFonts w:hint="eastAsia" w:ascii="Times New Roman" w:hAnsi="Times New Roman" w:cs="Times New Roman"/>
          <w:color w:val="auto"/>
          <w:highlight w:val="none"/>
        </w:rPr>
        <w:t>项目区</w:t>
      </w:r>
      <w:r>
        <w:rPr>
          <w:rFonts w:ascii="Times New Roman" w:hAnsi="Times New Roman" w:cs="Times New Roman"/>
          <w:color w:val="auto"/>
          <w:highlight w:val="none"/>
        </w:rPr>
        <w:t>水文地质条件，结合项目情况，模拟区东西方向作为模型的x轴方向，长</w:t>
      </w:r>
      <w:r>
        <w:rPr>
          <w:rFonts w:hint="eastAsia" w:cs="Times New Roman"/>
          <w:color w:val="auto"/>
          <w:sz w:val="22"/>
          <w:highlight w:val="none"/>
          <w:lang w:val="en-US" w:eastAsia="zh-CN"/>
        </w:rPr>
        <w:t>3081.2</w:t>
      </w:r>
      <w:r>
        <w:rPr>
          <w:rFonts w:ascii="Times New Roman" w:hAnsi="Times New Roman" w:cs="Times New Roman"/>
          <w:color w:val="auto"/>
          <w:highlight w:val="none"/>
        </w:rPr>
        <w:t>m；南北方向作为模型的y轴方向，</w:t>
      </w:r>
      <w:r>
        <w:rPr>
          <w:rFonts w:hint="eastAsia" w:cs="Times New Roman"/>
          <w:color w:val="auto"/>
          <w:highlight w:val="none"/>
          <w:lang w:val="en-US" w:eastAsia="zh-CN"/>
        </w:rPr>
        <w:t>5932.0</w:t>
      </w:r>
      <w:r>
        <w:rPr>
          <w:rFonts w:ascii="Times New Roman" w:hAnsi="Times New Roman" w:cs="Times New Roman"/>
          <w:color w:val="auto"/>
          <w:highlight w:val="none"/>
        </w:rPr>
        <w:t>m</w:t>
      </w:r>
      <w:r>
        <w:rPr>
          <w:rFonts w:hint="eastAsia" w:ascii="Times New Roman" w:hAnsi="Times New Roman" w:cs="Times New Roman"/>
          <w:color w:val="auto"/>
          <w:highlight w:val="none"/>
        </w:rPr>
        <w:t>；z轴方向，</w:t>
      </w:r>
      <w:r>
        <w:rPr>
          <w:rFonts w:hint="eastAsia" w:cs="Times New Roman"/>
          <w:color w:val="auto"/>
          <w:highlight w:val="none"/>
          <w:lang w:val="en-US" w:eastAsia="zh-CN"/>
        </w:rPr>
        <w:t>592.9</w:t>
      </w:r>
      <w:r>
        <w:rPr>
          <w:rFonts w:hint="eastAsia" w:ascii="Times New Roman" w:hAnsi="Times New Roman" w:cs="Times New Roman"/>
          <w:color w:val="auto"/>
          <w:highlight w:val="none"/>
        </w:rPr>
        <w:t>m，共剖分</w:t>
      </w:r>
      <w:r>
        <w:rPr>
          <w:rFonts w:hint="eastAsia" w:cs="Times New Roman"/>
          <w:color w:val="auto"/>
          <w:highlight w:val="none"/>
          <w:lang w:val="en-US" w:eastAsia="zh-CN"/>
        </w:rPr>
        <w:t>5617620</w:t>
      </w:r>
      <w:r>
        <w:rPr>
          <w:rFonts w:hint="eastAsia" w:ascii="Times New Roman" w:hAnsi="Times New Roman" w:cs="Times New Roman"/>
          <w:color w:val="auto"/>
          <w:highlight w:val="none"/>
        </w:rPr>
        <w:t>个网格</w:t>
      </w:r>
      <w:r>
        <w:rPr>
          <w:rFonts w:ascii="Times New Roman" w:hAnsi="Times New Roman" w:cs="Times New Roman"/>
          <w:color w:val="auto"/>
          <w:highlight w:val="none"/>
        </w:rPr>
        <w:t>。</w:t>
      </w:r>
    </w:p>
    <w:p w14:paraId="33937037">
      <w:pPr>
        <w:ind w:left="0" w:leftChars="0" w:firstLine="0" w:firstLineChars="0"/>
        <w:jc w:val="center"/>
        <w:rPr>
          <w:rFonts w:ascii="Times New Roman" w:hAnsi="Times New Roman"/>
          <w:color w:val="auto"/>
        </w:rPr>
      </w:pPr>
      <w:r>
        <w:rPr>
          <w:rFonts w:hint="eastAsia" w:ascii="Times New Roman" w:hAnsi="Times New Roman" w:eastAsia="宋体"/>
          <w:color w:val="auto"/>
          <w:highlight w:val="none"/>
          <w:lang w:eastAsia="zh-CN"/>
        </w:rPr>
        <w:drawing>
          <wp:inline distT="0" distB="0" distL="114300" distR="114300">
            <wp:extent cx="5259705" cy="2828925"/>
            <wp:effectExtent l="0" t="0" r="17145" b="9525"/>
            <wp:docPr id="72" name="图片 72" descr="m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mesh"/>
                    <pic:cNvPicPr>
                      <a:picLocks noChangeAspect="1"/>
                    </pic:cNvPicPr>
                  </pic:nvPicPr>
                  <pic:blipFill>
                    <a:blip r:embed="rId103"/>
                    <a:stretch>
                      <a:fillRect/>
                    </a:stretch>
                  </pic:blipFill>
                  <pic:spPr>
                    <a:xfrm>
                      <a:off x="0" y="0"/>
                      <a:ext cx="5259705" cy="2828925"/>
                    </a:xfrm>
                    <a:prstGeom prst="rect">
                      <a:avLst/>
                    </a:prstGeom>
                  </pic:spPr>
                </pic:pic>
              </a:graphicData>
            </a:graphic>
          </wp:inline>
        </w:drawing>
      </w:r>
    </w:p>
    <w:p w14:paraId="3A44BB3B">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工作区网格剖分示意图</w:t>
      </w:r>
    </w:p>
    <w:p w14:paraId="0F4F4AE9">
      <w:pPr>
        <w:numPr>
          <w:ilvl w:val="0"/>
          <w:numId w:val="0"/>
        </w:numPr>
        <w:tabs>
          <w:tab w:val="left" w:pos="0"/>
        </w:tabs>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drawing>
          <wp:inline distT="0" distB="0" distL="114300" distR="114300">
            <wp:extent cx="5259705" cy="2828925"/>
            <wp:effectExtent l="0" t="0" r="17145" b="9525"/>
            <wp:docPr id="73" name="图片 73" descr="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layer"/>
                    <pic:cNvPicPr>
                      <a:picLocks noChangeAspect="1"/>
                    </pic:cNvPicPr>
                  </pic:nvPicPr>
                  <pic:blipFill>
                    <a:blip r:embed="rId104"/>
                    <a:stretch>
                      <a:fillRect/>
                    </a:stretch>
                  </pic:blipFill>
                  <pic:spPr>
                    <a:xfrm>
                      <a:off x="0" y="0"/>
                      <a:ext cx="5259705" cy="2828925"/>
                    </a:xfrm>
                    <a:prstGeom prst="rect">
                      <a:avLst/>
                    </a:prstGeom>
                  </pic:spPr>
                </pic:pic>
              </a:graphicData>
            </a:graphic>
          </wp:inline>
        </w:drawing>
      </w:r>
    </w:p>
    <w:p w14:paraId="18967906">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工作区三维地层示意图</w:t>
      </w:r>
    </w:p>
    <w:p w14:paraId="5FADAC07">
      <w:pPr>
        <w:tabs>
          <w:tab w:val="left" w:pos="2790"/>
        </w:tabs>
        <w:spacing w:line="360" w:lineRule="auto"/>
        <w:ind w:left="0" w:leftChars="0" w:firstLine="480" w:firstLineChars="200"/>
        <w:jc w:val="both"/>
        <w:rPr>
          <w:rFonts w:ascii="Times New Roman" w:hAnsi="Times New Roman" w:cs="Times New Roman"/>
          <w:color w:val="auto"/>
        </w:rPr>
      </w:pPr>
      <w:r>
        <w:rPr>
          <w:rFonts w:hint="eastAsia" w:ascii="Times New Roman" w:hAnsi="Times New Roman" w:cs="Times New Roman"/>
          <w:color w:val="auto"/>
          <w:lang w:val="en-US" w:eastAsia="zh-CN"/>
        </w:rPr>
        <w:t>B.</w:t>
      </w:r>
      <w:r>
        <w:rPr>
          <w:rFonts w:ascii="Times New Roman" w:hAnsi="Times New Roman" w:cs="Times New Roman"/>
          <w:color w:val="auto"/>
        </w:rPr>
        <w:t>模拟区边界条件</w:t>
      </w:r>
    </w:p>
    <w:p w14:paraId="24AD6202">
      <w:pPr>
        <w:tabs>
          <w:tab w:val="left" w:pos="2790"/>
        </w:tabs>
        <w:spacing w:line="360" w:lineRule="auto"/>
        <w:ind w:left="0" w:leftChars="0" w:firstLine="480" w:firstLineChars="200"/>
        <w:jc w:val="both"/>
        <w:rPr>
          <w:rFonts w:ascii="Times New Roman" w:hAnsi="Times New Roman" w:cs="Times New Roman"/>
          <w:color w:val="auto"/>
        </w:rPr>
      </w:pPr>
      <w:r>
        <w:rPr>
          <w:rFonts w:hint="eastAsia" w:ascii="Times New Roman" w:hAnsi="Times New Roman" w:cs="Times New Roman"/>
          <w:color w:val="auto"/>
          <w:highlight w:val="none"/>
        </w:rPr>
        <w:t>本次模拟考虑第四系松散岩类</w:t>
      </w:r>
      <w:r>
        <w:rPr>
          <w:rFonts w:hint="eastAsia" w:cs="Times New Roman"/>
          <w:color w:val="auto"/>
          <w:highlight w:val="none"/>
          <w:lang w:eastAsia="zh-CN"/>
        </w:rPr>
        <w:t>、</w:t>
      </w:r>
      <w:r>
        <w:rPr>
          <w:rFonts w:hint="eastAsia" w:ascii="Times New Roman" w:hAnsi="Times New Roman"/>
          <w:color w:val="auto"/>
          <w:szCs w:val="20"/>
          <w:highlight w:val="none"/>
        </w:rPr>
        <w:t>白垩系白龙组</w:t>
      </w:r>
      <w:r>
        <w:rPr>
          <w:rFonts w:hint="eastAsia"/>
          <w:color w:val="auto"/>
          <w:szCs w:val="20"/>
          <w:highlight w:val="none"/>
          <w:lang w:val="en-US" w:eastAsia="zh-CN"/>
        </w:rPr>
        <w:t>地层</w:t>
      </w:r>
      <w:r>
        <w:rPr>
          <w:rFonts w:hint="eastAsia" w:ascii="Times New Roman" w:hAnsi="Times New Roman" w:cs="Times New Roman"/>
          <w:color w:val="auto"/>
          <w:highlight w:val="none"/>
        </w:rPr>
        <w:t>，经调查该区域水文资料，地下水量交换基本处于稳定状态，地下水循环类型主要为渗入-径流型为主</w:t>
      </w:r>
      <w:r>
        <w:rPr>
          <w:rFonts w:hint="eastAsia" w:ascii="Times New Roman" w:hAnsi="Times New Roman" w:cs="Times New Roman"/>
          <w:color w:val="auto"/>
        </w:rPr>
        <w:t>。</w:t>
      </w:r>
    </w:p>
    <w:p w14:paraId="2A95BBEC">
      <w:pPr>
        <w:tabs>
          <w:tab w:val="left" w:pos="2790"/>
        </w:tabs>
        <w:spacing w:line="360" w:lineRule="auto"/>
        <w:ind w:left="0" w:leftChars="0" w:firstLine="480" w:firstLineChars="200"/>
        <w:jc w:val="both"/>
        <w:rPr>
          <w:rFonts w:ascii="Times New Roman" w:hAnsi="Times New Roman" w:cs="Times New Roman"/>
          <w:color w:val="auto"/>
        </w:rPr>
      </w:pPr>
      <w:r>
        <w:rPr>
          <w:rFonts w:hint="eastAsia" w:ascii="Times New Roman" w:hAnsi="Times New Roman" w:cs="Times New Roman"/>
          <w:color w:val="auto"/>
          <w:highlight w:val="none"/>
        </w:rPr>
        <w:t>评价区为一个相对独立的水文地质单元，山脊分水岭为零通量边界，</w:t>
      </w:r>
      <w:r>
        <w:rPr>
          <w:rFonts w:hint="eastAsia" w:ascii="Times New Roman" w:hAnsi="Times New Roman" w:cs="Times New Roman"/>
          <w:color w:val="auto"/>
          <w:highlight w:val="none"/>
          <w:lang w:val="en-US" w:eastAsia="zh-CN"/>
        </w:rPr>
        <w:t>北、</w:t>
      </w:r>
      <w:r>
        <w:rPr>
          <w:rFonts w:hint="eastAsia" w:cs="Times New Roman"/>
          <w:color w:val="auto"/>
          <w:highlight w:val="none"/>
          <w:lang w:val="en-US" w:eastAsia="zh-CN"/>
        </w:rPr>
        <w:t>西</w:t>
      </w:r>
      <w:r>
        <w:rPr>
          <w:rFonts w:hint="eastAsia" w:ascii="Times New Roman" w:hAnsi="Times New Roman" w:cs="Times New Roman"/>
          <w:color w:val="auto"/>
          <w:highlight w:val="none"/>
          <w:lang w:val="en-US" w:eastAsia="zh-CN"/>
        </w:rPr>
        <w:t>、南三侧为河流边界</w:t>
      </w:r>
      <w:r>
        <w:rPr>
          <w:rFonts w:hint="eastAsia" w:cs="Times New Roman"/>
          <w:color w:val="auto"/>
          <w:highlight w:val="none"/>
          <w:lang w:val="en-US" w:eastAsia="zh-CN"/>
        </w:rPr>
        <w:t>。</w:t>
      </w:r>
      <w:r>
        <w:rPr>
          <w:rFonts w:ascii="Times New Roman" w:hAnsi="Times New Roman" w:cs="Times New Roman"/>
          <w:color w:val="auto"/>
          <w:highlight w:val="none"/>
        </w:rPr>
        <w:t>本次模拟以评价范围设置有效单元格，其余为无效单元格，项目区地下水主要接受大气降雨补给</w:t>
      </w:r>
      <w:r>
        <w:rPr>
          <w:rFonts w:ascii="Times New Roman" w:hAnsi="Times New Roman" w:cs="Times New Roman"/>
          <w:color w:val="auto"/>
        </w:rPr>
        <w:t>。</w:t>
      </w:r>
    </w:p>
    <w:p w14:paraId="4D57145E">
      <w:pPr>
        <w:jc w:val="center"/>
        <w:rPr>
          <w:rFonts w:ascii="Times New Roman" w:hAnsi="Times New Roman"/>
          <w:color w:val="auto"/>
        </w:rPr>
      </w:pPr>
      <w:r>
        <w:rPr>
          <w:rFonts w:hint="eastAsia" w:ascii="Times New Roman" w:hAnsi="Times New Roman" w:eastAsia="宋体"/>
          <w:color w:val="auto"/>
          <w:highlight w:val="none"/>
          <w:lang w:eastAsia="zh-CN"/>
        </w:rPr>
        <w:drawing>
          <wp:inline distT="0" distB="0" distL="114300" distR="114300">
            <wp:extent cx="3175635" cy="4592320"/>
            <wp:effectExtent l="0" t="0" r="5715" b="17780"/>
            <wp:docPr id="74" name="图片 74" descr="模拟边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模拟边界"/>
                    <pic:cNvPicPr>
                      <a:picLocks noChangeAspect="1"/>
                    </pic:cNvPicPr>
                  </pic:nvPicPr>
                  <pic:blipFill>
                    <a:blip r:embed="rId105"/>
                    <a:stretch>
                      <a:fillRect/>
                    </a:stretch>
                  </pic:blipFill>
                  <pic:spPr>
                    <a:xfrm>
                      <a:off x="0" y="0"/>
                      <a:ext cx="3175635" cy="4592320"/>
                    </a:xfrm>
                    <a:prstGeom prst="rect">
                      <a:avLst/>
                    </a:prstGeom>
                  </pic:spPr>
                </pic:pic>
              </a:graphicData>
            </a:graphic>
          </wp:inline>
        </w:drawing>
      </w:r>
    </w:p>
    <w:p w14:paraId="20B52681">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模拟范围及边界示意图</w:t>
      </w:r>
    </w:p>
    <w:p w14:paraId="33EB0B86">
      <w:pPr>
        <w:pStyle w:val="26"/>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水力坡度：</w:t>
      </w:r>
      <w:r>
        <w:rPr>
          <w:rFonts w:ascii="Times New Roman" w:hAnsi="Times New Roman" w:eastAsia="宋体" w:cs="Times New Roman"/>
          <w:color w:val="auto"/>
          <w:highlight w:val="none"/>
        </w:rPr>
        <w:t>根据区域水文地质</w:t>
      </w:r>
      <w:r>
        <w:rPr>
          <w:rFonts w:hint="eastAsia" w:ascii="Times New Roman" w:hAnsi="Times New Roman" w:eastAsia="宋体" w:cs="Times New Roman"/>
          <w:color w:val="auto"/>
          <w:highlight w:val="none"/>
          <w:lang w:val="en-US" w:eastAsia="zh-CN"/>
        </w:rPr>
        <w:t>调查，本次模拟范围区域水力坡度为11.86‰。</w:t>
      </w:r>
    </w:p>
    <w:p w14:paraId="18D7CD6C">
      <w:pPr>
        <w:pStyle w:val="26"/>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
          <w:bCs/>
          <w:color w:val="auto"/>
          <w:highlight w:val="none"/>
          <w:lang w:val="en-US" w:eastAsia="zh-CN"/>
        </w:rPr>
        <w:t>有效孔隙度：</w:t>
      </w:r>
      <w:r>
        <w:rPr>
          <w:rFonts w:ascii="Times New Roman" w:hAnsi="Times New Roman" w:eastAsia="宋体" w:cs="Times New Roman"/>
          <w:color w:val="auto"/>
          <w:highlight w:val="none"/>
        </w:rPr>
        <w:t>根据区域水文地质</w:t>
      </w:r>
      <w:r>
        <w:rPr>
          <w:rFonts w:hint="eastAsia" w:ascii="Times New Roman" w:hAnsi="Times New Roman" w:eastAsia="宋体" w:cs="Times New Roman"/>
          <w:color w:val="auto"/>
          <w:highlight w:val="none"/>
          <w:lang w:val="en-US" w:eastAsia="zh-CN"/>
        </w:rPr>
        <w:t>调查，结合现场钻孔资料，考虑到模拟区水文地质参数的非均质性，本次采用等效孔隙度，本次模拟范围中</w:t>
      </w:r>
      <w:r>
        <w:rPr>
          <w:rFonts w:hint="eastAsia" w:ascii="Times New Roman" w:hAnsi="Times New Roman" w:eastAsia="宋体" w:cs="Times New Roman"/>
          <w:color w:val="auto"/>
          <w:highlight w:val="none"/>
        </w:rPr>
        <w:t>第四系松散岩类含水层</w:t>
      </w:r>
      <w:r>
        <w:rPr>
          <w:rFonts w:hint="eastAsia" w:ascii="Times New Roman" w:hAnsi="Times New Roman" w:eastAsia="宋体" w:cs="Times New Roman"/>
          <w:color w:val="auto"/>
          <w:highlight w:val="none"/>
          <w:lang w:val="en-US" w:eastAsia="zh-CN"/>
        </w:rPr>
        <w:t>有效孔隙度为30%，</w:t>
      </w:r>
      <w:r>
        <w:rPr>
          <w:rFonts w:hint="eastAsia" w:ascii="Times New Roman" w:hAnsi="Times New Roman" w:eastAsia="宋体" w:cs="Times New Roman"/>
          <w:color w:val="auto"/>
          <w:highlight w:val="none"/>
        </w:rPr>
        <w:t>白垩系白龙组含水层</w:t>
      </w:r>
      <w:r>
        <w:rPr>
          <w:rFonts w:hint="eastAsia" w:ascii="Times New Roman" w:hAnsi="Times New Roman" w:eastAsia="宋体" w:cs="Times New Roman"/>
          <w:color w:val="auto"/>
          <w:highlight w:val="none"/>
          <w:lang w:val="en-US" w:eastAsia="zh-CN"/>
        </w:rPr>
        <w:t>有效孔隙度为19%。</w:t>
      </w:r>
    </w:p>
    <w:p w14:paraId="59973169">
      <w:pPr>
        <w:pStyle w:val="26"/>
        <w:bidi w:val="0"/>
        <w:rPr>
          <w:rFonts w:ascii="Times New Roman" w:hAnsi="Times New Roman" w:eastAsia="宋体" w:cs="Times New Roman"/>
          <w:color w:val="auto"/>
          <w:highlight w:val="none"/>
        </w:rPr>
      </w:pPr>
      <w:r>
        <w:rPr>
          <w:rFonts w:ascii="Times New Roman" w:hAnsi="Times New Roman" w:eastAsia="宋体" w:cs="Times New Roman"/>
          <w:b/>
          <w:bCs/>
          <w:color w:val="auto"/>
          <w:highlight w:val="none"/>
        </w:rPr>
        <w:t>给水度：</w:t>
      </w:r>
      <w:r>
        <w:rPr>
          <w:rFonts w:ascii="Times New Roman" w:hAnsi="Times New Roman" w:eastAsia="宋体" w:cs="Times New Roman"/>
          <w:color w:val="auto"/>
          <w:highlight w:val="none"/>
        </w:rPr>
        <w:t>根据区域水文地质资料及模型参数经验取值，本项目</w:t>
      </w:r>
      <w:r>
        <w:rPr>
          <w:rFonts w:hint="eastAsia" w:ascii="Times New Roman" w:hAnsi="Times New Roman" w:eastAsia="宋体" w:cs="Times New Roman"/>
          <w:color w:val="auto"/>
          <w:highlight w:val="none"/>
        </w:rPr>
        <w:t>第四系松散岩类含水层</w:t>
      </w:r>
      <w:r>
        <w:rPr>
          <w:rFonts w:ascii="Times New Roman" w:hAnsi="Times New Roman" w:eastAsia="宋体" w:cs="Times New Roman"/>
          <w:color w:val="auto"/>
          <w:highlight w:val="none"/>
        </w:rPr>
        <w:t>给水度设置为</w:t>
      </w:r>
      <w:r>
        <w:rPr>
          <w:rFonts w:hint="eastAsia" w:ascii="Times New Roman" w:hAnsi="Times New Roman" w:eastAsia="宋体" w:cs="Times New Roman"/>
          <w:color w:val="auto"/>
          <w:highlight w:val="none"/>
          <w:lang w:val="en-US" w:eastAsia="zh-CN"/>
        </w:rPr>
        <w:t>0.12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白垩系白龙组含水层</w:t>
      </w:r>
      <w:r>
        <w:rPr>
          <w:rFonts w:ascii="Times New Roman" w:hAnsi="Times New Roman" w:eastAsia="宋体" w:cs="Times New Roman"/>
          <w:color w:val="auto"/>
          <w:highlight w:val="none"/>
        </w:rPr>
        <w:t>给水度设置为</w:t>
      </w:r>
      <w:r>
        <w:rPr>
          <w:rFonts w:hint="eastAsia" w:ascii="Times New Roman" w:hAnsi="Times New Roman" w:eastAsia="宋体" w:cs="Times New Roman"/>
          <w:color w:val="auto"/>
          <w:highlight w:val="none"/>
          <w:lang w:val="en-US" w:eastAsia="zh-CN"/>
        </w:rPr>
        <w:t>0.002</w:t>
      </w:r>
      <w:r>
        <w:rPr>
          <w:rFonts w:ascii="Times New Roman" w:hAnsi="Times New Roman" w:eastAsia="宋体" w:cs="Times New Roman"/>
          <w:color w:val="auto"/>
          <w:highlight w:val="none"/>
        </w:rPr>
        <w:t>。</w:t>
      </w:r>
    </w:p>
    <w:p w14:paraId="0E6DDE65">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给水度经验数据《水文地质手册》</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7"/>
        <w:gridCol w:w="2470"/>
        <w:gridCol w:w="2287"/>
        <w:gridCol w:w="2470"/>
      </w:tblGrid>
      <w:tr w14:paraId="13A0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4557FFA3">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岩土名称</w:t>
            </w:r>
          </w:p>
        </w:tc>
        <w:tc>
          <w:tcPr>
            <w:tcW w:w="1298" w:type="pct"/>
            <w:tcBorders>
              <w:tl2br w:val="nil"/>
              <w:tr2bl w:val="nil"/>
            </w:tcBorders>
            <w:shd w:val="clear" w:color="auto" w:fill="auto"/>
            <w:noWrap/>
            <w:vAlign w:val="bottom"/>
          </w:tcPr>
          <w:p w14:paraId="5BF6F870">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给水度</w:t>
            </w:r>
          </w:p>
        </w:tc>
        <w:tc>
          <w:tcPr>
            <w:tcW w:w="1202" w:type="pct"/>
            <w:tcBorders>
              <w:tl2br w:val="nil"/>
              <w:tr2bl w:val="nil"/>
            </w:tcBorders>
            <w:shd w:val="clear" w:color="auto" w:fill="auto"/>
            <w:noWrap/>
            <w:vAlign w:val="bottom"/>
          </w:tcPr>
          <w:p w14:paraId="2CA5D3EE">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岩土名称</w:t>
            </w:r>
          </w:p>
        </w:tc>
        <w:tc>
          <w:tcPr>
            <w:tcW w:w="1298" w:type="pct"/>
            <w:tcBorders>
              <w:tl2br w:val="nil"/>
              <w:tr2bl w:val="nil"/>
            </w:tcBorders>
            <w:shd w:val="clear" w:color="auto" w:fill="auto"/>
            <w:noWrap/>
            <w:vAlign w:val="bottom"/>
          </w:tcPr>
          <w:p w14:paraId="70C012DF">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给水度</w:t>
            </w:r>
          </w:p>
        </w:tc>
      </w:tr>
      <w:tr w14:paraId="705A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1E768CFA">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砾石和卵石</w:t>
            </w:r>
          </w:p>
        </w:tc>
        <w:tc>
          <w:tcPr>
            <w:tcW w:w="1298" w:type="pct"/>
            <w:tcBorders>
              <w:tl2br w:val="nil"/>
              <w:tr2bl w:val="nil"/>
            </w:tcBorders>
            <w:shd w:val="clear" w:color="auto" w:fill="auto"/>
            <w:noWrap/>
            <w:vAlign w:val="bottom"/>
          </w:tcPr>
          <w:p w14:paraId="450B1A01">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0.30～0.35</w:t>
            </w:r>
          </w:p>
        </w:tc>
        <w:tc>
          <w:tcPr>
            <w:tcW w:w="1202" w:type="pct"/>
            <w:tcBorders>
              <w:tl2br w:val="nil"/>
              <w:tr2bl w:val="nil"/>
            </w:tcBorders>
            <w:shd w:val="clear" w:color="auto" w:fill="auto"/>
            <w:noWrap/>
            <w:vAlign w:val="bottom"/>
          </w:tcPr>
          <w:p w14:paraId="55F16144">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泥炭</w:t>
            </w:r>
          </w:p>
        </w:tc>
        <w:tc>
          <w:tcPr>
            <w:tcW w:w="1298" w:type="pct"/>
            <w:tcBorders>
              <w:tl2br w:val="nil"/>
              <w:tr2bl w:val="nil"/>
            </w:tcBorders>
            <w:shd w:val="clear" w:color="auto" w:fill="auto"/>
            <w:noWrap/>
            <w:vAlign w:val="bottom"/>
          </w:tcPr>
          <w:p w14:paraId="282D63CB">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0.02～0.05</w:t>
            </w:r>
          </w:p>
        </w:tc>
      </w:tr>
      <w:tr w14:paraId="19BE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4C9A48CA">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粗砂</w:t>
            </w:r>
          </w:p>
        </w:tc>
        <w:tc>
          <w:tcPr>
            <w:tcW w:w="1298" w:type="pct"/>
            <w:tcBorders>
              <w:tl2br w:val="nil"/>
              <w:tr2bl w:val="nil"/>
            </w:tcBorders>
            <w:shd w:val="clear" w:color="auto" w:fill="auto"/>
            <w:noWrap/>
            <w:vAlign w:val="bottom"/>
          </w:tcPr>
          <w:p w14:paraId="55E755E8">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0.25～0.30</w:t>
            </w:r>
          </w:p>
        </w:tc>
        <w:tc>
          <w:tcPr>
            <w:tcW w:w="1202" w:type="pct"/>
            <w:tcBorders>
              <w:tl2br w:val="nil"/>
              <w:tr2bl w:val="nil"/>
            </w:tcBorders>
            <w:shd w:val="clear" w:color="auto" w:fill="auto"/>
            <w:noWrap/>
            <w:vAlign w:val="bottom"/>
          </w:tcPr>
          <w:p w14:paraId="26D78E08">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强裂隙性岩石</w:t>
            </w:r>
          </w:p>
        </w:tc>
        <w:tc>
          <w:tcPr>
            <w:tcW w:w="1298" w:type="pct"/>
            <w:tcBorders>
              <w:tl2br w:val="nil"/>
              <w:tr2bl w:val="nil"/>
            </w:tcBorders>
            <w:shd w:val="clear" w:color="auto" w:fill="auto"/>
            <w:noWrap/>
            <w:vAlign w:val="bottom"/>
          </w:tcPr>
          <w:p w14:paraId="3670A033">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0.002～0.01</w:t>
            </w:r>
          </w:p>
        </w:tc>
      </w:tr>
      <w:tr w14:paraId="6987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3E92478E">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中砂</w:t>
            </w:r>
          </w:p>
        </w:tc>
        <w:tc>
          <w:tcPr>
            <w:tcW w:w="1298" w:type="pct"/>
            <w:tcBorders>
              <w:tl2br w:val="nil"/>
              <w:tr2bl w:val="nil"/>
            </w:tcBorders>
            <w:shd w:val="clear" w:color="auto" w:fill="auto"/>
            <w:noWrap/>
            <w:vAlign w:val="bottom"/>
          </w:tcPr>
          <w:p w14:paraId="0CCFFA71">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0.20～0.25</w:t>
            </w:r>
          </w:p>
        </w:tc>
        <w:tc>
          <w:tcPr>
            <w:tcW w:w="1202" w:type="pct"/>
            <w:tcBorders>
              <w:tl2br w:val="nil"/>
              <w:tr2bl w:val="nil"/>
            </w:tcBorders>
            <w:shd w:val="clear" w:color="auto" w:fill="auto"/>
            <w:noWrap/>
            <w:vAlign w:val="bottom"/>
          </w:tcPr>
          <w:p w14:paraId="21C76B16">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裂隙性岩石</w:t>
            </w:r>
          </w:p>
        </w:tc>
        <w:tc>
          <w:tcPr>
            <w:tcW w:w="1298" w:type="pct"/>
            <w:tcBorders>
              <w:tl2br w:val="nil"/>
              <w:tr2bl w:val="nil"/>
            </w:tcBorders>
            <w:shd w:val="clear" w:color="auto" w:fill="auto"/>
            <w:noWrap/>
            <w:vAlign w:val="bottom"/>
          </w:tcPr>
          <w:p w14:paraId="7A640102">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0.0002～0.002</w:t>
            </w:r>
          </w:p>
        </w:tc>
      </w:tr>
      <w:tr w14:paraId="23AC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11D180C4">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细砂</w:t>
            </w:r>
          </w:p>
        </w:tc>
        <w:tc>
          <w:tcPr>
            <w:tcW w:w="1298" w:type="pct"/>
            <w:tcBorders>
              <w:tl2br w:val="nil"/>
              <w:tr2bl w:val="nil"/>
            </w:tcBorders>
            <w:shd w:val="clear" w:color="auto" w:fill="auto"/>
            <w:noWrap/>
            <w:vAlign w:val="bottom"/>
          </w:tcPr>
          <w:p w14:paraId="2D45A14B">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0.15～0.20</w:t>
            </w:r>
          </w:p>
        </w:tc>
        <w:tc>
          <w:tcPr>
            <w:tcW w:w="1202" w:type="pct"/>
            <w:tcBorders>
              <w:tl2br w:val="nil"/>
              <w:tr2bl w:val="nil"/>
            </w:tcBorders>
            <w:shd w:val="clear" w:color="auto" w:fill="auto"/>
            <w:noWrap/>
            <w:vAlign w:val="bottom"/>
          </w:tcPr>
          <w:p w14:paraId="634975AA">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强岩溶化岩石</w:t>
            </w:r>
          </w:p>
        </w:tc>
        <w:tc>
          <w:tcPr>
            <w:tcW w:w="1298" w:type="pct"/>
            <w:tcBorders>
              <w:tl2br w:val="nil"/>
              <w:tr2bl w:val="nil"/>
            </w:tcBorders>
            <w:shd w:val="clear" w:color="auto" w:fill="auto"/>
            <w:noWrap/>
            <w:vAlign w:val="bottom"/>
          </w:tcPr>
          <w:p w14:paraId="1433D62C">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0.05～0.15</w:t>
            </w:r>
          </w:p>
        </w:tc>
      </w:tr>
      <w:tr w14:paraId="39CF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1D691DB6">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粉砂及粘砂土</w:t>
            </w:r>
          </w:p>
        </w:tc>
        <w:tc>
          <w:tcPr>
            <w:tcW w:w="1298" w:type="pct"/>
            <w:tcBorders>
              <w:tl2br w:val="nil"/>
              <w:tr2bl w:val="nil"/>
            </w:tcBorders>
            <w:shd w:val="clear" w:color="auto" w:fill="auto"/>
            <w:noWrap/>
            <w:vAlign w:val="bottom"/>
          </w:tcPr>
          <w:p w14:paraId="64A57ED8">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0.10～0.15</w:t>
            </w:r>
          </w:p>
        </w:tc>
        <w:tc>
          <w:tcPr>
            <w:tcW w:w="1202" w:type="pct"/>
            <w:tcBorders>
              <w:tl2br w:val="nil"/>
              <w:tr2bl w:val="nil"/>
            </w:tcBorders>
            <w:shd w:val="clear" w:color="auto" w:fill="auto"/>
            <w:noWrap/>
            <w:vAlign w:val="bottom"/>
          </w:tcPr>
          <w:p w14:paraId="3C00195C">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岩溶化岩石</w:t>
            </w:r>
          </w:p>
        </w:tc>
        <w:tc>
          <w:tcPr>
            <w:tcW w:w="1298" w:type="pct"/>
            <w:tcBorders>
              <w:tl2br w:val="nil"/>
              <w:tr2bl w:val="nil"/>
            </w:tcBorders>
            <w:shd w:val="clear" w:color="auto" w:fill="auto"/>
            <w:noWrap/>
            <w:vAlign w:val="bottom"/>
          </w:tcPr>
          <w:p w14:paraId="6AD99FAF">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0.01～0.05</w:t>
            </w:r>
          </w:p>
        </w:tc>
      </w:tr>
      <w:tr w14:paraId="56D3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02" w:type="pct"/>
            <w:tcBorders>
              <w:tl2br w:val="nil"/>
              <w:tr2bl w:val="nil"/>
            </w:tcBorders>
            <w:shd w:val="clear" w:color="auto" w:fill="auto"/>
            <w:noWrap/>
            <w:vAlign w:val="bottom"/>
          </w:tcPr>
          <w:p w14:paraId="7695047D">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粘土胶结的砂岩</w:t>
            </w:r>
          </w:p>
        </w:tc>
        <w:tc>
          <w:tcPr>
            <w:tcW w:w="1298" w:type="pct"/>
            <w:tcBorders>
              <w:tl2br w:val="nil"/>
              <w:tr2bl w:val="nil"/>
            </w:tcBorders>
            <w:shd w:val="clear" w:color="auto" w:fill="auto"/>
            <w:noWrap/>
            <w:vAlign w:val="bottom"/>
          </w:tcPr>
          <w:p w14:paraId="4DDA2A24">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0.02～0.03</w:t>
            </w:r>
          </w:p>
        </w:tc>
        <w:tc>
          <w:tcPr>
            <w:tcW w:w="1202" w:type="pct"/>
            <w:tcBorders>
              <w:tl2br w:val="nil"/>
              <w:tr2bl w:val="nil"/>
            </w:tcBorders>
            <w:shd w:val="clear" w:color="auto" w:fill="auto"/>
            <w:noWrap/>
            <w:vAlign w:val="bottom"/>
          </w:tcPr>
          <w:p w14:paraId="458F954C">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弱岩溶化岩石</w:t>
            </w:r>
          </w:p>
        </w:tc>
        <w:tc>
          <w:tcPr>
            <w:tcW w:w="1298" w:type="pct"/>
            <w:tcBorders>
              <w:tl2br w:val="nil"/>
              <w:tr2bl w:val="nil"/>
            </w:tcBorders>
            <w:shd w:val="clear" w:color="auto" w:fill="auto"/>
            <w:noWrap/>
            <w:vAlign w:val="bottom"/>
          </w:tcPr>
          <w:p w14:paraId="305F65DE">
            <w:pPr>
              <w:keepNext w:val="0"/>
              <w:keepLines w:val="0"/>
              <w:pageBreakBefore w:val="0"/>
              <w:widowControl/>
              <w:kinsoku/>
              <w:wordWrap/>
              <w:overflowPunct/>
              <w:topLinePunct w:val="0"/>
              <w:autoSpaceDE/>
              <w:autoSpaceDN/>
              <w:bidi w:val="0"/>
              <w:adjustRightInd w:val="0"/>
              <w:snapToGrid w:val="0"/>
              <w:spacing w:before="60" w:after="60" w:line="240" w:lineRule="auto"/>
              <w:ind w:left="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0.01～0.005</w:t>
            </w:r>
          </w:p>
        </w:tc>
      </w:tr>
      <w:tr w14:paraId="4D1F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000" w:type="pct"/>
            <w:gridSpan w:val="4"/>
            <w:tcBorders>
              <w:tl2br w:val="nil"/>
              <w:tr2bl w:val="nil"/>
            </w:tcBorders>
            <w:shd w:val="clear" w:color="auto" w:fill="auto"/>
            <w:noWrap/>
            <w:vAlign w:val="bottom"/>
          </w:tcPr>
          <w:p w14:paraId="15788F58">
            <w:pPr>
              <w:keepNext w:val="0"/>
              <w:keepLines w:val="0"/>
              <w:pageBreakBefore w:val="0"/>
              <w:widowControl/>
              <w:kinsoku/>
              <w:wordWrap/>
              <w:overflowPunct/>
              <w:topLinePunct w:val="0"/>
              <w:autoSpaceDE/>
              <w:autoSpaceDN/>
              <w:bidi w:val="0"/>
              <w:adjustRightInd w:val="0"/>
              <w:snapToGrid w:val="0"/>
              <w:spacing w:before="60" w:after="60" w:line="240" w:lineRule="auto"/>
              <w:ind w:left="0"/>
              <w:jc w:val="both"/>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注：对于泥质砂层给水度应比引用值小0.05</w:t>
            </w:r>
          </w:p>
        </w:tc>
      </w:tr>
    </w:tbl>
    <w:p w14:paraId="2A580F93">
      <w:pPr>
        <w:adjustRightInd w:val="0"/>
        <w:snapToGrid w:val="0"/>
        <w:spacing w:before="156" w:beforeLines="50" w:line="360" w:lineRule="auto"/>
        <w:ind w:left="0" w:leftChars="0" w:firstLine="482" w:firstLineChars="200"/>
        <w:rPr>
          <w:rFonts w:ascii="Times New Roman" w:hAnsi="Times New Roman" w:cs="Times New Roman"/>
          <w:color w:val="auto"/>
        </w:rPr>
      </w:pPr>
      <w:r>
        <w:rPr>
          <w:rFonts w:ascii="Times New Roman" w:hAnsi="Times New Roman" w:cs="Times New Roman"/>
          <w:b/>
          <w:color w:val="auto"/>
        </w:rPr>
        <w:t>补给量：</w:t>
      </w:r>
      <w:r>
        <w:rPr>
          <w:rFonts w:ascii="Times New Roman" w:hAnsi="Times New Roman" w:cs="Times New Roman"/>
          <w:color w:val="auto"/>
          <w:highlight w:val="none"/>
        </w:rPr>
        <w:t>本项目区内年平均降雨量为</w:t>
      </w:r>
      <w:r>
        <w:rPr>
          <w:rFonts w:hint="eastAsia"/>
          <w:color w:val="auto"/>
          <w:highlight w:val="none"/>
          <w:lang w:val="en-US" w:eastAsia="zh-CN"/>
        </w:rPr>
        <w:t>266.7</w:t>
      </w:r>
      <w:r>
        <w:rPr>
          <w:rFonts w:ascii="Times New Roman" w:hAnsi="Times New Roman" w:cs="Times New Roman"/>
          <w:color w:val="auto"/>
          <w:highlight w:val="none"/>
        </w:rPr>
        <w:t>mm/a。依据《铁路工程水文地质勘查规程》（TB10049-2004）提供的不同含水介质降雨入渗经验值。本项目</w:t>
      </w:r>
      <w:r>
        <w:rPr>
          <w:rFonts w:hint="eastAsia" w:cs="Times New Roman"/>
          <w:color w:val="auto"/>
          <w:highlight w:val="none"/>
          <w:lang w:val="en-US" w:eastAsia="zh-CN"/>
        </w:rPr>
        <w:t>选取综合</w:t>
      </w:r>
      <w:r>
        <w:rPr>
          <w:rFonts w:ascii="Times New Roman" w:hAnsi="Times New Roman" w:cs="Times New Roman"/>
          <w:color w:val="auto"/>
          <w:highlight w:val="none"/>
        </w:rPr>
        <w:t>降雨入渗系数取</w:t>
      </w:r>
      <w:r>
        <w:rPr>
          <w:rFonts w:hint="eastAsia" w:ascii="Times New Roman" w:hAnsi="Times New Roman" w:cs="Times New Roman"/>
          <w:color w:val="auto"/>
          <w:highlight w:val="none"/>
        </w:rPr>
        <w:t>0.</w:t>
      </w:r>
      <w:r>
        <w:rPr>
          <w:rFonts w:hint="eastAsia" w:cs="Times New Roman"/>
          <w:color w:val="auto"/>
          <w:highlight w:val="none"/>
          <w:lang w:val="en-US" w:eastAsia="zh-CN"/>
        </w:rPr>
        <w:t>13</w:t>
      </w:r>
      <w:r>
        <w:rPr>
          <w:rFonts w:ascii="Times New Roman" w:hAnsi="Times New Roman" w:cs="Times New Roman"/>
          <w:color w:val="auto"/>
          <w:highlight w:val="none"/>
        </w:rPr>
        <w:t>，降雨补给量Recharge设置为</w:t>
      </w:r>
      <w:r>
        <w:rPr>
          <w:rFonts w:hint="eastAsia" w:cs="Times New Roman"/>
          <w:color w:val="auto"/>
          <w:highlight w:val="none"/>
          <w:lang w:val="en-US" w:eastAsia="zh-CN"/>
        </w:rPr>
        <w:t>34.68</w:t>
      </w:r>
      <w:r>
        <w:rPr>
          <w:rFonts w:ascii="Times New Roman" w:hAnsi="Times New Roman" w:cs="Times New Roman"/>
          <w:color w:val="auto"/>
          <w:highlight w:val="none"/>
        </w:rPr>
        <w:t>mm/a。</w:t>
      </w:r>
    </w:p>
    <w:p w14:paraId="0F5A3A3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降雨入渗系数经验数据</w:t>
      </w:r>
    </w:p>
    <w:tbl>
      <w:tblPr>
        <w:tblStyle w:val="20"/>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622"/>
        <w:gridCol w:w="2595"/>
        <w:gridCol w:w="2133"/>
      </w:tblGrid>
      <w:tr w14:paraId="4760C9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13792D13">
            <w:pPr>
              <w:adjustRightInd w:val="0"/>
              <w:snapToGrid w:val="0"/>
              <w:spacing w:line="240" w:lineRule="auto"/>
              <w:ind w:left="-120" w:leftChars="-50" w:right="-120" w:rightChars="-50"/>
              <w:jc w:val="center"/>
              <w:rPr>
                <w:rFonts w:ascii="Times New Roman" w:hAnsi="Times New Roman" w:cs="Times New Roman"/>
                <w:b/>
                <w:bCs w:val="0"/>
                <w:color w:val="auto"/>
                <w:sz w:val="21"/>
                <w:szCs w:val="21"/>
              </w:rPr>
            </w:pPr>
            <w:r>
              <w:rPr>
                <w:rFonts w:ascii="Times New Roman" w:hAnsi="Times New Roman" w:cs="Times New Roman"/>
                <w:b/>
                <w:bCs w:val="0"/>
                <w:color w:val="auto"/>
                <w:sz w:val="21"/>
                <w:szCs w:val="21"/>
              </w:rPr>
              <w:t>含水介质</w:t>
            </w:r>
          </w:p>
        </w:tc>
        <w:tc>
          <w:tcPr>
            <w:tcW w:w="1378" w:type="pct"/>
            <w:tcBorders>
              <w:top w:val="single" w:color="auto" w:sz="2" w:space="0"/>
              <w:left w:val="single" w:color="auto" w:sz="2" w:space="0"/>
              <w:bottom w:val="single" w:color="auto" w:sz="2" w:space="0"/>
              <w:right w:val="single" w:color="auto" w:sz="2" w:space="0"/>
            </w:tcBorders>
            <w:vAlign w:val="center"/>
          </w:tcPr>
          <w:p w14:paraId="2AC2EF7F">
            <w:pPr>
              <w:adjustRightInd w:val="0"/>
              <w:snapToGrid w:val="0"/>
              <w:spacing w:line="240" w:lineRule="auto"/>
              <w:ind w:left="-120" w:leftChars="-50" w:right="-120" w:rightChars="-50"/>
              <w:jc w:val="center"/>
              <w:rPr>
                <w:rFonts w:ascii="Times New Roman" w:hAnsi="Times New Roman" w:cs="Times New Roman"/>
                <w:b/>
                <w:bCs w:val="0"/>
                <w:color w:val="auto"/>
                <w:sz w:val="21"/>
                <w:szCs w:val="21"/>
              </w:rPr>
            </w:pPr>
            <w:r>
              <w:rPr>
                <w:rFonts w:ascii="Times New Roman" w:hAnsi="Times New Roman" w:cs="Times New Roman"/>
                <w:b/>
                <w:bCs w:val="0"/>
                <w:color w:val="auto"/>
                <w:sz w:val="21"/>
                <w:szCs w:val="21"/>
              </w:rPr>
              <w:t>λ</w:t>
            </w:r>
          </w:p>
        </w:tc>
        <w:tc>
          <w:tcPr>
            <w:tcW w:w="1364" w:type="pct"/>
            <w:tcBorders>
              <w:top w:val="single" w:color="auto" w:sz="2" w:space="0"/>
              <w:left w:val="single" w:color="auto" w:sz="2" w:space="0"/>
              <w:bottom w:val="single" w:color="auto" w:sz="2" w:space="0"/>
              <w:right w:val="single" w:color="auto" w:sz="2" w:space="0"/>
            </w:tcBorders>
            <w:vAlign w:val="center"/>
          </w:tcPr>
          <w:p w14:paraId="136A9A74">
            <w:pPr>
              <w:adjustRightInd w:val="0"/>
              <w:snapToGrid w:val="0"/>
              <w:spacing w:line="240" w:lineRule="auto"/>
              <w:ind w:left="-120" w:leftChars="-50" w:right="-120" w:rightChars="-50"/>
              <w:jc w:val="center"/>
              <w:rPr>
                <w:rFonts w:ascii="Times New Roman" w:hAnsi="Times New Roman" w:cs="Times New Roman"/>
                <w:b/>
                <w:bCs w:val="0"/>
                <w:color w:val="auto"/>
                <w:sz w:val="21"/>
                <w:szCs w:val="21"/>
              </w:rPr>
            </w:pPr>
            <w:r>
              <w:rPr>
                <w:rFonts w:ascii="Times New Roman" w:hAnsi="Times New Roman" w:cs="Times New Roman"/>
                <w:b/>
                <w:bCs w:val="0"/>
                <w:color w:val="auto"/>
                <w:sz w:val="21"/>
                <w:szCs w:val="21"/>
              </w:rPr>
              <w:t>含水介质</w:t>
            </w:r>
          </w:p>
        </w:tc>
        <w:tc>
          <w:tcPr>
            <w:tcW w:w="1121" w:type="pct"/>
            <w:tcBorders>
              <w:top w:val="single" w:color="auto" w:sz="2" w:space="0"/>
              <w:left w:val="single" w:color="auto" w:sz="2" w:space="0"/>
              <w:bottom w:val="single" w:color="auto" w:sz="2" w:space="0"/>
              <w:right w:val="single" w:color="auto" w:sz="2" w:space="0"/>
            </w:tcBorders>
            <w:vAlign w:val="center"/>
          </w:tcPr>
          <w:p w14:paraId="7BB41A45">
            <w:pPr>
              <w:adjustRightInd w:val="0"/>
              <w:snapToGrid w:val="0"/>
              <w:spacing w:line="240" w:lineRule="auto"/>
              <w:ind w:left="-120" w:leftChars="-50" w:right="-120" w:rightChars="-50"/>
              <w:jc w:val="center"/>
              <w:rPr>
                <w:rFonts w:ascii="Times New Roman" w:hAnsi="Times New Roman" w:cs="Times New Roman"/>
                <w:b/>
                <w:bCs w:val="0"/>
                <w:color w:val="auto"/>
                <w:sz w:val="21"/>
                <w:szCs w:val="21"/>
              </w:rPr>
            </w:pPr>
            <w:r>
              <w:rPr>
                <w:rFonts w:ascii="Times New Roman" w:hAnsi="Times New Roman" w:cs="Times New Roman"/>
                <w:b/>
                <w:bCs w:val="0"/>
                <w:color w:val="auto"/>
                <w:sz w:val="21"/>
                <w:szCs w:val="21"/>
              </w:rPr>
              <w:t>λ</w:t>
            </w:r>
          </w:p>
        </w:tc>
      </w:tr>
      <w:tr w14:paraId="217DE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672D2CC7">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粉质粘土</w:t>
            </w:r>
          </w:p>
        </w:tc>
        <w:tc>
          <w:tcPr>
            <w:tcW w:w="1378" w:type="pct"/>
            <w:tcBorders>
              <w:top w:val="single" w:color="auto" w:sz="2" w:space="0"/>
              <w:left w:val="single" w:color="auto" w:sz="2" w:space="0"/>
              <w:bottom w:val="single" w:color="auto" w:sz="2" w:space="0"/>
              <w:right w:val="single" w:color="auto" w:sz="2" w:space="0"/>
            </w:tcBorders>
            <w:vAlign w:val="center"/>
          </w:tcPr>
          <w:p w14:paraId="4B1BB40C">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0.01～0.02</w:t>
            </w:r>
          </w:p>
        </w:tc>
        <w:tc>
          <w:tcPr>
            <w:tcW w:w="1364" w:type="pct"/>
            <w:tcBorders>
              <w:top w:val="single" w:color="auto" w:sz="2" w:space="0"/>
              <w:left w:val="single" w:color="auto" w:sz="2" w:space="0"/>
              <w:bottom w:val="single" w:color="auto" w:sz="2" w:space="0"/>
              <w:right w:val="single" w:color="auto" w:sz="2" w:space="0"/>
            </w:tcBorders>
            <w:vAlign w:val="center"/>
          </w:tcPr>
          <w:p w14:paraId="00D6FD77">
            <w:pPr>
              <w:adjustRightInd w:val="0"/>
              <w:snapToGrid w:val="0"/>
              <w:spacing w:line="240" w:lineRule="auto"/>
              <w:ind w:left="-120" w:leftChars="-50" w:right="-120" w:rightChars="-50"/>
              <w:jc w:val="center"/>
              <w:rPr>
                <w:rFonts w:ascii="Times New Roman" w:hAnsi="Times New Roman" w:cs="Times New Roman"/>
                <w:b/>
                <w:bCs w:val="0"/>
                <w:color w:val="auto"/>
                <w:sz w:val="21"/>
                <w:szCs w:val="21"/>
              </w:rPr>
            </w:pPr>
            <w:r>
              <w:rPr>
                <w:rFonts w:ascii="Times New Roman" w:hAnsi="Times New Roman" w:cs="Times New Roman"/>
                <w:b/>
                <w:bCs w:val="0"/>
                <w:color w:val="auto"/>
                <w:sz w:val="21"/>
                <w:szCs w:val="21"/>
              </w:rPr>
              <w:t>较完整岩石</w:t>
            </w:r>
          </w:p>
        </w:tc>
        <w:tc>
          <w:tcPr>
            <w:tcW w:w="1121" w:type="pct"/>
            <w:tcBorders>
              <w:top w:val="single" w:color="auto" w:sz="2" w:space="0"/>
              <w:left w:val="single" w:color="auto" w:sz="2" w:space="0"/>
              <w:bottom w:val="single" w:color="auto" w:sz="2" w:space="0"/>
              <w:right w:val="single" w:color="auto" w:sz="2" w:space="0"/>
            </w:tcBorders>
            <w:vAlign w:val="center"/>
          </w:tcPr>
          <w:p w14:paraId="52C66E2F">
            <w:pPr>
              <w:adjustRightInd w:val="0"/>
              <w:snapToGrid w:val="0"/>
              <w:spacing w:line="240" w:lineRule="auto"/>
              <w:ind w:left="-120" w:leftChars="-50" w:right="-120" w:rightChars="-50"/>
              <w:jc w:val="center"/>
              <w:rPr>
                <w:rFonts w:ascii="Times New Roman" w:hAnsi="Times New Roman" w:cs="Times New Roman"/>
                <w:b/>
                <w:bCs w:val="0"/>
                <w:color w:val="auto"/>
                <w:sz w:val="21"/>
                <w:szCs w:val="21"/>
              </w:rPr>
            </w:pPr>
            <w:r>
              <w:rPr>
                <w:rFonts w:ascii="Times New Roman" w:hAnsi="Times New Roman" w:cs="Times New Roman"/>
                <w:b/>
                <w:bCs w:val="0"/>
                <w:color w:val="auto"/>
                <w:sz w:val="21"/>
                <w:szCs w:val="21"/>
              </w:rPr>
              <w:t>0.10～0.15</w:t>
            </w:r>
          </w:p>
        </w:tc>
      </w:tr>
      <w:tr w14:paraId="067E76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75B40F96">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粉土</w:t>
            </w:r>
          </w:p>
        </w:tc>
        <w:tc>
          <w:tcPr>
            <w:tcW w:w="1378" w:type="pct"/>
            <w:tcBorders>
              <w:top w:val="single" w:color="auto" w:sz="2" w:space="0"/>
              <w:left w:val="single" w:color="auto" w:sz="2" w:space="0"/>
              <w:bottom w:val="single" w:color="auto" w:sz="2" w:space="0"/>
              <w:right w:val="single" w:color="auto" w:sz="2" w:space="0"/>
            </w:tcBorders>
            <w:vAlign w:val="center"/>
          </w:tcPr>
          <w:p w14:paraId="17C6EED2">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0.02～0.05</w:t>
            </w:r>
          </w:p>
        </w:tc>
        <w:tc>
          <w:tcPr>
            <w:tcW w:w="1364" w:type="pct"/>
            <w:tcBorders>
              <w:top w:val="single" w:color="auto" w:sz="2" w:space="0"/>
              <w:left w:val="single" w:color="auto" w:sz="2" w:space="0"/>
              <w:bottom w:val="single" w:color="auto" w:sz="2" w:space="0"/>
              <w:right w:val="single" w:color="auto" w:sz="2" w:space="0"/>
            </w:tcBorders>
            <w:vAlign w:val="center"/>
          </w:tcPr>
          <w:p w14:paraId="45C4B58C">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较破碎岩石</w:t>
            </w:r>
          </w:p>
        </w:tc>
        <w:tc>
          <w:tcPr>
            <w:tcW w:w="1121" w:type="pct"/>
            <w:tcBorders>
              <w:top w:val="single" w:color="auto" w:sz="2" w:space="0"/>
              <w:left w:val="single" w:color="auto" w:sz="2" w:space="0"/>
              <w:bottom w:val="single" w:color="auto" w:sz="2" w:space="0"/>
              <w:right w:val="single" w:color="auto" w:sz="2" w:space="0"/>
            </w:tcBorders>
            <w:vAlign w:val="center"/>
          </w:tcPr>
          <w:p w14:paraId="26758BBC">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0.15～0.18</w:t>
            </w:r>
          </w:p>
        </w:tc>
      </w:tr>
      <w:tr w14:paraId="6F275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3CA439F6">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粉砂</w:t>
            </w:r>
          </w:p>
        </w:tc>
        <w:tc>
          <w:tcPr>
            <w:tcW w:w="1378" w:type="pct"/>
            <w:tcBorders>
              <w:top w:val="single" w:color="auto" w:sz="2" w:space="0"/>
              <w:left w:val="single" w:color="auto" w:sz="2" w:space="0"/>
              <w:bottom w:val="single" w:color="auto" w:sz="2" w:space="0"/>
              <w:right w:val="single" w:color="auto" w:sz="2" w:space="0"/>
            </w:tcBorders>
            <w:vAlign w:val="center"/>
          </w:tcPr>
          <w:p w14:paraId="03505522">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0.05～0.08</w:t>
            </w:r>
          </w:p>
        </w:tc>
        <w:tc>
          <w:tcPr>
            <w:tcW w:w="1364" w:type="pct"/>
            <w:tcBorders>
              <w:top w:val="single" w:color="auto" w:sz="2" w:space="0"/>
              <w:left w:val="single" w:color="auto" w:sz="2" w:space="0"/>
              <w:bottom w:val="single" w:color="auto" w:sz="2" w:space="0"/>
              <w:right w:val="single" w:color="auto" w:sz="2" w:space="0"/>
            </w:tcBorders>
            <w:vAlign w:val="center"/>
          </w:tcPr>
          <w:p w14:paraId="3BDEA6C2">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破碎岩石</w:t>
            </w:r>
          </w:p>
        </w:tc>
        <w:tc>
          <w:tcPr>
            <w:tcW w:w="1121" w:type="pct"/>
            <w:tcBorders>
              <w:top w:val="single" w:color="auto" w:sz="2" w:space="0"/>
              <w:left w:val="single" w:color="auto" w:sz="2" w:space="0"/>
              <w:bottom w:val="single" w:color="auto" w:sz="2" w:space="0"/>
              <w:right w:val="single" w:color="auto" w:sz="2" w:space="0"/>
            </w:tcBorders>
            <w:vAlign w:val="center"/>
          </w:tcPr>
          <w:p w14:paraId="67B03D2A">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0.18～0.20</w:t>
            </w:r>
          </w:p>
        </w:tc>
      </w:tr>
      <w:tr w14:paraId="71CEEC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5395539D">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细砂</w:t>
            </w:r>
          </w:p>
        </w:tc>
        <w:tc>
          <w:tcPr>
            <w:tcW w:w="1378" w:type="pct"/>
            <w:tcBorders>
              <w:top w:val="single" w:color="auto" w:sz="2" w:space="0"/>
              <w:left w:val="single" w:color="auto" w:sz="2" w:space="0"/>
              <w:bottom w:val="single" w:color="auto" w:sz="2" w:space="0"/>
              <w:right w:val="single" w:color="auto" w:sz="2" w:space="0"/>
            </w:tcBorders>
            <w:vAlign w:val="center"/>
          </w:tcPr>
          <w:p w14:paraId="22B58B79">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0.08～0.12</w:t>
            </w:r>
          </w:p>
        </w:tc>
        <w:tc>
          <w:tcPr>
            <w:tcW w:w="1364" w:type="pct"/>
            <w:tcBorders>
              <w:top w:val="single" w:color="auto" w:sz="2" w:space="0"/>
              <w:left w:val="single" w:color="auto" w:sz="2" w:space="0"/>
              <w:bottom w:val="single" w:color="auto" w:sz="2" w:space="0"/>
              <w:right w:val="single" w:color="auto" w:sz="2" w:space="0"/>
            </w:tcBorders>
            <w:vAlign w:val="center"/>
          </w:tcPr>
          <w:p w14:paraId="29B467D7">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极破碎岩石</w:t>
            </w:r>
          </w:p>
        </w:tc>
        <w:tc>
          <w:tcPr>
            <w:tcW w:w="1121" w:type="pct"/>
            <w:tcBorders>
              <w:top w:val="single" w:color="auto" w:sz="2" w:space="0"/>
              <w:left w:val="single" w:color="auto" w:sz="2" w:space="0"/>
              <w:bottom w:val="single" w:color="auto" w:sz="2" w:space="0"/>
              <w:right w:val="single" w:color="auto" w:sz="2" w:space="0"/>
            </w:tcBorders>
            <w:vAlign w:val="center"/>
          </w:tcPr>
          <w:p w14:paraId="09007681">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0.20～0.25</w:t>
            </w:r>
          </w:p>
        </w:tc>
      </w:tr>
      <w:tr w14:paraId="5E719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2A5BBE49">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中砂</w:t>
            </w:r>
          </w:p>
        </w:tc>
        <w:tc>
          <w:tcPr>
            <w:tcW w:w="1378" w:type="pct"/>
            <w:tcBorders>
              <w:top w:val="single" w:color="auto" w:sz="2" w:space="0"/>
              <w:left w:val="single" w:color="auto" w:sz="2" w:space="0"/>
              <w:bottom w:val="single" w:color="auto" w:sz="2" w:space="0"/>
              <w:right w:val="single" w:color="auto" w:sz="2" w:space="0"/>
            </w:tcBorders>
            <w:vAlign w:val="center"/>
          </w:tcPr>
          <w:p w14:paraId="1C9FCAF7">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0.12～0.18</w:t>
            </w:r>
          </w:p>
        </w:tc>
        <w:tc>
          <w:tcPr>
            <w:tcW w:w="1364" w:type="pct"/>
            <w:tcBorders>
              <w:top w:val="single" w:color="auto" w:sz="2" w:space="0"/>
              <w:left w:val="single" w:color="auto" w:sz="2" w:space="0"/>
              <w:bottom w:val="single" w:color="auto" w:sz="2" w:space="0"/>
              <w:right w:val="single" w:color="auto" w:sz="2" w:space="0"/>
            </w:tcBorders>
            <w:vAlign w:val="center"/>
          </w:tcPr>
          <w:p w14:paraId="393A3468">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岩溶微弱发育</w:t>
            </w:r>
          </w:p>
        </w:tc>
        <w:tc>
          <w:tcPr>
            <w:tcW w:w="1121" w:type="pct"/>
            <w:tcBorders>
              <w:top w:val="single" w:color="auto" w:sz="2" w:space="0"/>
              <w:left w:val="single" w:color="auto" w:sz="2" w:space="0"/>
              <w:bottom w:val="single" w:color="auto" w:sz="2" w:space="0"/>
              <w:right w:val="single" w:color="auto" w:sz="2" w:space="0"/>
            </w:tcBorders>
            <w:vAlign w:val="center"/>
          </w:tcPr>
          <w:p w14:paraId="08F948FC">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0.01～0.10</w:t>
            </w:r>
          </w:p>
        </w:tc>
      </w:tr>
      <w:tr w14:paraId="0035CC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47E5DB3D">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粗砂</w:t>
            </w:r>
          </w:p>
        </w:tc>
        <w:tc>
          <w:tcPr>
            <w:tcW w:w="1378" w:type="pct"/>
            <w:tcBorders>
              <w:top w:val="single" w:color="auto" w:sz="2" w:space="0"/>
              <w:left w:val="single" w:color="auto" w:sz="2" w:space="0"/>
              <w:bottom w:val="single" w:color="auto" w:sz="2" w:space="0"/>
              <w:right w:val="single" w:color="auto" w:sz="2" w:space="0"/>
            </w:tcBorders>
            <w:vAlign w:val="center"/>
          </w:tcPr>
          <w:p w14:paraId="581898E9">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0.18～0.24</w:t>
            </w:r>
          </w:p>
        </w:tc>
        <w:tc>
          <w:tcPr>
            <w:tcW w:w="1364" w:type="pct"/>
            <w:tcBorders>
              <w:top w:val="single" w:color="auto" w:sz="2" w:space="0"/>
              <w:left w:val="single" w:color="auto" w:sz="2" w:space="0"/>
              <w:bottom w:val="single" w:color="auto" w:sz="2" w:space="0"/>
              <w:right w:val="single" w:color="auto" w:sz="2" w:space="0"/>
            </w:tcBorders>
            <w:vAlign w:val="center"/>
          </w:tcPr>
          <w:p w14:paraId="42AF161C">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岩溶弱发育</w:t>
            </w:r>
          </w:p>
        </w:tc>
        <w:tc>
          <w:tcPr>
            <w:tcW w:w="1121" w:type="pct"/>
            <w:tcBorders>
              <w:top w:val="single" w:color="auto" w:sz="2" w:space="0"/>
              <w:left w:val="single" w:color="auto" w:sz="2" w:space="0"/>
              <w:bottom w:val="single" w:color="auto" w:sz="2" w:space="0"/>
              <w:right w:val="single" w:color="auto" w:sz="2" w:space="0"/>
            </w:tcBorders>
            <w:vAlign w:val="center"/>
          </w:tcPr>
          <w:p w14:paraId="51F0067D">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0.10～0.15</w:t>
            </w:r>
          </w:p>
        </w:tc>
      </w:tr>
      <w:tr w14:paraId="67F59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2B002F5F">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圆砾（夹砂）</w:t>
            </w:r>
          </w:p>
        </w:tc>
        <w:tc>
          <w:tcPr>
            <w:tcW w:w="1378" w:type="pct"/>
            <w:tcBorders>
              <w:top w:val="single" w:color="auto" w:sz="2" w:space="0"/>
              <w:left w:val="single" w:color="auto" w:sz="2" w:space="0"/>
              <w:bottom w:val="single" w:color="auto" w:sz="2" w:space="0"/>
              <w:right w:val="single" w:color="auto" w:sz="2" w:space="0"/>
            </w:tcBorders>
            <w:vAlign w:val="center"/>
          </w:tcPr>
          <w:p w14:paraId="41260C21">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0.24～0.30</w:t>
            </w:r>
          </w:p>
        </w:tc>
        <w:tc>
          <w:tcPr>
            <w:tcW w:w="1364" w:type="pct"/>
            <w:tcBorders>
              <w:top w:val="single" w:color="auto" w:sz="2" w:space="0"/>
              <w:left w:val="single" w:color="auto" w:sz="2" w:space="0"/>
              <w:bottom w:val="single" w:color="auto" w:sz="2" w:space="0"/>
              <w:right w:val="single" w:color="auto" w:sz="2" w:space="0"/>
            </w:tcBorders>
            <w:vAlign w:val="center"/>
          </w:tcPr>
          <w:p w14:paraId="6BAC3430">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岩溶中等发育</w:t>
            </w:r>
          </w:p>
        </w:tc>
        <w:tc>
          <w:tcPr>
            <w:tcW w:w="1121" w:type="pct"/>
            <w:tcBorders>
              <w:top w:val="single" w:color="auto" w:sz="2" w:space="0"/>
              <w:left w:val="single" w:color="auto" w:sz="2" w:space="0"/>
              <w:bottom w:val="single" w:color="auto" w:sz="2" w:space="0"/>
              <w:right w:val="single" w:color="auto" w:sz="2" w:space="0"/>
            </w:tcBorders>
            <w:vAlign w:val="center"/>
          </w:tcPr>
          <w:p w14:paraId="485B0C59">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0.15～0.20</w:t>
            </w:r>
          </w:p>
        </w:tc>
      </w:tr>
      <w:tr w14:paraId="56DA9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53963411">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卵石（夹砂）</w:t>
            </w:r>
          </w:p>
        </w:tc>
        <w:tc>
          <w:tcPr>
            <w:tcW w:w="1378" w:type="pct"/>
            <w:tcBorders>
              <w:top w:val="single" w:color="auto" w:sz="2" w:space="0"/>
              <w:left w:val="single" w:color="auto" w:sz="2" w:space="0"/>
              <w:bottom w:val="single" w:color="auto" w:sz="2" w:space="0"/>
              <w:right w:val="single" w:color="auto" w:sz="2" w:space="0"/>
            </w:tcBorders>
            <w:vAlign w:val="center"/>
          </w:tcPr>
          <w:p w14:paraId="4458588D">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0.30～0.35</w:t>
            </w:r>
          </w:p>
        </w:tc>
        <w:tc>
          <w:tcPr>
            <w:tcW w:w="1364" w:type="pct"/>
            <w:tcBorders>
              <w:top w:val="single" w:color="auto" w:sz="2" w:space="0"/>
              <w:left w:val="single" w:color="auto" w:sz="2" w:space="0"/>
              <w:bottom w:val="single" w:color="auto" w:sz="2" w:space="0"/>
              <w:right w:val="single" w:color="auto" w:sz="2" w:space="0"/>
            </w:tcBorders>
            <w:vAlign w:val="center"/>
          </w:tcPr>
          <w:p w14:paraId="0C49F40A">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岩溶强烈发育</w:t>
            </w:r>
          </w:p>
        </w:tc>
        <w:tc>
          <w:tcPr>
            <w:tcW w:w="1121" w:type="pct"/>
            <w:tcBorders>
              <w:top w:val="single" w:color="auto" w:sz="2" w:space="0"/>
              <w:left w:val="single" w:color="auto" w:sz="2" w:space="0"/>
              <w:bottom w:val="single" w:color="auto" w:sz="2" w:space="0"/>
              <w:right w:val="single" w:color="auto" w:sz="2" w:space="0"/>
            </w:tcBorders>
            <w:vAlign w:val="center"/>
          </w:tcPr>
          <w:p w14:paraId="0C23DCCE">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0.20～0.50</w:t>
            </w:r>
          </w:p>
        </w:tc>
      </w:tr>
      <w:tr w14:paraId="15CED5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pct"/>
            <w:tcBorders>
              <w:top w:val="single" w:color="auto" w:sz="2" w:space="0"/>
              <w:left w:val="single" w:color="auto" w:sz="2" w:space="0"/>
              <w:bottom w:val="single" w:color="auto" w:sz="2" w:space="0"/>
              <w:right w:val="single" w:color="auto" w:sz="2" w:space="0"/>
            </w:tcBorders>
            <w:vAlign w:val="center"/>
          </w:tcPr>
          <w:p w14:paraId="1A938D8D">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完整岩石</w:t>
            </w:r>
          </w:p>
        </w:tc>
        <w:tc>
          <w:tcPr>
            <w:tcW w:w="1378" w:type="pct"/>
            <w:tcBorders>
              <w:top w:val="single" w:color="auto" w:sz="2" w:space="0"/>
              <w:left w:val="single" w:color="auto" w:sz="2" w:space="0"/>
              <w:bottom w:val="single" w:color="auto" w:sz="2" w:space="0"/>
              <w:right w:val="single" w:color="auto" w:sz="2" w:space="0"/>
            </w:tcBorders>
            <w:vAlign w:val="center"/>
          </w:tcPr>
          <w:p w14:paraId="29AA1E8F">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r>
              <w:rPr>
                <w:rFonts w:ascii="Times New Roman" w:hAnsi="Times New Roman" w:cs="Times New Roman"/>
                <w:b w:val="0"/>
                <w:bCs/>
                <w:color w:val="auto"/>
                <w:sz w:val="21"/>
                <w:szCs w:val="21"/>
              </w:rPr>
              <w:t>0.01～0.10</w:t>
            </w:r>
          </w:p>
        </w:tc>
        <w:tc>
          <w:tcPr>
            <w:tcW w:w="1364" w:type="pct"/>
            <w:tcBorders>
              <w:top w:val="single" w:color="auto" w:sz="2" w:space="0"/>
              <w:left w:val="single" w:color="auto" w:sz="2" w:space="0"/>
              <w:bottom w:val="single" w:color="auto" w:sz="2" w:space="0"/>
              <w:right w:val="single" w:color="auto" w:sz="2" w:space="0"/>
            </w:tcBorders>
            <w:vAlign w:val="center"/>
          </w:tcPr>
          <w:p w14:paraId="7E632099">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p>
        </w:tc>
        <w:tc>
          <w:tcPr>
            <w:tcW w:w="1121" w:type="pct"/>
            <w:tcBorders>
              <w:top w:val="single" w:color="auto" w:sz="2" w:space="0"/>
              <w:left w:val="single" w:color="auto" w:sz="2" w:space="0"/>
              <w:bottom w:val="single" w:color="auto" w:sz="2" w:space="0"/>
              <w:right w:val="single" w:color="auto" w:sz="2" w:space="0"/>
            </w:tcBorders>
            <w:vAlign w:val="center"/>
          </w:tcPr>
          <w:p w14:paraId="3BE686D1">
            <w:pPr>
              <w:adjustRightInd w:val="0"/>
              <w:snapToGrid w:val="0"/>
              <w:spacing w:line="240" w:lineRule="auto"/>
              <w:ind w:left="-120" w:leftChars="-50" w:right="-120" w:rightChars="-50"/>
              <w:jc w:val="center"/>
              <w:rPr>
                <w:rFonts w:ascii="Times New Roman" w:hAnsi="Times New Roman" w:cs="Times New Roman"/>
                <w:b w:val="0"/>
                <w:bCs/>
                <w:color w:val="auto"/>
                <w:sz w:val="21"/>
                <w:szCs w:val="21"/>
              </w:rPr>
            </w:pPr>
          </w:p>
        </w:tc>
      </w:tr>
    </w:tbl>
    <w:p w14:paraId="3AEF8C9A">
      <w:pPr>
        <w:tabs>
          <w:tab w:val="left" w:pos="2790"/>
        </w:tabs>
        <w:spacing w:line="360" w:lineRule="auto"/>
        <w:ind w:left="0" w:leftChars="0" w:firstLine="480" w:firstLineChars="200"/>
        <w:rPr>
          <w:rFonts w:hint="eastAsia" w:ascii="Times New Roman" w:hAnsi="Times New Roman" w:cs="Times New Roman"/>
          <w:color w:val="auto"/>
        </w:rPr>
      </w:pPr>
      <w:r>
        <w:rPr>
          <w:rFonts w:hint="eastAsia" w:ascii="Times New Roman" w:hAnsi="Times New Roman" w:cs="Times New Roman"/>
          <w:color w:val="auto"/>
          <w:lang w:val="en-US" w:eastAsia="zh-CN"/>
        </w:rPr>
        <w:t>C.</w:t>
      </w:r>
      <w:r>
        <w:rPr>
          <w:rFonts w:hint="eastAsia" w:ascii="Times New Roman" w:hAnsi="Times New Roman" w:cs="Times New Roman"/>
          <w:color w:val="auto"/>
        </w:rPr>
        <w:t>初始渗流场模拟结果及校验</w:t>
      </w:r>
    </w:p>
    <w:p w14:paraId="12F1B974">
      <w:pPr>
        <w:tabs>
          <w:tab w:val="left" w:pos="2790"/>
        </w:tabs>
        <w:spacing w:line="360" w:lineRule="auto"/>
        <w:ind w:left="0" w:leftChars="0" w:firstLine="480" w:firstLineChars="200"/>
        <w:rPr>
          <w:rFonts w:hint="eastAsia" w:ascii="Times New Roman" w:hAnsi="Times New Roman" w:cs="Times New Roman"/>
          <w:color w:val="auto"/>
        </w:rPr>
      </w:pPr>
      <w:r>
        <w:rPr>
          <w:rFonts w:hint="eastAsia" w:ascii="Times New Roman" w:hAnsi="Times New Roman" w:cs="Times New Roman"/>
          <w:color w:val="auto"/>
          <w:highlight w:val="none"/>
        </w:rPr>
        <w:t>按照前述建立的评价区数值模型、边界条件和计算参数，以稳定流模型运行得到的流场作为评价区模型初始渗流场</w:t>
      </w:r>
      <w:r>
        <w:rPr>
          <w:rFonts w:hint="eastAsia" w:cs="Times New Roman"/>
          <w:color w:val="auto"/>
          <w:highlight w:val="none"/>
          <w:lang w:val="en-US" w:eastAsia="zh-CN"/>
        </w:rPr>
        <w:t>见下图</w:t>
      </w:r>
      <w:r>
        <w:rPr>
          <w:rFonts w:hint="eastAsia" w:ascii="Times New Roman" w:hAnsi="Times New Roman" w:cs="Times New Roman"/>
          <w:color w:val="auto"/>
        </w:rPr>
        <w:t>。</w:t>
      </w:r>
    </w:p>
    <w:p w14:paraId="5E6451E2">
      <w:pPr>
        <w:spacing w:line="360" w:lineRule="auto"/>
        <w:ind w:left="0" w:leftChars="0" w:firstLine="0" w:firstLineChars="0"/>
        <w:jc w:val="center"/>
        <w:rPr>
          <w:rFonts w:ascii="Times New Roman" w:hAnsi="Times New Roman" w:cs="Times New Roman"/>
          <w:color w:val="auto"/>
        </w:rPr>
      </w:pPr>
      <w:r>
        <w:rPr>
          <w:rFonts w:hint="eastAsia" w:ascii="Times New Roman" w:hAnsi="Times New Roman" w:eastAsia="宋体" w:cs="Times New Roman"/>
          <w:color w:val="auto"/>
          <w:highlight w:val="none"/>
          <w:lang w:eastAsia="zh-CN"/>
        </w:rPr>
        <w:drawing>
          <wp:inline distT="0" distB="0" distL="114300" distR="114300">
            <wp:extent cx="5259705" cy="2828925"/>
            <wp:effectExtent l="0" t="0" r="17145" b="9525"/>
            <wp:docPr id="75" name="图片 75" descr="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HY"/>
                    <pic:cNvPicPr>
                      <a:picLocks noChangeAspect="1"/>
                    </pic:cNvPicPr>
                  </pic:nvPicPr>
                  <pic:blipFill>
                    <a:blip r:embed="rId106"/>
                    <a:stretch>
                      <a:fillRect/>
                    </a:stretch>
                  </pic:blipFill>
                  <pic:spPr>
                    <a:xfrm>
                      <a:off x="0" y="0"/>
                      <a:ext cx="5259705" cy="2828925"/>
                    </a:xfrm>
                    <a:prstGeom prst="rect">
                      <a:avLst/>
                    </a:prstGeom>
                  </pic:spPr>
                </pic:pic>
              </a:graphicData>
            </a:graphic>
          </wp:inline>
        </w:drawing>
      </w:r>
    </w:p>
    <w:p w14:paraId="49A63487">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评价区模型初始渗流场模拟结果</w:t>
      </w:r>
    </w:p>
    <w:p w14:paraId="0839E854">
      <w:pPr>
        <w:adjustRightInd w:val="0"/>
        <w:snapToGrid w:val="0"/>
        <w:spacing w:before="156" w:beforeLines="50" w:line="360" w:lineRule="auto"/>
        <w:ind w:left="0" w:leftChars="0" w:firstLine="480" w:firstLineChars="200"/>
        <w:jc w:val="both"/>
        <w:rPr>
          <w:rFonts w:ascii="Times New Roman" w:hAnsi="Times New Roman" w:cs="Times New Roman"/>
          <w:color w:val="auto"/>
        </w:rPr>
      </w:pPr>
      <w:r>
        <w:rPr>
          <w:rFonts w:ascii="Times New Roman" w:hAnsi="Times New Roman" w:cs="Times New Roman"/>
          <w:color w:val="auto"/>
          <w:highlight w:val="none"/>
        </w:rPr>
        <w:t>根据本项目</w:t>
      </w:r>
      <w:r>
        <w:rPr>
          <w:rFonts w:hint="eastAsia" w:ascii="Times New Roman" w:hAnsi="Times New Roman" w:cs="Times New Roman"/>
          <w:color w:val="auto"/>
          <w:highlight w:val="none"/>
        </w:rPr>
        <w:t>评价区域水位</w:t>
      </w:r>
      <w:r>
        <w:rPr>
          <w:rFonts w:ascii="Times New Roman" w:hAnsi="Times New Roman" w:cs="Times New Roman"/>
          <w:color w:val="auto"/>
          <w:highlight w:val="none"/>
        </w:rPr>
        <w:t>监测数据校验模型</w:t>
      </w:r>
      <w:r>
        <w:rPr>
          <w:rFonts w:hint="eastAsia" w:ascii="Times New Roman" w:hAnsi="Times New Roman" w:cs="Times New Roman"/>
          <w:color w:val="auto"/>
          <w:highlight w:val="none"/>
        </w:rPr>
        <w:t>，</w:t>
      </w:r>
      <w:r>
        <w:rPr>
          <w:rFonts w:hint="eastAsia" w:cs="Times New Roman"/>
          <w:color w:val="auto"/>
          <w:highlight w:val="none"/>
          <w:lang w:val="en-US" w:eastAsia="zh-CN"/>
        </w:rPr>
        <w:t>由于厂区内钻孔未见稳定地下水水位，因此</w:t>
      </w:r>
      <w:r>
        <w:rPr>
          <w:rFonts w:hint="eastAsia" w:ascii="Times New Roman" w:hAnsi="Times New Roman" w:cs="Times New Roman"/>
          <w:color w:val="auto"/>
          <w:highlight w:val="none"/>
        </w:rPr>
        <w:t>选择</w:t>
      </w:r>
      <w:r>
        <w:rPr>
          <w:rFonts w:hint="eastAsia" w:cs="Times New Roman"/>
          <w:color w:val="auto"/>
          <w:highlight w:val="none"/>
          <w:lang w:val="en-US" w:eastAsia="zh-CN"/>
        </w:rPr>
        <w:t>周边调查获取的民井中，选取8</w:t>
      </w:r>
      <w:r>
        <w:rPr>
          <w:rFonts w:hint="eastAsia" w:ascii="Times New Roman" w:hAnsi="Times New Roman" w:cs="Times New Roman"/>
          <w:color w:val="auto"/>
          <w:highlight w:val="none"/>
        </w:rPr>
        <w:t>个水位监测点WX1</w:t>
      </w:r>
      <w:r>
        <w:rPr>
          <w:rFonts w:ascii="Times New Roman" w:hAnsi="Times New Roman" w:cs="Times New Roman"/>
          <w:color w:val="auto"/>
          <w:highlight w:val="none"/>
        </w:rPr>
        <w:t>~</w:t>
      </w:r>
      <w:r>
        <w:rPr>
          <w:rFonts w:hint="eastAsia" w:ascii="Times New Roman" w:hAnsi="Times New Roman" w:cs="Times New Roman"/>
          <w:color w:val="auto"/>
          <w:highlight w:val="none"/>
        </w:rPr>
        <w:t>WX5</w:t>
      </w:r>
      <w:r>
        <w:rPr>
          <w:rFonts w:hint="eastAsia" w:cs="Times New Roman"/>
          <w:color w:val="auto"/>
          <w:highlight w:val="none"/>
          <w:lang w:eastAsia="zh-CN"/>
        </w:rPr>
        <w:t>、</w:t>
      </w:r>
      <w:r>
        <w:rPr>
          <w:rFonts w:hint="eastAsia" w:ascii="Times New Roman" w:hAnsi="Times New Roman" w:cs="Times New Roman"/>
          <w:color w:val="auto"/>
          <w:highlight w:val="none"/>
        </w:rPr>
        <w:t>WX</w:t>
      </w:r>
      <w:r>
        <w:rPr>
          <w:rFonts w:hint="eastAsia" w:cs="Times New Roman"/>
          <w:color w:val="auto"/>
          <w:highlight w:val="none"/>
          <w:lang w:val="en-US" w:eastAsia="zh-CN"/>
        </w:rPr>
        <w:t>7</w:t>
      </w:r>
      <w:r>
        <w:rPr>
          <w:rFonts w:hint="eastAsia" w:cs="Times New Roman"/>
          <w:color w:val="auto"/>
          <w:highlight w:val="none"/>
          <w:lang w:eastAsia="zh-CN"/>
        </w:rPr>
        <w:t>、</w:t>
      </w:r>
      <w:r>
        <w:rPr>
          <w:rFonts w:hint="eastAsia" w:ascii="Times New Roman" w:hAnsi="Times New Roman" w:cs="Times New Roman"/>
          <w:color w:val="auto"/>
          <w:highlight w:val="none"/>
        </w:rPr>
        <w:t>WX</w:t>
      </w:r>
      <w:r>
        <w:rPr>
          <w:rFonts w:hint="eastAsia" w:cs="Times New Roman"/>
          <w:color w:val="auto"/>
          <w:highlight w:val="none"/>
          <w:lang w:val="en-US" w:eastAsia="zh-CN"/>
        </w:rPr>
        <w:t>12</w:t>
      </w:r>
      <w:r>
        <w:rPr>
          <w:rFonts w:hint="eastAsia" w:cs="Times New Roman"/>
          <w:color w:val="auto"/>
          <w:highlight w:val="none"/>
          <w:lang w:eastAsia="zh-CN"/>
        </w:rPr>
        <w:t>、</w:t>
      </w:r>
      <w:r>
        <w:rPr>
          <w:rFonts w:hint="eastAsia" w:ascii="Times New Roman" w:hAnsi="Times New Roman" w:cs="Times New Roman"/>
          <w:color w:val="auto"/>
          <w:highlight w:val="none"/>
        </w:rPr>
        <w:t>WX</w:t>
      </w:r>
      <w:r>
        <w:rPr>
          <w:rFonts w:hint="eastAsia" w:cs="Times New Roman"/>
          <w:color w:val="auto"/>
          <w:highlight w:val="none"/>
          <w:lang w:val="en-US" w:eastAsia="zh-CN"/>
        </w:rPr>
        <w:t>13</w:t>
      </w:r>
      <w:r>
        <w:rPr>
          <w:rFonts w:hint="eastAsia" w:ascii="Times New Roman" w:hAnsi="Times New Roman" w:cs="Times New Roman"/>
          <w:color w:val="auto"/>
          <w:highlight w:val="none"/>
        </w:rPr>
        <w:t>监测结果校验模型。</w:t>
      </w:r>
      <w:r>
        <w:rPr>
          <w:rFonts w:ascii="Times New Roman" w:hAnsi="Times New Roman" w:cs="Times New Roman"/>
          <w:color w:val="auto"/>
          <w:highlight w:val="none"/>
        </w:rPr>
        <w:t>其中实测水位介于</w:t>
      </w:r>
      <w:r>
        <w:rPr>
          <w:rFonts w:hint="eastAsia" w:cs="Times New Roman"/>
          <w:color w:val="auto"/>
          <w:highlight w:val="none"/>
          <w:lang w:val="en-US" w:eastAsia="zh-CN"/>
        </w:rPr>
        <w:t>406.84</w:t>
      </w:r>
      <w:r>
        <w:rPr>
          <w:rFonts w:hint="eastAsia" w:ascii="Times New Roman" w:hAnsi="Times New Roman" w:cs="Times New Roman"/>
          <w:color w:val="auto"/>
          <w:highlight w:val="none"/>
        </w:rPr>
        <w:t>～</w:t>
      </w:r>
      <w:r>
        <w:rPr>
          <w:rFonts w:hint="eastAsia" w:cs="Times New Roman"/>
          <w:color w:val="auto"/>
          <w:highlight w:val="none"/>
          <w:lang w:val="en-US" w:eastAsia="zh-CN"/>
        </w:rPr>
        <w:t>564.75</w:t>
      </w:r>
      <w:r>
        <w:rPr>
          <w:rFonts w:hint="eastAsia" w:ascii="Times New Roman" w:hAnsi="Times New Roman" w:cs="Times New Roman"/>
          <w:color w:val="auto"/>
          <w:highlight w:val="none"/>
        </w:rPr>
        <w:t>m</w:t>
      </w:r>
      <w:r>
        <w:rPr>
          <w:rFonts w:ascii="Times New Roman" w:hAnsi="Times New Roman" w:cs="Times New Roman"/>
          <w:color w:val="auto"/>
          <w:highlight w:val="none"/>
        </w:rPr>
        <w:t>，模拟水位介于</w:t>
      </w:r>
      <w:r>
        <w:rPr>
          <w:rFonts w:hint="eastAsia" w:cs="Times New Roman"/>
          <w:color w:val="auto"/>
          <w:highlight w:val="none"/>
          <w:lang w:val="en-US" w:eastAsia="zh-CN"/>
        </w:rPr>
        <w:t>565.04</w:t>
      </w:r>
      <w:r>
        <w:rPr>
          <w:rFonts w:ascii="Times New Roman" w:hAnsi="Times New Roman" w:cs="Times New Roman"/>
          <w:color w:val="auto"/>
          <w:highlight w:val="none"/>
        </w:rPr>
        <w:t>～</w:t>
      </w:r>
      <w:r>
        <w:rPr>
          <w:rFonts w:hint="eastAsia" w:cs="Times New Roman"/>
          <w:color w:val="auto"/>
          <w:highlight w:val="none"/>
          <w:lang w:val="en-US" w:eastAsia="zh-CN"/>
        </w:rPr>
        <w:t>406.89</w:t>
      </w:r>
      <w:r>
        <w:rPr>
          <w:rFonts w:ascii="Times New Roman" w:hAnsi="Times New Roman" w:cs="Times New Roman"/>
          <w:color w:val="auto"/>
          <w:highlight w:val="none"/>
        </w:rPr>
        <w:t>m，实测水位与模拟水位相差</w:t>
      </w:r>
      <w:r>
        <w:rPr>
          <w:rFonts w:hint="eastAsia" w:ascii="Times New Roman" w:hAnsi="Times New Roman" w:cs="Times New Roman"/>
          <w:color w:val="auto"/>
          <w:highlight w:val="none"/>
        </w:rPr>
        <w:t>0.05</w:t>
      </w:r>
      <w:r>
        <w:rPr>
          <w:rFonts w:ascii="Times New Roman" w:hAnsi="Times New Roman" w:cs="Times New Roman"/>
          <w:color w:val="auto"/>
          <w:highlight w:val="none"/>
        </w:rPr>
        <w:t>～</w:t>
      </w:r>
      <w:r>
        <w:rPr>
          <w:rFonts w:hint="eastAsia" w:ascii="Times New Roman" w:hAnsi="Times New Roman" w:cs="Times New Roman"/>
          <w:color w:val="auto"/>
          <w:highlight w:val="none"/>
        </w:rPr>
        <w:t>0.</w:t>
      </w:r>
      <w:r>
        <w:rPr>
          <w:rFonts w:hint="eastAsia" w:cs="Times New Roman"/>
          <w:color w:val="auto"/>
          <w:highlight w:val="none"/>
          <w:lang w:val="en-US" w:eastAsia="zh-CN"/>
        </w:rPr>
        <w:t>47</w:t>
      </w:r>
      <w:r>
        <w:rPr>
          <w:rFonts w:ascii="Times New Roman" w:hAnsi="Times New Roman" w:cs="Times New Roman"/>
          <w:color w:val="auto"/>
          <w:highlight w:val="none"/>
        </w:rPr>
        <w:t>m，采用均方差分析本次模拟结果，模拟水位与统计水位差的方差为</w:t>
      </w:r>
      <w:r>
        <w:rPr>
          <w:rFonts w:hint="eastAsia" w:ascii="Times New Roman" w:hAnsi="Times New Roman" w:cs="Times New Roman"/>
          <w:color w:val="auto"/>
          <w:highlight w:val="none"/>
        </w:rPr>
        <w:t>0.</w:t>
      </w:r>
      <w:r>
        <w:rPr>
          <w:rFonts w:hint="eastAsia" w:cs="Times New Roman"/>
          <w:color w:val="auto"/>
          <w:highlight w:val="none"/>
          <w:lang w:val="en-US" w:eastAsia="zh-CN"/>
        </w:rPr>
        <w:t>4711</w:t>
      </w:r>
      <w:r>
        <w:rPr>
          <w:rFonts w:ascii="Times New Roman" w:hAnsi="Times New Roman" w:cs="Times New Roman"/>
          <w:color w:val="auto"/>
          <w:highlight w:val="none"/>
        </w:rPr>
        <w:t>，波动较小，</w:t>
      </w:r>
      <w:r>
        <w:rPr>
          <w:rFonts w:hint="eastAsia" w:cs="Times New Roman"/>
          <w:color w:val="auto"/>
          <w:highlight w:val="none"/>
          <w:lang w:val="en-US" w:eastAsia="zh-CN"/>
        </w:rPr>
        <w:t>同时模拟厂区范围内水位埋深大于30m，与实际情况吻合</w:t>
      </w:r>
      <w:r>
        <w:rPr>
          <w:rFonts w:hint="eastAsia" w:cs="Times New Roman"/>
          <w:color w:val="auto"/>
          <w:highlight w:val="none"/>
          <w:lang w:eastAsia="zh-CN"/>
        </w:rPr>
        <w:t>。</w:t>
      </w:r>
      <w:r>
        <w:rPr>
          <w:rFonts w:ascii="Times New Roman" w:hAnsi="Times New Roman" w:cs="Times New Roman"/>
          <w:color w:val="auto"/>
          <w:highlight w:val="none"/>
        </w:rPr>
        <w:t>故利用模型计算所得流场作为项目区初始渗流场基本合理</w:t>
      </w:r>
      <w:r>
        <w:rPr>
          <w:rFonts w:hint="eastAsia" w:ascii="Times New Roman" w:hAnsi="Times New Roman" w:cs="Times New Roman"/>
          <w:color w:val="auto"/>
          <w:highlight w:val="none"/>
        </w:rPr>
        <w:t>，</w:t>
      </w:r>
      <w:r>
        <w:rPr>
          <w:rFonts w:ascii="Times New Roman" w:hAnsi="Times New Roman" w:cs="Times New Roman"/>
          <w:color w:val="auto"/>
          <w:highlight w:val="none"/>
        </w:rPr>
        <w:t>本次模拟</w:t>
      </w:r>
      <w:r>
        <w:rPr>
          <w:rFonts w:hint="eastAsia" w:ascii="Times New Roman" w:hAnsi="Times New Roman" w:cs="Times New Roman"/>
          <w:color w:val="auto"/>
          <w:highlight w:val="none"/>
        </w:rPr>
        <w:t>的初始流场可用做下一步溶质运移模拟</w:t>
      </w:r>
      <w:r>
        <w:rPr>
          <w:rFonts w:hint="eastAsia" w:ascii="Times New Roman" w:hAnsi="Times New Roman" w:cs="Times New Roman"/>
          <w:color w:val="auto"/>
        </w:rPr>
        <w:t>。</w:t>
      </w:r>
    </w:p>
    <w:p w14:paraId="3092845B">
      <w:pPr>
        <w:spacing w:line="360" w:lineRule="auto"/>
        <w:ind w:left="0" w:leftChars="0" w:firstLine="0" w:firstLineChars="0"/>
        <w:jc w:val="center"/>
        <w:rPr>
          <w:rFonts w:ascii="Times New Roman" w:hAnsi="Times New Roman" w:cs="Times New Roman"/>
          <w:color w:val="auto"/>
        </w:rPr>
      </w:pPr>
      <w:r>
        <w:rPr>
          <w:rFonts w:hint="eastAsia" w:ascii="Times New Roman" w:hAnsi="Times New Roman" w:eastAsia="宋体" w:cs="Times New Roman"/>
          <w:color w:val="auto"/>
          <w:highlight w:val="none"/>
          <w:lang w:eastAsia="zh-CN"/>
        </w:rPr>
        <w:drawing>
          <wp:inline distT="0" distB="0" distL="114300" distR="114300">
            <wp:extent cx="5270500" cy="2736850"/>
            <wp:effectExtent l="0" t="0" r="6350" b="6350"/>
            <wp:docPr id="76" name="图片 76" descr="校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校验"/>
                    <pic:cNvPicPr>
                      <a:picLocks noChangeAspect="1"/>
                    </pic:cNvPicPr>
                  </pic:nvPicPr>
                  <pic:blipFill>
                    <a:blip r:embed="rId107"/>
                    <a:stretch>
                      <a:fillRect/>
                    </a:stretch>
                  </pic:blipFill>
                  <pic:spPr>
                    <a:xfrm>
                      <a:off x="0" y="0"/>
                      <a:ext cx="5270500" cy="2736850"/>
                    </a:xfrm>
                    <a:prstGeom prst="rect">
                      <a:avLst/>
                    </a:prstGeom>
                  </pic:spPr>
                </pic:pic>
              </a:graphicData>
            </a:graphic>
          </wp:inline>
        </w:drawing>
      </w:r>
    </w:p>
    <w:p w14:paraId="7FEC667B">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模型校验error bars结果</w:t>
      </w:r>
    </w:p>
    <w:p w14:paraId="2B246B34">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始渗流场模拟与钻孔实测值比对结果（单位：m）</w:t>
      </w:r>
    </w:p>
    <w:tbl>
      <w:tblPr>
        <w:tblStyle w:val="20"/>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383"/>
        <w:gridCol w:w="900"/>
        <w:gridCol w:w="898"/>
        <w:gridCol w:w="900"/>
        <w:gridCol w:w="794"/>
        <w:gridCol w:w="900"/>
        <w:gridCol w:w="907"/>
        <w:gridCol w:w="907"/>
        <w:gridCol w:w="921"/>
      </w:tblGrid>
      <w:tr w14:paraId="43774E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1253" w:type="pct"/>
            <w:tcBorders>
              <w:tl2br w:val="nil"/>
              <w:tr2bl w:val="nil"/>
            </w:tcBorders>
            <w:vAlign w:val="center"/>
          </w:tcPr>
          <w:p w14:paraId="6EAF2BF6">
            <w:pPr>
              <w:adjustRightInd w:val="0"/>
              <w:snapToGrid w:val="0"/>
              <w:spacing w:line="240" w:lineRule="auto"/>
              <w:ind w:left="-120" w:leftChars="-50" w:right="-120" w:rightChars="-50"/>
              <w:jc w:val="center"/>
              <w:rPr>
                <w:rFonts w:ascii="Times New Roman" w:hAnsi="Times New Roman" w:cs="Times New Roman"/>
                <w:b/>
                <w:bCs w:val="0"/>
                <w:color w:val="auto"/>
                <w:sz w:val="21"/>
                <w:szCs w:val="21"/>
                <w:highlight w:val="none"/>
              </w:rPr>
            </w:pPr>
            <w:r>
              <w:rPr>
                <w:rFonts w:hint="eastAsia" w:ascii="Times New Roman" w:hAnsi="Times New Roman" w:cs="Times New Roman"/>
                <w:b/>
                <w:bCs w:val="0"/>
                <w:color w:val="auto"/>
                <w:sz w:val="21"/>
                <w:szCs w:val="21"/>
                <w:highlight w:val="none"/>
              </w:rPr>
              <w:t>点位</w:t>
            </w:r>
            <w:r>
              <w:rPr>
                <w:rFonts w:ascii="Times New Roman" w:hAnsi="Times New Roman" w:cs="Times New Roman"/>
                <w:b/>
                <w:bCs w:val="0"/>
                <w:color w:val="auto"/>
                <w:sz w:val="21"/>
                <w:szCs w:val="21"/>
                <w:highlight w:val="none"/>
              </w:rPr>
              <w:t>编号</w:t>
            </w:r>
          </w:p>
        </w:tc>
        <w:tc>
          <w:tcPr>
            <w:tcW w:w="806" w:type="dxa"/>
            <w:tcBorders>
              <w:tl2br w:val="nil"/>
              <w:tr2bl w:val="nil"/>
            </w:tcBorders>
            <w:vAlign w:val="center"/>
          </w:tcPr>
          <w:p w14:paraId="130F75C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WX1</w:t>
            </w:r>
          </w:p>
        </w:tc>
        <w:tc>
          <w:tcPr>
            <w:tcW w:w="804" w:type="dxa"/>
            <w:tcBorders>
              <w:tl2br w:val="nil"/>
              <w:tr2bl w:val="nil"/>
            </w:tcBorders>
            <w:vAlign w:val="center"/>
          </w:tcPr>
          <w:p w14:paraId="12756E2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WX2</w:t>
            </w:r>
          </w:p>
        </w:tc>
        <w:tc>
          <w:tcPr>
            <w:tcW w:w="806" w:type="dxa"/>
            <w:tcBorders>
              <w:tl2br w:val="nil"/>
              <w:tr2bl w:val="nil"/>
            </w:tcBorders>
            <w:vAlign w:val="center"/>
          </w:tcPr>
          <w:p w14:paraId="3EC530C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WX3</w:t>
            </w:r>
          </w:p>
        </w:tc>
        <w:tc>
          <w:tcPr>
            <w:tcW w:w="711" w:type="dxa"/>
            <w:tcBorders>
              <w:tl2br w:val="nil"/>
              <w:tr2bl w:val="nil"/>
            </w:tcBorders>
            <w:vAlign w:val="center"/>
          </w:tcPr>
          <w:p w14:paraId="6B71026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WX4</w:t>
            </w:r>
          </w:p>
        </w:tc>
        <w:tc>
          <w:tcPr>
            <w:tcW w:w="806" w:type="dxa"/>
            <w:tcBorders>
              <w:tl2br w:val="nil"/>
              <w:tr2bl w:val="nil"/>
            </w:tcBorders>
            <w:vAlign w:val="center"/>
          </w:tcPr>
          <w:p w14:paraId="3C3F8F2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WX5</w:t>
            </w:r>
          </w:p>
        </w:tc>
        <w:tc>
          <w:tcPr>
            <w:tcW w:w="813" w:type="dxa"/>
            <w:tcBorders>
              <w:tl2br w:val="nil"/>
              <w:tr2bl w:val="nil"/>
            </w:tcBorders>
            <w:vAlign w:val="center"/>
          </w:tcPr>
          <w:p w14:paraId="4B5174B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WX7</w:t>
            </w:r>
          </w:p>
        </w:tc>
        <w:tc>
          <w:tcPr>
            <w:tcW w:w="813" w:type="dxa"/>
            <w:tcBorders>
              <w:tl2br w:val="nil"/>
              <w:tr2bl w:val="nil"/>
            </w:tcBorders>
            <w:vAlign w:val="center"/>
          </w:tcPr>
          <w:p w14:paraId="4C6972D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WX12</w:t>
            </w:r>
          </w:p>
        </w:tc>
        <w:tc>
          <w:tcPr>
            <w:tcW w:w="825" w:type="dxa"/>
            <w:tcBorders>
              <w:tl2br w:val="nil"/>
              <w:tr2bl w:val="nil"/>
            </w:tcBorders>
            <w:vAlign w:val="center"/>
          </w:tcPr>
          <w:p w14:paraId="6BA3CB0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center"/>
              <w:textAlignment w:val="center"/>
              <w:rPr>
                <w:rFonts w:ascii="Times New Roman" w:hAnsi="Times New Roman" w:cs="Times New Roman"/>
                <w:b/>
                <w:bCs/>
                <w:color w:val="auto"/>
                <w:sz w:val="21"/>
                <w:szCs w:val="21"/>
                <w:highlight w:val="none"/>
              </w:rPr>
            </w:pPr>
            <w:r>
              <w:rPr>
                <w:rFonts w:hint="eastAsia" w:ascii="Times New Roman" w:hAnsi="Times New Roman" w:eastAsia="宋体" w:cs="宋体"/>
                <w:b/>
                <w:bCs/>
                <w:i w:val="0"/>
                <w:iCs w:val="0"/>
                <w:color w:val="auto"/>
                <w:kern w:val="0"/>
                <w:sz w:val="21"/>
                <w:szCs w:val="21"/>
                <w:highlight w:val="none"/>
                <w:u w:val="none"/>
                <w:lang w:val="en-US" w:eastAsia="zh-CN" w:bidi="ar"/>
              </w:rPr>
              <w:t>WX13</w:t>
            </w:r>
          </w:p>
        </w:tc>
      </w:tr>
      <w:tr w14:paraId="43BDB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253" w:type="pct"/>
            <w:tcBorders>
              <w:tl2br w:val="nil"/>
              <w:tr2bl w:val="nil"/>
            </w:tcBorders>
            <w:vAlign w:val="center"/>
          </w:tcPr>
          <w:p w14:paraId="0833C79D">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hint="eastAsia" w:ascii="Times New Roman" w:hAnsi="Times New Roman" w:cs="Times New Roman"/>
                <w:b w:val="0"/>
                <w:bCs/>
                <w:color w:val="auto"/>
                <w:sz w:val="21"/>
                <w:szCs w:val="21"/>
                <w:highlight w:val="none"/>
              </w:rPr>
              <w:t>点位</w:t>
            </w:r>
            <w:r>
              <w:rPr>
                <w:rFonts w:ascii="Times New Roman" w:hAnsi="Times New Roman" w:cs="Times New Roman"/>
                <w:b w:val="0"/>
                <w:bCs/>
                <w:color w:val="auto"/>
                <w:sz w:val="21"/>
                <w:szCs w:val="21"/>
                <w:highlight w:val="none"/>
              </w:rPr>
              <w:t>实测值a</w:t>
            </w:r>
          </w:p>
        </w:tc>
        <w:tc>
          <w:tcPr>
            <w:tcW w:w="806" w:type="dxa"/>
            <w:tcBorders>
              <w:tl2br w:val="nil"/>
              <w:tr2bl w:val="nil"/>
            </w:tcBorders>
            <w:vAlign w:val="center"/>
          </w:tcPr>
          <w:p w14:paraId="79A6775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564.75</w:t>
            </w:r>
          </w:p>
        </w:tc>
        <w:tc>
          <w:tcPr>
            <w:tcW w:w="804" w:type="dxa"/>
            <w:tcBorders>
              <w:tl2br w:val="nil"/>
              <w:tr2bl w:val="nil"/>
            </w:tcBorders>
            <w:vAlign w:val="center"/>
          </w:tcPr>
          <w:p w14:paraId="024222A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519.82</w:t>
            </w:r>
          </w:p>
        </w:tc>
        <w:tc>
          <w:tcPr>
            <w:tcW w:w="806" w:type="dxa"/>
            <w:tcBorders>
              <w:tl2br w:val="nil"/>
              <w:tr2bl w:val="nil"/>
            </w:tcBorders>
            <w:vAlign w:val="center"/>
          </w:tcPr>
          <w:p w14:paraId="7060F12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480.79</w:t>
            </w:r>
          </w:p>
        </w:tc>
        <w:tc>
          <w:tcPr>
            <w:tcW w:w="711" w:type="dxa"/>
            <w:tcBorders>
              <w:tl2br w:val="nil"/>
              <w:tr2bl w:val="nil"/>
            </w:tcBorders>
            <w:vAlign w:val="center"/>
          </w:tcPr>
          <w:p w14:paraId="4C49CBD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474.86</w:t>
            </w:r>
          </w:p>
        </w:tc>
        <w:tc>
          <w:tcPr>
            <w:tcW w:w="806" w:type="dxa"/>
            <w:tcBorders>
              <w:tl2br w:val="nil"/>
              <w:tr2bl w:val="nil"/>
            </w:tcBorders>
            <w:vAlign w:val="center"/>
          </w:tcPr>
          <w:p w14:paraId="376AC8D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hint="eastAsia"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497.83</w:t>
            </w:r>
          </w:p>
        </w:tc>
        <w:tc>
          <w:tcPr>
            <w:tcW w:w="813" w:type="dxa"/>
            <w:tcBorders>
              <w:tl2br w:val="nil"/>
              <w:tr2bl w:val="nil"/>
            </w:tcBorders>
            <w:vAlign w:val="center"/>
          </w:tcPr>
          <w:p w14:paraId="7C70939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hint="eastAsia"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406.84</w:t>
            </w:r>
          </w:p>
        </w:tc>
        <w:tc>
          <w:tcPr>
            <w:tcW w:w="813" w:type="dxa"/>
            <w:tcBorders>
              <w:tl2br w:val="nil"/>
              <w:tr2bl w:val="nil"/>
            </w:tcBorders>
            <w:vAlign w:val="center"/>
          </w:tcPr>
          <w:p w14:paraId="1F3E91F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hint="eastAsia"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515.79</w:t>
            </w:r>
          </w:p>
        </w:tc>
        <w:tc>
          <w:tcPr>
            <w:tcW w:w="825" w:type="dxa"/>
            <w:tcBorders>
              <w:tl2br w:val="nil"/>
              <w:tr2bl w:val="nil"/>
            </w:tcBorders>
            <w:vAlign w:val="center"/>
          </w:tcPr>
          <w:p w14:paraId="4C4FF04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473.85</w:t>
            </w:r>
          </w:p>
        </w:tc>
      </w:tr>
      <w:tr w14:paraId="1ABF60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1253" w:type="pct"/>
            <w:tcBorders>
              <w:tl2br w:val="nil"/>
              <w:tr2bl w:val="nil"/>
            </w:tcBorders>
            <w:vAlign w:val="center"/>
          </w:tcPr>
          <w:p w14:paraId="0D8BAB17">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模型计算值b</w:t>
            </w:r>
          </w:p>
        </w:tc>
        <w:tc>
          <w:tcPr>
            <w:tcW w:w="806" w:type="dxa"/>
            <w:tcBorders>
              <w:tl2br w:val="nil"/>
              <w:tr2bl w:val="nil"/>
            </w:tcBorders>
            <w:vAlign w:val="center"/>
          </w:tcPr>
          <w:p w14:paraId="39FF343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564.46</w:t>
            </w:r>
          </w:p>
        </w:tc>
        <w:tc>
          <w:tcPr>
            <w:tcW w:w="804" w:type="dxa"/>
            <w:tcBorders>
              <w:tl2br w:val="nil"/>
              <w:tr2bl w:val="nil"/>
            </w:tcBorders>
            <w:vAlign w:val="center"/>
          </w:tcPr>
          <w:p w14:paraId="1C7E582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519.44</w:t>
            </w:r>
          </w:p>
        </w:tc>
        <w:tc>
          <w:tcPr>
            <w:tcW w:w="806" w:type="dxa"/>
            <w:tcBorders>
              <w:tl2br w:val="nil"/>
              <w:tr2bl w:val="nil"/>
            </w:tcBorders>
            <w:vAlign w:val="center"/>
          </w:tcPr>
          <w:p w14:paraId="4D8F20D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480.61</w:t>
            </w:r>
          </w:p>
        </w:tc>
        <w:tc>
          <w:tcPr>
            <w:tcW w:w="711" w:type="dxa"/>
            <w:tcBorders>
              <w:tl2br w:val="nil"/>
              <w:tr2bl w:val="nil"/>
            </w:tcBorders>
            <w:vAlign w:val="center"/>
          </w:tcPr>
          <w:p w14:paraId="1A358B3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474.64</w:t>
            </w:r>
          </w:p>
        </w:tc>
        <w:tc>
          <w:tcPr>
            <w:tcW w:w="806" w:type="dxa"/>
            <w:tcBorders>
              <w:tl2br w:val="nil"/>
              <w:tr2bl w:val="nil"/>
            </w:tcBorders>
            <w:vAlign w:val="center"/>
          </w:tcPr>
          <w:p w14:paraId="16207AA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hint="eastAsia"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497.36</w:t>
            </w:r>
          </w:p>
        </w:tc>
        <w:tc>
          <w:tcPr>
            <w:tcW w:w="813" w:type="dxa"/>
            <w:tcBorders>
              <w:tl2br w:val="nil"/>
              <w:tr2bl w:val="nil"/>
            </w:tcBorders>
            <w:vAlign w:val="center"/>
          </w:tcPr>
          <w:p w14:paraId="753046C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hint="eastAsia"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406.89</w:t>
            </w:r>
          </w:p>
        </w:tc>
        <w:tc>
          <w:tcPr>
            <w:tcW w:w="813" w:type="dxa"/>
            <w:tcBorders>
              <w:tl2br w:val="nil"/>
              <w:tr2bl w:val="nil"/>
            </w:tcBorders>
            <w:vAlign w:val="center"/>
          </w:tcPr>
          <w:p w14:paraId="0BB6B72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hint="eastAsia"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515.87</w:t>
            </w:r>
          </w:p>
        </w:tc>
        <w:tc>
          <w:tcPr>
            <w:tcW w:w="825" w:type="dxa"/>
            <w:tcBorders>
              <w:tl2br w:val="nil"/>
              <w:tr2bl w:val="nil"/>
            </w:tcBorders>
            <w:vAlign w:val="center"/>
          </w:tcPr>
          <w:p w14:paraId="620F3F7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jc w:val="right"/>
              <w:textAlignment w:val="center"/>
              <w:rPr>
                <w:rFonts w:ascii="Times New Roman" w:hAnsi="Times New Roman" w:cs="Times New Roman"/>
                <w:b w:val="0"/>
                <w:bCs/>
                <w:color w:val="auto"/>
                <w:sz w:val="21"/>
                <w:szCs w:val="21"/>
                <w:highlight w:val="none"/>
              </w:rPr>
            </w:pPr>
            <w:r>
              <w:rPr>
                <w:rFonts w:hint="eastAsia" w:ascii="Times New Roman" w:hAnsi="Times New Roman" w:eastAsia="宋体" w:cs="宋体"/>
                <w:i w:val="0"/>
                <w:iCs w:val="0"/>
                <w:color w:val="auto"/>
                <w:kern w:val="0"/>
                <w:sz w:val="21"/>
                <w:szCs w:val="21"/>
                <w:highlight w:val="none"/>
                <w:u w:val="none"/>
                <w:lang w:val="en-US" w:eastAsia="zh-CN" w:bidi="ar"/>
              </w:rPr>
              <w:t>474.13</w:t>
            </w:r>
          </w:p>
        </w:tc>
      </w:tr>
      <w:tr w14:paraId="14A51C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1253" w:type="pct"/>
            <w:tcBorders>
              <w:tl2br w:val="nil"/>
              <w:tr2bl w:val="nil"/>
            </w:tcBorders>
            <w:vAlign w:val="center"/>
          </w:tcPr>
          <w:p w14:paraId="2C0A54E2">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差值绝对值（</w:t>
            </w:r>
            <w:r>
              <w:rPr>
                <w:rFonts w:hint="eastAsia" w:ascii="Times New Roman" w:hAnsi="Times New Roman" w:cs="Times New Roman"/>
                <w:b w:val="0"/>
                <w:bCs/>
                <w:color w:val="auto"/>
                <w:sz w:val="21"/>
                <w:szCs w:val="21"/>
                <w:highlight w:val="none"/>
              </w:rPr>
              <w:t>∣</w:t>
            </w:r>
            <w:r>
              <w:rPr>
                <w:rFonts w:ascii="Times New Roman" w:hAnsi="Times New Roman" w:cs="Times New Roman"/>
                <w:b w:val="0"/>
                <w:bCs/>
                <w:color w:val="auto"/>
                <w:sz w:val="21"/>
                <w:szCs w:val="21"/>
                <w:highlight w:val="none"/>
              </w:rPr>
              <w:t>a-b</w:t>
            </w:r>
            <w:r>
              <w:rPr>
                <w:rFonts w:hint="eastAsia" w:ascii="Times New Roman" w:hAnsi="Times New Roman" w:cs="Times New Roman"/>
                <w:b w:val="0"/>
                <w:bCs/>
                <w:color w:val="auto"/>
                <w:sz w:val="21"/>
                <w:szCs w:val="21"/>
                <w:highlight w:val="none"/>
              </w:rPr>
              <w:t>∣</w:t>
            </w:r>
            <w:r>
              <w:rPr>
                <w:rFonts w:ascii="Times New Roman" w:hAnsi="Times New Roman" w:cs="Times New Roman"/>
                <w:b w:val="0"/>
                <w:bCs/>
                <w:color w:val="auto"/>
                <w:sz w:val="21"/>
                <w:szCs w:val="21"/>
                <w:highlight w:val="none"/>
              </w:rPr>
              <w:t>）</w:t>
            </w:r>
          </w:p>
        </w:tc>
        <w:tc>
          <w:tcPr>
            <w:tcW w:w="473" w:type="pct"/>
            <w:tcBorders>
              <w:tl2br w:val="nil"/>
              <w:tr2bl w:val="nil"/>
            </w:tcBorders>
            <w:vAlign w:val="center"/>
          </w:tcPr>
          <w:p w14:paraId="6AD9ED85">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0.29</w:t>
            </w:r>
          </w:p>
        </w:tc>
        <w:tc>
          <w:tcPr>
            <w:tcW w:w="472" w:type="pct"/>
            <w:tcBorders>
              <w:tl2br w:val="nil"/>
              <w:tr2bl w:val="nil"/>
            </w:tcBorders>
            <w:vAlign w:val="center"/>
          </w:tcPr>
          <w:p w14:paraId="26C17274">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rPr>
              <w:t>0.</w:t>
            </w:r>
            <w:r>
              <w:rPr>
                <w:rFonts w:hint="eastAsia" w:cs="Times New Roman"/>
                <w:b w:val="0"/>
                <w:bCs/>
                <w:color w:val="auto"/>
                <w:sz w:val="21"/>
                <w:szCs w:val="21"/>
                <w:highlight w:val="none"/>
                <w:lang w:val="en-US" w:eastAsia="zh-CN"/>
              </w:rPr>
              <w:t>38</w:t>
            </w:r>
          </w:p>
        </w:tc>
        <w:tc>
          <w:tcPr>
            <w:tcW w:w="473" w:type="pct"/>
            <w:tcBorders>
              <w:tl2br w:val="nil"/>
              <w:tr2bl w:val="nil"/>
            </w:tcBorders>
            <w:vAlign w:val="center"/>
          </w:tcPr>
          <w:p w14:paraId="70FA57F7">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rPr>
              <w:t>0.</w:t>
            </w:r>
            <w:r>
              <w:rPr>
                <w:rFonts w:hint="eastAsia" w:cs="Times New Roman"/>
                <w:b w:val="0"/>
                <w:bCs/>
                <w:color w:val="auto"/>
                <w:sz w:val="21"/>
                <w:szCs w:val="21"/>
                <w:highlight w:val="none"/>
                <w:lang w:val="en-US" w:eastAsia="zh-CN"/>
              </w:rPr>
              <w:t>18</w:t>
            </w:r>
          </w:p>
        </w:tc>
        <w:tc>
          <w:tcPr>
            <w:tcW w:w="417" w:type="pct"/>
            <w:tcBorders>
              <w:tl2br w:val="nil"/>
              <w:tr2bl w:val="nil"/>
            </w:tcBorders>
            <w:vAlign w:val="center"/>
          </w:tcPr>
          <w:p w14:paraId="27939234">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rPr>
              <w:t>0.</w:t>
            </w:r>
            <w:r>
              <w:rPr>
                <w:rFonts w:hint="eastAsia" w:cs="Times New Roman"/>
                <w:b w:val="0"/>
                <w:bCs/>
                <w:color w:val="auto"/>
                <w:sz w:val="21"/>
                <w:szCs w:val="21"/>
                <w:highlight w:val="none"/>
                <w:lang w:val="en-US" w:eastAsia="zh-CN"/>
              </w:rPr>
              <w:t>22</w:t>
            </w:r>
          </w:p>
        </w:tc>
        <w:tc>
          <w:tcPr>
            <w:tcW w:w="473" w:type="pct"/>
            <w:tcBorders>
              <w:tl2br w:val="nil"/>
              <w:tr2bl w:val="nil"/>
            </w:tcBorders>
            <w:vAlign w:val="center"/>
          </w:tcPr>
          <w:p w14:paraId="336C2A3B">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0.47</w:t>
            </w:r>
          </w:p>
        </w:tc>
        <w:tc>
          <w:tcPr>
            <w:tcW w:w="477" w:type="pct"/>
            <w:tcBorders>
              <w:tl2br w:val="nil"/>
              <w:tr2bl w:val="nil"/>
            </w:tcBorders>
            <w:vAlign w:val="center"/>
          </w:tcPr>
          <w:p w14:paraId="54388E8D">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0.05</w:t>
            </w:r>
          </w:p>
        </w:tc>
        <w:tc>
          <w:tcPr>
            <w:tcW w:w="477" w:type="pct"/>
            <w:tcBorders>
              <w:tl2br w:val="nil"/>
              <w:tr2bl w:val="nil"/>
            </w:tcBorders>
            <w:vAlign w:val="center"/>
          </w:tcPr>
          <w:p w14:paraId="0651E6BD">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0.08</w:t>
            </w:r>
          </w:p>
        </w:tc>
        <w:tc>
          <w:tcPr>
            <w:tcW w:w="482" w:type="pct"/>
            <w:tcBorders>
              <w:tl2br w:val="nil"/>
              <w:tr2bl w:val="nil"/>
            </w:tcBorders>
            <w:vAlign w:val="center"/>
          </w:tcPr>
          <w:p w14:paraId="4FD9BD0A">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rPr>
              <w:t>0.</w:t>
            </w:r>
            <w:r>
              <w:rPr>
                <w:rFonts w:hint="eastAsia" w:cs="Times New Roman"/>
                <w:b w:val="0"/>
                <w:bCs/>
                <w:color w:val="auto"/>
                <w:sz w:val="21"/>
                <w:szCs w:val="21"/>
                <w:highlight w:val="none"/>
                <w:lang w:val="en-US" w:eastAsia="zh-CN"/>
              </w:rPr>
              <w:t>28</w:t>
            </w:r>
          </w:p>
        </w:tc>
      </w:tr>
      <w:tr w14:paraId="5D5CDE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10" w:hRule="atLeast"/>
          <w:jc w:val="center"/>
        </w:trPr>
        <w:tc>
          <w:tcPr>
            <w:tcW w:w="1253" w:type="pct"/>
            <w:tcBorders>
              <w:tl2br w:val="nil"/>
              <w:tr2bl w:val="nil"/>
            </w:tcBorders>
            <w:vAlign w:val="center"/>
          </w:tcPr>
          <w:p w14:paraId="0C43946B">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RMSE均方根误差</w:t>
            </w:r>
          </w:p>
          <w:p w14:paraId="0F4D8D18">
            <w:pPr>
              <w:adjustRightInd w:val="0"/>
              <w:snapToGrid w:val="0"/>
              <w:spacing w:line="240" w:lineRule="auto"/>
              <w:ind w:left="-120" w:leftChars="-50" w:right="-120" w:rightChars="-50"/>
              <w:jc w:val="center"/>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drawing>
                <wp:inline distT="0" distB="0" distL="114300" distR="114300">
                  <wp:extent cx="1175385" cy="356870"/>
                  <wp:effectExtent l="0" t="0" r="5715" b="5080"/>
                  <wp:docPr id="1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4"/>
                          <pic:cNvPicPr>
                            <a:picLocks noChangeAspect="1"/>
                          </pic:cNvPicPr>
                        </pic:nvPicPr>
                        <pic:blipFill>
                          <a:blip r:embed="rId108"/>
                          <a:stretch>
                            <a:fillRect/>
                          </a:stretch>
                        </pic:blipFill>
                        <pic:spPr>
                          <a:xfrm>
                            <a:off x="0" y="0"/>
                            <a:ext cx="1175385" cy="356870"/>
                          </a:xfrm>
                          <a:prstGeom prst="rect">
                            <a:avLst/>
                          </a:prstGeom>
                          <a:noFill/>
                          <a:ln>
                            <a:noFill/>
                          </a:ln>
                        </pic:spPr>
                      </pic:pic>
                    </a:graphicData>
                  </a:graphic>
                </wp:inline>
              </w:drawing>
            </w:r>
          </w:p>
        </w:tc>
        <w:tc>
          <w:tcPr>
            <w:tcW w:w="3746" w:type="pct"/>
            <w:gridSpan w:val="8"/>
            <w:tcBorders>
              <w:tl2br w:val="nil"/>
              <w:tr2bl w:val="nil"/>
            </w:tcBorders>
            <w:vAlign w:val="center"/>
          </w:tcPr>
          <w:p w14:paraId="59A10D07">
            <w:pPr>
              <w:adjustRightInd w:val="0"/>
              <w:snapToGrid w:val="0"/>
              <w:spacing w:line="240" w:lineRule="auto"/>
              <w:ind w:left="-120" w:leftChars="-50" w:right="-120" w:rightChars="-5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0.4711</w:t>
            </w:r>
          </w:p>
        </w:tc>
      </w:tr>
    </w:tbl>
    <w:p w14:paraId="22B1C0DA">
      <w:pPr>
        <w:spacing w:line="360" w:lineRule="auto"/>
        <w:ind w:left="0" w:leftChars="0" w:firstLine="480" w:firstLineChars="200"/>
        <w:rPr>
          <w:rFonts w:ascii="Times New Roman" w:hAnsi="Times New Roman" w:cs="Times New Roman"/>
          <w:color w:val="auto"/>
        </w:rPr>
      </w:pPr>
      <w:r>
        <w:rPr>
          <w:rFonts w:hint="eastAsia" w:ascii="Times New Roman" w:hAnsi="Times New Roman" w:cs="Times New Roman"/>
          <w:color w:val="auto"/>
        </w:rPr>
        <w:t>④</w:t>
      </w:r>
      <w:r>
        <w:rPr>
          <w:rFonts w:ascii="Times New Roman" w:hAnsi="Times New Roman" w:cs="Times New Roman"/>
          <w:color w:val="auto"/>
        </w:rPr>
        <w:t>污染物迁移模拟</w:t>
      </w:r>
    </w:p>
    <w:p w14:paraId="18403CDF">
      <w:pPr>
        <w:spacing w:line="360" w:lineRule="auto"/>
        <w:ind w:left="0" w:leftChars="0" w:firstLine="480" w:firstLineChars="200"/>
        <w:rPr>
          <w:rFonts w:ascii="Times New Roman" w:hAnsi="Times New Roman" w:cs="Times New Roman"/>
          <w:color w:val="auto"/>
        </w:rPr>
      </w:pPr>
      <w:r>
        <w:rPr>
          <w:rFonts w:hint="eastAsia" w:ascii="Times New Roman" w:hAnsi="Times New Roman" w:cs="Times New Roman"/>
          <w:color w:val="auto"/>
          <w:lang w:val="en-US" w:eastAsia="zh-CN"/>
        </w:rPr>
        <w:t>A.</w:t>
      </w:r>
      <w:r>
        <w:rPr>
          <w:rFonts w:ascii="Times New Roman" w:hAnsi="Times New Roman" w:cs="Times New Roman"/>
          <w:color w:val="auto"/>
        </w:rPr>
        <w:t>数学模型</w:t>
      </w:r>
    </w:p>
    <w:p w14:paraId="736BEA09">
      <w:pPr>
        <w:spacing w:line="360" w:lineRule="auto"/>
        <w:ind w:left="0" w:leftChars="0" w:firstLine="480" w:firstLineChars="200"/>
        <w:rPr>
          <w:rFonts w:ascii="Times New Roman" w:hAnsi="Times New Roman" w:cs="Times New Roman"/>
          <w:color w:val="auto"/>
        </w:rPr>
      </w:pPr>
      <w:r>
        <w:rPr>
          <w:rFonts w:ascii="Times New Roman" w:hAnsi="Times New Roman" w:cs="Times New Roman"/>
          <w:color w:val="auto"/>
        </w:rPr>
        <w:t>根据《环境影响评价技术导则--地下水环境》（HJ610-2016），污染物迁移的溶质运移模型可表达为：</w:t>
      </w:r>
    </w:p>
    <w:p w14:paraId="0DFE4FDD">
      <w:pPr>
        <w:spacing w:line="360" w:lineRule="auto"/>
        <w:ind w:firstLine="1080" w:firstLineChars="450"/>
        <w:rPr>
          <w:rFonts w:ascii="Times New Roman" w:hAnsi="Times New Roman" w:cs="Times New Roman"/>
          <w:color w:val="auto"/>
        </w:rPr>
      </w:pPr>
      <w:r>
        <w:rPr>
          <w:rFonts w:ascii="Times New Roman" w:hAnsi="Times New Roman" w:cs="Times New Roman"/>
          <w:color w:val="auto"/>
          <w:position w:val="-32"/>
        </w:rPr>
        <w:drawing>
          <wp:inline distT="0" distB="0" distL="0" distR="0">
            <wp:extent cx="4038600" cy="472440"/>
            <wp:effectExtent l="0" t="0" r="0" b="3810"/>
            <wp:docPr id="1066551332"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51332" name="图片 7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4038600" cy="472440"/>
                    </a:xfrm>
                    <a:prstGeom prst="rect">
                      <a:avLst/>
                    </a:prstGeom>
                    <a:noFill/>
                    <a:ln>
                      <a:noFill/>
                    </a:ln>
                  </pic:spPr>
                </pic:pic>
              </a:graphicData>
            </a:graphic>
          </wp:inline>
        </w:drawing>
      </w:r>
    </w:p>
    <w:p w14:paraId="704A76AC">
      <w:pPr>
        <w:spacing w:line="360" w:lineRule="auto"/>
        <w:rPr>
          <w:rFonts w:ascii="Times New Roman" w:hAnsi="Times New Roman" w:cs="Times New Roman"/>
          <w:color w:val="auto"/>
        </w:rPr>
      </w:pPr>
      <w:r>
        <w:rPr>
          <w:rFonts w:ascii="Times New Roman" w:hAnsi="Times New Roman" w:cs="Times New Roman"/>
          <w:color w:val="auto"/>
        </w:rPr>
        <w:t>式中：R——迟滞系数，无量纲。</w:t>
      </w:r>
      <w:r>
        <w:rPr>
          <w:rFonts w:ascii="Times New Roman" w:hAnsi="Times New Roman" w:cs="Times New Roman"/>
          <w:color w:val="auto"/>
          <w:position w:val="-24"/>
        </w:rPr>
        <w:drawing>
          <wp:inline distT="0" distB="0" distL="0" distR="0">
            <wp:extent cx="922020" cy="411480"/>
            <wp:effectExtent l="0" t="0" r="11430" b="6985"/>
            <wp:docPr id="1234540791"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540791" name="图片 74"/>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922020" cy="411480"/>
                    </a:xfrm>
                    <a:prstGeom prst="rect">
                      <a:avLst/>
                    </a:prstGeom>
                    <a:noFill/>
                    <a:ln>
                      <a:noFill/>
                    </a:ln>
                  </pic:spPr>
                </pic:pic>
              </a:graphicData>
            </a:graphic>
          </wp:inline>
        </w:drawing>
      </w:r>
    </w:p>
    <w:p w14:paraId="73B796D2">
      <w:pPr>
        <w:spacing w:line="360" w:lineRule="auto"/>
        <w:ind w:firstLine="720" w:firstLineChars="300"/>
        <w:rPr>
          <w:rFonts w:ascii="Times New Roman" w:hAnsi="Times New Roman" w:cs="Times New Roman"/>
          <w:color w:val="auto"/>
        </w:rPr>
      </w:pPr>
      <w:r>
        <w:rPr>
          <w:rFonts w:ascii="Times New Roman" w:hAnsi="Times New Roman" w:cs="Times New Roman"/>
          <w:color w:val="auto"/>
          <w:position w:val="-12"/>
        </w:rPr>
        <w:drawing>
          <wp:inline distT="0" distB="0" distL="0" distR="0">
            <wp:extent cx="190500" cy="228600"/>
            <wp:effectExtent l="0" t="0" r="0" b="0"/>
            <wp:docPr id="1068626109"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26109" name="图片 7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190500" cy="228600"/>
                    </a:xfrm>
                    <a:prstGeom prst="rect">
                      <a:avLst/>
                    </a:prstGeom>
                    <a:noFill/>
                    <a:ln>
                      <a:noFill/>
                    </a:ln>
                  </pic:spPr>
                </pic:pic>
              </a:graphicData>
            </a:graphic>
          </wp:inline>
        </w:drawing>
      </w:r>
      <w:r>
        <w:rPr>
          <w:rFonts w:ascii="Times New Roman" w:hAnsi="Times New Roman" w:cs="Times New Roman"/>
          <w:color w:val="auto"/>
        </w:rPr>
        <w:t>——介质密度（mg/dm</w:t>
      </w:r>
      <w:r>
        <w:rPr>
          <w:rFonts w:ascii="Times New Roman" w:hAnsi="Times New Roman" w:cs="Times New Roman"/>
          <w:color w:val="auto"/>
          <w:vertAlign w:val="superscript"/>
        </w:rPr>
        <w:t>3</w:t>
      </w:r>
      <w:r>
        <w:rPr>
          <w:rFonts w:ascii="Times New Roman" w:hAnsi="Times New Roman" w:cs="Times New Roman"/>
          <w:color w:val="auto"/>
        </w:rPr>
        <w:t>，2.0×10</w:t>
      </w:r>
      <w:r>
        <w:rPr>
          <w:rFonts w:ascii="Times New Roman" w:hAnsi="Times New Roman" w:cs="Times New Roman"/>
          <w:color w:val="auto"/>
          <w:vertAlign w:val="superscript"/>
        </w:rPr>
        <w:t>6</w:t>
      </w:r>
      <w:r>
        <w:rPr>
          <w:rFonts w:ascii="Times New Roman" w:hAnsi="Times New Roman" w:cs="Times New Roman"/>
          <w:color w:val="auto"/>
        </w:rPr>
        <w:t>～2.4×10</w:t>
      </w:r>
      <w:r>
        <w:rPr>
          <w:rFonts w:ascii="Times New Roman" w:hAnsi="Times New Roman" w:cs="Times New Roman"/>
          <w:color w:val="auto"/>
          <w:vertAlign w:val="superscript"/>
        </w:rPr>
        <w:t>6</w:t>
      </w:r>
      <w:r>
        <w:rPr>
          <w:rFonts w:ascii="Times New Roman" w:hAnsi="Times New Roman" w:cs="Times New Roman"/>
          <w:color w:val="auto"/>
        </w:rPr>
        <w:t>mg/dm</w:t>
      </w:r>
      <w:r>
        <w:rPr>
          <w:rFonts w:ascii="Times New Roman" w:hAnsi="Times New Roman" w:cs="Times New Roman"/>
          <w:color w:val="auto"/>
          <w:vertAlign w:val="superscript"/>
        </w:rPr>
        <w:t>3</w:t>
      </w:r>
      <w:r>
        <w:rPr>
          <w:rFonts w:ascii="Times New Roman" w:hAnsi="Times New Roman" w:cs="Times New Roman"/>
          <w:color w:val="auto"/>
        </w:rPr>
        <w:t>）</w:t>
      </w:r>
    </w:p>
    <w:p w14:paraId="6521FDAF">
      <w:pPr>
        <w:spacing w:line="360" w:lineRule="auto"/>
        <w:ind w:firstLine="720" w:firstLineChars="300"/>
        <w:rPr>
          <w:rFonts w:ascii="Times New Roman" w:hAnsi="Times New Roman" w:cs="Times New Roman"/>
          <w:color w:val="auto"/>
        </w:rPr>
      </w:pPr>
      <w:r>
        <w:rPr>
          <w:rFonts w:ascii="Times New Roman" w:hAnsi="Times New Roman" w:cs="Times New Roman"/>
          <w:color w:val="auto"/>
          <w:position w:val="-6"/>
        </w:rPr>
        <w:drawing>
          <wp:inline distT="0" distB="0" distL="0" distR="0">
            <wp:extent cx="137160" cy="182880"/>
            <wp:effectExtent l="0" t="0" r="15240" b="6350"/>
            <wp:docPr id="806397400"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97400" name="图片 7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137160" cy="182880"/>
                    </a:xfrm>
                    <a:prstGeom prst="rect">
                      <a:avLst/>
                    </a:prstGeom>
                    <a:noFill/>
                    <a:ln>
                      <a:noFill/>
                    </a:ln>
                  </pic:spPr>
                </pic:pic>
              </a:graphicData>
            </a:graphic>
          </wp:inline>
        </w:drawing>
      </w:r>
      <w:r>
        <w:rPr>
          <w:rFonts w:ascii="Times New Roman" w:hAnsi="Times New Roman" w:cs="Times New Roman"/>
          <w:color w:val="auto"/>
        </w:rPr>
        <w:t>——介质孔隙度，（无量纲）；</w:t>
      </w:r>
    </w:p>
    <w:p w14:paraId="640E051A">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C——组分的浓度，（mg/L）；</w:t>
      </w:r>
    </w:p>
    <w:p w14:paraId="08E6B12E">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t——时间（d）；</w:t>
      </w:r>
    </w:p>
    <w:p w14:paraId="1527F96C">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x,y,z——空间位置坐标（m）;</w:t>
      </w:r>
    </w:p>
    <w:p w14:paraId="39985131">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D</w:t>
      </w:r>
      <w:r>
        <w:rPr>
          <w:rFonts w:ascii="Times New Roman" w:hAnsi="Times New Roman" w:cs="Times New Roman"/>
          <w:color w:val="auto"/>
          <w:vertAlign w:val="subscript"/>
        </w:rPr>
        <w:t>ij</w:t>
      </w:r>
      <w:r>
        <w:rPr>
          <w:rFonts w:ascii="Times New Roman" w:hAnsi="Times New Roman" w:cs="Times New Roman"/>
          <w:color w:val="auto"/>
        </w:rPr>
        <w:t>——水动力弥散系数张量；</w:t>
      </w:r>
    </w:p>
    <w:p w14:paraId="236F9E0B">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Vi——地下水渗流速度张量；</w:t>
      </w:r>
    </w:p>
    <w:p w14:paraId="0C0ECC4A">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W——水流的源和汇（1/d）</w:t>
      </w:r>
    </w:p>
    <w:p w14:paraId="2EBFE084">
      <w:pPr>
        <w:spacing w:line="360" w:lineRule="auto"/>
        <w:ind w:firstLine="720" w:firstLineChars="300"/>
        <w:rPr>
          <w:rFonts w:ascii="Times New Roman" w:hAnsi="Times New Roman" w:cs="Times New Roman"/>
          <w:color w:val="auto"/>
        </w:rPr>
      </w:pPr>
      <w:r>
        <w:rPr>
          <w:rFonts w:ascii="Times New Roman" w:hAnsi="Times New Roman" w:cs="Times New Roman"/>
          <w:color w:val="auto"/>
        </w:rPr>
        <w:t>Cs——组分的浓度，mg/L</w:t>
      </w:r>
    </w:p>
    <w:p w14:paraId="1214F32F">
      <w:pPr>
        <w:spacing w:line="360" w:lineRule="auto"/>
        <w:ind w:firstLine="720" w:firstLineChars="300"/>
        <w:rPr>
          <w:rFonts w:ascii="Times New Roman" w:hAnsi="Times New Roman" w:cs="Times New Roman"/>
          <w:color w:val="auto"/>
        </w:rPr>
      </w:pPr>
      <w:r>
        <w:rPr>
          <w:rFonts w:ascii="Times New Roman" w:hAnsi="Times New Roman" w:cs="Times New Roman"/>
          <w:color w:val="auto"/>
          <w:position w:val="-10"/>
        </w:rPr>
        <w:drawing>
          <wp:inline distT="0" distB="0" distL="0" distR="0">
            <wp:extent cx="175260" cy="220980"/>
            <wp:effectExtent l="0" t="0" r="15240" b="5715"/>
            <wp:docPr id="1563266136"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66136" name="图片 7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175260" cy="220980"/>
                    </a:xfrm>
                    <a:prstGeom prst="rect">
                      <a:avLst/>
                    </a:prstGeom>
                    <a:noFill/>
                    <a:ln>
                      <a:noFill/>
                    </a:ln>
                  </pic:spPr>
                </pic:pic>
              </a:graphicData>
            </a:graphic>
          </wp:inline>
        </w:drawing>
      </w:r>
      <w:r>
        <w:rPr>
          <w:rFonts w:ascii="Times New Roman" w:hAnsi="Times New Roman" w:cs="Times New Roman"/>
          <w:color w:val="auto"/>
        </w:rPr>
        <w:t>——溶解相一级反应速率（1/d）</w:t>
      </w:r>
    </w:p>
    <w:p w14:paraId="48C213A3">
      <w:pPr>
        <w:spacing w:line="360" w:lineRule="auto"/>
        <w:ind w:firstLine="720" w:firstLineChars="300"/>
        <w:rPr>
          <w:rFonts w:ascii="Times New Roman" w:hAnsi="Times New Roman" w:cs="Times New Roman"/>
          <w:color w:val="auto"/>
        </w:rPr>
      </w:pPr>
      <w:r>
        <w:rPr>
          <w:rFonts w:ascii="Times New Roman" w:hAnsi="Times New Roman" w:cs="Times New Roman"/>
          <w:color w:val="auto"/>
          <w:position w:val="-10"/>
        </w:rPr>
        <w:drawing>
          <wp:inline distT="0" distB="0" distL="0" distR="0">
            <wp:extent cx="182880" cy="220980"/>
            <wp:effectExtent l="0" t="0" r="7620" b="5715"/>
            <wp:docPr id="767019098"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19098" name="图片 7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182880" cy="220980"/>
                    </a:xfrm>
                    <a:prstGeom prst="rect">
                      <a:avLst/>
                    </a:prstGeom>
                    <a:noFill/>
                    <a:ln>
                      <a:noFill/>
                    </a:ln>
                  </pic:spPr>
                </pic:pic>
              </a:graphicData>
            </a:graphic>
          </wp:inline>
        </w:drawing>
      </w:r>
      <w:r>
        <w:rPr>
          <w:rFonts w:ascii="Times New Roman" w:hAnsi="Times New Roman" w:cs="Times New Roman"/>
          <w:color w:val="auto"/>
        </w:rPr>
        <w:t>——吸附相反应速率，（L/mg·d）</w:t>
      </w:r>
    </w:p>
    <w:p w14:paraId="58782B94">
      <w:pPr>
        <w:tabs>
          <w:tab w:val="left" w:pos="2790"/>
        </w:tabs>
        <w:spacing w:line="360" w:lineRule="auto"/>
        <w:ind w:left="0" w:leftChars="0" w:firstLine="480" w:firstLineChars="200"/>
        <w:rPr>
          <w:rFonts w:ascii="Times New Roman" w:hAnsi="Times New Roman" w:cs="Times New Roman"/>
          <w:color w:val="auto"/>
        </w:rPr>
      </w:pPr>
      <w:r>
        <w:rPr>
          <w:rFonts w:hint="eastAsia" w:ascii="Times New Roman" w:hAnsi="Times New Roman" w:cs="Times New Roman"/>
          <w:color w:val="auto"/>
          <w:lang w:val="en-US" w:eastAsia="zh-CN"/>
        </w:rPr>
        <w:t>B.</w:t>
      </w:r>
      <w:r>
        <w:rPr>
          <w:rFonts w:ascii="Times New Roman" w:hAnsi="Times New Roman" w:cs="Times New Roman"/>
          <w:color w:val="auto"/>
        </w:rPr>
        <w:t>模型参数</w:t>
      </w:r>
    </w:p>
    <w:p w14:paraId="20F17991">
      <w:pPr>
        <w:spacing w:line="360" w:lineRule="auto"/>
        <w:ind w:left="0" w:leftChars="0" w:firstLine="480" w:firstLineChars="200"/>
        <w:jc w:val="both"/>
        <w:rPr>
          <w:rFonts w:hint="eastAsia" w:ascii="Times New Roman" w:hAnsi="Times New Roman" w:cs="Times New Roman"/>
          <w:color w:val="auto"/>
          <w:lang w:val="en-US" w:eastAsia="zh-CN"/>
        </w:rPr>
      </w:pPr>
      <w:r>
        <w:rPr>
          <w:rFonts w:ascii="Times New Roman" w:hAnsi="Times New Roman" w:cs="Times New Roman"/>
          <w:color w:val="auto"/>
        </w:rPr>
        <w:t>弥散系数选择</w:t>
      </w:r>
      <w:r>
        <w:rPr>
          <w:rFonts w:hint="eastAsia" w:ascii="Times New Roman" w:hAnsi="Times New Roman" w:cs="Times New Roman"/>
          <w:color w:val="auto"/>
        </w:rPr>
        <w:t>：</w:t>
      </w:r>
      <w:r>
        <w:rPr>
          <w:rFonts w:ascii="Times New Roman" w:hAnsi="Times New Roman" w:cs="Times New Roman"/>
          <w:color w:val="auto"/>
        </w:rPr>
        <w:t>空隙介质中的弥散度随着溶质运移距离的增加而加大，这种现象称之为水动力弥散尺度效应。水动力弥散效应的存在为模拟和预测地下水中溶质在介质中的运移规律带来了困难。其具体表现为：野外弥散试验所求出的弥散度远远大于在实验室所测出的值，相差可达2～4个数量级。即使是同一含水层，溶质运移距离越大，所计算出的弥散度也越大。横向弥散度的取值依据美国环保署(EPA)提出的经验数据：横/纵向弥散度比一般为0.1。</w:t>
      </w:r>
      <w:r>
        <w:rPr>
          <w:rFonts w:hint="eastAsia" w:ascii="Times New Roman" w:hAnsi="Times New Roman" w:cs="Times New Roman"/>
          <w:color w:val="auto"/>
          <w:lang w:val="en-US" w:eastAsia="zh-CN"/>
        </w:rPr>
        <w:t xml:space="preserve">  </w:t>
      </w:r>
    </w:p>
    <w:p w14:paraId="136432D8">
      <w:pPr>
        <w:spacing w:line="360" w:lineRule="auto"/>
        <w:ind w:left="0" w:leftChars="0" w:firstLine="480" w:firstLineChars="200"/>
        <w:jc w:val="both"/>
        <w:rPr>
          <w:color w:val="auto"/>
          <w:highlight w:val="none"/>
        </w:rPr>
      </w:pPr>
      <w:r>
        <w:rPr>
          <w:rFonts w:ascii="Times New Roman" w:hAnsi="Times New Roman" w:cs="Times New Roman"/>
          <w:color w:val="auto"/>
        </w:rPr>
        <w:t>根据本项目区水文地质条件及Gelhar，L.W在“A critical review of data on field-scale dispersion in aquifers”文献关于弥散系数经验值的报道，本次模拟过程确定溶质运移模型参数为：纵向弥散度Dx为2m；横向弥散度Dy为0.2m。</w:t>
      </w:r>
    </w:p>
    <w:p w14:paraId="7478FA26">
      <w:pPr>
        <w:pStyle w:val="26"/>
        <w:bidi w:val="0"/>
        <w:rPr>
          <w:rFonts w:hint="eastAsia"/>
          <w:color w:val="auto"/>
          <w:highlight w:val="none"/>
          <w:lang w:val="en-US" w:eastAsia="zh-CN"/>
        </w:rPr>
      </w:pPr>
      <w:r>
        <w:rPr>
          <w:rFonts w:hint="eastAsia"/>
          <w:color w:val="auto"/>
          <w:highlight w:val="none"/>
          <w:lang w:val="en-US" w:eastAsia="zh-CN"/>
        </w:rPr>
        <w:t>C.情景设置</w:t>
      </w:r>
    </w:p>
    <w:p w14:paraId="61A1AEFC">
      <w:pPr>
        <w:pStyle w:val="26"/>
        <w:bidi w:val="0"/>
        <w:rPr>
          <w:rFonts w:hint="eastAsia"/>
          <w:color w:val="auto"/>
          <w:highlight w:val="none"/>
          <w:lang w:val="en-US" w:eastAsia="zh-CN"/>
        </w:rPr>
      </w:pPr>
      <w:r>
        <w:rPr>
          <w:rFonts w:hint="eastAsia"/>
          <w:color w:val="auto"/>
          <w:highlight w:val="none"/>
          <w:lang w:val="en-US" w:eastAsia="zh-CN"/>
        </w:rPr>
        <w:t>根据本项目工程特征及区域水文地质条件，本次预测评价重点关注评价范围内的第四系松散岩类孔隙潜水和</w:t>
      </w: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r>
        <w:rPr>
          <w:rFonts w:hint="eastAsia"/>
          <w:color w:val="auto"/>
          <w:szCs w:val="20"/>
          <w:highlight w:val="none"/>
          <w:lang w:val="en-US" w:eastAsia="zh-CN"/>
        </w:rPr>
        <w:t>基岩裂隙水</w:t>
      </w:r>
      <w:r>
        <w:rPr>
          <w:rFonts w:hint="eastAsia"/>
          <w:color w:val="auto"/>
          <w:highlight w:val="none"/>
          <w:lang w:val="en-US" w:eastAsia="zh-CN"/>
        </w:rPr>
        <w:t>含水层环境影响。</w:t>
      </w:r>
    </w:p>
    <w:p w14:paraId="1CF53D20">
      <w:pPr>
        <w:pStyle w:val="26"/>
        <w:bidi w:val="0"/>
        <w:rPr>
          <w:rFonts w:hint="eastAsia"/>
          <w:color w:val="auto"/>
          <w:highlight w:val="none"/>
          <w:lang w:val="en-US" w:eastAsia="zh-CN"/>
        </w:rPr>
      </w:pPr>
      <w:r>
        <w:rPr>
          <w:rFonts w:hint="eastAsia"/>
          <w:color w:val="auto"/>
          <w:highlight w:val="none"/>
          <w:lang w:val="en-US" w:eastAsia="zh-CN"/>
        </w:rPr>
        <w:t>a.正常状况</w:t>
      </w:r>
    </w:p>
    <w:p w14:paraId="188F8BD7">
      <w:pPr>
        <w:pStyle w:val="26"/>
        <w:bidi w:val="0"/>
        <w:rPr>
          <w:rFonts w:hint="eastAsia"/>
          <w:color w:val="auto"/>
          <w:highlight w:val="none"/>
          <w:lang w:val="en-US" w:eastAsia="zh-CN"/>
        </w:rPr>
      </w:pPr>
      <w:r>
        <w:rPr>
          <w:rFonts w:hint="eastAsia"/>
          <w:color w:val="auto"/>
          <w:highlight w:val="none"/>
          <w:lang w:val="en-US" w:eastAsia="zh-CN"/>
        </w:rPr>
        <w:t>根据《环境影响评价技术导则 地下水环境》（HJ610-2016）要求，已根据GB16889、GB18597、GB18598、GB18599设计地下水污染防渗措施的建设项目，可不进行正常状况情景下的预测。环评要求本项目工程地面按相应等级做好防渗分区，正常状况下，在采取分区防渗措施后，仅存在极其少量的“跑、冒、滴、漏”，对地下水环境影响较小。故本项目不考虑正常情况下项目对地下水的污染，也不进行正常状况情景下的预测。</w:t>
      </w:r>
    </w:p>
    <w:p w14:paraId="573CBC69">
      <w:pPr>
        <w:pStyle w:val="26"/>
        <w:bidi w:val="0"/>
        <w:rPr>
          <w:rFonts w:hint="eastAsia"/>
          <w:color w:val="auto"/>
          <w:highlight w:val="none"/>
          <w:lang w:val="en-US" w:eastAsia="zh-CN"/>
        </w:rPr>
      </w:pPr>
      <w:r>
        <w:rPr>
          <w:rFonts w:hint="eastAsia"/>
          <w:color w:val="auto"/>
          <w:highlight w:val="none"/>
          <w:lang w:val="en-US" w:eastAsia="zh-CN"/>
        </w:rPr>
        <w:t>b.非正常状况</w:t>
      </w:r>
    </w:p>
    <w:p w14:paraId="731A2ECA">
      <w:pPr>
        <w:pStyle w:val="26"/>
        <w:bidi w:val="0"/>
        <w:rPr>
          <w:rFonts w:hint="eastAsia"/>
          <w:color w:val="auto"/>
          <w:highlight w:val="none"/>
          <w:lang w:val="en-US" w:eastAsia="zh-CN"/>
        </w:rPr>
      </w:pPr>
      <w:r>
        <w:rPr>
          <w:rFonts w:hint="eastAsia"/>
          <w:color w:val="auto"/>
          <w:highlight w:val="none"/>
          <w:lang w:val="en-US" w:eastAsia="zh-CN"/>
        </w:rPr>
        <w:t>非正常状况下，罐区、仓库防渗系统产生裂缝，裂缝面积占总面积10%，污染因子直接下渗进入地下水系统。根据工程分析可知，项目地下水污染因子根据生产原辅材料确定污染源源强，</w:t>
      </w:r>
      <w:r>
        <w:rPr>
          <w:rFonts w:hint="eastAsia"/>
          <w:color w:val="auto"/>
          <w:sz w:val="24"/>
          <w:szCs w:val="24"/>
          <w:highlight w:val="none"/>
        </w:rPr>
        <w:t>本次预测</w:t>
      </w:r>
      <w:r>
        <w:rPr>
          <w:rFonts w:hint="eastAsia"/>
          <w:color w:val="auto"/>
          <w:sz w:val="24"/>
          <w:szCs w:val="24"/>
          <w:highlight w:val="none"/>
          <w:lang w:val="en-US" w:eastAsia="zh-CN"/>
        </w:rPr>
        <w:t>仓库</w:t>
      </w:r>
      <w:r>
        <w:rPr>
          <w:rFonts w:hint="eastAsia"/>
          <w:color w:val="auto"/>
          <w:sz w:val="24"/>
          <w:szCs w:val="24"/>
          <w:highlight w:val="none"/>
        </w:rPr>
        <w:t>选取</w:t>
      </w:r>
      <w:r>
        <w:rPr>
          <w:rFonts w:hint="eastAsia"/>
          <w:color w:val="auto"/>
          <w:sz w:val="24"/>
          <w:highlight w:val="none"/>
        </w:rPr>
        <w:t>COD</w:t>
      </w:r>
      <w:r>
        <w:rPr>
          <w:rFonts w:hint="eastAsia"/>
          <w:color w:val="auto"/>
          <w:sz w:val="24"/>
          <w:highlight w:val="none"/>
          <w:vertAlign w:val="subscript"/>
        </w:rPr>
        <w:t>Mn</w:t>
      </w:r>
      <w:r>
        <w:rPr>
          <w:rFonts w:hint="eastAsia"/>
          <w:color w:val="auto"/>
          <w:sz w:val="24"/>
          <w:highlight w:val="none"/>
        </w:rPr>
        <w:t>为预测因子</w:t>
      </w:r>
      <w:r>
        <w:rPr>
          <w:rFonts w:hint="eastAsia"/>
          <w:color w:val="auto"/>
          <w:sz w:val="24"/>
          <w:highlight w:val="none"/>
          <w:lang w:eastAsia="zh-CN"/>
        </w:rPr>
        <w:t>，</w:t>
      </w:r>
      <w:r>
        <w:rPr>
          <w:rFonts w:hint="eastAsia"/>
          <w:color w:val="auto"/>
          <w:sz w:val="24"/>
          <w:highlight w:val="none"/>
          <w:lang w:val="en-US" w:eastAsia="zh-CN"/>
        </w:rPr>
        <w:t>罐区选取钠、硫酸根、氟化物、</w:t>
      </w:r>
      <w:r>
        <w:rPr>
          <w:rFonts w:hint="eastAsia"/>
          <w:color w:val="auto"/>
          <w:sz w:val="24"/>
          <w:highlight w:val="none"/>
        </w:rPr>
        <w:t>COD</w:t>
      </w:r>
      <w:r>
        <w:rPr>
          <w:rFonts w:hint="eastAsia"/>
          <w:color w:val="auto"/>
          <w:sz w:val="24"/>
          <w:highlight w:val="none"/>
          <w:vertAlign w:val="subscript"/>
        </w:rPr>
        <w:t>Mn</w:t>
      </w:r>
      <w:r>
        <w:rPr>
          <w:rFonts w:hint="eastAsia"/>
          <w:color w:val="auto"/>
          <w:sz w:val="24"/>
          <w:highlight w:val="none"/>
        </w:rPr>
        <w:t>、</w:t>
      </w:r>
      <w:r>
        <w:rPr>
          <w:rFonts w:hint="eastAsia"/>
          <w:color w:val="auto"/>
          <w:sz w:val="24"/>
          <w:highlight w:val="none"/>
          <w:lang w:val="en-US" w:eastAsia="zh-CN"/>
        </w:rPr>
        <w:t>铁、总磷、铝</w:t>
      </w:r>
      <w:r>
        <w:rPr>
          <w:rFonts w:hint="eastAsia"/>
          <w:color w:val="auto"/>
          <w:sz w:val="24"/>
          <w:highlight w:val="none"/>
        </w:rPr>
        <w:t>为预测因子</w:t>
      </w:r>
      <w:r>
        <w:rPr>
          <w:rFonts w:hint="eastAsia"/>
          <w:color w:val="auto"/>
          <w:highlight w:val="none"/>
          <w:lang w:val="en-US" w:eastAsia="zh-CN"/>
        </w:rPr>
        <w:t>。</w:t>
      </w:r>
    </w:p>
    <w:p w14:paraId="64FF7AE7">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4、预测结果</w:t>
      </w:r>
    </w:p>
    <w:p w14:paraId="381B4C65">
      <w:pPr>
        <w:pStyle w:val="26"/>
        <w:bidi w:val="0"/>
        <w:rPr>
          <w:rFonts w:hint="eastAsia"/>
          <w:color w:val="auto"/>
          <w:highlight w:val="none"/>
        </w:rPr>
      </w:pPr>
      <w:r>
        <w:rPr>
          <w:rFonts w:hint="eastAsia"/>
          <w:color w:val="auto"/>
          <w:highlight w:val="none"/>
        </w:rPr>
        <w:t>以前述模型运行模拟的初始渗流场作为溶质运移流场模拟非正常状况下地下水污染情况。为清晰反映项目区周围污染物迁移规律，将项目区在模型中放大表达。以各特征污染物浓度极限值为限，模型出图时，各污染物浓度超标时污染晕限值为最高超标限值浓度，各污染物浓度未超标时，污染晕限值为实时最高浓度。</w:t>
      </w:r>
    </w:p>
    <w:p w14:paraId="51B186CA">
      <w:pPr>
        <w:pStyle w:val="26"/>
        <w:bidi w:val="0"/>
        <w:rPr>
          <w:rFonts w:hint="eastAsia"/>
          <w:color w:val="auto"/>
          <w:highlight w:val="none"/>
        </w:rPr>
      </w:pPr>
      <w:r>
        <w:rPr>
          <w:rFonts w:hint="eastAsia"/>
          <w:color w:val="auto"/>
          <w:highlight w:val="none"/>
        </w:rPr>
        <w:t>模拟结果中污染羽呈现双峰特征，这是由于地下水流速存在差异所致：在污染物初始运移阶段，受较快流速驱动的部分污染物率先抵达更远区域，而后续随着时间推移，污染物在迁移过程中逐渐发生弥散，最终形成了这种双峰形态。</w:t>
      </w:r>
    </w:p>
    <w:p w14:paraId="644AFC94">
      <w:pPr>
        <w:pStyle w:val="26"/>
        <w:bidi w:val="0"/>
        <w:rPr>
          <w:rFonts w:hint="eastAsia"/>
          <w:color w:val="auto"/>
          <w:highlight w:val="none"/>
          <w:lang w:val="en-US" w:eastAsia="zh-CN"/>
        </w:rPr>
      </w:pPr>
      <w:r>
        <w:rPr>
          <w:rFonts w:hint="eastAsia"/>
          <w:color w:val="auto"/>
          <w:highlight w:val="none"/>
          <w:lang w:val="en-US" w:eastAsia="zh-CN"/>
        </w:rPr>
        <w:t>本次模型模拟范围较大，由于污染物</w:t>
      </w:r>
      <w:r>
        <w:rPr>
          <w:rFonts w:hint="eastAsia" w:ascii="Times New Roman" w:hAnsi="Times New Roman" w:cs="Times New Roman"/>
          <w:color w:val="auto"/>
          <w:highlight w:val="none"/>
        </w:rPr>
        <w:t>最大运移距离</w:t>
      </w:r>
      <w:r>
        <w:rPr>
          <w:rFonts w:hint="eastAsia" w:ascii="Times New Roman" w:hAnsi="Times New Roman" w:cs="Times New Roman"/>
          <w:color w:val="auto"/>
          <w:highlight w:val="none"/>
          <w:lang w:val="en-US" w:eastAsia="zh-CN"/>
        </w:rPr>
        <w:t>较小，本次污染</w:t>
      </w:r>
      <w:r>
        <w:rPr>
          <w:rFonts w:hint="eastAsia"/>
          <w:color w:val="auto"/>
          <w:highlight w:val="none"/>
          <w:lang w:val="en-US" w:eastAsia="zh-CN"/>
        </w:rPr>
        <w:t>运移模拟结果仅输出场地周边小范围污染运移情况。</w:t>
      </w:r>
    </w:p>
    <w:p w14:paraId="5551C62D">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仓库</w:t>
      </w:r>
      <w:r>
        <w:rPr>
          <w:rFonts w:hint="eastAsia" w:ascii="Times New Roman" w:hAnsi="Times New Roman" w:eastAsia="宋体" w:cs="Times New Roman"/>
          <w:color w:val="auto"/>
        </w:rPr>
        <w:t>污染物</w:t>
      </w:r>
      <w:r>
        <w:rPr>
          <w:rFonts w:hint="eastAsia" w:ascii="Times New Roman" w:hAnsi="Times New Roman" w:eastAsia="宋体" w:cs="Times New Roman"/>
          <w:color w:val="auto"/>
          <w:lang w:val="en-US" w:eastAsia="zh-CN"/>
        </w:rPr>
        <w:t>钠</w:t>
      </w:r>
      <w:r>
        <w:rPr>
          <w:rFonts w:hint="eastAsia" w:ascii="Times New Roman" w:hAnsi="Times New Roman" w:eastAsia="宋体" w:cs="Times New Roman"/>
          <w:color w:val="auto"/>
        </w:rPr>
        <w:t>迁移预测结果</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2DA56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103427E">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08905" cy="2704465"/>
                  <wp:effectExtent l="0" t="0" r="10795" b="635"/>
                  <wp:docPr id="77" name="图片 77" descr="COD-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OD-30D"/>
                          <pic:cNvPicPr>
                            <a:picLocks noChangeAspect="1"/>
                          </pic:cNvPicPr>
                        </pic:nvPicPr>
                        <pic:blipFill>
                          <a:blip r:embed="rId115"/>
                          <a:stretch>
                            <a:fillRect/>
                          </a:stretch>
                        </pic:blipFill>
                        <pic:spPr>
                          <a:xfrm>
                            <a:off x="0" y="0"/>
                            <a:ext cx="5208905" cy="2704465"/>
                          </a:xfrm>
                          <a:prstGeom prst="rect">
                            <a:avLst/>
                          </a:prstGeom>
                        </pic:spPr>
                      </pic:pic>
                    </a:graphicData>
                  </a:graphic>
                </wp:inline>
              </w:drawing>
            </w:r>
          </w:p>
        </w:tc>
      </w:tr>
      <w:tr w14:paraId="28B4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D9E311E">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迁移30d时污染晕（中心最大浓度为471.575 mg/L）</w:t>
            </w:r>
          </w:p>
        </w:tc>
      </w:tr>
      <w:tr w14:paraId="43A5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AD868F5">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08905" cy="2704465"/>
                  <wp:effectExtent l="0" t="0" r="10795" b="635"/>
                  <wp:docPr id="78" name="图片 78" descr="COD-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OD-200D"/>
                          <pic:cNvPicPr>
                            <a:picLocks noChangeAspect="1"/>
                          </pic:cNvPicPr>
                        </pic:nvPicPr>
                        <pic:blipFill>
                          <a:blip r:embed="rId116"/>
                          <a:stretch>
                            <a:fillRect/>
                          </a:stretch>
                        </pic:blipFill>
                        <pic:spPr>
                          <a:xfrm>
                            <a:off x="0" y="0"/>
                            <a:ext cx="5208905" cy="2704465"/>
                          </a:xfrm>
                          <a:prstGeom prst="rect">
                            <a:avLst/>
                          </a:prstGeom>
                        </pic:spPr>
                      </pic:pic>
                    </a:graphicData>
                  </a:graphic>
                </wp:inline>
              </w:drawing>
            </w:r>
          </w:p>
        </w:tc>
      </w:tr>
      <w:tr w14:paraId="185D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D030D5E">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迁移365d时污染晕（中心最大浓度为37.918mg/L）</w:t>
            </w:r>
          </w:p>
        </w:tc>
      </w:tr>
      <w:tr w14:paraId="18DA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8688BDB">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79" name="图片 79" descr="COD-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OD-365D"/>
                          <pic:cNvPicPr>
                            <a:picLocks noChangeAspect="1"/>
                          </pic:cNvPicPr>
                        </pic:nvPicPr>
                        <pic:blipFill>
                          <a:blip r:embed="rId117"/>
                          <a:stretch>
                            <a:fillRect/>
                          </a:stretch>
                        </pic:blipFill>
                        <pic:spPr>
                          <a:xfrm>
                            <a:off x="0" y="0"/>
                            <a:ext cx="5208905" cy="2704465"/>
                          </a:xfrm>
                          <a:prstGeom prst="rect">
                            <a:avLst/>
                          </a:prstGeom>
                        </pic:spPr>
                      </pic:pic>
                    </a:graphicData>
                  </a:graphic>
                </wp:inline>
              </w:drawing>
            </w:r>
          </w:p>
        </w:tc>
      </w:tr>
      <w:tr w14:paraId="5A835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D794419">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迁移730d时污染晕（中心最大浓度为21.758mg/L）</w:t>
            </w:r>
          </w:p>
        </w:tc>
      </w:tr>
      <w:tr w14:paraId="42863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4EDB0D1">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83" name="图片 83" descr="COD-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COD-1000D"/>
                          <pic:cNvPicPr>
                            <a:picLocks noChangeAspect="1"/>
                          </pic:cNvPicPr>
                        </pic:nvPicPr>
                        <pic:blipFill>
                          <a:blip r:embed="rId118"/>
                          <a:stretch>
                            <a:fillRect/>
                          </a:stretch>
                        </pic:blipFill>
                        <pic:spPr>
                          <a:xfrm>
                            <a:off x="0" y="0"/>
                            <a:ext cx="5208905" cy="2704465"/>
                          </a:xfrm>
                          <a:prstGeom prst="rect">
                            <a:avLst/>
                          </a:prstGeom>
                        </pic:spPr>
                      </pic:pic>
                    </a:graphicData>
                  </a:graphic>
                </wp:inline>
              </w:drawing>
            </w:r>
          </w:p>
        </w:tc>
      </w:tr>
      <w:tr w14:paraId="3739E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E1AB665">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迁移1825d时污染晕（中心最大浓度为5.120mg/L）</w:t>
            </w:r>
          </w:p>
        </w:tc>
      </w:tr>
      <w:tr w14:paraId="0C255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7DFEE0E">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84" name="图片 84" descr="COD-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COD-3650D"/>
                          <pic:cNvPicPr>
                            <a:picLocks noChangeAspect="1"/>
                          </pic:cNvPicPr>
                        </pic:nvPicPr>
                        <pic:blipFill>
                          <a:blip r:embed="rId119"/>
                          <a:stretch>
                            <a:fillRect/>
                          </a:stretch>
                        </pic:blipFill>
                        <pic:spPr>
                          <a:xfrm>
                            <a:off x="0" y="0"/>
                            <a:ext cx="5208905" cy="2704465"/>
                          </a:xfrm>
                          <a:prstGeom prst="rect">
                            <a:avLst/>
                          </a:prstGeom>
                        </pic:spPr>
                      </pic:pic>
                    </a:graphicData>
                  </a:graphic>
                </wp:inline>
              </w:drawing>
            </w:r>
          </w:p>
        </w:tc>
      </w:tr>
      <w:tr w14:paraId="76417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74A4F34">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迁移3650d时污染晕（中心最大浓度为2.867mg/L）</w:t>
            </w:r>
          </w:p>
        </w:tc>
      </w:tr>
      <w:tr w14:paraId="25C96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7B386A5">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85" name="图片 85" descr="COD-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COD-7300D"/>
                          <pic:cNvPicPr>
                            <a:picLocks noChangeAspect="1"/>
                          </pic:cNvPicPr>
                        </pic:nvPicPr>
                        <pic:blipFill>
                          <a:blip r:embed="rId120"/>
                          <a:stretch>
                            <a:fillRect/>
                          </a:stretch>
                        </pic:blipFill>
                        <pic:spPr>
                          <a:xfrm>
                            <a:off x="0" y="0"/>
                            <a:ext cx="5208905" cy="2704465"/>
                          </a:xfrm>
                          <a:prstGeom prst="rect">
                            <a:avLst/>
                          </a:prstGeom>
                        </pic:spPr>
                      </pic:pic>
                    </a:graphicData>
                  </a:graphic>
                </wp:inline>
              </w:drawing>
            </w:r>
          </w:p>
        </w:tc>
      </w:tr>
      <w:tr w14:paraId="3B7D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91751BD">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迁移7300d时污染晕（中心最大浓度为1.000mg/L）</w:t>
            </w:r>
          </w:p>
        </w:tc>
      </w:tr>
    </w:tbl>
    <w:p w14:paraId="1E64616A">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非正常状况COD</w:t>
      </w:r>
      <w:r>
        <w:rPr>
          <w:rFonts w:hint="eastAsia" w:ascii="Times New Roman" w:hAnsi="Times New Roman" w:eastAsia="黑体" w:cs="Times New Roman"/>
          <w:color w:val="auto"/>
          <w:sz w:val="21"/>
          <w:szCs w:val="21"/>
          <w:highlight w:val="none"/>
          <w:vertAlign w:val="subscript"/>
          <w:lang w:val="en-US" w:eastAsia="zh-CN"/>
        </w:rPr>
        <w:t>Mn</w:t>
      </w:r>
      <w:r>
        <w:rPr>
          <w:rFonts w:hint="eastAsia" w:ascii="Times New Roman" w:hAnsi="Times New Roman" w:eastAsia="黑体" w:cs="Times New Roman"/>
          <w:color w:val="auto"/>
          <w:sz w:val="21"/>
          <w:szCs w:val="21"/>
          <w:highlight w:val="none"/>
          <w:lang w:val="en-US" w:eastAsia="zh-CN"/>
        </w:rPr>
        <w:t>污染迁移图</w:t>
      </w:r>
    </w:p>
    <w:p w14:paraId="0FD526D8">
      <w:pPr>
        <w:spacing w:line="360" w:lineRule="auto"/>
        <w:ind w:left="0" w:leftChars="0" w:firstLine="480" w:firstLineChars="200"/>
        <w:jc w:val="both"/>
        <w:rPr>
          <w:rFonts w:hint="eastAsia"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污染物先以机械弥散形式向外扩散，主要发生在仓库东侧，随后受地下水影响溶质沿地下水径流方向，向南东侧径流运移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后，由于该区域水头差较小，污染物运移距离有限，地下水中COD</w:t>
      </w:r>
      <w:r>
        <w:rPr>
          <w:rFonts w:hint="eastAsia" w:ascii="Times New Roman" w:hAnsi="Times New Roman" w:cs="Times New Roman"/>
          <w:color w:val="auto"/>
          <w:highlight w:val="none"/>
          <w:vertAlign w:val="subscript"/>
        </w:rPr>
        <w:t>Mn</w:t>
      </w:r>
      <w:r>
        <w:rPr>
          <w:rFonts w:hint="eastAsia" w:ascii="Times New Roman" w:hAnsi="Times New Roman" w:cs="Times New Roman"/>
          <w:color w:val="auto"/>
          <w:highlight w:val="none"/>
        </w:rPr>
        <w:t>最高浓度为471.575 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，浓度最大中心位于仓库</w:t>
      </w:r>
      <w:r>
        <w:rPr>
          <w:rFonts w:hint="eastAsia"/>
          <w:color w:val="auto"/>
          <w:highlight w:val="none"/>
        </w:rPr>
        <w:t>东侧</w:t>
      </w:r>
      <w:r>
        <w:rPr>
          <w:rFonts w:hint="eastAsia" w:ascii="Times New Roman" w:hAnsi="Times New Roman" w:cs="Times New Roman"/>
          <w:color w:val="auto"/>
          <w:highlight w:val="none"/>
        </w:rPr>
        <w:t>；随后地下水中COD</w:t>
      </w:r>
      <w:r>
        <w:rPr>
          <w:rFonts w:hint="eastAsia" w:ascii="Times New Roman" w:hAnsi="Times New Roman" w:cs="Times New Roman"/>
          <w:color w:val="auto"/>
          <w:highlight w:val="none"/>
          <w:vertAlign w:val="subscript"/>
        </w:rPr>
        <w:t>Mn</w:t>
      </w:r>
      <w:r>
        <w:rPr>
          <w:rFonts w:hint="eastAsia" w:ascii="Times New Roman" w:hAnsi="Times New Roman" w:cs="Times New Roman"/>
          <w:color w:val="auto"/>
          <w:highlight w:val="none"/>
        </w:rPr>
        <w:t>浓度持续降低，至</w:t>
      </w:r>
      <w:r>
        <w:rPr>
          <w:rFonts w:hint="eastAsia" w:cs="Times New Roman"/>
          <w:color w:val="auto"/>
          <w:highlight w:val="none"/>
          <w:lang w:val="en-US" w:eastAsia="zh-CN"/>
        </w:rPr>
        <w:t>3650</w:t>
      </w:r>
      <w:r>
        <w:rPr>
          <w:rFonts w:hint="eastAsia" w:ascii="Times New Roman" w:hAnsi="Times New Roman" w:cs="Times New Roman"/>
          <w:color w:val="auto"/>
          <w:highlight w:val="none"/>
        </w:rPr>
        <w:t>d时，中心最大浓度为2.867</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，此时地下水COD</w:t>
      </w:r>
      <w:r>
        <w:rPr>
          <w:rFonts w:hint="eastAsia" w:ascii="Times New Roman" w:hAnsi="Times New Roman" w:cs="Times New Roman"/>
          <w:color w:val="auto"/>
          <w:highlight w:val="none"/>
          <w:vertAlign w:val="subscript"/>
        </w:rPr>
        <w:t>Mn</w:t>
      </w:r>
      <w:r>
        <w:rPr>
          <w:rFonts w:hint="eastAsia" w:ascii="Times New Roman" w:hAnsi="Times New Roman" w:cs="Times New Roman"/>
          <w:color w:val="auto"/>
          <w:highlight w:val="none"/>
        </w:rPr>
        <w:t>浓度已低于《地下水质量标准》（GB/T 14848-2017）</w:t>
      </w:r>
      <w:r>
        <w:rPr>
          <w:rFonts w:ascii="Times New Roman" w:hAnsi="Times New Roman" w:cs="Times New Roman"/>
          <w:color w:val="auto"/>
          <w:highlight w:val="none"/>
        </w:rPr>
        <w:t>中III类水质标准限值</w:t>
      </w:r>
      <w:r>
        <w:rPr>
          <w:rFonts w:hint="eastAsia" w:cs="Times New Roman"/>
          <w:color w:val="auto"/>
          <w:highlight w:val="none"/>
          <w:lang w:val="en-US" w:eastAsia="zh-CN"/>
        </w:rPr>
        <w:t>3.0</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559A26A5">
      <w:pPr>
        <w:spacing w:line="360" w:lineRule="auto"/>
        <w:ind w:left="0" w:leftChars="0" w:firstLine="480" w:firstLineChars="200"/>
        <w:jc w:val="both"/>
        <w:rPr>
          <w:rFonts w:hint="eastAsia"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2170</w:t>
      </w:r>
      <w:r>
        <w:rPr>
          <w:rFonts w:ascii="Times New Roman" w:hAnsi="Times New Roman" w:cs="Times New Roman"/>
          <w:color w:val="auto"/>
          <w:highlight w:val="none"/>
        </w:rPr>
        <w:t>d后</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COD</w:t>
      </w:r>
      <w:r>
        <w:rPr>
          <w:rFonts w:hint="eastAsia" w:ascii="Times New Roman" w:hAnsi="Times New Roman" w:cs="Times New Roman"/>
          <w:color w:val="auto"/>
          <w:highlight w:val="none"/>
          <w:vertAlign w:val="subscript"/>
        </w:rPr>
        <w:t>Mn</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ascii="Times New Roman" w:hAnsi="Times New Roman" w:cs="Times New Roman"/>
          <w:color w:val="auto"/>
          <w:highlight w:val="none"/>
        </w:rPr>
        <w:t>低于</w:t>
      </w:r>
      <w:r>
        <w:rPr>
          <w:rFonts w:hint="eastAsia" w:ascii="Times New Roman" w:hAnsi="Times New Roman" w:cs="Times New Roman"/>
          <w:color w:val="auto"/>
          <w:highlight w:val="none"/>
        </w:rPr>
        <w:t>《地下水质量标准》（GB/T 14848-2017）</w:t>
      </w:r>
      <w:r>
        <w:rPr>
          <w:rFonts w:ascii="Times New Roman" w:hAnsi="Times New Roman" w:cs="Times New Roman"/>
          <w:color w:val="auto"/>
          <w:highlight w:val="none"/>
        </w:rPr>
        <w:t>中III类水质标准限值</w:t>
      </w:r>
      <w:r>
        <w:rPr>
          <w:rFonts w:hint="eastAsia" w:cs="Times New Roman"/>
          <w:color w:val="auto"/>
          <w:highlight w:val="none"/>
          <w:lang w:val="en-US" w:eastAsia="zh-CN"/>
        </w:rPr>
        <w:t>3.0</w:t>
      </w:r>
      <w:r>
        <w:rPr>
          <w:rFonts w:ascii="Times New Roman" w:hAnsi="Times New Roman" w:cs="Times New Roman"/>
          <w:color w:val="auto"/>
          <w:highlight w:val="none"/>
        </w:rPr>
        <w:t>mg/L</w:t>
      </w:r>
      <w:r>
        <w:rPr>
          <w:rFonts w:hint="eastAsia" w:ascii="Times New Roman" w:hAnsi="Times New Roman" w:cs="Times New Roman"/>
          <w:color w:val="auto"/>
          <w:highlight w:val="none"/>
        </w:rPr>
        <w:t>，最大运移距离为1</w:t>
      </w:r>
      <w:r>
        <w:rPr>
          <w:rFonts w:hint="eastAsia" w:cs="Times New Roman"/>
          <w:color w:val="auto"/>
          <w:highlight w:val="none"/>
          <w:lang w:val="en-US" w:eastAsia="zh-CN"/>
        </w:rPr>
        <w:t>12.6</w:t>
      </w:r>
      <w:r>
        <w:rPr>
          <w:rFonts w:ascii="Times New Roman" w:hAnsi="Times New Roman" w:cs="Times New Roman"/>
          <w:color w:val="auto"/>
          <w:highlight w:val="none"/>
        </w:rPr>
        <w:t>m。</w:t>
      </w:r>
    </w:p>
    <w:p w14:paraId="67049DD1">
      <w:pPr>
        <w:spacing w:line="360" w:lineRule="auto"/>
        <w:ind w:left="0" w:leftChars="0" w:firstLine="480" w:firstLineChars="200"/>
        <w:jc w:val="both"/>
        <w:rPr>
          <w:rFonts w:hint="eastAsia" w:ascii="Times New Roman" w:hAnsi="Times New Roman" w:eastAsia="宋体" w:cs="Times New Roman"/>
          <w:color w:val="auto"/>
          <w:lang w:eastAsia="zh-CN"/>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1478</w:t>
      </w:r>
      <w:r>
        <w:rPr>
          <w:rFonts w:hint="eastAsia" w:ascii="Times New Roman" w:hAnsi="Times New Roman" w:cs="Times New Roman"/>
          <w:color w:val="auto"/>
          <w:highlight w:val="none"/>
          <w:lang w:val="en-US" w:eastAsia="zh-CN"/>
        </w:rPr>
        <w:t>m，远远大于</w:t>
      </w:r>
      <w:r>
        <w:rPr>
          <w:rFonts w:hint="eastAsia" w:ascii="Times New Roman" w:hAnsi="Times New Roman" w:cs="Times New Roman"/>
          <w:color w:val="auto"/>
          <w:highlight w:val="none"/>
        </w:rPr>
        <w:t>COD</w:t>
      </w:r>
      <w:r>
        <w:rPr>
          <w:rFonts w:hint="eastAsia" w:ascii="Times New Roman" w:hAnsi="Times New Roman" w:cs="Times New Roman"/>
          <w:color w:val="auto"/>
          <w:highlight w:val="none"/>
          <w:vertAlign w:val="subscript"/>
        </w:rPr>
        <w:t>Mn</w:t>
      </w:r>
      <w:r>
        <w:rPr>
          <w:rFonts w:hint="eastAsia" w:ascii="Times New Roman" w:hAnsi="Times New Roman" w:cs="Times New Roman"/>
          <w:color w:val="auto"/>
          <w:highlight w:val="none"/>
          <w:lang w:val="en-US" w:eastAsia="zh-CN"/>
        </w:rPr>
        <w:t>在含水层中浓度降低至III类水质标准的最大运移距离，不会对评价范围内地下水环境保护目标处水质产生明显影响</w:t>
      </w:r>
      <w:r>
        <w:rPr>
          <w:rFonts w:hint="eastAsia" w:ascii="Times New Roman" w:hAnsi="Times New Roman" w:cs="Times New Roman"/>
          <w:color w:val="auto"/>
          <w:lang w:val="en-US" w:eastAsia="zh-CN"/>
        </w:rPr>
        <w:t>。</w:t>
      </w:r>
    </w:p>
    <w:p w14:paraId="752EDB69">
      <w:pPr>
        <w:pStyle w:val="7"/>
        <w:keepNext/>
        <w:keepLines/>
        <w:pageBreakBefore w:val="0"/>
        <w:widowControl w:val="0"/>
        <w:kinsoku/>
        <w:wordWrap/>
        <w:overflowPunct/>
        <w:topLinePunct w:val="0"/>
        <w:autoSpaceDE/>
        <w:autoSpaceDN/>
        <w:bidi w:val="0"/>
        <w:adjustRightInd w:val="0"/>
        <w:snapToGrid/>
        <w:spacing w:before="100" w:line="240" w:lineRule="auto"/>
        <w:ind w:left="482"/>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罐区</w:t>
      </w:r>
      <w:r>
        <w:rPr>
          <w:rFonts w:hint="eastAsia" w:ascii="Times New Roman" w:hAnsi="Times New Roman" w:eastAsia="宋体" w:cs="Times New Roman"/>
          <w:color w:val="auto"/>
        </w:rPr>
        <w:t>污染物迁移预测结果</w:t>
      </w:r>
    </w:p>
    <w:p w14:paraId="58A006F8">
      <w:pPr>
        <w:pStyle w:val="7"/>
        <w:bidi w:val="0"/>
        <w:rPr>
          <w:rFonts w:hint="eastAsia" w:ascii="Times New Roman" w:hAnsi="Times New Roman" w:cs="Times New Roman"/>
          <w:color w:val="auto"/>
          <w:lang w:val="en-US" w:eastAsia="zh-CN"/>
        </w:rPr>
      </w:pPr>
      <w:r>
        <w:rPr>
          <w:rFonts w:hint="default" w:ascii="Times New Roman" w:hAnsi="Times New Roman" w:cs="Times New Roman"/>
          <w:color w:val="auto"/>
        </w:rPr>
        <w:t>①</w:t>
      </w:r>
      <w:r>
        <w:rPr>
          <w:rFonts w:hint="eastAsia" w:ascii="Times New Roman" w:hAnsi="Times New Roman" w:cs="Times New Roman"/>
          <w:color w:val="auto"/>
          <w:lang w:val="en-US" w:eastAsia="zh-CN"/>
        </w:rPr>
        <w:t>钠</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7402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9BEFBC6">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86" name="图片 86" descr="钠-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钠-30D"/>
                          <pic:cNvPicPr>
                            <a:picLocks noChangeAspect="1"/>
                          </pic:cNvPicPr>
                        </pic:nvPicPr>
                        <pic:blipFill>
                          <a:blip r:embed="rId121"/>
                          <a:stretch>
                            <a:fillRect/>
                          </a:stretch>
                        </pic:blipFill>
                        <pic:spPr>
                          <a:xfrm>
                            <a:off x="0" y="0"/>
                            <a:ext cx="5259705" cy="2828925"/>
                          </a:xfrm>
                          <a:prstGeom prst="rect">
                            <a:avLst/>
                          </a:prstGeom>
                        </pic:spPr>
                      </pic:pic>
                    </a:graphicData>
                  </a:graphic>
                </wp:inline>
              </w:drawing>
            </w:r>
          </w:p>
        </w:tc>
      </w:tr>
      <w:tr w14:paraId="4F75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7E5A128">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钠迁移30d时污染晕（中心最大浓度为547.082mg/L）</w:t>
            </w:r>
          </w:p>
        </w:tc>
      </w:tr>
      <w:tr w14:paraId="53D96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BF9328C">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87" name="图片 87" descr="钠-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钠-200D"/>
                          <pic:cNvPicPr>
                            <a:picLocks noChangeAspect="1"/>
                          </pic:cNvPicPr>
                        </pic:nvPicPr>
                        <pic:blipFill>
                          <a:blip r:embed="rId122"/>
                          <a:stretch>
                            <a:fillRect/>
                          </a:stretch>
                        </pic:blipFill>
                        <pic:spPr>
                          <a:xfrm>
                            <a:off x="0" y="0"/>
                            <a:ext cx="5259705" cy="2828925"/>
                          </a:xfrm>
                          <a:prstGeom prst="rect">
                            <a:avLst/>
                          </a:prstGeom>
                        </pic:spPr>
                      </pic:pic>
                    </a:graphicData>
                  </a:graphic>
                </wp:inline>
              </w:drawing>
            </w:r>
          </w:p>
        </w:tc>
      </w:tr>
      <w:tr w14:paraId="37599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2BFC21B">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钠迁移365d时污染晕（中心最大浓度为8.508mg/L）</w:t>
            </w:r>
          </w:p>
        </w:tc>
      </w:tr>
      <w:tr w14:paraId="4B50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2284118">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88" name="图片 88" descr="钠-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钠-365D"/>
                          <pic:cNvPicPr>
                            <a:picLocks noChangeAspect="1"/>
                          </pic:cNvPicPr>
                        </pic:nvPicPr>
                        <pic:blipFill>
                          <a:blip r:embed="rId123"/>
                          <a:stretch>
                            <a:fillRect/>
                          </a:stretch>
                        </pic:blipFill>
                        <pic:spPr>
                          <a:xfrm>
                            <a:off x="0" y="0"/>
                            <a:ext cx="5259705" cy="2828925"/>
                          </a:xfrm>
                          <a:prstGeom prst="rect">
                            <a:avLst/>
                          </a:prstGeom>
                        </pic:spPr>
                      </pic:pic>
                    </a:graphicData>
                  </a:graphic>
                </wp:inline>
              </w:drawing>
            </w:r>
          </w:p>
        </w:tc>
      </w:tr>
      <w:tr w14:paraId="7536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64F0ECA">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钠迁移730d时污染晕（中心最大浓度为6.797mg/L）</w:t>
            </w:r>
          </w:p>
        </w:tc>
      </w:tr>
      <w:tr w14:paraId="7C13D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9EFAAD7">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92" name="图片 92" descr="钠-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钠-1000D"/>
                          <pic:cNvPicPr>
                            <a:picLocks noChangeAspect="1"/>
                          </pic:cNvPicPr>
                        </pic:nvPicPr>
                        <pic:blipFill>
                          <a:blip r:embed="rId124"/>
                          <a:stretch>
                            <a:fillRect/>
                          </a:stretch>
                        </pic:blipFill>
                        <pic:spPr>
                          <a:xfrm>
                            <a:off x="0" y="0"/>
                            <a:ext cx="5259705" cy="2828925"/>
                          </a:xfrm>
                          <a:prstGeom prst="rect">
                            <a:avLst/>
                          </a:prstGeom>
                        </pic:spPr>
                      </pic:pic>
                    </a:graphicData>
                  </a:graphic>
                </wp:inline>
              </w:drawing>
            </w:r>
          </w:p>
        </w:tc>
      </w:tr>
      <w:tr w14:paraId="4F50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EC72926">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钠迁移1825d时污染晕（中心最大浓度为1.442mg/L）</w:t>
            </w:r>
          </w:p>
        </w:tc>
      </w:tr>
      <w:tr w14:paraId="4173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709DB7D">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93" name="图片 93" descr="钠-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钠-3650D"/>
                          <pic:cNvPicPr>
                            <a:picLocks noChangeAspect="1"/>
                          </pic:cNvPicPr>
                        </pic:nvPicPr>
                        <pic:blipFill>
                          <a:blip r:embed="rId125"/>
                          <a:stretch>
                            <a:fillRect/>
                          </a:stretch>
                        </pic:blipFill>
                        <pic:spPr>
                          <a:xfrm>
                            <a:off x="0" y="0"/>
                            <a:ext cx="5259705" cy="2828925"/>
                          </a:xfrm>
                          <a:prstGeom prst="rect">
                            <a:avLst/>
                          </a:prstGeom>
                        </pic:spPr>
                      </pic:pic>
                    </a:graphicData>
                  </a:graphic>
                </wp:inline>
              </w:drawing>
            </w:r>
          </w:p>
        </w:tc>
      </w:tr>
      <w:tr w14:paraId="6A26C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C46BFA6">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钠迁移3650d时污染晕（中心最大浓度为0.171mg/L）</w:t>
            </w:r>
          </w:p>
        </w:tc>
      </w:tr>
      <w:tr w14:paraId="62220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DFAF895">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94" name="图片 94" descr="钠-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钠-7300D"/>
                          <pic:cNvPicPr>
                            <a:picLocks noChangeAspect="1"/>
                          </pic:cNvPicPr>
                        </pic:nvPicPr>
                        <pic:blipFill>
                          <a:blip r:embed="rId126"/>
                          <a:stretch>
                            <a:fillRect/>
                          </a:stretch>
                        </pic:blipFill>
                        <pic:spPr>
                          <a:xfrm>
                            <a:off x="0" y="0"/>
                            <a:ext cx="5259705" cy="2828925"/>
                          </a:xfrm>
                          <a:prstGeom prst="rect">
                            <a:avLst/>
                          </a:prstGeom>
                        </pic:spPr>
                      </pic:pic>
                    </a:graphicData>
                  </a:graphic>
                </wp:inline>
              </w:drawing>
            </w:r>
          </w:p>
        </w:tc>
      </w:tr>
      <w:tr w14:paraId="6385A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702C448">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钠迁移7300d时污染晕（中心最大浓度为0.046mg/L）</w:t>
            </w:r>
          </w:p>
        </w:tc>
      </w:tr>
    </w:tbl>
    <w:p w14:paraId="609DA1B2">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非正常状况钠污染迁移图</w:t>
      </w:r>
    </w:p>
    <w:p w14:paraId="5FF96091">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w:t>
      </w:r>
      <w:r>
        <w:rPr>
          <w:rFonts w:hint="eastAsia" w:cs="Times New Roman"/>
          <w:color w:val="auto"/>
          <w:highlight w:val="none"/>
          <w:lang w:val="en-US" w:eastAsia="zh-CN"/>
        </w:rPr>
        <w:t>钠</w:t>
      </w:r>
      <w:r>
        <w:rPr>
          <w:rFonts w:hint="eastAsia" w:ascii="Times New Roman" w:hAnsi="Times New Roman" w:cs="Times New Roman"/>
          <w:color w:val="auto"/>
          <w:highlight w:val="none"/>
        </w:rPr>
        <w:t>最高浓度为547.082mg/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ascii="Times New Roman" w:hAnsi="Times New Roman" w:cs="Times New Roman"/>
          <w:color w:val="auto"/>
          <w:highlight w:val="none"/>
        </w:rPr>
        <w:t>；随后地下水中</w:t>
      </w:r>
      <w:r>
        <w:rPr>
          <w:rFonts w:hint="eastAsia" w:cs="Times New Roman"/>
          <w:color w:val="auto"/>
          <w:highlight w:val="none"/>
          <w:lang w:val="en-US" w:eastAsia="zh-CN"/>
        </w:rPr>
        <w:t>钠</w:t>
      </w:r>
      <w:r>
        <w:rPr>
          <w:rFonts w:hint="eastAsia" w:ascii="Times New Roman" w:hAnsi="Times New Roman" w:cs="Times New Roman"/>
          <w:color w:val="auto"/>
          <w:highlight w:val="none"/>
        </w:rPr>
        <w:t>浓度持续降低，至</w:t>
      </w:r>
      <w:r>
        <w:rPr>
          <w:rFonts w:hint="eastAsia" w:cs="Times New Roman"/>
          <w:color w:val="auto"/>
          <w:highlight w:val="none"/>
          <w:lang w:val="en-US" w:eastAsia="zh-CN"/>
        </w:rPr>
        <w:t>365</w:t>
      </w:r>
      <w:r>
        <w:rPr>
          <w:rFonts w:hint="eastAsia" w:ascii="Times New Roman" w:hAnsi="Times New Roman" w:cs="Times New Roman"/>
          <w:color w:val="auto"/>
          <w:highlight w:val="none"/>
        </w:rPr>
        <w:t>d时，中心最大浓度为8.508</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w:t>
      </w:r>
      <w:r>
        <w:rPr>
          <w:rFonts w:hint="eastAsia" w:cs="Times New Roman"/>
          <w:color w:val="auto"/>
          <w:highlight w:val="none"/>
          <w:lang w:val="en-US" w:eastAsia="zh-CN"/>
        </w:rPr>
        <w:t>钠</w:t>
      </w:r>
      <w:r>
        <w:rPr>
          <w:rFonts w:hint="eastAsia" w:ascii="Times New Roman" w:hAnsi="Times New Roman" w:cs="Times New Roman"/>
          <w:color w:val="auto"/>
          <w:highlight w:val="none"/>
        </w:rPr>
        <w:t>浓度已低于《地下水质量标准》（GB/T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20</w:t>
      </w:r>
      <w:r>
        <w:rPr>
          <w:rFonts w:hint="eastAsia" w:cs="Times New Roman"/>
          <w:color w:val="auto"/>
          <w:highlight w:val="none"/>
          <w:lang w:val="en-US" w:eastAsia="zh-CN"/>
        </w:rPr>
        <w:t>0</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2EE5725E">
      <w:pPr>
        <w:pStyle w:val="26"/>
        <w:bidi w:val="0"/>
        <w:rPr>
          <w:rFonts w:hint="eastAsia"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120</w:t>
      </w:r>
      <w:r>
        <w:rPr>
          <w:rFonts w:ascii="Times New Roman" w:hAnsi="Times New Roman" w:cs="Times New Roman"/>
          <w:color w:val="auto"/>
          <w:highlight w:val="none"/>
        </w:rPr>
        <w:t>d后</w:t>
      </w:r>
      <w:r>
        <w:rPr>
          <w:rFonts w:hint="eastAsia" w:cs="Times New Roman"/>
          <w:color w:val="auto"/>
          <w:highlight w:val="none"/>
          <w:lang w:val="en-US" w:eastAsia="zh-CN"/>
        </w:rPr>
        <w:t>钠</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ascii="Times New Roman" w:hAnsi="Times New Roman" w:cs="Times New Roman"/>
          <w:color w:val="auto"/>
          <w:highlight w:val="none"/>
        </w:rPr>
        <w:t>低于</w:t>
      </w:r>
      <w:r>
        <w:rPr>
          <w:rFonts w:hint="eastAsia" w:ascii="Times New Roman" w:hAnsi="Times New Roman" w:cs="Times New Roman"/>
          <w:color w:val="auto"/>
          <w:highlight w:val="none"/>
        </w:rPr>
        <w:t>《地下水质量标准》（GB/T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20</w:t>
      </w:r>
      <w:r>
        <w:rPr>
          <w:rFonts w:hint="eastAsia" w:cs="Times New Roman"/>
          <w:color w:val="auto"/>
          <w:highlight w:val="none"/>
          <w:lang w:val="en-US" w:eastAsia="zh-CN"/>
        </w:rPr>
        <w:t>0</w:t>
      </w:r>
      <w:r>
        <w:rPr>
          <w:rFonts w:ascii="Times New Roman" w:hAnsi="Times New Roman" w:cs="Times New Roman"/>
          <w:color w:val="auto"/>
          <w:highlight w:val="none"/>
        </w:rPr>
        <w:t>mg/</w:t>
      </w:r>
      <w:r>
        <w:rPr>
          <w:rFonts w:hint="eastAsia" w:ascii="Times New Roman" w:hAnsi="Times New Roman" w:cs="Times New Roman"/>
          <w:color w:val="auto"/>
          <w:highlight w:val="none"/>
          <w:lang w:val="en-US" w:eastAsia="zh-CN"/>
        </w:rPr>
        <w:t>L</w:t>
      </w:r>
      <w:r>
        <w:rPr>
          <w:rFonts w:hint="eastAsia" w:ascii="Times New Roman" w:hAnsi="Times New Roman" w:cs="Times New Roman"/>
          <w:color w:val="auto"/>
          <w:highlight w:val="none"/>
        </w:rPr>
        <w:t>，最大运移距离为</w:t>
      </w:r>
      <w:r>
        <w:rPr>
          <w:rFonts w:hint="eastAsia" w:cs="Times New Roman"/>
          <w:color w:val="auto"/>
          <w:highlight w:val="none"/>
          <w:lang w:val="en-US" w:eastAsia="zh-CN"/>
        </w:rPr>
        <w:t>47.8</w:t>
      </w:r>
      <w:r>
        <w:rPr>
          <w:rFonts w:ascii="Times New Roman" w:hAnsi="Times New Roman" w:cs="Times New Roman"/>
          <w:color w:val="auto"/>
          <w:highlight w:val="none"/>
        </w:rPr>
        <w:t>m。</w:t>
      </w:r>
    </w:p>
    <w:p w14:paraId="0B13C26D">
      <w:pPr>
        <w:pStyle w:val="26"/>
        <w:bidi w:val="0"/>
        <w:rPr>
          <w:rFonts w:hint="eastAsia"/>
          <w:b/>
          <w:bCs/>
          <w:color w:val="auto"/>
          <w:highlight w:val="none"/>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1470</w:t>
      </w:r>
      <w:r>
        <w:rPr>
          <w:rFonts w:hint="eastAsia" w:ascii="Times New Roman" w:hAnsi="Times New Roman" w:cs="Times New Roman"/>
          <w:color w:val="auto"/>
          <w:highlight w:val="none"/>
          <w:lang w:val="en-US" w:eastAsia="zh-CN"/>
        </w:rPr>
        <w:t>m，远远大于</w:t>
      </w:r>
      <w:r>
        <w:rPr>
          <w:rFonts w:hint="eastAsia" w:cs="Times New Roman"/>
          <w:color w:val="auto"/>
          <w:highlight w:val="none"/>
          <w:lang w:val="en-US" w:eastAsia="zh-CN"/>
        </w:rPr>
        <w:t>钠</w:t>
      </w:r>
      <w:r>
        <w:rPr>
          <w:rFonts w:hint="eastAsia" w:ascii="Times New Roman" w:hAnsi="Times New Roman" w:cs="Times New Roman"/>
          <w:color w:val="auto"/>
          <w:highlight w:val="none"/>
          <w:lang w:val="en-US" w:eastAsia="zh-CN"/>
        </w:rPr>
        <w:t>在含水层中浓度降低至III类水质标准的最大运移距离，不会对评价范围内地下水环境保护目标处水质产生明显影响</w:t>
      </w:r>
      <w:r>
        <w:rPr>
          <w:rFonts w:hint="eastAsia" w:ascii="Times New Roman" w:hAnsi="Times New Roman" w:cs="Times New Roman"/>
          <w:color w:val="auto"/>
          <w:lang w:val="en-US" w:eastAsia="zh-CN"/>
        </w:rPr>
        <w:t>。</w:t>
      </w:r>
    </w:p>
    <w:p w14:paraId="4440C590">
      <w:pPr>
        <w:pStyle w:val="7"/>
        <w:bidi w:val="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②</w:t>
      </w:r>
      <w:r>
        <w:rPr>
          <w:rFonts w:hint="eastAsia" w:ascii="Times New Roman" w:hAnsi="Times New Roman" w:eastAsia="宋体" w:cs="Times New Roman"/>
          <w:color w:val="auto"/>
          <w:lang w:val="en-US" w:eastAsia="zh-CN"/>
        </w:rPr>
        <w:t>硫酸根</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3DD1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889364A">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95" name="图片 95" descr="硫酸根-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硫酸根-30D"/>
                          <pic:cNvPicPr>
                            <a:picLocks noChangeAspect="1"/>
                          </pic:cNvPicPr>
                        </pic:nvPicPr>
                        <pic:blipFill>
                          <a:blip r:embed="rId127"/>
                          <a:stretch>
                            <a:fillRect/>
                          </a:stretch>
                        </pic:blipFill>
                        <pic:spPr>
                          <a:xfrm>
                            <a:off x="0" y="0"/>
                            <a:ext cx="5259705" cy="2828925"/>
                          </a:xfrm>
                          <a:prstGeom prst="rect">
                            <a:avLst/>
                          </a:prstGeom>
                        </pic:spPr>
                      </pic:pic>
                    </a:graphicData>
                  </a:graphic>
                </wp:inline>
              </w:drawing>
            </w:r>
          </w:p>
        </w:tc>
      </w:tr>
      <w:tr w14:paraId="27608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4A7A112">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硫酸根迁移30d时污染晕（中心最大浓度为3994.24mg/L）</w:t>
            </w:r>
          </w:p>
        </w:tc>
      </w:tr>
      <w:tr w14:paraId="121A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28F3311">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96" name="图片 96" descr="硫酸根-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硫酸根-200D"/>
                          <pic:cNvPicPr>
                            <a:picLocks noChangeAspect="1"/>
                          </pic:cNvPicPr>
                        </pic:nvPicPr>
                        <pic:blipFill>
                          <a:blip r:embed="rId128"/>
                          <a:stretch>
                            <a:fillRect/>
                          </a:stretch>
                        </pic:blipFill>
                        <pic:spPr>
                          <a:xfrm>
                            <a:off x="0" y="0"/>
                            <a:ext cx="5259705" cy="2828925"/>
                          </a:xfrm>
                          <a:prstGeom prst="rect">
                            <a:avLst/>
                          </a:prstGeom>
                        </pic:spPr>
                      </pic:pic>
                    </a:graphicData>
                  </a:graphic>
                </wp:inline>
              </w:drawing>
            </w:r>
          </w:p>
        </w:tc>
      </w:tr>
      <w:tr w14:paraId="49184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9D6D40E">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硫酸根迁移365d时污染晕（中心最大浓度为80.743mg/L）</w:t>
            </w:r>
          </w:p>
        </w:tc>
      </w:tr>
      <w:tr w14:paraId="6964C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B833384">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97" name="图片 97" descr="硫酸根-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硫酸根-365D"/>
                          <pic:cNvPicPr>
                            <a:picLocks noChangeAspect="1"/>
                          </pic:cNvPicPr>
                        </pic:nvPicPr>
                        <pic:blipFill>
                          <a:blip r:embed="rId129"/>
                          <a:stretch>
                            <a:fillRect/>
                          </a:stretch>
                        </pic:blipFill>
                        <pic:spPr>
                          <a:xfrm>
                            <a:off x="0" y="0"/>
                            <a:ext cx="5259705" cy="2828925"/>
                          </a:xfrm>
                          <a:prstGeom prst="rect">
                            <a:avLst/>
                          </a:prstGeom>
                        </pic:spPr>
                      </pic:pic>
                    </a:graphicData>
                  </a:graphic>
                </wp:inline>
              </w:drawing>
            </w:r>
          </w:p>
        </w:tc>
      </w:tr>
      <w:tr w14:paraId="6A8E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7BBFBF1">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硫酸根迁移730d时污染晕（中心最大浓度为71.251mg/L）</w:t>
            </w:r>
          </w:p>
        </w:tc>
      </w:tr>
      <w:tr w14:paraId="0E62B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34F8B59">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98" name="图片 98" descr="硫酸根-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硫酸根-1000D"/>
                          <pic:cNvPicPr>
                            <a:picLocks noChangeAspect="1"/>
                          </pic:cNvPicPr>
                        </pic:nvPicPr>
                        <pic:blipFill>
                          <a:blip r:embed="rId130"/>
                          <a:stretch>
                            <a:fillRect/>
                          </a:stretch>
                        </pic:blipFill>
                        <pic:spPr>
                          <a:xfrm>
                            <a:off x="0" y="0"/>
                            <a:ext cx="5259705" cy="2828925"/>
                          </a:xfrm>
                          <a:prstGeom prst="rect">
                            <a:avLst/>
                          </a:prstGeom>
                        </pic:spPr>
                      </pic:pic>
                    </a:graphicData>
                  </a:graphic>
                </wp:inline>
              </w:drawing>
            </w:r>
          </w:p>
        </w:tc>
      </w:tr>
      <w:tr w14:paraId="64BCA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E6C6B8E">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硫酸根迁移1825d时污染晕（中心最大浓度为13.827mg/L）</w:t>
            </w:r>
          </w:p>
        </w:tc>
      </w:tr>
      <w:tr w14:paraId="2ECD0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F2A82A2">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99" name="图片 99" descr="硫酸根-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硫酸根-3650D"/>
                          <pic:cNvPicPr>
                            <a:picLocks noChangeAspect="1"/>
                          </pic:cNvPicPr>
                        </pic:nvPicPr>
                        <pic:blipFill>
                          <a:blip r:embed="rId131"/>
                          <a:stretch>
                            <a:fillRect/>
                          </a:stretch>
                        </pic:blipFill>
                        <pic:spPr>
                          <a:xfrm>
                            <a:off x="0" y="0"/>
                            <a:ext cx="5259705" cy="2828925"/>
                          </a:xfrm>
                          <a:prstGeom prst="rect">
                            <a:avLst/>
                          </a:prstGeom>
                        </pic:spPr>
                      </pic:pic>
                    </a:graphicData>
                  </a:graphic>
                </wp:inline>
              </w:drawing>
            </w:r>
          </w:p>
        </w:tc>
      </w:tr>
      <w:tr w14:paraId="12F7F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10D1A6D">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硫酸根迁移3650d时污染晕（中心最大浓度为1.322mg/L）</w:t>
            </w:r>
          </w:p>
        </w:tc>
      </w:tr>
      <w:tr w14:paraId="48B7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B96F236">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00" name="图片 100" descr="硫酸根-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硫酸根-7300D"/>
                          <pic:cNvPicPr>
                            <a:picLocks noChangeAspect="1"/>
                          </pic:cNvPicPr>
                        </pic:nvPicPr>
                        <pic:blipFill>
                          <a:blip r:embed="rId132"/>
                          <a:stretch>
                            <a:fillRect/>
                          </a:stretch>
                        </pic:blipFill>
                        <pic:spPr>
                          <a:xfrm>
                            <a:off x="0" y="0"/>
                            <a:ext cx="5259705" cy="2828925"/>
                          </a:xfrm>
                          <a:prstGeom prst="rect">
                            <a:avLst/>
                          </a:prstGeom>
                        </pic:spPr>
                      </pic:pic>
                    </a:graphicData>
                  </a:graphic>
                </wp:inline>
              </w:drawing>
            </w:r>
          </w:p>
        </w:tc>
      </w:tr>
      <w:tr w14:paraId="29BA7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2227017">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硫酸根迁移7300d时污染晕（中心最大浓度为0.356mg/L）</w:t>
            </w:r>
          </w:p>
        </w:tc>
      </w:tr>
    </w:tbl>
    <w:p w14:paraId="5B2B078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非正常状况硫酸根染迁移图</w:t>
      </w:r>
    </w:p>
    <w:p w14:paraId="032218C5">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后，由于该区域水头差较小，污染物运移距离有限，地下水中硫酸根最高浓度为3994.24</w:t>
      </w:r>
      <w:r>
        <w:rPr>
          <w:rFonts w:ascii="Times New Roman" w:hAnsi="Times New Roman" w:cs="Times New Roman"/>
          <w:color w:val="auto"/>
          <w:highlight w:val="none"/>
        </w:rPr>
        <w:t>mg/L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ascii="Times New Roman" w:hAnsi="Times New Roman" w:cs="Times New Roman"/>
          <w:color w:val="auto"/>
          <w:highlight w:val="none"/>
        </w:rPr>
        <w:t>；随后地下水中硫酸根浓度持续降低，至365d时，中心最大浓度为</w:t>
      </w:r>
      <w:r>
        <w:rPr>
          <w:rFonts w:hint="eastAsia" w:cs="Times New Roman"/>
          <w:color w:val="auto"/>
          <w:highlight w:val="none"/>
          <w:lang w:val="en-US" w:eastAsia="zh-CN"/>
        </w:rPr>
        <w:t>80.743</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，此时地下水硫酸根浓度已低于《地下水质量标准》（GB/T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250</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26E795C6">
      <w:pPr>
        <w:pStyle w:val="26"/>
        <w:bidi w:val="0"/>
        <w:rPr>
          <w:rFonts w:hint="eastAsia"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210</w:t>
      </w:r>
      <w:r>
        <w:rPr>
          <w:rFonts w:ascii="Times New Roman" w:hAnsi="Times New Roman" w:cs="Times New Roman"/>
          <w:color w:val="auto"/>
          <w:highlight w:val="none"/>
        </w:rPr>
        <w:t>d后</w:t>
      </w:r>
      <w:r>
        <w:rPr>
          <w:rFonts w:hint="eastAsia" w:ascii="Times New Roman" w:hAnsi="Times New Roman" w:cs="Times New Roman"/>
          <w:color w:val="auto"/>
          <w:highlight w:val="none"/>
        </w:rPr>
        <w:t>硫酸根</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ascii="Times New Roman" w:hAnsi="Times New Roman" w:cs="Times New Roman"/>
          <w:color w:val="auto"/>
          <w:highlight w:val="none"/>
        </w:rPr>
        <w:t>低于</w:t>
      </w:r>
      <w:r>
        <w:rPr>
          <w:rFonts w:hint="eastAsia" w:ascii="Times New Roman" w:hAnsi="Times New Roman" w:cs="Times New Roman"/>
          <w:color w:val="auto"/>
          <w:highlight w:val="none"/>
        </w:rPr>
        <w:t>《地下水质量标准》（GB/T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250</w:t>
      </w:r>
      <w:r>
        <w:rPr>
          <w:rFonts w:ascii="Times New Roman" w:hAnsi="Times New Roman" w:cs="Times New Roman"/>
          <w:color w:val="auto"/>
          <w:highlight w:val="none"/>
        </w:rPr>
        <w:t>mg/</w:t>
      </w:r>
      <w:r>
        <w:rPr>
          <w:rFonts w:hint="eastAsia" w:ascii="Times New Roman" w:hAnsi="Times New Roman" w:cs="Times New Roman"/>
          <w:color w:val="auto"/>
          <w:highlight w:val="none"/>
          <w:lang w:val="en-US" w:eastAsia="zh-CN"/>
        </w:rPr>
        <w:t>L</w:t>
      </w:r>
      <w:r>
        <w:rPr>
          <w:rFonts w:hint="eastAsia" w:ascii="Times New Roman" w:hAnsi="Times New Roman" w:cs="Times New Roman"/>
          <w:color w:val="auto"/>
          <w:highlight w:val="none"/>
        </w:rPr>
        <w:t>，最大运移距离为</w:t>
      </w:r>
      <w:r>
        <w:rPr>
          <w:rFonts w:hint="eastAsia" w:cs="Times New Roman"/>
          <w:color w:val="auto"/>
          <w:highlight w:val="none"/>
          <w:lang w:val="en-US" w:eastAsia="zh-CN"/>
        </w:rPr>
        <w:t>67.8</w:t>
      </w:r>
      <w:r>
        <w:rPr>
          <w:rFonts w:ascii="Times New Roman" w:hAnsi="Times New Roman" w:cs="Times New Roman"/>
          <w:color w:val="auto"/>
          <w:highlight w:val="none"/>
        </w:rPr>
        <w:t>m。</w:t>
      </w:r>
    </w:p>
    <w:p w14:paraId="503F0A24">
      <w:pPr>
        <w:pStyle w:val="26"/>
        <w:bidi w:val="0"/>
        <w:rPr>
          <w:rFonts w:hint="eastAsia" w:ascii="Times New Roman" w:hAnsi="Times New Roman" w:cs="Times New Roman"/>
          <w:color w:val="auto"/>
          <w:lang w:val="en-US" w:eastAsia="zh-CN"/>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1480</w:t>
      </w:r>
      <w:r>
        <w:rPr>
          <w:rFonts w:hint="eastAsia" w:ascii="Times New Roman" w:hAnsi="Times New Roman" w:cs="Times New Roman"/>
          <w:color w:val="auto"/>
          <w:highlight w:val="none"/>
          <w:lang w:val="en-US" w:eastAsia="zh-CN"/>
        </w:rPr>
        <w:t>m，远远大于硫酸根在含水层中浓度降低至III类水质标准的最大运移距离，不会对评价范围内地下水环境保护目标处水质产生明显影响</w:t>
      </w:r>
      <w:r>
        <w:rPr>
          <w:rFonts w:hint="eastAsia" w:ascii="Times New Roman" w:hAnsi="Times New Roman" w:cs="Times New Roman"/>
          <w:color w:val="auto"/>
          <w:lang w:val="en-US" w:eastAsia="zh-CN"/>
        </w:rPr>
        <w:t>。</w:t>
      </w:r>
    </w:p>
    <w:p w14:paraId="7D98056F">
      <w:pPr>
        <w:pStyle w:val="7"/>
        <w:bidi w:val="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③</w:t>
      </w:r>
      <w:r>
        <w:rPr>
          <w:rFonts w:hint="eastAsia" w:ascii="Times New Roman" w:hAnsi="Times New Roman" w:eastAsia="宋体" w:cs="Times New Roman"/>
          <w:color w:val="auto"/>
          <w:lang w:val="en-US" w:eastAsia="zh-CN"/>
        </w:rPr>
        <w:t>氟化物</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13B5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578B7B6">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101" name="图片 101" descr="氟化物-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氟化物-30D"/>
                          <pic:cNvPicPr>
                            <a:picLocks noChangeAspect="1"/>
                          </pic:cNvPicPr>
                        </pic:nvPicPr>
                        <pic:blipFill>
                          <a:blip r:embed="rId133"/>
                          <a:stretch>
                            <a:fillRect/>
                          </a:stretch>
                        </pic:blipFill>
                        <pic:spPr>
                          <a:xfrm>
                            <a:off x="0" y="0"/>
                            <a:ext cx="5259705" cy="2828925"/>
                          </a:xfrm>
                          <a:prstGeom prst="rect">
                            <a:avLst/>
                          </a:prstGeom>
                        </pic:spPr>
                      </pic:pic>
                    </a:graphicData>
                  </a:graphic>
                </wp:inline>
              </w:drawing>
            </w:r>
          </w:p>
        </w:tc>
      </w:tr>
      <w:tr w14:paraId="20D77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BCD4C9D">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氟化物迁移30d时污染晕（中心最大浓度为752.217mg/L）</w:t>
            </w:r>
          </w:p>
        </w:tc>
      </w:tr>
      <w:tr w14:paraId="36C8F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EF80910">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102" name="图片 102" descr="氟化物-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氟化物-200D"/>
                          <pic:cNvPicPr>
                            <a:picLocks noChangeAspect="1"/>
                          </pic:cNvPicPr>
                        </pic:nvPicPr>
                        <pic:blipFill>
                          <a:blip r:embed="rId134"/>
                          <a:stretch>
                            <a:fillRect/>
                          </a:stretch>
                        </pic:blipFill>
                        <pic:spPr>
                          <a:xfrm>
                            <a:off x="0" y="0"/>
                            <a:ext cx="5259705" cy="2828925"/>
                          </a:xfrm>
                          <a:prstGeom prst="rect">
                            <a:avLst/>
                          </a:prstGeom>
                        </pic:spPr>
                      </pic:pic>
                    </a:graphicData>
                  </a:graphic>
                </wp:inline>
              </w:drawing>
            </w:r>
          </w:p>
        </w:tc>
      </w:tr>
      <w:tr w14:paraId="7194A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2E9BB3F">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氟化物迁移365d时污染晕（中心最大浓度为13.002mg/L）</w:t>
            </w:r>
          </w:p>
        </w:tc>
      </w:tr>
      <w:tr w14:paraId="49051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EDDB2AD">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03" name="图片 103" descr="氟化物-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氟化物-365D"/>
                          <pic:cNvPicPr>
                            <a:picLocks noChangeAspect="1"/>
                          </pic:cNvPicPr>
                        </pic:nvPicPr>
                        <pic:blipFill>
                          <a:blip r:embed="rId135"/>
                          <a:stretch>
                            <a:fillRect/>
                          </a:stretch>
                        </pic:blipFill>
                        <pic:spPr>
                          <a:xfrm>
                            <a:off x="0" y="0"/>
                            <a:ext cx="5259705" cy="2828925"/>
                          </a:xfrm>
                          <a:prstGeom prst="rect">
                            <a:avLst/>
                          </a:prstGeom>
                        </pic:spPr>
                      </pic:pic>
                    </a:graphicData>
                  </a:graphic>
                </wp:inline>
              </w:drawing>
            </w:r>
          </w:p>
        </w:tc>
      </w:tr>
      <w:tr w14:paraId="22D85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9350030">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氟化物迁移730d时污染晕（中心最大浓度为10.123mg/L）</w:t>
            </w:r>
          </w:p>
        </w:tc>
      </w:tr>
      <w:tr w14:paraId="4AA7F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AFB8969">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04" name="图片 104" descr="氟化物-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氟化物-1000D"/>
                          <pic:cNvPicPr>
                            <a:picLocks noChangeAspect="1"/>
                          </pic:cNvPicPr>
                        </pic:nvPicPr>
                        <pic:blipFill>
                          <a:blip r:embed="rId136"/>
                          <a:stretch>
                            <a:fillRect/>
                          </a:stretch>
                        </pic:blipFill>
                        <pic:spPr>
                          <a:xfrm>
                            <a:off x="0" y="0"/>
                            <a:ext cx="5259705" cy="2828925"/>
                          </a:xfrm>
                          <a:prstGeom prst="rect">
                            <a:avLst/>
                          </a:prstGeom>
                        </pic:spPr>
                      </pic:pic>
                    </a:graphicData>
                  </a:graphic>
                </wp:inline>
              </w:drawing>
            </w:r>
          </w:p>
        </w:tc>
      </w:tr>
      <w:tr w14:paraId="20ABA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D777EA8">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氟化物迁移1825d时污染晕（中心最大浓度为2.215mg/L）</w:t>
            </w:r>
          </w:p>
        </w:tc>
      </w:tr>
      <w:tr w14:paraId="15F42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A18E485">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05" name="图片 105" descr="氟化物-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氟化物-3650D"/>
                          <pic:cNvPicPr>
                            <a:picLocks noChangeAspect="1"/>
                          </pic:cNvPicPr>
                        </pic:nvPicPr>
                        <pic:blipFill>
                          <a:blip r:embed="rId137"/>
                          <a:stretch>
                            <a:fillRect/>
                          </a:stretch>
                        </pic:blipFill>
                        <pic:spPr>
                          <a:xfrm>
                            <a:off x="0" y="0"/>
                            <a:ext cx="5259705" cy="2828925"/>
                          </a:xfrm>
                          <a:prstGeom prst="rect">
                            <a:avLst/>
                          </a:prstGeom>
                        </pic:spPr>
                      </pic:pic>
                    </a:graphicData>
                  </a:graphic>
                </wp:inline>
              </w:drawing>
            </w:r>
          </w:p>
        </w:tc>
      </w:tr>
      <w:tr w14:paraId="42868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18F4C76">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氟化物迁移3650d时污染晕（中心最大浓度为0.246mg/L）</w:t>
            </w:r>
          </w:p>
        </w:tc>
      </w:tr>
      <w:tr w14:paraId="3FCE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C94055F">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06" name="图片 106" descr="氟化物-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氟化物-7300D"/>
                          <pic:cNvPicPr>
                            <a:picLocks noChangeAspect="1"/>
                          </pic:cNvPicPr>
                        </pic:nvPicPr>
                        <pic:blipFill>
                          <a:blip r:embed="rId138"/>
                          <a:stretch>
                            <a:fillRect/>
                          </a:stretch>
                        </pic:blipFill>
                        <pic:spPr>
                          <a:xfrm>
                            <a:off x="0" y="0"/>
                            <a:ext cx="5259705" cy="2828925"/>
                          </a:xfrm>
                          <a:prstGeom prst="rect">
                            <a:avLst/>
                          </a:prstGeom>
                        </pic:spPr>
                      </pic:pic>
                    </a:graphicData>
                  </a:graphic>
                </wp:inline>
              </w:drawing>
            </w:r>
          </w:p>
        </w:tc>
      </w:tr>
      <w:tr w14:paraId="0C1D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2CE0D9B">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氟化物迁移7300d时污染晕（中心最大浓度为0.066mg/L）</w:t>
            </w:r>
          </w:p>
        </w:tc>
      </w:tr>
    </w:tbl>
    <w:p w14:paraId="4B33A048">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非正常状况氟化物污染迁移图</w:t>
      </w:r>
    </w:p>
    <w:p w14:paraId="7B8750B2">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后，由于该区域水头差较小，污染物运移距离有限，地下水中氟化物最高浓度为752.217mg/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ascii="Times New Roman" w:hAnsi="Times New Roman" w:cs="Times New Roman"/>
          <w:color w:val="auto"/>
          <w:highlight w:val="none"/>
        </w:rPr>
        <w:t>；随后地下水中氟化物浓度持续降低，至</w:t>
      </w:r>
      <w:r>
        <w:rPr>
          <w:rFonts w:hint="eastAsia" w:cs="Times New Roman"/>
          <w:color w:val="auto"/>
          <w:highlight w:val="none"/>
          <w:lang w:val="en-US" w:eastAsia="zh-CN"/>
        </w:rPr>
        <w:t>3650</w:t>
      </w:r>
      <w:r>
        <w:rPr>
          <w:rFonts w:hint="eastAsia" w:ascii="Times New Roman" w:hAnsi="Times New Roman" w:cs="Times New Roman"/>
          <w:color w:val="auto"/>
          <w:highlight w:val="none"/>
        </w:rPr>
        <w:t>d时，中心最大浓度为0.246</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，此时地下水氟化物浓度低于《地下水质量标准》（GB/T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物≤1</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22B3D25D">
      <w:pPr>
        <w:pStyle w:val="26"/>
        <w:bidi w:val="0"/>
        <w:rPr>
          <w:rFonts w:hint="eastAsia"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1970</w:t>
      </w:r>
      <w:r>
        <w:rPr>
          <w:rFonts w:ascii="Times New Roman" w:hAnsi="Times New Roman" w:cs="Times New Roman"/>
          <w:color w:val="auto"/>
          <w:highlight w:val="none"/>
        </w:rPr>
        <w:t>d后</w:t>
      </w:r>
      <w:r>
        <w:rPr>
          <w:rFonts w:hint="eastAsia" w:ascii="Times New Roman" w:hAnsi="Times New Roman" w:cs="Times New Roman"/>
          <w:color w:val="auto"/>
          <w:highlight w:val="none"/>
        </w:rPr>
        <w:t>氟化物</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hint="eastAsia" w:ascii="Times New Roman" w:hAnsi="Times New Roman" w:cs="Times New Roman"/>
          <w:color w:val="auto"/>
          <w:highlight w:val="none"/>
        </w:rPr>
        <w:t>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≤1</w:t>
      </w:r>
      <w:r>
        <w:rPr>
          <w:rFonts w:ascii="Times New Roman" w:hAnsi="Times New Roman" w:cs="Times New Roman"/>
          <w:color w:val="auto"/>
          <w:highlight w:val="none"/>
        </w:rPr>
        <w:t>mg/</w:t>
      </w:r>
      <w:r>
        <w:rPr>
          <w:rFonts w:hint="eastAsia" w:ascii="Times New Roman" w:hAnsi="Times New Roman" w:cs="Times New Roman"/>
          <w:color w:val="auto"/>
          <w:highlight w:val="none"/>
          <w:lang w:val="en-US" w:eastAsia="zh-CN"/>
        </w:rPr>
        <w:t>L，</w:t>
      </w:r>
      <w:r>
        <w:rPr>
          <w:rFonts w:hint="eastAsia" w:ascii="Times New Roman" w:hAnsi="Times New Roman" w:cs="Times New Roman"/>
          <w:color w:val="auto"/>
          <w:highlight w:val="none"/>
        </w:rPr>
        <w:t>最大运移距离为</w:t>
      </w:r>
      <w:r>
        <w:rPr>
          <w:rFonts w:hint="eastAsia" w:cs="Times New Roman"/>
          <w:color w:val="auto"/>
          <w:highlight w:val="none"/>
          <w:lang w:val="en-US" w:eastAsia="zh-CN"/>
        </w:rPr>
        <w:t>97.6</w:t>
      </w:r>
      <w:r>
        <w:rPr>
          <w:rFonts w:hint="eastAsia" w:ascii="Times New Roman" w:hAnsi="Times New Roman" w:cs="Times New Roman"/>
          <w:color w:val="auto"/>
          <w:highlight w:val="none"/>
        </w:rPr>
        <w:t>m</w:t>
      </w:r>
      <w:r>
        <w:rPr>
          <w:rFonts w:ascii="Times New Roman" w:hAnsi="Times New Roman" w:cs="Times New Roman"/>
          <w:color w:val="auto"/>
          <w:highlight w:val="none"/>
        </w:rPr>
        <w:t>。</w:t>
      </w:r>
    </w:p>
    <w:p w14:paraId="2D46ACAB">
      <w:pPr>
        <w:pStyle w:val="26"/>
        <w:bidi w:val="0"/>
        <w:rPr>
          <w:rFonts w:hint="eastAsia" w:ascii="Times New Roman" w:hAnsi="Times New Roman" w:cs="Times New Roman"/>
          <w:color w:val="auto"/>
          <w:lang w:val="en-US" w:eastAsia="zh-CN"/>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1468</w:t>
      </w:r>
      <w:r>
        <w:rPr>
          <w:rFonts w:hint="eastAsia" w:ascii="Times New Roman" w:hAnsi="Times New Roman" w:cs="Times New Roman"/>
          <w:color w:val="auto"/>
          <w:highlight w:val="none"/>
          <w:lang w:val="en-US" w:eastAsia="zh-CN"/>
        </w:rPr>
        <w:t>m，远远大于氟化物在含水层中浓度降低至III类水质标准的最大运移距离，不会对评价范围内地下水环境保护目标处水质产生明显影响</w:t>
      </w:r>
      <w:r>
        <w:rPr>
          <w:rFonts w:hint="eastAsia" w:ascii="Times New Roman" w:hAnsi="Times New Roman" w:cs="Times New Roman"/>
          <w:color w:val="auto"/>
          <w:lang w:val="en-US" w:eastAsia="zh-CN"/>
        </w:rPr>
        <w:t>。</w:t>
      </w:r>
    </w:p>
    <w:p w14:paraId="7939BD5A">
      <w:pPr>
        <w:pStyle w:val="7"/>
        <w:bidi w:val="0"/>
        <w:rPr>
          <w:rFonts w:hint="default" w:ascii="Times New Roman" w:hAnsi="Times New Roman" w:eastAsia="宋体" w:cs="Times New Roman"/>
          <w:color w:val="auto"/>
          <w:vertAlign w:val="subscript"/>
        </w:rPr>
      </w:pPr>
      <w:r>
        <w:rPr>
          <w:rFonts w:hint="default" w:ascii="Times New Roman" w:hAnsi="Times New Roman" w:eastAsia="宋体" w:cs="Times New Roman"/>
          <w:color w:val="auto"/>
        </w:rPr>
        <w:t>④COD</w:t>
      </w:r>
      <w:r>
        <w:rPr>
          <w:rFonts w:hint="default" w:ascii="Times New Roman" w:hAnsi="Times New Roman" w:eastAsia="宋体" w:cs="Times New Roman"/>
          <w:color w:val="auto"/>
          <w:vertAlign w:val="subscript"/>
        </w:rPr>
        <w:t>Mn</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43F59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80BA6FC">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08905" cy="2704465"/>
                  <wp:effectExtent l="0" t="0" r="10795" b="635"/>
                  <wp:docPr id="107" name="图片 107" descr="COD-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COD-30D"/>
                          <pic:cNvPicPr>
                            <a:picLocks noChangeAspect="1"/>
                          </pic:cNvPicPr>
                        </pic:nvPicPr>
                        <pic:blipFill>
                          <a:blip r:embed="rId139"/>
                          <a:stretch>
                            <a:fillRect/>
                          </a:stretch>
                        </pic:blipFill>
                        <pic:spPr>
                          <a:xfrm>
                            <a:off x="0" y="0"/>
                            <a:ext cx="5208905" cy="2704465"/>
                          </a:xfrm>
                          <a:prstGeom prst="rect">
                            <a:avLst/>
                          </a:prstGeom>
                        </pic:spPr>
                      </pic:pic>
                    </a:graphicData>
                  </a:graphic>
                </wp:inline>
              </w:drawing>
            </w:r>
          </w:p>
        </w:tc>
      </w:tr>
      <w:tr w14:paraId="6BB81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F05E59F">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迁移30d时污染晕（中心最大浓度为3887.350mg/L）</w:t>
            </w:r>
          </w:p>
        </w:tc>
      </w:tr>
      <w:tr w14:paraId="1559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0FD5644">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08905" cy="2704465"/>
                  <wp:effectExtent l="0" t="0" r="10795" b="635"/>
                  <wp:docPr id="108" name="图片 108" descr="COD-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COD-200D"/>
                          <pic:cNvPicPr>
                            <a:picLocks noChangeAspect="1"/>
                          </pic:cNvPicPr>
                        </pic:nvPicPr>
                        <pic:blipFill>
                          <a:blip r:embed="rId140"/>
                          <a:stretch>
                            <a:fillRect/>
                          </a:stretch>
                        </pic:blipFill>
                        <pic:spPr>
                          <a:xfrm>
                            <a:off x="0" y="0"/>
                            <a:ext cx="5208905" cy="2704465"/>
                          </a:xfrm>
                          <a:prstGeom prst="rect">
                            <a:avLst/>
                          </a:prstGeom>
                        </pic:spPr>
                      </pic:pic>
                    </a:graphicData>
                  </a:graphic>
                </wp:inline>
              </w:drawing>
            </w:r>
          </w:p>
        </w:tc>
      </w:tr>
      <w:tr w14:paraId="2A053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212F0E1">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迁移365d时污染晕（中心最大浓度为54.504mg/L）</w:t>
            </w:r>
          </w:p>
        </w:tc>
      </w:tr>
      <w:tr w14:paraId="1139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38A1237">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109" name="图片 109" descr="COD-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COD-365D"/>
                          <pic:cNvPicPr>
                            <a:picLocks noChangeAspect="1"/>
                          </pic:cNvPicPr>
                        </pic:nvPicPr>
                        <pic:blipFill>
                          <a:blip r:embed="rId141"/>
                          <a:stretch>
                            <a:fillRect/>
                          </a:stretch>
                        </pic:blipFill>
                        <pic:spPr>
                          <a:xfrm>
                            <a:off x="0" y="0"/>
                            <a:ext cx="5208905" cy="2704465"/>
                          </a:xfrm>
                          <a:prstGeom prst="rect">
                            <a:avLst/>
                          </a:prstGeom>
                        </pic:spPr>
                      </pic:pic>
                    </a:graphicData>
                  </a:graphic>
                </wp:inline>
              </w:drawing>
            </w:r>
          </w:p>
        </w:tc>
      </w:tr>
      <w:tr w14:paraId="4626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2AFA847">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迁移730d时污染晕（中心最大浓度为104.614mg/L）</w:t>
            </w:r>
          </w:p>
        </w:tc>
      </w:tr>
      <w:tr w14:paraId="3A56E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4768402">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110" name="图片 110" descr="COD-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COD-1000D"/>
                          <pic:cNvPicPr>
                            <a:picLocks noChangeAspect="1"/>
                          </pic:cNvPicPr>
                        </pic:nvPicPr>
                        <pic:blipFill>
                          <a:blip r:embed="rId142"/>
                          <a:stretch>
                            <a:fillRect/>
                          </a:stretch>
                        </pic:blipFill>
                        <pic:spPr>
                          <a:xfrm>
                            <a:off x="0" y="0"/>
                            <a:ext cx="5208905" cy="2704465"/>
                          </a:xfrm>
                          <a:prstGeom prst="rect">
                            <a:avLst/>
                          </a:prstGeom>
                        </pic:spPr>
                      </pic:pic>
                    </a:graphicData>
                  </a:graphic>
                </wp:inline>
              </w:drawing>
            </w:r>
          </w:p>
        </w:tc>
      </w:tr>
      <w:tr w14:paraId="64BA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C56535E">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迁移1825d时污染晕（中心最大浓度为11.054mg/L）</w:t>
            </w:r>
          </w:p>
        </w:tc>
      </w:tr>
      <w:tr w14:paraId="5F4A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6742A3F">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111" name="图片 111" descr="COD-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COD-3650D"/>
                          <pic:cNvPicPr>
                            <a:picLocks noChangeAspect="1"/>
                          </pic:cNvPicPr>
                        </pic:nvPicPr>
                        <pic:blipFill>
                          <a:blip r:embed="rId143"/>
                          <a:stretch>
                            <a:fillRect/>
                          </a:stretch>
                        </pic:blipFill>
                        <pic:spPr>
                          <a:xfrm>
                            <a:off x="0" y="0"/>
                            <a:ext cx="5208905" cy="2704465"/>
                          </a:xfrm>
                          <a:prstGeom prst="rect">
                            <a:avLst/>
                          </a:prstGeom>
                        </pic:spPr>
                      </pic:pic>
                    </a:graphicData>
                  </a:graphic>
                </wp:inline>
              </w:drawing>
            </w:r>
          </w:p>
        </w:tc>
      </w:tr>
      <w:tr w14:paraId="2F93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AC0B877">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迁移3650d时污染晕（中心最大浓度为1.039mg/L）</w:t>
            </w:r>
          </w:p>
        </w:tc>
      </w:tr>
      <w:tr w14:paraId="644B8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A9DFFC6">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08905" cy="2704465"/>
                  <wp:effectExtent l="0" t="0" r="10795" b="635"/>
                  <wp:docPr id="112" name="图片 112" descr="COD-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COD-7300D"/>
                          <pic:cNvPicPr>
                            <a:picLocks noChangeAspect="1"/>
                          </pic:cNvPicPr>
                        </pic:nvPicPr>
                        <pic:blipFill>
                          <a:blip r:embed="rId144"/>
                          <a:stretch>
                            <a:fillRect/>
                          </a:stretch>
                        </pic:blipFill>
                        <pic:spPr>
                          <a:xfrm>
                            <a:off x="0" y="0"/>
                            <a:ext cx="5208905" cy="2704465"/>
                          </a:xfrm>
                          <a:prstGeom prst="rect">
                            <a:avLst/>
                          </a:prstGeom>
                        </pic:spPr>
                      </pic:pic>
                    </a:graphicData>
                  </a:graphic>
                </wp:inline>
              </w:drawing>
            </w:r>
          </w:p>
        </w:tc>
      </w:tr>
      <w:tr w14:paraId="24919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2D4A43D">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COD</w:t>
            </w:r>
            <w:r>
              <w:rPr>
                <w:rFonts w:hint="eastAsia" w:eastAsia="黑体" w:cs="Times New Roman"/>
                <w:color w:val="auto"/>
                <w:sz w:val="21"/>
                <w:szCs w:val="21"/>
                <w:highlight w:val="none"/>
                <w:vertAlign w:val="subscript"/>
                <w:lang w:val="en-US" w:eastAsia="zh-CN"/>
              </w:rPr>
              <w:t>Mn</w:t>
            </w:r>
            <w:r>
              <w:rPr>
                <w:rFonts w:hint="eastAsia" w:eastAsia="黑体" w:cs="Times New Roman"/>
                <w:color w:val="auto"/>
                <w:sz w:val="21"/>
                <w:szCs w:val="21"/>
                <w:highlight w:val="none"/>
                <w:lang w:val="en-US" w:eastAsia="zh-CN"/>
              </w:rPr>
              <w:t>迁移7300d时污染晕（中心最大浓度为0.279mg/L）</w:t>
            </w:r>
          </w:p>
        </w:tc>
      </w:tr>
    </w:tbl>
    <w:p w14:paraId="11B5664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非正常状况COD</w:t>
      </w:r>
      <w:r>
        <w:rPr>
          <w:rFonts w:hint="eastAsia" w:ascii="Times New Roman" w:hAnsi="Times New Roman" w:eastAsia="黑体" w:cs="Times New Roman"/>
          <w:color w:val="auto"/>
          <w:sz w:val="21"/>
          <w:szCs w:val="21"/>
          <w:highlight w:val="none"/>
          <w:vertAlign w:val="subscript"/>
          <w:lang w:val="en-US" w:eastAsia="zh-CN"/>
        </w:rPr>
        <w:t>Mn</w:t>
      </w:r>
      <w:r>
        <w:rPr>
          <w:rFonts w:hint="eastAsia" w:ascii="Times New Roman" w:hAnsi="Times New Roman" w:eastAsia="黑体" w:cs="Times New Roman"/>
          <w:color w:val="auto"/>
          <w:sz w:val="21"/>
          <w:szCs w:val="21"/>
          <w:highlight w:val="none"/>
          <w:lang w:val="en-US" w:eastAsia="zh-CN"/>
        </w:rPr>
        <w:t>污染迁移图</w:t>
      </w:r>
    </w:p>
    <w:p w14:paraId="0B302F22">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后，由于该区域水头差较小，污染物运移距离有限，地下水中COD</w:t>
      </w:r>
      <w:r>
        <w:rPr>
          <w:rFonts w:hint="eastAsia" w:eastAsia="黑体" w:cs="Times New Roman"/>
          <w:color w:val="auto"/>
          <w:sz w:val="21"/>
          <w:szCs w:val="21"/>
          <w:highlight w:val="none"/>
          <w:vertAlign w:val="subscript"/>
          <w:lang w:val="en-US" w:eastAsia="zh-CN"/>
        </w:rPr>
        <w:t>Mn</w:t>
      </w:r>
      <w:r>
        <w:rPr>
          <w:rFonts w:hint="eastAsia" w:ascii="Times New Roman" w:hAnsi="Times New Roman" w:cs="Times New Roman"/>
          <w:color w:val="auto"/>
          <w:highlight w:val="none"/>
        </w:rPr>
        <w:t>最高浓度为3887.350mg/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ascii="Times New Roman" w:hAnsi="Times New Roman" w:cs="Times New Roman"/>
          <w:color w:val="auto"/>
          <w:highlight w:val="none"/>
        </w:rPr>
        <w:t>；随后地下水中COD</w:t>
      </w:r>
      <w:r>
        <w:rPr>
          <w:rFonts w:hint="eastAsia" w:eastAsia="黑体" w:cs="Times New Roman"/>
          <w:color w:val="auto"/>
          <w:sz w:val="21"/>
          <w:szCs w:val="21"/>
          <w:highlight w:val="none"/>
          <w:vertAlign w:val="subscript"/>
          <w:lang w:val="en-US" w:eastAsia="zh-CN"/>
        </w:rPr>
        <w:t>Mn</w:t>
      </w:r>
      <w:r>
        <w:rPr>
          <w:rFonts w:hint="eastAsia" w:ascii="Times New Roman" w:hAnsi="Times New Roman" w:cs="Times New Roman"/>
          <w:color w:val="auto"/>
          <w:highlight w:val="none"/>
        </w:rPr>
        <w:t>浓度持续降低，至</w:t>
      </w:r>
      <w:r>
        <w:rPr>
          <w:rFonts w:hint="eastAsia" w:cs="Times New Roman"/>
          <w:color w:val="auto"/>
          <w:highlight w:val="none"/>
          <w:lang w:val="en-US" w:eastAsia="zh-CN"/>
        </w:rPr>
        <w:t>3650</w:t>
      </w:r>
      <w:r>
        <w:rPr>
          <w:rFonts w:ascii="Times New Roman" w:hAnsi="Times New Roman" w:cs="Times New Roman"/>
          <w:color w:val="auto"/>
          <w:highlight w:val="none"/>
        </w:rPr>
        <w:t>d</w:t>
      </w:r>
      <w:r>
        <w:rPr>
          <w:rFonts w:hint="eastAsia" w:ascii="Times New Roman" w:hAnsi="Times New Roman" w:cs="Times New Roman"/>
          <w:color w:val="auto"/>
          <w:highlight w:val="none"/>
        </w:rPr>
        <w:t>时，中心最大浓度为1.039</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，此时地下水COD</w:t>
      </w:r>
      <w:r>
        <w:rPr>
          <w:rFonts w:hint="eastAsia" w:eastAsia="黑体" w:cs="Times New Roman"/>
          <w:color w:val="auto"/>
          <w:sz w:val="21"/>
          <w:szCs w:val="21"/>
          <w:highlight w:val="none"/>
          <w:vertAlign w:val="subscript"/>
          <w:lang w:val="en-US" w:eastAsia="zh-CN"/>
        </w:rPr>
        <w:t>Mn</w:t>
      </w:r>
      <w:r>
        <w:rPr>
          <w:rFonts w:hint="eastAsia" w:ascii="Times New Roman" w:hAnsi="Times New Roman" w:cs="Times New Roman"/>
          <w:color w:val="auto"/>
          <w:highlight w:val="none"/>
        </w:rPr>
        <w:t>浓度已低于《地下水质量标准》（GB/T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3.0</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66A35E92">
      <w:pPr>
        <w:spacing w:line="360" w:lineRule="auto"/>
        <w:ind w:left="0" w:leftChars="0" w:firstLine="480" w:firstLineChars="200"/>
        <w:jc w:val="both"/>
        <w:rPr>
          <w:rFonts w:hint="eastAsia"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2570</w:t>
      </w:r>
      <w:r>
        <w:rPr>
          <w:rFonts w:ascii="Times New Roman" w:hAnsi="Times New Roman" w:cs="Times New Roman"/>
          <w:color w:val="auto"/>
          <w:highlight w:val="none"/>
        </w:rPr>
        <w:t>d后</w:t>
      </w:r>
      <w:r>
        <w:rPr>
          <w:rFonts w:hint="eastAsia" w:cs="Times New Roman"/>
          <w:color w:val="auto"/>
          <w:highlight w:val="none"/>
          <w:lang w:eastAsia="zh-CN"/>
        </w:rPr>
        <w:t>，</w:t>
      </w:r>
      <w:r>
        <w:rPr>
          <w:rFonts w:hint="eastAsia" w:ascii="Times New Roman" w:hAnsi="Times New Roman" w:cs="Times New Roman"/>
          <w:color w:val="auto"/>
          <w:highlight w:val="none"/>
        </w:rPr>
        <w:t>COD</w:t>
      </w:r>
      <w:r>
        <w:rPr>
          <w:rFonts w:hint="eastAsia" w:eastAsia="黑体" w:cs="Times New Roman"/>
          <w:color w:val="auto"/>
          <w:sz w:val="21"/>
          <w:szCs w:val="21"/>
          <w:highlight w:val="none"/>
          <w:vertAlign w:val="subscript"/>
          <w:lang w:val="en-US" w:eastAsia="zh-CN"/>
        </w:rPr>
        <w:t>Mn</w:t>
      </w:r>
      <w:r>
        <w:rPr>
          <w:rFonts w:ascii="Times New Roman" w:hAnsi="Times New Roman" w:cs="Times New Roman"/>
          <w:color w:val="auto"/>
          <w:highlight w:val="none"/>
        </w:rPr>
        <w:t>在含水层中低于</w:t>
      </w:r>
      <w:r>
        <w:rPr>
          <w:rFonts w:hint="eastAsia" w:ascii="Times New Roman" w:hAnsi="Times New Roman" w:cs="Times New Roman"/>
          <w:color w:val="auto"/>
          <w:highlight w:val="none"/>
        </w:rPr>
        <w:t>《地下水质量标准》（GB/T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3.0</w:t>
      </w:r>
      <w:r>
        <w:rPr>
          <w:rFonts w:ascii="Times New Roman" w:hAnsi="Times New Roman" w:cs="Times New Roman"/>
          <w:color w:val="auto"/>
          <w:highlight w:val="none"/>
        </w:rPr>
        <w:t>mg/L</w:t>
      </w:r>
      <w:r>
        <w:rPr>
          <w:rFonts w:hint="eastAsia" w:ascii="Times New Roman" w:hAnsi="Times New Roman" w:cs="Times New Roman"/>
          <w:color w:val="auto"/>
          <w:highlight w:val="none"/>
        </w:rPr>
        <w:t>，最大运移距离为107m</w:t>
      </w:r>
      <w:r>
        <w:rPr>
          <w:rFonts w:hint="eastAsia" w:ascii="Times New Roman" w:hAnsi="Times New Roman" w:cs="Times New Roman"/>
          <w:color w:val="auto"/>
          <w:highlight w:val="none"/>
          <w:lang w:eastAsia="zh-CN"/>
        </w:rPr>
        <w:t>。</w:t>
      </w:r>
    </w:p>
    <w:p w14:paraId="3C8A3BDB">
      <w:pPr>
        <w:pStyle w:val="26"/>
        <w:bidi w:val="0"/>
        <w:rPr>
          <w:rFonts w:hint="eastAsia" w:ascii="Times New Roman" w:hAnsi="Times New Roman" w:cs="Times New Roman"/>
          <w:color w:val="auto"/>
          <w:lang w:val="en-US" w:eastAsia="zh-CN"/>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1476</w:t>
      </w:r>
      <w:r>
        <w:rPr>
          <w:rFonts w:hint="eastAsia" w:ascii="Times New Roman" w:hAnsi="Times New Roman" w:cs="Times New Roman"/>
          <w:color w:val="auto"/>
          <w:highlight w:val="none"/>
          <w:lang w:val="en-US" w:eastAsia="zh-CN"/>
        </w:rPr>
        <w:t>m，远远大于</w:t>
      </w:r>
      <w:r>
        <w:rPr>
          <w:rFonts w:hint="eastAsia" w:ascii="Times New Roman" w:hAnsi="Times New Roman" w:cs="Times New Roman"/>
          <w:color w:val="auto"/>
          <w:highlight w:val="none"/>
        </w:rPr>
        <w:t>COD</w:t>
      </w:r>
      <w:r>
        <w:rPr>
          <w:rFonts w:hint="eastAsia" w:eastAsia="黑体" w:cs="Times New Roman"/>
          <w:color w:val="auto"/>
          <w:sz w:val="21"/>
          <w:szCs w:val="21"/>
          <w:highlight w:val="none"/>
          <w:vertAlign w:val="subscript"/>
          <w:lang w:val="en-US" w:eastAsia="zh-CN"/>
        </w:rPr>
        <w:t>Mn</w:t>
      </w:r>
      <w:r>
        <w:rPr>
          <w:rFonts w:hint="eastAsia" w:ascii="Times New Roman" w:hAnsi="Times New Roman" w:cs="Times New Roman"/>
          <w:color w:val="auto"/>
          <w:highlight w:val="none"/>
          <w:lang w:val="en-US" w:eastAsia="zh-CN"/>
        </w:rPr>
        <w:t>在含水层中浓度降低至III类水质标准的最大运移距离，不会对评价范围内地下水环境保护目标处水质产生明显影响</w:t>
      </w:r>
      <w:r>
        <w:rPr>
          <w:rFonts w:hint="eastAsia" w:ascii="Times New Roman" w:hAnsi="Times New Roman" w:cs="Times New Roman"/>
          <w:color w:val="auto"/>
          <w:lang w:val="en-US" w:eastAsia="zh-CN"/>
        </w:rPr>
        <w:t>。</w:t>
      </w:r>
    </w:p>
    <w:p w14:paraId="207AA473">
      <w:pPr>
        <w:pStyle w:val="7"/>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⑤</w:t>
      </w:r>
      <w:r>
        <w:rPr>
          <w:rFonts w:hint="eastAsia" w:ascii="Times New Roman" w:hAnsi="Times New Roman" w:eastAsia="宋体" w:cs="Times New Roman"/>
          <w:color w:val="auto"/>
          <w:lang w:val="en-US" w:eastAsia="zh-CN"/>
        </w:rPr>
        <w:t>铁</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0133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C8561E2">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759710"/>
                  <wp:effectExtent l="0" t="0" r="17145" b="2540"/>
                  <wp:docPr id="113" name="图片 113" descr="铁-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铁-30D"/>
                          <pic:cNvPicPr>
                            <a:picLocks noChangeAspect="1"/>
                          </pic:cNvPicPr>
                        </pic:nvPicPr>
                        <pic:blipFill>
                          <a:blip r:embed="rId145"/>
                          <a:srcRect b="2447"/>
                          <a:stretch>
                            <a:fillRect/>
                          </a:stretch>
                        </pic:blipFill>
                        <pic:spPr>
                          <a:xfrm>
                            <a:off x="0" y="0"/>
                            <a:ext cx="5259705" cy="2759710"/>
                          </a:xfrm>
                          <a:prstGeom prst="rect">
                            <a:avLst/>
                          </a:prstGeom>
                        </pic:spPr>
                      </pic:pic>
                    </a:graphicData>
                  </a:graphic>
                </wp:inline>
              </w:drawing>
            </w:r>
          </w:p>
        </w:tc>
      </w:tr>
      <w:tr w14:paraId="7B0B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CF2E8B9">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铁迁移30d时污染晕（中心最大浓度为0.0016mg/L）</w:t>
            </w:r>
          </w:p>
        </w:tc>
      </w:tr>
      <w:tr w14:paraId="05F9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81609A1">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760345"/>
                  <wp:effectExtent l="0" t="0" r="17145" b="1905"/>
                  <wp:docPr id="114" name="图片 114" descr="铁-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铁-200D"/>
                          <pic:cNvPicPr>
                            <a:picLocks noChangeAspect="1"/>
                          </pic:cNvPicPr>
                        </pic:nvPicPr>
                        <pic:blipFill>
                          <a:blip r:embed="rId146"/>
                          <a:srcRect b="2424"/>
                          <a:stretch>
                            <a:fillRect/>
                          </a:stretch>
                        </pic:blipFill>
                        <pic:spPr>
                          <a:xfrm>
                            <a:off x="0" y="0"/>
                            <a:ext cx="5259705" cy="2760345"/>
                          </a:xfrm>
                          <a:prstGeom prst="rect">
                            <a:avLst/>
                          </a:prstGeom>
                        </pic:spPr>
                      </pic:pic>
                    </a:graphicData>
                  </a:graphic>
                </wp:inline>
              </w:drawing>
            </w:r>
          </w:p>
        </w:tc>
      </w:tr>
      <w:tr w14:paraId="2E7C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5A23BC9">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铁迁移365d时污染晕（中心最大浓度为0.00001mg/L）</w:t>
            </w:r>
          </w:p>
        </w:tc>
      </w:tr>
      <w:tr w14:paraId="69ADA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AEA3716">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726690"/>
                  <wp:effectExtent l="0" t="0" r="17145" b="16510"/>
                  <wp:docPr id="115" name="图片 115" descr="铁-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铁-365D"/>
                          <pic:cNvPicPr>
                            <a:picLocks noChangeAspect="1"/>
                          </pic:cNvPicPr>
                        </pic:nvPicPr>
                        <pic:blipFill>
                          <a:blip r:embed="rId147"/>
                          <a:srcRect b="3614"/>
                          <a:stretch>
                            <a:fillRect/>
                          </a:stretch>
                        </pic:blipFill>
                        <pic:spPr>
                          <a:xfrm>
                            <a:off x="0" y="0"/>
                            <a:ext cx="5259705" cy="2726690"/>
                          </a:xfrm>
                          <a:prstGeom prst="rect">
                            <a:avLst/>
                          </a:prstGeom>
                        </pic:spPr>
                      </pic:pic>
                    </a:graphicData>
                  </a:graphic>
                </wp:inline>
              </w:drawing>
            </w:r>
          </w:p>
        </w:tc>
      </w:tr>
      <w:tr w14:paraId="61046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C3BD1A3">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铁迁移730d时污染晕（中心最大浓度为7.69e</w:t>
            </w:r>
            <w:r>
              <w:rPr>
                <w:rFonts w:hint="eastAsia" w:eastAsia="黑体" w:cs="Times New Roman"/>
                <w:color w:val="auto"/>
                <w:sz w:val="21"/>
                <w:szCs w:val="21"/>
                <w:highlight w:val="none"/>
                <w:vertAlign w:val="superscript"/>
                <w:lang w:val="en-US" w:eastAsia="zh-CN"/>
              </w:rPr>
              <w:t>-5</w:t>
            </w:r>
            <w:r>
              <w:rPr>
                <w:rFonts w:hint="eastAsia" w:eastAsia="黑体" w:cs="Times New Roman"/>
                <w:color w:val="auto"/>
                <w:sz w:val="21"/>
                <w:szCs w:val="21"/>
                <w:highlight w:val="none"/>
                <w:lang w:val="en-US" w:eastAsia="zh-CN"/>
              </w:rPr>
              <w:t>mg/L）</w:t>
            </w:r>
          </w:p>
        </w:tc>
      </w:tr>
      <w:tr w14:paraId="1A442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41597C9">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755900"/>
                  <wp:effectExtent l="0" t="0" r="17145" b="6350"/>
                  <wp:docPr id="116" name="图片 116" descr="铁-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铁-1000D"/>
                          <pic:cNvPicPr>
                            <a:picLocks noChangeAspect="1"/>
                          </pic:cNvPicPr>
                        </pic:nvPicPr>
                        <pic:blipFill>
                          <a:blip r:embed="rId148"/>
                          <a:srcRect b="2581"/>
                          <a:stretch>
                            <a:fillRect/>
                          </a:stretch>
                        </pic:blipFill>
                        <pic:spPr>
                          <a:xfrm>
                            <a:off x="0" y="0"/>
                            <a:ext cx="5259705" cy="2755900"/>
                          </a:xfrm>
                          <a:prstGeom prst="rect">
                            <a:avLst/>
                          </a:prstGeom>
                        </pic:spPr>
                      </pic:pic>
                    </a:graphicData>
                  </a:graphic>
                </wp:inline>
              </w:drawing>
            </w:r>
          </w:p>
        </w:tc>
      </w:tr>
      <w:tr w14:paraId="03D23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4B1F923">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铁迁移1825d时污染晕（中心最大浓度为3.56e</w:t>
            </w:r>
            <w:r>
              <w:rPr>
                <w:rFonts w:hint="eastAsia" w:eastAsia="黑体" w:cs="Times New Roman"/>
                <w:color w:val="auto"/>
                <w:sz w:val="21"/>
                <w:szCs w:val="21"/>
                <w:highlight w:val="none"/>
                <w:vertAlign w:val="superscript"/>
                <w:lang w:val="en-US" w:eastAsia="zh-CN"/>
              </w:rPr>
              <w:t>-6</w:t>
            </w:r>
            <w:r>
              <w:rPr>
                <w:rFonts w:hint="eastAsia" w:eastAsia="黑体" w:cs="Times New Roman"/>
                <w:color w:val="auto"/>
                <w:sz w:val="21"/>
                <w:szCs w:val="21"/>
                <w:highlight w:val="none"/>
                <w:lang w:val="en-US" w:eastAsia="zh-CN"/>
              </w:rPr>
              <w:t>mg/L）</w:t>
            </w:r>
          </w:p>
        </w:tc>
      </w:tr>
      <w:tr w14:paraId="1A519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81EAA8F">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17" name="图片 117" descr="铁-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铁-3650D"/>
                          <pic:cNvPicPr>
                            <a:picLocks noChangeAspect="1"/>
                          </pic:cNvPicPr>
                        </pic:nvPicPr>
                        <pic:blipFill>
                          <a:blip r:embed="rId149"/>
                          <a:stretch>
                            <a:fillRect/>
                          </a:stretch>
                        </pic:blipFill>
                        <pic:spPr>
                          <a:xfrm>
                            <a:off x="0" y="0"/>
                            <a:ext cx="5259705" cy="2828925"/>
                          </a:xfrm>
                          <a:prstGeom prst="rect">
                            <a:avLst/>
                          </a:prstGeom>
                        </pic:spPr>
                      </pic:pic>
                    </a:graphicData>
                  </a:graphic>
                </wp:inline>
              </w:drawing>
            </w:r>
          </w:p>
        </w:tc>
      </w:tr>
      <w:tr w14:paraId="38393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2C0E0D4">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铁迁移3650d时污染晕（中心最大浓度为5.48e</w:t>
            </w:r>
            <w:r>
              <w:rPr>
                <w:rFonts w:hint="eastAsia" w:eastAsia="黑体" w:cs="Times New Roman"/>
                <w:color w:val="auto"/>
                <w:sz w:val="21"/>
                <w:szCs w:val="21"/>
                <w:highlight w:val="none"/>
                <w:vertAlign w:val="superscript"/>
                <w:lang w:val="en-US" w:eastAsia="zh-CN"/>
              </w:rPr>
              <w:t>-7</w:t>
            </w:r>
            <w:r>
              <w:rPr>
                <w:rFonts w:hint="eastAsia" w:eastAsia="黑体" w:cs="Times New Roman"/>
                <w:color w:val="auto"/>
                <w:sz w:val="21"/>
                <w:szCs w:val="21"/>
                <w:highlight w:val="none"/>
                <w:lang w:val="en-US" w:eastAsia="zh-CN"/>
              </w:rPr>
              <w:t>mg/L）</w:t>
            </w:r>
          </w:p>
        </w:tc>
      </w:tr>
      <w:tr w14:paraId="7A76D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8FC7ED7">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18" name="图片 118" descr="铁-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铁-7300D"/>
                          <pic:cNvPicPr>
                            <a:picLocks noChangeAspect="1"/>
                          </pic:cNvPicPr>
                        </pic:nvPicPr>
                        <pic:blipFill>
                          <a:blip r:embed="rId150"/>
                          <a:stretch>
                            <a:fillRect/>
                          </a:stretch>
                        </pic:blipFill>
                        <pic:spPr>
                          <a:xfrm>
                            <a:off x="0" y="0"/>
                            <a:ext cx="5259705" cy="2828925"/>
                          </a:xfrm>
                          <a:prstGeom prst="rect">
                            <a:avLst/>
                          </a:prstGeom>
                        </pic:spPr>
                      </pic:pic>
                    </a:graphicData>
                  </a:graphic>
                </wp:inline>
              </w:drawing>
            </w:r>
          </w:p>
        </w:tc>
      </w:tr>
      <w:tr w14:paraId="39639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30BC00C">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铁迁移7300d时污染晕（中心最大浓度为1.24e</w:t>
            </w:r>
            <w:r>
              <w:rPr>
                <w:rFonts w:hint="eastAsia" w:eastAsia="黑体" w:cs="Times New Roman"/>
                <w:color w:val="auto"/>
                <w:sz w:val="21"/>
                <w:szCs w:val="21"/>
                <w:highlight w:val="none"/>
                <w:vertAlign w:val="superscript"/>
                <w:lang w:val="en-US" w:eastAsia="zh-CN"/>
              </w:rPr>
              <w:t>-7</w:t>
            </w:r>
            <w:r>
              <w:rPr>
                <w:rFonts w:hint="eastAsia" w:eastAsia="黑体" w:cs="Times New Roman"/>
                <w:color w:val="auto"/>
                <w:sz w:val="21"/>
                <w:szCs w:val="21"/>
                <w:highlight w:val="none"/>
                <w:lang w:val="en-US" w:eastAsia="zh-CN"/>
              </w:rPr>
              <w:t>mg/L）</w:t>
            </w:r>
          </w:p>
        </w:tc>
      </w:tr>
    </w:tbl>
    <w:p w14:paraId="1224CB6F">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非正常状况铁污染迁移图</w:t>
      </w:r>
    </w:p>
    <w:p w14:paraId="60BFF2AB">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后，由于该区域水头差较小，污染物运移距离有限，地下水中铁最高浓度为0.0016mg/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color w:val="auto"/>
          <w:highlight w:val="none"/>
          <w:lang w:eastAsia="zh-CN"/>
        </w:rPr>
        <w:t>，</w:t>
      </w:r>
      <w:r>
        <w:rPr>
          <w:rFonts w:hint="eastAsia" w:ascii="Times New Roman" w:hAnsi="Times New Roman" w:cs="Times New Roman"/>
          <w:color w:val="auto"/>
          <w:highlight w:val="none"/>
        </w:rPr>
        <w:t>此时地下水铁浓度已低于《地下水质量标准》（GB/T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0.</w:t>
      </w:r>
      <w:r>
        <w:rPr>
          <w:rFonts w:hint="eastAsia" w:cs="Times New Roman"/>
          <w:color w:val="auto"/>
          <w:highlight w:val="none"/>
          <w:lang w:val="en-US" w:eastAsia="zh-CN"/>
        </w:rPr>
        <w:t>3</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0BD471C4">
      <w:pPr>
        <w:pStyle w:val="26"/>
        <w:bidi w:val="0"/>
        <w:rPr>
          <w:rFonts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4</w:t>
      </w:r>
      <w:r>
        <w:rPr>
          <w:rFonts w:ascii="Times New Roman" w:hAnsi="Times New Roman" w:cs="Times New Roman"/>
          <w:color w:val="auto"/>
          <w:highlight w:val="none"/>
        </w:rPr>
        <w:t>d后</w:t>
      </w:r>
      <w:r>
        <w:rPr>
          <w:rFonts w:hint="eastAsia" w:ascii="Times New Roman" w:hAnsi="Times New Roman" w:cs="Times New Roman"/>
          <w:color w:val="auto"/>
          <w:highlight w:val="none"/>
        </w:rPr>
        <w:t>铁</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ascii="Times New Roman" w:hAnsi="Times New Roman" w:cs="Times New Roman"/>
          <w:color w:val="auto"/>
          <w:highlight w:val="none"/>
        </w:rPr>
        <w:t>低于</w:t>
      </w:r>
      <w:r>
        <w:rPr>
          <w:rFonts w:hint="eastAsia" w:ascii="Times New Roman" w:hAnsi="Times New Roman" w:cs="Times New Roman"/>
          <w:color w:val="auto"/>
          <w:highlight w:val="none"/>
        </w:rPr>
        <w:t>《地下水质量标准》（GB/T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0.</w:t>
      </w:r>
      <w:r>
        <w:rPr>
          <w:rFonts w:hint="eastAsia" w:cs="Times New Roman"/>
          <w:color w:val="auto"/>
          <w:highlight w:val="none"/>
          <w:lang w:val="en-US" w:eastAsia="zh-CN"/>
        </w:rPr>
        <w:t>3</w:t>
      </w:r>
      <w:r>
        <w:rPr>
          <w:rFonts w:ascii="Times New Roman" w:hAnsi="Times New Roman" w:cs="Times New Roman"/>
          <w:color w:val="auto"/>
          <w:highlight w:val="none"/>
        </w:rPr>
        <w:t>mg/</w:t>
      </w:r>
      <w:r>
        <w:rPr>
          <w:rFonts w:hint="eastAsia" w:ascii="Times New Roman" w:hAnsi="Times New Roman" w:cs="Times New Roman"/>
          <w:color w:val="auto"/>
          <w:highlight w:val="none"/>
          <w:lang w:val="en-US" w:eastAsia="zh-CN"/>
        </w:rPr>
        <w:t>L</w:t>
      </w:r>
      <w:r>
        <w:rPr>
          <w:rFonts w:hint="eastAsia" w:ascii="Times New Roman" w:hAnsi="Times New Roman" w:cs="Times New Roman"/>
          <w:color w:val="auto"/>
          <w:highlight w:val="none"/>
        </w:rPr>
        <w:t>，最大运移距离为</w:t>
      </w:r>
      <w:r>
        <w:rPr>
          <w:rFonts w:hint="eastAsia" w:cs="Times New Roman"/>
          <w:color w:val="auto"/>
          <w:highlight w:val="none"/>
          <w:lang w:val="en-US" w:eastAsia="zh-CN"/>
        </w:rPr>
        <w:t>4.7</w:t>
      </w:r>
      <w:r>
        <w:rPr>
          <w:rFonts w:ascii="Times New Roman" w:hAnsi="Times New Roman" w:cs="Times New Roman"/>
          <w:color w:val="auto"/>
          <w:highlight w:val="none"/>
        </w:rPr>
        <w:t>m。</w:t>
      </w:r>
    </w:p>
    <w:p w14:paraId="0D01C7DF">
      <w:pPr>
        <w:pStyle w:val="26"/>
        <w:bidi w:val="0"/>
        <w:rPr>
          <w:rFonts w:hint="eastAsia" w:ascii="Times New Roman" w:hAnsi="Times New Roman" w:cs="Times New Roman"/>
          <w:color w:val="auto"/>
          <w:lang w:val="en-US" w:eastAsia="zh-CN"/>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1470</w:t>
      </w:r>
      <w:r>
        <w:rPr>
          <w:rFonts w:hint="eastAsia" w:ascii="Times New Roman" w:hAnsi="Times New Roman" w:cs="Times New Roman"/>
          <w:color w:val="auto"/>
          <w:highlight w:val="none"/>
          <w:lang w:val="en-US" w:eastAsia="zh-CN"/>
        </w:rPr>
        <w:t>m，远远大于</w:t>
      </w:r>
      <w:r>
        <w:rPr>
          <w:rFonts w:hint="eastAsia" w:ascii="Times New Roman" w:hAnsi="Times New Roman" w:cs="Times New Roman"/>
          <w:color w:val="auto"/>
          <w:highlight w:val="none"/>
        </w:rPr>
        <w:t>铁</w:t>
      </w:r>
      <w:r>
        <w:rPr>
          <w:rFonts w:hint="eastAsia" w:ascii="Times New Roman" w:hAnsi="Times New Roman" w:cs="Times New Roman"/>
          <w:color w:val="auto"/>
          <w:highlight w:val="none"/>
          <w:lang w:val="en-US" w:eastAsia="zh-CN"/>
        </w:rPr>
        <w:t>在含水层中浓度降低至III类水质标准的最大运移距离，不会对评价范围内地下水环境保护目标处水质产生明显影响。</w:t>
      </w:r>
    </w:p>
    <w:p w14:paraId="478FC276">
      <w:pPr>
        <w:pStyle w:val="7"/>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⑥</w:t>
      </w:r>
      <w:r>
        <w:rPr>
          <w:rFonts w:hint="eastAsia" w:ascii="Times New Roman" w:hAnsi="Times New Roman" w:eastAsia="宋体" w:cs="Times New Roman"/>
          <w:color w:val="auto"/>
          <w:lang w:val="en-US" w:eastAsia="zh-CN"/>
        </w:rPr>
        <w:t>总磷</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3B9F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A482B42">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119" name="图片 119" descr="总磷-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总磷-30D"/>
                          <pic:cNvPicPr>
                            <a:picLocks noChangeAspect="1"/>
                          </pic:cNvPicPr>
                        </pic:nvPicPr>
                        <pic:blipFill>
                          <a:blip r:embed="rId151"/>
                          <a:stretch>
                            <a:fillRect/>
                          </a:stretch>
                        </pic:blipFill>
                        <pic:spPr>
                          <a:xfrm>
                            <a:off x="0" y="0"/>
                            <a:ext cx="5259705" cy="2828925"/>
                          </a:xfrm>
                          <a:prstGeom prst="rect">
                            <a:avLst/>
                          </a:prstGeom>
                        </pic:spPr>
                      </pic:pic>
                    </a:graphicData>
                  </a:graphic>
                </wp:inline>
              </w:drawing>
            </w:r>
          </w:p>
        </w:tc>
      </w:tr>
      <w:tr w14:paraId="2CE05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665CCC7">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总磷迁移30d时污染晕（中心最大浓度为4.593mg/L）</w:t>
            </w:r>
          </w:p>
        </w:tc>
      </w:tr>
      <w:tr w14:paraId="083AB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A29FE2A">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741930"/>
                  <wp:effectExtent l="0" t="0" r="17145" b="1270"/>
                  <wp:docPr id="120" name="图片 120" descr="总磷-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总磷-200D"/>
                          <pic:cNvPicPr>
                            <a:picLocks noChangeAspect="1"/>
                          </pic:cNvPicPr>
                        </pic:nvPicPr>
                        <pic:blipFill>
                          <a:blip r:embed="rId152"/>
                          <a:srcRect b="3075"/>
                          <a:stretch>
                            <a:fillRect/>
                          </a:stretch>
                        </pic:blipFill>
                        <pic:spPr>
                          <a:xfrm>
                            <a:off x="0" y="0"/>
                            <a:ext cx="5259705" cy="2741930"/>
                          </a:xfrm>
                          <a:prstGeom prst="rect">
                            <a:avLst/>
                          </a:prstGeom>
                        </pic:spPr>
                      </pic:pic>
                    </a:graphicData>
                  </a:graphic>
                </wp:inline>
              </w:drawing>
            </w:r>
          </w:p>
        </w:tc>
      </w:tr>
      <w:tr w14:paraId="7A0F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5F1BC7A">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总磷迁移365d时污染晕（中心最大浓度为0.058mg/L）</w:t>
            </w:r>
          </w:p>
        </w:tc>
      </w:tr>
      <w:tr w14:paraId="0CCA0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1CED198">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775585"/>
                  <wp:effectExtent l="0" t="0" r="17145" b="5715"/>
                  <wp:docPr id="121" name="图片 121" descr="总磷-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总磷-365D"/>
                          <pic:cNvPicPr>
                            <a:picLocks noChangeAspect="1"/>
                          </pic:cNvPicPr>
                        </pic:nvPicPr>
                        <pic:blipFill>
                          <a:blip r:embed="rId153"/>
                          <a:srcRect b="1886"/>
                          <a:stretch>
                            <a:fillRect/>
                          </a:stretch>
                        </pic:blipFill>
                        <pic:spPr>
                          <a:xfrm>
                            <a:off x="0" y="0"/>
                            <a:ext cx="5259705" cy="2775585"/>
                          </a:xfrm>
                          <a:prstGeom prst="rect">
                            <a:avLst/>
                          </a:prstGeom>
                        </pic:spPr>
                      </pic:pic>
                    </a:graphicData>
                  </a:graphic>
                </wp:inline>
              </w:drawing>
            </w:r>
          </w:p>
        </w:tc>
      </w:tr>
      <w:tr w14:paraId="2D29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88AD18B">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总磷迁移730d时污染晕（中心最大浓度为0.022mg/L）</w:t>
            </w:r>
          </w:p>
        </w:tc>
      </w:tr>
      <w:tr w14:paraId="741F3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6D4611C7">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738120"/>
                  <wp:effectExtent l="0" t="0" r="17145" b="5080"/>
                  <wp:docPr id="122" name="图片 122" descr="总磷-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总磷-1000D"/>
                          <pic:cNvPicPr>
                            <a:picLocks noChangeAspect="1"/>
                          </pic:cNvPicPr>
                        </pic:nvPicPr>
                        <pic:blipFill>
                          <a:blip r:embed="rId154"/>
                          <a:srcRect b="3210"/>
                          <a:stretch>
                            <a:fillRect/>
                          </a:stretch>
                        </pic:blipFill>
                        <pic:spPr>
                          <a:xfrm>
                            <a:off x="0" y="0"/>
                            <a:ext cx="5259705" cy="2738120"/>
                          </a:xfrm>
                          <a:prstGeom prst="rect">
                            <a:avLst/>
                          </a:prstGeom>
                        </pic:spPr>
                      </pic:pic>
                    </a:graphicData>
                  </a:graphic>
                </wp:inline>
              </w:drawing>
            </w:r>
          </w:p>
        </w:tc>
      </w:tr>
      <w:tr w14:paraId="7CD06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C534D97">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总磷迁移1825d时污染晕（中心最大浓度为0.022mg/L）</w:t>
            </w:r>
          </w:p>
        </w:tc>
      </w:tr>
      <w:tr w14:paraId="0074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0860C74">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23" name="图片 123" descr="总磷-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总磷-3650D"/>
                          <pic:cNvPicPr>
                            <a:picLocks noChangeAspect="1"/>
                          </pic:cNvPicPr>
                        </pic:nvPicPr>
                        <pic:blipFill>
                          <a:blip r:embed="rId155"/>
                          <a:stretch>
                            <a:fillRect/>
                          </a:stretch>
                        </pic:blipFill>
                        <pic:spPr>
                          <a:xfrm>
                            <a:off x="0" y="0"/>
                            <a:ext cx="5259705" cy="2828925"/>
                          </a:xfrm>
                          <a:prstGeom prst="rect">
                            <a:avLst/>
                          </a:prstGeom>
                        </pic:spPr>
                      </pic:pic>
                    </a:graphicData>
                  </a:graphic>
                </wp:inline>
              </w:drawing>
            </w:r>
          </w:p>
        </w:tc>
      </w:tr>
      <w:tr w14:paraId="245E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8B765FB">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总磷迁移3650d时污染晕（中心最大浓度为0.0007mg/L）</w:t>
            </w:r>
          </w:p>
        </w:tc>
      </w:tr>
      <w:tr w14:paraId="12D9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3D6490B2">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24" name="图片 124" descr="总磷-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总磷-7300D"/>
                          <pic:cNvPicPr>
                            <a:picLocks noChangeAspect="1"/>
                          </pic:cNvPicPr>
                        </pic:nvPicPr>
                        <pic:blipFill>
                          <a:blip r:embed="rId156"/>
                          <a:stretch>
                            <a:fillRect/>
                          </a:stretch>
                        </pic:blipFill>
                        <pic:spPr>
                          <a:xfrm>
                            <a:off x="0" y="0"/>
                            <a:ext cx="5259705" cy="2828925"/>
                          </a:xfrm>
                          <a:prstGeom prst="rect">
                            <a:avLst/>
                          </a:prstGeom>
                        </pic:spPr>
                      </pic:pic>
                    </a:graphicData>
                  </a:graphic>
                </wp:inline>
              </w:drawing>
            </w:r>
          </w:p>
        </w:tc>
      </w:tr>
      <w:tr w14:paraId="15C6C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258F290">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总磷迁移7300d时污染晕（中心最大浓度为0.0002mg/L）</w:t>
            </w:r>
          </w:p>
        </w:tc>
      </w:tr>
    </w:tbl>
    <w:p w14:paraId="305C38EA">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非正常状况总磷污染迁移图</w:t>
      </w:r>
    </w:p>
    <w:p w14:paraId="4A900BD5">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后，由于该区域水头差较小，污染物运移距离有限，地下水中总磷最高浓度为4.593mg/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ascii="Times New Roman" w:hAnsi="Times New Roman" w:cs="Times New Roman"/>
          <w:color w:val="auto"/>
          <w:highlight w:val="none"/>
        </w:rPr>
        <w:t>；随后地下水中总磷浓度持续降低，至</w:t>
      </w:r>
      <w:r>
        <w:rPr>
          <w:rFonts w:hint="eastAsia" w:cs="Times New Roman"/>
          <w:color w:val="auto"/>
          <w:highlight w:val="none"/>
          <w:lang w:val="en-US" w:eastAsia="zh-CN"/>
        </w:rPr>
        <w:t>365</w:t>
      </w:r>
      <w:r>
        <w:rPr>
          <w:rFonts w:hint="eastAsia" w:ascii="Times New Roman" w:hAnsi="Times New Roman" w:cs="Times New Roman"/>
          <w:color w:val="auto"/>
          <w:highlight w:val="none"/>
        </w:rPr>
        <w:t>d时，中心最大浓度为0.058</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，此时地下水总磷浓度已低于</w:t>
      </w:r>
      <w:r>
        <w:rPr>
          <w:rFonts w:ascii="Times New Roman" w:hAnsi="Times New Roman" w:cs="Times New Roman"/>
          <w:color w:val="auto"/>
          <w:highlight w:val="none"/>
        </w:rPr>
        <w:t>《地</w:t>
      </w:r>
      <w:r>
        <w:rPr>
          <w:rFonts w:hint="eastAsia" w:ascii="Times New Roman" w:hAnsi="Times New Roman" w:cs="Times New Roman"/>
          <w:color w:val="auto"/>
          <w:highlight w:val="none"/>
        </w:rPr>
        <w:t>表</w:t>
      </w:r>
      <w:r>
        <w:rPr>
          <w:rFonts w:ascii="Times New Roman" w:hAnsi="Times New Roman" w:cs="Times New Roman"/>
          <w:color w:val="auto"/>
          <w:highlight w:val="none"/>
        </w:rPr>
        <w:t>水环境质量标准》（GB/T 3838-2002）中III类水质标准限值</w:t>
      </w:r>
      <w:r>
        <w:rPr>
          <w:rFonts w:hint="eastAsia" w:ascii="Times New Roman" w:hAnsi="Times New Roman" w:cs="Times New Roman"/>
          <w:color w:val="auto"/>
          <w:highlight w:val="none"/>
        </w:rPr>
        <w:t>0.2</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5A1F2148">
      <w:pPr>
        <w:pStyle w:val="26"/>
        <w:bidi w:val="0"/>
        <w:rPr>
          <w:rFonts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270</w:t>
      </w:r>
      <w:r>
        <w:rPr>
          <w:rFonts w:ascii="Times New Roman" w:hAnsi="Times New Roman" w:cs="Times New Roman"/>
          <w:color w:val="auto"/>
          <w:highlight w:val="none"/>
        </w:rPr>
        <w:t>d后</w:t>
      </w:r>
      <w:r>
        <w:rPr>
          <w:rFonts w:hint="eastAsia" w:ascii="Times New Roman" w:hAnsi="Times New Roman" w:cs="Times New Roman"/>
          <w:color w:val="auto"/>
          <w:highlight w:val="none"/>
        </w:rPr>
        <w:t>总磷</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ascii="Times New Roman" w:hAnsi="Times New Roman" w:cs="Times New Roman"/>
          <w:color w:val="auto"/>
          <w:highlight w:val="none"/>
        </w:rPr>
        <w:t>低于《地</w:t>
      </w:r>
      <w:r>
        <w:rPr>
          <w:rFonts w:hint="eastAsia" w:ascii="Times New Roman" w:hAnsi="Times New Roman" w:cs="Times New Roman"/>
          <w:color w:val="auto"/>
          <w:highlight w:val="none"/>
        </w:rPr>
        <w:t>表</w:t>
      </w:r>
      <w:r>
        <w:rPr>
          <w:rFonts w:ascii="Times New Roman" w:hAnsi="Times New Roman" w:cs="Times New Roman"/>
          <w:color w:val="auto"/>
          <w:highlight w:val="none"/>
        </w:rPr>
        <w:t>水环境质量标准》（GB/T 3838-2002）中III类水质标准限值</w:t>
      </w:r>
      <w:r>
        <w:rPr>
          <w:rFonts w:hint="eastAsia" w:ascii="Times New Roman" w:hAnsi="Times New Roman" w:cs="Times New Roman"/>
          <w:color w:val="auto"/>
          <w:highlight w:val="none"/>
        </w:rPr>
        <w:t>0.2</w:t>
      </w:r>
      <w:r>
        <w:rPr>
          <w:rFonts w:ascii="Times New Roman" w:hAnsi="Times New Roman" w:cs="Times New Roman"/>
          <w:color w:val="auto"/>
          <w:highlight w:val="none"/>
        </w:rPr>
        <w:t>mg/</w:t>
      </w:r>
      <w:r>
        <w:rPr>
          <w:rFonts w:hint="eastAsia" w:ascii="Times New Roman" w:hAnsi="Times New Roman" w:cs="Times New Roman"/>
          <w:color w:val="auto"/>
          <w:highlight w:val="none"/>
          <w:lang w:val="en-US" w:eastAsia="zh-CN"/>
        </w:rPr>
        <w:t>L</w:t>
      </w:r>
      <w:r>
        <w:rPr>
          <w:rFonts w:hint="eastAsia" w:ascii="Times New Roman" w:hAnsi="Times New Roman" w:cs="Times New Roman"/>
          <w:color w:val="auto"/>
          <w:highlight w:val="none"/>
        </w:rPr>
        <w:t>，最大运移距离为</w:t>
      </w:r>
      <w:r>
        <w:rPr>
          <w:rFonts w:hint="eastAsia" w:cs="Times New Roman"/>
          <w:color w:val="auto"/>
          <w:highlight w:val="none"/>
          <w:lang w:val="en-US" w:eastAsia="zh-CN"/>
        </w:rPr>
        <w:t>72.6</w:t>
      </w:r>
      <w:r>
        <w:rPr>
          <w:rFonts w:ascii="Times New Roman" w:hAnsi="Times New Roman" w:cs="Times New Roman"/>
          <w:color w:val="auto"/>
          <w:highlight w:val="none"/>
        </w:rPr>
        <w:t>m。</w:t>
      </w:r>
    </w:p>
    <w:p w14:paraId="542C48EE">
      <w:pPr>
        <w:pStyle w:val="26"/>
        <w:bidi w:val="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1480</w:t>
      </w:r>
      <w:r>
        <w:rPr>
          <w:rFonts w:hint="eastAsia" w:ascii="Times New Roman" w:hAnsi="Times New Roman" w:cs="Times New Roman"/>
          <w:color w:val="auto"/>
          <w:highlight w:val="none"/>
          <w:lang w:val="en-US" w:eastAsia="zh-CN"/>
        </w:rPr>
        <w:t>m，远远大于总磷在含水层中浓度降低至III类水质标准的最大运移距离，不会对评价范围内地下水环境保护目标处水质产生明显影响。</w:t>
      </w:r>
    </w:p>
    <w:p w14:paraId="2CE4A308">
      <w:pPr>
        <w:pStyle w:val="7"/>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⑦铝</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58E8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58565F8">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125" name="图片 125" descr="铝-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铝-30D"/>
                          <pic:cNvPicPr>
                            <a:picLocks noChangeAspect="1"/>
                          </pic:cNvPicPr>
                        </pic:nvPicPr>
                        <pic:blipFill>
                          <a:blip r:embed="rId157"/>
                          <a:stretch>
                            <a:fillRect/>
                          </a:stretch>
                        </pic:blipFill>
                        <pic:spPr>
                          <a:xfrm>
                            <a:off x="0" y="0"/>
                            <a:ext cx="5259705" cy="2828925"/>
                          </a:xfrm>
                          <a:prstGeom prst="rect">
                            <a:avLst/>
                          </a:prstGeom>
                        </pic:spPr>
                      </pic:pic>
                    </a:graphicData>
                  </a:graphic>
                </wp:inline>
              </w:drawing>
            </w:r>
          </w:p>
        </w:tc>
      </w:tr>
      <w:tr w14:paraId="5809F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B978824">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铝迁移30d时污染晕（中心最大浓度为398.326mg/L）</w:t>
            </w:r>
          </w:p>
        </w:tc>
      </w:tr>
      <w:tr w14:paraId="1D39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A42DD62">
            <w:pPr>
              <w:pStyle w:val="26"/>
              <w:bidi w:val="0"/>
              <w:ind w:left="0" w:leftChars="0" w:firstLine="0" w:firstLineChars="0"/>
              <w:jc w:val="center"/>
              <w:rPr>
                <w:rFonts w:hint="eastAsia" w:eastAsia="宋体"/>
                <w:color w:val="auto"/>
                <w:highlight w:val="none"/>
                <w:vertAlign w:val="baseline"/>
                <w:lang w:eastAsia="zh-CN"/>
              </w:rPr>
            </w:pPr>
            <w:r>
              <w:rPr>
                <w:rFonts w:hint="eastAsia" w:eastAsia="宋体"/>
                <w:color w:val="auto"/>
                <w:highlight w:val="none"/>
                <w:vertAlign w:val="baseline"/>
                <w:lang w:eastAsia="zh-CN"/>
              </w:rPr>
              <w:drawing>
                <wp:inline distT="0" distB="0" distL="114300" distR="114300">
                  <wp:extent cx="5259705" cy="2828925"/>
                  <wp:effectExtent l="0" t="0" r="17145" b="9525"/>
                  <wp:docPr id="126" name="图片 126" descr="铝-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铝-200D"/>
                          <pic:cNvPicPr>
                            <a:picLocks noChangeAspect="1"/>
                          </pic:cNvPicPr>
                        </pic:nvPicPr>
                        <pic:blipFill>
                          <a:blip r:embed="rId158"/>
                          <a:stretch>
                            <a:fillRect/>
                          </a:stretch>
                        </pic:blipFill>
                        <pic:spPr>
                          <a:xfrm>
                            <a:off x="0" y="0"/>
                            <a:ext cx="5259705" cy="2828925"/>
                          </a:xfrm>
                          <a:prstGeom prst="rect">
                            <a:avLst/>
                          </a:prstGeom>
                        </pic:spPr>
                      </pic:pic>
                    </a:graphicData>
                  </a:graphic>
                </wp:inline>
              </w:drawing>
            </w:r>
          </w:p>
        </w:tc>
      </w:tr>
      <w:tr w14:paraId="21B86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16D1A66D">
            <w:pPr>
              <w:pStyle w:val="26"/>
              <w:bidi w:val="0"/>
              <w:jc w:val="center"/>
              <w:rPr>
                <w:rFonts w:hint="eastAsia"/>
                <w:color w:val="auto"/>
                <w:highlight w:val="none"/>
                <w:vertAlign w:val="baseline"/>
              </w:rPr>
            </w:pPr>
            <w:r>
              <w:rPr>
                <w:rFonts w:hint="eastAsia" w:eastAsia="黑体" w:cs="Times New Roman"/>
                <w:color w:val="auto"/>
                <w:sz w:val="21"/>
                <w:szCs w:val="21"/>
                <w:highlight w:val="none"/>
                <w:lang w:val="en-US" w:eastAsia="zh-CN"/>
              </w:rPr>
              <w:t>铝迁移365d时污染晕（中心最大浓度为5.109mg/L）</w:t>
            </w:r>
          </w:p>
        </w:tc>
      </w:tr>
      <w:tr w14:paraId="65655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98726E9">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27" name="图片 127" descr="铝-3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铝-365D"/>
                          <pic:cNvPicPr>
                            <a:picLocks noChangeAspect="1"/>
                          </pic:cNvPicPr>
                        </pic:nvPicPr>
                        <pic:blipFill>
                          <a:blip r:embed="rId159"/>
                          <a:stretch>
                            <a:fillRect/>
                          </a:stretch>
                        </pic:blipFill>
                        <pic:spPr>
                          <a:xfrm>
                            <a:off x="0" y="0"/>
                            <a:ext cx="5259705" cy="2828925"/>
                          </a:xfrm>
                          <a:prstGeom prst="rect">
                            <a:avLst/>
                          </a:prstGeom>
                        </pic:spPr>
                      </pic:pic>
                    </a:graphicData>
                  </a:graphic>
                </wp:inline>
              </w:drawing>
            </w:r>
          </w:p>
        </w:tc>
      </w:tr>
      <w:tr w14:paraId="4440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786080D8">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铝迁移730d时污染晕（中心最大浓度为1.871mg/L）</w:t>
            </w:r>
          </w:p>
        </w:tc>
      </w:tr>
      <w:tr w14:paraId="715A8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2FF36B9D">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28" name="图片 128" descr="铝-10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铝-1000D"/>
                          <pic:cNvPicPr>
                            <a:picLocks noChangeAspect="1"/>
                          </pic:cNvPicPr>
                        </pic:nvPicPr>
                        <pic:blipFill>
                          <a:blip r:embed="rId160"/>
                          <a:stretch>
                            <a:fillRect/>
                          </a:stretch>
                        </pic:blipFill>
                        <pic:spPr>
                          <a:xfrm>
                            <a:off x="0" y="0"/>
                            <a:ext cx="5259705" cy="2828925"/>
                          </a:xfrm>
                          <a:prstGeom prst="rect">
                            <a:avLst/>
                          </a:prstGeom>
                        </pic:spPr>
                      </pic:pic>
                    </a:graphicData>
                  </a:graphic>
                </wp:inline>
              </w:drawing>
            </w:r>
          </w:p>
        </w:tc>
      </w:tr>
      <w:tr w14:paraId="519B5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6212098">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铝迁移1825d时污染晕（中心最大浓度为0.628mg/L）</w:t>
            </w:r>
          </w:p>
        </w:tc>
      </w:tr>
      <w:tr w14:paraId="3FD7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5BB7B533">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29" name="图片 129" descr="铝-36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铝-3650D"/>
                          <pic:cNvPicPr>
                            <a:picLocks noChangeAspect="1"/>
                          </pic:cNvPicPr>
                        </pic:nvPicPr>
                        <pic:blipFill>
                          <a:blip r:embed="rId161"/>
                          <a:stretch>
                            <a:fillRect/>
                          </a:stretch>
                        </pic:blipFill>
                        <pic:spPr>
                          <a:xfrm>
                            <a:off x="0" y="0"/>
                            <a:ext cx="5259705" cy="2828925"/>
                          </a:xfrm>
                          <a:prstGeom prst="rect">
                            <a:avLst/>
                          </a:prstGeom>
                        </pic:spPr>
                      </pic:pic>
                    </a:graphicData>
                  </a:graphic>
                </wp:inline>
              </w:drawing>
            </w:r>
          </w:p>
        </w:tc>
      </w:tr>
      <w:tr w14:paraId="4B11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0B00E4D5">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铝迁移3650d时污染晕（中心最大浓度为0.060mg/L）</w:t>
            </w:r>
          </w:p>
        </w:tc>
      </w:tr>
      <w:tr w14:paraId="1D293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5FF62D9">
            <w:pPr>
              <w:pStyle w:val="26"/>
              <w:bidi w:val="0"/>
              <w:ind w:left="0" w:leftChars="0" w:firstLine="0"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drawing>
                <wp:inline distT="0" distB="0" distL="114300" distR="114300">
                  <wp:extent cx="5259705" cy="2828925"/>
                  <wp:effectExtent l="0" t="0" r="17145" b="9525"/>
                  <wp:docPr id="130" name="图片 130" descr="铝-7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铝-7300D"/>
                          <pic:cNvPicPr>
                            <a:picLocks noChangeAspect="1"/>
                          </pic:cNvPicPr>
                        </pic:nvPicPr>
                        <pic:blipFill>
                          <a:blip r:embed="rId162"/>
                          <a:stretch>
                            <a:fillRect/>
                          </a:stretch>
                        </pic:blipFill>
                        <pic:spPr>
                          <a:xfrm>
                            <a:off x="0" y="0"/>
                            <a:ext cx="5259705" cy="2828925"/>
                          </a:xfrm>
                          <a:prstGeom prst="rect">
                            <a:avLst/>
                          </a:prstGeom>
                        </pic:spPr>
                      </pic:pic>
                    </a:graphicData>
                  </a:graphic>
                </wp:inline>
              </w:drawing>
            </w:r>
          </w:p>
        </w:tc>
      </w:tr>
      <w:tr w14:paraId="23211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14" w:type="dxa"/>
            <w:tcBorders>
              <w:tl2br w:val="nil"/>
              <w:tr2bl w:val="nil"/>
            </w:tcBorders>
            <w:vAlign w:val="top"/>
          </w:tcPr>
          <w:p w14:paraId="427AEE5C">
            <w:pPr>
              <w:pStyle w:val="26"/>
              <w:bidi w:val="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铝迁移7300d时污染晕（中心最大浓度为0.017mg/L）</w:t>
            </w:r>
          </w:p>
        </w:tc>
      </w:tr>
    </w:tbl>
    <w:p w14:paraId="01E75B39">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非正常状况铝污染迁移图</w:t>
      </w:r>
    </w:p>
    <w:p w14:paraId="544B55AD">
      <w:pPr>
        <w:spacing w:line="360" w:lineRule="auto"/>
        <w:ind w:left="0" w:leftChars="0" w:firstLine="480" w:firstLineChars="200"/>
        <w:jc w:val="both"/>
        <w:rPr>
          <w:rFonts w:ascii="Times New Roman" w:hAnsi="Times New Roman" w:cs="Times New Roman"/>
          <w:color w:val="auto"/>
          <w:highlight w:val="none"/>
        </w:rPr>
      </w:pPr>
      <w:r>
        <w:rPr>
          <w:rFonts w:ascii="Times New Roman" w:hAnsi="Times New Roman" w:cs="Times New Roman"/>
          <w:color w:val="auto"/>
          <w:highlight w:val="none"/>
        </w:rPr>
        <w:t>由预测图可知，非正常状况发生后，</w:t>
      </w:r>
      <w:r>
        <w:rPr>
          <w:rFonts w:hint="eastAsia" w:ascii="Times New Roman" w:hAnsi="Times New Roman" w:cs="Times New Roman"/>
          <w:color w:val="auto"/>
          <w:highlight w:val="none"/>
        </w:rPr>
        <w:t>污染物先以机械弥散形式向外扩散，主要发生在罐区东侧，随后受地下水影响溶质沿地下水径流方向，向南东侧径流运移</w:t>
      </w:r>
      <w:r>
        <w:rPr>
          <w:rFonts w:ascii="Times New Roman" w:hAnsi="Times New Roman" w:cs="Times New Roman"/>
          <w:color w:val="auto"/>
          <w:highlight w:val="none"/>
        </w:rPr>
        <w:t>。</w:t>
      </w:r>
      <w:r>
        <w:rPr>
          <w:rFonts w:hint="eastAsia" w:ascii="Times New Roman" w:hAnsi="Times New Roman" w:cs="Times New Roman"/>
          <w:color w:val="auto"/>
          <w:highlight w:val="none"/>
        </w:rPr>
        <w:t>泄漏</w:t>
      </w:r>
      <w:r>
        <w:rPr>
          <w:rFonts w:ascii="Times New Roman" w:hAnsi="Times New Roman" w:cs="Times New Roman"/>
          <w:color w:val="auto"/>
          <w:highlight w:val="none"/>
        </w:rPr>
        <w:t>30d</w:t>
      </w:r>
      <w:r>
        <w:rPr>
          <w:rFonts w:hint="eastAsia" w:ascii="Times New Roman" w:hAnsi="Times New Roman" w:cs="Times New Roman"/>
          <w:color w:val="auto"/>
          <w:highlight w:val="none"/>
        </w:rPr>
        <w:t>后，由于该区域水头差较小，污染物运移距离有限，地下水中铝最高浓度为398.326mg/</w:t>
      </w:r>
      <w:r>
        <w:rPr>
          <w:rFonts w:ascii="Times New Roman" w:hAnsi="Times New Roman" w:cs="Times New Roman"/>
          <w:color w:val="auto"/>
          <w:highlight w:val="none"/>
        </w:rPr>
        <w:t>L</w:t>
      </w:r>
      <w:r>
        <w:rPr>
          <w:rFonts w:hint="eastAsia" w:ascii="Times New Roman" w:hAnsi="Times New Roman" w:cs="Times New Roman"/>
          <w:color w:val="auto"/>
          <w:highlight w:val="none"/>
        </w:rPr>
        <w:t>，浓度最大中心位于罐区</w:t>
      </w:r>
      <w:r>
        <w:rPr>
          <w:rFonts w:hint="eastAsia"/>
          <w:color w:val="auto"/>
          <w:highlight w:val="none"/>
        </w:rPr>
        <w:t>东侧</w:t>
      </w:r>
      <w:r>
        <w:rPr>
          <w:rFonts w:hint="eastAsia" w:ascii="Times New Roman" w:hAnsi="Times New Roman" w:cs="Times New Roman"/>
          <w:color w:val="auto"/>
          <w:highlight w:val="none"/>
        </w:rPr>
        <w:t>；随后地下水中铝浓度持续降低，至</w:t>
      </w:r>
      <w:r>
        <w:rPr>
          <w:rFonts w:hint="eastAsia" w:cs="Times New Roman"/>
          <w:color w:val="auto"/>
          <w:highlight w:val="none"/>
          <w:lang w:val="en-US" w:eastAsia="zh-CN"/>
        </w:rPr>
        <w:t>3650</w:t>
      </w:r>
      <w:r>
        <w:rPr>
          <w:rFonts w:hint="eastAsia" w:ascii="Times New Roman" w:hAnsi="Times New Roman" w:cs="Times New Roman"/>
          <w:color w:val="auto"/>
          <w:highlight w:val="none"/>
        </w:rPr>
        <w:t>d时，中心最大浓度为0.060</w:t>
      </w:r>
      <w:r>
        <w:rPr>
          <w:rFonts w:ascii="Times New Roman" w:hAnsi="Times New Roman" w:cs="Times New Roman"/>
          <w:color w:val="auto"/>
          <w:highlight w:val="none"/>
        </w:rPr>
        <w:t>mg/L</w:t>
      </w:r>
      <w:r>
        <w:rPr>
          <w:rFonts w:hint="eastAsia" w:ascii="Times New Roman" w:hAnsi="Times New Roman" w:cs="Times New Roman"/>
          <w:color w:val="auto"/>
          <w:highlight w:val="none"/>
        </w:rPr>
        <w:t>，此时地下水铝浓度已低于《地下水质量标准》（GB/T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0.2</w:t>
      </w:r>
      <w:r>
        <w:rPr>
          <w:rFonts w:ascii="Times New Roman" w:hAnsi="Times New Roman" w:cs="Times New Roman"/>
          <w:color w:val="auto"/>
          <w:highlight w:val="none"/>
        </w:rPr>
        <w:t>mg/L</w:t>
      </w:r>
      <w:r>
        <w:rPr>
          <w:rFonts w:hint="eastAsia" w:ascii="Times New Roman" w:hAnsi="Times New Roman" w:cs="Times New Roman"/>
          <w:color w:val="auto"/>
          <w:highlight w:val="none"/>
        </w:rPr>
        <w:t>。</w:t>
      </w:r>
    </w:p>
    <w:p w14:paraId="6DC08C30">
      <w:pPr>
        <w:pStyle w:val="26"/>
        <w:bidi w:val="0"/>
        <w:rPr>
          <w:rFonts w:ascii="Times New Roman" w:hAnsi="Times New Roman" w:cs="Times New Roman"/>
          <w:color w:val="auto"/>
          <w:highlight w:val="none"/>
        </w:rPr>
      </w:pPr>
      <w:r>
        <w:rPr>
          <w:rFonts w:hint="eastAsia" w:ascii="Times New Roman" w:hAnsi="Times New Roman" w:cs="Times New Roman"/>
          <w:color w:val="auto"/>
          <w:highlight w:val="none"/>
        </w:rPr>
        <w:t>非</w:t>
      </w:r>
      <w:r>
        <w:rPr>
          <w:rFonts w:ascii="Times New Roman" w:hAnsi="Times New Roman" w:cs="Times New Roman"/>
          <w:color w:val="auto"/>
          <w:highlight w:val="none"/>
        </w:rPr>
        <w:t>正常状况发生约</w:t>
      </w:r>
      <w:r>
        <w:rPr>
          <w:rFonts w:hint="eastAsia" w:cs="Times New Roman"/>
          <w:color w:val="auto"/>
          <w:highlight w:val="none"/>
          <w:lang w:val="en-US" w:eastAsia="zh-CN"/>
        </w:rPr>
        <w:t>2960</w:t>
      </w:r>
      <w:r>
        <w:rPr>
          <w:rFonts w:ascii="Times New Roman" w:hAnsi="Times New Roman" w:cs="Times New Roman"/>
          <w:color w:val="auto"/>
          <w:highlight w:val="none"/>
        </w:rPr>
        <w:t>d后</w:t>
      </w:r>
      <w:r>
        <w:rPr>
          <w:rFonts w:hint="eastAsia" w:cs="Times New Roman"/>
          <w:color w:val="auto"/>
          <w:highlight w:val="none"/>
          <w:lang w:val="en-US" w:eastAsia="zh-CN"/>
        </w:rPr>
        <w:t>铝</w:t>
      </w:r>
      <w:r>
        <w:rPr>
          <w:rFonts w:ascii="Times New Roman" w:hAnsi="Times New Roman" w:cs="Times New Roman"/>
          <w:color w:val="auto"/>
          <w:highlight w:val="none"/>
        </w:rPr>
        <w:t>在含水层中</w:t>
      </w:r>
      <w:r>
        <w:rPr>
          <w:rFonts w:hint="eastAsia" w:cs="Times New Roman"/>
          <w:color w:val="auto"/>
          <w:highlight w:val="none"/>
          <w:lang w:val="en-US" w:eastAsia="zh-CN"/>
        </w:rPr>
        <w:t>浓度</w:t>
      </w:r>
      <w:r>
        <w:rPr>
          <w:rFonts w:ascii="Times New Roman" w:hAnsi="Times New Roman" w:cs="Times New Roman"/>
          <w:color w:val="auto"/>
          <w:highlight w:val="none"/>
        </w:rPr>
        <w:t>低于</w:t>
      </w:r>
      <w:r>
        <w:rPr>
          <w:rFonts w:hint="eastAsia" w:ascii="Times New Roman" w:hAnsi="Times New Roman" w:cs="Times New Roman"/>
          <w:color w:val="auto"/>
          <w:highlight w:val="none"/>
        </w:rPr>
        <w:t>《地下水质量标准》（GB/T 14848-2017）</w:t>
      </w:r>
      <w:r>
        <w:rPr>
          <w:rFonts w:ascii="Times New Roman" w:hAnsi="Times New Roman" w:cs="Times New Roman"/>
          <w:color w:val="auto"/>
          <w:highlight w:val="none"/>
        </w:rPr>
        <w:t>中III类水质标准限值</w:t>
      </w:r>
      <w:r>
        <w:rPr>
          <w:rFonts w:hint="eastAsia" w:ascii="Times New Roman" w:hAnsi="Times New Roman" w:cs="Times New Roman"/>
          <w:color w:val="auto"/>
          <w:highlight w:val="none"/>
        </w:rPr>
        <w:t>0.2</w:t>
      </w:r>
      <w:r>
        <w:rPr>
          <w:rFonts w:ascii="Times New Roman" w:hAnsi="Times New Roman" w:cs="Times New Roman"/>
          <w:color w:val="auto"/>
          <w:highlight w:val="none"/>
        </w:rPr>
        <w:t>mg/</w:t>
      </w:r>
      <w:r>
        <w:rPr>
          <w:rFonts w:hint="eastAsia" w:ascii="Times New Roman" w:hAnsi="Times New Roman" w:cs="Times New Roman"/>
          <w:color w:val="auto"/>
          <w:highlight w:val="none"/>
          <w:lang w:val="en-US" w:eastAsia="zh-CN"/>
        </w:rPr>
        <w:t>L</w:t>
      </w:r>
      <w:r>
        <w:rPr>
          <w:rFonts w:hint="eastAsia" w:ascii="Times New Roman" w:hAnsi="Times New Roman" w:cs="Times New Roman"/>
          <w:color w:val="auto"/>
          <w:highlight w:val="none"/>
        </w:rPr>
        <w:t>，最大运移距离为</w:t>
      </w:r>
      <w:r>
        <w:rPr>
          <w:rFonts w:hint="eastAsia" w:cs="Times New Roman"/>
          <w:color w:val="auto"/>
          <w:highlight w:val="none"/>
          <w:lang w:val="en-US" w:eastAsia="zh-CN"/>
        </w:rPr>
        <w:t>134.6</w:t>
      </w:r>
      <w:r>
        <w:rPr>
          <w:rFonts w:ascii="Times New Roman" w:hAnsi="Times New Roman" w:cs="Times New Roman"/>
          <w:color w:val="auto"/>
          <w:highlight w:val="none"/>
        </w:rPr>
        <w:t>m。</w:t>
      </w:r>
    </w:p>
    <w:p w14:paraId="077C9A39">
      <w:pPr>
        <w:pStyle w:val="26"/>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本项目距下游最近的地下水环境保护目标分散式水井约</w:t>
      </w:r>
      <w:r>
        <w:rPr>
          <w:rFonts w:hint="eastAsia" w:cs="Times New Roman"/>
          <w:color w:val="auto"/>
          <w:highlight w:val="none"/>
          <w:lang w:val="en-US" w:eastAsia="zh-CN"/>
        </w:rPr>
        <w:t>1470</w:t>
      </w:r>
      <w:r>
        <w:rPr>
          <w:rFonts w:hint="eastAsia" w:ascii="Times New Roman" w:hAnsi="Times New Roman" w:cs="Times New Roman"/>
          <w:color w:val="auto"/>
          <w:highlight w:val="none"/>
          <w:lang w:val="en-US" w:eastAsia="zh-CN"/>
        </w:rPr>
        <w:t>m，远远大于</w:t>
      </w:r>
      <w:r>
        <w:rPr>
          <w:rFonts w:hint="eastAsia" w:cs="Times New Roman"/>
          <w:color w:val="auto"/>
          <w:highlight w:val="none"/>
          <w:lang w:val="en-US" w:eastAsia="zh-CN"/>
        </w:rPr>
        <w:t>铝</w:t>
      </w:r>
      <w:r>
        <w:rPr>
          <w:rFonts w:hint="eastAsia" w:ascii="Times New Roman" w:hAnsi="Times New Roman" w:cs="Times New Roman"/>
          <w:color w:val="auto"/>
          <w:highlight w:val="none"/>
          <w:lang w:val="en-US" w:eastAsia="zh-CN"/>
        </w:rPr>
        <w:t>在含水层中浓度降低至III类水质标准的最大运移距离，不会对评价范围内地下水环境保护目标处水质产生明显影响。</w:t>
      </w:r>
    </w:p>
    <w:p w14:paraId="1ADF2C54">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5、预测结果分析</w:t>
      </w:r>
    </w:p>
    <w:p w14:paraId="0BF930D3">
      <w:pPr>
        <w:pStyle w:val="26"/>
        <w:bidi w:val="0"/>
        <w:rPr>
          <w:color w:val="auto"/>
          <w:highlight w:val="none"/>
        </w:rPr>
      </w:pPr>
      <w:r>
        <w:rPr>
          <w:rFonts w:hint="eastAsia"/>
          <w:color w:val="auto"/>
          <w:highlight w:val="none"/>
        </w:rPr>
        <w:t>根据预测结果，项目非正常状况下将对下游地下水局部水质造成污染，</w:t>
      </w:r>
      <w:r>
        <w:rPr>
          <w:rFonts w:hint="eastAsia"/>
          <w:color w:val="auto"/>
          <w:highlight w:val="none"/>
          <w:lang w:val="en-US" w:eastAsia="zh-CN"/>
        </w:rPr>
        <w:t>但</w:t>
      </w:r>
      <w:r>
        <w:rPr>
          <w:rFonts w:hint="eastAsia" w:ascii="Times New Roman" w:hAnsi="Times New Roman" w:cs="Times New Roman"/>
          <w:color w:val="auto"/>
          <w:highlight w:val="none"/>
          <w:lang w:val="en-US" w:eastAsia="zh-CN"/>
        </w:rPr>
        <w:t>不会对评价范围内地下水环境保护目标处水质产生明显影响。</w:t>
      </w:r>
      <w:r>
        <w:rPr>
          <w:rFonts w:hint="eastAsia"/>
          <w:color w:val="auto"/>
          <w:highlight w:val="none"/>
        </w:rPr>
        <w:t>环评要求：运营期应严格落实环评提出的地下水污染防治措施</w:t>
      </w:r>
      <w:r>
        <w:rPr>
          <w:rFonts w:hint="eastAsia"/>
          <w:color w:val="auto"/>
          <w:highlight w:val="none"/>
          <w:lang w:eastAsia="zh-CN"/>
        </w:rPr>
        <w:t>，</w:t>
      </w:r>
      <w:r>
        <w:rPr>
          <w:rFonts w:hint="eastAsia"/>
          <w:color w:val="auto"/>
          <w:highlight w:val="none"/>
        </w:rPr>
        <w:t>定期对地下水水质进行监测，如发现水质异常，</w:t>
      </w:r>
      <w:r>
        <w:rPr>
          <w:rFonts w:hint="eastAsia"/>
          <w:color w:val="auto"/>
          <w:highlight w:val="none"/>
          <w:lang w:val="en-US" w:eastAsia="zh-CN"/>
        </w:rPr>
        <w:t>应</w:t>
      </w:r>
      <w:r>
        <w:rPr>
          <w:rFonts w:hint="eastAsia"/>
          <w:color w:val="auto"/>
          <w:highlight w:val="none"/>
        </w:rPr>
        <w:t>立刻采取有效措施切断污染源并阻止污染羽的扩散迁移，将地下水控制在局部范围，避免对厂区下游地下水造成污染。</w:t>
      </w:r>
    </w:p>
    <w:p w14:paraId="30605B7E">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地下水环境保护措施及对策</w:t>
      </w:r>
    </w:p>
    <w:p w14:paraId="67A418F0">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1、地下水环境保护措施</w:t>
      </w:r>
    </w:p>
    <w:p w14:paraId="52CCE9A3">
      <w:pPr>
        <w:spacing w:line="360" w:lineRule="auto"/>
        <w:rPr>
          <w:b/>
          <w:bCs/>
          <w:color w:val="auto"/>
          <w:sz w:val="24"/>
          <w:szCs w:val="24"/>
          <w:highlight w:val="none"/>
        </w:rPr>
      </w:pPr>
      <w:r>
        <w:rPr>
          <w:rFonts w:hint="eastAsia"/>
          <w:b/>
          <w:bCs/>
          <w:color w:val="auto"/>
          <w:sz w:val="24"/>
          <w:szCs w:val="24"/>
          <w:highlight w:val="none"/>
        </w:rPr>
        <w:t>（1）源头控制</w:t>
      </w:r>
    </w:p>
    <w:p w14:paraId="16957140">
      <w:pPr>
        <w:pStyle w:val="26"/>
        <w:bidi w:val="0"/>
        <w:rPr>
          <w:color w:val="auto"/>
          <w:highlight w:val="none"/>
        </w:rPr>
      </w:pPr>
      <w:r>
        <w:rPr>
          <w:rFonts w:hint="eastAsia"/>
          <w:color w:val="auto"/>
        </w:rPr>
        <w:t>本项目采用国内先进的工艺，</w:t>
      </w:r>
      <w:r>
        <w:rPr>
          <w:rFonts w:hint="eastAsia"/>
          <w:color w:val="auto"/>
          <w:lang w:val="en-US" w:eastAsia="zh-CN"/>
        </w:rPr>
        <w:t>生产过程中采用密闭管罐系统，</w:t>
      </w:r>
      <w:r>
        <w:rPr>
          <w:rFonts w:hint="eastAsia"/>
          <w:color w:val="auto"/>
        </w:rPr>
        <w:t>工艺设备、管道、</w:t>
      </w:r>
      <w:r>
        <w:rPr>
          <w:rFonts w:hint="eastAsia"/>
          <w:color w:val="auto"/>
          <w:lang w:val="en-US" w:eastAsia="zh-CN"/>
        </w:rPr>
        <w:t>罐体</w:t>
      </w:r>
      <w:r>
        <w:rPr>
          <w:rFonts w:hint="eastAsia"/>
          <w:color w:val="auto"/>
        </w:rPr>
        <w:t>均</w:t>
      </w:r>
      <w:r>
        <w:rPr>
          <w:color w:val="auto"/>
        </w:rPr>
        <w:t>采取防腐、防渗漏措施</w:t>
      </w:r>
      <w:r>
        <w:rPr>
          <w:rFonts w:hint="eastAsia"/>
          <w:color w:val="auto"/>
        </w:rPr>
        <w:t>，</w:t>
      </w:r>
      <w:r>
        <w:rPr>
          <w:rFonts w:hint="eastAsia"/>
          <w:color w:val="auto"/>
          <w:lang w:val="en-US" w:eastAsia="zh-CN"/>
        </w:rPr>
        <w:t>化学品输送管道可视化，</w:t>
      </w:r>
      <w:r>
        <w:rPr>
          <w:color w:val="auto"/>
        </w:rPr>
        <w:t>定期检查</w:t>
      </w:r>
      <w:r>
        <w:rPr>
          <w:rFonts w:hint="eastAsia"/>
          <w:color w:val="auto"/>
        </w:rPr>
        <w:t>工艺</w:t>
      </w:r>
      <w:r>
        <w:rPr>
          <w:rFonts w:hint="eastAsia"/>
          <w:color w:val="auto"/>
          <w:lang w:val="en-US" w:eastAsia="zh-CN"/>
        </w:rPr>
        <w:t>设备、</w:t>
      </w:r>
      <w:r>
        <w:rPr>
          <w:color w:val="auto"/>
        </w:rPr>
        <w:t>管道、</w:t>
      </w:r>
      <w:r>
        <w:rPr>
          <w:rFonts w:hint="eastAsia"/>
          <w:color w:val="auto"/>
          <w:lang w:val="en-US" w:eastAsia="zh-CN"/>
        </w:rPr>
        <w:t>罐体</w:t>
      </w:r>
      <w:r>
        <w:rPr>
          <w:color w:val="auto"/>
        </w:rPr>
        <w:t>状态，防止污染物“跑、冒、滴、漏”</w:t>
      </w:r>
      <w:r>
        <w:rPr>
          <w:rFonts w:hint="eastAsia"/>
          <w:color w:val="auto"/>
        </w:rPr>
        <w:t>，将污染物泄漏的环境风险事故降到最低程度</w:t>
      </w:r>
      <w:r>
        <w:rPr>
          <w:rFonts w:hint="eastAsia" w:ascii="Times New Roman" w:hAnsi="Times New Roman"/>
          <w:color w:val="auto"/>
          <w:sz w:val="24"/>
          <w:szCs w:val="24"/>
          <w:highlight w:val="none"/>
        </w:rPr>
        <w:t>。</w:t>
      </w:r>
    </w:p>
    <w:p w14:paraId="709BD26B">
      <w:pPr>
        <w:spacing w:line="360" w:lineRule="auto"/>
        <w:ind w:left="0" w:leftChars="0" w:firstLine="482" w:firstLineChars="200"/>
        <w:rPr>
          <w:b/>
          <w:bCs/>
          <w:color w:val="auto"/>
          <w:sz w:val="24"/>
          <w:szCs w:val="24"/>
          <w:highlight w:val="none"/>
        </w:rPr>
      </w:pPr>
      <w:r>
        <w:rPr>
          <w:rFonts w:hint="eastAsia"/>
          <w:b/>
          <w:bCs/>
          <w:color w:val="auto"/>
          <w:sz w:val="24"/>
          <w:szCs w:val="24"/>
          <w:highlight w:val="none"/>
        </w:rPr>
        <w:t>（</w:t>
      </w:r>
      <w:r>
        <w:rPr>
          <w:b/>
          <w:bCs/>
          <w:color w:val="auto"/>
          <w:sz w:val="24"/>
          <w:szCs w:val="24"/>
          <w:highlight w:val="none"/>
        </w:rPr>
        <w:t>2</w:t>
      </w:r>
      <w:r>
        <w:rPr>
          <w:rFonts w:hint="eastAsia"/>
          <w:b/>
          <w:bCs/>
          <w:color w:val="auto"/>
          <w:sz w:val="24"/>
          <w:szCs w:val="24"/>
          <w:highlight w:val="none"/>
        </w:rPr>
        <w:t>）分区防渗</w:t>
      </w:r>
    </w:p>
    <w:p w14:paraId="12D67CC3">
      <w:pPr>
        <w:bidi w:val="0"/>
        <w:ind w:left="0" w:leftChars="0" w:firstLine="480" w:firstLineChars="200"/>
        <w:rPr>
          <w:color w:val="auto"/>
        </w:rPr>
      </w:pPr>
      <w:r>
        <w:rPr>
          <w:rFonts w:hint="eastAsia"/>
          <w:color w:val="auto"/>
          <w:lang w:val="en-US" w:eastAsia="zh-CN"/>
        </w:rPr>
        <w:t>根据项目初步设计资料，各防渗分区拟采取以下防渗措施：</w:t>
      </w:r>
    </w:p>
    <w:p w14:paraId="530E5669">
      <w:pPr>
        <w:bidi w:val="0"/>
        <w:ind w:left="0" w:leftChars="0" w:firstLine="482" w:firstLineChars="200"/>
        <w:rPr>
          <w:rFonts w:hint="eastAsia" w:eastAsia="System"/>
          <w:b w:val="0"/>
          <w:bCs w:val="0"/>
          <w:color w:val="auto"/>
          <w:lang w:val="en-US" w:eastAsia="zh-CN"/>
        </w:rPr>
      </w:pPr>
      <w:r>
        <w:rPr>
          <w:b/>
          <w:bCs/>
          <w:color w:val="auto"/>
        </w:rPr>
        <w:t>重点防渗区：</w:t>
      </w:r>
      <w:r>
        <w:rPr>
          <w:rFonts w:hint="eastAsia"/>
          <w:b w:val="0"/>
          <w:bCs w:val="0"/>
          <w:color w:val="auto"/>
          <w:lang w:val="en-US" w:eastAsia="zh-CN"/>
        </w:rPr>
        <w:t>危废暂存间</w:t>
      </w:r>
      <w:r>
        <w:rPr>
          <w:rFonts w:hint="eastAsia"/>
          <w:color w:val="auto"/>
          <w:lang w:val="en-US" w:eastAsia="zh-CN"/>
        </w:rPr>
        <w:t>地面采取压实填土+膜下保护层（长丝无纺土工布）+混凝土垫层+1.5厚高密度聚乙烯（HDPE）膜+膜上保护层（长丝无纺土工布）+200厚砂石层+混凝土垫层+界面剂+40厚C25细石混凝土表层（混凝土抗渗等级不低于P8）；生产车间、液体库区和双氧水库房采取压实填土+80厚C25混凝土垫层+界面剂+40厚C25细石混凝土表层（混凝土抗渗等级不低于P8）；2#罐区、围堰及集水池采取素土夯实+100厚砂垫层+1.5厚高密度聚乙烯（HDPE）膜+200厚粗砂垫层+120厚C30抗渗混凝土（P8）垫层+素水泥浆+20厚1:25不发火水泥砂浆抹平压光；1#罐区、3#罐区、围堰及集水池采取素土夯实+100厚砂垫层+1.5厚高密度聚乙烯（HDPE）膜+200厚粗砂垫层+120厚C30抗渗混凝土（P8）垫层+素水泥浆；初期雨水池、事故应急池四周采取</w:t>
      </w:r>
      <w:r>
        <w:rPr>
          <w:rFonts w:hint="eastAsia"/>
          <w:color w:val="auto"/>
          <w:lang w:val="zh-CN" w:eastAsia="zh-CN"/>
        </w:rPr>
        <w:t>双酚A型不饱和聚酯封面料</w:t>
      </w:r>
      <w:r>
        <w:rPr>
          <w:rFonts w:hint="eastAsia"/>
          <w:color w:val="auto"/>
          <w:lang w:val="en-US" w:eastAsia="zh-CN"/>
        </w:rPr>
        <w:t>+结合层+隔离层+20厚1：2.5水泥砂浆+0.9厚</w:t>
      </w:r>
      <w:r>
        <w:rPr>
          <w:rFonts w:hint="eastAsia"/>
          <w:color w:val="auto"/>
          <w:lang w:val="zh-CN" w:eastAsia="zh-CN"/>
        </w:rPr>
        <w:t>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w:t>
      </w:r>
      <w:r>
        <w:rPr>
          <w:rFonts w:hint="eastAsia"/>
          <w:color w:val="auto"/>
          <w:lang w:val="zh-CN" w:eastAsia="zh-CN"/>
        </w:rPr>
        <w:t>15厚1:2水泥砂浆找平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池顶采取10厚</w:t>
      </w:r>
      <w:r>
        <w:rPr>
          <w:rFonts w:hint="eastAsia"/>
          <w:color w:val="auto"/>
          <w:lang w:val="zh-CN" w:eastAsia="zh-CN"/>
        </w:rPr>
        <w:t>双酚A型不饱和聚酯</w:t>
      </w:r>
      <w:r>
        <w:rPr>
          <w:rFonts w:hint="eastAsia"/>
          <w:color w:val="auto"/>
          <w:lang w:val="en-US" w:eastAsia="zh-CN"/>
        </w:rPr>
        <w:t>砂浆+结合层+隔离层+20厚C30细石混凝土+0.9厚</w:t>
      </w:r>
      <w:r>
        <w:rPr>
          <w:rFonts w:hint="eastAsia"/>
          <w:color w:val="auto"/>
          <w:lang w:val="zh-CN" w:eastAsia="zh-CN"/>
        </w:rPr>
        <w:t>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+20</w:t>
      </w:r>
      <w:r>
        <w:rPr>
          <w:rFonts w:hint="eastAsia"/>
          <w:color w:val="auto"/>
          <w:lang w:val="zh-CN" w:eastAsia="zh-CN"/>
        </w:rPr>
        <w:t>厚1:</w:t>
      </w:r>
      <w:r>
        <w:rPr>
          <w:rFonts w:hint="eastAsia"/>
          <w:color w:val="auto"/>
          <w:lang w:val="en-US" w:eastAsia="zh-CN"/>
        </w:rPr>
        <w:t>3</w:t>
      </w:r>
      <w:r>
        <w:rPr>
          <w:rFonts w:hint="eastAsia"/>
          <w:color w:val="auto"/>
          <w:lang w:val="zh-CN" w:eastAsia="zh-CN"/>
        </w:rPr>
        <w:t>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池底采取地基基础+100厚C20混凝土+</w:t>
      </w:r>
      <w:r>
        <w:rPr>
          <w:rFonts w:hint="eastAsia"/>
          <w:color w:val="auto"/>
          <w:lang w:val="zh-CN" w:eastAsia="zh-CN"/>
        </w:rPr>
        <w:t>4mm厚SBS改性沥青防水卷材</w:t>
      </w:r>
      <w:r>
        <w:rPr>
          <w:rFonts w:hint="eastAsia"/>
          <w:color w:val="auto"/>
          <w:lang w:val="en-US" w:eastAsia="zh-CN"/>
        </w:rPr>
        <w:t>+</w:t>
      </w:r>
      <w:r>
        <w:rPr>
          <w:rFonts w:hint="eastAsia"/>
          <w:color w:val="auto"/>
          <w:lang w:val="zh-CN" w:eastAsia="zh-CN"/>
        </w:rPr>
        <w:t>10厚低强度等级砂浆隔离层</w:t>
      </w:r>
      <w:r>
        <w:rPr>
          <w:rFonts w:hint="eastAsia"/>
          <w:color w:val="auto"/>
          <w:lang w:val="en-US" w:eastAsia="zh-CN"/>
        </w:rPr>
        <w:t>+</w:t>
      </w:r>
      <w:r>
        <w:rPr>
          <w:rFonts w:hint="eastAsia"/>
          <w:color w:val="auto"/>
          <w:lang w:val="zh-CN" w:eastAsia="zh-CN"/>
        </w:rPr>
        <w:t>50厚C20细石混凝土保护层</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p>
    <w:p w14:paraId="7BEE1C8A">
      <w:pPr>
        <w:bidi w:val="0"/>
        <w:ind w:left="0" w:leftChars="0" w:firstLine="482" w:firstLineChars="200"/>
        <w:rPr>
          <w:rFonts w:hint="default"/>
          <w:color w:val="auto"/>
          <w:lang w:val="en-US"/>
        </w:rPr>
      </w:pPr>
      <w:r>
        <w:rPr>
          <w:b/>
          <w:bCs/>
          <w:color w:val="auto"/>
        </w:rPr>
        <w:t>一般防渗区：</w:t>
      </w:r>
      <w:r>
        <w:rPr>
          <w:rFonts w:hint="eastAsia"/>
          <w:b w:val="0"/>
          <w:bCs w:val="0"/>
          <w:color w:val="auto"/>
          <w:lang w:val="en-US" w:eastAsia="zh-CN"/>
        </w:rPr>
        <w:t>仓库（液体库区、双氧水库房和危废暂存间外）</w:t>
      </w:r>
      <w:r>
        <w:rPr>
          <w:rFonts w:hint="eastAsia"/>
          <w:color w:val="auto"/>
          <w:lang w:val="en-US" w:eastAsia="zh-CN"/>
        </w:rPr>
        <w:t>地面采取压实填土+80厚C25混凝土垫层+界面剂+40厚C25细石混凝土表层；</w:t>
      </w:r>
      <w:r>
        <w:rPr>
          <w:rFonts w:hint="eastAsia"/>
          <w:b w:val="0"/>
          <w:bCs w:val="0"/>
          <w:color w:val="auto"/>
          <w:lang w:val="en-US" w:eastAsia="zh-CN"/>
        </w:rPr>
        <w:t>设备间、质检室地面采取</w:t>
      </w:r>
      <w:r>
        <w:rPr>
          <w:rFonts w:hint="eastAsia"/>
          <w:color w:val="auto"/>
          <w:lang w:val="en-US" w:eastAsia="zh-CN"/>
        </w:rPr>
        <w:t>抗渗混凝土；预处理池、沉淀池四周采取</w:t>
      </w:r>
      <w:r>
        <w:rPr>
          <w:rFonts w:hint="eastAsia"/>
          <w:color w:val="auto"/>
          <w:lang w:val="zh-CN" w:eastAsia="zh-CN"/>
        </w:rPr>
        <w:t>20厚1:2.5水泥砂浆</w:t>
      </w:r>
      <w:r>
        <w:rPr>
          <w:rFonts w:hint="eastAsia"/>
          <w:color w:val="auto"/>
          <w:lang w:val="en-US" w:eastAsia="zh-CN"/>
        </w:rPr>
        <w:t>+</w:t>
      </w:r>
      <w:r>
        <w:rPr>
          <w:rFonts w:hint="eastAsia"/>
          <w:color w:val="auto"/>
          <w:lang w:val="zh-CN" w:eastAsia="zh-CN"/>
        </w:rPr>
        <w:t>0.9厚聚乙烯丙纶防水卷材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w:t>
      </w:r>
      <w:r>
        <w:rPr>
          <w:rFonts w:hint="eastAsia"/>
          <w:color w:val="auto"/>
          <w:lang w:val="zh-CN" w:eastAsia="zh-CN"/>
        </w:rPr>
        <w:t>15厚1:2水泥砂浆找平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池顶采取20厚C30细石混凝土+0.9厚</w:t>
      </w:r>
      <w:r>
        <w:rPr>
          <w:rFonts w:hint="eastAsia"/>
          <w:color w:val="auto"/>
          <w:lang w:val="zh-CN" w:eastAsia="zh-CN"/>
        </w:rPr>
        <w:t>聚乙烯丙纶防水卷材</w:t>
      </w:r>
      <w:r>
        <w:rPr>
          <w:rFonts w:hint="eastAsia"/>
          <w:color w:val="auto"/>
          <w:lang w:val="en-US" w:eastAsia="zh-CN"/>
        </w:rPr>
        <w:t>+</w:t>
      </w:r>
      <w:r>
        <w:rPr>
          <w:rFonts w:hint="eastAsia"/>
          <w:color w:val="auto"/>
          <w:lang w:val="zh-CN" w:eastAsia="zh-CN"/>
        </w:rPr>
        <w:t>1.3厚聚合物水泥防水粘接料</w:t>
      </w:r>
      <w:r>
        <w:rPr>
          <w:rFonts w:hint="eastAsia"/>
          <w:color w:val="auto"/>
          <w:lang w:val="en-US" w:eastAsia="zh-CN"/>
        </w:rPr>
        <w:t>+20</w:t>
      </w:r>
      <w:r>
        <w:rPr>
          <w:rFonts w:hint="eastAsia"/>
          <w:color w:val="auto"/>
          <w:lang w:val="zh-CN" w:eastAsia="zh-CN"/>
        </w:rPr>
        <w:t>厚1:</w:t>
      </w:r>
      <w:r>
        <w:rPr>
          <w:rFonts w:hint="eastAsia"/>
          <w:color w:val="auto"/>
          <w:lang w:val="en-US" w:eastAsia="zh-CN"/>
        </w:rPr>
        <w:t>3</w:t>
      </w:r>
      <w:r>
        <w:rPr>
          <w:rFonts w:hint="eastAsia"/>
          <w:color w:val="auto"/>
          <w:lang w:val="zh-CN" w:eastAsia="zh-CN"/>
        </w:rPr>
        <w:t>水泥砂浆找平</w:t>
      </w:r>
      <w:r>
        <w:rPr>
          <w:rFonts w:hint="eastAsia"/>
          <w:color w:val="auto"/>
          <w:lang w:val="en-US" w:eastAsia="zh-CN"/>
        </w:rPr>
        <w:t>+</w:t>
      </w:r>
      <w:r>
        <w:rPr>
          <w:rFonts w:hint="eastAsia"/>
          <w:color w:val="auto"/>
          <w:lang w:val="zh-CN" w:eastAsia="zh-CN"/>
        </w:rPr>
        <w:t>素水泥浆一道</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池底采取地基基础+100厚C20混凝土+</w:t>
      </w:r>
      <w:r>
        <w:rPr>
          <w:rFonts w:hint="eastAsia"/>
          <w:color w:val="auto"/>
          <w:lang w:val="zh-CN" w:eastAsia="zh-CN"/>
        </w:rPr>
        <w:t>4mm厚SBS改性沥青防水卷材</w:t>
      </w:r>
      <w:r>
        <w:rPr>
          <w:rFonts w:hint="eastAsia"/>
          <w:color w:val="auto"/>
          <w:lang w:val="en-US" w:eastAsia="zh-CN"/>
        </w:rPr>
        <w:t>+</w:t>
      </w:r>
      <w:r>
        <w:rPr>
          <w:rFonts w:hint="eastAsia"/>
          <w:color w:val="auto"/>
          <w:lang w:val="zh-CN" w:eastAsia="zh-CN"/>
        </w:rPr>
        <w:t>10厚低强度等级砂浆隔离层</w:t>
      </w:r>
      <w:r>
        <w:rPr>
          <w:rFonts w:hint="eastAsia"/>
          <w:color w:val="auto"/>
          <w:lang w:val="en-US" w:eastAsia="zh-CN"/>
        </w:rPr>
        <w:t>+</w:t>
      </w:r>
      <w:r>
        <w:rPr>
          <w:rFonts w:hint="eastAsia"/>
          <w:color w:val="auto"/>
          <w:lang w:val="zh-CN" w:eastAsia="zh-CN"/>
        </w:rPr>
        <w:t>50厚C20细石混凝土保护层</w:t>
      </w:r>
      <w:r>
        <w:rPr>
          <w:rFonts w:hint="eastAsia"/>
          <w:color w:val="auto"/>
          <w:lang w:val="en-US" w:eastAsia="zh-CN"/>
        </w:rPr>
        <w:t>+</w:t>
      </w:r>
      <w:r>
        <w:rPr>
          <w:rFonts w:hint="eastAsia"/>
          <w:color w:val="auto"/>
          <w:lang w:val="zh-CN" w:eastAsia="zh-CN"/>
        </w:rPr>
        <w:t>钢筋混凝土</w:t>
      </w:r>
      <w:r>
        <w:rPr>
          <w:rFonts w:hint="eastAsia"/>
          <w:color w:val="auto"/>
          <w:lang w:val="en-US" w:eastAsia="zh-CN"/>
        </w:rPr>
        <w:t>（P8）</w:t>
      </w:r>
      <w:r>
        <w:rPr>
          <w:rFonts w:hint="eastAsia"/>
          <w:color w:val="auto"/>
          <w:lang w:val="zh-CN" w:eastAsia="zh-CN"/>
        </w:rPr>
        <w:t>结构自防水</w:t>
      </w:r>
      <w:r>
        <w:rPr>
          <w:rFonts w:hint="eastAsia"/>
          <w:color w:val="auto"/>
          <w:lang w:val="en-US" w:eastAsia="zh-CN"/>
        </w:rPr>
        <w:t>。</w:t>
      </w:r>
    </w:p>
    <w:p w14:paraId="505C6F75">
      <w:pPr>
        <w:bidi w:val="0"/>
        <w:ind w:left="0" w:leftChars="0" w:firstLine="482" w:firstLineChars="200"/>
        <w:rPr>
          <w:rFonts w:hint="eastAsia"/>
          <w:color w:val="auto"/>
        </w:rPr>
      </w:pPr>
      <w:r>
        <w:rPr>
          <w:b/>
          <w:bCs/>
          <w:color w:val="auto"/>
        </w:rPr>
        <w:t>简单防渗区</w:t>
      </w:r>
      <w:r>
        <w:rPr>
          <w:rFonts w:hint="eastAsia"/>
          <w:b/>
          <w:bCs/>
          <w:color w:val="auto"/>
        </w:rPr>
        <w:t>：</w:t>
      </w:r>
      <w:r>
        <w:rPr>
          <w:rFonts w:hint="eastAsia"/>
          <w:color w:val="auto"/>
          <w:lang w:val="en-US" w:eastAsia="zh-CN"/>
        </w:rPr>
        <w:t>公用工程间（除设备间外）、综合楼（除质检室外）、装卸区、消防控制室、门卫室及厂区除重点防渗区、一般防渗区、绿化以外的区域采取</w:t>
      </w:r>
      <w:r>
        <w:rPr>
          <w:rFonts w:hint="eastAsia"/>
          <w:color w:val="auto"/>
        </w:rPr>
        <w:t>一般地面硬化。</w:t>
      </w:r>
    </w:p>
    <w:p w14:paraId="45896B35">
      <w:pPr>
        <w:pStyle w:val="26"/>
        <w:bidi w:val="0"/>
        <w:rPr>
          <w:color w:val="auto"/>
          <w:highlight w:val="none"/>
        </w:rPr>
      </w:pPr>
      <w:r>
        <w:rPr>
          <w:rFonts w:hint="eastAsia"/>
          <w:color w:val="auto"/>
        </w:rPr>
        <w:t>各防渗分区的防渗结构应由专业设计单位根据相关要求进行设计</w:t>
      </w:r>
      <w:r>
        <w:rPr>
          <w:rFonts w:hint="eastAsia"/>
          <w:color w:val="auto"/>
          <w:lang w:val="en-US" w:eastAsia="zh-CN"/>
        </w:rPr>
        <w:t>后最终确定</w:t>
      </w:r>
      <w:r>
        <w:rPr>
          <w:rFonts w:hint="eastAsia"/>
          <w:color w:val="auto"/>
        </w:rPr>
        <w:t>，不应低于环评提出的防渗要求；建设单位及施工监理单位应做好防渗工程的监管工作，确保防渗工程符合要求，并记录留档。</w:t>
      </w:r>
    </w:p>
    <w:p w14:paraId="3DE60AAE">
      <w:pPr>
        <w:pStyle w:val="30"/>
        <w:bidi w:val="0"/>
        <w:rPr>
          <w:color w:val="auto"/>
          <w:highlight w:val="none"/>
        </w:rPr>
      </w:pPr>
      <w:r>
        <w:rPr>
          <w:rFonts w:hint="eastAsia"/>
          <w:color w:val="auto"/>
          <w:highlight w:val="none"/>
        </w:rPr>
        <w:t>（</w:t>
      </w:r>
      <w:r>
        <w:rPr>
          <w:color w:val="auto"/>
          <w:highlight w:val="none"/>
        </w:rPr>
        <w:t>3</w:t>
      </w:r>
      <w:r>
        <w:rPr>
          <w:rFonts w:hint="eastAsia"/>
          <w:color w:val="auto"/>
          <w:highlight w:val="none"/>
        </w:rPr>
        <w:t>）地下水环境监测及管理</w:t>
      </w:r>
    </w:p>
    <w:p w14:paraId="4EFA63C8">
      <w:pPr>
        <w:bidi w:val="0"/>
        <w:ind w:left="0" w:leftChars="0" w:firstLine="480" w:firstLineChars="200"/>
        <w:rPr>
          <w:rFonts w:hint="default"/>
          <w:color w:val="auto"/>
          <w:lang w:val="en-US" w:eastAsia="zh-CN"/>
        </w:rPr>
      </w:pPr>
      <w:r>
        <w:rPr>
          <w:rFonts w:hint="eastAsia"/>
          <w:color w:val="auto"/>
        </w:rPr>
        <w:t>①</w:t>
      </w:r>
      <w:r>
        <w:rPr>
          <w:rFonts w:hint="default" w:ascii="Times New Roman" w:hAnsi="Times New Roman" w:eastAsia="宋体" w:cs="Times New Roman"/>
          <w:b w:val="0"/>
          <w:bCs w:val="0"/>
          <w:color w:val="auto"/>
          <w:sz w:val="24"/>
          <w:szCs w:val="24"/>
          <w:highlight w:val="none"/>
          <w:lang w:val="en-US" w:eastAsia="zh-CN"/>
        </w:rPr>
        <w:t>厂区内化学品输送管道</w:t>
      </w:r>
      <w:r>
        <w:rPr>
          <w:rFonts w:hint="eastAsia" w:cs="Times New Roman"/>
          <w:b w:val="0"/>
          <w:bCs w:val="0"/>
          <w:color w:val="auto"/>
          <w:sz w:val="24"/>
          <w:szCs w:val="24"/>
          <w:highlight w:val="none"/>
          <w:lang w:val="en-US" w:eastAsia="zh-CN"/>
        </w:rPr>
        <w:t>、生产废水输送管道</w:t>
      </w:r>
      <w:r>
        <w:rPr>
          <w:rFonts w:hint="default" w:ascii="Times New Roman" w:hAnsi="Times New Roman" w:eastAsia="宋体" w:cs="Times New Roman"/>
          <w:b w:val="0"/>
          <w:bCs w:val="0"/>
          <w:color w:val="auto"/>
          <w:sz w:val="24"/>
          <w:szCs w:val="24"/>
          <w:highlight w:val="none"/>
          <w:lang w:val="en-US" w:eastAsia="zh-CN"/>
        </w:rPr>
        <w:t>均可视化架空设置</w:t>
      </w:r>
      <w:r>
        <w:rPr>
          <w:rFonts w:hint="eastAsia" w:cs="Times New Roman"/>
          <w:b w:val="0"/>
          <w:bCs w:val="0"/>
          <w:color w:val="auto"/>
          <w:sz w:val="24"/>
          <w:szCs w:val="24"/>
          <w:highlight w:val="none"/>
          <w:lang w:val="en-US" w:eastAsia="zh-CN"/>
        </w:rPr>
        <w:t>，且设置事故废水架空收集管道。</w:t>
      </w:r>
      <w:r>
        <w:rPr>
          <w:rFonts w:hint="eastAsia"/>
          <w:color w:val="auto"/>
        </w:rPr>
        <w:t>加强各管路</w:t>
      </w:r>
      <w:r>
        <w:rPr>
          <w:rFonts w:hint="eastAsia"/>
          <w:color w:val="auto"/>
          <w:lang w:eastAsia="zh-CN"/>
        </w:rPr>
        <w:t>、</w:t>
      </w:r>
      <w:r>
        <w:rPr>
          <w:rFonts w:hint="eastAsia"/>
          <w:color w:val="auto"/>
          <w:lang w:val="en-US" w:eastAsia="zh-CN"/>
        </w:rPr>
        <w:t>设备</w:t>
      </w:r>
      <w:r>
        <w:rPr>
          <w:rFonts w:hint="eastAsia"/>
          <w:color w:val="auto"/>
        </w:rPr>
        <w:t>的检修，避免工艺过程中溶液的漏滴。</w:t>
      </w:r>
    </w:p>
    <w:p w14:paraId="52C93443">
      <w:pPr>
        <w:bidi w:val="0"/>
        <w:ind w:left="0" w:leftChars="0" w:firstLine="480" w:firstLineChars="200"/>
        <w:rPr>
          <w:rFonts w:hint="eastAsia"/>
          <w:color w:val="auto"/>
        </w:rPr>
      </w:pPr>
      <w:r>
        <w:rPr>
          <w:rFonts w:hint="eastAsia"/>
          <w:color w:val="auto"/>
        </w:rPr>
        <w:t>②</w:t>
      </w:r>
      <w:r>
        <w:rPr>
          <w:rFonts w:hint="eastAsia"/>
          <w:color w:val="auto"/>
          <w:lang w:val="en-US" w:eastAsia="zh-CN"/>
        </w:rPr>
        <w:t>地面防渗工程在满足工程和防渗层结构标准要求的前提下，尽量在地表面实施防渗措施，便于泄漏物质的收集和及时发现破损的防渗层。加强对防渗工程的检查，定期进行检漏监测，若发现防渗密封材料老化或损坏，及时维修更换。</w:t>
      </w:r>
    </w:p>
    <w:p w14:paraId="105AFCD9">
      <w:pPr>
        <w:bidi w:val="0"/>
        <w:ind w:left="0" w:leftChars="0" w:firstLine="480" w:firstLineChars="200"/>
        <w:rPr>
          <w:rFonts w:hint="eastAsia"/>
          <w:color w:val="auto"/>
          <w:lang w:val="en-US" w:eastAsia="zh-CN"/>
        </w:rPr>
      </w:pPr>
      <w:r>
        <w:rPr>
          <w:rFonts w:hint="eastAsia"/>
          <w:color w:val="auto"/>
        </w:rPr>
        <w:t>③</w:t>
      </w:r>
      <w:r>
        <w:rPr>
          <w:rFonts w:hint="eastAsia" w:ascii="Times New Roman" w:hAnsi="Times New Roman" w:eastAsia="宋体"/>
          <w:color w:val="auto"/>
          <w:highlight w:val="none"/>
          <w:lang w:val="en-US" w:eastAsia="zh-CN"/>
        </w:rPr>
        <w:t>1#罐区四周设</w:t>
      </w:r>
      <w:r>
        <w:rPr>
          <w:rFonts w:hint="eastAsia"/>
          <w:color w:val="auto"/>
          <w:highlight w:val="none"/>
          <w:lang w:val="en-US" w:eastAsia="zh-CN"/>
        </w:rPr>
        <w:t>0.6</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w:t>
      </w:r>
      <w:r>
        <w:rPr>
          <w:rFonts w:hint="eastAsia"/>
          <w:color w:val="auto"/>
          <w:highlight w:val="none"/>
          <w:lang w:val="en-US" w:eastAsia="zh-CN"/>
        </w:rPr>
        <w:t>、2</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1.1</w:t>
      </w:r>
      <w:r>
        <w:rPr>
          <w:rFonts w:hint="eastAsia" w:ascii="Times New Roman" w:hAnsi="Times New Roman" w:eastAsia="宋体"/>
          <w:color w:val="auto"/>
          <w:highlight w:val="none"/>
          <w:lang w:val="en-US" w:eastAsia="zh-CN"/>
        </w:rPr>
        <w:t>m高防火堤（与围堰合建）</w:t>
      </w:r>
      <w:r>
        <w:rPr>
          <w:rFonts w:hint="eastAsia"/>
          <w:color w:val="auto"/>
          <w:highlight w:val="none"/>
          <w:lang w:val="en-US" w:eastAsia="zh-CN"/>
        </w:rPr>
        <w:t>、3</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0.4</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堤（与围堰合建），且</w:t>
      </w:r>
      <w:r>
        <w:rPr>
          <w:rFonts w:hint="eastAsia"/>
          <w:color w:val="auto"/>
          <w:highlight w:val="none"/>
          <w:lang w:val="en-US" w:eastAsia="zh-CN"/>
        </w:rPr>
        <w:t>1#和2#</w:t>
      </w:r>
      <w:r>
        <w:rPr>
          <w:rFonts w:hint="eastAsia" w:ascii="Times New Roman" w:hAnsi="Times New Roman" w:eastAsia="宋体"/>
          <w:color w:val="auto"/>
          <w:highlight w:val="none"/>
          <w:lang w:val="en-US" w:eastAsia="zh-CN"/>
        </w:rPr>
        <w:t>罐区内各区域均设1个容积</w:t>
      </w:r>
      <w:r>
        <w:rPr>
          <w:rFonts w:hint="eastAsia"/>
          <w:color w:val="auto"/>
          <w:highlight w:val="none"/>
          <w:lang w:val="en-US" w:eastAsia="zh-CN"/>
        </w:rPr>
        <w:t>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池、3#</w:t>
      </w:r>
      <w:r>
        <w:rPr>
          <w:rFonts w:hint="eastAsia" w:ascii="Times New Roman" w:hAnsi="Times New Roman" w:eastAsia="宋体"/>
          <w:color w:val="auto"/>
          <w:highlight w:val="none"/>
          <w:lang w:val="en-US" w:eastAsia="zh-CN"/>
        </w:rPr>
        <w:t>罐区内设1个容积</w:t>
      </w:r>
      <w:r>
        <w:rPr>
          <w:rFonts w:hint="eastAsia"/>
          <w:color w:val="auto"/>
          <w:highlight w:val="none"/>
          <w:lang w:val="en-US" w:eastAsia="zh-CN"/>
        </w:rPr>
        <w:t>1.44</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p w14:paraId="0FA618E7">
      <w:pPr>
        <w:bidi w:val="0"/>
        <w:ind w:left="0" w:leftChars="0" w:firstLine="480" w:firstLineChars="200"/>
        <w:rPr>
          <w:rFonts w:hint="eastAsia"/>
          <w:color w:val="auto"/>
          <w:lang w:val="en-US" w:eastAsia="zh-CN"/>
        </w:rPr>
      </w:pPr>
      <w:r>
        <w:rPr>
          <w:rFonts w:hint="eastAsia"/>
          <w:color w:val="auto"/>
          <w:sz w:val="24"/>
          <w:szCs w:val="24"/>
          <w:lang w:val="en-US" w:eastAsia="zh-CN"/>
        </w:rPr>
        <w:t>④</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ascii="Times New Roman" w:hAnsi="Times New Roman" w:eastAsia="宋体" w:cs="Times New Roman"/>
          <w:b w:val="0"/>
          <w:bCs w:val="0"/>
          <w:color w:val="auto"/>
          <w:highlight w:val="none"/>
          <w:lang w:val="en-US" w:eastAsia="zh-CN"/>
        </w:rPr>
        <w:t>。</w:t>
      </w:r>
    </w:p>
    <w:p w14:paraId="13DAC229">
      <w:pPr>
        <w:bidi w:val="0"/>
        <w:ind w:left="0" w:leftChars="0" w:firstLine="480" w:firstLineChars="200"/>
        <w:rPr>
          <w:rFonts w:hint="eastAsia"/>
          <w:color w:val="auto"/>
          <w:sz w:val="24"/>
          <w:szCs w:val="24"/>
          <w:lang w:val="en-US" w:eastAsia="zh-CN"/>
        </w:rPr>
      </w:pPr>
      <w:r>
        <w:rPr>
          <w:rFonts w:hint="eastAsia"/>
          <w:color w:val="auto"/>
          <w:lang w:val="en-US" w:eastAsia="zh-CN"/>
        </w:rPr>
        <w:t>⑤仓库内液体库</w:t>
      </w:r>
      <w:r>
        <w:rPr>
          <w:rFonts w:hint="eastAsia"/>
          <w:color w:val="auto"/>
          <w:sz w:val="24"/>
          <w:szCs w:val="24"/>
          <w:lang w:val="en-US" w:eastAsia="zh-CN"/>
        </w:rPr>
        <w:t>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w:t>
      </w:r>
    </w:p>
    <w:p w14:paraId="25FCB863">
      <w:pPr>
        <w:bidi w:val="0"/>
        <w:ind w:left="0" w:leftChars="0" w:firstLine="480" w:firstLineChars="200"/>
        <w:rPr>
          <w:rFonts w:hint="default"/>
          <w:color w:val="auto"/>
          <w:sz w:val="24"/>
          <w:szCs w:val="24"/>
          <w:lang w:val="en-US" w:eastAsia="zh-CN"/>
        </w:rPr>
      </w:pPr>
      <w:r>
        <w:rPr>
          <w:rFonts w:hint="eastAsia"/>
          <w:color w:val="auto"/>
          <w:sz w:val="24"/>
          <w:szCs w:val="24"/>
        </w:rPr>
        <w:t>⑥</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，用于事故</w:t>
      </w:r>
      <w:r>
        <w:rPr>
          <w:rFonts w:hint="eastAsia" w:cs="Times New Roman"/>
          <w:b w:val="0"/>
          <w:bCs w:val="0"/>
          <w:color w:val="auto"/>
          <w:sz w:val="24"/>
          <w:szCs w:val="24"/>
          <w:highlight w:val="none"/>
          <w:lang w:val="en-US" w:eastAsia="zh-CN"/>
        </w:rPr>
        <w:t>废水</w:t>
      </w:r>
      <w:r>
        <w:rPr>
          <w:rFonts w:hint="default" w:ascii="Times New Roman" w:hAnsi="Times New Roman" w:eastAsia="宋体" w:cs="Times New Roman"/>
          <w:b w:val="0"/>
          <w:bCs w:val="0"/>
          <w:color w:val="auto"/>
          <w:sz w:val="24"/>
          <w:szCs w:val="24"/>
          <w:highlight w:val="none"/>
          <w:lang w:val="en-US" w:eastAsia="zh-CN"/>
        </w:rPr>
        <w:t>的收集。</w:t>
      </w:r>
    </w:p>
    <w:p w14:paraId="0D8AC894">
      <w:pPr>
        <w:pStyle w:val="26"/>
        <w:bidi w:val="0"/>
        <w:rPr>
          <w:color w:val="auto"/>
          <w:highlight w:val="none"/>
        </w:rPr>
      </w:pPr>
      <w:r>
        <w:rPr>
          <w:rFonts w:hint="eastAsia"/>
          <w:color w:val="auto"/>
          <w:sz w:val="24"/>
          <w:szCs w:val="24"/>
        </w:rPr>
        <w:t>⑦</w:t>
      </w:r>
      <w:r>
        <w:rPr>
          <w:rFonts w:hint="eastAsia"/>
          <w:color w:val="auto"/>
        </w:rPr>
        <w:t>厂区</w:t>
      </w:r>
      <w:r>
        <w:rPr>
          <w:rFonts w:hint="eastAsia"/>
          <w:color w:val="auto"/>
          <w:lang w:val="en-US" w:eastAsia="zh-CN"/>
        </w:rPr>
        <w:t>设3口</w:t>
      </w:r>
      <w:r>
        <w:rPr>
          <w:rFonts w:hint="eastAsia"/>
          <w:color w:val="auto"/>
        </w:rPr>
        <w:t>地下水跟踪监测井</w:t>
      </w:r>
      <w:r>
        <w:rPr>
          <w:rFonts w:hint="eastAsia"/>
          <w:color w:val="auto"/>
          <w:lang w:eastAsia="zh-CN"/>
        </w:rPr>
        <w:t>，</w:t>
      </w:r>
      <w:r>
        <w:rPr>
          <w:rFonts w:hint="eastAsia"/>
          <w:color w:val="auto"/>
        </w:rPr>
        <w:t>建立地下水环境监测管理体系，严格按照环评要求对</w:t>
      </w:r>
      <w:r>
        <w:rPr>
          <w:rFonts w:hint="eastAsia"/>
          <w:color w:val="auto"/>
          <w:lang w:val="en-US" w:eastAsia="zh-CN"/>
        </w:rPr>
        <w:t>区域地下水</w:t>
      </w:r>
      <w:r>
        <w:rPr>
          <w:rFonts w:hint="eastAsia"/>
          <w:color w:val="auto"/>
        </w:rPr>
        <w:t>水质监测井进行监测，一旦发现水质异常，立刻采取有效措施（如采用水动力隔离技术）阻止污染羽的扩散迁移，将地下水控制在局部范围，避免对厂区下游地下水造成污染。</w:t>
      </w:r>
    </w:p>
    <w:p w14:paraId="04B8B87B">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2、地下水跟踪监测计划</w:t>
      </w:r>
    </w:p>
    <w:p w14:paraId="4835D0BB">
      <w:pPr>
        <w:pStyle w:val="26"/>
        <w:bidi w:val="0"/>
        <w:rPr>
          <w:rFonts w:hint="eastAsia"/>
          <w:color w:val="auto"/>
          <w:highlight w:val="none"/>
        </w:rPr>
      </w:pPr>
      <w:r>
        <w:rPr>
          <w:rFonts w:hint="eastAsia"/>
          <w:color w:val="auto"/>
          <w:highlight w:val="none"/>
        </w:rPr>
        <w:t>根据</w:t>
      </w:r>
      <w:r>
        <w:rPr>
          <w:rFonts w:hint="default" w:ascii="Times New Roman" w:hAnsi="Times New Roman" w:cs="Times New Roman"/>
          <w:color w:val="auto"/>
          <w:highlight w:val="none"/>
        </w:rPr>
        <w:t>《环境影响评价技术导则</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土壤环境（试行）》（HJ964-2018）</w:t>
      </w:r>
      <w:r>
        <w:rPr>
          <w:rFonts w:hint="eastAsia"/>
          <w:color w:val="auto"/>
          <w:highlight w:val="none"/>
        </w:rPr>
        <w:t>和《工业企业土壤和地下水自行监测技术指南（试行）》（HJ1209-2021）</w:t>
      </w:r>
      <w:r>
        <w:rPr>
          <w:rFonts w:hint="eastAsia"/>
          <w:color w:val="auto"/>
          <w:highlight w:val="none"/>
          <w:lang w:eastAsia="zh-CN"/>
        </w:rPr>
        <w:t>，</w:t>
      </w:r>
      <w:r>
        <w:rPr>
          <w:rFonts w:hint="eastAsia"/>
          <w:color w:val="auto"/>
          <w:highlight w:val="none"/>
          <w:lang w:val="en-US" w:eastAsia="zh-CN"/>
        </w:rPr>
        <w:t>并结合</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eastAsia="宋体" w:cs="Times New Roman"/>
          <w:color w:val="auto"/>
          <w:sz w:val="24"/>
          <w:lang w:val="en-US" w:eastAsia="zh-CN"/>
        </w:rPr>
        <w:t>和</w:t>
      </w:r>
      <w:r>
        <w:rPr>
          <w:rFonts w:hint="eastAsia" w:ascii="Times New Roman" w:hAnsi="Times New Roman" w:eastAsia="宋体" w:cs="Times New Roman"/>
          <w:color w:val="auto"/>
          <w:sz w:val="24"/>
          <w:lang w:eastAsia="zh-CN"/>
        </w:rPr>
        <w:t xml:space="preserve">《排污单位自行监测技术指南 </w:t>
      </w:r>
      <w:r>
        <w:rPr>
          <w:rFonts w:hint="eastAsia" w:cs="Times New Roman"/>
          <w:color w:val="auto"/>
          <w:sz w:val="24"/>
          <w:lang w:val="en-US" w:eastAsia="zh-CN"/>
        </w:rPr>
        <w:t>总则</w:t>
      </w:r>
      <w:r>
        <w:rPr>
          <w:rFonts w:hint="eastAsia" w:ascii="Times New Roman" w:hAnsi="Times New Roman" w:eastAsia="宋体" w:cs="Times New Roman"/>
          <w:color w:val="auto"/>
          <w:sz w:val="24"/>
          <w:lang w:eastAsia="zh-CN"/>
        </w:rPr>
        <w:t>》（HJ</w:t>
      </w:r>
      <w:r>
        <w:rPr>
          <w:rFonts w:hint="eastAsia" w:cs="Times New Roman"/>
          <w:color w:val="auto"/>
          <w:sz w:val="24"/>
          <w:lang w:val="en-US" w:eastAsia="zh-CN"/>
        </w:rPr>
        <w:t>819-2017</w:t>
      </w:r>
      <w:r>
        <w:rPr>
          <w:rFonts w:hint="eastAsia" w:ascii="Times New Roman" w:hAnsi="Times New Roman" w:eastAsia="宋体" w:cs="Times New Roman"/>
          <w:color w:val="auto"/>
          <w:sz w:val="24"/>
          <w:lang w:eastAsia="zh-CN"/>
        </w:rPr>
        <w:t>）</w:t>
      </w:r>
      <w:r>
        <w:rPr>
          <w:rFonts w:hint="eastAsia"/>
          <w:color w:val="auto"/>
          <w:highlight w:val="none"/>
        </w:rPr>
        <w:t>中相关要求，本项目地下水跟踪监测计划见下表。</w:t>
      </w:r>
    </w:p>
    <w:p w14:paraId="46DC74C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地下水跟踪监测计划表</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50"/>
        <w:gridCol w:w="2210"/>
        <w:gridCol w:w="670"/>
        <w:gridCol w:w="890"/>
        <w:gridCol w:w="1640"/>
        <w:gridCol w:w="1498"/>
        <w:gridCol w:w="738"/>
      </w:tblGrid>
      <w:tr w14:paraId="11D6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448D71B3">
            <w:pPr>
              <w:pStyle w:val="24"/>
              <w:bidi w:val="0"/>
              <w:jc w:val="center"/>
              <w:rPr>
                <w:rFonts w:hint="default"/>
                <w:b/>
                <w:bCs/>
                <w:color w:val="auto"/>
                <w:highlight w:val="none"/>
                <w:lang w:val="en-US" w:eastAsia="zh-CN"/>
              </w:rPr>
            </w:pPr>
            <w:r>
              <w:rPr>
                <w:rFonts w:hint="eastAsia"/>
                <w:b/>
                <w:bCs/>
                <w:color w:val="auto"/>
                <w:highlight w:val="none"/>
                <w:lang w:val="en-US" w:eastAsia="zh-CN"/>
              </w:rPr>
              <w:t>编号</w:t>
            </w:r>
          </w:p>
        </w:tc>
        <w:tc>
          <w:tcPr>
            <w:tcW w:w="604" w:type="pct"/>
            <w:noWrap w:val="0"/>
            <w:vAlign w:val="center"/>
          </w:tcPr>
          <w:p w14:paraId="1B7683AB">
            <w:pPr>
              <w:pStyle w:val="24"/>
              <w:bidi w:val="0"/>
              <w:jc w:val="center"/>
              <w:rPr>
                <w:rFonts w:hint="default"/>
                <w:b/>
                <w:bCs/>
                <w:color w:val="auto"/>
                <w:highlight w:val="none"/>
                <w:lang w:val="en-US" w:eastAsia="zh-CN"/>
              </w:rPr>
            </w:pPr>
            <w:r>
              <w:rPr>
                <w:rFonts w:hint="eastAsia"/>
                <w:b/>
                <w:bCs/>
                <w:color w:val="auto"/>
                <w:highlight w:val="none"/>
                <w:lang w:val="en-US" w:eastAsia="zh-CN"/>
              </w:rPr>
              <w:t>监测点位</w:t>
            </w:r>
          </w:p>
        </w:tc>
        <w:tc>
          <w:tcPr>
            <w:tcW w:w="1162" w:type="pct"/>
            <w:noWrap w:val="0"/>
            <w:vAlign w:val="center"/>
          </w:tcPr>
          <w:p w14:paraId="240CB814">
            <w:pPr>
              <w:pStyle w:val="24"/>
              <w:bidi w:val="0"/>
              <w:jc w:val="center"/>
              <w:rPr>
                <w:rFonts w:hint="default"/>
                <w:b/>
                <w:bCs/>
                <w:color w:val="auto"/>
                <w:highlight w:val="none"/>
                <w:lang w:val="en-US" w:eastAsia="zh-CN"/>
              </w:rPr>
            </w:pPr>
            <w:r>
              <w:rPr>
                <w:rFonts w:hint="eastAsia"/>
                <w:b/>
                <w:bCs/>
                <w:color w:val="auto"/>
                <w:highlight w:val="none"/>
                <w:lang w:val="en-US" w:eastAsia="zh-CN"/>
              </w:rPr>
              <w:t>经纬度</w:t>
            </w:r>
          </w:p>
        </w:tc>
        <w:tc>
          <w:tcPr>
            <w:tcW w:w="352" w:type="pct"/>
            <w:noWrap w:val="0"/>
            <w:vAlign w:val="center"/>
          </w:tcPr>
          <w:p w14:paraId="0339EA27">
            <w:pPr>
              <w:pStyle w:val="24"/>
              <w:bidi w:val="0"/>
              <w:jc w:val="center"/>
              <w:rPr>
                <w:rFonts w:hint="default"/>
                <w:b/>
                <w:bCs/>
                <w:color w:val="auto"/>
                <w:highlight w:val="none"/>
                <w:lang w:val="en-US" w:eastAsia="zh-CN"/>
              </w:rPr>
            </w:pPr>
            <w:r>
              <w:rPr>
                <w:rFonts w:hint="eastAsia"/>
                <w:b/>
                <w:bCs/>
                <w:color w:val="auto"/>
                <w:highlight w:val="none"/>
                <w:lang w:val="en-US" w:eastAsia="zh-CN"/>
              </w:rPr>
              <w:t>井深</w:t>
            </w:r>
          </w:p>
        </w:tc>
        <w:tc>
          <w:tcPr>
            <w:tcW w:w="468" w:type="pct"/>
            <w:noWrap w:val="0"/>
            <w:vAlign w:val="center"/>
          </w:tcPr>
          <w:p w14:paraId="2CCCEE4A">
            <w:pPr>
              <w:pStyle w:val="24"/>
              <w:bidi w:val="0"/>
              <w:jc w:val="center"/>
              <w:rPr>
                <w:rFonts w:hint="eastAsia"/>
                <w:b/>
                <w:bCs/>
                <w:color w:val="auto"/>
                <w:highlight w:val="none"/>
                <w:lang w:val="en-US" w:eastAsia="zh-CN"/>
              </w:rPr>
            </w:pPr>
            <w:r>
              <w:rPr>
                <w:rFonts w:hint="eastAsia"/>
                <w:b/>
                <w:bCs/>
                <w:color w:val="auto"/>
                <w:highlight w:val="none"/>
                <w:lang w:val="en-US" w:eastAsia="zh-CN"/>
              </w:rPr>
              <w:t>井结构</w:t>
            </w:r>
          </w:p>
        </w:tc>
        <w:tc>
          <w:tcPr>
            <w:tcW w:w="862" w:type="pct"/>
            <w:noWrap w:val="0"/>
            <w:vAlign w:val="center"/>
          </w:tcPr>
          <w:p w14:paraId="196D7578">
            <w:pPr>
              <w:pStyle w:val="24"/>
              <w:bidi w:val="0"/>
              <w:jc w:val="center"/>
              <w:rPr>
                <w:rFonts w:hint="default"/>
                <w:b/>
                <w:bCs/>
                <w:color w:val="auto"/>
                <w:highlight w:val="none"/>
                <w:lang w:val="en-US" w:eastAsia="zh-CN"/>
              </w:rPr>
            </w:pPr>
            <w:r>
              <w:rPr>
                <w:rFonts w:hint="eastAsia"/>
                <w:b/>
                <w:bCs/>
                <w:color w:val="auto"/>
                <w:highlight w:val="none"/>
                <w:lang w:val="en-US" w:eastAsia="zh-CN"/>
              </w:rPr>
              <w:t>监测层位</w:t>
            </w:r>
          </w:p>
        </w:tc>
        <w:tc>
          <w:tcPr>
            <w:tcW w:w="788" w:type="pct"/>
            <w:noWrap w:val="0"/>
            <w:vAlign w:val="center"/>
          </w:tcPr>
          <w:p w14:paraId="19ADB220">
            <w:pPr>
              <w:pStyle w:val="24"/>
              <w:bidi w:val="0"/>
              <w:jc w:val="center"/>
              <w:rPr>
                <w:rFonts w:hint="default"/>
                <w:b/>
                <w:bCs/>
                <w:color w:val="auto"/>
                <w:highlight w:val="none"/>
                <w:lang w:val="en-US" w:eastAsia="zh-CN"/>
              </w:rPr>
            </w:pPr>
            <w:r>
              <w:rPr>
                <w:rFonts w:hint="eastAsia"/>
                <w:b/>
                <w:bCs/>
                <w:color w:val="auto"/>
                <w:highlight w:val="none"/>
                <w:lang w:val="en-US" w:eastAsia="zh-CN"/>
              </w:rPr>
              <w:t>监测指标</w:t>
            </w:r>
          </w:p>
        </w:tc>
        <w:tc>
          <w:tcPr>
            <w:tcW w:w="388" w:type="pct"/>
            <w:noWrap w:val="0"/>
            <w:vAlign w:val="center"/>
          </w:tcPr>
          <w:p w14:paraId="4FEF2D2E">
            <w:pPr>
              <w:pStyle w:val="24"/>
              <w:bidi w:val="0"/>
              <w:jc w:val="center"/>
              <w:rPr>
                <w:rFonts w:hint="default"/>
                <w:b/>
                <w:bCs/>
                <w:color w:val="auto"/>
                <w:highlight w:val="none"/>
                <w:lang w:val="en-US" w:eastAsia="zh-CN"/>
              </w:rPr>
            </w:pPr>
            <w:r>
              <w:rPr>
                <w:rFonts w:hint="eastAsia"/>
                <w:b/>
                <w:bCs/>
                <w:color w:val="auto"/>
                <w:highlight w:val="none"/>
                <w:lang w:val="en-US" w:eastAsia="zh-CN"/>
              </w:rPr>
              <w:t>监测频率</w:t>
            </w:r>
          </w:p>
        </w:tc>
      </w:tr>
      <w:tr w14:paraId="28DD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2647C12C">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D1</w:t>
            </w:r>
          </w:p>
        </w:tc>
        <w:tc>
          <w:tcPr>
            <w:tcW w:w="604" w:type="pct"/>
            <w:noWrap w:val="0"/>
            <w:vAlign w:val="center"/>
          </w:tcPr>
          <w:p w14:paraId="0EE87ECD">
            <w:pPr>
              <w:pStyle w:val="24"/>
              <w:bidi w:val="0"/>
              <w:ind w:left="0" w:leftChars="0"/>
              <w:rPr>
                <w:rFonts w:hint="default" w:eastAsia="宋体"/>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项目上游</w:t>
            </w:r>
          </w:p>
        </w:tc>
        <w:tc>
          <w:tcPr>
            <w:tcW w:w="1162" w:type="pct"/>
            <w:noWrap w:val="0"/>
            <w:vAlign w:val="center"/>
          </w:tcPr>
          <w:p w14:paraId="566F4A28">
            <w:pPr>
              <w:pStyle w:val="24"/>
              <w:bidi w:val="0"/>
              <w:ind w:left="0" w:leftChars="0"/>
              <w:jc w:val="center"/>
              <w:rPr>
                <w:rFonts w:hint="default"/>
                <w:b w:val="0"/>
                <w:bCs w:val="0"/>
                <w:color w:val="auto"/>
                <w:highlight w:val="none"/>
                <w:lang w:val="en-US" w:eastAsia="zh-CN"/>
              </w:rPr>
            </w:pPr>
            <w:r>
              <w:rPr>
                <w:rFonts w:hint="default"/>
                <w:b w:val="0"/>
                <w:bCs w:val="0"/>
                <w:color w:val="auto"/>
                <w:highlight w:val="none"/>
                <w:lang w:val="en-US" w:eastAsia="zh-CN"/>
              </w:rPr>
              <w:t>107.231269,31.879736</w:t>
            </w:r>
          </w:p>
        </w:tc>
        <w:tc>
          <w:tcPr>
            <w:tcW w:w="670" w:type="dxa"/>
            <w:vMerge w:val="restart"/>
            <w:noWrap w:val="0"/>
            <w:vAlign w:val="center"/>
          </w:tcPr>
          <w:p w14:paraId="2F4A741A">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100</w:t>
            </w:r>
            <w:r>
              <w:rPr>
                <w:rFonts w:hint="eastAsia" w:eastAsia="宋体"/>
                <w:b w:val="0"/>
                <w:bCs w:val="0"/>
                <w:color w:val="auto"/>
                <w:highlight w:val="none"/>
                <w:lang w:val="en-US" w:eastAsia="zh-CN"/>
              </w:rPr>
              <w:t>m</w:t>
            </w:r>
          </w:p>
        </w:tc>
        <w:tc>
          <w:tcPr>
            <w:tcW w:w="890" w:type="dxa"/>
            <w:vMerge w:val="restart"/>
            <w:noWrap w:val="0"/>
            <w:vAlign w:val="center"/>
          </w:tcPr>
          <w:p w14:paraId="2C98FF39">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钢管井</w:t>
            </w:r>
          </w:p>
        </w:tc>
        <w:tc>
          <w:tcPr>
            <w:tcW w:w="1640" w:type="dxa"/>
            <w:vMerge w:val="restart"/>
            <w:noWrap w:val="0"/>
            <w:vAlign w:val="center"/>
          </w:tcPr>
          <w:p w14:paraId="0251CCAB">
            <w:pPr>
              <w:pStyle w:val="24"/>
              <w:bidi w:val="0"/>
              <w:ind w:left="0" w:leftChars="0"/>
              <w:jc w:val="center"/>
              <w:rPr>
                <w:rFonts w:hint="eastAsia"/>
                <w:b w:val="0"/>
                <w:bCs w:val="0"/>
                <w:color w:val="auto"/>
                <w:highlight w:val="none"/>
                <w:lang w:val="en-US" w:eastAsia="zh-CN"/>
              </w:rPr>
            </w:pP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p>
        </w:tc>
        <w:tc>
          <w:tcPr>
            <w:tcW w:w="788" w:type="pct"/>
            <w:vMerge w:val="restart"/>
            <w:noWrap w:val="0"/>
            <w:vAlign w:val="center"/>
          </w:tcPr>
          <w:p w14:paraId="5237CDC5">
            <w:pPr>
              <w:pStyle w:val="24"/>
              <w:bidi w:val="0"/>
              <w:ind w:left="0" w:leftChars="0"/>
              <w:jc w:val="center"/>
              <w:rPr>
                <w:rFonts w:hint="default" w:eastAsia="宋体"/>
                <w:b w:val="0"/>
                <w:bCs w:val="0"/>
                <w:color w:val="auto"/>
                <w:highlight w:val="none"/>
                <w:lang w:val="en-US" w:eastAsia="zh-CN"/>
              </w:rPr>
            </w:pPr>
            <w:r>
              <w:rPr>
                <w:bCs/>
                <w:color w:val="auto"/>
                <w:sz w:val="21"/>
                <w:szCs w:val="21"/>
                <w:highlight w:val="none"/>
              </w:rPr>
              <w:t>pH、</w:t>
            </w:r>
            <w:r>
              <w:rPr>
                <w:rFonts w:hint="eastAsia"/>
                <w:bCs/>
                <w:color w:val="auto"/>
                <w:sz w:val="21"/>
                <w:szCs w:val="21"/>
                <w:highlight w:val="none"/>
                <w:lang w:val="en-US" w:eastAsia="zh-CN"/>
              </w:rPr>
              <w:t>耗氧量、钠、硫酸根、氟化物、铁、总磷、铝</w:t>
            </w:r>
          </w:p>
        </w:tc>
        <w:tc>
          <w:tcPr>
            <w:tcW w:w="388" w:type="pct"/>
            <w:vMerge w:val="restart"/>
            <w:noWrap w:val="0"/>
            <w:vAlign w:val="center"/>
          </w:tcPr>
          <w:p w14:paraId="03D4F084">
            <w:pPr>
              <w:pStyle w:val="24"/>
              <w:bidi w:val="0"/>
              <w:ind w:left="0" w:leftChars="0"/>
              <w:jc w:val="center"/>
              <w:rPr>
                <w:rFonts w:hint="eastAsia" w:eastAsia="宋体"/>
                <w:b w:val="0"/>
                <w:bCs w:val="0"/>
                <w:color w:val="auto"/>
                <w:highlight w:val="none"/>
                <w:lang w:val="en-US" w:eastAsia="zh-CN"/>
              </w:rPr>
            </w:pPr>
            <w:r>
              <w:rPr>
                <w:rFonts w:hint="eastAsia"/>
                <w:b w:val="0"/>
                <w:bCs w:val="0"/>
                <w:color w:val="auto"/>
                <w:highlight w:val="none"/>
                <w:lang w:val="en-US" w:eastAsia="zh-CN"/>
              </w:rPr>
              <w:t>1</w:t>
            </w:r>
            <w:r>
              <w:rPr>
                <w:rFonts w:hint="eastAsia"/>
                <w:b w:val="0"/>
                <w:bCs w:val="0"/>
                <w:color w:val="auto"/>
                <w:highlight w:val="none"/>
              </w:rPr>
              <w:t>次/</w:t>
            </w:r>
            <w:r>
              <w:rPr>
                <w:rFonts w:hint="eastAsia"/>
                <w:b w:val="0"/>
                <w:bCs w:val="0"/>
                <w:color w:val="auto"/>
                <w:highlight w:val="none"/>
                <w:lang w:val="en-US" w:eastAsia="zh-CN"/>
              </w:rPr>
              <w:t>半年</w:t>
            </w:r>
          </w:p>
        </w:tc>
      </w:tr>
      <w:tr w14:paraId="7727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5813E637">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D2</w:t>
            </w:r>
          </w:p>
        </w:tc>
        <w:tc>
          <w:tcPr>
            <w:tcW w:w="604" w:type="pct"/>
            <w:noWrap w:val="0"/>
            <w:vAlign w:val="center"/>
          </w:tcPr>
          <w:p w14:paraId="49060EBD">
            <w:pPr>
              <w:pStyle w:val="24"/>
              <w:bidi w:val="0"/>
              <w:ind w:left="0" w:leftChars="0"/>
              <w:rPr>
                <w:rFonts w:hint="default"/>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项目厂址</w:t>
            </w:r>
          </w:p>
        </w:tc>
        <w:tc>
          <w:tcPr>
            <w:tcW w:w="1162" w:type="pct"/>
            <w:noWrap w:val="0"/>
            <w:vAlign w:val="center"/>
          </w:tcPr>
          <w:p w14:paraId="5E70BBD0">
            <w:pPr>
              <w:pStyle w:val="24"/>
              <w:bidi w:val="0"/>
              <w:ind w:left="0" w:leftChars="0"/>
              <w:jc w:val="center"/>
              <w:rPr>
                <w:rFonts w:hint="default" w:eastAsia="宋体"/>
                <w:b w:val="0"/>
                <w:bCs w:val="0"/>
                <w:color w:val="auto"/>
                <w:highlight w:val="none"/>
                <w:lang w:val="en-US" w:eastAsia="zh-CN"/>
              </w:rPr>
            </w:pPr>
            <w:r>
              <w:rPr>
                <w:rFonts w:hint="default" w:eastAsia="宋体"/>
                <w:b w:val="0"/>
                <w:bCs w:val="0"/>
                <w:color w:val="auto"/>
                <w:highlight w:val="none"/>
                <w:lang w:val="en-US" w:eastAsia="zh-CN"/>
              </w:rPr>
              <w:t>107.230527,31.879206</w:t>
            </w:r>
          </w:p>
        </w:tc>
        <w:tc>
          <w:tcPr>
            <w:tcW w:w="352" w:type="pct"/>
            <w:vMerge w:val="continue"/>
            <w:noWrap w:val="0"/>
            <w:vAlign w:val="center"/>
          </w:tcPr>
          <w:p w14:paraId="5A434AC7">
            <w:pPr>
              <w:pStyle w:val="24"/>
              <w:bidi w:val="0"/>
              <w:ind w:left="0" w:leftChars="0"/>
              <w:jc w:val="center"/>
              <w:rPr>
                <w:rFonts w:hint="default" w:eastAsia="宋体"/>
                <w:b w:val="0"/>
                <w:bCs w:val="0"/>
                <w:color w:val="auto"/>
                <w:highlight w:val="none"/>
                <w:lang w:val="en-US" w:eastAsia="zh-CN"/>
              </w:rPr>
            </w:pPr>
          </w:p>
        </w:tc>
        <w:tc>
          <w:tcPr>
            <w:tcW w:w="468" w:type="pct"/>
            <w:vMerge w:val="continue"/>
            <w:noWrap w:val="0"/>
            <w:vAlign w:val="center"/>
          </w:tcPr>
          <w:p w14:paraId="043906AB">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p>
        </w:tc>
        <w:tc>
          <w:tcPr>
            <w:tcW w:w="862" w:type="pct"/>
            <w:vMerge w:val="continue"/>
            <w:noWrap w:val="0"/>
            <w:vAlign w:val="center"/>
          </w:tcPr>
          <w:p w14:paraId="67F7E5E4">
            <w:pPr>
              <w:pStyle w:val="24"/>
              <w:bidi w:val="0"/>
              <w:ind w:left="0" w:leftChars="0"/>
              <w:jc w:val="center"/>
              <w:rPr>
                <w:rFonts w:hint="eastAsia"/>
                <w:b w:val="0"/>
                <w:bCs w:val="0"/>
                <w:color w:val="auto"/>
                <w:highlight w:val="none"/>
                <w:lang w:val="en-US" w:eastAsia="zh-CN"/>
              </w:rPr>
            </w:pPr>
          </w:p>
        </w:tc>
        <w:tc>
          <w:tcPr>
            <w:tcW w:w="788" w:type="pct"/>
            <w:vMerge w:val="continue"/>
            <w:noWrap w:val="0"/>
            <w:vAlign w:val="center"/>
          </w:tcPr>
          <w:p w14:paraId="5D4F1D83">
            <w:pPr>
              <w:pStyle w:val="24"/>
              <w:bidi w:val="0"/>
              <w:ind w:left="0" w:leftChars="0"/>
              <w:jc w:val="both"/>
              <w:rPr>
                <w:rFonts w:hint="eastAsia"/>
                <w:b w:val="0"/>
                <w:bCs w:val="0"/>
                <w:color w:val="auto"/>
                <w:highlight w:val="none"/>
                <w:lang w:val="en-US" w:eastAsia="zh-CN"/>
              </w:rPr>
            </w:pPr>
          </w:p>
        </w:tc>
        <w:tc>
          <w:tcPr>
            <w:tcW w:w="388" w:type="pct"/>
            <w:vMerge w:val="continue"/>
            <w:noWrap w:val="0"/>
            <w:vAlign w:val="center"/>
          </w:tcPr>
          <w:p w14:paraId="13A8D04C">
            <w:pPr>
              <w:pStyle w:val="24"/>
              <w:bidi w:val="0"/>
              <w:ind w:left="0" w:leftChars="0"/>
              <w:jc w:val="center"/>
              <w:rPr>
                <w:rFonts w:hint="eastAsia" w:eastAsia="宋体"/>
                <w:b w:val="0"/>
                <w:bCs w:val="0"/>
                <w:color w:val="auto"/>
                <w:highlight w:val="none"/>
                <w:lang w:val="en-US" w:eastAsia="zh-CN"/>
              </w:rPr>
            </w:pPr>
          </w:p>
        </w:tc>
      </w:tr>
      <w:tr w14:paraId="4710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26DFEFD9">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D3</w:t>
            </w:r>
          </w:p>
        </w:tc>
        <w:tc>
          <w:tcPr>
            <w:tcW w:w="604" w:type="pct"/>
            <w:noWrap w:val="0"/>
            <w:vAlign w:val="center"/>
          </w:tcPr>
          <w:p w14:paraId="1605084F">
            <w:pPr>
              <w:pStyle w:val="24"/>
              <w:bidi w:val="0"/>
              <w:ind w:left="0" w:leftChars="0"/>
              <w:rPr>
                <w:rFonts w:hint="default"/>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项目下游</w:t>
            </w:r>
          </w:p>
        </w:tc>
        <w:tc>
          <w:tcPr>
            <w:tcW w:w="1162" w:type="pct"/>
            <w:noWrap w:val="0"/>
            <w:vAlign w:val="center"/>
          </w:tcPr>
          <w:p w14:paraId="10433C26">
            <w:pPr>
              <w:pStyle w:val="24"/>
              <w:bidi w:val="0"/>
              <w:ind w:left="0" w:leftChars="0"/>
              <w:jc w:val="center"/>
              <w:rPr>
                <w:rFonts w:hint="eastAsia"/>
                <w:b w:val="0"/>
                <w:bCs w:val="0"/>
                <w:color w:val="auto"/>
                <w:highlight w:val="none"/>
                <w:lang w:val="en-US" w:eastAsia="zh-CN"/>
              </w:rPr>
            </w:pPr>
            <w:r>
              <w:rPr>
                <w:rFonts w:hint="eastAsia"/>
                <w:b w:val="0"/>
                <w:bCs w:val="0"/>
                <w:color w:val="auto"/>
                <w:highlight w:val="none"/>
                <w:lang w:val="en-US" w:eastAsia="zh-CN"/>
              </w:rPr>
              <w:t>107.229740,31.879128</w:t>
            </w:r>
          </w:p>
        </w:tc>
        <w:tc>
          <w:tcPr>
            <w:tcW w:w="352" w:type="pct"/>
            <w:vMerge w:val="continue"/>
            <w:noWrap w:val="0"/>
            <w:vAlign w:val="center"/>
          </w:tcPr>
          <w:p w14:paraId="68159B27">
            <w:pPr>
              <w:pStyle w:val="24"/>
              <w:bidi w:val="0"/>
              <w:ind w:left="0" w:leftChars="0"/>
              <w:jc w:val="center"/>
              <w:rPr>
                <w:rFonts w:hint="default"/>
                <w:b w:val="0"/>
                <w:bCs w:val="0"/>
                <w:color w:val="auto"/>
                <w:highlight w:val="none"/>
                <w:lang w:val="en-US" w:eastAsia="zh-CN"/>
              </w:rPr>
            </w:pPr>
          </w:p>
        </w:tc>
        <w:tc>
          <w:tcPr>
            <w:tcW w:w="468" w:type="pct"/>
            <w:vMerge w:val="continue"/>
            <w:noWrap w:val="0"/>
            <w:vAlign w:val="center"/>
          </w:tcPr>
          <w:p w14:paraId="2F2FD8BD">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p>
        </w:tc>
        <w:tc>
          <w:tcPr>
            <w:tcW w:w="862" w:type="pct"/>
            <w:vMerge w:val="continue"/>
            <w:noWrap w:val="0"/>
            <w:vAlign w:val="center"/>
          </w:tcPr>
          <w:p w14:paraId="63BFE392">
            <w:pPr>
              <w:pStyle w:val="24"/>
              <w:bidi w:val="0"/>
              <w:ind w:left="0" w:leftChars="0"/>
              <w:jc w:val="center"/>
              <w:rPr>
                <w:rFonts w:hint="eastAsia"/>
                <w:b w:val="0"/>
                <w:bCs w:val="0"/>
                <w:color w:val="auto"/>
                <w:highlight w:val="none"/>
                <w:lang w:val="en-US" w:eastAsia="zh-CN"/>
              </w:rPr>
            </w:pPr>
          </w:p>
        </w:tc>
        <w:tc>
          <w:tcPr>
            <w:tcW w:w="788" w:type="pct"/>
            <w:vMerge w:val="continue"/>
            <w:noWrap w:val="0"/>
            <w:vAlign w:val="center"/>
          </w:tcPr>
          <w:p w14:paraId="11FE32A9">
            <w:pPr>
              <w:pStyle w:val="24"/>
              <w:bidi w:val="0"/>
              <w:ind w:left="0" w:leftChars="0"/>
              <w:jc w:val="both"/>
              <w:rPr>
                <w:rFonts w:hint="eastAsia"/>
                <w:b w:val="0"/>
                <w:bCs w:val="0"/>
                <w:color w:val="auto"/>
                <w:highlight w:val="none"/>
                <w:lang w:val="en-US" w:eastAsia="zh-CN"/>
              </w:rPr>
            </w:pPr>
          </w:p>
        </w:tc>
        <w:tc>
          <w:tcPr>
            <w:tcW w:w="388" w:type="pct"/>
            <w:vMerge w:val="continue"/>
            <w:noWrap w:val="0"/>
            <w:vAlign w:val="center"/>
          </w:tcPr>
          <w:p w14:paraId="423B15C1">
            <w:pPr>
              <w:pStyle w:val="24"/>
              <w:bidi w:val="0"/>
              <w:ind w:left="0" w:leftChars="0"/>
              <w:jc w:val="center"/>
              <w:rPr>
                <w:rFonts w:hint="eastAsia"/>
                <w:b w:val="0"/>
                <w:bCs w:val="0"/>
                <w:color w:val="auto"/>
                <w:highlight w:val="none"/>
                <w:lang w:val="en-US" w:eastAsia="zh-CN"/>
              </w:rPr>
            </w:pPr>
          </w:p>
        </w:tc>
      </w:tr>
    </w:tbl>
    <w:p w14:paraId="2BCA7F46">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3、应急响应</w:t>
      </w:r>
    </w:p>
    <w:p w14:paraId="0F08EBB5">
      <w:pPr>
        <w:spacing w:line="360" w:lineRule="auto"/>
        <w:rPr>
          <w:b/>
          <w:bCs/>
          <w:color w:val="auto"/>
          <w:sz w:val="24"/>
          <w:szCs w:val="24"/>
          <w:highlight w:val="none"/>
        </w:rPr>
      </w:pPr>
      <w:r>
        <w:rPr>
          <w:rFonts w:hint="eastAsia"/>
          <w:b/>
          <w:bCs/>
          <w:color w:val="auto"/>
          <w:sz w:val="24"/>
          <w:szCs w:val="24"/>
          <w:highlight w:val="none"/>
        </w:rPr>
        <w:t>（1）地下水污染风险快速评估及决策</w:t>
      </w:r>
    </w:p>
    <w:p w14:paraId="181291C9">
      <w:pPr>
        <w:spacing w:line="360" w:lineRule="auto"/>
        <w:rPr>
          <w:color w:val="auto"/>
          <w:sz w:val="24"/>
          <w:szCs w:val="24"/>
          <w:highlight w:val="none"/>
        </w:rPr>
      </w:pPr>
      <w:r>
        <w:rPr>
          <w:rFonts w:hint="eastAsia"/>
          <w:color w:val="auto"/>
          <w:sz w:val="24"/>
          <w:szCs w:val="24"/>
          <w:highlight w:val="none"/>
        </w:rPr>
        <w:t>地下水污染风险快速评估方法与决策由连续的3个阶段组成。</w:t>
      </w:r>
    </w:p>
    <w:p w14:paraId="55C27170">
      <w:pPr>
        <w:pStyle w:val="26"/>
        <w:bidi w:val="0"/>
        <w:rPr>
          <w:color w:val="auto"/>
          <w:highlight w:val="none"/>
        </w:rPr>
      </w:pPr>
      <w:r>
        <w:rPr>
          <w:rFonts w:hint="eastAsia"/>
          <w:color w:val="auto"/>
          <w:highlight w:val="none"/>
        </w:rPr>
        <w:t>第1阶段为非正常状况与场地调查：主要任务为搜集非正常状况与污染物信息及场地水文地质资料等一些基本信息；</w:t>
      </w:r>
    </w:p>
    <w:p w14:paraId="0E0B8535">
      <w:pPr>
        <w:spacing w:line="360" w:lineRule="auto"/>
        <w:ind w:left="0" w:leftChars="0" w:firstLine="480" w:firstLineChars="200"/>
        <w:rPr>
          <w:color w:val="auto"/>
          <w:sz w:val="24"/>
          <w:szCs w:val="24"/>
          <w:highlight w:val="none"/>
        </w:rPr>
      </w:pPr>
      <w:r>
        <w:rPr>
          <w:rFonts w:hint="eastAsia"/>
          <w:color w:val="auto"/>
          <w:sz w:val="24"/>
          <w:szCs w:val="24"/>
          <w:highlight w:val="none"/>
        </w:rPr>
        <w:t>第2阶段为计算和评价：采用简单的数学模型判断非正常状况对地下水影响的紧迫程度，以及对下游敏感点的影响，以快速获取所需要的信息；</w:t>
      </w:r>
    </w:p>
    <w:p w14:paraId="4F1B42EB">
      <w:pPr>
        <w:pStyle w:val="26"/>
        <w:bidi w:val="0"/>
        <w:rPr>
          <w:color w:val="auto"/>
          <w:highlight w:val="none"/>
        </w:rPr>
      </w:pPr>
      <w:r>
        <w:rPr>
          <w:rFonts w:hint="eastAsia"/>
          <w:color w:val="auto"/>
          <w:highlight w:val="none"/>
        </w:rPr>
        <w:t>第3阶段为分析与决策：综合分析前两阶段的结果制定场地应急控制措施。</w:t>
      </w:r>
    </w:p>
    <w:p w14:paraId="7687231E">
      <w:pPr>
        <w:spacing w:line="360" w:lineRule="auto"/>
        <w:jc w:val="center"/>
        <w:rPr>
          <w:color w:val="auto"/>
          <w:sz w:val="24"/>
          <w:highlight w:val="none"/>
        </w:rPr>
      </w:pPr>
      <w:r>
        <w:rPr>
          <w:color w:val="auto"/>
          <w:sz w:val="24"/>
          <w:highlight w:val="none"/>
        </w:rPr>
        <w:drawing>
          <wp:inline distT="0" distB="0" distL="114300" distR="114300">
            <wp:extent cx="3141980" cy="3743325"/>
            <wp:effectExtent l="0" t="0" r="1270" b="9525"/>
            <wp:docPr id="137" name="图片 60" descr="地下水污染应急措施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60" descr="地下水污染应急措施图"/>
                    <pic:cNvPicPr>
                      <a:picLocks noChangeAspect="1"/>
                    </pic:cNvPicPr>
                  </pic:nvPicPr>
                  <pic:blipFill>
                    <a:blip r:embed="rId163"/>
                    <a:srcRect t="-2762"/>
                    <a:stretch>
                      <a:fillRect/>
                    </a:stretch>
                  </pic:blipFill>
                  <pic:spPr>
                    <a:xfrm>
                      <a:off x="0" y="0"/>
                      <a:ext cx="3141980" cy="3743325"/>
                    </a:xfrm>
                    <a:prstGeom prst="rect">
                      <a:avLst/>
                    </a:prstGeom>
                    <a:noFill/>
                    <a:ln>
                      <a:noFill/>
                    </a:ln>
                  </pic:spPr>
                </pic:pic>
              </a:graphicData>
            </a:graphic>
          </wp:inline>
        </w:drawing>
      </w:r>
    </w:p>
    <w:p w14:paraId="41DBCC6E">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地下水污染风险快速评估与决策过程</w:t>
      </w:r>
    </w:p>
    <w:p w14:paraId="39604F2E">
      <w:pPr>
        <w:spacing w:line="360" w:lineRule="auto"/>
        <w:rPr>
          <w:b/>
          <w:bCs/>
          <w:color w:val="auto"/>
          <w:sz w:val="24"/>
          <w:szCs w:val="24"/>
          <w:highlight w:val="none"/>
        </w:rPr>
      </w:pPr>
      <w:r>
        <w:rPr>
          <w:rFonts w:hint="eastAsia"/>
          <w:b/>
          <w:bCs/>
          <w:color w:val="auto"/>
          <w:sz w:val="24"/>
          <w:szCs w:val="24"/>
          <w:highlight w:val="none"/>
        </w:rPr>
        <w:t>（2）风险事故应急措施</w:t>
      </w:r>
    </w:p>
    <w:p w14:paraId="6E11DD2D">
      <w:pPr>
        <w:pStyle w:val="26"/>
        <w:bidi w:val="0"/>
        <w:rPr>
          <w:color w:val="auto"/>
          <w:highlight w:val="none"/>
        </w:rPr>
      </w:pPr>
      <w:r>
        <w:rPr>
          <w:rFonts w:hint="eastAsia"/>
          <w:color w:val="auto"/>
          <w:highlight w:val="none"/>
        </w:rPr>
        <w:t>无论预防工作如何周密，风险事故总是难以根本杜绝，制定风险事故应急预案的目的是要迅速而有效地将事故损失减至最小，本项目应急预案建议如下：</w:t>
      </w:r>
    </w:p>
    <w:p w14:paraId="11D5E365">
      <w:pPr>
        <w:spacing w:line="360" w:lineRule="auto"/>
        <w:ind w:left="0" w:leftChars="0" w:firstLine="480" w:firstLineChars="200"/>
        <w:rPr>
          <w:color w:val="auto"/>
          <w:sz w:val="24"/>
          <w:szCs w:val="24"/>
          <w:highlight w:val="none"/>
        </w:rPr>
      </w:pPr>
      <w:r>
        <w:rPr>
          <w:rFonts w:hint="eastAsia"/>
          <w:color w:val="auto"/>
          <w:sz w:val="24"/>
          <w:szCs w:val="24"/>
          <w:highlight w:val="none"/>
        </w:rPr>
        <w:t>①事故发生后，迅速成立由当地生态环境局牵头，公安、交通、消防、安全等部门参与的协调领导小组，启动应急预案，组织有关技术人员赴现场勘查、分析情况、开展监测，制定解决消除污染方案。</w:t>
      </w:r>
    </w:p>
    <w:p w14:paraId="045B8500">
      <w:pPr>
        <w:pStyle w:val="26"/>
        <w:bidi w:val="0"/>
        <w:rPr>
          <w:color w:val="auto"/>
          <w:highlight w:val="none"/>
        </w:rPr>
      </w:pPr>
      <w:r>
        <w:rPr>
          <w:rFonts w:hint="eastAsia"/>
          <w:color w:val="auto"/>
          <w:highlight w:val="none"/>
        </w:rPr>
        <w:t>②制定应急监测方案，确定对所受污染地段的上下游至地表水、沿岸村庄饮用水源进行加密监测，密切关注污染动向，及时向协调领导小组通报监测结果，作为应急处理决策的直接支持。</w:t>
      </w:r>
    </w:p>
    <w:p w14:paraId="0B2BEFCC">
      <w:pPr>
        <w:pStyle w:val="26"/>
        <w:bidi w:val="0"/>
        <w:rPr>
          <w:color w:val="auto"/>
          <w:highlight w:val="none"/>
        </w:rPr>
      </w:pPr>
      <w:r>
        <w:rPr>
          <w:rFonts w:hint="eastAsia"/>
          <w:color w:val="auto"/>
          <w:highlight w:val="none"/>
        </w:rPr>
        <w:t>③划定污染可能波及的范围，在划定圈内的群众在井中取水的，要求立即停止使用，严禁人畜饮用，对附近群众用水采取集中供应，防止水污染中毒。</w:t>
      </w:r>
    </w:p>
    <w:p w14:paraId="64F6A9CF">
      <w:pPr>
        <w:spacing w:line="360" w:lineRule="auto"/>
        <w:ind w:left="0" w:leftChars="0" w:firstLine="480" w:firstLineChars="200"/>
        <w:rPr>
          <w:color w:val="auto"/>
          <w:sz w:val="24"/>
          <w:szCs w:val="24"/>
          <w:highlight w:val="none"/>
        </w:rPr>
      </w:pPr>
      <w:r>
        <w:rPr>
          <w:rFonts w:hint="eastAsia"/>
          <w:color w:val="auto"/>
          <w:sz w:val="24"/>
          <w:szCs w:val="24"/>
          <w:highlight w:val="none"/>
        </w:rPr>
        <w:t>④应尽快对污染区域人为隔断，尽量阻断其扩散范围。</w:t>
      </w:r>
    </w:p>
    <w:p w14:paraId="0B2A3EBD">
      <w:pPr>
        <w:spacing w:line="360" w:lineRule="auto"/>
        <w:ind w:left="0" w:leftChars="0" w:firstLine="480" w:firstLineChars="200"/>
        <w:rPr>
          <w:color w:val="auto"/>
          <w:sz w:val="24"/>
          <w:szCs w:val="24"/>
          <w:highlight w:val="none"/>
        </w:rPr>
      </w:pPr>
      <w:r>
        <w:rPr>
          <w:rFonts w:hint="eastAsia"/>
          <w:color w:val="auto"/>
          <w:sz w:val="24"/>
          <w:szCs w:val="24"/>
          <w:highlight w:val="none"/>
        </w:rPr>
        <w:t>⑤根据生产线事故停滞时工艺液体的贮存及转运所需容积复核事故</w:t>
      </w:r>
      <w:r>
        <w:rPr>
          <w:rFonts w:hint="eastAsia"/>
          <w:color w:val="auto"/>
          <w:sz w:val="24"/>
          <w:szCs w:val="24"/>
          <w:highlight w:val="none"/>
          <w:lang w:val="en-US" w:eastAsia="zh-CN"/>
        </w:rPr>
        <w:t>应急</w:t>
      </w:r>
      <w:r>
        <w:rPr>
          <w:rFonts w:hint="eastAsia"/>
          <w:color w:val="auto"/>
          <w:sz w:val="24"/>
          <w:szCs w:val="24"/>
          <w:highlight w:val="none"/>
        </w:rPr>
        <w:t>池容量。</w:t>
      </w:r>
    </w:p>
    <w:p w14:paraId="79D5C2D8">
      <w:pPr>
        <w:pStyle w:val="26"/>
        <w:bidi w:val="0"/>
        <w:rPr>
          <w:color w:val="auto"/>
          <w:highlight w:val="none"/>
        </w:rPr>
      </w:pPr>
      <w:r>
        <w:rPr>
          <w:rFonts w:hint="eastAsia"/>
          <w:color w:val="auto"/>
          <w:highlight w:val="none"/>
        </w:rPr>
        <w:t>⑥当地下水水质异常，立刻采取有效措施（如采用水动力隔离技术）阻止污染羽的扩散迁移，将地下水控制在局部范围，避免对下游地下水造成污染。</w:t>
      </w:r>
    </w:p>
    <w:p w14:paraId="03661DED">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4、地下水环保投资估算</w:t>
      </w:r>
    </w:p>
    <w:p w14:paraId="79F7B832">
      <w:pPr>
        <w:pStyle w:val="26"/>
        <w:bidi w:val="0"/>
        <w:rPr>
          <w:color w:val="auto"/>
          <w:highlight w:val="none"/>
        </w:rPr>
      </w:pPr>
      <w:r>
        <w:rPr>
          <w:rFonts w:hint="eastAsia"/>
          <w:color w:val="auto"/>
          <w:highlight w:val="none"/>
          <w:lang w:val="en-US" w:eastAsia="zh-CN"/>
        </w:rPr>
        <w:t>本</w:t>
      </w:r>
      <w:r>
        <w:rPr>
          <w:rFonts w:hint="eastAsia"/>
          <w:color w:val="auto"/>
          <w:highlight w:val="none"/>
        </w:rPr>
        <w:t>项目地下水环保</w:t>
      </w:r>
      <w:r>
        <w:rPr>
          <w:rFonts w:hint="eastAsia"/>
          <w:color w:val="auto"/>
          <w:highlight w:val="none"/>
          <w:lang w:eastAsia="zh-CN"/>
        </w:rPr>
        <w:t>投资</w:t>
      </w:r>
      <w:r>
        <w:rPr>
          <w:rFonts w:hint="eastAsia"/>
          <w:color w:val="auto"/>
          <w:highlight w:val="none"/>
        </w:rPr>
        <w:t>估算见下表。</w:t>
      </w:r>
    </w:p>
    <w:p w14:paraId="25F23E97">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bookmarkStart w:id="156" w:name="_Ref98942495"/>
      <w:r>
        <w:rPr>
          <w:rFonts w:hint="eastAsia" w:ascii="Times New Roman" w:hAnsi="Times New Roman" w:eastAsia="黑体" w:cs="Times New Roman"/>
          <w:color w:val="auto"/>
          <w:sz w:val="21"/>
          <w:szCs w:val="21"/>
          <w:highlight w:val="none"/>
          <w:lang w:val="en-US" w:eastAsia="zh-CN"/>
        </w:rPr>
        <w:t>地下水环保投资估算表</w:t>
      </w:r>
      <w:bookmarkEnd w:id="156"/>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5729"/>
        <w:gridCol w:w="1373"/>
        <w:gridCol w:w="1546"/>
      </w:tblGrid>
      <w:tr w14:paraId="100C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23B01DA6">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序号</w:t>
            </w:r>
          </w:p>
        </w:tc>
        <w:tc>
          <w:tcPr>
            <w:tcW w:w="3012" w:type="pct"/>
            <w:tcBorders>
              <w:top w:val="single" w:color="auto" w:sz="4" w:space="0"/>
              <w:left w:val="single" w:color="auto" w:sz="4" w:space="0"/>
              <w:bottom w:val="single" w:color="auto" w:sz="4" w:space="0"/>
              <w:right w:val="single" w:color="auto" w:sz="4" w:space="0"/>
            </w:tcBorders>
            <w:noWrap w:val="0"/>
            <w:vAlign w:val="center"/>
          </w:tcPr>
          <w:p w14:paraId="29B51A1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地下水环境保护措施</w:t>
            </w:r>
          </w:p>
        </w:tc>
        <w:tc>
          <w:tcPr>
            <w:tcW w:w="722" w:type="pct"/>
            <w:tcBorders>
              <w:top w:val="single" w:color="auto" w:sz="4" w:space="0"/>
              <w:left w:val="single" w:color="auto" w:sz="4" w:space="0"/>
              <w:bottom w:val="single" w:color="auto" w:sz="4" w:space="0"/>
              <w:right w:val="single" w:color="auto" w:sz="4" w:space="0"/>
            </w:tcBorders>
            <w:noWrap w:val="0"/>
            <w:vAlign w:val="center"/>
          </w:tcPr>
          <w:p w14:paraId="146D5396">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投资（万元）</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5CB5FFFF">
            <w:pPr>
              <w:pStyle w:val="24"/>
              <w:bidi w:val="0"/>
              <w:rPr>
                <w:rFonts w:hint="default" w:ascii="Times New Roman" w:hAnsi="Times New Roman" w:eastAsia="宋体" w:cs="Courier New"/>
                <w:b/>
                <w:bCs/>
                <w:color w:val="auto"/>
                <w:sz w:val="21"/>
                <w:szCs w:val="21"/>
                <w:highlight w:val="none"/>
                <w:lang w:val="en-US" w:eastAsia="zh-CN"/>
              </w:rPr>
            </w:pPr>
            <w:r>
              <w:rPr>
                <w:rFonts w:hint="eastAsia" w:cs="Courier New"/>
                <w:b/>
                <w:bCs/>
                <w:color w:val="auto"/>
                <w:sz w:val="21"/>
                <w:szCs w:val="21"/>
                <w:highlight w:val="none"/>
                <w:lang w:val="en-US" w:eastAsia="zh-CN"/>
              </w:rPr>
              <w:t>备注</w:t>
            </w:r>
          </w:p>
        </w:tc>
      </w:tr>
      <w:tr w14:paraId="5A6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6B534A5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w:t>
            </w:r>
          </w:p>
        </w:tc>
        <w:tc>
          <w:tcPr>
            <w:tcW w:w="5729" w:type="dxa"/>
            <w:tcBorders>
              <w:top w:val="single" w:color="auto" w:sz="4" w:space="0"/>
              <w:left w:val="single" w:color="auto" w:sz="4" w:space="0"/>
              <w:bottom w:val="single" w:color="auto" w:sz="4" w:space="0"/>
              <w:right w:val="single" w:color="auto" w:sz="4" w:space="0"/>
            </w:tcBorders>
            <w:noWrap w:val="0"/>
            <w:vAlign w:val="center"/>
          </w:tcPr>
          <w:p w14:paraId="1477D328">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采用国内先进的生产工艺，全流程采用密闭管罐系统，化学品输送</w:t>
            </w:r>
            <w:r>
              <w:rPr>
                <w:rFonts w:hint="eastAsia" w:cs="Courier New"/>
                <w:b w:val="0"/>
                <w:bCs w:val="0"/>
                <w:color w:val="auto"/>
                <w:sz w:val="21"/>
                <w:szCs w:val="21"/>
                <w:highlight w:val="none"/>
                <w:lang w:val="en-US" w:eastAsia="zh-CN"/>
              </w:rPr>
              <w:t>管道</w:t>
            </w:r>
            <w:r>
              <w:rPr>
                <w:rFonts w:hint="eastAsia" w:ascii="Times New Roman" w:hAnsi="Times New Roman" w:eastAsia="宋体" w:cs="Courier New"/>
                <w:b w:val="0"/>
                <w:bCs w:val="0"/>
                <w:color w:val="auto"/>
                <w:sz w:val="21"/>
                <w:szCs w:val="21"/>
                <w:highlight w:val="none"/>
                <w:lang w:val="en-US" w:eastAsia="zh-CN"/>
              </w:rPr>
              <w:t>均可视化</w:t>
            </w:r>
          </w:p>
        </w:tc>
        <w:tc>
          <w:tcPr>
            <w:tcW w:w="1373" w:type="dxa"/>
            <w:tcBorders>
              <w:top w:val="single" w:color="auto" w:sz="4" w:space="0"/>
              <w:left w:val="single" w:color="auto" w:sz="4" w:space="0"/>
              <w:bottom w:val="single" w:color="auto" w:sz="4" w:space="0"/>
              <w:right w:val="single" w:color="auto" w:sz="4" w:space="0"/>
            </w:tcBorders>
            <w:noWrap w:val="0"/>
            <w:vAlign w:val="center"/>
          </w:tcPr>
          <w:p w14:paraId="146B676F">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s="Times New Roman"/>
                <w:color w:val="auto"/>
                <w:highlight w:val="none"/>
                <w:lang w:val="en-US" w:eastAsia="zh-CN"/>
              </w:rPr>
              <w:t>/</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6CFCA23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纳入主体工程投资</w:t>
            </w:r>
          </w:p>
        </w:tc>
      </w:tr>
      <w:tr w14:paraId="165E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4F4C8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2</w:t>
            </w:r>
          </w:p>
        </w:tc>
        <w:tc>
          <w:tcPr>
            <w:tcW w:w="5729" w:type="dxa"/>
            <w:tcBorders>
              <w:top w:val="single" w:color="auto" w:sz="4" w:space="0"/>
              <w:left w:val="single" w:color="auto" w:sz="4" w:space="0"/>
              <w:bottom w:val="single" w:color="auto" w:sz="4" w:space="0"/>
              <w:right w:val="single" w:color="auto" w:sz="4" w:space="0"/>
            </w:tcBorders>
            <w:noWrap w:val="0"/>
            <w:vAlign w:val="center"/>
          </w:tcPr>
          <w:p w14:paraId="55C6D7B7">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工艺设备、管道、罐体均采取防腐、防渗漏措施，并定期检查工艺设备、管道、罐体状态</w:t>
            </w:r>
          </w:p>
        </w:tc>
        <w:tc>
          <w:tcPr>
            <w:tcW w:w="1373" w:type="dxa"/>
            <w:tcBorders>
              <w:top w:val="single" w:color="auto" w:sz="4" w:space="0"/>
              <w:left w:val="single" w:color="auto" w:sz="4" w:space="0"/>
              <w:bottom w:val="single" w:color="auto" w:sz="4" w:space="0"/>
              <w:right w:val="single" w:color="auto" w:sz="4" w:space="0"/>
            </w:tcBorders>
            <w:noWrap w:val="0"/>
            <w:vAlign w:val="center"/>
          </w:tcPr>
          <w:p w14:paraId="3A959740">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5</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19F18EA9">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r>
      <w:tr w14:paraId="5D10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BB7946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3</w:t>
            </w:r>
          </w:p>
        </w:tc>
        <w:tc>
          <w:tcPr>
            <w:tcW w:w="5729" w:type="dxa"/>
            <w:tcBorders>
              <w:top w:val="single" w:color="auto" w:sz="4" w:space="0"/>
              <w:left w:val="single" w:color="auto" w:sz="4" w:space="0"/>
              <w:bottom w:val="single" w:color="auto" w:sz="4" w:space="0"/>
              <w:right w:val="single" w:color="auto" w:sz="4" w:space="0"/>
            </w:tcBorders>
            <w:noWrap w:val="0"/>
            <w:vAlign w:val="center"/>
          </w:tcPr>
          <w:p w14:paraId="2C023AEE">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采取分区防渗措施</w:t>
            </w:r>
            <w:r>
              <w:rPr>
                <w:rFonts w:hint="eastAsia" w:cs="Courier New"/>
                <w:b w:val="0"/>
                <w:bCs w:val="0"/>
                <w:color w:val="auto"/>
                <w:sz w:val="21"/>
                <w:szCs w:val="21"/>
                <w:highlight w:val="none"/>
                <w:lang w:val="en-US" w:eastAsia="zh-CN"/>
              </w:rPr>
              <w:t>，定期进行检漏监测</w:t>
            </w:r>
          </w:p>
        </w:tc>
        <w:tc>
          <w:tcPr>
            <w:tcW w:w="1373" w:type="dxa"/>
            <w:tcBorders>
              <w:top w:val="single" w:color="auto" w:sz="4" w:space="0"/>
              <w:left w:val="single" w:color="auto" w:sz="4" w:space="0"/>
              <w:bottom w:val="single" w:color="auto" w:sz="4" w:space="0"/>
              <w:right w:val="single" w:color="auto" w:sz="4" w:space="0"/>
            </w:tcBorders>
            <w:noWrap w:val="0"/>
            <w:vAlign w:val="center"/>
          </w:tcPr>
          <w:p w14:paraId="57AC822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cs="Times New Roman"/>
                <w:color w:val="auto"/>
                <w:highlight w:val="none"/>
                <w:lang w:val="en-US" w:eastAsia="zh-CN"/>
              </w:rPr>
              <w:t>/</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0C67A07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纳入主体工程投资</w:t>
            </w:r>
          </w:p>
        </w:tc>
      </w:tr>
      <w:tr w14:paraId="00CC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DB16B8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bookmarkStart w:id="157" w:name="_Hlk457897305"/>
            <w:r>
              <w:rPr>
                <w:rFonts w:hint="eastAsia" w:ascii="Times New Roman" w:hAnsi="Times New Roman" w:eastAsia="宋体" w:cs="Courier New"/>
                <w:b w:val="0"/>
                <w:bCs w:val="0"/>
                <w:color w:val="auto"/>
                <w:sz w:val="21"/>
                <w:szCs w:val="21"/>
                <w:highlight w:val="none"/>
                <w:lang w:val="en-US" w:eastAsia="zh-CN"/>
              </w:rPr>
              <w:t>4</w:t>
            </w:r>
          </w:p>
        </w:tc>
        <w:tc>
          <w:tcPr>
            <w:tcW w:w="5729" w:type="dxa"/>
            <w:tcBorders>
              <w:top w:val="single" w:color="auto" w:sz="4" w:space="0"/>
              <w:left w:val="single" w:color="auto" w:sz="4" w:space="0"/>
              <w:bottom w:val="single" w:color="auto" w:sz="4" w:space="0"/>
              <w:right w:val="single" w:color="auto" w:sz="4" w:space="0"/>
            </w:tcBorders>
            <w:noWrap w:val="0"/>
            <w:vAlign w:val="center"/>
          </w:tcPr>
          <w:p w14:paraId="3D701CEB">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设3口地下水跟踪监测井</w:t>
            </w:r>
          </w:p>
        </w:tc>
        <w:tc>
          <w:tcPr>
            <w:tcW w:w="1373" w:type="dxa"/>
            <w:tcBorders>
              <w:top w:val="single" w:color="auto" w:sz="4" w:space="0"/>
              <w:left w:val="single" w:color="auto" w:sz="4" w:space="0"/>
              <w:bottom w:val="single" w:color="auto" w:sz="4" w:space="0"/>
              <w:right w:val="single" w:color="auto" w:sz="4" w:space="0"/>
            </w:tcBorders>
            <w:noWrap w:val="0"/>
            <w:vAlign w:val="center"/>
          </w:tcPr>
          <w:p w14:paraId="1EED7D6D">
            <w:pPr>
              <w:pStyle w:val="24"/>
              <w:bidi w:val="0"/>
              <w:ind w:left="0" w:leftChars="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5</w:t>
            </w:r>
          </w:p>
          <w:bookmarkEnd w:id="157"/>
        </w:tc>
        <w:tc>
          <w:tcPr>
            <w:tcW w:w="813" w:type="pct"/>
            <w:tcBorders>
              <w:top w:val="single" w:color="auto" w:sz="4" w:space="0"/>
              <w:left w:val="single" w:color="auto" w:sz="4" w:space="0"/>
              <w:bottom w:val="single" w:color="auto" w:sz="4" w:space="0"/>
              <w:right w:val="single" w:color="auto" w:sz="4" w:space="0"/>
            </w:tcBorders>
            <w:noWrap w:val="0"/>
            <w:vAlign w:val="center"/>
          </w:tcPr>
          <w:p w14:paraId="11D90DFF">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r>
      <w:tr w14:paraId="07BD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0" w:type="pct"/>
            <w:tcBorders>
              <w:top w:val="single" w:color="auto" w:sz="4" w:space="0"/>
              <w:left w:val="single" w:color="auto" w:sz="4" w:space="0"/>
              <w:bottom w:val="single" w:color="auto" w:sz="4" w:space="0"/>
              <w:right w:val="single" w:color="auto" w:sz="4" w:space="0"/>
            </w:tcBorders>
            <w:noWrap w:val="0"/>
            <w:vAlign w:val="center"/>
          </w:tcPr>
          <w:p w14:paraId="7C5395EC">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5</w:t>
            </w:r>
          </w:p>
        </w:tc>
        <w:tc>
          <w:tcPr>
            <w:tcW w:w="5729" w:type="dxa"/>
            <w:tcBorders>
              <w:top w:val="single" w:color="auto" w:sz="4" w:space="0"/>
              <w:left w:val="single" w:color="auto" w:sz="4" w:space="0"/>
              <w:bottom w:val="single" w:color="auto" w:sz="4" w:space="0"/>
              <w:right w:val="single" w:color="auto" w:sz="4" w:space="0"/>
            </w:tcBorders>
            <w:noWrap w:val="0"/>
            <w:vAlign w:val="center"/>
          </w:tcPr>
          <w:p w14:paraId="68CB0C44">
            <w:pPr>
              <w:pStyle w:val="24"/>
              <w:bidi w:val="0"/>
              <w:ind w:left="0" w:leftChars="0"/>
              <w:jc w:val="center"/>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预留地下水水质监测费</w:t>
            </w:r>
          </w:p>
        </w:tc>
        <w:tc>
          <w:tcPr>
            <w:tcW w:w="1373" w:type="dxa"/>
            <w:tcBorders>
              <w:top w:val="single" w:color="auto" w:sz="4" w:space="0"/>
              <w:left w:val="single" w:color="auto" w:sz="4" w:space="0"/>
              <w:bottom w:val="single" w:color="auto" w:sz="4" w:space="0"/>
              <w:right w:val="single" w:color="auto" w:sz="4" w:space="0"/>
            </w:tcBorders>
            <w:noWrap w:val="0"/>
            <w:vAlign w:val="center"/>
          </w:tcPr>
          <w:p w14:paraId="7B657EFC">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20</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6340664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预留20a</w:t>
            </w:r>
          </w:p>
        </w:tc>
      </w:tr>
      <w:tr w14:paraId="1267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463" w:type="pct"/>
            <w:gridSpan w:val="2"/>
            <w:tcBorders>
              <w:top w:val="single" w:color="auto" w:sz="4" w:space="0"/>
              <w:left w:val="single" w:color="auto" w:sz="4" w:space="0"/>
              <w:bottom w:val="single" w:color="auto" w:sz="4" w:space="0"/>
              <w:right w:val="single" w:color="auto" w:sz="4" w:space="0"/>
            </w:tcBorders>
            <w:noWrap w:val="0"/>
            <w:vAlign w:val="center"/>
          </w:tcPr>
          <w:p w14:paraId="6BD0063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合计</w:t>
            </w:r>
          </w:p>
        </w:tc>
        <w:tc>
          <w:tcPr>
            <w:tcW w:w="722" w:type="pct"/>
            <w:tcBorders>
              <w:top w:val="single" w:color="auto" w:sz="4" w:space="0"/>
              <w:left w:val="single" w:color="auto" w:sz="4" w:space="0"/>
              <w:bottom w:val="single" w:color="auto" w:sz="4" w:space="0"/>
              <w:right w:val="single" w:color="auto" w:sz="4" w:space="0"/>
            </w:tcBorders>
            <w:noWrap w:val="0"/>
            <w:vAlign w:val="center"/>
          </w:tcPr>
          <w:p w14:paraId="525B920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30</w:t>
            </w:r>
          </w:p>
        </w:tc>
        <w:tc>
          <w:tcPr>
            <w:tcW w:w="813" w:type="pct"/>
            <w:tcBorders>
              <w:top w:val="single" w:color="auto" w:sz="4" w:space="0"/>
              <w:left w:val="single" w:color="auto" w:sz="4" w:space="0"/>
              <w:bottom w:val="single" w:color="auto" w:sz="4" w:space="0"/>
              <w:right w:val="single" w:color="auto" w:sz="4" w:space="0"/>
            </w:tcBorders>
            <w:noWrap w:val="0"/>
            <w:vAlign w:val="center"/>
          </w:tcPr>
          <w:p w14:paraId="2D6CD267">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w:t>
            </w:r>
          </w:p>
        </w:tc>
      </w:tr>
    </w:tbl>
    <w:p w14:paraId="02ED34ED">
      <w:pPr>
        <w:pStyle w:val="5"/>
        <w:bidi w:val="0"/>
        <w:ind w:left="864" w:leftChars="0" w:hanging="864" w:firstLineChars="0"/>
        <w:rPr>
          <w:rFonts w:hint="eastAsia" w:ascii="Times New Roman" w:hAnsi="Times New Roman" w:cs="Courier New"/>
          <w:bCs/>
          <w:color w:val="auto"/>
          <w:highlight w:val="none"/>
          <w:lang w:val="en-US" w:eastAsia="zh-CN"/>
        </w:rPr>
      </w:pPr>
      <w:r>
        <w:rPr>
          <w:rFonts w:hint="eastAsia" w:ascii="Times New Roman" w:hAnsi="Times New Roman" w:cs="Courier New"/>
          <w:bCs/>
          <w:color w:val="auto"/>
          <w:highlight w:val="none"/>
          <w:lang w:val="en-US" w:eastAsia="zh-CN"/>
        </w:rPr>
        <w:t>地下水环境影响结论</w:t>
      </w:r>
    </w:p>
    <w:p w14:paraId="24BFC35F">
      <w:pPr>
        <w:pStyle w:val="26"/>
        <w:ind w:firstLine="480"/>
        <w:rPr>
          <w:rFonts w:hint="default"/>
          <w:color w:val="auto"/>
          <w:highlight w:val="none"/>
        </w:rPr>
      </w:pPr>
      <w:r>
        <w:rPr>
          <w:rFonts w:hint="eastAsia" w:ascii="Times New Roman" w:hAnsi="Times New Roman" w:eastAsia="宋体" w:cs="Times New Roman"/>
          <w:bCs/>
          <w:color w:val="auto"/>
          <w:kern w:val="0"/>
          <w:sz w:val="24"/>
          <w:lang w:val="en-US" w:eastAsia="zh-CN"/>
        </w:rPr>
        <w:t>本项目厂区各区域均需采取相应的防渗及地下水环境保护措施，正常状况下，对地下水环境影响较小；发生非正常状况后，将对项目区下伏含水层造成污染。建设单位在认真落实本报告提出的各项地下水污染防治措施的基础上，项目建设对当地地下水环境影响可以接受。</w:t>
      </w:r>
    </w:p>
    <w:p w14:paraId="71CEDF61">
      <w:pPr>
        <w:pStyle w:val="4"/>
        <w:bidi w:val="0"/>
        <w:rPr>
          <w:rFonts w:hint="eastAsia"/>
          <w:color w:val="auto"/>
          <w:highlight w:val="none"/>
          <w:lang w:eastAsia="zh-CN"/>
        </w:rPr>
      </w:pPr>
      <w:r>
        <w:rPr>
          <w:rFonts w:hint="eastAsia"/>
          <w:color w:val="auto"/>
          <w:highlight w:val="none"/>
          <w:lang w:val="en-US" w:eastAsia="zh-CN"/>
        </w:rPr>
        <w:t>土壤环境影响分析</w:t>
      </w:r>
    </w:p>
    <w:p w14:paraId="1F194440">
      <w:pPr>
        <w:pStyle w:val="5"/>
        <w:bidi w:val="0"/>
        <w:rPr>
          <w:rFonts w:hint="eastAsia"/>
          <w:color w:val="auto"/>
          <w:highlight w:val="none"/>
          <w:lang w:eastAsia="zh-CN"/>
        </w:rPr>
      </w:pPr>
      <w:r>
        <w:rPr>
          <w:rFonts w:hint="eastAsia"/>
          <w:color w:val="auto"/>
          <w:highlight w:val="none"/>
          <w:lang w:eastAsia="zh-CN"/>
        </w:rPr>
        <w:t>土壤环境污染和影响识别</w:t>
      </w:r>
    </w:p>
    <w:p w14:paraId="1A8E6C74">
      <w:pPr>
        <w:pStyle w:val="6"/>
        <w:ind w:firstLine="482"/>
        <w:rPr>
          <w:rFonts w:hint="default" w:cs="Times New Roman"/>
          <w:b/>
          <w:bCs/>
          <w:color w:val="auto"/>
          <w:highlight w:val="none"/>
          <w:lang w:val="en-US" w:eastAsia="zh-CN"/>
        </w:rPr>
      </w:pPr>
      <w:r>
        <w:rPr>
          <w:rFonts w:hint="eastAsia" w:cs="Times New Roman"/>
          <w:b/>
          <w:bCs/>
          <w:color w:val="auto"/>
          <w:highlight w:val="none"/>
          <w:lang w:val="en-US" w:eastAsia="zh-CN"/>
        </w:rPr>
        <w:t>1、</w:t>
      </w:r>
      <w:r>
        <w:rPr>
          <w:rFonts w:hint="default" w:cs="Times New Roman"/>
          <w:b/>
          <w:bCs/>
          <w:color w:val="auto"/>
          <w:highlight w:val="none"/>
          <w:lang w:val="en-US" w:eastAsia="zh-CN"/>
        </w:rPr>
        <w:t>项目类别</w:t>
      </w:r>
    </w:p>
    <w:p w14:paraId="1CC9FBF2">
      <w:pPr>
        <w:pStyle w:val="26"/>
        <w:ind w:firstLine="480"/>
        <w:rPr>
          <w:rFonts w:hint="eastAsia" w:ascii="Times New Roman" w:hAnsi="Times New Roman" w:eastAsia="宋体" w:cs="Times New Roman"/>
          <w:color w:val="auto"/>
          <w:highlight w:val="none"/>
          <w:lang w:val="en-US" w:eastAsia="zh-CN"/>
        </w:rPr>
      </w:pPr>
      <w:r>
        <w:rPr>
          <w:rFonts w:hint="eastAsia"/>
          <w:bCs/>
          <w:color w:val="auto"/>
          <w:kern w:val="0"/>
          <w:sz w:val="24"/>
          <w:lang w:val="en-US" w:eastAsia="zh-CN"/>
        </w:rPr>
        <w:t>本项目为混凝土添加剂生产，属于《国民经济行业分类》（GB/T4754-2017）中“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hint="default" w:ascii="Times New Roman" w:hAnsi="Times New Roman" w:cs="Times New Roman"/>
          <w:color w:val="auto"/>
          <w:highlight w:val="none"/>
        </w:rPr>
        <w:t>根据《环境影响评价技术导则</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土壤环境（试行）》（HJ964-2018）附录A</w:t>
      </w:r>
      <w:r>
        <w:rPr>
          <w:rFonts w:hint="eastAsia" w:cs="Times New Roman"/>
          <w:color w:val="auto"/>
          <w:highlight w:val="none"/>
          <w:lang w:val="en-US" w:eastAsia="zh-CN"/>
        </w:rPr>
        <w:t>中“</w:t>
      </w:r>
      <w:r>
        <w:rPr>
          <w:rFonts w:hint="eastAsia" w:cs="Times New Roman"/>
          <w:i/>
          <w:iCs/>
          <w:color w:val="auto"/>
          <w:highlight w:val="none"/>
          <w:lang w:val="en-US" w:eastAsia="zh-CN"/>
        </w:rPr>
        <w:t>制造业/石油、化工</w:t>
      </w:r>
      <w:r>
        <w:rPr>
          <w:rFonts w:hint="eastAsia" w:cs="Times New Roman"/>
          <w:color w:val="auto"/>
          <w:highlight w:val="none"/>
          <w:lang w:val="en-US" w:eastAsia="zh-CN"/>
        </w:rPr>
        <w:t>”行业中的</w:t>
      </w:r>
      <w:r>
        <w:rPr>
          <w:rFonts w:hint="eastAsia" w:ascii="宋体" w:hAnsi="宋体" w:eastAsia="宋体" w:cs="宋体"/>
          <w:color w:val="auto"/>
          <w:highlight w:val="none"/>
        </w:rPr>
        <w:t>“</w:t>
      </w:r>
      <w:r>
        <w:rPr>
          <w:rFonts w:hint="eastAsia" w:ascii="宋体" w:hAnsi="宋体" w:cs="宋体"/>
          <w:i/>
          <w:iCs/>
          <w:color w:val="auto"/>
          <w:highlight w:val="none"/>
          <w:lang w:val="en-US" w:eastAsia="zh-CN"/>
        </w:rPr>
        <w:t>化学原料和化学制品制造</w:t>
      </w:r>
      <w:r>
        <w:rPr>
          <w:rFonts w:hint="eastAsia" w:ascii="宋体" w:hAnsi="宋体" w:eastAsia="宋体" w:cs="宋体"/>
          <w:color w:val="auto"/>
          <w:highlight w:val="none"/>
        </w:rPr>
        <w:t>”</w:t>
      </w:r>
      <w:r>
        <w:rPr>
          <w:rFonts w:hint="eastAsia" w:ascii="宋体" w:hAnsi="宋体" w:cs="宋体"/>
          <w:color w:val="auto"/>
          <w:highlight w:val="none"/>
          <w:lang w:val="en-US" w:eastAsia="zh-CN"/>
        </w:rPr>
        <w:t>，本项目属</w:t>
      </w:r>
      <w:r>
        <w:rPr>
          <w:rFonts w:hint="default" w:ascii="Times New Roman" w:hAnsi="Times New Roman" w:cs="Times New Roman"/>
          <w:color w:val="auto"/>
          <w:highlight w:val="none"/>
        </w:rPr>
        <w:t>I</w:t>
      </w:r>
      <w:r>
        <w:rPr>
          <w:rFonts w:hint="eastAsia" w:ascii="Times New Roman" w:hAnsi="Times New Roman" w:cs="Times New Roman"/>
          <w:color w:val="auto"/>
          <w:highlight w:val="none"/>
          <w:lang w:eastAsia="zh-CN"/>
        </w:rPr>
        <w:t>类</w:t>
      </w:r>
      <w:r>
        <w:rPr>
          <w:rFonts w:hint="default" w:ascii="Times New Roman" w:hAnsi="Times New Roman" w:cs="Times New Roman"/>
          <w:color w:val="auto"/>
          <w:highlight w:val="none"/>
        </w:rPr>
        <w:t>建设项目。</w:t>
      </w:r>
    </w:p>
    <w:p w14:paraId="6F0EE627">
      <w:pPr>
        <w:pStyle w:val="26"/>
        <w:numPr>
          <w:ilvl w:val="0"/>
          <w:numId w:val="25"/>
        </w:numPr>
        <w:tabs>
          <w:tab w:val="left" w:pos="0"/>
        </w:tabs>
        <w:ind w:left="0" w:leftChars="0" w:firstLine="420" w:firstLineChars="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本项目土壤环境影响评价所属项目类别表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804"/>
        <w:gridCol w:w="5070"/>
        <w:gridCol w:w="1638"/>
        <w:gridCol w:w="775"/>
        <w:gridCol w:w="689"/>
      </w:tblGrid>
      <w:tr w14:paraId="1493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restart"/>
            <w:noWrap w:val="0"/>
            <w:vAlign w:val="center"/>
          </w:tcPr>
          <w:p w14:paraId="704B0AC1">
            <w:pPr>
              <w:pStyle w:val="24"/>
              <w:bidi w:val="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行业</w:t>
            </w:r>
          </w:p>
          <w:p w14:paraId="7173F835">
            <w:pPr>
              <w:pStyle w:val="24"/>
              <w:bidi w:val="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类别</w:t>
            </w:r>
          </w:p>
        </w:tc>
        <w:tc>
          <w:tcPr>
            <w:tcW w:w="0" w:type="auto"/>
            <w:gridSpan w:val="4"/>
            <w:noWrap w:val="0"/>
            <w:vAlign w:val="center"/>
          </w:tcPr>
          <w:p w14:paraId="5901531F">
            <w:pPr>
              <w:pStyle w:val="24"/>
              <w:bidi w:val="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项目类别</w:t>
            </w:r>
          </w:p>
        </w:tc>
      </w:tr>
      <w:tr w14:paraId="749D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continue"/>
            <w:noWrap w:val="0"/>
            <w:vAlign w:val="center"/>
          </w:tcPr>
          <w:p w14:paraId="19B48F9E">
            <w:pPr>
              <w:pStyle w:val="24"/>
              <w:bidi w:val="0"/>
              <w:jc w:val="center"/>
              <w:rPr>
                <w:rFonts w:hint="default" w:ascii="Times New Roman" w:hAnsi="Times New Roman" w:cs="Times New Roman"/>
                <w:b/>
                <w:bCs/>
                <w:color w:val="auto"/>
                <w:sz w:val="21"/>
                <w:szCs w:val="21"/>
                <w:highlight w:val="none"/>
              </w:rPr>
            </w:pPr>
          </w:p>
        </w:tc>
        <w:tc>
          <w:tcPr>
            <w:tcW w:w="5070" w:type="dxa"/>
            <w:noWrap w:val="0"/>
            <w:vAlign w:val="center"/>
          </w:tcPr>
          <w:p w14:paraId="35604355">
            <w:pPr>
              <w:pStyle w:val="24"/>
              <w:bidi w:val="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I类</w:t>
            </w:r>
          </w:p>
        </w:tc>
        <w:tc>
          <w:tcPr>
            <w:tcW w:w="1638" w:type="dxa"/>
            <w:noWrap w:val="0"/>
            <w:vAlign w:val="center"/>
          </w:tcPr>
          <w:p w14:paraId="4D9F422E">
            <w:pPr>
              <w:pStyle w:val="24"/>
              <w:bidi w:val="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eastAsia="zh-CN"/>
              </w:rPr>
              <w:t>Ⅱ类</w:t>
            </w:r>
          </w:p>
        </w:tc>
        <w:tc>
          <w:tcPr>
            <w:tcW w:w="775" w:type="dxa"/>
            <w:noWrap w:val="0"/>
            <w:vAlign w:val="center"/>
          </w:tcPr>
          <w:p w14:paraId="38893723">
            <w:pPr>
              <w:pStyle w:val="24"/>
              <w:bidi w:val="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III</w:t>
            </w:r>
            <w:r>
              <w:rPr>
                <w:rFonts w:hint="default" w:ascii="Times New Roman" w:hAnsi="Times New Roman" w:cs="Times New Roman"/>
                <w:b/>
                <w:bCs/>
                <w:color w:val="auto"/>
                <w:sz w:val="21"/>
                <w:szCs w:val="21"/>
                <w:highlight w:val="none"/>
                <w:lang w:val="en-US" w:eastAsia="zh-CN"/>
              </w:rPr>
              <w:t>类</w:t>
            </w:r>
          </w:p>
        </w:tc>
        <w:tc>
          <w:tcPr>
            <w:tcW w:w="689" w:type="dxa"/>
            <w:noWrap w:val="0"/>
            <w:vAlign w:val="center"/>
          </w:tcPr>
          <w:p w14:paraId="39AA80E6">
            <w:pPr>
              <w:pStyle w:val="24"/>
              <w:bidi w:val="0"/>
              <w:jc w:val="center"/>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eastAsia="zh-CN"/>
              </w:rPr>
              <w:t>Ⅳ类</w:t>
            </w:r>
          </w:p>
        </w:tc>
      </w:tr>
      <w:tr w14:paraId="1E69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6E48C6A">
            <w:pPr>
              <w:pStyle w:val="24"/>
              <w:bidi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制造业</w:t>
            </w:r>
          </w:p>
        </w:tc>
        <w:tc>
          <w:tcPr>
            <w:tcW w:w="0" w:type="auto"/>
            <w:noWrap w:val="0"/>
            <w:vAlign w:val="center"/>
          </w:tcPr>
          <w:p w14:paraId="7FD32738">
            <w:pPr>
              <w:pStyle w:val="24"/>
              <w:bidi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石油、化工</w:t>
            </w:r>
          </w:p>
        </w:tc>
        <w:tc>
          <w:tcPr>
            <w:tcW w:w="5070" w:type="dxa"/>
            <w:noWrap w:val="0"/>
            <w:vAlign w:val="center"/>
          </w:tcPr>
          <w:p w14:paraId="5A4C4133">
            <w:pPr>
              <w:pStyle w:val="24"/>
              <w:bidi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石油加工、炼焦；</w:t>
            </w:r>
            <w:r>
              <w:rPr>
                <w:rFonts w:hint="eastAsia" w:cs="Times New Roman"/>
                <w:b/>
                <w:bCs/>
                <w:i/>
                <w:iCs/>
                <w:color w:val="auto"/>
                <w:sz w:val="21"/>
                <w:szCs w:val="21"/>
                <w:highlight w:val="none"/>
                <w:lang w:val="en-US" w:eastAsia="zh-CN"/>
              </w:rPr>
              <w:t>化学原料和化学制品制造</w:t>
            </w:r>
            <w:r>
              <w:rPr>
                <w:rFonts w:hint="eastAsia" w:cs="Times New Roman"/>
                <w:color w:val="auto"/>
                <w:sz w:val="21"/>
                <w:szCs w:val="21"/>
                <w:highlight w:val="none"/>
                <w:lang w:val="en-US" w:eastAsia="zh-CN"/>
              </w:rPr>
              <w:t>；农药制造；涂料、染料、颜料、油墨及其类似产品制造；合成材料制造；炸药、火工及焰火产品制造；水处理剂等制造；化学药品制造；</w:t>
            </w:r>
            <w:r>
              <w:rPr>
                <w:rFonts w:hint="eastAsia" w:cs="Times New Roman"/>
                <w:b w:val="0"/>
                <w:bCs w:val="0"/>
                <w:color w:val="auto"/>
                <w:sz w:val="21"/>
                <w:szCs w:val="21"/>
                <w:highlight w:val="none"/>
                <w:lang w:val="en-US" w:eastAsia="zh-CN"/>
              </w:rPr>
              <w:t>生物、生化制品制造</w:t>
            </w:r>
          </w:p>
        </w:tc>
        <w:tc>
          <w:tcPr>
            <w:tcW w:w="1638" w:type="dxa"/>
            <w:noWrap w:val="0"/>
            <w:vAlign w:val="center"/>
          </w:tcPr>
          <w:p w14:paraId="1220564A">
            <w:pPr>
              <w:pStyle w:val="24"/>
              <w:bidi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半导体材料、日用化学品制造；化学肥料制造</w:t>
            </w:r>
          </w:p>
        </w:tc>
        <w:tc>
          <w:tcPr>
            <w:tcW w:w="775" w:type="dxa"/>
            <w:noWrap w:val="0"/>
            <w:vAlign w:val="center"/>
          </w:tcPr>
          <w:p w14:paraId="1F94C383">
            <w:pPr>
              <w:pStyle w:val="24"/>
              <w:bidi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其他</w:t>
            </w:r>
          </w:p>
        </w:tc>
        <w:tc>
          <w:tcPr>
            <w:tcW w:w="689" w:type="dxa"/>
            <w:noWrap w:val="0"/>
            <w:vAlign w:val="center"/>
          </w:tcPr>
          <w:p w14:paraId="22E7964F">
            <w:pPr>
              <w:pStyle w:val="24"/>
              <w:bidi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其他</w:t>
            </w:r>
          </w:p>
        </w:tc>
      </w:tr>
    </w:tbl>
    <w:p w14:paraId="7B11E5BD">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2、土壤环境影响类型与影响途径</w:t>
      </w:r>
    </w:p>
    <w:p w14:paraId="4C455DF9">
      <w:pPr>
        <w:pStyle w:val="26"/>
        <w:bidi w:val="0"/>
        <w:rPr>
          <w:color w:val="auto"/>
          <w:szCs w:val="24"/>
          <w:highlight w:val="none"/>
        </w:rPr>
      </w:pPr>
      <w:r>
        <w:rPr>
          <w:rFonts w:hint="eastAsia" w:ascii="Times New Roman" w:hAnsi="Times New Roman"/>
          <w:color w:val="auto"/>
          <w:sz w:val="24"/>
          <w:szCs w:val="24"/>
        </w:rPr>
        <w:t>根据建设项目对土壤环境可能产生的影响，项目土壤环境影响类型属污染影响型。本项目对土壤的影响途径见下表</w:t>
      </w:r>
      <w:r>
        <w:rPr>
          <w:color w:val="auto"/>
          <w:szCs w:val="24"/>
          <w:highlight w:val="none"/>
          <w:lang w:bidi="ar"/>
        </w:rPr>
        <w:t>。</w:t>
      </w:r>
    </w:p>
    <w:p w14:paraId="48455DC9">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本项目土壤环境影响类型与影响途径表</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6"/>
        <w:gridCol w:w="1907"/>
        <w:gridCol w:w="1967"/>
        <w:gridCol w:w="1931"/>
        <w:gridCol w:w="1271"/>
      </w:tblGrid>
      <w:tr w14:paraId="159E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280" w:type="pct"/>
            <w:vMerge w:val="restart"/>
            <w:tcBorders>
              <w:tl2br w:val="nil"/>
              <w:tr2bl w:val="nil"/>
            </w:tcBorders>
            <w:noWrap w:val="0"/>
            <w:vAlign w:val="center"/>
          </w:tcPr>
          <w:p w14:paraId="3F0B4248">
            <w:pPr>
              <w:pStyle w:val="24"/>
              <w:bidi w:val="0"/>
              <w:rPr>
                <w:b/>
                <w:bCs/>
                <w:color w:val="auto"/>
                <w:highlight w:val="none"/>
              </w:rPr>
            </w:pPr>
            <w:r>
              <w:rPr>
                <w:b/>
                <w:bCs/>
                <w:color w:val="auto"/>
                <w:highlight w:val="none"/>
              </w:rPr>
              <w:t>不同时段</w:t>
            </w:r>
          </w:p>
        </w:tc>
        <w:tc>
          <w:tcPr>
            <w:tcW w:w="3719" w:type="pct"/>
            <w:gridSpan w:val="4"/>
            <w:tcBorders>
              <w:tl2br w:val="nil"/>
              <w:tr2bl w:val="nil"/>
            </w:tcBorders>
            <w:noWrap w:val="0"/>
            <w:vAlign w:val="center"/>
          </w:tcPr>
          <w:p w14:paraId="598786E7">
            <w:pPr>
              <w:pStyle w:val="24"/>
              <w:bidi w:val="0"/>
              <w:rPr>
                <w:b/>
                <w:bCs/>
                <w:color w:val="auto"/>
                <w:highlight w:val="none"/>
              </w:rPr>
            </w:pPr>
            <w:r>
              <w:rPr>
                <w:b/>
                <w:bCs/>
                <w:color w:val="auto"/>
                <w:highlight w:val="none"/>
              </w:rPr>
              <w:t>污染影响型</w:t>
            </w:r>
          </w:p>
        </w:tc>
      </w:tr>
      <w:tr w14:paraId="6FCE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280" w:type="pct"/>
            <w:vMerge w:val="continue"/>
            <w:tcBorders>
              <w:tl2br w:val="nil"/>
              <w:tr2bl w:val="nil"/>
            </w:tcBorders>
            <w:noWrap w:val="0"/>
            <w:vAlign w:val="center"/>
          </w:tcPr>
          <w:p w14:paraId="7CDFD17E">
            <w:pPr>
              <w:pStyle w:val="24"/>
              <w:bidi w:val="0"/>
              <w:rPr>
                <w:b/>
                <w:bCs/>
                <w:color w:val="auto"/>
                <w:highlight w:val="none"/>
              </w:rPr>
            </w:pPr>
          </w:p>
        </w:tc>
        <w:tc>
          <w:tcPr>
            <w:tcW w:w="1002" w:type="pct"/>
            <w:tcBorders>
              <w:tl2br w:val="nil"/>
              <w:tr2bl w:val="nil"/>
            </w:tcBorders>
            <w:noWrap w:val="0"/>
            <w:vAlign w:val="center"/>
          </w:tcPr>
          <w:p w14:paraId="371C8200">
            <w:pPr>
              <w:pStyle w:val="24"/>
              <w:bidi w:val="0"/>
              <w:rPr>
                <w:b/>
                <w:bCs/>
                <w:color w:val="auto"/>
                <w:highlight w:val="none"/>
              </w:rPr>
            </w:pPr>
            <w:r>
              <w:rPr>
                <w:b/>
                <w:bCs/>
                <w:color w:val="auto"/>
                <w:highlight w:val="none"/>
              </w:rPr>
              <w:t>大气沉降</w:t>
            </w:r>
          </w:p>
        </w:tc>
        <w:tc>
          <w:tcPr>
            <w:tcW w:w="1034" w:type="pct"/>
            <w:tcBorders>
              <w:tl2br w:val="nil"/>
              <w:tr2bl w:val="nil"/>
            </w:tcBorders>
            <w:noWrap w:val="0"/>
            <w:vAlign w:val="center"/>
          </w:tcPr>
          <w:p w14:paraId="5F5C0359">
            <w:pPr>
              <w:pStyle w:val="24"/>
              <w:bidi w:val="0"/>
              <w:rPr>
                <w:b/>
                <w:bCs/>
                <w:color w:val="auto"/>
                <w:highlight w:val="none"/>
              </w:rPr>
            </w:pPr>
            <w:r>
              <w:rPr>
                <w:b/>
                <w:bCs/>
                <w:color w:val="auto"/>
                <w:highlight w:val="none"/>
              </w:rPr>
              <w:t>地面漫流</w:t>
            </w:r>
          </w:p>
        </w:tc>
        <w:tc>
          <w:tcPr>
            <w:tcW w:w="1015" w:type="pct"/>
            <w:tcBorders>
              <w:tl2br w:val="nil"/>
              <w:tr2bl w:val="nil"/>
            </w:tcBorders>
            <w:noWrap w:val="0"/>
            <w:vAlign w:val="center"/>
          </w:tcPr>
          <w:p w14:paraId="4CEF28AA">
            <w:pPr>
              <w:pStyle w:val="24"/>
              <w:bidi w:val="0"/>
              <w:rPr>
                <w:b/>
                <w:bCs/>
                <w:color w:val="auto"/>
                <w:highlight w:val="none"/>
              </w:rPr>
            </w:pPr>
            <w:r>
              <w:rPr>
                <w:b/>
                <w:bCs/>
                <w:color w:val="auto"/>
                <w:highlight w:val="none"/>
              </w:rPr>
              <w:t>垂直入渗</w:t>
            </w:r>
          </w:p>
        </w:tc>
        <w:tc>
          <w:tcPr>
            <w:tcW w:w="666" w:type="pct"/>
            <w:tcBorders>
              <w:tl2br w:val="nil"/>
              <w:tr2bl w:val="nil"/>
            </w:tcBorders>
            <w:noWrap w:val="0"/>
            <w:vAlign w:val="center"/>
          </w:tcPr>
          <w:p w14:paraId="76746190">
            <w:pPr>
              <w:pStyle w:val="24"/>
              <w:bidi w:val="0"/>
              <w:rPr>
                <w:b/>
                <w:bCs/>
                <w:color w:val="auto"/>
                <w:highlight w:val="none"/>
              </w:rPr>
            </w:pPr>
            <w:r>
              <w:rPr>
                <w:b/>
                <w:bCs/>
                <w:color w:val="auto"/>
                <w:highlight w:val="none"/>
              </w:rPr>
              <w:t>其他</w:t>
            </w:r>
          </w:p>
        </w:tc>
      </w:tr>
      <w:tr w14:paraId="4713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280" w:type="pct"/>
            <w:tcBorders>
              <w:tl2br w:val="nil"/>
              <w:tr2bl w:val="nil"/>
            </w:tcBorders>
            <w:noWrap w:val="0"/>
            <w:vAlign w:val="center"/>
          </w:tcPr>
          <w:p w14:paraId="7B1F4C55">
            <w:pPr>
              <w:pStyle w:val="24"/>
              <w:bidi w:val="0"/>
              <w:rPr>
                <w:color w:val="auto"/>
                <w:highlight w:val="none"/>
              </w:rPr>
            </w:pPr>
            <w:r>
              <w:rPr>
                <w:color w:val="auto"/>
                <w:highlight w:val="none"/>
              </w:rPr>
              <w:t>建设期</w:t>
            </w:r>
          </w:p>
        </w:tc>
        <w:tc>
          <w:tcPr>
            <w:tcW w:w="1002" w:type="pct"/>
            <w:tcBorders>
              <w:tl2br w:val="nil"/>
              <w:tr2bl w:val="nil"/>
            </w:tcBorders>
            <w:noWrap w:val="0"/>
            <w:vAlign w:val="center"/>
          </w:tcPr>
          <w:p w14:paraId="12C27B08">
            <w:pPr>
              <w:pStyle w:val="24"/>
              <w:bidi w:val="0"/>
              <w:rPr>
                <w:color w:val="auto"/>
                <w:highlight w:val="none"/>
              </w:rPr>
            </w:pPr>
            <w:r>
              <w:rPr>
                <w:color w:val="auto"/>
                <w:highlight w:val="none"/>
              </w:rPr>
              <w:t>/</w:t>
            </w:r>
          </w:p>
        </w:tc>
        <w:tc>
          <w:tcPr>
            <w:tcW w:w="1967" w:type="dxa"/>
            <w:tcBorders>
              <w:tl2br w:val="nil"/>
              <w:tr2bl w:val="nil"/>
            </w:tcBorders>
            <w:noWrap w:val="0"/>
            <w:vAlign w:val="center"/>
          </w:tcPr>
          <w:p w14:paraId="521ED558">
            <w:pPr>
              <w:pStyle w:val="24"/>
              <w:bidi w:val="0"/>
              <w:ind w:left="0" w:leftChars="0"/>
              <w:rPr>
                <w:color w:val="auto"/>
                <w:highlight w:val="none"/>
              </w:rPr>
            </w:pPr>
            <w:r>
              <w:rPr>
                <w:color w:val="auto"/>
                <w:highlight w:val="none"/>
              </w:rPr>
              <w:t>√</w:t>
            </w:r>
          </w:p>
        </w:tc>
        <w:tc>
          <w:tcPr>
            <w:tcW w:w="1931" w:type="dxa"/>
            <w:tcBorders>
              <w:tl2br w:val="nil"/>
              <w:tr2bl w:val="nil"/>
            </w:tcBorders>
            <w:noWrap w:val="0"/>
            <w:vAlign w:val="center"/>
          </w:tcPr>
          <w:p w14:paraId="468853ED">
            <w:pPr>
              <w:pStyle w:val="24"/>
              <w:bidi w:val="0"/>
              <w:ind w:left="0" w:leftChars="0"/>
              <w:rPr>
                <w:color w:val="auto"/>
                <w:highlight w:val="none"/>
              </w:rPr>
            </w:pPr>
            <w:r>
              <w:rPr>
                <w:color w:val="auto"/>
                <w:highlight w:val="none"/>
              </w:rPr>
              <w:t>√</w:t>
            </w:r>
          </w:p>
        </w:tc>
        <w:tc>
          <w:tcPr>
            <w:tcW w:w="666" w:type="pct"/>
            <w:tcBorders>
              <w:tl2br w:val="nil"/>
              <w:tr2bl w:val="nil"/>
            </w:tcBorders>
            <w:noWrap w:val="0"/>
            <w:vAlign w:val="center"/>
          </w:tcPr>
          <w:p w14:paraId="004C5FD9">
            <w:pPr>
              <w:pStyle w:val="24"/>
              <w:bidi w:val="0"/>
              <w:rPr>
                <w:color w:val="auto"/>
                <w:highlight w:val="none"/>
              </w:rPr>
            </w:pPr>
            <w:r>
              <w:rPr>
                <w:color w:val="auto"/>
                <w:highlight w:val="none"/>
              </w:rPr>
              <w:t>/</w:t>
            </w:r>
          </w:p>
        </w:tc>
      </w:tr>
      <w:tr w14:paraId="0149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280" w:type="pct"/>
            <w:tcBorders>
              <w:tl2br w:val="nil"/>
              <w:tr2bl w:val="nil"/>
            </w:tcBorders>
            <w:noWrap w:val="0"/>
            <w:vAlign w:val="center"/>
          </w:tcPr>
          <w:p w14:paraId="210CD870">
            <w:pPr>
              <w:pStyle w:val="24"/>
              <w:bidi w:val="0"/>
              <w:rPr>
                <w:color w:val="auto"/>
                <w:highlight w:val="none"/>
              </w:rPr>
            </w:pPr>
            <w:r>
              <w:rPr>
                <w:color w:val="auto"/>
                <w:highlight w:val="none"/>
              </w:rPr>
              <w:t>运营期</w:t>
            </w:r>
          </w:p>
        </w:tc>
        <w:tc>
          <w:tcPr>
            <w:tcW w:w="1002" w:type="pct"/>
            <w:tcBorders>
              <w:tl2br w:val="nil"/>
              <w:tr2bl w:val="nil"/>
            </w:tcBorders>
            <w:noWrap w:val="0"/>
            <w:vAlign w:val="center"/>
          </w:tcPr>
          <w:p w14:paraId="4405CB62">
            <w:pPr>
              <w:pStyle w:val="24"/>
              <w:bidi w:val="0"/>
              <w:rPr>
                <w:color w:val="auto"/>
                <w:highlight w:val="none"/>
              </w:rPr>
            </w:pPr>
            <w:r>
              <w:rPr>
                <w:color w:val="auto"/>
                <w:highlight w:val="none"/>
              </w:rPr>
              <w:t>√</w:t>
            </w:r>
          </w:p>
        </w:tc>
        <w:tc>
          <w:tcPr>
            <w:tcW w:w="1034" w:type="pct"/>
            <w:tcBorders>
              <w:tl2br w:val="nil"/>
              <w:tr2bl w:val="nil"/>
            </w:tcBorders>
            <w:noWrap w:val="0"/>
            <w:vAlign w:val="center"/>
          </w:tcPr>
          <w:p w14:paraId="33AE9026">
            <w:pPr>
              <w:pStyle w:val="24"/>
              <w:bidi w:val="0"/>
              <w:rPr>
                <w:color w:val="auto"/>
                <w:highlight w:val="none"/>
              </w:rPr>
            </w:pPr>
            <w:r>
              <w:rPr>
                <w:color w:val="auto"/>
                <w:highlight w:val="none"/>
              </w:rPr>
              <w:t>√</w:t>
            </w:r>
          </w:p>
        </w:tc>
        <w:tc>
          <w:tcPr>
            <w:tcW w:w="1015" w:type="pct"/>
            <w:tcBorders>
              <w:tl2br w:val="nil"/>
              <w:tr2bl w:val="nil"/>
            </w:tcBorders>
            <w:noWrap w:val="0"/>
            <w:vAlign w:val="center"/>
          </w:tcPr>
          <w:p w14:paraId="28FF1D1D">
            <w:pPr>
              <w:pStyle w:val="24"/>
              <w:bidi w:val="0"/>
              <w:rPr>
                <w:color w:val="auto"/>
                <w:highlight w:val="none"/>
              </w:rPr>
            </w:pPr>
            <w:r>
              <w:rPr>
                <w:color w:val="auto"/>
                <w:highlight w:val="none"/>
              </w:rPr>
              <w:t>√</w:t>
            </w:r>
          </w:p>
        </w:tc>
        <w:tc>
          <w:tcPr>
            <w:tcW w:w="666" w:type="pct"/>
            <w:tcBorders>
              <w:tl2br w:val="nil"/>
              <w:tr2bl w:val="nil"/>
            </w:tcBorders>
            <w:noWrap w:val="0"/>
            <w:vAlign w:val="center"/>
          </w:tcPr>
          <w:p w14:paraId="209348B3">
            <w:pPr>
              <w:pStyle w:val="24"/>
              <w:bidi w:val="0"/>
              <w:rPr>
                <w:color w:val="auto"/>
                <w:highlight w:val="none"/>
              </w:rPr>
            </w:pPr>
            <w:r>
              <w:rPr>
                <w:color w:val="auto"/>
                <w:highlight w:val="none"/>
              </w:rPr>
              <w:t>/</w:t>
            </w:r>
          </w:p>
        </w:tc>
      </w:tr>
    </w:tbl>
    <w:p w14:paraId="53B251FD">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3、土壤环境影响源及影响因子</w:t>
      </w:r>
    </w:p>
    <w:p w14:paraId="0C7EBD2E">
      <w:pPr>
        <w:pStyle w:val="26"/>
        <w:bidi w:val="0"/>
        <w:ind w:left="0" w:leftChars="0" w:firstLine="480" w:firstLineChars="200"/>
        <w:rPr>
          <w:color w:val="auto"/>
          <w:highlight w:val="none"/>
        </w:rPr>
      </w:pPr>
      <w:r>
        <w:rPr>
          <w:rFonts w:hint="eastAsia" w:ascii="Times New Roman" w:hAnsi="Times New Roman"/>
          <w:color w:val="auto"/>
          <w:sz w:val="24"/>
          <w:szCs w:val="24"/>
        </w:rPr>
        <w:t>根据工程分析，本项目对土壤环境的主要影响源及影响因子如下：</w:t>
      </w:r>
    </w:p>
    <w:p w14:paraId="506F4B33">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本项目土壤环境影响源及影响因子识别表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1540"/>
        <w:gridCol w:w="1225"/>
        <w:gridCol w:w="4491"/>
        <w:gridCol w:w="918"/>
      </w:tblGrid>
      <w:tr w14:paraId="1BB2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tcBorders>
              <w:tl2br w:val="nil"/>
              <w:tr2bl w:val="nil"/>
            </w:tcBorders>
            <w:noWrap w:val="0"/>
            <w:vAlign w:val="center"/>
          </w:tcPr>
          <w:p w14:paraId="0603C664">
            <w:pPr>
              <w:pStyle w:val="24"/>
              <w:bidi w:val="0"/>
              <w:rPr>
                <w:b/>
                <w:bCs/>
                <w:color w:val="auto"/>
                <w:highlight w:val="none"/>
              </w:rPr>
            </w:pPr>
            <w:r>
              <w:rPr>
                <w:b/>
                <w:bCs/>
                <w:color w:val="auto"/>
                <w:highlight w:val="none"/>
              </w:rPr>
              <w:t>污染源</w:t>
            </w:r>
          </w:p>
        </w:tc>
        <w:tc>
          <w:tcPr>
            <w:tcW w:w="810" w:type="pct"/>
            <w:tcBorders>
              <w:tl2br w:val="nil"/>
              <w:tr2bl w:val="nil"/>
            </w:tcBorders>
            <w:noWrap w:val="0"/>
            <w:vAlign w:val="center"/>
          </w:tcPr>
          <w:p w14:paraId="71DB3BB2">
            <w:pPr>
              <w:pStyle w:val="24"/>
              <w:bidi w:val="0"/>
              <w:rPr>
                <w:b/>
                <w:bCs/>
                <w:color w:val="auto"/>
                <w:highlight w:val="none"/>
              </w:rPr>
            </w:pPr>
            <w:r>
              <w:rPr>
                <w:b/>
                <w:bCs/>
                <w:color w:val="auto"/>
                <w:highlight w:val="none"/>
              </w:rPr>
              <w:t>工艺流程/节点</w:t>
            </w:r>
          </w:p>
        </w:tc>
        <w:tc>
          <w:tcPr>
            <w:tcW w:w="644" w:type="pct"/>
            <w:tcBorders>
              <w:tl2br w:val="nil"/>
              <w:tr2bl w:val="nil"/>
            </w:tcBorders>
            <w:noWrap w:val="0"/>
            <w:vAlign w:val="center"/>
          </w:tcPr>
          <w:p w14:paraId="74A6903F">
            <w:pPr>
              <w:pStyle w:val="24"/>
              <w:bidi w:val="0"/>
              <w:rPr>
                <w:b/>
                <w:bCs/>
                <w:color w:val="auto"/>
                <w:highlight w:val="none"/>
              </w:rPr>
            </w:pPr>
            <w:r>
              <w:rPr>
                <w:b/>
                <w:bCs/>
                <w:color w:val="auto"/>
                <w:highlight w:val="none"/>
              </w:rPr>
              <w:t>污染途径</w:t>
            </w:r>
          </w:p>
        </w:tc>
        <w:tc>
          <w:tcPr>
            <w:tcW w:w="2362" w:type="pct"/>
            <w:tcBorders>
              <w:tl2br w:val="nil"/>
              <w:tr2bl w:val="nil"/>
            </w:tcBorders>
            <w:noWrap w:val="0"/>
            <w:vAlign w:val="center"/>
          </w:tcPr>
          <w:p w14:paraId="21A3A82C">
            <w:pPr>
              <w:pStyle w:val="24"/>
              <w:bidi w:val="0"/>
              <w:rPr>
                <w:b/>
                <w:bCs/>
                <w:color w:val="auto"/>
                <w:highlight w:val="none"/>
              </w:rPr>
            </w:pPr>
            <w:r>
              <w:rPr>
                <w:b/>
                <w:bCs/>
                <w:color w:val="auto"/>
                <w:highlight w:val="none"/>
              </w:rPr>
              <w:t>全部污染指标</w:t>
            </w:r>
          </w:p>
        </w:tc>
        <w:tc>
          <w:tcPr>
            <w:tcW w:w="483" w:type="pct"/>
            <w:tcBorders>
              <w:tl2br w:val="nil"/>
              <w:tr2bl w:val="nil"/>
            </w:tcBorders>
            <w:noWrap w:val="0"/>
            <w:vAlign w:val="center"/>
          </w:tcPr>
          <w:p w14:paraId="3878EDE5">
            <w:pPr>
              <w:pStyle w:val="24"/>
              <w:bidi w:val="0"/>
              <w:rPr>
                <w:b/>
                <w:bCs/>
                <w:color w:val="auto"/>
                <w:highlight w:val="none"/>
              </w:rPr>
            </w:pPr>
            <w:r>
              <w:rPr>
                <w:b/>
                <w:bCs/>
                <w:color w:val="auto"/>
                <w:highlight w:val="none"/>
              </w:rPr>
              <w:t>备注</w:t>
            </w:r>
          </w:p>
        </w:tc>
      </w:tr>
      <w:tr w14:paraId="748C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vMerge w:val="restart"/>
            <w:tcBorders>
              <w:tl2br w:val="nil"/>
              <w:tr2bl w:val="nil"/>
            </w:tcBorders>
            <w:noWrap w:val="0"/>
            <w:vAlign w:val="center"/>
          </w:tcPr>
          <w:p w14:paraId="206AAD1B">
            <w:pPr>
              <w:pStyle w:val="24"/>
              <w:bidi w:val="0"/>
              <w:rPr>
                <w:rFonts w:hint="default" w:ascii="Times New Roman" w:hAnsi="Times New Roman" w:eastAsia="宋体" w:cs="Courier New"/>
                <w:b w:val="0"/>
                <w:bCs w:val="0"/>
                <w:color w:val="auto"/>
                <w:kern w:val="2"/>
                <w:sz w:val="21"/>
                <w:szCs w:val="24"/>
                <w:highlight w:val="none"/>
                <w:lang w:val="en-US" w:eastAsia="zh-CN" w:bidi="ar-SA"/>
              </w:rPr>
            </w:pPr>
            <w:r>
              <w:rPr>
                <w:rFonts w:hint="default" w:ascii="Times New Roman" w:hAnsi="Times New Roman" w:eastAsia="宋体" w:cs="Courier New"/>
                <w:b w:val="0"/>
                <w:bCs w:val="0"/>
                <w:color w:val="auto"/>
                <w:kern w:val="2"/>
                <w:sz w:val="21"/>
                <w:szCs w:val="24"/>
                <w:highlight w:val="none"/>
                <w:lang w:val="en-US" w:eastAsia="zh-CN" w:bidi="ar-SA"/>
              </w:rPr>
              <w:t>生产车间</w:t>
            </w:r>
          </w:p>
        </w:tc>
        <w:tc>
          <w:tcPr>
            <w:tcW w:w="810" w:type="pct"/>
            <w:vMerge w:val="restart"/>
            <w:tcBorders>
              <w:tl2br w:val="nil"/>
              <w:tr2bl w:val="nil"/>
            </w:tcBorders>
            <w:noWrap w:val="0"/>
            <w:vAlign w:val="center"/>
          </w:tcPr>
          <w:p w14:paraId="50B16FBA">
            <w:pPr>
              <w:pStyle w:val="24"/>
              <w:bidi w:val="0"/>
              <w:rPr>
                <w:rFonts w:hint="default"/>
                <w:b w:val="0"/>
                <w:bCs w:val="0"/>
                <w:color w:val="auto"/>
                <w:highlight w:val="none"/>
                <w:lang w:val="en-US" w:eastAsia="zh-CN"/>
              </w:rPr>
            </w:pPr>
            <w:r>
              <w:rPr>
                <w:rFonts w:hint="eastAsia"/>
                <w:b w:val="0"/>
                <w:bCs w:val="0"/>
                <w:color w:val="auto"/>
                <w:highlight w:val="none"/>
                <w:lang w:val="en-US" w:eastAsia="zh-CN"/>
              </w:rPr>
              <w:t>物料输送管道及生产设备</w:t>
            </w:r>
          </w:p>
        </w:tc>
        <w:tc>
          <w:tcPr>
            <w:tcW w:w="644" w:type="pct"/>
            <w:tcBorders>
              <w:tl2br w:val="nil"/>
              <w:tr2bl w:val="nil"/>
            </w:tcBorders>
            <w:noWrap w:val="0"/>
            <w:vAlign w:val="center"/>
          </w:tcPr>
          <w:p w14:paraId="251FA650">
            <w:pPr>
              <w:pStyle w:val="24"/>
              <w:bidi w:val="0"/>
              <w:ind w:left="0" w:leftChars="0"/>
              <w:rPr>
                <w:rFonts w:hint="eastAsia"/>
                <w:b w:val="0"/>
                <w:bCs w:val="0"/>
                <w:color w:val="auto"/>
                <w:highlight w:val="none"/>
                <w:lang w:val="en-US" w:eastAsia="zh-CN"/>
              </w:rPr>
            </w:pPr>
            <w:r>
              <w:rPr>
                <w:rFonts w:hint="eastAsia"/>
                <w:b w:val="0"/>
                <w:bCs w:val="0"/>
                <w:color w:val="auto"/>
                <w:highlight w:val="none"/>
                <w:lang w:val="en-US" w:eastAsia="zh-CN"/>
              </w:rPr>
              <w:t>大气沉降</w:t>
            </w:r>
          </w:p>
        </w:tc>
        <w:tc>
          <w:tcPr>
            <w:tcW w:w="2362" w:type="pct"/>
            <w:tcBorders>
              <w:tl2br w:val="nil"/>
              <w:tr2bl w:val="nil"/>
            </w:tcBorders>
            <w:noWrap w:val="0"/>
            <w:vAlign w:val="center"/>
          </w:tcPr>
          <w:p w14:paraId="2F2D14BC">
            <w:pPr>
              <w:pStyle w:val="24"/>
              <w:bidi w:val="0"/>
              <w:ind w:left="0" w:leftChars="0"/>
              <w:rPr>
                <w:rFonts w:hint="default"/>
                <w:color w:val="auto"/>
                <w:highlight w:val="none"/>
                <w:lang w:val="en-US" w:eastAsia="zh-CN"/>
              </w:rPr>
            </w:pPr>
            <w:r>
              <w:rPr>
                <w:rFonts w:hint="eastAsia"/>
                <w:color w:val="auto"/>
                <w:highlight w:val="none"/>
                <w:lang w:val="en-US" w:eastAsia="zh-CN"/>
              </w:rPr>
              <w:t>颗粒物、硫酸雾、氟化物、VOCs、NH</w:t>
            </w:r>
            <w:r>
              <w:rPr>
                <w:rFonts w:hint="eastAsia"/>
                <w:color w:val="auto"/>
                <w:highlight w:val="none"/>
                <w:vertAlign w:val="subscript"/>
                <w:lang w:val="en-US" w:eastAsia="zh-CN"/>
              </w:rPr>
              <w:t>3</w:t>
            </w:r>
            <w:r>
              <w:rPr>
                <w:rFonts w:hint="eastAsia"/>
                <w:color w:val="auto"/>
                <w:highlight w:val="none"/>
                <w:lang w:val="en-US" w:eastAsia="zh-CN"/>
              </w:rPr>
              <w:t>、臭气浓度</w:t>
            </w:r>
          </w:p>
        </w:tc>
        <w:tc>
          <w:tcPr>
            <w:tcW w:w="483" w:type="pct"/>
            <w:tcBorders>
              <w:tl2br w:val="nil"/>
              <w:tr2bl w:val="nil"/>
            </w:tcBorders>
            <w:noWrap w:val="0"/>
            <w:vAlign w:val="center"/>
          </w:tcPr>
          <w:p w14:paraId="2617E5AA">
            <w:pPr>
              <w:pStyle w:val="24"/>
              <w:bidi w:val="0"/>
              <w:ind w:left="0" w:leftChars="0"/>
              <w:rPr>
                <w:rFonts w:hint="default"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连续</w:t>
            </w:r>
          </w:p>
        </w:tc>
      </w:tr>
      <w:tr w14:paraId="66E3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vMerge w:val="continue"/>
            <w:tcBorders>
              <w:tl2br w:val="nil"/>
              <w:tr2bl w:val="nil"/>
            </w:tcBorders>
            <w:noWrap w:val="0"/>
            <w:vAlign w:val="center"/>
          </w:tcPr>
          <w:p w14:paraId="33549418">
            <w:pPr>
              <w:pStyle w:val="24"/>
              <w:bidi w:val="0"/>
              <w:rPr>
                <w:rFonts w:hint="default" w:ascii="Times New Roman" w:hAnsi="Times New Roman" w:eastAsia="宋体" w:cs="Courier New"/>
                <w:b w:val="0"/>
                <w:bCs w:val="0"/>
                <w:color w:val="auto"/>
                <w:kern w:val="2"/>
                <w:sz w:val="21"/>
                <w:szCs w:val="24"/>
                <w:highlight w:val="none"/>
                <w:lang w:val="en-US" w:eastAsia="zh-CN" w:bidi="ar-SA"/>
              </w:rPr>
            </w:pPr>
          </w:p>
        </w:tc>
        <w:tc>
          <w:tcPr>
            <w:tcW w:w="810" w:type="pct"/>
            <w:vMerge w:val="continue"/>
            <w:tcBorders>
              <w:tl2br w:val="nil"/>
              <w:tr2bl w:val="nil"/>
            </w:tcBorders>
            <w:noWrap w:val="0"/>
            <w:vAlign w:val="center"/>
          </w:tcPr>
          <w:p w14:paraId="65FDC1CA">
            <w:pPr>
              <w:pStyle w:val="24"/>
              <w:bidi w:val="0"/>
              <w:rPr>
                <w:rFonts w:hint="eastAsia"/>
                <w:b w:val="0"/>
                <w:bCs w:val="0"/>
                <w:color w:val="auto"/>
                <w:highlight w:val="none"/>
                <w:lang w:val="en-US" w:eastAsia="zh-CN"/>
              </w:rPr>
            </w:pPr>
          </w:p>
        </w:tc>
        <w:tc>
          <w:tcPr>
            <w:tcW w:w="644" w:type="pct"/>
            <w:tcBorders>
              <w:tl2br w:val="nil"/>
              <w:tr2bl w:val="nil"/>
            </w:tcBorders>
            <w:noWrap w:val="0"/>
            <w:vAlign w:val="center"/>
          </w:tcPr>
          <w:p w14:paraId="64173942">
            <w:pPr>
              <w:pStyle w:val="24"/>
              <w:bidi w:val="0"/>
              <w:ind w:left="0" w:leftChars="0"/>
              <w:rPr>
                <w:rFonts w:hint="default"/>
                <w:b w:val="0"/>
                <w:bCs w:val="0"/>
                <w:color w:val="auto"/>
                <w:highlight w:val="none"/>
                <w:lang w:val="en-US" w:eastAsia="zh-CN"/>
              </w:rPr>
            </w:pPr>
            <w:r>
              <w:rPr>
                <w:rFonts w:hint="eastAsia"/>
                <w:b w:val="0"/>
                <w:bCs w:val="0"/>
                <w:color w:val="auto"/>
                <w:highlight w:val="none"/>
                <w:lang w:val="en-US" w:eastAsia="zh-CN"/>
              </w:rPr>
              <w:t>地表漫流</w:t>
            </w:r>
          </w:p>
        </w:tc>
        <w:tc>
          <w:tcPr>
            <w:tcW w:w="2362" w:type="pct"/>
            <w:tcBorders>
              <w:tl2br w:val="nil"/>
              <w:tr2bl w:val="nil"/>
            </w:tcBorders>
            <w:shd w:val="clear" w:color="auto" w:fill="auto"/>
            <w:noWrap w:val="0"/>
            <w:vAlign w:val="center"/>
          </w:tcPr>
          <w:p w14:paraId="0A4DFFE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硫酸、氟硅酸、丙烯酸、</w:t>
            </w:r>
            <w:r>
              <w:rPr>
                <w:rFonts w:hint="eastAsia" w:cs="Times New Roman"/>
                <w:color w:val="auto"/>
                <w:kern w:val="0"/>
                <w:szCs w:val="21"/>
                <w:lang w:val="en-US" w:eastAsia="zh-CN"/>
              </w:rPr>
              <w:t>基础油</w:t>
            </w:r>
            <w:r>
              <w:rPr>
                <w:rFonts w:hint="eastAsia"/>
                <w:b w:val="0"/>
                <w:bCs w:val="0"/>
                <w:color w:val="auto"/>
                <w:highlight w:val="none"/>
                <w:lang w:val="en-US" w:eastAsia="zh-CN"/>
              </w:rPr>
              <w:t>等</w:t>
            </w:r>
          </w:p>
        </w:tc>
        <w:tc>
          <w:tcPr>
            <w:tcW w:w="483" w:type="pct"/>
            <w:tcBorders>
              <w:tl2br w:val="nil"/>
              <w:tr2bl w:val="nil"/>
            </w:tcBorders>
            <w:shd w:val="clear" w:color="auto" w:fill="auto"/>
            <w:noWrap w:val="0"/>
            <w:vAlign w:val="center"/>
          </w:tcPr>
          <w:p w14:paraId="7C263612">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事故</w:t>
            </w:r>
          </w:p>
        </w:tc>
      </w:tr>
      <w:tr w14:paraId="31CD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vMerge w:val="continue"/>
            <w:tcBorders>
              <w:tl2br w:val="nil"/>
              <w:tr2bl w:val="nil"/>
            </w:tcBorders>
            <w:noWrap w:val="0"/>
            <w:vAlign w:val="center"/>
          </w:tcPr>
          <w:p w14:paraId="403ADAFF">
            <w:pPr>
              <w:pStyle w:val="24"/>
              <w:bidi w:val="0"/>
              <w:ind w:left="0" w:leftChars="0"/>
              <w:rPr>
                <w:color w:val="auto"/>
              </w:rPr>
            </w:pPr>
          </w:p>
        </w:tc>
        <w:tc>
          <w:tcPr>
            <w:tcW w:w="810" w:type="pct"/>
            <w:vMerge w:val="continue"/>
            <w:tcBorders>
              <w:tl2br w:val="nil"/>
              <w:tr2bl w:val="nil"/>
            </w:tcBorders>
            <w:noWrap w:val="0"/>
            <w:vAlign w:val="center"/>
          </w:tcPr>
          <w:p w14:paraId="05E4CCB7">
            <w:pPr>
              <w:pStyle w:val="24"/>
              <w:bidi w:val="0"/>
              <w:ind w:left="0" w:leftChars="0"/>
              <w:rPr>
                <w:color w:val="auto"/>
              </w:rPr>
            </w:pPr>
          </w:p>
        </w:tc>
        <w:tc>
          <w:tcPr>
            <w:tcW w:w="644" w:type="pct"/>
            <w:tcBorders>
              <w:tl2br w:val="nil"/>
              <w:tr2bl w:val="nil"/>
            </w:tcBorders>
            <w:noWrap w:val="0"/>
            <w:vAlign w:val="center"/>
          </w:tcPr>
          <w:p w14:paraId="2E04739D">
            <w:pPr>
              <w:pStyle w:val="24"/>
              <w:bidi w:val="0"/>
              <w:ind w:left="0" w:leftChars="0"/>
              <w:rPr>
                <w:rFonts w:hint="eastAsia"/>
                <w:b w:val="0"/>
                <w:bCs w:val="0"/>
                <w:color w:val="auto"/>
                <w:highlight w:val="none"/>
                <w:lang w:val="en-US" w:eastAsia="zh-CN"/>
              </w:rPr>
            </w:pPr>
            <w:r>
              <w:rPr>
                <w:rFonts w:hint="eastAsia"/>
                <w:b w:val="0"/>
                <w:bCs w:val="0"/>
                <w:color w:val="auto"/>
                <w:highlight w:val="none"/>
                <w:lang w:val="en-US" w:eastAsia="zh-CN"/>
              </w:rPr>
              <w:t>垂直入渗</w:t>
            </w:r>
          </w:p>
        </w:tc>
        <w:tc>
          <w:tcPr>
            <w:tcW w:w="2362" w:type="pct"/>
            <w:tcBorders>
              <w:tl2br w:val="nil"/>
              <w:tr2bl w:val="nil"/>
            </w:tcBorders>
            <w:noWrap w:val="0"/>
            <w:vAlign w:val="center"/>
          </w:tcPr>
          <w:p w14:paraId="4CE14AD3">
            <w:pPr>
              <w:pStyle w:val="24"/>
              <w:bidi w:val="0"/>
              <w:ind w:left="0" w:leftChars="0"/>
              <w:rPr>
                <w:rFonts w:hint="eastAsia"/>
                <w:b w:val="0"/>
                <w:bCs w:val="0"/>
                <w:color w:val="auto"/>
                <w:highlight w:val="none"/>
                <w:lang w:val="en-US" w:eastAsia="zh-CN"/>
              </w:rPr>
            </w:pPr>
            <w:r>
              <w:rPr>
                <w:rFonts w:hint="eastAsia"/>
                <w:b w:val="0"/>
                <w:bCs w:val="0"/>
                <w:color w:val="auto"/>
                <w:highlight w:val="none"/>
                <w:lang w:val="en-US" w:eastAsia="zh-CN"/>
              </w:rPr>
              <w:t>硫酸、氟硅酸、丙烯酸、</w:t>
            </w:r>
            <w:r>
              <w:rPr>
                <w:rFonts w:hint="eastAsia" w:cs="Times New Roman"/>
                <w:color w:val="auto"/>
                <w:kern w:val="0"/>
                <w:szCs w:val="21"/>
                <w:lang w:val="en-US" w:eastAsia="zh-CN"/>
              </w:rPr>
              <w:t>基础油</w:t>
            </w:r>
            <w:r>
              <w:rPr>
                <w:rFonts w:hint="eastAsia"/>
                <w:b w:val="0"/>
                <w:bCs w:val="0"/>
                <w:color w:val="auto"/>
                <w:highlight w:val="none"/>
                <w:lang w:val="en-US" w:eastAsia="zh-CN"/>
              </w:rPr>
              <w:t>等</w:t>
            </w:r>
          </w:p>
        </w:tc>
        <w:tc>
          <w:tcPr>
            <w:tcW w:w="483" w:type="pct"/>
            <w:tcBorders>
              <w:tl2br w:val="nil"/>
              <w:tr2bl w:val="nil"/>
            </w:tcBorders>
            <w:noWrap w:val="0"/>
            <w:vAlign w:val="center"/>
          </w:tcPr>
          <w:p w14:paraId="403B470E">
            <w:pPr>
              <w:pStyle w:val="24"/>
              <w:bidi w:val="0"/>
              <w:ind w:left="0" w:leftChars="0"/>
              <w:rPr>
                <w:rFonts w:hint="eastAsia"/>
                <w:b w:val="0"/>
                <w:bCs w:val="0"/>
                <w:color w:val="auto"/>
                <w:highlight w:val="none"/>
                <w:lang w:val="en-US" w:eastAsia="zh-CN"/>
              </w:rPr>
            </w:pPr>
            <w:r>
              <w:rPr>
                <w:rFonts w:hint="eastAsia"/>
                <w:b w:val="0"/>
                <w:bCs w:val="0"/>
                <w:color w:val="auto"/>
                <w:highlight w:val="none"/>
                <w:lang w:val="en-US" w:eastAsia="zh-CN"/>
              </w:rPr>
              <w:t>事故</w:t>
            </w:r>
          </w:p>
        </w:tc>
      </w:tr>
      <w:tr w14:paraId="1A80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vMerge w:val="restart"/>
            <w:tcBorders>
              <w:tl2br w:val="nil"/>
              <w:tr2bl w:val="nil"/>
            </w:tcBorders>
            <w:noWrap w:val="0"/>
            <w:vAlign w:val="center"/>
          </w:tcPr>
          <w:p w14:paraId="2EB41296">
            <w:pPr>
              <w:pStyle w:val="24"/>
              <w:bidi w:val="0"/>
              <w:rPr>
                <w:rFonts w:hint="default" w:eastAsia="宋体"/>
                <w:b w:val="0"/>
                <w:bCs w:val="0"/>
                <w:color w:val="auto"/>
                <w:highlight w:val="none"/>
                <w:lang w:val="en-US" w:eastAsia="zh-CN"/>
              </w:rPr>
            </w:pPr>
            <w:r>
              <w:rPr>
                <w:rFonts w:hint="default" w:ascii="Times New Roman" w:hAnsi="Times New Roman" w:eastAsia="宋体" w:cs="Courier New"/>
                <w:b w:val="0"/>
                <w:bCs w:val="0"/>
                <w:color w:val="auto"/>
                <w:kern w:val="2"/>
                <w:sz w:val="21"/>
                <w:szCs w:val="24"/>
                <w:highlight w:val="none"/>
                <w:lang w:val="en-US" w:eastAsia="zh-CN" w:bidi="ar-SA"/>
              </w:rPr>
              <w:t>1#罐区、2#罐区、3#罐区</w:t>
            </w:r>
          </w:p>
        </w:tc>
        <w:tc>
          <w:tcPr>
            <w:tcW w:w="810" w:type="pct"/>
            <w:vMerge w:val="restart"/>
            <w:tcBorders>
              <w:tl2br w:val="nil"/>
              <w:tr2bl w:val="nil"/>
            </w:tcBorders>
            <w:noWrap w:val="0"/>
            <w:vAlign w:val="center"/>
          </w:tcPr>
          <w:p w14:paraId="2EDAEF42">
            <w:pPr>
              <w:pStyle w:val="24"/>
              <w:bidi w:val="0"/>
              <w:rPr>
                <w:rFonts w:hint="default" w:eastAsia="宋体"/>
                <w:b w:val="0"/>
                <w:bCs w:val="0"/>
                <w:color w:val="auto"/>
                <w:highlight w:val="none"/>
                <w:lang w:val="en-US" w:eastAsia="zh-CN"/>
              </w:rPr>
            </w:pPr>
            <w:r>
              <w:rPr>
                <w:rFonts w:hint="eastAsia"/>
                <w:b w:val="0"/>
                <w:bCs w:val="0"/>
                <w:color w:val="auto"/>
                <w:highlight w:val="none"/>
                <w:lang w:val="en-US" w:eastAsia="zh-CN"/>
              </w:rPr>
              <w:t>储罐</w:t>
            </w:r>
          </w:p>
        </w:tc>
        <w:tc>
          <w:tcPr>
            <w:tcW w:w="644" w:type="pct"/>
            <w:tcBorders>
              <w:tl2br w:val="nil"/>
              <w:tr2bl w:val="nil"/>
            </w:tcBorders>
            <w:noWrap w:val="0"/>
            <w:vAlign w:val="center"/>
          </w:tcPr>
          <w:p w14:paraId="1D47BDDC">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大气沉降</w:t>
            </w:r>
          </w:p>
        </w:tc>
        <w:tc>
          <w:tcPr>
            <w:tcW w:w="2362" w:type="pct"/>
            <w:tcBorders>
              <w:tl2br w:val="nil"/>
              <w:tr2bl w:val="nil"/>
            </w:tcBorders>
            <w:noWrap w:val="0"/>
            <w:vAlign w:val="center"/>
          </w:tcPr>
          <w:p w14:paraId="2FB29FB4">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olor w:val="auto"/>
                <w:highlight w:val="none"/>
                <w:lang w:val="en-US" w:eastAsia="zh-CN"/>
              </w:rPr>
              <w:t>颗粒物、硫酸雾、氟化物、VOCs、NH</w:t>
            </w:r>
            <w:r>
              <w:rPr>
                <w:rFonts w:hint="eastAsia"/>
                <w:color w:val="auto"/>
                <w:highlight w:val="none"/>
                <w:vertAlign w:val="subscript"/>
                <w:lang w:val="en-US" w:eastAsia="zh-CN"/>
              </w:rPr>
              <w:t>3</w:t>
            </w:r>
            <w:r>
              <w:rPr>
                <w:rFonts w:hint="eastAsia"/>
                <w:color w:val="auto"/>
                <w:highlight w:val="none"/>
                <w:lang w:val="en-US" w:eastAsia="zh-CN"/>
              </w:rPr>
              <w:t>、臭气浓度</w:t>
            </w:r>
          </w:p>
        </w:tc>
        <w:tc>
          <w:tcPr>
            <w:tcW w:w="483" w:type="pct"/>
            <w:tcBorders>
              <w:tl2br w:val="nil"/>
              <w:tr2bl w:val="nil"/>
            </w:tcBorders>
            <w:noWrap w:val="0"/>
            <w:vAlign w:val="center"/>
          </w:tcPr>
          <w:p w14:paraId="1E4233D8">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连续</w:t>
            </w:r>
          </w:p>
        </w:tc>
      </w:tr>
      <w:tr w14:paraId="41B0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vMerge w:val="continue"/>
            <w:tcBorders>
              <w:tl2br w:val="nil"/>
              <w:tr2bl w:val="nil"/>
            </w:tcBorders>
            <w:noWrap w:val="0"/>
            <w:vAlign w:val="center"/>
          </w:tcPr>
          <w:p w14:paraId="7260EF16">
            <w:pPr>
              <w:pStyle w:val="24"/>
              <w:bidi w:val="0"/>
              <w:rPr>
                <w:rFonts w:hint="default" w:ascii="Times New Roman" w:hAnsi="Times New Roman" w:eastAsia="宋体" w:cs="Courier New"/>
                <w:b w:val="0"/>
                <w:bCs w:val="0"/>
                <w:color w:val="auto"/>
                <w:kern w:val="2"/>
                <w:sz w:val="21"/>
                <w:szCs w:val="24"/>
                <w:highlight w:val="none"/>
                <w:lang w:val="en-US" w:eastAsia="zh-CN" w:bidi="ar-SA"/>
              </w:rPr>
            </w:pPr>
          </w:p>
        </w:tc>
        <w:tc>
          <w:tcPr>
            <w:tcW w:w="810" w:type="pct"/>
            <w:vMerge w:val="continue"/>
            <w:tcBorders>
              <w:tl2br w:val="nil"/>
              <w:tr2bl w:val="nil"/>
            </w:tcBorders>
            <w:noWrap w:val="0"/>
            <w:vAlign w:val="center"/>
          </w:tcPr>
          <w:p w14:paraId="2404BCB8">
            <w:pPr>
              <w:pStyle w:val="24"/>
              <w:bidi w:val="0"/>
              <w:rPr>
                <w:rFonts w:hint="eastAsia"/>
                <w:b w:val="0"/>
                <w:bCs w:val="0"/>
                <w:color w:val="auto"/>
                <w:highlight w:val="none"/>
                <w:lang w:val="en-US" w:eastAsia="zh-CN"/>
              </w:rPr>
            </w:pPr>
          </w:p>
        </w:tc>
        <w:tc>
          <w:tcPr>
            <w:tcW w:w="644" w:type="pct"/>
            <w:tcBorders>
              <w:tl2br w:val="nil"/>
              <w:tr2bl w:val="nil"/>
            </w:tcBorders>
            <w:shd w:val="clear" w:color="auto" w:fill="auto"/>
            <w:noWrap w:val="0"/>
            <w:vAlign w:val="center"/>
          </w:tcPr>
          <w:p w14:paraId="3D23AE0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地表漫流</w:t>
            </w:r>
          </w:p>
        </w:tc>
        <w:tc>
          <w:tcPr>
            <w:tcW w:w="2362" w:type="pct"/>
            <w:tcBorders>
              <w:tl2br w:val="nil"/>
              <w:tr2bl w:val="nil"/>
            </w:tcBorders>
            <w:shd w:val="clear" w:color="auto" w:fill="auto"/>
            <w:noWrap w:val="0"/>
            <w:vAlign w:val="center"/>
          </w:tcPr>
          <w:p w14:paraId="37D912E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硫酸、氟硅酸、丙烯酸、</w:t>
            </w:r>
            <w:r>
              <w:rPr>
                <w:rFonts w:hint="eastAsia" w:cs="Times New Roman"/>
                <w:color w:val="auto"/>
                <w:kern w:val="0"/>
                <w:szCs w:val="21"/>
                <w:lang w:val="en-US" w:eastAsia="zh-CN"/>
              </w:rPr>
              <w:t>基础油</w:t>
            </w:r>
            <w:r>
              <w:rPr>
                <w:rFonts w:hint="eastAsia"/>
                <w:b w:val="0"/>
                <w:bCs w:val="0"/>
                <w:color w:val="auto"/>
                <w:highlight w:val="none"/>
                <w:lang w:val="en-US" w:eastAsia="zh-CN"/>
              </w:rPr>
              <w:t>等</w:t>
            </w:r>
          </w:p>
        </w:tc>
        <w:tc>
          <w:tcPr>
            <w:tcW w:w="483" w:type="pct"/>
            <w:tcBorders>
              <w:tl2br w:val="nil"/>
              <w:tr2bl w:val="nil"/>
            </w:tcBorders>
            <w:shd w:val="clear" w:color="auto" w:fill="auto"/>
            <w:noWrap w:val="0"/>
            <w:vAlign w:val="center"/>
          </w:tcPr>
          <w:p w14:paraId="5B4657EA">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事故</w:t>
            </w:r>
          </w:p>
        </w:tc>
      </w:tr>
      <w:tr w14:paraId="189C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99" w:type="pct"/>
            <w:vMerge w:val="continue"/>
            <w:tcBorders>
              <w:tl2br w:val="nil"/>
              <w:tr2bl w:val="nil"/>
            </w:tcBorders>
            <w:noWrap w:val="0"/>
            <w:vAlign w:val="center"/>
          </w:tcPr>
          <w:p w14:paraId="37E91A69">
            <w:pPr>
              <w:pStyle w:val="24"/>
              <w:bidi w:val="0"/>
              <w:ind w:left="0" w:leftChars="0"/>
              <w:rPr>
                <w:b w:val="0"/>
                <w:bCs w:val="0"/>
                <w:color w:val="auto"/>
                <w:highlight w:val="none"/>
              </w:rPr>
            </w:pPr>
          </w:p>
        </w:tc>
        <w:tc>
          <w:tcPr>
            <w:tcW w:w="810" w:type="pct"/>
            <w:vMerge w:val="continue"/>
            <w:tcBorders>
              <w:tl2br w:val="nil"/>
              <w:tr2bl w:val="nil"/>
            </w:tcBorders>
            <w:noWrap w:val="0"/>
            <w:vAlign w:val="center"/>
          </w:tcPr>
          <w:p w14:paraId="1912F9F2">
            <w:pPr>
              <w:pStyle w:val="24"/>
              <w:bidi w:val="0"/>
              <w:ind w:left="0" w:leftChars="0"/>
              <w:rPr>
                <w:b w:val="0"/>
                <w:bCs w:val="0"/>
                <w:color w:val="auto"/>
                <w:highlight w:val="none"/>
              </w:rPr>
            </w:pPr>
          </w:p>
        </w:tc>
        <w:tc>
          <w:tcPr>
            <w:tcW w:w="644" w:type="pct"/>
            <w:tcBorders>
              <w:tl2br w:val="nil"/>
              <w:tr2bl w:val="nil"/>
            </w:tcBorders>
            <w:noWrap w:val="0"/>
            <w:vAlign w:val="center"/>
          </w:tcPr>
          <w:p w14:paraId="5932ABB3">
            <w:pPr>
              <w:pStyle w:val="24"/>
              <w:bidi w:val="0"/>
              <w:ind w:left="0" w:leftChars="0"/>
              <w:rPr>
                <w:rFonts w:hint="eastAsia" w:eastAsia="宋体"/>
                <w:b w:val="0"/>
                <w:bCs w:val="0"/>
                <w:color w:val="auto"/>
                <w:highlight w:val="none"/>
                <w:lang w:val="en-US" w:eastAsia="zh-CN"/>
              </w:rPr>
            </w:pPr>
            <w:r>
              <w:rPr>
                <w:rFonts w:hint="eastAsia"/>
                <w:b w:val="0"/>
                <w:bCs w:val="0"/>
                <w:color w:val="auto"/>
                <w:highlight w:val="none"/>
                <w:lang w:val="en-US" w:eastAsia="zh-CN"/>
              </w:rPr>
              <w:t>垂直入渗</w:t>
            </w:r>
          </w:p>
        </w:tc>
        <w:tc>
          <w:tcPr>
            <w:tcW w:w="2362" w:type="pct"/>
            <w:tcBorders>
              <w:tl2br w:val="nil"/>
              <w:tr2bl w:val="nil"/>
            </w:tcBorders>
            <w:noWrap w:val="0"/>
            <w:vAlign w:val="center"/>
          </w:tcPr>
          <w:p w14:paraId="742DFCAC">
            <w:pPr>
              <w:pStyle w:val="24"/>
              <w:bidi w:val="0"/>
              <w:ind w:left="0" w:leftChars="0"/>
              <w:rPr>
                <w:rFonts w:hint="default" w:eastAsia="宋体"/>
                <w:b w:val="0"/>
                <w:bCs w:val="0"/>
                <w:color w:val="auto"/>
                <w:highlight w:val="none"/>
                <w:lang w:val="en-US" w:eastAsia="zh-CN"/>
              </w:rPr>
            </w:pPr>
            <w:r>
              <w:rPr>
                <w:rFonts w:hint="eastAsia"/>
                <w:b w:val="0"/>
                <w:bCs w:val="0"/>
                <w:color w:val="auto"/>
                <w:highlight w:val="none"/>
                <w:lang w:val="en-US" w:eastAsia="zh-CN"/>
              </w:rPr>
              <w:t>硫酸、氟硅酸、丙烯酸、</w:t>
            </w:r>
            <w:r>
              <w:rPr>
                <w:rFonts w:hint="eastAsia" w:cs="Times New Roman"/>
                <w:color w:val="auto"/>
                <w:kern w:val="0"/>
                <w:szCs w:val="21"/>
                <w:lang w:val="en-US" w:eastAsia="zh-CN"/>
              </w:rPr>
              <w:t>基础油</w:t>
            </w:r>
            <w:r>
              <w:rPr>
                <w:rFonts w:hint="eastAsia"/>
                <w:b w:val="0"/>
                <w:bCs w:val="0"/>
                <w:color w:val="auto"/>
                <w:highlight w:val="none"/>
                <w:lang w:val="en-US" w:eastAsia="zh-CN"/>
              </w:rPr>
              <w:t>等</w:t>
            </w:r>
          </w:p>
        </w:tc>
        <w:tc>
          <w:tcPr>
            <w:tcW w:w="483" w:type="pct"/>
            <w:tcBorders>
              <w:tl2br w:val="nil"/>
              <w:tr2bl w:val="nil"/>
            </w:tcBorders>
            <w:noWrap w:val="0"/>
            <w:vAlign w:val="center"/>
          </w:tcPr>
          <w:p w14:paraId="26F0B0E5">
            <w:pPr>
              <w:pStyle w:val="24"/>
              <w:bidi w:val="0"/>
              <w:ind w:left="0" w:leftChars="0"/>
              <w:rPr>
                <w:b w:val="0"/>
                <w:bCs w:val="0"/>
                <w:color w:val="auto"/>
                <w:highlight w:val="none"/>
              </w:rPr>
            </w:pPr>
            <w:r>
              <w:rPr>
                <w:rFonts w:hint="eastAsia"/>
                <w:b w:val="0"/>
                <w:bCs w:val="0"/>
                <w:color w:val="auto"/>
                <w:highlight w:val="none"/>
                <w:lang w:val="en-US" w:eastAsia="zh-CN"/>
              </w:rPr>
              <w:t>事故</w:t>
            </w:r>
          </w:p>
        </w:tc>
      </w:tr>
      <w:tr w14:paraId="139E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99" w:type="pct"/>
            <w:vMerge w:val="restart"/>
            <w:tcBorders>
              <w:tl2br w:val="nil"/>
              <w:tr2bl w:val="nil"/>
            </w:tcBorders>
            <w:noWrap w:val="0"/>
            <w:vAlign w:val="center"/>
          </w:tcPr>
          <w:p w14:paraId="1D384C0D">
            <w:pPr>
              <w:pStyle w:val="24"/>
              <w:bidi w:val="0"/>
              <w:rPr>
                <w:b w:val="0"/>
                <w:bCs w:val="0"/>
                <w:color w:val="auto"/>
                <w:highlight w:val="none"/>
              </w:rPr>
            </w:pPr>
            <w:r>
              <w:rPr>
                <w:rFonts w:hint="default" w:ascii="Times New Roman" w:hAnsi="Times New Roman" w:eastAsia="宋体" w:cs="Courier New"/>
                <w:b w:val="0"/>
                <w:bCs w:val="0"/>
                <w:color w:val="auto"/>
                <w:kern w:val="2"/>
                <w:sz w:val="21"/>
                <w:szCs w:val="24"/>
                <w:highlight w:val="none"/>
                <w:lang w:val="en-US" w:eastAsia="zh-CN" w:bidi="ar-SA"/>
              </w:rPr>
              <w:t>仓库</w:t>
            </w:r>
          </w:p>
        </w:tc>
        <w:tc>
          <w:tcPr>
            <w:tcW w:w="810" w:type="pct"/>
            <w:vMerge w:val="restart"/>
            <w:tcBorders>
              <w:tl2br w:val="nil"/>
              <w:tr2bl w:val="nil"/>
            </w:tcBorders>
            <w:noWrap w:val="0"/>
            <w:vAlign w:val="center"/>
          </w:tcPr>
          <w:p w14:paraId="488C77B7">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液态原料桶</w:t>
            </w:r>
          </w:p>
        </w:tc>
        <w:tc>
          <w:tcPr>
            <w:tcW w:w="644" w:type="pct"/>
            <w:tcBorders>
              <w:tl2br w:val="nil"/>
              <w:tr2bl w:val="nil"/>
            </w:tcBorders>
            <w:noWrap w:val="0"/>
            <w:vAlign w:val="center"/>
          </w:tcPr>
          <w:p w14:paraId="2C2F523F">
            <w:pPr>
              <w:pStyle w:val="24"/>
              <w:bidi w:val="0"/>
              <w:rPr>
                <w:b w:val="0"/>
                <w:bCs w:val="0"/>
                <w:color w:val="auto"/>
                <w:highlight w:val="none"/>
              </w:rPr>
            </w:pPr>
            <w:r>
              <w:rPr>
                <w:rFonts w:hint="eastAsia"/>
                <w:b w:val="0"/>
                <w:bCs w:val="0"/>
                <w:color w:val="auto"/>
                <w:highlight w:val="none"/>
                <w:lang w:val="en-US" w:eastAsia="zh-CN"/>
              </w:rPr>
              <w:t>垂直入渗</w:t>
            </w:r>
          </w:p>
        </w:tc>
        <w:tc>
          <w:tcPr>
            <w:tcW w:w="2362" w:type="pct"/>
            <w:tcBorders>
              <w:tl2br w:val="nil"/>
              <w:tr2bl w:val="nil"/>
            </w:tcBorders>
            <w:noWrap w:val="0"/>
            <w:vAlign w:val="center"/>
          </w:tcPr>
          <w:p w14:paraId="2011DA86">
            <w:pPr>
              <w:pStyle w:val="24"/>
              <w:bidi w:val="0"/>
              <w:rPr>
                <w:rFonts w:hint="default" w:eastAsia="宋体"/>
                <w:b w:val="0"/>
                <w:bCs w:val="0"/>
                <w:color w:val="auto"/>
                <w:highlight w:val="none"/>
                <w:lang w:val="en-US" w:eastAsia="zh-CN"/>
              </w:rPr>
            </w:pPr>
            <w:r>
              <w:rPr>
                <w:rFonts w:hint="eastAsia"/>
                <w:b w:val="0"/>
                <w:bCs w:val="0"/>
                <w:color w:val="auto"/>
                <w:highlight w:val="none"/>
                <w:lang w:val="en-US" w:eastAsia="zh-CN"/>
              </w:rPr>
              <w:t>巯基乙醇、润滑油等</w:t>
            </w:r>
          </w:p>
        </w:tc>
        <w:tc>
          <w:tcPr>
            <w:tcW w:w="483" w:type="pct"/>
            <w:tcBorders>
              <w:tl2br w:val="nil"/>
              <w:tr2bl w:val="nil"/>
            </w:tcBorders>
            <w:noWrap w:val="0"/>
            <w:vAlign w:val="center"/>
          </w:tcPr>
          <w:p w14:paraId="5CF54FE1">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事故</w:t>
            </w:r>
          </w:p>
        </w:tc>
      </w:tr>
      <w:tr w14:paraId="1F76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99" w:type="pct"/>
            <w:vMerge w:val="continue"/>
            <w:tcBorders>
              <w:tl2br w:val="nil"/>
              <w:tr2bl w:val="nil"/>
            </w:tcBorders>
            <w:noWrap w:val="0"/>
            <w:vAlign w:val="center"/>
          </w:tcPr>
          <w:p w14:paraId="0628230B">
            <w:pPr>
              <w:pStyle w:val="24"/>
              <w:bidi w:val="0"/>
              <w:rPr>
                <w:color w:val="auto"/>
              </w:rPr>
            </w:pPr>
          </w:p>
        </w:tc>
        <w:tc>
          <w:tcPr>
            <w:tcW w:w="810" w:type="pct"/>
            <w:vMerge w:val="continue"/>
            <w:tcBorders>
              <w:tl2br w:val="nil"/>
              <w:tr2bl w:val="nil"/>
            </w:tcBorders>
            <w:noWrap w:val="0"/>
            <w:vAlign w:val="center"/>
          </w:tcPr>
          <w:p w14:paraId="37AADF4C">
            <w:pPr>
              <w:pStyle w:val="24"/>
              <w:bidi w:val="0"/>
              <w:rPr>
                <w:color w:val="auto"/>
              </w:rPr>
            </w:pPr>
          </w:p>
        </w:tc>
        <w:tc>
          <w:tcPr>
            <w:tcW w:w="644" w:type="pct"/>
            <w:tcBorders>
              <w:tl2br w:val="nil"/>
              <w:tr2bl w:val="nil"/>
            </w:tcBorders>
            <w:noWrap w:val="0"/>
            <w:vAlign w:val="center"/>
          </w:tcPr>
          <w:p w14:paraId="3EA1BB89">
            <w:pPr>
              <w:pStyle w:val="24"/>
              <w:bidi w:val="0"/>
              <w:rPr>
                <w:rFonts w:hint="default"/>
                <w:b w:val="0"/>
                <w:bCs w:val="0"/>
                <w:color w:val="auto"/>
                <w:highlight w:val="none"/>
                <w:lang w:val="en-US" w:eastAsia="zh-CN"/>
              </w:rPr>
            </w:pPr>
            <w:r>
              <w:rPr>
                <w:rFonts w:hint="eastAsia"/>
                <w:b w:val="0"/>
                <w:bCs w:val="0"/>
                <w:color w:val="auto"/>
                <w:highlight w:val="none"/>
                <w:lang w:val="en-US" w:eastAsia="zh-CN"/>
              </w:rPr>
              <w:t>地表漫流</w:t>
            </w:r>
          </w:p>
        </w:tc>
        <w:tc>
          <w:tcPr>
            <w:tcW w:w="2362" w:type="pct"/>
            <w:tcBorders>
              <w:tl2br w:val="nil"/>
              <w:tr2bl w:val="nil"/>
            </w:tcBorders>
            <w:shd w:val="clear" w:color="auto" w:fill="auto"/>
            <w:noWrap w:val="0"/>
            <w:vAlign w:val="center"/>
          </w:tcPr>
          <w:p w14:paraId="304BA01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巯基乙醇、润滑油等</w:t>
            </w:r>
          </w:p>
        </w:tc>
        <w:tc>
          <w:tcPr>
            <w:tcW w:w="483" w:type="pct"/>
            <w:tcBorders>
              <w:tl2br w:val="nil"/>
              <w:tr2bl w:val="nil"/>
            </w:tcBorders>
            <w:shd w:val="clear" w:color="auto" w:fill="auto"/>
            <w:noWrap w:val="0"/>
            <w:vAlign w:val="center"/>
          </w:tcPr>
          <w:p w14:paraId="2A31FBF4">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事故</w:t>
            </w:r>
          </w:p>
        </w:tc>
      </w:tr>
      <w:tr w14:paraId="00FA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699" w:type="pct"/>
            <w:vMerge w:val="restart"/>
            <w:tcBorders>
              <w:tl2br w:val="nil"/>
              <w:tr2bl w:val="nil"/>
            </w:tcBorders>
            <w:noWrap w:val="0"/>
            <w:vAlign w:val="center"/>
          </w:tcPr>
          <w:p w14:paraId="79FB55E1">
            <w:pPr>
              <w:pStyle w:val="24"/>
              <w:bidi w:val="0"/>
              <w:rPr>
                <w:rFonts w:hint="eastAsia" w:eastAsia="宋体"/>
                <w:color w:val="auto"/>
                <w:lang w:val="en-US" w:eastAsia="zh-CN"/>
              </w:rPr>
            </w:pPr>
            <w:r>
              <w:rPr>
                <w:rFonts w:hint="eastAsia"/>
                <w:color w:val="auto"/>
                <w:lang w:val="en-US" w:eastAsia="zh-CN"/>
              </w:rPr>
              <w:t>质检室</w:t>
            </w:r>
          </w:p>
        </w:tc>
        <w:tc>
          <w:tcPr>
            <w:tcW w:w="810" w:type="pct"/>
            <w:vMerge w:val="restart"/>
            <w:tcBorders>
              <w:tl2br w:val="nil"/>
              <w:tr2bl w:val="nil"/>
            </w:tcBorders>
            <w:noWrap w:val="0"/>
            <w:vAlign w:val="center"/>
          </w:tcPr>
          <w:p w14:paraId="45974A9C">
            <w:pPr>
              <w:pStyle w:val="24"/>
              <w:bidi w:val="0"/>
              <w:rPr>
                <w:rFonts w:hint="default" w:eastAsia="宋体"/>
                <w:color w:val="auto"/>
                <w:lang w:val="en-US" w:eastAsia="zh-CN"/>
              </w:rPr>
            </w:pPr>
            <w:r>
              <w:rPr>
                <w:rFonts w:hint="eastAsia"/>
                <w:color w:val="auto"/>
                <w:lang w:val="en-US" w:eastAsia="zh-CN"/>
              </w:rPr>
              <w:t>实验</w:t>
            </w:r>
          </w:p>
        </w:tc>
        <w:tc>
          <w:tcPr>
            <w:tcW w:w="644" w:type="pct"/>
            <w:tcBorders>
              <w:tl2br w:val="nil"/>
              <w:tr2bl w:val="nil"/>
            </w:tcBorders>
            <w:shd w:val="clear" w:color="auto" w:fill="auto"/>
            <w:noWrap w:val="0"/>
            <w:vAlign w:val="center"/>
          </w:tcPr>
          <w:p w14:paraId="0EC3D127">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大气沉降</w:t>
            </w:r>
          </w:p>
        </w:tc>
        <w:tc>
          <w:tcPr>
            <w:tcW w:w="2362" w:type="pct"/>
            <w:tcBorders>
              <w:tl2br w:val="nil"/>
              <w:tr2bl w:val="nil"/>
            </w:tcBorders>
            <w:shd w:val="clear" w:color="auto" w:fill="auto"/>
            <w:noWrap w:val="0"/>
            <w:vAlign w:val="center"/>
          </w:tcPr>
          <w:p w14:paraId="3AD497AC">
            <w:pPr>
              <w:pStyle w:val="24"/>
              <w:bidi w:val="0"/>
              <w:ind w:left="0" w:leftChars="0"/>
              <w:rPr>
                <w:rFonts w:hint="default"/>
                <w:b w:val="0"/>
                <w:bCs w:val="0"/>
                <w:color w:val="auto"/>
                <w:highlight w:val="none"/>
                <w:lang w:val="en-US" w:eastAsia="zh-CN"/>
              </w:rPr>
            </w:pPr>
            <w:r>
              <w:rPr>
                <w:rFonts w:hint="eastAsia"/>
                <w:b w:val="0"/>
                <w:bCs w:val="0"/>
                <w:color w:val="auto"/>
                <w:highlight w:val="none"/>
                <w:lang w:val="en-US" w:eastAsia="zh-CN"/>
              </w:rPr>
              <w:t>氯化氢、</w:t>
            </w:r>
            <w:r>
              <w:rPr>
                <w:rFonts w:hint="eastAsia"/>
                <w:color w:val="auto"/>
                <w:highlight w:val="none"/>
                <w:lang w:val="en-US" w:eastAsia="zh-CN"/>
              </w:rPr>
              <w:t>硫酸雾、氟化物</w:t>
            </w:r>
          </w:p>
        </w:tc>
        <w:tc>
          <w:tcPr>
            <w:tcW w:w="483" w:type="pct"/>
            <w:tcBorders>
              <w:tl2br w:val="nil"/>
              <w:tr2bl w:val="nil"/>
            </w:tcBorders>
            <w:shd w:val="clear" w:color="auto" w:fill="auto"/>
            <w:noWrap w:val="0"/>
            <w:vAlign w:val="center"/>
          </w:tcPr>
          <w:p w14:paraId="3FBFACA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连续</w:t>
            </w:r>
          </w:p>
        </w:tc>
      </w:tr>
      <w:tr w14:paraId="4884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699" w:type="pct"/>
            <w:vMerge w:val="continue"/>
            <w:tcBorders>
              <w:tl2br w:val="nil"/>
              <w:tr2bl w:val="nil"/>
            </w:tcBorders>
            <w:noWrap w:val="0"/>
            <w:vAlign w:val="center"/>
          </w:tcPr>
          <w:p w14:paraId="47D792E6">
            <w:pPr>
              <w:pStyle w:val="24"/>
              <w:bidi w:val="0"/>
              <w:rPr>
                <w:color w:val="auto"/>
              </w:rPr>
            </w:pPr>
          </w:p>
        </w:tc>
        <w:tc>
          <w:tcPr>
            <w:tcW w:w="810" w:type="pct"/>
            <w:vMerge w:val="continue"/>
            <w:tcBorders>
              <w:tl2br w:val="nil"/>
              <w:tr2bl w:val="nil"/>
            </w:tcBorders>
            <w:noWrap w:val="0"/>
            <w:vAlign w:val="center"/>
          </w:tcPr>
          <w:p w14:paraId="4A4BB690">
            <w:pPr>
              <w:pStyle w:val="24"/>
              <w:bidi w:val="0"/>
              <w:rPr>
                <w:color w:val="auto"/>
              </w:rPr>
            </w:pPr>
          </w:p>
        </w:tc>
        <w:tc>
          <w:tcPr>
            <w:tcW w:w="644" w:type="pct"/>
            <w:tcBorders>
              <w:tl2br w:val="nil"/>
              <w:tr2bl w:val="nil"/>
            </w:tcBorders>
            <w:shd w:val="clear" w:color="auto" w:fill="auto"/>
            <w:noWrap w:val="0"/>
            <w:vAlign w:val="center"/>
          </w:tcPr>
          <w:p w14:paraId="3986B7AC">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地表漫流</w:t>
            </w:r>
          </w:p>
        </w:tc>
        <w:tc>
          <w:tcPr>
            <w:tcW w:w="2362" w:type="pct"/>
            <w:tcBorders>
              <w:tl2br w:val="nil"/>
              <w:tr2bl w:val="nil"/>
            </w:tcBorders>
            <w:shd w:val="clear" w:color="auto" w:fill="auto"/>
            <w:noWrap w:val="0"/>
            <w:vAlign w:val="center"/>
          </w:tcPr>
          <w:p w14:paraId="00004264">
            <w:pPr>
              <w:pStyle w:val="24"/>
              <w:bidi w:val="0"/>
              <w:rPr>
                <w:rFonts w:hint="default"/>
                <w:b w:val="0"/>
                <w:bCs w:val="0"/>
                <w:color w:val="auto"/>
                <w:highlight w:val="none"/>
                <w:lang w:val="en-US" w:eastAsia="zh-CN"/>
              </w:rPr>
            </w:pPr>
            <w:r>
              <w:rPr>
                <w:rFonts w:hint="eastAsia"/>
                <w:b w:val="0"/>
                <w:bCs w:val="0"/>
                <w:color w:val="auto"/>
                <w:highlight w:val="none"/>
                <w:lang w:val="en-US" w:eastAsia="zh-CN"/>
              </w:rPr>
              <w:t>盐酸、硫酸、氢氟酸等</w:t>
            </w:r>
          </w:p>
        </w:tc>
        <w:tc>
          <w:tcPr>
            <w:tcW w:w="483" w:type="pct"/>
            <w:tcBorders>
              <w:tl2br w:val="nil"/>
              <w:tr2bl w:val="nil"/>
            </w:tcBorders>
            <w:shd w:val="clear" w:color="auto" w:fill="auto"/>
            <w:noWrap w:val="0"/>
            <w:vAlign w:val="center"/>
          </w:tcPr>
          <w:p w14:paraId="2D3543A1">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事故</w:t>
            </w:r>
          </w:p>
        </w:tc>
      </w:tr>
      <w:tr w14:paraId="3875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699" w:type="pct"/>
            <w:vMerge w:val="continue"/>
            <w:tcBorders>
              <w:tl2br w:val="nil"/>
              <w:tr2bl w:val="nil"/>
            </w:tcBorders>
            <w:noWrap w:val="0"/>
            <w:vAlign w:val="center"/>
          </w:tcPr>
          <w:p w14:paraId="2EE4D356">
            <w:pPr>
              <w:pStyle w:val="24"/>
              <w:bidi w:val="0"/>
              <w:rPr>
                <w:rFonts w:hint="eastAsia"/>
                <w:b w:val="0"/>
                <w:bCs w:val="0"/>
                <w:color w:val="auto"/>
                <w:highlight w:val="none"/>
                <w:lang w:val="en-US" w:eastAsia="zh-CN"/>
              </w:rPr>
            </w:pPr>
          </w:p>
        </w:tc>
        <w:tc>
          <w:tcPr>
            <w:tcW w:w="810" w:type="pct"/>
            <w:vMerge w:val="continue"/>
            <w:tcBorders>
              <w:tl2br w:val="nil"/>
              <w:tr2bl w:val="nil"/>
            </w:tcBorders>
            <w:noWrap w:val="0"/>
            <w:vAlign w:val="center"/>
          </w:tcPr>
          <w:p w14:paraId="2D290A47">
            <w:pPr>
              <w:pStyle w:val="24"/>
              <w:bidi w:val="0"/>
              <w:rPr>
                <w:rFonts w:hint="eastAsia"/>
                <w:b w:val="0"/>
                <w:bCs w:val="0"/>
                <w:color w:val="auto"/>
                <w:highlight w:val="none"/>
                <w:lang w:val="en-US" w:eastAsia="zh-CN"/>
              </w:rPr>
            </w:pPr>
          </w:p>
        </w:tc>
        <w:tc>
          <w:tcPr>
            <w:tcW w:w="644" w:type="pct"/>
            <w:tcBorders>
              <w:tl2br w:val="nil"/>
              <w:tr2bl w:val="nil"/>
            </w:tcBorders>
            <w:shd w:val="clear" w:color="auto" w:fill="auto"/>
            <w:noWrap w:val="0"/>
            <w:vAlign w:val="center"/>
          </w:tcPr>
          <w:p w14:paraId="0F56306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垂直入渗</w:t>
            </w:r>
          </w:p>
        </w:tc>
        <w:tc>
          <w:tcPr>
            <w:tcW w:w="2362" w:type="pct"/>
            <w:tcBorders>
              <w:tl2br w:val="nil"/>
              <w:tr2bl w:val="nil"/>
            </w:tcBorders>
            <w:shd w:val="clear" w:color="auto" w:fill="auto"/>
            <w:noWrap w:val="0"/>
            <w:vAlign w:val="center"/>
          </w:tcPr>
          <w:p w14:paraId="3180D4BD">
            <w:pPr>
              <w:pStyle w:val="24"/>
              <w:bidi w:val="0"/>
              <w:rPr>
                <w:rFonts w:hint="eastAsia"/>
                <w:b w:val="0"/>
                <w:bCs w:val="0"/>
                <w:color w:val="auto"/>
                <w:highlight w:val="none"/>
                <w:lang w:val="en-US" w:eastAsia="zh-CN"/>
              </w:rPr>
            </w:pPr>
            <w:r>
              <w:rPr>
                <w:rFonts w:hint="eastAsia"/>
                <w:b w:val="0"/>
                <w:bCs w:val="0"/>
                <w:color w:val="auto"/>
                <w:highlight w:val="none"/>
                <w:lang w:val="en-US" w:eastAsia="zh-CN"/>
              </w:rPr>
              <w:t>盐酸、硫酸、氢氟酸等</w:t>
            </w:r>
          </w:p>
        </w:tc>
        <w:tc>
          <w:tcPr>
            <w:tcW w:w="483" w:type="pct"/>
            <w:tcBorders>
              <w:tl2br w:val="nil"/>
              <w:tr2bl w:val="nil"/>
            </w:tcBorders>
            <w:shd w:val="clear" w:color="auto" w:fill="auto"/>
            <w:noWrap w:val="0"/>
            <w:vAlign w:val="center"/>
          </w:tcPr>
          <w:p w14:paraId="0DAA1B1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事故</w:t>
            </w:r>
          </w:p>
        </w:tc>
      </w:tr>
      <w:tr w14:paraId="6268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99" w:type="pct"/>
            <w:vMerge w:val="restart"/>
            <w:tcBorders>
              <w:tl2br w:val="nil"/>
              <w:tr2bl w:val="nil"/>
            </w:tcBorders>
            <w:noWrap w:val="0"/>
            <w:vAlign w:val="center"/>
          </w:tcPr>
          <w:p w14:paraId="33C2C1C7">
            <w:pPr>
              <w:pStyle w:val="24"/>
              <w:bidi w:val="0"/>
              <w:rPr>
                <w:rFonts w:hint="eastAsia" w:eastAsia="宋体"/>
                <w:b w:val="0"/>
                <w:bCs w:val="0"/>
                <w:color w:val="auto"/>
                <w:highlight w:val="none"/>
                <w:lang w:val="en-US" w:eastAsia="zh-CN"/>
              </w:rPr>
            </w:pPr>
            <w:r>
              <w:rPr>
                <w:rFonts w:hint="eastAsia"/>
                <w:color w:val="auto"/>
                <w:highlight w:val="none"/>
                <w:lang w:val="en-US" w:eastAsia="zh-CN"/>
              </w:rPr>
              <w:t>事故应急池</w:t>
            </w:r>
          </w:p>
        </w:tc>
        <w:tc>
          <w:tcPr>
            <w:tcW w:w="810" w:type="pct"/>
            <w:vMerge w:val="restart"/>
            <w:tcBorders>
              <w:tl2br w:val="nil"/>
              <w:tr2bl w:val="nil"/>
            </w:tcBorders>
            <w:noWrap w:val="0"/>
            <w:vAlign w:val="center"/>
          </w:tcPr>
          <w:p w14:paraId="62395EF1">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事故废水</w:t>
            </w:r>
          </w:p>
        </w:tc>
        <w:tc>
          <w:tcPr>
            <w:tcW w:w="644" w:type="pct"/>
            <w:tcBorders>
              <w:tl2br w:val="nil"/>
              <w:tr2bl w:val="nil"/>
            </w:tcBorders>
            <w:noWrap w:val="0"/>
            <w:vAlign w:val="center"/>
          </w:tcPr>
          <w:p w14:paraId="585C3BED">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地表漫流</w:t>
            </w:r>
          </w:p>
        </w:tc>
        <w:tc>
          <w:tcPr>
            <w:tcW w:w="2362" w:type="pct"/>
            <w:vMerge w:val="restart"/>
            <w:tcBorders>
              <w:tl2br w:val="nil"/>
              <w:tr2bl w:val="nil"/>
            </w:tcBorders>
            <w:noWrap w:val="0"/>
            <w:vAlign w:val="center"/>
          </w:tcPr>
          <w:p w14:paraId="3923D18E">
            <w:pPr>
              <w:pStyle w:val="24"/>
              <w:bidi w:val="0"/>
              <w:rPr>
                <w:rFonts w:hint="default"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pH、COD、</w:t>
            </w:r>
            <w:r>
              <w:rPr>
                <w:rFonts w:hint="eastAsia"/>
                <w:b w:val="0"/>
                <w:bCs w:val="0"/>
                <w:color w:val="auto"/>
                <w:kern w:val="24"/>
                <w:sz w:val="21"/>
                <w:szCs w:val="21"/>
                <w:highlight w:val="none"/>
                <w:lang w:val="en-US" w:eastAsia="zh-CN"/>
              </w:rPr>
              <w:t>BOD</w:t>
            </w:r>
            <w:r>
              <w:rPr>
                <w:rFonts w:hint="eastAsia"/>
                <w:b w:val="0"/>
                <w:bCs w:val="0"/>
                <w:color w:val="auto"/>
                <w:kern w:val="24"/>
                <w:sz w:val="21"/>
                <w:szCs w:val="21"/>
                <w:highlight w:val="none"/>
                <w:vertAlign w:val="subscript"/>
                <w:lang w:val="en-US" w:eastAsia="zh-CN"/>
              </w:rPr>
              <w:t>5</w:t>
            </w:r>
            <w:r>
              <w:rPr>
                <w:rFonts w:hint="eastAsia"/>
                <w:b w:val="0"/>
                <w:bCs w:val="0"/>
                <w:color w:val="auto"/>
                <w:sz w:val="21"/>
                <w:szCs w:val="21"/>
                <w:highlight w:val="none"/>
                <w:lang w:val="en-US" w:eastAsia="zh-CN"/>
              </w:rPr>
              <w:t>、SS、NH</w:t>
            </w:r>
            <w:r>
              <w:rPr>
                <w:rFonts w:hint="eastAsia"/>
                <w:b w:val="0"/>
                <w:bCs w:val="0"/>
                <w:color w:val="auto"/>
                <w:sz w:val="21"/>
                <w:szCs w:val="21"/>
                <w:highlight w:val="none"/>
                <w:vertAlign w:val="subscript"/>
                <w:lang w:val="en-US" w:eastAsia="zh-CN"/>
              </w:rPr>
              <w:t>3</w:t>
            </w:r>
            <w:r>
              <w:rPr>
                <w:rFonts w:hint="eastAsia"/>
                <w:b w:val="0"/>
                <w:bCs w:val="0"/>
                <w:color w:val="auto"/>
                <w:sz w:val="21"/>
                <w:szCs w:val="21"/>
                <w:highlight w:val="none"/>
                <w:lang w:val="en-US" w:eastAsia="zh-CN"/>
              </w:rPr>
              <w:t>-N等</w:t>
            </w:r>
          </w:p>
        </w:tc>
        <w:tc>
          <w:tcPr>
            <w:tcW w:w="483" w:type="pct"/>
            <w:tcBorders>
              <w:tl2br w:val="nil"/>
              <w:tr2bl w:val="nil"/>
            </w:tcBorders>
            <w:noWrap w:val="0"/>
            <w:vAlign w:val="center"/>
          </w:tcPr>
          <w:p w14:paraId="4B54F8F6">
            <w:pPr>
              <w:pStyle w:val="24"/>
              <w:bidi w:val="0"/>
              <w:ind w:left="0" w:leftChars="0"/>
              <w:rPr>
                <w:b w:val="0"/>
                <w:bCs w:val="0"/>
                <w:color w:val="auto"/>
                <w:highlight w:val="none"/>
              </w:rPr>
            </w:pPr>
            <w:r>
              <w:rPr>
                <w:rFonts w:hint="eastAsia"/>
                <w:b w:val="0"/>
                <w:bCs w:val="0"/>
                <w:color w:val="auto"/>
                <w:highlight w:val="none"/>
                <w:lang w:val="en-US" w:eastAsia="zh-CN"/>
              </w:rPr>
              <w:t>事故</w:t>
            </w:r>
          </w:p>
        </w:tc>
      </w:tr>
      <w:tr w14:paraId="0395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99" w:type="pct"/>
            <w:vMerge w:val="continue"/>
            <w:tcBorders>
              <w:tl2br w:val="nil"/>
              <w:tr2bl w:val="nil"/>
            </w:tcBorders>
            <w:noWrap w:val="0"/>
            <w:vAlign w:val="center"/>
          </w:tcPr>
          <w:p w14:paraId="7713D3ED">
            <w:pPr>
              <w:pStyle w:val="24"/>
              <w:bidi w:val="0"/>
              <w:rPr>
                <w:b w:val="0"/>
                <w:bCs w:val="0"/>
                <w:color w:val="auto"/>
                <w:highlight w:val="none"/>
              </w:rPr>
            </w:pPr>
          </w:p>
        </w:tc>
        <w:tc>
          <w:tcPr>
            <w:tcW w:w="810" w:type="pct"/>
            <w:vMerge w:val="continue"/>
            <w:tcBorders>
              <w:tl2br w:val="nil"/>
              <w:tr2bl w:val="nil"/>
            </w:tcBorders>
            <w:noWrap w:val="0"/>
            <w:vAlign w:val="center"/>
          </w:tcPr>
          <w:p w14:paraId="6603CB66">
            <w:pPr>
              <w:pStyle w:val="24"/>
              <w:bidi w:val="0"/>
              <w:rPr>
                <w:b w:val="0"/>
                <w:bCs w:val="0"/>
                <w:color w:val="auto"/>
                <w:highlight w:val="none"/>
              </w:rPr>
            </w:pPr>
          </w:p>
        </w:tc>
        <w:tc>
          <w:tcPr>
            <w:tcW w:w="644" w:type="pct"/>
            <w:tcBorders>
              <w:tl2br w:val="nil"/>
              <w:tr2bl w:val="nil"/>
            </w:tcBorders>
            <w:noWrap w:val="0"/>
            <w:vAlign w:val="center"/>
          </w:tcPr>
          <w:p w14:paraId="2F546EF8">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垂直入渗</w:t>
            </w:r>
          </w:p>
        </w:tc>
        <w:tc>
          <w:tcPr>
            <w:tcW w:w="2362" w:type="pct"/>
            <w:vMerge w:val="continue"/>
            <w:tcBorders>
              <w:tl2br w:val="nil"/>
              <w:tr2bl w:val="nil"/>
            </w:tcBorders>
            <w:noWrap w:val="0"/>
            <w:vAlign w:val="center"/>
          </w:tcPr>
          <w:p w14:paraId="0F7C3DC1">
            <w:pPr>
              <w:pStyle w:val="24"/>
              <w:bidi w:val="0"/>
              <w:rPr>
                <w:b w:val="0"/>
                <w:bCs w:val="0"/>
                <w:color w:val="auto"/>
                <w:highlight w:val="none"/>
              </w:rPr>
            </w:pPr>
          </w:p>
        </w:tc>
        <w:tc>
          <w:tcPr>
            <w:tcW w:w="483" w:type="pct"/>
            <w:tcBorders>
              <w:tl2br w:val="nil"/>
              <w:tr2bl w:val="nil"/>
            </w:tcBorders>
            <w:noWrap w:val="0"/>
            <w:vAlign w:val="center"/>
          </w:tcPr>
          <w:p w14:paraId="74722E6D">
            <w:pPr>
              <w:pStyle w:val="24"/>
              <w:bidi w:val="0"/>
              <w:ind w:left="0" w:leftChars="0"/>
              <w:rPr>
                <w:b w:val="0"/>
                <w:bCs w:val="0"/>
                <w:color w:val="auto"/>
                <w:highlight w:val="none"/>
              </w:rPr>
            </w:pPr>
            <w:r>
              <w:rPr>
                <w:rFonts w:hint="eastAsia"/>
                <w:b w:val="0"/>
                <w:bCs w:val="0"/>
                <w:color w:val="auto"/>
                <w:highlight w:val="none"/>
                <w:lang w:val="en-US" w:eastAsia="zh-CN"/>
              </w:rPr>
              <w:t>事故</w:t>
            </w:r>
          </w:p>
        </w:tc>
      </w:tr>
      <w:tr w14:paraId="22AF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99" w:type="pct"/>
            <w:vMerge w:val="restart"/>
            <w:tcBorders>
              <w:tl2br w:val="nil"/>
              <w:tr2bl w:val="nil"/>
            </w:tcBorders>
            <w:noWrap w:val="0"/>
            <w:vAlign w:val="center"/>
          </w:tcPr>
          <w:p w14:paraId="7FCC4A7A">
            <w:pPr>
              <w:pStyle w:val="24"/>
              <w:bidi w:val="0"/>
              <w:rPr>
                <w:rFonts w:hint="eastAsia" w:eastAsia="宋体"/>
                <w:b w:val="0"/>
                <w:bCs w:val="0"/>
                <w:color w:val="auto"/>
                <w:highlight w:val="none"/>
                <w:lang w:val="en-US" w:eastAsia="zh-CN"/>
              </w:rPr>
            </w:pPr>
            <w:r>
              <w:rPr>
                <w:rFonts w:hint="eastAsia" w:cs="Times New Roman"/>
                <w:b w:val="0"/>
                <w:bCs w:val="0"/>
                <w:color w:val="auto"/>
                <w:highlight w:val="none"/>
                <w:lang w:val="en-US" w:eastAsia="zh-CN"/>
              </w:rPr>
              <w:t>危废暂存间</w:t>
            </w:r>
          </w:p>
        </w:tc>
        <w:tc>
          <w:tcPr>
            <w:tcW w:w="810" w:type="pct"/>
            <w:vMerge w:val="restart"/>
            <w:tcBorders>
              <w:tl2br w:val="nil"/>
              <w:tr2bl w:val="nil"/>
            </w:tcBorders>
            <w:noWrap w:val="0"/>
            <w:vAlign w:val="center"/>
          </w:tcPr>
          <w:p w14:paraId="7DE7A424">
            <w:pPr>
              <w:pStyle w:val="24"/>
              <w:bidi w:val="0"/>
              <w:rPr>
                <w:rFonts w:hint="eastAsia" w:eastAsia="宋体"/>
                <w:b w:val="0"/>
                <w:bCs w:val="0"/>
                <w:color w:val="auto"/>
                <w:highlight w:val="none"/>
                <w:lang w:val="en-US" w:eastAsia="zh-CN"/>
              </w:rPr>
            </w:pPr>
            <w:r>
              <w:rPr>
                <w:rFonts w:hint="eastAsia"/>
                <w:b w:val="0"/>
                <w:bCs w:val="0"/>
                <w:color w:val="auto"/>
                <w:highlight w:val="none"/>
                <w:lang w:val="en-US" w:eastAsia="zh-CN"/>
              </w:rPr>
              <w:t>危废暂存</w:t>
            </w:r>
          </w:p>
        </w:tc>
        <w:tc>
          <w:tcPr>
            <w:tcW w:w="644" w:type="pct"/>
            <w:tcBorders>
              <w:tl2br w:val="nil"/>
              <w:tr2bl w:val="nil"/>
            </w:tcBorders>
            <w:noWrap w:val="0"/>
            <w:vAlign w:val="center"/>
          </w:tcPr>
          <w:p w14:paraId="3452B419">
            <w:pPr>
              <w:pStyle w:val="24"/>
              <w:bidi w:val="0"/>
              <w:rPr>
                <w:rFonts w:hint="eastAsia"/>
                <w:b w:val="0"/>
                <w:bCs w:val="0"/>
                <w:color w:val="auto"/>
                <w:highlight w:val="none"/>
                <w:lang w:val="en-US" w:eastAsia="zh-CN"/>
              </w:rPr>
            </w:pPr>
            <w:r>
              <w:rPr>
                <w:rFonts w:hint="eastAsia"/>
                <w:b w:val="0"/>
                <w:bCs w:val="0"/>
                <w:color w:val="auto"/>
                <w:highlight w:val="none"/>
                <w:lang w:val="en-US" w:eastAsia="zh-CN"/>
              </w:rPr>
              <w:t>垂直入渗</w:t>
            </w:r>
          </w:p>
        </w:tc>
        <w:tc>
          <w:tcPr>
            <w:tcW w:w="2362" w:type="pct"/>
            <w:tcBorders>
              <w:tl2br w:val="nil"/>
              <w:tr2bl w:val="nil"/>
            </w:tcBorders>
            <w:noWrap w:val="0"/>
            <w:vAlign w:val="center"/>
          </w:tcPr>
          <w:p w14:paraId="4B24B799">
            <w:pPr>
              <w:pStyle w:val="24"/>
              <w:bidi w:val="0"/>
              <w:rPr>
                <w:rFonts w:hint="default"/>
                <w:b w:val="0"/>
                <w:bCs w:val="0"/>
                <w:color w:val="auto"/>
                <w:highlight w:val="none"/>
                <w:lang w:val="en-US"/>
              </w:rPr>
            </w:pPr>
            <w:r>
              <w:rPr>
                <w:rFonts w:hint="eastAsia"/>
                <w:b w:val="0"/>
                <w:bCs w:val="0"/>
                <w:color w:val="auto"/>
                <w:highlight w:val="none"/>
                <w:lang w:val="en-US" w:eastAsia="zh-CN"/>
              </w:rPr>
              <w:t>质检废液、剩余检验样品</w:t>
            </w:r>
            <w:r>
              <w:rPr>
                <w:rFonts w:hint="default"/>
                <w:b w:val="0"/>
                <w:bCs w:val="0"/>
                <w:color w:val="auto"/>
                <w:highlight w:val="none"/>
                <w:lang w:val="en-US" w:eastAsia="zh-CN"/>
              </w:rPr>
              <w:t>、</w:t>
            </w:r>
            <w:r>
              <w:rPr>
                <w:rFonts w:hint="eastAsia"/>
                <w:b w:val="0"/>
                <w:bCs w:val="0"/>
                <w:color w:val="auto"/>
                <w:highlight w:val="none"/>
                <w:lang w:val="en-US" w:eastAsia="zh-CN"/>
              </w:rPr>
              <w:t>涉及磷及重金属器皿清洗废水、废润滑油等</w:t>
            </w:r>
          </w:p>
        </w:tc>
        <w:tc>
          <w:tcPr>
            <w:tcW w:w="483" w:type="pct"/>
            <w:tcBorders>
              <w:tl2br w:val="nil"/>
              <w:tr2bl w:val="nil"/>
            </w:tcBorders>
            <w:noWrap w:val="0"/>
            <w:vAlign w:val="center"/>
          </w:tcPr>
          <w:p w14:paraId="77D118B8">
            <w:pPr>
              <w:pStyle w:val="24"/>
              <w:bidi w:val="0"/>
              <w:ind w:left="0" w:leftChars="0"/>
              <w:rPr>
                <w:rFonts w:hint="default"/>
                <w:b w:val="0"/>
                <w:bCs w:val="0"/>
                <w:color w:val="auto"/>
                <w:highlight w:val="none"/>
                <w:lang w:val="en-US" w:eastAsia="zh-CN"/>
              </w:rPr>
            </w:pPr>
            <w:r>
              <w:rPr>
                <w:rFonts w:hint="eastAsia"/>
                <w:b w:val="0"/>
                <w:bCs w:val="0"/>
                <w:color w:val="auto"/>
                <w:highlight w:val="none"/>
                <w:lang w:val="en-US" w:eastAsia="zh-CN"/>
              </w:rPr>
              <w:t>事故</w:t>
            </w:r>
          </w:p>
        </w:tc>
      </w:tr>
      <w:tr w14:paraId="063A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99" w:type="pct"/>
            <w:vMerge w:val="continue"/>
            <w:tcBorders>
              <w:tl2br w:val="nil"/>
              <w:tr2bl w:val="nil"/>
            </w:tcBorders>
            <w:noWrap w:val="0"/>
            <w:vAlign w:val="center"/>
          </w:tcPr>
          <w:p w14:paraId="6821A199">
            <w:pPr>
              <w:pStyle w:val="24"/>
              <w:bidi w:val="0"/>
              <w:ind w:left="0" w:leftChars="0"/>
              <w:rPr>
                <w:color w:val="auto"/>
              </w:rPr>
            </w:pPr>
          </w:p>
        </w:tc>
        <w:tc>
          <w:tcPr>
            <w:tcW w:w="810" w:type="pct"/>
            <w:vMerge w:val="continue"/>
            <w:tcBorders>
              <w:tl2br w:val="nil"/>
              <w:tr2bl w:val="nil"/>
            </w:tcBorders>
            <w:noWrap w:val="0"/>
            <w:vAlign w:val="center"/>
          </w:tcPr>
          <w:p w14:paraId="35756697">
            <w:pPr>
              <w:pStyle w:val="24"/>
              <w:bidi w:val="0"/>
              <w:ind w:left="0" w:leftChars="0"/>
              <w:rPr>
                <w:color w:val="auto"/>
              </w:rPr>
            </w:pPr>
          </w:p>
        </w:tc>
        <w:tc>
          <w:tcPr>
            <w:tcW w:w="644" w:type="pct"/>
            <w:tcBorders>
              <w:tl2br w:val="nil"/>
              <w:tr2bl w:val="nil"/>
            </w:tcBorders>
            <w:shd w:val="clear" w:color="auto" w:fill="auto"/>
            <w:noWrap w:val="0"/>
            <w:vAlign w:val="center"/>
          </w:tcPr>
          <w:p w14:paraId="58D3BFCC">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地表漫流</w:t>
            </w:r>
          </w:p>
        </w:tc>
        <w:tc>
          <w:tcPr>
            <w:tcW w:w="2362" w:type="pct"/>
            <w:tcBorders>
              <w:tl2br w:val="nil"/>
              <w:tr2bl w:val="nil"/>
            </w:tcBorders>
            <w:shd w:val="clear" w:color="auto" w:fill="auto"/>
            <w:noWrap w:val="0"/>
            <w:vAlign w:val="center"/>
          </w:tcPr>
          <w:p w14:paraId="6EA94479">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质检废液、剩余检验样品</w:t>
            </w:r>
            <w:r>
              <w:rPr>
                <w:rFonts w:hint="default"/>
                <w:b w:val="0"/>
                <w:bCs w:val="0"/>
                <w:color w:val="auto"/>
                <w:highlight w:val="none"/>
                <w:lang w:val="en-US" w:eastAsia="zh-CN"/>
              </w:rPr>
              <w:t>、</w:t>
            </w:r>
            <w:r>
              <w:rPr>
                <w:rFonts w:hint="eastAsia"/>
                <w:b w:val="0"/>
                <w:bCs w:val="0"/>
                <w:color w:val="auto"/>
                <w:highlight w:val="none"/>
                <w:lang w:val="en-US" w:eastAsia="zh-CN"/>
              </w:rPr>
              <w:t>涉及磷及重金属器皿清洗废水、废润滑油等</w:t>
            </w:r>
          </w:p>
        </w:tc>
        <w:tc>
          <w:tcPr>
            <w:tcW w:w="483" w:type="pct"/>
            <w:tcBorders>
              <w:tl2br w:val="nil"/>
              <w:tr2bl w:val="nil"/>
            </w:tcBorders>
            <w:shd w:val="clear" w:color="auto" w:fill="auto"/>
            <w:noWrap w:val="0"/>
            <w:vAlign w:val="center"/>
          </w:tcPr>
          <w:p w14:paraId="6AB3E40B">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b w:val="0"/>
                <w:bCs w:val="0"/>
                <w:color w:val="auto"/>
                <w:highlight w:val="none"/>
                <w:lang w:val="en-US" w:eastAsia="zh-CN"/>
              </w:rPr>
              <w:t>事故</w:t>
            </w:r>
          </w:p>
        </w:tc>
      </w:tr>
    </w:tbl>
    <w:p w14:paraId="1DD8A337">
      <w:pPr>
        <w:pStyle w:val="6"/>
        <w:ind w:firstLine="482"/>
        <w:rPr>
          <w:rFonts w:hint="default" w:cs="Times New Roman"/>
          <w:b/>
          <w:bCs/>
          <w:color w:val="auto"/>
          <w:highlight w:val="none"/>
          <w:lang w:val="en-US" w:eastAsia="zh-CN"/>
        </w:rPr>
      </w:pPr>
      <w:r>
        <w:rPr>
          <w:rFonts w:hint="eastAsia" w:cs="Times New Roman"/>
          <w:b/>
          <w:bCs/>
          <w:color w:val="auto"/>
          <w:highlight w:val="none"/>
          <w:lang w:val="en-US" w:eastAsia="zh-CN"/>
        </w:rPr>
        <w:t>4、土壤环境敏感目标</w:t>
      </w:r>
    </w:p>
    <w:p w14:paraId="0125BB3E">
      <w:pPr>
        <w:pStyle w:val="26"/>
        <w:bidi w:val="0"/>
        <w:rPr>
          <w:color w:val="auto"/>
          <w:kern w:val="0"/>
          <w:szCs w:val="24"/>
          <w:highlight w:val="none"/>
        </w:rPr>
      </w:pPr>
      <w:r>
        <w:rPr>
          <w:rFonts w:hint="eastAsia" w:ascii="Times New Roman" w:hAnsi="Times New Roman"/>
          <w:color w:val="auto"/>
          <w:sz w:val="24"/>
        </w:rPr>
        <w:t>根据《土地利用现状分类》（GB/T21010-2017）及周边规划图，本项目评价范围内土地利用类型为</w:t>
      </w:r>
      <w:r>
        <w:rPr>
          <w:rFonts w:hint="eastAsia" w:ascii="Times New Roman" w:hAnsi="Times New Roman"/>
          <w:color w:val="auto"/>
          <w:sz w:val="24"/>
          <w:lang w:val="en-US" w:eastAsia="zh-CN"/>
        </w:rPr>
        <w:t>工业用地</w:t>
      </w:r>
      <w:r>
        <w:rPr>
          <w:rFonts w:hint="eastAsia" w:ascii="Times New Roman" w:hAnsi="Times New Roman"/>
          <w:color w:val="auto"/>
          <w:sz w:val="24"/>
        </w:rPr>
        <w:t>、</w:t>
      </w:r>
      <w:r>
        <w:rPr>
          <w:rFonts w:hint="eastAsia"/>
          <w:color w:val="auto"/>
          <w:highlight w:val="none"/>
          <w:lang w:val="en-US" w:eastAsia="zh-CN"/>
        </w:rPr>
        <w:t>交通运输用地</w:t>
      </w:r>
      <w:r>
        <w:rPr>
          <w:rFonts w:hint="eastAsia" w:ascii="Times New Roman" w:hAnsi="Times New Roman"/>
          <w:color w:val="auto"/>
          <w:sz w:val="24"/>
        </w:rPr>
        <w:t>、耕地、林地</w:t>
      </w:r>
      <w:r>
        <w:rPr>
          <w:color w:val="auto"/>
          <w:kern w:val="0"/>
          <w:szCs w:val="24"/>
          <w:highlight w:val="none"/>
        </w:rPr>
        <w:t>。</w:t>
      </w:r>
    </w:p>
    <w:p w14:paraId="129B700A">
      <w:pPr>
        <w:pStyle w:val="5"/>
        <w:bidi w:val="0"/>
        <w:rPr>
          <w:rFonts w:hint="default"/>
          <w:color w:val="auto"/>
          <w:highlight w:val="none"/>
          <w:lang w:val="en-US" w:eastAsia="zh-CN"/>
        </w:rPr>
      </w:pPr>
      <w:r>
        <w:rPr>
          <w:rFonts w:hint="eastAsia"/>
          <w:color w:val="auto"/>
          <w:highlight w:val="none"/>
          <w:lang w:val="en-US" w:eastAsia="zh-CN"/>
        </w:rPr>
        <w:t>土壤环境现状调查</w:t>
      </w:r>
    </w:p>
    <w:p w14:paraId="56BA184C">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1、土壤类型分布</w:t>
      </w:r>
    </w:p>
    <w:p w14:paraId="5BF3A751">
      <w:pPr>
        <w:spacing w:line="360" w:lineRule="auto"/>
        <w:ind w:left="0" w:leftChars="0" w:firstLine="480" w:firstLineChars="200"/>
        <w:rPr>
          <w:rFonts w:ascii="Times New Roman" w:hAnsi="Times New Roman"/>
          <w:color w:val="auto"/>
          <w:sz w:val="24"/>
        </w:rPr>
      </w:pPr>
      <w:r>
        <w:rPr>
          <w:rFonts w:hint="eastAsia" w:ascii="Times New Roman" w:hAnsi="Times New Roman"/>
          <w:color w:val="auto"/>
          <w:sz w:val="24"/>
        </w:rPr>
        <w:t>根据查询国家土壤信息平台（</w:t>
      </w:r>
      <w:r>
        <w:rPr>
          <w:rFonts w:ascii="Times New Roman" w:hAnsi="Times New Roman"/>
          <w:color w:val="auto"/>
          <w:sz w:val="24"/>
        </w:rPr>
        <w:t>http://www.soilinfo.cn/MAP/index.aspx#</w:t>
      </w:r>
      <w:r>
        <w:rPr>
          <w:rFonts w:hint="eastAsia" w:ascii="Times New Roman" w:hAnsi="Times New Roman"/>
          <w:color w:val="auto"/>
          <w:sz w:val="24"/>
        </w:rPr>
        <w:t>）中《中国1:400万土壤类型图》及现场调查情况，本项目区域土壤类型为</w:t>
      </w:r>
      <w:r>
        <w:rPr>
          <w:rFonts w:hint="eastAsia" w:ascii="Times New Roman" w:hAnsi="Times New Roman"/>
          <w:color w:val="auto"/>
          <w:sz w:val="24"/>
          <w:lang w:val="en-US" w:eastAsia="zh-CN"/>
        </w:rPr>
        <w:t>湿润雏形土和水耕人为土</w:t>
      </w:r>
      <w:r>
        <w:rPr>
          <w:rFonts w:hint="eastAsia" w:ascii="Times New Roman" w:hAnsi="Times New Roman"/>
          <w:color w:val="auto"/>
          <w:sz w:val="24"/>
        </w:rPr>
        <w:t>。</w:t>
      </w:r>
    </w:p>
    <w:p w14:paraId="2D66B408">
      <w:pPr>
        <w:spacing w:line="360" w:lineRule="auto"/>
        <w:ind w:left="0" w:leftChars="0" w:firstLine="0" w:firstLineChars="0"/>
        <w:jc w:val="both"/>
        <w:rPr>
          <w:rFonts w:ascii="Times New Roman" w:hAnsi="Times New Roman"/>
          <w:color w:val="auto"/>
          <w:sz w:val="24"/>
        </w:rPr>
      </w:pPr>
      <w:r>
        <w:rPr>
          <w:color w:val="auto"/>
        </w:rPr>
        <w:drawing>
          <wp:inline distT="0" distB="0" distL="114300" distR="114300">
            <wp:extent cx="5894705" cy="2884805"/>
            <wp:effectExtent l="0" t="0" r="10795" b="10795"/>
            <wp:docPr id="1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
                    <pic:cNvPicPr>
                      <a:picLocks noChangeAspect="1"/>
                    </pic:cNvPicPr>
                  </pic:nvPicPr>
                  <pic:blipFill>
                    <a:blip r:embed="rId164"/>
                    <a:stretch>
                      <a:fillRect/>
                    </a:stretch>
                  </pic:blipFill>
                  <pic:spPr>
                    <a:xfrm>
                      <a:off x="0" y="0"/>
                      <a:ext cx="5894705" cy="2884805"/>
                    </a:xfrm>
                    <a:prstGeom prst="rect">
                      <a:avLst/>
                    </a:prstGeom>
                    <a:noFill/>
                    <a:ln>
                      <a:noFill/>
                    </a:ln>
                  </pic:spPr>
                </pic:pic>
              </a:graphicData>
            </a:graphic>
          </wp:inline>
        </w:drawing>
      </w:r>
    </w:p>
    <w:p w14:paraId="58155612">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区域土壤类型查询结果</w:t>
      </w:r>
    </w:p>
    <w:p w14:paraId="4593CF19">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2、土地利用历史情况</w:t>
      </w:r>
    </w:p>
    <w:p w14:paraId="527CD4C3">
      <w:pPr>
        <w:spacing w:line="360" w:lineRule="auto"/>
        <w:ind w:left="0" w:leftChars="0" w:firstLine="480" w:firstLineChars="200"/>
        <w:rPr>
          <w:rFonts w:hint="eastAsia" w:ascii="Times New Roman" w:hAnsi="Times New Roman"/>
          <w:color w:val="auto"/>
          <w:sz w:val="24"/>
        </w:rPr>
      </w:pPr>
      <w:r>
        <w:rPr>
          <w:rFonts w:hint="eastAsia" w:ascii="Times New Roman" w:hAnsi="Times New Roman"/>
          <w:color w:val="auto"/>
          <w:sz w:val="24"/>
        </w:rPr>
        <w:t>根据Google</w:t>
      </w:r>
      <w:r>
        <w:rPr>
          <w:rFonts w:ascii="Times New Roman" w:hAnsi="Times New Roman"/>
          <w:color w:val="auto"/>
          <w:sz w:val="24"/>
        </w:rPr>
        <w:t xml:space="preserve"> Earth历史图像资料</w:t>
      </w:r>
      <w:r>
        <w:rPr>
          <w:rFonts w:hint="eastAsia" w:ascii="Times New Roman" w:hAnsi="Times New Roman"/>
          <w:color w:val="auto"/>
          <w:sz w:val="24"/>
        </w:rPr>
        <w:t>，项目所在地自20</w:t>
      </w:r>
      <w:r>
        <w:rPr>
          <w:rFonts w:hint="eastAsia" w:ascii="Times New Roman" w:hAnsi="Times New Roman"/>
          <w:color w:val="auto"/>
          <w:sz w:val="24"/>
          <w:lang w:val="en-US" w:eastAsia="zh-CN"/>
        </w:rPr>
        <w:t>25</w:t>
      </w:r>
      <w:r>
        <w:rPr>
          <w:rFonts w:hint="eastAsia" w:ascii="Times New Roman" w:hAnsi="Times New Roman"/>
          <w:color w:val="auto"/>
          <w:sz w:val="24"/>
        </w:rPr>
        <w:t>年</w:t>
      </w:r>
      <w:r>
        <w:rPr>
          <w:rFonts w:hint="eastAsia" w:ascii="Times New Roman" w:hAnsi="Times New Roman"/>
          <w:color w:val="auto"/>
          <w:sz w:val="24"/>
          <w:lang w:val="en-US" w:eastAsia="zh-CN"/>
        </w:rPr>
        <w:t>10</w:t>
      </w:r>
      <w:r>
        <w:rPr>
          <w:rFonts w:hint="eastAsia" w:ascii="Times New Roman" w:hAnsi="Times New Roman"/>
          <w:color w:val="auto"/>
          <w:sz w:val="24"/>
        </w:rPr>
        <w:t>月以前为农用地、农村宅基地及未开发利用地，此后该地块土地利用无变化。</w:t>
      </w:r>
    </w:p>
    <w:tbl>
      <w:tblPr>
        <w:tblStyle w:val="20"/>
        <w:tblW w:w="0" w:type="auto"/>
        <w:tblInd w:w="0" w:type="dxa"/>
        <w:tblLayout w:type="autofit"/>
        <w:tblCellMar>
          <w:top w:w="0" w:type="dxa"/>
          <w:left w:w="108" w:type="dxa"/>
          <w:bottom w:w="0" w:type="dxa"/>
          <w:right w:w="108" w:type="dxa"/>
        </w:tblCellMar>
      </w:tblPr>
      <w:tblGrid>
        <w:gridCol w:w="4649"/>
        <w:gridCol w:w="4650"/>
      </w:tblGrid>
      <w:tr w14:paraId="1FEEE80E">
        <w:tblPrEx>
          <w:tblCellMar>
            <w:top w:w="0" w:type="dxa"/>
            <w:left w:w="108" w:type="dxa"/>
            <w:bottom w:w="0" w:type="dxa"/>
            <w:right w:w="108" w:type="dxa"/>
          </w:tblCellMar>
        </w:tblPrEx>
        <w:tc>
          <w:tcPr>
            <w:tcW w:w="4649" w:type="dxa"/>
            <w:vAlign w:val="center"/>
          </w:tcPr>
          <w:p w14:paraId="6A7A4978">
            <w:pPr>
              <w:ind w:left="0" w:leftChars="0" w:firstLine="0" w:firstLineChars="0"/>
              <w:jc w:val="center"/>
              <w:rPr>
                <w:rFonts w:ascii="Times New Roman" w:hAnsi="Times New Roman"/>
                <w:color w:val="auto"/>
                <w:szCs w:val="21"/>
              </w:rPr>
            </w:pPr>
            <w:r>
              <w:rPr>
                <w:color w:val="auto"/>
              </w:rPr>
              <w:drawing>
                <wp:inline distT="0" distB="0" distL="114300" distR="114300">
                  <wp:extent cx="2211705" cy="2520315"/>
                  <wp:effectExtent l="0" t="0" r="17145" b="13335"/>
                  <wp:docPr id="13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7"/>
                          <pic:cNvPicPr>
                            <a:picLocks noChangeAspect="1"/>
                          </pic:cNvPicPr>
                        </pic:nvPicPr>
                        <pic:blipFill>
                          <a:blip r:embed="rId165"/>
                          <a:stretch>
                            <a:fillRect/>
                          </a:stretch>
                        </pic:blipFill>
                        <pic:spPr>
                          <a:xfrm>
                            <a:off x="0" y="0"/>
                            <a:ext cx="2211705" cy="2520315"/>
                          </a:xfrm>
                          <a:prstGeom prst="rect">
                            <a:avLst/>
                          </a:prstGeom>
                          <a:noFill/>
                          <a:ln>
                            <a:noFill/>
                          </a:ln>
                        </pic:spPr>
                      </pic:pic>
                    </a:graphicData>
                  </a:graphic>
                </wp:inline>
              </w:drawing>
            </w:r>
          </w:p>
        </w:tc>
        <w:tc>
          <w:tcPr>
            <w:tcW w:w="4650" w:type="dxa"/>
            <w:vAlign w:val="center"/>
          </w:tcPr>
          <w:p w14:paraId="33D47AA5">
            <w:pPr>
              <w:ind w:left="0" w:leftChars="0" w:firstLine="0" w:firstLineChars="0"/>
              <w:jc w:val="center"/>
              <w:rPr>
                <w:rFonts w:ascii="Times New Roman" w:hAnsi="Times New Roman"/>
                <w:color w:val="auto"/>
                <w:szCs w:val="21"/>
              </w:rPr>
            </w:pPr>
            <w:r>
              <w:rPr>
                <w:color w:val="auto"/>
              </w:rPr>
              <w:drawing>
                <wp:inline distT="0" distB="0" distL="114300" distR="114300">
                  <wp:extent cx="2237740" cy="2520315"/>
                  <wp:effectExtent l="0" t="0" r="10160" b="13335"/>
                  <wp:docPr id="1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6"/>
                          <pic:cNvPicPr>
                            <a:picLocks noChangeAspect="1"/>
                          </pic:cNvPicPr>
                        </pic:nvPicPr>
                        <pic:blipFill>
                          <a:blip r:embed="rId166"/>
                          <a:stretch>
                            <a:fillRect/>
                          </a:stretch>
                        </pic:blipFill>
                        <pic:spPr>
                          <a:xfrm>
                            <a:off x="0" y="0"/>
                            <a:ext cx="2237740" cy="2520315"/>
                          </a:xfrm>
                          <a:prstGeom prst="rect">
                            <a:avLst/>
                          </a:prstGeom>
                          <a:noFill/>
                          <a:ln>
                            <a:noFill/>
                          </a:ln>
                        </pic:spPr>
                      </pic:pic>
                    </a:graphicData>
                  </a:graphic>
                </wp:inline>
              </w:drawing>
            </w:r>
          </w:p>
        </w:tc>
      </w:tr>
      <w:tr w14:paraId="68F6E2C9">
        <w:tblPrEx>
          <w:tblCellMar>
            <w:top w:w="0" w:type="dxa"/>
            <w:left w:w="108" w:type="dxa"/>
            <w:bottom w:w="0" w:type="dxa"/>
            <w:right w:w="108" w:type="dxa"/>
          </w:tblCellMar>
        </w:tblPrEx>
        <w:tc>
          <w:tcPr>
            <w:tcW w:w="4649" w:type="dxa"/>
            <w:vAlign w:val="center"/>
          </w:tcPr>
          <w:p w14:paraId="1E8D8AF2">
            <w:pPr>
              <w:jc w:val="center"/>
              <w:rPr>
                <w:rFonts w:ascii="Times New Roman" w:hAnsi="Times New Roman"/>
                <w:color w:val="auto"/>
                <w:szCs w:val="21"/>
              </w:rPr>
            </w:pPr>
            <w:r>
              <w:rPr>
                <w:rFonts w:hint="eastAsia" w:ascii="Times New Roman" w:hAnsi="Times New Roman"/>
                <w:color w:val="auto"/>
                <w:szCs w:val="21"/>
              </w:rPr>
              <w:t>项目地块（20</w:t>
            </w:r>
            <w:r>
              <w:rPr>
                <w:rFonts w:hint="eastAsia" w:ascii="Times New Roman" w:hAnsi="Times New Roman"/>
                <w:color w:val="auto"/>
                <w:szCs w:val="21"/>
                <w:lang w:val="en-US" w:eastAsia="zh-CN"/>
              </w:rPr>
              <w:t>13.3</w:t>
            </w:r>
            <w:r>
              <w:rPr>
                <w:rFonts w:hint="eastAsia" w:ascii="Times New Roman" w:hAnsi="Times New Roman"/>
                <w:color w:val="auto"/>
                <w:szCs w:val="21"/>
              </w:rPr>
              <w:t>）</w:t>
            </w:r>
          </w:p>
        </w:tc>
        <w:tc>
          <w:tcPr>
            <w:tcW w:w="4650" w:type="dxa"/>
            <w:vAlign w:val="center"/>
          </w:tcPr>
          <w:p w14:paraId="09BC5A9E">
            <w:pPr>
              <w:jc w:val="center"/>
              <w:rPr>
                <w:rFonts w:ascii="Times New Roman" w:hAnsi="Times New Roman"/>
                <w:color w:val="auto"/>
                <w:szCs w:val="21"/>
              </w:rPr>
            </w:pPr>
            <w:r>
              <w:rPr>
                <w:rFonts w:hint="eastAsia" w:ascii="Times New Roman" w:hAnsi="Times New Roman"/>
                <w:color w:val="auto"/>
                <w:szCs w:val="21"/>
              </w:rPr>
              <w:t>项目地块（20</w:t>
            </w:r>
            <w:r>
              <w:rPr>
                <w:rFonts w:hint="eastAsia" w:ascii="Times New Roman" w:hAnsi="Times New Roman"/>
                <w:color w:val="auto"/>
                <w:szCs w:val="21"/>
                <w:lang w:val="en-US" w:eastAsia="zh-CN"/>
              </w:rPr>
              <w:t>18.8</w:t>
            </w:r>
            <w:r>
              <w:rPr>
                <w:rFonts w:hint="eastAsia" w:ascii="Times New Roman" w:hAnsi="Times New Roman"/>
                <w:color w:val="auto"/>
                <w:szCs w:val="21"/>
              </w:rPr>
              <w:t>）</w:t>
            </w:r>
          </w:p>
        </w:tc>
      </w:tr>
      <w:tr w14:paraId="6CA07FCF">
        <w:tblPrEx>
          <w:tblCellMar>
            <w:top w:w="0" w:type="dxa"/>
            <w:left w:w="108" w:type="dxa"/>
            <w:bottom w:w="0" w:type="dxa"/>
            <w:right w:w="108" w:type="dxa"/>
          </w:tblCellMar>
        </w:tblPrEx>
        <w:tc>
          <w:tcPr>
            <w:tcW w:w="4649" w:type="dxa"/>
            <w:vAlign w:val="center"/>
          </w:tcPr>
          <w:p w14:paraId="003ECBC2">
            <w:pPr>
              <w:ind w:left="482" w:leftChars="0"/>
              <w:jc w:val="center"/>
              <w:rPr>
                <w:rFonts w:ascii="Times New Roman" w:hAnsi="Times New Roman"/>
                <w:color w:val="auto"/>
                <w:szCs w:val="21"/>
              </w:rPr>
            </w:pPr>
            <w:r>
              <w:rPr>
                <w:color w:val="auto"/>
              </w:rPr>
              <w:drawing>
                <wp:inline distT="0" distB="0" distL="114300" distR="114300">
                  <wp:extent cx="2223770" cy="2520315"/>
                  <wp:effectExtent l="0" t="0" r="5080" b="13335"/>
                  <wp:docPr id="1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5"/>
                          <pic:cNvPicPr>
                            <a:picLocks noChangeAspect="1"/>
                          </pic:cNvPicPr>
                        </pic:nvPicPr>
                        <pic:blipFill>
                          <a:blip r:embed="rId167"/>
                          <a:stretch>
                            <a:fillRect/>
                          </a:stretch>
                        </pic:blipFill>
                        <pic:spPr>
                          <a:xfrm>
                            <a:off x="0" y="0"/>
                            <a:ext cx="2223770" cy="2520315"/>
                          </a:xfrm>
                          <a:prstGeom prst="rect">
                            <a:avLst/>
                          </a:prstGeom>
                          <a:noFill/>
                          <a:ln>
                            <a:noFill/>
                          </a:ln>
                        </pic:spPr>
                      </pic:pic>
                    </a:graphicData>
                  </a:graphic>
                </wp:inline>
              </w:drawing>
            </w:r>
          </w:p>
        </w:tc>
        <w:tc>
          <w:tcPr>
            <w:tcW w:w="4650" w:type="dxa"/>
            <w:vAlign w:val="center"/>
          </w:tcPr>
          <w:p w14:paraId="755DC302">
            <w:pPr>
              <w:jc w:val="center"/>
              <w:rPr>
                <w:rFonts w:ascii="Times New Roman" w:hAnsi="Times New Roman"/>
                <w:color w:val="auto"/>
                <w:szCs w:val="21"/>
              </w:rPr>
            </w:pPr>
            <w:r>
              <w:rPr>
                <w:color w:val="auto"/>
              </w:rPr>
              <w:drawing>
                <wp:inline distT="0" distB="0" distL="114300" distR="114300">
                  <wp:extent cx="2271395" cy="2520315"/>
                  <wp:effectExtent l="0" t="0" r="14605" b="13335"/>
                  <wp:docPr id="14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
                          <pic:cNvPicPr>
                            <a:picLocks noChangeAspect="1"/>
                          </pic:cNvPicPr>
                        </pic:nvPicPr>
                        <pic:blipFill>
                          <a:blip r:embed="rId168"/>
                          <a:stretch>
                            <a:fillRect/>
                          </a:stretch>
                        </pic:blipFill>
                        <pic:spPr>
                          <a:xfrm>
                            <a:off x="0" y="0"/>
                            <a:ext cx="2271395" cy="2520315"/>
                          </a:xfrm>
                          <a:prstGeom prst="rect">
                            <a:avLst/>
                          </a:prstGeom>
                          <a:noFill/>
                          <a:ln>
                            <a:noFill/>
                          </a:ln>
                        </pic:spPr>
                      </pic:pic>
                    </a:graphicData>
                  </a:graphic>
                </wp:inline>
              </w:drawing>
            </w:r>
          </w:p>
        </w:tc>
      </w:tr>
      <w:tr w14:paraId="42D6B4B4">
        <w:tblPrEx>
          <w:tblCellMar>
            <w:top w:w="0" w:type="dxa"/>
            <w:left w:w="108" w:type="dxa"/>
            <w:bottom w:w="0" w:type="dxa"/>
            <w:right w:w="108" w:type="dxa"/>
          </w:tblCellMar>
        </w:tblPrEx>
        <w:tc>
          <w:tcPr>
            <w:tcW w:w="4649" w:type="dxa"/>
            <w:vAlign w:val="center"/>
          </w:tcPr>
          <w:p w14:paraId="027E5F99">
            <w:pPr>
              <w:ind w:left="482" w:leftChars="0"/>
              <w:jc w:val="center"/>
              <w:rPr>
                <w:rFonts w:ascii="Times New Roman" w:hAnsi="Times New Roman"/>
                <w:color w:val="auto"/>
                <w:szCs w:val="21"/>
              </w:rPr>
            </w:pPr>
            <w:r>
              <w:rPr>
                <w:rFonts w:hint="eastAsia" w:ascii="Times New Roman" w:hAnsi="Times New Roman"/>
                <w:color w:val="auto"/>
                <w:szCs w:val="21"/>
              </w:rPr>
              <w:t>项目地块（20</w:t>
            </w:r>
            <w:r>
              <w:rPr>
                <w:rFonts w:hint="eastAsia" w:ascii="Times New Roman" w:hAnsi="Times New Roman"/>
                <w:color w:val="auto"/>
                <w:szCs w:val="21"/>
                <w:lang w:val="en-US" w:eastAsia="zh-CN"/>
              </w:rPr>
              <w:t>22.5</w:t>
            </w:r>
            <w:r>
              <w:rPr>
                <w:rFonts w:hint="eastAsia" w:ascii="Times New Roman" w:hAnsi="Times New Roman"/>
                <w:color w:val="auto"/>
                <w:szCs w:val="21"/>
              </w:rPr>
              <w:t>）</w:t>
            </w:r>
          </w:p>
        </w:tc>
        <w:tc>
          <w:tcPr>
            <w:tcW w:w="4650" w:type="dxa"/>
            <w:vAlign w:val="center"/>
          </w:tcPr>
          <w:p w14:paraId="23C34E9E">
            <w:pPr>
              <w:jc w:val="center"/>
              <w:rPr>
                <w:rFonts w:ascii="Times New Roman" w:hAnsi="Times New Roman"/>
                <w:color w:val="auto"/>
                <w:szCs w:val="21"/>
              </w:rPr>
            </w:pPr>
            <w:r>
              <w:rPr>
                <w:rFonts w:hint="eastAsia" w:ascii="Times New Roman" w:hAnsi="Times New Roman"/>
                <w:color w:val="auto"/>
                <w:szCs w:val="21"/>
              </w:rPr>
              <w:t>项目地块（20</w:t>
            </w:r>
            <w:r>
              <w:rPr>
                <w:rFonts w:hint="eastAsia"/>
                <w:color w:val="auto"/>
                <w:szCs w:val="21"/>
                <w:lang w:val="en-US" w:eastAsia="zh-CN"/>
              </w:rPr>
              <w:t>24.11</w:t>
            </w:r>
            <w:r>
              <w:rPr>
                <w:rFonts w:hint="eastAsia" w:ascii="Times New Roman" w:hAnsi="Times New Roman"/>
                <w:color w:val="auto"/>
                <w:szCs w:val="21"/>
              </w:rPr>
              <w:t>）</w:t>
            </w:r>
          </w:p>
        </w:tc>
      </w:tr>
    </w:tbl>
    <w:p w14:paraId="76CD5C5C">
      <w:pPr>
        <w:numPr>
          <w:ilvl w:val="0"/>
          <w:numId w:val="26"/>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土地利用历史情况图</w:t>
      </w:r>
    </w:p>
    <w:p w14:paraId="2BC1B5D5">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3、土壤理化特性调查</w:t>
      </w:r>
    </w:p>
    <w:p w14:paraId="41696B9E">
      <w:pPr>
        <w:spacing w:line="360" w:lineRule="auto"/>
        <w:ind w:left="0" w:leftChars="0" w:firstLine="480" w:firstLineChars="200"/>
        <w:rPr>
          <w:rFonts w:hint="eastAsia" w:ascii="Times New Roman" w:hAnsi="Times New Roman"/>
          <w:color w:val="auto"/>
          <w:sz w:val="24"/>
          <w:lang w:eastAsia="zh-CN"/>
        </w:rPr>
      </w:pPr>
      <w:r>
        <w:rPr>
          <w:rFonts w:hint="eastAsia" w:ascii="Times New Roman" w:hAnsi="Times New Roman"/>
          <w:color w:val="auto"/>
          <w:sz w:val="24"/>
        </w:rPr>
        <w:t>为了解项目所在地块土壤理化特性，本次环评委托</w:t>
      </w:r>
      <w:r>
        <w:rPr>
          <w:rFonts w:hint="default"/>
          <w:color w:val="auto"/>
          <w:highlight w:val="none"/>
        </w:rPr>
        <w:t>四川华皓检测技术有限公司</w:t>
      </w:r>
      <w:r>
        <w:rPr>
          <w:rFonts w:hint="eastAsia" w:ascii="Times New Roman" w:hAnsi="Times New Roman"/>
          <w:color w:val="auto"/>
          <w:sz w:val="24"/>
        </w:rPr>
        <w:t>对土壤理化特性进行了调查及实验室测定，调查结果见下表</w:t>
      </w:r>
      <w:r>
        <w:rPr>
          <w:rFonts w:hint="eastAsia" w:ascii="Times New Roman" w:hAnsi="Times New Roman"/>
          <w:color w:val="auto"/>
          <w:sz w:val="24"/>
          <w:lang w:eastAsia="zh-CN"/>
        </w:rPr>
        <w:t>。</w:t>
      </w:r>
    </w:p>
    <w:p w14:paraId="1C0545B9">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土壤理化特性调查表（S7）</w:t>
      </w:r>
    </w:p>
    <w:tbl>
      <w:tblPr>
        <w:tblStyle w:val="20"/>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17"/>
        <w:gridCol w:w="2586"/>
        <w:gridCol w:w="2200"/>
        <w:gridCol w:w="1361"/>
        <w:gridCol w:w="2742"/>
      </w:tblGrid>
      <w:tr w14:paraId="0B680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613" w:type="pct"/>
            <w:gridSpan w:val="2"/>
            <w:tcBorders>
              <w:tl2br w:val="nil"/>
              <w:tr2bl w:val="nil"/>
            </w:tcBorders>
            <w:vAlign w:val="center"/>
          </w:tcPr>
          <w:p w14:paraId="41E8B39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点号</w:t>
            </w:r>
          </w:p>
        </w:tc>
        <w:tc>
          <w:tcPr>
            <w:tcW w:w="1182" w:type="pct"/>
            <w:tcBorders>
              <w:tl2br w:val="nil"/>
              <w:tr2bl w:val="nil"/>
            </w:tcBorders>
            <w:vAlign w:val="center"/>
          </w:tcPr>
          <w:p w14:paraId="700C5297">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S7</w:t>
            </w:r>
          </w:p>
        </w:tc>
        <w:tc>
          <w:tcPr>
            <w:tcW w:w="731" w:type="pct"/>
            <w:tcBorders>
              <w:tl2br w:val="nil"/>
              <w:tr2bl w:val="nil"/>
            </w:tcBorders>
            <w:vAlign w:val="center"/>
          </w:tcPr>
          <w:p w14:paraId="1D3A85D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时间</w:t>
            </w:r>
          </w:p>
        </w:tc>
        <w:tc>
          <w:tcPr>
            <w:tcW w:w="1473" w:type="pct"/>
            <w:tcBorders>
              <w:tl2br w:val="nil"/>
              <w:tr2bl w:val="nil"/>
            </w:tcBorders>
            <w:vAlign w:val="center"/>
          </w:tcPr>
          <w:p w14:paraId="39AAF74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2026年2月26日</w:t>
            </w:r>
          </w:p>
        </w:tc>
      </w:tr>
      <w:tr w14:paraId="53328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1613" w:type="pct"/>
            <w:gridSpan w:val="2"/>
            <w:tcBorders>
              <w:tl2br w:val="nil"/>
              <w:tr2bl w:val="nil"/>
            </w:tcBorders>
            <w:vAlign w:val="center"/>
          </w:tcPr>
          <w:p w14:paraId="7733B9A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经度</w:t>
            </w:r>
          </w:p>
        </w:tc>
        <w:tc>
          <w:tcPr>
            <w:tcW w:w="1182" w:type="pct"/>
            <w:tcBorders>
              <w:tl2br w:val="nil"/>
              <w:tr2bl w:val="nil"/>
            </w:tcBorders>
            <w:vAlign w:val="center"/>
          </w:tcPr>
          <w:p w14:paraId="4FBFAB43">
            <w:pPr>
              <w:pStyle w:val="24"/>
              <w:bidi w:val="0"/>
              <w:rPr>
                <w:rFonts w:hint="eastAsia" w:ascii="Times New Roman" w:hAnsi="Times New Roman" w:eastAsia="宋体" w:cs="Courier New"/>
                <w:b w:val="0"/>
                <w:bCs w:val="0"/>
                <w:color w:val="auto"/>
                <w:highlight w:val="none"/>
                <w:lang w:val="en-US" w:eastAsia="zh-CN"/>
              </w:rPr>
            </w:pPr>
            <w:r>
              <w:rPr>
                <w:rFonts w:hint="eastAsia" w:cs="Times New Roman"/>
                <w:color w:val="auto"/>
                <w:sz w:val="21"/>
                <w:szCs w:val="21"/>
                <w:highlight w:val="none"/>
                <w:lang w:val="en-US" w:eastAsia="zh-CN"/>
              </w:rPr>
              <w:t>107.230973</w:t>
            </w:r>
          </w:p>
        </w:tc>
        <w:tc>
          <w:tcPr>
            <w:tcW w:w="731" w:type="pct"/>
            <w:tcBorders>
              <w:tl2br w:val="nil"/>
              <w:tr2bl w:val="nil"/>
            </w:tcBorders>
            <w:vAlign w:val="center"/>
          </w:tcPr>
          <w:p w14:paraId="52835A2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纬度</w:t>
            </w:r>
          </w:p>
        </w:tc>
        <w:tc>
          <w:tcPr>
            <w:tcW w:w="1473" w:type="pct"/>
            <w:tcBorders>
              <w:tl2br w:val="nil"/>
              <w:tr2bl w:val="nil"/>
            </w:tcBorders>
            <w:vAlign w:val="center"/>
          </w:tcPr>
          <w:p w14:paraId="6AE96C79">
            <w:pPr>
              <w:pStyle w:val="24"/>
              <w:bidi w:val="0"/>
              <w:rPr>
                <w:rFonts w:hint="eastAsia" w:ascii="Times New Roman" w:hAnsi="Times New Roman" w:eastAsia="宋体" w:cs="Courier New"/>
                <w:b w:val="0"/>
                <w:bCs w:val="0"/>
                <w:color w:val="auto"/>
                <w:highlight w:val="none"/>
                <w:lang w:val="en-US" w:eastAsia="zh-CN"/>
              </w:rPr>
            </w:pPr>
            <w:r>
              <w:rPr>
                <w:rFonts w:hint="eastAsia" w:cs="Times New Roman"/>
                <w:color w:val="auto"/>
                <w:sz w:val="21"/>
                <w:szCs w:val="21"/>
                <w:highlight w:val="none"/>
                <w:lang w:val="en-US" w:eastAsia="zh-CN"/>
              </w:rPr>
              <w:t>31.879741</w:t>
            </w:r>
          </w:p>
        </w:tc>
      </w:tr>
      <w:tr w14:paraId="24D9A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exact"/>
        </w:trPr>
        <w:tc>
          <w:tcPr>
            <w:tcW w:w="1613" w:type="pct"/>
            <w:gridSpan w:val="2"/>
            <w:tcBorders>
              <w:tl2br w:val="nil"/>
              <w:tr2bl w:val="nil"/>
            </w:tcBorders>
            <w:vAlign w:val="center"/>
          </w:tcPr>
          <w:p w14:paraId="70FBD72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层次</w:t>
            </w:r>
          </w:p>
        </w:tc>
        <w:tc>
          <w:tcPr>
            <w:tcW w:w="3386" w:type="pct"/>
            <w:gridSpan w:val="3"/>
            <w:tcBorders>
              <w:tl2br w:val="nil"/>
              <w:tr2bl w:val="nil"/>
            </w:tcBorders>
            <w:vAlign w:val="center"/>
          </w:tcPr>
          <w:p w14:paraId="05B947E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0~0.2m</w:t>
            </w:r>
          </w:p>
        </w:tc>
      </w:tr>
      <w:tr w14:paraId="52E21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restart"/>
            <w:tcBorders>
              <w:tl2br w:val="nil"/>
              <w:tr2bl w:val="nil"/>
            </w:tcBorders>
            <w:vAlign w:val="center"/>
          </w:tcPr>
          <w:p w14:paraId="041CB67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现场记录</w:t>
            </w:r>
          </w:p>
        </w:tc>
        <w:tc>
          <w:tcPr>
            <w:tcW w:w="1389" w:type="pct"/>
            <w:tcBorders>
              <w:tl2br w:val="nil"/>
              <w:tr2bl w:val="nil"/>
            </w:tcBorders>
            <w:vAlign w:val="center"/>
          </w:tcPr>
          <w:p w14:paraId="2BC30C1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颜色</w:t>
            </w:r>
          </w:p>
        </w:tc>
        <w:tc>
          <w:tcPr>
            <w:tcW w:w="3386" w:type="pct"/>
            <w:gridSpan w:val="3"/>
            <w:tcBorders>
              <w:tl2br w:val="nil"/>
              <w:tr2bl w:val="nil"/>
            </w:tcBorders>
            <w:vAlign w:val="center"/>
          </w:tcPr>
          <w:p w14:paraId="0CFDACE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黄棕</w:t>
            </w:r>
          </w:p>
        </w:tc>
      </w:tr>
      <w:tr w14:paraId="39F96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2EA41D58">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06D045F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结构</w:t>
            </w:r>
          </w:p>
        </w:tc>
        <w:tc>
          <w:tcPr>
            <w:tcW w:w="3386" w:type="pct"/>
            <w:gridSpan w:val="3"/>
            <w:tcBorders>
              <w:tl2br w:val="nil"/>
              <w:tr2bl w:val="nil"/>
            </w:tcBorders>
            <w:vAlign w:val="center"/>
          </w:tcPr>
          <w:p w14:paraId="4C917D0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轻壤土</w:t>
            </w:r>
          </w:p>
        </w:tc>
      </w:tr>
      <w:tr w14:paraId="44558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2DBCDCFF">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48F6FAC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质地</w:t>
            </w:r>
          </w:p>
        </w:tc>
        <w:tc>
          <w:tcPr>
            <w:tcW w:w="3386" w:type="pct"/>
            <w:gridSpan w:val="3"/>
            <w:tcBorders>
              <w:tl2br w:val="nil"/>
              <w:tr2bl w:val="nil"/>
            </w:tcBorders>
            <w:vAlign w:val="center"/>
          </w:tcPr>
          <w:p w14:paraId="5B443DC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团粒</w:t>
            </w:r>
          </w:p>
        </w:tc>
      </w:tr>
      <w:tr w14:paraId="0996D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40266D82">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34D9545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氧化还原电位（mV）</w:t>
            </w:r>
          </w:p>
        </w:tc>
        <w:tc>
          <w:tcPr>
            <w:tcW w:w="3386" w:type="pct"/>
            <w:gridSpan w:val="3"/>
            <w:tcBorders>
              <w:tl2br w:val="nil"/>
              <w:tr2bl w:val="nil"/>
            </w:tcBorders>
            <w:vAlign w:val="center"/>
          </w:tcPr>
          <w:p w14:paraId="368E858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199</w:t>
            </w:r>
          </w:p>
        </w:tc>
      </w:tr>
      <w:tr w14:paraId="5EC55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7A2205D4">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shd w:val="clear" w:color="auto" w:fill="auto"/>
            <w:vAlign w:val="center"/>
          </w:tcPr>
          <w:p w14:paraId="14DBEEA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砂砾含量（%）</w:t>
            </w:r>
          </w:p>
        </w:tc>
        <w:tc>
          <w:tcPr>
            <w:tcW w:w="3386" w:type="pct"/>
            <w:gridSpan w:val="3"/>
            <w:tcBorders>
              <w:tl2br w:val="nil"/>
              <w:tr2bl w:val="nil"/>
            </w:tcBorders>
            <w:shd w:val="clear" w:color="auto" w:fill="auto"/>
            <w:vAlign w:val="center"/>
          </w:tcPr>
          <w:p w14:paraId="28D693B4">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w:t>
            </w:r>
          </w:p>
        </w:tc>
      </w:tr>
      <w:tr w14:paraId="6431B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012DA051">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2E0D860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其他异物</w:t>
            </w:r>
          </w:p>
        </w:tc>
        <w:tc>
          <w:tcPr>
            <w:tcW w:w="3386" w:type="pct"/>
            <w:gridSpan w:val="3"/>
            <w:tcBorders>
              <w:tl2br w:val="nil"/>
              <w:tr2bl w:val="nil"/>
            </w:tcBorders>
            <w:vAlign w:val="center"/>
          </w:tcPr>
          <w:p w14:paraId="0338E99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无</w:t>
            </w:r>
          </w:p>
        </w:tc>
      </w:tr>
      <w:tr w14:paraId="18D5B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restart"/>
            <w:tcBorders>
              <w:tl2br w:val="nil"/>
              <w:tr2bl w:val="nil"/>
            </w:tcBorders>
            <w:vAlign w:val="center"/>
          </w:tcPr>
          <w:p w14:paraId="747FD46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实验室测定</w:t>
            </w:r>
          </w:p>
        </w:tc>
        <w:tc>
          <w:tcPr>
            <w:tcW w:w="1389" w:type="pct"/>
            <w:tcBorders>
              <w:tl2br w:val="nil"/>
              <w:tr2bl w:val="nil"/>
            </w:tcBorders>
            <w:vAlign w:val="center"/>
          </w:tcPr>
          <w:p w14:paraId="0691092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阳离子交换量（cmol(+)/Kg）</w:t>
            </w:r>
          </w:p>
        </w:tc>
        <w:tc>
          <w:tcPr>
            <w:tcW w:w="3386" w:type="pct"/>
            <w:gridSpan w:val="3"/>
            <w:tcBorders>
              <w:tl2br w:val="nil"/>
              <w:tr2bl w:val="nil"/>
            </w:tcBorders>
            <w:vAlign w:val="center"/>
          </w:tcPr>
          <w:p w14:paraId="6AD99ED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12.1</w:t>
            </w:r>
          </w:p>
        </w:tc>
      </w:tr>
      <w:tr w14:paraId="540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37554AD9">
            <w:pPr>
              <w:pStyle w:val="24"/>
              <w:bidi w:val="0"/>
              <w:rPr>
                <w:rFonts w:hint="eastAsia" w:ascii="Times New Roman" w:hAnsi="Times New Roman" w:eastAsia="宋体" w:cs="Courier New"/>
                <w:b w:val="0"/>
                <w:bCs w:val="0"/>
                <w:color w:val="auto"/>
                <w:highlight w:val="none"/>
                <w:lang w:val="en-US" w:eastAsia="zh-CN"/>
              </w:rPr>
            </w:pPr>
          </w:p>
        </w:tc>
        <w:tc>
          <w:tcPr>
            <w:tcW w:w="2584" w:type="dxa"/>
            <w:tcBorders>
              <w:tl2br w:val="nil"/>
              <w:tr2bl w:val="nil"/>
            </w:tcBorders>
            <w:vAlign w:val="center"/>
          </w:tcPr>
          <w:p w14:paraId="02C4D782">
            <w:pPr>
              <w:pStyle w:val="36"/>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渗滤率</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cm</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s</w:t>
            </w:r>
            <w:r>
              <w:rPr>
                <w:rFonts w:hint="default" w:ascii="Times New Roman" w:hAnsi="Times New Roman" w:eastAsia="宋体" w:cs="Times New Roman"/>
                <w:color w:val="auto"/>
                <w:sz w:val="21"/>
                <w:szCs w:val="21"/>
                <w:highlight w:val="none"/>
              </w:rPr>
              <w:t>）</w:t>
            </w:r>
          </w:p>
        </w:tc>
        <w:tc>
          <w:tcPr>
            <w:tcW w:w="6299" w:type="dxa"/>
            <w:gridSpan w:val="3"/>
            <w:tcBorders>
              <w:tl2br w:val="nil"/>
              <w:tr2bl w:val="nil"/>
            </w:tcBorders>
            <w:vAlign w:val="center"/>
          </w:tcPr>
          <w:p w14:paraId="06E50DE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4.91</w:t>
            </w:r>
            <w:r>
              <w:rPr>
                <w:rFonts w:hint="default" w:ascii="Times New Roman" w:hAnsi="Times New Roman" w:eastAsia="宋体"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10</w:t>
            </w:r>
            <w:r>
              <w:rPr>
                <w:rFonts w:hint="eastAsia" w:ascii="Times New Roman" w:hAnsi="Times New Roman" w:eastAsia="宋体" w:cs="Courier New"/>
                <w:b w:val="0"/>
                <w:bCs w:val="0"/>
                <w:color w:val="auto"/>
                <w:highlight w:val="none"/>
                <w:vertAlign w:val="superscript"/>
                <w:lang w:val="en-US" w:eastAsia="zh-CN"/>
              </w:rPr>
              <w:t>-3</w:t>
            </w:r>
          </w:p>
        </w:tc>
      </w:tr>
      <w:tr w14:paraId="3981F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5DD472B8">
            <w:pPr>
              <w:pStyle w:val="24"/>
              <w:bidi w:val="0"/>
              <w:rPr>
                <w:rFonts w:hint="eastAsia" w:ascii="Times New Roman" w:hAnsi="Times New Roman" w:eastAsia="宋体" w:cs="Courier New"/>
                <w:b w:val="0"/>
                <w:bCs w:val="0"/>
                <w:color w:val="auto"/>
                <w:highlight w:val="none"/>
                <w:lang w:val="en-US" w:eastAsia="zh-CN"/>
              </w:rPr>
            </w:pPr>
          </w:p>
        </w:tc>
        <w:tc>
          <w:tcPr>
            <w:tcW w:w="2584" w:type="dxa"/>
            <w:tcBorders>
              <w:tl2br w:val="nil"/>
              <w:tr2bl w:val="nil"/>
            </w:tcBorders>
            <w:vAlign w:val="center"/>
          </w:tcPr>
          <w:p w14:paraId="6AA0FA1E">
            <w:pPr>
              <w:pStyle w:val="36"/>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容重（g/cm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c>
          <w:tcPr>
            <w:tcW w:w="6299" w:type="dxa"/>
            <w:gridSpan w:val="3"/>
            <w:tcBorders>
              <w:tl2br w:val="nil"/>
              <w:tr2bl w:val="nil"/>
            </w:tcBorders>
            <w:vAlign w:val="center"/>
          </w:tcPr>
          <w:p w14:paraId="5228701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1.42</w:t>
            </w:r>
          </w:p>
        </w:tc>
      </w:tr>
      <w:tr w14:paraId="52CDB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exact"/>
        </w:trPr>
        <w:tc>
          <w:tcPr>
            <w:tcW w:w="224" w:type="pct"/>
            <w:vMerge w:val="continue"/>
            <w:tcBorders>
              <w:tl2br w:val="nil"/>
              <w:tr2bl w:val="nil"/>
            </w:tcBorders>
            <w:vAlign w:val="center"/>
          </w:tcPr>
          <w:p w14:paraId="72D159F4">
            <w:pPr>
              <w:pStyle w:val="24"/>
              <w:bidi w:val="0"/>
              <w:rPr>
                <w:rFonts w:hint="eastAsia" w:ascii="Times New Roman" w:hAnsi="Times New Roman" w:eastAsia="宋体" w:cs="Courier New"/>
                <w:b w:val="0"/>
                <w:bCs w:val="0"/>
                <w:color w:val="auto"/>
                <w:highlight w:val="none"/>
                <w:lang w:val="en-US" w:eastAsia="zh-CN"/>
              </w:rPr>
            </w:pPr>
          </w:p>
        </w:tc>
        <w:tc>
          <w:tcPr>
            <w:tcW w:w="2584" w:type="dxa"/>
            <w:tcBorders>
              <w:tl2br w:val="nil"/>
              <w:tr2bl w:val="nil"/>
            </w:tcBorders>
            <w:vAlign w:val="center"/>
          </w:tcPr>
          <w:p w14:paraId="23BFFE07">
            <w:pPr>
              <w:pStyle w:val="36"/>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Times New Roman"/>
                <w:color w:val="auto"/>
                <w:sz w:val="21"/>
                <w:szCs w:val="21"/>
                <w:highlight w:val="none"/>
              </w:rPr>
              <w:t>孔隙度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6299" w:type="dxa"/>
            <w:gridSpan w:val="3"/>
            <w:tcBorders>
              <w:tl2br w:val="nil"/>
              <w:tr2bl w:val="nil"/>
            </w:tcBorders>
            <w:vAlign w:val="center"/>
          </w:tcPr>
          <w:p w14:paraId="334DB4F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39.5</w:t>
            </w:r>
          </w:p>
        </w:tc>
      </w:tr>
    </w:tbl>
    <w:p w14:paraId="183AE2F2">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土壤理化特性调查表（S8）</w:t>
      </w:r>
    </w:p>
    <w:tbl>
      <w:tblPr>
        <w:tblStyle w:val="20"/>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17"/>
        <w:gridCol w:w="2586"/>
        <w:gridCol w:w="2200"/>
        <w:gridCol w:w="1361"/>
        <w:gridCol w:w="2742"/>
      </w:tblGrid>
      <w:tr w14:paraId="1B2A8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613" w:type="pct"/>
            <w:gridSpan w:val="2"/>
            <w:tcBorders>
              <w:tl2br w:val="nil"/>
              <w:tr2bl w:val="nil"/>
            </w:tcBorders>
            <w:vAlign w:val="center"/>
          </w:tcPr>
          <w:p w14:paraId="055F253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点号</w:t>
            </w:r>
          </w:p>
        </w:tc>
        <w:tc>
          <w:tcPr>
            <w:tcW w:w="1182" w:type="pct"/>
            <w:tcBorders>
              <w:tl2br w:val="nil"/>
              <w:tr2bl w:val="nil"/>
            </w:tcBorders>
            <w:vAlign w:val="center"/>
          </w:tcPr>
          <w:p w14:paraId="08994378">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S8</w:t>
            </w:r>
          </w:p>
        </w:tc>
        <w:tc>
          <w:tcPr>
            <w:tcW w:w="731" w:type="pct"/>
            <w:tcBorders>
              <w:tl2br w:val="nil"/>
              <w:tr2bl w:val="nil"/>
            </w:tcBorders>
            <w:vAlign w:val="center"/>
          </w:tcPr>
          <w:p w14:paraId="4A4EF57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时间</w:t>
            </w:r>
          </w:p>
        </w:tc>
        <w:tc>
          <w:tcPr>
            <w:tcW w:w="1473" w:type="pct"/>
            <w:tcBorders>
              <w:tl2br w:val="nil"/>
              <w:tr2bl w:val="nil"/>
            </w:tcBorders>
            <w:vAlign w:val="center"/>
          </w:tcPr>
          <w:p w14:paraId="03D993AF">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2026年2月26日</w:t>
            </w:r>
          </w:p>
        </w:tc>
      </w:tr>
      <w:tr w14:paraId="66FE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1613" w:type="pct"/>
            <w:gridSpan w:val="2"/>
            <w:tcBorders>
              <w:tl2br w:val="nil"/>
              <w:tr2bl w:val="nil"/>
            </w:tcBorders>
            <w:vAlign w:val="center"/>
          </w:tcPr>
          <w:p w14:paraId="64FC0C9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经度</w:t>
            </w:r>
          </w:p>
        </w:tc>
        <w:tc>
          <w:tcPr>
            <w:tcW w:w="1182" w:type="pct"/>
            <w:tcBorders>
              <w:tl2br w:val="nil"/>
              <w:tr2bl w:val="nil"/>
            </w:tcBorders>
            <w:vAlign w:val="center"/>
          </w:tcPr>
          <w:p w14:paraId="0E0FFA80">
            <w:pPr>
              <w:pStyle w:val="24"/>
              <w:bidi w:val="0"/>
              <w:rPr>
                <w:rFonts w:hint="eastAsia" w:ascii="Times New Roman" w:hAnsi="Times New Roman" w:eastAsia="宋体" w:cs="Courier New"/>
                <w:b w:val="0"/>
                <w:bCs w:val="0"/>
                <w:color w:val="auto"/>
                <w:highlight w:val="none"/>
                <w:lang w:val="en-US" w:eastAsia="zh-CN"/>
              </w:rPr>
            </w:pPr>
            <w:r>
              <w:rPr>
                <w:rFonts w:hint="eastAsia" w:cs="Times New Roman"/>
                <w:color w:val="auto"/>
                <w:sz w:val="21"/>
                <w:szCs w:val="21"/>
                <w:highlight w:val="none"/>
                <w:lang w:val="en-US" w:eastAsia="zh-CN"/>
              </w:rPr>
              <w:t>107.230973</w:t>
            </w:r>
          </w:p>
        </w:tc>
        <w:tc>
          <w:tcPr>
            <w:tcW w:w="731" w:type="pct"/>
            <w:tcBorders>
              <w:tl2br w:val="nil"/>
              <w:tr2bl w:val="nil"/>
            </w:tcBorders>
            <w:vAlign w:val="center"/>
          </w:tcPr>
          <w:p w14:paraId="423B5B9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纬度</w:t>
            </w:r>
          </w:p>
        </w:tc>
        <w:tc>
          <w:tcPr>
            <w:tcW w:w="1473" w:type="pct"/>
            <w:tcBorders>
              <w:tl2br w:val="nil"/>
              <w:tr2bl w:val="nil"/>
            </w:tcBorders>
            <w:vAlign w:val="center"/>
          </w:tcPr>
          <w:p w14:paraId="2F2644F0">
            <w:pPr>
              <w:pStyle w:val="24"/>
              <w:bidi w:val="0"/>
              <w:rPr>
                <w:rFonts w:hint="eastAsia" w:ascii="Times New Roman" w:hAnsi="Times New Roman" w:eastAsia="宋体" w:cs="Courier New"/>
                <w:b w:val="0"/>
                <w:bCs w:val="0"/>
                <w:color w:val="auto"/>
                <w:highlight w:val="none"/>
                <w:lang w:val="en-US" w:eastAsia="zh-CN"/>
              </w:rPr>
            </w:pPr>
            <w:r>
              <w:rPr>
                <w:rFonts w:hint="eastAsia" w:cs="Times New Roman"/>
                <w:color w:val="auto"/>
                <w:sz w:val="21"/>
                <w:szCs w:val="21"/>
                <w:highlight w:val="none"/>
                <w:lang w:val="en-US" w:eastAsia="zh-CN"/>
              </w:rPr>
              <w:t>31.879741</w:t>
            </w:r>
          </w:p>
        </w:tc>
      </w:tr>
      <w:tr w14:paraId="14E67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exact"/>
        </w:trPr>
        <w:tc>
          <w:tcPr>
            <w:tcW w:w="1613" w:type="pct"/>
            <w:gridSpan w:val="2"/>
            <w:tcBorders>
              <w:tl2br w:val="nil"/>
              <w:tr2bl w:val="nil"/>
            </w:tcBorders>
            <w:vAlign w:val="center"/>
          </w:tcPr>
          <w:p w14:paraId="7B9E424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层次</w:t>
            </w:r>
          </w:p>
        </w:tc>
        <w:tc>
          <w:tcPr>
            <w:tcW w:w="3386" w:type="pct"/>
            <w:gridSpan w:val="3"/>
            <w:tcBorders>
              <w:tl2br w:val="nil"/>
              <w:tr2bl w:val="nil"/>
            </w:tcBorders>
            <w:vAlign w:val="center"/>
          </w:tcPr>
          <w:p w14:paraId="3FC72C25">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0~0.2m</w:t>
            </w:r>
          </w:p>
        </w:tc>
      </w:tr>
      <w:tr w14:paraId="67290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restart"/>
            <w:tcBorders>
              <w:tl2br w:val="nil"/>
              <w:tr2bl w:val="nil"/>
            </w:tcBorders>
            <w:vAlign w:val="center"/>
          </w:tcPr>
          <w:p w14:paraId="497437F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现场记录</w:t>
            </w:r>
          </w:p>
        </w:tc>
        <w:tc>
          <w:tcPr>
            <w:tcW w:w="1389" w:type="pct"/>
            <w:tcBorders>
              <w:tl2br w:val="nil"/>
              <w:tr2bl w:val="nil"/>
            </w:tcBorders>
            <w:vAlign w:val="center"/>
          </w:tcPr>
          <w:p w14:paraId="5EFA2F4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颜色</w:t>
            </w:r>
          </w:p>
        </w:tc>
        <w:tc>
          <w:tcPr>
            <w:tcW w:w="3386" w:type="pct"/>
            <w:gridSpan w:val="3"/>
            <w:tcBorders>
              <w:tl2br w:val="nil"/>
              <w:tr2bl w:val="nil"/>
            </w:tcBorders>
            <w:vAlign w:val="center"/>
          </w:tcPr>
          <w:p w14:paraId="4A7F6B7D">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黄棕</w:t>
            </w:r>
          </w:p>
        </w:tc>
      </w:tr>
      <w:tr w14:paraId="33307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62D8A4FC">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1C26290A">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结构</w:t>
            </w:r>
          </w:p>
        </w:tc>
        <w:tc>
          <w:tcPr>
            <w:tcW w:w="3386" w:type="pct"/>
            <w:gridSpan w:val="3"/>
            <w:tcBorders>
              <w:tl2br w:val="nil"/>
              <w:tr2bl w:val="nil"/>
            </w:tcBorders>
            <w:vAlign w:val="center"/>
          </w:tcPr>
          <w:p w14:paraId="315BC136">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轻壤土</w:t>
            </w:r>
          </w:p>
        </w:tc>
      </w:tr>
      <w:tr w14:paraId="29FCB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exact"/>
        </w:trPr>
        <w:tc>
          <w:tcPr>
            <w:tcW w:w="224" w:type="pct"/>
            <w:vMerge w:val="continue"/>
            <w:tcBorders>
              <w:tl2br w:val="nil"/>
              <w:tr2bl w:val="nil"/>
            </w:tcBorders>
            <w:vAlign w:val="center"/>
          </w:tcPr>
          <w:p w14:paraId="7DF82952">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41ED5EE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质地</w:t>
            </w:r>
          </w:p>
        </w:tc>
        <w:tc>
          <w:tcPr>
            <w:tcW w:w="3386" w:type="pct"/>
            <w:gridSpan w:val="3"/>
            <w:tcBorders>
              <w:tl2br w:val="nil"/>
              <w:tr2bl w:val="nil"/>
            </w:tcBorders>
            <w:vAlign w:val="center"/>
          </w:tcPr>
          <w:p w14:paraId="726EB6F4">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团粒</w:t>
            </w:r>
          </w:p>
        </w:tc>
      </w:tr>
      <w:tr w14:paraId="7F5FD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10D1A439">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0FE8F41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氧化还原电位（mV）</w:t>
            </w:r>
          </w:p>
        </w:tc>
        <w:tc>
          <w:tcPr>
            <w:tcW w:w="3386" w:type="pct"/>
            <w:gridSpan w:val="3"/>
            <w:tcBorders>
              <w:tl2br w:val="nil"/>
              <w:tr2bl w:val="nil"/>
            </w:tcBorders>
            <w:vAlign w:val="center"/>
          </w:tcPr>
          <w:p w14:paraId="3A71C1F8">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199</w:t>
            </w:r>
          </w:p>
        </w:tc>
      </w:tr>
      <w:tr w14:paraId="4668C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186AF88F">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shd w:val="clear" w:color="auto" w:fill="auto"/>
            <w:vAlign w:val="center"/>
          </w:tcPr>
          <w:p w14:paraId="7ECEEA3F">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砂砾含量（%）</w:t>
            </w:r>
          </w:p>
        </w:tc>
        <w:tc>
          <w:tcPr>
            <w:tcW w:w="3386" w:type="pct"/>
            <w:gridSpan w:val="3"/>
            <w:tcBorders>
              <w:tl2br w:val="nil"/>
              <w:tr2bl w:val="nil"/>
            </w:tcBorders>
            <w:shd w:val="clear" w:color="auto" w:fill="auto"/>
            <w:vAlign w:val="center"/>
          </w:tcPr>
          <w:p w14:paraId="5FDE3AB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3</w:t>
            </w:r>
          </w:p>
        </w:tc>
      </w:tr>
      <w:tr w14:paraId="687FB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64F9283C">
            <w:pPr>
              <w:pStyle w:val="24"/>
              <w:bidi w:val="0"/>
              <w:rPr>
                <w:rFonts w:hint="eastAsia" w:ascii="Times New Roman" w:hAnsi="Times New Roman" w:eastAsia="宋体" w:cs="Courier New"/>
                <w:b w:val="0"/>
                <w:bCs w:val="0"/>
                <w:color w:val="auto"/>
                <w:highlight w:val="none"/>
                <w:lang w:val="en-US" w:eastAsia="zh-CN"/>
              </w:rPr>
            </w:pPr>
          </w:p>
        </w:tc>
        <w:tc>
          <w:tcPr>
            <w:tcW w:w="1389" w:type="pct"/>
            <w:tcBorders>
              <w:tl2br w:val="nil"/>
              <w:tr2bl w:val="nil"/>
            </w:tcBorders>
            <w:vAlign w:val="center"/>
          </w:tcPr>
          <w:p w14:paraId="750D2DBE">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其他异物</w:t>
            </w:r>
          </w:p>
        </w:tc>
        <w:tc>
          <w:tcPr>
            <w:tcW w:w="3386" w:type="pct"/>
            <w:gridSpan w:val="3"/>
            <w:tcBorders>
              <w:tl2br w:val="nil"/>
              <w:tr2bl w:val="nil"/>
            </w:tcBorders>
            <w:vAlign w:val="center"/>
          </w:tcPr>
          <w:p w14:paraId="61C3F3C6">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无</w:t>
            </w:r>
          </w:p>
        </w:tc>
      </w:tr>
      <w:tr w14:paraId="14BA9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restart"/>
            <w:tcBorders>
              <w:tl2br w:val="nil"/>
              <w:tr2bl w:val="nil"/>
            </w:tcBorders>
            <w:vAlign w:val="center"/>
          </w:tcPr>
          <w:p w14:paraId="3389488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实验室测定</w:t>
            </w:r>
          </w:p>
        </w:tc>
        <w:tc>
          <w:tcPr>
            <w:tcW w:w="1389" w:type="pct"/>
            <w:tcBorders>
              <w:tl2br w:val="nil"/>
              <w:tr2bl w:val="nil"/>
            </w:tcBorders>
            <w:vAlign w:val="center"/>
          </w:tcPr>
          <w:p w14:paraId="2560E02B">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阳离子交换量（cmol(+)/Kg）</w:t>
            </w:r>
          </w:p>
        </w:tc>
        <w:tc>
          <w:tcPr>
            <w:tcW w:w="6303" w:type="dxa"/>
            <w:gridSpan w:val="3"/>
            <w:tcBorders>
              <w:tl2br w:val="nil"/>
              <w:tr2bl w:val="nil"/>
            </w:tcBorders>
            <w:vAlign w:val="center"/>
          </w:tcPr>
          <w:p w14:paraId="5300876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11.5</w:t>
            </w:r>
          </w:p>
        </w:tc>
      </w:tr>
      <w:tr w14:paraId="4E423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10A5C621">
            <w:pPr>
              <w:pStyle w:val="24"/>
              <w:bidi w:val="0"/>
              <w:rPr>
                <w:rFonts w:hint="eastAsia" w:ascii="Times New Roman" w:hAnsi="Times New Roman" w:eastAsia="宋体" w:cs="Courier New"/>
                <w:b w:val="0"/>
                <w:bCs w:val="0"/>
                <w:color w:val="auto"/>
                <w:highlight w:val="none"/>
                <w:lang w:val="en-US" w:eastAsia="zh-CN"/>
              </w:rPr>
            </w:pPr>
          </w:p>
        </w:tc>
        <w:tc>
          <w:tcPr>
            <w:tcW w:w="2584" w:type="dxa"/>
            <w:tcBorders>
              <w:tl2br w:val="nil"/>
              <w:tr2bl w:val="nil"/>
            </w:tcBorders>
            <w:vAlign w:val="center"/>
          </w:tcPr>
          <w:p w14:paraId="599A079D">
            <w:pPr>
              <w:pStyle w:val="36"/>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渗滤率</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cm</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s</w:t>
            </w:r>
            <w:r>
              <w:rPr>
                <w:rFonts w:hint="default" w:ascii="Times New Roman" w:hAnsi="Times New Roman" w:eastAsia="宋体" w:cs="Times New Roman"/>
                <w:color w:val="auto"/>
                <w:sz w:val="21"/>
                <w:szCs w:val="21"/>
                <w:highlight w:val="none"/>
              </w:rPr>
              <w:t>）</w:t>
            </w:r>
          </w:p>
        </w:tc>
        <w:tc>
          <w:tcPr>
            <w:tcW w:w="6299" w:type="dxa"/>
            <w:gridSpan w:val="3"/>
            <w:tcBorders>
              <w:tl2br w:val="nil"/>
              <w:tr2bl w:val="nil"/>
            </w:tcBorders>
            <w:vAlign w:val="center"/>
          </w:tcPr>
          <w:p w14:paraId="6CAD64A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4.99</w:t>
            </w:r>
            <w:r>
              <w:rPr>
                <w:rFonts w:hint="default" w:ascii="Times New Roman" w:hAnsi="Times New Roman" w:eastAsia="宋体"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10</w:t>
            </w:r>
            <w:r>
              <w:rPr>
                <w:rFonts w:hint="eastAsia" w:ascii="Times New Roman" w:hAnsi="Times New Roman" w:eastAsia="宋体" w:cs="Courier New"/>
                <w:b w:val="0"/>
                <w:bCs w:val="0"/>
                <w:color w:val="auto"/>
                <w:highlight w:val="none"/>
                <w:vertAlign w:val="superscript"/>
                <w:lang w:val="en-US" w:eastAsia="zh-CN"/>
              </w:rPr>
              <w:t>-3</w:t>
            </w:r>
          </w:p>
        </w:tc>
      </w:tr>
      <w:tr w14:paraId="1C084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exact"/>
        </w:trPr>
        <w:tc>
          <w:tcPr>
            <w:tcW w:w="224" w:type="pct"/>
            <w:vMerge w:val="continue"/>
            <w:tcBorders>
              <w:tl2br w:val="nil"/>
              <w:tr2bl w:val="nil"/>
            </w:tcBorders>
            <w:vAlign w:val="center"/>
          </w:tcPr>
          <w:p w14:paraId="60BD7A0E">
            <w:pPr>
              <w:pStyle w:val="24"/>
              <w:bidi w:val="0"/>
              <w:rPr>
                <w:rFonts w:hint="eastAsia" w:ascii="Times New Roman" w:hAnsi="Times New Roman" w:eastAsia="宋体" w:cs="Courier New"/>
                <w:b w:val="0"/>
                <w:bCs w:val="0"/>
                <w:color w:val="auto"/>
                <w:highlight w:val="none"/>
                <w:lang w:val="en-US" w:eastAsia="zh-CN"/>
              </w:rPr>
            </w:pPr>
          </w:p>
        </w:tc>
        <w:tc>
          <w:tcPr>
            <w:tcW w:w="2584" w:type="dxa"/>
            <w:tcBorders>
              <w:tl2br w:val="nil"/>
              <w:tr2bl w:val="nil"/>
            </w:tcBorders>
            <w:vAlign w:val="center"/>
          </w:tcPr>
          <w:p w14:paraId="0190846D">
            <w:pPr>
              <w:pStyle w:val="36"/>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容重（g/cm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c>
          <w:tcPr>
            <w:tcW w:w="6299" w:type="dxa"/>
            <w:gridSpan w:val="3"/>
            <w:tcBorders>
              <w:tl2br w:val="nil"/>
              <w:tr2bl w:val="nil"/>
            </w:tcBorders>
            <w:vAlign w:val="center"/>
          </w:tcPr>
          <w:p w14:paraId="44D7801F">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1.44</w:t>
            </w:r>
          </w:p>
        </w:tc>
      </w:tr>
      <w:tr w14:paraId="0D5E9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exact"/>
        </w:trPr>
        <w:tc>
          <w:tcPr>
            <w:tcW w:w="224" w:type="pct"/>
            <w:vMerge w:val="continue"/>
            <w:tcBorders>
              <w:tl2br w:val="nil"/>
              <w:tr2bl w:val="nil"/>
            </w:tcBorders>
            <w:vAlign w:val="center"/>
          </w:tcPr>
          <w:p w14:paraId="49409875">
            <w:pPr>
              <w:pStyle w:val="24"/>
              <w:bidi w:val="0"/>
              <w:rPr>
                <w:rFonts w:hint="eastAsia" w:ascii="Times New Roman" w:hAnsi="Times New Roman" w:eastAsia="宋体" w:cs="Courier New"/>
                <w:b w:val="0"/>
                <w:bCs w:val="0"/>
                <w:color w:val="auto"/>
                <w:highlight w:val="none"/>
                <w:lang w:val="en-US" w:eastAsia="zh-CN"/>
              </w:rPr>
            </w:pPr>
          </w:p>
        </w:tc>
        <w:tc>
          <w:tcPr>
            <w:tcW w:w="2584" w:type="dxa"/>
            <w:tcBorders>
              <w:tl2br w:val="nil"/>
              <w:tr2bl w:val="nil"/>
            </w:tcBorders>
            <w:vAlign w:val="center"/>
          </w:tcPr>
          <w:p w14:paraId="2A36693A">
            <w:pPr>
              <w:pStyle w:val="36"/>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eastAsia="宋体" w:cs="Times New Roman"/>
                <w:color w:val="auto"/>
                <w:sz w:val="21"/>
                <w:szCs w:val="21"/>
                <w:highlight w:val="none"/>
              </w:rPr>
              <w:t>孔隙度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6299" w:type="dxa"/>
            <w:gridSpan w:val="3"/>
            <w:tcBorders>
              <w:tl2br w:val="nil"/>
              <w:tr2bl w:val="nil"/>
            </w:tcBorders>
            <w:vAlign w:val="center"/>
          </w:tcPr>
          <w:p w14:paraId="2081BF63">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43.6</w:t>
            </w:r>
          </w:p>
        </w:tc>
      </w:tr>
    </w:tbl>
    <w:p w14:paraId="650F91EE">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项目地块土体结构（土壤剖面）</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4716"/>
        <w:gridCol w:w="4072"/>
      </w:tblGrid>
      <w:tr w14:paraId="4EB3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pct"/>
            <w:vAlign w:val="center"/>
          </w:tcPr>
          <w:p w14:paraId="215E313A">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点号</w:t>
            </w:r>
          </w:p>
        </w:tc>
        <w:tc>
          <w:tcPr>
            <w:tcW w:w="1973" w:type="pct"/>
            <w:vAlign w:val="center"/>
          </w:tcPr>
          <w:p w14:paraId="359348C6">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土壤剖面照片</w:t>
            </w:r>
          </w:p>
        </w:tc>
        <w:tc>
          <w:tcPr>
            <w:tcW w:w="2392" w:type="pct"/>
            <w:vAlign w:val="center"/>
          </w:tcPr>
          <w:p w14:paraId="6E5BB17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层次</w:t>
            </w:r>
          </w:p>
        </w:tc>
      </w:tr>
      <w:tr w14:paraId="48E9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pct"/>
            <w:vMerge w:val="restart"/>
            <w:vAlign w:val="center"/>
          </w:tcPr>
          <w:p w14:paraId="34B6C241">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项目地块</w:t>
            </w:r>
          </w:p>
        </w:tc>
        <w:tc>
          <w:tcPr>
            <w:tcW w:w="1973" w:type="pct"/>
            <w:vMerge w:val="restart"/>
            <w:vAlign w:val="center"/>
          </w:tcPr>
          <w:p w14:paraId="62471280">
            <w:pPr>
              <w:pStyle w:val="24"/>
              <w:bidi w:val="0"/>
              <w:rPr>
                <w:rFonts w:hint="eastAsia" w:ascii="Times New Roman" w:hAnsi="Times New Roman" w:eastAsia="宋体" w:cs="Courier New"/>
                <w:b w:val="0"/>
                <w:bCs w:val="0"/>
                <w:color w:val="auto"/>
                <w:highlight w:val="none"/>
                <w:lang w:val="en-US" w:eastAsia="zh-CN"/>
              </w:rPr>
            </w:pPr>
            <w:r>
              <w:rPr>
                <w:color w:val="auto"/>
              </w:rPr>
              <w:drawing>
                <wp:inline distT="0" distB="0" distL="114300" distR="114300">
                  <wp:extent cx="2847975" cy="2657475"/>
                  <wp:effectExtent l="0" t="0" r="9525" b="9525"/>
                  <wp:docPr id="1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8"/>
                          <pic:cNvPicPr>
                            <a:picLocks noChangeAspect="1"/>
                          </pic:cNvPicPr>
                        </pic:nvPicPr>
                        <pic:blipFill>
                          <a:blip r:embed="rId169"/>
                          <a:stretch>
                            <a:fillRect/>
                          </a:stretch>
                        </pic:blipFill>
                        <pic:spPr>
                          <a:xfrm>
                            <a:off x="0" y="0"/>
                            <a:ext cx="2847975" cy="2657475"/>
                          </a:xfrm>
                          <a:prstGeom prst="rect">
                            <a:avLst/>
                          </a:prstGeom>
                          <a:noFill/>
                          <a:ln>
                            <a:noFill/>
                          </a:ln>
                        </pic:spPr>
                      </pic:pic>
                    </a:graphicData>
                  </a:graphic>
                </wp:inline>
              </w:drawing>
            </w:r>
          </w:p>
        </w:tc>
        <w:tc>
          <w:tcPr>
            <w:tcW w:w="2392" w:type="pct"/>
            <w:vAlign w:val="center"/>
          </w:tcPr>
          <w:p w14:paraId="5B9D9F00">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0~0.5m，</w:t>
            </w:r>
            <w:r>
              <w:rPr>
                <w:rFonts w:hint="eastAsia" w:ascii="Times New Roman" w:hAnsi="Times New Roman" w:eastAsia="宋体" w:cs="Courier New"/>
                <w:b w:val="0"/>
                <w:bCs w:val="0"/>
                <w:color w:val="auto"/>
                <w:highlight w:val="none"/>
                <w:lang w:val="en-US" w:eastAsia="zh-CN"/>
              </w:rPr>
              <w:t>黄棕</w:t>
            </w:r>
            <w:r>
              <w:rPr>
                <w:rFonts w:hint="eastAsia" w:cs="Courier New"/>
                <w:b w:val="0"/>
                <w:bCs w:val="0"/>
                <w:color w:val="auto"/>
                <w:highlight w:val="none"/>
                <w:lang w:val="en-US" w:eastAsia="zh-CN"/>
              </w:rPr>
              <w:t>色</w:t>
            </w:r>
            <w:r>
              <w:rPr>
                <w:rFonts w:hint="eastAsia" w:ascii="Times New Roman" w:hAnsi="Times New Roman" w:eastAsia="宋体" w:cs="Courier New"/>
                <w:b w:val="0"/>
                <w:bCs w:val="0"/>
                <w:color w:val="auto"/>
                <w:highlight w:val="none"/>
                <w:lang w:val="en-US" w:eastAsia="zh-CN"/>
              </w:rPr>
              <w:t>、团粒</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轻壤土</w:t>
            </w:r>
          </w:p>
        </w:tc>
      </w:tr>
      <w:tr w14:paraId="0F09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pct"/>
            <w:vMerge w:val="continue"/>
            <w:vAlign w:val="center"/>
          </w:tcPr>
          <w:p w14:paraId="4102DCD8">
            <w:pPr>
              <w:pStyle w:val="24"/>
              <w:bidi w:val="0"/>
              <w:rPr>
                <w:rFonts w:hint="eastAsia" w:ascii="Times New Roman" w:hAnsi="Times New Roman" w:eastAsia="宋体" w:cs="Courier New"/>
                <w:b w:val="0"/>
                <w:bCs w:val="0"/>
                <w:color w:val="auto"/>
                <w:highlight w:val="none"/>
                <w:lang w:val="en-US" w:eastAsia="zh-CN"/>
              </w:rPr>
            </w:pPr>
          </w:p>
        </w:tc>
        <w:tc>
          <w:tcPr>
            <w:tcW w:w="1973" w:type="pct"/>
            <w:vMerge w:val="continue"/>
            <w:vAlign w:val="center"/>
          </w:tcPr>
          <w:p w14:paraId="25DF2F8D">
            <w:pPr>
              <w:pStyle w:val="24"/>
              <w:bidi w:val="0"/>
              <w:rPr>
                <w:rFonts w:hint="eastAsia" w:ascii="Times New Roman" w:hAnsi="Times New Roman" w:eastAsia="宋体" w:cs="Courier New"/>
                <w:b w:val="0"/>
                <w:bCs w:val="0"/>
                <w:color w:val="auto"/>
                <w:highlight w:val="none"/>
                <w:lang w:val="en-US" w:eastAsia="zh-CN"/>
              </w:rPr>
            </w:pPr>
          </w:p>
        </w:tc>
        <w:tc>
          <w:tcPr>
            <w:tcW w:w="2392" w:type="pct"/>
            <w:shd w:val="clear" w:color="auto" w:fill="auto"/>
            <w:vAlign w:val="center"/>
          </w:tcPr>
          <w:p w14:paraId="7E2FE8F8">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0.5~1.5，黄棕</w:t>
            </w:r>
            <w:r>
              <w:rPr>
                <w:rFonts w:hint="eastAsia" w:cs="Courier New"/>
                <w:b w:val="0"/>
                <w:bCs w:val="0"/>
                <w:color w:val="auto"/>
                <w:highlight w:val="none"/>
                <w:lang w:val="en-US" w:eastAsia="zh-CN"/>
              </w:rPr>
              <w:t>色</w:t>
            </w:r>
            <w:r>
              <w:rPr>
                <w:rFonts w:hint="eastAsia" w:ascii="Times New Roman" w:hAnsi="Times New Roman" w:eastAsia="宋体" w:cs="Courier New"/>
                <w:b w:val="0"/>
                <w:bCs w:val="0"/>
                <w:color w:val="auto"/>
                <w:highlight w:val="none"/>
                <w:lang w:val="en-US" w:eastAsia="zh-CN"/>
              </w:rPr>
              <w:t>、团粒</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轻壤土</w:t>
            </w:r>
          </w:p>
        </w:tc>
      </w:tr>
      <w:tr w14:paraId="1EA3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34" w:type="pct"/>
            <w:vMerge w:val="continue"/>
            <w:vAlign w:val="center"/>
          </w:tcPr>
          <w:p w14:paraId="77BAA7A1">
            <w:pPr>
              <w:pStyle w:val="24"/>
              <w:bidi w:val="0"/>
              <w:rPr>
                <w:rFonts w:hint="eastAsia" w:ascii="Times New Roman" w:hAnsi="Times New Roman" w:eastAsia="宋体" w:cs="Courier New"/>
                <w:b w:val="0"/>
                <w:bCs w:val="0"/>
                <w:color w:val="auto"/>
                <w:highlight w:val="none"/>
                <w:lang w:val="en-US" w:eastAsia="zh-CN"/>
              </w:rPr>
            </w:pPr>
          </w:p>
        </w:tc>
        <w:tc>
          <w:tcPr>
            <w:tcW w:w="1973" w:type="pct"/>
            <w:vMerge w:val="continue"/>
            <w:vAlign w:val="center"/>
          </w:tcPr>
          <w:p w14:paraId="4EBDCD6A">
            <w:pPr>
              <w:pStyle w:val="24"/>
              <w:bidi w:val="0"/>
              <w:rPr>
                <w:rFonts w:hint="eastAsia" w:ascii="Times New Roman" w:hAnsi="Times New Roman" w:eastAsia="宋体" w:cs="Courier New"/>
                <w:b w:val="0"/>
                <w:bCs w:val="0"/>
                <w:color w:val="auto"/>
                <w:highlight w:val="none"/>
                <w:lang w:val="en-US" w:eastAsia="zh-CN"/>
              </w:rPr>
            </w:pPr>
          </w:p>
        </w:tc>
        <w:tc>
          <w:tcPr>
            <w:tcW w:w="2392" w:type="pct"/>
            <w:shd w:val="clear" w:color="auto" w:fill="auto"/>
            <w:vAlign w:val="center"/>
          </w:tcPr>
          <w:p w14:paraId="627E3425">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1.5~3.0，黄棕</w:t>
            </w:r>
            <w:r>
              <w:rPr>
                <w:rFonts w:hint="eastAsia" w:cs="Courier New"/>
                <w:b w:val="0"/>
                <w:bCs w:val="0"/>
                <w:color w:val="auto"/>
                <w:highlight w:val="none"/>
                <w:lang w:val="en-US" w:eastAsia="zh-CN"/>
              </w:rPr>
              <w:t>色</w:t>
            </w:r>
            <w:r>
              <w:rPr>
                <w:rFonts w:hint="eastAsia" w:ascii="Times New Roman" w:hAnsi="Times New Roman" w:eastAsia="宋体" w:cs="Courier New"/>
                <w:b w:val="0"/>
                <w:bCs w:val="0"/>
                <w:color w:val="auto"/>
                <w:highlight w:val="none"/>
                <w:lang w:val="en-US" w:eastAsia="zh-CN"/>
              </w:rPr>
              <w:t>、团粒</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轻壤土</w:t>
            </w:r>
          </w:p>
        </w:tc>
      </w:tr>
      <w:tr w14:paraId="45A8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4" w:type="pct"/>
            <w:vMerge w:val="continue"/>
            <w:vAlign w:val="center"/>
          </w:tcPr>
          <w:p w14:paraId="3AE9246C">
            <w:pPr>
              <w:pStyle w:val="24"/>
              <w:bidi w:val="0"/>
              <w:rPr>
                <w:rFonts w:hint="eastAsia" w:ascii="Times New Roman" w:hAnsi="Times New Roman" w:eastAsia="宋体" w:cs="Courier New"/>
                <w:b w:val="0"/>
                <w:bCs w:val="0"/>
                <w:color w:val="auto"/>
                <w:highlight w:val="none"/>
                <w:lang w:val="en-US" w:eastAsia="zh-CN"/>
              </w:rPr>
            </w:pPr>
          </w:p>
        </w:tc>
        <w:tc>
          <w:tcPr>
            <w:tcW w:w="1973" w:type="pct"/>
            <w:vMerge w:val="continue"/>
            <w:vAlign w:val="center"/>
          </w:tcPr>
          <w:p w14:paraId="1D2720BF">
            <w:pPr>
              <w:pStyle w:val="24"/>
              <w:bidi w:val="0"/>
              <w:rPr>
                <w:rFonts w:hint="eastAsia" w:ascii="Times New Roman" w:hAnsi="Times New Roman" w:eastAsia="宋体" w:cs="Courier New"/>
                <w:b w:val="0"/>
                <w:bCs w:val="0"/>
                <w:color w:val="auto"/>
                <w:highlight w:val="none"/>
                <w:lang w:val="en-US" w:eastAsia="zh-CN"/>
              </w:rPr>
            </w:pPr>
          </w:p>
        </w:tc>
        <w:tc>
          <w:tcPr>
            <w:tcW w:w="2392" w:type="pct"/>
            <w:vMerge w:val="restart"/>
            <w:shd w:val="clear" w:color="auto" w:fill="auto"/>
            <w:vAlign w:val="center"/>
          </w:tcPr>
          <w:p w14:paraId="01200D3E">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3.0~6.0，黄棕</w:t>
            </w:r>
            <w:r>
              <w:rPr>
                <w:rFonts w:hint="eastAsia" w:cs="Courier New"/>
                <w:b w:val="0"/>
                <w:bCs w:val="0"/>
                <w:color w:val="auto"/>
                <w:highlight w:val="none"/>
                <w:lang w:val="en-US" w:eastAsia="zh-CN"/>
              </w:rPr>
              <w:t>色</w:t>
            </w:r>
            <w:r>
              <w:rPr>
                <w:rFonts w:hint="eastAsia" w:ascii="Times New Roman" w:hAnsi="Times New Roman" w:eastAsia="宋体" w:cs="Courier New"/>
                <w:b w:val="0"/>
                <w:bCs w:val="0"/>
                <w:color w:val="auto"/>
                <w:highlight w:val="none"/>
                <w:lang w:val="en-US" w:eastAsia="zh-CN"/>
              </w:rPr>
              <w:t>、团粒</w:t>
            </w:r>
            <w:r>
              <w:rPr>
                <w:rFonts w:hint="eastAsia" w:cs="Courier New"/>
                <w:b w:val="0"/>
                <w:bCs w:val="0"/>
                <w:color w:val="auto"/>
                <w:highlight w:val="none"/>
                <w:lang w:val="en-US" w:eastAsia="zh-CN"/>
              </w:rPr>
              <w:t>、</w:t>
            </w:r>
            <w:r>
              <w:rPr>
                <w:rFonts w:hint="eastAsia" w:ascii="Times New Roman" w:hAnsi="Times New Roman" w:eastAsia="宋体" w:cs="Courier New"/>
                <w:b w:val="0"/>
                <w:bCs w:val="0"/>
                <w:color w:val="auto"/>
                <w:highlight w:val="none"/>
                <w:lang w:val="en-US" w:eastAsia="zh-CN"/>
              </w:rPr>
              <w:t>轻壤土</w:t>
            </w:r>
          </w:p>
        </w:tc>
      </w:tr>
      <w:tr w14:paraId="0234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4" w:type="pct"/>
            <w:vMerge w:val="continue"/>
            <w:vAlign w:val="center"/>
          </w:tcPr>
          <w:p w14:paraId="72EBFEE8">
            <w:pPr>
              <w:jc w:val="center"/>
              <w:rPr>
                <w:rFonts w:cstheme="minorHAnsi"/>
                <w:color w:val="auto"/>
                <w:szCs w:val="21"/>
              </w:rPr>
            </w:pPr>
          </w:p>
        </w:tc>
        <w:tc>
          <w:tcPr>
            <w:tcW w:w="1973" w:type="pct"/>
            <w:vMerge w:val="continue"/>
            <w:vAlign w:val="center"/>
          </w:tcPr>
          <w:p w14:paraId="629EF4C1">
            <w:pPr>
              <w:jc w:val="center"/>
              <w:rPr>
                <w:color w:val="auto"/>
              </w:rPr>
            </w:pPr>
          </w:p>
        </w:tc>
        <w:tc>
          <w:tcPr>
            <w:tcW w:w="2392" w:type="pct"/>
            <w:vMerge w:val="continue"/>
            <w:vAlign w:val="center"/>
          </w:tcPr>
          <w:p w14:paraId="07206E4D">
            <w:pPr>
              <w:jc w:val="center"/>
              <w:rPr>
                <w:rFonts w:cstheme="minorHAnsi"/>
                <w:color w:val="auto"/>
                <w:szCs w:val="21"/>
              </w:rPr>
            </w:pPr>
          </w:p>
        </w:tc>
      </w:tr>
    </w:tbl>
    <w:p w14:paraId="2C66E524">
      <w:pPr>
        <w:pStyle w:val="5"/>
        <w:bidi w:val="0"/>
        <w:rPr>
          <w:rFonts w:hint="eastAsia"/>
          <w:color w:val="auto"/>
          <w:highlight w:val="none"/>
          <w:lang w:val="en-US" w:eastAsia="zh-CN"/>
        </w:rPr>
      </w:pPr>
      <w:r>
        <w:rPr>
          <w:rFonts w:hint="eastAsia"/>
          <w:color w:val="auto"/>
          <w:highlight w:val="none"/>
          <w:lang w:val="en-US" w:eastAsia="zh-CN"/>
        </w:rPr>
        <w:t>土壤环境影响预测</w:t>
      </w:r>
    </w:p>
    <w:p w14:paraId="043597C9">
      <w:pPr>
        <w:pStyle w:val="6"/>
        <w:rPr>
          <w:rFonts w:hint="eastAsia" w:cs="Times New Roman"/>
          <w:b/>
          <w:bCs/>
          <w:color w:val="auto"/>
          <w:highlight w:val="none"/>
          <w:lang w:val="en-US" w:eastAsia="zh-CN"/>
        </w:rPr>
      </w:pPr>
      <w:r>
        <w:rPr>
          <w:rFonts w:hint="eastAsia" w:cs="Times New Roman"/>
          <w:b/>
          <w:bCs/>
          <w:color w:val="auto"/>
          <w:highlight w:val="none"/>
          <w:lang w:val="en-US" w:eastAsia="zh-CN"/>
        </w:rPr>
        <w:t>1、大气沉降影响预测</w:t>
      </w:r>
    </w:p>
    <w:p w14:paraId="0FF22FEB">
      <w:pPr>
        <w:spacing w:line="360" w:lineRule="auto"/>
        <w:ind w:left="0" w:leftChars="0" w:firstLine="480" w:firstLineChars="200"/>
        <w:rPr>
          <w:rFonts w:hint="default" w:ascii="Times New Roman" w:hAnsi="Times New Roman" w:eastAsiaTheme="minorEastAsia"/>
          <w:b/>
          <w:color w:val="auto"/>
          <w:sz w:val="24"/>
          <w:lang w:val="en-US" w:eastAsia="zh-CN"/>
        </w:rPr>
      </w:pPr>
      <w:r>
        <w:rPr>
          <w:rFonts w:hint="eastAsia" w:ascii="Times New Roman" w:hAnsi="Times New Roman"/>
          <w:color w:val="auto"/>
          <w:sz w:val="24"/>
          <w:szCs w:val="24"/>
        </w:rPr>
        <w:t>根据土壤环境影响识别，营运期废气中的</w:t>
      </w:r>
      <w:r>
        <w:rPr>
          <w:rFonts w:hint="eastAsia" w:ascii="Times New Roman" w:hAnsi="Times New Roman"/>
          <w:color w:val="auto"/>
          <w:sz w:val="24"/>
          <w:szCs w:val="24"/>
          <w:lang w:val="en-US" w:eastAsia="zh-CN"/>
        </w:rPr>
        <w:t>硫酸雾、</w:t>
      </w:r>
      <w:r>
        <w:rPr>
          <w:rFonts w:hint="eastAsia"/>
          <w:color w:val="auto"/>
          <w:sz w:val="24"/>
          <w:szCs w:val="24"/>
          <w:lang w:val="en-US" w:eastAsia="zh-CN"/>
        </w:rPr>
        <w:t>氟化物等酸性废气</w:t>
      </w:r>
      <w:r>
        <w:rPr>
          <w:rFonts w:hint="eastAsia" w:ascii="Times New Roman" w:hAnsi="Times New Roman"/>
          <w:color w:val="auto"/>
          <w:sz w:val="24"/>
          <w:szCs w:val="24"/>
        </w:rPr>
        <w:t>在干湿沉降作用下进入土壤层</w:t>
      </w:r>
      <w:r>
        <w:rPr>
          <w:rFonts w:hint="eastAsia"/>
          <w:color w:val="auto"/>
          <w:sz w:val="24"/>
          <w:szCs w:val="24"/>
          <w:lang w:eastAsia="zh-CN"/>
        </w:rPr>
        <w:t>，在土壤吸附、络合、沉淀和阻留作用下，迁移速度较缓慢，大部分残留在土壤耕作层，极少向下层土壤迁移。根据工程分析，</w:t>
      </w:r>
      <w:r>
        <w:rPr>
          <w:rFonts w:hint="eastAsia"/>
          <w:color w:val="auto"/>
          <w:sz w:val="24"/>
          <w:szCs w:val="24"/>
          <w:lang w:val="en-US" w:eastAsia="zh-CN"/>
        </w:rPr>
        <w:t>本</w:t>
      </w:r>
      <w:r>
        <w:rPr>
          <w:rFonts w:hint="eastAsia"/>
          <w:color w:val="auto"/>
          <w:sz w:val="24"/>
          <w:szCs w:val="24"/>
          <w:lang w:eastAsia="zh-CN"/>
        </w:rPr>
        <w:t>项目酸性废气通过碱喷淋塔处理后于15m高排放，经处理后的酸性废气各污染物排放浓度、排放速率均满足排放标准限值，其对土壤pH值贡献很小，不会造成土壤pH值明显改变，不会造成土壤酸化现象。</w:t>
      </w:r>
    </w:p>
    <w:p w14:paraId="6BCF7BFC">
      <w:pPr>
        <w:pStyle w:val="6"/>
        <w:ind w:firstLine="482"/>
        <w:rPr>
          <w:rFonts w:hint="eastAsia" w:cs="Times New Roman"/>
          <w:b/>
          <w:bCs/>
          <w:color w:val="auto"/>
          <w:highlight w:val="none"/>
          <w:lang w:val="en-US" w:eastAsia="zh-CN"/>
        </w:rPr>
      </w:pPr>
      <w:r>
        <w:rPr>
          <w:rFonts w:hint="eastAsia" w:cs="Times New Roman"/>
          <w:b/>
          <w:bCs/>
          <w:color w:val="auto"/>
          <w:highlight w:val="none"/>
          <w:lang w:val="en-US" w:eastAsia="zh-CN"/>
        </w:rPr>
        <w:t>2、垂直入渗影响预测</w:t>
      </w:r>
    </w:p>
    <w:p w14:paraId="5D2BB430">
      <w:pPr>
        <w:spacing w:line="360" w:lineRule="auto"/>
        <w:ind w:left="0" w:leftChars="0" w:firstLine="482" w:firstLineChars="200"/>
        <w:rPr>
          <w:rFonts w:ascii="Times New Roman" w:hAnsi="Times New Roman"/>
          <w:b/>
          <w:color w:val="auto"/>
          <w:sz w:val="24"/>
        </w:rPr>
      </w:pPr>
      <w:r>
        <w:rPr>
          <w:rFonts w:hint="eastAsia" w:ascii="Times New Roman" w:hAnsi="Times New Roman"/>
          <w:b/>
          <w:color w:val="auto"/>
          <w:sz w:val="24"/>
        </w:rPr>
        <w:t>①预测范围、时段</w:t>
      </w:r>
    </w:p>
    <w:p w14:paraId="12E3C465">
      <w:pPr>
        <w:spacing w:line="360" w:lineRule="auto"/>
        <w:ind w:left="0" w:leftChars="0" w:firstLine="482" w:firstLineChars="200"/>
        <w:rPr>
          <w:rFonts w:hint="eastAsia" w:cs="宋体"/>
          <w:color w:val="auto"/>
          <w:sz w:val="24"/>
          <w:szCs w:val="24"/>
        </w:rPr>
      </w:pPr>
      <w:r>
        <w:rPr>
          <w:rFonts w:hint="eastAsia"/>
          <w:b/>
          <w:bCs/>
          <w:color w:val="auto"/>
          <w:sz w:val="24"/>
          <w:lang w:val="en-US" w:eastAsia="zh-CN"/>
        </w:rPr>
        <w:t>预测范围：</w:t>
      </w:r>
      <w:r>
        <w:rPr>
          <w:rFonts w:ascii="Times New Roman" w:hAnsi="Times New Roman"/>
          <w:color w:val="auto"/>
          <w:sz w:val="24"/>
        </w:rPr>
        <w:t>根据</w:t>
      </w:r>
      <w:r>
        <w:rPr>
          <w:rFonts w:hint="eastAsia" w:ascii="Times New Roman" w:hAnsi="Times New Roman"/>
          <w:color w:val="auto"/>
          <w:sz w:val="24"/>
        </w:rPr>
        <w:t>《环境影响评价技术导则 土壤环境（试行）》（HJ964-2018）中有关要求，本次土壤环境影响预测范围与现状调查评价范围一致，即</w:t>
      </w:r>
      <w:r>
        <w:rPr>
          <w:rFonts w:ascii="Times New Roman" w:hAnsi="Times New Roman"/>
          <w:color w:val="auto"/>
          <w:sz w:val="24"/>
          <w:szCs w:val="24"/>
        </w:rPr>
        <w:t>项目占地范围内及占地范围外</w:t>
      </w:r>
      <w:r>
        <w:rPr>
          <w:rFonts w:hint="eastAsia" w:ascii="Times New Roman" w:hAnsi="Times New Roman"/>
          <w:color w:val="auto"/>
          <w:sz w:val="24"/>
          <w:szCs w:val="24"/>
        </w:rPr>
        <w:t>1km范围</w:t>
      </w:r>
      <w:r>
        <w:rPr>
          <w:rFonts w:hint="eastAsia" w:cs="宋体"/>
          <w:color w:val="auto"/>
          <w:sz w:val="24"/>
          <w:szCs w:val="24"/>
        </w:rPr>
        <w:t>。</w:t>
      </w:r>
    </w:p>
    <w:p w14:paraId="69EADA22">
      <w:pPr>
        <w:spacing w:line="360" w:lineRule="auto"/>
        <w:ind w:left="0" w:leftChars="0" w:firstLine="482" w:firstLineChars="200"/>
        <w:rPr>
          <w:rFonts w:ascii="Times New Roman" w:hAnsi="Times New Roman"/>
          <w:color w:val="auto"/>
          <w:sz w:val="24"/>
        </w:rPr>
      </w:pPr>
      <w:r>
        <w:rPr>
          <w:rFonts w:hint="eastAsia" w:cs="宋体"/>
          <w:b/>
          <w:bCs/>
          <w:color w:val="auto"/>
          <w:sz w:val="24"/>
          <w:szCs w:val="24"/>
        </w:rPr>
        <w:t>预测时段</w:t>
      </w:r>
      <w:r>
        <w:rPr>
          <w:rFonts w:hint="eastAsia" w:cs="宋体"/>
          <w:b/>
          <w:bCs/>
          <w:color w:val="auto"/>
          <w:sz w:val="24"/>
          <w:szCs w:val="24"/>
          <w:lang w:eastAsia="zh-CN"/>
        </w:rPr>
        <w:t>：</w:t>
      </w:r>
      <w:r>
        <w:rPr>
          <w:rFonts w:hint="eastAsia" w:cs="宋体"/>
          <w:color w:val="auto"/>
          <w:sz w:val="24"/>
          <w:szCs w:val="24"/>
        </w:rPr>
        <w:t>建设项目运营期。</w:t>
      </w:r>
    </w:p>
    <w:p w14:paraId="0075D9E2">
      <w:pPr>
        <w:spacing w:line="360" w:lineRule="auto"/>
        <w:rPr>
          <w:rFonts w:ascii="Times New Roman" w:hAnsi="Times New Roman"/>
          <w:b/>
          <w:color w:val="auto"/>
          <w:sz w:val="24"/>
        </w:rPr>
      </w:pPr>
      <w:r>
        <w:rPr>
          <w:rFonts w:hint="eastAsia" w:ascii="Times New Roman" w:hAnsi="Times New Roman"/>
          <w:b/>
          <w:color w:val="auto"/>
          <w:sz w:val="24"/>
        </w:rPr>
        <w:t>②情景设置</w:t>
      </w:r>
    </w:p>
    <w:p w14:paraId="11E4C2FF">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根据土壤环境影响识别，运营期</w:t>
      </w:r>
      <w:r>
        <w:rPr>
          <w:rFonts w:hint="eastAsia" w:ascii="Times New Roman" w:hAnsi="Times New Roman"/>
          <w:color w:val="auto"/>
          <w:sz w:val="24"/>
          <w:szCs w:val="24"/>
          <w:lang w:val="en-US" w:eastAsia="zh-CN"/>
        </w:rPr>
        <w:t>生产车间、</w:t>
      </w:r>
      <w:r>
        <w:rPr>
          <w:rFonts w:hint="eastAsia"/>
          <w:color w:val="auto"/>
          <w:sz w:val="24"/>
          <w:szCs w:val="24"/>
          <w:lang w:val="en-US" w:eastAsia="zh-CN"/>
        </w:rPr>
        <w:t>1#罐区、2#罐区、3#罐区、仓库、事故应急池、</w:t>
      </w:r>
      <w:r>
        <w:rPr>
          <w:rFonts w:hint="eastAsia" w:cs="Times New Roman"/>
          <w:b w:val="0"/>
          <w:bCs w:val="0"/>
          <w:color w:val="auto"/>
          <w:highlight w:val="none"/>
          <w:lang w:val="en-US" w:eastAsia="zh-CN"/>
        </w:rPr>
        <w:t>危废暂存间</w:t>
      </w:r>
      <w:r>
        <w:rPr>
          <w:rFonts w:hint="eastAsia" w:ascii="Times New Roman" w:hAnsi="Times New Roman"/>
          <w:color w:val="auto"/>
          <w:sz w:val="24"/>
          <w:szCs w:val="24"/>
        </w:rPr>
        <w:t>等在事故状态下原料、废水、危险废物泄漏，污染物以点源形式通过垂直进入土壤环境，进而造成土壤污染。本次环评</w:t>
      </w:r>
      <w:r>
        <w:rPr>
          <w:rFonts w:hint="eastAsia"/>
          <w:color w:val="auto"/>
          <w:sz w:val="24"/>
          <w:szCs w:val="24"/>
          <w:lang w:val="en-US" w:eastAsia="zh-CN"/>
        </w:rPr>
        <w:t>考虑氟化物最大泄漏量，</w:t>
      </w:r>
      <w:r>
        <w:rPr>
          <w:rFonts w:hint="eastAsia" w:ascii="Times New Roman" w:hAnsi="Times New Roman"/>
          <w:color w:val="auto"/>
          <w:sz w:val="24"/>
          <w:szCs w:val="24"/>
        </w:rPr>
        <w:t>设定污染情景为：</w:t>
      </w:r>
      <w:r>
        <w:rPr>
          <w:rFonts w:hint="eastAsia" w:ascii="Times New Roman" w:hAnsi="Times New Roman"/>
          <w:color w:val="auto"/>
          <w:sz w:val="24"/>
          <w:szCs w:val="24"/>
          <w:lang w:val="en-US" w:eastAsia="zh-CN"/>
        </w:rPr>
        <w:t>基础油/氟硅酸</w:t>
      </w:r>
      <w:r>
        <w:rPr>
          <w:rFonts w:hint="default" w:ascii="Times New Roman" w:hAnsi="Times New Roman" w:cs="Times New Roman"/>
          <w:color w:val="auto"/>
          <w:lang w:val="en-US" w:eastAsia="zh-CN"/>
        </w:rPr>
        <w:t>储罐</w:t>
      </w:r>
      <w:r>
        <w:rPr>
          <w:rFonts w:hint="eastAsia" w:cs="Courier New"/>
          <w:b w:val="0"/>
          <w:bCs w:val="0"/>
          <w:color w:val="auto"/>
          <w:highlight w:val="none"/>
          <w:lang w:val="en-US" w:eastAsia="zh-CN"/>
        </w:rPr>
        <w:t>破损，物料</w:t>
      </w:r>
      <w:r>
        <w:rPr>
          <w:rFonts w:hint="eastAsia" w:ascii="Times New Roman" w:hAnsi="Times New Roman" w:eastAsia="宋体" w:cs="Courier New"/>
          <w:b w:val="0"/>
          <w:bCs w:val="0"/>
          <w:color w:val="auto"/>
          <w:highlight w:val="none"/>
          <w:lang w:val="en-US" w:eastAsia="zh-CN"/>
        </w:rPr>
        <w:t>发生泄漏，恰好发生泄漏处的地下水防渗层破裂或损坏</w:t>
      </w:r>
      <w:r>
        <w:rPr>
          <w:rFonts w:hint="eastAsia" w:ascii="Times New Roman" w:hAnsi="Times New Roman"/>
          <w:color w:val="auto"/>
          <w:sz w:val="24"/>
          <w:szCs w:val="24"/>
        </w:rPr>
        <w:t>，导致污染物进入土壤中。</w:t>
      </w:r>
    </w:p>
    <w:p w14:paraId="16850924">
      <w:pPr>
        <w:spacing w:line="360" w:lineRule="auto"/>
        <w:rPr>
          <w:rFonts w:ascii="Times New Roman" w:hAnsi="Times New Roman"/>
          <w:b/>
          <w:color w:val="auto"/>
          <w:sz w:val="24"/>
        </w:rPr>
      </w:pPr>
      <w:r>
        <w:rPr>
          <w:rFonts w:hint="eastAsia" w:ascii="Times New Roman" w:hAnsi="Times New Roman"/>
          <w:b/>
          <w:color w:val="auto"/>
          <w:sz w:val="24"/>
        </w:rPr>
        <w:t>③预测因子</w:t>
      </w:r>
    </w:p>
    <w:p w14:paraId="350E3445">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本</w:t>
      </w:r>
      <w:r>
        <w:rPr>
          <w:rFonts w:hint="eastAsia" w:ascii="Times New Roman" w:hAnsi="Times New Roman"/>
          <w:color w:val="auto"/>
          <w:sz w:val="24"/>
          <w:szCs w:val="24"/>
        </w:rPr>
        <w:t>次</w:t>
      </w:r>
      <w:r>
        <w:rPr>
          <w:rFonts w:ascii="Times New Roman" w:hAnsi="Times New Roman"/>
          <w:color w:val="auto"/>
          <w:sz w:val="24"/>
          <w:szCs w:val="24"/>
        </w:rPr>
        <w:t>土壤</w:t>
      </w:r>
      <w:r>
        <w:rPr>
          <w:rFonts w:hint="eastAsia" w:ascii="Times New Roman" w:hAnsi="Times New Roman"/>
          <w:color w:val="auto"/>
          <w:sz w:val="24"/>
          <w:szCs w:val="24"/>
        </w:rPr>
        <w:t>垂直入渗</w:t>
      </w:r>
      <w:r>
        <w:rPr>
          <w:rFonts w:ascii="Times New Roman" w:hAnsi="Times New Roman"/>
          <w:color w:val="auto"/>
          <w:sz w:val="24"/>
          <w:szCs w:val="24"/>
        </w:rPr>
        <w:t>影响预测因子为</w:t>
      </w:r>
      <w:r>
        <w:rPr>
          <w:rFonts w:hint="eastAsia"/>
          <w:color w:val="auto"/>
          <w:sz w:val="24"/>
          <w:szCs w:val="24"/>
          <w:lang w:val="en-US" w:eastAsia="zh-CN"/>
        </w:rPr>
        <w:t>氟化物</w:t>
      </w:r>
      <w:r>
        <w:rPr>
          <w:rFonts w:hint="eastAsia" w:ascii="Times New Roman" w:hAnsi="Times New Roman"/>
          <w:color w:val="auto"/>
          <w:sz w:val="24"/>
          <w:szCs w:val="24"/>
        </w:rPr>
        <w:t>。</w:t>
      </w:r>
    </w:p>
    <w:p w14:paraId="02DD2D93">
      <w:pPr>
        <w:spacing w:line="360" w:lineRule="auto"/>
        <w:rPr>
          <w:rFonts w:ascii="Times New Roman" w:hAnsi="Times New Roman"/>
          <w:b/>
          <w:color w:val="auto"/>
          <w:sz w:val="24"/>
        </w:rPr>
      </w:pPr>
      <w:bookmarkStart w:id="158" w:name="OLE_LINK3"/>
      <w:bookmarkStart w:id="159" w:name="OLE_LINK2"/>
      <w:r>
        <w:rPr>
          <w:rFonts w:hint="eastAsia" w:ascii="Times New Roman" w:hAnsi="Times New Roman"/>
          <w:b/>
          <w:color w:val="auto"/>
          <w:sz w:val="24"/>
        </w:rPr>
        <w:t>④</w:t>
      </w:r>
      <w:bookmarkEnd w:id="158"/>
      <w:bookmarkEnd w:id="159"/>
      <w:r>
        <w:rPr>
          <w:rFonts w:hint="eastAsia" w:ascii="Times New Roman" w:hAnsi="Times New Roman"/>
          <w:b/>
          <w:color w:val="auto"/>
          <w:sz w:val="24"/>
        </w:rPr>
        <w:t>预测方法</w:t>
      </w:r>
    </w:p>
    <w:p w14:paraId="5A3827FF">
      <w:pPr>
        <w:spacing w:line="360" w:lineRule="auto"/>
        <w:rPr>
          <w:rFonts w:ascii="Times New Roman" w:hAnsi="Times New Roman"/>
          <w:b/>
          <w:color w:val="auto"/>
          <w:sz w:val="24"/>
        </w:rPr>
      </w:pPr>
      <w:r>
        <w:rPr>
          <w:rFonts w:hint="eastAsia" w:ascii="Times New Roman" w:hAnsi="Times New Roman"/>
          <w:b/>
          <w:color w:val="auto"/>
          <w:sz w:val="24"/>
        </w:rPr>
        <w:t>A、预测模型</w:t>
      </w:r>
    </w:p>
    <w:p w14:paraId="01B9BAEF">
      <w:pPr>
        <w:spacing w:line="360" w:lineRule="auto"/>
        <w:ind w:left="0" w:leftChars="0" w:firstLine="480" w:firstLineChars="200"/>
        <w:rPr>
          <w:rFonts w:ascii="Times New Roman" w:hAnsi="Times New Roman"/>
          <w:color w:val="auto"/>
          <w:sz w:val="24"/>
        </w:rPr>
      </w:pPr>
      <w:r>
        <w:rPr>
          <w:rFonts w:ascii="Times New Roman" w:hAnsi="Times New Roman"/>
          <w:color w:val="auto"/>
          <w:sz w:val="24"/>
        </w:rPr>
        <w:t>本次预测方法选用</w:t>
      </w:r>
      <w:r>
        <w:rPr>
          <w:rFonts w:hint="eastAsia" w:ascii="Times New Roman" w:hAnsi="Times New Roman"/>
          <w:color w:val="auto"/>
          <w:sz w:val="24"/>
        </w:rPr>
        <w:t>《环境影响评价技术导则 土壤环境（试行）》（HJ964-2018）附录E中方法二（一维非饱和溶质垂向运移模型预测方法）：</w:t>
      </w:r>
    </w:p>
    <w:p w14:paraId="2A1C0D37">
      <w:pPr>
        <w:spacing w:line="360" w:lineRule="auto"/>
        <w:rPr>
          <w:rFonts w:ascii="Times New Roman" w:hAnsi="Times New Roman"/>
          <w:color w:val="auto"/>
          <w:sz w:val="24"/>
        </w:rPr>
      </w:pPr>
      <w:r>
        <w:rPr>
          <w:rFonts w:ascii="Times New Roman" w:hAnsi="Times New Roman"/>
          <w:color w:val="auto"/>
          <w:sz w:val="24"/>
        </w:rPr>
        <w:t>a</w:t>
      </w:r>
      <w:r>
        <w:rPr>
          <w:rFonts w:hint="eastAsia" w:ascii="Times New Roman" w:hAnsi="Times New Roman"/>
          <w:color w:val="auto"/>
          <w:sz w:val="24"/>
        </w:rPr>
        <w:t>）一维非饱和溶质垂向运移控制方程：</w:t>
      </w:r>
    </w:p>
    <w:p w14:paraId="7A4C7872">
      <w:pPr>
        <w:spacing w:line="360" w:lineRule="auto"/>
        <w:jc w:val="center"/>
        <w:rPr>
          <w:rFonts w:ascii="Times New Roman" w:hAnsi="Times New Roman"/>
          <w:color w:val="auto"/>
          <w:sz w:val="24"/>
          <w:szCs w:val="24"/>
        </w:rPr>
      </w:pPr>
      <w:r>
        <w:rPr>
          <w:color w:val="auto"/>
          <w:position w:val="-28"/>
        </w:rPr>
        <w:object>
          <v:shape id="_x0000_i1047" o:spt="75" type="#_x0000_t75" style="height:28.5pt;width:129.75pt;" o:ole="t" filled="f" o:preferrelative="t" stroked="f" coordsize="21600,21600">
            <v:path/>
            <v:fill on="f" focussize="0,0"/>
            <v:stroke on="f" joinstyle="miter"/>
            <v:imagedata r:id="rId171" o:title=""/>
            <o:lock v:ext="edit" aspectratio="t"/>
            <w10:wrap type="none"/>
            <w10:anchorlock/>
          </v:shape>
          <o:OLEObject Type="Embed" ProgID="Equation.DSMT4" ShapeID="_x0000_i1047" DrawAspect="Content" ObjectID="_1468075747" r:id="rId170">
            <o:LockedField>false</o:LockedField>
          </o:OLEObject>
        </w:object>
      </w:r>
    </w:p>
    <w:p w14:paraId="29EEADE4">
      <w:pPr>
        <w:spacing w:line="360" w:lineRule="auto"/>
        <w:ind w:left="0" w:leftChars="0" w:firstLine="480" w:firstLineChars="200"/>
        <w:rPr>
          <w:rFonts w:ascii="Times New Roman" w:hAnsi="Times New Roman"/>
          <w:color w:val="auto"/>
          <w:sz w:val="24"/>
        </w:rPr>
      </w:pPr>
      <w:bookmarkStart w:id="160" w:name="OLE_LINK4"/>
      <w:bookmarkStart w:id="161" w:name="OLE_LINK5"/>
      <w:r>
        <w:rPr>
          <w:rFonts w:hint="eastAsia" w:ascii="Times New Roman" w:hAnsi="Times New Roman"/>
          <w:color w:val="auto"/>
          <w:sz w:val="24"/>
        </w:rPr>
        <w:t>式中，</w:t>
      </w:r>
      <w:r>
        <w:rPr>
          <w:rFonts w:ascii="Times New Roman" w:hAnsi="Times New Roman"/>
          <w:i/>
          <w:color w:val="auto"/>
          <w:sz w:val="24"/>
          <w:szCs w:val="24"/>
        </w:rPr>
        <w:t>c</w:t>
      </w:r>
      <w:r>
        <w:rPr>
          <w:rFonts w:ascii="Times New Roman" w:hAnsi="Times New Roman"/>
          <w:color w:val="auto"/>
          <w:sz w:val="24"/>
        </w:rPr>
        <w:t>——</w:t>
      </w:r>
      <w:r>
        <w:rPr>
          <w:rFonts w:hint="eastAsia" w:ascii="Times New Roman" w:hAnsi="Times New Roman"/>
          <w:color w:val="auto"/>
          <w:sz w:val="24"/>
        </w:rPr>
        <w:t>污染物介质中的浓度，mg</w:t>
      </w:r>
      <w:r>
        <w:rPr>
          <w:rFonts w:ascii="Times New Roman" w:hAnsi="Times New Roman"/>
          <w:color w:val="auto"/>
          <w:sz w:val="24"/>
        </w:rPr>
        <w:t>/L；</w:t>
      </w:r>
    </w:p>
    <w:p w14:paraId="2354B251">
      <w:pPr>
        <w:spacing w:line="360" w:lineRule="auto"/>
        <w:ind w:firstLine="480" w:firstLineChars="200"/>
        <w:rPr>
          <w:rFonts w:ascii="Times New Roman" w:hAnsi="Times New Roman"/>
          <w:color w:val="auto"/>
          <w:sz w:val="24"/>
        </w:rPr>
      </w:pPr>
      <w:r>
        <w:rPr>
          <w:rFonts w:hint="eastAsia" w:ascii="Times New Roman" w:hAnsi="Times New Roman"/>
          <w:i/>
          <w:color w:val="auto"/>
          <w:sz w:val="24"/>
          <w:szCs w:val="24"/>
        </w:rPr>
        <w:t>D</w:t>
      </w:r>
      <w:r>
        <w:rPr>
          <w:rFonts w:ascii="Times New Roman" w:hAnsi="Times New Roman"/>
          <w:color w:val="auto"/>
          <w:sz w:val="24"/>
        </w:rPr>
        <w:t>——</w:t>
      </w:r>
      <w:r>
        <w:rPr>
          <w:rFonts w:hint="eastAsia" w:ascii="Times New Roman" w:hAnsi="Times New Roman"/>
          <w:color w:val="auto"/>
          <w:sz w:val="24"/>
        </w:rPr>
        <w:t>弥散系数，m</w:t>
      </w:r>
      <w:r>
        <w:rPr>
          <w:rFonts w:ascii="Times New Roman" w:hAnsi="Times New Roman"/>
          <w:color w:val="auto"/>
          <w:sz w:val="24"/>
          <w:vertAlign w:val="superscript"/>
        </w:rPr>
        <w:t>2</w:t>
      </w:r>
      <w:r>
        <w:rPr>
          <w:rFonts w:ascii="Times New Roman" w:hAnsi="Times New Roman"/>
          <w:color w:val="auto"/>
          <w:sz w:val="24"/>
        </w:rPr>
        <w:t>/d；</w:t>
      </w:r>
    </w:p>
    <w:bookmarkEnd w:id="160"/>
    <w:bookmarkEnd w:id="161"/>
    <w:p w14:paraId="451C1C41">
      <w:pPr>
        <w:spacing w:line="360" w:lineRule="auto"/>
        <w:ind w:firstLine="480" w:firstLineChars="200"/>
        <w:rPr>
          <w:rFonts w:ascii="Times New Roman" w:hAnsi="Times New Roman"/>
          <w:color w:val="auto"/>
          <w:sz w:val="24"/>
        </w:rPr>
      </w:pPr>
      <w:r>
        <w:rPr>
          <w:rFonts w:ascii="Times New Roman" w:hAnsi="Times New Roman"/>
          <w:i/>
          <w:color w:val="auto"/>
          <w:sz w:val="24"/>
          <w:szCs w:val="24"/>
        </w:rPr>
        <w:t>q</w:t>
      </w:r>
      <w:r>
        <w:rPr>
          <w:rFonts w:ascii="Times New Roman" w:hAnsi="Times New Roman"/>
          <w:color w:val="auto"/>
          <w:sz w:val="24"/>
        </w:rPr>
        <w:t>——</w:t>
      </w:r>
      <w:r>
        <w:rPr>
          <w:rFonts w:hint="eastAsia" w:ascii="Times New Roman" w:hAnsi="Times New Roman"/>
          <w:color w:val="auto"/>
          <w:sz w:val="24"/>
        </w:rPr>
        <w:t>渗流速率，m</w:t>
      </w:r>
      <w:r>
        <w:rPr>
          <w:rFonts w:ascii="Times New Roman" w:hAnsi="Times New Roman"/>
          <w:color w:val="auto"/>
          <w:sz w:val="24"/>
        </w:rPr>
        <w:t>/d；</w:t>
      </w:r>
    </w:p>
    <w:p w14:paraId="1F8D156C">
      <w:pPr>
        <w:spacing w:line="360" w:lineRule="auto"/>
        <w:ind w:firstLine="480" w:firstLineChars="200"/>
        <w:rPr>
          <w:rFonts w:ascii="Times New Roman" w:hAnsi="Times New Roman"/>
          <w:color w:val="auto"/>
          <w:sz w:val="24"/>
        </w:rPr>
      </w:pPr>
      <w:r>
        <w:rPr>
          <w:rFonts w:hint="eastAsia" w:ascii="Times New Roman" w:hAnsi="Times New Roman"/>
          <w:i/>
          <w:color w:val="auto"/>
          <w:sz w:val="24"/>
          <w:szCs w:val="24"/>
        </w:rPr>
        <w:t>z</w:t>
      </w:r>
      <w:r>
        <w:rPr>
          <w:rFonts w:ascii="Times New Roman" w:hAnsi="Times New Roman"/>
          <w:color w:val="auto"/>
          <w:sz w:val="24"/>
        </w:rPr>
        <w:t>——</w:t>
      </w:r>
      <w:r>
        <w:rPr>
          <w:rFonts w:hint="eastAsia" w:ascii="Times New Roman" w:hAnsi="Times New Roman"/>
          <w:color w:val="auto"/>
          <w:sz w:val="24"/>
        </w:rPr>
        <w:t>沿z轴的距离，m</w:t>
      </w:r>
      <w:r>
        <w:rPr>
          <w:rFonts w:ascii="Times New Roman" w:hAnsi="Times New Roman"/>
          <w:color w:val="auto"/>
          <w:sz w:val="24"/>
        </w:rPr>
        <w:t>；</w:t>
      </w:r>
    </w:p>
    <w:p w14:paraId="0E2BBFE6">
      <w:pPr>
        <w:spacing w:line="360" w:lineRule="auto"/>
        <w:ind w:firstLine="480" w:firstLineChars="200"/>
        <w:rPr>
          <w:rFonts w:ascii="Times New Roman" w:hAnsi="Times New Roman"/>
          <w:color w:val="auto"/>
          <w:sz w:val="24"/>
        </w:rPr>
      </w:pPr>
      <w:r>
        <w:rPr>
          <w:rFonts w:cstheme="minorHAnsi"/>
          <w:i/>
          <w:color w:val="auto"/>
          <w:sz w:val="24"/>
          <w:szCs w:val="24"/>
        </w:rPr>
        <w:t>t</w:t>
      </w:r>
      <w:r>
        <w:rPr>
          <w:rFonts w:ascii="Times New Roman" w:hAnsi="Times New Roman"/>
          <w:color w:val="auto"/>
          <w:sz w:val="24"/>
        </w:rPr>
        <w:t>——</w:t>
      </w:r>
      <w:r>
        <w:rPr>
          <w:rFonts w:hint="eastAsia" w:ascii="Times New Roman" w:hAnsi="Times New Roman"/>
          <w:color w:val="auto"/>
          <w:sz w:val="24"/>
        </w:rPr>
        <w:t>时间变量，d</w:t>
      </w:r>
      <w:r>
        <w:rPr>
          <w:rFonts w:ascii="Times New Roman" w:hAnsi="Times New Roman"/>
          <w:color w:val="auto"/>
          <w:sz w:val="24"/>
        </w:rPr>
        <w:t>；</w:t>
      </w:r>
    </w:p>
    <w:p w14:paraId="49740F9B">
      <w:pPr>
        <w:spacing w:line="360" w:lineRule="auto"/>
        <w:ind w:firstLine="480" w:firstLineChars="200"/>
        <w:rPr>
          <w:rFonts w:ascii="Times New Roman" w:hAnsi="Times New Roman"/>
          <w:color w:val="auto"/>
          <w:sz w:val="24"/>
        </w:rPr>
      </w:pPr>
      <w:r>
        <w:rPr>
          <w:rFonts w:ascii="Times New Roman" w:hAnsi="Times New Roman" w:cs="Times New Roman"/>
          <w:i/>
          <w:color w:val="auto"/>
          <w:sz w:val="24"/>
          <w:szCs w:val="24"/>
        </w:rPr>
        <w:t>θ</w:t>
      </w:r>
      <w:r>
        <w:rPr>
          <w:rFonts w:ascii="Times New Roman" w:hAnsi="Times New Roman"/>
          <w:color w:val="auto"/>
          <w:sz w:val="24"/>
        </w:rPr>
        <w:t>——</w:t>
      </w:r>
      <w:r>
        <w:rPr>
          <w:rFonts w:hint="eastAsia" w:ascii="Times New Roman" w:hAnsi="Times New Roman"/>
          <w:color w:val="auto"/>
          <w:sz w:val="24"/>
        </w:rPr>
        <w:t>土壤含水率，%。</w:t>
      </w:r>
    </w:p>
    <w:p w14:paraId="10224B9F">
      <w:pPr>
        <w:spacing w:line="360" w:lineRule="auto"/>
        <w:rPr>
          <w:rFonts w:ascii="Times New Roman" w:hAnsi="Times New Roman"/>
          <w:color w:val="auto"/>
          <w:sz w:val="24"/>
          <w:szCs w:val="24"/>
        </w:rPr>
      </w:pPr>
      <w:r>
        <w:rPr>
          <w:rFonts w:ascii="Times New Roman" w:hAnsi="Times New Roman"/>
          <w:color w:val="auto"/>
          <w:sz w:val="24"/>
        </w:rPr>
        <w:t>b</w:t>
      </w:r>
      <w:r>
        <w:rPr>
          <w:rFonts w:hint="eastAsia" w:ascii="Times New Roman" w:hAnsi="Times New Roman"/>
          <w:color w:val="auto"/>
          <w:sz w:val="24"/>
        </w:rPr>
        <w:t>）初始条件：</w:t>
      </w:r>
    </w:p>
    <w:p w14:paraId="4C7073E4">
      <w:pPr>
        <w:spacing w:line="360" w:lineRule="auto"/>
        <w:jc w:val="center"/>
        <w:rPr>
          <w:rFonts w:ascii="Times New Roman" w:hAnsi="Times New Roman"/>
          <w:color w:val="auto"/>
          <w:sz w:val="24"/>
          <w:szCs w:val="24"/>
        </w:rPr>
      </w:pPr>
      <w:r>
        <w:rPr>
          <w:rFonts w:ascii="Times New Roman" w:hAnsi="Times New Roman"/>
          <w:i/>
          <w:color w:val="auto"/>
          <w:sz w:val="24"/>
          <w:szCs w:val="24"/>
        </w:rPr>
        <w:t>c</w:t>
      </w:r>
      <w:r>
        <w:rPr>
          <w:rFonts w:hint="eastAsia" w:ascii="Times New Roman" w:hAnsi="Times New Roman"/>
          <w:color w:val="auto"/>
          <w:sz w:val="24"/>
          <w:szCs w:val="24"/>
        </w:rPr>
        <w:t>(</w:t>
      </w:r>
      <w:r>
        <w:rPr>
          <w:rFonts w:ascii="Times New Roman" w:hAnsi="Times New Roman"/>
          <w:i/>
          <w:color w:val="auto"/>
          <w:sz w:val="24"/>
          <w:szCs w:val="24"/>
        </w:rPr>
        <w:t>z</w:t>
      </w:r>
      <w:r>
        <w:rPr>
          <w:rFonts w:hint="eastAsia" w:ascii="Times New Roman" w:hAnsi="Times New Roman"/>
          <w:color w:val="auto"/>
          <w:sz w:val="24"/>
          <w:szCs w:val="24"/>
        </w:rPr>
        <w:t>,</w:t>
      </w:r>
      <w:r>
        <w:rPr>
          <w:rFonts w:ascii="Times New Roman" w:hAnsi="Times New Roman"/>
          <w:i/>
          <w:color w:val="auto"/>
          <w:sz w:val="24"/>
          <w:szCs w:val="24"/>
        </w:rPr>
        <w:t>t</w:t>
      </w:r>
      <w:r>
        <w:rPr>
          <w:rFonts w:hint="eastAsia" w:ascii="Times New Roman" w:hAnsi="Times New Roman"/>
          <w:color w:val="auto"/>
          <w:sz w:val="24"/>
          <w:szCs w:val="24"/>
        </w:rPr>
        <w:t>)</w:t>
      </w:r>
      <w:r>
        <w:rPr>
          <w:rFonts w:ascii="Times New Roman" w:hAnsi="Times New Roman"/>
          <w:color w:val="auto"/>
          <w:sz w:val="24"/>
          <w:szCs w:val="24"/>
        </w:rPr>
        <w:t xml:space="preserve">=0    </w:t>
      </w:r>
      <w:r>
        <w:rPr>
          <w:rFonts w:ascii="Times New Roman" w:hAnsi="Times New Roman"/>
          <w:i/>
          <w:color w:val="auto"/>
          <w:sz w:val="24"/>
          <w:szCs w:val="24"/>
        </w:rPr>
        <w:t>t</w:t>
      </w:r>
      <w:r>
        <w:rPr>
          <w:rFonts w:ascii="Times New Roman" w:hAnsi="Times New Roman"/>
          <w:color w:val="auto"/>
          <w:sz w:val="24"/>
          <w:szCs w:val="24"/>
        </w:rPr>
        <w:t>=0</w:t>
      </w:r>
      <w:r>
        <w:rPr>
          <w:rFonts w:hint="eastAsia" w:ascii="Times New Roman" w:hAnsi="Times New Roman"/>
          <w:color w:val="auto"/>
          <w:sz w:val="24"/>
          <w:szCs w:val="24"/>
        </w:rPr>
        <w:t>，</w:t>
      </w:r>
      <w:r>
        <w:rPr>
          <w:rFonts w:ascii="Times New Roman" w:hAnsi="Times New Roman"/>
          <w:color w:val="auto"/>
          <w:sz w:val="24"/>
          <w:szCs w:val="24"/>
        </w:rPr>
        <w:t xml:space="preserve">L≤ </w:t>
      </w:r>
      <w:r>
        <w:rPr>
          <w:rFonts w:ascii="Times New Roman" w:hAnsi="Times New Roman"/>
          <w:i/>
          <w:color w:val="auto"/>
          <w:sz w:val="24"/>
          <w:szCs w:val="24"/>
        </w:rPr>
        <w:t xml:space="preserve">z </w:t>
      </w:r>
      <w:r>
        <w:rPr>
          <w:rFonts w:ascii="Times New Roman" w:hAnsi="Times New Roman"/>
          <w:color w:val="auto"/>
          <w:sz w:val="24"/>
          <w:szCs w:val="24"/>
        </w:rPr>
        <w:t>&lt;0</w:t>
      </w:r>
    </w:p>
    <w:p w14:paraId="7E70954C">
      <w:pPr>
        <w:spacing w:line="360" w:lineRule="auto"/>
        <w:rPr>
          <w:rFonts w:ascii="Times New Roman" w:hAnsi="Times New Roman"/>
          <w:color w:val="auto"/>
          <w:sz w:val="24"/>
          <w:szCs w:val="24"/>
        </w:rPr>
      </w:pPr>
      <w:r>
        <w:rPr>
          <w:rFonts w:ascii="Times New Roman" w:hAnsi="Times New Roman"/>
          <w:color w:val="auto"/>
          <w:sz w:val="24"/>
        </w:rPr>
        <w:t>c</w:t>
      </w:r>
      <w:r>
        <w:rPr>
          <w:rFonts w:hint="eastAsia" w:ascii="Times New Roman" w:hAnsi="Times New Roman"/>
          <w:color w:val="auto"/>
          <w:sz w:val="24"/>
        </w:rPr>
        <w:t>）边界条件：</w:t>
      </w:r>
    </w:p>
    <w:p w14:paraId="6FCD6740">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第一类Dirichlet边界条件，其中下式一适用于连续点源情景，</w:t>
      </w:r>
      <w:r>
        <w:rPr>
          <w:rFonts w:ascii="Times New Roman" w:hAnsi="Times New Roman"/>
          <w:color w:val="auto"/>
          <w:sz w:val="24"/>
          <w:szCs w:val="24"/>
        </w:rPr>
        <w:t>下式二适用于非连续点源情景</w:t>
      </w:r>
      <w:r>
        <w:rPr>
          <w:rFonts w:hint="eastAsia" w:ascii="Times New Roman" w:hAnsi="Times New Roman"/>
          <w:color w:val="auto"/>
          <w:sz w:val="24"/>
          <w:szCs w:val="24"/>
        </w:rPr>
        <w:t>。</w:t>
      </w:r>
    </w:p>
    <w:p w14:paraId="6D7206EB">
      <w:pPr>
        <w:spacing w:line="360" w:lineRule="auto"/>
        <w:jc w:val="center"/>
        <w:rPr>
          <w:rFonts w:ascii="Times New Roman" w:hAnsi="Times New Roman"/>
          <w:color w:val="auto"/>
          <w:sz w:val="24"/>
          <w:szCs w:val="24"/>
        </w:rPr>
      </w:pPr>
      <w:r>
        <w:rPr>
          <w:rFonts w:ascii="Times New Roman" w:hAnsi="Times New Roman"/>
          <w:i/>
          <w:color w:val="auto"/>
          <w:sz w:val="24"/>
          <w:szCs w:val="24"/>
        </w:rPr>
        <w:t>c</w:t>
      </w:r>
      <w:r>
        <w:rPr>
          <w:rFonts w:hint="eastAsia" w:ascii="Times New Roman" w:hAnsi="Times New Roman"/>
          <w:color w:val="auto"/>
          <w:sz w:val="24"/>
          <w:szCs w:val="24"/>
        </w:rPr>
        <w:t>(</w:t>
      </w:r>
      <w:r>
        <w:rPr>
          <w:rFonts w:ascii="Times New Roman" w:hAnsi="Times New Roman"/>
          <w:i/>
          <w:color w:val="auto"/>
          <w:sz w:val="24"/>
          <w:szCs w:val="24"/>
        </w:rPr>
        <w:t>z</w:t>
      </w:r>
      <w:r>
        <w:rPr>
          <w:rFonts w:hint="eastAsia" w:ascii="Times New Roman" w:hAnsi="Times New Roman"/>
          <w:color w:val="auto"/>
          <w:sz w:val="24"/>
          <w:szCs w:val="24"/>
        </w:rPr>
        <w:t>,</w:t>
      </w:r>
      <w:r>
        <w:rPr>
          <w:rFonts w:ascii="Times New Roman" w:hAnsi="Times New Roman"/>
          <w:i/>
          <w:color w:val="auto"/>
          <w:sz w:val="24"/>
          <w:szCs w:val="24"/>
        </w:rPr>
        <w:t>t</w:t>
      </w:r>
      <w:r>
        <w:rPr>
          <w:rFonts w:hint="eastAsia" w:ascii="Times New Roman" w:hAnsi="Times New Roman"/>
          <w:color w:val="auto"/>
          <w:sz w:val="24"/>
          <w:szCs w:val="24"/>
        </w:rPr>
        <w:t>)</w:t>
      </w:r>
      <w:r>
        <w:rPr>
          <w:rFonts w:ascii="Times New Roman" w:hAnsi="Times New Roman"/>
          <w:color w:val="auto"/>
          <w:sz w:val="24"/>
          <w:szCs w:val="24"/>
        </w:rPr>
        <w:t>=</w:t>
      </w:r>
      <w:r>
        <w:rPr>
          <w:rFonts w:ascii="Times New Roman" w:hAnsi="Times New Roman"/>
          <w:i/>
          <w:color w:val="auto"/>
          <w:sz w:val="24"/>
          <w:szCs w:val="24"/>
        </w:rPr>
        <w:t>c</w:t>
      </w:r>
      <w:r>
        <w:rPr>
          <w:rFonts w:ascii="Times New Roman" w:hAnsi="Times New Roman"/>
          <w:color w:val="auto"/>
          <w:sz w:val="24"/>
          <w:szCs w:val="24"/>
          <w:vertAlign w:val="subscript"/>
        </w:rPr>
        <w:t>0</w:t>
      </w:r>
      <w:r>
        <w:rPr>
          <w:rFonts w:ascii="Times New Roman" w:hAnsi="Times New Roman"/>
          <w:color w:val="auto"/>
          <w:sz w:val="24"/>
          <w:szCs w:val="24"/>
        </w:rPr>
        <w:t xml:space="preserve">    </w:t>
      </w:r>
      <w:r>
        <w:rPr>
          <w:rFonts w:ascii="Times New Roman" w:hAnsi="Times New Roman"/>
          <w:i/>
          <w:color w:val="auto"/>
          <w:sz w:val="24"/>
          <w:szCs w:val="24"/>
        </w:rPr>
        <w:t>t</w:t>
      </w:r>
      <w:r>
        <w:rPr>
          <w:rFonts w:hint="eastAsia" w:ascii="Times New Roman" w:hAnsi="Times New Roman"/>
          <w:color w:val="auto"/>
          <w:sz w:val="24"/>
          <w:szCs w:val="24"/>
        </w:rPr>
        <w:t>&gt;</w:t>
      </w:r>
      <w:r>
        <w:rPr>
          <w:rFonts w:ascii="Times New Roman" w:hAnsi="Times New Roman"/>
          <w:color w:val="auto"/>
          <w:sz w:val="24"/>
          <w:szCs w:val="24"/>
        </w:rPr>
        <w:t>0</w:t>
      </w:r>
      <w:r>
        <w:rPr>
          <w:rFonts w:hint="eastAsia" w:ascii="Times New Roman" w:hAnsi="Times New Roman"/>
          <w:color w:val="auto"/>
          <w:sz w:val="24"/>
          <w:szCs w:val="24"/>
        </w:rPr>
        <w:t>，</w:t>
      </w:r>
      <w:r>
        <w:rPr>
          <w:rFonts w:ascii="Times New Roman" w:hAnsi="Times New Roman"/>
          <w:i/>
          <w:color w:val="auto"/>
          <w:sz w:val="24"/>
          <w:szCs w:val="24"/>
        </w:rPr>
        <w:t xml:space="preserve">z </w:t>
      </w:r>
      <w:r>
        <w:rPr>
          <w:rFonts w:ascii="Times New Roman" w:hAnsi="Times New Roman"/>
          <w:color w:val="auto"/>
          <w:sz w:val="24"/>
          <w:szCs w:val="24"/>
        </w:rPr>
        <w:t>= 0</w:t>
      </w:r>
    </w:p>
    <w:p w14:paraId="085A6B53">
      <w:pPr>
        <w:spacing w:line="360" w:lineRule="auto"/>
        <w:jc w:val="center"/>
        <w:rPr>
          <w:rFonts w:ascii="Times New Roman" w:hAnsi="Times New Roman"/>
          <w:color w:val="auto"/>
          <w:sz w:val="24"/>
          <w:szCs w:val="24"/>
        </w:rPr>
      </w:pPr>
      <w:r>
        <w:rPr>
          <w:color w:val="auto"/>
        </w:rPr>
        <w:drawing>
          <wp:inline distT="0" distB="0" distL="0" distR="0">
            <wp:extent cx="1485900" cy="340995"/>
            <wp:effectExtent l="0" t="0" r="0" b="1905"/>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pic:cNvPicPr>
                      <a:picLocks noChangeAspect="1"/>
                    </pic:cNvPicPr>
                  </pic:nvPicPr>
                  <pic:blipFill>
                    <a:blip r:embed="rId172"/>
                    <a:stretch>
                      <a:fillRect/>
                    </a:stretch>
                  </pic:blipFill>
                  <pic:spPr>
                    <a:xfrm>
                      <a:off x="0" y="0"/>
                      <a:ext cx="1546156" cy="355271"/>
                    </a:xfrm>
                    <a:prstGeom prst="rect">
                      <a:avLst/>
                    </a:prstGeom>
                  </pic:spPr>
                </pic:pic>
              </a:graphicData>
            </a:graphic>
          </wp:inline>
        </w:drawing>
      </w:r>
    </w:p>
    <w:p w14:paraId="3B914B5C">
      <w:pPr>
        <w:spacing w:line="360" w:lineRule="auto"/>
        <w:rPr>
          <w:rFonts w:ascii="Times New Roman" w:hAnsi="Times New Roman"/>
          <w:color w:val="auto"/>
          <w:sz w:val="24"/>
          <w:szCs w:val="24"/>
        </w:rPr>
      </w:pPr>
      <w:r>
        <w:rPr>
          <w:rFonts w:hint="eastAsia" w:ascii="Times New Roman" w:hAnsi="Times New Roman"/>
          <w:color w:val="auto"/>
          <w:sz w:val="24"/>
          <w:szCs w:val="24"/>
        </w:rPr>
        <w:t>第二类Neumann零梯度边界。</w:t>
      </w:r>
    </w:p>
    <w:p w14:paraId="28368B0C">
      <w:pPr>
        <w:spacing w:line="360" w:lineRule="auto"/>
        <w:jc w:val="center"/>
        <w:rPr>
          <w:rFonts w:ascii="Times New Roman" w:hAnsi="Times New Roman"/>
          <w:color w:val="auto"/>
          <w:sz w:val="24"/>
          <w:szCs w:val="24"/>
        </w:rPr>
      </w:pPr>
      <w:r>
        <w:rPr>
          <w:color w:val="auto"/>
        </w:rPr>
        <w:drawing>
          <wp:inline distT="0" distB="0" distL="0" distR="0">
            <wp:extent cx="1533525" cy="215900"/>
            <wp:effectExtent l="0" t="0" r="9525" b="12700"/>
            <wp:docPr id="4550" name="图片 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 name="图片 4550"/>
                    <pic:cNvPicPr>
                      <a:picLocks noChangeAspect="1"/>
                    </pic:cNvPicPr>
                  </pic:nvPicPr>
                  <pic:blipFill>
                    <a:blip r:embed="rId173"/>
                    <a:stretch>
                      <a:fillRect/>
                    </a:stretch>
                  </pic:blipFill>
                  <pic:spPr>
                    <a:xfrm>
                      <a:off x="0" y="0"/>
                      <a:ext cx="1607133" cy="226507"/>
                    </a:xfrm>
                    <a:prstGeom prst="rect">
                      <a:avLst/>
                    </a:prstGeom>
                  </pic:spPr>
                </pic:pic>
              </a:graphicData>
            </a:graphic>
          </wp:inline>
        </w:drawing>
      </w:r>
    </w:p>
    <w:p w14:paraId="42CF36C2">
      <w:pPr>
        <w:spacing w:line="360" w:lineRule="auto"/>
        <w:rPr>
          <w:rFonts w:ascii="Times New Roman" w:hAnsi="Times New Roman"/>
          <w:b/>
          <w:color w:val="auto"/>
          <w:sz w:val="24"/>
        </w:rPr>
      </w:pPr>
      <w:r>
        <w:rPr>
          <w:rFonts w:ascii="Times New Roman" w:hAnsi="Times New Roman"/>
          <w:b/>
          <w:color w:val="auto"/>
          <w:sz w:val="24"/>
        </w:rPr>
        <w:t>B</w:t>
      </w:r>
      <w:r>
        <w:rPr>
          <w:rFonts w:hint="eastAsia" w:ascii="Times New Roman" w:hAnsi="Times New Roman"/>
          <w:b/>
          <w:color w:val="auto"/>
          <w:sz w:val="24"/>
        </w:rPr>
        <w:t>、预测软件</w:t>
      </w:r>
    </w:p>
    <w:p w14:paraId="5660A76F">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Hydrus是美国盐土实验室开发的系列软件，用于计算模拟饱和-非饱和带的水分运动和溶质运移。</w:t>
      </w:r>
      <w:bookmarkStart w:id="162" w:name="OLE_LINK10"/>
      <w:r>
        <w:rPr>
          <w:rFonts w:hint="eastAsia" w:ascii="Times New Roman" w:hAnsi="Times New Roman"/>
          <w:color w:val="auto"/>
          <w:sz w:val="24"/>
          <w:szCs w:val="24"/>
        </w:rPr>
        <w:t>Hydrus-1D软</w:t>
      </w:r>
      <w:bookmarkEnd w:id="162"/>
      <w:r>
        <w:rPr>
          <w:rFonts w:hint="eastAsia" w:ascii="Times New Roman" w:hAnsi="Times New Roman"/>
          <w:color w:val="auto"/>
          <w:sz w:val="24"/>
          <w:szCs w:val="24"/>
        </w:rPr>
        <w:t>件可以模拟一维水流、二氧化碳、溶质和热在包气带非饱和带介质中的运移，包括有水分运移、溶质运移、热传递和植物根系吸水等几大模块，并具有简便的输入和输出功能，在环境科学、土壤学、水文地质学等领域都得到了广泛的运用。</w:t>
      </w:r>
    </w:p>
    <w:p w14:paraId="4A383AC2">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本次评价采用Hydrus-1D软件中的数学模型，对包气带构建水流运动和溶质运移模型，模拟事故状态下污染物垂直入渗进入包气带后在土壤中运移情况。</w:t>
      </w:r>
    </w:p>
    <w:p w14:paraId="1312D6E5">
      <w:pPr>
        <w:spacing w:line="360" w:lineRule="auto"/>
        <w:rPr>
          <w:rFonts w:ascii="Times New Roman" w:hAnsi="Times New Roman"/>
          <w:color w:val="auto"/>
          <w:sz w:val="24"/>
          <w:szCs w:val="24"/>
        </w:rPr>
      </w:pPr>
      <w:r>
        <w:rPr>
          <w:rFonts w:hint="eastAsia" w:ascii="Times New Roman" w:hAnsi="Times New Roman"/>
          <w:b/>
          <w:color w:val="auto"/>
          <w:sz w:val="24"/>
        </w:rPr>
        <w:t>C、源强设定</w:t>
      </w:r>
    </w:p>
    <w:p w14:paraId="53523179">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单位</w:t>
      </w:r>
      <w:r>
        <w:rPr>
          <w:rFonts w:ascii="Times New Roman" w:hAnsi="Times New Roman"/>
          <w:color w:val="auto"/>
          <w:sz w:val="24"/>
          <w:szCs w:val="24"/>
        </w:rPr>
        <w:t>面积渗漏量</w:t>
      </w:r>
      <w:r>
        <w:rPr>
          <w:rFonts w:ascii="Times New Roman" w:hAnsi="Times New Roman"/>
          <w:i/>
          <w:color w:val="auto"/>
          <w:sz w:val="24"/>
          <w:szCs w:val="24"/>
        </w:rPr>
        <w:t>Q</w:t>
      </w:r>
      <w:r>
        <w:rPr>
          <w:rFonts w:hint="eastAsia" w:ascii="Times New Roman" w:hAnsi="Times New Roman"/>
          <w:color w:val="auto"/>
          <w:sz w:val="24"/>
          <w:szCs w:val="24"/>
        </w:rPr>
        <w:t>按</w:t>
      </w:r>
      <w:r>
        <w:rPr>
          <w:rFonts w:ascii="Times New Roman" w:hAnsi="Times New Roman"/>
          <w:color w:val="auto"/>
          <w:sz w:val="24"/>
          <w:szCs w:val="24"/>
        </w:rPr>
        <w:t>下式计算</w:t>
      </w:r>
      <w:r>
        <w:rPr>
          <w:rFonts w:hint="eastAsia" w:ascii="Times New Roman" w:hAnsi="Times New Roman"/>
          <w:color w:val="auto"/>
          <w:sz w:val="24"/>
          <w:szCs w:val="24"/>
        </w:rPr>
        <w:t>：</w:t>
      </w:r>
    </w:p>
    <w:p w14:paraId="577A796E">
      <w:pPr>
        <w:spacing w:line="360" w:lineRule="auto"/>
        <w:jc w:val="center"/>
        <w:rPr>
          <w:rFonts w:ascii="Times New Roman" w:hAnsi="Times New Roman"/>
          <w:color w:val="auto"/>
          <w:sz w:val="24"/>
          <w:szCs w:val="24"/>
        </w:rPr>
      </w:pPr>
      <w:r>
        <w:rPr>
          <w:rFonts w:ascii="Times New Roman" w:hAnsi="Times New Roman"/>
          <w:i/>
          <w:color w:val="auto"/>
          <w:sz w:val="24"/>
          <w:szCs w:val="24"/>
        </w:rPr>
        <w:t>Q</w:t>
      </w:r>
      <w:r>
        <w:rPr>
          <w:rFonts w:hint="eastAsia" w:ascii="Times New Roman" w:hAnsi="Times New Roman"/>
          <w:color w:val="auto"/>
          <w:sz w:val="24"/>
          <w:szCs w:val="24"/>
        </w:rPr>
        <w:t>=</w:t>
      </w:r>
      <w:r>
        <w:rPr>
          <w:rFonts w:ascii="Times New Roman" w:hAnsi="Times New Roman"/>
          <w:i/>
          <w:color w:val="auto"/>
          <w:sz w:val="24"/>
          <w:szCs w:val="24"/>
        </w:rPr>
        <w:t>K</w:t>
      </w:r>
      <w:r>
        <w:rPr>
          <w:rFonts w:ascii="Times New Roman" w:hAnsi="Times New Roman"/>
          <w:color w:val="auto"/>
          <w:sz w:val="24"/>
          <w:szCs w:val="24"/>
        </w:rPr>
        <w:t>×</w:t>
      </w:r>
      <w:r>
        <w:rPr>
          <w:rFonts w:ascii="Times New Roman" w:hAnsi="Times New Roman"/>
          <w:i/>
          <w:color w:val="auto"/>
          <w:sz w:val="24"/>
          <w:szCs w:val="24"/>
        </w:rPr>
        <w:t>I</w:t>
      </w:r>
    </w:p>
    <w:p w14:paraId="1E5F9F02">
      <w:pPr>
        <w:spacing w:line="360" w:lineRule="auto"/>
        <w:ind w:firstLine="480" w:firstLineChars="200"/>
        <w:rPr>
          <w:rFonts w:ascii="Times New Roman" w:hAnsi="Times New Roman"/>
          <w:color w:val="auto"/>
          <w:sz w:val="24"/>
        </w:rPr>
      </w:pPr>
      <w:r>
        <w:rPr>
          <w:rFonts w:hint="eastAsia" w:ascii="Times New Roman" w:hAnsi="Times New Roman"/>
          <w:color w:val="auto"/>
          <w:sz w:val="24"/>
        </w:rPr>
        <w:t>式中，</w:t>
      </w:r>
      <w:r>
        <w:rPr>
          <w:rFonts w:hint="eastAsia" w:ascii="Times New Roman" w:hAnsi="Times New Roman"/>
          <w:i/>
          <w:color w:val="auto"/>
          <w:sz w:val="24"/>
          <w:szCs w:val="24"/>
        </w:rPr>
        <w:t>K</w:t>
      </w:r>
      <w:r>
        <w:rPr>
          <w:rFonts w:ascii="Times New Roman" w:hAnsi="Times New Roman"/>
          <w:color w:val="auto"/>
          <w:sz w:val="24"/>
        </w:rPr>
        <w:t>——</w:t>
      </w:r>
      <w:r>
        <w:rPr>
          <w:rFonts w:hint="eastAsia" w:ascii="Times New Roman" w:hAnsi="Times New Roman"/>
          <w:color w:val="auto"/>
          <w:sz w:val="24"/>
        </w:rPr>
        <w:t>包气带垂向</w:t>
      </w:r>
      <w:r>
        <w:rPr>
          <w:rFonts w:ascii="Times New Roman" w:hAnsi="Times New Roman"/>
          <w:color w:val="auto"/>
          <w:sz w:val="24"/>
        </w:rPr>
        <w:t>等效渗透系数</w:t>
      </w:r>
      <w:r>
        <w:rPr>
          <w:rFonts w:hint="eastAsia" w:ascii="Times New Roman" w:hAnsi="Times New Roman"/>
          <w:color w:val="auto"/>
          <w:sz w:val="24"/>
        </w:rPr>
        <w:t>，cm</w:t>
      </w:r>
      <w:r>
        <w:rPr>
          <w:rFonts w:ascii="Times New Roman" w:hAnsi="Times New Roman"/>
          <w:color w:val="auto"/>
          <w:sz w:val="24"/>
        </w:rPr>
        <w:t>/s；</w:t>
      </w:r>
    </w:p>
    <w:p w14:paraId="0D4433F6">
      <w:pPr>
        <w:spacing w:line="360" w:lineRule="auto"/>
        <w:ind w:firstLine="1200" w:firstLineChars="500"/>
        <w:rPr>
          <w:rFonts w:ascii="Times New Roman" w:hAnsi="Times New Roman"/>
          <w:color w:val="auto"/>
          <w:sz w:val="24"/>
        </w:rPr>
      </w:pPr>
      <w:r>
        <w:rPr>
          <w:rFonts w:hint="eastAsia" w:ascii="Times New Roman" w:hAnsi="Times New Roman"/>
          <w:i/>
          <w:color w:val="auto"/>
          <w:sz w:val="24"/>
          <w:szCs w:val="24"/>
        </w:rPr>
        <w:t>I</w:t>
      </w:r>
      <w:r>
        <w:rPr>
          <w:rFonts w:ascii="Times New Roman" w:hAnsi="Times New Roman"/>
          <w:color w:val="auto"/>
          <w:sz w:val="24"/>
        </w:rPr>
        <w:t>——</w:t>
      </w:r>
      <w:bookmarkStart w:id="163" w:name="OLE_LINK6"/>
      <w:bookmarkStart w:id="164" w:name="OLE_LINK7"/>
      <w:r>
        <w:rPr>
          <w:rFonts w:hint="eastAsia" w:ascii="Times New Roman" w:hAnsi="Times New Roman"/>
          <w:color w:val="auto"/>
          <w:sz w:val="24"/>
        </w:rPr>
        <w:t>水力</w:t>
      </w:r>
      <w:bookmarkEnd w:id="163"/>
      <w:bookmarkEnd w:id="164"/>
      <w:r>
        <w:rPr>
          <w:rFonts w:hint="eastAsia" w:ascii="Times New Roman" w:hAnsi="Times New Roman"/>
          <w:color w:val="auto"/>
          <w:sz w:val="24"/>
        </w:rPr>
        <w:t>梯度，无量纲，取0.005。</w:t>
      </w:r>
    </w:p>
    <w:p w14:paraId="73647D97">
      <w:pPr>
        <w:spacing w:line="360" w:lineRule="auto"/>
        <w:ind w:left="0" w:leftChars="0" w:firstLine="480" w:firstLineChars="200"/>
        <w:rPr>
          <w:rFonts w:ascii="Times New Roman" w:hAnsi="Times New Roman"/>
          <w:color w:val="auto"/>
          <w:sz w:val="24"/>
        </w:rPr>
      </w:pPr>
      <w:r>
        <w:rPr>
          <w:rFonts w:ascii="Times New Roman" w:hAnsi="Times New Roman"/>
          <w:color w:val="auto"/>
          <w:sz w:val="24"/>
          <w:szCs w:val="24"/>
        </w:rPr>
        <w:t>本项目地基土持力层为</w:t>
      </w:r>
      <w:r>
        <w:rPr>
          <w:rFonts w:hint="eastAsia" w:ascii="Times New Roman" w:hAnsi="Times New Roman"/>
          <w:color w:val="auto"/>
          <w:sz w:val="24"/>
          <w:szCs w:val="24"/>
          <w:lang w:val="en-US" w:eastAsia="zh-CN"/>
        </w:rPr>
        <w:t>粉质粘土</w:t>
      </w:r>
      <w:r>
        <w:rPr>
          <w:rFonts w:hint="eastAsia" w:ascii="Times New Roman" w:hAnsi="Times New Roman"/>
          <w:color w:val="auto"/>
          <w:sz w:val="24"/>
          <w:szCs w:val="24"/>
        </w:rPr>
        <w:t>，通过查阅Hydrus-1D模型中参数，</w:t>
      </w:r>
      <w:r>
        <w:rPr>
          <w:rFonts w:hint="eastAsia" w:ascii="Times New Roman" w:hAnsi="Times New Roman"/>
          <w:color w:val="auto"/>
          <w:sz w:val="24"/>
          <w:szCs w:val="24"/>
          <w:lang w:val="en-US" w:eastAsia="zh-CN"/>
        </w:rPr>
        <w:t>粉质粘土</w:t>
      </w:r>
      <w:r>
        <w:rPr>
          <w:rFonts w:hint="eastAsia" w:ascii="Times New Roman" w:hAnsi="Times New Roman"/>
          <w:color w:val="auto"/>
          <w:sz w:val="24"/>
          <w:szCs w:val="24"/>
        </w:rPr>
        <w:t>渗透系数分别为</w:t>
      </w:r>
      <w:r>
        <w:rPr>
          <w:rFonts w:hint="eastAsia"/>
          <w:color w:val="auto"/>
          <w:sz w:val="24"/>
          <w:szCs w:val="24"/>
          <w:lang w:val="en-US" w:eastAsia="zh-CN"/>
        </w:rPr>
        <w:t>0.48c</w:t>
      </w:r>
      <w:r>
        <w:rPr>
          <w:rFonts w:ascii="Times New Roman" w:hAnsi="Times New Roman"/>
          <w:color w:val="auto"/>
          <w:sz w:val="24"/>
          <w:szCs w:val="24"/>
        </w:rPr>
        <w:t>m/d</w:t>
      </w:r>
      <w:r>
        <w:rPr>
          <w:rFonts w:hint="eastAsia" w:ascii="Times New Roman" w:hAnsi="Times New Roman"/>
          <w:color w:val="auto"/>
          <w:sz w:val="24"/>
          <w:szCs w:val="24"/>
        </w:rPr>
        <w:t>，</w:t>
      </w:r>
      <w:r>
        <w:rPr>
          <w:rFonts w:hint="eastAsia" w:ascii="Times New Roman" w:hAnsi="Times New Roman"/>
          <w:color w:val="auto"/>
          <w:sz w:val="24"/>
        </w:rPr>
        <w:t>包气带垂向</w:t>
      </w:r>
      <w:r>
        <w:rPr>
          <w:rFonts w:ascii="Times New Roman" w:hAnsi="Times New Roman"/>
          <w:color w:val="auto"/>
          <w:sz w:val="24"/>
        </w:rPr>
        <w:t>等效渗透系数</w:t>
      </w:r>
      <w:r>
        <w:rPr>
          <w:rFonts w:hint="eastAsia" w:ascii="Times New Roman" w:hAnsi="Times New Roman"/>
          <w:i/>
          <w:color w:val="auto"/>
          <w:sz w:val="24"/>
        </w:rPr>
        <w:t>K</w:t>
      </w:r>
      <w:r>
        <w:rPr>
          <w:rFonts w:hint="eastAsia" w:ascii="Times New Roman" w:hAnsi="Times New Roman"/>
          <w:color w:val="auto"/>
          <w:sz w:val="24"/>
        </w:rPr>
        <w:t>可</w:t>
      </w:r>
      <w:r>
        <w:rPr>
          <w:rFonts w:ascii="Times New Roman" w:hAnsi="Times New Roman"/>
          <w:color w:val="auto"/>
          <w:sz w:val="24"/>
        </w:rPr>
        <w:t>表示为：</w:t>
      </w:r>
    </w:p>
    <w:p w14:paraId="6BC96E2D">
      <w:pPr>
        <w:spacing w:line="360" w:lineRule="auto"/>
        <w:ind w:firstLine="480" w:firstLineChars="200"/>
        <w:rPr>
          <w:rFonts w:ascii="Times New Roman" w:hAnsi="Times New Roman"/>
          <w:color w:val="auto"/>
          <w:sz w:val="24"/>
        </w:rPr>
      </w:pPr>
      <m:oMathPara>
        <m:oMath>
          <m:r>
            <m:rPr/>
            <w:rPr>
              <w:rFonts w:ascii="Cambria Math" w:hAnsi="Cambria Math"/>
              <w:color w:val="auto"/>
              <w:sz w:val="24"/>
            </w:rPr>
            <m:t>K</m:t>
          </m:r>
          <m:r>
            <m:rPr>
              <m:sty m:val="p"/>
            </m:rPr>
            <w:rPr>
              <w:rFonts w:ascii="Cambria Math" w:hAnsi="Cambria Math"/>
              <w:color w:val="auto"/>
              <w:sz w:val="24"/>
            </w:rPr>
            <m:t>=</m:t>
          </m:r>
          <m:f>
            <m:fPr>
              <m:ctrlPr>
                <w:rPr>
                  <w:rFonts w:ascii="Cambria Math" w:hAnsi="Cambria Math"/>
                  <w:color w:val="auto"/>
                  <w:sz w:val="24"/>
                </w:rPr>
              </m:ctrlPr>
            </m:fPr>
            <m:num>
              <m:nary>
                <m:naryPr>
                  <m:chr m:val="∑"/>
                  <m:limLoc m:val="undOvr"/>
                  <m:ctrlPr>
                    <w:rPr>
                      <w:rFonts w:ascii="Cambria Math" w:hAnsi="Cambria Math"/>
                      <w:i/>
                      <w:color w:val="auto"/>
                      <w:sz w:val="24"/>
                    </w:rPr>
                  </m:ctrlPr>
                </m:naryPr>
                <m:sub>
                  <m:r>
                    <m:rPr/>
                    <w:rPr>
                      <w:rFonts w:ascii="Cambria Math" w:hAnsi="Cambria Math"/>
                      <w:color w:val="auto"/>
                      <w:sz w:val="24"/>
                    </w:rPr>
                    <m:t>i=1</m:t>
                  </m:r>
                  <m:ctrlPr>
                    <w:rPr>
                      <w:rFonts w:ascii="Cambria Math" w:hAnsi="Cambria Math"/>
                      <w:i/>
                      <w:color w:val="auto"/>
                      <w:sz w:val="24"/>
                    </w:rPr>
                  </m:ctrlPr>
                </m:sub>
                <m:sup>
                  <m:r>
                    <m:rPr/>
                    <w:rPr>
                      <w:rFonts w:ascii="Cambria Math" w:hAnsi="Cambria Math"/>
                      <w:color w:val="auto"/>
                      <w:sz w:val="24"/>
                    </w:rPr>
                    <m:t>n</m:t>
                  </m:r>
                  <m:ctrlPr>
                    <w:rPr>
                      <w:rFonts w:ascii="Cambria Math" w:hAnsi="Cambria Math"/>
                      <w:i/>
                      <w:color w:val="auto"/>
                      <w:sz w:val="24"/>
                    </w:rPr>
                  </m:ctrlPr>
                </m:sup>
                <m:e>
                  <m:sSub>
                    <m:sSubPr>
                      <m:ctrlPr>
                        <w:rPr>
                          <w:rFonts w:ascii="Cambria Math" w:hAnsi="Cambria Math"/>
                          <w:i/>
                          <w:color w:val="auto"/>
                          <w:sz w:val="24"/>
                        </w:rPr>
                      </m:ctrlPr>
                    </m:sSubPr>
                    <m:e>
                      <m:r>
                        <m:rPr/>
                        <w:rPr>
                          <w:rFonts w:ascii="Cambria Math" w:hAnsi="Cambria Math"/>
                          <w:color w:val="auto"/>
                          <w:sz w:val="24"/>
                        </w:rPr>
                        <m:t>K</m:t>
                      </m:r>
                      <m:ctrlPr>
                        <w:rPr>
                          <w:rFonts w:ascii="Cambria Math" w:hAnsi="Cambria Math"/>
                          <w:i/>
                          <w:color w:val="auto"/>
                          <w:sz w:val="24"/>
                        </w:rPr>
                      </m:ctrlPr>
                    </m:e>
                    <m:sub>
                      <m:r>
                        <m:rPr/>
                        <w:rPr>
                          <w:rFonts w:ascii="Cambria Math" w:hAnsi="Cambria Math"/>
                          <w:color w:val="auto"/>
                          <w:sz w:val="24"/>
                        </w:rPr>
                        <m:t>i</m:t>
                      </m:r>
                      <m:ctrlPr>
                        <w:rPr>
                          <w:rFonts w:ascii="Cambria Math" w:hAnsi="Cambria Math"/>
                          <w:i/>
                          <w:color w:val="auto"/>
                          <w:sz w:val="24"/>
                        </w:rPr>
                      </m:ctrlPr>
                    </m:sub>
                  </m:sSub>
                  <m:sSub>
                    <m:sSubPr>
                      <m:ctrlPr>
                        <w:rPr>
                          <w:rFonts w:ascii="Cambria Math" w:hAnsi="Cambria Math"/>
                          <w:i/>
                          <w:color w:val="auto"/>
                          <w:sz w:val="24"/>
                        </w:rPr>
                      </m:ctrlPr>
                    </m:sSubPr>
                    <m:e>
                      <m:r>
                        <m:rPr/>
                        <w:rPr>
                          <w:rFonts w:ascii="Cambria Math" w:hAnsi="Cambria Math"/>
                          <w:color w:val="auto"/>
                          <w:sz w:val="24"/>
                        </w:rPr>
                        <m:t>M</m:t>
                      </m:r>
                      <m:ctrlPr>
                        <w:rPr>
                          <w:rFonts w:ascii="Cambria Math" w:hAnsi="Cambria Math"/>
                          <w:i/>
                          <w:color w:val="auto"/>
                          <w:sz w:val="24"/>
                        </w:rPr>
                      </m:ctrlPr>
                    </m:e>
                    <m:sub>
                      <m:r>
                        <m:rPr/>
                        <w:rPr>
                          <w:rFonts w:ascii="Cambria Math" w:hAnsi="Cambria Math"/>
                          <w:color w:val="auto"/>
                          <w:sz w:val="24"/>
                        </w:rPr>
                        <m:t>i</m:t>
                      </m:r>
                      <m:ctrlPr>
                        <w:rPr>
                          <w:rFonts w:ascii="Cambria Math" w:hAnsi="Cambria Math"/>
                          <w:i/>
                          <w:color w:val="auto"/>
                          <w:sz w:val="24"/>
                        </w:rPr>
                      </m:ctrlPr>
                    </m:sub>
                  </m:sSub>
                  <m:ctrlPr>
                    <w:rPr>
                      <w:rFonts w:ascii="Cambria Math" w:hAnsi="Cambria Math"/>
                      <w:i/>
                      <w:color w:val="auto"/>
                      <w:sz w:val="24"/>
                    </w:rPr>
                  </m:ctrlPr>
                </m:e>
              </m:nary>
              <m:ctrlPr>
                <w:rPr>
                  <w:rFonts w:ascii="Cambria Math" w:hAnsi="Cambria Math"/>
                  <w:color w:val="auto"/>
                  <w:sz w:val="24"/>
                </w:rPr>
              </m:ctrlPr>
            </m:num>
            <m:den>
              <m:nary>
                <m:naryPr>
                  <m:chr m:val="∑"/>
                  <m:limLoc m:val="undOvr"/>
                  <m:ctrlPr>
                    <w:rPr>
                      <w:rFonts w:ascii="Cambria Math" w:hAnsi="Cambria Math"/>
                      <w:i/>
                      <w:color w:val="auto"/>
                      <w:sz w:val="24"/>
                    </w:rPr>
                  </m:ctrlPr>
                </m:naryPr>
                <m:sub>
                  <m:r>
                    <m:rPr/>
                    <w:rPr>
                      <w:rFonts w:ascii="Cambria Math" w:hAnsi="Cambria Math"/>
                      <w:color w:val="auto"/>
                      <w:sz w:val="24"/>
                    </w:rPr>
                    <m:t>i=1</m:t>
                  </m:r>
                  <m:ctrlPr>
                    <w:rPr>
                      <w:rFonts w:ascii="Cambria Math" w:hAnsi="Cambria Math"/>
                      <w:i/>
                      <w:color w:val="auto"/>
                      <w:sz w:val="24"/>
                    </w:rPr>
                  </m:ctrlPr>
                </m:sub>
                <m:sup>
                  <m:r>
                    <m:rPr/>
                    <w:rPr>
                      <w:rFonts w:ascii="Cambria Math" w:hAnsi="Cambria Math"/>
                      <w:color w:val="auto"/>
                      <w:sz w:val="24"/>
                    </w:rPr>
                    <m:t>n</m:t>
                  </m:r>
                  <m:ctrlPr>
                    <w:rPr>
                      <w:rFonts w:ascii="Cambria Math" w:hAnsi="Cambria Math"/>
                      <w:i/>
                      <w:color w:val="auto"/>
                      <w:sz w:val="24"/>
                    </w:rPr>
                  </m:ctrlPr>
                </m:sup>
                <m:e>
                  <m:sSub>
                    <m:sSubPr>
                      <m:ctrlPr>
                        <w:rPr>
                          <w:rFonts w:ascii="Cambria Math" w:hAnsi="Cambria Math"/>
                          <w:i/>
                          <w:color w:val="auto"/>
                          <w:sz w:val="24"/>
                        </w:rPr>
                      </m:ctrlPr>
                    </m:sSubPr>
                    <m:e>
                      <m:r>
                        <m:rPr/>
                        <w:rPr>
                          <w:rFonts w:ascii="Cambria Math" w:hAnsi="Cambria Math"/>
                          <w:color w:val="auto"/>
                          <w:sz w:val="24"/>
                        </w:rPr>
                        <m:t>M</m:t>
                      </m:r>
                      <m:ctrlPr>
                        <w:rPr>
                          <w:rFonts w:ascii="Cambria Math" w:hAnsi="Cambria Math"/>
                          <w:i/>
                          <w:color w:val="auto"/>
                          <w:sz w:val="24"/>
                        </w:rPr>
                      </m:ctrlPr>
                    </m:e>
                    <m:sub>
                      <m:r>
                        <m:rPr/>
                        <w:rPr>
                          <w:rFonts w:ascii="Cambria Math" w:hAnsi="Cambria Math"/>
                          <w:color w:val="auto"/>
                          <w:sz w:val="24"/>
                        </w:rPr>
                        <m:t>i</m:t>
                      </m:r>
                      <m:ctrlPr>
                        <w:rPr>
                          <w:rFonts w:ascii="Cambria Math" w:hAnsi="Cambria Math"/>
                          <w:i/>
                          <w:color w:val="auto"/>
                          <w:sz w:val="24"/>
                        </w:rPr>
                      </m:ctrlPr>
                    </m:sub>
                  </m:sSub>
                  <m:ctrlPr>
                    <w:rPr>
                      <w:rFonts w:ascii="Cambria Math" w:hAnsi="Cambria Math"/>
                      <w:i/>
                      <w:color w:val="auto"/>
                      <w:sz w:val="24"/>
                    </w:rPr>
                  </m:ctrlPr>
                </m:e>
              </m:nary>
              <m:ctrlPr>
                <w:rPr>
                  <w:rFonts w:ascii="Cambria Math" w:hAnsi="Cambria Math"/>
                  <w:color w:val="auto"/>
                  <w:sz w:val="24"/>
                </w:rPr>
              </m:ctrlPr>
            </m:den>
          </m:f>
        </m:oMath>
      </m:oMathPara>
    </w:p>
    <w:p w14:paraId="67634D9D">
      <w:pPr>
        <w:spacing w:line="360" w:lineRule="auto"/>
        <w:rPr>
          <w:rFonts w:ascii="Times New Roman" w:hAnsi="Times New Roman"/>
          <w:color w:val="auto"/>
          <w:sz w:val="24"/>
        </w:rPr>
      </w:pPr>
      <w:r>
        <w:rPr>
          <w:rFonts w:hint="eastAsia" w:ascii="Times New Roman" w:hAnsi="Times New Roman"/>
          <w:color w:val="auto"/>
          <w:sz w:val="24"/>
        </w:rPr>
        <w:t>式中，</w:t>
      </w:r>
      <w:r>
        <w:rPr>
          <w:rFonts w:hint="eastAsia" w:ascii="Times New Roman" w:hAnsi="Times New Roman"/>
          <w:i/>
          <w:color w:val="auto"/>
          <w:sz w:val="24"/>
          <w:szCs w:val="24"/>
        </w:rPr>
        <w:t>K</w:t>
      </w:r>
      <w:r>
        <w:rPr>
          <w:rFonts w:ascii="Times New Roman" w:hAnsi="Times New Roman"/>
          <w:i/>
          <w:color w:val="auto"/>
          <w:sz w:val="24"/>
          <w:szCs w:val="24"/>
          <w:vertAlign w:val="subscript"/>
        </w:rPr>
        <w:t>i</w:t>
      </w:r>
      <w:r>
        <w:rPr>
          <w:rFonts w:ascii="Times New Roman" w:hAnsi="Times New Roman"/>
          <w:color w:val="auto"/>
          <w:sz w:val="24"/>
        </w:rPr>
        <w:t>——</w:t>
      </w:r>
      <w:r>
        <w:rPr>
          <w:rFonts w:hint="eastAsia" w:ascii="Times New Roman" w:hAnsi="Times New Roman"/>
          <w:color w:val="auto"/>
          <w:sz w:val="24"/>
        </w:rPr>
        <w:t>第</w:t>
      </w:r>
      <w:r>
        <w:rPr>
          <w:rFonts w:hint="eastAsia" w:ascii="Times New Roman" w:hAnsi="Times New Roman"/>
          <w:i/>
          <w:color w:val="auto"/>
          <w:sz w:val="24"/>
        </w:rPr>
        <w:t>i</w:t>
      </w:r>
      <w:r>
        <w:rPr>
          <w:rFonts w:hint="eastAsia" w:ascii="Times New Roman" w:hAnsi="Times New Roman"/>
          <w:color w:val="auto"/>
          <w:sz w:val="24"/>
        </w:rPr>
        <w:t>层的渗透系数，cm</w:t>
      </w:r>
      <w:r>
        <w:rPr>
          <w:rFonts w:ascii="Times New Roman" w:hAnsi="Times New Roman"/>
          <w:color w:val="auto"/>
          <w:sz w:val="24"/>
        </w:rPr>
        <w:t>/s；</w:t>
      </w:r>
    </w:p>
    <w:p w14:paraId="72E32820">
      <w:pPr>
        <w:spacing w:line="360" w:lineRule="auto"/>
        <w:ind w:firstLine="720" w:firstLineChars="300"/>
        <w:rPr>
          <w:rFonts w:ascii="Times New Roman" w:hAnsi="Times New Roman"/>
          <w:color w:val="auto"/>
          <w:sz w:val="24"/>
        </w:rPr>
      </w:pPr>
      <w:r>
        <w:rPr>
          <w:rFonts w:ascii="Times New Roman" w:hAnsi="Times New Roman"/>
          <w:i/>
          <w:color w:val="auto"/>
          <w:sz w:val="24"/>
          <w:szCs w:val="24"/>
        </w:rPr>
        <w:t>M</w:t>
      </w:r>
      <w:r>
        <w:rPr>
          <w:rFonts w:ascii="Times New Roman" w:hAnsi="Times New Roman"/>
          <w:i/>
          <w:color w:val="auto"/>
          <w:sz w:val="24"/>
          <w:szCs w:val="24"/>
          <w:vertAlign w:val="subscript"/>
        </w:rPr>
        <w:t>i</w:t>
      </w:r>
      <w:r>
        <w:rPr>
          <w:rFonts w:ascii="Times New Roman" w:hAnsi="Times New Roman"/>
          <w:color w:val="auto"/>
          <w:sz w:val="24"/>
        </w:rPr>
        <w:t>——</w:t>
      </w:r>
      <w:r>
        <w:rPr>
          <w:rFonts w:hint="eastAsia" w:ascii="Times New Roman" w:hAnsi="Times New Roman"/>
          <w:color w:val="auto"/>
          <w:sz w:val="24"/>
        </w:rPr>
        <w:t>第</w:t>
      </w:r>
      <w:r>
        <w:rPr>
          <w:rFonts w:hint="eastAsia" w:ascii="Times New Roman" w:hAnsi="Times New Roman"/>
          <w:i/>
          <w:color w:val="auto"/>
          <w:sz w:val="24"/>
        </w:rPr>
        <w:t>i</w:t>
      </w:r>
      <w:r>
        <w:rPr>
          <w:rFonts w:hint="eastAsia" w:ascii="Times New Roman" w:hAnsi="Times New Roman"/>
          <w:color w:val="auto"/>
          <w:sz w:val="24"/>
        </w:rPr>
        <w:t>层的厚度，cm。</w:t>
      </w:r>
    </w:p>
    <w:p w14:paraId="6FDE9316">
      <w:pPr>
        <w:spacing w:line="360" w:lineRule="auto"/>
        <w:ind w:left="0" w:leftChars="0" w:firstLine="480" w:firstLineChars="200"/>
        <w:rPr>
          <w:rFonts w:hint="eastAsia" w:ascii="Times New Roman" w:hAnsi="Times New Roman" w:eastAsia="宋体"/>
          <w:color w:val="auto"/>
          <w:sz w:val="24"/>
          <w:lang w:eastAsia="zh-CN"/>
        </w:rPr>
      </w:pPr>
      <w:r>
        <w:rPr>
          <w:rFonts w:ascii="Times New Roman" w:hAnsi="Times New Roman"/>
          <w:color w:val="auto"/>
          <w:sz w:val="24"/>
        </w:rPr>
        <w:t>经计</w:t>
      </w:r>
      <w:r>
        <w:rPr>
          <w:rFonts w:ascii="Times New Roman" w:hAnsi="Times New Roman" w:cs="Times New Roman"/>
          <w:color w:val="auto"/>
          <w:sz w:val="24"/>
        </w:rPr>
        <w:t>算可知，</w:t>
      </w:r>
      <w:r>
        <w:rPr>
          <w:rFonts w:hint="eastAsia" w:ascii="Times New Roman" w:hAnsi="Times New Roman"/>
          <w:color w:val="auto"/>
          <w:sz w:val="24"/>
        </w:rPr>
        <w:t>包气带垂向</w:t>
      </w:r>
      <w:r>
        <w:rPr>
          <w:rFonts w:ascii="Times New Roman" w:hAnsi="Times New Roman"/>
          <w:color w:val="auto"/>
          <w:sz w:val="24"/>
        </w:rPr>
        <w:t>等效渗透系数</w:t>
      </w:r>
      <w:r>
        <w:rPr>
          <w:rFonts w:ascii="Times New Roman" w:hAnsi="Times New Roman" w:cs="Times New Roman"/>
          <w:i/>
          <w:color w:val="auto"/>
          <w:sz w:val="24"/>
        </w:rPr>
        <w:t>K</w:t>
      </w:r>
      <w:r>
        <w:rPr>
          <w:rFonts w:ascii="Times New Roman" w:hAnsi="Times New Roman" w:cs="Times New Roman"/>
          <w:color w:val="auto"/>
          <w:sz w:val="24"/>
        </w:rPr>
        <w:t>为</w:t>
      </w:r>
      <w:r>
        <w:rPr>
          <w:rFonts w:hint="eastAsia" w:cs="Times New Roman"/>
          <w:color w:val="auto"/>
          <w:sz w:val="24"/>
          <w:lang w:val="en-US" w:eastAsia="zh-CN"/>
        </w:rPr>
        <w:t>5.56E-06</w:t>
      </w:r>
      <w:r>
        <w:rPr>
          <w:rFonts w:ascii="Times New Roman" w:hAnsi="Times New Roman" w:cs="Times New Roman"/>
          <w:color w:val="auto"/>
          <w:sz w:val="24"/>
        </w:rPr>
        <w:t>cm/s</w:t>
      </w:r>
      <w:r>
        <w:rPr>
          <w:rFonts w:hint="eastAsia" w:cs="Times New Roman"/>
          <w:color w:val="auto"/>
          <w:sz w:val="24"/>
          <w:lang w:eastAsia="zh-CN"/>
        </w:rPr>
        <w:t>；</w:t>
      </w:r>
      <w:r>
        <w:rPr>
          <w:rFonts w:hint="eastAsia" w:cs="Times New Roman"/>
          <w:color w:val="auto"/>
          <w:sz w:val="24"/>
          <w:lang w:val="en-US" w:eastAsia="zh-CN"/>
        </w:rPr>
        <w:t>本项目设置</w:t>
      </w:r>
      <w:r>
        <w:rPr>
          <w:rFonts w:hint="eastAsia"/>
          <w:color w:val="auto"/>
          <w:highlight w:val="none"/>
          <w:lang w:val="en-US" w:eastAsia="zh-CN"/>
        </w:rPr>
        <w:t>DCS分散型控制系统，且</w:t>
      </w:r>
      <w:r>
        <w:rPr>
          <w:rFonts w:hint="eastAsia" w:cs="Times New Roman"/>
          <w:color w:val="auto"/>
          <w:sz w:val="24"/>
          <w:lang w:val="en-US" w:eastAsia="zh-CN"/>
        </w:rPr>
        <w:t>罐区设置围堰和</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池（集水池内设潜污泵，用于提升事故废水至可视化架空管廊），发生泄漏时可迅速反应，并对废液进行收集转移，泄漏时间设定为10min，考虑几乎不存在多个储罐同时泄漏的情况，则</w:t>
      </w:r>
      <w:r>
        <w:rPr>
          <w:rFonts w:hint="eastAsia" w:cs="Times New Roman"/>
          <w:color w:val="auto"/>
          <w:sz w:val="24"/>
          <w:lang w:val="en-US" w:eastAsia="zh-CN"/>
        </w:rPr>
        <w:t>氟化物</w:t>
      </w:r>
      <w:r>
        <w:rPr>
          <w:rFonts w:ascii="Times New Roman" w:hAnsi="Times New Roman" w:cs="Times New Roman"/>
          <w:color w:val="auto"/>
          <w:sz w:val="24"/>
        </w:rPr>
        <w:t>单位面积渗漏量为</w:t>
      </w:r>
      <w:r>
        <w:rPr>
          <w:rFonts w:hint="eastAsia" w:cs="Times New Roman"/>
          <w:color w:val="auto"/>
          <w:sz w:val="24"/>
          <w:lang w:val="en-US" w:eastAsia="zh-CN"/>
        </w:rPr>
        <w:t>14.52</w:t>
      </w:r>
      <w:r>
        <w:rPr>
          <w:rFonts w:hint="eastAsia" w:ascii="Times New Roman" w:hAnsi="Times New Roman" w:cs="Times New Roman"/>
          <w:color w:val="auto"/>
          <w:sz w:val="24"/>
        </w:rPr>
        <w:t>cm</w:t>
      </w:r>
      <w:r>
        <w:rPr>
          <w:rFonts w:ascii="Times New Roman" w:hAnsi="Times New Roman" w:cs="Times New Roman"/>
          <w:color w:val="auto"/>
          <w:sz w:val="24"/>
        </w:rPr>
        <w:t>/d</w:t>
      </w:r>
      <w:r>
        <w:rPr>
          <w:rFonts w:hint="eastAsia" w:cs="Times New Roman"/>
          <w:color w:val="auto"/>
          <w:sz w:val="24"/>
          <w:lang w:eastAsia="zh-CN"/>
        </w:rPr>
        <w:t>，</w:t>
      </w:r>
      <w:r>
        <w:rPr>
          <w:rFonts w:hint="eastAsia" w:cs="Times New Roman"/>
          <w:color w:val="auto"/>
          <w:sz w:val="24"/>
          <w:lang w:val="en-US" w:eastAsia="zh-CN"/>
        </w:rPr>
        <w:t>污染物浓度为328640mg/cm</w:t>
      </w:r>
      <w:r>
        <w:rPr>
          <w:rFonts w:hint="eastAsia" w:cs="Times New Roman"/>
          <w:color w:val="auto"/>
          <w:sz w:val="24"/>
          <w:vertAlign w:val="superscript"/>
          <w:lang w:val="en-US" w:eastAsia="zh-CN"/>
        </w:rPr>
        <w:t>3</w:t>
      </w:r>
      <w:r>
        <w:rPr>
          <w:rFonts w:hint="eastAsia" w:ascii="Times New Roman" w:hAnsi="Times New Roman" w:cs="Times New Roman"/>
          <w:color w:val="auto"/>
          <w:sz w:val="24"/>
        </w:rPr>
        <w:t>。</w:t>
      </w:r>
    </w:p>
    <w:p w14:paraId="25A618DC">
      <w:pPr>
        <w:spacing w:line="360" w:lineRule="auto"/>
        <w:rPr>
          <w:rFonts w:ascii="Times New Roman" w:hAnsi="Times New Roman"/>
          <w:b/>
          <w:color w:val="auto"/>
          <w:sz w:val="24"/>
        </w:rPr>
      </w:pPr>
      <w:r>
        <w:rPr>
          <w:rFonts w:ascii="Times New Roman" w:hAnsi="Times New Roman"/>
          <w:b/>
          <w:color w:val="auto"/>
          <w:sz w:val="24"/>
        </w:rPr>
        <w:t>D</w:t>
      </w:r>
      <w:r>
        <w:rPr>
          <w:rFonts w:hint="eastAsia" w:ascii="Times New Roman" w:hAnsi="Times New Roman"/>
          <w:b/>
          <w:color w:val="auto"/>
          <w:sz w:val="24"/>
        </w:rPr>
        <w:t>、模型建立</w:t>
      </w:r>
    </w:p>
    <w:p w14:paraId="7C24EF9E">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bCs/>
          <w:color w:val="auto"/>
          <w:lang w:bidi="ar"/>
        </w:rPr>
        <w:t>区域地下水水位埋深为</w:t>
      </w:r>
      <w:r>
        <w:rPr>
          <w:rFonts w:hint="eastAsia"/>
          <w:bCs/>
          <w:color w:val="auto"/>
          <w:lang w:val="en-US" w:eastAsia="zh-CN" w:bidi="ar"/>
        </w:rPr>
        <w:t>0.12~100</w:t>
      </w:r>
      <w:r>
        <w:rPr>
          <w:rFonts w:ascii="Times New Roman" w:hAnsi="Times New Roman"/>
          <w:bCs/>
          <w:color w:val="auto"/>
          <w:lang w:bidi="ar"/>
        </w:rPr>
        <w:t>m</w:t>
      </w:r>
      <w:r>
        <w:rPr>
          <w:rFonts w:hint="eastAsia" w:ascii="Times New Roman" w:hAnsi="Times New Roman"/>
          <w:color w:val="auto"/>
          <w:sz w:val="24"/>
        </w:rPr>
        <w:t>，</w:t>
      </w:r>
      <w:r>
        <w:rPr>
          <w:rFonts w:hint="eastAsia" w:ascii="Times New Roman" w:hAnsi="Times New Roman"/>
          <w:color w:val="auto"/>
          <w:sz w:val="24"/>
          <w:szCs w:val="24"/>
        </w:rPr>
        <w:t>本次土壤评价取</w:t>
      </w:r>
      <w:r>
        <w:rPr>
          <w:rFonts w:hint="eastAsia"/>
          <w:color w:val="auto"/>
          <w:sz w:val="24"/>
          <w:szCs w:val="24"/>
          <w:lang w:val="en-US" w:eastAsia="zh-CN"/>
        </w:rPr>
        <w:t>100</w:t>
      </w:r>
      <w:r>
        <w:rPr>
          <w:rFonts w:hint="eastAsia" w:ascii="Times New Roman" w:hAnsi="Times New Roman"/>
          <w:color w:val="auto"/>
          <w:sz w:val="24"/>
          <w:szCs w:val="24"/>
        </w:rPr>
        <w:t>m，设定垂向厚度</w:t>
      </w:r>
      <w:r>
        <w:rPr>
          <w:rFonts w:hint="eastAsia"/>
          <w:color w:val="auto"/>
          <w:sz w:val="24"/>
          <w:szCs w:val="24"/>
          <w:lang w:val="en-US" w:eastAsia="zh-CN"/>
        </w:rPr>
        <w:t>100</w:t>
      </w:r>
      <w:r>
        <w:rPr>
          <w:rFonts w:hint="eastAsia" w:ascii="Times New Roman" w:hAnsi="Times New Roman"/>
          <w:color w:val="auto"/>
          <w:sz w:val="24"/>
          <w:szCs w:val="24"/>
        </w:rPr>
        <w:t>m的土壤模型，假设土壤模型剖面初设状态为静力平衡态，设定模型底部和地面压力水头。</w:t>
      </w:r>
      <w:r>
        <w:rPr>
          <w:rFonts w:hint="eastAsia" w:ascii="Times New Roman" w:hAnsi="Times New Roman"/>
          <w:color w:val="auto"/>
          <w:sz w:val="24"/>
        </w:rPr>
        <w:t>根据监测土壤样品信息，项目区土壤为</w:t>
      </w:r>
      <w:r>
        <w:rPr>
          <w:rFonts w:hint="eastAsia" w:ascii="Times New Roman" w:hAnsi="Times New Roman"/>
          <w:color w:val="auto"/>
          <w:sz w:val="24"/>
          <w:szCs w:val="24"/>
          <w:lang w:val="en-US" w:eastAsia="zh-CN"/>
        </w:rPr>
        <w:t>砂</w:t>
      </w:r>
      <w:r>
        <w:rPr>
          <w:rFonts w:hint="eastAsia" w:ascii="Times New Roman" w:hAnsi="Times New Roman"/>
          <w:color w:val="auto"/>
          <w:sz w:val="24"/>
          <w:szCs w:val="24"/>
        </w:rPr>
        <w:t>土，</w:t>
      </w:r>
      <w:r>
        <w:rPr>
          <w:rFonts w:ascii="Times New Roman" w:hAnsi="Times New Roman"/>
          <w:color w:val="auto"/>
          <w:sz w:val="24"/>
          <w:szCs w:val="24"/>
        </w:rPr>
        <w:t>各</w:t>
      </w:r>
      <w:r>
        <w:rPr>
          <w:rFonts w:hint="eastAsia" w:ascii="Times New Roman" w:hAnsi="Times New Roman"/>
          <w:color w:val="auto"/>
          <w:sz w:val="24"/>
          <w:szCs w:val="24"/>
        </w:rPr>
        <w:t>参数使用模型中已有数据，参数如下表。各土壤剖面模型在</w:t>
      </w:r>
      <w:r>
        <w:rPr>
          <w:rFonts w:hint="eastAsia"/>
          <w:color w:val="auto"/>
          <w:sz w:val="24"/>
          <w:szCs w:val="24"/>
          <w:lang w:val="en-US" w:eastAsia="zh-CN"/>
        </w:rPr>
        <w:t>100</w:t>
      </w:r>
      <w:r>
        <w:rPr>
          <w:rFonts w:hint="eastAsia" w:ascii="Times New Roman" w:hAnsi="Times New Roman"/>
          <w:color w:val="auto"/>
          <w:sz w:val="24"/>
          <w:szCs w:val="24"/>
        </w:rPr>
        <w:t>m范围内不分层，概化为一层。</w:t>
      </w:r>
    </w:p>
    <w:p w14:paraId="212DA9BE">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土壤水动力参数表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104"/>
        <w:gridCol w:w="1353"/>
        <w:gridCol w:w="1449"/>
        <w:gridCol w:w="1256"/>
        <w:gridCol w:w="1256"/>
        <w:gridCol w:w="1256"/>
        <w:gridCol w:w="1255"/>
      </w:tblGrid>
      <w:tr w14:paraId="5D76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 w:type="pct"/>
            <w:vAlign w:val="center"/>
          </w:tcPr>
          <w:p w14:paraId="57560B7E">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序号</w:t>
            </w:r>
          </w:p>
        </w:tc>
        <w:tc>
          <w:tcPr>
            <w:tcW w:w="580" w:type="pct"/>
            <w:vAlign w:val="center"/>
          </w:tcPr>
          <w:p w14:paraId="6FD8F1A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土壤</w:t>
            </w:r>
          </w:p>
        </w:tc>
        <w:tc>
          <w:tcPr>
            <w:tcW w:w="710" w:type="pct"/>
            <w:vAlign w:val="center"/>
          </w:tcPr>
          <w:p w14:paraId="6581B4CD">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残余含水率（cm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/cm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w:t>
            </w:r>
          </w:p>
        </w:tc>
        <w:tc>
          <w:tcPr>
            <w:tcW w:w="761" w:type="pct"/>
            <w:vAlign w:val="center"/>
          </w:tcPr>
          <w:p w14:paraId="1E7CCAB0">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饱和含水率（cm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/cm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w:t>
            </w:r>
          </w:p>
        </w:tc>
        <w:tc>
          <w:tcPr>
            <w:tcW w:w="660" w:type="pct"/>
            <w:vAlign w:val="center"/>
          </w:tcPr>
          <w:p w14:paraId="54C8010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经验参数（1/m）</w:t>
            </w:r>
          </w:p>
        </w:tc>
        <w:tc>
          <w:tcPr>
            <w:tcW w:w="660" w:type="pct"/>
            <w:vAlign w:val="center"/>
          </w:tcPr>
          <w:p w14:paraId="65AC26B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曲线形状参数</w:t>
            </w:r>
          </w:p>
        </w:tc>
        <w:tc>
          <w:tcPr>
            <w:tcW w:w="660" w:type="pct"/>
            <w:vAlign w:val="center"/>
          </w:tcPr>
          <w:p w14:paraId="66E7F2C1">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渗透系数（m/d）</w:t>
            </w:r>
          </w:p>
        </w:tc>
        <w:tc>
          <w:tcPr>
            <w:tcW w:w="659" w:type="pct"/>
            <w:vAlign w:val="center"/>
          </w:tcPr>
          <w:p w14:paraId="10738959">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经验参数</w:t>
            </w:r>
          </w:p>
        </w:tc>
      </w:tr>
      <w:tr w14:paraId="4272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 w:type="pct"/>
            <w:vAlign w:val="center"/>
          </w:tcPr>
          <w:p w14:paraId="717BA10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580" w:type="pct"/>
            <w:vAlign w:val="center"/>
          </w:tcPr>
          <w:p w14:paraId="28AAEE6D">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粉质粘土</w:t>
            </w:r>
          </w:p>
        </w:tc>
        <w:tc>
          <w:tcPr>
            <w:tcW w:w="710" w:type="pct"/>
            <w:vAlign w:val="center"/>
          </w:tcPr>
          <w:p w14:paraId="6DC25EA0">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0.07</w:t>
            </w:r>
          </w:p>
        </w:tc>
        <w:tc>
          <w:tcPr>
            <w:tcW w:w="761" w:type="pct"/>
            <w:vAlign w:val="center"/>
          </w:tcPr>
          <w:p w14:paraId="51F7A87A">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0.36</w:t>
            </w:r>
          </w:p>
        </w:tc>
        <w:tc>
          <w:tcPr>
            <w:tcW w:w="660" w:type="pct"/>
            <w:vAlign w:val="center"/>
          </w:tcPr>
          <w:p w14:paraId="39E20EC4">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0.00005</w:t>
            </w:r>
          </w:p>
        </w:tc>
        <w:tc>
          <w:tcPr>
            <w:tcW w:w="660" w:type="pct"/>
            <w:vAlign w:val="center"/>
          </w:tcPr>
          <w:p w14:paraId="7337E44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1.09</w:t>
            </w:r>
          </w:p>
        </w:tc>
        <w:tc>
          <w:tcPr>
            <w:tcW w:w="660" w:type="pct"/>
            <w:vAlign w:val="center"/>
          </w:tcPr>
          <w:p w14:paraId="4644F259">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0.0048</w:t>
            </w:r>
          </w:p>
        </w:tc>
        <w:tc>
          <w:tcPr>
            <w:tcW w:w="659" w:type="pct"/>
            <w:vAlign w:val="center"/>
          </w:tcPr>
          <w:p w14:paraId="55715232">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0.5</w:t>
            </w:r>
          </w:p>
        </w:tc>
      </w:tr>
    </w:tbl>
    <w:p w14:paraId="2C0AED7A">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溶质运移参数表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304"/>
        <w:gridCol w:w="1887"/>
        <w:gridCol w:w="1887"/>
        <w:gridCol w:w="1714"/>
        <w:gridCol w:w="1714"/>
      </w:tblGrid>
      <w:tr w14:paraId="2644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tcPr>
          <w:p w14:paraId="20FE68D8">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序号</w:t>
            </w:r>
          </w:p>
        </w:tc>
        <w:tc>
          <w:tcPr>
            <w:tcW w:w="685" w:type="pct"/>
          </w:tcPr>
          <w:p w14:paraId="7639B36B">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土壤</w:t>
            </w:r>
          </w:p>
        </w:tc>
        <w:tc>
          <w:tcPr>
            <w:tcW w:w="991" w:type="pct"/>
          </w:tcPr>
          <w:p w14:paraId="126F75E4">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容重（g/cm</w:t>
            </w:r>
            <w:r>
              <w:rPr>
                <w:rFonts w:hint="eastAsia" w:ascii="Times New Roman" w:hAnsi="Times New Roman" w:eastAsia="宋体" w:cs="Courier New"/>
                <w:b/>
                <w:bCs/>
                <w:color w:val="auto"/>
                <w:highlight w:val="none"/>
                <w:vertAlign w:val="superscript"/>
                <w:lang w:val="en-US" w:eastAsia="zh-CN"/>
              </w:rPr>
              <w:t>3</w:t>
            </w:r>
            <w:r>
              <w:rPr>
                <w:rFonts w:hint="eastAsia" w:ascii="Times New Roman" w:hAnsi="Times New Roman" w:eastAsia="宋体" w:cs="Courier New"/>
                <w:b/>
                <w:bCs/>
                <w:color w:val="auto"/>
                <w:highlight w:val="none"/>
                <w:lang w:val="en-US" w:eastAsia="zh-CN"/>
              </w:rPr>
              <w:t>）</w:t>
            </w:r>
          </w:p>
        </w:tc>
        <w:tc>
          <w:tcPr>
            <w:tcW w:w="991" w:type="pct"/>
          </w:tcPr>
          <w:p w14:paraId="27894F6F">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弥散系数（cm）</w:t>
            </w:r>
          </w:p>
        </w:tc>
        <w:tc>
          <w:tcPr>
            <w:tcW w:w="900" w:type="pct"/>
          </w:tcPr>
          <w:p w14:paraId="24FB030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吸附系数</w:t>
            </w:r>
          </w:p>
        </w:tc>
        <w:tc>
          <w:tcPr>
            <w:tcW w:w="900" w:type="pct"/>
          </w:tcPr>
          <w:p w14:paraId="32105377">
            <w:pPr>
              <w:pStyle w:val="24"/>
              <w:bidi w:val="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稳定含水量</w:t>
            </w:r>
          </w:p>
        </w:tc>
      </w:tr>
      <w:tr w14:paraId="3BEB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tcPr>
          <w:p w14:paraId="48649EB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685" w:type="pct"/>
            <w:vAlign w:val="center"/>
          </w:tcPr>
          <w:p w14:paraId="76B14CCE">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粉质粘土</w:t>
            </w:r>
          </w:p>
        </w:tc>
        <w:tc>
          <w:tcPr>
            <w:tcW w:w="991" w:type="pct"/>
          </w:tcPr>
          <w:p w14:paraId="686585CB">
            <w:pPr>
              <w:pStyle w:val="24"/>
              <w:bidi w:val="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1.43</w:t>
            </w:r>
          </w:p>
        </w:tc>
        <w:tc>
          <w:tcPr>
            <w:tcW w:w="991" w:type="pct"/>
          </w:tcPr>
          <w:p w14:paraId="2A2BDBE3">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9</w:t>
            </w:r>
          </w:p>
        </w:tc>
        <w:tc>
          <w:tcPr>
            <w:tcW w:w="900" w:type="pct"/>
          </w:tcPr>
          <w:p w14:paraId="1C2ED27B">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1</w:t>
            </w:r>
          </w:p>
        </w:tc>
        <w:tc>
          <w:tcPr>
            <w:tcW w:w="900" w:type="pct"/>
          </w:tcPr>
          <w:p w14:paraId="1DAF6C6D">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0</w:t>
            </w:r>
          </w:p>
        </w:tc>
      </w:tr>
    </w:tbl>
    <w:p w14:paraId="564A769E">
      <w:pPr>
        <w:spacing w:line="360" w:lineRule="auto"/>
        <w:ind w:left="0" w:leftChars="0" w:firstLine="482" w:firstLineChars="200"/>
        <w:rPr>
          <w:rFonts w:ascii="Times New Roman" w:hAnsi="Times New Roman"/>
          <w:b/>
          <w:color w:val="auto"/>
          <w:sz w:val="24"/>
        </w:rPr>
      </w:pPr>
      <w:r>
        <w:rPr>
          <w:rFonts w:hint="eastAsia" w:ascii="Times New Roman" w:hAnsi="Times New Roman"/>
          <w:b/>
          <w:color w:val="auto"/>
          <w:sz w:val="24"/>
        </w:rPr>
        <w:t>⑤预测结果</w:t>
      </w:r>
    </w:p>
    <w:p w14:paraId="62E0E546">
      <w:pPr>
        <w:spacing w:line="360" w:lineRule="auto"/>
        <w:ind w:left="0" w:leftChars="0" w:firstLine="480" w:firstLineChars="200"/>
        <w:rPr>
          <w:rFonts w:ascii="Times New Roman" w:hAnsi="Times New Roman"/>
          <w:color w:val="auto"/>
          <w:sz w:val="24"/>
        </w:rPr>
      </w:pPr>
      <w:r>
        <w:rPr>
          <w:rFonts w:hint="eastAsia" w:ascii="Times New Roman" w:hAnsi="Times New Roman"/>
          <w:color w:val="auto"/>
          <w:sz w:val="24"/>
        </w:rPr>
        <w:t>根据上述预测模型，营运期土壤中污染物浓度随时间及垂向深度变化情况如下：</w:t>
      </w:r>
    </w:p>
    <w:p w14:paraId="4F346D67">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土壤中氟化物随时间及垂向深度变化表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1104"/>
        <w:gridCol w:w="1104"/>
        <w:gridCol w:w="1104"/>
        <w:gridCol w:w="1104"/>
        <w:gridCol w:w="1104"/>
        <w:gridCol w:w="1104"/>
        <w:gridCol w:w="1105"/>
        <w:gridCol w:w="1107"/>
      </w:tblGrid>
      <w:tr w14:paraId="22EC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50" w:type="pct"/>
            <w:vMerge w:val="restart"/>
            <w:vAlign w:val="center"/>
          </w:tcPr>
          <w:p w14:paraId="5D18F69E">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时间（d）</w:t>
            </w:r>
          </w:p>
        </w:tc>
        <w:tc>
          <w:tcPr>
            <w:tcW w:w="4649" w:type="pct"/>
            <w:gridSpan w:val="8"/>
            <w:vAlign w:val="center"/>
          </w:tcPr>
          <w:p w14:paraId="310F160F">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污染物浓度（mg/kg）</w:t>
            </w:r>
          </w:p>
        </w:tc>
      </w:tr>
      <w:tr w14:paraId="2428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50" w:type="pct"/>
            <w:vMerge w:val="continue"/>
            <w:vAlign w:val="center"/>
          </w:tcPr>
          <w:p w14:paraId="2FFC8AF0">
            <w:pPr>
              <w:pStyle w:val="24"/>
              <w:bidi w:val="0"/>
              <w:rPr>
                <w:rFonts w:hint="eastAsia" w:ascii="Times New Roman" w:hAnsi="Times New Roman" w:eastAsia="宋体" w:cs="Courier New"/>
                <w:b/>
                <w:bCs/>
                <w:color w:val="auto"/>
                <w:sz w:val="18"/>
                <w:szCs w:val="18"/>
                <w:highlight w:val="none"/>
                <w:lang w:val="en-US" w:eastAsia="zh-CN"/>
              </w:rPr>
            </w:pPr>
          </w:p>
        </w:tc>
        <w:tc>
          <w:tcPr>
            <w:tcW w:w="581" w:type="pct"/>
            <w:vAlign w:val="center"/>
          </w:tcPr>
          <w:p w14:paraId="1A7A3097">
            <w:pPr>
              <w:pStyle w:val="24"/>
              <w:bidi w:val="0"/>
              <w:rPr>
                <w:rFonts w:hint="default"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1m</w:t>
            </w:r>
          </w:p>
        </w:tc>
        <w:tc>
          <w:tcPr>
            <w:tcW w:w="581" w:type="pct"/>
            <w:vAlign w:val="center"/>
          </w:tcPr>
          <w:p w14:paraId="48B93B41">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5m</w:t>
            </w:r>
          </w:p>
        </w:tc>
        <w:tc>
          <w:tcPr>
            <w:tcW w:w="581" w:type="pct"/>
            <w:vAlign w:val="center"/>
          </w:tcPr>
          <w:p w14:paraId="1FD4BEB5">
            <w:pPr>
              <w:pStyle w:val="24"/>
              <w:bidi w:val="0"/>
              <w:rPr>
                <w:rFonts w:hint="eastAsia" w:ascii="Times New Roman" w:hAnsi="Times New Roman" w:eastAsia="宋体" w:cs="Courier New"/>
                <w:b/>
                <w:bCs/>
                <w:color w:val="auto"/>
                <w:sz w:val="18"/>
                <w:szCs w:val="18"/>
                <w:highlight w:val="none"/>
                <w:lang w:val="en-US" w:eastAsia="zh-CN"/>
              </w:rPr>
            </w:pPr>
            <w:r>
              <w:rPr>
                <w:rFonts w:hint="eastAsia" w:ascii="Times New Roman" w:hAnsi="Times New Roman" w:eastAsia="宋体" w:cs="Courier New"/>
                <w:b/>
                <w:bCs/>
                <w:color w:val="auto"/>
                <w:sz w:val="18"/>
                <w:szCs w:val="18"/>
                <w:highlight w:val="none"/>
                <w:lang w:val="en-US" w:eastAsia="zh-CN"/>
              </w:rPr>
              <w:t>10m</w:t>
            </w:r>
          </w:p>
        </w:tc>
        <w:tc>
          <w:tcPr>
            <w:tcW w:w="581" w:type="pct"/>
            <w:vAlign w:val="center"/>
          </w:tcPr>
          <w:p w14:paraId="529DA6D3">
            <w:pPr>
              <w:pStyle w:val="24"/>
              <w:bidi w:val="0"/>
              <w:rPr>
                <w:rFonts w:hint="eastAsia" w:ascii="Times New Roman" w:hAnsi="Times New Roman" w:eastAsia="宋体" w:cs="Courier New"/>
                <w:b/>
                <w:bCs/>
                <w:color w:val="auto"/>
                <w:sz w:val="18"/>
                <w:szCs w:val="18"/>
                <w:highlight w:val="none"/>
                <w:lang w:val="en-US" w:eastAsia="zh-CN"/>
              </w:rPr>
            </w:pPr>
            <w:r>
              <w:rPr>
                <w:rFonts w:hint="eastAsia" w:cs="Courier New"/>
                <w:b/>
                <w:bCs/>
                <w:color w:val="auto"/>
                <w:sz w:val="18"/>
                <w:szCs w:val="18"/>
                <w:highlight w:val="none"/>
                <w:lang w:val="en-US" w:eastAsia="zh-CN"/>
              </w:rPr>
              <w:t>20</w:t>
            </w:r>
            <w:r>
              <w:rPr>
                <w:rFonts w:hint="eastAsia" w:ascii="Times New Roman" w:hAnsi="Times New Roman" w:eastAsia="宋体" w:cs="Courier New"/>
                <w:b/>
                <w:bCs/>
                <w:color w:val="auto"/>
                <w:sz w:val="18"/>
                <w:szCs w:val="18"/>
                <w:highlight w:val="none"/>
                <w:lang w:val="en-US" w:eastAsia="zh-CN"/>
              </w:rPr>
              <w:t>m</w:t>
            </w:r>
          </w:p>
        </w:tc>
        <w:tc>
          <w:tcPr>
            <w:tcW w:w="581" w:type="pct"/>
            <w:vAlign w:val="center"/>
          </w:tcPr>
          <w:p w14:paraId="488B48C8">
            <w:pPr>
              <w:pStyle w:val="24"/>
              <w:bidi w:val="0"/>
              <w:rPr>
                <w:rFonts w:hint="eastAsia" w:ascii="Times New Roman" w:hAnsi="Times New Roman" w:eastAsia="宋体" w:cs="Courier New"/>
                <w:b/>
                <w:bCs/>
                <w:color w:val="auto"/>
                <w:sz w:val="18"/>
                <w:szCs w:val="18"/>
                <w:highlight w:val="none"/>
                <w:lang w:val="en-US" w:eastAsia="zh-CN"/>
              </w:rPr>
            </w:pPr>
            <w:r>
              <w:rPr>
                <w:rFonts w:hint="eastAsia" w:cs="Courier New"/>
                <w:b/>
                <w:bCs/>
                <w:color w:val="auto"/>
                <w:sz w:val="18"/>
                <w:szCs w:val="18"/>
                <w:highlight w:val="none"/>
                <w:lang w:val="en-US" w:eastAsia="zh-CN"/>
              </w:rPr>
              <w:t>4</w:t>
            </w:r>
            <w:r>
              <w:rPr>
                <w:rFonts w:hint="eastAsia" w:ascii="Times New Roman" w:hAnsi="Times New Roman" w:eastAsia="宋体" w:cs="Courier New"/>
                <w:b/>
                <w:bCs/>
                <w:color w:val="auto"/>
                <w:sz w:val="18"/>
                <w:szCs w:val="18"/>
                <w:highlight w:val="none"/>
                <w:lang w:val="en-US" w:eastAsia="zh-CN"/>
              </w:rPr>
              <w:t>0m</w:t>
            </w:r>
          </w:p>
        </w:tc>
        <w:tc>
          <w:tcPr>
            <w:tcW w:w="581" w:type="pct"/>
            <w:vAlign w:val="center"/>
          </w:tcPr>
          <w:p w14:paraId="7A29BD4F">
            <w:pPr>
              <w:pStyle w:val="24"/>
              <w:bidi w:val="0"/>
              <w:rPr>
                <w:rFonts w:hint="eastAsia" w:ascii="Times New Roman" w:hAnsi="Times New Roman" w:eastAsia="宋体" w:cs="Courier New"/>
                <w:b/>
                <w:bCs/>
                <w:color w:val="auto"/>
                <w:sz w:val="18"/>
                <w:szCs w:val="18"/>
                <w:highlight w:val="none"/>
                <w:lang w:val="en-US" w:eastAsia="zh-CN"/>
              </w:rPr>
            </w:pPr>
            <w:r>
              <w:rPr>
                <w:rFonts w:hint="eastAsia" w:cs="Courier New"/>
                <w:b/>
                <w:bCs/>
                <w:color w:val="auto"/>
                <w:sz w:val="18"/>
                <w:szCs w:val="18"/>
                <w:highlight w:val="none"/>
                <w:lang w:val="en-US" w:eastAsia="zh-CN"/>
              </w:rPr>
              <w:t>60</w:t>
            </w:r>
            <w:r>
              <w:rPr>
                <w:rFonts w:hint="eastAsia" w:ascii="Times New Roman" w:hAnsi="Times New Roman" w:eastAsia="宋体" w:cs="Courier New"/>
                <w:b/>
                <w:bCs/>
                <w:color w:val="auto"/>
                <w:sz w:val="18"/>
                <w:szCs w:val="18"/>
                <w:highlight w:val="none"/>
                <w:lang w:val="en-US" w:eastAsia="zh-CN"/>
              </w:rPr>
              <w:t>m</w:t>
            </w:r>
          </w:p>
        </w:tc>
        <w:tc>
          <w:tcPr>
            <w:tcW w:w="581" w:type="pct"/>
            <w:vAlign w:val="center"/>
          </w:tcPr>
          <w:p w14:paraId="3EC528FE">
            <w:pPr>
              <w:pStyle w:val="24"/>
              <w:bidi w:val="0"/>
              <w:rPr>
                <w:rFonts w:hint="default" w:cs="Courier New"/>
                <w:b/>
                <w:bCs/>
                <w:color w:val="auto"/>
                <w:sz w:val="18"/>
                <w:szCs w:val="18"/>
                <w:highlight w:val="none"/>
                <w:lang w:val="en-US" w:eastAsia="zh-CN"/>
              </w:rPr>
            </w:pPr>
            <w:r>
              <w:rPr>
                <w:rFonts w:hint="eastAsia" w:cs="Courier New"/>
                <w:b/>
                <w:bCs/>
                <w:color w:val="auto"/>
                <w:sz w:val="18"/>
                <w:szCs w:val="18"/>
                <w:highlight w:val="none"/>
                <w:lang w:val="en-US" w:eastAsia="zh-CN"/>
              </w:rPr>
              <w:t>80m</w:t>
            </w:r>
          </w:p>
        </w:tc>
        <w:tc>
          <w:tcPr>
            <w:tcW w:w="581" w:type="pct"/>
            <w:vAlign w:val="center"/>
          </w:tcPr>
          <w:p w14:paraId="53012A6C">
            <w:pPr>
              <w:pStyle w:val="24"/>
              <w:bidi w:val="0"/>
              <w:rPr>
                <w:rFonts w:hint="default" w:cs="Courier New"/>
                <w:b/>
                <w:bCs/>
                <w:color w:val="auto"/>
                <w:sz w:val="18"/>
                <w:szCs w:val="18"/>
                <w:highlight w:val="none"/>
                <w:lang w:val="en-US" w:eastAsia="zh-CN"/>
              </w:rPr>
            </w:pPr>
            <w:r>
              <w:rPr>
                <w:rFonts w:hint="eastAsia" w:cs="Courier New"/>
                <w:b/>
                <w:bCs/>
                <w:color w:val="auto"/>
                <w:sz w:val="18"/>
                <w:szCs w:val="18"/>
                <w:highlight w:val="none"/>
                <w:lang w:val="en-US" w:eastAsia="zh-CN"/>
              </w:rPr>
              <w:t>100m</w:t>
            </w:r>
          </w:p>
        </w:tc>
      </w:tr>
      <w:tr w14:paraId="4F77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0" w:type="pct"/>
            <w:vAlign w:val="center"/>
          </w:tcPr>
          <w:p w14:paraId="7A4EDE30">
            <w:pPr>
              <w:pStyle w:val="24"/>
              <w:bidi w:val="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1</w:t>
            </w:r>
          </w:p>
        </w:tc>
        <w:tc>
          <w:tcPr>
            <w:tcW w:w="581" w:type="pct"/>
            <w:vAlign w:val="top"/>
          </w:tcPr>
          <w:p w14:paraId="70F57B81">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4FA11E95">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333ADC1B">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1C5E07BA">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32F2CFFB">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78B02DC5">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0D63EA61">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32797A37">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r>
      <w:tr w14:paraId="23CF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 w:type="pct"/>
            <w:vAlign w:val="center"/>
          </w:tcPr>
          <w:p w14:paraId="7229FDCE">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30</w:t>
            </w:r>
          </w:p>
        </w:tc>
        <w:tc>
          <w:tcPr>
            <w:tcW w:w="581" w:type="pct"/>
            <w:vAlign w:val="center"/>
          </w:tcPr>
          <w:p w14:paraId="69743E9A">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center"/>
          </w:tcPr>
          <w:p w14:paraId="3976050D">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shd w:val="clear" w:color="auto" w:fill="auto"/>
            <w:vAlign w:val="top"/>
          </w:tcPr>
          <w:p w14:paraId="1A5C12FD">
            <w:pPr>
              <w:pStyle w:val="24"/>
              <w:bidi w:val="0"/>
              <w:ind w:left="0" w:leftChars="0"/>
              <w:rPr>
                <w:rFonts w:hint="eastAsia"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shd w:val="clear" w:color="auto" w:fill="auto"/>
            <w:vAlign w:val="top"/>
          </w:tcPr>
          <w:p w14:paraId="46125FFF">
            <w:pPr>
              <w:pStyle w:val="24"/>
              <w:bidi w:val="0"/>
              <w:ind w:left="0" w:leftChars="0"/>
              <w:rPr>
                <w:rFonts w:hint="eastAsia"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shd w:val="clear" w:color="auto" w:fill="auto"/>
            <w:vAlign w:val="top"/>
          </w:tcPr>
          <w:p w14:paraId="7748A02B">
            <w:pPr>
              <w:pStyle w:val="24"/>
              <w:bidi w:val="0"/>
              <w:ind w:left="0" w:leftChars="0"/>
              <w:rPr>
                <w:rFonts w:hint="eastAsia"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shd w:val="clear" w:color="auto" w:fill="auto"/>
            <w:vAlign w:val="top"/>
          </w:tcPr>
          <w:p w14:paraId="0B828DD8">
            <w:pPr>
              <w:pStyle w:val="24"/>
              <w:bidi w:val="0"/>
              <w:ind w:left="0" w:leftChars="0"/>
              <w:rPr>
                <w:rFonts w:hint="eastAsia"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shd w:val="clear" w:color="auto" w:fill="auto"/>
            <w:vAlign w:val="top"/>
          </w:tcPr>
          <w:p w14:paraId="7D2AD231">
            <w:pPr>
              <w:pStyle w:val="24"/>
              <w:bidi w:val="0"/>
              <w:ind w:left="0" w:leftChars="0"/>
              <w:rPr>
                <w:rFonts w:hint="eastAsia"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shd w:val="clear" w:color="auto" w:fill="auto"/>
            <w:vAlign w:val="top"/>
          </w:tcPr>
          <w:p w14:paraId="427FE103">
            <w:pPr>
              <w:pStyle w:val="24"/>
              <w:bidi w:val="0"/>
              <w:ind w:left="0" w:leftChars="0"/>
              <w:rPr>
                <w:rFonts w:hint="eastAsia" w:ascii="Times New Roman" w:hAnsi="Times New Roman" w:eastAsia="宋体" w:cs="Courier New"/>
                <w:b w:val="0"/>
                <w:bCs w:val="0"/>
                <w:color w:val="auto"/>
                <w:kern w:val="2"/>
                <w:sz w:val="18"/>
                <w:szCs w:val="18"/>
                <w:highlight w:val="none"/>
                <w:lang w:val="en-US" w:eastAsia="zh-CN" w:bidi="ar-SA"/>
              </w:rPr>
            </w:pPr>
            <w:r>
              <w:rPr>
                <w:rFonts w:hint="eastAsia" w:ascii="Times New Roman" w:hAnsi="Times New Roman" w:eastAsia="宋体" w:cs="Courier New"/>
                <w:b w:val="0"/>
                <w:bCs w:val="0"/>
                <w:color w:val="auto"/>
                <w:sz w:val="18"/>
                <w:szCs w:val="18"/>
                <w:highlight w:val="none"/>
                <w:lang w:val="en-US" w:eastAsia="zh-CN"/>
              </w:rPr>
              <w:t>0.0000E+00</w:t>
            </w:r>
          </w:p>
        </w:tc>
      </w:tr>
      <w:tr w14:paraId="24F9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 w:type="pct"/>
            <w:vAlign w:val="center"/>
          </w:tcPr>
          <w:p w14:paraId="2A5680C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60</w:t>
            </w:r>
          </w:p>
        </w:tc>
        <w:tc>
          <w:tcPr>
            <w:tcW w:w="581" w:type="pct"/>
            <w:vAlign w:val="center"/>
          </w:tcPr>
          <w:p w14:paraId="51A2E621">
            <w:pPr>
              <w:pStyle w:val="24"/>
              <w:bidi w:val="0"/>
              <w:rPr>
                <w:rFonts w:hint="default" w:ascii="Times New Roman" w:hAnsi="Times New Roman" w:eastAsia="宋体" w:cs="Courier New"/>
                <w:b w:val="0"/>
                <w:bCs w:val="0"/>
                <w:color w:val="auto"/>
                <w:sz w:val="18"/>
                <w:szCs w:val="18"/>
                <w:highlight w:val="none"/>
                <w:lang w:val="en-US" w:eastAsia="zh-CN"/>
              </w:rPr>
            </w:pPr>
            <w:r>
              <w:rPr>
                <w:rFonts w:hint="default" w:ascii="Times New Roman" w:hAnsi="Times New Roman" w:eastAsia="宋体" w:cs="Courier New"/>
                <w:b w:val="0"/>
                <w:bCs w:val="0"/>
                <w:color w:val="auto"/>
                <w:sz w:val="18"/>
                <w:szCs w:val="18"/>
                <w:highlight w:val="none"/>
                <w:lang w:val="en-US" w:eastAsia="zh-CN"/>
              </w:rPr>
              <w:t>0.334</w:t>
            </w:r>
            <w:r>
              <w:rPr>
                <w:rFonts w:hint="eastAsia" w:ascii="Times New Roman" w:hAnsi="Times New Roman" w:eastAsia="宋体" w:cs="Courier New"/>
                <w:b w:val="0"/>
                <w:bCs w:val="0"/>
                <w:color w:val="auto"/>
                <w:sz w:val="18"/>
                <w:szCs w:val="18"/>
                <w:highlight w:val="none"/>
                <w:lang w:val="en-US" w:eastAsia="zh-CN"/>
              </w:rPr>
              <w:t>2</w:t>
            </w:r>
            <w:r>
              <w:rPr>
                <w:rFonts w:hint="default" w:ascii="Times New Roman" w:hAnsi="Times New Roman" w:eastAsia="宋体" w:cs="Courier New"/>
                <w:b w:val="0"/>
                <w:bCs w:val="0"/>
                <w:color w:val="auto"/>
                <w:sz w:val="18"/>
                <w:szCs w:val="18"/>
                <w:highlight w:val="none"/>
                <w:lang w:val="en-US" w:eastAsia="zh-CN"/>
              </w:rPr>
              <w:t>E-0</w:t>
            </w:r>
            <w:r>
              <w:rPr>
                <w:rFonts w:hint="eastAsia" w:ascii="Times New Roman" w:hAnsi="Times New Roman" w:eastAsia="宋体" w:cs="Courier New"/>
                <w:b w:val="0"/>
                <w:bCs w:val="0"/>
                <w:color w:val="auto"/>
                <w:sz w:val="18"/>
                <w:szCs w:val="18"/>
                <w:highlight w:val="none"/>
                <w:lang w:val="en-US" w:eastAsia="zh-CN"/>
              </w:rPr>
              <w:t>4</w:t>
            </w:r>
          </w:p>
        </w:tc>
        <w:tc>
          <w:tcPr>
            <w:tcW w:w="581" w:type="pct"/>
          </w:tcPr>
          <w:p w14:paraId="5DA14278">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6BCFCA4C">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61C2166A">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5E3C4B4B">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501761F4">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7913B7C6">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16ED57B0">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r>
      <w:tr w14:paraId="26C4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 w:type="pct"/>
            <w:vAlign w:val="center"/>
          </w:tcPr>
          <w:p w14:paraId="28E5C61D">
            <w:pPr>
              <w:pStyle w:val="24"/>
              <w:bidi w:val="0"/>
              <w:rPr>
                <w:rFonts w:hint="default" w:ascii="Times New Roman" w:hAnsi="Times New Roman" w:eastAsia="宋体" w:cs="Courier New"/>
                <w:b w:val="0"/>
                <w:bCs w:val="0"/>
                <w:color w:val="auto"/>
                <w:sz w:val="18"/>
                <w:szCs w:val="18"/>
                <w:highlight w:val="none"/>
                <w:lang w:val="en-US" w:eastAsia="zh-CN"/>
              </w:rPr>
            </w:pPr>
            <w:r>
              <w:rPr>
                <w:rFonts w:hint="eastAsia" w:cs="Courier New"/>
                <w:b w:val="0"/>
                <w:bCs w:val="0"/>
                <w:color w:val="auto"/>
                <w:sz w:val="18"/>
                <w:szCs w:val="18"/>
                <w:highlight w:val="none"/>
                <w:lang w:val="en-US" w:eastAsia="zh-CN"/>
              </w:rPr>
              <w:t>90</w:t>
            </w:r>
          </w:p>
        </w:tc>
        <w:tc>
          <w:tcPr>
            <w:tcW w:w="581" w:type="pct"/>
            <w:vAlign w:val="center"/>
          </w:tcPr>
          <w:p w14:paraId="611EC186">
            <w:pPr>
              <w:pStyle w:val="24"/>
              <w:bidi w:val="0"/>
              <w:rPr>
                <w:rFonts w:hint="default" w:ascii="Times New Roman" w:hAnsi="Times New Roman" w:eastAsia="宋体" w:cs="Courier New"/>
                <w:b w:val="0"/>
                <w:bCs w:val="0"/>
                <w:color w:val="auto"/>
                <w:sz w:val="18"/>
                <w:szCs w:val="18"/>
                <w:highlight w:val="none"/>
                <w:lang w:val="en-US" w:eastAsia="zh-CN"/>
              </w:rPr>
            </w:pPr>
            <w:r>
              <w:rPr>
                <w:rFonts w:hint="default" w:ascii="Times New Roman" w:hAnsi="Times New Roman" w:eastAsia="宋体" w:cs="Courier New"/>
                <w:b w:val="0"/>
                <w:bCs w:val="0"/>
                <w:color w:val="auto"/>
                <w:sz w:val="18"/>
                <w:szCs w:val="18"/>
                <w:highlight w:val="none"/>
                <w:lang w:val="en-US" w:eastAsia="zh-CN"/>
              </w:rPr>
              <w:t>0.351</w:t>
            </w:r>
            <w:r>
              <w:rPr>
                <w:rFonts w:hint="eastAsia" w:ascii="Times New Roman" w:hAnsi="Times New Roman" w:eastAsia="宋体" w:cs="Courier New"/>
                <w:b w:val="0"/>
                <w:bCs w:val="0"/>
                <w:color w:val="auto"/>
                <w:sz w:val="18"/>
                <w:szCs w:val="18"/>
                <w:highlight w:val="none"/>
                <w:lang w:val="en-US" w:eastAsia="zh-CN"/>
              </w:rPr>
              <w:t>1</w:t>
            </w:r>
            <w:r>
              <w:rPr>
                <w:rFonts w:hint="default" w:ascii="Times New Roman" w:hAnsi="Times New Roman" w:eastAsia="宋体" w:cs="Courier New"/>
                <w:b w:val="0"/>
                <w:bCs w:val="0"/>
                <w:color w:val="auto"/>
                <w:sz w:val="18"/>
                <w:szCs w:val="18"/>
                <w:highlight w:val="none"/>
                <w:lang w:val="en-US" w:eastAsia="zh-CN"/>
              </w:rPr>
              <w:t>E</w:t>
            </w:r>
            <w:r>
              <w:rPr>
                <w:rFonts w:hint="eastAsia" w:ascii="Times New Roman" w:hAnsi="Times New Roman" w:eastAsia="宋体" w:cs="Courier New"/>
                <w:b w:val="0"/>
                <w:bCs w:val="0"/>
                <w:color w:val="auto"/>
                <w:sz w:val="18"/>
                <w:szCs w:val="18"/>
                <w:highlight w:val="none"/>
                <w:lang w:val="en-US" w:eastAsia="zh-CN"/>
              </w:rPr>
              <w:t>-</w:t>
            </w:r>
            <w:r>
              <w:rPr>
                <w:rFonts w:hint="default" w:ascii="Times New Roman" w:hAnsi="Times New Roman" w:eastAsia="宋体" w:cs="Courier New"/>
                <w:b w:val="0"/>
                <w:bCs w:val="0"/>
                <w:color w:val="auto"/>
                <w:sz w:val="18"/>
                <w:szCs w:val="18"/>
                <w:highlight w:val="none"/>
                <w:lang w:val="en-US" w:eastAsia="zh-CN"/>
              </w:rPr>
              <w:t>04</w:t>
            </w:r>
          </w:p>
        </w:tc>
        <w:tc>
          <w:tcPr>
            <w:tcW w:w="581" w:type="pct"/>
          </w:tcPr>
          <w:p w14:paraId="1BBAD9E2">
            <w:pPr>
              <w:pStyle w:val="24"/>
              <w:bidi w:val="0"/>
              <w:rPr>
                <w:rFonts w:hint="default" w:ascii="Times New Roman" w:hAnsi="Times New Roman" w:eastAsia="宋体" w:cs="Courier New"/>
                <w:b w:val="0"/>
                <w:bCs w:val="0"/>
                <w:color w:val="auto"/>
                <w:sz w:val="18"/>
                <w:szCs w:val="18"/>
                <w:highlight w:val="none"/>
                <w:lang w:val="en-US" w:eastAsia="zh-CN"/>
              </w:rPr>
            </w:pPr>
            <w:r>
              <w:rPr>
                <w:rFonts w:hint="default" w:ascii="Times New Roman" w:hAnsi="Times New Roman" w:eastAsia="宋体" w:cs="Courier New"/>
                <w:b w:val="0"/>
                <w:bCs w:val="0"/>
                <w:color w:val="auto"/>
                <w:sz w:val="18"/>
                <w:szCs w:val="18"/>
                <w:highlight w:val="none"/>
                <w:lang w:val="en-US" w:eastAsia="zh-CN"/>
              </w:rPr>
              <w:t>0.1000E</w:t>
            </w:r>
            <w:r>
              <w:rPr>
                <w:rFonts w:hint="eastAsia" w:ascii="Times New Roman" w:hAnsi="Times New Roman" w:eastAsia="宋体" w:cs="Courier New"/>
                <w:b w:val="0"/>
                <w:bCs w:val="0"/>
                <w:color w:val="auto"/>
                <w:sz w:val="18"/>
                <w:szCs w:val="18"/>
                <w:highlight w:val="none"/>
                <w:lang w:val="en-US" w:eastAsia="zh-CN"/>
              </w:rPr>
              <w:t>-1</w:t>
            </w:r>
            <w:r>
              <w:rPr>
                <w:rFonts w:hint="default" w:ascii="Times New Roman" w:hAnsi="Times New Roman" w:eastAsia="宋体" w:cs="Courier New"/>
                <w:b w:val="0"/>
                <w:bCs w:val="0"/>
                <w:color w:val="auto"/>
                <w:sz w:val="18"/>
                <w:szCs w:val="18"/>
                <w:highlight w:val="none"/>
                <w:lang w:val="en-US" w:eastAsia="zh-CN"/>
              </w:rPr>
              <w:t>5</w:t>
            </w:r>
          </w:p>
        </w:tc>
        <w:tc>
          <w:tcPr>
            <w:tcW w:w="581" w:type="pct"/>
            <w:vAlign w:val="top"/>
          </w:tcPr>
          <w:p w14:paraId="3A157468">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58AB32BE">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1B7E8C72">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0386202F">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3DFC1797">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c>
          <w:tcPr>
            <w:tcW w:w="581" w:type="pct"/>
            <w:vAlign w:val="top"/>
          </w:tcPr>
          <w:p w14:paraId="3D969804">
            <w:pPr>
              <w:pStyle w:val="24"/>
              <w:bidi w:val="0"/>
              <w:ind w:left="0" w:leftChars="0"/>
              <w:rPr>
                <w:rFonts w:hint="eastAsia" w:ascii="Times New Roman" w:hAnsi="Times New Roman" w:eastAsia="宋体" w:cs="Courier New"/>
                <w:b w:val="0"/>
                <w:bCs w:val="0"/>
                <w:color w:val="auto"/>
                <w:sz w:val="18"/>
                <w:szCs w:val="18"/>
                <w:highlight w:val="none"/>
                <w:lang w:val="en-US" w:eastAsia="zh-CN"/>
              </w:rPr>
            </w:pPr>
            <w:r>
              <w:rPr>
                <w:rFonts w:hint="eastAsia" w:ascii="Times New Roman" w:hAnsi="Times New Roman" w:eastAsia="宋体" w:cs="Courier New"/>
                <w:b w:val="0"/>
                <w:bCs w:val="0"/>
                <w:color w:val="auto"/>
                <w:sz w:val="18"/>
                <w:szCs w:val="18"/>
                <w:highlight w:val="none"/>
                <w:lang w:val="en-US" w:eastAsia="zh-CN"/>
              </w:rPr>
              <w:t>0.0000E+00</w:t>
            </w:r>
          </w:p>
        </w:tc>
      </w:tr>
    </w:tbl>
    <w:p w14:paraId="4A8F51CA">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由预测结果可知，土壤各观测点</w:t>
      </w:r>
      <w:r>
        <w:rPr>
          <w:rFonts w:hint="eastAsia" w:ascii="Times New Roman" w:hAnsi="Times New Roman" w:cs="Times New Roman"/>
          <w:color w:val="auto"/>
          <w:sz w:val="24"/>
          <w:szCs w:val="24"/>
          <w:lang w:val="en-US" w:eastAsia="zh-CN"/>
        </w:rPr>
        <w:t>氟化物</w:t>
      </w:r>
      <w:r>
        <w:rPr>
          <w:rFonts w:hint="eastAsia" w:ascii="Times New Roman" w:hAnsi="Times New Roman"/>
          <w:color w:val="auto"/>
          <w:sz w:val="24"/>
          <w:szCs w:val="24"/>
        </w:rPr>
        <w:t>浓度随时间变化呈上升趋势，随深度的增加呈递减趋势。在模拟的</w:t>
      </w:r>
      <w:r>
        <w:rPr>
          <w:rFonts w:hint="eastAsia"/>
          <w:color w:val="auto"/>
          <w:sz w:val="24"/>
          <w:szCs w:val="24"/>
          <w:lang w:val="en-US" w:eastAsia="zh-CN"/>
        </w:rPr>
        <w:t>9</w:t>
      </w:r>
      <w:r>
        <w:rPr>
          <w:rFonts w:hint="eastAsia" w:ascii="Times New Roman" w:hAnsi="Times New Roman"/>
          <w:color w:val="auto"/>
          <w:sz w:val="24"/>
          <w:szCs w:val="24"/>
        </w:rPr>
        <w:t>0d，土壤中</w:t>
      </w:r>
      <w:r>
        <w:rPr>
          <w:rFonts w:hint="eastAsia"/>
          <w:color w:val="auto"/>
          <w:sz w:val="24"/>
          <w:szCs w:val="24"/>
          <w:lang w:val="en-US" w:eastAsia="zh-CN"/>
        </w:rPr>
        <w:t>氟化物</w:t>
      </w:r>
      <w:r>
        <w:rPr>
          <w:rFonts w:hint="eastAsia" w:ascii="Times New Roman" w:hAnsi="Times New Roman"/>
          <w:color w:val="auto"/>
          <w:sz w:val="24"/>
          <w:szCs w:val="24"/>
        </w:rPr>
        <w:t>1m、5m</w:t>
      </w:r>
      <w:r>
        <w:rPr>
          <w:rFonts w:ascii="Times New Roman" w:hAnsi="Times New Roman"/>
          <w:color w:val="auto"/>
          <w:sz w:val="24"/>
          <w:szCs w:val="24"/>
        </w:rPr>
        <w:t>处</w:t>
      </w:r>
      <w:r>
        <w:rPr>
          <w:rFonts w:hint="eastAsia"/>
          <w:color w:val="auto"/>
          <w:sz w:val="24"/>
          <w:szCs w:val="24"/>
          <w:lang w:val="en-US" w:eastAsia="zh-CN"/>
        </w:rPr>
        <w:t>最大</w:t>
      </w:r>
      <w:r>
        <w:rPr>
          <w:rFonts w:hint="eastAsia" w:ascii="Times New Roman" w:hAnsi="Times New Roman"/>
          <w:color w:val="auto"/>
          <w:sz w:val="24"/>
          <w:szCs w:val="24"/>
        </w:rPr>
        <w:t>浓度为</w:t>
      </w:r>
      <w:r>
        <w:rPr>
          <w:rFonts w:hint="eastAsia" w:ascii="Times New Roman" w:hAnsi="Times New Roman"/>
          <w:color w:val="auto"/>
          <w:sz w:val="24"/>
          <w:szCs w:val="24"/>
          <w:lang w:val="en-US" w:eastAsia="zh-CN"/>
        </w:rPr>
        <w:t>0.3511E-04</w:t>
      </w:r>
      <w:r>
        <w:rPr>
          <w:rFonts w:hint="eastAsia" w:ascii="Times New Roman" w:hAnsi="Times New Roman"/>
          <w:color w:val="auto"/>
          <w:sz w:val="24"/>
          <w:szCs w:val="24"/>
        </w:rPr>
        <w:t>mg</w:t>
      </w:r>
      <w:r>
        <w:rPr>
          <w:rFonts w:ascii="Times New Roman" w:hAnsi="Times New Roman"/>
          <w:color w:val="auto"/>
          <w:sz w:val="24"/>
          <w:szCs w:val="24"/>
        </w:rPr>
        <w:t>/</w:t>
      </w:r>
      <w:r>
        <w:rPr>
          <w:rFonts w:hint="eastAsia" w:ascii="Times New Roman" w:hAnsi="Times New Roman"/>
          <w:color w:val="auto"/>
          <w:sz w:val="24"/>
          <w:szCs w:val="24"/>
          <w:lang w:val="en-US" w:eastAsia="zh-CN"/>
        </w:rPr>
        <w:t>kg</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0.1000E-15</w:t>
      </w:r>
      <w:r>
        <w:rPr>
          <w:rFonts w:hint="eastAsia" w:ascii="Times New Roman" w:hAnsi="Times New Roman"/>
          <w:color w:val="auto"/>
          <w:sz w:val="24"/>
          <w:szCs w:val="24"/>
        </w:rPr>
        <w:t>mg</w:t>
      </w:r>
      <w:r>
        <w:rPr>
          <w:rFonts w:ascii="Times New Roman" w:hAnsi="Times New Roman"/>
          <w:color w:val="auto"/>
          <w:sz w:val="24"/>
          <w:szCs w:val="24"/>
        </w:rPr>
        <w:t>/</w:t>
      </w:r>
      <w:r>
        <w:rPr>
          <w:rFonts w:hint="eastAsia" w:ascii="Times New Roman" w:hAnsi="Times New Roman"/>
          <w:color w:val="auto"/>
          <w:sz w:val="24"/>
          <w:szCs w:val="24"/>
          <w:lang w:val="en-US" w:eastAsia="zh-CN"/>
        </w:rPr>
        <w:t>kg</w:t>
      </w:r>
      <w:r>
        <w:rPr>
          <w:rFonts w:hint="eastAsia" w:ascii="Times New Roman" w:hAnsi="Times New Roman"/>
          <w:color w:val="auto"/>
          <w:sz w:val="24"/>
          <w:szCs w:val="24"/>
        </w:rPr>
        <w:t>，</w:t>
      </w:r>
      <w:r>
        <w:rPr>
          <w:rFonts w:hint="eastAsia"/>
          <w:color w:val="auto"/>
          <w:sz w:val="24"/>
          <w:szCs w:val="24"/>
          <w:lang w:val="en-US" w:eastAsia="zh-CN"/>
        </w:rPr>
        <w:t>1</w:t>
      </w:r>
      <w:r>
        <w:rPr>
          <w:rFonts w:hint="eastAsia" w:ascii="Times New Roman" w:hAnsi="Times New Roman"/>
          <w:color w:val="auto"/>
          <w:sz w:val="24"/>
          <w:szCs w:val="24"/>
        </w:rPr>
        <w:t>0m~</w:t>
      </w:r>
      <w:r>
        <w:rPr>
          <w:rFonts w:hint="eastAsia"/>
          <w:color w:val="auto"/>
          <w:sz w:val="24"/>
          <w:szCs w:val="24"/>
          <w:lang w:val="en-US" w:eastAsia="zh-CN"/>
        </w:rPr>
        <w:t>100</w:t>
      </w:r>
      <w:r>
        <w:rPr>
          <w:rFonts w:ascii="Times New Roman" w:hAnsi="Times New Roman"/>
          <w:color w:val="auto"/>
          <w:sz w:val="24"/>
          <w:szCs w:val="24"/>
        </w:rPr>
        <w:t>m处浓度为</w:t>
      </w:r>
      <w:r>
        <w:rPr>
          <w:rFonts w:hint="eastAsia" w:ascii="Times New Roman" w:hAnsi="Times New Roman"/>
          <w:color w:val="auto"/>
          <w:sz w:val="24"/>
          <w:szCs w:val="24"/>
        </w:rPr>
        <w:t>0</w:t>
      </w:r>
      <w:r>
        <w:rPr>
          <w:rFonts w:hint="eastAsia"/>
          <w:color w:val="auto"/>
          <w:sz w:val="24"/>
          <w:szCs w:val="24"/>
          <w:lang w:eastAsia="zh-CN"/>
        </w:rPr>
        <w:t>，</w:t>
      </w:r>
      <w:r>
        <w:rPr>
          <w:rFonts w:hint="eastAsia"/>
          <w:color w:val="auto"/>
          <w:sz w:val="24"/>
          <w:szCs w:val="24"/>
          <w:lang w:val="en-US" w:eastAsia="zh-CN"/>
        </w:rPr>
        <w:t>均未超标</w:t>
      </w:r>
      <w:r>
        <w:rPr>
          <w:rFonts w:hint="eastAsia" w:ascii="Times New Roman" w:hAnsi="Times New Roman"/>
          <w:color w:val="auto"/>
          <w:sz w:val="24"/>
          <w:szCs w:val="24"/>
        </w:rPr>
        <w:t>。</w:t>
      </w:r>
    </w:p>
    <w:p w14:paraId="4700823F">
      <w:pPr>
        <w:pStyle w:val="6"/>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3、地面漫流</w:t>
      </w:r>
    </w:p>
    <w:p w14:paraId="2B639EC3">
      <w:pPr>
        <w:spacing w:line="360" w:lineRule="auto"/>
        <w:ind w:left="0" w:leftChars="0" w:firstLine="480" w:firstLineChars="200"/>
        <w:rPr>
          <w:rFonts w:hint="eastAsia"/>
          <w:color w:val="auto"/>
          <w:sz w:val="24"/>
          <w:szCs w:val="24"/>
          <w:lang w:eastAsia="zh-CN"/>
        </w:rPr>
      </w:pPr>
      <w:r>
        <w:rPr>
          <w:rFonts w:hint="eastAsia" w:ascii="Times New Roman" w:hAnsi="Times New Roman"/>
          <w:color w:val="auto"/>
          <w:sz w:val="24"/>
          <w:szCs w:val="24"/>
        </w:rPr>
        <w:t>项目事故状态下</w:t>
      </w:r>
      <w:r>
        <w:rPr>
          <w:rFonts w:hint="eastAsia"/>
          <w:color w:val="auto"/>
          <w:sz w:val="24"/>
          <w:szCs w:val="24"/>
          <w:lang w:eastAsia="zh-CN"/>
        </w:rPr>
        <w:t>，</w:t>
      </w:r>
      <w:r>
        <w:rPr>
          <w:rFonts w:hint="eastAsia" w:ascii="Times New Roman" w:hAnsi="Times New Roman"/>
          <w:color w:val="auto"/>
          <w:sz w:val="24"/>
          <w:szCs w:val="24"/>
        </w:rPr>
        <w:t>废水污染物</w:t>
      </w:r>
      <w:r>
        <w:rPr>
          <w:rFonts w:hint="eastAsia"/>
          <w:color w:val="auto"/>
          <w:sz w:val="24"/>
          <w:szCs w:val="24"/>
          <w:lang w:val="en-US" w:eastAsia="zh-CN"/>
        </w:rPr>
        <w:t>可能</w:t>
      </w:r>
      <w:r>
        <w:rPr>
          <w:rFonts w:hint="eastAsia" w:ascii="Times New Roman" w:hAnsi="Times New Roman"/>
          <w:color w:val="auto"/>
          <w:sz w:val="24"/>
          <w:szCs w:val="24"/>
        </w:rPr>
        <w:t>会通过漫流形式进入土壤层中，因此</w:t>
      </w:r>
      <w:r>
        <w:rPr>
          <w:rFonts w:hint="eastAsia"/>
          <w:color w:val="auto"/>
          <w:sz w:val="24"/>
          <w:szCs w:val="24"/>
          <w:lang w:val="en-US" w:eastAsia="zh-CN"/>
        </w:rPr>
        <w:t>厂区</w:t>
      </w:r>
      <w:r>
        <w:rPr>
          <w:rFonts w:hint="eastAsia" w:ascii="Times New Roman" w:hAnsi="Times New Roman"/>
          <w:color w:val="auto"/>
          <w:sz w:val="24"/>
          <w:szCs w:val="24"/>
        </w:rPr>
        <w:t>必须贯彻“围、追、堵、截”的原则，采取多级防护措施，确保事故废水不流出厂界</w:t>
      </w:r>
      <w:r>
        <w:rPr>
          <w:rFonts w:hint="eastAsia"/>
          <w:color w:val="auto"/>
          <w:sz w:val="24"/>
          <w:szCs w:val="24"/>
          <w:lang w:eastAsia="zh-CN"/>
        </w:rPr>
        <w:t>。</w:t>
      </w:r>
    </w:p>
    <w:p w14:paraId="180FEC4B">
      <w:pPr>
        <w:spacing w:line="360" w:lineRule="auto"/>
        <w:ind w:left="0" w:leftChars="0" w:firstLine="480" w:firstLineChars="200"/>
        <w:rPr>
          <w:rFonts w:hint="eastAsia" w:ascii="宋体" w:hAnsi="宋体" w:cs="宋体"/>
          <w:color w:val="auto"/>
          <w:kern w:val="0"/>
          <w:sz w:val="24"/>
          <w:szCs w:val="24"/>
          <w:lang w:val="en-US" w:eastAsia="zh-CN" w:bidi="ar"/>
        </w:rPr>
      </w:pPr>
      <w:r>
        <w:rPr>
          <w:rFonts w:hint="eastAsia"/>
          <w:color w:val="auto"/>
          <w:sz w:val="24"/>
          <w:szCs w:val="24"/>
          <w:lang w:val="en-US" w:eastAsia="zh-CN"/>
        </w:rPr>
        <w:t>本项目</w:t>
      </w:r>
      <w:r>
        <w:rPr>
          <w:rFonts w:hint="eastAsia" w:ascii="宋体" w:hAnsi="宋体" w:eastAsia="宋体" w:cs="宋体"/>
          <w:color w:val="auto"/>
          <w:kern w:val="0"/>
          <w:sz w:val="24"/>
          <w:szCs w:val="24"/>
          <w:lang w:val="en-US" w:eastAsia="zh-CN" w:bidi="ar"/>
        </w:rPr>
        <w:t>设置“生产单元</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企业</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园区”的三级事故废水防范体系</w:t>
      </w:r>
      <w:r>
        <w:rPr>
          <w:rFonts w:hint="eastAsia" w:ascii="宋体" w:hAnsi="宋体" w:cs="宋体"/>
          <w:color w:val="auto"/>
          <w:kern w:val="0"/>
          <w:sz w:val="24"/>
          <w:szCs w:val="24"/>
          <w:lang w:val="en-US" w:eastAsia="zh-CN" w:bidi="ar"/>
        </w:rPr>
        <w:t>，即：</w:t>
      </w:r>
    </w:p>
    <w:p w14:paraId="47E1E71F">
      <w:pPr>
        <w:spacing w:line="360" w:lineRule="auto"/>
        <w:ind w:left="0" w:leftChars="0" w:firstLine="480" w:firstLineChars="200"/>
        <w:rPr>
          <w:rFonts w:hint="eastAsia"/>
          <w:color w:val="auto"/>
          <w:sz w:val="24"/>
          <w:szCs w:val="24"/>
          <w:highlight w:val="none"/>
          <w:lang w:val="en-US" w:eastAsia="zh-CN"/>
        </w:rPr>
      </w:pPr>
      <w:r>
        <w:rPr>
          <w:rFonts w:hint="eastAsia" w:ascii="宋体" w:hAnsi="宋体" w:cs="宋体"/>
          <w:color w:val="auto"/>
          <w:kern w:val="0"/>
          <w:sz w:val="24"/>
          <w:szCs w:val="24"/>
          <w:lang w:val="en-US" w:eastAsia="zh-CN" w:bidi="ar"/>
        </w:rPr>
        <w:t>第一级：</w:t>
      </w:r>
      <w:r>
        <w:rPr>
          <w:rFonts w:hint="eastAsia" w:ascii="Times New Roman" w:hAnsi="Times New Roman" w:eastAsia="宋体"/>
          <w:color w:val="auto"/>
          <w:sz w:val="24"/>
          <w:szCs w:val="24"/>
          <w:highlight w:val="none"/>
          <w:lang w:val="en-US" w:eastAsia="zh-CN"/>
        </w:rPr>
        <w:t>1#罐区四周设</w:t>
      </w:r>
      <w:r>
        <w:rPr>
          <w:rFonts w:hint="eastAsia"/>
          <w:color w:val="auto"/>
          <w:sz w:val="24"/>
          <w:szCs w:val="24"/>
          <w:highlight w:val="none"/>
          <w:lang w:val="en-US" w:eastAsia="zh-CN"/>
        </w:rPr>
        <w:t>0.6</w:t>
      </w:r>
      <w:r>
        <w:rPr>
          <w:rFonts w:hint="eastAsia" w:ascii="Times New Roman" w:hAnsi="Times New Roman" w:eastAsia="宋体"/>
          <w:color w:val="auto"/>
          <w:sz w:val="24"/>
          <w:szCs w:val="24"/>
          <w:highlight w:val="none"/>
          <w:lang w:val="en-US" w:eastAsia="zh-CN"/>
        </w:rPr>
        <w:t>m高防火堤（与围堰合建）</w:t>
      </w:r>
      <w:r>
        <w:rPr>
          <w:rFonts w:hint="eastAsia"/>
          <w:color w:val="auto"/>
          <w:sz w:val="24"/>
          <w:szCs w:val="24"/>
          <w:highlight w:val="none"/>
          <w:lang w:val="en-US" w:eastAsia="zh-CN"/>
        </w:rPr>
        <w:t>、2</w:t>
      </w:r>
      <w:r>
        <w:rPr>
          <w:rFonts w:hint="eastAsia" w:ascii="Times New Roman" w:hAnsi="Times New Roman" w:eastAsia="宋体"/>
          <w:color w:val="auto"/>
          <w:sz w:val="24"/>
          <w:szCs w:val="24"/>
          <w:highlight w:val="none"/>
          <w:lang w:val="en-US" w:eastAsia="zh-CN"/>
        </w:rPr>
        <w:t>#罐区四周设</w:t>
      </w:r>
      <w:r>
        <w:rPr>
          <w:rFonts w:hint="eastAsia"/>
          <w:color w:val="auto"/>
          <w:sz w:val="24"/>
          <w:szCs w:val="24"/>
          <w:highlight w:val="none"/>
          <w:lang w:val="en-US" w:eastAsia="zh-CN"/>
        </w:rPr>
        <w:t>1.1</w:t>
      </w:r>
      <w:r>
        <w:rPr>
          <w:rFonts w:hint="eastAsia" w:ascii="Times New Roman" w:hAnsi="Times New Roman" w:eastAsia="宋体"/>
          <w:color w:val="auto"/>
          <w:sz w:val="24"/>
          <w:szCs w:val="24"/>
          <w:highlight w:val="none"/>
          <w:lang w:val="en-US" w:eastAsia="zh-CN"/>
        </w:rPr>
        <w:t>m高防火堤（与围堰合建）</w:t>
      </w:r>
      <w:r>
        <w:rPr>
          <w:rFonts w:hint="eastAsia"/>
          <w:color w:val="auto"/>
          <w:sz w:val="24"/>
          <w:szCs w:val="24"/>
          <w:highlight w:val="none"/>
          <w:lang w:val="en-US" w:eastAsia="zh-CN"/>
        </w:rPr>
        <w:t>、3</w:t>
      </w:r>
      <w:r>
        <w:rPr>
          <w:rFonts w:hint="eastAsia" w:ascii="Times New Roman" w:hAnsi="Times New Roman" w:eastAsia="宋体"/>
          <w:color w:val="auto"/>
          <w:sz w:val="24"/>
          <w:szCs w:val="24"/>
          <w:highlight w:val="none"/>
          <w:lang w:val="en-US" w:eastAsia="zh-CN"/>
        </w:rPr>
        <w:t>#罐区四周设</w:t>
      </w:r>
      <w:r>
        <w:rPr>
          <w:rFonts w:hint="eastAsia"/>
          <w:color w:val="auto"/>
          <w:sz w:val="24"/>
          <w:szCs w:val="24"/>
          <w:highlight w:val="none"/>
          <w:lang w:val="en-US" w:eastAsia="zh-CN"/>
        </w:rPr>
        <w:t>0.4</w:t>
      </w:r>
      <w:r>
        <w:rPr>
          <w:rFonts w:hint="eastAsia" w:ascii="Times New Roman" w:hAnsi="Times New Roman" w:eastAsia="宋体"/>
          <w:color w:val="auto"/>
          <w:sz w:val="24"/>
          <w:szCs w:val="24"/>
          <w:highlight w:val="none"/>
          <w:lang w:val="en-US" w:eastAsia="zh-CN"/>
        </w:rPr>
        <w:t>m高防火堤（与围堰合建），且</w:t>
      </w:r>
      <w:r>
        <w:rPr>
          <w:rFonts w:hint="eastAsia"/>
          <w:color w:val="auto"/>
          <w:sz w:val="24"/>
          <w:szCs w:val="24"/>
          <w:highlight w:val="none"/>
          <w:lang w:val="en-US" w:eastAsia="zh-CN"/>
        </w:rPr>
        <w:t>1#和2#</w:t>
      </w:r>
      <w:r>
        <w:rPr>
          <w:rFonts w:hint="eastAsia" w:ascii="Times New Roman" w:hAnsi="Times New Roman" w:eastAsia="宋体"/>
          <w:color w:val="auto"/>
          <w:sz w:val="24"/>
          <w:szCs w:val="24"/>
          <w:highlight w:val="none"/>
          <w:lang w:val="en-US" w:eastAsia="zh-CN"/>
        </w:rPr>
        <w:t>罐区内各区域均设1个容积</w:t>
      </w:r>
      <w:r>
        <w:rPr>
          <w:rFonts w:hint="eastAsia"/>
          <w:color w:val="auto"/>
          <w:sz w:val="24"/>
          <w:szCs w:val="24"/>
          <w:highlight w:val="none"/>
          <w:lang w:val="en-US" w:eastAsia="zh-CN"/>
        </w:rPr>
        <w:t>2.25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池、3#</w:t>
      </w:r>
      <w:r>
        <w:rPr>
          <w:rFonts w:hint="eastAsia" w:ascii="Times New Roman" w:hAnsi="Times New Roman" w:eastAsia="宋体"/>
          <w:color w:val="auto"/>
          <w:sz w:val="24"/>
          <w:szCs w:val="24"/>
          <w:highlight w:val="none"/>
          <w:lang w:val="en-US" w:eastAsia="zh-CN"/>
        </w:rPr>
        <w:t>罐区内设1个容积</w:t>
      </w:r>
      <w:r>
        <w:rPr>
          <w:rFonts w:hint="eastAsia"/>
          <w:color w:val="auto"/>
          <w:sz w:val="24"/>
          <w:szCs w:val="24"/>
          <w:highlight w:val="none"/>
          <w:lang w:val="en-US" w:eastAsia="zh-CN"/>
        </w:rPr>
        <w:t>1.44</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olor w:val="auto"/>
          <w:sz w:val="24"/>
          <w:szCs w:val="24"/>
          <w:lang w:val="en-US" w:eastAsia="zh-CN"/>
        </w:rPr>
        <w:t>仓库内液体库区、双氧水库房和危废暂存间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p>
    <w:p w14:paraId="0F17827E">
      <w:pPr>
        <w:spacing w:line="360" w:lineRule="auto"/>
        <w:ind w:left="0" w:leftChars="0" w:firstLine="480" w:firstLineChars="200"/>
        <w:rPr>
          <w:rFonts w:hint="default" w:cs="Times New Roman"/>
          <w:b w:val="0"/>
          <w:bCs w:val="0"/>
          <w:color w:val="auto"/>
          <w:sz w:val="24"/>
          <w:szCs w:val="24"/>
          <w:highlight w:val="none"/>
          <w:lang w:val="en-US" w:eastAsia="zh-CN"/>
        </w:rPr>
      </w:pPr>
      <w:r>
        <w:rPr>
          <w:rFonts w:hint="eastAsia"/>
          <w:color w:val="auto"/>
          <w:sz w:val="24"/>
          <w:szCs w:val="24"/>
          <w:highlight w:val="none"/>
          <w:lang w:val="en-US" w:eastAsia="zh-CN"/>
        </w:rPr>
        <w:t>第二级：厂区</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highlight w:val="none"/>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w:t>
      </w:r>
      <w:r>
        <w:rPr>
          <w:rFonts w:hint="eastAsia" w:cs="Times New Roman"/>
          <w:b w:val="0"/>
          <w:bCs w:val="0"/>
          <w:color w:val="auto"/>
          <w:sz w:val="24"/>
          <w:szCs w:val="24"/>
          <w:highlight w:val="none"/>
          <w:lang w:val="en-US" w:eastAsia="zh-CN"/>
        </w:rPr>
        <w:t>事故废水和</w:t>
      </w:r>
      <w:r>
        <w:rPr>
          <w:rFonts w:hint="default" w:ascii="Times New Roman" w:hAnsi="Times New Roman" w:eastAsia="宋体" w:cs="Times New Roman"/>
          <w:b w:val="0"/>
          <w:bCs w:val="0"/>
          <w:color w:val="auto"/>
          <w:sz w:val="24"/>
          <w:szCs w:val="24"/>
          <w:highlight w:val="none"/>
          <w:lang w:val="en-US" w:eastAsia="zh-CN"/>
        </w:rPr>
        <w:t>消防废水的收集</w:t>
      </w:r>
      <w:r>
        <w:rPr>
          <w:rFonts w:hint="eastAsia" w:cs="Times New Roman"/>
          <w:b w:val="0"/>
          <w:bCs w:val="0"/>
          <w:color w:val="auto"/>
          <w:sz w:val="24"/>
          <w:szCs w:val="24"/>
          <w:highlight w:val="none"/>
          <w:lang w:val="en-US" w:eastAsia="zh-CN"/>
        </w:rPr>
        <w:t>；并设</w:t>
      </w:r>
      <w:r>
        <w:rPr>
          <w:rFonts w:hint="default" w:ascii="Times New Roman" w:hAnsi="Times New Roman" w:cs="Times New Roman"/>
          <w:color w:val="auto"/>
          <w:lang w:val="en-US" w:eastAsia="zh-CN"/>
        </w:rPr>
        <w:t>1</w:t>
      </w:r>
      <w:r>
        <w:rPr>
          <w:rFonts w:hint="eastAsia" w:cs="Times New Roman"/>
          <w:b w:val="0"/>
          <w:bCs w:val="0"/>
          <w:color w:val="auto"/>
          <w:sz w:val="24"/>
          <w:szCs w:val="24"/>
          <w:highlight w:val="none"/>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w:t>
      </w:r>
    </w:p>
    <w:p w14:paraId="5F3A41F4">
      <w:pPr>
        <w:spacing w:line="360" w:lineRule="auto"/>
        <w:ind w:left="0" w:leftChars="0" w:firstLine="480" w:firstLineChars="200"/>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第三级：通江县秋锦山产业园区综合污水处理厂设置进水水质自动检测装置及报警装置，设置进厂污水截断装置，当事故发生后，及时阻断不良水质进入污水处理厂，一旦污水处理厂进水超标，立即截断污水来源和杜绝事故排放，联动园区上游生产企业启动应急预案，必要时采取减产、停产或关闭企业厂区排口的方式，阻断超标污水持续排入污水处理；污水处理厂设置1座容积6361</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highlight w:val="none"/>
          <w:lang w:val="en-US" w:eastAsia="zh-CN"/>
        </w:rPr>
        <w:t>事故应急池，已进入厂内的污水可以排入事故应急池暂存，待后续恢复正常后进行处理</w:t>
      </w:r>
      <w:r>
        <w:rPr>
          <w:rFonts w:hint="eastAsia" w:ascii="宋体" w:hAnsi="宋体" w:cs="宋体"/>
          <w:color w:val="auto"/>
          <w:kern w:val="0"/>
          <w:sz w:val="24"/>
          <w:szCs w:val="24"/>
          <w:lang w:val="en-US" w:eastAsia="zh-CN" w:bidi="ar"/>
        </w:rPr>
        <w:t>。</w:t>
      </w:r>
    </w:p>
    <w:p w14:paraId="05BBC726">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因此，本项目物料</w:t>
      </w:r>
      <w:r>
        <w:rPr>
          <w:rFonts w:hint="eastAsia"/>
          <w:color w:val="auto"/>
          <w:sz w:val="24"/>
          <w:szCs w:val="24"/>
          <w:lang w:val="en-US" w:eastAsia="zh-CN"/>
        </w:rPr>
        <w:t>或废水</w:t>
      </w:r>
      <w:r>
        <w:rPr>
          <w:rFonts w:hint="eastAsia" w:ascii="Times New Roman" w:hAnsi="Times New Roman"/>
          <w:color w:val="auto"/>
          <w:sz w:val="24"/>
          <w:szCs w:val="24"/>
          <w:lang w:val="en-US" w:eastAsia="zh-CN"/>
        </w:rPr>
        <w:t>发生泄漏时，均可得到有效收集，</w:t>
      </w:r>
      <w:r>
        <w:rPr>
          <w:rFonts w:hint="eastAsia" w:ascii="Times New Roman" w:hAnsi="Times New Roman"/>
          <w:color w:val="auto"/>
          <w:sz w:val="24"/>
          <w:szCs w:val="24"/>
        </w:rPr>
        <w:t>不会对周边土壤环境造成影响。</w:t>
      </w:r>
    </w:p>
    <w:p w14:paraId="5A6FA207">
      <w:pPr>
        <w:pStyle w:val="6"/>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4、土壤环境保护措施</w:t>
      </w:r>
    </w:p>
    <w:p w14:paraId="7F181BF8">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主要从“源头控制”、“过程防控”和“跟踪监测”等方面保护土壤环境，项目采取的土壤环境保护措施包括：</w:t>
      </w:r>
    </w:p>
    <w:p w14:paraId="6420FB97">
      <w:pPr>
        <w:spacing w:line="360" w:lineRule="auto"/>
        <w:rPr>
          <w:rFonts w:ascii="Times New Roman" w:hAnsi="Times New Roman"/>
          <w:b/>
          <w:color w:val="auto"/>
          <w:sz w:val="24"/>
          <w:szCs w:val="24"/>
        </w:rPr>
      </w:pPr>
      <w:r>
        <w:rPr>
          <w:rFonts w:hint="eastAsia" w:ascii="Times New Roman" w:hAnsi="Times New Roman"/>
          <w:b/>
          <w:color w:val="auto"/>
          <w:sz w:val="24"/>
          <w:szCs w:val="24"/>
        </w:rPr>
        <w:t>（1）源头控制措施</w:t>
      </w:r>
    </w:p>
    <w:p w14:paraId="4857A5EF">
      <w:pPr>
        <w:spacing w:line="360" w:lineRule="auto"/>
        <w:ind w:left="0" w:leftChars="0" w:firstLine="480" w:firstLineChars="200"/>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rPr>
        <w:t>从原料和产品储存、装卸、运输、生产过程、污染处理装置等实施全过程控制，防止物料跑、冒、滴、漏；在工艺、管道、设备、给排水等方面尽可能的采取泄漏控制措施；同时，对有害物质可能泄漏的区域均采取防渗措施。</w:t>
      </w:r>
      <w:r>
        <w:rPr>
          <w:rFonts w:hint="eastAsia"/>
          <w:color w:val="auto"/>
          <w:sz w:val="24"/>
          <w:szCs w:val="24"/>
          <w:lang w:val="en-US" w:eastAsia="zh-CN"/>
        </w:rPr>
        <w:t>具体如下：</w:t>
      </w:r>
    </w:p>
    <w:p w14:paraId="0CF3E34E">
      <w:pPr>
        <w:spacing w:line="360" w:lineRule="auto"/>
        <w:rPr>
          <w:rFonts w:ascii="Times New Roman" w:hAnsi="Times New Roman"/>
          <w:color w:val="auto"/>
          <w:sz w:val="24"/>
          <w:szCs w:val="24"/>
        </w:rPr>
      </w:pPr>
      <w:r>
        <w:rPr>
          <w:rFonts w:hint="eastAsia" w:ascii="Times New Roman" w:hAnsi="Times New Roman"/>
          <w:color w:val="auto"/>
          <w:sz w:val="24"/>
          <w:szCs w:val="24"/>
        </w:rPr>
        <w:t>①减少有毒、有害原料的贮存。</w:t>
      </w:r>
    </w:p>
    <w:p w14:paraId="7086F614">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②</w:t>
      </w:r>
      <w:r>
        <w:rPr>
          <w:rFonts w:hint="eastAsia"/>
          <w:color w:val="auto"/>
        </w:rPr>
        <w:t>采用国内先进的工艺，</w:t>
      </w:r>
      <w:r>
        <w:rPr>
          <w:rFonts w:hint="eastAsia"/>
          <w:color w:val="auto"/>
          <w:lang w:val="en-US" w:eastAsia="zh-CN"/>
        </w:rPr>
        <w:t>生产过程中采用密闭管罐系统，</w:t>
      </w:r>
      <w:r>
        <w:rPr>
          <w:rFonts w:hint="eastAsia"/>
          <w:color w:val="auto"/>
        </w:rPr>
        <w:t>工艺设备、管道、</w:t>
      </w:r>
      <w:r>
        <w:rPr>
          <w:rFonts w:hint="eastAsia"/>
          <w:color w:val="auto"/>
          <w:lang w:val="en-US" w:eastAsia="zh-CN"/>
        </w:rPr>
        <w:t>罐体</w:t>
      </w:r>
      <w:r>
        <w:rPr>
          <w:rFonts w:hint="eastAsia"/>
          <w:color w:val="auto"/>
        </w:rPr>
        <w:t>均</w:t>
      </w:r>
      <w:r>
        <w:rPr>
          <w:color w:val="auto"/>
        </w:rPr>
        <w:t>采取防腐、防渗漏措施</w:t>
      </w:r>
      <w:r>
        <w:rPr>
          <w:rFonts w:hint="eastAsia"/>
          <w:color w:val="auto"/>
        </w:rPr>
        <w:t>，</w:t>
      </w:r>
      <w:r>
        <w:rPr>
          <w:rFonts w:hint="eastAsia"/>
          <w:color w:val="auto"/>
          <w:highlight w:val="none"/>
          <w:lang w:val="en-US" w:eastAsia="zh-CN"/>
        </w:rPr>
        <w:t>化学品输送管道可视化，</w:t>
      </w:r>
      <w:r>
        <w:rPr>
          <w:rFonts w:hint="eastAsia"/>
          <w:color w:val="auto"/>
        </w:rPr>
        <w:t>加强各管路</w:t>
      </w:r>
      <w:r>
        <w:rPr>
          <w:rFonts w:hint="eastAsia"/>
          <w:color w:val="auto"/>
          <w:lang w:eastAsia="zh-CN"/>
        </w:rPr>
        <w:t>、</w:t>
      </w:r>
      <w:r>
        <w:rPr>
          <w:rFonts w:hint="eastAsia"/>
          <w:color w:val="auto"/>
          <w:lang w:val="en-US" w:eastAsia="zh-CN"/>
        </w:rPr>
        <w:t>设备</w:t>
      </w:r>
      <w:r>
        <w:rPr>
          <w:rFonts w:hint="eastAsia"/>
          <w:color w:val="auto"/>
        </w:rPr>
        <w:t>的检修，避免工艺过程中溶液的漏滴</w:t>
      </w:r>
      <w:r>
        <w:rPr>
          <w:rFonts w:hint="eastAsia" w:ascii="Times New Roman" w:hAnsi="Times New Roman"/>
          <w:color w:val="auto"/>
          <w:sz w:val="24"/>
          <w:szCs w:val="24"/>
        </w:rPr>
        <w:t>。</w:t>
      </w:r>
    </w:p>
    <w:p w14:paraId="2906A70B">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③采用有效的大气污染治理措施，</w:t>
      </w:r>
      <w:r>
        <w:rPr>
          <w:rFonts w:hint="eastAsia"/>
          <w:color w:val="auto"/>
          <w:highlight w:val="none"/>
        </w:rPr>
        <w:t>加强</w:t>
      </w:r>
      <w:r>
        <w:rPr>
          <w:rFonts w:hint="eastAsia"/>
          <w:color w:val="auto"/>
          <w:highlight w:val="none"/>
          <w:lang w:val="en-US" w:eastAsia="zh-CN"/>
        </w:rPr>
        <w:t>废气处理系统</w:t>
      </w:r>
      <w:r>
        <w:rPr>
          <w:rFonts w:hint="eastAsia"/>
          <w:color w:val="auto"/>
          <w:highlight w:val="none"/>
        </w:rPr>
        <w:t>的日常维护和保养，</w:t>
      </w:r>
      <w:r>
        <w:rPr>
          <w:rFonts w:hint="eastAsia"/>
          <w:color w:val="auto"/>
          <w:highlight w:val="none"/>
          <w:lang w:val="en-US" w:eastAsia="zh-CN"/>
        </w:rPr>
        <w:t>及时更换活性炭和喷淋介质，保证其去除效率，</w:t>
      </w:r>
      <w:r>
        <w:rPr>
          <w:rFonts w:hint="eastAsia" w:ascii="Times New Roman" w:hAnsi="Times New Roman"/>
          <w:color w:val="auto"/>
          <w:sz w:val="24"/>
          <w:szCs w:val="24"/>
        </w:rPr>
        <w:t>减少大气污染物排放。</w:t>
      </w:r>
    </w:p>
    <w:p w14:paraId="3D6B1939">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④</w:t>
      </w:r>
      <w:r>
        <w:rPr>
          <w:rFonts w:hint="eastAsia" w:ascii="Times New Roman" w:hAnsi="Times New Roman" w:cs="Times New Roman"/>
          <w:color w:val="auto"/>
          <w:sz w:val="24"/>
          <w:szCs w:val="24"/>
          <w:highlight w:val="none"/>
        </w:rPr>
        <w:t>各防渗分区</w:t>
      </w:r>
      <w:r>
        <w:rPr>
          <w:rFonts w:hint="eastAsia" w:cs="Times New Roman"/>
          <w:color w:val="auto"/>
          <w:sz w:val="24"/>
          <w:szCs w:val="24"/>
          <w:highlight w:val="none"/>
          <w:lang w:val="en-US" w:eastAsia="zh-CN"/>
        </w:rPr>
        <w:t>严格</w:t>
      </w:r>
      <w:r>
        <w:rPr>
          <w:rFonts w:hint="eastAsia"/>
          <w:color w:val="auto"/>
          <w:highlight w:val="none"/>
        </w:rPr>
        <w:t>《环境影响评价技术导则 地下水环境》（HJ610-2016）</w:t>
      </w:r>
      <w:r>
        <w:rPr>
          <w:rFonts w:hint="eastAsia"/>
          <w:color w:val="auto"/>
          <w:highlight w:val="none"/>
          <w:lang w:val="en-US" w:eastAsia="zh-CN"/>
        </w:rPr>
        <w:t>中防渗技术要求进行防渗，</w:t>
      </w:r>
      <w:r>
        <w:rPr>
          <w:rFonts w:hint="eastAsia" w:ascii="Times New Roman" w:hAnsi="Times New Roman"/>
          <w:color w:val="auto"/>
          <w:sz w:val="24"/>
          <w:szCs w:val="24"/>
          <w:highlight w:val="none"/>
          <w:lang w:val="en-US" w:eastAsia="zh-CN"/>
        </w:rPr>
        <w:t>加强对防渗工程的检查，</w:t>
      </w:r>
      <w:r>
        <w:rPr>
          <w:rFonts w:hint="eastAsia"/>
          <w:color w:val="auto"/>
          <w:sz w:val="24"/>
          <w:szCs w:val="24"/>
          <w:highlight w:val="none"/>
          <w:lang w:val="en-US" w:eastAsia="zh-CN"/>
        </w:rPr>
        <w:t>定期进行检漏监测，</w:t>
      </w:r>
      <w:r>
        <w:rPr>
          <w:rFonts w:hint="eastAsia" w:ascii="Times New Roman" w:hAnsi="Times New Roman"/>
          <w:color w:val="auto"/>
          <w:sz w:val="24"/>
          <w:szCs w:val="24"/>
          <w:highlight w:val="none"/>
          <w:lang w:val="en-US" w:eastAsia="zh-CN"/>
        </w:rPr>
        <w:t>若发现防渗密封材料老化或损坏，及时维修更换</w:t>
      </w:r>
      <w:r>
        <w:rPr>
          <w:rFonts w:hint="eastAsia" w:ascii="Times New Roman" w:hAnsi="Times New Roman"/>
          <w:color w:val="auto"/>
          <w:sz w:val="24"/>
          <w:szCs w:val="24"/>
        </w:rPr>
        <w:t>。</w:t>
      </w:r>
    </w:p>
    <w:p w14:paraId="7AFC21A4">
      <w:pPr>
        <w:spacing w:line="360" w:lineRule="auto"/>
        <w:rPr>
          <w:rFonts w:ascii="Times New Roman" w:hAnsi="Times New Roman"/>
          <w:b/>
          <w:color w:val="auto"/>
          <w:sz w:val="24"/>
          <w:szCs w:val="24"/>
        </w:rPr>
      </w:pPr>
      <w:r>
        <w:rPr>
          <w:rFonts w:hint="eastAsia" w:ascii="Times New Roman" w:hAnsi="Times New Roman"/>
          <w:b/>
          <w:color w:val="auto"/>
          <w:sz w:val="24"/>
          <w:szCs w:val="24"/>
        </w:rPr>
        <w:t>（</w:t>
      </w:r>
      <w:r>
        <w:rPr>
          <w:rFonts w:ascii="Times New Roman" w:hAnsi="Times New Roman"/>
          <w:b/>
          <w:color w:val="auto"/>
          <w:sz w:val="24"/>
          <w:szCs w:val="24"/>
        </w:rPr>
        <w:t>2</w:t>
      </w:r>
      <w:r>
        <w:rPr>
          <w:rFonts w:hint="eastAsia" w:ascii="Times New Roman" w:hAnsi="Times New Roman"/>
          <w:b/>
          <w:color w:val="auto"/>
          <w:sz w:val="24"/>
          <w:szCs w:val="24"/>
        </w:rPr>
        <w:t>）过程防控措施</w:t>
      </w:r>
    </w:p>
    <w:p w14:paraId="019CCFB6">
      <w:pPr>
        <w:pStyle w:val="26"/>
        <w:bidi w:val="0"/>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大气沉降：各类废气经处理后</w:t>
      </w:r>
      <w:r>
        <w:rPr>
          <w:rFonts w:hint="eastAsia"/>
          <w:color w:val="auto"/>
          <w:highlight w:val="none"/>
          <w:lang w:val="en-US" w:eastAsia="zh-CN"/>
        </w:rPr>
        <w:t>达标排放，</w:t>
      </w:r>
      <w:r>
        <w:rPr>
          <w:rFonts w:hint="eastAsia" w:ascii="Times New Roman" w:hAnsi="Times New Roman" w:eastAsia="宋体"/>
          <w:color w:val="auto"/>
          <w:highlight w:val="none"/>
          <w:lang w:val="en-US" w:eastAsia="zh-CN"/>
        </w:rPr>
        <w:t>此外，厂区内采取绿化措施，以种植具有较强吸附能力的植物为主。</w:t>
      </w:r>
    </w:p>
    <w:p w14:paraId="432AB0F3">
      <w:pPr>
        <w:pStyle w:val="26"/>
        <w:bidi w:val="0"/>
        <w:rPr>
          <w:rFonts w:hint="eastAsia" w:ascii="Times New Roman" w:hAnsi="Times New Roman"/>
          <w:color w:val="auto"/>
          <w:sz w:val="24"/>
          <w:szCs w:val="24"/>
        </w:rPr>
      </w:pPr>
      <w:r>
        <w:rPr>
          <w:rFonts w:hint="eastAsia"/>
          <w:color w:val="auto"/>
          <w:highlight w:val="none"/>
          <w:lang w:val="en-US" w:eastAsia="zh-CN"/>
        </w:rPr>
        <w:t>地表漫流：</w:t>
      </w:r>
      <w:r>
        <w:rPr>
          <w:rFonts w:hint="eastAsia" w:ascii="Times New Roman" w:hAnsi="Times New Roman" w:eastAsia="宋体"/>
          <w:color w:val="auto"/>
          <w:sz w:val="24"/>
          <w:szCs w:val="24"/>
          <w:highlight w:val="none"/>
          <w:lang w:val="en-US" w:eastAsia="zh-CN"/>
        </w:rPr>
        <w:t>1#罐区四周设</w:t>
      </w:r>
      <w:r>
        <w:rPr>
          <w:rFonts w:hint="eastAsia"/>
          <w:color w:val="auto"/>
          <w:sz w:val="24"/>
          <w:szCs w:val="24"/>
          <w:highlight w:val="none"/>
          <w:lang w:val="en-US" w:eastAsia="zh-CN"/>
        </w:rPr>
        <w:t>0.6</w:t>
      </w:r>
      <w:r>
        <w:rPr>
          <w:rFonts w:hint="eastAsia" w:ascii="Times New Roman" w:hAnsi="Times New Roman" w:eastAsia="宋体"/>
          <w:color w:val="auto"/>
          <w:sz w:val="24"/>
          <w:szCs w:val="24"/>
          <w:highlight w:val="none"/>
          <w:lang w:val="en-US" w:eastAsia="zh-CN"/>
        </w:rPr>
        <w:t>m高防火堤（与围堰合建）</w:t>
      </w:r>
      <w:r>
        <w:rPr>
          <w:rFonts w:hint="eastAsia"/>
          <w:color w:val="auto"/>
          <w:sz w:val="24"/>
          <w:szCs w:val="24"/>
          <w:highlight w:val="none"/>
          <w:lang w:val="en-US" w:eastAsia="zh-CN"/>
        </w:rPr>
        <w:t>、2</w:t>
      </w:r>
      <w:r>
        <w:rPr>
          <w:rFonts w:hint="eastAsia" w:ascii="Times New Roman" w:hAnsi="Times New Roman" w:eastAsia="宋体"/>
          <w:color w:val="auto"/>
          <w:sz w:val="24"/>
          <w:szCs w:val="24"/>
          <w:highlight w:val="none"/>
          <w:lang w:val="en-US" w:eastAsia="zh-CN"/>
        </w:rPr>
        <w:t>#罐区四周设</w:t>
      </w:r>
      <w:r>
        <w:rPr>
          <w:rFonts w:hint="eastAsia"/>
          <w:color w:val="auto"/>
          <w:sz w:val="24"/>
          <w:szCs w:val="24"/>
          <w:highlight w:val="none"/>
          <w:lang w:val="en-US" w:eastAsia="zh-CN"/>
        </w:rPr>
        <w:t>1.1</w:t>
      </w:r>
      <w:r>
        <w:rPr>
          <w:rFonts w:hint="eastAsia" w:ascii="Times New Roman" w:hAnsi="Times New Roman" w:eastAsia="宋体"/>
          <w:color w:val="auto"/>
          <w:sz w:val="24"/>
          <w:szCs w:val="24"/>
          <w:highlight w:val="none"/>
          <w:lang w:val="en-US" w:eastAsia="zh-CN"/>
        </w:rPr>
        <w:t>m高防火堤（与围堰合建）</w:t>
      </w:r>
      <w:r>
        <w:rPr>
          <w:rFonts w:hint="eastAsia"/>
          <w:color w:val="auto"/>
          <w:sz w:val="24"/>
          <w:szCs w:val="24"/>
          <w:highlight w:val="none"/>
          <w:lang w:val="en-US" w:eastAsia="zh-CN"/>
        </w:rPr>
        <w:t>、3</w:t>
      </w:r>
      <w:r>
        <w:rPr>
          <w:rFonts w:hint="eastAsia" w:ascii="Times New Roman" w:hAnsi="Times New Roman" w:eastAsia="宋体"/>
          <w:color w:val="auto"/>
          <w:sz w:val="24"/>
          <w:szCs w:val="24"/>
          <w:highlight w:val="none"/>
          <w:lang w:val="en-US" w:eastAsia="zh-CN"/>
        </w:rPr>
        <w:t>#罐区四周设</w:t>
      </w:r>
      <w:r>
        <w:rPr>
          <w:rFonts w:hint="eastAsia"/>
          <w:color w:val="auto"/>
          <w:sz w:val="24"/>
          <w:szCs w:val="24"/>
          <w:highlight w:val="none"/>
          <w:lang w:val="en-US" w:eastAsia="zh-CN"/>
        </w:rPr>
        <w:t>0.4</w:t>
      </w:r>
      <w:r>
        <w:rPr>
          <w:rFonts w:hint="eastAsia" w:ascii="Times New Roman" w:hAnsi="Times New Roman" w:eastAsia="宋体"/>
          <w:color w:val="auto"/>
          <w:sz w:val="24"/>
          <w:szCs w:val="24"/>
          <w:highlight w:val="none"/>
          <w:lang w:val="en-US" w:eastAsia="zh-CN"/>
        </w:rPr>
        <w:t>m高防火堤（与围堰合建），且</w:t>
      </w:r>
      <w:r>
        <w:rPr>
          <w:rFonts w:hint="eastAsia"/>
          <w:color w:val="auto"/>
          <w:sz w:val="24"/>
          <w:szCs w:val="24"/>
          <w:highlight w:val="none"/>
          <w:lang w:val="en-US" w:eastAsia="zh-CN"/>
        </w:rPr>
        <w:t>1#和2#</w:t>
      </w:r>
      <w:r>
        <w:rPr>
          <w:rFonts w:hint="eastAsia" w:ascii="Times New Roman" w:hAnsi="Times New Roman" w:eastAsia="宋体"/>
          <w:color w:val="auto"/>
          <w:sz w:val="24"/>
          <w:szCs w:val="24"/>
          <w:highlight w:val="none"/>
          <w:lang w:val="en-US" w:eastAsia="zh-CN"/>
        </w:rPr>
        <w:t>罐区内各区域均设1个容积</w:t>
      </w:r>
      <w:r>
        <w:rPr>
          <w:rFonts w:hint="eastAsia"/>
          <w:color w:val="auto"/>
          <w:sz w:val="24"/>
          <w:szCs w:val="24"/>
          <w:highlight w:val="none"/>
          <w:lang w:val="en-US" w:eastAsia="zh-CN"/>
        </w:rPr>
        <w:t>2.25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池、3#</w:t>
      </w:r>
      <w:r>
        <w:rPr>
          <w:rFonts w:hint="eastAsia" w:ascii="Times New Roman" w:hAnsi="Times New Roman" w:eastAsia="宋体"/>
          <w:color w:val="auto"/>
          <w:sz w:val="24"/>
          <w:szCs w:val="24"/>
          <w:highlight w:val="none"/>
          <w:lang w:val="en-US" w:eastAsia="zh-CN"/>
        </w:rPr>
        <w:t>罐区内设1个容积</w:t>
      </w:r>
      <w:r>
        <w:rPr>
          <w:rFonts w:hint="eastAsia"/>
          <w:color w:val="auto"/>
          <w:sz w:val="24"/>
          <w:szCs w:val="24"/>
          <w:highlight w:val="none"/>
          <w:lang w:val="en-US" w:eastAsia="zh-CN"/>
        </w:rPr>
        <w:t>1.44</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olor w:val="auto"/>
          <w:sz w:val="24"/>
          <w:szCs w:val="24"/>
          <w:lang w:val="en-US" w:eastAsia="zh-CN"/>
        </w:rPr>
        <w:t>仓库内液体库区、双氧水库房和危废暂存间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池（集水池内设潜污泵，用于提升事故废水至可视化架空管廊）。同时，厂区</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highlight w:val="none"/>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w:t>
      </w:r>
      <w:r>
        <w:rPr>
          <w:rFonts w:hint="eastAsia" w:cs="Times New Roman"/>
          <w:b w:val="0"/>
          <w:bCs w:val="0"/>
          <w:color w:val="auto"/>
          <w:sz w:val="24"/>
          <w:szCs w:val="24"/>
          <w:highlight w:val="none"/>
          <w:lang w:val="en-US" w:eastAsia="zh-CN"/>
        </w:rPr>
        <w:t>事故废水和</w:t>
      </w:r>
      <w:r>
        <w:rPr>
          <w:rFonts w:hint="default" w:ascii="Times New Roman" w:hAnsi="Times New Roman" w:eastAsia="宋体" w:cs="Times New Roman"/>
          <w:b w:val="0"/>
          <w:bCs w:val="0"/>
          <w:color w:val="auto"/>
          <w:sz w:val="24"/>
          <w:szCs w:val="24"/>
          <w:highlight w:val="none"/>
          <w:lang w:val="en-US" w:eastAsia="zh-CN"/>
        </w:rPr>
        <w:t>消防废水的收集</w:t>
      </w:r>
      <w:r>
        <w:rPr>
          <w:rFonts w:hint="eastAsia" w:ascii="Times New Roman" w:hAnsi="Times New Roman"/>
          <w:color w:val="auto"/>
          <w:sz w:val="24"/>
          <w:szCs w:val="24"/>
        </w:rPr>
        <w:t>。</w:t>
      </w:r>
    </w:p>
    <w:p w14:paraId="734F76AB">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入渗途径：根据分区防渗原则采取相应的防渗措施。</w:t>
      </w:r>
    </w:p>
    <w:p w14:paraId="7BE3938F">
      <w:pPr>
        <w:spacing w:line="360" w:lineRule="auto"/>
        <w:ind w:left="0" w:leftChars="0" w:firstLine="482" w:firstLineChars="200"/>
        <w:rPr>
          <w:rFonts w:ascii="Times New Roman" w:hAnsi="Times New Roman"/>
          <w:b/>
          <w:color w:val="auto"/>
          <w:sz w:val="24"/>
          <w:szCs w:val="24"/>
        </w:rPr>
      </w:pPr>
      <w:r>
        <w:rPr>
          <w:rFonts w:hint="eastAsia" w:ascii="Times New Roman" w:hAnsi="Times New Roman"/>
          <w:b/>
          <w:color w:val="auto"/>
          <w:sz w:val="24"/>
          <w:szCs w:val="24"/>
        </w:rPr>
        <w:t>（</w:t>
      </w:r>
      <w:r>
        <w:rPr>
          <w:rFonts w:ascii="Times New Roman" w:hAnsi="Times New Roman"/>
          <w:b/>
          <w:color w:val="auto"/>
          <w:sz w:val="24"/>
          <w:szCs w:val="24"/>
        </w:rPr>
        <w:t>3</w:t>
      </w:r>
      <w:r>
        <w:rPr>
          <w:rFonts w:hint="eastAsia" w:ascii="Times New Roman" w:hAnsi="Times New Roman"/>
          <w:b/>
          <w:color w:val="auto"/>
          <w:sz w:val="24"/>
          <w:szCs w:val="24"/>
        </w:rPr>
        <w:t>）跟踪监测</w:t>
      </w:r>
    </w:p>
    <w:p w14:paraId="4A1978AE">
      <w:pPr>
        <w:spacing w:line="360" w:lineRule="auto"/>
        <w:ind w:left="0" w:leftChars="0" w:firstLine="480" w:firstLineChars="200"/>
        <w:rPr>
          <w:rFonts w:hint="eastAsia" w:ascii="Times New Roman" w:hAnsi="Times New Roman"/>
          <w:color w:val="auto"/>
          <w:sz w:val="24"/>
        </w:rPr>
      </w:pPr>
      <w:r>
        <w:rPr>
          <w:rFonts w:hint="eastAsia" w:ascii="Times New Roman" w:hAnsi="Times New Roman"/>
          <w:color w:val="auto"/>
          <w:sz w:val="24"/>
          <w:szCs w:val="24"/>
        </w:rPr>
        <w:t>建设单位</w:t>
      </w:r>
      <w:r>
        <w:rPr>
          <w:rFonts w:ascii="Times New Roman" w:hAnsi="Times New Roman"/>
          <w:color w:val="auto"/>
          <w:sz w:val="24"/>
          <w:szCs w:val="24"/>
        </w:rPr>
        <w:t>应建立土壤环境跟踪监测制度</w:t>
      </w:r>
      <w:r>
        <w:rPr>
          <w:rFonts w:hint="eastAsia" w:ascii="Times New Roman" w:hAnsi="Times New Roman"/>
          <w:color w:val="auto"/>
          <w:sz w:val="24"/>
          <w:szCs w:val="24"/>
        </w:rPr>
        <w:t>，以便及时发现问题，采取措施。</w:t>
      </w:r>
      <w:r>
        <w:rPr>
          <w:rFonts w:hint="eastAsia"/>
          <w:color w:val="auto"/>
          <w:highlight w:val="none"/>
        </w:rPr>
        <w:t>根据</w:t>
      </w:r>
      <w:r>
        <w:rPr>
          <w:rFonts w:hint="default" w:ascii="Times New Roman" w:hAnsi="Times New Roman" w:cs="Times New Roman"/>
          <w:color w:val="auto"/>
          <w:highlight w:val="none"/>
        </w:rPr>
        <w:t>《环境影响评价技术导则</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土壤环境（试行）》（HJ964-2018）</w:t>
      </w:r>
      <w:r>
        <w:rPr>
          <w:rFonts w:hint="eastAsia"/>
          <w:color w:val="auto"/>
          <w:highlight w:val="none"/>
        </w:rPr>
        <w:t>和《工业企业土壤和地下水自行监测技术指南（试行）》（HJ1209-2021）</w:t>
      </w:r>
      <w:r>
        <w:rPr>
          <w:rFonts w:hint="eastAsia"/>
          <w:color w:val="auto"/>
          <w:highlight w:val="none"/>
          <w:lang w:eastAsia="zh-CN"/>
        </w:rPr>
        <w:t>，</w:t>
      </w:r>
      <w:r>
        <w:rPr>
          <w:rFonts w:hint="eastAsia"/>
          <w:color w:val="auto"/>
          <w:highlight w:val="none"/>
          <w:lang w:val="en-US" w:eastAsia="zh-CN"/>
        </w:rPr>
        <w:t>并结合</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eastAsia="宋体" w:cs="Times New Roman"/>
          <w:color w:val="auto"/>
          <w:sz w:val="24"/>
          <w:lang w:val="en-US" w:eastAsia="zh-CN"/>
        </w:rPr>
        <w:t>和</w:t>
      </w:r>
      <w:r>
        <w:rPr>
          <w:rFonts w:hint="eastAsia" w:ascii="Times New Roman" w:hAnsi="Times New Roman" w:eastAsia="宋体" w:cs="Times New Roman"/>
          <w:color w:val="auto"/>
          <w:sz w:val="24"/>
          <w:lang w:eastAsia="zh-CN"/>
        </w:rPr>
        <w:t xml:space="preserve">《排污单位自行监测技术指南 </w:t>
      </w:r>
      <w:r>
        <w:rPr>
          <w:rFonts w:hint="eastAsia" w:cs="Times New Roman"/>
          <w:color w:val="auto"/>
          <w:sz w:val="24"/>
          <w:lang w:val="en-US" w:eastAsia="zh-CN"/>
        </w:rPr>
        <w:t>总则</w:t>
      </w:r>
      <w:r>
        <w:rPr>
          <w:rFonts w:hint="eastAsia" w:ascii="Times New Roman" w:hAnsi="Times New Roman" w:eastAsia="宋体" w:cs="Times New Roman"/>
          <w:color w:val="auto"/>
          <w:sz w:val="24"/>
          <w:lang w:eastAsia="zh-CN"/>
        </w:rPr>
        <w:t>》（HJ</w:t>
      </w:r>
      <w:r>
        <w:rPr>
          <w:rFonts w:hint="eastAsia" w:cs="Times New Roman"/>
          <w:color w:val="auto"/>
          <w:sz w:val="24"/>
          <w:lang w:val="en-US" w:eastAsia="zh-CN"/>
        </w:rPr>
        <w:t>819-2017</w:t>
      </w:r>
      <w:r>
        <w:rPr>
          <w:rFonts w:hint="eastAsia" w:ascii="Times New Roman" w:hAnsi="Times New Roman" w:eastAsia="宋体" w:cs="Times New Roman"/>
          <w:color w:val="auto"/>
          <w:sz w:val="24"/>
          <w:lang w:eastAsia="zh-CN"/>
        </w:rPr>
        <w:t>）</w:t>
      </w:r>
      <w:r>
        <w:rPr>
          <w:rFonts w:hint="eastAsia"/>
          <w:color w:val="auto"/>
          <w:highlight w:val="none"/>
        </w:rPr>
        <w:t>中相关要求，本项目</w:t>
      </w:r>
      <w:r>
        <w:rPr>
          <w:rFonts w:hint="eastAsia" w:ascii="Times New Roman" w:hAnsi="Times New Roman"/>
          <w:color w:val="auto"/>
          <w:sz w:val="24"/>
        </w:rPr>
        <w:t>土壤环境跟踪监测计划见</w:t>
      </w:r>
      <w:r>
        <w:rPr>
          <w:rFonts w:hint="eastAsia" w:ascii="Times New Roman" w:hAnsi="Times New Roman"/>
          <w:color w:val="auto"/>
          <w:sz w:val="24"/>
          <w:lang w:val="en-US" w:eastAsia="zh-CN"/>
        </w:rPr>
        <w:t>下</w:t>
      </w:r>
      <w:r>
        <w:rPr>
          <w:rFonts w:hint="eastAsia" w:ascii="Times New Roman" w:hAnsi="Times New Roman"/>
          <w:color w:val="auto"/>
          <w:sz w:val="24"/>
        </w:rPr>
        <w:t>表。</w:t>
      </w:r>
    </w:p>
    <w:p w14:paraId="615D0CB6">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土壤环境跟踪监测计划</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117"/>
        <w:gridCol w:w="783"/>
        <w:gridCol w:w="1400"/>
        <w:gridCol w:w="1340"/>
        <w:gridCol w:w="790"/>
        <w:gridCol w:w="3333"/>
      </w:tblGrid>
      <w:tr w14:paraId="32C2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9" w:type="pct"/>
            <w:shd w:val="clear" w:color="auto" w:fill="auto"/>
            <w:vAlign w:val="center"/>
          </w:tcPr>
          <w:p w14:paraId="635B3A5B">
            <w:pPr>
              <w:pStyle w:val="24"/>
              <w:bidi w:val="0"/>
              <w:rPr>
                <w:rFonts w:hint="default" w:ascii="Times New Roman" w:hAnsi="Times New Roman" w:eastAsia="宋体" w:cs="Courier New"/>
                <w:b/>
                <w:bCs/>
                <w:color w:val="auto"/>
                <w:sz w:val="21"/>
                <w:szCs w:val="21"/>
                <w:highlight w:val="none"/>
                <w:lang w:val="en-US" w:eastAsia="zh-CN"/>
              </w:rPr>
            </w:pPr>
            <w:r>
              <w:rPr>
                <w:rFonts w:hint="eastAsia" w:cs="Courier New"/>
                <w:b/>
                <w:bCs/>
                <w:color w:val="auto"/>
                <w:sz w:val="21"/>
                <w:szCs w:val="21"/>
                <w:highlight w:val="none"/>
                <w:lang w:val="en-US" w:eastAsia="zh-CN"/>
              </w:rPr>
              <w:t>编号</w:t>
            </w:r>
          </w:p>
        </w:tc>
        <w:tc>
          <w:tcPr>
            <w:tcW w:w="587" w:type="pct"/>
            <w:shd w:val="clear" w:color="auto" w:fill="auto"/>
            <w:vAlign w:val="center"/>
          </w:tcPr>
          <w:p w14:paraId="7ABC045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411" w:type="pct"/>
            <w:shd w:val="clear" w:color="auto" w:fill="auto"/>
            <w:vAlign w:val="center"/>
          </w:tcPr>
          <w:p w14:paraId="5C333034">
            <w:pPr>
              <w:pStyle w:val="24"/>
              <w:bidi w:val="0"/>
              <w:ind w:left="0" w:leftChars="0"/>
              <w:rPr>
                <w:rFonts w:hint="default" w:ascii="Times New Roman" w:hAnsi="Times New Roman" w:eastAsia="宋体"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监测层位</w:t>
            </w:r>
          </w:p>
        </w:tc>
        <w:tc>
          <w:tcPr>
            <w:tcW w:w="736" w:type="pct"/>
            <w:shd w:val="clear" w:color="auto" w:fill="auto"/>
            <w:vAlign w:val="center"/>
          </w:tcPr>
          <w:p w14:paraId="36FDB170">
            <w:pPr>
              <w:pStyle w:val="24"/>
              <w:bidi w:val="0"/>
              <w:ind w:left="0" w:leftChars="0"/>
              <w:rPr>
                <w:rFonts w:hint="default" w:ascii="Times New Roman" w:hAnsi="Times New Roman" w:eastAsia="宋体"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采样深度</w:t>
            </w:r>
          </w:p>
        </w:tc>
        <w:tc>
          <w:tcPr>
            <w:tcW w:w="705" w:type="pct"/>
            <w:shd w:val="clear" w:color="auto" w:fill="auto"/>
            <w:vAlign w:val="center"/>
          </w:tcPr>
          <w:p w14:paraId="3140E378">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监测指标</w:t>
            </w:r>
          </w:p>
        </w:tc>
        <w:tc>
          <w:tcPr>
            <w:tcW w:w="415" w:type="pct"/>
            <w:shd w:val="clear" w:color="auto" w:fill="auto"/>
            <w:vAlign w:val="center"/>
          </w:tcPr>
          <w:p w14:paraId="0C773C70">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监测频次</w:t>
            </w:r>
          </w:p>
        </w:tc>
        <w:tc>
          <w:tcPr>
            <w:tcW w:w="1753" w:type="pct"/>
            <w:shd w:val="clear" w:color="auto" w:fill="auto"/>
            <w:vAlign w:val="center"/>
          </w:tcPr>
          <w:p w14:paraId="2F276623">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执行排放标准</w:t>
            </w:r>
          </w:p>
        </w:tc>
      </w:tr>
      <w:tr w14:paraId="7B0F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89" w:type="pct"/>
            <w:shd w:val="clear" w:color="auto" w:fill="auto"/>
            <w:vAlign w:val="center"/>
          </w:tcPr>
          <w:p w14:paraId="17A28C68">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T1</w:t>
            </w:r>
          </w:p>
        </w:tc>
        <w:tc>
          <w:tcPr>
            <w:tcW w:w="587" w:type="pct"/>
            <w:shd w:val="clear" w:color="auto" w:fill="auto"/>
            <w:vAlign w:val="center"/>
          </w:tcPr>
          <w:p w14:paraId="280F047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罐区西南侧</w:t>
            </w:r>
          </w:p>
        </w:tc>
        <w:tc>
          <w:tcPr>
            <w:tcW w:w="411" w:type="pct"/>
            <w:shd w:val="clear" w:color="auto" w:fill="auto"/>
            <w:vAlign w:val="center"/>
          </w:tcPr>
          <w:p w14:paraId="5EC3202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深层土壤</w:t>
            </w:r>
          </w:p>
        </w:tc>
        <w:tc>
          <w:tcPr>
            <w:tcW w:w="736" w:type="pct"/>
            <w:shd w:val="clear" w:color="auto" w:fill="auto"/>
            <w:vAlign w:val="center"/>
          </w:tcPr>
          <w:p w14:paraId="7168E46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低于罐区防渗工程与土壤接触面</w:t>
            </w:r>
          </w:p>
        </w:tc>
        <w:tc>
          <w:tcPr>
            <w:tcW w:w="705" w:type="pct"/>
            <w:vMerge w:val="restart"/>
            <w:shd w:val="clear" w:color="auto" w:fill="auto"/>
            <w:vAlign w:val="center"/>
          </w:tcPr>
          <w:p w14:paraId="220B99D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pH、</w:t>
            </w:r>
            <w:r>
              <w:rPr>
                <w:rFonts w:hint="eastAsia" w:ascii="Times New Roman" w:hAnsi="Times New Roman" w:eastAsia="宋体" w:cs="Courier New"/>
                <w:b w:val="0"/>
                <w:bCs w:val="0"/>
                <w:color w:val="auto"/>
                <w:sz w:val="21"/>
                <w:szCs w:val="21"/>
                <w:highlight w:val="none"/>
                <w:lang w:val="en-US" w:eastAsia="zh-CN"/>
              </w:rPr>
              <w:t>氟化物</w:t>
            </w:r>
            <w:r>
              <w:rPr>
                <w:rFonts w:hint="eastAsia" w:cs="Courier New"/>
                <w:b w:val="0"/>
                <w:bCs w:val="0"/>
                <w:color w:val="auto"/>
                <w:sz w:val="21"/>
                <w:szCs w:val="21"/>
                <w:highlight w:val="none"/>
                <w:lang w:val="en-US" w:eastAsia="zh-CN"/>
              </w:rPr>
              <w:t>、</w:t>
            </w:r>
            <w:r>
              <w:rPr>
                <w:rFonts w:hint="eastAsia" w:ascii="Times New Roman" w:hAnsi="Times New Roman" w:cs="Times New Roman"/>
                <w:color w:val="auto"/>
                <w:sz w:val="21"/>
                <w:szCs w:val="21"/>
              </w:rPr>
              <w:t>石油烃</w:t>
            </w:r>
            <w:r>
              <w:rPr>
                <w:rFonts w:ascii="Times New Roman" w:hAnsi="Times New Roman" w:cs="Times New Roman"/>
                <w:color w:val="auto"/>
                <w:sz w:val="21"/>
                <w:szCs w:val="21"/>
              </w:rPr>
              <w:t>（</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10</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40</w:t>
            </w:r>
            <w:r>
              <w:rPr>
                <w:rFonts w:ascii="Times New Roman" w:hAnsi="Times New Roman" w:cs="Times New Roman"/>
                <w:color w:val="auto"/>
                <w:sz w:val="21"/>
                <w:szCs w:val="21"/>
              </w:rPr>
              <w:t>）</w:t>
            </w:r>
          </w:p>
        </w:tc>
        <w:tc>
          <w:tcPr>
            <w:tcW w:w="415" w:type="pct"/>
            <w:shd w:val="clear" w:color="auto" w:fill="auto"/>
            <w:vAlign w:val="center"/>
          </w:tcPr>
          <w:p w14:paraId="087EA576">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1次/3年</w:t>
            </w:r>
          </w:p>
        </w:tc>
        <w:tc>
          <w:tcPr>
            <w:tcW w:w="1753" w:type="pct"/>
            <w:vMerge w:val="restart"/>
            <w:shd w:val="clear" w:color="auto" w:fill="auto"/>
            <w:vAlign w:val="center"/>
          </w:tcPr>
          <w:p w14:paraId="6A9B3FEE">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《土壤环境质量 建设用地土壤污染风险管控标准（试行）》（GB36600-2018）</w:t>
            </w:r>
            <w:r>
              <w:rPr>
                <w:rFonts w:hint="eastAsia" w:cs="Courier New"/>
                <w:b w:val="0"/>
                <w:bCs w:val="0"/>
                <w:color w:val="auto"/>
                <w:sz w:val="21"/>
                <w:szCs w:val="21"/>
                <w:highlight w:val="none"/>
                <w:lang w:val="en-US" w:eastAsia="zh-CN"/>
              </w:rPr>
              <w:t>、</w:t>
            </w:r>
            <w:r>
              <w:rPr>
                <w:rFonts w:hint="eastAsia" w:cstheme="minorHAnsi"/>
                <w:color w:val="auto"/>
                <w:sz w:val="21"/>
                <w:szCs w:val="21"/>
                <w:lang w:val="en-US" w:eastAsia="zh-CN"/>
              </w:rPr>
              <w:t>《四川省建设用地土壤污染风险管控标准》（DB51/2978-2023）</w:t>
            </w:r>
            <w:r>
              <w:rPr>
                <w:rFonts w:hint="eastAsia" w:ascii="Times New Roman" w:hAnsi="Times New Roman" w:eastAsia="宋体" w:cs="Courier New"/>
                <w:b w:val="0"/>
                <w:bCs w:val="0"/>
                <w:color w:val="auto"/>
                <w:sz w:val="21"/>
                <w:szCs w:val="21"/>
                <w:highlight w:val="none"/>
                <w:lang w:val="en-US" w:eastAsia="zh-CN"/>
              </w:rPr>
              <w:t>第二类用地土壤污染风险筛选值</w:t>
            </w:r>
          </w:p>
        </w:tc>
      </w:tr>
      <w:tr w14:paraId="54F1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89" w:type="pct"/>
            <w:shd w:val="clear" w:color="auto" w:fill="auto"/>
            <w:vAlign w:val="center"/>
          </w:tcPr>
          <w:p w14:paraId="6F6D8CDC">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T2</w:t>
            </w:r>
          </w:p>
        </w:tc>
        <w:tc>
          <w:tcPr>
            <w:tcW w:w="587" w:type="pct"/>
            <w:shd w:val="clear" w:color="auto" w:fill="auto"/>
            <w:vAlign w:val="center"/>
          </w:tcPr>
          <w:p w14:paraId="34E77DA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厂区西南侧厂界</w:t>
            </w:r>
          </w:p>
        </w:tc>
        <w:tc>
          <w:tcPr>
            <w:tcW w:w="411" w:type="pct"/>
            <w:shd w:val="clear" w:color="auto" w:fill="auto"/>
            <w:vAlign w:val="center"/>
          </w:tcPr>
          <w:p w14:paraId="18D9C215">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表层土壤</w:t>
            </w:r>
          </w:p>
        </w:tc>
        <w:tc>
          <w:tcPr>
            <w:tcW w:w="736" w:type="pct"/>
            <w:shd w:val="clear" w:color="auto" w:fill="auto"/>
            <w:vAlign w:val="center"/>
          </w:tcPr>
          <w:p w14:paraId="394180D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0~0.5m</w:t>
            </w:r>
          </w:p>
        </w:tc>
        <w:tc>
          <w:tcPr>
            <w:tcW w:w="705" w:type="pct"/>
            <w:vMerge w:val="continue"/>
            <w:vAlign w:val="center"/>
          </w:tcPr>
          <w:p w14:paraId="079D386E">
            <w:pPr>
              <w:pStyle w:val="24"/>
              <w:bidi w:val="0"/>
              <w:rPr>
                <w:rFonts w:hint="eastAsia" w:ascii="Times New Roman" w:hAnsi="Times New Roman" w:eastAsia="宋体" w:cs="Courier New"/>
                <w:b w:val="0"/>
                <w:bCs w:val="0"/>
                <w:color w:val="auto"/>
                <w:sz w:val="21"/>
                <w:szCs w:val="21"/>
                <w:highlight w:val="none"/>
                <w:lang w:val="en-US" w:eastAsia="zh-CN"/>
              </w:rPr>
            </w:pPr>
          </w:p>
        </w:tc>
        <w:tc>
          <w:tcPr>
            <w:tcW w:w="415" w:type="pct"/>
            <w:shd w:val="clear" w:color="auto" w:fill="auto"/>
            <w:vAlign w:val="center"/>
          </w:tcPr>
          <w:p w14:paraId="06640C47">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1次/年</w:t>
            </w:r>
          </w:p>
        </w:tc>
        <w:tc>
          <w:tcPr>
            <w:tcW w:w="1753" w:type="pct"/>
            <w:vMerge w:val="continue"/>
            <w:vAlign w:val="center"/>
          </w:tcPr>
          <w:p w14:paraId="4664E943">
            <w:pPr>
              <w:pStyle w:val="24"/>
              <w:bidi w:val="0"/>
              <w:rPr>
                <w:rFonts w:hint="default" w:cs="Courier New"/>
                <w:b w:val="0"/>
                <w:bCs w:val="0"/>
                <w:color w:val="auto"/>
                <w:sz w:val="21"/>
                <w:szCs w:val="21"/>
                <w:highlight w:val="none"/>
                <w:lang w:val="en-US" w:eastAsia="zh-CN"/>
              </w:rPr>
            </w:pPr>
          </w:p>
        </w:tc>
      </w:tr>
    </w:tbl>
    <w:p w14:paraId="40A1F374">
      <w:pPr>
        <w:pStyle w:val="6"/>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5、土壤环境影响结论</w:t>
      </w:r>
    </w:p>
    <w:p w14:paraId="03C95A2C">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本项目</w:t>
      </w:r>
      <w:r>
        <w:rPr>
          <w:rFonts w:ascii="Times New Roman" w:hAnsi="Times New Roman"/>
          <w:color w:val="auto"/>
          <w:sz w:val="24"/>
          <w:szCs w:val="24"/>
        </w:rPr>
        <w:t>正常工况下排放污染物对土壤环境</w:t>
      </w:r>
      <w:r>
        <w:rPr>
          <w:rFonts w:hint="eastAsia"/>
          <w:color w:val="auto"/>
          <w:sz w:val="24"/>
          <w:szCs w:val="24"/>
          <w:lang w:val="en-US" w:eastAsia="zh-CN"/>
        </w:rPr>
        <w:t>影响较小，发生非正常状况后，土壤中污染物</w:t>
      </w:r>
      <w:r>
        <w:rPr>
          <w:rFonts w:hint="eastAsia" w:ascii="Times New Roman" w:hAnsi="Times New Roman"/>
          <w:color w:val="auto"/>
          <w:sz w:val="24"/>
          <w:szCs w:val="24"/>
        </w:rPr>
        <w:t>增量很小，预测值满足相应标准要求，建设单位在落实本环评提出的土壤环境保护措施、落实土壤环境跟踪监测要求，从土壤环境影响的角度，项目建设是可行的</w:t>
      </w:r>
      <w:r>
        <w:rPr>
          <w:rFonts w:ascii="Times New Roman" w:hAnsi="Times New Roman"/>
          <w:color w:val="auto"/>
          <w:sz w:val="24"/>
          <w:szCs w:val="24"/>
        </w:rPr>
        <w:t>。</w:t>
      </w:r>
    </w:p>
    <w:p w14:paraId="527768BD">
      <w:pPr>
        <w:pStyle w:val="6"/>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6、土壤环境影响评价自查表</w:t>
      </w:r>
    </w:p>
    <w:p w14:paraId="1E88F42E">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本项目土壤环境影响评价自查表</w:t>
      </w:r>
      <w:r>
        <w:rPr>
          <w:rFonts w:ascii="Times New Roman" w:hAnsi="Times New Roman"/>
          <w:color w:val="auto"/>
          <w:sz w:val="24"/>
          <w:szCs w:val="24"/>
        </w:rPr>
        <w:t>见</w:t>
      </w:r>
      <w:r>
        <w:rPr>
          <w:rFonts w:hint="eastAsia" w:ascii="Times New Roman" w:hAnsi="Times New Roman"/>
          <w:color w:val="auto"/>
          <w:sz w:val="24"/>
          <w:szCs w:val="24"/>
          <w:lang w:val="en-US" w:eastAsia="zh-CN"/>
        </w:rPr>
        <w:t>下</w:t>
      </w:r>
      <w:r>
        <w:rPr>
          <w:rFonts w:ascii="Times New Roman" w:hAnsi="Times New Roman"/>
          <w:color w:val="auto"/>
          <w:sz w:val="24"/>
          <w:szCs w:val="24"/>
        </w:rPr>
        <w:t>表</w:t>
      </w:r>
      <w:r>
        <w:rPr>
          <w:rFonts w:hint="eastAsia" w:ascii="Times New Roman" w:hAnsi="Times New Roman"/>
          <w:color w:val="auto"/>
          <w:sz w:val="24"/>
          <w:szCs w:val="24"/>
        </w:rPr>
        <w:t>。</w:t>
      </w:r>
    </w:p>
    <w:p w14:paraId="49CFE65F">
      <w:pPr>
        <w:pStyle w:val="26"/>
        <w:numPr>
          <w:ilvl w:val="0"/>
          <w:numId w:val="25"/>
        </w:numPr>
        <w:tabs>
          <w:tab w:val="left" w:pos="0"/>
        </w:tabs>
        <w:ind w:left="0" w:leftChars="0" w:firstLine="420"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土壤环境影响评价自查表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713"/>
        <w:gridCol w:w="1592"/>
        <w:gridCol w:w="530"/>
        <w:gridCol w:w="1064"/>
        <w:gridCol w:w="1340"/>
        <w:gridCol w:w="255"/>
        <w:gridCol w:w="1823"/>
        <w:gridCol w:w="771"/>
      </w:tblGrid>
      <w:tr w14:paraId="3DC7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24" w:type="pct"/>
            <w:gridSpan w:val="2"/>
            <w:shd w:val="clear" w:color="auto" w:fill="auto"/>
            <w:vAlign w:val="center"/>
          </w:tcPr>
          <w:p w14:paraId="1EEF3854">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工作内容</w:t>
            </w:r>
          </w:p>
        </w:tc>
        <w:tc>
          <w:tcPr>
            <w:tcW w:w="3471" w:type="pct"/>
            <w:gridSpan w:val="6"/>
          </w:tcPr>
          <w:p w14:paraId="3769553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完成情况</w:t>
            </w:r>
          </w:p>
        </w:tc>
        <w:tc>
          <w:tcPr>
            <w:tcW w:w="404" w:type="pct"/>
          </w:tcPr>
          <w:p w14:paraId="518C46E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备注</w:t>
            </w:r>
          </w:p>
        </w:tc>
      </w:tr>
      <w:tr w14:paraId="420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restart"/>
            <w:shd w:val="clear" w:color="auto" w:fill="auto"/>
            <w:vAlign w:val="center"/>
          </w:tcPr>
          <w:p w14:paraId="36B418A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影响识别</w:t>
            </w:r>
          </w:p>
        </w:tc>
        <w:tc>
          <w:tcPr>
            <w:tcW w:w="900" w:type="pct"/>
            <w:shd w:val="clear" w:color="auto" w:fill="auto"/>
            <w:vAlign w:val="center"/>
          </w:tcPr>
          <w:p w14:paraId="695373F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影响类型</w:t>
            </w:r>
          </w:p>
        </w:tc>
        <w:tc>
          <w:tcPr>
            <w:tcW w:w="3471" w:type="pct"/>
            <w:gridSpan w:val="6"/>
          </w:tcPr>
          <w:p w14:paraId="744C388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污染影响型</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；生态影响型□；两种兼有□</w:t>
            </w:r>
          </w:p>
        </w:tc>
        <w:tc>
          <w:tcPr>
            <w:tcW w:w="404" w:type="pct"/>
            <w:vAlign w:val="center"/>
          </w:tcPr>
          <w:p w14:paraId="32E6337C">
            <w:pPr>
              <w:pStyle w:val="24"/>
              <w:bidi w:val="0"/>
              <w:rPr>
                <w:rFonts w:hint="eastAsia" w:ascii="Times New Roman" w:hAnsi="Times New Roman" w:eastAsia="宋体" w:cs="Courier New"/>
                <w:b w:val="0"/>
                <w:bCs w:val="0"/>
                <w:color w:val="auto"/>
                <w:sz w:val="21"/>
                <w:szCs w:val="21"/>
                <w:highlight w:val="none"/>
                <w:lang w:val="en-US" w:eastAsia="zh-CN"/>
              </w:rPr>
            </w:pPr>
          </w:p>
        </w:tc>
      </w:tr>
      <w:tr w14:paraId="7B0C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continue"/>
            <w:shd w:val="clear" w:color="auto" w:fill="auto"/>
            <w:vAlign w:val="center"/>
          </w:tcPr>
          <w:p w14:paraId="53017D14">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28D9779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土地利用类型</w:t>
            </w:r>
          </w:p>
        </w:tc>
        <w:tc>
          <w:tcPr>
            <w:tcW w:w="3471" w:type="pct"/>
            <w:gridSpan w:val="6"/>
            <w:vAlign w:val="center"/>
          </w:tcPr>
          <w:p w14:paraId="0575AA4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建设用地</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；农用地□；未利用地□</w:t>
            </w:r>
          </w:p>
        </w:tc>
        <w:tc>
          <w:tcPr>
            <w:tcW w:w="404" w:type="pct"/>
            <w:vAlign w:val="center"/>
          </w:tcPr>
          <w:p w14:paraId="268638AD">
            <w:pPr>
              <w:pStyle w:val="24"/>
              <w:bidi w:val="0"/>
              <w:rPr>
                <w:rFonts w:hint="eastAsia" w:ascii="Times New Roman" w:hAnsi="Times New Roman" w:eastAsia="宋体" w:cs="Courier New"/>
                <w:b w:val="0"/>
                <w:bCs w:val="0"/>
                <w:color w:val="auto"/>
                <w:sz w:val="21"/>
                <w:szCs w:val="21"/>
                <w:highlight w:val="none"/>
                <w:lang w:val="en-US" w:eastAsia="zh-CN"/>
              </w:rPr>
            </w:pPr>
          </w:p>
        </w:tc>
      </w:tr>
      <w:tr w14:paraId="5713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continue"/>
            <w:shd w:val="clear" w:color="auto" w:fill="auto"/>
            <w:vAlign w:val="center"/>
          </w:tcPr>
          <w:p w14:paraId="636D5A4C">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74ED27EF">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占地规模</w:t>
            </w:r>
          </w:p>
        </w:tc>
        <w:tc>
          <w:tcPr>
            <w:tcW w:w="3471" w:type="pct"/>
            <w:gridSpan w:val="6"/>
          </w:tcPr>
          <w:p w14:paraId="6283526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（1.72）hm</w:t>
            </w:r>
            <w:r>
              <w:rPr>
                <w:rFonts w:hint="eastAsia" w:ascii="Times New Roman" w:hAnsi="Times New Roman" w:eastAsia="宋体" w:cs="Courier New"/>
                <w:b w:val="0"/>
                <w:bCs w:val="0"/>
                <w:color w:val="auto"/>
                <w:sz w:val="21"/>
                <w:szCs w:val="21"/>
                <w:highlight w:val="none"/>
                <w:vertAlign w:val="superscript"/>
                <w:lang w:val="en-US" w:eastAsia="zh-CN"/>
              </w:rPr>
              <w:t>2</w:t>
            </w:r>
          </w:p>
        </w:tc>
        <w:tc>
          <w:tcPr>
            <w:tcW w:w="404" w:type="pct"/>
            <w:vAlign w:val="center"/>
          </w:tcPr>
          <w:p w14:paraId="41CB801C">
            <w:pPr>
              <w:pStyle w:val="24"/>
              <w:bidi w:val="0"/>
              <w:rPr>
                <w:rFonts w:hint="eastAsia" w:ascii="Times New Roman" w:hAnsi="Times New Roman" w:eastAsia="宋体" w:cs="Courier New"/>
                <w:b w:val="0"/>
                <w:bCs w:val="0"/>
                <w:color w:val="auto"/>
                <w:sz w:val="21"/>
                <w:szCs w:val="21"/>
                <w:highlight w:val="none"/>
                <w:lang w:val="en-US" w:eastAsia="zh-CN"/>
              </w:rPr>
            </w:pPr>
          </w:p>
        </w:tc>
      </w:tr>
      <w:tr w14:paraId="646F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223" w:type="pct"/>
            <w:vMerge w:val="continue"/>
            <w:shd w:val="clear" w:color="auto" w:fill="auto"/>
            <w:vAlign w:val="center"/>
          </w:tcPr>
          <w:p w14:paraId="68E197E3">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0E093A8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敏感目标信息</w:t>
            </w:r>
          </w:p>
        </w:tc>
        <w:tc>
          <w:tcPr>
            <w:tcW w:w="3471" w:type="pct"/>
            <w:gridSpan w:val="6"/>
          </w:tcPr>
          <w:p w14:paraId="0F54A42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敏感目标（</w:t>
            </w:r>
            <w:r>
              <w:rPr>
                <w:rFonts w:hint="eastAsia" w:cs="Courier New"/>
                <w:b w:val="0"/>
                <w:bCs w:val="0"/>
                <w:color w:val="auto"/>
                <w:sz w:val="21"/>
                <w:szCs w:val="21"/>
                <w:highlight w:val="none"/>
                <w:lang w:val="en-US" w:eastAsia="zh-CN"/>
              </w:rPr>
              <w:t>耕地</w:t>
            </w:r>
            <w:r>
              <w:rPr>
                <w:rFonts w:hint="eastAsia" w:ascii="Times New Roman" w:hAnsi="Times New Roman" w:eastAsia="宋体" w:cs="Courier New"/>
                <w:b w:val="0"/>
                <w:bCs w:val="0"/>
                <w:color w:val="auto"/>
                <w:sz w:val="21"/>
                <w:szCs w:val="21"/>
                <w:highlight w:val="none"/>
                <w:lang w:val="en-US" w:eastAsia="zh-CN"/>
              </w:rPr>
              <w:t>）、方位（</w:t>
            </w:r>
            <w:r>
              <w:rPr>
                <w:rFonts w:hint="eastAsia" w:cs="Courier New"/>
                <w:b w:val="0"/>
                <w:bCs w:val="0"/>
                <w:color w:val="auto"/>
                <w:sz w:val="21"/>
                <w:szCs w:val="21"/>
                <w:highlight w:val="none"/>
                <w:lang w:val="en-US" w:eastAsia="zh-CN"/>
              </w:rPr>
              <w:t>四周</w:t>
            </w:r>
            <w:r>
              <w:rPr>
                <w:rFonts w:hint="eastAsia" w:ascii="Times New Roman" w:hAnsi="Times New Roman" w:eastAsia="宋体" w:cs="Courier New"/>
                <w:b w:val="0"/>
                <w:bCs w:val="0"/>
                <w:color w:val="auto"/>
                <w:sz w:val="21"/>
                <w:szCs w:val="21"/>
                <w:highlight w:val="none"/>
                <w:lang w:val="en-US" w:eastAsia="zh-CN"/>
              </w:rPr>
              <w:t>）、距离（</w:t>
            </w:r>
            <w:r>
              <w:rPr>
                <w:rFonts w:hint="eastAsia" w:cs="Courier New"/>
                <w:b w:val="0"/>
                <w:bCs w:val="0"/>
                <w:color w:val="auto"/>
                <w:sz w:val="21"/>
                <w:szCs w:val="21"/>
                <w:highlight w:val="none"/>
                <w:lang w:val="en-US" w:eastAsia="zh-CN"/>
              </w:rPr>
              <w:t>厂界外0.048km-1km范围</w:t>
            </w:r>
            <w:r>
              <w:rPr>
                <w:rFonts w:hint="eastAsia" w:ascii="Times New Roman" w:hAnsi="Times New Roman" w:eastAsia="宋体" w:cs="Courier New"/>
                <w:b w:val="0"/>
                <w:bCs w:val="0"/>
                <w:color w:val="auto"/>
                <w:sz w:val="21"/>
                <w:szCs w:val="21"/>
                <w:highlight w:val="none"/>
                <w:lang w:val="en-US" w:eastAsia="zh-CN"/>
              </w:rPr>
              <w:t>）</w:t>
            </w:r>
          </w:p>
        </w:tc>
        <w:tc>
          <w:tcPr>
            <w:tcW w:w="404" w:type="pct"/>
            <w:vAlign w:val="center"/>
          </w:tcPr>
          <w:p w14:paraId="0DD72FCB">
            <w:pPr>
              <w:pStyle w:val="24"/>
              <w:bidi w:val="0"/>
              <w:rPr>
                <w:rFonts w:hint="eastAsia" w:ascii="Times New Roman" w:hAnsi="Times New Roman" w:eastAsia="宋体" w:cs="Courier New"/>
                <w:b w:val="0"/>
                <w:bCs w:val="0"/>
                <w:color w:val="auto"/>
                <w:sz w:val="21"/>
                <w:szCs w:val="21"/>
                <w:highlight w:val="none"/>
                <w:lang w:val="en-US" w:eastAsia="zh-CN"/>
              </w:rPr>
            </w:pPr>
          </w:p>
        </w:tc>
      </w:tr>
      <w:tr w14:paraId="6897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continue"/>
            <w:shd w:val="clear" w:color="auto" w:fill="auto"/>
            <w:vAlign w:val="center"/>
          </w:tcPr>
          <w:p w14:paraId="51C5D4DB">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57A69A4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影响途径</w:t>
            </w:r>
          </w:p>
        </w:tc>
        <w:tc>
          <w:tcPr>
            <w:tcW w:w="3471" w:type="pct"/>
            <w:gridSpan w:val="6"/>
          </w:tcPr>
          <w:p w14:paraId="705E03E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大气沉降</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；地面漫流</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；垂直入渗</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；地下水位□；其他（   ）</w:t>
            </w:r>
          </w:p>
        </w:tc>
        <w:tc>
          <w:tcPr>
            <w:tcW w:w="404" w:type="pct"/>
            <w:vAlign w:val="center"/>
          </w:tcPr>
          <w:p w14:paraId="7425C3E8">
            <w:pPr>
              <w:pStyle w:val="24"/>
              <w:bidi w:val="0"/>
              <w:rPr>
                <w:rFonts w:hint="eastAsia" w:ascii="Times New Roman" w:hAnsi="Times New Roman" w:eastAsia="宋体" w:cs="Courier New"/>
                <w:b w:val="0"/>
                <w:bCs w:val="0"/>
                <w:color w:val="auto"/>
                <w:sz w:val="21"/>
                <w:szCs w:val="21"/>
                <w:highlight w:val="none"/>
                <w:lang w:val="en-US" w:eastAsia="zh-CN"/>
              </w:rPr>
            </w:pPr>
          </w:p>
        </w:tc>
      </w:tr>
      <w:tr w14:paraId="42E1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continue"/>
            <w:shd w:val="clear" w:color="auto" w:fill="auto"/>
            <w:vAlign w:val="center"/>
          </w:tcPr>
          <w:p w14:paraId="46961877">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4137E50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全部污染物</w:t>
            </w:r>
          </w:p>
        </w:tc>
        <w:tc>
          <w:tcPr>
            <w:tcW w:w="3471" w:type="pct"/>
            <w:gridSpan w:val="6"/>
          </w:tcPr>
          <w:p w14:paraId="2A9D896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olor w:val="auto"/>
                <w:highlight w:val="none"/>
                <w:lang w:val="en-US" w:eastAsia="zh-CN"/>
              </w:rPr>
              <w:t>颗粒物、硫酸雾、氟化物、氯化氢、VOCs、NH</w:t>
            </w:r>
            <w:r>
              <w:rPr>
                <w:rFonts w:hint="eastAsia"/>
                <w:color w:val="auto"/>
                <w:highlight w:val="none"/>
                <w:vertAlign w:val="subscript"/>
                <w:lang w:val="en-US" w:eastAsia="zh-CN"/>
              </w:rPr>
              <w:t>3</w:t>
            </w:r>
            <w:r>
              <w:rPr>
                <w:rFonts w:hint="eastAsia"/>
                <w:color w:val="auto"/>
                <w:highlight w:val="none"/>
                <w:lang w:val="en-US" w:eastAsia="zh-CN"/>
              </w:rPr>
              <w:t>、臭气浓度</w:t>
            </w:r>
            <w:r>
              <w:rPr>
                <w:rFonts w:hint="eastAsia"/>
                <w:b w:val="0"/>
                <w:bCs w:val="0"/>
                <w:color w:val="auto"/>
                <w:sz w:val="21"/>
                <w:szCs w:val="21"/>
                <w:highlight w:val="none"/>
                <w:lang w:val="en-US" w:eastAsia="zh-CN"/>
              </w:rPr>
              <w:t>等</w:t>
            </w:r>
          </w:p>
        </w:tc>
        <w:tc>
          <w:tcPr>
            <w:tcW w:w="404" w:type="pct"/>
            <w:vAlign w:val="center"/>
          </w:tcPr>
          <w:p w14:paraId="52079FA5">
            <w:pPr>
              <w:pStyle w:val="24"/>
              <w:bidi w:val="0"/>
              <w:rPr>
                <w:rFonts w:hint="eastAsia" w:ascii="Times New Roman" w:hAnsi="Times New Roman" w:eastAsia="宋体" w:cs="Courier New"/>
                <w:b w:val="0"/>
                <w:bCs w:val="0"/>
                <w:color w:val="auto"/>
                <w:sz w:val="21"/>
                <w:szCs w:val="21"/>
                <w:highlight w:val="none"/>
                <w:lang w:val="en-US" w:eastAsia="zh-CN"/>
              </w:rPr>
            </w:pPr>
          </w:p>
        </w:tc>
      </w:tr>
      <w:tr w14:paraId="354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continue"/>
            <w:shd w:val="clear" w:color="auto" w:fill="auto"/>
            <w:vAlign w:val="center"/>
          </w:tcPr>
          <w:p w14:paraId="27C77D9D">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0A66895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特征因子</w:t>
            </w:r>
          </w:p>
        </w:tc>
        <w:tc>
          <w:tcPr>
            <w:tcW w:w="3471" w:type="pct"/>
            <w:gridSpan w:val="6"/>
          </w:tcPr>
          <w:p w14:paraId="4142A688">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pH、氟化物、</w:t>
            </w:r>
            <w:r>
              <w:rPr>
                <w:rFonts w:hint="eastAsia" w:ascii="Times New Roman" w:hAnsi="Times New Roman" w:cs="Times New Roman"/>
                <w:color w:val="auto"/>
                <w:sz w:val="21"/>
                <w:szCs w:val="21"/>
              </w:rPr>
              <w:t>石油烃</w:t>
            </w:r>
            <w:r>
              <w:rPr>
                <w:rFonts w:ascii="Times New Roman" w:hAnsi="Times New Roman" w:cs="Times New Roman"/>
                <w:color w:val="auto"/>
                <w:sz w:val="21"/>
                <w:szCs w:val="21"/>
              </w:rPr>
              <w:t>（</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10</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40</w:t>
            </w:r>
            <w:r>
              <w:rPr>
                <w:rFonts w:ascii="Times New Roman" w:hAnsi="Times New Roman" w:cs="Times New Roman"/>
                <w:color w:val="auto"/>
                <w:sz w:val="21"/>
                <w:szCs w:val="21"/>
              </w:rPr>
              <w:t>）</w:t>
            </w:r>
          </w:p>
        </w:tc>
        <w:tc>
          <w:tcPr>
            <w:tcW w:w="404" w:type="pct"/>
            <w:vAlign w:val="center"/>
          </w:tcPr>
          <w:p w14:paraId="560CDCCE">
            <w:pPr>
              <w:pStyle w:val="24"/>
              <w:bidi w:val="0"/>
              <w:rPr>
                <w:rFonts w:hint="eastAsia" w:ascii="Times New Roman" w:hAnsi="Times New Roman" w:eastAsia="宋体" w:cs="Courier New"/>
                <w:b w:val="0"/>
                <w:bCs w:val="0"/>
                <w:color w:val="auto"/>
                <w:sz w:val="21"/>
                <w:szCs w:val="21"/>
                <w:highlight w:val="none"/>
                <w:lang w:val="en-US" w:eastAsia="zh-CN"/>
              </w:rPr>
            </w:pPr>
          </w:p>
        </w:tc>
      </w:tr>
      <w:tr w14:paraId="3907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223" w:type="pct"/>
            <w:vMerge w:val="continue"/>
            <w:shd w:val="clear" w:color="auto" w:fill="auto"/>
            <w:vAlign w:val="center"/>
          </w:tcPr>
          <w:p w14:paraId="5F5FC1CB">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702BE7D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所属土壤环境影响评价项目类别</w:t>
            </w:r>
          </w:p>
        </w:tc>
        <w:tc>
          <w:tcPr>
            <w:tcW w:w="3471" w:type="pct"/>
            <w:gridSpan w:val="6"/>
            <w:vAlign w:val="center"/>
          </w:tcPr>
          <w:p w14:paraId="3C9BF32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I类</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；II类□；III类□；IV类□</w:t>
            </w:r>
          </w:p>
        </w:tc>
        <w:tc>
          <w:tcPr>
            <w:tcW w:w="404" w:type="pct"/>
            <w:vAlign w:val="center"/>
          </w:tcPr>
          <w:p w14:paraId="4D743FBA">
            <w:pPr>
              <w:pStyle w:val="24"/>
              <w:bidi w:val="0"/>
              <w:rPr>
                <w:rFonts w:hint="eastAsia" w:ascii="Times New Roman" w:hAnsi="Times New Roman" w:eastAsia="宋体" w:cs="Courier New"/>
                <w:b w:val="0"/>
                <w:bCs w:val="0"/>
                <w:color w:val="auto"/>
                <w:sz w:val="21"/>
                <w:szCs w:val="21"/>
                <w:highlight w:val="none"/>
                <w:lang w:val="en-US" w:eastAsia="zh-CN"/>
              </w:rPr>
            </w:pPr>
          </w:p>
        </w:tc>
      </w:tr>
      <w:tr w14:paraId="0B8C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3" w:type="pct"/>
            <w:vMerge w:val="continue"/>
            <w:shd w:val="clear" w:color="auto" w:fill="auto"/>
            <w:vAlign w:val="center"/>
          </w:tcPr>
          <w:p w14:paraId="7299DEFC">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0FEA857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敏感程度</w:t>
            </w:r>
          </w:p>
        </w:tc>
        <w:tc>
          <w:tcPr>
            <w:tcW w:w="3471" w:type="pct"/>
            <w:gridSpan w:val="6"/>
          </w:tcPr>
          <w:p w14:paraId="23605BC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敏感</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；较敏感□；不敏感□</w:t>
            </w:r>
          </w:p>
        </w:tc>
        <w:tc>
          <w:tcPr>
            <w:tcW w:w="404" w:type="pct"/>
            <w:vAlign w:val="center"/>
          </w:tcPr>
          <w:p w14:paraId="26437079">
            <w:pPr>
              <w:pStyle w:val="24"/>
              <w:bidi w:val="0"/>
              <w:rPr>
                <w:rFonts w:hint="eastAsia" w:ascii="Times New Roman" w:hAnsi="Times New Roman" w:eastAsia="宋体" w:cs="Courier New"/>
                <w:b w:val="0"/>
                <w:bCs w:val="0"/>
                <w:color w:val="auto"/>
                <w:sz w:val="21"/>
                <w:szCs w:val="21"/>
                <w:highlight w:val="none"/>
                <w:lang w:val="en-US" w:eastAsia="zh-CN"/>
              </w:rPr>
            </w:pPr>
          </w:p>
        </w:tc>
      </w:tr>
      <w:tr w14:paraId="4769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24" w:type="pct"/>
            <w:gridSpan w:val="2"/>
            <w:shd w:val="clear" w:color="auto" w:fill="auto"/>
            <w:vAlign w:val="center"/>
          </w:tcPr>
          <w:p w14:paraId="562A69F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评价工作等级</w:t>
            </w:r>
          </w:p>
        </w:tc>
        <w:tc>
          <w:tcPr>
            <w:tcW w:w="3471" w:type="pct"/>
            <w:gridSpan w:val="6"/>
          </w:tcPr>
          <w:p w14:paraId="7C2ED05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一级</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；二级□；三级□</w:t>
            </w:r>
          </w:p>
        </w:tc>
        <w:tc>
          <w:tcPr>
            <w:tcW w:w="404" w:type="pct"/>
            <w:vAlign w:val="center"/>
          </w:tcPr>
          <w:p w14:paraId="2E873396">
            <w:pPr>
              <w:pStyle w:val="24"/>
              <w:bidi w:val="0"/>
              <w:rPr>
                <w:rFonts w:hint="eastAsia" w:ascii="Times New Roman" w:hAnsi="Times New Roman" w:eastAsia="宋体" w:cs="Courier New"/>
                <w:b w:val="0"/>
                <w:bCs w:val="0"/>
                <w:color w:val="auto"/>
                <w:sz w:val="21"/>
                <w:szCs w:val="21"/>
                <w:highlight w:val="none"/>
                <w:lang w:val="en-US" w:eastAsia="zh-CN"/>
              </w:rPr>
            </w:pPr>
          </w:p>
        </w:tc>
      </w:tr>
      <w:tr w14:paraId="66A4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restart"/>
            <w:shd w:val="clear" w:color="auto" w:fill="auto"/>
            <w:vAlign w:val="center"/>
          </w:tcPr>
          <w:p w14:paraId="38D87D7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现状调查内容</w:t>
            </w:r>
          </w:p>
        </w:tc>
        <w:tc>
          <w:tcPr>
            <w:tcW w:w="900" w:type="pct"/>
            <w:shd w:val="clear" w:color="auto" w:fill="auto"/>
            <w:vAlign w:val="center"/>
          </w:tcPr>
          <w:p w14:paraId="14D4357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资料收集</w:t>
            </w:r>
          </w:p>
        </w:tc>
        <w:tc>
          <w:tcPr>
            <w:tcW w:w="3471" w:type="pct"/>
            <w:gridSpan w:val="6"/>
          </w:tcPr>
          <w:p w14:paraId="6A1F18B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a）</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；b）</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；c）</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；d）</w:t>
            </w:r>
            <w:r>
              <w:rPr>
                <w:rFonts w:hint="eastAsia" w:ascii="Times New Roman" w:hAnsi="Times New Roman" w:eastAsia="宋体" w:cs="Courier New"/>
                <w:b w:val="0"/>
                <w:bCs w:val="0"/>
                <w:color w:val="auto"/>
                <w:sz w:val="21"/>
                <w:szCs w:val="21"/>
                <w:highlight w:val="none"/>
                <w:lang w:val="en-US" w:eastAsia="zh-CN"/>
              </w:rPr>
              <w:sym w:font="Wingdings 2" w:char="F052"/>
            </w:r>
          </w:p>
        </w:tc>
        <w:tc>
          <w:tcPr>
            <w:tcW w:w="404" w:type="pct"/>
            <w:vAlign w:val="center"/>
          </w:tcPr>
          <w:p w14:paraId="4FA83ABF">
            <w:pPr>
              <w:pStyle w:val="24"/>
              <w:bidi w:val="0"/>
              <w:rPr>
                <w:rFonts w:hint="eastAsia" w:ascii="Times New Roman" w:hAnsi="Times New Roman" w:eastAsia="宋体" w:cs="Courier New"/>
                <w:b w:val="0"/>
                <w:bCs w:val="0"/>
                <w:color w:val="auto"/>
                <w:sz w:val="21"/>
                <w:szCs w:val="21"/>
                <w:highlight w:val="none"/>
                <w:lang w:val="en-US" w:eastAsia="zh-CN"/>
              </w:rPr>
            </w:pPr>
          </w:p>
        </w:tc>
      </w:tr>
      <w:tr w14:paraId="7581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3255D74A">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373A0D9E">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理化特性</w:t>
            </w:r>
          </w:p>
        </w:tc>
        <w:tc>
          <w:tcPr>
            <w:tcW w:w="3471" w:type="pct"/>
            <w:gridSpan w:val="6"/>
          </w:tcPr>
          <w:p w14:paraId="0409FEF1">
            <w:pPr>
              <w:pStyle w:val="24"/>
              <w:bidi w:val="0"/>
              <w:rPr>
                <w:rFonts w:hint="eastAsia" w:ascii="Times New Roman" w:hAnsi="Times New Roman" w:eastAsia="宋体" w:cs="Courier New"/>
                <w:b w:val="0"/>
                <w:bCs w:val="0"/>
                <w:color w:val="auto"/>
                <w:sz w:val="21"/>
                <w:szCs w:val="21"/>
                <w:highlight w:val="none"/>
                <w:lang w:val="en-US" w:eastAsia="zh-CN"/>
              </w:rPr>
            </w:pPr>
          </w:p>
        </w:tc>
        <w:tc>
          <w:tcPr>
            <w:tcW w:w="404" w:type="pct"/>
            <w:vAlign w:val="center"/>
          </w:tcPr>
          <w:p w14:paraId="60A8A73A">
            <w:pPr>
              <w:pStyle w:val="24"/>
              <w:bidi w:val="0"/>
              <w:rPr>
                <w:rFonts w:hint="eastAsia" w:ascii="Times New Roman" w:hAnsi="Times New Roman" w:eastAsia="宋体" w:cs="Courier New"/>
                <w:b w:val="0"/>
                <w:bCs w:val="0"/>
                <w:color w:val="auto"/>
                <w:sz w:val="21"/>
                <w:szCs w:val="21"/>
                <w:highlight w:val="none"/>
                <w:lang w:val="en-US" w:eastAsia="zh-CN"/>
              </w:rPr>
            </w:pPr>
          </w:p>
        </w:tc>
      </w:tr>
      <w:tr w14:paraId="531E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7B8DAF53">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vMerge w:val="restart"/>
            <w:shd w:val="clear" w:color="auto" w:fill="auto"/>
            <w:vAlign w:val="center"/>
          </w:tcPr>
          <w:p w14:paraId="14A30AB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现状监测点位</w:t>
            </w:r>
          </w:p>
        </w:tc>
        <w:tc>
          <w:tcPr>
            <w:tcW w:w="837" w:type="pct"/>
            <w:vAlign w:val="center"/>
          </w:tcPr>
          <w:p w14:paraId="19324E31">
            <w:pPr>
              <w:pStyle w:val="24"/>
              <w:bidi w:val="0"/>
              <w:rPr>
                <w:rFonts w:hint="eastAsia" w:ascii="Times New Roman" w:hAnsi="Times New Roman" w:eastAsia="宋体" w:cs="Courier New"/>
                <w:b w:val="0"/>
                <w:bCs w:val="0"/>
                <w:color w:val="auto"/>
                <w:sz w:val="21"/>
                <w:szCs w:val="21"/>
                <w:highlight w:val="none"/>
                <w:lang w:val="en-US" w:eastAsia="zh-CN"/>
              </w:rPr>
            </w:pPr>
          </w:p>
        </w:tc>
        <w:tc>
          <w:tcPr>
            <w:tcW w:w="838" w:type="pct"/>
            <w:gridSpan w:val="2"/>
            <w:vAlign w:val="center"/>
          </w:tcPr>
          <w:p w14:paraId="2B32304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占地范围内</w:t>
            </w:r>
          </w:p>
        </w:tc>
        <w:tc>
          <w:tcPr>
            <w:tcW w:w="838" w:type="pct"/>
            <w:gridSpan w:val="2"/>
            <w:vAlign w:val="center"/>
          </w:tcPr>
          <w:p w14:paraId="620449E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占地范围外</w:t>
            </w:r>
          </w:p>
        </w:tc>
        <w:tc>
          <w:tcPr>
            <w:tcW w:w="957" w:type="pct"/>
            <w:vAlign w:val="center"/>
          </w:tcPr>
          <w:p w14:paraId="6180A7F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深度</w:t>
            </w:r>
          </w:p>
        </w:tc>
        <w:tc>
          <w:tcPr>
            <w:tcW w:w="404" w:type="pct"/>
            <w:vMerge w:val="restart"/>
            <w:vAlign w:val="center"/>
          </w:tcPr>
          <w:p w14:paraId="25B01AB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点位布置图</w:t>
            </w:r>
          </w:p>
        </w:tc>
      </w:tr>
      <w:tr w14:paraId="35C7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035E4D12">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vMerge w:val="continue"/>
            <w:shd w:val="clear" w:color="auto" w:fill="auto"/>
            <w:vAlign w:val="center"/>
          </w:tcPr>
          <w:p w14:paraId="60CCA944">
            <w:pPr>
              <w:pStyle w:val="24"/>
              <w:bidi w:val="0"/>
              <w:rPr>
                <w:rFonts w:hint="eastAsia" w:ascii="Times New Roman" w:hAnsi="Times New Roman" w:eastAsia="宋体" w:cs="Courier New"/>
                <w:b w:val="0"/>
                <w:bCs w:val="0"/>
                <w:color w:val="auto"/>
                <w:sz w:val="21"/>
                <w:szCs w:val="21"/>
                <w:highlight w:val="none"/>
                <w:lang w:val="en-US" w:eastAsia="zh-CN"/>
              </w:rPr>
            </w:pPr>
          </w:p>
        </w:tc>
        <w:tc>
          <w:tcPr>
            <w:tcW w:w="837" w:type="pct"/>
            <w:vAlign w:val="center"/>
          </w:tcPr>
          <w:p w14:paraId="1FAC2B0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表层样点数</w:t>
            </w:r>
          </w:p>
        </w:tc>
        <w:tc>
          <w:tcPr>
            <w:tcW w:w="838" w:type="pct"/>
            <w:gridSpan w:val="2"/>
            <w:vAlign w:val="center"/>
          </w:tcPr>
          <w:p w14:paraId="5207D98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2</w:t>
            </w:r>
          </w:p>
        </w:tc>
        <w:tc>
          <w:tcPr>
            <w:tcW w:w="838" w:type="pct"/>
            <w:gridSpan w:val="2"/>
            <w:vAlign w:val="center"/>
          </w:tcPr>
          <w:p w14:paraId="1C41B37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4</w:t>
            </w:r>
          </w:p>
        </w:tc>
        <w:tc>
          <w:tcPr>
            <w:tcW w:w="957" w:type="pct"/>
            <w:vAlign w:val="center"/>
          </w:tcPr>
          <w:p w14:paraId="66044541">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0-0.2m</w:t>
            </w:r>
          </w:p>
        </w:tc>
        <w:tc>
          <w:tcPr>
            <w:tcW w:w="404" w:type="pct"/>
            <w:vMerge w:val="continue"/>
            <w:vAlign w:val="center"/>
          </w:tcPr>
          <w:p w14:paraId="7F08959B">
            <w:pPr>
              <w:pStyle w:val="24"/>
              <w:bidi w:val="0"/>
              <w:rPr>
                <w:rFonts w:hint="eastAsia" w:ascii="Times New Roman" w:hAnsi="Times New Roman" w:eastAsia="宋体" w:cs="Courier New"/>
                <w:b w:val="0"/>
                <w:bCs w:val="0"/>
                <w:color w:val="auto"/>
                <w:sz w:val="21"/>
                <w:szCs w:val="21"/>
                <w:highlight w:val="none"/>
                <w:lang w:val="en-US" w:eastAsia="zh-CN"/>
              </w:rPr>
            </w:pPr>
          </w:p>
        </w:tc>
      </w:tr>
      <w:tr w14:paraId="731B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37EA634A">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vMerge w:val="continue"/>
            <w:shd w:val="clear" w:color="auto" w:fill="auto"/>
            <w:vAlign w:val="center"/>
          </w:tcPr>
          <w:p w14:paraId="307D23D1">
            <w:pPr>
              <w:pStyle w:val="24"/>
              <w:bidi w:val="0"/>
              <w:rPr>
                <w:rFonts w:hint="eastAsia" w:ascii="Times New Roman" w:hAnsi="Times New Roman" w:eastAsia="宋体" w:cs="Courier New"/>
                <w:b w:val="0"/>
                <w:bCs w:val="0"/>
                <w:color w:val="auto"/>
                <w:sz w:val="21"/>
                <w:szCs w:val="21"/>
                <w:highlight w:val="none"/>
                <w:lang w:val="en-US" w:eastAsia="zh-CN"/>
              </w:rPr>
            </w:pPr>
          </w:p>
        </w:tc>
        <w:tc>
          <w:tcPr>
            <w:tcW w:w="837" w:type="pct"/>
            <w:vAlign w:val="center"/>
          </w:tcPr>
          <w:p w14:paraId="087F956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柱状样点数</w:t>
            </w:r>
          </w:p>
        </w:tc>
        <w:tc>
          <w:tcPr>
            <w:tcW w:w="838" w:type="pct"/>
            <w:gridSpan w:val="2"/>
            <w:vAlign w:val="center"/>
          </w:tcPr>
          <w:p w14:paraId="278ED92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5</w:t>
            </w:r>
          </w:p>
        </w:tc>
        <w:tc>
          <w:tcPr>
            <w:tcW w:w="838" w:type="pct"/>
            <w:gridSpan w:val="2"/>
            <w:vAlign w:val="center"/>
          </w:tcPr>
          <w:p w14:paraId="50C2CF6A">
            <w:pPr>
              <w:pStyle w:val="24"/>
              <w:bidi w:val="0"/>
              <w:rPr>
                <w:rFonts w:hint="eastAsia" w:ascii="Times New Roman" w:hAnsi="Times New Roman" w:eastAsia="宋体" w:cs="Courier New"/>
                <w:b w:val="0"/>
                <w:bCs w:val="0"/>
                <w:color w:val="auto"/>
                <w:sz w:val="21"/>
                <w:szCs w:val="21"/>
                <w:highlight w:val="none"/>
                <w:lang w:val="en-US" w:eastAsia="zh-CN"/>
              </w:rPr>
            </w:pPr>
          </w:p>
        </w:tc>
        <w:tc>
          <w:tcPr>
            <w:tcW w:w="957" w:type="pct"/>
            <w:vAlign w:val="center"/>
          </w:tcPr>
          <w:p w14:paraId="4C794A4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0-</w:t>
            </w:r>
            <w:r>
              <w:rPr>
                <w:rFonts w:hint="eastAsia" w:cs="Courier New"/>
                <w:b w:val="0"/>
                <w:bCs w:val="0"/>
                <w:color w:val="auto"/>
                <w:sz w:val="21"/>
                <w:szCs w:val="21"/>
                <w:highlight w:val="none"/>
                <w:lang w:val="en-US" w:eastAsia="zh-CN"/>
              </w:rPr>
              <w:t>6</w:t>
            </w:r>
            <w:r>
              <w:rPr>
                <w:rFonts w:hint="eastAsia" w:ascii="Times New Roman" w:hAnsi="Times New Roman" w:eastAsia="宋体" w:cs="Courier New"/>
                <w:b w:val="0"/>
                <w:bCs w:val="0"/>
                <w:color w:val="auto"/>
                <w:sz w:val="21"/>
                <w:szCs w:val="21"/>
                <w:highlight w:val="none"/>
                <w:lang w:val="en-US" w:eastAsia="zh-CN"/>
              </w:rPr>
              <w:t>m</w:t>
            </w:r>
          </w:p>
        </w:tc>
        <w:tc>
          <w:tcPr>
            <w:tcW w:w="404" w:type="pct"/>
            <w:vMerge w:val="continue"/>
            <w:vAlign w:val="center"/>
          </w:tcPr>
          <w:p w14:paraId="0E8D47D7">
            <w:pPr>
              <w:pStyle w:val="24"/>
              <w:bidi w:val="0"/>
              <w:rPr>
                <w:rFonts w:hint="eastAsia" w:ascii="Times New Roman" w:hAnsi="Times New Roman" w:eastAsia="宋体" w:cs="Courier New"/>
                <w:b w:val="0"/>
                <w:bCs w:val="0"/>
                <w:color w:val="auto"/>
                <w:sz w:val="21"/>
                <w:szCs w:val="21"/>
                <w:highlight w:val="none"/>
                <w:lang w:val="en-US" w:eastAsia="zh-CN"/>
              </w:rPr>
            </w:pPr>
          </w:p>
        </w:tc>
      </w:tr>
      <w:tr w14:paraId="60A1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49699257">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0864E9F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现状监测因子</w:t>
            </w:r>
          </w:p>
        </w:tc>
        <w:tc>
          <w:tcPr>
            <w:tcW w:w="3471" w:type="pct"/>
            <w:gridSpan w:val="6"/>
          </w:tcPr>
          <w:p w14:paraId="23674F5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pH、</w:t>
            </w:r>
            <w:r>
              <w:rPr>
                <w:rFonts w:hint="eastAsia" w:ascii="Times New Roman" w:hAnsi="Times New Roman" w:cs="Times New Roman"/>
                <w:color w:val="auto"/>
                <w:sz w:val="21"/>
                <w:szCs w:val="21"/>
              </w:rPr>
              <w:t>砷、镉、铬（六价）、铜、铅、汞、镍、</w:t>
            </w:r>
            <w:r>
              <w:rPr>
                <w:rFonts w:hint="eastAsia" w:cs="Times New Roman"/>
                <w:color w:val="auto"/>
                <w:sz w:val="21"/>
                <w:szCs w:val="21"/>
                <w:lang w:val="en-US" w:eastAsia="zh-CN"/>
              </w:rPr>
              <w:t>铬、锌、</w:t>
            </w:r>
            <w:r>
              <w:rPr>
                <w:rFonts w:hint="eastAsia" w:ascii="Times New Roman" w:hAnsi="Times New Roman" w:cs="Times New Roman"/>
                <w:color w:val="auto"/>
                <w:sz w:val="21"/>
                <w:szCs w:val="21"/>
              </w:rPr>
              <w:t>四氯化碳、氯仿、氯甲烷、</w:t>
            </w:r>
            <w:r>
              <w:rPr>
                <w:rFonts w:ascii="Times New Roman" w:hAnsi="Times New Roman" w:cs="Times New Roman"/>
                <w:color w:val="auto"/>
                <w:sz w:val="21"/>
                <w:szCs w:val="21"/>
              </w:rPr>
              <w:t>1,1-</w:t>
            </w:r>
            <w:r>
              <w:rPr>
                <w:rFonts w:hint="eastAsia" w:ascii="Times New Roman" w:hAnsi="Times New Roman" w:cs="Times New Roman"/>
                <w:color w:val="auto"/>
                <w:sz w:val="21"/>
                <w:szCs w:val="21"/>
              </w:rPr>
              <w:t>二氯乙烷、</w:t>
            </w:r>
            <w:r>
              <w:rPr>
                <w:rFonts w:ascii="Times New Roman" w:hAnsi="Times New Roman" w:cs="Times New Roman"/>
                <w:color w:val="auto"/>
                <w:sz w:val="21"/>
                <w:szCs w:val="21"/>
              </w:rPr>
              <w:t>1,2-</w:t>
            </w:r>
            <w:r>
              <w:rPr>
                <w:rFonts w:hint="eastAsia" w:ascii="Times New Roman" w:hAnsi="Times New Roman" w:cs="Times New Roman"/>
                <w:color w:val="auto"/>
                <w:sz w:val="21"/>
                <w:szCs w:val="21"/>
              </w:rPr>
              <w:t>二氯乙烷、</w:t>
            </w:r>
            <w:r>
              <w:rPr>
                <w:rFonts w:ascii="Times New Roman" w:hAnsi="Times New Roman" w:cs="Times New Roman"/>
                <w:color w:val="auto"/>
                <w:sz w:val="21"/>
                <w:szCs w:val="21"/>
              </w:rPr>
              <w:t>1,1-</w:t>
            </w:r>
            <w:r>
              <w:rPr>
                <w:rFonts w:hint="eastAsia" w:ascii="Times New Roman" w:hAnsi="Times New Roman" w:cs="Times New Roman"/>
                <w:color w:val="auto"/>
                <w:sz w:val="21"/>
                <w:szCs w:val="21"/>
              </w:rPr>
              <w:t>二氯乙烯、顺</w:t>
            </w:r>
            <w:r>
              <w:rPr>
                <w:rFonts w:ascii="Times New Roman" w:hAnsi="Times New Roman" w:cs="Times New Roman"/>
                <w:color w:val="auto"/>
                <w:sz w:val="21"/>
                <w:szCs w:val="21"/>
              </w:rPr>
              <w:t>-1,2-</w:t>
            </w:r>
            <w:r>
              <w:rPr>
                <w:rFonts w:hint="eastAsia" w:ascii="Times New Roman" w:hAnsi="Times New Roman" w:cs="Times New Roman"/>
                <w:color w:val="auto"/>
                <w:sz w:val="21"/>
                <w:szCs w:val="21"/>
              </w:rPr>
              <w:t>二氯乙烯、反</w:t>
            </w:r>
            <w:r>
              <w:rPr>
                <w:rFonts w:ascii="Times New Roman" w:hAnsi="Times New Roman" w:cs="Times New Roman"/>
                <w:color w:val="auto"/>
                <w:sz w:val="21"/>
                <w:szCs w:val="21"/>
              </w:rPr>
              <w:t>-1,2-</w:t>
            </w:r>
            <w:r>
              <w:rPr>
                <w:rFonts w:hint="eastAsia" w:ascii="Times New Roman" w:hAnsi="Times New Roman" w:cs="Times New Roman"/>
                <w:color w:val="auto"/>
                <w:sz w:val="21"/>
                <w:szCs w:val="21"/>
              </w:rPr>
              <w:t>二氯乙烯、二氯甲烷、</w:t>
            </w:r>
            <w:r>
              <w:rPr>
                <w:rFonts w:ascii="Times New Roman" w:hAnsi="Times New Roman" w:cs="Times New Roman"/>
                <w:color w:val="auto"/>
                <w:sz w:val="21"/>
                <w:szCs w:val="21"/>
              </w:rPr>
              <w:t>1,2-</w:t>
            </w:r>
            <w:r>
              <w:rPr>
                <w:rFonts w:hint="eastAsia" w:ascii="Times New Roman" w:hAnsi="Times New Roman" w:cs="Times New Roman"/>
                <w:color w:val="auto"/>
                <w:sz w:val="21"/>
                <w:szCs w:val="21"/>
              </w:rPr>
              <w:t>二氯丙烷、</w:t>
            </w:r>
            <w:r>
              <w:rPr>
                <w:rFonts w:ascii="Times New Roman" w:hAnsi="Times New Roman" w:cs="Times New Roman"/>
                <w:color w:val="auto"/>
                <w:sz w:val="21"/>
                <w:szCs w:val="21"/>
              </w:rPr>
              <w:t>1,1,1,2-</w:t>
            </w:r>
            <w:r>
              <w:rPr>
                <w:rFonts w:hint="eastAsia" w:ascii="Times New Roman" w:hAnsi="Times New Roman" w:cs="Times New Roman"/>
                <w:color w:val="auto"/>
                <w:sz w:val="21"/>
                <w:szCs w:val="21"/>
              </w:rPr>
              <w:t>四氯乙烷、</w:t>
            </w:r>
            <w:r>
              <w:rPr>
                <w:rFonts w:ascii="Times New Roman" w:hAnsi="Times New Roman" w:cs="Times New Roman"/>
                <w:color w:val="auto"/>
                <w:sz w:val="21"/>
                <w:szCs w:val="21"/>
              </w:rPr>
              <w:t>1,1,2,2-</w:t>
            </w:r>
            <w:r>
              <w:rPr>
                <w:rFonts w:hint="eastAsia" w:ascii="Times New Roman" w:hAnsi="Times New Roman" w:cs="Times New Roman"/>
                <w:color w:val="auto"/>
                <w:sz w:val="21"/>
                <w:szCs w:val="21"/>
              </w:rPr>
              <w:t>四氯乙烷、四氯乙烯、</w:t>
            </w:r>
            <w:r>
              <w:rPr>
                <w:rFonts w:ascii="Times New Roman" w:hAnsi="Times New Roman" w:cs="Times New Roman"/>
                <w:color w:val="auto"/>
                <w:sz w:val="21"/>
                <w:szCs w:val="21"/>
              </w:rPr>
              <w:t>1,1,1</w:t>
            </w:r>
            <w:r>
              <w:rPr>
                <w:rFonts w:hint="eastAsia" w:ascii="Times New Roman" w:hAnsi="Times New Roman" w:cs="Times New Roman"/>
                <w:color w:val="auto"/>
                <w:sz w:val="21"/>
                <w:szCs w:val="21"/>
              </w:rPr>
              <w:t>–三氯乙烷、</w:t>
            </w:r>
            <w:r>
              <w:rPr>
                <w:rFonts w:ascii="Times New Roman" w:hAnsi="Times New Roman" w:cs="Times New Roman"/>
                <w:color w:val="auto"/>
                <w:sz w:val="21"/>
                <w:szCs w:val="21"/>
              </w:rPr>
              <w:t>1,1,2</w:t>
            </w:r>
            <w:r>
              <w:rPr>
                <w:rFonts w:hint="eastAsia" w:ascii="Times New Roman" w:hAnsi="Times New Roman" w:cs="Times New Roman"/>
                <w:color w:val="auto"/>
                <w:sz w:val="21"/>
                <w:szCs w:val="21"/>
              </w:rPr>
              <w:t>–三氯乙烷、三氯乙烯、</w:t>
            </w:r>
            <w:r>
              <w:rPr>
                <w:rFonts w:ascii="Times New Roman" w:hAnsi="Times New Roman" w:cs="Times New Roman"/>
                <w:color w:val="auto"/>
                <w:sz w:val="21"/>
                <w:szCs w:val="21"/>
              </w:rPr>
              <w:t>1,2,3</w:t>
            </w:r>
            <w:r>
              <w:rPr>
                <w:rFonts w:hint="eastAsia" w:ascii="Times New Roman" w:hAnsi="Times New Roman" w:cs="Times New Roman"/>
                <w:color w:val="auto"/>
                <w:sz w:val="21"/>
                <w:szCs w:val="21"/>
              </w:rPr>
              <w:t>–三氯丙烷、氯乙烯、苯、氯苯、</w:t>
            </w:r>
            <w:r>
              <w:rPr>
                <w:rFonts w:ascii="Times New Roman" w:hAnsi="Times New Roman" w:cs="Times New Roman"/>
                <w:color w:val="auto"/>
                <w:sz w:val="21"/>
                <w:szCs w:val="21"/>
              </w:rPr>
              <w:t>1,2</w:t>
            </w:r>
            <w:r>
              <w:rPr>
                <w:rFonts w:hint="eastAsia" w:ascii="Times New Roman" w:hAnsi="Times New Roman" w:cs="Times New Roman"/>
                <w:color w:val="auto"/>
                <w:sz w:val="21"/>
                <w:szCs w:val="21"/>
              </w:rPr>
              <w:t>–二氯苯、</w:t>
            </w:r>
            <w:r>
              <w:rPr>
                <w:rFonts w:ascii="Times New Roman" w:hAnsi="Times New Roman" w:cs="Times New Roman"/>
                <w:color w:val="auto"/>
                <w:sz w:val="21"/>
                <w:szCs w:val="21"/>
              </w:rPr>
              <w:t>1,4</w:t>
            </w:r>
            <w:r>
              <w:rPr>
                <w:rFonts w:hint="eastAsia" w:ascii="Times New Roman" w:hAnsi="Times New Roman" w:cs="Times New Roman"/>
                <w:color w:val="auto"/>
                <w:sz w:val="21"/>
                <w:szCs w:val="21"/>
              </w:rPr>
              <w:t>–二氯苯、乙苯、苯乙烯、甲苯、间二甲苯</w:t>
            </w:r>
            <w:r>
              <w:rPr>
                <w:rFonts w:ascii="Times New Roman" w:hAnsi="Times New Roman" w:cs="Times New Roman"/>
                <w:color w:val="auto"/>
                <w:sz w:val="21"/>
                <w:szCs w:val="21"/>
              </w:rPr>
              <w:t>+</w:t>
            </w:r>
            <w:r>
              <w:rPr>
                <w:rFonts w:hint="eastAsia" w:ascii="Times New Roman" w:hAnsi="Times New Roman" w:cs="Times New Roman"/>
                <w:color w:val="auto"/>
                <w:sz w:val="21"/>
                <w:szCs w:val="21"/>
              </w:rPr>
              <w:t>对二甲苯、邻二甲苯、硝基苯、苯胺、</w:t>
            </w:r>
            <w:r>
              <w:rPr>
                <w:rFonts w:ascii="Times New Roman" w:hAnsi="Times New Roman" w:cs="Times New Roman"/>
                <w:color w:val="auto"/>
                <w:sz w:val="21"/>
                <w:szCs w:val="21"/>
              </w:rPr>
              <w:t>2-</w:t>
            </w:r>
            <w:r>
              <w:rPr>
                <w:rFonts w:hint="eastAsia" w:ascii="Times New Roman" w:hAnsi="Times New Roman" w:cs="Times New Roman"/>
                <w:color w:val="auto"/>
                <w:sz w:val="21"/>
                <w:szCs w:val="21"/>
              </w:rPr>
              <w:t>氯酚、苯并</w:t>
            </w:r>
            <w:r>
              <w:rPr>
                <w:rFonts w:ascii="Times New Roman" w:hAnsi="Times New Roman" w:cs="Times New Roman"/>
                <w:color w:val="auto"/>
                <w:sz w:val="21"/>
                <w:szCs w:val="21"/>
              </w:rPr>
              <w:t>[a]</w:t>
            </w:r>
            <w:r>
              <w:rPr>
                <w:rFonts w:hint="eastAsia" w:ascii="Times New Roman" w:hAnsi="Times New Roman" w:cs="Times New Roman"/>
                <w:color w:val="auto"/>
                <w:sz w:val="21"/>
                <w:szCs w:val="21"/>
              </w:rPr>
              <w:t>蒽、苯并</w:t>
            </w:r>
            <w:r>
              <w:rPr>
                <w:rFonts w:ascii="Times New Roman" w:hAnsi="Times New Roman" w:cs="Times New Roman"/>
                <w:color w:val="auto"/>
                <w:sz w:val="21"/>
                <w:szCs w:val="21"/>
              </w:rPr>
              <w:t>[a]</w:t>
            </w:r>
            <w:r>
              <w:rPr>
                <w:rFonts w:hint="eastAsia" w:ascii="Times New Roman" w:hAnsi="Times New Roman" w:cs="Times New Roman"/>
                <w:color w:val="auto"/>
                <w:sz w:val="21"/>
                <w:szCs w:val="21"/>
              </w:rPr>
              <w:t>芘、苯并</w:t>
            </w:r>
            <w:r>
              <w:rPr>
                <w:rFonts w:ascii="Times New Roman" w:hAnsi="Times New Roman" w:cs="Times New Roman"/>
                <w:color w:val="auto"/>
                <w:sz w:val="21"/>
                <w:szCs w:val="21"/>
              </w:rPr>
              <w:t>[b]</w:t>
            </w:r>
            <w:r>
              <w:rPr>
                <w:rFonts w:hint="eastAsia" w:ascii="Times New Roman" w:hAnsi="Times New Roman" w:cs="Times New Roman"/>
                <w:color w:val="auto"/>
                <w:sz w:val="21"/>
                <w:szCs w:val="21"/>
              </w:rPr>
              <w:t>荧蒽、苯并</w:t>
            </w:r>
            <w:r>
              <w:rPr>
                <w:rFonts w:ascii="Times New Roman" w:hAnsi="Times New Roman" w:cs="Times New Roman"/>
                <w:color w:val="auto"/>
                <w:sz w:val="21"/>
                <w:szCs w:val="21"/>
              </w:rPr>
              <w:t>[k]</w:t>
            </w:r>
            <w:r>
              <w:rPr>
                <w:rFonts w:hint="eastAsia" w:ascii="Times New Roman" w:hAnsi="Times New Roman" w:cs="Times New Roman"/>
                <w:color w:val="auto"/>
                <w:sz w:val="21"/>
                <w:szCs w:val="21"/>
              </w:rPr>
              <w:t>荧蒽、䓛、二苯并</w:t>
            </w:r>
            <w:r>
              <w:rPr>
                <w:rFonts w:ascii="Times New Roman" w:hAnsi="Times New Roman" w:cs="Times New Roman"/>
                <w:color w:val="auto"/>
                <w:sz w:val="21"/>
                <w:szCs w:val="21"/>
              </w:rPr>
              <w:t>[a,h]</w:t>
            </w:r>
            <w:r>
              <w:rPr>
                <w:rFonts w:hint="eastAsia" w:ascii="Times New Roman" w:hAnsi="Times New Roman" w:cs="Times New Roman"/>
                <w:color w:val="auto"/>
                <w:sz w:val="21"/>
                <w:szCs w:val="21"/>
              </w:rPr>
              <w:t>蒽、茚并</w:t>
            </w:r>
            <w:r>
              <w:rPr>
                <w:rFonts w:ascii="Times New Roman" w:hAnsi="Times New Roman" w:cs="Times New Roman"/>
                <w:color w:val="auto"/>
                <w:sz w:val="21"/>
                <w:szCs w:val="21"/>
              </w:rPr>
              <w:t>[1,2,3-cd</w:t>
            </w:r>
            <w:r>
              <w:rPr>
                <w:rFonts w:hint="eastAsia" w:ascii="Times New Roman" w:hAnsi="Times New Roman" w:cs="Times New Roman"/>
                <w:color w:val="auto"/>
                <w:sz w:val="21"/>
                <w:szCs w:val="21"/>
              </w:rPr>
              <w:t>芘、萘</w:t>
            </w:r>
            <w:r>
              <w:rPr>
                <w:rFonts w:hint="eastAsia" w:cs="Times New Roman"/>
                <w:color w:val="auto"/>
                <w:sz w:val="21"/>
                <w:szCs w:val="21"/>
                <w:lang w:eastAsia="zh-CN"/>
              </w:rPr>
              <w:t>、</w:t>
            </w:r>
            <w:r>
              <w:rPr>
                <w:rFonts w:hint="eastAsia" w:ascii="Times New Roman" w:hAnsi="Times New Roman" w:cs="Times New Roman"/>
                <w:color w:val="auto"/>
                <w:sz w:val="21"/>
                <w:szCs w:val="21"/>
              </w:rPr>
              <w:t>石油烃</w:t>
            </w:r>
            <w:r>
              <w:rPr>
                <w:rFonts w:ascii="Times New Roman" w:hAnsi="Times New Roman" w:cs="Times New Roman"/>
                <w:color w:val="auto"/>
                <w:sz w:val="21"/>
                <w:szCs w:val="21"/>
              </w:rPr>
              <w:t>（</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10</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40</w:t>
            </w:r>
            <w:r>
              <w:rPr>
                <w:rFonts w:ascii="Times New Roman" w:hAnsi="Times New Roman" w:cs="Times New Roman"/>
                <w:color w:val="auto"/>
                <w:sz w:val="21"/>
                <w:szCs w:val="21"/>
              </w:rPr>
              <w:t>）</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氟化物</w:t>
            </w:r>
          </w:p>
        </w:tc>
        <w:tc>
          <w:tcPr>
            <w:tcW w:w="404" w:type="pct"/>
            <w:vAlign w:val="center"/>
          </w:tcPr>
          <w:p w14:paraId="2C568442">
            <w:pPr>
              <w:pStyle w:val="24"/>
              <w:bidi w:val="0"/>
              <w:rPr>
                <w:rFonts w:hint="eastAsia" w:ascii="Times New Roman" w:hAnsi="Times New Roman" w:eastAsia="宋体" w:cs="Courier New"/>
                <w:b w:val="0"/>
                <w:bCs w:val="0"/>
                <w:color w:val="auto"/>
                <w:sz w:val="21"/>
                <w:szCs w:val="21"/>
                <w:highlight w:val="none"/>
                <w:lang w:val="en-US" w:eastAsia="zh-CN"/>
              </w:rPr>
            </w:pPr>
          </w:p>
        </w:tc>
      </w:tr>
      <w:tr w14:paraId="3CBB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23" w:type="pct"/>
            <w:vMerge w:val="restart"/>
            <w:shd w:val="clear" w:color="auto" w:fill="auto"/>
            <w:vAlign w:val="center"/>
          </w:tcPr>
          <w:p w14:paraId="65AF01F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现状评价</w:t>
            </w:r>
          </w:p>
        </w:tc>
        <w:tc>
          <w:tcPr>
            <w:tcW w:w="900" w:type="pct"/>
            <w:shd w:val="clear" w:color="auto" w:fill="auto"/>
            <w:vAlign w:val="center"/>
          </w:tcPr>
          <w:p w14:paraId="5AE6AF7D">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评价因子</w:t>
            </w:r>
          </w:p>
        </w:tc>
        <w:tc>
          <w:tcPr>
            <w:tcW w:w="3471" w:type="pct"/>
            <w:gridSpan w:val="6"/>
          </w:tcPr>
          <w:p w14:paraId="73C73CA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cs="Times New Roman"/>
                <w:b w:val="0"/>
                <w:bCs w:val="0"/>
                <w:color w:val="auto"/>
                <w:sz w:val="21"/>
                <w:szCs w:val="21"/>
              </w:rPr>
              <w:t>砷、镉、铬（六价）、铜、铅、汞、镍、</w:t>
            </w:r>
            <w:r>
              <w:rPr>
                <w:rFonts w:hint="eastAsia" w:cs="Times New Roman"/>
                <w:color w:val="auto"/>
                <w:sz w:val="21"/>
                <w:szCs w:val="21"/>
                <w:lang w:val="en-US" w:eastAsia="zh-CN"/>
              </w:rPr>
              <w:t>铬、锌、</w:t>
            </w:r>
            <w:r>
              <w:rPr>
                <w:rFonts w:hint="eastAsia" w:ascii="Times New Roman" w:hAnsi="Times New Roman" w:cs="Times New Roman"/>
                <w:b w:val="0"/>
                <w:bCs w:val="0"/>
                <w:color w:val="auto"/>
                <w:sz w:val="21"/>
                <w:szCs w:val="21"/>
              </w:rPr>
              <w:t>四氯化碳、氯仿、氯甲烷、</w:t>
            </w:r>
            <w:r>
              <w:rPr>
                <w:rFonts w:ascii="Times New Roman" w:hAnsi="Times New Roman" w:cs="Times New Roman"/>
                <w:b w:val="0"/>
                <w:bCs w:val="0"/>
                <w:color w:val="auto"/>
                <w:sz w:val="21"/>
                <w:szCs w:val="21"/>
              </w:rPr>
              <w:t>1,1-</w:t>
            </w:r>
            <w:r>
              <w:rPr>
                <w:rFonts w:hint="eastAsia" w:ascii="Times New Roman" w:hAnsi="Times New Roman" w:cs="Times New Roman"/>
                <w:b w:val="0"/>
                <w:bCs w:val="0"/>
                <w:color w:val="auto"/>
                <w:sz w:val="21"/>
                <w:szCs w:val="21"/>
              </w:rPr>
              <w:t>二氯乙烷、</w:t>
            </w:r>
            <w:r>
              <w:rPr>
                <w:rFonts w:ascii="Times New Roman" w:hAnsi="Times New Roman" w:cs="Times New Roman"/>
                <w:b w:val="0"/>
                <w:bCs w:val="0"/>
                <w:color w:val="auto"/>
                <w:sz w:val="21"/>
                <w:szCs w:val="21"/>
              </w:rPr>
              <w:t>1,2-</w:t>
            </w:r>
            <w:r>
              <w:rPr>
                <w:rFonts w:hint="eastAsia" w:ascii="Times New Roman" w:hAnsi="Times New Roman" w:cs="Times New Roman"/>
                <w:b w:val="0"/>
                <w:bCs w:val="0"/>
                <w:color w:val="auto"/>
                <w:sz w:val="21"/>
                <w:szCs w:val="21"/>
              </w:rPr>
              <w:t>二氯乙烷、</w:t>
            </w:r>
            <w:r>
              <w:rPr>
                <w:rFonts w:ascii="Times New Roman" w:hAnsi="Times New Roman" w:cs="Times New Roman"/>
                <w:b w:val="0"/>
                <w:bCs w:val="0"/>
                <w:color w:val="auto"/>
                <w:sz w:val="21"/>
                <w:szCs w:val="21"/>
              </w:rPr>
              <w:t>1,1-</w:t>
            </w:r>
            <w:r>
              <w:rPr>
                <w:rFonts w:hint="eastAsia" w:ascii="Times New Roman" w:hAnsi="Times New Roman" w:cs="Times New Roman"/>
                <w:b w:val="0"/>
                <w:bCs w:val="0"/>
                <w:color w:val="auto"/>
                <w:sz w:val="21"/>
                <w:szCs w:val="21"/>
              </w:rPr>
              <w:t>二氯乙烯、顺</w:t>
            </w:r>
            <w:r>
              <w:rPr>
                <w:rFonts w:ascii="Times New Roman" w:hAnsi="Times New Roman" w:cs="Times New Roman"/>
                <w:b w:val="0"/>
                <w:bCs w:val="0"/>
                <w:color w:val="auto"/>
                <w:sz w:val="21"/>
                <w:szCs w:val="21"/>
              </w:rPr>
              <w:t>-1,2-</w:t>
            </w:r>
            <w:r>
              <w:rPr>
                <w:rFonts w:hint="eastAsia" w:ascii="Times New Roman" w:hAnsi="Times New Roman" w:cs="Times New Roman"/>
                <w:b w:val="0"/>
                <w:bCs w:val="0"/>
                <w:color w:val="auto"/>
                <w:sz w:val="21"/>
                <w:szCs w:val="21"/>
              </w:rPr>
              <w:t>二氯乙烯、反</w:t>
            </w:r>
            <w:r>
              <w:rPr>
                <w:rFonts w:ascii="Times New Roman" w:hAnsi="Times New Roman" w:cs="Times New Roman"/>
                <w:b w:val="0"/>
                <w:bCs w:val="0"/>
                <w:color w:val="auto"/>
                <w:sz w:val="21"/>
                <w:szCs w:val="21"/>
              </w:rPr>
              <w:t>-1,2-</w:t>
            </w:r>
            <w:r>
              <w:rPr>
                <w:rFonts w:hint="eastAsia" w:ascii="Times New Roman" w:hAnsi="Times New Roman" w:cs="Times New Roman"/>
                <w:b w:val="0"/>
                <w:bCs w:val="0"/>
                <w:color w:val="auto"/>
                <w:sz w:val="21"/>
                <w:szCs w:val="21"/>
              </w:rPr>
              <w:t>二氯乙烯、二氯甲烷、</w:t>
            </w:r>
            <w:r>
              <w:rPr>
                <w:rFonts w:ascii="Times New Roman" w:hAnsi="Times New Roman" w:cs="Times New Roman"/>
                <w:b w:val="0"/>
                <w:bCs w:val="0"/>
                <w:color w:val="auto"/>
                <w:sz w:val="21"/>
                <w:szCs w:val="21"/>
              </w:rPr>
              <w:t>1,2-</w:t>
            </w:r>
            <w:r>
              <w:rPr>
                <w:rFonts w:hint="eastAsia" w:ascii="Times New Roman" w:hAnsi="Times New Roman" w:cs="Times New Roman"/>
                <w:b w:val="0"/>
                <w:bCs w:val="0"/>
                <w:color w:val="auto"/>
                <w:sz w:val="21"/>
                <w:szCs w:val="21"/>
              </w:rPr>
              <w:t>二氯丙烷、</w:t>
            </w:r>
            <w:r>
              <w:rPr>
                <w:rFonts w:ascii="Times New Roman" w:hAnsi="Times New Roman" w:cs="Times New Roman"/>
                <w:b w:val="0"/>
                <w:bCs w:val="0"/>
                <w:color w:val="auto"/>
                <w:sz w:val="21"/>
                <w:szCs w:val="21"/>
              </w:rPr>
              <w:t>1,1,1,2-</w:t>
            </w:r>
            <w:r>
              <w:rPr>
                <w:rFonts w:hint="eastAsia" w:ascii="Times New Roman" w:hAnsi="Times New Roman" w:cs="Times New Roman"/>
                <w:b w:val="0"/>
                <w:bCs w:val="0"/>
                <w:color w:val="auto"/>
                <w:sz w:val="21"/>
                <w:szCs w:val="21"/>
              </w:rPr>
              <w:t>四氯乙烷、</w:t>
            </w:r>
            <w:r>
              <w:rPr>
                <w:rFonts w:ascii="Times New Roman" w:hAnsi="Times New Roman" w:cs="Times New Roman"/>
                <w:b w:val="0"/>
                <w:bCs w:val="0"/>
                <w:color w:val="auto"/>
                <w:sz w:val="21"/>
                <w:szCs w:val="21"/>
              </w:rPr>
              <w:t>1,1,2,2-</w:t>
            </w:r>
            <w:r>
              <w:rPr>
                <w:rFonts w:hint="eastAsia" w:ascii="Times New Roman" w:hAnsi="Times New Roman" w:cs="Times New Roman"/>
                <w:b w:val="0"/>
                <w:bCs w:val="0"/>
                <w:color w:val="auto"/>
                <w:sz w:val="21"/>
                <w:szCs w:val="21"/>
              </w:rPr>
              <w:t>四氯乙烷、四氯乙烯、</w:t>
            </w:r>
            <w:r>
              <w:rPr>
                <w:rFonts w:ascii="Times New Roman" w:hAnsi="Times New Roman" w:cs="Times New Roman"/>
                <w:b w:val="0"/>
                <w:bCs w:val="0"/>
                <w:color w:val="auto"/>
                <w:sz w:val="21"/>
                <w:szCs w:val="21"/>
              </w:rPr>
              <w:t>1,1,1</w:t>
            </w:r>
            <w:r>
              <w:rPr>
                <w:rFonts w:hint="eastAsia" w:ascii="Times New Roman" w:hAnsi="Times New Roman" w:cs="Times New Roman"/>
                <w:b w:val="0"/>
                <w:bCs w:val="0"/>
                <w:color w:val="auto"/>
                <w:sz w:val="21"/>
                <w:szCs w:val="21"/>
              </w:rPr>
              <w:t>–三氯乙烷、</w:t>
            </w:r>
            <w:r>
              <w:rPr>
                <w:rFonts w:ascii="Times New Roman" w:hAnsi="Times New Roman" w:cs="Times New Roman"/>
                <w:b w:val="0"/>
                <w:bCs w:val="0"/>
                <w:color w:val="auto"/>
                <w:sz w:val="21"/>
                <w:szCs w:val="21"/>
              </w:rPr>
              <w:t>1,1,2</w:t>
            </w:r>
            <w:r>
              <w:rPr>
                <w:rFonts w:hint="eastAsia" w:ascii="Times New Roman" w:hAnsi="Times New Roman" w:cs="Times New Roman"/>
                <w:b w:val="0"/>
                <w:bCs w:val="0"/>
                <w:color w:val="auto"/>
                <w:sz w:val="21"/>
                <w:szCs w:val="21"/>
              </w:rPr>
              <w:t>–三氯乙烷、三氯乙烯、</w:t>
            </w:r>
            <w:r>
              <w:rPr>
                <w:rFonts w:ascii="Times New Roman" w:hAnsi="Times New Roman" w:cs="Times New Roman"/>
                <w:b w:val="0"/>
                <w:bCs w:val="0"/>
                <w:color w:val="auto"/>
                <w:sz w:val="21"/>
                <w:szCs w:val="21"/>
              </w:rPr>
              <w:t>1,2,3</w:t>
            </w:r>
            <w:r>
              <w:rPr>
                <w:rFonts w:hint="eastAsia" w:ascii="Times New Roman" w:hAnsi="Times New Roman" w:cs="Times New Roman"/>
                <w:b w:val="0"/>
                <w:bCs w:val="0"/>
                <w:color w:val="auto"/>
                <w:sz w:val="21"/>
                <w:szCs w:val="21"/>
              </w:rPr>
              <w:t>–三氯丙烷、氯乙烯、苯、氯苯、</w:t>
            </w:r>
            <w:r>
              <w:rPr>
                <w:rFonts w:ascii="Times New Roman" w:hAnsi="Times New Roman" w:cs="Times New Roman"/>
                <w:b w:val="0"/>
                <w:bCs w:val="0"/>
                <w:color w:val="auto"/>
                <w:sz w:val="21"/>
                <w:szCs w:val="21"/>
              </w:rPr>
              <w:t>1,2</w:t>
            </w:r>
            <w:r>
              <w:rPr>
                <w:rFonts w:hint="eastAsia" w:ascii="Times New Roman" w:hAnsi="Times New Roman" w:cs="Times New Roman"/>
                <w:b w:val="0"/>
                <w:bCs w:val="0"/>
                <w:color w:val="auto"/>
                <w:sz w:val="21"/>
                <w:szCs w:val="21"/>
              </w:rPr>
              <w:t>–二氯苯、</w:t>
            </w:r>
            <w:r>
              <w:rPr>
                <w:rFonts w:ascii="Times New Roman" w:hAnsi="Times New Roman" w:cs="Times New Roman"/>
                <w:b w:val="0"/>
                <w:bCs w:val="0"/>
                <w:color w:val="auto"/>
                <w:sz w:val="21"/>
                <w:szCs w:val="21"/>
              </w:rPr>
              <w:t>1,4</w:t>
            </w:r>
            <w:r>
              <w:rPr>
                <w:rFonts w:hint="eastAsia" w:ascii="Times New Roman" w:hAnsi="Times New Roman" w:cs="Times New Roman"/>
                <w:b w:val="0"/>
                <w:bCs w:val="0"/>
                <w:color w:val="auto"/>
                <w:sz w:val="21"/>
                <w:szCs w:val="21"/>
              </w:rPr>
              <w:t>–二氯苯、乙苯、苯乙烯、甲苯、间二甲苯</w:t>
            </w:r>
            <w:r>
              <w:rPr>
                <w:rFonts w:ascii="Times New Roman" w:hAnsi="Times New Roman" w:cs="Times New Roman"/>
                <w:b w:val="0"/>
                <w:bCs w:val="0"/>
                <w:color w:val="auto"/>
                <w:sz w:val="21"/>
                <w:szCs w:val="21"/>
              </w:rPr>
              <w:t>+</w:t>
            </w:r>
            <w:r>
              <w:rPr>
                <w:rFonts w:hint="eastAsia" w:ascii="Times New Roman" w:hAnsi="Times New Roman" w:cs="Times New Roman"/>
                <w:b w:val="0"/>
                <w:bCs w:val="0"/>
                <w:color w:val="auto"/>
                <w:sz w:val="21"/>
                <w:szCs w:val="21"/>
              </w:rPr>
              <w:t>对二甲苯、邻二甲苯、硝基苯、苯胺、</w:t>
            </w:r>
            <w:r>
              <w:rPr>
                <w:rFonts w:ascii="Times New Roman" w:hAnsi="Times New Roman" w:cs="Times New Roman"/>
                <w:b w:val="0"/>
                <w:bCs w:val="0"/>
                <w:color w:val="auto"/>
                <w:sz w:val="21"/>
                <w:szCs w:val="21"/>
              </w:rPr>
              <w:t>2-</w:t>
            </w:r>
            <w:r>
              <w:rPr>
                <w:rFonts w:hint="eastAsia" w:ascii="Times New Roman" w:hAnsi="Times New Roman" w:cs="Times New Roman"/>
                <w:b w:val="0"/>
                <w:bCs w:val="0"/>
                <w:color w:val="auto"/>
                <w:sz w:val="21"/>
                <w:szCs w:val="21"/>
              </w:rPr>
              <w:t>氯酚、苯并</w:t>
            </w:r>
            <w:r>
              <w:rPr>
                <w:rFonts w:ascii="Times New Roman" w:hAnsi="Times New Roman" w:cs="Times New Roman"/>
                <w:b w:val="0"/>
                <w:bCs w:val="0"/>
                <w:color w:val="auto"/>
                <w:sz w:val="21"/>
                <w:szCs w:val="21"/>
              </w:rPr>
              <w:t>[a]</w:t>
            </w:r>
            <w:r>
              <w:rPr>
                <w:rFonts w:hint="eastAsia" w:ascii="Times New Roman" w:hAnsi="Times New Roman" w:cs="Times New Roman"/>
                <w:b w:val="0"/>
                <w:bCs w:val="0"/>
                <w:color w:val="auto"/>
                <w:sz w:val="21"/>
                <w:szCs w:val="21"/>
              </w:rPr>
              <w:t>蒽、苯并</w:t>
            </w:r>
            <w:r>
              <w:rPr>
                <w:rFonts w:ascii="Times New Roman" w:hAnsi="Times New Roman" w:cs="Times New Roman"/>
                <w:b w:val="0"/>
                <w:bCs w:val="0"/>
                <w:color w:val="auto"/>
                <w:sz w:val="21"/>
                <w:szCs w:val="21"/>
              </w:rPr>
              <w:t>[a]</w:t>
            </w:r>
            <w:r>
              <w:rPr>
                <w:rFonts w:hint="eastAsia" w:ascii="Times New Roman" w:hAnsi="Times New Roman" w:cs="Times New Roman"/>
                <w:b w:val="0"/>
                <w:bCs w:val="0"/>
                <w:color w:val="auto"/>
                <w:sz w:val="21"/>
                <w:szCs w:val="21"/>
              </w:rPr>
              <w:t>芘、苯并</w:t>
            </w:r>
            <w:r>
              <w:rPr>
                <w:rFonts w:ascii="Times New Roman" w:hAnsi="Times New Roman" w:cs="Times New Roman"/>
                <w:b w:val="0"/>
                <w:bCs w:val="0"/>
                <w:color w:val="auto"/>
                <w:sz w:val="21"/>
                <w:szCs w:val="21"/>
              </w:rPr>
              <w:t>[b]</w:t>
            </w:r>
            <w:r>
              <w:rPr>
                <w:rFonts w:hint="eastAsia" w:ascii="Times New Roman" w:hAnsi="Times New Roman" w:cs="Times New Roman"/>
                <w:b w:val="0"/>
                <w:bCs w:val="0"/>
                <w:color w:val="auto"/>
                <w:sz w:val="21"/>
                <w:szCs w:val="21"/>
              </w:rPr>
              <w:t>荧蒽、苯并</w:t>
            </w:r>
            <w:r>
              <w:rPr>
                <w:rFonts w:ascii="Times New Roman" w:hAnsi="Times New Roman" w:cs="Times New Roman"/>
                <w:b w:val="0"/>
                <w:bCs w:val="0"/>
                <w:color w:val="auto"/>
                <w:sz w:val="21"/>
                <w:szCs w:val="21"/>
              </w:rPr>
              <w:t>[k]</w:t>
            </w:r>
            <w:r>
              <w:rPr>
                <w:rFonts w:hint="eastAsia" w:ascii="Times New Roman" w:hAnsi="Times New Roman" w:cs="Times New Roman"/>
                <w:b w:val="0"/>
                <w:bCs w:val="0"/>
                <w:color w:val="auto"/>
                <w:sz w:val="21"/>
                <w:szCs w:val="21"/>
              </w:rPr>
              <w:t>荧蒽、䓛、二苯并</w:t>
            </w:r>
            <w:r>
              <w:rPr>
                <w:rFonts w:ascii="Times New Roman" w:hAnsi="Times New Roman" w:cs="Times New Roman"/>
                <w:b w:val="0"/>
                <w:bCs w:val="0"/>
                <w:color w:val="auto"/>
                <w:sz w:val="21"/>
                <w:szCs w:val="21"/>
              </w:rPr>
              <w:t>[a,h]</w:t>
            </w:r>
            <w:r>
              <w:rPr>
                <w:rFonts w:hint="eastAsia" w:ascii="Times New Roman" w:hAnsi="Times New Roman" w:cs="Times New Roman"/>
                <w:b w:val="0"/>
                <w:bCs w:val="0"/>
                <w:color w:val="auto"/>
                <w:sz w:val="21"/>
                <w:szCs w:val="21"/>
              </w:rPr>
              <w:t>蒽、茚并</w:t>
            </w:r>
            <w:r>
              <w:rPr>
                <w:rFonts w:ascii="Times New Roman" w:hAnsi="Times New Roman" w:cs="Times New Roman"/>
                <w:b w:val="0"/>
                <w:bCs w:val="0"/>
                <w:color w:val="auto"/>
                <w:sz w:val="21"/>
                <w:szCs w:val="21"/>
              </w:rPr>
              <w:t>[1,2,3-cd</w:t>
            </w:r>
            <w:r>
              <w:rPr>
                <w:rFonts w:hint="eastAsia" w:ascii="Times New Roman" w:hAnsi="Times New Roman" w:cs="Times New Roman"/>
                <w:b w:val="0"/>
                <w:bCs w:val="0"/>
                <w:color w:val="auto"/>
                <w:sz w:val="21"/>
                <w:szCs w:val="21"/>
              </w:rPr>
              <w:t>芘、萘</w:t>
            </w:r>
            <w:r>
              <w:rPr>
                <w:rFonts w:hint="eastAsia" w:ascii="Times New Roman" w:hAnsi="Times New Roman" w:cs="Times New Roman"/>
                <w:b w:val="0"/>
                <w:bCs w:val="0"/>
                <w:color w:val="auto"/>
                <w:sz w:val="21"/>
                <w:szCs w:val="21"/>
                <w:lang w:eastAsia="zh-CN"/>
              </w:rPr>
              <w:t>、</w:t>
            </w:r>
            <w:r>
              <w:rPr>
                <w:rFonts w:hint="eastAsia" w:ascii="Times New Roman" w:hAnsi="Times New Roman" w:cs="Times New Roman"/>
                <w:b w:val="0"/>
                <w:bCs w:val="0"/>
                <w:color w:val="auto"/>
                <w:sz w:val="21"/>
                <w:szCs w:val="21"/>
              </w:rPr>
              <w:t>石油烃</w:t>
            </w:r>
            <w:r>
              <w:rPr>
                <w:rFonts w:ascii="Times New Roman" w:hAnsi="Times New Roman" w:cs="Times New Roman"/>
                <w:b w:val="0"/>
                <w:bCs w:val="0"/>
                <w:color w:val="auto"/>
                <w:sz w:val="21"/>
                <w:szCs w:val="21"/>
              </w:rPr>
              <w:t>（</w:t>
            </w:r>
            <w:r>
              <w:rPr>
                <w:rFonts w:hint="eastAsia" w:ascii="Times New Roman" w:hAnsi="Times New Roman" w:cs="Times New Roman"/>
                <w:b w:val="0"/>
                <w:bCs w:val="0"/>
                <w:color w:val="auto"/>
                <w:sz w:val="21"/>
                <w:szCs w:val="21"/>
              </w:rPr>
              <w:t>C</w:t>
            </w:r>
            <w:r>
              <w:rPr>
                <w:rFonts w:hint="eastAsia" w:ascii="Times New Roman" w:hAnsi="Times New Roman" w:cs="Times New Roman"/>
                <w:b w:val="0"/>
                <w:bCs w:val="0"/>
                <w:color w:val="auto"/>
                <w:sz w:val="21"/>
                <w:szCs w:val="21"/>
                <w:vertAlign w:val="subscript"/>
              </w:rPr>
              <w:t>10</w:t>
            </w:r>
            <w:r>
              <w:rPr>
                <w:rFonts w:hint="eastAsia" w:ascii="Times New Roman" w:hAnsi="Times New Roman" w:cs="Times New Roman"/>
                <w:b w:val="0"/>
                <w:bCs w:val="0"/>
                <w:color w:val="auto"/>
                <w:sz w:val="21"/>
                <w:szCs w:val="21"/>
              </w:rPr>
              <w:t>-C</w:t>
            </w:r>
            <w:r>
              <w:rPr>
                <w:rFonts w:hint="eastAsia" w:ascii="Times New Roman" w:hAnsi="Times New Roman" w:cs="Times New Roman"/>
                <w:b w:val="0"/>
                <w:bCs w:val="0"/>
                <w:color w:val="auto"/>
                <w:sz w:val="21"/>
                <w:szCs w:val="21"/>
                <w:vertAlign w:val="subscript"/>
              </w:rPr>
              <w:t>40</w:t>
            </w:r>
            <w:r>
              <w:rPr>
                <w:rFonts w:ascii="Times New Roman" w:hAnsi="Times New Roman" w:cs="Times New Roman"/>
                <w:b w:val="0"/>
                <w:bCs w:val="0"/>
                <w:color w:val="auto"/>
                <w:sz w:val="21"/>
                <w:szCs w:val="21"/>
              </w:rPr>
              <w:t>）</w:t>
            </w:r>
            <w:r>
              <w:rPr>
                <w:rFonts w:hint="eastAsia" w:ascii="Times New Roman" w:hAnsi="Times New Roman" w:cs="Times New Roman"/>
                <w:b w:val="0"/>
                <w:bCs w:val="0"/>
                <w:color w:val="auto"/>
                <w:sz w:val="21"/>
                <w:szCs w:val="21"/>
                <w:lang w:eastAsia="zh-CN"/>
              </w:rPr>
              <w:t>、</w:t>
            </w:r>
            <w:r>
              <w:rPr>
                <w:rFonts w:hint="eastAsia" w:ascii="Times New Roman" w:hAnsi="Times New Roman" w:cs="Times New Roman"/>
                <w:b w:val="0"/>
                <w:bCs w:val="0"/>
                <w:color w:val="auto"/>
                <w:sz w:val="21"/>
                <w:szCs w:val="21"/>
                <w:lang w:val="en-US" w:eastAsia="zh-CN"/>
              </w:rPr>
              <w:t>氟化物</w:t>
            </w:r>
          </w:p>
        </w:tc>
        <w:tc>
          <w:tcPr>
            <w:tcW w:w="404" w:type="pct"/>
            <w:vAlign w:val="center"/>
          </w:tcPr>
          <w:p w14:paraId="4EC0BDF7">
            <w:pPr>
              <w:pStyle w:val="24"/>
              <w:bidi w:val="0"/>
              <w:rPr>
                <w:rFonts w:hint="eastAsia" w:ascii="Times New Roman" w:hAnsi="Times New Roman" w:eastAsia="宋体" w:cs="Courier New"/>
                <w:b w:val="0"/>
                <w:bCs w:val="0"/>
                <w:color w:val="auto"/>
                <w:sz w:val="21"/>
                <w:szCs w:val="21"/>
                <w:highlight w:val="none"/>
                <w:lang w:val="en-US" w:eastAsia="zh-CN"/>
              </w:rPr>
            </w:pPr>
          </w:p>
        </w:tc>
      </w:tr>
      <w:tr w14:paraId="344F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223" w:type="pct"/>
            <w:vMerge w:val="continue"/>
            <w:shd w:val="clear" w:color="auto" w:fill="auto"/>
            <w:vAlign w:val="center"/>
          </w:tcPr>
          <w:p w14:paraId="3FB8A91C">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24B47A1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评价标准</w:t>
            </w:r>
          </w:p>
        </w:tc>
        <w:tc>
          <w:tcPr>
            <w:tcW w:w="3471" w:type="pct"/>
            <w:gridSpan w:val="6"/>
          </w:tcPr>
          <w:p w14:paraId="66A8ACD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GB15618</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；GB36600</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；表D.1□；表D.2□；其他（</w:t>
            </w:r>
            <w:r>
              <w:rPr>
                <w:rFonts w:hint="eastAsia"/>
                <w:color w:val="auto"/>
                <w:sz w:val="21"/>
                <w:szCs w:val="21"/>
                <w:lang w:val="en-US" w:eastAsia="zh-CN"/>
              </w:rPr>
              <w:t>DB51/2978-2023</w:t>
            </w:r>
            <w:r>
              <w:rPr>
                <w:rFonts w:hint="eastAsia" w:ascii="Times New Roman" w:hAnsi="Times New Roman" w:eastAsia="宋体" w:cs="Courier New"/>
                <w:b w:val="0"/>
                <w:bCs w:val="0"/>
                <w:color w:val="auto"/>
                <w:sz w:val="21"/>
                <w:szCs w:val="21"/>
                <w:highlight w:val="none"/>
                <w:lang w:val="en-US" w:eastAsia="zh-CN"/>
              </w:rPr>
              <w:t>）</w:t>
            </w:r>
          </w:p>
        </w:tc>
        <w:tc>
          <w:tcPr>
            <w:tcW w:w="404" w:type="pct"/>
            <w:vAlign w:val="center"/>
          </w:tcPr>
          <w:p w14:paraId="63B26561">
            <w:pPr>
              <w:pStyle w:val="24"/>
              <w:bidi w:val="0"/>
              <w:rPr>
                <w:rFonts w:hint="eastAsia" w:ascii="Times New Roman" w:hAnsi="Times New Roman" w:eastAsia="宋体" w:cs="Courier New"/>
                <w:b w:val="0"/>
                <w:bCs w:val="0"/>
                <w:color w:val="auto"/>
                <w:sz w:val="21"/>
                <w:szCs w:val="21"/>
                <w:highlight w:val="none"/>
                <w:lang w:val="en-US" w:eastAsia="zh-CN"/>
              </w:rPr>
            </w:pPr>
          </w:p>
        </w:tc>
      </w:tr>
      <w:tr w14:paraId="7DFE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23" w:type="pct"/>
            <w:vMerge w:val="continue"/>
            <w:shd w:val="clear" w:color="auto" w:fill="auto"/>
            <w:vAlign w:val="center"/>
          </w:tcPr>
          <w:p w14:paraId="5243B785">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7F24C32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现状评价结论</w:t>
            </w:r>
          </w:p>
        </w:tc>
        <w:tc>
          <w:tcPr>
            <w:tcW w:w="3471" w:type="pct"/>
            <w:gridSpan w:val="6"/>
            <w:vAlign w:val="center"/>
          </w:tcPr>
          <w:p w14:paraId="4E11642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 xml:space="preserve"> </w:t>
            </w:r>
            <w:r>
              <w:rPr>
                <w:rFonts w:hint="eastAsia" w:ascii="Times New Roman" w:hAnsi="Times New Roman"/>
                <w:color w:val="auto"/>
                <w:sz w:val="21"/>
                <w:szCs w:val="21"/>
              </w:rPr>
              <w:t>厂区内各监测点</w:t>
            </w:r>
            <w:r>
              <w:rPr>
                <w:rFonts w:hint="eastAsia" w:ascii="Times New Roman" w:hAnsi="Times New Roman"/>
                <w:color w:val="auto"/>
                <w:sz w:val="21"/>
                <w:szCs w:val="21"/>
                <w:lang w:val="en-US" w:eastAsia="zh-CN"/>
              </w:rPr>
              <w:t>及</w:t>
            </w:r>
            <w:r>
              <w:rPr>
                <w:rFonts w:hint="eastAsia" w:ascii="Times New Roman" w:hAnsi="Times New Roman"/>
                <w:color w:val="auto"/>
                <w:sz w:val="21"/>
                <w:szCs w:val="21"/>
              </w:rPr>
              <w:t>厂界外</w:t>
            </w:r>
            <w:r>
              <w:rPr>
                <w:rFonts w:hint="eastAsia" w:cstheme="minorHAnsi"/>
                <w:color w:val="auto"/>
                <w:sz w:val="21"/>
                <w:szCs w:val="21"/>
                <w:lang w:val="en-US" w:eastAsia="zh-CN"/>
              </w:rPr>
              <w:t>T9、T11</w:t>
            </w:r>
            <w:r>
              <w:rPr>
                <w:rFonts w:ascii="Times New Roman" w:hAnsi="Times New Roman"/>
                <w:color w:val="auto"/>
                <w:sz w:val="21"/>
                <w:szCs w:val="21"/>
              </w:rPr>
              <w:t>监测点</w:t>
            </w:r>
            <w:r>
              <w:rPr>
                <w:rFonts w:hint="eastAsia" w:ascii="Times New Roman" w:hAnsi="Times New Roman"/>
                <w:color w:val="auto"/>
                <w:sz w:val="21"/>
                <w:szCs w:val="21"/>
              </w:rPr>
              <w:t>评价因子均满足《土壤环境质量 建设用地土壤污染风险管控标准（试行）》（GB36600-2018）表1、表2中第</w:t>
            </w:r>
            <w:r>
              <w:rPr>
                <w:rFonts w:hint="eastAsia"/>
                <w:color w:val="auto"/>
                <w:sz w:val="21"/>
                <w:szCs w:val="21"/>
                <w:lang w:val="en-US" w:eastAsia="zh-CN"/>
              </w:rPr>
              <w:t>二</w:t>
            </w:r>
            <w:r>
              <w:rPr>
                <w:rFonts w:hint="eastAsia" w:ascii="Times New Roman" w:hAnsi="Times New Roman"/>
                <w:color w:val="auto"/>
                <w:sz w:val="21"/>
                <w:szCs w:val="21"/>
              </w:rPr>
              <w:t>类用地土壤污染风险筛选值，</w:t>
            </w:r>
            <w:r>
              <w:rPr>
                <w:rFonts w:hint="eastAsia"/>
                <w:color w:val="auto"/>
                <w:sz w:val="21"/>
                <w:szCs w:val="21"/>
                <w:lang w:val="en-US" w:eastAsia="zh-CN"/>
              </w:rPr>
              <w:t>氟化物</w:t>
            </w:r>
            <w:r>
              <w:rPr>
                <w:rFonts w:hint="eastAsia" w:ascii="Times New Roman" w:hAnsi="Times New Roman"/>
                <w:color w:val="auto"/>
                <w:sz w:val="21"/>
                <w:szCs w:val="21"/>
              </w:rPr>
              <w:t>均满足</w:t>
            </w:r>
            <w:r>
              <w:rPr>
                <w:rFonts w:hint="eastAsia"/>
                <w:color w:val="auto"/>
                <w:sz w:val="21"/>
                <w:szCs w:val="21"/>
                <w:lang w:val="en-US" w:eastAsia="zh-CN"/>
              </w:rPr>
              <w:t>《四川省建设用地土壤污染风险管控标准》（DB51/2978-2023）</w:t>
            </w:r>
            <w:r>
              <w:rPr>
                <w:rFonts w:hint="eastAsia"/>
                <w:color w:val="auto"/>
                <w:sz w:val="21"/>
                <w:szCs w:val="21"/>
              </w:rPr>
              <w:t>表1中建设</w:t>
            </w:r>
            <w:r>
              <w:rPr>
                <w:color w:val="auto"/>
                <w:sz w:val="21"/>
                <w:szCs w:val="21"/>
              </w:rPr>
              <w:t>用地</w:t>
            </w:r>
            <w:r>
              <w:rPr>
                <w:rFonts w:hint="eastAsia"/>
                <w:color w:val="auto"/>
                <w:sz w:val="21"/>
                <w:szCs w:val="21"/>
              </w:rPr>
              <w:t>土壤污染风险第</w:t>
            </w:r>
            <w:r>
              <w:rPr>
                <w:rFonts w:hint="eastAsia"/>
                <w:color w:val="auto"/>
                <w:sz w:val="21"/>
                <w:szCs w:val="21"/>
                <w:lang w:val="en-US" w:eastAsia="zh-CN"/>
              </w:rPr>
              <w:t>二</w:t>
            </w:r>
            <w:r>
              <w:rPr>
                <w:rFonts w:hint="eastAsia"/>
                <w:color w:val="auto"/>
                <w:sz w:val="21"/>
                <w:szCs w:val="21"/>
              </w:rPr>
              <w:t>类</w:t>
            </w:r>
            <w:r>
              <w:rPr>
                <w:color w:val="auto"/>
                <w:sz w:val="21"/>
                <w:szCs w:val="21"/>
              </w:rPr>
              <w:t>用地</w:t>
            </w:r>
            <w:r>
              <w:rPr>
                <w:rFonts w:hint="eastAsia"/>
                <w:color w:val="auto"/>
                <w:sz w:val="21"/>
                <w:szCs w:val="21"/>
              </w:rPr>
              <w:t>筛选值</w:t>
            </w:r>
            <w:r>
              <w:rPr>
                <w:rFonts w:hint="eastAsia"/>
                <w:color w:val="auto"/>
                <w:sz w:val="21"/>
                <w:szCs w:val="21"/>
                <w:lang w:eastAsia="zh-CN"/>
              </w:rPr>
              <w:t>；</w:t>
            </w:r>
            <w:r>
              <w:rPr>
                <w:rFonts w:hint="eastAsia" w:ascii="Times New Roman" w:hAnsi="Times New Roman"/>
                <w:color w:val="auto"/>
                <w:sz w:val="21"/>
                <w:szCs w:val="21"/>
              </w:rPr>
              <w:t>T</w:t>
            </w:r>
            <w:r>
              <w:rPr>
                <w:rFonts w:hint="eastAsia"/>
                <w:color w:val="auto"/>
                <w:sz w:val="21"/>
                <w:szCs w:val="21"/>
                <w:lang w:val="en-US" w:eastAsia="zh-CN"/>
              </w:rPr>
              <w:t>8、T10</w:t>
            </w:r>
            <w:r>
              <w:rPr>
                <w:rFonts w:hint="eastAsia" w:ascii="Times New Roman" w:hAnsi="Times New Roman"/>
                <w:color w:val="auto"/>
                <w:sz w:val="21"/>
                <w:szCs w:val="21"/>
              </w:rPr>
              <w:t>监测点评价因子均满足《土壤环境质量 农用地土壤污染风险管控标准（试行）》（GB15618-2018）农用地土壤污染风险筛选值</w:t>
            </w:r>
          </w:p>
        </w:tc>
        <w:tc>
          <w:tcPr>
            <w:tcW w:w="404" w:type="pct"/>
            <w:vAlign w:val="center"/>
          </w:tcPr>
          <w:p w14:paraId="45342298">
            <w:pPr>
              <w:pStyle w:val="24"/>
              <w:bidi w:val="0"/>
              <w:rPr>
                <w:rFonts w:hint="eastAsia" w:ascii="Times New Roman" w:hAnsi="Times New Roman" w:eastAsia="宋体" w:cs="Courier New"/>
                <w:b w:val="0"/>
                <w:bCs w:val="0"/>
                <w:color w:val="auto"/>
                <w:sz w:val="21"/>
                <w:szCs w:val="21"/>
                <w:highlight w:val="none"/>
                <w:lang w:val="en-US" w:eastAsia="zh-CN"/>
              </w:rPr>
            </w:pPr>
          </w:p>
        </w:tc>
      </w:tr>
      <w:tr w14:paraId="7A76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restart"/>
            <w:shd w:val="clear" w:color="auto" w:fill="auto"/>
            <w:vAlign w:val="center"/>
          </w:tcPr>
          <w:p w14:paraId="4E9A2A6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影响预测</w:t>
            </w:r>
          </w:p>
        </w:tc>
        <w:tc>
          <w:tcPr>
            <w:tcW w:w="900" w:type="pct"/>
            <w:shd w:val="clear" w:color="auto" w:fill="auto"/>
            <w:vAlign w:val="center"/>
          </w:tcPr>
          <w:p w14:paraId="514A4F0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预测因子</w:t>
            </w:r>
          </w:p>
        </w:tc>
        <w:tc>
          <w:tcPr>
            <w:tcW w:w="3471" w:type="pct"/>
            <w:gridSpan w:val="6"/>
          </w:tcPr>
          <w:p w14:paraId="450BB2B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氟化物</w:t>
            </w:r>
          </w:p>
        </w:tc>
        <w:tc>
          <w:tcPr>
            <w:tcW w:w="404" w:type="pct"/>
            <w:vAlign w:val="center"/>
          </w:tcPr>
          <w:p w14:paraId="27AB846F">
            <w:pPr>
              <w:pStyle w:val="24"/>
              <w:bidi w:val="0"/>
              <w:rPr>
                <w:rFonts w:hint="eastAsia" w:ascii="Times New Roman" w:hAnsi="Times New Roman" w:eastAsia="宋体" w:cs="Courier New"/>
                <w:b w:val="0"/>
                <w:bCs w:val="0"/>
                <w:color w:val="auto"/>
                <w:sz w:val="21"/>
                <w:szCs w:val="21"/>
                <w:highlight w:val="none"/>
                <w:lang w:val="en-US" w:eastAsia="zh-CN"/>
              </w:rPr>
            </w:pPr>
          </w:p>
        </w:tc>
      </w:tr>
      <w:tr w14:paraId="6850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0E7BBAAA">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49B43D8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预测方法</w:t>
            </w:r>
          </w:p>
        </w:tc>
        <w:tc>
          <w:tcPr>
            <w:tcW w:w="3471" w:type="pct"/>
            <w:gridSpan w:val="6"/>
          </w:tcPr>
          <w:p w14:paraId="60DEEEE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附录E</w:t>
            </w:r>
            <w:r>
              <w:rPr>
                <w:rFonts w:hint="eastAsia" w:ascii="Times New Roman" w:hAnsi="Times New Roman" w:eastAsia="宋体" w:cs="Courier New"/>
                <w:b w:val="0"/>
                <w:bCs w:val="0"/>
                <w:color w:val="auto"/>
                <w:sz w:val="21"/>
                <w:szCs w:val="21"/>
                <w:highlight w:val="none"/>
                <w:lang w:val="en-US" w:eastAsia="zh-CN"/>
              </w:rPr>
              <w:sym w:font="Wingdings 2" w:char="0052"/>
            </w:r>
            <w:r>
              <w:rPr>
                <w:rFonts w:hint="eastAsia" w:ascii="Times New Roman" w:hAnsi="Times New Roman" w:eastAsia="宋体" w:cs="Courier New"/>
                <w:b w:val="0"/>
                <w:bCs w:val="0"/>
                <w:color w:val="auto"/>
                <w:sz w:val="21"/>
                <w:szCs w:val="21"/>
                <w:highlight w:val="none"/>
                <w:lang w:val="en-US" w:eastAsia="zh-CN"/>
              </w:rPr>
              <w:t>；附录F</w:t>
            </w:r>
            <w:r>
              <w:rPr>
                <w:rFonts w:hint="eastAsia" w:cs="Courier New"/>
                <w:b w:val="0"/>
                <w:bCs w:val="0"/>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；其他（   ）</w:t>
            </w:r>
          </w:p>
        </w:tc>
        <w:tc>
          <w:tcPr>
            <w:tcW w:w="404" w:type="pct"/>
            <w:vAlign w:val="center"/>
          </w:tcPr>
          <w:p w14:paraId="5FC50615">
            <w:pPr>
              <w:pStyle w:val="24"/>
              <w:bidi w:val="0"/>
              <w:rPr>
                <w:rFonts w:hint="eastAsia" w:ascii="Times New Roman" w:hAnsi="Times New Roman" w:eastAsia="宋体" w:cs="Courier New"/>
                <w:b w:val="0"/>
                <w:bCs w:val="0"/>
                <w:color w:val="auto"/>
                <w:sz w:val="21"/>
                <w:szCs w:val="21"/>
                <w:highlight w:val="none"/>
                <w:lang w:val="en-US" w:eastAsia="zh-CN"/>
              </w:rPr>
            </w:pPr>
          </w:p>
        </w:tc>
      </w:tr>
      <w:tr w14:paraId="194A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4F22D9BD">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2E67DBD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预测分析内容</w:t>
            </w:r>
          </w:p>
        </w:tc>
        <w:tc>
          <w:tcPr>
            <w:tcW w:w="3471" w:type="pct"/>
            <w:gridSpan w:val="6"/>
          </w:tcPr>
          <w:p w14:paraId="2CE3FED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影响范围（占地范围内及占地范围外1km范围）</w:t>
            </w:r>
          </w:p>
          <w:p w14:paraId="4351D3D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影响程度（较小）</w:t>
            </w:r>
          </w:p>
        </w:tc>
        <w:tc>
          <w:tcPr>
            <w:tcW w:w="404" w:type="pct"/>
            <w:vAlign w:val="center"/>
          </w:tcPr>
          <w:p w14:paraId="6AA14989">
            <w:pPr>
              <w:pStyle w:val="24"/>
              <w:bidi w:val="0"/>
              <w:rPr>
                <w:rFonts w:hint="eastAsia" w:ascii="Times New Roman" w:hAnsi="Times New Roman" w:eastAsia="宋体" w:cs="Courier New"/>
                <w:b w:val="0"/>
                <w:bCs w:val="0"/>
                <w:color w:val="auto"/>
                <w:sz w:val="21"/>
                <w:szCs w:val="21"/>
                <w:highlight w:val="none"/>
                <w:lang w:val="en-US" w:eastAsia="zh-CN"/>
              </w:rPr>
            </w:pPr>
          </w:p>
        </w:tc>
      </w:tr>
      <w:tr w14:paraId="62B6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0482280E">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63FF0BE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预测结论</w:t>
            </w:r>
          </w:p>
        </w:tc>
        <w:tc>
          <w:tcPr>
            <w:tcW w:w="3471" w:type="pct"/>
            <w:gridSpan w:val="6"/>
          </w:tcPr>
          <w:p w14:paraId="6BB4A1F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达标结论：a）</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；b）□；c）□</w:t>
            </w:r>
          </w:p>
          <w:p w14:paraId="34B238D5">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不达标结论：a）□；b）□</w:t>
            </w:r>
          </w:p>
        </w:tc>
        <w:tc>
          <w:tcPr>
            <w:tcW w:w="404" w:type="pct"/>
            <w:vAlign w:val="center"/>
          </w:tcPr>
          <w:p w14:paraId="4A992674">
            <w:pPr>
              <w:pStyle w:val="24"/>
              <w:bidi w:val="0"/>
              <w:rPr>
                <w:rFonts w:hint="eastAsia" w:ascii="Times New Roman" w:hAnsi="Times New Roman" w:eastAsia="宋体" w:cs="Courier New"/>
                <w:b w:val="0"/>
                <w:bCs w:val="0"/>
                <w:color w:val="auto"/>
                <w:sz w:val="21"/>
                <w:szCs w:val="21"/>
                <w:highlight w:val="none"/>
                <w:lang w:val="en-US" w:eastAsia="zh-CN"/>
              </w:rPr>
            </w:pPr>
          </w:p>
        </w:tc>
      </w:tr>
      <w:tr w14:paraId="05B9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restart"/>
            <w:shd w:val="clear" w:color="auto" w:fill="auto"/>
            <w:vAlign w:val="center"/>
          </w:tcPr>
          <w:p w14:paraId="3FE3718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防治措施</w:t>
            </w:r>
          </w:p>
        </w:tc>
        <w:tc>
          <w:tcPr>
            <w:tcW w:w="900" w:type="pct"/>
            <w:shd w:val="clear" w:color="auto" w:fill="auto"/>
            <w:vAlign w:val="center"/>
          </w:tcPr>
          <w:p w14:paraId="783523A0">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防控措施</w:t>
            </w:r>
          </w:p>
        </w:tc>
        <w:tc>
          <w:tcPr>
            <w:tcW w:w="3471" w:type="pct"/>
            <w:gridSpan w:val="6"/>
          </w:tcPr>
          <w:p w14:paraId="1FA3386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土壤环境质量现状保障</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；源头控制</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；过程防控</w:t>
            </w:r>
            <w:r>
              <w:rPr>
                <w:rFonts w:hint="eastAsia" w:ascii="Times New Roman" w:hAnsi="Times New Roman" w:eastAsia="宋体" w:cs="Courier New"/>
                <w:b w:val="0"/>
                <w:bCs w:val="0"/>
                <w:color w:val="auto"/>
                <w:sz w:val="21"/>
                <w:szCs w:val="21"/>
                <w:highlight w:val="none"/>
                <w:lang w:val="en-US" w:eastAsia="zh-CN"/>
              </w:rPr>
              <w:sym w:font="Wingdings 2" w:char="F052"/>
            </w:r>
            <w:r>
              <w:rPr>
                <w:rFonts w:hint="eastAsia" w:ascii="Times New Roman" w:hAnsi="Times New Roman" w:eastAsia="宋体" w:cs="Courier New"/>
                <w:b w:val="0"/>
                <w:bCs w:val="0"/>
                <w:color w:val="auto"/>
                <w:sz w:val="21"/>
                <w:szCs w:val="21"/>
                <w:highlight w:val="none"/>
                <w:lang w:val="en-US" w:eastAsia="zh-CN"/>
              </w:rPr>
              <w:t>；其他（   ）</w:t>
            </w:r>
          </w:p>
        </w:tc>
        <w:tc>
          <w:tcPr>
            <w:tcW w:w="404" w:type="pct"/>
            <w:vAlign w:val="center"/>
          </w:tcPr>
          <w:p w14:paraId="0ECF3006">
            <w:pPr>
              <w:pStyle w:val="24"/>
              <w:bidi w:val="0"/>
              <w:rPr>
                <w:rFonts w:hint="eastAsia" w:ascii="Times New Roman" w:hAnsi="Times New Roman" w:eastAsia="宋体" w:cs="Courier New"/>
                <w:b w:val="0"/>
                <w:bCs w:val="0"/>
                <w:color w:val="auto"/>
                <w:sz w:val="21"/>
                <w:szCs w:val="21"/>
                <w:highlight w:val="none"/>
                <w:lang w:val="en-US" w:eastAsia="zh-CN"/>
              </w:rPr>
            </w:pPr>
          </w:p>
        </w:tc>
      </w:tr>
      <w:tr w14:paraId="5E52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59A4EAE4">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vMerge w:val="restart"/>
            <w:shd w:val="clear" w:color="auto" w:fill="auto"/>
            <w:vAlign w:val="center"/>
          </w:tcPr>
          <w:p w14:paraId="166C97F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跟踪监测</w:t>
            </w:r>
          </w:p>
        </w:tc>
        <w:tc>
          <w:tcPr>
            <w:tcW w:w="1116" w:type="pct"/>
            <w:gridSpan w:val="2"/>
            <w:vAlign w:val="center"/>
          </w:tcPr>
          <w:p w14:paraId="098203DA">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监测点数</w:t>
            </w:r>
          </w:p>
        </w:tc>
        <w:tc>
          <w:tcPr>
            <w:tcW w:w="1263" w:type="pct"/>
            <w:gridSpan w:val="2"/>
            <w:vAlign w:val="center"/>
          </w:tcPr>
          <w:p w14:paraId="5B2E572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监测指标</w:t>
            </w:r>
          </w:p>
        </w:tc>
        <w:tc>
          <w:tcPr>
            <w:tcW w:w="1092" w:type="pct"/>
            <w:gridSpan w:val="2"/>
            <w:vAlign w:val="center"/>
          </w:tcPr>
          <w:p w14:paraId="5EE439D7">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监测频次</w:t>
            </w:r>
          </w:p>
        </w:tc>
        <w:tc>
          <w:tcPr>
            <w:tcW w:w="404" w:type="pct"/>
            <w:vAlign w:val="center"/>
          </w:tcPr>
          <w:p w14:paraId="3144360E">
            <w:pPr>
              <w:pStyle w:val="24"/>
              <w:bidi w:val="0"/>
              <w:rPr>
                <w:rFonts w:hint="eastAsia" w:ascii="Times New Roman" w:hAnsi="Times New Roman" w:eastAsia="宋体" w:cs="Courier New"/>
                <w:b w:val="0"/>
                <w:bCs w:val="0"/>
                <w:color w:val="auto"/>
                <w:sz w:val="21"/>
                <w:szCs w:val="21"/>
                <w:highlight w:val="none"/>
                <w:lang w:val="en-US" w:eastAsia="zh-CN"/>
              </w:rPr>
            </w:pPr>
          </w:p>
        </w:tc>
      </w:tr>
      <w:tr w14:paraId="5B42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6D13CEDD">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vMerge w:val="continue"/>
            <w:shd w:val="clear" w:color="auto" w:fill="auto"/>
            <w:vAlign w:val="center"/>
          </w:tcPr>
          <w:p w14:paraId="465EDBF2">
            <w:pPr>
              <w:pStyle w:val="24"/>
              <w:bidi w:val="0"/>
              <w:rPr>
                <w:rFonts w:hint="eastAsia" w:ascii="Times New Roman" w:hAnsi="Times New Roman" w:eastAsia="宋体" w:cs="Courier New"/>
                <w:b w:val="0"/>
                <w:bCs w:val="0"/>
                <w:color w:val="auto"/>
                <w:sz w:val="21"/>
                <w:szCs w:val="21"/>
                <w:highlight w:val="none"/>
                <w:lang w:val="en-US" w:eastAsia="zh-CN"/>
              </w:rPr>
            </w:pPr>
          </w:p>
        </w:tc>
        <w:tc>
          <w:tcPr>
            <w:tcW w:w="1116" w:type="pct"/>
            <w:gridSpan w:val="2"/>
            <w:vAlign w:val="center"/>
          </w:tcPr>
          <w:p w14:paraId="0286B3E2">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2</w:t>
            </w:r>
          </w:p>
        </w:tc>
        <w:tc>
          <w:tcPr>
            <w:tcW w:w="1263" w:type="pct"/>
            <w:gridSpan w:val="2"/>
            <w:vAlign w:val="center"/>
          </w:tcPr>
          <w:p w14:paraId="1E25A5FB">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pH、</w:t>
            </w:r>
            <w:r>
              <w:rPr>
                <w:rFonts w:hint="eastAsia" w:ascii="Times New Roman" w:hAnsi="Times New Roman" w:eastAsia="宋体" w:cs="Courier New"/>
                <w:b w:val="0"/>
                <w:bCs w:val="0"/>
                <w:color w:val="auto"/>
                <w:sz w:val="21"/>
                <w:szCs w:val="21"/>
                <w:highlight w:val="none"/>
                <w:lang w:val="en-US" w:eastAsia="zh-CN"/>
              </w:rPr>
              <w:t>氟化物</w:t>
            </w:r>
            <w:r>
              <w:rPr>
                <w:rFonts w:hint="eastAsia" w:cs="Courier New"/>
                <w:b w:val="0"/>
                <w:bCs w:val="0"/>
                <w:color w:val="auto"/>
                <w:sz w:val="21"/>
                <w:szCs w:val="21"/>
                <w:highlight w:val="none"/>
                <w:lang w:val="en-US" w:eastAsia="zh-CN"/>
              </w:rPr>
              <w:t>、</w:t>
            </w:r>
            <w:r>
              <w:rPr>
                <w:rFonts w:hint="eastAsia" w:ascii="Times New Roman" w:hAnsi="Times New Roman" w:cs="Times New Roman"/>
                <w:color w:val="auto"/>
                <w:sz w:val="21"/>
                <w:szCs w:val="21"/>
              </w:rPr>
              <w:t>石油烃</w:t>
            </w:r>
            <w:r>
              <w:rPr>
                <w:rFonts w:ascii="Times New Roman" w:hAnsi="Times New Roman" w:cs="Times New Roman"/>
                <w:color w:val="auto"/>
                <w:sz w:val="21"/>
                <w:szCs w:val="21"/>
              </w:rPr>
              <w:t>（</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10</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40</w:t>
            </w:r>
            <w:r>
              <w:rPr>
                <w:rFonts w:ascii="Times New Roman" w:hAnsi="Times New Roman" w:cs="Times New Roman"/>
                <w:color w:val="auto"/>
                <w:sz w:val="21"/>
                <w:szCs w:val="21"/>
              </w:rPr>
              <w:t>）</w:t>
            </w:r>
          </w:p>
        </w:tc>
        <w:tc>
          <w:tcPr>
            <w:tcW w:w="1092" w:type="pct"/>
            <w:gridSpan w:val="2"/>
            <w:vAlign w:val="center"/>
          </w:tcPr>
          <w:p w14:paraId="248B8F1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深层土壤：</w:t>
            </w:r>
            <w:r>
              <w:rPr>
                <w:rFonts w:hint="eastAsia" w:ascii="Times New Roman" w:hAnsi="Times New Roman" w:eastAsia="宋体" w:cs="Courier New"/>
                <w:b w:val="0"/>
                <w:bCs w:val="0"/>
                <w:color w:val="auto"/>
                <w:sz w:val="21"/>
                <w:szCs w:val="21"/>
                <w:highlight w:val="none"/>
                <w:lang w:val="en-US" w:eastAsia="zh-CN"/>
              </w:rPr>
              <w:t>1次/3年</w:t>
            </w:r>
          </w:p>
          <w:p w14:paraId="63155DE3">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表层土壤：</w:t>
            </w:r>
            <w:r>
              <w:rPr>
                <w:rFonts w:hint="eastAsia" w:ascii="Times New Roman" w:hAnsi="Times New Roman" w:eastAsia="宋体" w:cs="Courier New"/>
                <w:b w:val="0"/>
                <w:bCs w:val="0"/>
                <w:color w:val="auto"/>
                <w:sz w:val="21"/>
                <w:szCs w:val="21"/>
                <w:highlight w:val="none"/>
                <w:lang w:val="en-US" w:eastAsia="zh-CN"/>
              </w:rPr>
              <w:t>1次/年</w:t>
            </w:r>
          </w:p>
        </w:tc>
        <w:tc>
          <w:tcPr>
            <w:tcW w:w="404" w:type="pct"/>
            <w:vAlign w:val="center"/>
          </w:tcPr>
          <w:p w14:paraId="5C9BAA98">
            <w:pPr>
              <w:pStyle w:val="24"/>
              <w:bidi w:val="0"/>
              <w:rPr>
                <w:rFonts w:hint="eastAsia" w:ascii="Times New Roman" w:hAnsi="Times New Roman" w:eastAsia="宋体" w:cs="Courier New"/>
                <w:b w:val="0"/>
                <w:bCs w:val="0"/>
                <w:color w:val="auto"/>
                <w:sz w:val="21"/>
                <w:szCs w:val="21"/>
                <w:highlight w:val="none"/>
                <w:lang w:val="en-US" w:eastAsia="zh-CN"/>
              </w:rPr>
            </w:pPr>
          </w:p>
        </w:tc>
      </w:tr>
      <w:tr w14:paraId="424D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23" w:type="pct"/>
            <w:vMerge w:val="continue"/>
            <w:shd w:val="clear" w:color="auto" w:fill="auto"/>
            <w:vAlign w:val="center"/>
          </w:tcPr>
          <w:p w14:paraId="29CFBC76">
            <w:pPr>
              <w:pStyle w:val="24"/>
              <w:bidi w:val="0"/>
              <w:rPr>
                <w:rFonts w:hint="eastAsia" w:ascii="Times New Roman" w:hAnsi="Times New Roman" w:eastAsia="宋体" w:cs="Courier New"/>
                <w:b w:val="0"/>
                <w:bCs w:val="0"/>
                <w:color w:val="auto"/>
                <w:sz w:val="21"/>
                <w:szCs w:val="21"/>
                <w:highlight w:val="none"/>
                <w:lang w:val="en-US" w:eastAsia="zh-CN"/>
              </w:rPr>
            </w:pPr>
          </w:p>
        </w:tc>
        <w:tc>
          <w:tcPr>
            <w:tcW w:w="900" w:type="pct"/>
            <w:shd w:val="clear" w:color="auto" w:fill="auto"/>
            <w:vAlign w:val="center"/>
          </w:tcPr>
          <w:p w14:paraId="7721CD59">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信息公开指标</w:t>
            </w:r>
          </w:p>
        </w:tc>
        <w:tc>
          <w:tcPr>
            <w:tcW w:w="3471" w:type="pct"/>
            <w:gridSpan w:val="6"/>
          </w:tcPr>
          <w:p w14:paraId="46BC82C9">
            <w:pPr>
              <w:pStyle w:val="24"/>
              <w:bidi w:val="0"/>
              <w:rPr>
                <w:rFonts w:hint="eastAsia" w:ascii="Times New Roman" w:hAnsi="Times New Roman" w:eastAsia="宋体" w:cs="Courier New"/>
                <w:b w:val="0"/>
                <w:bCs w:val="0"/>
                <w:color w:val="auto"/>
                <w:sz w:val="21"/>
                <w:szCs w:val="21"/>
                <w:highlight w:val="none"/>
                <w:lang w:val="en-US" w:eastAsia="zh-CN"/>
              </w:rPr>
            </w:pPr>
          </w:p>
        </w:tc>
        <w:tc>
          <w:tcPr>
            <w:tcW w:w="404" w:type="pct"/>
            <w:vAlign w:val="center"/>
          </w:tcPr>
          <w:p w14:paraId="696589BB">
            <w:pPr>
              <w:pStyle w:val="24"/>
              <w:bidi w:val="0"/>
              <w:rPr>
                <w:rFonts w:hint="eastAsia" w:ascii="Times New Roman" w:hAnsi="Times New Roman" w:eastAsia="宋体" w:cs="Courier New"/>
                <w:b w:val="0"/>
                <w:bCs w:val="0"/>
                <w:color w:val="auto"/>
                <w:sz w:val="21"/>
                <w:szCs w:val="21"/>
                <w:highlight w:val="none"/>
                <w:lang w:val="en-US" w:eastAsia="zh-CN"/>
              </w:rPr>
            </w:pPr>
          </w:p>
        </w:tc>
      </w:tr>
      <w:tr w14:paraId="0FF5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124" w:type="pct"/>
            <w:gridSpan w:val="2"/>
            <w:shd w:val="clear" w:color="auto" w:fill="auto"/>
            <w:vAlign w:val="center"/>
          </w:tcPr>
          <w:p w14:paraId="5B403212">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评价结论</w:t>
            </w:r>
          </w:p>
        </w:tc>
        <w:tc>
          <w:tcPr>
            <w:tcW w:w="3471" w:type="pct"/>
            <w:gridSpan w:val="6"/>
          </w:tcPr>
          <w:p w14:paraId="4B8E936B">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本项目正常工况下排放污染物对土壤环境影响较小，发生非正常状况后，土壤中污染物增量很小，预测值满足相应标准要求，建设单位在落实本环评提出的土壤环境保护措施、落实土壤环境跟踪监测要求，从土壤环境影响的角度，项目建设是可行的</w:t>
            </w:r>
          </w:p>
        </w:tc>
        <w:tc>
          <w:tcPr>
            <w:tcW w:w="404" w:type="pct"/>
            <w:vAlign w:val="center"/>
          </w:tcPr>
          <w:p w14:paraId="07A3AAF4">
            <w:pPr>
              <w:pStyle w:val="24"/>
              <w:bidi w:val="0"/>
              <w:rPr>
                <w:rFonts w:hint="eastAsia" w:ascii="Times New Roman" w:hAnsi="Times New Roman" w:eastAsia="宋体" w:cs="Courier New"/>
                <w:b w:val="0"/>
                <w:bCs w:val="0"/>
                <w:color w:val="auto"/>
                <w:sz w:val="21"/>
                <w:szCs w:val="21"/>
                <w:highlight w:val="none"/>
                <w:lang w:val="en-US" w:eastAsia="zh-CN"/>
              </w:rPr>
            </w:pPr>
          </w:p>
        </w:tc>
      </w:tr>
      <w:tr w14:paraId="0CD5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00" w:type="pct"/>
            <w:gridSpan w:val="9"/>
            <w:shd w:val="clear" w:color="auto" w:fill="auto"/>
            <w:vAlign w:val="center"/>
          </w:tcPr>
          <w:p w14:paraId="45361DB6">
            <w:pPr>
              <w:pStyle w:val="24"/>
              <w:bidi w:val="0"/>
              <w:jc w:val="both"/>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注1：“□”为勾选项，可√；“（ ）”为内容填写项；“备注”为其他补充内容。</w:t>
            </w:r>
          </w:p>
          <w:p w14:paraId="38FB9633">
            <w:pPr>
              <w:pStyle w:val="24"/>
              <w:bidi w:val="0"/>
              <w:jc w:val="both"/>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注2：需要分别开展土壤环境影响评级工作的，分别填写自查表。</w:t>
            </w:r>
          </w:p>
        </w:tc>
      </w:tr>
    </w:tbl>
    <w:p w14:paraId="7C1BF3A8">
      <w:pPr>
        <w:pStyle w:val="2"/>
        <w:numPr>
          <w:ilvl w:val="0"/>
          <w:numId w:val="0"/>
        </w:numPr>
        <w:bidi w:val="0"/>
        <w:ind w:leftChars="0"/>
        <w:rPr>
          <w:rFonts w:hint="default" w:ascii="Times New Roman" w:hAnsi="Times New Roman" w:cs="Times New Roman"/>
          <w:color w:val="auto"/>
          <w:highlight w:val="none"/>
        </w:rPr>
        <w:sectPr>
          <w:footerReference r:id="rId11" w:type="default"/>
          <w:pgSz w:w="11906" w:h="16838"/>
          <w:pgMar w:top="1474" w:right="1247" w:bottom="1304" w:left="1361" w:header="851" w:footer="992" w:gutter="0"/>
          <w:cols w:space="0" w:num="1"/>
          <w:rtlGutter w:val="0"/>
          <w:docGrid w:type="lines" w:linePitch="343" w:charSpace="0"/>
        </w:sectPr>
      </w:pPr>
    </w:p>
    <w:p w14:paraId="55A39BB7">
      <w:pPr>
        <w:pStyle w:val="2"/>
        <w:bidi w:val="0"/>
        <w:rPr>
          <w:rFonts w:hint="default" w:ascii="Times New Roman" w:hAnsi="Times New Roman" w:cs="Times New Roman"/>
          <w:color w:val="auto"/>
          <w:highlight w:val="none"/>
        </w:rPr>
      </w:pPr>
      <w:bookmarkStart w:id="165" w:name="_Toc10359"/>
      <w:r>
        <w:rPr>
          <w:rFonts w:hint="default" w:ascii="Times New Roman" w:hAnsi="Times New Roman" w:cs="Times New Roman"/>
          <w:color w:val="auto"/>
          <w:highlight w:val="none"/>
          <w:lang w:val="en-US" w:eastAsia="zh-CN"/>
        </w:rPr>
        <w:t>环境风险评价</w:t>
      </w:r>
      <w:bookmarkEnd w:id="165"/>
    </w:p>
    <w:p w14:paraId="12CE91C7">
      <w:pPr>
        <w:pStyle w:val="3"/>
        <w:bidi w:val="0"/>
        <w:rPr>
          <w:rFonts w:hint="default" w:ascii="Times New Roman" w:hAnsi="Times New Roman" w:cs="Times New Roman"/>
          <w:color w:val="auto"/>
          <w:highlight w:val="none"/>
        </w:rPr>
      </w:pPr>
      <w:bookmarkStart w:id="166" w:name="_Toc20803"/>
      <w:bookmarkStart w:id="167" w:name="_Toc7529"/>
      <w:r>
        <w:rPr>
          <w:rFonts w:hint="default" w:ascii="Times New Roman" w:hAnsi="Times New Roman" w:cs="Times New Roman"/>
          <w:color w:val="auto"/>
          <w:highlight w:val="none"/>
        </w:rPr>
        <w:t>环境风险评价目的</w:t>
      </w:r>
      <w:r>
        <w:rPr>
          <w:rFonts w:hint="default" w:ascii="Times New Roman" w:hAnsi="Times New Roman" w:cs="Times New Roman"/>
          <w:color w:val="auto"/>
          <w:highlight w:val="none"/>
          <w:lang w:val="en-US" w:eastAsia="zh-CN"/>
        </w:rPr>
        <w:t>和原则</w:t>
      </w:r>
      <w:bookmarkEnd w:id="166"/>
      <w:bookmarkEnd w:id="167"/>
    </w:p>
    <w:p w14:paraId="57F15EB0">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评价目的</w:t>
      </w:r>
    </w:p>
    <w:p w14:paraId="3C24B219">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风险评价的目的是分析和预测建设项目存在的潜在危险、有害因素，建设项目建设和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环境风险评价关注点是事故对厂界外环境的影响。</w:t>
      </w:r>
    </w:p>
    <w:p w14:paraId="7CC23A5B">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评价原则</w:t>
      </w:r>
    </w:p>
    <w:p w14:paraId="06B1EC75">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按照《建设项目环境风险评价技术导则》（HJ169-2018）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1875397A">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评价工作流程</w:t>
      </w:r>
    </w:p>
    <w:p w14:paraId="35D7E260">
      <w:pPr>
        <w:pStyle w:val="26"/>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环境风险评价工作流程见下图</w:t>
      </w:r>
      <w:r>
        <w:rPr>
          <w:rFonts w:hint="default" w:ascii="Times New Roman" w:hAnsi="Times New Roman" w:cs="Times New Roman"/>
          <w:color w:val="auto"/>
          <w:highlight w:val="none"/>
          <w:lang w:eastAsia="zh-CN"/>
        </w:rPr>
        <w:t>。</w:t>
      </w:r>
    </w:p>
    <w:p w14:paraId="3F59649C">
      <w:pPr>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73625" cy="5060950"/>
            <wp:effectExtent l="0" t="0" r="3175" b="6350"/>
            <wp:docPr id="10"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6"/>
                    <pic:cNvPicPr>
                      <a:picLocks noChangeAspect="1"/>
                    </pic:cNvPicPr>
                  </pic:nvPicPr>
                  <pic:blipFill>
                    <a:blip r:embed="rId174"/>
                    <a:stretch>
                      <a:fillRect/>
                    </a:stretch>
                  </pic:blipFill>
                  <pic:spPr>
                    <a:xfrm>
                      <a:off x="0" y="0"/>
                      <a:ext cx="4873625" cy="5060950"/>
                    </a:xfrm>
                    <a:prstGeom prst="rect">
                      <a:avLst/>
                    </a:prstGeom>
                    <a:noFill/>
                    <a:ln>
                      <a:noFill/>
                    </a:ln>
                  </pic:spPr>
                </pic:pic>
              </a:graphicData>
            </a:graphic>
          </wp:inline>
        </w:drawing>
      </w:r>
    </w:p>
    <w:p w14:paraId="3199BE15">
      <w:pPr>
        <w:pStyle w:val="28"/>
        <w:numPr>
          <w:ilvl w:val="0"/>
          <w:numId w:val="28"/>
        </w:numPr>
        <w:bidi w:val="0"/>
        <w:ind w:left="425" w:leftChars="0" w:hanging="425" w:firstLineChars="0"/>
        <w:rPr>
          <w:rFonts w:hint="default" w:ascii="Times New Roman" w:hAnsi="Times New Roman" w:eastAsia="黑体" w:cs="Times New Roman"/>
          <w:color w:val="auto"/>
          <w:highlight w:val="none"/>
          <w:lang w:val="en-US" w:eastAsia="zh-CN"/>
        </w:rPr>
      </w:pPr>
      <w:r>
        <w:rPr>
          <w:rFonts w:hint="default" w:ascii="Times New Roman" w:hAnsi="Times New Roman" w:cs="Times New Roman"/>
          <w:color w:val="auto"/>
          <w:highlight w:val="none"/>
          <w:lang w:val="en-US" w:eastAsia="zh-CN"/>
        </w:rPr>
        <w:t>环境风险评价工作程序</w:t>
      </w:r>
    </w:p>
    <w:p w14:paraId="137D6E6F">
      <w:pPr>
        <w:pStyle w:val="3"/>
        <w:bidi w:val="0"/>
        <w:rPr>
          <w:rFonts w:hint="default" w:ascii="Times New Roman" w:hAnsi="Times New Roman" w:cs="Times New Roman"/>
          <w:color w:val="auto"/>
          <w:highlight w:val="none"/>
        </w:rPr>
      </w:pPr>
      <w:bookmarkStart w:id="168" w:name="_Toc9228"/>
      <w:bookmarkStart w:id="169" w:name="_Toc16877"/>
      <w:r>
        <w:rPr>
          <w:rFonts w:hint="default" w:ascii="Times New Roman" w:hAnsi="Times New Roman" w:cs="Times New Roman"/>
          <w:color w:val="auto"/>
          <w:highlight w:val="none"/>
          <w:lang w:val="en-US" w:eastAsia="zh-CN"/>
        </w:rPr>
        <w:t>环境风险调查</w:t>
      </w:r>
      <w:bookmarkEnd w:id="168"/>
      <w:bookmarkEnd w:id="169"/>
    </w:p>
    <w:p w14:paraId="0F505BD4">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项目风险源调查</w:t>
      </w:r>
    </w:p>
    <w:p w14:paraId="2B7BD7EC">
      <w:pPr>
        <w:pStyle w:val="26"/>
        <w:bidi w:val="0"/>
        <w:rPr>
          <w:rFonts w:hint="default" w:ascii="Times New Roman" w:hAnsi="Times New Roman" w:eastAsia="宋体" w:cs="Times New Roman"/>
          <w:color w:val="auto"/>
          <w:sz w:val="24"/>
          <w:szCs w:val="24"/>
          <w:highlight w:val="none"/>
        </w:rPr>
      </w:pPr>
      <w:r>
        <w:rPr>
          <w:rFonts w:hint="eastAsia" w:cs="Times New Roman"/>
          <w:color w:val="auto"/>
          <w:kern w:val="2"/>
          <w:sz w:val="24"/>
          <w:szCs w:val="24"/>
          <w:lang w:val="en-US" w:eastAsia="zh-CN" w:bidi="ar-SA"/>
        </w:rPr>
        <w:t>本项目</w:t>
      </w:r>
      <w:r>
        <w:rPr>
          <w:rFonts w:hint="eastAsia"/>
          <w:bCs/>
          <w:color w:val="auto"/>
          <w:kern w:val="0"/>
          <w:sz w:val="24"/>
          <w:lang w:val="en-US" w:eastAsia="zh-CN"/>
        </w:rPr>
        <w:t>为</w:t>
      </w:r>
      <w:r>
        <w:rPr>
          <w:rFonts w:hint="eastAsia"/>
          <w:color w:val="auto"/>
          <w:lang w:val="en-US" w:eastAsia="zh-CN"/>
        </w:rPr>
        <w:t>混凝土添加剂生产，属于</w:t>
      </w:r>
      <w:r>
        <w:rPr>
          <w:rFonts w:hint="eastAsia"/>
          <w:bCs/>
          <w:color w:val="auto"/>
          <w:kern w:val="0"/>
          <w:sz w:val="24"/>
          <w:lang w:val="en-US" w:eastAsia="zh-CN"/>
        </w:rPr>
        <w:t>《国民经济行业分类》（GB/T4754-2017）中“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w:t>
      </w:r>
      <w:r>
        <w:rPr>
          <w:rFonts w:hint="default" w:ascii="Times New Roman" w:hAnsi="Times New Roman" w:eastAsia="宋体" w:cs="Times New Roman"/>
          <w:color w:val="auto"/>
          <w:sz w:val="24"/>
          <w:szCs w:val="24"/>
          <w:highlight w:val="none"/>
        </w:rPr>
        <w:t>基于项目本身的特点，项目</w:t>
      </w:r>
      <w:r>
        <w:rPr>
          <w:rFonts w:hint="default" w:ascii="Times New Roman" w:hAnsi="Times New Roman"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rPr>
        <w:t>过程中所使用的</w:t>
      </w:r>
      <w:r>
        <w:rPr>
          <w:rFonts w:hint="default" w:ascii="Times New Roman" w:hAnsi="Times New Roman" w:cs="Times New Roman"/>
          <w:color w:val="auto"/>
          <w:sz w:val="24"/>
          <w:szCs w:val="24"/>
          <w:highlight w:val="none"/>
          <w:lang w:val="en-US" w:eastAsia="zh-CN"/>
        </w:rPr>
        <w:t>原辅材料</w:t>
      </w:r>
      <w:r>
        <w:rPr>
          <w:rFonts w:hint="default" w:ascii="Times New Roman" w:hAnsi="Times New Roman" w:eastAsia="宋体" w:cs="Times New Roman"/>
          <w:color w:val="auto"/>
          <w:sz w:val="24"/>
          <w:szCs w:val="24"/>
          <w:highlight w:val="none"/>
        </w:rPr>
        <w:t>在储存、使用、运输等过程中，均可通过大气、水、土壤等多种途径进入环境，在转移或积累过程中对生态环境和人体健康具有潜在的危害，且存在</w:t>
      </w:r>
      <w:r>
        <w:rPr>
          <w:rFonts w:hint="default" w:ascii="Times New Roman" w:hAnsi="Times New Roman" w:cs="Times New Roman"/>
          <w:color w:val="auto"/>
          <w:sz w:val="24"/>
          <w:szCs w:val="24"/>
          <w:highlight w:val="none"/>
          <w:lang w:val="en-US" w:eastAsia="zh-CN"/>
        </w:rPr>
        <w:t>泄漏、火灾和</w:t>
      </w:r>
      <w:r>
        <w:rPr>
          <w:rFonts w:hint="default" w:ascii="Times New Roman" w:hAnsi="Times New Roman" w:eastAsia="宋体" w:cs="Times New Roman"/>
          <w:color w:val="auto"/>
          <w:sz w:val="24"/>
          <w:szCs w:val="24"/>
          <w:highlight w:val="none"/>
        </w:rPr>
        <w:t>爆炸风险。此外，项目废水和废气事故排放、防渗系统损坏等情况下也会产生环境风险。因此，本项目具有潜在的事故隐患和环境风险。</w:t>
      </w:r>
    </w:p>
    <w:p w14:paraId="267345D5">
      <w:pPr>
        <w:pStyle w:val="26"/>
        <w:bidi w:val="0"/>
        <w:rPr>
          <w:rFonts w:hint="default" w:ascii="Times New Roman" w:hAnsi="Times New Roman" w:eastAsia="宋体" w:cs="Times New Roman"/>
          <w:color w:val="auto"/>
          <w:sz w:val="24"/>
          <w:szCs w:val="24"/>
          <w:highlight w:val="none"/>
        </w:rPr>
      </w:pPr>
      <w:r>
        <w:rPr>
          <w:rFonts w:hint="eastAsia"/>
          <w:color w:val="auto"/>
          <w:highlight w:val="none"/>
          <w:lang w:val="en-US" w:eastAsia="zh-CN"/>
        </w:rPr>
        <w:t>本项目正在开展安全评价，已编制完成《四川诚正建科新材料有限公司聚羧酸减水剂与无碱速凝剂生产项目安全预评价报告（送审件）》</w:t>
      </w:r>
      <w:r>
        <w:rPr>
          <w:rFonts w:hint="eastAsia" w:cs="Times New Roman"/>
          <w:color w:val="auto"/>
          <w:highlight w:val="none"/>
          <w:lang w:eastAsia="zh-CN"/>
        </w:rPr>
        <w:t>。</w:t>
      </w:r>
    </w:p>
    <w:p w14:paraId="33D3115A">
      <w:pPr>
        <w:pStyle w:val="26"/>
        <w:bidi w:val="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rPr>
        <w:t>根据《建设项目环境风险评价技术导则》</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HJ169-2018</w:t>
      </w:r>
      <w:r>
        <w:rPr>
          <w:rFonts w:hint="default" w:ascii="Times New Roman" w:hAnsi="Times New Roman" w:cs="Times New Roman"/>
          <w:color w:val="auto"/>
          <w:lang w:eastAsia="zh-CN"/>
        </w:rPr>
        <w:t>）</w:t>
      </w:r>
      <w:r>
        <w:rPr>
          <w:rFonts w:hint="default" w:ascii="Times New Roman" w:hAnsi="Times New Roman" w:eastAsia="宋体" w:cs="Times New Roman"/>
          <w:color w:val="auto"/>
          <w:sz w:val="24"/>
          <w:szCs w:val="24"/>
          <w:highlight w:val="none"/>
        </w:rPr>
        <w:t>对</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涉及</w:t>
      </w:r>
      <w:r>
        <w:rPr>
          <w:rFonts w:hint="default" w:ascii="Times New Roman" w:hAnsi="Times New Roman" w:eastAsia="宋体" w:cs="Times New Roman"/>
          <w:color w:val="auto"/>
          <w:sz w:val="24"/>
          <w:szCs w:val="24"/>
          <w:highlight w:val="none"/>
          <w:lang w:eastAsia="zh-CN"/>
        </w:rPr>
        <w:t>的</w:t>
      </w:r>
      <w:r>
        <w:rPr>
          <w:rFonts w:hint="default" w:ascii="Times New Roman" w:hAnsi="Times New Roman" w:eastAsia="宋体" w:cs="Times New Roman"/>
          <w:color w:val="auto"/>
          <w:sz w:val="24"/>
          <w:szCs w:val="24"/>
          <w:highlight w:val="none"/>
        </w:rPr>
        <w:t>化学品的贮存</w:t>
      </w:r>
      <w:r>
        <w:rPr>
          <w:rFonts w:hint="default" w:ascii="Times New Roman" w:hAnsi="Times New Roman" w:eastAsia="宋体" w:cs="Times New Roman"/>
          <w:color w:val="auto"/>
          <w:sz w:val="24"/>
          <w:szCs w:val="24"/>
          <w:highlight w:val="none"/>
          <w:lang w:eastAsia="zh-CN"/>
        </w:rPr>
        <w:t>情况</w:t>
      </w:r>
      <w:r>
        <w:rPr>
          <w:rFonts w:hint="default" w:ascii="Times New Roman" w:hAnsi="Times New Roman" w:eastAsia="宋体" w:cs="Times New Roman"/>
          <w:color w:val="auto"/>
          <w:sz w:val="24"/>
          <w:szCs w:val="24"/>
          <w:highlight w:val="none"/>
        </w:rPr>
        <w:t>进行</w:t>
      </w:r>
      <w:r>
        <w:rPr>
          <w:rFonts w:hint="default" w:ascii="Times New Roman" w:hAnsi="Times New Roman" w:eastAsia="宋体" w:cs="Times New Roman"/>
          <w:color w:val="auto"/>
          <w:sz w:val="24"/>
          <w:szCs w:val="24"/>
          <w:highlight w:val="none"/>
          <w:lang w:eastAsia="zh-CN"/>
        </w:rPr>
        <w:t>辨识，</w:t>
      </w:r>
      <w:r>
        <w:rPr>
          <w:rFonts w:hint="default" w:ascii="Times New Roman" w:hAnsi="Times New Roman" w:eastAsia="宋体" w:cs="Times New Roman"/>
          <w:color w:val="auto"/>
          <w:sz w:val="24"/>
          <w:szCs w:val="24"/>
          <w:highlight w:val="none"/>
        </w:rPr>
        <w:t>本项目涉及</w:t>
      </w:r>
      <w:r>
        <w:rPr>
          <w:rFonts w:hint="default" w:ascii="Times New Roman" w:hAnsi="Times New Roman" w:eastAsia="宋体" w:cs="Times New Roman"/>
          <w:color w:val="auto"/>
          <w:sz w:val="24"/>
          <w:szCs w:val="24"/>
          <w:highlight w:val="none"/>
          <w:lang w:eastAsia="zh-CN"/>
        </w:rPr>
        <w:t>的</w:t>
      </w:r>
      <w:r>
        <w:rPr>
          <w:rFonts w:hint="default" w:ascii="Times New Roman" w:hAnsi="Times New Roman" w:eastAsia="宋体" w:cs="Times New Roman"/>
          <w:color w:val="auto"/>
          <w:sz w:val="24"/>
          <w:szCs w:val="24"/>
          <w:highlight w:val="none"/>
          <w:lang w:val="en-US" w:eastAsia="zh-CN"/>
        </w:rPr>
        <w:t>主要风险物质物料储存</w:t>
      </w:r>
      <w:r>
        <w:rPr>
          <w:rFonts w:hint="default" w:ascii="Times New Roman" w:hAnsi="Times New Roman" w:eastAsia="宋体" w:cs="Times New Roman"/>
          <w:color w:val="auto"/>
          <w:sz w:val="24"/>
          <w:szCs w:val="24"/>
          <w:highlight w:val="none"/>
        </w:rPr>
        <w:t>情况见下表</w:t>
      </w:r>
      <w:r>
        <w:rPr>
          <w:rFonts w:hint="default" w:ascii="Times New Roman" w:hAnsi="Times New Roman" w:eastAsia="宋体" w:cs="Times New Roman"/>
          <w:color w:val="auto"/>
          <w:sz w:val="24"/>
          <w:szCs w:val="24"/>
          <w:highlight w:val="none"/>
          <w:lang w:eastAsia="zh-CN"/>
        </w:rPr>
        <w:t>。</w:t>
      </w:r>
    </w:p>
    <w:p w14:paraId="4400F3D9">
      <w:pPr>
        <w:pStyle w:val="26"/>
        <w:bidi w:val="0"/>
        <w:rPr>
          <w:rFonts w:hint="default"/>
          <w:color w:val="auto"/>
          <w:highlight w:val="none"/>
          <w:lang w:val="en-US" w:eastAsia="zh-CN"/>
        </w:rPr>
      </w:pPr>
      <w:r>
        <w:rPr>
          <w:rFonts w:hint="eastAsia"/>
          <w:color w:val="auto"/>
          <w:highlight w:val="none"/>
          <w:lang w:val="en-US" w:eastAsia="zh-CN"/>
        </w:rPr>
        <w:t>略。</w:t>
      </w:r>
    </w:p>
    <w:p w14:paraId="1379751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环境敏感目标</w:t>
      </w:r>
    </w:p>
    <w:p w14:paraId="32C20650">
      <w:pPr>
        <w:pStyle w:val="26"/>
        <w:bidi w:val="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根据调查，</w:t>
      </w:r>
      <w:r>
        <w:rPr>
          <w:rFonts w:hint="default" w:ascii="Times New Roman" w:hAnsi="Times New Roman"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评价范围内主要的环境敏感目标分布情况见下表</w:t>
      </w:r>
      <w:r>
        <w:rPr>
          <w:rFonts w:hint="default" w:ascii="Times New Roman" w:hAnsi="Times New Roman" w:eastAsia="宋体" w:cs="Times New Roman"/>
          <w:color w:val="auto"/>
          <w:sz w:val="24"/>
          <w:szCs w:val="24"/>
          <w:highlight w:val="none"/>
          <w:lang w:eastAsia="zh-CN"/>
        </w:rPr>
        <w:t>。</w:t>
      </w:r>
    </w:p>
    <w:p w14:paraId="70E2ECE6">
      <w:pPr>
        <w:pStyle w:val="28"/>
        <w:numPr>
          <w:ilvl w:val="0"/>
          <w:numId w:val="29"/>
        </w:numPr>
        <w:bidi w:val="0"/>
        <w:ind w:left="425" w:leftChars="0" w:hanging="425"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w:t>
      </w:r>
      <w:r>
        <w:rPr>
          <w:rFonts w:hint="eastAsia" w:ascii="Times New Roman" w:hAnsi="Times New Roman" w:cs="Times New Roman"/>
          <w:color w:val="auto"/>
          <w:highlight w:val="none"/>
          <w:lang w:val="en-US" w:eastAsia="zh-CN"/>
        </w:rPr>
        <w:t>环境敏感特征</w:t>
      </w:r>
      <w:r>
        <w:rPr>
          <w:rFonts w:hint="default" w:ascii="Times New Roman" w:hAnsi="Times New Roman" w:cs="Times New Roman"/>
          <w:color w:val="auto"/>
          <w:highlight w:val="none"/>
          <w:lang w:val="en-US" w:eastAsia="zh-CN"/>
        </w:rPr>
        <w:t>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061"/>
        <w:gridCol w:w="1788"/>
        <w:gridCol w:w="431"/>
        <w:gridCol w:w="1405"/>
        <w:gridCol w:w="1230"/>
        <w:gridCol w:w="86"/>
        <w:gridCol w:w="1308"/>
        <w:gridCol w:w="1477"/>
      </w:tblGrid>
      <w:tr w14:paraId="2B10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0"/>
            <w:vAlign w:val="center"/>
          </w:tcPr>
          <w:p w14:paraId="3B6CF539">
            <w:pPr>
              <w:pStyle w:val="24"/>
              <w:bidi w:val="0"/>
              <w:jc w:val="center"/>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类别</w:t>
            </w:r>
          </w:p>
        </w:tc>
        <w:tc>
          <w:tcPr>
            <w:tcW w:w="4621" w:type="pct"/>
            <w:gridSpan w:val="8"/>
            <w:noWrap w:val="0"/>
            <w:vAlign w:val="center"/>
          </w:tcPr>
          <w:p w14:paraId="12927CBE">
            <w:pPr>
              <w:pStyle w:val="24"/>
              <w:bidi w:val="0"/>
              <w:jc w:val="center"/>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环境敏感特征</w:t>
            </w:r>
          </w:p>
        </w:tc>
      </w:tr>
      <w:tr w14:paraId="3865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8" w:type="pct"/>
            <w:vMerge w:val="restart"/>
            <w:noWrap w:val="0"/>
            <w:vAlign w:val="center"/>
          </w:tcPr>
          <w:p w14:paraId="486D23F9">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环境空气</w:t>
            </w:r>
          </w:p>
        </w:tc>
        <w:tc>
          <w:tcPr>
            <w:tcW w:w="4621" w:type="pct"/>
            <w:gridSpan w:val="8"/>
            <w:noWrap w:val="0"/>
            <w:vAlign w:val="center"/>
          </w:tcPr>
          <w:p w14:paraId="559C2BD8">
            <w:pPr>
              <w:pStyle w:val="24"/>
              <w:ind w:left="0" w:leftChars="0"/>
              <w:rPr>
                <w:rFonts w:hint="default" w:ascii="Times New Roman" w:hAnsi="Times New Roman" w:cs="Times New Roman"/>
                <w:b/>
                <w:bCs/>
                <w:color w:val="auto"/>
                <w:highlight w:val="none"/>
                <w:lang w:val="en-US" w:eastAsia="zh-CN"/>
              </w:rPr>
            </w:pPr>
            <w:r>
              <w:rPr>
                <w:rFonts w:hint="eastAsia" w:cs="Times New Roman"/>
                <w:b w:val="0"/>
                <w:bCs w:val="0"/>
                <w:color w:val="auto"/>
                <w:highlight w:val="none"/>
                <w:lang w:val="en-US" w:eastAsia="zh-CN"/>
              </w:rPr>
              <w:t>厂址周边5km范围内</w:t>
            </w:r>
          </w:p>
        </w:tc>
      </w:tr>
      <w:tr w14:paraId="29EB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8" w:type="pct"/>
            <w:vMerge w:val="continue"/>
            <w:noWrap w:val="0"/>
            <w:vAlign w:val="center"/>
          </w:tcPr>
          <w:p w14:paraId="4F88CFFB">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79CAC6D8">
            <w:pPr>
              <w:pStyle w:val="24"/>
              <w:ind w:left="0" w:leftChars="0"/>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cs="Times New Roman"/>
                <w:b/>
                <w:bCs/>
                <w:color w:val="auto"/>
                <w:sz w:val="21"/>
                <w:szCs w:val="21"/>
                <w:lang w:val="en-US" w:eastAsia="zh-CN"/>
              </w:rPr>
              <w:t>序号</w:t>
            </w:r>
          </w:p>
        </w:tc>
        <w:tc>
          <w:tcPr>
            <w:tcW w:w="1168" w:type="pct"/>
            <w:gridSpan w:val="2"/>
            <w:shd w:val="clear" w:color="auto" w:fill="auto"/>
            <w:noWrap w:val="0"/>
            <w:vAlign w:val="center"/>
          </w:tcPr>
          <w:p w14:paraId="3BC928A8">
            <w:pPr>
              <w:pStyle w:val="24"/>
              <w:ind w:left="0" w:leftChars="0"/>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cs="Times New Roman"/>
                <w:b/>
                <w:bCs/>
                <w:color w:val="auto"/>
                <w:highlight w:val="none"/>
                <w:lang w:val="en-US" w:eastAsia="zh-CN"/>
              </w:rPr>
              <w:t>敏感目标名称</w:t>
            </w:r>
          </w:p>
        </w:tc>
        <w:tc>
          <w:tcPr>
            <w:tcW w:w="739" w:type="pct"/>
            <w:shd w:val="clear" w:color="auto" w:fill="auto"/>
            <w:noWrap w:val="0"/>
            <w:vAlign w:val="center"/>
          </w:tcPr>
          <w:p w14:paraId="73EAC5BE">
            <w:pPr>
              <w:pStyle w:val="24"/>
              <w:ind w:left="0" w:leftChars="0"/>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cs="Times New Roman"/>
                <w:b/>
                <w:bCs/>
                <w:color w:val="auto"/>
                <w:highlight w:val="none"/>
                <w:lang w:val="en-US" w:eastAsia="zh-CN"/>
              </w:rPr>
              <w:t>相对方位</w:t>
            </w:r>
          </w:p>
        </w:tc>
        <w:tc>
          <w:tcPr>
            <w:tcW w:w="692" w:type="pct"/>
            <w:gridSpan w:val="2"/>
            <w:shd w:val="clear" w:color="auto" w:fill="auto"/>
            <w:noWrap w:val="0"/>
            <w:vAlign w:val="center"/>
          </w:tcPr>
          <w:p w14:paraId="72E51FF0">
            <w:pPr>
              <w:pStyle w:val="24"/>
              <w:ind w:left="0" w:leftChars="0"/>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cs="Times New Roman"/>
                <w:b/>
                <w:bCs/>
                <w:color w:val="auto"/>
                <w:highlight w:val="none"/>
                <w:lang w:val="en-US" w:eastAsia="zh-CN"/>
              </w:rPr>
              <w:t>距离</w:t>
            </w:r>
          </w:p>
        </w:tc>
        <w:tc>
          <w:tcPr>
            <w:tcW w:w="686" w:type="pct"/>
            <w:shd w:val="clear" w:color="auto" w:fill="auto"/>
            <w:noWrap w:val="0"/>
            <w:vAlign w:val="center"/>
          </w:tcPr>
          <w:p w14:paraId="4301B907">
            <w:pPr>
              <w:pStyle w:val="24"/>
              <w:ind w:left="0" w:leftChars="0"/>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cs="Times New Roman"/>
                <w:b/>
                <w:bCs/>
                <w:color w:val="auto"/>
                <w:highlight w:val="none"/>
                <w:lang w:val="en-US" w:eastAsia="zh-CN"/>
              </w:rPr>
              <w:t>属性</w:t>
            </w:r>
          </w:p>
        </w:tc>
        <w:tc>
          <w:tcPr>
            <w:tcW w:w="776" w:type="pct"/>
            <w:shd w:val="clear" w:color="auto" w:fill="auto"/>
            <w:noWrap w:val="0"/>
            <w:vAlign w:val="center"/>
          </w:tcPr>
          <w:p w14:paraId="37D93E9A">
            <w:pPr>
              <w:pStyle w:val="24"/>
              <w:ind w:left="0" w:leftChars="0"/>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cs="Times New Roman"/>
                <w:b/>
                <w:bCs/>
                <w:color w:val="auto"/>
                <w:highlight w:val="none"/>
                <w:lang w:val="en-US" w:eastAsia="zh-CN"/>
              </w:rPr>
              <w:t>人口数</w:t>
            </w:r>
          </w:p>
        </w:tc>
      </w:tr>
      <w:tr w14:paraId="051F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8" w:type="pct"/>
            <w:vMerge w:val="continue"/>
            <w:noWrap w:val="0"/>
            <w:vAlign w:val="center"/>
          </w:tcPr>
          <w:p w14:paraId="0C0397F5">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5258E5D">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p>
        </w:tc>
        <w:tc>
          <w:tcPr>
            <w:tcW w:w="1168" w:type="pct"/>
            <w:gridSpan w:val="2"/>
            <w:shd w:val="clear" w:color="auto" w:fill="auto"/>
            <w:noWrap w:val="0"/>
            <w:vAlign w:val="center"/>
          </w:tcPr>
          <w:p w14:paraId="60F3BFDF">
            <w:pPr>
              <w:pStyle w:val="24"/>
              <w:ind w:left="0" w:leftChars="0"/>
              <w:rPr>
                <w:rFonts w:hint="default"/>
                <w:color w:val="auto"/>
                <w:sz w:val="21"/>
                <w:szCs w:val="21"/>
                <w:lang w:val="en-US" w:eastAsia="zh-CN"/>
              </w:rPr>
            </w:pPr>
            <w:r>
              <w:rPr>
                <w:rFonts w:hint="eastAsia" w:ascii="Times New Roman" w:hAnsi="Times New Roman" w:eastAsia="宋体" w:cs="Times New Roman"/>
                <w:b w:val="0"/>
                <w:bCs w:val="0"/>
                <w:color w:val="auto"/>
                <w:kern w:val="2"/>
                <w:sz w:val="21"/>
                <w:szCs w:val="21"/>
                <w:highlight w:val="none"/>
                <w:lang w:val="en-US" w:eastAsia="zh-CN" w:bidi="ar"/>
              </w:rPr>
              <w:t>东北侧</w:t>
            </w:r>
            <w:r>
              <w:rPr>
                <w:rFonts w:hint="eastAsia"/>
                <w:color w:val="auto"/>
                <w:sz w:val="21"/>
                <w:szCs w:val="21"/>
                <w:lang w:val="en-US" w:eastAsia="zh-CN"/>
              </w:rPr>
              <w:t>散户</w:t>
            </w:r>
          </w:p>
        </w:tc>
        <w:tc>
          <w:tcPr>
            <w:tcW w:w="739" w:type="pct"/>
            <w:shd w:val="clear" w:color="auto" w:fill="auto"/>
            <w:noWrap w:val="0"/>
            <w:vAlign w:val="center"/>
          </w:tcPr>
          <w:p w14:paraId="01B953F0">
            <w:pPr>
              <w:pStyle w:val="24"/>
              <w:ind w:left="0" w:leftChars="0"/>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3DBED567">
            <w:pPr>
              <w:pStyle w:val="24"/>
              <w:ind w:left="0" w:leftChars="0"/>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66m</w:t>
            </w:r>
          </w:p>
        </w:tc>
        <w:tc>
          <w:tcPr>
            <w:tcW w:w="686" w:type="pct"/>
            <w:noWrap w:val="0"/>
            <w:vAlign w:val="center"/>
          </w:tcPr>
          <w:p w14:paraId="5020B37B">
            <w:pPr>
              <w:pStyle w:val="24"/>
              <w:ind w:left="0" w:leftChars="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居住</w:t>
            </w:r>
          </w:p>
        </w:tc>
        <w:tc>
          <w:tcPr>
            <w:tcW w:w="776" w:type="pct"/>
            <w:shd w:val="clear" w:color="auto" w:fill="auto"/>
            <w:noWrap w:val="0"/>
            <w:vAlign w:val="center"/>
          </w:tcPr>
          <w:p w14:paraId="6DF470F1">
            <w:pPr>
              <w:pStyle w:val="24"/>
              <w:ind w:left="0" w:leftChars="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约60人</w:t>
            </w:r>
          </w:p>
        </w:tc>
      </w:tr>
      <w:tr w14:paraId="7BD7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8" w:type="pct"/>
            <w:vMerge w:val="continue"/>
            <w:noWrap w:val="0"/>
            <w:vAlign w:val="center"/>
          </w:tcPr>
          <w:p w14:paraId="2C8FA4B3">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9795F4E">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w:t>
            </w:r>
          </w:p>
        </w:tc>
        <w:tc>
          <w:tcPr>
            <w:tcW w:w="1168" w:type="pct"/>
            <w:gridSpan w:val="2"/>
            <w:shd w:val="clear" w:color="auto" w:fill="auto"/>
            <w:noWrap w:val="0"/>
            <w:vAlign w:val="center"/>
          </w:tcPr>
          <w:p w14:paraId="1ED2D5C1">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金堂村</w:t>
            </w:r>
          </w:p>
        </w:tc>
        <w:tc>
          <w:tcPr>
            <w:tcW w:w="739" w:type="pct"/>
            <w:shd w:val="clear" w:color="auto" w:fill="auto"/>
            <w:noWrap w:val="0"/>
            <w:vAlign w:val="center"/>
          </w:tcPr>
          <w:p w14:paraId="6162B89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东南侧</w:t>
            </w:r>
          </w:p>
        </w:tc>
        <w:tc>
          <w:tcPr>
            <w:tcW w:w="692" w:type="pct"/>
            <w:gridSpan w:val="2"/>
            <w:shd w:val="clear" w:color="auto" w:fill="auto"/>
            <w:noWrap w:val="0"/>
            <w:vAlign w:val="center"/>
          </w:tcPr>
          <w:p w14:paraId="38D3581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1.7km</w:t>
            </w:r>
          </w:p>
        </w:tc>
        <w:tc>
          <w:tcPr>
            <w:tcW w:w="686" w:type="pct"/>
            <w:noWrap w:val="0"/>
            <w:vAlign w:val="center"/>
          </w:tcPr>
          <w:p w14:paraId="0E486F91">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居住</w:t>
            </w:r>
          </w:p>
        </w:tc>
        <w:tc>
          <w:tcPr>
            <w:tcW w:w="776" w:type="pct"/>
            <w:shd w:val="clear" w:color="auto" w:fill="auto"/>
            <w:noWrap w:val="0"/>
            <w:vAlign w:val="center"/>
          </w:tcPr>
          <w:p w14:paraId="03A86757">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w:t>
            </w:r>
            <w:r>
              <w:rPr>
                <w:rFonts w:hint="eastAsia" w:cs="Times New Roman"/>
                <w:b w:val="0"/>
                <w:bCs w:val="0"/>
                <w:color w:val="auto"/>
                <w:highlight w:val="none"/>
                <w:lang w:val="en-US" w:eastAsia="zh-CN"/>
              </w:rPr>
              <w:t>5</w:t>
            </w:r>
            <w:r>
              <w:rPr>
                <w:rFonts w:hint="default" w:ascii="Times New Roman" w:hAnsi="Times New Roman" w:cs="Times New Roman"/>
                <w:b w:val="0"/>
                <w:bCs w:val="0"/>
                <w:color w:val="auto"/>
                <w:highlight w:val="none"/>
                <w:lang w:val="en-US" w:eastAsia="zh-CN"/>
              </w:rPr>
              <w:t>00人</w:t>
            </w:r>
          </w:p>
        </w:tc>
      </w:tr>
      <w:tr w14:paraId="2B7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0C08AA35">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6A0CD49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3</w:t>
            </w:r>
          </w:p>
        </w:tc>
        <w:tc>
          <w:tcPr>
            <w:tcW w:w="1168" w:type="pct"/>
            <w:gridSpan w:val="2"/>
            <w:shd w:val="clear" w:color="auto" w:fill="auto"/>
            <w:noWrap w:val="0"/>
            <w:vAlign w:val="center"/>
          </w:tcPr>
          <w:p w14:paraId="50A9720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檬子垭村</w:t>
            </w:r>
          </w:p>
        </w:tc>
        <w:tc>
          <w:tcPr>
            <w:tcW w:w="739" w:type="pct"/>
            <w:shd w:val="clear" w:color="auto" w:fill="auto"/>
            <w:noWrap w:val="0"/>
            <w:vAlign w:val="center"/>
          </w:tcPr>
          <w:p w14:paraId="4EFDF15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东南侧</w:t>
            </w:r>
          </w:p>
        </w:tc>
        <w:tc>
          <w:tcPr>
            <w:tcW w:w="692" w:type="pct"/>
            <w:gridSpan w:val="2"/>
            <w:shd w:val="clear" w:color="auto" w:fill="auto"/>
            <w:noWrap w:val="0"/>
            <w:vAlign w:val="center"/>
          </w:tcPr>
          <w:p w14:paraId="7AFCF3B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4.12km</w:t>
            </w:r>
          </w:p>
        </w:tc>
        <w:tc>
          <w:tcPr>
            <w:tcW w:w="686" w:type="pct"/>
            <w:noWrap w:val="0"/>
            <w:vAlign w:val="center"/>
          </w:tcPr>
          <w:p w14:paraId="76F55A3E">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居住</w:t>
            </w:r>
          </w:p>
        </w:tc>
        <w:tc>
          <w:tcPr>
            <w:tcW w:w="776" w:type="pct"/>
            <w:shd w:val="clear" w:color="auto" w:fill="auto"/>
            <w:noWrap w:val="0"/>
            <w:vAlign w:val="center"/>
          </w:tcPr>
          <w:p w14:paraId="250E86EC">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2200</w:t>
            </w:r>
            <w:r>
              <w:rPr>
                <w:rFonts w:hint="default" w:ascii="Times New Roman" w:hAnsi="Times New Roman" w:cs="Times New Roman"/>
                <w:b w:val="0"/>
                <w:bCs w:val="0"/>
                <w:color w:val="auto"/>
                <w:highlight w:val="none"/>
                <w:lang w:val="en-US" w:eastAsia="zh-CN"/>
              </w:rPr>
              <w:t>人</w:t>
            </w:r>
          </w:p>
        </w:tc>
      </w:tr>
      <w:tr w14:paraId="02C3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378" w:type="pct"/>
            <w:vMerge w:val="continue"/>
            <w:noWrap w:val="0"/>
            <w:vAlign w:val="center"/>
          </w:tcPr>
          <w:p w14:paraId="41CDA797">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05C97A78">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w:t>
            </w:r>
          </w:p>
        </w:tc>
        <w:tc>
          <w:tcPr>
            <w:tcW w:w="1168" w:type="pct"/>
            <w:gridSpan w:val="2"/>
            <w:shd w:val="clear" w:color="auto" w:fill="auto"/>
            <w:noWrap w:val="0"/>
            <w:vAlign w:val="center"/>
          </w:tcPr>
          <w:p w14:paraId="2321B7C5">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火峰村</w:t>
            </w:r>
          </w:p>
        </w:tc>
        <w:tc>
          <w:tcPr>
            <w:tcW w:w="739" w:type="pct"/>
            <w:shd w:val="clear" w:color="auto" w:fill="auto"/>
            <w:noWrap w:val="0"/>
            <w:vAlign w:val="center"/>
          </w:tcPr>
          <w:p w14:paraId="6E59D36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南侧</w:t>
            </w:r>
          </w:p>
        </w:tc>
        <w:tc>
          <w:tcPr>
            <w:tcW w:w="692" w:type="pct"/>
            <w:gridSpan w:val="2"/>
            <w:shd w:val="clear" w:color="auto" w:fill="auto"/>
            <w:noWrap w:val="0"/>
            <w:vAlign w:val="center"/>
          </w:tcPr>
          <w:p w14:paraId="498B561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3.82km</w:t>
            </w:r>
          </w:p>
        </w:tc>
        <w:tc>
          <w:tcPr>
            <w:tcW w:w="686" w:type="pct"/>
            <w:noWrap w:val="0"/>
            <w:vAlign w:val="center"/>
          </w:tcPr>
          <w:p w14:paraId="5CB07363">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居住</w:t>
            </w:r>
          </w:p>
        </w:tc>
        <w:tc>
          <w:tcPr>
            <w:tcW w:w="776" w:type="pct"/>
            <w:shd w:val="clear" w:color="auto" w:fill="auto"/>
            <w:noWrap w:val="0"/>
            <w:vAlign w:val="center"/>
          </w:tcPr>
          <w:p w14:paraId="431B3DD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w:t>
            </w:r>
            <w:r>
              <w:rPr>
                <w:rFonts w:hint="default" w:ascii="Times New Roman" w:hAnsi="Times New Roman" w:cs="Times New Roman"/>
                <w:b w:val="0"/>
                <w:bCs w:val="0"/>
                <w:color w:val="auto"/>
                <w:highlight w:val="none"/>
                <w:lang w:val="en-US" w:eastAsia="zh-CN"/>
              </w:rPr>
              <w:t>00人</w:t>
            </w:r>
          </w:p>
        </w:tc>
      </w:tr>
      <w:tr w14:paraId="39AD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5BD82058">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24D37D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w:t>
            </w:r>
          </w:p>
        </w:tc>
        <w:tc>
          <w:tcPr>
            <w:tcW w:w="1168" w:type="pct"/>
            <w:gridSpan w:val="2"/>
            <w:shd w:val="clear" w:color="auto" w:fill="auto"/>
            <w:noWrap w:val="0"/>
            <w:vAlign w:val="center"/>
          </w:tcPr>
          <w:p w14:paraId="42C23635">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亮垭村</w:t>
            </w:r>
          </w:p>
        </w:tc>
        <w:tc>
          <w:tcPr>
            <w:tcW w:w="739" w:type="pct"/>
            <w:shd w:val="clear" w:color="auto" w:fill="auto"/>
            <w:noWrap w:val="0"/>
            <w:vAlign w:val="center"/>
          </w:tcPr>
          <w:p w14:paraId="346CF4CF">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西南侧</w:t>
            </w:r>
          </w:p>
        </w:tc>
        <w:tc>
          <w:tcPr>
            <w:tcW w:w="692" w:type="pct"/>
            <w:gridSpan w:val="2"/>
            <w:shd w:val="clear" w:color="auto" w:fill="auto"/>
            <w:noWrap w:val="0"/>
            <w:vAlign w:val="center"/>
          </w:tcPr>
          <w:p w14:paraId="262DE2D5">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2.3km</w:t>
            </w:r>
          </w:p>
        </w:tc>
        <w:tc>
          <w:tcPr>
            <w:tcW w:w="686" w:type="pct"/>
            <w:noWrap w:val="0"/>
            <w:vAlign w:val="center"/>
          </w:tcPr>
          <w:p w14:paraId="6051D894">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居住</w:t>
            </w:r>
          </w:p>
        </w:tc>
        <w:tc>
          <w:tcPr>
            <w:tcW w:w="776" w:type="pct"/>
            <w:shd w:val="clear" w:color="auto" w:fill="auto"/>
            <w:noWrap w:val="0"/>
            <w:vAlign w:val="center"/>
          </w:tcPr>
          <w:p w14:paraId="0B43292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w:t>
            </w:r>
            <w:r>
              <w:rPr>
                <w:rFonts w:hint="eastAsia" w:cs="Times New Roman"/>
                <w:b w:val="0"/>
                <w:bCs w:val="0"/>
                <w:color w:val="auto"/>
                <w:highlight w:val="none"/>
                <w:lang w:val="en-US" w:eastAsia="zh-CN"/>
              </w:rPr>
              <w:t>5</w:t>
            </w:r>
            <w:r>
              <w:rPr>
                <w:rFonts w:hint="default" w:ascii="Times New Roman" w:hAnsi="Times New Roman" w:cs="Times New Roman"/>
                <w:b w:val="0"/>
                <w:bCs w:val="0"/>
                <w:color w:val="auto"/>
                <w:highlight w:val="none"/>
                <w:lang w:val="en-US" w:eastAsia="zh-CN"/>
              </w:rPr>
              <w:t>00人</w:t>
            </w:r>
          </w:p>
        </w:tc>
      </w:tr>
      <w:tr w14:paraId="0AEC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4675A7D0">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62A52521">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6</w:t>
            </w:r>
          </w:p>
        </w:tc>
        <w:tc>
          <w:tcPr>
            <w:tcW w:w="1168" w:type="pct"/>
            <w:gridSpan w:val="2"/>
            <w:shd w:val="clear" w:color="auto" w:fill="auto"/>
            <w:noWrap w:val="0"/>
            <w:vAlign w:val="center"/>
          </w:tcPr>
          <w:p w14:paraId="6E461509">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新桥村小学</w:t>
            </w:r>
          </w:p>
        </w:tc>
        <w:tc>
          <w:tcPr>
            <w:tcW w:w="739" w:type="pct"/>
            <w:shd w:val="clear" w:color="auto" w:fill="auto"/>
            <w:noWrap w:val="0"/>
            <w:vAlign w:val="center"/>
          </w:tcPr>
          <w:p w14:paraId="7907A6D6">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西南侧</w:t>
            </w:r>
          </w:p>
        </w:tc>
        <w:tc>
          <w:tcPr>
            <w:tcW w:w="692" w:type="pct"/>
            <w:gridSpan w:val="2"/>
            <w:shd w:val="clear" w:color="auto" w:fill="auto"/>
            <w:noWrap w:val="0"/>
            <w:vAlign w:val="center"/>
          </w:tcPr>
          <w:p w14:paraId="33C85BA7">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3.87km</w:t>
            </w:r>
          </w:p>
        </w:tc>
        <w:tc>
          <w:tcPr>
            <w:tcW w:w="686" w:type="pct"/>
            <w:noWrap w:val="0"/>
            <w:vAlign w:val="center"/>
          </w:tcPr>
          <w:p w14:paraId="66594627">
            <w:pPr>
              <w:pStyle w:val="24"/>
              <w:ind w:left="0" w:leftChars="0"/>
              <w:rPr>
                <w:rFonts w:hint="default"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学校</w:t>
            </w:r>
          </w:p>
        </w:tc>
        <w:tc>
          <w:tcPr>
            <w:tcW w:w="776" w:type="pct"/>
            <w:shd w:val="clear" w:color="auto" w:fill="auto"/>
            <w:noWrap w:val="0"/>
            <w:vAlign w:val="center"/>
          </w:tcPr>
          <w:p w14:paraId="0BD65EB6">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150</w:t>
            </w:r>
            <w:r>
              <w:rPr>
                <w:rFonts w:hint="default" w:ascii="Times New Roman" w:hAnsi="Times New Roman" w:cs="Times New Roman"/>
                <w:b w:val="0"/>
                <w:bCs w:val="0"/>
                <w:color w:val="auto"/>
                <w:highlight w:val="none"/>
                <w:lang w:val="en-US" w:eastAsia="zh-CN"/>
              </w:rPr>
              <w:t>人</w:t>
            </w:r>
          </w:p>
        </w:tc>
      </w:tr>
      <w:tr w14:paraId="6EC7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3EC40BF3">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27B7DAC6">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w:t>
            </w:r>
          </w:p>
        </w:tc>
        <w:tc>
          <w:tcPr>
            <w:tcW w:w="1168" w:type="pct"/>
            <w:gridSpan w:val="2"/>
            <w:shd w:val="clear" w:color="auto" w:fill="auto"/>
            <w:noWrap w:val="0"/>
            <w:vAlign w:val="center"/>
          </w:tcPr>
          <w:p w14:paraId="57C2F94D">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大铁山村</w:t>
            </w:r>
          </w:p>
        </w:tc>
        <w:tc>
          <w:tcPr>
            <w:tcW w:w="739" w:type="pct"/>
            <w:shd w:val="clear" w:color="auto" w:fill="auto"/>
            <w:noWrap w:val="0"/>
            <w:vAlign w:val="center"/>
          </w:tcPr>
          <w:p w14:paraId="2A61E8FF">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西南侧</w:t>
            </w:r>
          </w:p>
        </w:tc>
        <w:tc>
          <w:tcPr>
            <w:tcW w:w="692" w:type="pct"/>
            <w:gridSpan w:val="2"/>
            <w:shd w:val="clear" w:color="auto" w:fill="auto"/>
            <w:noWrap w:val="0"/>
            <w:vAlign w:val="center"/>
          </w:tcPr>
          <w:p w14:paraId="3D666B9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4.35km</w:t>
            </w:r>
          </w:p>
        </w:tc>
        <w:tc>
          <w:tcPr>
            <w:tcW w:w="686" w:type="pct"/>
            <w:noWrap w:val="0"/>
            <w:vAlign w:val="center"/>
          </w:tcPr>
          <w:p w14:paraId="080D4623">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居住</w:t>
            </w:r>
          </w:p>
        </w:tc>
        <w:tc>
          <w:tcPr>
            <w:tcW w:w="776" w:type="pct"/>
            <w:shd w:val="clear" w:color="auto" w:fill="auto"/>
            <w:noWrap w:val="0"/>
            <w:vAlign w:val="center"/>
          </w:tcPr>
          <w:p w14:paraId="344C20A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30</w:t>
            </w:r>
            <w:r>
              <w:rPr>
                <w:rFonts w:hint="default" w:ascii="Times New Roman" w:hAnsi="Times New Roman" w:cs="Times New Roman"/>
                <w:b w:val="0"/>
                <w:bCs w:val="0"/>
                <w:color w:val="auto"/>
                <w:highlight w:val="none"/>
                <w:lang w:val="en-US" w:eastAsia="zh-CN"/>
              </w:rPr>
              <w:t>00人</w:t>
            </w:r>
          </w:p>
        </w:tc>
      </w:tr>
      <w:tr w14:paraId="5448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2212C90B">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38FB025B">
            <w:pPr>
              <w:pStyle w:val="24"/>
              <w:ind w:left="0" w:left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w:t>
            </w:r>
          </w:p>
        </w:tc>
        <w:tc>
          <w:tcPr>
            <w:tcW w:w="1168" w:type="pct"/>
            <w:gridSpan w:val="2"/>
            <w:shd w:val="clear" w:color="auto" w:fill="auto"/>
            <w:noWrap w:val="0"/>
            <w:vAlign w:val="center"/>
          </w:tcPr>
          <w:p w14:paraId="082678A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马岭村</w:t>
            </w:r>
          </w:p>
        </w:tc>
        <w:tc>
          <w:tcPr>
            <w:tcW w:w="739" w:type="pct"/>
            <w:shd w:val="clear" w:color="auto" w:fill="auto"/>
            <w:noWrap w:val="0"/>
            <w:vAlign w:val="center"/>
          </w:tcPr>
          <w:p w14:paraId="141EE621">
            <w:pPr>
              <w:pStyle w:val="24"/>
              <w:ind w:left="0" w:leftChars="0"/>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西侧</w:t>
            </w:r>
          </w:p>
        </w:tc>
        <w:tc>
          <w:tcPr>
            <w:tcW w:w="692" w:type="pct"/>
            <w:gridSpan w:val="2"/>
            <w:shd w:val="clear" w:color="auto" w:fill="auto"/>
            <w:noWrap w:val="0"/>
            <w:vAlign w:val="center"/>
          </w:tcPr>
          <w:p w14:paraId="56816114">
            <w:pPr>
              <w:pStyle w:val="24"/>
              <w:ind w:left="0" w:leftChars="0"/>
              <w:rPr>
                <w:rFonts w:hint="default"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4km</w:t>
            </w:r>
          </w:p>
        </w:tc>
        <w:tc>
          <w:tcPr>
            <w:tcW w:w="686" w:type="pct"/>
            <w:noWrap w:val="0"/>
            <w:vAlign w:val="center"/>
          </w:tcPr>
          <w:p w14:paraId="4E84865A">
            <w:pPr>
              <w:pStyle w:val="24"/>
              <w:ind w:left="0" w:leftChars="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居住</w:t>
            </w:r>
          </w:p>
        </w:tc>
        <w:tc>
          <w:tcPr>
            <w:tcW w:w="776" w:type="pct"/>
            <w:shd w:val="clear" w:color="auto" w:fill="auto"/>
            <w:noWrap w:val="0"/>
            <w:vAlign w:val="center"/>
          </w:tcPr>
          <w:p w14:paraId="154932F7">
            <w:pPr>
              <w:pStyle w:val="24"/>
              <w:ind w:left="0" w:leftChars="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25</w:t>
            </w:r>
            <w:r>
              <w:rPr>
                <w:rFonts w:hint="default" w:ascii="Times New Roman" w:hAnsi="Times New Roman" w:cs="Times New Roman"/>
                <w:b w:val="0"/>
                <w:bCs w:val="0"/>
                <w:color w:val="auto"/>
                <w:highlight w:val="none"/>
                <w:lang w:val="en-US" w:eastAsia="zh-CN"/>
              </w:rPr>
              <w:t>00人</w:t>
            </w:r>
          </w:p>
        </w:tc>
      </w:tr>
      <w:tr w14:paraId="5331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0B98495B">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9DC0B2E">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9</w:t>
            </w:r>
          </w:p>
        </w:tc>
        <w:tc>
          <w:tcPr>
            <w:tcW w:w="1168" w:type="pct"/>
            <w:gridSpan w:val="2"/>
            <w:shd w:val="clear" w:color="auto" w:fill="auto"/>
            <w:noWrap w:val="0"/>
            <w:vAlign w:val="center"/>
          </w:tcPr>
          <w:p w14:paraId="1AC646F4">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秋锦山村</w:t>
            </w:r>
          </w:p>
        </w:tc>
        <w:tc>
          <w:tcPr>
            <w:tcW w:w="739" w:type="pct"/>
            <w:shd w:val="clear" w:color="auto" w:fill="auto"/>
            <w:noWrap w:val="0"/>
            <w:vAlign w:val="center"/>
          </w:tcPr>
          <w:p w14:paraId="1BADD5BF">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7B39B5B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2.1km</w:t>
            </w:r>
          </w:p>
        </w:tc>
        <w:tc>
          <w:tcPr>
            <w:tcW w:w="686" w:type="pct"/>
            <w:noWrap w:val="0"/>
            <w:vAlign w:val="center"/>
          </w:tcPr>
          <w:p w14:paraId="5CA95650">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居住</w:t>
            </w:r>
          </w:p>
        </w:tc>
        <w:tc>
          <w:tcPr>
            <w:tcW w:w="776" w:type="pct"/>
            <w:shd w:val="clear" w:color="auto" w:fill="auto"/>
            <w:noWrap w:val="0"/>
            <w:vAlign w:val="center"/>
          </w:tcPr>
          <w:p w14:paraId="3B52EDF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39</w:t>
            </w:r>
            <w:r>
              <w:rPr>
                <w:rFonts w:hint="default" w:ascii="Times New Roman" w:hAnsi="Times New Roman" w:cs="Times New Roman"/>
                <w:b w:val="0"/>
                <w:bCs w:val="0"/>
                <w:color w:val="auto"/>
                <w:highlight w:val="none"/>
                <w:lang w:val="en-US" w:eastAsia="zh-CN"/>
              </w:rPr>
              <w:t>00人</w:t>
            </w:r>
          </w:p>
        </w:tc>
      </w:tr>
      <w:tr w14:paraId="2CCE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707D25A0">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0184D6B4">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10</w:t>
            </w:r>
          </w:p>
        </w:tc>
        <w:tc>
          <w:tcPr>
            <w:tcW w:w="1168" w:type="pct"/>
            <w:gridSpan w:val="2"/>
            <w:shd w:val="clear" w:color="auto" w:fill="auto"/>
            <w:noWrap w:val="0"/>
            <w:vAlign w:val="center"/>
          </w:tcPr>
          <w:p w14:paraId="726C3AB9">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春在镇</w:t>
            </w:r>
          </w:p>
        </w:tc>
        <w:tc>
          <w:tcPr>
            <w:tcW w:w="739" w:type="pct"/>
            <w:shd w:val="clear" w:color="auto" w:fill="auto"/>
            <w:noWrap w:val="0"/>
            <w:vAlign w:val="center"/>
          </w:tcPr>
          <w:p w14:paraId="550FB14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东侧</w:t>
            </w:r>
          </w:p>
        </w:tc>
        <w:tc>
          <w:tcPr>
            <w:tcW w:w="692" w:type="pct"/>
            <w:gridSpan w:val="2"/>
            <w:shd w:val="clear" w:color="auto" w:fill="auto"/>
            <w:noWrap w:val="0"/>
            <w:vAlign w:val="center"/>
          </w:tcPr>
          <w:p w14:paraId="271FA087">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2.3km</w:t>
            </w:r>
          </w:p>
        </w:tc>
        <w:tc>
          <w:tcPr>
            <w:tcW w:w="686" w:type="pct"/>
            <w:noWrap w:val="0"/>
            <w:vAlign w:val="center"/>
          </w:tcPr>
          <w:p w14:paraId="18049D13">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居住</w:t>
            </w:r>
          </w:p>
        </w:tc>
        <w:tc>
          <w:tcPr>
            <w:tcW w:w="776" w:type="pct"/>
            <w:shd w:val="clear" w:color="auto" w:fill="auto"/>
            <w:noWrap w:val="0"/>
            <w:vAlign w:val="center"/>
          </w:tcPr>
          <w:p w14:paraId="1D8C537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w:t>
            </w:r>
            <w:r>
              <w:rPr>
                <w:rFonts w:hint="eastAsia" w:cs="Times New Roman"/>
                <w:b w:val="0"/>
                <w:bCs w:val="0"/>
                <w:color w:val="auto"/>
                <w:highlight w:val="none"/>
                <w:lang w:val="en-US" w:eastAsia="zh-CN"/>
              </w:rPr>
              <w:t>5</w:t>
            </w:r>
            <w:r>
              <w:rPr>
                <w:rFonts w:hint="default" w:ascii="Times New Roman" w:hAnsi="Times New Roman" w:cs="Times New Roman"/>
                <w:b w:val="0"/>
                <w:bCs w:val="0"/>
                <w:color w:val="auto"/>
                <w:highlight w:val="none"/>
                <w:lang w:val="en-US" w:eastAsia="zh-CN"/>
              </w:rPr>
              <w:t>00人</w:t>
            </w:r>
          </w:p>
        </w:tc>
      </w:tr>
      <w:tr w14:paraId="237D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726CBD6B">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523D0343">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11</w:t>
            </w:r>
          </w:p>
        </w:tc>
        <w:tc>
          <w:tcPr>
            <w:tcW w:w="1168" w:type="pct"/>
            <w:gridSpan w:val="2"/>
            <w:shd w:val="clear" w:color="auto" w:fill="auto"/>
            <w:noWrap w:val="0"/>
            <w:vAlign w:val="center"/>
          </w:tcPr>
          <w:p w14:paraId="399A40B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通江县思源实验学校</w:t>
            </w:r>
          </w:p>
        </w:tc>
        <w:tc>
          <w:tcPr>
            <w:tcW w:w="739" w:type="pct"/>
            <w:shd w:val="clear" w:color="auto" w:fill="auto"/>
            <w:noWrap w:val="0"/>
            <w:vAlign w:val="center"/>
          </w:tcPr>
          <w:p w14:paraId="3B584E61">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东侧</w:t>
            </w:r>
          </w:p>
        </w:tc>
        <w:tc>
          <w:tcPr>
            <w:tcW w:w="692" w:type="pct"/>
            <w:gridSpan w:val="2"/>
            <w:shd w:val="clear" w:color="auto" w:fill="auto"/>
            <w:noWrap w:val="0"/>
            <w:vAlign w:val="center"/>
          </w:tcPr>
          <w:p w14:paraId="73F9C38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2.83km</w:t>
            </w:r>
          </w:p>
        </w:tc>
        <w:tc>
          <w:tcPr>
            <w:tcW w:w="686" w:type="pct"/>
            <w:noWrap w:val="0"/>
            <w:vAlign w:val="center"/>
          </w:tcPr>
          <w:p w14:paraId="63CE38DD">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学校</w:t>
            </w:r>
          </w:p>
        </w:tc>
        <w:tc>
          <w:tcPr>
            <w:tcW w:w="776" w:type="pct"/>
            <w:shd w:val="clear" w:color="auto" w:fill="auto"/>
            <w:noWrap w:val="0"/>
            <w:vAlign w:val="center"/>
          </w:tcPr>
          <w:p w14:paraId="4F55738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r>
      <w:tr w14:paraId="31FF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2ADF79D6">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219C2C9D">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12</w:t>
            </w:r>
          </w:p>
        </w:tc>
        <w:tc>
          <w:tcPr>
            <w:tcW w:w="1168" w:type="pct"/>
            <w:gridSpan w:val="2"/>
            <w:shd w:val="clear" w:color="auto" w:fill="auto"/>
            <w:noWrap w:val="0"/>
            <w:vAlign w:val="center"/>
          </w:tcPr>
          <w:p w14:paraId="32D93293">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通江县第五小学</w:t>
            </w:r>
          </w:p>
        </w:tc>
        <w:tc>
          <w:tcPr>
            <w:tcW w:w="739" w:type="pct"/>
            <w:shd w:val="clear" w:color="auto" w:fill="auto"/>
            <w:noWrap w:val="0"/>
            <w:vAlign w:val="center"/>
          </w:tcPr>
          <w:p w14:paraId="4B3CF7C8">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70CACBF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3.83km</w:t>
            </w:r>
          </w:p>
        </w:tc>
        <w:tc>
          <w:tcPr>
            <w:tcW w:w="686" w:type="pct"/>
            <w:noWrap w:val="0"/>
            <w:vAlign w:val="center"/>
          </w:tcPr>
          <w:p w14:paraId="00978B38">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学校</w:t>
            </w:r>
          </w:p>
        </w:tc>
        <w:tc>
          <w:tcPr>
            <w:tcW w:w="776" w:type="pct"/>
            <w:shd w:val="clear" w:color="auto" w:fill="auto"/>
            <w:noWrap w:val="0"/>
            <w:vAlign w:val="center"/>
          </w:tcPr>
          <w:p w14:paraId="190A3E94">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r>
      <w:tr w14:paraId="54AF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708C38F6">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6490A7D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13</w:t>
            </w:r>
          </w:p>
        </w:tc>
        <w:tc>
          <w:tcPr>
            <w:tcW w:w="1168" w:type="pct"/>
            <w:gridSpan w:val="2"/>
            <w:shd w:val="clear" w:color="auto" w:fill="auto"/>
            <w:noWrap w:val="0"/>
            <w:vAlign w:val="center"/>
          </w:tcPr>
          <w:p w14:paraId="3F342DFB">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通江县中医医院</w:t>
            </w:r>
          </w:p>
        </w:tc>
        <w:tc>
          <w:tcPr>
            <w:tcW w:w="739" w:type="pct"/>
            <w:shd w:val="clear" w:color="auto" w:fill="auto"/>
            <w:noWrap w:val="0"/>
            <w:vAlign w:val="center"/>
          </w:tcPr>
          <w:p w14:paraId="2ACA5CA6">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1E2B5E91">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3.85km</w:t>
            </w:r>
          </w:p>
        </w:tc>
        <w:tc>
          <w:tcPr>
            <w:tcW w:w="686" w:type="pct"/>
            <w:noWrap w:val="0"/>
            <w:vAlign w:val="center"/>
          </w:tcPr>
          <w:p w14:paraId="1D96E4C9">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医院</w:t>
            </w:r>
          </w:p>
        </w:tc>
        <w:tc>
          <w:tcPr>
            <w:tcW w:w="776" w:type="pct"/>
            <w:shd w:val="clear" w:color="auto" w:fill="auto"/>
            <w:noWrap w:val="0"/>
            <w:vAlign w:val="center"/>
          </w:tcPr>
          <w:p w14:paraId="6C092F9E">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600</w:t>
            </w:r>
            <w:r>
              <w:rPr>
                <w:rFonts w:hint="default" w:ascii="Times New Roman" w:hAnsi="Times New Roman" w:cs="Times New Roman"/>
                <w:b w:val="0"/>
                <w:bCs w:val="0"/>
                <w:color w:val="auto"/>
                <w:highlight w:val="none"/>
                <w:lang w:val="en-US" w:eastAsia="zh-CN"/>
              </w:rPr>
              <w:t>张床位</w:t>
            </w:r>
          </w:p>
        </w:tc>
      </w:tr>
      <w:tr w14:paraId="1591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32C5B476">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27BE6E01">
            <w:pPr>
              <w:pStyle w:val="24"/>
              <w:ind w:left="0" w:left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14</w:t>
            </w:r>
          </w:p>
        </w:tc>
        <w:tc>
          <w:tcPr>
            <w:tcW w:w="1168" w:type="pct"/>
            <w:gridSpan w:val="2"/>
            <w:shd w:val="clear" w:color="auto" w:fill="auto"/>
            <w:noWrap w:val="0"/>
            <w:vAlign w:val="center"/>
          </w:tcPr>
          <w:p w14:paraId="07BCCD2E">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通江县第三小学</w:t>
            </w:r>
          </w:p>
        </w:tc>
        <w:tc>
          <w:tcPr>
            <w:tcW w:w="739" w:type="pct"/>
            <w:shd w:val="clear" w:color="auto" w:fill="auto"/>
            <w:noWrap w:val="0"/>
            <w:vAlign w:val="center"/>
          </w:tcPr>
          <w:p w14:paraId="121995F7">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467EA965">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4.37km</w:t>
            </w:r>
          </w:p>
        </w:tc>
        <w:tc>
          <w:tcPr>
            <w:tcW w:w="686" w:type="pct"/>
            <w:noWrap w:val="0"/>
            <w:vAlign w:val="center"/>
          </w:tcPr>
          <w:p w14:paraId="3CFCF07E">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学校</w:t>
            </w:r>
          </w:p>
        </w:tc>
        <w:tc>
          <w:tcPr>
            <w:tcW w:w="776" w:type="pct"/>
            <w:shd w:val="clear" w:color="auto" w:fill="auto"/>
            <w:noWrap w:val="0"/>
            <w:vAlign w:val="center"/>
          </w:tcPr>
          <w:p w14:paraId="28FE94B1">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r>
      <w:tr w14:paraId="06A2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0327F8AB">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15547BC">
            <w:pPr>
              <w:pStyle w:val="24"/>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15</w:t>
            </w:r>
          </w:p>
        </w:tc>
        <w:tc>
          <w:tcPr>
            <w:tcW w:w="1168" w:type="pct"/>
            <w:gridSpan w:val="2"/>
            <w:shd w:val="clear" w:color="auto" w:fill="auto"/>
            <w:noWrap w:val="0"/>
            <w:vAlign w:val="center"/>
          </w:tcPr>
          <w:p w14:paraId="0A9C7E5C">
            <w:pPr>
              <w:pStyle w:val="24"/>
              <w:ind w:left="0" w:left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通江县实验小学</w:t>
            </w:r>
          </w:p>
        </w:tc>
        <w:tc>
          <w:tcPr>
            <w:tcW w:w="739" w:type="pct"/>
            <w:shd w:val="clear" w:color="auto" w:fill="auto"/>
            <w:noWrap w:val="0"/>
            <w:vAlign w:val="center"/>
          </w:tcPr>
          <w:p w14:paraId="2EF7067F">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2D4BE6F7">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3.93km</w:t>
            </w:r>
          </w:p>
        </w:tc>
        <w:tc>
          <w:tcPr>
            <w:tcW w:w="686" w:type="pct"/>
            <w:noWrap w:val="0"/>
            <w:vAlign w:val="center"/>
          </w:tcPr>
          <w:p w14:paraId="5151A963">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学校</w:t>
            </w:r>
          </w:p>
        </w:tc>
        <w:tc>
          <w:tcPr>
            <w:tcW w:w="776" w:type="pct"/>
            <w:shd w:val="clear" w:color="auto" w:fill="auto"/>
            <w:noWrap w:val="0"/>
            <w:vAlign w:val="center"/>
          </w:tcPr>
          <w:p w14:paraId="749BD0B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r>
      <w:tr w14:paraId="2A98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23033278">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6E10A0CA">
            <w:pPr>
              <w:pStyle w:val="24"/>
              <w:ind w:left="0" w:left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16</w:t>
            </w:r>
          </w:p>
        </w:tc>
        <w:tc>
          <w:tcPr>
            <w:tcW w:w="1168" w:type="pct"/>
            <w:gridSpan w:val="2"/>
            <w:shd w:val="clear" w:color="auto" w:fill="auto"/>
            <w:noWrap w:val="0"/>
            <w:vAlign w:val="center"/>
          </w:tcPr>
          <w:p w14:paraId="02728F05">
            <w:pPr>
              <w:pStyle w:val="24"/>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通江县实验中学</w:t>
            </w:r>
          </w:p>
        </w:tc>
        <w:tc>
          <w:tcPr>
            <w:tcW w:w="739" w:type="pct"/>
            <w:shd w:val="clear" w:color="auto" w:fill="auto"/>
            <w:noWrap w:val="0"/>
            <w:vAlign w:val="center"/>
          </w:tcPr>
          <w:p w14:paraId="7E0E6B9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436A52DB">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4.46km</w:t>
            </w:r>
          </w:p>
        </w:tc>
        <w:tc>
          <w:tcPr>
            <w:tcW w:w="686" w:type="pct"/>
            <w:noWrap w:val="0"/>
            <w:vAlign w:val="center"/>
          </w:tcPr>
          <w:p w14:paraId="2DC796B7">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学校</w:t>
            </w:r>
          </w:p>
        </w:tc>
        <w:tc>
          <w:tcPr>
            <w:tcW w:w="776" w:type="pct"/>
            <w:shd w:val="clear" w:color="auto" w:fill="auto"/>
            <w:noWrap w:val="0"/>
            <w:vAlign w:val="center"/>
          </w:tcPr>
          <w:p w14:paraId="0F9639A1">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r>
      <w:tr w14:paraId="5D7A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400AD4EA">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83386C8">
            <w:pPr>
              <w:pStyle w:val="24"/>
              <w:ind w:left="0" w:left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17</w:t>
            </w:r>
          </w:p>
        </w:tc>
        <w:tc>
          <w:tcPr>
            <w:tcW w:w="1168" w:type="pct"/>
            <w:gridSpan w:val="2"/>
            <w:shd w:val="clear" w:color="auto" w:fill="auto"/>
            <w:noWrap w:val="0"/>
            <w:vAlign w:val="center"/>
          </w:tcPr>
          <w:p w14:paraId="0E3125C1">
            <w:pPr>
              <w:pStyle w:val="24"/>
              <w:ind w:left="0" w:left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lang w:val="en-US" w:eastAsia="zh-CN" w:bidi="ar-SA"/>
              </w:rPr>
              <w:t>通江县城</w:t>
            </w:r>
          </w:p>
        </w:tc>
        <w:tc>
          <w:tcPr>
            <w:tcW w:w="739" w:type="pct"/>
            <w:shd w:val="clear" w:color="auto" w:fill="auto"/>
            <w:noWrap w:val="0"/>
            <w:vAlign w:val="center"/>
          </w:tcPr>
          <w:p w14:paraId="3F9889B1">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北侧</w:t>
            </w:r>
          </w:p>
        </w:tc>
        <w:tc>
          <w:tcPr>
            <w:tcW w:w="692" w:type="pct"/>
            <w:gridSpan w:val="2"/>
            <w:shd w:val="clear" w:color="auto" w:fill="auto"/>
            <w:noWrap w:val="0"/>
            <w:vAlign w:val="center"/>
          </w:tcPr>
          <w:p w14:paraId="05D08497">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3.2km</w:t>
            </w:r>
          </w:p>
        </w:tc>
        <w:tc>
          <w:tcPr>
            <w:tcW w:w="686" w:type="pct"/>
            <w:noWrap w:val="0"/>
            <w:vAlign w:val="center"/>
          </w:tcPr>
          <w:p w14:paraId="21512976">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居住</w:t>
            </w:r>
          </w:p>
        </w:tc>
        <w:tc>
          <w:tcPr>
            <w:tcW w:w="776" w:type="pct"/>
            <w:shd w:val="clear" w:color="auto" w:fill="auto"/>
            <w:noWrap w:val="0"/>
            <w:vAlign w:val="center"/>
          </w:tcPr>
          <w:p w14:paraId="7C1EC50F">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约13万人</w:t>
            </w:r>
          </w:p>
        </w:tc>
      </w:tr>
      <w:tr w14:paraId="36A0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72BA00B9">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34BF49B5">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18</w:t>
            </w:r>
          </w:p>
        </w:tc>
        <w:tc>
          <w:tcPr>
            <w:tcW w:w="1168" w:type="pct"/>
            <w:gridSpan w:val="2"/>
            <w:shd w:val="clear" w:color="auto" w:fill="auto"/>
            <w:noWrap w:val="0"/>
            <w:vAlign w:val="center"/>
          </w:tcPr>
          <w:p w14:paraId="1BAFB22D">
            <w:pPr>
              <w:pStyle w:val="24"/>
              <w:ind w:left="0" w:left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通江县妇幼保健院</w:t>
            </w:r>
          </w:p>
        </w:tc>
        <w:tc>
          <w:tcPr>
            <w:tcW w:w="739" w:type="pct"/>
            <w:shd w:val="clear" w:color="auto" w:fill="auto"/>
            <w:noWrap w:val="0"/>
            <w:vAlign w:val="center"/>
          </w:tcPr>
          <w:p w14:paraId="6DC2E66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5ACF1AE5">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4.39km</w:t>
            </w:r>
          </w:p>
        </w:tc>
        <w:tc>
          <w:tcPr>
            <w:tcW w:w="686" w:type="pct"/>
            <w:noWrap w:val="0"/>
            <w:vAlign w:val="center"/>
          </w:tcPr>
          <w:p w14:paraId="12EC5F26">
            <w:pPr>
              <w:pStyle w:val="24"/>
              <w:ind w:left="0" w:leftChars="0"/>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医院</w:t>
            </w:r>
          </w:p>
        </w:tc>
        <w:tc>
          <w:tcPr>
            <w:tcW w:w="776" w:type="pct"/>
            <w:shd w:val="clear" w:color="auto" w:fill="auto"/>
            <w:noWrap w:val="0"/>
            <w:vAlign w:val="center"/>
          </w:tcPr>
          <w:p w14:paraId="00BCDD9C">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160张床位</w:t>
            </w:r>
          </w:p>
        </w:tc>
      </w:tr>
      <w:tr w14:paraId="4CF1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170EE05D">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B0715E9">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19</w:t>
            </w:r>
          </w:p>
        </w:tc>
        <w:tc>
          <w:tcPr>
            <w:tcW w:w="1168" w:type="pct"/>
            <w:gridSpan w:val="2"/>
            <w:shd w:val="clear" w:color="auto" w:fill="auto"/>
            <w:noWrap w:val="0"/>
            <w:vAlign w:val="center"/>
          </w:tcPr>
          <w:p w14:paraId="2EEB6965">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通江县第二小学</w:t>
            </w:r>
          </w:p>
        </w:tc>
        <w:tc>
          <w:tcPr>
            <w:tcW w:w="739" w:type="pct"/>
            <w:shd w:val="clear" w:color="auto" w:fill="auto"/>
            <w:noWrap w:val="0"/>
            <w:vAlign w:val="center"/>
          </w:tcPr>
          <w:p w14:paraId="208DFEF3">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东北侧</w:t>
            </w:r>
          </w:p>
        </w:tc>
        <w:tc>
          <w:tcPr>
            <w:tcW w:w="692" w:type="pct"/>
            <w:gridSpan w:val="2"/>
            <w:shd w:val="clear" w:color="auto" w:fill="auto"/>
            <w:noWrap w:val="0"/>
            <w:vAlign w:val="center"/>
          </w:tcPr>
          <w:p w14:paraId="04214D02">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4.38km</w:t>
            </w:r>
          </w:p>
        </w:tc>
        <w:tc>
          <w:tcPr>
            <w:tcW w:w="686" w:type="pct"/>
            <w:noWrap w:val="0"/>
            <w:vAlign w:val="center"/>
          </w:tcPr>
          <w:p w14:paraId="42BCDA7F">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学校</w:t>
            </w:r>
          </w:p>
        </w:tc>
        <w:tc>
          <w:tcPr>
            <w:tcW w:w="776" w:type="pct"/>
            <w:shd w:val="clear" w:color="auto" w:fill="auto"/>
            <w:noWrap w:val="0"/>
            <w:vAlign w:val="center"/>
          </w:tcPr>
          <w:p w14:paraId="06D025C6">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约2000人</w:t>
            </w:r>
          </w:p>
        </w:tc>
      </w:tr>
      <w:tr w14:paraId="75AE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3BAC8233">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DED4AFA">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20</w:t>
            </w:r>
          </w:p>
        </w:tc>
        <w:tc>
          <w:tcPr>
            <w:tcW w:w="1168" w:type="pct"/>
            <w:gridSpan w:val="2"/>
            <w:shd w:val="clear" w:color="auto" w:fill="auto"/>
            <w:noWrap w:val="0"/>
            <w:vAlign w:val="center"/>
          </w:tcPr>
          <w:p w14:paraId="3A22D104">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诺江镇苗南小学</w:t>
            </w:r>
          </w:p>
        </w:tc>
        <w:tc>
          <w:tcPr>
            <w:tcW w:w="739" w:type="pct"/>
            <w:shd w:val="clear" w:color="auto" w:fill="auto"/>
            <w:noWrap w:val="0"/>
            <w:vAlign w:val="center"/>
          </w:tcPr>
          <w:p w14:paraId="121C8CFA">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西北侧</w:t>
            </w:r>
          </w:p>
        </w:tc>
        <w:tc>
          <w:tcPr>
            <w:tcW w:w="692" w:type="pct"/>
            <w:gridSpan w:val="2"/>
            <w:shd w:val="clear" w:color="auto" w:fill="auto"/>
            <w:noWrap w:val="0"/>
            <w:vAlign w:val="center"/>
          </w:tcPr>
          <w:p w14:paraId="72BA03F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3.83km</w:t>
            </w:r>
          </w:p>
        </w:tc>
        <w:tc>
          <w:tcPr>
            <w:tcW w:w="686" w:type="pct"/>
            <w:noWrap w:val="0"/>
            <w:vAlign w:val="center"/>
          </w:tcPr>
          <w:p w14:paraId="6877A7B3">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学校</w:t>
            </w:r>
          </w:p>
        </w:tc>
        <w:tc>
          <w:tcPr>
            <w:tcW w:w="776" w:type="pct"/>
            <w:shd w:val="clear" w:color="auto" w:fill="auto"/>
            <w:noWrap w:val="0"/>
            <w:vAlign w:val="center"/>
          </w:tcPr>
          <w:p w14:paraId="646F5803">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w:t>
            </w:r>
            <w:r>
              <w:rPr>
                <w:rFonts w:hint="default" w:ascii="Times New Roman" w:hAnsi="Times New Roman" w:cs="Times New Roman"/>
                <w:b w:val="0"/>
                <w:bCs w:val="0"/>
                <w:color w:val="auto"/>
                <w:highlight w:val="none"/>
                <w:lang w:val="en-US" w:eastAsia="zh-CN"/>
              </w:rPr>
              <w:t>人</w:t>
            </w:r>
          </w:p>
        </w:tc>
      </w:tr>
      <w:tr w14:paraId="3DCA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2E572D94">
            <w:pPr>
              <w:pStyle w:val="24"/>
              <w:bidi w:val="0"/>
              <w:jc w:val="center"/>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3D660EC">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21</w:t>
            </w:r>
          </w:p>
        </w:tc>
        <w:tc>
          <w:tcPr>
            <w:tcW w:w="1168" w:type="pct"/>
            <w:gridSpan w:val="2"/>
            <w:shd w:val="clear" w:color="auto" w:fill="auto"/>
            <w:noWrap w:val="0"/>
            <w:vAlign w:val="center"/>
          </w:tcPr>
          <w:p w14:paraId="6817F0C0">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通江县第六小学</w:t>
            </w:r>
          </w:p>
        </w:tc>
        <w:tc>
          <w:tcPr>
            <w:tcW w:w="739" w:type="pct"/>
            <w:shd w:val="clear" w:color="auto" w:fill="auto"/>
            <w:noWrap w:val="0"/>
            <w:vAlign w:val="center"/>
          </w:tcPr>
          <w:p w14:paraId="36B9A0D1">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西北侧</w:t>
            </w:r>
          </w:p>
        </w:tc>
        <w:tc>
          <w:tcPr>
            <w:tcW w:w="692" w:type="pct"/>
            <w:gridSpan w:val="2"/>
            <w:shd w:val="clear" w:color="auto" w:fill="auto"/>
            <w:noWrap w:val="0"/>
            <w:vAlign w:val="center"/>
          </w:tcPr>
          <w:p w14:paraId="19E1A07C">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5km</w:t>
            </w:r>
          </w:p>
        </w:tc>
        <w:tc>
          <w:tcPr>
            <w:tcW w:w="686" w:type="pct"/>
            <w:noWrap w:val="0"/>
            <w:vAlign w:val="center"/>
          </w:tcPr>
          <w:p w14:paraId="76978C57">
            <w:pPr>
              <w:pStyle w:val="24"/>
              <w:ind w:left="0" w:leftChars="0"/>
              <w:rPr>
                <w:rFonts w:hint="default" w:ascii="Times New Roman" w:hAnsi="Times New Roman" w:eastAsia="宋体" w:cs="Times New Roman"/>
                <w:b w:val="0"/>
                <w:bCs w:val="0"/>
                <w:color w:val="auto"/>
                <w:highlight w:val="none"/>
              </w:rPr>
            </w:pPr>
            <w:r>
              <w:rPr>
                <w:rFonts w:hint="default" w:ascii="Times New Roman" w:hAnsi="Times New Roman" w:cs="Times New Roman"/>
                <w:b w:val="0"/>
                <w:bCs w:val="0"/>
                <w:color w:val="auto"/>
                <w:highlight w:val="none"/>
                <w:lang w:val="en-US" w:eastAsia="zh-CN"/>
              </w:rPr>
              <w:t>学校</w:t>
            </w:r>
          </w:p>
        </w:tc>
        <w:tc>
          <w:tcPr>
            <w:tcW w:w="776" w:type="pct"/>
            <w:shd w:val="clear" w:color="auto" w:fill="auto"/>
            <w:noWrap w:val="0"/>
            <w:vAlign w:val="center"/>
          </w:tcPr>
          <w:p w14:paraId="3FE2BCE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cs="Times New Roman"/>
                <w:b w:val="0"/>
                <w:bCs w:val="0"/>
                <w:color w:val="auto"/>
                <w:highlight w:val="none"/>
                <w:lang w:val="en-US" w:eastAsia="zh-CN"/>
              </w:rPr>
              <w:t>约</w:t>
            </w:r>
            <w:r>
              <w:rPr>
                <w:rFonts w:hint="eastAsia" w:cs="Times New Roman"/>
                <w:b w:val="0"/>
                <w:bCs w:val="0"/>
                <w:color w:val="auto"/>
                <w:highlight w:val="none"/>
                <w:lang w:val="en-US" w:eastAsia="zh-CN"/>
              </w:rPr>
              <w:t>2000</w:t>
            </w:r>
            <w:r>
              <w:rPr>
                <w:rFonts w:hint="default" w:ascii="Times New Roman" w:hAnsi="Times New Roman" w:cs="Times New Roman"/>
                <w:b w:val="0"/>
                <w:bCs w:val="0"/>
                <w:color w:val="auto"/>
                <w:highlight w:val="none"/>
                <w:lang w:val="en-US" w:eastAsia="zh-CN"/>
              </w:rPr>
              <w:t>人</w:t>
            </w:r>
          </w:p>
        </w:tc>
      </w:tr>
      <w:tr w14:paraId="261A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40E25057">
            <w:pPr>
              <w:pStyle w:val="24"/>
              <w:bidi w:val="0"/>
              <w:jc w:val="center"/>
              <w:rPr>
                <w:rFonts w:hint="default" w:ascii="Times New Roman" w:hAnsi="Times New Roman" w:cs="Times New Roman"/>
                <w:color w:val="auto"/>
                <w:highlight w:val="none"/>
                <w:lang w:val="en-US" w:eastAsia="zh-CN"/>
              </w:rPr>
            </w:pPr>
          </w:p>
        </w:tc>
        <w:tc>
          <w:tcPr>
            <w:tcW w:w="558" w:type="pct"/>
            <w:noWrap w:val="0"/>
            <w:vAlign w:val="center"/>
          </w:tcPr>
          <w:p w14:paraId="35D53A3A">
            <w:pPr>
              <w:pStyle w:val="24"/>
              <w:ind w:left="0" w:leftChars="0"/>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22</w:t>
            </w:r>
          </w:p>
        </w:tc>
        <w:tc>
          <w:tcPr>
            <w:tcW w:w="1168" w:type="pct"/>
            <w:gridSpan w:val="2"/>
            <w:shd w:val="clear" w:color="auto" w:fill="auto"/>
            <w:noWrap w:val="0"/>
            <w:vAlign w:val="center"/>
          </w:tcPr>
          <w:p w14:paraId="0BC947C2">
            <w:pPr>
              <w:pStyle w:val="24"/>
              <w:ind w:left="0" w:leftChars="0"/>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通江新区医院</w:t>
            </w:r>
          </w:p>
        </w:tc>
        <w:tc>
          <w:tcPr>
            <w:tcW w:w="739" w:type="pct"/>
            <w:shd w:val="clear" w:color="auto" w:fill="auto"/>
            <w:noWrap w:val="0"/>
            <w:vAlign w:val="center"/>
          </w:tcPr>
          <w:p w14:paraId="11945A59">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西北侧</w:t>
            </w:r>
          </w:p>
        </w:tc>
        <w:tc>
          <w:tcPr>
            <w:tcW w:w="692" w:type="pct"/>
            <w:gridSpan w:val="2"/>
            <w:shd w:val="clear" w:color="auto" w:fill="auto"/>
            <w:noWrap w:val="0"/>
            <w:vAlign w:val="center"/>
          </w:tcPr>
          <w:p w14:paraId="696A1EED">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kern w:val="2"/>
                <w:sz w:val="21"/>
                <w:szCs w:val="24"/>
                <w:highlight w:val="none"/>
                <w:lang w:val="en-US" w:eastAsia="zh-CN" w:bidi="ar-SA"/>
              </w:rPr>
              <w:t>4.99km</w:t>
            </w:r>
          </w:p>
        </w:tc>
        <w:tc>
          <w:tcPr>
            <w:tcW w:w="686" w:type="pct"/>
            <w:noWrap w:val="0"/>
            <w:vAlign w:val="center"/>
          </w:tcPr>
          <w:p w14:paraId="6789BBB2">
            <w:pPr>
              <w:pStyle w:val="24"/>
              <w:ind w:left="0" w:leftChars="0"/>
              <w:rPr>
                <w:rFonts w:hint="default" w:ascii="Times New Roman" w:hAnsi="Times New Roman" w:eastAsia="宋体" w:cs="Times New Roman"/>
                <w:b w:val="0"/>
                <w:bCs w:val="0"/>
                <w:color w:val="auto"/>
                <w:highlight w:val="none"/>
              </w:rPr>
            </w:pPr>
            <w:r>
              <w:rPr>
                <w:rFonts w:hint="eastAsia" w:cs="Times New Roman"/>
                <w:b w:val="0"/>
                <w:bCs w:val="0"/>
                <w:color w:val="auto"/>
                <w:highlight w:val="none"/>
                <w:lang w:val="en-US" w:eastAsia="zh-CN"/>
              </w:rPr>
              <w:t>医院</w:t>
            </w:r>
          </w:p>
        </w:tc>
        <w:tc>
          <w:tcPr>
            <w:tcW w:w="776" w:type="pct"/>
            <w:shd w:val="clear" w:color="auto" w:fill="auto"/>
            <w:noWrap w:val="0"/>
            <w:vAlign w:val="center"/>
          </w:tcPr>
          <w:p w14:paraId="61D4597F">
            <w:pPr>
              <w:pStyle w:val="24"/>
              <w:ind w:left="0" w:leftChars="0"/>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color w:val="auto"/>
                <w:highlight w:val="none"/>
                <w:lang w:val="en-US" w:eastAsia="zh-CN"/>
              </w:rPr>
              <w:t>450张床位</w:t>
            </w:r>
          </w:p>
        </w:tc>
      </w:tr>
      <w:tr w14:paraId="1428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0DD5FB51">
            <w:pPr>
              <w:pStyle w:val="24"/>
              <w:bidi w:val="0"/>
              <w:jc w:val="center"/>
              <w:rPr>
                <w:rFonts w:hint="default" w:ascii="Times New Roman" w:hAnsi="Times New Roman" w:cs="Times New Roman"/>
                <w:color w:val="auto"/>
                <w:highlight w:val="none"/>
                <w:lang w:val="en-US" w:eastAsia="zh-CN"/>
              </w:rPr>
            </w:pPr>
          </w:p>
        </w:tc>
        <w:tc>
          <w:tcPr>
            <w:tcW w:w="3845" w:type="pct"/>
            <w:gridSpan w:val="7"/>
            <w:shd w:val="clear" w:color="auto" w:fill="auto"/>
            <w:noWrap w:val="0"/>
            <w:vAlign w:val="center"/>
          </w:tcPr>
          <w:p w14:paraId="3F422365">
            <w:pPr>
              <w:pStyle w:val="24"/>
              <w:ind w:left="0" w:leftChars="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厂址周边</w:t>
            </w:r>
            <w:r>
              <w:rPr>
                <w:rFonts w:hint="eastAsia" w:cs="Times New Roman"/>
                <w:b w:val="0"/>
                <w:bCs w:val="0"/>
                <w:color w:val="auto"/>
                <w:highlight w:val="none"/>
                <w:lang w:val="en-US" w:eastAsia="zh-CN"/>
              </w:rPr>
              <w:t>500</w:t>
            </w:r>
            <w:r>
              <w:rPr>
                <w:rFonts w:hint="default" w:ascii="Times New Roman" w:hAnsi="Times New Roman" w:eastAsia="宋体" w:cs="Times New Roman"/>
                <w:b w:val="0"/>
                <w:bCs w:val="0"/>
                <w:color w:val="auto"/>
                <w:highlight w:val="none"/>
                <w:lang w:val="en-US" w:eastAsia="zh-CN"/>
              </w:rPr>
              <w:t>m范围内人口数小计</w:t>
            </w:r>
          </w:p>
        </w:tc>
        <w:tc>
          <w:tcPr>
            <w:tcW w:w="776" w:type="pct"/>
            <w:shd w:val="clear" w:color="auto" w:fill="auto"/>
            <w:noWrap w:val="0"/>
            <w:vAlign w:val="center"/>
          </w:tcPr>
          <w:p w14:paraId="246F6540">
            <w:pPr>
              <w:pStyle w:val="24"/>
              <w:ind w:left="0" w:leftChars="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w:t>
            </w:r>
          </w:p>
        </w:tc>
      </w:tr>
      <w:tr w14:paraId="0BA1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5B6CF335">
            <w:pPr>
              <w:pStyle w:val="24"/>
              <w:bidi w:val="0"/>
              <w:jc w:val="center"/>
              <w:rPr>
                <w:rFonts w:hint="default" w:ascii="Times New Roman" w:hAnsi="Times New Roman" w:cs="Times New Roman"/>
                <w:color w:val="auto"/>
                <w:highlight w:val="none"/>
                <w:lang w:val="en-US" w:eastAsia="zh-CN"/>
              </w:rPr>
            </w:pPr>
          </w:p>
        </w:tc>
        <w:tc>
          <w:tcPr>
            <w:tcW w:w="3845" w:type="pct"/>
            <w:gridSpan w:val="7"/>
            <w:shd w:val="clear" w:color="auto" w:fill="auto"/>
            <w:noWrap w:val="0"/>
            <w:vAlign w:val="center"/>
          </w:tcPr>
          <w:p w14:paraId="46B1A30F">
            <w:pPr>
              <w:pStyle w:val="24"/>
              <w:ind w:left="0" w:left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厂址周边5km范围内人口数小计</w:t>
            </w:r>
          </w:p>
        </w:tc>
        <w:tc>
          <w:tcPr>
            <w:tcW w:w="776" w:type="pct"/>
            <w:shd w:val="clear" w:color="auto" w:fill="auto"/>
            <w:noWrap w:val="0"/>
            <w:vAlign w:val="center"/>
          </w:tcPr>
          <w:p w14:paraId="26D841DB">
            <w:pPr>
              <w:pStyle w:val="24"/>
              <w:ind w:left="0" w:leftChars="0"/>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＞5万人</w:t>
            </w:r>
          </w:p>
        </w:tc>
      </w:tr>
      <w:tr w14:paraId="181A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6C526EDB">
            <w:pPr>
              <w:pStyle w:val="24"/>
              <w:bidi w:val="0"/>
              <w:jc w:val="center"/>
              <w:rPr>
                <w:rFonts w:hint="default" w:ascii="Times New Roman" w:hAnsi="Times New Roman" w:cs="Times New Roman"/>
                <w:color w:val="auto"/>
                <w:highlight w:val="none"/>
                <w:lang w:val="en-US" w:eastAsia="zh-CN"/>
              </w:rPr>
            </w:pPr>
          </w:p>
        </w:tc>
        <w:tc>
          <w:tcPr>
            <w:tcW w:w="3845" w:type="pct"/>
            <w:gridSpan w:val="7"/>
            <w:shd w:val="clear" w:color="auto" w:fill="auto"/>
            <w:noWrap w:val="0"/>
            <w:vAlign w:val="center"/>
          </w:tcPr>
          <w:p w14:paraId="77D86AF7">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大气环境</w:t>
            </w:r>
            <w:r>
              <w:rPr>
                <w:rFonts w:hint="default" w:ascii="Times New Roman" w:hAnsi="Times New Roman" w:cs="Times New Roman"/>
                <w:color w:val="auto"/>
                <w:highlight w:val="none"/>
              </w:rPr>
              <w:t>敏感</w:t>
            </w:r>
            <w:r>
              <w:rPr>
                <w:rFonts w:hint="eastAsia" w:cs="Times New Roman"/>
                <w:color w:val="auto"/>
                <w:highlight w:val="none"/>
                <w:lang w:val="en-US" w:eastAsia="zh-CN"/>
              </w:rPr>
              <w:t>程度E值</w:t>
            </w:r>
          </w:p>
        </w:tc>
        <w:tc>
          <w:tcPr>
            <w:tcW w:w="776" w:type="pct"/>
            <w:shd w:val="clear" w:color="auto" w:fill="auto"/>
            <w:noWrap w:val="0"/>
            <w:vAlign w:val="center"/>
          </w:tcPr>
          <w:p w14:paraId="2253E7A5">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E1</w:t>
            </w:r>
          </w:p>
        </w:tc>
      </w:tr>
      <w:tr w14:paraId="65C5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restart"/>
            <w:noWrap w:val="0"/>
            <w:vAlign w:val="center"/>
          </w:tcPr>
          <w:p w14:paraId="05EF6360">
            <w:pPr>
              <w:pStyle w:val="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地表水</w:t>
            </w:r>
          </w:p>
        </w:tc>
        <w:tc>
          <w:tcPr>
            <w:tcW w:w="4621" w:type="pct"/>
            <w:gridSpan w:val="8"/>
            <w:noWrap w:val="0"/>
            <w:vAlign w:val="center"/>
          </w:tcPr>
          <w:p w14:paraId="1A2E56B7">
            <w:pPr>
              <w:pStyle w:val="2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受纳水体</w:t>
            </w:r>
          </w:p>
        </w:tc>
      </w:tr>
      <w:tr w14:paraId="2469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36D13888">
            <w:pPr>
              <w:pStyle w:val="24"/>
              <w:bidi w:val="0"/>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53A1D0D2">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eastAsia" w:cs="Times New Roman"/>
                <w:b/>
                <w:bCs/>
                <w:color w:val="auto"/>
                <w:kern w:val="2"/>
                <w:sz w:val="21"/>
                <w:szCs w:val="24"/>
                <w:highlight w:val="none"/>
                <w:lang w:val="en-US" w:eastAsia="zh-CN" w:bidi="ar-SA"/>
              </w:rPr>
              <w:t>序号</w:t>
            </w:r>
          </w:p>
        </w:tc>
        <w:tc>
          <w:tcPr>
            <w:tcW w:w="1907" w:type="pct"/>
            <w:gridSpan w:val="3"/>
            <w:shd w:val="clear" w:color="auto" w:fill="auto"/>
            <w:noWrap w:val="0"/>
            <w:vAlign w:val="center"/>
          </w:tcPr>
          <w:p w14:paraId="58D5B15B">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水体名称</w:t>
            </w:r>
          </w:p>
        </w:tc>
        <w:tc>
          <w:tcPr>
            <w:tcW w:w="1378" w:type="pct"/>
            <w:gridSpan w:val="3"/>
            <w:shd w:val="clear" w:color="auto" w:fill="auto"/>
            <w:noWrap w:val="0"/>
            <w:vAlign w:val="center"/>
          </w:tcPr>
          <w:p w14:paraId="61869059">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排放点水域环境功能</w:t>
            </w:r>
          </w:p>
        </w:tc>
        <w:tc>
          <w:tcPr>
            <w:tcW w:w="776" w:type="pct"/>
            <w:shd w:val="clear" w:color="auto" w:fill="auto"/>
            <w:noWrap w:val="0"/>
            <w:vAlign w:val="center"/>
          </w:tcPr>
          <w:p w14:paraId="7A276BF1">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24h内流经范围</w:t>
            </w:r>
          </w:p>
        </w:tc>
      </w:tr>
      <w:tr w14:paraId="28A1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78" w:type="pct"/>
            <w:vMerge w:val="continue"/>
            <w:noWrap w:val="0"/>
            <w:vAlign w:val="center"/>
          </w:tcPr>
          <w:p w14:paraId="240B8B0A">
            <w:pPr>
              <w:pStyle w:val="24"/>
              <w:bidi w:val="0"/>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6802EB3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p>
        </w:tc>
        <w:tc>
          <w:tcPr>
            <w:tcW w:w="1907" w:type="pct"/>
            <w:gridSpan w:val="3"/>
            <w:shd w:val="clear" w:color="auto" w:fill="auto"/>
            <w:noWrap w:val="0"/>
            <w:vAlign w:val="center"/>
          </w:tcPr>
          <w:p w14:paraId="6B37DB0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通江河</w:t>
            </w:r>
          </w:p>
        </w:tc>
        <w:tc>
          <w:tcPr>
            <w:tcW w:w="1378" w:type="pct"/>
            <w:gridSpan w:val="3"/>
            <w:shd w:val="clear" w:color="auto" w:fill="auto"/>
            <w:noWrap w:val="0"/>
            <w:vAlign w:val="center"/>
          </w:tcPr>
          <w:p w14:paraId="49E15DDE">
            <w:pPr>
              <w:pStyle w:val="24"/>
              <w:bidi w:val="0"/>
              <w:ind w:left="0" w:lef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lang w:val="en-US" w:eastAsia="zh-CN"/>
              </w:rPr>
              <w:t>Ⅲ</w:t>
            </w:r>
            <w:r>
              <w:rPr>
                <w:rFonts w:hint="default" w:ascii="Times New Roman" w:hAnsi="Times New Roman" w:cs="Times New Roman"/>
                <w:color w:val="auto"/>
                <w:highlight w:val="none"/>
                <w:lang w:val="en-US" w:eastAsia="zh-CN"/>
              </w:rPr>
              <w:t>类</w:t>
            </w:r>
          </w:p>
        </w:tc>
        <w:tc>
          <w:tcPr>
            <w:tcW w:w="776" w:type="pct"/>
            <w:shd w:val="clear" w:color="auto" w:fill="auto"/>
            <w:noWrap w:val="0"/>
            <w:vAlign w:val="center"/>
          </w:tcPr>
          <w:p w14:paraId="4E848F4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w:t>
            </w:r>
          </w:p>
        </w:tc>
      </w:tr>
      <w:tr w14:paraId="382C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78" w:type="pct"/>
            <w:vMerge w:val="continue"/>
            <w:noWrap w:val="0"/>
            <w:vAlign w:val="center"/>
          </w:tcPr>
          <w:p w14:paraId="449A8E05">
            <w:pPr>
              <w:pStyle w:val="24"/>
              <w:bidi w:val="0"/>
              <w:rPr>
                <w:rFonts w:hint="default" w:ascii="Times New Roman" w:hAnsi="Times New Roman" w:cs="Times New Roman"/>
                <w:color w:val="auto"/>
                <w:highlight w:val="none"/>
                <w:lang w:val="en-US" w:eastAsia="zh-CN"/>
              </w:rPr>
            </w:pPr>
          </w:p>
        </w:tc>
        <w:tc>
          <w:tcPr>
            <w:tcW w:w="3845" w:type="pct"/>
            <w:gridSpan w:val="7"/>
            <w:shd w:val="clear" w:color="auto" w:fill="auto"/>
            <w:noWrap w:val="0"/>
            <w:vAlign w:val="center"/>
          </w:tcPr>
          <w:p w14:paraId="091C5BB2">
            <w:pPr>
              <w:pStyle w:val="24"/>
              <w:bidi w:val="0"/>
              <w:ind w:left="0" w:lef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地表水</w:t>
            </w:r>
            <w:r>
              <w:rPr>
                <w:rFonts w:hint="eastAsia" w:cs="Times New Roman"/>
                <w:color w:val="auto"/>
                <w:highlight w:val="none"/>
                <w:lang w:val="en-US" w:eastAsia="zh-CN"/>
              </w:rPr>
              <w:t>环境</w:t>
            </w:r>
            <w:r>
              <w:rPr>
                <w:rFonts w:hint="default" w:ascii="Times New Roman" w:hAnsi="Times New Roman" w:cs="Times New Roman"/>
                <w:color w:val="auto"/>
                <w:highlight w:val="none"/>
              </w:rPr>
              <w:t>敏感</w:t>
            </w:r>
            <w:r>
              <w:rPr>
                <w:rFonts w:hint="eastAsia" w:cs="Times New Roman"/>
                <w:color w:val="auto"/>
                <w:highlight w:val="none"/>
                <w:lang w:val="en-US" w:eastAsia="zh-CN"/>
              </w:rPr>
              <w:t>程度E值</w:t>
            </w:r>
          </w:p>
        </w:tc>
        <w:tc>
          <w:tcPr>
            <w:tcW w:w="776" w:type="pct"/>
            <w:shd w:val="clear" w:color="auto" w:fill="auto"/>
            <w:noWrap w:val="0"/>
            <w:vAlign w:val="center"/>
          </w:tcPr>
          <w:p w14:paraId="03FD72F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E2</w:t>
            </w:r>
          </w:p>
        </w:tc>
      </w:tr>
      <w:tr w14:paraId="434E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restart"/>
            <w:noWrap w:val="0"/>
            <w:vAlign w:val="center"/>
          </w:tcPr>
          <w:p w14:paraId="27364986">
            <w:pPr>
              <w:pStyle w:val="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w:t>
            </w:r>
          </w:p>
        </w:tc>
        <w:tc>
          <w:tcPr>
            <w:tcW w:w="558" w:type="pct"/>
            <w:shd w:val="clear" w:color="auto" w:fill="auto"/>
            <w:noWrap w:val="0"/>
            <w:vAlign w:val="center"/>
          </w:tcPr>
          <w:p w14:paraId="4E2E91BC">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eastAsia" w:cs="Times New Roman"/>
                <w:b/>
                <w:bCs/>
                <w:color w:val="auto"/>
                <w:kern w:val="2"/>
                <w:sz w:val="21"/>
                <w:szCs w:val="24"/>
                <w:highlight w:val="none"/>
                <w:lang w:val="en-US" w:eastAsia="zh-CN" w:bidi="ar-SA"/>
              </w:rPr>
              <w:t>序号</w:t>
            </w:r>
          </w:p>
        </w:tc>
        <w:tc>
          <w:tcPr>
            <w:tcW w:w="941" w:type="pct"/>
            <w:shd w:val="clear" w:color="auto" w:fill="auto"/>
            <w:noWrap w:val="0"/>
            <w:vAlign w:val="center"/>
          </w:tcPr>
          <w:p w14:paraId="35EB8CED">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rPr>
              <w:t>环境敏感区名称</w:t>
            </w:r>
          </w:p>
        </w:tc>
        <w:tc>
          <w:tcPr>
            <w:tcW w:w="966" w:type="pct"/>
            <w:gridSpan w:val="2"/>
            <w:shd w:val="clear" w:color="auto" w:fill="auto"/>
            <w:noWrap w:val="0"/>
            <w:vAlign w:val="center"/>
          </w:tcPr>
          <w:p w14:paraId="342094B5">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rPr>
              <w:t>环境敏感特征</w:t>
            </w:r>
          </w:p>
        </w:tc>
        <w:tc>
          <w:tcPr>
            <w:tcW w:w="647" w:type="pct"/>
            <w:shd w:val="clear" w:color="auto" w:fill="auto"/>
            <w:noWrap w:val="0"/>
            <w:vAlign w:val="center"/>
          </w:tcPr>
          <w:p w14:paraId="4D54A13D">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rPr>
              <w:t>水质目标</w:t>
            </w:r>
          </w:p>
        </w:tc>
        <w:tc>
          <w:tcPr>
            <w:tcW w:w="731" w:type="pct"/>
            <w:gridSpan w:val="2"/>
            <w:shd w:val="clear" w:color="auto" w:fill="auto"/>
            <w:noWrap w:val="0"/>
            <w:vAlign w:val="center"/>
          </w:tcPr>
          <w:p w14:paraId="12935FA2">
            <w:pPr>
              <w:pStyle w:val="24"/>
              <w:bidi w:val="0"/>
              <w:ind w:left="0" w:leftChars="0"/>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rPr>
              <w:t>包气带防污性能</w:t>
            </w:r>
          </w:p>
        </w:tc>
        <w:tc>
          <w:tcPr>
            <w:tcW w:w="776" w:type="pct"/>
            <w:shd w:val="clear" w:color="auto" w:fill="auto"/>
            <w:noWrap w:val="0"/>
            <w:vAlign w:val="center"/>
          </w:tcPr>
          <w:p w14:paraId="1ED8DCB0">
            <w:pPr>
              <w:pStyle w:val="24"/>
              <w:bidi w:val="0"/>
              <w:ind w:left="0" w:leftChars="0"/>
              <w:rPr>
                <w:rFonts w:hint="default" w:ascii="Times New Roman" w:hAnsi="Times New Roman" w:eastAsia="宋体" w:cs="Times New Roman"/>
                <w:b/>
                <w:bCs/>
                <w:color w:val="auto"/>
                <w:lang w:val="en-US" w:eastAsia="zh-CN"/>
              </w:rPr>
            </w:pPr>
            <w:r>
              <w:rPr>
                <w:rFonts w:hint="eastAsia" w:cs="Times New Roman"/>
                <w:b/>
                <w:bCs/>
                <w:color w:val="auto"/>
                <w:lang w:val="en-US" w:eastAsia="zh-CN"/>
              </w:rPr>
              <w:t>与厂界距离</w:t>
            </w:r>
          </w:p>
        </w:tc>
      </w:tr>
      <w:tr w14:paraId="050B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74C2B283">
            <w:pPr>
              <w:pStyle w:val="24"/>
              <w:bidi w:val="0"/>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313748D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w:t>
            </w:r>
          </w:p>
        </w:tc>
        <w:tc>
          <w:tcPr>
            <w:tcW w:w="1907" w:type="pct"/>
            <w:gridSpan w:val="3"/>
            <w:shd w:val="clear" w:color="auto" w:fill="auto"/>
            <w:noWrap w:val="0"/>
            <w:vAlign w:val="center"/>
          </w:tcPr>
          <w:p w14:paraId="54E07C31">
            <w:pPr>
              <w:pStyle w:val="24"/>
              <w:ind w:left="0" w:leftChars="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金堂村分散式水井</w:t>
            </w:r>
          </w:p>
        </w:tc>
        <w:tc>
          <w:tcPr>
            <w:tcW w:w="647" w:type="pct"/>
            <w:shd w:val="clear" w:color="auto" w:fill="auto"/>
            <w:noWrap w:val="0"/>
            <w:vAlign w:val="center"/>
          </w:tcPr>
          <w:p w14:paraId="4D96F5DF">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default" w:cs="Times New Roman"/>
                <w:b w:val="0"/>
                <w:bCs w:val="0"/>
                <w:color w:val="auto"/>
                <w:sz w:val="21"/>
                <w:szCs w:val="21"/>
                <w:highlight w:val="none"/>
                <w:lang w:val="en-US" w:eastAsia="zh-CN"/>
              </w:rPr>
              <w:t>Ⅲ类</w:t>
            </w:r>
          </w:p>
        </w:tc>
        <w:tc>
          <w:tcPr>
            <w:tcW w:w="731" w:type="pct"/>
            <w:gridSpan w:val="2"/>
            <w:shd w:val="clear" w:color="auto" w:fill="auto"/>
            <w:noWrap w:val="0"/>
            <w:vAlign w:val="center"/>
          </w:tcPr>
          <w:p w14:paraId="700A00C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弱</w:t>
            </w:r>
          </w:p>
        </w:tc>
        <w:tc>
          <w:tcPr>
            <w:tcW w:w="776" w:type="pct"/>
            <w:shd w:val="clear" w:color="auto" w:fill="auto"/>
            <w:noWrap w:val="0"/>
            <w:vAlign w:val="center"/>
          </w:tcPr>
          <w:p w14:paraId="78551BFB">
            <w:pPr>
              <w:pStyle w:val="24"/>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1.7km</w:t>
            </w:r>
          </w:p>
        </w:tc>
      </w:tr>
      <w:tr w14:paraId="19F9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78" w:type="pct"/>
            <w:vMerge w:val="continue"/>
            <w:noWrap w:val="0"/>
            <w:vAlign w:val="center"/>
          </w:tcPr>
          <w:p w14:paraId="799DB8D3">
            <w:pPr>
              <w:pStyle w:val="24"/>
              <w:bidi w:val="0"/>
              <w:rPr>
                <w:rFonts w:hint="default" w:ascii="Times New Roman" w:hAnsi="Times New Roman" w:cs="Times New Roman"/>
                <w:color w:val="auto"/>
                <w:highlight w:val="none"/>
                <w:lang w:val="en-US" w:eastAsia="zh-CN"/>
              </w:rPr>
            </w:pPr>
          </w:p>
        </w:tc>
        <w:tc>
          <w:tcPr>
            <w:tcW w:w="558" w:type="pct"/>
            <w:shd w:val="clear" w:color="auto" w:fill="auto"/>
            <w:noWrap w:val="0"/>
            <w:vAlign w:val="center"/>
          </w:tcPr>
          <w:p w14:paraId="47E23E4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w:t>
            </w:r>
          </w:p>
        </w:tc>
        <w:tc>
          <w:tcPr>
            <w:tcW w:w="1907" w:type="pct"/>
            <w:gridSpan w:val="3"/>
            <w:shd w:val="clear" w:color="auto" w:fill="auto"/>
            <w:noWrap w:val="0"/>
            <w:vAlign w:val="center"/>
          </w:tcPr>
          <w:p w14:paraId="27128D70">
            <w:pPr>
              <w:pStyle w:val="24"/>
              <w:ind w:left="0" w:leftChars="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秋锦山村分散式水井</w:t>
            </w:r>
          </w:p>
        </w:tc>
        <w:tc>
          <w:tcPr>
            <w:tcW w:w="647" w:type="pct"/>
            <w:shd w:val="clear" w:color="auto" w:fill="auto"/>
            <w:noWrap w:val="0"/>
            <w:vAlign w:val="center"/>
          </w:tcPr>
          <w:p w14:paraId="55A42815">
            <w:pPr>
              <w:pStyle w:val="24"/>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default" w:cs="Times New Roman"/>
                <w:b w:val="0"/>
                <w:bCs w:val="0"/>
                <w:color w:val="auto"/>
                <w:sz w:val="21"/>
                <w:szCs w:val="21"/>
                <w:highlight w:val="none"/>
                <w:lang w:val="en-US" w:eastAsia="zh-CN"/>
              </w:rPr>
              <w:t>Ⅲ类</w:t>
            </w:r>
          </w:p>
        </w:tc>
        <w:tc>
          <w:tcPr>
            <w:tcW w:w="731" w:type="pct"/>
            <w:gridSpan w:val="2"/>
            <w:shd w:val="clear" w:color="auto" w:fill="auto"/>
            <w:noWrap w:val="0"/>
            <w:vAlign w:val="center"/>
          </w:tcPr>
          <w:p w14:paraId="1715B652">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弱</w:t>
            </w:r>
          </w:p>
        </w:tc>
        <w:tc>
          <w:tcPr>
            <w:tcW w:w="776" w:type="pct"/>
            <w:shd w:val="clear" w:color="auto" w:fill="auto"/>
            <w:noWrap w:val="0"/>
            <w:vAlign w:val="center"/>
          </w:tcPr>
          <w:p w14:paraId="11DB5FF5">
            <w:pPr>
              <w:pStyle w:val="24"/>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2.1km</w:t>
            </w:r>
          </w:p>
        </w:tc>
      </w:tr>
      <w:tr w14:paraId="5376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5D37CAB6">
            <w:pPr>
              <w:pStyle w:val="24"/>
              <w:bidi w:val="0"/>
              <w:rPr>
                <w:rFonts w:hint="default" w:ascii="Times New Roman" w:hAnsi="Times New Roman" w:cs="Times New Roman"/>
                <w:color w:val="auto"/>
                <w:highlight w:val="none"/>
                <w:lang w:val="en-US" w:eastAsia="zh-CN"/>
              </w:rPr>
            </w:pPr>
          </w:p>
        </w:tc>
        <w:tc>
          <w:tcPr>
            <w:tcW w:w="558" w:type="pct"/>
            <w:noWrap w:val="0"/>
            <w:vAlign w:val="center"/>
          </w:tcPr>
          <w:p w14:paraId="5F3FEB9F">
            <w:pPr>
              <w:pStyle w:val="24"/>
              <w:ind w:left="0" w:leftChars="0"/>
              <w:rPr>
                <w:rFonts w:hint="eastAsia" w:ascii="Times New Roman" w:hAnsi="Times New Roman" w:eastAsia="宋体" w:cs="Times New Roman"/>
                <w:color w:val="auto"/>
                <w:lang w:val="en-US" w:eastAsia="zh-CN"/>
              </w:rPr>
            </w:pPr>
            <w:r>
              <w:rPr>
                <w:rFonts w:hint="eastAsia" w:cs="Times New Roman"/>
                <w:color w:val="auto"/>
                <w:lang w:val="en-US" w:eastAsia="zh-CN"/>
              </w:rPr>
              <w:t>3</w:t>
            </w:r>
          </w:p>
        </w:tc>
        <w:tc>
          <w:tcPr>
            <w:tcW w:w="1907" w:type="pct"/>
            <w:gridSpan w:val="3"/>
            <w:shd w:val="clear" w:color="auto" w:fill="auto"/>
            <w:noWrap w:val="0"/>
            <w:vAlign w:val="center"/>
          </w:tcPr>
          <w:p w14:paraId="16BE3488">
            <w:pPr>
              <w:pStyle w:val="24"/>
              <w:bidi w:val="0"/>
              <w:ind w:left="0" w:leftChars="0"/>
              <w:jc w:val="center"/>
              <w:rPr>
                <w:rFonts w:hint="eastAsia" w:eastAsia="宋体" w:cs="Times New Roman"/>
                <w:b w:val="0"/>
                <w:bCs w:val="0"/>
                <w:color w:val="auto"/>
                <w:sz w:val="21"/>
                <w:szCs w:val="21"/>
                <w:highlight w:val="none"/>
                <w:lang w:val="en-US" w:eastAsia="zh-CN"/>
              </w:rPr>
            </w:pPr>
            <w:r>
              <w:rPr>
                <w:rFonts w:hint="default" w:ascii="Times New Roman" w:hAnsi="Times New Roman" w:cs="Times New Roman"/>
                <w:color w:val="auto"/>
              </w:rPr>
              <w:t>第四系松散岩类孔隙水</w:t>
            </w:r>
            <w:r>
              <w:rPr>
                <w:rFonts w:hint="eastAsia" w:cs="Times New Roman"/>
                <w:color w:val="auto"/>
                <w:lang w:val="en-US" w:eastAsia="zh-CN"/>
              </w:rPr>
              <w:t>和</w:t>
            </w: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r>
              <w:rPr>
                <w:rFonts w:hint="eastAsia"/>
                <w:color w:val="auto"/>
                <w:szCs w:val="20"/>
                <w:highlight w:val="none"/>
                <w:lang w:val="en-US" w:eastAsia="zh-CN"/>
              </w:rPr>
              <w:t>基岩裂隙水</w:t>
            </w:r>
          </w:p>
        </w:tc>
        <w:tc>
          <w:tcPr>
            <w:tcW w:w="647" w:type="pct"/>
            <w:shd w:val="clear" w:color="auto" w:fill="auto"/>
            <w:noWrap w:val="0"/>
            <w:vAlign w:val="center"/>
          </w:tcPr>
          <w:p w14:paraId="7A750037">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highlight w:val="none"/>
                <w:lang w:val="en-US" w:eastAsia="zh-CN"/>
              </w:rPr>
              <w:t>Ⅲ</w:t>
            </w:r>
            <w:r>
              <w:rPr>
                <w:rFonts w:hint="default" w:ascii="Times New Roman" w:hAnsi="Times New Roman" w:cs="Times New Roman"/>
                <w:color w:val="auto"/>
                <w:highlight w:val="none"/>
                <w:lang w:val="en-US" w:eastAsia="zh-CN"/>
              </w:rPr>
              <w:t>类</w:t>
            </w:r>
          </w:p>
        </w:tc>
        <w:tc>
          <w:tcPr>
            <w:tcW w:w="731" w:type="pct"/>
            <w:gridSpan w:val="2"/>
            <w:shd w:val="clear" w:color="auto" w:fill="auto"/>
            <w:noWrap w:val="0"/>
            <w:vAlign w:val="center"/>
          </w:tcPr>
          <w:p w14:paraId="3B3CF80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弱</w:t>
            </w:r>
          </w:p>
        </w:tc>
        <w:tc>
          <w:tcPr>
            <w:tcW w:w="776" w:type="pct"/>
            <w:shd w:val="clear" w:color="auto" w:fill="auto"/>
            <w:noWrap w:val="0"/>
            <w:vAlign w:val="center"/>
          </w:tcPr>
          <w:p w14:paraId="1F2F5A7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w:t>
            </w:r>
          </w:p>
        </w:tc>
      </w:tr>
      <w:tr w14:paraId="2CBC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vMerge w:val="continue"/>
            <w:noWrap w:val="0"/>
            <w:vAlign w:val="center"/>
          </w:tcPr>
          <w:p w14:paraId="74ACF619">
            <w:pPr>
              <w:pStyle w:val="24"/>
              <w:bidi w:val="0"/>
              <w:rPr>
                <w:rFonts w:hint="default" w:ascii="Times New Roman" w:hAnsi="Times New Roman" w:cs="Times New Roman"/>
                <w:color w:val="auto"/>
                <w:highlight w:val="none"/>
                <w:lang w:val="en-US" w:eastAsia="zh-CN"/>
              </w:rPr>
            </w:pPr>
          </w:p>
        </w:tc>
        <w:tc>
          <w:tcPr>
            <w:tcW w:w="3845" w:type="pct"/>
            <w:gridSpan w:val="7"/>
            <w:noWrap w:val="0"/>
            <w:vAlign w:val="center"/>
          </w:tcPr>
          <w:p w14:paraId="582E7BD4">
            <w:pPr>
              <w:pStyle w:val="24"/>
              <w:bidi w:val="0"/>
              <w:ind w:left="0"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地</w:t>
            </w:r>
            <w:r>
              <w:rPr>
                <w:rFonts w:hint="eastAsia" w:cs="Times New Roman"/>
                <w:color w:val="auto"/>
                <w:highlight w:val="none"/>
                <w:lang w:val="en-US" w:eastAsia="zh-CN"/>
              </w:rPr>
              <w:t>下</w:t>
            </w:r>
            <w:r>
              <w:rPr>
                <w:rFonts w:hint="default" w:ascii="Times New Roman" w:hAnsi="Times New Roman" w:cs="Times New Roman"/>
                <w:color w:val="auto"/>
                <w:highlight w:val="none"/>
              </w:rPr>
              <w:t>水</w:t>
            </w:r>
            <w:r>
              <w:rPr>
                <w:rFonts w:hint="eastAsia" w:cs="Times New Roman"/>
                <w:color w:val="auto"/>
                <w:highlight w:val="none"/>
                <w:lang w:val="en-US" w:eastAsia="zh-CN"/>
              </w:rPr>
              <w:t>环境</w:t>
            </w:r>
            <w:r>
              <w:rPr>
                <w:rFonts w:hint="default" w:ascii="Times New Roman" w:hAnsi="Times New Roman" w:cs="Times New Roman"/>
                <w:color w:val="auto"/>
                <w:highlight w:val="none"/>
              </w:rPr>
              <w:t>敏感</w:t>
            </w:r>
            <w:r>
              <w:rPr>
                <w:rFonts w:hint="eastAsia" w:cs="Times New Roman"/>
                <w:color w:val="auto"/>
                <w:highlight w:val="none"/>
                <w:lang w:val="en-US" w:eastAsia="zh-CN"/>
              </w:rPr>
              <w:t>程度E值</w:t>
            </w:r>
          </w:p>
        </w:tc>
        <w:tc>
          <w:tcPr>
            <w:tcW w:w="776" w:type="pct"/>
            <w:noWrap w:val="0"/>
            <w:vAlign w:val="center"/>
          </w:tcPr>
          <w:p w14:paraId="07DE16D2">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E1</w:t>
            </w:r>
          </w:p>
        </w:tc>
      </w:tr>
      <w:tr w14:paraId="0FD5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9"/>
            <w:noWrap w:val="0"/>
            <w:vAlign w:val="center"/>
          </w:tcPr>
          <w:p w14:paraId="3A0DF1E3">
            <w:pPr>
              <w:pStyle w:val="24"/>
              <w:bidi w:val="0"/>
              <w:ind w:left="0" w:leftChars="0"/>
              <w:jc w:val="both"/>
              <w:rPr>
                <w:rFonts w:hint="default" w:cs="Times New Roman"/>
                <w:color w:val="auto"/>
                <w:highlight w:val="none"/>
                <w:lang w:val="en-US" w:eastAsia="zh-CN"/>
              </w:rPr>
            </w:pPr>
            <w:bookmarkStart w:id="170" w:name="_Toc16441"/>
            <w:r>
              <w:rPr>
                <w:rFonts w:hint="eastAsia" w:cs="Times New Roman"/>
                <w:color w:val="auto"/>
                <w:highlight w:val="none"/>
                <w:lang w:val="en-US" w:eastAsia="zh-CN"/>
              </w:rPr>
              <w:t>注：本项目西侧龙潭沟为季节性溪沟，多季节干涸，且有山体阻隔，可不作为地表水环境保护目标。</w:t>
            </w:r>
          </w:p>
        </w:tc>
      </w:tr>
    </w:tbl>
    <w:p w14:paraId="19F0C198">
      <w:pPr>
        <w:pStyle w:val="3"/>
        <w:bidi w:val="0"/>
        <w:rPr>
          <w:rFonts w:hint="default" w:ascii="Times New Roman" w:hAnsi="Times New Roman" w:cs="Times New Roman"/>
          <w:color w:val="auto"/>
          <w:highlight w:val="none"/>
          <w:lang w:val="en-US" w:eastAsia="zh-CN"/>
        </w:rPr>
      </w:pPr>
      <w:bookmarkStart w:id="171" w:name="_Toc30276"/>
      <w:r>
        <w:rPr>
          <w:rFonts w:hint="default" w:ascii="Times New Roman" w:hAnsi="Times New Roman" w:cs="Times New Roman"/>
          <w:color w:val="auto"/>
          <w:highlight w:val="none"/>
          <w:lang w:val="en-US" w:eastAsia="zh-CN"/>
        </w:rPr>
        <w:t>环境风险潜势初判</w:t>
      </w:r>
      <w:bookmarkEnd w:id="170"/>
      <w:bookmarkEnd w:id="171"/>
    </w:p>
    <w:p w14:paraId="7C21854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环境敏感程度（E）的确定</w:t>
      </w:r>
    </w:p>
    <w:p w14:paraId="3C87D9FF">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大气环境</w:t>
      </w:r>
    </w:p>
    <w:p w14:paraId="5B20746D">
      <w:pPr>
        <w:spacing w:line="360" w:lineRule="auto"/>
        <w:ind w:left="0" w:leftChars="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依据环境敏感目标环境敏感性及人口密度划分环境风险受体的敏感性，共分为三种类型，E1为环境高度敏感区，E2为环境中度敏感区，E3为环境低度敏感区。按照《建设项目环境风险评价技术导则》（HJ169-2018）表D.1确定大气环境敏感程度分级。</w:t>
      </w:r>
    </w:p>
    <w:p w14:paraId="591A1F51">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本项目大气环境敏感程度分级</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5970"/>
        <w:gridCol w:w="1567"/>
        <w:gridCol w:w="1089"/>
      </w:tblGrid>
      <w:tr w14:paraId="4F14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vAlign w:val="center"/>
          </w:tcPr>
          <w:p w14:paraId="794E260C">
            <w:pPr>
              <w:pStyle w:val="24"/>
              <w:rPr>
                <w:rFonts w:hint="default" w:ascii="Times New Roman" w:hAnsi="Times New Roman" w:cs="Times New Roman"/>
                <w:b/>
                <w:bCs/>
                <w:color w:val="auto"/>
              </w:rPr>
            </w:pPr>
            <w:r>
              <w:rPr>
                <w:rFonts w:hint="default" w:ascii="Times New Roman" w:hAnsi="Times New Roman" w:cs="Times New Roman"/>
                <w:b/>
                <w:bCs/>
                <w:color w:val="auto"/>
              </w:rPr>
              <w:t>分级</w:t>
            </w:r>
          </w:p>
        </w:tc>
        <w:tc>
          <w:tcPr>
            <w:tcW w:w="3136" w:type="pct"/>
            <w:vAlign w:val="center"/>
          </w:tcPr>
          <w:p w14:paraId="3FDABA82">
            <w:pPr>
              <w:pStyle w:val="24"/>
              <w:rPr>
                <w:rFonts w:hint="default" w:ascii="Times New Roman" w:hAnsi="Times New Roman" w:cs="Times New Roman"/>
                <w:b/>
                <w:bCs/>
                <w:color w:val="auto"/>
              </w:rPr>
            </w:pPr>
            <w:r>
              <w:rPr>
                <w:rFonts w:hint="default" w:ascii="Times New Roman" w:hAnsi="Times New Roman" w:cs="Times New Roman"/>
                <w:b/>
                <w:bCs/>
                <w:color w:val="auto"/>
              </w:rPr>
              <w:t>大气环境敏感性</w:t>
            </w:r>
          </w:p>
        </w:tc>
        <w:tc>
          <w:tcPr>
            <w:tcW w:w="823" w:type="pct"/>
            <w:vAlign w:val="center"/>
          </w:tcPr>
          <w:p w14:paraId="4D2E1CC9">
            <w:pPr>
              <w:pStyle w:val="24"/>
              <w:rPr>
                <w:rFonts w:hint="default" w:ascii="Times New Roman" w:hAnsi="Times New Roman" w:cs="Times New Roman"/>
                <w:b/>
                <w:bCs/>
                <w:color w:val="auto"/>
              </w:rPr>
            </w:pPr>
            <w:r>
              <w:rPr>
                <w:rFonts w:hint="default" w:ascii="Times New Roman" w:hAnsi="Times New Roman" w:cs="Times New Roman"/>
                <w:b/>
                <w:bCs/>
                <w:color w:val="auto"/>
              </w:rPr>
              <w:t>本项目情况</w:t>
            </w:r>
          </w:p>
        </w:tc>
        <w:tc>
          <w:tcPr>
            <w:tcW w:w="572" w:type="pct"/>
            <w:vAlign w:val="center"/>
          </w:tcPr>
          <w:p w14:paraId="0C04BBB4">
            <w:pPr>
              <w:pStyle w:val="24"/>
              <w:rPr>
                <w:rFonts w:hint="default" w:ascii="Times New Roman" w:hAnsi="Times New Roman" w:cs="Times New Roman"/>
                <w:b/>
                <w:bCs/>
                <w:color w:val="auto"/>
              </w:rPr>
            </w:pPr>
            <w:r>
              <w:rPr>
                <w:rFonts w:hint="default" w:ascii="Times New Roman" w:hAnsi="Times New Roman" w:cs="Times New Roman"/>
                <w:b/>
                <w:bCs/>
                <w:color w:val="auto"/>
              </w:rPr>
              <w:t>敏感程度</w:t>
            </w:r>
          </w:p>
        </w:tc>
      </w:tr>
      <w:tr w14:paraId="71ED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67" w:type="pct"/>
            <w:vAlign w:val="center"/>
          </w:tcPr>
          <w:p w14:paraId="7088B8D7">
            <w:pPr>
              <w:pStyle w:val="24"/>
              <w:rPr>
                <w:rFonts w:hint="default" w:ascii="Times New Roman" w:hAnsi="Times New Roman" w:cs="Times New Roman"/>
                <w:color w:val="auto"/>
              </w:rPr>
            </w:pPr>
            <w:r>
              <w:rPr>
                <w:rFonts w:hint="default" w:ascii="Times New Roman" w:hAnsi="Times New Roman" w:cs="Times New Roman"/>
                <w:color w:val="auto"/>
              </w:rPr>
              <w:t>E1</w:t>
            </w:r>
          </w:p>
        </w:tc>
        <w:tc>
          <w:tcPr>
            <w:tcW w:w="3136" w:type="pct"/>
            <w:vAlign w:val="center"/>
          </w:tcPr>
          <w:p w14:paraId="5428662B">
            <w:pPr>
              <w:pStyle w:val="24"/>
              <w:jc w:val="both"/>
              <w:rPr>
                <w:rFonts w:hint="default" w:ascii="Times New Roman" w:hAnsi="Times New Roman" w:eastAsia="宋体" w:cs="Times New Roman"/>
                <w:color w:val="auto"/>
                <w:lang w:eastAsia="zh-CN"/>
              </w:rPr>
            </w:pPr>
            <w:r>
              <w:rPr>
                <w:rFonts w:hint="default" w:ascii="Times New Roman" w:hAnsi="Times New Roman" w:cs="Times New Roman"/>
                <w:color w:val="auto"/>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r>
              <w:rPr>
                <w:rFonts w:hint="default" w:ascii="Times New Roman" w:hAnsi="Times New Roman" w:eastAsia="宋体" w:cs="Times New Roman"/>
                <w:color w:val="auto"/>
                <w:lang w:eastAsia="zh-CN"/>
              </w:rPr>
              <w:t>。</w:t>
            </w:r>
          </w:p>
        </w:tc>
        <w:tc>
          <w:tcPr>
            <w:tcW w:w="823" w:type="pct"/>
            <w:vMerge w:val="restart"/>
            <w:vAlign w:val="center"/>
          </w:tcPr>
          <w:p w14:paraId="0862E501">
            <w:pPr>
              <w:pStyle w:val="24"/>
              <w:jc w:val="both"/>
              <w:rPr>
                <w:rFonts w:hint="default" w:ascii="Times New Roman" w:hAnsi="Times New Roman" w:cs="Times New Roman"/>
                <w:color w:val="auto"/>
              </w:rPr>
            </w:pPr>
            <w:r>
              <w:rPr>
                <w:rFonts w:hint="default" w:ascii="Times New Roman" w:hAnsi="Times New Roman" w:cs="Times New Roman"/>
                <w:color w:val="auto"/>
                <w:highlight w:val="none"/>
                <w:lang w:val="en-US" w:eastAsia="zh-CN"/>
              </w:rPr>
              <w:t>本项目周边5km范围内居民区、医疗卫生、文化教育、科研行政办公等机构总人数大于5万人。</w:t>
            </w:r>
          </w:p>
        </w:tc>
        <w:tc>
          <w:tcPr>
            <w:tcW w:w="572" w:type="pct"/>
            <w:vMerge w:val="restart"/>
            <w:vAlign w:val="center"/>
          </w:tcPr>
          <w:p w14:paraId="24B7C64F">
            <w:pPr>
              <w:pStyle w:val="24"/>
              <w:rPr>
                <w:rFonts w:hint="default" w:ascii="Times New Roman" w:hAnsi="Times New Roman" w:eastAsia="宋体" w:cs="Times New Roman"/>
                <w:color w:val="auto"/>
                <w:lang w:val="en-US" w:eastAsia="zh-CN"/>
              </w:rPr>
            </w:pPr>
            <w:r>
              <w:rPr>
                <w:rFonts w:hint="default" w:ascii="Times New Roman" w:hAnsi="Times New Roman" w:cs="Times New Roman"/>
                <w:color w:val="auto"/>
              </w:rPr>
              <w:t>E</w:t>
            </w:r>
            <w:r>
              <w:rPr>
                <w:rFonts w:hint="default" w:ascii="Times New Roman" w:hAnsi="Times New Roman" w:cs="Times New Roman"/>
                <w:color w:val="auto"/>
                <w:lang w:val="en-US" w:eastAsia="zh-CN"/>
              </w:rPr>
              <w:t>1</w:t>
            </w:r>
          </w:p>
        </w:tc>
      </w:tr>
      <w:tr w14:paraId="3897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vAlign w:val="center"/>
          </w:tcPr>
          <w:p w14:paraId="513934B5">
            <w:pPr>
              <w:pStyle w:val="24"/>
              <w:rPr>
                <w:rFonts w:hint="default" w:ascii="Times New Roman" w:hAnsi="Times New Roman" w:cs="Times New Roman"/>
                <w:color w:val="auto"/>
              </w:rPr>
            </w:pPr>
            <w:r>
              <w:rPr>
                <w:rFonts w:hint="default" w:ascii="Times New Roman" w:hAnsi="Times New Roman" w:cs="Times New Roman"/>
                <w:color w:val="auto"/>
              </w:rPr>
              <w:t>E2</w:t>
            </w:r>
          </w:p>
        </w:tc>
        <w:tc>
          <w:tcPr>
            <w:tcW w:w="3136" w:type="pct"/>
            <w:vAlign w:val="center"/>
          </w:tcPr>
          <w:p w14:paraId="2EB5D1AF">
            <w:pPr>
              <w:pStyle w:val="24"/>
              <w:jc w:val="both"/>
              <w:rPr>
                <w:rFonts w:hint="default" w:ascii="Times New Roman" w:hAnsi="Times New Roman" w:eastAsia="宋体" w:cs="Times New Roman"/>
                <w:color w:val="auto"/>
                <w:lang w:eastAsia="zh-CN"/>
              </w:rPr>
            </w:pPr>
            <w:r>
              <w:rPr>
                <w:rFonts w:hint="default" w:ascii="Times New Roman" w:hAnsi="Times New Roman" w:cs="Times New Roman"/>
                <w:color w:val="auto"/>
              </w:rPr>
              <w:t>周边5km范围内居住区、医疗卫生、文化教育、科研、行政办公等机构人口总数大于1万人，小于5万人；或周边500m范围内人口总数大于500人小于1000人；油气、化学品输送管线管段周边200m 范围内，每千米管段人口数大于100人，小于200人</w:t>
            </w:r>
            <w:r>
              <w:rPr>
                <w:rFonts w:hint="default" w:ascii="Times New Roman" w:hAnsi="Times New Roman" w:eastAsia="宋体" w:cs="Times New Roman"/>
                <w:color w:val="auto"/>
                <w:lang w:eastAsia="zh-CN"/>
              </w:rPr>
              <w:t>。</w:t>
            </w:r>
          </w:p>
        </w:tc>
        <w:tc>
          <w:tcPr>
            <w:tcW w:w="823" w:type="pct"/>
            <w:vMerge w:val="continue"/>
            <w:vAlign w:val="center"/>
          </w:tcPr>
          <w:p w14:paraId="12E47B3C">
            <w:pPr>
              <w:pStyle w:val="24"/>
              <w:rPr>
                <w:rFonts w:hint="default" w:ascii="Times New Roman" w:hAnsi="Times New Roman" w:cs="Times New Roman"/>
                <w:color w:val="auto"/>
              </w:rPr>
            </w:pPr>
          </w:p>
        </w:tc>
        <w:tc>
          <w:tcPr>
            <w:tcW w:w="572" w:type="pct"/>
            <w:vMerge w:val="continue"/>
            <w:vAlign w:val="center"/>
          </w:tcPr>
          <w:p w14:paraId="6630B0AD">
            <w:pPr>
              <w:pStyle w:val="24"/>
              <w:rPr>
                <w:rFonts w:hint="default" w:ascii="Times New Roman" w:hAnsi="Times New Roman" w:cs="Times New Roman"/>
                <w:color w:val="auto"/>
              </w:rPr>
            </w:pPr>
          </w:p>
        </w:tc>
      </w:tr>
      <w:tr w14:paraId="3640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vAlign w:val="center"/>
          </w:tcPr>
          <w:p w14:paraId="2439FCE9">
            <w:pPr>
              <w:pStyle w:val="24"/>
              <w:rPr>
                <w:rFonts w:hint="default" w:ascii="Times New Roman" w:hAnsi="Times New Roman" w:cs="Times New Roman"/>
                <w:color w:val="auto"/>
              </w:rPr>
            </w:pPr>
            <w:r>
              <w:rPr>
                <w:rFonts w:hint="default" w:ascii="Times New Roman" w:hAnsi="Times New Roman" w:cs="Times New Roman"/>
                <w:color w:val="auto"/>
              </w:rPr>
              <w:t>E3</w:t>
            </w:r>
          </w:p>
        </w:tc>
        <w:tc>
          <w:tcPr>
            <w:tcW w:w="3136" w:type="pct"/>
            <w:vAlign w:val="center"/>
          </w:tcPr>
          <w:p w14:paraId="5A169E95">
            <w:pPr>
              <w:pStyle w:val="24"/>
              <w:jc w:val="both"/>
              <w:rPr>
                <w:rFonts w:hint="default" w:ascii="Times New Roman" w:hAnsi="Times New Roman" w:eastAsia="宋体" w:cs="Times New Roman"/>
                <w:color w:val="auto"/>
                <w:lang w:eastAsia="zh-CN"/>
              </w:rPr>
            </w:pPr>
            <w:r>
              <w:rPr>
                <w:rFonts w:hint="default" w:ascii="Times New Roman" w:hAnsi="Times New Roman" w:cs="Times New Roman"/>
                <w:color w:val="auto"/>
              </w:rPr>
              <w:t>周边5km范围内居住区、医疗卫生、文化教育、科研、行政办公等机构人口总数小于1万人；或周边500m范围内人口总数小于500人；油气、化学品输送管线管段周边200m范围内，每千米管段人口数小于100人</w:t>
            </w:r>
            <w:r>
              <w:rPr>
                <w:rFonts w:hint="default" w:ascii="Times New Roman" w:hAnsi="Times New Roman" w:eastAsia="宋体" w:cs="Times New Roman"/>
                <w:color w:val="auto"/>
                <w:lang w:eastAsia="zh-CN"/>
              </w:rPr>
              <w:t>。</w:t>
            </w:r>
          </w:p>
        </w:tc>
        <w:tc>
          <w:tcPr>
            <w:tcW w:w="823" w:type="pct"/>
            <w:vMerge w:val="continue"/>
            <w:vAlign w:val="center"/>
          </w:tcPr>
          <w:p w14:paraId="76FAFDC4">
            <w:pPr>
              <w:pStyle w:val="24"/>
              <w:rPr>
                <w:rFonts w:hint="default" w:ascii="Times New Roman" w:hAnsi="Times New Roman" w:cs="Times New Roman"/>
                <w:color w:val="auto"/>
              </w:rPr>
            </w:pPr>
          </w:p>
        </w:tc>
        <w:tc>
          <w:tcPr>
            <w:tcW w:w="572" w:type="pct"/>
            <w:vMerge w:val="continue"/>
            <w:vAlign w:val="center"/>
          </w:tcPr>
          <w:p w14:paraId="21675449">
            <w:pPr>
              <w:pStyle w:val="24"/>
              <w:rPr>
                <w:rFonts w:hint="default" w:ascii="Times New Roman" w:hAnsi="Times New Roman" w:cs="Times New Roman"/>
                <w:color w:val="auto"/>
              </w:rPr>
            </w:pPr>
          </w:p>
        </w:tc>
      </w:tr>
    </w:tbl>
    <w:p w14:paraId="651E3B9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由上表可知，本项目大气环境敏感程度为环境高度敏感区（E1）。</w:t>
      </w:r>
    </w:p>
    <w:p w14:paraId="0D613C49">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地表水环境</w:t>
      </w:r>
    </w:p>
    <w:p w14:paraId="15B424FB">
      <w:pPr>
        <w:spacing w:line="360" w:lineRule="auto"/>
        <w:ind w:left="0" w:leftChars="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依据事故情况下危险物质泄漏到水体的排放点受纳地表水体功能敏感性，与下游环境敏感目标情况，共分为三种类型，</w:t>
      </w:r>
      <w:r>
        <w:rPr>
          <w:rFonts w:hint="default" w:ascii="Times New Roman" w:hAnsi="Times New Roman" w:cs="Times New Roman"/>
          <w:color w:val="auto"/>
          <w:sz w:val="24"/>
        </w:rPr>
        <w:t>E1为环境高度敏感区，E2为环境中度敏感区，E3为环境低度敏感区。</w:t>
      </w:r>
    </w:p>
    <w:p w14:paraId="653261D2">
      <w:pPr>
        <w:spacing w:line="360" w:lineRule="auto"/>
        <w:ind w:left="0" w:leftChars="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1、</w:t>
      </w:r>
      <w:r>
        <w:rPr>
          <w:rFonts w:hint="default" w:ascii="Times New Roman" w:hAnsi="Times New Roman" w:cs="Times New Roman"/>
          <w:b/>
          <w:color w:val="auto"/>
          <w:sz w:val="24"/>
        </w:rPr>
        <w:t>地表水功能敏感性分区</w:t>
      </w:r>
    </w:p>
    <w:p w14:paraId="3C9E0D4B">
      <w:pPr>
        <w:spacing w:line="360" w:lineRule="auto"/>
        <w:ind w:left="0"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rPr>
        <w:t>按照《建设项目环境风险评价技术导则》（HJ169-2018）表D.3确定</w:t>
      </w:r>
      <w:r>
        <w:rPr>
          <w:rFonts w:hint="default" w:ascii="Times New Roman" w:hAnsi="Times New Roman" w:cs="Times New Roman"/>
          <w:color w:val="auto"/>
          <w:sz w:val="24"/>
          <w:szCs w:val="24"/>
        </w:rPr>
        <w:t>地表水功能敏感性分区。</w:t>
      </w:r>
    </w:p>
    <w:p w14:paraId="2724AE7F">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本项目地表水功能敏感性分区</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6060"/>
        <w:gridCol w:w="1352"/>
        <w:gridCol w:w="1150"/>
      </w:tblGrid>
      <w:tr w14:paraId="17E2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95" w:type="pct"/>
            <w:tcBorders>
              <w:top w:val="single" w:color="auto" w:sz="4" w:space="0"/>
              <w:left w:val="single" w:color="auto" w:sz="4" w:space="0"/>
            </w:tcBorders>
            <w:vAlign w:val="center"/>
          </w:tcPr>
          <w:p w14:paraId="5AB72A83">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敏感性</w:t>
            </w:r>
          </w:p>
        </w:tc>
        <w:tc>
          <w:tcPr>
            <w:tcW w:w="3187" w:type="pct"/>
            <w:tcBorders>
              <w:top w:val="single" w:color="auto" w:sz="4" w:space="0"/>
            </w:tcBorders>
            <w:vAlign w:val="center"/>
          </w:tcPr>
          <w:p w14:paraId="677DA32E">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地表水环境敏感特征</w:t>
            </w:r>
          </w:p>
        </w:tc>
        <w:tc>
          <w:tcPr>
            <w:tcW w:w="711" w:type="pct"/>
            <w:tcBorders>
              <w:top w:val="single" w:color="auto" w:sz="4" w:space="0"/>
            </w:tcBorders>
            <w:vAlign w:val="center"/>
          </w:tcPr>
          <w:p w14:paraId="31B24595">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本项目情况</w:t>
            </w:r>
          </w:p>
        </w:tc>
        <w:tc>
          <w:tcPr>
            <w:tcW w:w="605" w:type="pct"/>
            <w:tcBorders>
              <w:top w:val="single" w:color="auto" w:sz="4" w:space="0"/>
            </w:tcBorders>
            <w:vAlign w:val="center"/>
          </w:tcPr>
          <w:p w14:paraId="419F71BA">
            <w:pPr>
              <w:pStyle w:val="24"/>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敏感程度</w:t>
            </w:r>
          </w:p>
        </w:tc>
      </w:tr>
      <w:tr w14:paraId="26E1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495" w:type="pct"/>
            <w:tcBorders>
              <w:top w:val="single" w:color="auto" w:sz="4" w:space="0"/>
              <w:left w:val="single" w:color="auto" w:sz="4" w:space="0"/>
            </w:tcBorders>
            <w:vAlign w:val="center"/>
          </w:tcPr>
          <w:p w14:paraId="22C5AC13">
            <w:pPr>
              <w:pStyle w:val="24"/>
              <w:rPr>
                <w:rFonts w:hint="default" w:ascii="Times New Roman" w:hAnsi="Times New Roman" w:cs="Times New Roman"/>
                <w:color w:val="auto"/>
              </w:rPr>
            </w:pPr>
            <w:r>
              <w:rPr>
                <w:rFonts w:hint="default" w:ascii="Times New Roman" w:hAnsi="Times New Roman" w:eastAsia="宋体" w:cs="Times New Roman"/>
                <w:color w:val="auto"/>
              </w:rPr>
              <w:t>敏感</w:t>
            </w:r>
            <w:r>
              <w:rPr>
                <w:rFonts w:hint="default" w:ascii="Times New Roman" w:hAnsi="Times New Roman" w:cs="Times New Roman"/>
                <w:color w:val="auto"/>
              </w:rPr>
              <w:t>F1</w:t>
            </w:r>
          </w:p>
        </w:tc>
        <w:tc>
          <w:tcPr>
            <w:tcW w:w="3187" w:type="pct"/>
            <w:tcBorders>
              <w:top w:val="single" w:color="auto" w:sz="4" w:space="0"/>
            </w:tcBorders>
            <w:vAlign w:val="center"/>
          </w:tcPr>
          <w:p w14:paraId="7756A6D7">
            <w:pPr>
              <w:pStyle w:val="24"/>
              <w:rPr>
                <w:rFonts w:hint="default" w:ascii="Times New Roman" w:hAnsi="Times New Roman" w:cs="Times New Roman"/>
                <w:color w:val="auto"/>
              </w:rPr>
            </w:pPr>
            <w:r>
              <w:rPr>
                <w:rFonts w:hint="default" w:ascii="Times New Roman" w:hAnsi="Times New Roman" w:eastAsia="宋体" w:cs="Times New Roman"/>
                <w:color w:val="auto"/>
              </w:rPr>
              <w:t>排放点进入地表水水域环境功能为Ⅱ类及以上，或海水水质分类为第一类；或以发生事故时，危险物质泄漏到水体的排放点算起，排放进入受纳河流最大流速时，</w:t>
            </w:r>
            <w:r>
              <w:rPr>
                <w:rFonts w:hint="default" w:ascii="Times New Roman" w:hAnsi="Times New Roman" w:cs="Times New Roman"/>
                <w:color w:val="auto"/>
              </w:rPr>
              <w:t>24h</w:t>
            </w:r>
            <w:r>
              <w:rPr>
                <w:rFonts w:hint="default" w:ascii="Times New Roman" w:hAnsi="Times New Roman" w:eastAsia="宋体" w:cs="Times New Roman"/>
                <w:color w:val="auto"/>
              </w:rPr>
              <w:t>流经范围内跨</w:t>
            </w:r>
            <w:r>
              <w:rPr>
                <w:rFonts w:hint="default" w:ascii="Times New Roman" w:hAnsi="Times New Roman" w:eastAsia="宋体" w:cs="Times New Roman"/>
                <w:color w:val="auto"/>
                <w:lang w:val="en-US" w:eastAsia="zh-CN"/>
              </w:rPr>
              <w:t>国</w:t>
            </w:r>
            <w:r>
              <w:rPr>
                <w:rFonts w:hint="default" w:ascii="Times New Roman" w:hAnsi="Times New Roman" w:eastAsia="宋体" w:cs="Times New Roman"/>
                <w:color w:val="auto"/>
              </w:rPr>
              <w:t>界的。</w:t>
            </w:r>
          </w:p>
        </w:tc>
        <w:tc>
          <w:tcPr>
            <w:tcW w:w="711" w:type="pct"/>
            <w:vMerge w:val="restart"/>
            <w:tcBorders>
              <w:top w:val="single" w:color="auto" w:sz="4" w:space="0"/>
            </w:tcBorders>
            <w:vAlign w:val="center"/>
          </w:tcPr>
          <w:p w14:paraId="3E9FC4D4">
            <w:pPr>
              <w:pStyle w:val="2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w:t>
            </w:r>
            <w:r>
              <w:rPr>
                <w:rFonts w:hint="eastAsia" w:cs="Times New Roman"/>
                <w:color w:val="auto"/>
                <w:lang w:val="en-US" w:eastAsia="zh-CN"/>
              </w:rPr>
              <w:t>受纳水体通江河</w:t>
            </w:r>
            <w:r>
              <w:rPr>
                <w:rFonts w:hint="default" w:ascii="Times New Roman" w:hAnsi="Times New Roman" w:eastAsia="宋体" w:cs="Times New Roman"/>
                <w:color w:val="auto"/>
                <w:lang w:val="en-US" w:eastAsia="zh-CN"/>
              </w:rPr>
              <w:t>水域环境功能为Ⅲ类</w:t>
            </w:r>
            <w:r>
              <w:rPr>
                <w:rFonts w:hint="default" w:ascii="Times New Roman" w:hAnsi="Times New Roman" w:eastAsia="宋体" w:cs="Times New Roman"/>
                <w:color w:val="auto"/>
                <w:lang w:eastAsia="zh-CN"/>
              </w:rPr>
              <w:t>。</w:t>
            </w:r>
          </w:p>
        </w:tc>
        <w:tc>
          <w:tcPr>
            <w:tcW w:w="605" w:type="pct"/>
            <w:vMerge w:val="restart"/>
            <w:tcBorders>
              <w:top w:val="single" w:color="auto" w:sz="4" w:space="0"/>
            </w:tcBorders>
            <w:vAlign w:val="center"/>
          </w:tcPr>
          <w:p w14:paraId="67A104A5">
            <w:pPr>
              <w:pStyle w:val="24"/>
              <w:rPr>
                <w:rFonts w:hint="default" w:ascii="Times New Roman" w:hAnsi="Times New Roman" w:eastAsia="宋体" w:cs="Times New Roman"/>
                <w:color w:val="auto"/>
              </w:rPr>
            </w:pPr>
            <w:r>
              <w:rPr>
                <w:rFonts w:hint="default" w:ascii="Times New Roman" w:hAnsi="Times New Roman" w:cs="Times New Roman"/>
                <w:color w:val="auto"/>
              </w:rPr>
              <w:t>F</w:t>
            </w:r>
            <w:r>
              <w:rPr>
                <w:rFonts w:hint="default" w:ascii="Times New Roman" w:hAnsi="Times New Roman" w:eastAsia="宋体" w:cs="Times New Roman"/>
                <w:color w:val="auto"/>
                <w:lang w:val="en-US" w:eastAsia="zh-CN"/>
              </w:rPr>
              <w:t>2</w:t>
            </w:r>
          </w:p>
        </w:tc>
      </w:tr>
      <w:tr w14:paraId="6486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5" w:type="pct"/>
            <w:tcBorders>
              <w:top w:val="single" w:color="auto" w:sz="4" w:space="0"/>
              <w:left w:val="single" w:color="auto" w:sz="4" w:space="0"/>
            </w:tcBorders>
            <w:vAlign w:val="center"/>
          </w:tcPr>
          <w:p w14:paraId="5C542B90">
            <w:pPr>
              <w:pStyle w:val="24"/>
              <w:rPr>
                <w:rFonts w:hint="default" w:ascii="Times New Roman" w:hAnsi="Times New Roman" w:cs="Times New Roman"/>
                <w:color w:val="auto"/>
              </w:rPr>
            </w:pPr>
            <w:r>
              <w:rPr>
                <w:rFonts w:hint="default" w:ascii="Times New Roman" w:hAnsi="Times New Roman" w:eastAsia="宋体" w:cs="Times New Roman"/>
                <w:color w:val="auto"/>
              </w:rPr>
              <w:t>较敏感</w:t>
            </w:r>
            <w:r>
              <w:rPr>
                <w:rFonts w:hint="default" w:ascii="Times New Roman" w:hAnsi="Times New Roman" w:cs="Times New Roman"/>
                <w:color w:val="auto"/>
              </w:rPr>
              <w:t>F2</w:t>
            </w:r>
          </w:p>
        </w:tc>
        <w:tc>
          <w:tcPr>
            <w:tcW w:w="3187" w:type="pct"/>
            <w:tcBorders>
              <w:top w:val="single" w:color="auto" w:sz="4" w:space="0"/>
            </w:tcBorders>
            <w:vAlign w:val="center"/>
          </w:tcPr>
          <w:p w14:paraId="7CFEA166">
            <w:pPr>
              <w:pStyle w:val="24"/>
              <w:rPr>
                <w:rFonts w:hint="default" w:ascii="Times New Roman" w:hAnsi="Times New Roman" w:cs="Times New Roman"/>
                <w:color w:val="auto"/>
              </w:rPr>
            </w:pPr>
            <w:r>
              <w:rPr>
                <w:rFonts w:hint="default" w:ascii="Times New Roman" w:hAnsi="Times New Roman" w:eastAsia="宋体" w:cs="Times New Roman"/>
                <w:color w:val="auto"/>
              </w:rPr>
              <w:t>排放点进入地表水水域环境功能为Ⅲ类，或海水水质分类为第二类；或以发生事故时，危险物质泄漏到水体的排放点算起，排放进入受纳河流最大流速时，</w:t>
            </w:r>
            <w:r>
              <w:rPr>
                <w:rFonts w:hint="default" w:ascii="Times New Roman" w:hAnsi="Times New Roman" w:cs="Times New Roman"/>
                <w:color w:val="auto"/>
              </w:rPr>
              <w:t>24h</w:t>
            </w:r>
            <w:r>
              <w:rPr>
                <w:rFonts w:hint="default" w:ascii="Times New Roman" w:hAnsi="Times New Roman" w:eastAsia="宋体" w:cs="Times New Roman"/>
                <w:color w:val="auto"/>
              </w:rPr>
              <w:t>流经范围内跨省界的。</w:t>
            </w:r>
          </w:p>
        </w:tc>
        <w:tc>
          <w:tcPr>
            <w:tcW w:w="711" w:type="pct"/>
            <w:vMerge w:val="continue"/>
            <w:vAlign w:val="center"/>
          </w:tcPr>
          <w:p w14:paraId="2D59E67C">
            <w:pPr>
              <w:pStyle w:val="24"/>
              <w:rPr>
                <w:rFonts w:hint="default" w:ascii="Times New Roman" w:hAnsi="Times New Roman" w:cs="Times New Roman"/>
                <w:color w:val="auto"/>
              </w:rPr>
            </w:pPr>
          </w:p>
        </w:tc>
        <w:tc>
          <w:tcPr>
            <w:tcW w:w="605" w:type="pct"/>
            <w:vMerge w:val="continue"/>
            <w:vAlign w:val="center"/>
          </w:tcPr>
          <w:p w14:paraId="5E2C4737">
            <w:pPr>
              <w:pStyle w:val="24"/>
              <w:rPr>
                <w:rFonts w:hint="default" w:ascii="Times New Roman" w:hAnsi="Times New Roman" w:cs="Times New Roman"/>
                <w:color w:val="auto"/>
              </w:rPr>
            </w:pPr>
          </w:p>
        </w:tc>
      </w:tr>
      <w:tr w14:paraId="644C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5" w:type="pct"/>
            <w:tcBorders>
              <w:left w:val="single" w:color="auto" w:sz="4" w:space="0"/>
            </w:tcBorders>
            <w:vAlign w:val="center"/>
          </w:tcPr>
          <w:p w14:paraId="5C135A11">
            <w:pPr>
              <w:pStyle w:val="24"/>
              <w:rPr>
                <w:rFonts w:hint="default" w:ascii="Times New Roman" w:hAnsi="Times New Roman" w:cs="Times New Roman"/>
                <w:color w:val="auto"/>
              </w:rPr>
            </w:pPr>
            <w:r>
              <w:rPr>
                <w:rFonts w:hint="default" w:ascii="Times New Roman" w:hAnsi="Times New Roman" w:eastAsia="宋体" w:cs="Times New Roman"/>
                <w:color w:val="auto"/>
              </w:rPr>
              <w:t>低敏感</w:t>
            </w:r>
            <w:r>
              <w:rPr>
                <w:rFonts w:hint="default" w:ascii="Times New Roman" w:hAnsi="Times New Roman" w:cs="Times New Roman"/>
                <w:color w:val="auto"/>
              </w:rPr>
              <w:t>F3</w:t>
            </w:r>
          </w:p>
        </w:tc>
        <w:tc>
          <w:tcPr>
            <w:tcW w:w="3187" w:type="pct"/>
            <w:vAlign w:val="center"/>
          </w:tcPr>
          <w:p w14:paraId="05967F50">
            <w:pPr>
              <w:pStyle w:val="24"/>
              <w:rPr>
                <w:rFonts w:hint="default" w:ascii="Times New Roman" w:hAnsi="Times New Roman" w:cs="Times New Roman"/>
                <w:color w:val="auto"/>
              </w:rPr>
            </w:pPr>
            <w:r>
              <w:rPr>
                <w:rFonts w:hint="default" w:ascii="Times New Roman" w:hAnsi="Times New Roman" w:eastAsia="宋体" w:cs="Times New Roman"/>
                <w:color w:val="auto"/>
              </w:rPr>
              <w:t>上述地区之外的其他地区。</w:t>
            </w:r>
          </w:p>
        </w:tc>
        <w:tc>
          <w:tcPr>
            <w:tcW w:w="711" w:type="pct"/>
            <w:vMerge w:val="continue"/>
            <w:vAlign w:val="center"/>
          </w:tcPr>
          <w:p w14:paraId="4D3459E8">
            <w:pPr>
              <w:pStyle w:val="24"/>
              <w:rPr>
                <w:rFonts w:hint="default" w:ascii="Times New Roman" w:hAnsi="Times New Roman" w:cs="Times New Roman"/>
                <w:b/>
                <w:color w:val="auto"/>
              </w:rPr>
            </w:pPr>
          </w:p>
        </w:tc>
        <w:tc>
          <w:tcPr>
            <w:tcW w:w="605" w:type="pct"/>
            <w:vMerge w:val="continue"/>
            <w:vAlign w:val="center"/>
          </w:tcPr>
          <w:p w14:paraId="384372CE">
            <w:pPr>
              <w:pStyle w:val="24"/>
              <w:rPr>
                <w:rFonts w:hint="default" w:ascii="Times New Roman" w:hAnsi="Times New Roman" w:cs="Times New Roman"/>
                <w:b/>
                <w:color w:val="auto"/>
              </w:rPr>
            </w:pPr>
          </w:p>
        </w:tc>
      </w:tr>
    </w:tbl>
    <w:p w14:paraId="45C3214C">
      <w:pPr>
        <w:spacing w:line="360" w:lineRule="auto"/>
        <w:ind w:left="0" w:leftChars="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地表水环境敏感目标分级</w:t>
      </w:r>
    </w:p>
    <w:p w14:paraId="22E4F0A5">
      <w:pPr>
        <w:spacing w:line="360" w:lineRule="auto"/>
        <w:ind w:left="0"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rPr>
        <w:t>按照《建设项目环境风险评价技术导则》（HJ169-2018）表D.4确定地表水环境敏感目标分级</w:t>
      </w:r>
      <w:r>
        <w:rPr>
          <w:rFonts w:hint="default" w:ascii="Times New Roman" w:hAnsi="Times New Roman" w:cs="Times New Roman"/>
          <w:color w:val="auto"/>
          <w:sz w:val="24"/>
          <w:szCs w:val="24"/>
        </w:rPr>
        <w:t>。</w:t>
      </w:r>
    </w:p>
    <w:p w14:paraId="02D3072F">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本项目地表水环境敏感目标分级</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5898"/>
        <w:gridCol w:w="1512"/>
        <w:gridCol w:w="1139"/>
      </w:tblGrid>
      <w:tr w14:paraId="0A28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2" w:type="pct"/>
            <w:tcBorders>
              <w:top w:val="single" w:color="auto" w:sz="4" w:space="0"/>
              <w:left w:val="single" w:color="auto" w:sz="4" w:space="0"/>
            </w:tcBorders>
            <w:vAlign w:val="center"/>
          </w:tcPr>
          <w:p w14:paraId="5D792777">
            <w:pPr>
              <w:pStyle w:val="24"/>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敏感性</w:t>
            </w:r>
          </w:p>
        </w:tc>
        <w:tc>
          <w:tcPr>
            <w:tcW w:w="3102" w:type="pct"/>
            <w:tcBorders>
              <w:top w:val="single" w:color="auto" w:sz="4" w:space="0"/>
            </w:tcBorders>
            <w:vAlign w:val="center"/>
          </w:tcPr>
          <w:p w14:paraId="72F58514">
            <w:pPr>
              <w:pStyle w:val="24"/>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地表水环境敏感特征</w:t>
            </w:r>
          </w:p>
        </w:tc>
        <w:tc>
          <w:tcPr>
            <w:tcW w:w="795" w:type="pct"/>
            <w:tcBorders>
              <w:top w:val="single" w:color="auto" w:sz="4" w:space="0"/>
            </w:tcBorders>
            <w:vAlign w:val="center"/>
          </w:tcPr>
          <w:p w14:paraId="283A3DE4">
            <w:pPr>
              <w:pStyle w:val="24"/>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本项目情况</w:t>
            </w:r>
          </w:p>
        </w:tc>
        <w:tc>
          <w:tcPr>
            <w:tcW w:w="599" w:type="pct"/>
            <w:tcBorders>
              <w:top w:val="single" w:color="auto" w:sz="4" w:space="0"/>
            </w:tcBorders>
            <w:vAlign w:val="center"/>
          </w:tcPr>
          <w:p w14:paraId="31B9FB14">
            <w:pPr>
              <w:pStyle w:val="24"/>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敏感程度</w:t>
            </w:r>
          </w:p>
        </w:tc>
      </w:tr>
      <w:tr w14:paraId="7C09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2" w:type="pct"/>
            <w:tcBorders>
              <w:top w:val="single" w:color="auto" w:sz="4" w:space="0"/>
              <w:left w:val="single" w:color="auto" w:sz="4" w:space="0"/>
            </w:tcBorders>
            <w:vAlign w:val="center"/>
          </w:tcPr>
          <w:p w14:paraId="148FB596">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S1</w:t>
            </w:r>
          </w:p>
        </w:tc>
        <w:tc>
          <w:tcPr>
            <w:tcW w:w="3102" w:type="pct"/>
            <w:tcBorders>
              <w:top w:val="single" w:color="auto" w:sz="4" w:space="0"/>
            </w:tcBorders>
            <w:vAlign w:val="center"/>
          </w:tcPr>
          <w:p w14:paraId="6C6252DA">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发生事故时，危险物质泄漏到内陆水体的排放点下游（顺水流向）10km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w:t>
            </w:r>
            <w:r>
              <w:rPr>
                <w:rFonts w:hint="eastAsia" w:cs="Times New Roman"/>
                <w:b w:val="0"/>
                <w:bCs w:val="0"/>
                <w:color w:val="auto"/>
                <w:highlight w:val="none"/>
                <w:lang w:val="en-US" w:eastAsia="zh-CN"/>
              </w:rPr>
              <w:t>遗产</w:t>
            </w:r>
            <w:r>
              <w:rPr>
                <w:rFonts w:hint="default" w:ascii="Times New Roman" w:hAnsi="Times New Roman" w:eastAsia="宋体" w:cs="Times New Roman"/>
                <w:b w:val="0"/>
                <w:bCs w:val="0"/>
                <w:color w:val="auto"/>
                <w:highlight w:val="none"/>
                <w:lang w:val="en-US" w:eastAsia="zh-CN"/>
              </w:rPr>
              <w:t>地；红树林、珊瑚礁等滨海湿地生态系统；珍稀、濒危海洋生物的天然集中分布区；海洋特别保护区；海上自然保护区；盐场保护区；海水</w:t>
            </w:r>
            <w:r>
              <w:rPr>
                <w:rFonts w:hint="eastAsia" w:cs="Times New Roman"/>
                <w:b w:val="0"/>
                <w:bCs w:val="0"/>
                <w:color w:val="auto"/>
                <w:highlight w:val="none"/>
                <w:lang w:val="en-US" w:eastAsia="zh-CN"/>
              </w:rPr>
              <w:t>浴场</w:t>
            </w:r>
            <w:r>
              <w:rPr>
                <w:rFonts w:hint="default" w:ascii="Times New Roman" w:hAnsi="Times New Roman" w:eastAsia="宋体" w:cs="Times New Roman"/>
                <w:b w:val="0"/>
                <w:bCs w:val="0"/>
                <w:color w:val="auto"/>
                <w:highlight w:val="none"/>
                <w:lang w:val="en-US" w:eastAsia="zh-CN"/>
              </w:rPr>
              <w:t>；海洋自然历史遗迹；风景名胜区；或其他特殊重要保护区域。</w:t>
            </w:r>
          </w:p>
        </w:tc>
        <w:tc>
          <w:tcPr>
            <w:tcW w:w="795" w:type="pct"/>
            <w:vMerge w:val="restart"/>
            <w:tcBorders>
              <w:top w:val="single" w:color="auto" w:sz="4" w:space="0"/>
            </w:tcBorders>
            <w:vAlign w:val="center"/>
          </w:tcPr>
          <w:p w14:paraId="2CB3659A">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本项目涉及的危险物质主要存储于罐区、仓库、</w:t>
            </w:r>
            <w:r>
              <w:rPr>
                <w:rFonts w:hint="eastAsia" w:cs="Times New Roman"/>
                <w:b w:val="0"/>
                <w:bCs w:val="0"/>
                <w:color w:val="auto"/>
                <w:highlight w:val="none"/>
                <w:lang w:val="en-US" w:eastAsia="zh-CN"/>
              </w:rPr>
              <w:t>危废暂存间</w:t>
            </w:r>
            <w:r>
              <w:rPr>
                <w:rFonts w:hint="default" w:ascii="Times New Roman" w:hAnsi="Times New Roman" w:eastAsia="宋体" w:cs="Times New Roman"/>
                <w:b w:val="0"/>
                <w:bCs w:val="0"/>
                <w:color w:val="auto"/>
                <w:highlight w:val="none"/>
                <w:lang w:val="en-US" w:eastAsia="zh-CN"/>
              </w:rPr>
              <w:t>等，罐区设围堰，仓库和</w:t>
            </w:r>
            <w:r>
              <w:rPr>
                <w:rFonts w:hint="eastAsia" w:cs="Times New Roman"/>
                <w:b w:val="0"/>
                <w:bCs w:val="0"/>
                <w:color w:val="auto"/>
                <w:highlight w:val="none"/>
                <w:lang w:val="en-US" w:eastAsia="zh-CN"/>
              </w:rPr>
              <w:t>危废暂存间</w:t>
            </w:r>
            <w:r>
              <w:rPr>
                <w:rFonts w:hint="default" w:ascii="Times New Roman" w:hAnsi="Times New Roman" w:eastAsia="宋体" w:cs="Times New Roman"/>
                <w:b w:val="0"/>
                <w:bCs w:val="0"/>
                <w:color w:val="auto"/>
                <w:highlight w:val="none"/>
                <w:lang w:val="en-US" w:eastAsia="zh-CN"/>
              </w:rPr>
              <w:t>设</w:t>
            </w:r>
            <w:r>
              <w:rPr>
                <w:rFonts w:hint="eastAsia" w:cs="Times New Roman"/>
                <w:b w:val="0"/>
                <w:bCs w:val="0"/>
                <w:color w:val="auto"/>
                <w:highlight w:val="none"/>
                <w:lang w:val="en-US" w:eastAsia="zh-CN"/>
              </w:rPr>
              <w:t>地漏和集水池</w:t>
            </w:r>
            <w:r>
              <w:rPr>
                <w:rFonts w:hint="default" w:ascii="Times New Roman" w:hAnsi="Times New Roman" w:eastAsia="宋体" w:cs="Times New Roman"/>
                <w:b w:val="0"/>
                <w:bCs w:val="0"/>
                <w:color w:val="auto"/>
                <w:highlight w:val="none"/>
                <w:lang w:val="en-US" w:eastAsia="zh-CN"/>
              </w:rPr>
              <w:t>，发生事故时，能保证泄漏化学品得到有效收集，不会进入地表水环境</w:t>
            </w:r>
            <w:r>
              <w:rPr>
                <w:rFonts w:hint="default" w:ascii="Times New Roman" w:hAnsi="Times New Roman" w:cs="Times New Roman"/>
                <w:b w:val="0"/>
                <w:bCs w:val="0"/>
                <w:color w:val="auto"/>
                <w:highlight w:val="none"/>
                <w:lang w:val="en-US" w:eastAsia="zh-CN"/>
              </w:rPr>
              <w:t>，且下游</w:t>
            </w:r>
            <w:r>
              <w:rPr>
                <w:rFonts w:hint="default" w:ascii="Times New Roman" w:hAnsi="Times New Roman" w:eastAsia="宋体" w:cs="Times New Roman"/>
                <w:b w:val="0"/>
                <w:bCs w:val="0"/>
                <w:color w:val="auto"/>
                <w:highlight w:val="none"/>
                <w:lang w:val="en-US" w:eastAsia="zh-CN"/>
              </w:rPr>
              <w:t>10km范围内无上述类型1和类型2包括的敏感保护目标。</w:t>
            </w:r>
          </w:p>
        </w:tc>
        <w:tc>
          <w:tcPr>
            <w:tcW w:w="599" w:type="pct"/>
            <w:vMerge w:val="restart"/>
            <w:tcBorders>
              <w:top w:val="single" w:color="auto" w:sz="4" w:space="0"/>
            </w:tcBorders>
            <w:vAlign w:val="center"/>
          </w:tcPr>
          <w:p w14:paraId="72E9B404">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S3</w:t>
            </w:r>
          </w:p>
        </w:tc>
      </w:tr>
      <w:tr w14:paraId="4622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2" w:type="pct"/>
            <w:tcBorders>
              <w:top w:val="single" w:color="auto" w:sz="4" w:space="0"/>
              <w:left w:val="single" w:color="auto" w:sz="4" w:space="0"/>
            </w:tcBorders>
            <w:vAlign w:val="center"/>
          </w:tcPr>
          <w:p w14:paraId="169CB944">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S2</w:t>
            </w:r>
          </w:p>
        </w:tc>
        <w:tc>
          <w:tcPr>
            <w:tcW w:w="3102" w:type="pct"/>
            <w:tcBorders>
              <w:top w:val="single" w:color="auto" w:sz="4" w:space="0"/>
            </w:tcBorders>
            <w:vAlign w:val="center"/>
          </w:tcPr>
          <w:p w14:paraId="0BA9BA2C">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发生事故时，危险物质泄漏到内陆水体的排放点下游（顺水流向）10km范围内、近岸海域一个潮周期水质点可能达到的最大水平距离的两倍范围内，有如下一类或多类环境风险受体的：水产养殖区；天然场；森林公园；地质公园；海滨风景游览区；具有重要经济价值的海洋生物生存区域。</w:t>
            </w:r>
          </w:p>
        </w:tc>
        <w:tc>
          <w:tcPr>
            <w:tcW w:w="795" w:type="pct"/>
            <w:vMerge w:val="continue"/>
            <w:vAlign w:val="center"/>
          </w:tcPr>
          <w:p w14:paraId="23E2F7B6">
            <w:pPr>
              <w:pStyle w:val="31"/>
              <w:snapToGrid w:val="0"/>
              <w:rPr>
                <w:rFonts w:hint="default" w:ascii="Times New Roman" w:hAnsi="Times New Roman" w:cs="Times New Roman"/>
                <w:color w:val="auto"/>
                <w:szCs w:val="21"/>
              </w:rPr>
            </w:pPr>
          </w:p>
        </w:tc>
        <w:tc>
          <w:tcPr>
            <w:tcW w:w="599" w:type="pct"/>
            <w:vMerge w:val="continue"/>
            <w:vAlign w:val="center"/>
          </w:tcPr>
          <w:p w14:paraId="65D2EF1A">
            <w:pPr>
              <w:pStyle w:val="31"/>
              <w:snapToGrid w:val="0"/>
              <w:rPr>
                <w:rFonts w:hint="default" w:ascii="Times New Roman" w:hAnsi="Times New Roman" w:cs="Times New Roman"/>
                <w:color w:val="auto"/>
                <w:szCs w:val="21"/>
              </w:rPr>
            </w:pPr>
          </w:p>
        </w:tc>
      </w:tr>
      <w:tr w14:paraId="5E4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2" w:type="pct"/>
            <w:tcBorders>
              <w:left w:val="single" w:color="auto" w:sz="4" w:space="0"/>
            </w:tcBorders>
            <w:vAlign w:val="center"/>
          </w:tcPr>
          <w:p w14:paraId="6DCD9305">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S3</w:t>
            </w:r>
          </w:p>
        </w:tc>
        <w:tc>
          <w:tcPr>
            <w:tcW w:w="3102" w:type="pct"/>
            <w:vAlign w:val="center"/>
          </w:tcPr>
          <w:p w14:paraId="157555D8">
            <w:pPr>
              <w:pStyle w:val="24"/>
              <w:bidi w:val="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排放点下游（顺水流向）10km范围、近岸海域一个潮周期水质点可能达到的最大水平距离的两倍范围内无上述类型1和类型2包括的敏感保护目标。</w:t>
            </w:r>
          </w:p>
        </w:tc>
        <w:tc>
          <w:tcPr>
            <w:tcW w:w="795" w:type="pct"/>
            <w:vMerge w:val="continue"/>
            <w:vAlign w:val="center"/>
          </w:tcPr>
          <w:p w14:paraId="18962DEC">
            <w:pPr>
              <w:pStyle w:val="31"/>
              <w:snapToGrid w:val="0"/>
              <w:rPr>
                <w:rFonts w:hint="default" w:ascii="Times New Roman" w:hAnsi="Times New Roman" w:cs="Times New Roman"/>
                <w:b w:val="0"/>
                <w:color w:val="auto"/>
                <w:szCs w:val="21"/>
              </w:rPr>
            </w:pPr>
          </w:p>
        </w:tc>
        <w:tc>
          <w:tcPr>
            <w:tcW w:w="599" w:type="pct"/>
            <w:vMerge w:val="continue"/>
            <w:vAlign w:val="center"/>
          </w:tcPr>
          <w:p w14:paraId="41466990">
            <w:pPr>
              <w:pStyle w:val="31"/>
              <w:snapToGrid w:val="0"/>
              <w:rPr>
                <w:rFonts w:hint="default" w:ascii="Times New Roman" w:hAnsi="Times New Roman" w:cs="Times New Roman"/>
                <w:b w:val="0"/>
                <w:color w:val="auto"/>
                <w:szCs w:val="21"/>
              </w:rPr>
            </w:pPr>
          </w:p>
        </w:tc>
      </w:tr>
    </w:tbl>
    <w:p w14:paraId="4FB392D3">
      <w:pPr>
        <w:spacing w:line="360" w:lineRule="auto"/>
        <w:ind w:left="0" w:leftChars="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根据</w:t>
      </w:r>
      <w:r>
        <w:rPr>
          <w:rFonts w:hint="default" w:ascii="Times New Roman" w:hAnsi="Times New Roman" w:cs="Times New Roman"/>
          <w:color w:val="auto"/>
          <w:sz w:val="24"/>
        </w:rPr>
        <w:t>地表水功能敏感性分区和地表水环境敏感目标分级，按照《建设项目环境风险评价技术导则》（HJ169-2018）表D.2确定地表水环境敏感程度分级。</w:t>
      </w:r>
    </w:p>
    <w:p w14:paraId="4ABD9EAE">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地表水环境敏感程度分级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076"/>
        <w:gridCol w:w="1870"/>
        <w:gridCol w:w="1869"/>
        <w:gridCol w:w="1699"/>
      </w:tblGrid>
      <w:tr w14:paraId="032314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 w:hRule="atLeast"/>
          <w:jc w:val="center"/>
        </w:trPr>
        <w:tc>
          <w:tcPr>
            <w:tcW w:w="2142" w:type="pct"/>
            <w:vMerge w:val="restart"/>
            <w:vAlign w:val="center"/>
          </w:tcPr>
          <w:p w14:paraId="67F2E399">
            <w:pPr>
              <w:pStyle w:val="24"/>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环境敏感目标</w:t>
            </w:r>
          </w:p>
        </w:tc>
        <w:tc>
          <w:tcPr>
            <w:tcW w:w="2858" w:type="pct"/>
            <w:gridSpan w:val="3"/>
            <w:vAlign w:val="center"/>
          </w:tcPr>
          <w:p w14:paraId="545AF391">
            <w:pPr>
              <w:pStyle w:val="24"/>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地表水功能敏感性</w:t>
            </w:r>
          </w:p>
        </w:tc>
      </w:tr>
      <w:tr w14:paraId="20B5AA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6" w:hRule="atLeast"/>
          <w:jc w:val="center"/>
        </w:trPr>
        <w:tc>
          <w:tcPr>
            <w:tcW w:w="2142" w:type="pct"/>
            <w:vMerge w:val="continue"/>
            <w:vAlign w:val="center"/>
          </w:tcPr>
          <w:p w14:paraId="655A8ADE">
            <w:pPr>
              <w:pStyle w:val="24"/>
              <w:rPr>
                <w:rFonts w:hint="default" w:ascii="Times New Roman" w:hAnsi="Times New Roman" w:cs="Times New Roman" w:eastAsiaTheme="minorEastAsia"/>
                <w:b/>
                <w:bCs/>
                <w:color w:val="auto"/>
              </w:rPr>
            </w:pPr>
          </w:p>
        </w:tc>
        <w:tc>
          <w:tcPr>
            <w:tcW w:w="983" w:type="pct"/>
            <w:vAlign w:val="center"/>
          </w:tcPr>
          <w:p w14:paraId="78BA44F9">
            <w:pPr>
              <w:pStyle w:val="24"/>
              <w:rPr>
                <w:rFonts w:hint="default" w:ascii="Times New Roman" w:hAnsi="Times New Roman" w:cs="Times New Roman" w:eastAsiaTheme="minorEastAsia"/>
                <w:b w:val="0"/>
                <w:bCs w:val="0"/>
                <w:color w:val="auto"/>
              </w:rPr>
            </w:pPr>
            <w:r>
              <w:rPr>
                <w:rFonts w:hint="default" w:ascii="Times New Roman" w:hAnsi="Times New Roman" w:cs="Times New Roman" w:eastAsiaTheme="minorEastAsia"/>
                <w:b w:val="0"/>
                <w:bCs w:val="0"/>
                <w:color w:val="auto"/>
              </w:rPr>
              <w:t>F1</w:t>
            </w:r>
          </w:p>
        </w:tc>
        <w:tc>
          <w:tcPr>
            <w:tcW w:w="982" w:type="pct"/>
            <w:vAlign w:val="center"/>
          </w:tcPr>
          <w:p w14:paraId="6ADD5AE9">
            <w:pPr>
              <w:pStyle w:val="24"/>
              <w:rPr>
                <w:rFonts w:hint="default" w:ascii="Times New Roman" w:hAnsi="Times New Roman" w:cs="Times New Roman" w:eastAsiaTheme="minorEastAsia"/>
                <w:b w:val="0"/>
                <w:bCs w:val="0"/>
                <w:color w:val="auto"/>
              </w:rPr>
            </w:pPr>
            <w:r>
              <w:rPr>
                <w:rFonts w:hint="default" w:ascii="Times New Roman" w:hAnsi="Times New Roman" w:cs="Times New Roman" w:eastAsiaTheme="minorEastAsia"/>
                <w:b w:val="0"/>
                <w:bCs w:val="0"/>
                <w:color w:val="auto"/>
              </w:rPr>
              <w:t>F2</w:t>
            </w:r>
          </w:p>
        </w:tc>
        <w:tc>
          <w:tcPr>
            <w:tcW w:w="893" w:type="pct"/>
            <w:vAlign w:val="center"/>
          </w:tcPr>
          <w:p w14:paraId="26B3752C">
            <w:pPr>
              <w:pStyle w:val="24"/>
              <w:rPr>
                <w:rFonts w:hint="default" w:ascii="Times New Roman" w:hAnsi="Times New Roman" w:cs="Times New Roman" w:eastAsiaTheme="minorEastAsia"/>
                <w:b w:val="0"/>
                <w:bCs w:val="0"/>
                <w:color w:val="auto"/>
              </w:rPr>
            </w:pPr>
            <w:r>
              <w:rPr>
                <w:rFonts w:hint="default" w:ascii="Times New Roman" w:hAnsi="Times New Roman" w:cs="Times New Roman" w:eastAsiaTheme="minorEastAsia"/>
                <w:b w:val="0"/>
                <w:bCs w:val="0"/>
                <w:color w:val="auto"/>
              </w:rPr>
              <w:t>F3</w:t>
            </w:r>
          </w:p>
        </w:tc>
      </w:tr>
      <w:tr w14:paraId="7060C8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2142" w:type="pct"/>
            <w:vAlign w:val="center"/>
          </w:tcPr>
          <w:p w14:paraId="13F0B2A8">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S1</w:t>
            </w:r>
          </w:p>
        </w:tc>
        <w:tc>
          <w:tcPr>
            <w:tcW w:w="983" w:type="pct"/>
            <w:vAlign w:val="center"/>
          </w:tcPr>
          <w:p w14:paraId="36C77BAF">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p>
        </w:tc>
        <w:tc>
          <w:tcPr>
            <w:tcW w:w="982" w:type="pct"/>
            <w:vAlign w:val="center"/>
          </w:tcPr>
          <w:p w14:paraId="4020F0DD">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p>
        </w:tc>
        <w:tc>
          <w:tcPr>
            <w:tcW w:w="893" w:type="pct"/>
            <w:vAlign w:val="center"/>
          </w:tcPr>
          <w:p w14:paraId="3143C1BE">
            <w:pPr>
              <w:pStyle w:val="24"/>
              <w:rPr>
                <w:rFonts w:hint="default" w:ascii="Times New Roman" w:hAnsi="Times New Roman" w:cs="Times New Roman"/>
                <w:color w:val="auto"/>
              </w:rPr>
            </w:pPr>
            <w:r>
              <w:rPr>
                <w:rFonts w:hint="default" w:ascii="Times New Roman" w:hAnsi="Times New Roman" w:cs="Times New Roman"/>
                <w:color w:val="auto"/>
              </w:rPr>
              <w:t>E2</w:t>
            </w:r>
          </w:p>
        </w:tc>
      </w:tr>
      <w:tr w14:paraId="5C3B43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 w:hRule="atLeast"/>
          <w:jc w:val="center"/>
        </w:trPr>
        <w:tc>
          <w:tcPr>
            <w:tcW w:w="2142" w:type="pct"/>
            <w:vAlign w:val="center"/>
          </w:tcPr>
          <w:p w14:paraId="46A6455D">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S2</w:t>
            </w:r>
          </w:p>
        </w:tc>
        <w:tc>
          <w:tcPr>
            <w:tcW w:w="983" w:type="pct"/>
            <w:vAlign w:val="center"/>
          </w:tcPr>
          <w:p w14:paraId="1B7424AA">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p>
        </w:tc>
        <w:tc>
          <w:tcPr>
            <w:tcW w:w="982" w:type="pct"/>
            <w:vAlign w:val="center"/>
          </w:tcPr>
          <w:p w14:paraId="0BFFB661">
            <w:pPr>
              <w:pStyle w:val="24"/>
              <w:rPr>
                <w:rFonts w:hint="default" w:ascii="Times New Roman" w:hAnsi="Times New Roman" w:cs="Times New Roman"/>
                <w:color w:val="auto"/>
              </w:rPr>
            </w:pPr>
            <w:r>
              <w:rPr>
                <w:rFonts w:hint="default" w:ascii="Times New Roman" w:hAnsi="Times New Roman" w:cs="Times New Roman"/>
                <w:color w:val="auto"/>
              </w:rPr>
              <w:t>E2</w:t>
            </w:r>
          </w:p>
        </w:tc>
        <w:tc>
          <w:tcPr>
            <w:tcW w:w="893" w:type="pct"/>
            <w:vAlign w:val="center"/>
          </w:tcPr>
          <w:p w14:paraId="06767D97">
            <w:pPr>
              <w:pStyle w:val="24"/>
              <w:rPr>
                <w:rFonts w:hint="default" w:ascii="Times New Roman" w:hAnsi="Times New Roman" w:cs="Times New Roman"/>
                <w:color w:val="auto"/>
              </w:rPr>
            </w:pPr>
            <w:r>
              <w:rPr>
                <w:rFonts w:hint="default" w:ascii="Times New Roman" w:hAnsi="Times New Roman" w:cs="Times New Roman"/>
                <w:color w:val="auto"/>
              </w:rPr>
              <w:t>E3</w:t>
            </w:r>
          </w:p>
        </w:tc>
      </w:tr>
      <w:tr w14:paraId="2B5066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2142" w:type="pct"/>
            <w:vAlign w:val="center"/>
          </w:tcPr>
          <w:p w14:paraId="3FAD0DA4">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S3</w:t>
            </w:r>
          </w:p>
        </w:tc>
        <w:tc>
          <w:tcPr>
            <w:tcW w:w="983" w:type="pct"/>
            <w:vAlign w:val="center"/>
          </w:tcPr>
          <w:p w14:paraId="1D0EEA80">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p>
        </w:tc>
        <w:tc>
          <w:tcPr>
            <w:tcW w:w="982" w:type="pct"/>
            <w:vAlign w:val="center"/>
          </w:tcPr>
          <w:p w14:paraId="509A42BC">
            <w:pPr>
              <w:pStyle w:val="24"/>
              <w:rPr>
                <w:rFonts w:hint="default" w:ascii="Times New Roman" w:hAnsi="Times New Roman" w:cs="Times New Roman"/>
                <w:color w:val="auto"/>
              </w:rPr>
            </w:pPr>
            <w:r>
              <w:rPr>
                <w:rFonts w:hint="default" w:ascii="Times New Roman" w:hAnsi="Times New Roman" w:cs="Times New Roman"/>
                <w:color w:val="auto"/>
              </w:rPr>
              <w:t>E2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p>
        </w:tc>
        <w:tc>
          <w:tcPr>
            <w:tcW w:w="893" w:type="pct"/>
            <w:vAlign w:val="center"/>
          </w:tcPr>
          <w:p w14:paraId="6C370A71">
            <w:pPr>
              <w:pStyle w:val="24"/>
              <w:rPr>
                <w:rFonts w:hint="default" w:ascii="Times New Roman" w:hAnsi="Times New Roman" w:cs="Times New Roman" w:eastAsiaTheme="minorEastAsia"/>
                <w:color w:val="auto"/>
              </w:rPr>
            </w:pPr>
            <w:r>
              <w:rPr>
                <w:rFonts w:hint="default" w:ascii="Times New Roman" w:hAnsi="Times New Roman" w:cs="Times New Roman"/>
                <w:color w:val="auto"/>
              </w:rPr>
              <w:t>E3</w:t>
            </w:r>
          </w:p>
        </w:tc>
      </w:tr>
    </w:tbl>
    <w:p w14:paraId="5063B39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bCs/>
          <w:color w:val="auto"/>
          <w:sz w:val="24"/>
        </w:rPr>
        <w:t>由上述描述可知，本项目</w:t>
      </w:r>
      <w:r>
        <w:rPr>
          <w:rFonts w:hint="default" w:ascii="Times New Roman" w:hAnsi="Times New Roman" w:cs="Times New Roman"/>
          <w:color w:val="auto"/>
          <w:sz w:val="24"/>
        </w:rPr>
        <w:t>地表水环境敏感程度分级</w:t>
      </w:r>
      <w:r>
        <w:rPr>
          <w:rFonts w:hint="default" w:ascii="Times New Roman" w:hAnsi="Times New Roman" w:cs="Times New Roman"/>
          <w:bCs/>
          <w:color w:val="auto"/>
          <w:sz w:val="24"/>
          <w:szCs w:val="24"/>
        </w:rPr>
        <w:t>为E</w:t>
      </w:r>
      <w:r>
        <w:rPr>
          <w:rFonts w:hint="default" w:ascii="Times New Roman" w:hAnsi="Times New Roman" w:cs="Times New Roman"/>
          <w:bCs/>
          <w:color w:val="auto"/>
          <w:sz w:val="24"/>
          <w:szCs w:val="24"/>
          <w:lang w:val="en-US" w:eastAsia="zh-CN"/>
        </w:rPr>
        <w:t>2</w:t>
      </w:r>
      <w:r>
        <w:rPr>
          <w:rFonts w:hint="default" w:ascii="Times New Roman" w:hAnsi="Times New Roman" w:cs="Times New Roman"/>
          <w:bCs/>
          <w:color w:val="auto"/>
          <w:sz w:val="24"/>
          <w:szCs w:val="24"/>
        </w:rPr>
        <w:t>。</w:t>
      </w:r>
    </w:p>
    <w:p w14:paraId="3272D1DE">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地下水环境</w:t>
      </w:r>
    </w:p>
    <w:p w14:paraId="440EDE83">
      <w:pPr>
        <w:spacing w:line="360" w:lineRule="auto"/>
        <w:ind w:left="0"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依据地下水功能敏感性与包气带防污性能，共分为三种类型，E1为环境高度敏感区，E2为环境中度敏感区，E3为环境低度敏感区。</w:t>
      </w:r>
    </w:p>
    <w:p w14:paraId="79AAF5A3">
      <w:pPr>
        <w:spacing w:line="360" w:lineRule="auto"/>
        <w:ind w:left="0" w:leftChars="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1、</w:t>
      </w:r>
      <w:r>
        <w:rPr>
          <w:rFonts w:hint="default" w:ascii="Times New Roman" w:hAnsi="Times New Roman" w:cs="Times New Roman"/>
          <w:b/>
          <w:color w:val="auto"/>
          <w:sz w:val="24"/>
        </w:rPr>
        <w:t>地下水功能敏感性分区</w:t>
      </w:r>
    </w:p>
    <w:p w14:paraId="38B4DA2F">
      <w:pPr>
        <w:spacing w:line="360" w:lineRule="auto"/>
        <w:ind w:left="0"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rPr>
        <w:t>按照《建设项目环境风险评价技术导则》（HJ169-2018）表D.6确定地下水功能敏感性分区</w:t>
      </w:r>
      <w:r>
        <w:rPr>
          <w:rFonts w:hint="default" w:ascii="Times New Roman" w:hAnsi="Times New Roman" w:cs="Times New Roman"/>
          <w:color w:val="auto"/>
          <w:sz w:val="24"/>
          <w:szCs w:val="24"/>
        </w:rPr>
        <w:t>。</w:t>
      </w:r>
    </w:p>
    <w:p w14:paraId="1C424B2C">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本项目地下水功能敏感性分区</w:t>
      </w:r>
    </w:p>
    <w:tbl>
      <w:tblPr>
        <w:tblStyle w:val="2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5619"/>
        <w:gridCol w:w="1535"/>
        <w:gridCol w:w="1112"/>
      </w:tblGrid>
      <w:tr w14:paraId="64A1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1" w:type="pct"/>
            <w:tcBorders>
              <w:top w:val="single" w:color="auto" w:sz="4" w:space="0"/>
              <w:left w:val="single" w:color="auto" w:sz="4" w:space="0"/>
            </w:tcBorders>
            <w:vAlign w:val="center"/>
          </w:tcPr>
          <w:p w14:paraId="4C951343">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敏感性</w:t>
            </w:r>
          </w:p>
        </w:tc>
        <w:tc>
          <w:tcPr>
            <w:tcW w:w="2955" w:type="pct"/>
            <w:tcBorders>
              <w:top w:val="single" w:color="auto" w:sz="4" w:space="0"/>
            </w:tcBorders>
            <w:vAlign w:val="center"/>
          </w:tcPr>
          <w:p w14:paraId="65976550">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地</w:t>
            </w:r>
            <w:r>
              <w:rPr>
                <w:rFonts w:hint="default" w:ascii="Times New Roman" w:hAnsi="Times New Roman" w:cs="Times New Roman"/>
                <w:b/>
                <w:bCs/>
                <w:color w:val="auto"/>
                <w:lang w:val="en-US" w:eastAsia="zh-CN"/>
              </w:rPr>
              <w:t>下</w:t>
            </w:r>
            <w:r>
              <w:rPr>
                <w:rFonts w:hint="default" w:ascii="Times New Roman" w:hAnsi="Times New Roman" w:eastAsia="宋体" w:cs="Times New Roman"/>
                <w:b/>
                <w:bCs/>
                <w:color w:val="auto"/>
              </w:rPr>
              <w:t>水环境敏感特征</w:t>
            </w:r>
          </w:p>
        </w:tc>
        <w:tc>
          <w:tcPr>
            <w:tcW w:w="807" w:type="pct"/>
            <w:tcBorders>
              <w:top w:val="single" w:color="auto" w:sz="4" w:space="0"/>
            </w:tcBorders>
            <w:vAlign w:val="center"/>
          </w:tcPr>
          <w:p w14:paraId="3B5ECA96">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本项目情况</w:t>
            </w:r>
          </w:p>
        </w:tc>
        <w:tc>
          <w:tcPr>
            <w:tcW w:w="585" w:type="pct"/>
            <w:tcBorders>
              <w:top w:val="single" w:color="auto" w:sz="4" w:space="0"/>
            </w:tcBorders>
            <w:vAlign w:val="center"/>
          </w:tcPr>
          <w:p w14:paraId="2ED7854C">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lang w:val="en-US" w:eastAsia="zh-CN"/>
              </w:rPr>
              <w:t>敏感程度</w:t>
            </w:r>
          </w:p>
        </w:tc>
      </w:tr>
      <w:tr w14:paraId="74DB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1" w:type="pct"/>
            <w:tcBorders>
              <w:top w:val="single" w:color="auto" w:sz="4" w:space="0"/>
              <w:left w:val="single" w:color="auto" w:sz="4" w:space="0"/>
            </w:tcBorders>
            <w:vAlign w:val="center"/>
          </w:tcPr>
          <w:p w14:paraId="071AD34B">
            <w:pPr>
              <w:pStyle w:val="24"/>
              <w:rPr>
                <w:rFonts w:hint="default" w:ascii="Times New Roman" w:hAnsi="Times New Roman" w:cs="Times New Roman"/>
                <w:color w:val="auto"/>
              </w:rPr>
            </w:pPr>
            <w:r>
              <w:rPr>
                <w:rFonts w:hint="default" w:ascii="Times New Roman" w:hAnsi="Times New Roman" w:eastAsia="宋体" w:cs="Times New Roman"/>
                <w:color w:val="auto"/>
              </w:rPr>
              <w:t>敏感</w:t>
            </w:r>
            <w:r>
              <w:rPr>
                <w:rFonts w:hint="default" w:ascii="Times New Roman" w:hAnsi="Times New Roman" w:cs="Times New Roman"/>
                <w:color w:val="auto"/>
              </w:rPr>
              <w:t>G1</w:t>
            </w:r>
          </w:p>
        </w:tc>
        <w:tc>
          <w:tcPr>
            <w:tcW w:w="2955" w:type="pct"/>
            <w:tcBorders>
              <w:top w:val="single" w:color="auto" w:sz="4" w:space="0"/>
            </w:tcBorders>
            <w:vAlign w:val="center"/>
          </w:tcPr>
          <w:p w14:paraId="2C4D4517">
            <w:pPr>
              <w:pStyle w:val="24"/>
              <w:rPr>
                <w:rFonts w:hint="default" w:ascii="Times New Roman" w:hAnsi="Times New Roman" w:cs="Times New Roman"/>
                <w:color w:val="auto"/>
              </w:rPr>
            </w:pPr>
            <w:r>
              <w:rPr>
                <w:rFonts w:hint="default" w:ascii="Times New Roman" w:hAnsi="Times New Roman" w:eastAsia="宋体" w:cs="Times New Roman"/>
                <w:color w:val="auto"/>
              </w:rPr>
              <w:t>集中式饮用水水源（包括已建成的在用、备用、应急水源，在建和规划的饮用水水源）准保护区；除集中式饮用水水源以外的国家或地方政府设定的与地下水环境相关的其他保护区，如热水、矿泉水、温泉等特殊地下水资源</w:t>
            </w:r>
            <w:r>
              <w:rPr>
                <w:rFonts w:hint="default" w:ascii="Times New Roman" w:hAnsi="Times New Roman" w:eastAsia="宋体" w:cs="Times New Roman"/>
                <w:color w:val="auto"/>
                <w:lang w:val="en-US" w:eastAsia="zh-CN"/>
              </w:rPr>
              <w:t>保护</w:t>
            </w:r>
            <w:r>
              <w:rPr>
                <w:rFonts w:hint="default" w:ascii="Times New Roman" w:hAnsi="Times New Roman" w:eastAsia="宋体" w:cs="Times New Roman"/>
                <w:color w:val="auto"/>
              </w:rPr>
              <w:t>区。</w:t>
            </w:r>
          </w:p>
        </w:tc>
        <w:tc>
          <w:tcPr>
            <w:tcW w:w="807" w:type="pct"/>
            <w:vMerge w:val="restart"/>
            <w:tcBorders>
              <w:top w:val="single" w:color="auto" w:sz="4" w:space="0"/>
            </w:tcBorders>
            <w:vAlign w:val="center"/>
          </w:tcPr>
          <w:p w14:paraId="696F1BCE">
            <w:pPr>
              <w:pStyle w:val="24"/>
              <w:rPr>
                <w:rFonts w:hint="default" w:ascii="Times New Roman" w:hAnsi="Times New Roman" w:cs="Times New Roman"/>
                <w:b w:val="0"/>
                <w:bCs/>
                <w:color w:val="auto"/>
              </w:rPr>
            </w:pPr>
            <w:r>
              <w:rPr>
                <w:rFonts w:hint="default" w:ascii="Times New Roman" w:hAnsi="Times New Roman" w:cs="Times New Roman"/>
                <w:color w:val="auto"/>
                <w:highlight w:val="none"/>
                <w:lang w:val="en-US" w:eastAsia="zh-CN"/>
              </w:rPr>
              <w:t>本项目地下水环境影响评价范围内涉及</w:t>
            </w:r>
            <w:r>
              <w:rPr>
                <w:rFonts w:hint="eastAsia" w:cs="Times New Roman"/>
                <w:color w:val="auto"/>
                <w:highlight w:val="none"/>
                <w:lang w:val="en-US" w:eastAsia="zh-CN"/>
              </w:rPr>
              <w:t>分散式</w:t>
            </w:r>
            <w:r>
              <w:rPr>
                <w:rFonts w:hint="default" w:ascii="Times New Roman" w:hAnsi="Times New Roman" w:cs="Times New Roman"/>
                <w:color w:val="auto"/>
                <w:highlight w:val="none"/>
                <w:lang w:val="en-US" w:eastAsia="zh-CN"/>
              </w:rPr>
              <w:t>饮用水水源</w:t>
            </w:r>
            <w:r>
              <w:rPr>
                <w:rFonts w:hint="eastAsia" w:cs="Times New Roman"/>
                <w:color w:val="auto"/>
                <w:highlight w:val="none"/>
                <w:lang w:val="en-US" w:eastAsia="zh-CN"/>
              </w:rPr>
              <w:t>地</w:t>
            </w:r>
            <w:r>
              <w:rPr>
                <w:rFonts w:hint="default" w:ascii="Times New Roman" w:hAnsi="Times New Roman" w:cs="Times New Roman"/>
                <w:b w:val="0"/>
                <w:bCs/>
                <w:color w:val="auto"/>
              </w:rPr>
              <w:t>。</w:t>
            </w:r>
          </w:p>
        </w:tc>
        <w:tc>
          <w:tcPr>
            <w:tcW w:w="585" w:type="pct"/>
            <w:vMerge w:val="restart"/>
            <w:tcBorders>
              <w:top w:val="single" w:color="auto" w:sz="4" w:space="0"/>
            </w:tcBorders>
            <w:vAlign w:val="center"/>
          </w:tcPr>
          <w:p w14:paraId="25E9F303">
            <w:pPr>
              <w:pStyle w:val="24"/>
              <w:rPr>
                <w:rFonts w:hint="eastAsia" w:ascii="Times New Roman" w:hAnsi="Times New Roman" w:eastAsia="宋体" w:cs="Times New Roman"/>
                <w:color w:val="auto"/>
                <w:lang w:val="en-US" w:eastAsia="zh-CN"/>
              </w:rPr>
            </w:pPr>
            <w:r>
              <w:rPr>
                <w:rFonts w:hint="default" w:ascii="Times New Roman" w:hAnsi="Times New Roman" w:cs="Times New Roman"/>
                <w:color w:val="auto"/>
              </w:rPr>
              <w:t>G</w:t>
            </w:r>
            <w:r>
              <w:rPr>
                <w:rFonts w:hint="eastAsia" w:cs="Times New Roman"/>
                <w:color w:val="auto"/>
                <w:lang w:val="en-US" w:eastAsia="zh-CN"/>
              </w:rPr>
              <w:t>2</w:t>
            </w:r>
          </w:p>
        </w:tc>
      </w:tr>
      <w:tr w14:paraId="2100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1" w:type="pct"/>
            <w:tcBorders>
              <w:top w:val="single" w:color="auto" w:sz="4" w:space="0"/>
              <w:left w:val="single" w:color="auto" w:sz="4" w:space="0"/>
            </w:tcBorders>
            <w:vAlign w:val="center"/>
          </w:tcPr>
          <w:p w14:paraId="54EC6DA5">
            <w:pPr>
              <w:pStyle w:val="24"/>
              <w:rPr>
                <w:rFonts w:hint="default" w:ascii="Times New Roman" w:hAnsi="Times New Roman" w:cs="Times New Roman"/>
                <w:color w:val="auto"/>
              </w:rPr>
            </w:pPr>
            <w:r>
              <w:rPr>
                <w:rFonts w:hint="default" w:ascii="Times New Roman" w:hAnsi="Times New Roman" w:eastAsia="宋体" w:cs="Times New Roman"/>
                <w:color w:val="auto"/>
              </w:rPr>
              <w:t>较敏感</w:t>
            </w:r>
            <w:r>
              <w:rPr>
                <w:rFonts w:hint="default" w:ascii="Times New Roman" w:hAnsi="Times New Roman" w:cs="Times New Roman"/>
                <w:color w:val="auto"/>
              </w:rPr>
              <w:t>G2</w:t>
            </w:r>
          </w:p>
        </w:tc>
        <w:tc>
          <w:tcPr>
            <w:tcW w:w="2955" w:type="pct"/>
            <w:tcBorders>
              <w:top w:val="single" w:color="auto" w:sz="4" w:space="0"/>
            </w:tcBorders>
            <w:vAlign w:val="center"/>
          </w:tcPr>
          <w:p w14:paraId="34B3C548">
            <w:pPr>
              <w:pStyle w:val="24"/>
              <w:rPr>
                <w:rFonts w:hint="default" w:ascii="Times New Roman" w:hAnsi="Times New Roman" w:cs="Times New Roman"/>
                <w:color w:val="auto"/>
              </w:rPr>
            </w:pPr>
            <w:r>
              <w:rPr>
                <w:rFonts w:hint="default" w:ascii="Times New Roman" w:hAnsi="Times New Roman" w:eastAsia="宋体" w:cs="Times New Roman"/>
                <w:color w:val="auto"/>
              </w:rP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p>
        </w:tc>
        <w:tc>
          <w:tcPr>
            <w:tcW w:w="807" w:type="pct"/>
            <w:vMerge w:val="continue"/>
            <w:vAlign w:val="center"/>
          </w:tcPr>
          <w:p w14:paraId="08C5E87B">
            <w:pPr>
              <w:pStyle w:val="24"/>
              <w:rPr>
                <w:rFonts w:hint="default" w:ascii="Times New Roman" w:hAnsi="Times New Roman" w:cs="Times New Roman"/>
                <w:color w:val="auto"/>
              </w:rPr>
            </w:pPr>
          </w:p>
        </w:tc>
        <w:tc>
          <w:tcPr>
            <w:tcW w:w="585" w:type="pct"/>
            <w:vMerge w:val="continue"/>
            <w:vAlign w:val="center"/>
          </w:tcPr>
          <w:p w14:paraId="1725FB62">
            <w:pPr>
              <w:pStyle w:val="24"/>
              <w:rPr>
                <w:rFonts w:hint="default" w:ascii="Times New Roman" w:hAnsi="Times New Roman" w:cs="Times New Roman"/>
                <w:color w:val="auto"/>
              </w:rPr>
            </w:pPr>
          </w:p>
        </w:tc>
      </w:tr>
      <w:tr w14:paraId="35D1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1" w:type="pct"/>
            <w:tcBorders>
              <w:left w:val="single" w:color="auto" w:sz="4" w:space="0"/>
            </w:tcBorders>
            <w:vAlign w:val="center"/>
          </w:tcPr>
          <w:p w14:paraId="204FB228">
            <w:pPr>
              <w:pStyle w:val="24"/>
              <w:rPr>
                <w:rFonts w:hint="default" w:ascii="Times New Roman" w:hAnsi="Times New Roman" w:cs="Times New Roman"/>
                <w:color w:val="auto"/>
              </w:rPr>
            </w:pPr>
            <w:r>
              <w:rPr>
                <w:rFonts w:hint="default" w:ascii="Times New Roman" w:hAnsi="Times New Roman" w:eastAsia="宋体" w:cs="Times New Roman"/>
                <w:color w:val="auto"/>
              </w:rPr>
              <w:t>低敏感</w:t>
            </w:r>
            <w:r>
              <w:rPr>
                <w:rFonts w:hint="default" w:ascii="Times New Roman" w:hAnsi="Times New Roman" w:cs="Times New Roman"/>
                <w:color w:val="auto"/>
              </w:rPr>
              <w:t>G3</w:t>
            </w:r>
          </w:p>
        </w:tc>
        <w:tc>
          <w:tcPr>
            <w:tcW w:w="2955" w:type="pct"/>
            <w:vAlign w:val="center"/>
          </w:tcPr>
          <w:p w14:paraId="44E0A33A">
            <w:pPr>
              <w:pStyle w:val="24"/>
              <w:rPr>
                <w:rFonts w:hint="default" w:ascii="Times New Roman" w:hAnsi="Times New Roman" w:cs="Times New Roman"/>
                <w:color w:val="auto"/>
              </w:rPr>
            </w:pPr>
            <w:r>
              <w:rPr>
                <w:rFonts w:hint="default" w:ascii="Times New Roman" w:hAnsi="Times New Roman" w:eastAsia="宋体" w:cs="Times New Roman"/>
                <w:color w:val="auto"/>
              </w:rPr>
              <w:t>上述地区之外的其他地区。</w:t>
            </w:r>
          </w:p>
        </w:tc>
        <w:tc>
          <w:tcPr>
            <w:tcW w:w="807" w:type="pct"/>
            <w:vMerge w:val="continue"/>
            <w:vAlign w:val="center"/>
          </w:tcPr>
          <w:p w14:paraId="34EE59F5">
            <w:pPr>
              <w:pStyle w:val="24"/>
              <w:rPr>
                <w:rFonts w:hint="default" w:ascii="Times New Roman" w:hAnsi="Times New Roman" w:cs="Times New Roman"/>
                <w:b/>
                <w:color w:val="auto"/>
              </w:rPr>
            </w:pPr>
          </w:p>
        </w:tc>
        <w:tc>
          <w:tcPr>
            <w:tcW w:w="585" w:type="pct"/>
            <w:vMerge w:val="continue"/>
            <w:vAlign w:val="center"/>
          </w:tcPr>
          <w:p w14:paraId="1DED2B75">
            <w:pPr>
              <w:pStyle w:val="24"/>
              <w:rPr>
                <w:rFonts w:hint="default" w:ascii="Times New Roman" w:hAnsi="Times New Roman" w:cs="Times New Roman"/>
                <w:b/>
                <w:color w:val="auto"/>
              </w:rPr>
            </w:pPr>
          </w:p>
        </w:tc>
      </w:tr>
    </w:tbl>
    <w:p w14:paraId="6524EA49">
      <w:pPr>
        <w:spacing w:line="360" w:lineRule="auto"/>
        <w:ind w:left="0" w:leftChars="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包气带防污性能分级</w:t>
      </w:r>
    </w:p>
    <w:p w14:paraId="720993CC">
      <w:pPr>
        <w:spacing w:line="360" w:lineRule="auto"/>
        <w:ind w:left="0"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rPr>
        <w:t>按照《建设项目环境风险评价技术导则》（HJ169-2018）表D.</w:t>
      </w:r>
      <w:r>
        <w:rPr>
          <w:rFonts w:hint="default" w:ascii="Times New Roman" w:hAnsi="Times New Roman" w:cs="Times New Roman"/>
          <w:color w:val="auto"/>
          <w:sz w:val="24"/>
          <w:lang w:val="en-US" w:eastAsia="zh-CN"/>
        </w:rPr>
        <w:t>7</w:t>
      </w:r>
      <w:r>
        <w:rPr>
          <w:rFonts w:hint="default" w:ascii="Times New Roman" w:hAnsi="Times New Roman" w:cs="Times New Roman"/>
          <w:color w:val="auto"/>
          <w:sz w:val="24"/>
        </w:rPr>
        <w:t>确定包气带防污性能分级</w:t>
      </w:r>
      <w:r>
        <w:rPr>
          <w:rFonts w:hint="default" w:ascii="Times New Roman" w:hAnsi="Times New Roman" w:cs="Times New Roman"/>
          <w:color w:val="auto"/>
          <w:sz w:val="24"/>
          <w:szCs w:val="24"/>
        </w:rPr>
        <w:t>。</w:t>
      </w:r>
    </w:p>
    <w:p w14:paraId="571CE58B">
      <w:pPr>
        <w:spacing w:line="360" w:lineRule="auto"/>
        <w:ind w:left="0" w:leftChars="0" w:firstLine="480" w:firstLineChars="200"/>
        <w:rPr>
          <w:rFonts w:hint="default" w:ascii="Times New Roman" w:hAnsi="Times New Roman" w:cs="Times New Roman"/>
          <w:color w:val="auto"/>
          <w:sz w:val="24"/>
          <w:szCs w:val="24"/>
        </w:rPr>
      </w:pPr>
    </w:p>
    <w:p w14:paraId="19B8A23F">
      <w:pPr>
        <w:spacing w:line="360" w:lineRule="auto"/>
        <w:ind w:left="0" w:leftChars="0" w:firstLine="480" w:firstLineChars="200"/>
        <w:rPr>
          <w:rFonts w:hint="default" w:ascii="Times New Roman" w:hAnsi="Times New Roman" w:cs="Times New Roman"/>
          <w:color w:val="auto"/>
          <w:sz w:val="24"/>
          <w:szCs w:val="24"/>
        </w:rPr>
      </w:pPr>
    </w:p>
    <w:p w14:paraId="324DF2F8">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本项目包气带防污性能分级</w:t>
      </w:r>
    </w:p>
    <w:tbl>
      <w:tblPr>
        <w:tblStyle w:val="2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6117"/>
        <w:gridCol w:w="1544"/>
        <w:gridCol w:w="1101"/>
      </w:tblGrid>
      <w:tr w14:paraId="7AEC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1" w:type="pct"/>
            <w:tcBorders>
              <w:top w:val="single" w:color="auto" w:sz="4" w:space="0"/>
              <w:left w:val="single" w:color="auto" w:sz="4" w:space="0"/>
            </w:tcBorders>
            <w:vAlign w:val="center"/>
          </w:tcPr>
          <w:p w14:paraId="35C9E593">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分级</w:t>
            </w:r>
          </w:p>
        </w:tc>
        <w:tc>
          <w:tcPr>
            <w:tcW w:w="3216" w:type="pct"/>
            <w:tcBorders>
              <w:top w:val="single" w:color="auto" w:sz="4" w:space="0"/>
            </w:tcBorders>
            <w:vAlign w:val="center"/>
          </w:tcPr>
          <w:p w14:paraId="0CE6D8E5">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包气带岩土的渗透性能</w:t>
            </w:r>
          </w:p>
        </w:tc>
        <w:tc>
          <w:tcPr>
            <w:tcW w:w="812" w:type="pct"/>
            <w:tcBorders>
              <w:top w:val="single" w:color="auto" w:sz="4" w:space="0"/>
            </w:tcBorders>
            <w:vAlign w:val="center"/>
          </w:tcPr>
          <w:p w14:paraId="4758E66D">
            <w:pPr>
              <w:pStyle w:val="24"/>
              <w:rPr>
                <w:rFonts w:hint="default" w:ascii="Times New Roman" w:hAnsi="Times New Roman" w:cs="Times New Roman"/>
                <w:b/>
                <w:bCs/>
                <w:color w:val="auto"/>
              </w:rPr>
            </w:pPr>
            <w:r>
              <w:rPr>
                <w:rFonts w:hint="default" w:ascii="Times New Roman" w:hAnsi="Times New Roman" w:eastAsia="宋体" w:cs="Times New Roman"/>
                <w:b/>
                <w:bCs/>
                <w:color w:val="auto"/>
              </w:rPr>
              <w:t>本项目情况</w:t>
            </w:r>
          </w:p>
        </w:tc>
        <w:tc>
          <w:tcPr>
            <w:tcW w:w="579" w:type="pct"/>
            <w:tcBorders>
              <w:top w:val="single" w:color="auto" w:sz="4" w:space="0"/>
            </w:tcBorders>
            <w:vAlign w:val="center"/>
          </w:tcPr>
          <w:p w14:paraId="417FE453">
            <w:pPr>
              <w:pStyle w:val="24"/>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敏感程度</w:t>
            </w:r>
          </w:p>
        </w:tc>
      </w:tr>
      <w:tr w14:paraId="4864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1" w:type="pct"/>
            <w:tcBorders>
              <w:top w:val="single" w:color="auto" w:sz="4" w:space="0"/>
              <w:left w:val="single" w:color="auto" w:sz="4" w:space="0"/>
            </w:tcBorders>
            <w:vAlign w:val="center"/>
          </w:tcPr>
          <w:p w14:paraId="1F145066">
            <w:pPr>
              <w:pStyle w:val="24"/>
              <w:rPr>
                <w:rFonts w:hint="default" w:ascii="Times New Roman" w:hAnsi="Times New Roman" w:cs="Times New Roman"/>
                <w:color w:val="auto"/>
              </w:rPr>
            </w:pPr>
            <w:r>
              <w:rPr>
                <w:rFonts w:hint="default" w:ascii="Times New Roman" w:hAnsi="Times New Roman" w:cs="Times New Roman"/>
                <w:color w:val="auto"/>
              </w:rPr>
              <w:t>D3</w:t>
            </w:r>
          </w:p>
        </w:tc>
        <w:tc>
          <w:tcPr>
            <w:tcW w:w="3216" w:type="pct"/>
            <w:tcBorders>
              <w:top w:val="single" w:color="auto" w:sz="4" w:space="0"/>
            </w:tcBorders>
            <w:vAlign w:val="center"/>
          </w:tcPr>
          <w:p w14:paraId="644FC5B4">
            <w:pPr>
              <w:pStyle w:val="24"/>
              <w:rPr>
                <w:rFonts w:hint="default" w:ascii="Times New Roman" w:hAnsi="Times New Roman" w:cs="Times New Roman"/>
                <w:color w:val="auto"/>
              </w:rPr>
            </w:pPr>
            <w:r>
              <w:rPr>
                <w:rFonts w:hint="default" w:ascii="Times New Roman" w:hAnsi="Times New Roman" w:cs="Times New Roman"/>
                <w:color w:val="auto"/>
              </w:rPr>
              <w:t>Mb≥1.0m</w:t>
            </w:r>
            <w:r>
              <w:rPr>
                <w:rFonts w:hint="default" w:ascii="Times New Roman" w:hAnsi="Times New Roman" w:eastAsia="宋体" w:cs="Times New Roman"/>
                <w:color w:val="auto"/>
              </w:rPr>
              <w:t>，</w:t>
            </w:r>
            <w:r>
              <w:rPr>
                <w:rFonts w:hint="default" w:ascii="Times New Roman" w:hAnsi="Times New Roman" w:cs="Times New Roman"/>
                <w:color w:val="auto"/>
              </w:rPr>
              <w:t>K≤1.0×10</w:t>
            </w:r>
            <w:r>
              <w:rPr>
                <w:rFonts w:hint="default" w:ascii="Times New Roman" w:hAnsi="Times New Roman" w:cs="Times New Roman"/>
                <w:color w:val="auto"/>
                <w:vertAlign w:val="superscript"/>
              </w:rPr>
              <w:t>-6</w:t>
            </w:r>
            <w:r>
              <w:rPr>
                <w:rFonts w:hint="default" w:ascii="Times New Roman" w:hAnsi="Times New Roman" w:cs="Times New Roman"/>
                <w:color w:val="auto"/>
              </w:rPr>
              <w:t>cm/s</w:t>
            </w:r>
            <w:r>
              <w:rPr>
                <w:rFonts w:hint="default" w:ascii="Times New Roman" w:hAnsi="Times New Roman" w:eastAsia="宋体" w:cs="Times New Roman"/>
                <w:color w:val="auto"/>
              </w:rPr>
              <w:t>，且分布连续、稳定</w:t>
            </w:r>
          </w:p>
        </w:tc>
        <w:tc>
          <w:tcPr>
            <w:tcW w:w="812" w:type="pct"/>
            <w:vMerge w:val="restart"/>
            <w:tcBorders>
              <w:top w:val="single" w:color="auto" w:sz="4" w:space="0"/>
            </w:tcBorders>
            <w:vAlign w:val="center"/>
          </w:tcPr>
          <w:p w14:paraId="7E7C4A94">
            <w:pPr>
              <w:pStyle w:val="24"/>
              <w:rPr>
                <w:rFonts w:hint="default" w:ascii="Times New Roman" w:hAnsi="Times New Roman" w:eastAsia="宋体" w:cs="Times New Roman"/>
                <w:b/>
                <w:color w:val="auto"/>
                <w:sz w:val="21"/>
                <w:szCs w:val="21"/>
                <w:lang w:eastAsia="zh-CN"/>
              </w:rPr>
            </w:pPr>
            <w:r>
              <w:rPr>
                <w:rFonts w:hint="default" w:ascii="Times New Roman" w:hAnsi="Times New Roman" w:eastAsia="宋体" w:cs="Times New Roman"/>
                <w:color w:val="auto"/>
                <w:sz w:val="21"/>
                <w:szCs w:val="21"/>
              </w:rPr>
              <w:t>本项目</w:t>
            </w:r>
            <w:r>
              <w:rPr>
                <w:rFonts w:hint="default" w:ascii="Times New Roman" w:hAnsi="Times New Roman" w:eastAsia="宋体" w:cs="Times New Roman"/>
                <w:color w:val="auto"/>
              </w:rPr>
              <w:t>岩（土）层不满足上述</w:t>
            </w:r>
            <w:r>
              <w:rPr>
                <w:rFonts w:hint="default" w:ascii="Times New Roman" w:hAnsi="Times New Roman" w:cs="Times New Roman"/>
                <w:color w:val="auto"/>
              </w:rPr>
              <w:t>“D2”</w:t>
            </w:r>
            <w:r>
              <w:rPr>
                <w:rFonts w:hint="default" w:ascii="Times New Roman" w:hAnsi="Times New Roman" w:eastAsia="宋体" w:cs="Times New Roman"/>
                <w:color w:val="auto"/>
              </w:rPr>
              <w:t>和</w:t>
            </w:r>
            <w:r>
              <w:rPr>
                <w:rFonts w:hint="default" w:ascii="Times New Roman" w:hAnsi="Times New Roman" w:cs="Times New Roman"/>
                <w:color w:val="auto"/>
              </w:rPr>
              <w:t>“D3”</w:t>
            </w:r>
            <w:r>
              <w:rPr>
                <w:rFonts w:hint="default" w:ascii="Times New Roman" w:hAnsi="Times New Roman" w:eastAsia="宋体" w:cs="Times New Roman"/>
                <w:color w:val="auto"/>
              </w:rPr>
              <w:t>条件</w:t>
            </w:r>
            <w:r>
              <w:rPr>
                <w:rFonts w:hint="default" w:ascii="Times New Roman" w:hAnsi="Times New Roman" w:eastAsia="宋体" w:cs="Times New Roman"/>
                <w:color w:val="auto"/>
                <w:sz w:val="21"/>
                <w:szCs w:val="21"/>
                <w:lang w:eastAsia="zh-CN"/>
              </w:rPr>
              <w:t>。</w:t>
            </w:r>
          </w:p>
        </w:tc>
        <w:tc>
          <w:tcPr>
            <w:tcW w:w="579" w:type="pct"/>
            <w:vMerge w:val="restart"/>
            <w:tcBorders>
              <w:top w:val="single" w:color="auto" w:sz="4" w:space="0"/>
            </w:tcBorders>
            <w:vAlign w:val="center"/>
          </w:tcPr>
          <w:p w14:paraId="17DBB885">
            <w:pPr>
              <w:pStyle w:val="24"/>
              <w:rPr>
                <w:rFonts w:hint="default" w:ascii="Times New Roman" w:hAnsi="Times New Roman" w:eastAsia="宋体" w:cs="Times New Roman"/>
                <w:color w:val="auto"/>
                <w:lang w:val="en-US" w:eastAsia="zh-CN"/>
              </w:rPr>
            </w:pPr>
            <w:r>
              <w:rPr>
                <w:rFonts w:hint="default" w:ascii="Times New Roman" w:hAnsi="Times New Roman" w:cs="Times New Roman"/>
                <w:color w:val="auto"/>
              </w:rPr>
              <w:t>D</w:t>
            </w:r>
            <w:r>
              <w:rPr>
                <w:rFonts w:hint="default" w:ascii="Times New Roman" w:hAnsi="Times New Roman" w:eastAsia="宋体" w:cs="Times New Roman"/>
                <w:color w:val="auto"/>
                <w:lang w:val="en-US" w:eastAsia="zh-CN"/>
              </w:rPr>
              <w:t>1</w:t>
            </w:r>
          </w:p>
        </w:tc>
      </w:tr>
      <w:tr w14:paraId="1BC9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391" w:type="pct"/>
            <w:tcBorders>
              <w:top w:val="single" w:color="auto" w:sz="4" w:space="0"/>
              <w:left w:val="single" w:color="auto" w:sz="4" w:space="0"/>
            </w:tcBorders>
            <w:vAlign w:val="center"/>
          </w:tcPr>
          <w:p w14:paraId="6320E256">
            <w:pPr>
              <w:pStyle w:val="24"/>
              <w:rPr>
                <w:rFonts w:hint="default" w:ascii="Times New Roman" w:hAnsi="Times New Roman" w:cs="Times New Roman"/>
                <w:color w:val="auto"/>
              </w:rPr>
            </w:pPr>
            <w:r>
              <w:rPr>
                <w:rFonts w:hint="default" w:ascii="Times New Roman" w:hAnsi="Times New Roman" w:cs="Times New Roman"/>
                <w:color w:val="auto"/>
              </w:rPr>
              <w:t>D2</w:t>
            </w:r>
          </w:p>
        </w:tc>
        <w:tc>
          <w:tcPr>
            <w:tcW w:w="3216" w:type="pct"/>
            <w:tcBorders>
              <w:top w:val="single" w:color="auto" w:sz="4" w:space="0"/>
            </w:tcBorders>
            <w:vAlign w:val="center"/>
          </w:tcPr>
          <w:p w14:paraId="6EE5CD8F">
            <w:pPr>
              <w:pStyle w:val="24"/>
              <w:rPr>
                <w:rFonts w:hint="default" w:ascii="Times New Roman" w:hAnsi="Times New Roman" w:cs="Times New Roman"/>
                <w:color w:val="auto"/>
              </w:rPr>
            </w:pPr>
            <w:r>
              <w:rPr>
                <w:rFonts w:hint="default" w:ascii="Times New Roman" w:hAnsi="Times New Roman" w:cs="Times New Roman"/>
                <w:color w:val="auto"/>
              </w:rPr>
              <w:t>0.5m≤Mb≤1.0m</w:t>
            </w:r>
            <w:r>
              <w:rPr>
                <w:rFonts w:hint="default" w:ascii="Times New Roman" w:hAnsi="Times New Roman" w:eastAsia="宋体" w:cs="Times New Roman"/>
                <w:color w:val="auto"/>
              </w:rPr>
              <w:t>，</w:t>
            </w:r>
            <w:r>
              <w:rPr>
                <w:rFonts w:hint="default" w:ascii="Times New Roman" w:hAnsi="Times New Roman" w:cs="Times New Roman"/>
                <w:color w:val="auto"/>
              </w:rPr>
              <w:t>K≤1.0×10</w:t>
            </w:r>
            <w:r>
              <w:rPr>
                <w:rFonts w:hint="default" w:ascii="Times New Roman" w:hAnsi="Times New Roman" w:cs="Times New Roman"/>
                <w:color w:val="auto"/>
                <w:vertAlign w:val="superscript"/>
              </w:rPr>
              <w:t>-6</w:t>
            </w:r>
            <w:r>
              <w:rPr>
                <w:rFonts w:hint="default" w:ascii="Times New Roman" w:hAnsi="Times New Roman" w:cs="Times New Roman"/>
                <w:color w:val="auto"/>
              </w:rPr>
              <w:t>cm/s</w:t>
            </w:r>
            <w:r>
              <w:rPr>
                <w:rFonts w:hint="default" w:ascii="Times New Roman" w:hAnsi="Times New Roman" w:eastAsia="宋体" w:cs="Times New Roman"/>
                <w:color w:val="auto"/>
              </w:rPr>
              <w:t>，且分布连续、稳定</w:t>
            </w:r>
          </w:p>
          <w:p w14:paraId="44AA8931">
            <w:pPr>
              <w:pStyle w:val="24"/>
              <w:rPr>
                <w:rFonts w:hint="default" w:ascii="Times New Roman" w:hAnsi="Times New Roman" w:cs="Times New Roman"/>
                <w:color w:val="auto"/>
              </w:rPr>
            </w:pPr>
            <w:r>
              <w:rPr>
                <w:rFonts w:hint="default" w:ascii="Times New Roman" w:hAnsi="Times New Roman" w:cs="Times New Roman"/>
                <w:color w:val="auto"/>
              </w:rPr>
              <w:t>Mb≥1.0m</w:t>
            </w:r>
            <w:r>
              <w:rPr>
                <w:rFonts w:hint="default" w:ascii="Times New Roman" w:hAnsi="Times New Roman" w:eastAsia="宋体" w:cs="Times New Roman"/>
                <w:color w:val="auto"/>
              </w:rPr>
              <w:t>，</w:t>
            </w:r>
            <w:r>
              <w:rPr>
                <w:rFonts w:hint="default" w:ascii="Times New Roman" w:hAnsi="Times New Roman" w:cs="Times New Roman"/>
                <w:color w:val="auto"/>
              </w:rPr>
              <w:t>1.0×10</w:t>
            </w:r>
            <w:r>
              <w:rPr>
                <w:rFonts w:hint="default" w:ascii="Times New Roman" w:hAnsi="Times New Roman" w:cs="Times New Roman"/>
                <w:color w:val="auto"/>
                <w:vertAlign w:val="superscript"/>
              </w:rPr>
              <w:t>-6</w:t>
            </w:r>
            <w:r>
              <w:rPr>
                <w:rFonts w:hint="default" w:ascii="Times New Roman" w:hAnsi="Times New Roman" w:cs="Times New Roman"/>
                <w:color w:val="auto"/>
              </w:rPr>
              <w:t>cm/s≤K≤1.0×10</w:t>
            </w:r>
            <w:r>
              <w:rPr>
                <w:rFonts w:hint="default" w:ascii="Times New Roman" w:hAnsi="Times New Roman" w:cs="Times New Roman"/>
                <w:color w:val="auto"/>
                <w:vertAlign w:val="superscript"/>
              </w:rPr>
              <w:t>-4</w:t>
            </w:r>
            <w:r>
              <w:rPr>
                <w:rFonts w:hint="default" w:ascii="Times New Roman" w:hAnsi="Times New Roman" w:cs="Times New Roman"/>
                <w:color w:val="auto"/>
              </w:rPr>
              <w:t>cm/s</w:t>
            </w:r>
            <w:r>
              <w:rPr>
                <w:rFonts w:hint="default" w:ascii="Times New Roman" w:hAnsi="Times New Roman" w:eastAsia="宋体" w:cs="Times New Roman"/>
                <w:color w:val="auto"/>
              </w:rPr>
              <w:t>，且分布连续、稳定</w:t>
            </w:r>
          </w:p>
        </w:tc>
        <w:tc>
          <w:tcPr>
            <w:tcW w:w="812" w:type="pct"/>
            <w:vMerge w:val="continue"/>
            <w:vAlign w:val="center"/>
          </w:tcPr>
          <w:p w14:paraId="7B1F2961">
            <w:pPr>
              <w:pStyle w:val="24"/>
              <w:rPr>
                <w:rFonts w:hint="default" w:ascii="Times New Roman" w:hAnsi="Times New Roman" w:cs="Times New Roman"/>
                <w:color w:val="auto"/>
              </w:rPr>
            </w:pPr>
          </w:p>
        </w:tc>
        <w:tc>
          <w:tcPr>
            <w:tcW w:w="579" w:type="pct"/>
            <w:vMerge w:val="continue"/>
            <w:vAlign w:val="center"/>
          </w:tcPr>
          <w:p w14:paraId="691E156A">
            <w:pPr>
              <w:pStyle w:val="24"/>
              <w:rPr>
                <w:rFonts w:hint="default" w:ascii="Times New Roman" w:hAnsi="Times New Roman" w:cs="Times New Roman"/>
                <w:color w:val="auto"/>
              </w:rPr>
            </w:pPr>
          </w:p>
        </w:tc>
      </w:tr>
      <w:tr w14:paraId="6D8B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1" w:type="pct"/>
            <w:tcBorders>
              <w:left w:val="single" w:color="auto" w:sz="4" w:space="0"/>
            </w:tcBorders>
            <w:vAlign w:val="center"/>
          </w:tcPr>
          <w:p w14:paraId="0B36D64A">
            <w:pPr>
              <w:pStyle w:val="24"/>
              <w:rPr>
                <w:rFonts w:hint="default" w:ascii="Times New Roman" w:hAnsi="Times New Roman" w:cs="Times New Roman"/>
                <w:color w:val="auto"/>
              </w:rPr>
            </w:pPr>
            <w:r>
              <w:rPr>
                <w:rFonts w:hint="default" w:ascii="Times New Roman" w:hAnsi="Times New Roman" w:cs="Times New Roman"/>
                <w:color w:val="auto"/>
              </w:rPr>
              <w:t>D1</w:t>
            </w:r>
          </w:p>
        </w:tc>
        <w:tc>
          <w:tcPr>
            <w:tcW w:w="3216" w:type="pct"/>
            <w:vAlign w:val="center"/>
          </w:tcPr>
          <w:p w14:paraId="286BE680">
            <w:pPr>
              <w:pStyle w:val="24"/>
              <w:rPr>
                <w:rFonts w:hint="default" w:ascii="Times New Roman" w:hAnsi="Times New Roman" w:cs="Times New Roman"/>
                <w:color w:val="auto"/>
              </w:rPr>
            </w:pPr>
            <w:r>
              <w:rPr>
                <w:rFonts w:hint="default" w:ascii="Times New Roman" w:hAnsi="Times New Roman" w:eastAsia="宋体" w:cs="Times New Roman"/>
                <w:color w:val="auto"/>
              </w:rPr>
              <w:t>岩（土）层不满足上述</w:t>
            </w:r>
            <w:r>
              <w:rPr>
                <w:rFonts w:hint="default" w:ascii="Times New Roman" w:hAnsi="Times New Roman" w:cs="Times New Roman"/>
                <w:color w:val="auto"/>
              </w:rPr>
              <w:t>“D2”</w:t>
            </w:r>
            <w:r>
              <w:rPr>
                <w:rFonts w:hint="default" w:ascii="Times New Roman" w:hAnsi="Times New Roman" w:eastAsia="宋体" w:cs="Times New Roman"/>
                <w:color w:val="auto"/>
              </w:rPr>
              <w:t>和</w:t>
            </w:r>
            <w:r>
              <w:rPr>
                <w:rFonts w:hint="default" w:ascii="Times New Roman" w:hAnsi="Times New Roman" w:cs="Times New Roman"/>
                <w:color w:val="auto"/>
              </w:rPr>
              <w:t>“D3”</w:t>
            </w:r>
            <w:r>
              <w:rPr>
                <w:rFonts w:hint="default" w:ascii="Times New Roman" w:hAnsi="Times New Roman" w:eastAsia="宋体" w:cs="Times New Roman"/>
                <w:color w:val="auto"/>
              </w:rPr>
              <w:t>条件</w:t>
            </w:r>
          </w:p>
        </w:tc>
        <w:tc>
          <w:tcPr>
            <w:tcW w:w="812" w:type="pct"/>
            <w:vMerge w:val="continue"/>
            <w:vAlign w:val="center"/>
          </w:tcPr>
          <w:p w14:paraId="113FBF40">
            <w:pPr>
              <w:pStyle w:val="24"/>
              <w:rPr>
                <w:rFonts w:hint="default" w:ascii="Times New Roman" w:hAnsi="Times New Roman" w:cs="Times New Roman"/>
                <w:b/>
                <w:color w:val="auto"/>
              </w:rPr>
            </w:pPr>
          </w:p>
        </w:tc>
        <w:tc>
          <w:tcPr>
            <w:tcW w:w="579" w:type="pct"/>
            <w:vMerge w:val="continue"/>
            <w:vAlign w:val="center"/>
          </w:tcPr>
          <w:p w14:paraId="5D9749B2">
            <w:pPr>
              <w:pStyle w:val="24"/>
              <w:rPr>
                <w:rFonts w:hint="default" w:ascii="Times New Roman" w:hAnsi="Times New Roman" w:cs="Times New Roman"/>
                <w:b/>
                <w:color w:val="auto"/>
              </w:rPr>
            </w:pPr>
          </w:p>
        </w:tc>
      </w:tr>
    </w:tbl>
    <w:p w14:paraId="06BF8294">
      <w:pPr>
        <w:spacing w:line="360" w:lineRule="auto"/>
        <w:ind w:left="0" w:leftChars="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根据</w:t>
      </w:r>
      <w:r>
        <w:rPr>
          <w:rFonts w:hint="default" w:ascii="Times New Roman" w:hAnsi="Times New Roman" w:cs="Times New Roman"/>
          <w:color w:val="auto"/>
          <w:sz w:val="24"/>
        </w:rPr>
        <w:t>地下水功能敏感性分区和包气带防污性能分级，按照《建设项目环境风险评价技术导则》（HJ169-2018）表D.5确定地下水环境敏感程度分级。</w:t>
      </w:r>
    </w:p>
    <w:p w14:paraId="4810C55C">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地下水环境敏感程度分级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331"/>
        <w:gridCol w:w="2061"/>
        <w:gridCol w:w="2061"/>
        <w:gridCol w:w="2061"/>
      </w:tblGrid>
      <w:tr w14:paraId="1BD3F1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0" w:hRule="atLeast"/>
          <w:jc w:val="center"/>
        </w:trPr>
        <w:tc>
          <w:tcPr>
            <w:tcW w:w="1751" w:type="pct"/>
            <w:vMerge w:val="restart"/>
            <w:vAlign w:val="center"/>
          </w:tcPr>
          <w:p w14:paraId="1D21020F">
            <w:pPr>
              <w:pStyle w:val="24"/>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包气带防污性能</w:t>
            </w:r>
          </w:p>
        </w:tc>
        <w:tc>
          <w:tcPr>
            <w:tcW w:w="3249" w:type="pct"/>
            <w:gridSpan w:val="3"/>
            <w:vAlign w:val="center"/>
          </w:tcPr>
          <w:p w14:paraId="70BC0038">
            <w:pPr>
              <w:pStyle w:val="24"/>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地下水功能敏感性</w:t>
            </w:r>
          </w:p>
        </w:tc>
      </w:tr>
      <w:tr w14:paraId="5F05D8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1751" w:type="pct"/>
            <w:vMerge w:val="continue"/>
            <w:vAlign w:val="center"/>
          </w:tcPr>
          <w:p w14:paraId="0D98F4F6">
            <w:pPr>
              <w:pStyle w:val="24"/>
              <w:rPr>
                <w:rFonts w:hint="default" w:ascii="Times New Roman" w:hAnsi="Times New Roman" w:cs="Times New Roman" w:eastAsiaTheme="minorEastAsia"/>
                <w:color w:val="auto"/>
              </w:rPr>
            </w:pPr>
          </w:p>
        </w:tc>
        <w:tc>
          <w:tcPr>
            <w:tcW w:w="1083" w:type="pct"/>
            <w:vAlign w:val="center"/>
          </w:tcPr>
          <w:p w14:paraId="0DBD848B">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G1</w:t>
            </w:r>
          </w:p>
        </w:tc>
        <w:tc>
          <w:tcPr>
            <w:tcW w:w="1083" w:type="pct"/>
            <w:vAlign w:val="center"/>
          </w:tcPr>
          <w:p w14:paraId="5838B4D2">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G2</w:t>
            </w:r>
          </w:p>
        </w:tc>
        <w:tc>
          <w:tcPr>
            <w:tcW w:w="1083" w:type="pct"/>
            <w:vAlign w:val="center"/>
          </w:tcPr>
          <w:p w14:paraId="4DF35767">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G3</w:t>
            </w:r>
          </w:p>
        </w:tc>
      </w:tr>
      <w:tr w14:paraId="30D002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8" w:hRule="atLeast"/>
          <w:jc w:val="center"/>
        </w:trPr>
        <w:tc>
          <w:tcPr>
            <w:tcW w:w="1751" w:type="pct"/>
            <w:vAlign w:val="center"/>
          </w:tcPr>
          <w:p w14:paraId="5DA447CB">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D1</w:t>
            </w:r>
          </w:p>
        </w:tc>
        <w:tc>
          <w:tcPr>
            <w:tcW w:w="1083" w:type="pct"/>
            <w:vAlign w:val="center"/>
          </w:tcPr>
          <w:p w14:paraId="7ED11619">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p>
        </w:tc>
        <w:tc>
          <w:tcPr>
            <w:tcW w:w="1083" w:type="pct"/>
            <w:vAlign w:val="center"/>
          </w:tcPr>
          <w:p w14:paraId="347ECC7D">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p>
        </w:tc>
        <w:tc>
          <w:tcPr>
            <w:tcW w:w="1083" w:type="pct"/>
            <w:vAlign w:val="center"/>
          </w:tcPr>
          <w:p w14:paraId="7D11734A">
            <w:pPr>
              <w:pStyle w:val="24"/>
              <w:rPr>
                <w:rFonts w:hint="default" w:ascii="Times New Roman" w:hAnsi="Times New Roman" w:cs="Times New Roman"/>
                <w:color w:val="auto"/>
              </w:rPr>
            </w:pPr>
            <w:r>
              <w:rPr>
                <w:rFonts w:hint="default" w:ascii="Times New Roman" w:hAnsi="Times New Roman" w:cs="Times New Roman"/>
                <w:color w:val="auto"/>
              </w:rPr>
              <w:t>E2</w:t>
            </w:r>
          </w:p>
        </w:tc>
      </w:tr>
      <w:tr w14:paraId="756420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 w:hRule="atLeast"/>
          <w:jc w:val="center"/>
        </w:trPr>
        <w:tc>
          <w:tcPr>
            <w:tcW w:w="1751" w:type="pct"/>
            <w:vAlign w:val="center"/>
          </w:tcPr>
          <w:p w14:paraId="0EB8E248">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D2</w:t>
            </w:r>
          </w:p>
        </w:tc>
        <w:tc>
          <w:tcPr>
            <w:tcW w:w="1083" w:type="pct"/>
            <w:vAlign w:val="center"/>
          </w:tcPr>
          <w:p w14:paraId="68CD90F6">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E1</w:t>
            </w:r>
          </w:p>
        </w:tc>
        <w:tc>
          <w:tcPr>
            <w:tcW w:w="1083" w:type="pct"/>
            <w:vAlign w:val="center"/>
          </w:tcPr>
          <w:p w14:paraId="5DA92EA3">
            <w:pPr>
              <w:pStyle w:val="24"/>
              <w:rPr>
                <w:rFonts w:hint="default" w:ascii="Times New Roman" w:hAnsi="Times New Roman" w:cs="Times New Roman"/>
                <w:color w:val="auto"/>
              </w:rPr>
            </w:pPr>
            <w:r>
              <w:rPr>
                <w:rFonts w:hint="default" w:ascii="Times New Roman" w:hAnsi="Times New Roman" w:cs="Times New Roman"/>
                <w:color w:val="auto"/>
              </w:rPr>
              <w:t>E2</w:t>
            </w:r>
          </w:p>
        </w:tc>
        <w:tc>
          <w:tcPr>
            <w:tcW w:w="1083" w:type="pct"/>
            <w:vAlign w:val="center"/>
          </w:tcPr>
          <w:p w14:paraId="7ED7DB7E">
            <w:pPr>
              <w:pStyle w:val="24"/>
              <w:rPr>
                <w:rFonts w:hint="default" w:ascii="Times New Roman" w:hAnsi="Times New Roman" w:cs="Times New Roman"/>
                <w:color w:val="auto"/>
              </w:rPr>
            </w:pPr>
            <w:r>
              <w:rPr>
                <w:rFonts w:hint="default" w:ascii="Times New Roman" w:hAnsi="Times New Roman" w:cs="Times New Roman"/>
                <w:color w:val="auto"/>
              </w:rPr>
              <w:t>E3</w:t>
            </w:r>
          </w:p>
        </w:tc>
      </w:tr>
      <w:tr w14:paraId="0B234B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1751" w:type="pct"/>
            <w:vAlign w:val="center"/>
          </w:tcPr>
          <w:p w14:paraId="1CAFA000">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D3</w:t>
            </w:r>
          </w:p>
        </w:tc>
        <w:tc>
          <w:tcPr>
            <w:tcW w:w="1083" w:type="pct"/>
            <w:vAlign w:val="center"/>
          </w:tcPr>
          <w:p w14:paraId="21AB7460">
            <w:pPr>
              <w:pStyle w:val="24"/>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E2</w:t>
            </w:r>
          </w:p>
        </w:tc>
        <w:tc>
          <w:tcPr>
            <w:tcW w:w="1083" w:type="pct"/>
            <w:vAlign w:val="center"/>
          </w:tcPr>
          <w:p w14:paraId="659CCE6E">
            <w:pPr>
              <w:pStyle w:val="24"/>
              <w:rPr>
                <w:rFonts w:hint="default" w:ascii="Times New Roman" w:hAnsi="Times New Roman" w:cs="Times New Roman"/>
                <w:color w:val="auto"/>
              </w:rPr>
            </w:pPr>
            <w:r>
              <w:rPr>
                <w:rFonts w:hint="default" w:ascii="Times New Roman" w:hAnsi="Times New Roman" w:cs="Times New Roman"/>
                <w:color w:val="auto"/>
              </w:rPr>
              <w:t>E3</w:t>
            </w:r>
          </w:p>
        </w:tc>
        <w:tc>
          <w:tcPr>
            <w:tcW w:w="1083" w:type="pct"/>
            <w:vAlign w:val="center"/>
          </w:tcPr>
          <w:p w14:paraId="30B517C1">
            <w:pPr>
              <w:pStyle w:val="24"/>
              <w:rPr>
                <w:rFonts w:hint="default" w:ascii="Times New Roman" w:hAnsi="Times New Roman" w:cs="Times New Roman" w:eastAsiaTheme="minorEastAsia"/>
                <w:color w:val="auto"/>
              </w:rPr>
            </w:pPr>
            <w:r>
              <w:rPr>
                <w:rFonts w:hint="default" w:ascii="Times New Roman" w:hAnsi="Times New Roman" w:cs="Times New Roman"/>
                <w:color w:val="auto"/>
              </w:rPr>
              <w:t>E3</w:t>
            </w:r>
          </w:p>
        </w:tc>
      </w:tr>
    </w:tbl>
    <w:p w14:paraId="1FB2BD8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bCs/>
          <w:color w:val="auto"/>
          <w:sz w:val="24"/>
        </w:rPr>
        <w:t>由上述描述可知，本项目</w:t>
      </w:r>
      <w:r>
        <w:rPr>
          <w:rFonts w:hint="default" w:ascii="Times New Roman" w:hAnsi="Times New Roman" w:cs="Times New Roman"/>
          <w:color w:val="auto"/>
          <w:sz w:val="24"/>
        </w:rPr>
        <w:t>地下水环境敏感程度分级</w:t>
      </w:r>
      <w:r>
        <w:rPr>
          <w:rFonts w:hint="default" w:ascii="Times New Roman" w:hAnsi="Times New Roman" w:cs="Times New Roman"/>
          <w:bCs/>
          <w:color w:val="auto"/>
          <w:sz w:val="24"/>
          <w:szCs w:val="24"/>
        </w:rPr>
        <w:t>为E</w:t>
      </w:r>
      <w:r>
        <w:rPr>
          <w:rFonts w:hint="eastAsia" w:cs="Times New Roman"/>
          <w:bCs/>
          <w:color w:val="auto"/>
          <w:sz w:val="24"/>
          <w:szCs w:val="24"/>
          <w:lang w:val="en-US" w:eastAsia="zh-CN"/>
        </w:rPr>
        <w:t>1</w:t>
      </w:r>
      <w:r>
        <w:rPr>
          <w:rFonts w:hint="default" w:ascii="Times New Roman" w:hAnsi="Times New Roman" w:cs="Times New Roman"/>
          <w:bCs/>
          <w:color w:val="auto"/>
          <w:sz w:val="24"/>
          <w:szCs w:val="24"/>
        </w:rPr>
        <w:t>。</w:t>
      </w:r>
    </w:p>
    <w:p w14:paraId="7C7F37D4">
      <w:pPr>
        <w:pStyle w:val="4"/>
        <w:bidi w:val="0"/>
        <w:rPr>
          <w:rFonts w:hint="default" w:ascii="Times New Roman" w:hAnsi="Times New Roman" w:cs="Times New Roman"/>
          <w:color w:val="auto"/>
          <w:highlight w:val="none"/>
          <w:lang w:val="en-US" w:eastAsia="zh-CN"/>
        </w:rPr>
      </w:pPr>
      <w:r>
        <w:rPr>
          <w:rFonts w:hint="default" w:ascii="Times New Roman" w:hAnsi="Times New Roman" w:eastAsia="黑体" w:cs="Times New Roman"/>
          <w:color w:val="auto"/>
          <w:sz w:val="24"/>
          <w:szCs w:val="24"/>
          <w:highlight w:val="none"/>
        </w:rPr>
        <w:t>危险物质及工艺系统危害性（</w:t>
      </w:r>
      <w:r>
        <w:rPr>
          <w:rFonts w:hint="default" w:ascii="Times New Roman" w:hAnsi="Times New Roman" w:eastAsia="Times New Roman" w:cs="Times New Roman"/>
          <w:b/>
          <w:color w:val="auto"/>
          <w:sz w:val="24"/>
          <w:szCs w:val="24"/>
          <w:highlight w:val="none"/>
        </w:rPr>
        <w:t>P</w:t>
      </w:r>
      <w:r>
        <w:rPr>
          <w:rFonts w:hint="default" w:ascii="Times New Roman" w:hAnsi="Times New Roman" w:eastAsia="黑体" w:cs="Times New Roman"/>
          <w:color w:val="auto"/>
          <w:sz w:val="24"/>
          <w:szCs w:val="24"/>
          <w:highlight w:val="none"/>
        </w:rPr>
        <w:t>）的确定</w:t>
      </w:r>
    </w:p>
    <w:p w14:paraId="55C13A4E">
      <w:pPr>
        <w:pStyle w:val="26"/>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rPr>
        <w:t>根据《建设项目环境风险评价技术导则》（</w:t>
      </w:r>
      <w:r>
        <w:rPr>
          <w:rFonts w:hint="default" w:ascii="Times New Roman" w:hAnsi="Times New Roman" w:eastAsia="Times New Roman" w:cs="Times New Roman"/>
          <w:color w:val="auto"/>
          <w:sz w:val="24"/>
          <w:szCs w:val="24"/>
          <w:highlight w:val="none"/>
        </w:rPr>
        <w:t>HJ169</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Times New Roman" w:cs="Times New Roman"/>
          <w:color w:val="auto"/>
          <w:sz w:val="24"/>
          <w:szCs w:val="24"/>
          <w:highlight w:val="none"/>
        </w:rPr>
        <w:t>2018</w:t>
      </w:r>
      <w:r>
        <w:rPr>
          <w:rFonts w:hint="default" w:ascii="Times New Roman" w:hAnsi="Times New Roman" w:eastAsia="宋体" w:cs="Times New Roman"/>
          <w:color w:val="auto"/>
          <w:sz w:val="24"/>
          <w:szCs w:val="24"/>
          <w:highlight w:val="none"/>
        </w:rPr>
        <w:t>），危险物质及工艺系统危害性（</w:t>
      </w:r>
      <w:r>
        <w:rPr>
          <w:rFonts w:hint="default" w:ascii="Times New Roman" w:hAnsi="Times New Roman" w:eastAsia="Times New Roman" w:cs="Times New Roman"/>
          <w:color w:val="auto"/>
          <w:sz w:val="24"/>
          <w:szCs w:val="24"/>
          <w:highlight w:val="none"/>
        </w:rPr>
        <w:t>P</w:t>
      </w:r>
      <w:r>
        <w:rPr>
          <w:rFonts w:hint="default" w:ascii="Times New Roman" w:hAnsi="Times New Roman" w:eastAsia="宋体" w:cs="Times New Roman"/>
          <w:color w:val="auto"/>
          <w:sz w:val="24"/>
          <w:szCs w:val="24"/>
          <w:highlight w:val="none"/>
        </w:rPr>
        <w:t>）应根据危险物质数量与临界量的比值（</w:t>
      </w:r>
      <w:r>
        <w:rPr>
          <w:rFonts w:hint="default" w:ascii="Times New Roman" w:hAnsi="Times New Roman" w:eastAsia="Times New Roman" w:cs="Times New Roman"/>
          <w:color w:val="auto"/>
          <w:sz w:val="24"/>
          <w:szCs w:val="24"/>
          <w:highlight w:val="none"/>
        </w:rPr>
        <w:t>Q</w:t>
      </w:r>
      <w:r>
        <w:rPr>
          <w:rFonts w:hint="default" w:ascii="Times New Roman" w:hAnsi="Times New Roman" w:eastAsia="宋体" w:cs="Times New Roman"/>
          <w:color w:val="auto"/>
          <w:sz w:val="24"/>
          <w:szCs w:val="24"/>
          <w:highlight w:val="none"/>
        </w:rPr>
        <w:t>）和行业及生产工艺（</w:t>
      </w:r>
      <w:r>
        <w:rPr>
          <w:rFonts w:hint="default" w:ascii="Times New Roman" w:hAnsi="Times New Roman" w:eastAsia="Times New Roman" w:cs="Times New Roman"/>
          <w:color w:val="auto"/>
          <w:sz w:val="24"/>
          <w:szCs w:val="24"/>
          <w:highlight w:val="none"/>
        </w:rPr>
        <w:t>M</w:t>
      </w:r>
      <w:r>
        <w:rPr>
          <w:rFonts w:hint="default" w:ascii="Times New Roman" w:hAnsi="Times New Roman" w:eastAsia="宋体" w:cs="Times New Roman"/>
          <w:color w:val="auto"/>
          <w:sz w:val="24"/>
          <w:szCs w:val="24"/>
          <w:highlight w:val="none"/>
        </w:rPr>
        <w:t>）确定。</w:t>
      </w:r>
    </w:p>
    <w:p w14:paraId="2BFB0E34">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Q值的确定</w:t>
      </w:r>
    </w:p>
    <w:p w14:paraId="14DCD345">
      <w:pPr>
        <w:pStyle w:val="26"/>
        <w:bidi w:val="0"/>
        <w:rPr>
          <w:rFonts w:hint="default" w:ascii="Times New Roman" w:hAnsi="Times New Roman" w:cs="Times New Roman"/>
          <w:color w:val="auto"/>
          <w:highlight w:val="none"/>
        </w:rPr>
      </w:pPr>
      <w:r>
        <w:rPr>
          <w:rFonts w:hint="default" w:ascii="Times New Roman" w:hAnsi="Times New Roman" w:eastAsia="宋体" w:cs="Times New Roman"/>
          <w:color w:val="auto"/>
          <w:sz w:val="24"/>
          <w:szCs w:val="24"/>
          <w:highlight w:val="none"/>
        </w:rPr>
        <w:t>根据《建设项目环境风险评价技术导则》（</w:t>
      </w:r>
      <w:r>
        <w:rPr>
          <w:rFonts w:hint="default" w:ascii="Times New Roman" w:hAnsi="Times New Roman" w:eastAsia="Times New Roman" w:cs="Times New Roman"/>
          <w:color w:val="auto"/>
          <w:sz w:val="24"/>
          <w:szCs w:val="24"/>
          <w:highlight w:val="none"/>
        </w:rPr>
        <w:t>HJ169</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Times New Roman" w:cs="Times New Roman"/>
          <w:color w:val="auto"/>
          <w:sz w:val="24"/>
          <w:szCs w:val="24"/>
          <w:highlight w:val="none"/>
        </w:rPr>
        <w:t>2018</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附录</w:t>
      </w:r>
      <w:r>
        <w:rPr>
          <w:rStyle w:val="32"/>
          <w:rFonts w:hint="default" w:ascii="Times New Roman" w:hAnsi="Times New Roman" w:cs="Times New Roman"/>
          <w:color w:val="auto"/>
          <w:highlight w:val="none"/>
          <w:lang w:val="en-US" w:eastAsia="zh-CN"/>
        </w:rPr>
        <w:t>C，</w:t>
      </w:r>
      <w:r>
        <w:rPr>
          <w:rFonts w:hint="default" w:ascii="Times New Roman" w:hAnsi="Times New Roman" w:cs="Times New Roman"/>
          <w:color w:val="auto"/>
          <w:highlight w:val="none"/>
        </w:rPr>
        <w:t>危险物质数量与临界量比值（Q）为每种危险物质在厂界内的最大存在总量与其在《建设项目环境风险评价技术导则》（HJ169-2018）附录B中对应临界量的比值，即：</w:t>
      </w:r>
    </w:p>
    <w:p w14:paraId="6068E5BC">
      <w:pPr>
        <w:pStyle w:val="26"/>
        <w:ind w:firstLine="480"/>
        <w:jc w:val="center"/>
        <w:rPr>
          <w:rFonts w:hint="default" w:ascii="Times New Roman" w:hAnsi="Times New Roman" w:cs="Times New Roman"/>
          <w:color w:val="auto"/>
          <w:szCs w:val="24"/>
          <w:highlight w:val="none"/>
        </w:rPr>
      </w:pPr>
      <w:r>
        <w:rPr>
          <w:rFonts w:hint="default" w:ascii="Times New Roman" w:hAnsi="Times New Roman" w:cs="Times New Roman"/>
          <w:color w:val="auto"/>
          <w:position w:val="-30"/>
          <w:highlight w:val="none"/>
        </w:rPr>
        <w:object>
          <v:shape id="_x0000_i1048" o:spt="75" type="#_x0000_t75" style="height:34pt;width:101pt;" o:ole="t" filled="f" o:preferrelative="t" stroked="f" coordsize="21600,21600">
            <v:path/>
            <v:fill on="f" focussize="0,0"/>
            <v:stroke on="f"/>
            <v:imagedata r:id="rId176" o:title=""/>
            <o:lock v:ext="edit" aspectratio="t"/>
            <w10:wrap type="none"/>
            <w10:anchorlock/>
          </v:shape>
          <o:OLEObject Type="Embed" ProgID="Equation.DSMT4" ShapeID="_x0000_i1048" DrawAspect="Content" ObjectID="_1468075748" r:id="rId175">
            <o:LockedField>false</o:LockedField>
          </o:OLEObject>
        </w:object>
      </w:r>
    </w:p>
    <w:p w14:paraId="66BA5A75">
      <w:pPr>
        <w:pStyle w:val="26"/>
        <w:ind w:firstLine="480"/>
        <w:rPr>
          <w:rFonts w:hint="default" w:ascii="Times New Roman" w:hAnsi="Times New Roman" w:cs="Times New Roman"/>
          <w:i/>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vertAlign w:val="subscript"/>
        </w:rPr>
        <w:t>1</w:t>
      </w:r>
      <w:r>
        <w:rPr>
          <w:rFonts w:hint="default" w:ascii="Times New Roman" w:hAnsi="Times New Roman" w:cs="Times New Roman"/>
          <w:color w:val="auto"/>
          <w:highlight w:val="none"/>
        </w:rPr>
        <w:t>，</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w:t>
      </w:r>
      <w:r>
        <w:rPr>
          <w:rFonts w:hint="default" w:ascii="Times New Roman" w:hAnsi="Times New Roman" w:cs="Times New Roman"/>
          <w:i/>
          <w:color w:val="auto"/>
          <w:highlight w:val="none"/>
        </w:rPr>
        <w:t>q</w:t>
      </w:r>
      <w:r>
        <w:rPr>
          <w:rFonts w:hint="default" w:ascii="Times New Roman" w:hAnsi="Times New Roman" w:cs="Times New Roman"/>
          <w:i/>
          <w:color w:val="auto"/>
          <w:highlight w:val="none"/>
          <w:vertAlign w:val="subscript"/>
        </w:rPr>
        <w:t>n</w:t>
      </w:r>
      <w:r>
        <w:rPr>
          <w:rFonts w:hint="default" w:ascii="Times New Roman" w:hAnsi="Times New Roman" w:cs="Times New Roman"/>
          <w:color w:val="auto"/>
          <w:highlight w:val="none"/>
        </w:rPr>
        <w:t>——每种危险物质的最大存在总量，t；</w:t>
      </w:r>
    </w:p>
    <w:p w14:paraId="1959C402">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vertAlign w:val="subscript"/>
        </w:rPr>
        <w:t>1</w:t>
      </w:r>
      <w:r>
        <w:rPr>
          <w:rFonts w:hint="default" w:ascii="Times New Roman" w:hAnsi="Times New Roman" w:cs="Times New Roman"/>
          <w:color w:val="auto"/>
          <w:highlight w:val="none"/>
        </w:rPr>
        <w:t>，</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w:t>
      </w:r>
      <w:r>
        <w:rPr>
          <w:rFonts w:hint="default" w:ascii="Times New Roman" w:hAnsi="Times New Roman" w:cs="Times New Roman"/>
          <w:i/>
          <w:color w:val="auto"/>
          <w:highlight w:val="none"/>
        </w:rPr>
        <w:t>Q</w:t>
      </w:r>
      <w:r>
        <w:rPr>
          <w:rFonts w:hint="default" w:ascii="Times New Roman" w:hAnsi="Times New Roman" w:cs="Times New Roman"/>
          <w:i/>
          <w:color w:val="auto"/>
          <w:highlight w:val="none"/>
          <w:vertAlign w:val="subscript"/>
        </w:rPr>
        <w:t>n</w:t>
      </w:r>
      <w:r>
        <w:rPr>
          <w:rFonts w:hint="default" w:ascii="Times New Roman" w:hAnsi="Times New Roman" w:cs="Times New Roman"/>
          <w:color w:val="auto"/>
          <w:highlight w:val="none"/>
        </w:rPr>
        <w:t>——每种危险物质的临界量，t。</w:t>
      </w:r>
    </w:p>
    <w:p w14:paraId="74C7D0DA">
      <w:pPr>
        <w:pStyle w:val="2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当</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&lt;1时，该项目环境风险潜势为I；</w:t>
      </w:r>
    </w:p>
    <w:p w14:paraId="7D69BB26">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当</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≥1时，将</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值划分为：①1≤</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&lt;10；②10≤</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&lt;100；③</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≥100。</w:t>
      </w:r>
    </w:p>
    <w:p w14:paraId="16CA22BE">
      <w:pPr>
        <w:pStyle w:val="26"/>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对照《建设项目环境风险评价技术导则》（</w:t>
      </w:r>
      <w:r>
        <w:rPr>
          <w:rFonts w:hint="default" w:ascii="Times New Roman" w:hAnsi="Times New Roman" w:eastAsia="TimesNewRomanPSMT" w:cs="Times New Roman"/>
          <w:color w:val="auto"/>
          <w:sz w:val="24"/>
          <w:szCs w:val="24"/>
          <w:highlight w:val="none"/>
        </w:rPr>
        <w:t>HJ169</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TimesNewRomanPSMT" w:cs="Times New Roman"/>
          <w:color w:val="auto"/>
          <w:sz w:val="24"/>
          <w:szCs w:val="24"/>
          <w:highlight w:val="none"/>
        </w:rPr>
        <w:t>018</w:t>
      </w:r>
      <w:r>
        <w:rPr>
          <w:rFonts w:hint="default" w:ascii="Times New Roman" w:hAnsi="Times New Roman" w:eastAsia="宋体" w:cs="Times New Roman"/>
          <w:color w:val="auto"/>
          <w:sz w:val="24"/>
          <w:szCs w:val="24"/>
          <w:highlight w:val="none"/>
        </w:rPr>
        <w:t>）附录</w:t>
      </w:r>
      <w:r>
        <w:rPr>
          <w:rFonts w:hint="default" w:ascii="Times New Roman" w:hAnsi="Times New Roman" w:eastAsia="TimesNewRomanPSMT" w:cs="Times New Roman"/>
          <w:color w:val="auto"/>
          <w:sz w:val="24"/>
          <w:szCs w:val="24"/>
          <w:highlight w:val="none"/>
        </w:rPr>
        <w:t>B</w:t>
      </w:r>
      <w:r>
        <w:rPr>
          <w:rFonts w:hint="default" w:ascii="Times New Roman" w:hAnsi="Times New Roman" w:eastAsia="宋体" w:cs="Times New Roman"/>
          <w:color w:val="auto"/>
          <w:sz w:val="24"/>
          <w:szCs w:val="24"/>
          <w:highlight w:val="none"/>
        </w:rPr>
        <w:t>，本项目涉及的重点关注的危险物质</w:t>
      </w:r>
      <w:r>
        <w:rPr>
          <w:rFonts w:hint="default" w:ascii="Times New Roman" w:hAnsi="Times New Roman" w:eastAsia="宋体" w:cs="Times New Roman"/>
          <w:color w:val="auto"/>
          <w:sz w:val="24"/>
          <w:szCs w:val="24"/>
          <w:highlight w:val="none"/>
          <w:lang w:val="en-US" w:eastAsia="zh-CN"/>
        </w:rPr>
        <w:t>其最大存在量和Q值计算结果见下表。</w:t>
      </w:r>
    </w:p>
    <w:p w14:paraId="25A19AD3">
      <w:pPr>
        <w:pStyle w:val="26"/>
        <w:bidi w:val="0"/>
        <w:rPr>
          <w:rFonts w:hint="default"/>
          <w:color w:val="auto"/>
          <w:highlight w:val="none"/>
          <w:lang w:val="en-US" w:eastAsia="zh-CN"/>
        </w:rPr>
      </w:pPr>
      <w:r>
        <w:rPr>
          <w:rFonts w:hint="eastAsia"/>
          <w:color w:val="auto"/>
          <w:highlight w:val="none"/>
          <w:lang w:val="en-US" w:eastAsia="zh-CN"/>
        </w:rPr>
        <w:t>略。</w:t>
      </w:r>
    </w:p>
    <w:p w14:paraId="5018D0E9">
      <w:pPr>
        <w:pStyle w:val="26"/>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经计算，本项目Q值</w:t>
      </w:r>
      <w:r>
        <w:rPr>
          <w:rFonts w:hint="default" w:ascii="Times New Roman" w:hAnsi="Times New Roman" w:eastAsia="宋体" w:cs="Times New Roman"/>
          <w:color w:val="auto"/>
          <w:sz w:val="24"/>
          <w:szCs w:val="24"/>
          <w:highlight w:val="none"/>
          <w:lang w:val="en-US" w:eastAsia="zh-CN"/>
        </w:rPr>
        <w:t>为</w:t>
      </w:r>
      <w:r>
        <w:rPr>
          <w:rFonts w:hint="eastAsia" w:cs="Times New Roman"/>
          <w:color w:val="auto"/>
          <w:sz w:val="24"/>
          <w:szCs w:val="24"/>
          <w:highlight w:val="none"/>
          <w:lang w:val="en-US" w:eastAsia="zh-CN"/>
        </w:rPr>
        <w:t>17.98</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highlight w:val="none"/>
        </w:rPr>
        <w:t>10≤</w:t>
      </w:r>
      <w:r>
        <w:rPr>
          <w:rFonts w:hint="default" w:ascii="Times New Roman" w:hAnsi="Times New Roman" w:cs="Times New Roman"/>
          <w:i/>
          <w:color w:val="auto"/>
          <w:highlight w:val="none"/>
        </w:rPr>
        <w:t>Q</w:t>
      </w:r>
      <w:r>
        <w:rPr>
          <w:rFonts w:hint="default" w:ascii="Times New Roman" w:hAnsi="Times New Roman" w:cs="Times New Roman"/>
          <w:color w:val="auto"/>
          <w:highlight w:val="none"/>
        </w:rPr>
        <w:t>&lt;100</w:t>
      </w:r>
      <w:r>
        <w:rPr>
          <w:rFonts w:hint="default" w:ascii="Times New Roman" w:hAnsi="Times New Roman" w:eastAsia="宋体" w:cs="Times New Roman"/>
          <w:color w:val="auto"/>
          <w:sz w:val="24"/>
          <w:szCs w:val="24"/>
          <w:highlight w:val="none"/>
        </w:rPr>
        <w:t>。</w:t>
      </w:r>
    </w:p>
    <w:p w14:paraId="54C027CE">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行业及生产工艺（M）</w:t>
      </w:r>
    </w:p>
    <w:p w14:paraId="73D2B25A">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所属行业及生产工艺特点（M）按照《建设项目环境风险评价技术导则》（HJ169-2018）表C.1评估生产工艺情况，将M划分为：（1）M＞20；（2）10＜M≤20；（3）5＜M≤10；（4）M=5，分别以M1、M2、M3、M4表示。</w:t>
      </w:r>
    </w:p>
    <w:p w14:paraId="34491F58">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行业及生产工艺（M）</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268"/>
        <w:gridCol w:w="1338"/>
      </w:tblGrid>
      <w:tr w14:paraId="3D47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noWrap w:val="0"/>
            <w:vAlign w:val="center"/>
          </w:tcPr>
          <w:p w14:paraId="57A1FD87">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行业</w:t>
            </w:r>
          </w:p>
        </w:tc>
        <w:tc>
          <w:tcPr>
            <w:tcW w:w="3294" w:type="pct"/>
            <w:noWrap w:val="0"/>
            <w:vAlign w:val="center"/>
          </w:tcPr>
          <w:p w14:paraId="7D06E6FF">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评估依据</w:t>
            </w:r>
          </w:p>
        </w:tc>
        <w:tc>
          <w:tcPr>
            <w:tcW w:w="702" w:type="pct"/>
            <w:noWrap w:val="0"/>
            <w:vAlign w:val="center"/>
          </w:tcPr>
          <w:p w14:paraId="5FBF07D3">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分值</w:t>
            </w:r>
          </w:p>
        </w:tc>
      </w:tr>
      <w:tr w14:paraId="6D81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1003" w:type="pct"/>
            <w:vMerge w:val="restart"/>
            <w:noWrap w:val="0"/>
            <w:vAlign w:val="center"/>
          </w:tcPr>
          <w:p w14:paraId="56EB05B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石化、化工、医药、轻工、化纤、有色冶炼等</w:t>
            </w:r>
          </w:p>
        </w:tc>
        <w:tc>
          <w:tcPr>
            <w:tcW w:w="3294" w:type="pct"/>
            <w:noWrap w:val="0"/>
            <w:vAlign w:val="center"/>
          </w:tcPr>
          <w:p w14:paraId="7316C6E7">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702" w:type="pct"/>
            <w:noWrap w:val="0"/>
            <w:vAlign w:val="center"/>
          </w:tcPr>
          <w:p w14:paraId="4E718E61">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10/套</w:t>
            </w:r>
          </w:p>
        </w:tc>
      </w:tr>
      <w:tr w14:paraId="0226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Merge w:val="continue"/>
            <w:noWrap w:val="0"/>
            <w:vAlign w:val="center"/>
          </w:tcPr>
          <w:p w14:paraId="5BAAE331">
            <w:pPr>
              <w:pStyle w:val="24"/>
              <w:bidi w:val="0"/>
              <w:rPr>
                <w:rFonts w:hint="default" w:ascii="Times New Roman" w:hAnsi="Times New Roman" w:cs="Times New Roman"/>
                <w:color w:val="auto"/>
                <w:highlight w:val="none"/>
              </w:rPr>
            </w:pPr>
          </w:p>
        </w:tc>
        <w:tc>
          <w:tcPr>
            <w:tcW w:w="3294" w:type="pct"/>
            <w:noWrap w:val="0"/>
            <w:vAlign w:val="center"/>
          </w:tcPr>
          <w:p w14:paraId="44C30E70">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无机酸制酸工艺、焦化工艺</w:t>
            </w:r>
          </w:p>
        </w:tc>
        <w:tc>
          <w:tcPr>
            <w:tcW w:w="702" w:type="pct"/>
            <w:noWrap w:val="0"/>
            <w:vAlign w:val="center"/>
          </w:tcPr>
          <w:p w14:paraId="1D1DFFF9">
            <w:pPr>
              <w:pStyle w:val="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5/套</w:t>
            </w:r>
          </w:p>
        </w:tc>
      </w:tr>
      <w:tr w14:paraId="1327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Merge w:val="continue"/>
            <w:noWrap w:val="0"/>
            <w:vAlign w:val="center"/>
          </w:tcPr>
          <w:p w14:paraId="6FC9EB50">
            <w:pPr>
              <w:pStyle w:val="24"/>
              <w:bidi w:val="0"/>
              <w:rPr>
                <w:rFonts w:hint="default" w:ascii="Times New Roman" w:hAnsi="Times New Roman" w:cs="Times New Roman"/>
                <w:color w:val="auto"/>
                <w:highlight w:val="none"/>
              </w:rPr>
            </w:pPr>
          </w:p>
        </w:tc>
        <w:tc>
          <w:tcPr>
            <w:tcW w:w="3294" w:type="pct"/>
            <w:noWrap w:val="0"/>
            <w:vAlign w:val="center"/>
          </w:tcPr>
          <w:p w14:paraId="232302A5">
            <w:pPr>
              <w:pStyle w:val="24"/>
              <w:bidi w:val="0"/>
              <w:ind w:left="0" w:leftChars="0"/>
              <w:jc w:val="both"/>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其他高温或高压，且涉及危险物质的工艺过程</w:t>
            </w:r>
            <w:r>
              <w:rPr>
                <w:rFonts w:hint="default" w:ascii="Times New Roman" w:hAnsi="Times New Roman" w:cs="Times New Roman"/>
                <w:color w:val="auto"/>
                <w:highlight w:val="none"/>
                <w:vertAlign w:val="superscript"/>
                <w:lang w:val="en-US" w:eastAsia="zh-CN"/>
              </w:rPr>
              <w:t>a</w:t>
            </w:r>
            <w:r>
              <w:rPr>
                <w:rFonts w:hint="default" w:ascii="Times New Roman" w:hAnsi="Times New Roman" w:cs="Times New Roman"/>
                <w:color w:val="auto"/>
                <w:highlight w:val="none"/>
                <w:lang w:val="en-US" w:eastAsia="zh-CN"/>
              </w:rPr>
              <w:t>、危险物质贮存罐区</w:t>
            </w:r>
          </w:p>
        </w:tc>
        <w:tc>
          <w:tcPr>
            <w:tcW w:w="702" w:type="pct"/>
            <w:noWrap w:val="0"/>
            <w:vAlign w:val="center"/>
          </w:tcPr>
          <w:p w14:paraId="2DFF3461">
            <w:pPr>
              <w:pStyle w:val="24"/>
              <w:bidi w:val="0"/>
              <w:ind w:left="0" w:lef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5/套（罐区）</w:t>
            </w:r>
          </w:p>
        </w:tc>
      </w:tr>
      <w:tr w14:paraId="271F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003" w:type="pct"/>
            <w:noWrap w:val="0"/>
            <w:vAlign w:val="center"/>
          </w:tcPr>
          <w:p w14:paraId="17FF715C">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管道、港口/码头</w:t>
            </w:r>
            <w:r>
              <w:rPr>
                <w:rFonts w:hint="default" w:ascii="Times New Roman" w:hAnsi="Times New Roman" w:cs="Times New Roman"/>
                <w:color w:val="auto"/>
                <w:highlight w:val="none"/>
                <w:lang w:val="en-US" w:eastAsia="zh-CN"/>
              </w:rPr>
              <w:t>等</w:t>
            </w:r>
          </w:p>
        </w:tc>
        <w:tc>
          <w:tcPr>
            <w:tcW w:w="3294" w:type="pct"/>
            <w:noWrap w:val="0"/>
            <w:vAlign w:val="center"/>
          </w:tcPr>
          <w:p w14:paraId="544BB8AA">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涉及危险物质管道运输项目、港口/码头等</w:t>
            </w:r>
          </w:p>
        </w:tc>
        <w:tc>
          <w:tcPr>
            <w:tcW w:w="702" w:type="pct"/>
            <w:noWrap w:val="0"/>
            <w:vAlign w:val="center"/>
          </w:tcPr>
          <w:p w14:paraId="55AC15B7">
            <w:pPr>
              <w:pStyle w:val="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21C0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noWrap w:val="0"/>
            <w:vAlign w:val="center"/>
          </w:tcPr>
          <w:p w14:paraId="2A321B7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石油天然气</w:t>
            </w:r>
          </w:p>
        </w:tc>
        <w:tc>
          <w:tcPr>
            <w:tcW w:w="3294" w:type="pct"/>
            <w:noWrap w:val="0"/>
            <w:vAlign w:val="center"/>
          </w:tcPr>
          <w:p w14:paraId="10B94179">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石油、天然气、页岩气开采（含净化），气库（不含加气站的气库），油库（不含加气站的油库）、油气管线（不含城镇燃气管线）</w:t>
            </w:r>
          </w:p>
        </w:tc>
        <w:tc>
          <w:tcPr>
            <w:tcW w:w="702" w:type="pct"/>
            <w:noWrap w:val="0"/>
            <w:vAlign w:val="center"/>
          </w:tcPr>
          <w:p w14:paraId="10A72FF4">
            <w:pPr>
              <w:pStyle w:val="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744A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noWrap w:val="0"/>
            <w:vAlign w:val="center"/>
          </w:tcPr>
          <w:p w14:paraId="0DD654AA">
            <w:pPr>
              <w:pStyle w:val="24"/>
              <w:bidi w:val="0"/>
              <w:ind w:left="0" w:leftChars="0"/>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highlight w:val="none"/>
              </w:rPr>
              <w:t>其他</w:t>
            </w:r>
          </w:p>
        </w:tc>
        <w:tc>
          <w:tcPr>
            <w:tcW w:w="3294" w:type="pct"/>
            <w:noWrap w:val="0"/>
            <w:vAlign w:val="center"/>
          </w:tcPr>
          <w:p w14:paraId="6ED884BF">
            <w:pPr>
              <w:pStyle w:val="24"/>
              <w:bidi w:val="0"/>
              <w:ind w:left="0" w:leftChars="0"/>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highlight w:val="none"/>
              </w:rPr>
              <w:t>涉及危险物质使用、贮存的项目</w:t>
            </w:r>
          </w:p>
        </w:tc>
        <w:tc>
          <w:tcPr>
            <w:tcW w:w="702" w:type="pct"/>
            <w:noWrap w:val="0"/>
            <w:vAlign w:val="center"/>
          </w:tcPr>
          <w:p w14:paraId="0BA139D8">
            <w:pPr>
              <w:pStyle w:val="24"/>
              <w:bidi w:val="0"/>
              <w:ind w:left="0" w:leftChars="0"/>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highlight w:val="none"/>
              </w:rPr>
              <w:t>5</w:t>
            </w:r>
          </w:p>
        </w:tc>
      </w:tr>
      <w:tr w14:paraId="7FB9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noWrap w:val="0"/>
            <w:vAlign w:val="center"/>
          </w:tcPr>
          <w:p w14:paraId="51E78142">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a 高温指工艺温度≥300 ℃，高压指压力容器的设计压力（P）≥10.0MPa；</w:t>
            </w:r>
          </w:p>
          <w:p w14:paraId="07874058">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 长输管道运输项目应按站场、管线分段进行评价。</w:t>
            </w:r>
          </w:p>
        </w:tc>
      </w:tr>
    </w:tbl>
    <w:p w14:paraId="45F4B25D">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本项目属于化工项目，聚羧酸减水剂母液</w:t>
      </w:r>
      <w:r>
        <w:rPr>
          <w:rFonts w:hint="eastAsia" w:cs="Times New Roman"/>
          <w:color w:val="auto"/>
          <w:highlight w:val="none"/>
          <w:lang w:val="en-US" w:eastAsia="zh-CN"/>
        </w:rPr>
        <w:t>生产过程中涉及聚合工艺、无碱速凝剂生产过程中涉及氟化工艺；生产过程为常压，工艺温度最高位120 ℃，不属于高温工艺；</w:t>
      </w:r>
      <w:r>
        <w:rPr>
          <w:rFonts w:hint="default" w:ascii="Times New Roman" w:hAnsi="Times New Roman" w:cs="Times New Roman"/>
          <w:color w:val="auto"/>
          <w:highlight w:val="none"/>
          <w:lang w:val="en-US" w:eastAsia="zh-CN"/>
        </w:rPr>
        <w:t>厂区设3个罐区</w:t>
      </w:r>
      <w:r>
        <w:rPr>
          <w:rFonts w:hint="eastAsia" w:cs="Times New Roman"/>
          <w:color w:val="auto"/>
          <w:highlight w:val="none"/>
          <w:lang w:val="en-US" w:eastAsia="zh-CN"/>
        </w:rPr>
        <w:t>。因此，</w:t>
      </w:r>
      <w:r>
        <w:rPr>
          <w:rFonts w:hint="default" w:ascii="Times New Roman" w:hAnsi="Times New Roman" w:cs="Times New Roman"/>
          <w:color w:val="auto"/>
          <w:highlight w:val="none"/>
        </w:rPr>
        <w:t>行业及生产工艺（M）为</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，属于M</w:t>
      </w:r>
      <w:r>
        <w:rPr>
          <w:rFonts w:hint="eastAsia" w:cs="Times New Roman"/>
          <w:color w:val="auto"/>
          <w:highlight w:val="none"/>
          <w:lang w:val="en-US" w:eastAsia="zh-CN"/>
        </w:rPr>
        <w:t>1</w:t>
      </w:r>
      <w:r>
        <w:rPr>
          <w:rFonts w:hint="default" w:ascii="Times New Roman" w:hAnsi="Times New Roman" w:cs="Times New Roman"/>
          <w:color w:val="auto"/>
          <w:highlight w:val="none"/>
        </w:rPr>
        <w:t>。</w:t>
      </w:r>
    </w:p>
    <w:p w14:paraId="132C75B0">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危险物质及工艺系统危险性（P）分级</w:t>
      </w:r>
    </w:p>
    <w:p w14:paraId="0B1B85E0">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根据危险物质数量与临界量比值（Q）和</w:t>
      </w:r>
      <w:r>
        <w:rPr>
          <w:rFonts w:hint="default" w:ascii="Times New Roman" w:hAnsi="Times New Roman" w:cs="Times New Roman"/>
          <w:color w:val="auto"/>
          <w:highlight w:val="none"/>
          <w:lang w:val="en-US" w:eastAsia="zh-CN"/>
        </w:rPr>
        <w:t>行</w:t>
      </w:r>
      <w:r>
        <w:rPr>
          <w:rFonts w:hint="default" w:ascii="Times New Roman" w:hAnsi="Times New Roman" w:cs="Times New Roman"/>
          <w:color w:val="auto"/>
          <w:highlight w:val="none"/>
        </w:rPr>
        <w:t>业及生产工艺（M），按照《建设项目环境风险评价技术导则》（HJ169-2018）表C.2确定危险物质及工艺系统危险性等级（P），分别以P1、P2、P3、P4表示。</w:t>
      </w:r>
    </w:p>
    <w:p w14:paraId="0587BA07">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危险物质及工艺系统危险性等级判断（P）</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475"/>
        <w:gridCol w:w="1595"/>
        <w:gridCol w:w="1593"/>
        <w:gridCol w:w="1450"/>
        <w:gridCol w:w="1401"/>
      </w:tblGrid>
      <w:tr w14:paraId="023766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26" w:type="pct"/>
            <w:vMerge w:val="restart"/>
            <w:noWrap w:val="0"/>
            <w:vAlign w:val="center"/>
          </w:tcPr>
          <w:p w14:paraId="5E50569C">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危险物质数量与临界量比值（Q）</w:t>
            </w:r>
          </w:p>
        </w:tc>
        <w:tc>
          <w:tcPr>
            <w:tcW w:w="3173" w:type="pct"/>
            <w:gridSpan w:val="4"/>
            <w:noWrap w:val="0"/>
            <w:vAlign w:val="center"/>
          </w:tcPr>
          <w:p w14:paraId="751B19E7">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行业及生产工艺（M）</w:t>
            </w:r>
          </w:p>
        </w:tc>
      </w:tr>
      <w:tr w14:paraId="6B6BAB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26" w:type="pct"/>
            <w:vMerge w:val="continue"/>
            <w:noWrap w:val="0"/>
            <w:vAlign w:val="center"/>
          </w:tcPr>
          <w:p w14:paraId="523B5E62">
            <w:pPr>
              <w:pStyle w:val="24"/>
              <w:bidi w:val="0"/>
              <w:rPr>
                <w:rFonts w:hint="default" w:ascii="Times New Roman" w:hAnsi="Times New Roman" w:cs="Times New Roman"/>
                <w:b/>
                <w:bCs/>
                <w:color w:val="auto"/>
                <w:highlight w:val="none"/>
              </w:rPr>
            </w:pPr>
          </w:p>
        </w:tc>
        <w:tc>
          <w:tcPr>
            <w:tcW w:w="838" w:type="pct"/>
            <w:noWrap w:val="0"/>
            <w:vAlign w:val="center"/>
          </w:tcPr>
          <w:p w14:paraId="46D90818">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M1</w:t>
            </w:r>
          </w:p>
        </w:tc>
        <w:tc>
          <w:tcPr>
            <w:tcW w:w="837" w:type="pct"/>
            <w:noWrap w:val="0"/>
            <w:vAlign w:val="center"/>
          </w:tcPr>
          <w:p w14:paraId="1E5CE385">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M2</w:t>
            </w:r>
          </w:p>
        </w:tc>
        <w:tc>
          <w:tcPr>
            <w:tcW w:w="762" w:type="pct"/>
            <w:noWrap w:val="0"/>
            <w:vAlign w:val="center"/>
          </w:tcPr>
          <w:p w14:paraId="2F342E4F">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M3</w:t>
            </w:r>
          </w:p>
        </w:tc>
        <w:tc>
          <w:tcPr>
            <w:tcW w:w="734" w:type="pct"/>
            <w:noWrap w:val="0"/>
            <w:vAlign w:val="center"/>
          </w:tcPr>
          <w:p w14:paraId="53E922A8">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M4</w:t>
            </w:r>
          </w:p>
        </w:tc>
      </w:tr>
      <w:tr w14:paraId="6D22E6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26" w:type="pct"/>
            <w:noWrap w:val="0"/>
            <w:vAlign w:val="center"/>
          </w:tcPr>
          <w:p w14:paraId="705EB7C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Q≥100</w:t>
            </w:r>
          </w:p>
        </w:tc>
        <w:tc>
          <w:tcPr>
            <w:tcW w:w="838" w:type="pct"/>
            <w:noWrap w:val="0"/>
            <w:vAlign w:val="center"/>
          </w:tcPr>
          <w:p w14:paraId="0FFD0BB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P1</w:t>
            </w:r>
          </w:p>
        </w:tc>
        <w:tc>
          <w:tcPr>
            <w:tcW w:w="837" w:type="pct"/>
            <w:noWrap w:val="0"/>
            <w:vAlign w:val="center"/>
          </w:tcPr>
          <w:p w14:paraId="6995DAA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P1</w:t>
            </w:r>
          </w:p>
        </w:tc>
        <w:tc>
          <w:tcPr>
            <w:tcW w:w="762" w:type="pct"/>
            <w:noWrap w:val="0"/>
            <w:vAlign w:val="center"/>
          </w:tcPr>
          <w:p w14:paraId="63FFDD9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P2</w:t>
            </w:r>
          </w:p>
        </w:tc>
        <w:tc>
          <w:tcPr>
            <w:tcW w:w="734" w:type="pct"/>
            <w:noWrap w:val="0"/>
            <w:vAlign w:val="center"/>
          </w:tcPr>
          <w:p w14:paraId="7ADD8C14">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P3</w:t>
            </w:r>
          </w:p>
        </w:tc>
      </w:tr>
      <w:tr w14:paraId="56EF4C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26" w:type="pct"/>
            <w:noWrap w:val="0"/>
            <w:vAlign w:val="center"/>
          </w:tcPr>
          <w:p w14:paraId="61E99C7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10≤Q＜100</w:t>
            </w:r>
          </w:p>
        </w:tc>
        <w:tc>
          <w:tcPr>
            <w:tcW w:w="838" w:type="pct"/>
            <w:noWrap w:val="0"/>
            <w:vAlign w:val="center"/>
          </w:tcPr>
          <w:p w14:paraId="4815056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p>
        </w:tc>
        <w:tc>
          <w:tcPr>
            <w:tcW w:w="837" w:type="pct"/>
            <w:noWrap w:val="0"/>
            <w:vAlign w:val="center"/>
          </w:tcPr>
          <w:p w14:paraId="202B801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P2</w:t>
            </w:r>
          </w:p>
        </w:tc>
        <w:tc>
          <w:tcPr>
            <w:tcW w:w="762" w:type="pct"/>
            <w:noWrap w:val="0"/>
            <w:vAlign w:val="center"/>
          </w:tcPr>
          <w:p w14:paraId="12D66AE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P3</w:t>
            </w:r>
          </w:p>
        </w:tc>
        <w:tc>
          <w:tcPr>
            <w:tcW w:w="734" w:type="pct"/>
            <w:noWrap w:val="0"/>
            <w:vAlign w:val="center"/>
          </w:tcPr>
          <w:p w14:paraId="675D16C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P4</w:t>
            </w:r>
          </w:p>
        </w:tc>
      </w:tr>
      <w:tr w14:paraId="2F53E3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26" w:type="pct"/>
            <w:noWrap w:val="0"/>
            <w:vAlign w:val="center"/>
          </w:tcPr>
          <w:p w14:paraId="782FD46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1≤Q＜10</w:t>
            </w:r>
          </w:p>
        </w:tc>
        <w:tc>
          <w:tcPr>
            <w:tcW w:w="838" w:type="pct"/>
            <w:noWrap w:val="0"/>
            <w:vAlign w:val="center"/>
          </w:tcPr>
          <w:p w14:paraId="3A042CC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P2</w:t>
            </w:r>
          </w:p>
        </w:tc>
        <w:tc>
          <w:tcPr>
            <w:tcW w:w="837" w:type="pct"/>
            <w:noWrap w:val="0"/>
            <w:vAlign w:val="center"/>
          </w:tcPr>
          <w:p w14:paraId="70E114D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P3</w:t>
            </w:r>
          </w:p>
        </w:tc>
        <w:tc>
          <w:tcPr>
            <w:tcW w:w="762" w:type="pct"/>
            <w:noWrap w:val="0"/>
            <w:vAlign w:val="center"/>
          </w:tcPr>
          <w:p w14:paraId="58CF4D6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P4</w:t>
            </w:r>
          </w:p>
        </w:tc>
        <w:tc>
          <w:tcPr>
            <w:tcW w:w="734" w:type="pct"/>
            <w:noWrap w:val="0"/>
            <w:vAlign w:val="center"/>
          </w:tcPr>
          <w:p w14:paraId="316B484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P4</w:t>
            </w:r>
          </w:p>
        </w:tc>
      </w:tr>
    </w:tbl>
    <w:p w14:paraId="237C80C3">
      <w:pPr>
        <w:pStyle w:val="26"/>
        <w:bidi w:val="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由上述描述可知，本项目</w:t>
      </w:r>
      <w:r>
        <w:rPr>
          <w:rFonts w:hint="default" w:ascii="Times New Roman" w:hAnsi="Times New Roman" w:cs="Times New Roman"/>
          <w:color w:val="auto"/>
          <w:sz w:val="24"/>
          <w:szCs w:val="24"/>
          <w:highlight w:val="none"/>
        </w:rPr>
        <w:t>危险物质数量与临界量比值</w:t>
      </w:r>
      <w:r>
        <w:rPr>
          <w:rFonts w:hint="default" w:ascii="Times New Roman" w:hAnsi="Times New Roman" w:cs="Times New Roman"/>
          <w:color w:val="auto"/>
          <w:sz w:val="24"/>
          <w:szCs w:val="24"/>
          <w:highlight w:val="none"/>
          <w:lang w:val="en-US" w:eastAsia="zh-CN"/>
        </w:rPr>
        <w:t>为</w:t>
      </w:r>
      <w:r>
        <w:rPr>
          <w:rFonts w:hint="eastAsia" w:cs="Times New Roman"/>
          <w:color w:val="auto"/>
          <w:sz w:val="24"/>
          <w:szCs w:val="24"/>
          <w:highlight w:val="none"/>
          <w:lang w:val="en-US" w:eastAsia="zh-CN"/>
        </w:rPr>
        <w:t>17.98</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10≤Q＜100</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行业及生产工艺（M）为</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，属于M</w:t>
      </w:r>
      <w:r>
        <w:rPr>
          <w:rFonts w:hint="eastAsia" w:cs="Times New Roman"/>
          <w:color w:val="auto"/>
          <w:sz w:val="24"/>
          <w:szCs w:val="24"/>
          <w:highlight w:val="none"/>
          <w:lang w:val="en-US" w:eastAsia="zh-CN"/>
        </w:rPr>
        <w:t>1</w:t>
      </w:r>
      <w:r>
        <w:rPr>
          <w:rFonts w:hint="default" w:ascii="Times New Roman" w:hAnsi="Times New Roman" w:cs="Times New Roman"/>
          <w:bCs/>
          <w:color w:val="auto"/>
          <w:sz w:val="24"/>
          <w:highlight w:val="none"/>
        </w:rPr>
        <w:t>。因此，本</w:t>
      </w:r>
      <w:r>
        <w:rPr>
          <w:rFonts w:hint="default" w:ascii="Times New Roman" w:hAnsi="Times New Roman" w:cs="Times New Roman"/>
          <w:bCs/>
          <w:color w:val="auto"/>
          <w:sz w:val="24"/>
          <w:szCs w:val="24"/>
          <w:highlight w:val="none"/>
        </w:rPr>
        <w:t>项目危险物质及工艺系统危险性等级为P</w:t>
      </w:r>
      <w:r>
        <w:rPr>
          <w:rFonts w:hint="eastAsia"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w:t>
      </w:r>
    </w:p>
    <w:p w14:paraId="4ACFC0E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风险潜势初判</w:t>
      </w:r>
    </w:p>
    <w:p w14:paraId="236ED83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建设项目的环境风险潜势划分为Ⅰ、Ⅱ、Ⅲ、Ⅳ/Ⅳ</w:t>
      </w:r>
      <w:r>
        <w:rPr>
          <w:rFonts w:hint="default" w:ascii="Times New Roman" w:hAnsi="Times New Roman" w:cs="Times New Roman"/>
          <w:color w:val="auto"/>
          <w:highlight w:val="none"/>
          <w:vertAlign w:val="superscript"/>
          <w:lang w:val="en-US" w:eastAsia="zh-CN"/>
        </w:rPr>
        <w:t>+</w:t>
      </w:r>
      <w:r>
        <w:rPr>
          <w:rFonts w:hint="default" w:ascii="Times New Roman" w:hAnsi="Times New Roman" w:cs="Times New Roman"/>
          <w:color w:val="auto"/>
          <w:highlight w:val="none"/>
          <w:lang w:val="en-US" w:eastAsia="zh-CN"/>
        </w:rPr>
        <w:t>。根据建设项目涉及的物质和工艺系统的危险性及其所在地的环境敏感程度，结合事故情形下的影响途径，按下表确定环境风险潜势。</w:t>
      </w:r>
    </w:p>
    <w:p w14:paraId="22057EA7">
      <w:pPr>
        <w:pStyle w:val="28"/>
        <w:numPr>
          <w:ilvl w:val="0"/>
          <w:numId w:val="30"/>
        </w:numPr>
        <w:bidi w:val="0"/>
        <w:ind w:left="567" w:leftChars="0" w:hanging="327"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建设项目环境风险潜势划分</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460"/>
        <w:gridCol w:w="1888"/>
        <w:gridCol w:w="1741"/>
        <w:gridCol w:w="1741"/>
        <w:gridCol w:w="1684"/>
      </w:tblGrid>
      <w:tr w14:paraId="17DE9F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Merge w:val="restart"/>
            <w:noWrap w:val="0"/>
            <w:vAlign w:val="center"/>
          </w:tcPr>
          <w:p w14:paraId="38D6D8E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环境敏感程度（E）</w:t>
            </w:r>
          </w:p>
        </w:tc>
        <w:tc>
          <w:tcPr>
            <w:tcW w:w="3707" w:type="pct"/>
            <w:gridSpan w:val="4"/>
            <w:noWrap w:val="0"/>
            <w:vAlign w:val="center"/>
          </w:tcPr>
          <w:p w14:paraId="2E751B6A">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危险物质及工艺系统危险性（P）</w:t>
            </w:r>
          </w:p>
        </w:tc>
      </w:tr>
      <w:tr w14:paraId="1C4E94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vMerge w:val="continue"/>
            <w:noWrap w:val="0"/>
            <w:vAlign w:val="center"/>
          </w:tcPr>
          <w:p w14:paraId="7713D863">
            <w:pPr>
              <w:pStyle w:val="31"/>
              <w:bidi w:val="0"/>
              <w:rPr>
                <w:rFonts w:hint="default" w:ascii="Times New Roman" w:hAnsi="Times New Roman" w:cs="Times New Roman"/>
                <w:color w:val="auto"/>
                <w:highlight w:val="none"/>
              </w:rPr>
            </w:pPr>
          </w:p>
        </w:tc>
        <w:tc>
          <w:tcPr>
            <w:tcW w:w="992" w:type="pct"/>
            <w:noWrap w:val="0"/>
            <w:vAlign w:val="center"/>
          </w:tcPr>
          <w:p w14:paraId="7856635E">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极高危害（P1）</w:t>
            </w:r>
          </w:p>
        </w:tc>
        <w:tc>
          <w:tcPr>
            <w:tcW w:w="915" w:type="pct"/>
            <w:noWrap w:val="0"/>
            <w:vAlign w:val="center"/>
          </w:tcPr>
          <w:p w14:paraId="511AE6F0">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高度危害（P2）</w:t>
            </w:r>
          </w:p>
        </w:tc>
        <w:tc>
          <w:tcPr>
            <w:tcW w:w="915" w:type="pct"/>
            <w:noWrap w:val="0"/>
            <w:vAlign w:val="center"/>
          </w:tcPr>
          <w:p w14:paraId="564F63B5">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中度危害（P3）</w:t>
            </w:r>
          </w:p>
        </w:tc>
        <w:tc>
          <w:tcPr>
            <w:tcW w:w="885" w:type="pct"/>
            <w:noWrap w:val="0"/>
            <w:vAlign w:val="center"/>
          </w:tcPr>
          <w:p w14:paraId="6C4583F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轻度危害（P4）</w:t>
            </w:r>
          </w:p>
        </w:tc>
      </w:tr>
      <w:tr w14:paraId="3180B3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noWrap w:val="0"/>
            <w:vAlign w:val="center"/>
          </w:tcPr>
          <w:p w14:paraId="3458BC0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环境高度敏感区（E1）</w:t>
            </w:r>
          </w:p>
        </w:tc>
        <w:tc>
          <w:tcPr>
            <w:tcW w:w="992" w:type="pct"/>
            <w:noWrap w:val="0"/>
            <w:vAlign w:val="center"/>
          </w:tcPr>
          <w:p w14:paraId="24946AE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IV+</w:t>
            </w:r>
          </w:p>
        </w:tc>
        <w:tc>
          <w:tcPr>
            <w:tcW w:w="915" w:type="pct"/>
            <w:noWrap w:val="0"/>
            <w:vAlign w:val="center"/>
          </w:tcPr>
          <w:p w14:paraId="1F5E4AE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IV</w:t>
            </w:r>
          </w:p>
        </w:tc>
        <w:tc>
          <w:tcPr>
            <w:tcW w:w="915" w:type="pct"/>
            <w:noWrap w:val="0"/>
            <w:vAlign w:val="center"/>
          </w:tcPr>
          <w:p w14:paraId="5CB4D0D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III</w:t>
            </w:r>
          </w:p>
        </w:tc>
        <w:tc>
          <w:tcPr>
            <w:tcW w:w="885" w:type="pct"/>
            <w:noWrap w:val="0"/>
            <w:vAlign w:val="center"/>
          </w:tcPr>
          <w:p w14:paraId="4316350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III</w:t>
            </w:r>
          </w:p>
        </w:tc>
      </w:tr>
      <w:tr w14:paraId="67EA88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noWrap w:val="0"/>
            <w:vAlign w:val="center"/>
          </w:tcPr>
          <w:p w14:paraId="28B939C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环境中度敏感区（E2）</w:t>
            </w:r>
          </w:p>
        </w:tc>
        <w:tc>
          <w:tcPr>
            <w:tcW w:w="992" w:type="pct"/>
            <w:noWrap w:val="0"/>
            <w:vAlign w:val="center"/>
          </w:tcPr>
          <w:p w14:paraId="15C2C43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IV</w:t>
            </w:r>
          </w:p>
        </w:tc>
        <w:tc>
          <w:tcPr>
            <w:tcW w:w="915" w:type="pct"/>
            <w:noWrap w:val="0"/>
            <w:vAlign w:val="center"/>
          </w:tcPr>
          <w:p w14:paraId="762A7CD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III</w:t>
            </w:r>
          </w:p>
        </w:tc>
        <w:tc>
          <w:tcPr>
            <w:tcW w:w="915" w:type="pct"/>
            <w:noWrap w:val="0"/>
            <w:vAlign w:val="center"/>
          </w:tcPr>
          <w:p w14:paraId="3C14C96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III</w:t>
            </w:r>
          </w:p>
        </w:tc>
        <w:tc>
          <w:tcPr>
            <w:tcW w:w="885" w:type="pct"/>
            <w:noWrap w:val="0"/>
            <w:vAlign w:val="center"/>
          </w:tcPr>
          <w:p w14:paraId="1DE9A1A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w:t>
            </w:r>
          </w:p>
        </w:tc>
      </w:tr>
      <w:tr w14:paraId="4F03E4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93" w:type="pct"/>
            <w:noWrap w:val="0"/>
            <w:vAlign w:val="center"/>
          </w:tcPr>
          <w:p w14:paraId="31B5128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环境低度敏感区（E3）</w:t>
            </w:r>
          </w:p>
        </w:tc>
        <w:tc>
          <w:tcPr>
            <w:tcW w:w="992" w:type="pct"/>
            <w:noWrap w:val="0"/>
            <w:vAlign w:val="center"/>
          </w:tcPr>
          <w:p w14:paraId="1C7F4F1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III</w:t>
            </w:r>
          </w:p>
        </w:tc>
        <w:tc>
          <w:tcPr>
            <w:tcW w:w="915" w:type="pct"/>
            <w:noWrap w:val="0"/>
            <w:vAlign w:val="center"/>
          </w:tcPr>
          <w:p w14:paraId="3C1C8DE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III</w:t>
            </w:r>
          </w:p>
        </w:tc>
        <w:tc>
          <w:tcPr>
            <w:tcW w:w="915" w:type="pct"/>
            <w:noWrap w:val="0"/>
            <w:vAlign w:val="center"/>
          </w:tcPr>
          <w:p w14:paraId="679D7A5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II</w:t>
            </w:r>
          </w:p>
        </w:tc>
        <w:tc>
          <w:tcPr>
            <w:tcW w:w="885" w:type="pct"/>
            <w:noWrap w:val="0"/>
            <w:vAlign w:val="center"/>
          </w:tcPr>
          <w:p w14:paraId="3CF51B9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w:t>
            </w:r>
          </w:p>
        </w:tc>
      </w:tr>
      <w:tr w14:paraId="4CBCF6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noWrap w:val="0"/>
            <w:vAlign w:val="center"/>
          </w:tcPr>
          <w:p w14:paraId="02F0A7C2">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注：IV+为极高环境风险。</w:t>
            </w:r>
          </w:p>
        </w:tc>
      </w:tr>
    </w:tbl>
    <w:p w14:paraId="2920148A">
      <w:pPr>
        <w:pStyle w:val="26"/>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由上表可知，本项目</w:t>
      </w:r>
      <w:r>
        <w:rPr>
          <w:rFonts w:hint="default" w:ascii="Times New Roman" w:hAnsi="Times New Roman" w:cs="Times New Roman"/>
          <w:color w:val="auto"/>
          <w:sz w:val="24"/>
          <w:highlight w:val="none"/>
        </w:rPr>
        <w:t>大气</w:t>
      </w:r>
      <w:r>
        <w:rPr>
          <w:rFonts w:hint="default" w:ascii="Times New Roman" w:hAnsi="Times New Roman" w:cs="Times New Roman"/>
          <w:color w:val="auto"/>
          <w:sz w:val="24"/>
          <w:highlight w:val="none"/>
          <w:lang w:val="en-US" w:eastAsia="zh-CN"/>
        </w:rPr>
        <w:t>和地下水</w:t>
      </w:r>
      <w:r>
        <w:rPr>
          <w:rFonts w:hint="default" w:ascii="Times New Roman" w:hAnsi="Times New Roman" w:cs="Times New Roman"/>
          <w:color w:val="auto"/>
          <w:sz w:val="24"/>
          <w:highlight w:val="none"/>
        </w:rPr>
        <w:t>环境风险潜势为</w:t>
      </w:r>
      <w:r>
        <w:rPr>
          <w:rFonts w:hint="default" w:ascii="Times New Roman" w:hAnsi="Times New Roman" w:cs="Times New Roman"/>
          <w:color w:val="auto"/>
          <w:highlight w:val="none"/>
        </w:rPr>
        <w:t>IV+</w:t>
      </w:r>
      <w:r>
        <w:rPr>
          <w:rFonts w:hint="default" w:ascii="Times New Roman" w:hAnsi="Times New Roman" w:cs="Times New Roman"/>
          <w:color w:val="auto"/>
          <w:sz w:val="24"/>
          <w:highlight w:val="none"/>
        </w:rPr>
        <w:t>、地表水环境风险潜势为IV</w:t>
      </w:r>
      <w:r>
        <w:rPr>
          <w:rFonts w:hint="default" w:ascii="Times New Roman" w:hAnsi="Times New Roman" w:cs="Times New Roman"/>
          <w:color w:val="auto"/>
          <w:highlight w:val="none"/>
          <w:lang w:eastAsia="zh-CN"/>
        </w:rPr>
        <w:t>。</w:t>
      </w:r>
      <w:r>
        <w:rPr>
          <w:rFonts w:hint="default" w:ascii="Times New Roman" w:hAnsi="Times New Roman" w:cs="Times New Roman"/>
          <w:color w:val="auto"/>
          <w:sz w:val="24"/>
          <w:highlight w:val="none"/>
        </w:rPr>
        <w:t>另外，</w:t>
      </w: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rPr>
        <w:t>《建设项目环境风险评价技术导则》（HJ169-2018）相关规定，</w:t>
      </w:r>
      <w:r>
        <w:rPr>
          <w:rFonts w:hint="default" w:ascii="Times New Roman" w:hAnsi="Times New Roman" w:cs="Times New Roman"/>
          <w:color w:val="auto"/>
          <w:highlight w:val="none"/>
        </w:rPr>
        <w:t>建设项目环境风险潜势综合等级取各要素等级的相对高值。</w:t>
      </w:r>
      <w:r>
        <w:rPr>
          <w:rFonts w:hint="default" w:ascii="Times New Roman" w:hAnsi="Times New Roman" w:cs="Times New Roman"/>
          <w:color w:val="auto"/>
          <w:sz w:val="24"/>
          <w:highlight w:val="none"/>
        </w:rPr>
        <w:t>因此，综合判断本项目的环境风险潜势等级为</w:t>
      </w:r>
      <w:r>
        <w:rPr>
          <w:rFonts w:hint="default" w:ascii="Times New Roman" w:hAnsi="Times New Roman" w:cs="Times New Roman"/>
          <w:color w:val="auto"/>
          <w:highlight w:val="none"/>
        </w:rPr>
        <w:t>IV+</w:t>
      </w:r>
      <w:r>
        <w:rPr>
          <w:rFonts w:hint="default" w:ascii="Times New Roman" w:hAnsi="Times New Roman" w:cs="Times New Roman"/>
          <w:color w:val="auto"/>
          <w:sz w:val="24"/>
          <w:highlight w:val="none"/>
        </w:rPr>
        <w:t>级。</w:t>
      </w:r>
    </w:p>
    <w:p w14:paraId="6059BD07">
      <w:pPr>
        <w:pStyle w:val="3"/>
        <w:bidi w:val="0"/>
        <w:rPr>
          <w:rFonts w:hint="default" w:ascii="Times New Roman" w:hAnsi="Times New Roman" w:cs="Times New Roman"/>
          <w:color w:val="auto"/>
          <w:highlight w:val="none"/>
          <w:lang w:val="en-US" w:eastAsia="zh-CN"/>
        </w:rPr>
      </w:pPr>
      <w:bookmarkStart w:id="172" w:name="_Toc12236"/>
      <w:bookmarkStart w:id="173" w:name="_Toc1286"/>
      <w:r>
        <w:rPr>
          <w:rFonts w:hint="default" w:ascii="Times New Roman" w:hAnsi="Times New Roman" w:cs="Times New Roman"/>
          <w:color w:val="auto"/>
          <w:highlight w:val="none"/>
          <w:lang w:val="en-US" w:eastAsia="zh-CN"/>
        </w:rPr>
        <w:t>环境风险评价等级、范围</w:t>
      </w:r>
      <w:bookmarkEnd w:id="172"/>
      <w:bookmarkEnd w:id="173"/>
    </w:p>
    <w:p w14:paraId="2EDB14FD">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环境风险评价等级</w:t>
      </w:r>
    </w:p>
    <w:p w14:paraId="65D4F3C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本项目危险物质在事故情形下的环境影响途径主要为大气、地表水和地下水，各要素环境风险评价等级如下：</w:t>
      </w:r>
    </w:p>
    <w:p w14:paraId="508B6996">
      <w:pPr>
        <w:pStyle w:val="28"/>
        <w:keepNext w:val="0"/>
        <w:keepLines w:val="0"/>
        <w:pageBreakBefore w:val="0"/>
        <w:widowControl w:val="0"/>
        <w:numPr>
          <w:ilvl w:val="0"/>
          <w:numId w:val="31"/>
        </w:numPr>
        <w:kinsoku/>
        <w:wordWrap/>
        <w:overflowPunct/>
        <w:topLinePunct w:val="0"/>
        <w:autoSpaceDE/>
        <w:autoSpaceDN/>
        <w:bidi w:val="0"/>
        <w:adjustRightInd w:val="0"/>
        <w:snapToGrid w:val="0"/>
        <w:ind w:left="425" w:leftChars="0" w:hanging="425"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环境风险</w:t>
      </w:r>
      <w:r>
        <w:rPr>
          <w:rFonts w:hint="default" w:ascii="Times New Roman" w:hAnsi="Times New Roman" w:cs="Times New Roman"/>
          <w:color w:val="auto"/>
          <w:highlight w:val="none"/>
          <w:lang w:val="en-US" w:eastAsia="zh-CN"/>
        </w:rPr>
        <w:t>工作等级划分</w:t>
      </w:r>
    </w:p>
    <w:tbl>
      <w:tblPr>
        <w:tblStyle w:val="20"/>
        <w:tblW w:w="9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1905"/>
        <w:gridCol w:w="1905"/>
        <w:gridCol w:w="1905"/>
        <w:gridCol w:w="1905"/>
      </w:tblGrid>
      <w:tr w14:paraId="1C702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05" w:type="dxa"/>
            <w:tcBorders>
              <w:top w:val="single" w:color="auto" w:sz="4" w:space="0"/>
              <w:left w:val="single" w:color="auto" w:sz="4" w:space="0"/>
              <w:bottom w:val="single" w:color="auto" w:sz="4" w:space="0"/>
              <w:right w:val="single" w:color="auto" w:sz="4" w:space="0"/>
            </w:tcBorders>
            <w:noWrap w:val="0"/>
            <w:vAlign w:val="center"/>
          </w:tcPr>
          <w:p w14:paraId="611F2E76">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环境风险潜势</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618A0225">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IV、IV</w:t>
            </w:r>
            <w:r>
              <w:rPr>
                <w:rFonts w:hint="default" w:ascii="Times New Roman" w:hAnsi="Times New Roman" w:cs="Times New Roman"/>
                <w:b/>
                <w:bCs/>
                <w:color w:val="auto"/>
                <w:highlight w:val="none"/>
                <w:vertAlign w:val="superscript"/>
              </w:rPr>
              <w:t>+</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381BDD9F">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III</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43521327">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II</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74D38453">
            <w:pPr>
              <w:pStyle w:val="2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I</w:t>
            </w:r>
          </w:p>
        </w:tc>
      </w:tr>
      <w:tr w14:paraId="2AF18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05" w:type="dxa"/>
            <w:tcBorders>
              <w:top w:val="single" w:color="auto" w:sz="4" w:space="0"/>
              <w:left w:val="single" w:color="auto" w:sz="4" w:space="0"/>
              <w:bottom w:val="single" w:color="auto" w:sz="4" w:space="0"/>
              <w:right w:val="single" w:color="auto" w:sz="4" w:space="0"/>
            </w:tcBorders>
            <w:noWrap w:val="0"/>
            <w:vAlign w:val="center"/>
          </w:tcPr>
          <w:p w14:paraId="6CA688FF">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评价工作等级</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6F4F11B2">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一</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60061B66">
            <w:pPr>
              <w:pStyle w:val="24"/>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二</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33880290">
            <w:pPr>
              <w:pStyle w:val="24"/>
              <w:rPr>
                <w:rFonts w:hint="default" w:ascii="Times New Roman" w:hAnsi="Times New Roman" w:cs="Times New Roman"/>
                <w:color w:val="auto"/>
                <w:highlight w:val="none"/>
              </w:rPr>
            </w:pPr>
            <w:r>
              <w:rPr>
                <w:rFonts w:hint="default" w:ascii="Times New Roman" w:hAnsi="Times New Roman" w:cs="Times New Roman"/>
                <w:color w:val="auto"/>
                <w:highlight w:val="none"/>
              </w:rPr>
              <w:t>三</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3CF58C3B">
            <w:pPr>
              <w:pStyle w:val="24"/>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简单分析</w:t>
            </w:r>
            <w:r>
              <w:rPr>
                <w:rFonts w:hint="default" w:ascii="Times New Roman" w:hAnsi="Times New Roman" w:cs="Times New Roman"/>
                <w:color w:val="auto"/>
                <w:highlight w:val="none"/>
                <w:vertAlign w:val="superscript"/>
                <w:lang w:val="en-US" w:eastAsia="zh-CN"/>
              </w:rPr>
              <w:t>a</w:t>
            </w:r>
          </w:p>
        </w:tc>
      </w:tr>
      <w:tr w14:paraId="3490AF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9525" w:type="dxa"/>
            <w:gridSpan w:val="5"/>
            <w:tcBorders>
              <w:top w:val="single" w:color="auto" w:sz="4" w:space="0"/>
              <w:left w:val="single" w:color="auto" w:sz="4" w:space="0"/>
              <w:bottom w:val="single" w:color="auto" w:sz="4" w:space="0"/>
              <w:right w:val="single" w:color="auto" w:sz="4" w:space="0"/>
            </w:tcBorders>
            <w:noWrap w:val="0"/>
            <w:vAlign w:val="center"/>
          </w:tcPr>
          <w:p w14:paraId="211C20D8">
            <w:pPr>
              <w:pStyle w:val="24"/>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rPr>
              <w:t>是相对于详细评价工作内容而言，在描述危险物质、环境影响途径、环境危害后果、风险防范措施等方面给出定性的说明</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见附录A</w:t>
            </w:r>
            <w:r>
              <w:rPr>
                <w:rFonts w:hint="default" w:ascii="Times New Roman" w:hAnsi="Times New Roman" w:cs="Times New Roman"/>
                <w:color w:val="auto"/>
                <w:highlight w:val="none"/>
              </w:rPr>
              <w:t>。</w:t>
            </w:r>
          </w:p>
        </w:tc>
      </w:tr>
    </w:tbl>
    <w:p w14:paraId="64492C90">
      <w:pPr>
        <w:pStyle w:val="28"/>
        <w:keepNext w:val="0"/>
        <w:keepLines w:val="0"/>
        <w:pageBreakBefore w:val="0"/>
        <w:widowControl w:val="0"/>
        <w:numPr>
          <w:ilvl w:val="0"/>
          <w:numId w:val="31"/>
        </w:numPr>
        <w:kinsoku/>
        <w:wordWrap/>
        <w:overflowPunct/>
        <w:topLinePunct w:val="0"/>
        <w:autoSpaceDE/>
        <w:autoSpaceDN/>
        <w:bidi w:val="0"/>
        <w:adjustRightInd w:val="0"/>
        <w:snapToGrid w:val="0"/>
        <w:ind w:left="425" w:leftChars="0" w:hanging="425"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各要素环境风险评价等级判定</w:t>
      </w:r>
    </w:p>
    <w:tbl>
      <w:tblPr>
        <w:tblStyle w:val="21"/>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862"/>
        <w:gridCol w:w="3113"/>
        <w:gridCol w:w="1500"/>
        <w:gridCol w:w="1962"/>
      </w:tblGrid>
      <w:tr w14:paraId="0A13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noWrap w:val="0"/>
            <w:vAlign w:val="center"/>
          </w:tcPr>
          <w:p w14:paraId="436BB762">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环境要素</w:t>
            </w:r>
          </w:p>
        </w:tc>
        <w:tc>
          <w:tcPr>
            <w:tcW w:w="1862" w:type="dxa"/>
            <w:noWrap w:val="0"/>
            <w:vAlign w:val="center"/>
          </w:tcPr>
          <w:p w14:paraId="1B5CF785">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环境敏感程度（E）</w:t>
            </w:r>
          </w:p>
        </w:tc>
        <w:tc>
          <w:tcPr>
            <w:tcW w:w="3113" w:type="dxa"/>
            <w:noWrap w:val="0"/>
            <w:vAlign w:val="center"/>
          </w:tcPr>
          <w:p w14:paraId="3DC35B99">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危险物质及工艺系统危险性（P）</w:t>
            </w:r>
          </w:p>
        </w:tc>
        <w:tc>
          <w:tcPr>
            <w:tcW w:w="1500" w:type="dxa"/>
            <w:noWrap w:val="0"/>
            <w:vAlign w:val="center"/>
          </w:tcPr>
          <w:p w14:paraId="6E059CF7">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环境风险潜势</w:t>
            </w:r>
          </w:p>
        </w:tc>
        <w:tc>
          <w:tcPr>
            <w:tcW w:w="1962" w:type="dxa"/>
            <w:noWrap w:val="0"/>
            <w:vAlign w:val="center"/>
          </w:tcPr>
          <w:p w14:paraId="3650F3DF">
            <w:pPr>
              <w:pStyle w:val="24"/>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环境风险评价等级</w:t>
            </w:r>
          </w:p>
        </w:tc>
      </w:tr>
      <w:tr w14:paraId="0A60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noWrap w:val="0"/>
            <w:vAlign w:val="center"/>
          </w:tcPr>
          <w:p w14:paraId="5F3129F1">
            <w:pPr>
              <w:pStyle w:val="24"/>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大气</w:t>
            </w:r>
          </w:p>
        </w:tc>
        <w:tc>
          <w:tcPr>
            <w:tcW w:w="1862" w:type="dxa"/>
            <w:noWrap w:val="0"/>
            <w:vAlign w:val="center"/>
          </w:tcPr>
          <w:p w14:paraId="031613B0">
            <w:pPr>
              <w:pStyle w:val="24"/>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E1</w:t>
            </w:r>
          </w:p>
        </w:tc>
        <w:tc>
          <w:tcPr>
            <w:tcW w:w="3113" w:type="dxa"/>
            <w:noWrap w:val="0"/>
            <w:vAlign w:val="center"/>
          </w:tcPr>
          <w:p w14:paraId="335760F7">
            <w:pPr>
              <w:pStyle w:val="24"/>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P</w:t>
            </w:r>
            <w:r>
              <w:rPr>
                <w:rFonts w:hint="eastAsia" w:cs="Times New Roman"/>
                <w:color w:val="auto"/>
                <w:highlight w:val="none"/>
                <w:lang w:val="en-US" w:eastAsia="zh-CN"/>
              </w:rPr>
              <w:t>1</w:t>
            </w:r>
          </w:p>
        </w:tc>
        <w:tc>
          <w:tcPr>
            <w:tcW w:w="1500" w:type="dxa"/>
            <w:noWrap w:val="0"/>
            <w:vAlign w:val="center"/>
          </w:tcPr>
          <w:p w14:paraId="10182DD3">
            <w:pPr>
              <w:pStyle w:val="24"/>
              <w:bidi w:val="0"/>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IV</w:t>
            </w:r>
            <w:r>
              <w:rPr>
                <w:rFonts w:hint="default" w:ascii="Times New Roman" w:hAnsi="Times New Roman" w:cs="Times New Roman"/>
                <w:b/>
                <w:bCs/>
                <w:color w:val="auto"/>
                <w:highlight w:val="none"/>
                <w:vertAlign w:val="superscript"/>
              </w:rPr>
              <w:t>+</w:t>
            </w:r>
          </w:p>
        </w:tc>
        <w:tc>
          <w:tcPr>
            <w:tcW w:w="1962" w:type="dxa"/>
            <w:noWrap w:val="0"/>
            <w:vAlign w:val="center"/>
          </w:tcPr>
          <w:p w14:paraId="017AB23C">
            <w:pPr>
              <w:pStyle w:val="24"/>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一级</w:t>
            </w:r>
          </w:p>
        </w:tc>
      </w:tr>
      <w:tr w14:paraId="436E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noWrap w:val="0"/>
            <w:vAlign w:val="center"/>
          </w:tcPr>
          <w:p w14:paraId="79650B2E">
            <w:pPr>
              <w:pStyle w:val="24"/>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地表水</w:t>
            </w:r>
          </w:p>
        </w:tc>
        <w:tc>
          <w:tcPr>
            <w:tcW w:w="1862" w:type="dxa"/>
            <w:noWrap w:val="0"/>
            <w:vAlign w:val="center"/>
          </w:tcPr>
          <w:p w14:paraId="7CA84D73">
            <w:pPr>
              <w:pStyle w:val="24"/>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E2</w:t>
            </w:r>
          </w:p>
        </w:tc>
        <w:tc>
          <w:tcPr>
            <w:tcW w:w="3113" w:type="dxa"/>
            <w:noWrap w:val="0"/>
            <w:vAlign w:val="center"/>
          </w:tcPr>
          <w:p w14:paraId="7440CA5F">
            <w:pPr>
              <w:pStyle w:val="24"/>
              <w:bidi w:val="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P</w:t>
            </w:r>
            <w:r>
              <w:rPr>
                <w:rFonts w:hint="eastAsia" w:cs="Times New Roman"/>
                <w:color w:val="auto"/>
                <w:highlight w:val="none"/>
                <w:lang w:val="en-US" w:eastAsia="zh-CN"/>
              </w:rPr>
              <w:t>1</w:t>
            </w:r>
          </w:p>
        </w:tc>
        <w:tc>
          <w:tcPr>
            <w:tcW w:w="1500" w:type="dxa"/>
            <w:noWrap w:val="0"/>
            <w:vAlign w:val="center"/>
          </w:tcPr>
          <w:p w14:paraId="0B171596">
            <w:pPr>
              <w:pStyle w:val="24"/>
              <w:bidi w:val="0"/>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IV</w:t>
            </w:r>
          </w:p>
        </w:tc>
        <w:tc>
          <w:tcPr>
            <w:tcW w:w="1962" w:type="dxa"/>
            <w:noWrap w:val="0"/>
            <w:vAlign w:val="center"/>
          </w:tcPr>
          <w:p w14:paraId="7DA8C4E1">
            <w:pPr>
              <w:pStyle w:val="24"/>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w:t>
            </w:r>
          </w:p>
        </w:tc>
      </w:tr>
      <w:tr w14:paraId="7EE7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noWrap w:val="0"/>
            <w:vAlign w:val="center"/>
          </w:tcPr>
          <w:p w14:paraId="3A061609">
            <w:pPr>
              <w:pStyle w:val="24"/>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地下水</w:t>
            </w:r>
          </w:p>
        </w:tc>
        <w:tc>
          <w:tcPr>
            <w:tcW w:w="1862" w:type="dxa"/>
            <w:noWrap w:val="0"/>
            <w:vAlign w:val="center"/>
          </w:tcPr>
          <w:p w14:paraId="78B22BF1">
            <w:pPr>
              <w:pStyle w:val="24"/>
              <w:bidi w:val="0"/>
              <w:jc w:val="center"/>
              <w:rPr>
                <w:rFonts w:hint="default" w:ascii="Times New Roman" w:hAnsi="Times New Roman" w:cs="Times New Roman"/>
                <w:color w:val="auto"/>
                <w:highlight w:val="none"/>
                <w:lang w:val="en-US"/>
              </w:rPr>
            </w:pPr>
            <w:r>
              <w:rPr>
                <w:rFonts w:hint="default" w:ascii="Times New Roman" w:hAnsi="Times New Roman" w:eastAsia="宋体" w:cs="Times New Roman"/>
                <w:color w:val="auto"/>
                <w:highlight w:val="none"/>
                <w:lang w:val="en-US" w:eastAsia="zh-CN"/>
              </w:rPr>
              <w:t>E</w:t>
            </w:r>
            <w:r>
              <w:rPr>
                <w:rFonts w:hint="eastAsia" w:cs="Times New Roman"/>
                <w:color w:val="auto"/>
                <w:highlight w:val="none"/>
                <w:lang w:val="en-US" w:eastAsia="zh-CN"/>
              </w:rPr>
              <w:t>1</w:t>
            </w:r>
          </w:p>
        </w:tc>
        <w:tc>
          <w:tcPr>
            <w:tcW w:w="3113" w:type="dxa"/>
            <w:noWrap w:val="0"/>
            <w:vAlign w:val="center"/>
          </w:tcPr>
          <w:p w14:paraId="3FACA549">
            <w:pPr>
              <w:pStyle w:val="24"/>
              <w:bidi w:val="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P</w:t>
            </w:r>
            <w:r>
              <w:rPr>
                <w:rFonts w:hint="eastAsia" w:cs="Times New Roman"/>
                <w:color w:val="auto"/>
                <w:highlight w:val="none"/>
                <w:lang w:val="en-US" w:eastAsia="zh-CN"/>
              </w:rPr>
              <w:t>1</w:t>
            </w:r>
          </w:p>
        </w:tc>
        <w:tc>
          <w:tcPr>
            <w:tcW w:w="1500" w:type="dxa"/>
            <w:noWrap w:val="0"/>
            <w:vAlign w:val="center"/>
          </w:tcPr>
          <w:p w14:paraId="0041F1AE">
            <w:pPr>
              <w:pStyle w:val="24"/>
              <w:bidi w:val="0"/>
              <w:ind w:left="0" w:leftChars="0"/>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IV</w:t>
            </w:r>
            <w:r>
              <w:rPr>
                <w:rFonts w:hint="default" w:ascii="Times New Roman" w:hAnsi="Times New Roman" w:cs="Times New Roman"/>
                <w:b/>
                <w:bCs/>
                <w:color w:val="auto"/>
                <w:highlight w:val="none"/>
                <w:vertAlign w:val="superscript"/>
              </w:rPr>
              <w:t>+</w:t>
            </w:r>
          </w:p>
        </w:tc>
        <w:tc>
          <w:tcPr>
            <w:tcW w:w="1962" w:type="dxa"/>
            <w:noWrap w:val="0"/>
            <w:vAlign w:val="center"/>
          </w:tcPr>
          <w:p w14:paraId="3A088E8F">
            <w:pPr>
              <w:pStyle w:val="24"/>
              <w:bidi w:val="0"/>
              <w:ind w:left="0" w:left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w:t>
            </w:r>
          </w:p>
        </w:tc>
      </w:tr>
    </w:tbl>
    <w:p w14:paraId="2556E90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《建设项目环境风险评价技术导则》（HJ169-2018）中</w:t>
      </w:r>
      <w:r>
        <w:rPr>
          <w:rFonts w:hint="default" w:ascii="Times New Roman" w:hAnsi="Times New Roman" w:cs="Times New Roman"/>
          <w:color w:val="auto"/>
          <w:highlight w:val="none"/>
          <w:lang w:val="en-US" w:eastAsia="zh-CN"/>
        </w:rPr>
        <w:t>评价等级划分</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大气、地表水和地下水</w:t>
      </w:r>
      <w:r>
        <w:rPr>
          <w:rFonts w:hint="default" w:ascii="Times New Roman" w:hAnsi="Times New Roman" w:cs="Times New Roman"/>
          <w:b w:val="0"/>
          <w:bCs w:val="0"/>
          <w:color w:val="auto"/>
          <w:highlight w:val="none"/>
          <w:lang w:val="en-US" w:eastAsia="zh-CN"/>
        </w:rPr>
        <w:t>环境风险评价工作等级</w:t>
      </w:r>
      <w:r>
        <w:rPr>
          <w:rFonts w:hint="eastAsia" w:cs="Times New Roman"/>
          <w:b w:val="0"/>
          <w:bCs w:val="0"/>
          <w:color w:val="auto"/>
          <w:highlight w:val="none"/>
          <w:lang w:val="en-US" w:eastAsia="zh-CN"/>
        </w:rPr>
        <w:t>均</w:t>
      </w:r>
      <w:r>
        <w:rPr>
          <w:rFonts w:hint="default" w:ascii="Times New Roman" w:hAnsi="Times New Roman" w:cs="Times New Roman"/>
          <w:b w:val="0"/>
          <w:bCs w:val="0"/>
          <w:color w:val="auto"/>
          <w:highlight w:val="none"/>
          <w:lang w:val="en-US" w:eastAsia="zh-CN"/>
        </w:rPr>
        <w:t>为</w:t>
      </w:r>
      <w:r>
        <w:rPr>
          <w:rFonts w:hint="eastAsia" w:cs="Times New Roman"/>
          <w:b w:val="0"/>
          <w:bCs w:val="0"/>
          <w:color w:val="auto"/>
          <w:highlight w:val="none"/>
          <w:lang w:val="en-US" w:eastAsia="zh-CN"/>
        </w:rPr>
        <w:t>一</w:t>
      </w:r>
      <w:r>
        <w:rPr>
          <w:rFonts w:hint="default" w:ascii="Times New Roman" w:hAnsi="Times New Roman" w:cs="Times New Roman"/>
          <w:b w:val="0"/>
          <w:bCs w:val="0"/>
          <w:color w:val="auto"/>
          <w:highlight w:val="none"/>
          <w:lang w:val="en-US" w:eastAsia="zh-CN"/>
        </w:rPr>
        <w:t>级</w:t>
      </w:r>
      <w:r>
        <w:rPr>
          <w:rFonts w:hint="default" w:ascii="Times New Roman" w:hAnsi="Times New Roman" w:cs="Times New Roman"/>
          <w:b w:val="0"/>
          <w:bCs w:val="0"/>
          <w:color w:val="auto"/>
          <w:highlight w:val="none"/>
        </w:rPr>
        <w:t>。</w:t>
      </w:r>
    </w:p>
    <w:p w14:paraId="7041903D">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评价范围</w:t>
      </w:r>
    </w:p>
    <w:p w14:paraId="16DED6EB">
      <w:pPr>
        <w:pStyle w:val="26"/>
        <w:bidi w:val="0"/>
        <w:rPr>
          <w:rFonts w:hint="default" w:ascii="Times New Roman" w:hAnsi="Times New Roman" w:cs="Times New Roman"/>
          <w:color w:val="auto"/>
          <w:highlight w:val="none"/>
          <w:lang w:eastAsia="zh-CN"/>
        </w:rPr>
      </w:pPr>
      <w:r>
        <w:rPr>
          <w:rFonts w:hint="default" w:ascii="Times New Roman" w:hAnsi="Times New Roman" w:eastAsia="宋体" w:cs="Times New Roman"/>
          <w:b/>
          <w:bCs/>
          <w:color w:val="auto"/>
          <w:sz w:val="24"/>
          <w:szCs w:val="24"/>
          <w:highlight w:val="none"/>
        </w:rPr>
        <w:t>大气环境风险评价范围</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大气环境</w:t>
      </w:r>
      <w:r>
        <w:rPr>
          <w:rFonts w:hint="default" w:ascii="Times New Roman" w:hAnsi="Times New Roman" w:eastAsia="宋体" w:cs="Times New Roman"/>
          <w:color w:val="auto"/>
          <w:sz w:val="24"/>
          <w:szCs w:val="24"/>
          <w:highlight w:val="none"/>
        </w:rPr>
        <w:t>风险评价等级为</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级，根据《建设项目环境风险评价技术导则》（</w:t>
      </w:r>
      <w:r>
        <w:rPr>
          <w:rFonts w:hint="default" w:ascii="Times New Roman" w:hAnsi="Times New Roman" w:eastAsia="TimesNewRomanPSMT" w:cs="Times New Roman"/>
          <w:color w:val="auto"/>
          <w:sz w:val="24"/>
          <w:szCs w:val="24"/>
          <w:highlight w:val="none"/>
        </w:rPr>
        <w:t>HJ169-2018</w:t>
      </w:r>
      <w:r>
        <w:rPr>
          <w:rFonts w:hint="default" w:ascii="Times New Roman" w:hAnsi="Times New Roman" w:eastAsia="宋体" w:cs="Times New Roman"/>
          <w:color w:val="auto"/>
          <w:sz w:val="24"/>
          <w:szCs w:val="24"/>
          <w:highlight w:val="none"/>
        </w:rPr>
        <w:t>）的规定，本项目大气环境风险评价范围为距离项目厂界</w:t>
      </w:r>
      <w:r>
        <w:rPr>
          <w:rFonts w:hint="default" w:ascii="Times New Roman" w:hAnsi="Times New Roman" w:eastAsia="TimesNewRomanPSMT" w:cs="Times New Roman"/>
          <w:color w:val="auto"/>
          <w:sz w:val="24"/>
          <w:szCs w:val="24"/>
          <w:highlight w:val="none"/>
        </w:rPr>
        <w:t>5km</w:t>
      </w:r>
      <w:r>
        <w:rPr>
          <w:rFonts w:hint="default" w:ascii="Times New Roman" w:hAnsi="Times New Roman" w:eastAsia="宋体" w:cs="Times New Roman"/>
          <w:color w:val="auto"/>
          <w:sz w:val="24"/>
          <w:szCs w:val="24"/>
          <w:highlight w:val="none"/>
        </w:rPr>
        <w:t>的范围</w:t>
      </w:r>
      <w:r>
        <w:rPr>
          <w:rFonts w:hint="default" w:ascii="Times New Roman" w:hAnsi="Times New Roman" w:cs="Times New Roman"/>
          <w:color w:val="auto"/>
          <w:highlight w:val="none"/>
          <w:lang w:eastAsia="zh-CN"/>
        </w:rPr>
        <w:t>。</w:t>
      </w:r>
    </w:p>
    <w:p w14:paraId="0BE7F2FF">
      <w:pPr>
        <w:pStyle w:val="26"/>
        <w:bidi w:val="0"/>
        <w:ind w:left="0" w:leftChars="0" w:firstLine="0" w:firstLineChars="0"/>
        <w:jc w:val="center"/>
        <w:rPr>
          <w:rFonts w:hint="default" w:ascii="Times New Roman" w:hAnsi="Times New Roman" w:cs="Times New Roman"/>
          <w:color w:val="auto"/>
        </w:rPr>
      </w:pPr>
      <w:r>
        <w:rPr>
          <w:color w:val="auto"/>
        </w:rPr>
        <w:drawing>
          <wp:inline distT="0" distB="0" distL="114300" distR="114300">
            <wp:extent cx="5902325" cy="5719445"/>
            <wp:effectExtent l="0" t="0" r="3175" b="14605"/>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7"/>
                    <pic:cNvPicPr>
                      <a:picLocks noChangeAspect="1"/>
                    </pic:cNvPicPr>
                  </pic:nvPicPr>
                  <pic:blipFill>
                    <a:blip r:embed="rId26"/>
                    <a:stretch>
                      <a:fillRect/>
                    </a:stretch>
                  </pic:blipFill>
                  <pic:spPr>
                    <a:xfrm>
                      <a:off x="0" y="0"/>
                      <a:ext cx="5902325" cy="5719445"/>
                    </a:xfrm>
                    <a:prstGeom prst="rect">
                      <a:avLst/>
                    </a:prstGeom>
                    <a:noFill/>
                    <a:ln>
                      <a:noFill/>
                    </a:ln>
                  </pic:spPr>
                </pic:pic>
              </a:graphicData>
            </a:graphic>
          </wp:inline>
        </w:drawing>
      </w:r>
    </w:p>
    <w:p w14:paraId="39608358">
      <w:pPr>
        <w:pStyle w:val="26"/>
        <w:numPr>
          <w:ilvl w:val="0"/>
          <w:numId w:val="32"/>
        </w:numPr>
        <w:bidi w:val="0"/>
        <w:ind w:left="425" w:leftChars="0" w:hanging="425" w:firstLineChars="0"/>
        <w:jc w:val="center"/>
        <w:rPr>
          <w:rFonts w:hint="default" w:ascii="Times New Roman" w:hAnsi="Times New Roman" w:eastAsia="宋体" w:cs="Times New Roman"/>
          <w:color w:val="auto"/>
          <w:lang w:val="en-US" w:eastAsia="zh-CN"/>
        </w:rPr>
      </w:pPr>
      <w:r>
        <w:rPr>
          <w:rFonts w:hint="default" w:ascii="Times New Roman" w:hAnsi="Times New Roman" w:eastAsia="黑体" w:cs="Times New Roman"/>
          <w:color w:val="auto"/>
          <w:sz w:val="21"/>
          <w:szCs w:val="21"/>
          <w:lang w:val="en-US" w:eastAsia="zh-CN"/>
        </w:rPr>
        <w:t>本项目</w:t>
      </w:r>
      <w:r>
        <w:rPr>
          <w:rFonts w:hint="default" w:ascii="Times New Roman" w:hAnsi="Times New Roman" w:eastAsia="黑体" w:cs="Times New Roman"/>
          <w:color w:val="auto"/>
          <w:sz w:val="21"/>
          <w:szCs w:val="21"/>
          <w:highlight w:val="none"/>
        </w:rPr>
        <w:t>大气环境风险评价范围</w:t>
      </w:r>
      <w:r>
        <w:rPr>
          <w:rFonts w:hint="default" w:ascii="Times New Roman" w:hAnsi="Times New Roman" w:eastAsia="黑体" w:cs="Times New Roman"/>
          <w:color w:val="auto"/>
          <w:sz w:val="21"/>
          <w:szCs w:val="21"/>
          <w:highlight w:val="none"/>
          <w:lang w:val="en-US" w:eastAsia="zh-CN"/>
        </w:rPr>
        <w:t>图</w:t>
      </w:r>
    </w:p>
    <w:p w14:paraId="2D28C772">
      <w:pPr>
        <w:pStyle w:val="26"/>
        <w:bidi w:val="0"/>
        <w:ind w:left="0" w:leftChars="0" w:firstLine="482" w:firstLineChars="200"/>
        <w:rPr>
          <w:rFonts w:hint="default" w:ascii="Times New Roman" w:hAnsi="Times New Roman" w:cs="Times New Roman"/>
          <w:b w:val="0"/>
          <w:bCs w:val="0"/>
          <w:color w:val="auto"/>
          <w:highlight w:val="none"/>
          <w:lang w:eastAsia="zh-CN"/>
        </w:rPr>
      </w:pPr>
      <w:r>
        <w:rPr>
          <w:rFonts w:hint="default" w:ascii="Times New Roman" w:hAnsi="Times New Roman" w:eastAsia="宋体" w:cs="Times New Roman"/>
          <w:b/>
          <w:bCs/>
          <w:color w:val="auto"/>
          <w:sz w:val="24"/>
          <w:szCs w:val="24"/>
          <w:highlight w:val="none"/>
          <w:lang w:val="en-US" w:eastAsia="zh-CN"/>
        </w:rPr>
        <w:t>地表水、地下水</w:t>
      </w:r>
      <w:r>
        <w:rPr>
          <w:rFonts w:hint="default" w:ascii="Times New Roman" w:hAnsi="Times New Roman" w:eastAsia="宋体" w:cs="Times New Roman"/>
          <w:b/>
          <w:bCs/>
          <w:color w:val="auto"/>
          <w:sz w:val="24"/>
          <w:szCs w:val="24"/>
          <w:highlight w:val="none"/>
        </w:rPr>
        <w:t>环境风险评价范围</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eastAsia="zh-CN"/>
        </w:rPr>
        <w:t>地表水与地下水风险评价范围与地表水、地下水环境影响评价范围一致。</w:t>
      </w:r>
    </w:p>
    <w:p w14:paraId="6A22D920">
      <w:pPr>
        <w:pStyle w:val="3"/>
        <w:bidi w:val="0"/>
        <w:rPr>
          <w:rFonts w:hint="default" w:ascii="Times New Roman" w:hAnsi="Times New Roman" w:cs="Times New Roman"/>
          <w:color w:val="auto"/>
          <w:highlight w:val="none"/>
          <w:lang w:val="en-US" w:eastAsia="zh-CN"/>
        </w:rPr>
      </w:pPr>
      <w:bookmarkStart w:id="174" w:name="_Toc22595"/>
      <w:bookmarkStart w:id="175" w:name="_Toc9680"/>
      <w:bookmarkStart w:id="176" w:name="_Toc2815"/>
      <w:r>
        <w:rPr>
          <w:rFonts w:hint="default" w:ascii="Times New Roman" w:hAnsi="Times New Roman" w:cs="Times New Roman"/>
          <w:color w:val="auto"/>
          <w:highlight w:val="none"/>
          <w:lang w:val="en-US" w:eastAsia="zh-CN"/>
        </w:rPr>
        <w:t>环境</w:t>
      </w:r>
      <w:r>
        <w:rPr>
          <w:rFonts w:hint="default" w:ascii="Times New Roman" w:hAnsi="Times New Roman" w:cs="Times New Roman"/>
          <w:color w:val="auto"/>
          <w:highlight w:val="none"/>
        </w:rPr>
        <w:t>风险识别</w:t>
      </w:r>
      <w:bookmarkEnd w:id="174"/>
      <w:bookmarkEnd w:id="175"/>
      <w:bookmarkEnd w:id="176"/>
    </w:p>
    <w:p w14:paraId="73A89F1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本次评价将对本项目运营过程中可能发生的潜在危险进行分析，以找出主要危险环节，认识危险程度，从而针对性地采取预防和应急措施，尽可能将风险可能性和危害程度</w:t>
      </w:r>
      <w:r>
        <w:rPr>
          <w:rFonts w:hint="eastAsia" w:cs="Times New Roman"/>
          <w:color w:val="auto"/>
          <w:highlight w:val="none"/>
          <w:lang w:val="en-US" w:eastAsia="zh-CN"/>
        </w:rPr>
        <w:t>降</w:t>
      </w:r>
      <w:r>
        <w:rPr>
          <w:rFonts w:hint="default" w:ascii="Times New Roman" w:hAnsi="Times New Roman" w:cs="Times New Roman"/>
          <w:color w:val="auto"/>
          <w:highlight w:val="none"/>
          <w:lang w:val="en-US" w:eastAsia="zh-CN"/>
        </w:rPr>
        <w:t>至最低。</w:t>
      </w:r>
    </w:p>
    <w:p w14:paraId="11640B7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危险物质识别</w:t>
      </w:r>
    </w:p>
    <w:p w14:paraId="5AE8140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根据《建设项目环境风险评价技术导则》（HJ169-2018），本项目生产过程中涉及的危险物质为</w:t>
      </w:r>
      <w:r>
        <w:rPr>
          <w:rFonts w:hint="eastAsia" w:cs="Times New Roman"/>
          <w:color w:val="auto"/>
          <w:highlight w:val="none"/>
          <w:lang w:val="en-US" w:eastAsia="zh-CN"/>
        </w:rPr>
        <w:t>丙烯酸、液碱、硫酸、氟硅酸</w:t>
      </w:r>
      <w:r>
        <w:rPr>
          <w:rFonts w:hint="default" w:ascii="Times New Roman" w:hAnsi="Times New Roman" w:cs="Times New Roman"/>
          <w:color w:val="auto"/>
          <w:highlight w:val="none"/>
          <w:lang w:val="en-US" w:eastAsia="zh-CN"/>
        </w:rPr>
        <w:t>等。本项目主要原辅材料理化性质见下表。</w:t>
      </w:r>
    </w:p>
    <w:p w14:paraId="3BF3A346">
      <w:pPr>
        <w:pStyle w:val="26"/>
        <w:bidi w:val="0"/>
        <w:rPr>
          <w:rFonts w:hint="default"/>
          <w:color w:val="auto"/>
          <w:highlight w:val="none"/>
          <w:lang w:val="en-US" w:eastAsia="zh-CN"/>
        </w:rPr>
      </w:pPr>
      <w:r>
        <w:rPr>
          <w:rFonts w:hint="eastAsia"/>
          <w:color w:val="auto"/>
          <w:highlight w:val="none"/>
          <w:lang w:val="en-US" w:eastAsia="zh-CN"/>
        </w:rPr>
        <w:t>略。</w:t>
      </w:r>
    </w:p>
    <w:p w14:paraId="523DFB35">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生产设施风险识别</w:t>
      </w:r>
    </w:p>
    <w:p w14:paraId="15A33CB8">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根据本项目装置的功能特点和危险物质的分布情况，项目主要危险生产设施为</w:t>
      </w:r>
      <w:r>
        <w:rPr>
          <w:rFonts w:hint="default" w:ascii="Times New Roman" w:hAnsi="Times New Roman" w:cs="Times New Roman"/>
          <w:color w:val="auto"/>
          <w:kern w:val="0"/>
          <w:sz w:val="24"/>
          <w:szCs w:val="24"/>
          <w:highlight w:val="none"/>
          <w:lang w:val="en-US" w:eastAsia="zh-CN" w:bidi="ar"/>
        </w:rPr>
        <w:t>储罐、</w:t>
      </w:r>
      <w:r>
        <w:rPr>
          <w:rFonts w:hint="eastAsia" w:cs="Times New Roman"/>
          <w:color w:val="auto"/>
          <w:kern w:val="0"/>
          <w:sz w:val="24"/>
          <w:szCs w:val="24"/>
          <w:highlight w:val="none"/>
          <w:lang w:val="en-US" w:eastAsia="zh-CN" w:bidi="ar"/>
        </w:rPr>
        <w:t>复配</w:t>
      </w:r>
      <w:r>
        <w:rPr>
          <w:rFonts w:hint="default" w:ascii="Times New Roman" w:hAnsi="Times New Roman" w:cs="Times New Roman"/>
          <w:color w:val="auto"/>
          <w:kern w:val="0"/>
          <w:sz w:val="24"/>
          <w:szCs w:val="24"/>
          <w:highlight w:val="none"/>
          <w:lang w:val="en-US" w:eastAsia="zh-CN" w:bidi="ar"/>
        </w:rPr>
        <w:t>罐</w:t>
      </w:r>
      <w:r>
        <w:rPr>
          <w:rFonts w:hint="eastAsia" w:cs="Times New Roman"/>
          <w:color w:val="auto"/>
          <w:kern w:val="0"/>
          <w:sz w:val="24"/>
          <w:szCs w:val="24"/>
          <w:highlight w:val="none"/>
          <w:lang w:val="en-US" w:eastAsia="zh-CN" w:bidi="ar"/>
        </w:rPr>
        <w:t>、反应釜</w:t>
      </w:r>
      <w:r>
        <w:rPr>
          <w:rFonts w:hint="default" w:ascii="Times New Roman" w:hAnsi="Times New Roman" w:eastAsia="宋体" w:cs="Times New Roman"/>
          <w:color w:val="auto"/>
          <w:kern w:val="0"/>
          <w:sz w:val="24"/>
          <w:szCs w:val="24"/>
          <w:highlight w:val="none"/>
          <w:lang w:val="en-US" w:eastAsia="zh-CN" w:bidi="ar"/>
        </w:rPr>
        <w:t>等</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项目使用的危险性较大设备主要</w:t>
      </w:r>
      <w:r>
        <w:rPr>
          <w:rFonts w:hint="default" w:ascii="Times New Roman" w:hAnsi="Times New Roman" w:cs="Times New Roman"/>
          <w:color w:val="auto"/>
          <w:kern w:val="0"/>
          <w:sz w:val="24"/>
          <w:szCs w:val="24"/>
          <w:highlight w:val="none"/>
          <w:lang w:val="en-US" w:eastAsia="zh-CN" w:bidi="ar"/>
        </w:rPr>
        <w:t>为</w:t>
      </w:r>
      <w:r>
        <w:rPr>
          <w:rFonts w:hint="default" w:ascii="Times New Roman" w:hAnsi="Times New Roman" w:eastAsia="宋体" w:cs="Times New Roman"/>
          <w:color w:val="auto"/>
          <w:kern w:val="0"/>
          <w:sz w:val="24"/>
          <w:szCs w:val="24"/>
          <w:highlight w:val="none"/>
          <w:lang w:val="en-US" w:eastAsia="zh-CN" w:bidi="ar"/>
        </w:rPr>
        <w:t>泵类。</w:t>
      </w:r>
    </w:p>
    <w:p w14:paraId="075E4CDB">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从本项目生产工艺过程及设备情况来看，在生产过程中主要可能存在的事故风险环节如下：</w:t>
      </w:r>
    </w:p>
    <w:p w14:paraId="5AEFCB8C">
      <w:pPr>
        <w:pStyle w:val="3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贮存类</w:t>
      </w:r>
      <w:r>
        <w:rPr>
          <w:rFonts w:hint="eastAsia" w:cs="Times New Roman"/>
          <w:color w:val="auto"/>
          <w:highlight w:val="none"/>
          <w:lang w:val="en-US" w:eastAsia="zh-CN"/>
        </w:rPr>
        <w:t>及生产类</w:t>
      </w:r>
      <w:r>
        <w:rPr>
          <w:rFonts w:hint="default" w:ascii="Times New Roman" w:hAnsi="Times New Roman" w:cs="Times New Roman"/>
          <w:color w:val="auto"/>
          <w:highlight w:val="none"/>
          <w:lang w:val="en-US" w:eastAsia="zh-CN"/>
        </w:rPr>
        <w:t>设备</w:t>
      </w:r>
    </w:p>
    <w:p w14:paraId="65AF8FEE">
      <w:pPr>
        <w:pStyle w:val="26"/>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本项目原料罐、产品罐和</w:t>
      </w:r>
      <w:r>
        <w:rPr>
          <w:rFonts w:hint="eastAsia" w:cs="Times New Roman"/>
          <w:color w:val="auto"/>
          <w:highlight w:val="none"/>
          <w:lang w:val="en-US" w:eastAsia="zh-CN"/>
        </w:rPr>
        <w:t>复配</w:t>
      </w:r>
      <w:r>
        <w:rPr>
          <w:rFonts w:hint="default" w:ascii="Times New Roman" w:hAnsi="Times New Roman" w:cs="Times New Roman"/>
          <w:color w:val="auto"/>
          <w:highlight w:val="none"/>
          <w:lang w:val="en-US" w:eastAsia="zh-CN"/>
        </w:rPr>
        <w:t>罐均</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常温</w:t>
      </w:r>
      <w:r>
        <w:rPr>
          <w:rFonts w:hint="default" w:ascii="Times New Roman" w:hAnsi="Times New Roman" w:cs="Times New Roman"/>
          <w:color w:val="auto"/>
          <w:highlight w:val="none"/>
        </w:rPr>
        <w:t>常压</w:t>
      </w:r>
      <w:r>
        <w:rPr>
          <w:rFonts w:hint="eastAsia" w:cs="Times New Roman"/>
          <w:color w:val="auto"/>
          <w:highlight w:val="none"/>
          <w:lang w:val="en-US" w:eastAsia="zh-CN"/>
        </w:rPr>
        <w:t>罐体</w:t>
      </w:r>
      <w:r>
        <w:rPr>
          <w:rFonts w:hint="default" w:ascii="Times New Roman" w:hAnsi="Times New Roman" w:cs="Times New Roman"/>
          <w:color w:val="auto"/>
          <w:highlight w:val="none"/>
        </w:rPr>
        <w:t>，</w:t>
      </w:r>
      <w:r>
        <w:rPr>
          <w:rFonts w:hint="eastAsia" w:cs="Times New Roman"/>
          <w:color w:val="auto"/>
          <w:highlight w:val="none"/>
          <w:lang w:val="en-US" w:eastAsia="zh-CN"/>
        </w:rPr>
        <w:t>部分反应釜工艺温度可达到120</w:t>
      </w:r>
      <w:r>
        <w:rPr>
          <w:rFonts w:hint="eastAsia" w:ascii="Times New Roman" w:hAnsi="Times New Roman" w:eastAsia="宋体" w:cs="Times New Roman"/>
          <w:caps w:val="0"/>
          <w:smallCaps w:val="0"/>
          <w:color w:val="auto"/>
          <w:sz w:val="24"/>
          <w:highlight w:val="none"/>
          <w:lang w:val="en-US" w:eastAsia="zh-CN"/>
        </w:rPr>
        <w:t>℃</w:t>
      </w:r>
      <w:r>
        <w:rPr>
          <w:rFonts w:hint="eastAsia" w:cs="Times New Roman"/>
          <w:caps w:val="0"/>
          <w:smallCaps w:val="0"/>
          <w:color w:val="auto"/>
          <w:sz w:val="24"/>
          <w:highlight w:val="none"/>
          <w:lang w:val="en-US" w:eastAsia="zh-CN"/>
        </w:rPr>
        <w:t>，</w:t>
      </w:r>
      <w:r>
        <w:rPr>
          <w:rFonts w:hint="default" w:ascii="Times New Roman" w:hAnsi="Times New Roman" w:cs="Times New Roman"/>
          <w:color w:val="auto"/>
          <w:highlight w:val="none"/>
        </w:rPr>
        <w:t>主要危险有害因素分析如下表</w:t>
      </w:r>
      <w:r>
        <w:rPr>
          <w:rFonts w:hint="default" w:ascii="Times New Roman" w:hAnsi="Times New Roman" w:cs="Times New Roman"/>
          <w:color w:val="auto"/>
          <w:highlight w:val="none"/>
          <w:lang w:eastAsia="zh-CN"/>
        </w:rPr>
        <w:t>。</w:t>
      </w:r>
    </w:p>
    <w:p w14:paraId="481408EE">
      <w:pPr>
        <w:pStyle w:val="26"/>
        <w:numPr>
          <w:ilvl w:val="0"/>
          <w:numId w:val="33"/>
        </w:numPr>
        <w:bidi w:val="0"/>
        <w:ind w:left="425" w:leftChars="0" w:hanging="425" w:firstLineChars="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贮存类及生产类设备危险、有害因素一览表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5938"/>
        <w:gridCol w:w="993"/>
        <w:gridCol w:w="2033"/>
      </w:tblGrid>
      <w:tr w14:paraId="42DC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7888BC3A">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123" w:type="pct"/>
            <w:tcBorders>
              <w:tl2br w:val="nil"/>
              <w:tr2bl w:val="nil"/>
            </w:tcBorders>
            <w:noWrap w:val="0"/>
            <w:vAlign w:val="center"/>
          </w:tcPr>
          <w:p w14:paraId="55A4E117">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主要危险、有害因素分析</w:t>
            </w:r>
          </w:p>
        </w:tc>
        <w:tc>
          <w:tcPr>
            <w:tcW w:w="522" w:type="pct"/>
            <w:tcBorders>
              <w:tl2br w:val="nil"/>
              <w:tr2bl w:val="nil"/>
            </w:tcBorders>
            <w:noWrap w:val="0"/>
            <w:vAlign w:val="center"/>
          </w:tcPr>
          <w:p w14:paraId="15CC8207">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事故</w:t>
            </w:r>
          </w:p>
          <w:p w14:paraId="30C94DA9">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1069" w:type="pct"/>
            <w:tcBorders>
              <w:tl2br w:val="nil"/>
              <w:tr2bl w:val="nil"/>
            </w:tcBorders>
            <w:noWrap w:val="0"/>
            <w:vAlign w:val="center"/>
          </w:tcPr>
          <w:p w14:paraId="267CFF1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危险有害因素分类</w:t>
            </w:r>
          </w:p>
        </w:tc>
      </w:tr>
      <w:tr w14:paraId="6095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6D75E99E">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3123" w:type="pct"/>
            <w:vMerge w:val="restart"/>
            <w:tcBorders>
              <w:tl2br w:val="nil"/>
              <w:tr2bl w:val="nil"/>
            </w:tcBorders>
            <w:noWrap w:val="0"/>
            <w:vAlign w:val="center"/>
          </w:tcPr>
          <w:p w14:paraId="7FB0A667">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eastAsia" w:cs="Times New Roman"/>
                <w:color w:val="auto"/>
                <w:highlight w:val="none"/>
                <w:lang w:val="en-US" w:eastAsia="zh-CN"/>
              </w:rPr>
              <w:t>罐体或反应釜</w:t>
            </w:r>
            <w:r>
              <w:rPr>
                <w:rFonts w:hint="default" w:ascii="Times New Roman" w:hAnsi="Times New Roman" w:cs="Times New Roman"/>
                <w:color w:val="auto"/>
                <w:highlight w:val="none"/>
              </w:rPr>
              <w:t>中存在的物质具有</w:t>
            </w:r>
            <w:r>
              <w:rPr>
                <w:rFonts w:hint="default" w:ascii="Times New Roman" w:hAnsi="Times New Roman" w:cs="Times New Roman"/>
                <w:color w:val="auto"/>
                <w:highlight w:val="none"/>
                <w:lang w:val="en-US" w:eastAsia="zh-CN"/>
              </w:rPr>
              <w:t>可燃</w:t>
            </w:r>
            <w:r>
              <w:rPr>
                <w:rFonts w:hint="default" w:ascii="Times New Roman" w:hAnsi="Times New Roman" w:cs="Times New Roman"/>
                <w:color w:val="auto"/>
                <w:highlight w:val="none"/>
              </w:rPr>
              <w:t>特性。</w:t>
            </w:r>
          </w:p>
          <w:p w14:paraId="5EBACD00">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（2）由于贮存类</w:t>
            </w:r>
            <w:r>
              <w:rPr>
                <w:rFonts w:hint="default" w:ascii="Times New Roman" w:hAnsi="Times New Roman" w:cs="Times New Roman"/>
                <w:color w:val="auto"/>
                <w:highlight w:val="none"/>
                <w:lang w:val="en-US" w:eastAsia="zh-CN"/>
              </w:rPr>
              <w:t>及生产类</w:t>
            </w:r>
            <w:r>
              <w:rPr>
                <w:rFonts w:hint="default" w:ascii="Times New Roman" w:hAnsi="Times New Roman" w:cs="Times New Roman"/>
                <w:color w:val="auto"/>
                <w:highlight w:val="none"/>
              </w:rPr>
              <w:t>设备在设计、制造、安装、选材等过程中本身存在缺陷，导致其罐体、连接部分等强度不够，刚度不够，密封不良，耐腐蚀性差等，导致其容易发生泄漏事故，若可燃气体与空气混合达到爆炸极限，极可能发生火灾爆炸事故。</w:t>
            </w:r>
          </w:p>
          <w:p w14:paraId="63965CD7">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（3）可燃有毒气体监测报警</w:t>
            </w:r>
            <w:r>
              <w:rPr>
                <w:rFonts w:hint="default" w:ascii="Times New Roman" w:hAnsi="Times New Roman" w:cs="Times New Roman"/>
                <w:color w:val="auto"/>
                <w:highlight w:val="none"/>
                <w:lang w:eastAsia="zh-CN"/>
              </w:rPr>
              <w:t>灯</w:t>
            </w:r>
            <w:r>
              <w:rPr>
                <w:rFonts w:hint="default" w:ascii="Times New Roman" w:hAnsi="Times New Roman" w:cs="Times New Roman"/>
                <w:color w:val="auto"/>
                <w:highlight w:val="none"/>
              </w:rPr>
              <w:t>失效或出现故障，导致可燃物料泄漏不被察觉。</w:t>
            </w:r>
          </w:p>
          <w:p w14:paraId="31C9D2A9">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（4）违章动火作业。</w:t>
            </w:r>
          </w:p>
          <w:p w14:paraId="2C72358A">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（5）操作人员在作业现场吸烟、使用明火等。</w:t>
            </w:r>
          </w:p>
        </w:tc>
        <w:tc>
          <w:tcPr>
            <w:tcW w:w="522" w:type="pct"/>
            <w:vMerge w:val="restart"/>
            <w:tcBorders>
              <w:tl2br w:val="nil"/>
              <w:tr2bl w:val="nil"/>
            </w:tcBorders>
            <w:noWrap w:val="0"/>
            <w:vAlign w:val="center"/>
          </w:tcPr>
          <w:p w14:paraId="6395BEE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泄漏、</w:t>
            </w:r>
            <w:r>
              <w:rPr>
                <w:rFonts w:hint="default" w:ascii="Times New Roman" w:hAnsi="Times New Roman" w:cs="Times New Roman"/>
                <w:color w:val="auto"/>
                <w:highlight w:val="none"/>
              </w:rPr>
              <w:t>火灾、爆炸</w:t>
            </w:r>
          </w:p>
        </w:tc>
        <w:tc>
          <w:tcPr>
            <w:tcW w:w="1069" w:type="pct"/>
            <w:tcBorders>
              <w:tl2br w:val="nil"/>
              <w:tr2bl w:val="nil"/>
            </w:tcBorders>
            <w:noWrap w:val="0"/>
            <w:vAlign w:val="center"/>
          </w:tcPr>
          <w:p w14:paraId="7E7E80B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其他化学性危险有害因素</w:t>
            </w:r>
          </w:p>
        </w:tc>
      </w:tr>
      <w:tr w14:paraId="2B6F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5F289F42">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3123" w:type="pct"/>
            <w:vMerge w:val="continue"/>
            <w:tcBorders>
              <w:tl2br w:val="nil"/>
              <w:tr2bl w:val="nil"/>
            </w:tcBorders>
            <w:noWrap w:val="0"/>
            <w:vAlign w:val="center"/>
          </w:tcPr>
          <w:p w14:paraId="2B8DDC4B">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3D2DA303">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31DCF28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密封不良</w:t>
            </w:r>
          </w:p>
        </w:tc>
      </w:tr>
      <w:tr w14:paraId="7290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70D837C1">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3123" w:type="pct"/>
            <w:vMerge w:val="continue"/>
            <w:tcBorders>
              <w:tl2br w:val="nil"/>
              <w:tr2bl w:val="nil"/>
            </w:tcBorders>
            <w:noWrap w:val="0"/>
            <w:vAlign w:val="center"/>
          </w:tcPr>
          <w:p w14:paraId="1D7D3CC1">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21B403F4">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5737C05D">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强度不够</w:t>
            </w:r>
            <w:r>
              <w:rPr>
                <w:rFonts w:hint="eastAsia" w:cs="Times New Roman"/>
                <w:color w:val="auto"/>
                <w:highlight w:val="none"/>
                <w:lang w:eastAsia="zh-CN"/>
              </w:rPr>
              <w:t>、</w:t>
            </w:r>
            <w:r>
              <w:rPr>
                <w:rFonts w:hint="default" w:ascii="Times New Roman" w:hAnsi="Times New Roman" w:cs="Times New Roman"/>
                <w:color w:val="auto"/>
                <w:highlight w:val="none"/>
              </w:rPr>
              <w:t>耐腐蚀性差</w:t>
            </w:r>
          </w:p>
        </w:tc>
      </w:tr>
      <w:tr w14:paraId="43D6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7F9E2AEA">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w:t>
            </w:r>
          </w:p>
        </w:tc>
        <w:tc>
          <w:tcPr>
            <w:tcW w:w="3123" w:type="pct"/>
            <w:vMerge w:val="continue"/>
            <w:tcBorders>
              <w:tl2br w:val="nil"/>
              <w:tr2bl w:val="nil"/>
            </w:tcBorders>
            <w:noWrap w:val="0"/>
            <w:vAlign w:val="center"/>
          </w:tcPr>
          <w:p w14:paraId="7BA9D8A1">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091B73FA">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4D4095E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设备、设施、工具、附件及其他缺陷</w:t>
            </w:r>
          </w:p>
        </w:tc>
      </w:tr>
      <w:tr w14:paraId="0270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20A34CC3">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w:t>
            </w:r>
          </w:p>
        </w:tc>
        <w:tc>
          <w:tcPr>
            <w:tcW w:w="3123" w:type="pct"/>
            <w:vMerge w:val="continue"/>
            <w:tcBorders>
              <w:tl2br w:val="nil"/>
              <w:tr2bl w:val="nil"/>
            </w:tcBorders>
            <w:noWrap w:val="0"/>
            <w:vAlign w:val="center"/>
          </w:tcPr>
          <w:p w14:paraId="2B786BE2">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141EA5B8">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7E5682E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违章作业</w:t>
            </w:r>
          </w:p>
        </w:tc>
      </w:tr>
      <w:tr w14:paraId="7F0C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24529464">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w:t>
            </w:r>
          </w:p>
        </w:tc>
        <w:tc>
          <w:tcPr>
            <w:tcW w:w="3123" w:type="pct"/>
            <w:vMerge w:val="restart"/>
            <w:tcBorders>
              <w:tl2br w:val="nil"/>
              <w:tr2bl w:val="nil"/>
            </w:tcBorders>
            <w:noWrap w:val="0"/>
            <w:vAlign w:val="center"/>
          </w:tcPr>
          <w:p w14:paraId="6235362D">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（1）储罐充装量过多，随气温的升高罐内压力升高，联锁保护、超限报警、故障报警、状态异常报警不全或出现故障；</w:t>
            </w:r>
          </w:p>
          <w:p w14:paraId="17146CE7">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eastAsia" w:cs="Times New Roman"/>
                <w:color w:val="auto"/>
                <w:highlight w:val="none"/>
                <w:lang w:val="en-US" w:eastAsia="zh-CN"/>
              </w:rPr>
              <w:t>反应釜温度控制系统失效，反应釜内温度过高导致液位上升，引起反应釜内压力升高，</w:t>
            </w:r>
            <w:r>
              <w:rPr>
                <w:rFonts w:hint="default" w:ascii="Times New Roman" w:hAnsi="Times New Roman" w:cs="Times New Roman"/>
                <w:color w:val="auto"/>
                <w:highlight w:val="none"/>
              </w:rPr>
              <w:t>联锁保护、超限报警、故障报警、状态异常报警不全或出现故障；</w:t>
            </w:r>
          </w:p>
          <w:p w14:paraId="7E07DC81">
            <w:pPr>
              <w:pStyle w:val="24"/>
              <w:bidi w:val="0"/>
              <w:jc w:val="both"/>
              <w:rPr>
                <w:rFonts w:hint="default" w:ascii="Times New Roman" w:hAnsi="Times New Roman"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3</w:t>
            </w:r>
            <w:r>
              <w:rPr>
                <w:rFonts w:hint="eastAsia" w:cs="Times New Roman"/>
                <w:color w:val="auto"/>
                <w:highlight w:val="none"/>
                <w:lang w:eastAsia="zh-CN"/>
              </w:rPr>
              <w:t>）</w:t>
            </w:r>
            <w:r>
              <w:rPr>
                <w:rFonts w:hint="default" w:ascii="Times New Roman" w:hAnsi="Times New Roman" w:cs="Times New Roman"/>
                <w:color w:val="auto"/>
                <w:highlight w:val="none"/>
              </w:rPr>
              <w:t>安全附件或安全防护联锁装置不配套、不齐全或失效，未按规定定期</w:t>
            </w:r>
            <w:r>
              <w:rPr>
                <w:rFonts w:hint="default" w:ascii="Times New Roman" w:hAnsi="Times New Roman" w:cs="Times New Roman"/>
                <w:color w:val="auto"/>
                <w:highlight w:val="none"/>
                <w:lang w:eastAsia="zh-CN"/>
              </w:rPr>
              <w:t>校验</w:t>
            </w:r>
            <w:r>
              <w:rPr>
                <w:rFonts w:hint="default" w:ascii="Times New Roman" w:hAnsi="Times New Roman" w:cs="Times New Roman"/>
                <w:color w:val="auto"/>
                <w:highlight w:val="none"/>
              </w:rPr>
              <w:t>；监控显示系统不齐全、信息错误或失效；</w:t>
            </w:r>
          </w:p>
          <w:p w14:paraId="1B93E4CE">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eastAsia" w:cs="Times New Roman"/>
                <w:color w:val="auto"/>
                <w:highlight w:val="none"/>
                <w:lang w:val="en-US" w:eastAsia="zh-CN"/>
              </w:rPr>
              <w:t>4</w:t>
            </w:r>
            <w:r>
              <w:rPr>
                <w:rFonts w:hint="default" w:ascii="Times New Roman" w:hAnsi="Times New Roman" w:cs="Times New Roman"/>
                <w:color w:val="auto"/>
                <w:highlight w:val="none"/>
              </w:rPr>
              <w:t>）压力容器及其安全附件没有按要求定期进行内外部检验。</w:t>
            </w:r>
          </w:p>
        </w:tc>
        <w:tc>
          <w:tcPr>
            <w:tcW w:w="522" w:type="pct"/>
            <w:vMerge w:val="restart"/>
            <w:tcBorders>
              <w:tl2br w:val="nil"/>
              <w:tr2bl w:val="nil"/>
            </w:tcBorders>
            <w:noWrap w:val="0"/>
            <w:vAlign w:val="center"/>
          </w:tcPr>
          <w:p w14:paraId="00F3A71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爆炸</w:t>
            </w:r>
          </w:p>
        </w:tc>
        <w:tc>
          <w:tcPr>
            <w:tcW w:w="1069" w:type="pct"/>
            <w:vMerge w:val="restart"/>
            <w:tcBorders>
              <w:tl2br w:val="nil"/>
              <w:tr2bl w:val="nil"/>
            </w:tcBorders>
            <w:noWrap w:val="0"/>
            <w:vAlign w:val="center"/>
          </w:tcPr>
          <w:p w14:paraId="6141DEF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设备、设施、工具、附件及其他缺陷</w:t>
            </w:r>
          </w:p>
        </w:tc>
      </w:tr>
      <w:tr w14:paraId="35AD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148880FD">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w:t>
            </w:r>
          </w:p>
        </w:tc>
        <w:tc>
          <w:tcPr>
            <w:tcW w:w="3123" w:type="pct"/>
            <w:vMerge w:val="continue"/>
            <w:tcBorders>
              <w:tl2br w:val="nil"/>
              <w:tr2bl w:val="nil"/>
            </w:tcBorders>
            <w:noWrap w:val="0"/>
            <w:vAlign w:val="center"/>
          </w:tcPr>
          <w:p w14:paraId="1AC19D55">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778FC54C">
            <w:pPr>
              <w:pStyle w:val="24"/>
              <w:bidi w:val="0"/>
              <w:rPr>
                <w:rFonts w:hint="default" w:ascii="Times New Roman" w:hAnsi="Times New Roman" w:cs="Times New Roman"/>
                <w:color w:val="auto"/>
                <w:highlight w:val="none"/>
              </w:rPr>
            </w:pPr>
          </w:p>
        </w:tc>
        <w:tc>
          <w:tcPr>
            <w:tcW w:w="1069" w:type="pct"/>
            <w:vMerge w:val="continue"/>
            <w:tcBorders>
              <w:tl2br w:val="nil"/>
              <w:tr2bl w:val="nil"/>
            </w:tcBorders>
            <w:noWrap w:val="0"/>
            <w:vAlign w:val="center"/>
          </w:tcPr>
          <w:p w14:paraId="51AA152B">
            <w:pPr>
              <w:pStyle w:val="24"/>
              <w:bidi w:val="0"/>
              <w:rPr>
                <w:rFonts w:hint="default" w:ascii="Times New Roman" w:hAnsi="Times New Roman" w:cs="Times New Roman"/>
                <w:color w:val="auto"/>
                <w:highlight w:val="none"/>
              </w:rPr>
            </w:pPr>
          </w:p>
        </w:tc>
      </w:tr>
      <w:tr w14:paraId="212A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4C040C1D">
            <w:pPr>
              <w:pStyle w:val="24"/>
              <w:bidi w:val="0"/>
              <w:rPr>
                <w:rFonts w:hint="default" w:cs="Times New Roman"/>
                <w:color w:val="auto"/>
                <w:highlight w:val="none"/>
                <w:lang w:val="en-US" w:eastAsia="zh-CN"/>
              </w:rPr>
            </w:pPr>
            <w:r>
              <w:rPr>
                <w:rFonts w:hint="eastAsia" w:cs="Times New Roman"/>
                <w:color w:val="auto"/>
                <w:highlight w:val="none"/>
                <w:lang w:val="en-US" w:eastAsia="zh-CN"/>
              </w:rPr>
              <w:t>8</w:t>
            </w:r>
          </w:p>
        </w:tc>
        <w:tc>
          <w:tcPr>
            <w:tcW w:w="3123" w:type="pct"/>
            <w:vMerge w:val="continue"/>
            <w:tcBorders>
              <w:tl2br w:val="nil"/>
              <w:tr2bl w:val="nil"/>
            </w:tcBorders>
            <w:noWrap w:val="0"/>
            <w:vAlign w:val="center"/>
          </w:tcPr>
          <w:p w14:paraId="2FBA427A">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01BC81A5">
            <w:pPr>
              <w:pStyle w:val="24"/>
              <w:bidi w:val="0"/>
              <w:rPr>
                <w:rFonts w:hint="default" w:ascii="Times New Roman" w:hAnsi="Times New Roman" w:cs="Times New Roman"/>
                <w:color w:val="auto"/>
                <w:highlight w:val="none"/>
              </w:rPr>
            </w:pPr>
          </w:p>
        </w:tc>
        <w:tc>
          <w:tcPr>
            <w:tcW w:w="1069" w:type="pct"/>
            <w:vMerge w:val="continue"/>
            <w:tcBorders>
              <w:tl2br w:val="nil"/>
              <w:tr2bl w:val="nil"/>
            </w:tcBorders>
            <w:noWrap w:val="0"/>
            <w:vAlign w:val="center"/>
          </w:tcPr>
          <w:p w14:paraId="5D87DF2C">
            <w:pPr>
              <w:pStyle w:val="24"/>
              <w:bidi w:val="0"/>
              <w:rPr>
                <w:rFonts w:hint="default" w:ascii="Times New Roman" w:hAnsi="Times New Roman" w:cs="Times New Roman"/>
                <w:color w:val="auto"/>
                <w:highlight w:val="none"/>
              </w:rPr>
            </w:pPr>
          </w:p>
        </w:tc>
      </w:tr>
      <w:tr w14:paraId="75F8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47A6014F">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w:t>
            </w:r>
          </w:p>
        </w:tc>
        <w:tc>
          <w:tcPr>
            <w:tcW w:w="3123" w:type="pct"/>
            <w:vMerge w:val="continue"/>
            <w:tcBorders>
              <w:tl2br w:val="nil"/>
              <w:tr2bl w:val="nil"/>
            </w:tcBorders>
            <w:noWrap w:val="0"/>
            <w:vAlign w:val="center"/>
          </w:tcPr>
          <w:p w14:paraId="226F13BB">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3A346878">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01A65FA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误操作</w:t>
            </w:r>
          </w:p>
        </w:tc>
      </w:tr>
    </w:tbl>
    <w:p w14:paraId="51647375">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cs="Times New Roman"/>
          <w:b/>
          <w:color w:val="auto"/>
          <w:kern w:val="2"/>
          <w:sz w:val="24"/>
          <w:szCs w:val="21"/>
          <w:lang w:val="en-US" w:eastAsia="zh-CN" w:bidi="ar-SA"/>
        </w:rPr>
        <w:t>2、</w:t>
      </w:r>
      <w:r>
        <w:rPr>
          <w:rFonts w:hint="default" w:ascii="Times New Roman" w:hAnsi="Times New Roman" w:cs="Times New Roman"/>
          <w:color w:val="auto"/>
          <w:highlight w:val="none"/>
          <w:lang w:val="en-US" w:eastAsia="zh-CN"/>
        </w:rPr>
        <w:t>泵类设备</w:t>
      </w:r>
    </w:p>
    <w:p w14:paraId="15392CF3">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本项目中涉及的泵有</w:t>
      </w:r>
      <w:r>
        <w:rPr>
          <w:rFonts w:hint="eastAsia" w:cs="Times New Roman"/>
          <w:color w:val="auto"/>
          <w:lang w:val="en-US" w:eastAsia="zh-CN"/>
        </w:rPr>
        <w:t>抽料泵</w:t>
      </w:r>
      <w:r>
        <w:rPr>
          <w:rFonts w:hint="default" w:ascii="Times New Roman" w:hAnsi="Times New Roman" w:cs="Times New Roman"/>
          <w:color w:val="auto"/>
          <w:lang w:val="en-US" w:eastAsia="zh-CN"/>
        </w:rPr>
        <w:t>、</w:t>
      </w:r>
      <w:r>
        <w:rPr>
          <w:rFonts w:hint="eastAsia" w:cs="Times New Roman"/>
          <w:color w:val="auto"/>
          <w:lang w:val="en-US" w:eastAsia="zh-CN"/>
        </w:rPr>
        <w:t>出料</w:t>
      </w:r>
      <w:r>
        <w:rPr>
          <w:rFonts w:hint="default" w:ascii="Times New Roman" w:hAnsi="Times New Roman" w:cs="Times New Roman"/>
          <w:color w:val="auto"/>
          <w:lang w:val="en-US" w:eastAsia="zh-CN"/>
        </w:rPr>
        <w:t>泵等。如果泵类设备在运行过程中出现故障或超压，将影响整个系统的正常和安全运行，可能会出现整个系统瘫痪，发生意外事故，甚至会引起火灾、爆炸事故，其危险有害因素分析如下表。</w:t>
      </w:r>
    </w:p>
    <w:p w14:paraId="1537E17F">
      <w:pPr>
        <w:pStyle w:val="26"/>
        <w:numPr>
          <w:ilvl w:val="0"/>
          <w:numId w:val="33"/>
        </w:numPr>
        <w:bidi w:val="0"/>
        <w:ind w:left="425" w:leftChars="0" w:hanging="425" w:firstLineChars="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泵类设备危险、有害因素一览表</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5938"/>
        <w:gridCol w:w="993"/>
        <w:gridCol w:w="2033"/>
      </w:tblGrid>
      <w:tr w14:paraId="47C5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5D61395C">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123" w:type="pct"/>
            <w:tcBorders>
              <w:tl2br w:val="nil"/>
              <w:tr2bl w:val="nil"/>
            </w:tcBorders>
            <w:noWrap w:val="0"/>
            <w:vAlign w:val="center"/>
          </w:tcPr>
          <w:p w14:paraId="6CEEC344">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主要危险、有害因素分析</w:t>
            </w:r>
          </w:p>
        </w:tc>
        <w:tc>
          <w:tcPr>
            <w:tcW w:w="522" w:type="pct"/>
            <w:tcBorders>
              <w:tl2br w:val="nil"/>
              <w:tr2bl w:val="nil"/>
            </w:tcBorders>
            <w:noWrap w:val="0"/>
            <w:vAlign w:val="center"/>
          </w:tcPr>
          <w:p w14:paraId="52592DC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事故</w:t>
            </w:r>
          </w:p>
          <w:p w14:paraId="6DC83D08">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1069" w:type="pct"/>
            <w:tcBorders>
              <w:tl2br w:val="nil"/>
              <w:tr2bl w:val="nil"/>
            </w:tcBorders>
            <w:noWrap w:val="0"/>
            <w:vAlign w:val="center"/>
          </w:tcPr>
          <w:p w14:paraId="7533E783">
            <w:pPr>
              <w:pStyle w:val="31"/>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危险有害因素分类</w:t>
            </w:r>
          </w:p>
        </w:tc>
      </w:tr>
      <w:tr w14:paraId="6FFB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208CE7DA">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3123" w:type="pct"/>
            <w:vMerge w:val="restart"/>
            <w:tcBorders>
              <w:tl2br w:val="nil"/>
              <w:tr2bl w:val="nil"/>
            </w:tcBorders>
            <w:noWrap w:val="0"/>
            <w:vAlign w:val="center"/>
          </w:tcPr>
          <w:p w14:paraId="0E8D7D25">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（1）轴承润滑不良，温度太高，轴承被烧毁；机械密</w:t>
            </w:r>
          </w:p>
          <w:p w14:paraId="78020419">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封（或填料密封）泄漏，介质泄漏到空气中，形成爆炸极限浓度可燃气体；</w:t>
            </w:r>
          </w:p>
          <w:p w14:paraId="72EC2ED0">
            <w:pPr>
              <w:pStyle w:val="24"/>
              <w:bidi w:val="0"/>
              <w:jc w:val="both"/>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）泵类设备重大事故主要泵的选型不适合工艺介质、泵轴弯曲、泵轴扭断、烧坏断裂，轴承、轴瓦严重磨损，轴封严重泄漏及其他零部件损坏，泵电机烧坏有可能引起燃烧事故；</w:t>
            </w:r>
          </w:p>
          <w:p w14:paraId="0AEE0B0F">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（3）在安装或检修期间进行润滑系统油循环作业，由于作业人员操作失误或者机泵本身缺陷或年久失修导致润滑系统管道破裂，润滑油处于雾化状态，遇明火发生火灾。</w:t>
            </w:r>
          </w:p>
        </w:tc>
        <w:tc>
          <w:tcPr>
            <w:tcW w:w="522" w:type="pct"/>
            <w:vMerge w:val="restart"/>
            <w:tcBorders>
              <w:tl2br w:val="nil"/>
              <w:tr2bl w:val="nil"/>
            </w:tcBorders>
            <w:noWrap w:val="0"/>
            <w:vAlign w:val="center"/>
          </w:tcPr>
          <w:p w14:paraId="18B29F4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泄漏、</w:t>
            </w:r>
            <w:r>
              <w:rPr>
                <w:rFonts w:hint="default" w:ascii="Times New Roman" w:hAnsi="Times New Roman" w:cs="Times New Roman"/>
                <w:color w:val="auto"/>
                <w:highlight w:val="none"/>
              </w:rPr>
              <w:t>火灾、爆炸</w:t>
            </w:r>
          </w:p>
        </w:tc>
        <w:tc>
          <w:tcPr>
            <w:tcW w:w="1069" w:type="pct"/>
            <w:tcBorders>
              <w:tl2br w:val="nil"/>
              <w:tr2bl w:val="nil"/>
            </w:tcBorders>
            <w:noWrap w:val="0"/>
            <w:vAlign w:val="center"/>
          </w:tcPr>
          <w:p w14:paraId="180954F0">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可燃液体</w:t>
            </w:r>
          </w:p>
        </w:tc>
      </w:tr>
      <w:tr w14:paraId="178F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3179783E">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3123" w:type="pct"/>
            <w:vMerge w:val="continue"/>
            <w:tcBorders>
              <w:tl2br w:val="nil"/>
              <w:tr2bl w:val="nil"/>
            </w:tcBorders>
            <w:noWrap w:val="0"/>
            <w:vAlign w:val="center"/>
          </w:tcPr>
          <w:p w14:paraId="28F280C1">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577AA8D7">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4418FA2F">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设备、设施、工具、附件</w:t>
            </w:r>
            <w:r>
              <w:rPr>
                <w:rFonts w:hint="eastAsia" w:cs="Times New Roman"/>
                <w:color w:val="auto"/>
                <w:highlight w:val="none"/>
                <w:lang w:val="en-US" w:eastAsia="zh-CN"/>
              </w:rPr>
              <w:t>及其</w:t>
            </w:r>
            <w:r>
              <w:rPr>
                <w:rFonts w:hint="default" w:ascii="Times New Roman" w:hAnsi="Times New Roman" w:cs="Times New Roman"/>
                <w:color w:val="auto"/>
                <w:highlight w:val="none"/>
                <w:lang w:val="en-US" w:eastAsia="zh-CN"/>
              </w:rPr>
              <w:t>他缺陷</w:t>
            </w:r>
          </w:p>
        </w:tc>
      </w:tr>
      <w:tr w14:paraId="2C74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4" w:type="pct"/>
            <w:tcBorders>
              <w:tl2br w:val="nil"/>
              <w:tr2bl w:val="nil"/>
            </w:tcBorders>
            <w:noWrap w:val="0"/>
            <w:vAlign w:val="center"/>
          </w:tcPr>
          <w:p w14:paraId="0DFA6F0A">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3123" w:type="pct"/>
            <w:vMerge w:val="continue"/>
            <w:tcBorders>
              <w:tl2br w:val="nil"/>
              <w:tr2bl w:val="nil"/>
            </w:tcBorders>
            <w:noWrap w:val="0"/>
            <w:vAlign w:val="center"/>
          </w:tcPr>
          <w:p w14:paraId="4849D622">
            <w:pPr>
              <w:pStyle w:val="24"/>
              <w:bidi w:val="0"/>
              <w:jc w:val="both"/>
              <w:rPr>
                <w:rFonts w:hint="default" w:ascii="Times New Roman" w:hAnsi="Times New Roman" w:cs="Times New Roman"/>
                <w:color w:val="auto"/>
                <w:highlight w:val="none"/>
              </w:rPr>
            </w:pPr>
          </w:p>
        </w:tc>
        <w:tc>
          <w:tcPr>
            <w:tcW w:w="522" w:type="pct"/>
            <w:vMerge w:val="continue"/>
            <w:tcBorders>
              <w:tl2br w:val="nil"/>
              <w:tr2bl w:val="nil"/>
            </w:tcBorders>
            <w:noWrap w:val="0"/>
            <w:vAlign w:val="center"/>
          </w:tcPr>
          <w:p w14:paraId="01EA821E">
            <w:pPr>
              <w:pStyle w:val="24"/>
              <w:bidi w:val="0"/>
              <w:rPr>
                <w:rFonts w:hint="default" w:ascii="Times New Roman" w:hAnsi="Times New Roman" w:cs="Times New Roman"/>
                <w:color w:val="auto"/>
                <w:highlight w:val="none"/>
              </w:rPr>
            </w:pPr>
          </w:p>
        </w:tc>
        <w:tc>
          <w:tcPr>
            <w:tcW w:w="1069" w:type="pct"/>
            <w:tcBorders>
              <w:tl2br w:val="nil"/>
              <w:tr2bl w:val="nil"/>
            </w:tcBorders>
            <w:noWrap w:val="0"/>
            <w:vAlign w:val="center"/>
          </w:tcPr>
          <w:p w14:paraId="2C824155">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密封不良</w:t>
            </w:r>
          </w:p>
        </w:tc>
      </w:tr>
    </w:tbl>
    <w:p w14:paraId="40298701">
      <w:pPr>
        <w:pStyle w:val="26"/>
        <w:bidi w:val="0"/>
        <w:rPr>
          <w:rFonts w:hint="default" w:ascii="Times New Roman" w:hAnsi="Times New Roman" w:cs="Times New Roman"/>
          <w:b/>
          <w:bCs/>
          <w:color w:val="auto"/>
          <w:lang w:val="en-US" w:eastAsia="zh-CN"/>
        </w:rPr>
      </w:pPr>
      <w:r>
        <w:rPr>
          <w:rFonts w:hint="default" w:ascii="Times New Roman" w:hAnsi="Times New Roman" w:cs="Times New Roman"/>
          <w:b/>
          <w:color w:val="auto"/>
          <w:kern w:val="2"/>
          <w:sz w:val="24"/>
          <w:szCs w:val="21"/>
          <w:lang w:val="en-US" w:eastAsia="zh-CN" w:bidi="ar-SA"/>
        </w:rPr>
        <w:t>3、</w:t>
      </w:r>
      <w:r>
        <w:rPr>
          <w:rFonts w:hint="default" w:ascii="Times New Roman" w:hAnsi="Times New Roman" w:cs="Times New Roman"/>
          <w:b/>
          <w:bCs/>
          <w:color w:val="auto"/>
          <w:lang w:val="en-US" w:eastAsia="zh-CN"/>
        </w:rPr>
        <w:t>管道危险、有害因素辨识</w:t>
      </w:r>
    </w:p>
    <w:p w14:paraId="5F4F19B5">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根据对历年来各种工业管道事故原因的分析，事故的原因主要有设计原因、制造原因、安装原因、管理不善、腐蚀等。</w:t>
      </w:r>
    </w:p>
    <w:p w14:paraId="09555AAF">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①设计原因主要包括：选用材料不当；阀门、管件选型不合理；应力分析失误；系统设施布置不合理等。</w:t>
      </w:r>
    </w:p>
    <w:p w14:paraId="7057915B">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②制造原因主要是指：管子、管件（三通、变径管等）、阀门制造缺陷引起的事故。包括：制造质量低劣；管材本身存在的原始缺陷；焊接结构中有夹渣、气孔、裂纹等焊接缺陷；材料和表面加工粗糙，密封性能差，引起泄漏。</w:t>
      </w:r>
    </w:p>
    <w:p w14:paraId="7725CD44">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③安装原因主要是指：施工安装质量低劣和违章施工引发的事故。表现为：施工安装焊接质量低劣，存在</w:t>
      </w:r>
      <w:r>
        <w:rPr>
          <w:rFonts w:hint="eastAsia" w:cs="Times New Roman"/>
          <w:color w:val="auto"/>
          <w:lang w:val="en-US" w:eastAsia="zh-CN"/>
        </w:rPr>
        <w:t>未</w:t>
      </w:r>
      <w:r>
        <w:rPr>
          <w:rFonts w:hint="default" w:ascii="Times New Roman" w:hAnsi="Times New Roman" w:cs="Times New Roman"/>
          <w:color w:val="auto"/>
          <w:lang w:val="en-US" w:eastAsia="zh-CN"/>
        </w:rPr>
        <w:t>焊透、夹渣、气孔、未熔合等质量缺陷；不按设计图纸要求施工，错用材料；无损探伤的比例、部位和评判标准不符合有关标准。</w:t>
      </w:r>
    </w:p>
    <w:p w14:paraId="68BCF3D1">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④管理不善主要包括：使用管理混乱，无操作规程，违章操作；不按规定进行定期检验等。</w:t>
      </w:r>
    </w:p>
    <w:p w14:paraId="5691CA61">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⑤管道腐蚀主要原因是：年久失修，也有是属于管理疏忽、防腐措施不善等原因，有的甚至因错用材料致使腐蚀速度加快。</w:t>
      </w:r>
    </w:p>
    <w:p w14:paraId="74EB2284">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⑥管道未按规定进行定期检测，可能发生事故。</w:t>
      </w:r>
    </w:p>
    <w:p w14:paraId="124A142E">
      <w:pPr>
        <w:pStyle w:val="26"/>
        <w:bidi w:val="0"/>
        <w:rPr>
          <w:rFonts w:hint="default" w:ascii="Times New Roman" w:hAnsi="Times New Roman" w:cs="Times New Roman"/>
          <w:color w:val="auto"/>
          <w:highlight w:val="none"/>
        </w:rPr>
      </w:pPr>
      <w:r>
        <w:rPr>
          <w:rFonts w:hint="default" w:ascii="Times New Roman" w:hAnsi="Times New Roman" w:cs="Times New Roman"/>
          <w:color w:val="auto"/>
          <w:lang w:val="en-US" w:eastAsia="zh-CN"/>
        </w:rPr>
        <w:t>⑦若管道上的紧固螺栓因振动等原因松动，未及时处理，可能发生火灾爆炸事故。</w:t>
      </w:r>
    </w:p>
    <w:p w14:paraId="03A63C8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工艺过程风险识别</w:t>
      </w:r>
    </w:p>
    <w:p w14:paraId="37A0F96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本项目生产工艺生产过程中存在的危险有害因素分析具体见下表。</w:t>
      </w:r>
    </w:p>
    <w:p w14:paraId="14852516">
      <w:pPr>
        <w:pStyle w:val="26"/>
        <w:numPr>
          <w:ilvl w:val="0"/>
          <w:numId w:val="33"/>
        </w:numPr>
        <w:bidi w:val="0"/>
        <w:ind w:left="425" w:leftChars="0" w:hanging="425" w:firstLineChars="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生产工艺危险有害因素分析</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5630"/>
        <w:gridCol w:w="1226"/>
        <w:gridCol w:w="2113"/>
      </w:tblGrid>
      <w:tr w14:paraId="3EA7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4C281FC7">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序号</w:t>
            </w:r>
          </w:p>
        </w:tc>
        <w:tc>
          <w:tcPr>
            <w:tcW w:w="5630" w:type="dxa"/>
            <w:noWrap w:val="0"/>
            <w:vAlign w:val="center"/>
          </w:tcPr>
          <w:p w14:paraId="64EB42F8">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主要危险、有害因素分析</w:t>
            </w:r>
          </w:p>
        </w:tc>
        <w:tc>
          <w:tcPr>
            <w:tcW w:w="1226" w:type="dxa"/>
            <w:noWrap w:val="0"/>
            <w:vAlign w:val="center"/>
          </w:tcPr>
          <w:p w14:paraId="2C0BBD2E">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事故类别</w:t>
            </w:r>
          </w:p>
        </w:tc>
        <w:tc>
          <w:tcPr>
            <w:tcW w:w="2113" w:type="dxa"/>
            <w:noWrap w:val="0"/>
            <w:vAlign w:val="center"/>
          </w:tcPr>
          <w:p w14:paraId="419C80EE">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危险有害因素分类</w:t>
            </w:r>
          </w:p>
        </w:tc>
      </w:tr>
      <w:tr w14:paraId="0F3C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3C0DFE24">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630" w:type="dxa"/>
            <w:vMerge w:val="restart"/>
            <w:noWrap w:val="0"/>
            <w:vAlign w:val="center"/>
          </w:tcPr>
          <w:p w14:paraId="15DCFAB7">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（1）原辅料由管道输送至生产装置，输送系统中管道、阀门、法兰等因选材、选型不当，管道因管架下沉破裂等，可能发生可燃物料泄漏，遇点火源可能引起火灾、爆炸。</w:t>
            </w:r>
          </w:p>
          <w:p w14:paraId="59F24C60">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罐体或反应釜</w:t>
            </w:r>
            <w:r>
              <w:rPr>
                <w:rFonts w:hint="default" w:ascii="Times New Roman" w:hAnsi="Times New Roman" w:cs="Times New Roman"/>
                <w:color w:val="auto"/>
                <w:highlight w:val="none"/>
                <w:lang w:val="en-US" w:eastAsia="zh-CN"/>
              </w:rPr>
              <w:t>压力控制失效，引起超压破裂，可燃性物料泄漏至现场，遇点火源可能引起火灾、爆炸。</w:t>
            </w:r>
          </w:p>
          <w:p w14:paraId="64329178">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（3）设备视镜的材料或装配不满足要求，可能发生物料经视镜处泄漏，甚至因高压爆炸，遇点火源可能引起火灾、爆炸。</w:t>
            </w:r>
          </w:p>
          <w:p w14:paraId="7B634E5F">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（4）工艺过程采用大量泵进行物料输送，若输送泵未采用无泄漏泵或维护不到位发生泄漏，可能引起泄漏。</w:t>
            </w:r>
          </w:p>
        </w:tc>
        <w:tc>
          <w:tcPr>
            <w:tcW w:w="1226" w:type="dxa"/>
            <w:vMerge w:val="restart"/>
            <w:noWrap w:val="0"/>
            <w:vAlign w:val="center"/>
          </w:tcPr>
          <w:p w14:paraId="55DFEFE9">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泄漏、火灾、爆炸</w:t>
            </w:r>
          </w:p>
        </w:tc>
        <w:tc>
          <w:tcPr>
            <w:tcW w:w="2113" w:type="dxa"/>
            <w:noWrap w:val="0"/>
            <w:vAlign w:val="center"/>
          </w:tcPr>
          <w:p w14:paraId="3741B60F">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lang w:val="en-US" w:eastAsia="zh-CN"/>
              </w:rPr>
              <w:t>可</w:t>
            </w:r>
            <w:r>
              <w:rPr>
                <w:rFonts w:hint="default" w:ascii="Times New Roman" w:hAnsi="Times New Roman" w:eastAsia="宋体" w:cs="Times New Roman"/>
                <w:color w:val="auto"/>
                <w:sz w:val="21"/>
                <w:szCs w:val="24"/>
                <w:highlight w:val="none"/>
              </w:rPr>
              <w:t>燃液体</w:t>
            </w:r>
          </w:p>
        </w:tc>
      </w:tr>
      <w:tr w14:paraId="305C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45F2299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5630" w:type="dxa"/>
            <w:vMerge w:val="continue"/>
            <w:noWrap w:val="0"/>
            <w:vAlign w:val="center"/>
          </w:tcPr>
          <w:p w14:paraId="4CDF096D">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490FEABB">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7CA4E5A1">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误操作</w:t>
            </w:r>
          </w:p>
        </w:tc>
      </w:tr>
      <w:tr w14:paraId="6BA1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0A047038">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5630" w:type="dxa"/>
            <w:vMerge w:val="continue"/>
            <w:noWrap w:val="0"/>
            <w:vAlign w:val="center"/>
          </w:tcPr>
          <w:p w14:paraId="0A823E20">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611796C1">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64675589">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违章指挥</w:t>
            </w:r>
          </w:p>
        </w:tc>
      </w:tr>
      <w:tr w14:paraId="26EB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2338B0C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5630" w:type="dxa"/>
            <w:vMerge w:val="continue"/>
            <w:noWrap w:val="0"/>
            <w:vAlign w:val="center"/>
          </w:tcPr>
          <w:p w14:paraId="643C3A52">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2DB95884">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2CB643EA">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明火</w:t>
            </w:r>
          </w:p>
        </w:tc>
      </w:tr>
      <w:tr w14:paraId="093D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6950E377">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630" w:type="dxa"/>
            <w:vMerge w:val="continue"/>
            <w:noWrap w:val="0"/>
            <w:vAlign w:val="center"/>
          </w:tcPr>
          <w:p w14:paraId="718BC0B5">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13FE62F4">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00CF1662">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强度不够</w:t>
            </w:r>
          </w:p>
        </w:tc>
      </w:tr>
      <w:tr w14:paraId="3BC3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48DF4FB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5630" w:type="dxa"/>
            <w:vMerge w:val="continue"/>
            <w:noWrap w:val="0"/>
            <w:vAlign w:val="center"/>
          </w:tcPr>
          <w:p w14:paraId="54994080">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2131FEB9">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719C53EF">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4"/>
                <w:highlight w:val="none"/>
              </w:rPr>
              <w:t>刚度不够</w:t>
            </w:r>
          </w:p>
        </w:tc>
      </w:tr>
      <w:tr w14:paraId="33F2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677CF07C">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5630" w:type="dxa"/>
            <w:vMerge w:val="restart"/>
            <w:noWrap w:val="0"/>
            <w:vAlign w:val="center"/>
          </w:tcPr>
          <w:p w14:paraId="66F00B3D">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（1）物料在生产输送系统中管道、阀门、法兰等因选材、选型不当，管道因管架下沉破裂等，可能发生物料泄漏，引起人员中毒。</w:t>
            </w:r>
          </w:p>
          <w:p w14:paraId="68985C5A">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（2）设备视镜的材料或装配不满足要求，可能发生物料经视镜处泄漏，甚至因高压爆炸，进而导致人员中毒。</w:t>
            </w:r>
          </w:p>
          <w:p w14:paraId="365D7DC2">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（3）工艺过程采用大量泵进行物料输送，若输送泵未采用无泄漏泵或维护不到位发生泄漏，可能引起人员中毒。</w:t>
            </w:r>
          </w:p>
          <w:p w14:paraId="36B9EF54">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（4）若车间未设置足够的通风设施，人员未做好防护接触有毒物质，可能导致中毒事故。</w:t>
            </w:r>
          </w:p>
        </w:tc>
        <w:tc>
          <w:tcPr>
            <w:tcW w:w="1226" w:type="dxa"/>
            <w:vMerge w:val="restart"/>
            <w:noWrap w:val="0"/>
            <w:vAlign w:val="center"/>
          </w:tcPr>
          <w:p w14:paraId="5BAE88A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泄漏、中毒</w:t>
            </w:r>
          </w:p>
        </w:tc>
        <w:tc>
          <w:tcPr>
            <w:tcW w:w="2113" w:type="dxa"/>
            <w:noWrap w:val="0"/>
            <w:vAlign w:val="center"/>
          </w:tcPr>
          <w:p w14:paraId="73B1DD22">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1"/>
                <w:szCs w:val="24"/>
                <w:highlight w:val="none"/>
              </w:rPr>
              <w:t>有毒品</w:t>
            </w:r>
          </w:p>
        </w:tc>
      </w:tr>
      <w:tr w14:paraId="20AE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783F9CDE">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5630" w:type="dxa"/>
            <w:vMerge w:val="continue"/>
            <w:noWrap w:val="0"/>
            <w:vAlign w:val="center"/>
          </w:tcPr>
          <w:p w14:paraId="24C85F3D">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5460EE32">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08481AE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1"/>
                <w:szCs w:val="24"/>
                <w:highlight w:val="none"/>
              </w:rPr>
              <w:t>误操作</w:t>
            </w:r>
          </w:p>
        </w:tc>
      </w:tr>
      <w:tr w14:paraId="14CF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19558847">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5630" w:type="dxa"/>
            <w:vMerge w:val="continue"/>
            <w:noWrap w:val="0"/>
            <w:vAlign w:val="center"/>
          </w:tcPr>
          <w:p w14:paraId="39B35373">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16DBFF36">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50C240D9">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1"/>
                <w:szCs w:val="24"/>
                <w:highlight w:val="none"/>
              </w:rPr>
              <w:t>违章指挥</w:t>
            </w:r>
          </w:p>
        </w:tc>
      </w:tr>
      <w:tr w14:paraId="26F5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488" w:type="dxa"/>
            <w:noWrap w:val="0"/>
            <w:vAlign w:val="center"/>
          </w:tcPr>
          <w:p w14:paraId="0E9DA469">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5630" w:type="dxa"/>
            <w:vMerge w:val="continue"/>
            <w:noWrap w:val="0"/>
            <w:vAlign w:val="center"/>
          </w:tcPr>
          <w:p w14:paraId="21D62A2E">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36B61D9F">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1498F91F">
            <w:pPr>
              <w:pStyle w:val="24"/>
              <w:bidi w:val="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强度不够</w:t>
            </w:r>
          </w:p>
        </w:tc>
      </w:tr>
      <w:tr w14:paraId="0728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14B0CF8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5630" w:type="dxa"/>
            <w:vMerge w:val="continue"/>
            <w:noWrap w:val="0"/>
            <w:vAlign w:val="center"/>
          </w:tcPr>
          <w:p w14:paraId="58C0DD91">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18600FB0">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1F658212">
            <w:pPr>
              <w:pStyle w:val="24"/>
              <w:bidi w:val="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刚度不够</w:t>
            </w:r>
          </w:p>
        </w:tc>
      </w:tr>
      <w:tr w14:paraId="4FB6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5198488B">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630" w:type="dxa"/>
            <w:vMerge w:val="continue"/>
            <w:noWrap w:val="0"/>
            <w:vAlign w:val="center"/>
          </w:tcPr>
          <w:p w14:paraId="26DD5612">
            <w:pPr>
              <w:pStyle w:val="24"/>
              <w:bidi w:val="0"/>
              <w:jc w:val="center"/>
              <w:rPr>
                <w:rFonts w:hint="default" w:ascii="Times New Roman" w:hAnsi="Times New Roman" w:cs="Times New Roman"/>
                <w:color w:val="auto"/>
                <w:highlight w:val="none"/>
                <w:lang w:val="en-US" w:eastAsia="zh-CN"/>
              </w:rPr>
            </w:pPr>
          </w:p>
        </w:tc>
        <w:tc>
          <w:tcPr>
            <w:tcW w:w="1226" w:type="dxa"/>
            <w:vMerge w:val="continue"/>
            <w:noWrap w:val="0"/>
            <w:vAlign w:val="center"/>
          </w:tcPr>
          <w:p w14:paraId="2D5C9B81">
            <w:pPr>
              <w:pStyle w:val="24"/>
              <w:bidi w:val="0"/>
              <w:jc w:val="center"/>
              <w:rPr>
                <w:rFonts w:hint="default" w:ascii="Times New Roman" w:hAnsi="Times New Roman" w:cs="Times New Roman"/>
                <w:color w:val="auto"/>
                <w:highlight w:val="none"/>
                <w:lang w:val="en-US" w:eastAsia="zh-CN"/>
              </w:rPr>
            </w:pPr>
          </w:p>
        </w:tc>
        <w:tc>
          <w:tcPr>
            <w:tcW w:w="2113" w:type="dxa"/>
            <w:noWrap w:val="0"/>
            <w:vAlign w:val="center"/>
          </w:tcPr>
          <w:p w14:paraId="4C87F9C9">
            <w:pPr>
              <w:pStyle w:val="24"/>
              <w:bidi w:val="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密封不良</w:t>
            </w:r>
          </w:p>
        </w:tc>
      </w:tr>
      <w:tr w14:paraId="7D07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center"/>
          </w:tcPr>
          <w:p w14:paraId="125B3179">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13</w:t>
            </w:r>
          </w:p>
        </w:tc>
        <w:tc>
          <w:tcPr>
            <w:tcW w:w="5630" w:type="dxa"/>
            <w:vMerge w:val="continue"/>
            <w:noWrap w:val="0"/>
            <w:vAlign w:val="center"/>
          </w:tcPr>
          <w:p w14:paraId="19E26E5C">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7C4CA87E">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64FBA307">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无防护</w:t>
            </w:r>
          </w:p>
        </w:tc>
      </w:tr>
      <w:tr w14:paraId="7E10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B54A56A">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14</w:t>
            </w:r>
          </w:p>
        </w:tc>
        <w:tc>
          <w:tcPr>
            <w:tcW w:w="5630" w:type="dxa"/>
            <w:vMerge w:val="continue"/>
            <w:noWrap w:val="0"/>
            <w:vAlign w:val="center"/>
          </w:tcPr>
          <w:p w14:paraId="7B34DA56">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78A12143">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309C24C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防护装置和设施缺陷</w:t>
            </w:r>
          </w:p>
        </w:tc>
      </w:tr>
      <w:tr w14:paraId="4B5E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3489C26">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w:t>
            </w:r>
          </w:p>
        </w:tc>
        <w:tc>
          <w:tcPr>
            <w:tcW w:w="5630" w:type="dxa"/>
            <w:vMerge w:val="continue"/>
            <w:noWrap w:val="0"/>
            <w:vAlign w:val="center"/>
          </w:tcPr>
          <w:p w14:paraId="6954C95F">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46304A3A">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17499F33">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防护不当</w:t>
            </w:r>
          </w:p>
        </w:tc>
      </w:tr>
      <w:tr w14:paraId="7C6B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3815EEB">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16</w:t>
            </w:r>
          </w:p>
        </w:tc>
        <w:tc>
          <w:tcPr>
            <w:tcW w:w="5630" w:type="dxa"/>
            <w:vMerge w:val="restart"/>
            <w:noWrap w:val="0"/>
            <w:vAlign w:val="center"/>
          </w:tcPr>
          <w:p w14:paraId="4C1476D8">
            <w:pPr>
              <w:pStyle w:val="24"/>
              <w:numPr>
                <w:ilvl w:val="0"/>
                <w:numId w:val="0"/>
              </w:numPr>
              <w:bidi w:val="0"/>
              <w:ind w:left="0" w:leftChars="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1"/>
                <w:szCs w:val="24"/>
                <w:lang w:val="en-US" w:eastAsia="zh-CN" w:bidi="ar-SA"/>
              </w:rPr>
              <w:t>（1）</w:t>
            </w:r>
            <w:r>
              <w:rPr>
                <w:rFonts w:hint="default" w:ascii="Times New Roman" w:hAnsi="Times New Roman" w:cs="Times New Roman"/>
                <w:color w:val="auto"/>
                <w:highlight w:val="none"/>
                <w:lang w:val="en-US" w:eastAsia="zh-CN"/>
              </w:rPr>
              <w:t>生产过程中使用到</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液碱</w:t>
            </w:r>
            <w:r>
              <w:rPr>
                <w:rFonts w:hint="default" w:ascii="Times New Roman" w:hAnsi="Times New Roman" w:cs="Times New Roman"/>
                <w:color w:val="auto"/>
                <w:highlight w:val="none"/>
                <w:lang w:val="en-US" w:eastAsia="zh-CN"/>
              </w:rPr>
              <w:t>等物料，这些物质具有一定的腐蚀性，如果储存设施因损坏发生泄漏，作业场所作业人员操作不当，与腐蚀性液体接触后可能引起化学灼伤事故。</w:t>
            </w:r>
          </w:p>
          <w:p w14:paraId="1E9FAE49">
            <w:pPr>
              <w:pStyle w:val="24"/>
              <w:numPr>
                <w:ilvl w:val="0"/>
                <w:numId w:val="0"/>
              </w:numPr>
              <w:bidi w:val="0"/>
              <w:ind w:left="0" w:leftChars="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1"/>
                <w:szCs w:val="24"/>
                <w:lang w:val="en-US" w:eastAsia="zh-CN" w:bidi="ar-SA"/>
              </w:rPr>
              <w:t>（2）</w:t>
            </w:r>
            <w:r>
              <w:rPr>
                <w:rFonts w:hint="default" w:ascii="Times New Roman" w:hAnsi="Times New Roman" w:cs="Times New Roman"/>
                <w:color w:val="auto"/>
                <w:highlight w:val="none"/>
                <w:lang w:val="en-US" w:eastAsia="zh-CN"/>
              </w:rPr>
              <w:t>高温管道（蒸汽等）若未进行隔热处理，可能导致人员高温灼伤或烫伤事故。</w:t>
            </w:r>
          </w:p>
          <w:p w14:paraId="79D1499D">
            <w:pPr>
              <w:pStyle w:val="24"/>
              <w:numPr>
                <w:ilvl w:val="0"/>
                <w:numId w:val="0"/>
              </w:numPr>
              <w:bidi w:val="0"/>
              <w:ind w:left="0" w:leftChars="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cs="Times New Roman"/>
                <w:color w:val="auto"/>
                <w:highlight w:val="none"/>
                <w:lang w:val="en-US" w:eastAsia="zh-CN"/>
              </w:rPr>
              <w:t>若各输送、使用蒸汽的设备发生蒸汽泄漏，以及其他高温物料泄漏，可能造成高温灼伤或烫伤事故。</w:t>
            </w:r>
          </w:p>
        </w:tc>
        <w:tc>
          <w:tcPr>
            <w:tcW w:w="1226" w:type="dxa"/>
            <w:vMerge w:val="restart"/>
            <w:noWrap w:val="0"/>
            <w:vAlign w:val="center"/>
          </w:tcPr>
          <w:p w14:paraId="5B7BCB5D">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灼烫</w:t>
            </w:r>
          </w:p>
        </w:tc>
        <w:tc>
          <w:tcPr>
            <w:tcW w:w="2113" w:type="dxa"/>
            <w:noWrap w:val="0"/>
            <w:vAlign w:val="center"/>
          </w:tcPr>
          <w:p w14:paraId="7A3F88FB">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高温气体</w:t>
            </w:r>
          </w:p>
        </w:tc>
      </w:tr>
      <w:tr w14:paraId="562A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4CC84C3">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17</w:t>
            </w:r>
          </w:p>
        </w:tc>
        <w:tc>
          <w:tcPr>
            <w:tcW w:w="5630" w:type="dxa"/>
            <w:vMerge w:val="continue"/>
            <w:noWrap w:val="0"/>
            <w:vAlign w:val="center"/>
          </w:tcPr>
          <w:p w14:paraId="5D3A0A62">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579ED49D">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76AF7841">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高温液体</w:t>
            </w:r>
          </w:p>
        </w:tc>
      </w:tr>
      <w:tr w14:paraId="1B7C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9478195">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18</w:t>
            </w:r>
          </w:p>
        </w:tc>
        <w:tc>
          <w:tcPr>
            <w:tcW w:w="5630" w:type="dxa"/>
            <w:vMerge w:val="continue"/>
            <w:noWrap w:val="0"/>
            <w:vAlign w:val="center"/>
          </w:tcPr>
          <w:p w14:paraId="5AB20AA9">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32503724">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767F5A90">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腐蚀品</w:t>
            </w:r>
          </w:p>
        </w:tc>
      </w:tr>
      <w:tr w14:paraId="6B07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6720CBBA">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19</w:t>
            </w:r>
          </w:p>
        </w:tc>
        <w:tc>
          <w:tcPr>
            <w:tcW w:w="5630" w:type="dxa"/>
            <w:vMerge w:val="continue"/>
            <w:noWrap w:val="0"/>
            <w:vAlign w:val="center"/>
          </w:tcPr>
          <w:p w14:paraId="6E7F2331">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000AE6D8">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06B6DD3F">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误操作</w:t>
            </w:r>
          </w:p>
        </w:tc>
      </w:tr>
      <w:tr w14:paraId="3AC1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1E6592A6">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p>
        </w:tc>
        <w:tc>
          <w:tcPr>
            <w:tcW w:w="5630" w:type="dxa"/>
            <w:vMerge w:val="continue"/>
            <w:noWrap w:val="0"/>
            <w:vAlign w:val="center"/>
          </w:tcPr>
          <w:p w14:paraId="6C1354EE">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2F604B15">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429CCAC6">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防护装置和设施缺陷</w:t>
            </w:r>
          </w:p>
        </w:tc>
      </w:tr>
      <w:tr w14:paraId="65E1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7CCE4292">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w:t>
            </w:r>
          </w:p>
        </w:tc>
        <w:tc>
          <w:tcPr>
            <w:tcW w:w="5630" w:type="dxa"/>
            <w:vMerge w:val="continue"/>
            <w:noWrap w:val="0"/>
            <w:vAlign w:val="center"/>
          </w:tcPr>
          <w:p w14:paraId="003995BE">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46CE14C3">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3EEB8CFE">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强度不够</w:t>
            </w:r>
          </w:p>
        </w:tc>
      </w:tr>
      <w:tr w14:paraId="2E72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B6C7904">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22</w:t>
            </w:r>
          </w:p>
        </w:tc>
        <w:tc>
          <w:tcPr>
            <w:tcW w:w="5630" w:type="dxa"/>
            <w:vMerge w:val="continue"/>
            <w:noWrap w:val="0"/>
            <w:vAlign w:val="center"/>
          </w:tcPr>
          <w:p w14:paraId="2F693DEE">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15E90B56">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44DFB1C7">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密封不良</w:t>
            </w:r>
          </w:p>
        </w:tc>
      </w:tr>
      <w:tr w14:paraId="61E4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8C3585B">
            <w:pPr>
              <w:pStyle w:val="24"/>
              <w:bidi w:val="0"/>
              <w:ind w:left="0" w:lef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23</w:t>
            </w:r>
          </w:p>
        </w:tc>
        <w:tc>
          <w:tcPr>
            <w:tcW w:w="5630" w:type="dxa"/>
            <w:vMerge w:val="continue"/>
            <w:noWrap w:val="0"/>
            <w:vAlign w:val="center"/>
          </w:tcPr>
          <w:p w14:paraId="7C452472">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1226" w:type="dxa"/>
            <w:vMerge w:val="continue"/>
            <w:noWrap w:val="0"/>
            <w:vAlign w:val="center"/>
          </w:tcPr>
          <w:p w14:paraId="42C2A971">
            <w:pPr>
              <w:pStyle w:val="24"/>
              <w:bidi w:val="0"/>
              <w:ind w:left="0" w:leftChars="0"/>
              <w:jc w:val="center"/>
              <w:rPr>
                <w:rFonts w:hint="default" w:ascii="Times New Roman" w:hAnsi="Times New Roman" w:eastAsia="宋体" w:cs="Times New Roman"/>
                <w:color w:val="auto"/>
                <w:sz w:val="21"/>
                <w:szCs w:val="21"/>
                <w:highlight w:val="none"/>
                <w:lang w:val="en-US" w:eastAsia="zh-CN"/>
              </w:rPr>
            </w:pPr>
          </w:p>
        </w:tc>
        <w:tc>
          <w:tcPr>
            <w:tcW w:w="2113" w:type="dxa"/>
            <w:noWrap w:val="0"/>
            <w:vAlign w:val="center"/>
          </w:tcPr>
          <w:p w14:paraId="3938675C">
            <w:pPr>
              <w:pStyle w:val="24"/>
              <w:bidi w:val="0"/>
              <w:ind w:left="0" w:leftChars="0"/>
              <w:jc w:val="center"/>
              <w:rPr>
                <w:rFonts w:hint="default" w:ascii="Times New Roman" w:hAnsi="Times New Roman" w:eastAsia="宋体" w:cs="Times New Roman"/>
                <w:color w:val="auto"/>
                <w:sz w:val="21"/>
                <w:szCs w:val="24"/>
                <w:highlight w:val="none"/>
              </w:rPr>
            </w:pPr>
            <w:r>
              <w:rPr>
                <w:rFonts w:hint="default" w:ascii="Times New Roman" w:hAnsi="Times New Roman" w:eastAsia="宋体" w:cs="Times New Roman"/>
                <w:color w:val="auto"/>
                <w:sz w:val="21"/>
                <w:szCs w:val="24"/>
                <w:highlight w:val="none"/>
              </w:rPr>
              <w:t>防护不当</w:t>
            </w:r>
          </w:p>
        </w:tc>
      </w:tr>
    </w:tbl>
    <w:p w14:paraId="1F8E19B2">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储存系统和运输风险识别</w:t>
      </w:r>
    </w:p>
    <w:p w14:paraId="1A4F793D">
      <w:pPr>
        <w:pStyle w:val="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项目涉及的危险物料贮存情况</w:t>
      </w:r>
    </w:p>
    <w:p w14:paraId="2266E557">
      <w:pPr>
        <w:pStyle w:val="26"/>
        <w:bidi w:val="0"/>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cs="Times New Roman"/>
          <w:color w:val="auto"/>
          <w:highlight w:val="none"/>
          <w:lang w:val="en-US" w:eastAsia="zh-CN"/>
        </w:rPr>
        <w:t>本项目储存系统涉及的主要危险物质包括</w:t>
      </w:r>
      <w:r>
        <w:rPr>
          <w:rFonts w:hint="eastAsia" w:cs="Times New Roman"/>
          <w:color w:val="auto"/>
          <w:highlight w:val="none"/>
          <w:lang w:val="en-US" w:eastAsia="zh-CN"/>
        </w:rPr>
        <w:t>丙烯酸、液碱、硫酸、氟硅酸</w:t>
      </w:r>
      <w:r>
        <w:rPr>
          <w:rFonts w:hint="default" w:ascii="Times New Roman" w:hAnsi="Times New Roman" w:cs="Times New Roman"/>
          <w:color w:val="auto"/>
          <w:highlight w:val="none"/>
          <w:lang w:val="en-US" w:eastAsia="zh-CN"/>
        </w:rPr>
        <w:t>等</w:t>
      </w:r>
      <w:r>
        <w:rPr>
          <w:rFonts w:hint="default" w:ascii="Times New Roman" w:hAnsi="Times New Roman" w:cs="Times New Roman"/>
          <w:color w:val="auto"/>
          <w:highlight w:val="none"/>
        </w:rPr>
        <w:t>。本项目危险物质储存</w:t>
      </w:r>
      <w:r>
        <w:rPr>
          <w:rFonts w:hint="default" w:ascii="Times New Roman" w:hAnsi="Times New Roman" w:cs="Times New Roman"/>
          <w:color w:val="auto"/>
          <w:highlight w:val="none"/>
          <w:lang w:val="en-US" w:eastAsia="zh-CN"/>
        </w:rPr>
        <w:t>情况</w:t>
      </w:r>
      <w:r>
        <w:rPr>
          <w:rFonts w:hint="default" w:ascii="Times New Roman" w:hAnsi="Times New Roman" w:cs="Times New Roman"/>
          <w:color w:val="auto"/>
          <w:highlight w:val="none"/>
        </w:rPr>
        <w:t>见表</w:t>
      </w:r>
      <w:r>
        <w:rPr>
          <w:rFonts w:hint="default" w:ascii="Times New Roman" w:hAnsi="Times New Roman" w:cs="Times New Roman"/>
          <w:color w:val="auto"/>
          <w:highlight w:val="none"/>
          <w:lang w:val="en-US" w:eastAsia="zh-CN"/>
        </w:rPr>
        <w:t>6.2-1</w:t>
      </w:r>
      <w:r>
        <w:rPr>
          <w:rFonts w:hint="default" w:ascii="Times New Roman" w:hAnsi="Times New Roman" w:eastAsia="宋体" w:cs="Times New Roman"/>
          <w:color w:val="auto"/>
          <w:kern w:val="0"/>
          <w:szCs w:val="24"/>
          <w:highlight w:val="none"/>
          <w:lang w:val="en-US" w:eastAsia="zh-CN" w:bidi="ar"/>
        </w:rPr>
        <w:t>。</w:t>
      </w:r>
    </w:p>
    <w:p w14:paraId="2D8262DA">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储存、输送过程危险性分析</w:t>
      </w:r>
    </w:p>
    <w:p w14:paraId="5339D164">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厂区内设有</w:t>
      </w:r>
      <w:r>
        <w:rPr>
          <w:rFonts w:hint="default" w:ascii="Times New Roman" w:hAnsi="Times New Roman" w:cs="Times New Roman"/>
          <w:color w:val="auto"/>
          <w:highlight w:val="none"/>
          <w:lang w:val="en-US" w:eastAsia="zh-CN"/>
        </w:rPr>
        <w:t>储</w:t>
      </w:r>
      <w:r>
        <w:rPr>
          <w:rFonts w:hint="default" w:ascii="Times New Roman" w:hAnsi="Times New Roman" w:eastAsia="宋体" w:cs="Times New Roman"/>
          <w:color w:val="auto"/>
          <w:kern w:val="0"/>
          <w:sz w:val="24"/>
          <w:szCs w:val="24"/>
          <w:highlight w:val="none"/>
          <w:lang w:val="en-US" w:eastAsia="zh-CN" w:bidi="ar"/>
        </w:rPr>
        <w:t>罐，其在贮存过程中的危险特性分析如下：</w:t>
      </w:r>
    </w:p>
    <w:p w14:paraId="56CBF17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（1）输送易燃易爆液体时，若流速过快，容易产生静电，引起爆炸事故。</w:t>
      </w:r>
    </w:p>
    <w:p w14:paraId="2221BA8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（2）输送易燃易爆液体时，若管道、泵等设备没有良好、可靠的静电接地设施，静电可能引起易燃液体爆炸。</w:t>
      </w:r>
    </w:p>
    <w:p w14:paraId="06C0F39F">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30"/>
          <w:lang w:val="en-US" w:eastAsia="zh-CN" w:bidi="ar-SA"/>
        </w:rPr>
        <w:t>（</w:t>
      </w:r>
      <w:r>
        <w:rPr>
          <w:rFonts w:hint="default" w:ascii="Times New Roman" w:hAnsi="Times New Roman" w:cs="Times New Roman"/>
          <w:color w:val="auto"/>
          <w:kern w:val="2"/>
          <w:sz w:val="24"/>
          <w:szCs w:val="30"/>
          <w:lang w:val="en-US" w:eastAsia="zh-CN" w:bidi="ar-SA"/>
        </w:rPr>
        <w:t>3</w:t>
      </w:r>
      <w:r>
        <w:rPr>
          <w:rFonts w:hint="default" w:ascii="Times New Roman" w:hAnsi="Times New Roman" w:eastAsia="宋体" w:cs="Times New Roman"/>
          <w:color w:val="auto"/>
          <w:kern w:val="2"/>
          <w:sz w:val="24"/>
          <w:szCs w:val="30"/>
          <w:lang w:val="en-US" w:eastAsia="zh-CN" w:bidi="ar-SA"/>
        </w:rPr>
        <w:t>）</w:t>
      </w:r>
      <w:r>
        <w:rPr>
          <w:rFonts w:hint="default" w:ascii="Times New Roman" w:hAnsi="Times New Roman" w:cs="Times New Roman"/>
          <w:color w:val="auto"/>
          <w:highlight w:val="none"/>
          <w:lang w:val="en-US" w:eastAsia="zh-CN"/>
        </w:rPr>
        <w:t>在管道输送过程中，由于管内外存在气压差，若没有根据输送介质的特性选用管材或管道强度不够、物料存在腐蚀、焊接不好等原因而密封不严，很容易造成介质泄漏（流出、喷出），以致燃烧、爆炸。</w:t>
      </w:r>
    </w:p>
    <w:p w14:paraId="606BED20">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（4）作业人员若未正确穿戴劳保用品而接触腐蚀品，可能发生人员灼伤事故。</w:t>
      </w:r>
    </w:p>
    <w:p w14:paraId="1047DB0A">
      <w:pPr>
        <w:pStyle w:val="26"/>
        <w:numPr>
          <w:ilvl w:val="0"/>
          <w:numId w:val="0"/>
        </w:numPr>
        <w:bidi w:val="0"/>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在储存过程中，若作业人员不能了解和掌握危险化学品的理化特性和安全操作规程，在储存、养护、装卸、搬运过程中不能采用正确方法，易引发事故，在引发事故时，又不能制定正确的消防措施及安全防护措施和人员伤害急救措施，不能使发生的事故得到正确有效的处理，可造成人员伤亡，财产损失。</w:t>
      </w:r>
    </w:p>
    <w:p w14:paraId="3D8B311E">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（6）在储存过程中，若对储存物资没有按照性质分类储存，一旦发生泄漏，禁忌物相互发生反应，引起事故扩大。</w:t>
      </w:r>
    </w:p>
    <w:p w14:paraId="7CC62D3E">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（7）若电力设施布置不规范，电线未穿钢管保护，在防爆区域内没有按规定设置防爆电器，可能引起电气火灾，或人员触电。</w:t>
      </w:r>
    </w:p>
    <w:p w14:paraId="617DA76A">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（8）若防雷设施和防静电接地装置失效，可能造成静电积聚或感应雷产生高电荷，引起火灾事故。 </w:t>
      </w:r>
    </w:p>
    <w:p w14:paraId="38022DA2">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（9）若库房内危险化学品包装物堆放过高，发生危险化学品倒塌，下落的危险化学品包装破裂，将造成危险化学品泄漏，进而造成更严重的事故。</w:t>
      </w:r>
    </w:p>
    <w:p w14:paraId="00D93A9F">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（10）危险化学品储存时若不按照危险化学品的特性分开、分离储存，混合存放相忌的化学品可能发生化学反应，引起火灾、爆炸。</w:t>
      </w:r>
    </w:p>
    <w:p w14:paraId="09224213">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（11）危险化学品周围若出现火源、热源可能引起化学品燃烧、爆炸。</w:t>
      </w:r>
    </w:p>
    <w:p w14:paraId="76DE2379">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（12）易燃液体若与氧化剂混合贮存，可能发生化学反应，引起燃烧爆炸事故。</w:t>
      </w:r>
    </w:p>
    <w:p w14:paraId="4D6A7EBB">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30"/>
          <w:lang w:val="en-US" w:eastAsia="zh-CN" w:bidi="ar-SA"/>
        </w:rPr>
        <w:t>（</w:t>
      </w:r>
      <w:r>
        <w:rPr>
          <w:rFonts w:hint="default" w:ascii="Times New Roman" w:hAnsi="Times New Roman" w:cs="Times New Roman"/>
          <w:color w:val="auto"/>
          <w:kern w:val="2"/>
          <w:sz w:val="24"/>
          <w:szCs w:val="30"/>
          <w:lang w:val="en-US" w:eastAsia="zh-CN" w:bidi="ar-SA"/>
        </w:rPr>
        <w:t>13</w:t>
      </w:r>
      <w:r>
        <w:rPr>
          <w:rFonts w:hint="default" w:ascii="Times New Roman" w:hAnsi="Times New Roman" w:eastAsia="宋体" w:cs="Times New Roman"/>
          <w:color w:val="auto"/>
          <w:kern w:val="2"/>
          <w:sz w:val="24"/>
          <w:szCs w:val="30"/>
          <w:lang w:val="en-US" w:eastAsia="zh-CN" w:bidi="ar-SA"/>
        </w:rPr>
        <w:t>）</w:t>
      </w:r>
      <w:r>
        <w:rPr>
          <w:rFonts w:hint="default" w:ascii="Times New Roman" w:hAnsi="Times New Roman" w:cs="Times New Roman"/>
          <w:color w:val="auto"/>
          <w:highlight w:val="none"/>
          <w:lang w:val="en-US" w:eastAsia="zh-CN"/>
        </w:rPr>
        <w:t>若出现罐体老化等因素泄漏，将导致其内暂存的危险物质进入含水层而引起地下水污染。</w:t>
      </w:r>
    </w:p>
    <w:p w14:paraId="6A199EF5">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运输过程的风险识别</w:t>
      </w:r>
    </w:p>
    <w:p w14:paraId="0639845C">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w:t>
      </w:r>
      <w:r>
        <w:rPr>
          <w:rFonts w:hint="default" w:ascii="Times New Roman" w:hAnsi="Times New Roman" w:cs="Times New Roman"/>
          <w:color w:val="auto"/>
          <w:kern w:val="0"/>
          <w:sz w:val="24"/>
          <w:szCs w:val="24"/>
          <w:highlight w:val="none"/>
          <w:lang w:val="en-US" w:eastAsia="zh-CN" w:bidi="ar"/>
        </w:rPr>
        <w:t>原辅材料、产品及危废均采用公路运输，</w:t>
      </w:r>
      <w:r>
        <w:rPr>
          <w:rFonts w:hint="default" w:ascii="Times New Roman" w:hAnsi="Times New Roman" w:eastAsia="宋体" w:cs="Times New Roman"/>
          <w:color w:val="auto"/>
          <w:kern w:val="0"/>
          <w:szCs w:val="24"/>
          <w:highlight w:val="none"/>
          <w:lang w:val="en-US" w:eastAsia="zh-CN" w:bidi="ar"/>
        </w:rPr>
        <w:t>本项目</w:t>
      </w:r>
      <w:r>
        <w:rPr>
          <w:rFonts w:hint="default" w:ascii="Times New Roman" w:hAnsi="Times New Roman" w:cs="Times New Roman"/>
          <w:color w:val="auto"/>
          <w:kern w:val="0"/>
          <w:szCs w:val="24"/>
          <w:highlight w:val="none"/>
          <w:lang w:val="en-US" w:eastAsia="zh-CN" w:bidi="ar"/>
        </w:rPr>
        <w:t>物料、危废</w:t>
      </w:r>
      <w:r>
        <w:rPr>
          <w:rFonts w:hint="default" w:ascii="Times New Roman" w:hAnsi="Times New Roman" w:eastAsia="宋体" w:cs="Times New Roman"/>
          <w:color w:val="auto"/>
          <w:kern w:val="0"/>
          <w:sz w:val="24"/>
          <w:szCs w:val="24"/>
          <w:highlight w:val="none"/>
          <w:lang w:val="en-US" w:eastAsia="zh-CN" w:bidi="ar"/>
        </w:rPr>
        <w:t>运输过程主要风险为：若发生交通事故，造成</w:t>
      </w:r>
      <w:r>
        <w:rPr>
          <w:rFonts w:hint="default" w:ascii="Times New Roman" w:hAnsi="Times New Roman" w:cs="Times New Roman"/>
          <w:color w:val="auto"/>
          <w:kern w:val="0"/>
          <w:sz w:val="24"/>
          <w:szCs w:val="24"/>
          <w:highlight w:val="none"/>
          <w:lang w:val="en-US" w:eastAsia="zh-CN" w:bidi="ar"/>
        </w:rPr>
        <w:t>物料/危废</w:t>
      </w:r>
      <w:r>
        <w:rPr>
          <w:rFonts w:hint="default" w:ascii="Times New Roman" w:hAnsi="Times New Roman" w:eastAsia="宋体" w:cs="Times New Roman"/>
          <w:color w:val="auto"/>
          <w:kern w:val="0"/>
          <w:sz w:val="24"/>
          <w:szCs w:val="24"/>
          <w:highlight w:val="none"/>
          <w:lang w:val="en-US" w:eastAsia="zh-CN" w:bidi="ar"/>
        </w:rPr>
        <w:t>泄漏事故，可能会污染地表水、地下水、土壤环境。</w:t>
      </w:r>
    </w:p>
    <w:p w14:paraId="4D58BAB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公用工程风险识别</w:t>
      </w:r>
    </w:p>
    <w:p w14:paraId="0D271781">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安全自动控制系统危险性分析</w:t>
      </w:r>
    </w:p>
    <w:p w14:paraId="472B029C">
      <w:pPr>
        <w:pStyle w:val="26"/>
        <w:bidi w:val="0"/>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eastAsia="宋体" w:cs="Times New Roman"/>
          <w:color w:val="auto"/>
          <w:kern w:val="0"/>
          <w:szCs w:val="24"/>
          <w:highlight w:val="none"/>
          <w:lang w:val="en-US" w:eastAsia="zh-CN" w:bidi="ar"/>
        </w:rPr>
        <w:t>（1）若监视及控制系统失灵，导致生产过程运行失控，发生超温等事故，从而引起设备泄漏或爆炸的危险。若控制系统失灵、联锁不能及时动作，不能及时停机，可能造成易燃易爆有毒物料泄漏，引起火灾爆炸、中毒事故发生。</w:t>
      </w:r>
    </w:p>
    <w:p w14:paraId="76F33DBE">
      <w:pPr>
        <w:pStyle w:val="26"/>
        <w:bidi w:val="0"/>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eastAsia="宋体" w:cs="Times New Roman"/>
          <w:color w:val="auto"/>
          <w:kern w:val="0"/>
          <w:szCs w:val="24"/>
          <w:highlight w:val="none"/>
          <w:lang w:val="en-US" w:eastAsia="zh-CN" w:bidi="ar"/>
        </w:rPr>
        <w:t>（2）如果检测元件及监测系统，导致现场采集数据不准确或误差大，设备可能超温，从而引起设备发生泄漏或爆炸的危险。作业场所的易燃易爆有毒物料未被及时监测并报警，可能导致火灾爆炸及作业人员中毒</w:t>
      </w:r>
      <w:r>
        <w:rPr>
          <w:rFonts w:hint="default" w:ascii="Times New Roman" w:hAnsi="Times New Roman" w:cs="Times New Roman"/>
          <w:color w:val="auto"/>
          <w:kern w:val="0"/>
          <w:szCs w:val="24"/>
          <w:highlight w:val="none"/>
          <w:lang w:val="en-US" w:eastAsia="zh-CN" w:bidi="ar"/>
        </w:rPr>
        <w:t>窒息</w:t>
      </w:r>
      <w:r>
        <w:rPr>
          <w:rFonts w:hint="default" w:ascii="Times New Roman" w:hAnsi="Times New Roman" w:eastAsia="宋体" w:cs="Times New Roman"/>
          <w:color w:val="auto"/>
          <w:kern w:val="0"/>
          <w:szCs w:val="24"/>
          <w:highlight w:val="none"/>
          <w:lang w:val="en-US" w:eastAsia="zh-CN" w:bidi="ar"/>
        </w:rPr>
        <w:t>等事故。</w:t>
      </w:r>
    </w:p>
    <w:p w14:paraId="7F3BAC43">
      <w:pPr>
        <w:pStyle w:val="26"/>
        <w:bidi w:val="0"/>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eastAsia="宋体" w:cs="Times New Roman"/>
          <w:color w:val="auto"/>
          <w:kern w:val="0"/>
          <w:szCs w:val="24"/>
          <w:highlight w:val="none"/>
          <w:lang w:val="en-US" w:eastAsia="zh-CN" w:bidi="ar"/>
        </w:rPr>
        <w:t>（3）若传感二次仪表线路发生故障，不能及时更换线路，中控系统不能对系统进行及时监控，发生事故时不能及时控制，可能引起事故扩大化。</w:t>
      </w:r>
    </w:p>
    <w:p w14:paraId="307FE6C6">
      <w:pPr>
        <w:pStyle w:val="26"/>
        <w:bidi w:val="0"/>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eastAsia="宋体" w:cs="Times New Roman"/>
          <w:color w:val="auto"/>
          <w:kern w:val="0"/>
          <w:szCs w:val="24"/>
          <w:highlight w:val="none"/>
          <w:lang w:val="en-US" w:eastAsia="zh-CN" w:bidi="ar"/>
        </w:rPr>
        <w:t>（4）若传感仪表出现故障，反馈数据不准确，可能引起系统误判，进而引起事故发生。</w:t>
      </w:r>
    </w:p>
    <w:p w14:paraId="30078540">
      <w:pPr>
        <w:pStyle w:val="26"/>
        <w:bidi w:val="0"/>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eastAsia="宋体" w:cs="Times New Roman"/>
          <w:color w:val="auto"/>
          <w:kern w:val="0"/>
          <w:szCs w:val="24"/>
          <w:highlight w:val="none"/>
          <w:lang w:val="en-US" w:eastAsia="zh-CN" w:bidi="ar"/>
        </w:rPr>
        <w:t>（5）若报警系统安装后未能及时调试启用，不能起到报警作用，生产过程中发生意外不能及时报警，可能造成巨大损失。</w:t>
      </w:r>
    </w:p>
    <w:p w14:paraId="7587D1E5">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电气系统危险性分析</w:t>
      </w:r>
    </w:p>
    <w:p w14:paraId="22110C3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电气系统的风险主要有火灾，引起电气火灾的主要原因有电气线路过载、短路、接触不良、散热差、线路老化等设备和技术因素，而误操作引起电气火灾亦是其原因之一。</w:t>
      </w:r>
    </w:p>
    <w:p w14:paraId="3D45AD6A">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消防系统危险性分析</w:t>
      </w:r>
    </w:p>
    <w:p w14:paraId="3B17B4DA">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 xml:space="preserve">消防系统风险来源主要包括消防设计缺陷，消防水池蓄水能力不够，布局不合理，消防设备及设施数量不够且不符合燃烧物质的特性，造成有害物质进一步扩散；总图布置不符合规范要求，消防道路、防火间距不够，使火灾事故扩大；消防废水未得到处理直接排放。 </w:t>
      </w:r>
    </w:p>
    <w:p w14:paraId="781E0B6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环保设施风险识别</w:t>
      </w:r>
    </w:p>
    <w:p w14:paraId="38D1C2C2">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（1）废气处理设备设施在检修、维护过程中，可能因操作不当而出现污染物事故排放，造成环境污染。</w:t>
      </w:r>
    </w:p>
    <w:p w14:paraId="7AC1EB2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（2）废水管道破损，未处理的废水通过厂区雨水管网排入</w:t>
      </w:r>
      <w:r>
        <w:rPr>
          <w:rFonts w:hint="eastAsia" w:cs="Times New Roman"/>
          <w:color w:val="auto"/>
          <w:highlight w:val="none"/>
          <w:lang w:val="en-US" w:eastAsia="zh-CN"/>
        </w:rPr>
        <w:t>周围水体</w:t>
      </w:r>
      <w:r>
        <w:rPr>
          <w:rFonts w:hint="default" w:ascii="Times New Roman" w:hAnsi="Times New Roman" w:cs="Times New Roman"/>
          <w:color w:val="auto"/>
          <w:highlight w:val="none"/>
          <w:lang w:val="en-US" w:eastAsia="zh-CN"/>
        </w:rPr>
        <w:t>，最终汇入</w:t>
      </w:r>
      <w:r>
        <w:rPr>
          <w:rFonts w:hint="eastAsia" w:cs="Times New Roman"/>
          <w:color w:val="auto"/>
          <w:highlight w:val="none"/>
          <w:lang w:val="en-US" w:eastAsia="zh-CN"/>
        </w:rPr>
        <w:t>通江河</w:t>
      </w:r>
      <w:r>
        <w:rPr>
          <w:rFonts w:hint="default" w:ascii="Times New Roman" w:hAnsi="Times New Roman" w:cs="Times New Roman"/>
          <w:color w:val="auto"/>
          <w:highlight w:val="none"/>
          <w:lang w:val="en-US" w:eastAsia="zh-CN"/>
        </w:rPr>
        <w:t>，造成水体污染。</w:t>
      </w:r>
    </w:p>
    <w:p w14:paraId="108E13AB">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lang w:val="en-US" w:eastAsia="zh-CN"/>
        </w:rPr>
        <w:t>（3）因沾染有毒物质的固废若处理不到位，搬运保护措施不当，可能导致</w:t>
      </w:r>
      <w:r>
        <w:rPr>
          <w:rFonts w:hint="default" w:ascii="Times New Roman" w:hAnsi="Times New Roman" w:eastAsia="宋体" w:cs="Times New Roman"/>
          <w:color w:val="auto"/>
          <w:kern w:val="0"/>
          <w:sz w:val="24"/>
          <w:szCs w:val="24"/>
          <w:highlight w:val="none"/>
          <w:lang w:val="en-US" w:eastAsia="zh-CN" w:bidi="ar"/>
        </w:rPr>
        <w:t>环境污染。</w:t>
      </w:r>
    </w:p>
    <w:p w14:paraId="49CB714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危险位置向环境转移的途径识别</w:t>
      </w:r>
    </w:p>
    <w:p w14:paraId="6E45924C">
      <w:pPr>
        <w:pStyle w:val="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环境风险类型</w:t>
      </w:r>
    </w:p>
    <w:p w14:paraId="0BAFF68F">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cs="Times New Roman"/>
          <w:b/>
          <w:color w:val="auto"/>
          <w:kern w:val="2"/>
          <w:sz w:val="24"/>
          <w:szCs w:val="21"/>
          <w:highlight w:val="none"/>
          <w:lang w:val="en-US" w:eastAsia="zh-CN" w:bidi="ar-SA"/>
        </w:rPr>
        <w:t>1、</w:t>
      </w:r>
      <w:r>
        <w:rPr>
          <w:rFonts w:hint="default" w:ascii="Times New Roman" w:hAnsi="Times New Roman" w:cs="Times New Roman"/>
          <w:color w:val="auto"/>
          <w:highlight w:val="none"/>
          <w:lang w:val="en-US" w:eastAsia="zh-CN"/>
        </w:rPr>
        <w:t>泄漏</w:t>
      </w:r>
    </w:p>
    <w:p w14:paraId="314701F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①仓库包装桶、储罐或生产区设备等破损、破裂，将导致大量料液（或气体）排放；各种液体物料在场内通过管道输送，若操作方法不当，存在泄漏风险。 </w:t>
      </w:r>
    </w:p>
    <w:p w14:paraId="0175DE1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②操作有误或违章作业导致物料泄漏。</w:t>
      </w:r>
    </w:p>
    <w:p w14:paraId="2BA71FD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③废气收集或处理系统故障使气体泄漏，可能造成中毒事故。 </w:t>
      </w:r>
    </w:p>
    <w:p w14:paraId="320ECAB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④项目生产所使用的原料部分涉及强碱性、酸性物品，在贮存、运输和生产过程中可能会发生泄漏。</w:t>
      </w:r>
    </w:p>
    <w:p w14:paraId="6C04656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⑤废水管道破损导致未处理的废水泄漏。</w:t>
      </w:r>
    </w:p>
    <w:p w14:paraId="3EB28FE8">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cs="Times New Roman"/>
          <w:b/>
          <w:color w:val="auto"/>
          <w:kern w:val="2"/>
          <w:sz w:val="24"/>
          <w:szCs w:val="21"/>
          <w:highlight w:val="none"/>
          <w:lang w:val="en-US" w:eastAsia="zh-CN" w:bidi="ar-SA"/>
        </w:rPr>
        <w:t>2、</w:t>
      </w:r>
      <w:r>
        <w:rPr>
          <w:rFonts w:hint="default" w:ascii="Times New Roman" w:hAnsi="Times New Roman" w:cs="Times New Roman"/>
          <w:color w:val="auto"/>
          <w:highlight w:val="none"/>
          <w:lang w:val="en-US" w:eastAsia="zh-CN"/>
        </w:rPr>
        <w:t>火灾、爆炸</w:t>
      </w:r>
    </w:p>
    <w:p w14:paraId="2567BF2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项目生产所使用的原料及产品涉及的易燃物品，在贮存、运输和生产过程中可能发生火灾爆炸，可能引发火灾、爆炸的事故如下：</w:t>
      </w:r>
    </w:p>
    <w:p w14:paraId="42FE6F0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①储罐充装量过多，随气温的升高罐内压力升高</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反应釜温度控制系统失效，反应釜内温度过高导致液位上升，引起反应釜内压力升高，联锁保护、超限报警、故障报警、状态异常报警不全或出现故障</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存在引发火灾爆炸的危险。</w:t>
      </w:r>
    </w:p>
    <w:p w14:paraId="380A30C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②装置内使用的电气设备、机械设备的电机、照明、开关箱，应设计为防爆型；否则电气设备不防爆或防爆级别不够，在电气设备运行时，能产生电火花，存在引发火灾爆炸的危险。</w:t>
      </w:r>
    </w:p>
    <w:p w14:paraId="074BFDBD">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③在设备检修时，检修的设备如果没有与系统彻底地断开、隔离，并对被检修的设备进行置换，没有进行易燃易爆物质的测定并达到合格，就违章进行动火、烧焊作业，存在发生爆炸的极大危险。</w:t>
      </w:r>
    </w:p>
    <w:p w14:paraId="72A7C17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④设备或管道泄漏，造成物料泄漏，有毒气体在操作车间聚集，引起燃烧，严重时会引起电炉爆炸。</w:t>
      </w:r>
    </w:p>
    <w:p w14:paraId="5570BC1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⑤因操作不当等人为因素及自然灾害（如雷电）等其他因素的影响，引起火灾、爆炸事故。</w:t>
      </w:r>
    </w:p>
    <w:p w14:paraId="68F7AEA1">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3、事故伴生/次生污染</w:t>
      </w:r>
    </w:p>
    <w:p w14:paraId="3E9767BA">
      <w:pPr>
        <w:pStyle w:val="26"/>
        <w:bidi w:val="0"/>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项目在贮存、运输和生产过程中可能发生泄漏和火灾，发生火灾时</w:t>
      </w:r>
      <w:r>
        <w:rPr>
          <w:rFonts w:hint="default" w:ascii="Times New Roman" w:hAnsi="Times New Roman" w:cs="Times New Roman"/>
          <w:color w:val="auto"/>
          <w:highlight w:val="none"/>
          <w:lang w:val="en-US" w:eastAsia="zh-CN"/>
        </w:rPr>
        <w:t>会产生伴生和次生的危害。项目事故处理过程中的伴生/次生污染主要涉及火灾燃烧烟气CO等有毒有害物质的产生、消防水的收集、事故处理后的回收泄漏物等。</w:t>
      </w:r>
    </w:p>
    <w:p w14:paraId="30653998">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事故应急救援中产生的喷淋稀释水、消防废水等将伴有一定的物料，若沿雨水管网外排，将对周围地表水体产生严重污染；堵漏过程中可能使用的大量拦截、堵漏材料，掺杂一定的物料，若事故排放后随意丢弃、排放，将对环境产生二次污染。</w:t>
      </w:r>
    </w:p>
    <w:p w14:paraId="71BBCFD7">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项目主要事故伴生/次生污染如下：</w:t>
      </w:r>
    </w:p>
    <w:p w14:paraId="688F0537">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①液体废物料（事故处理后的回收泄漏物）和泄漏有毒有害气体挥发。</w:t>
      </w:r>
    </w:p>
    <w:p w14:paraId="3295F73F">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②消防废水，含有泄漏物料。</w:t>
      </w:r>
    </w:p>
    <w:p w14:paraId="36706498">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③燃烧烟气，火灾爆炸时产生的一氧化碳</w:t>
      </w:r>
      <w:r>
        <w:rPr>
          <w:rFonts w:hint="default" w:ascii="Times New Roman" w:hAnsi="Times New Roman" w:cs="Times New Roman"/>
          <w:color w:val="auto"/>
          <w:highlight w:val="none"/>
          <w:vertAlign w:val="baseline"/>
          <w:lang w:val="en-US" w:eastAsia="zh-CN"/>
        </w:rPr>
        <w:t>、</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等有毒有害烟气。</w:t>
      </w:r>
    </w:p>
    <w:p w14:paraId="099F2BE3">
      <w:pPr>
        <w:pStyle w:val="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环境风险途径</w:t>
      </w:r>
    </w:p>
    <w:p w14:paraId="5DBB765B">
      <w:pPr>
        <w:pStyle w:val="26"/>
        <w:bidi w:val="0"/>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由于泄漏、火灾爆炸等事故，有毒有害物料会以气态或液态形式释放至环境中，造成环境影响。本项目生产过程中涉及的主要有毒有害物质的扩散途径主</w:t>
      </w:r>
      <w:r>
        <w:rPr>
          <w:rFonts w:hint="default" w:ascii="Times New Roman" w:hAnsi="Times New Roman" w:cs="Times New Roman"/>
          <w:color w:val="auto"/>
          <w:highlight w:val="none"/>
          <w:lang w:val="en-US" w:eastAsia="zh-CN"/>
        </w:rPr>
        <w:t>要有以下几个方面：</w:t>
      </w:r>
    </w:p>
    <w:p w14:paraId="1FAFF24F">
      <w:pPr>
        <w:pStyle w:val="26"/>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1、大气扩散</w:t>
      </w:r>
    </w:p>
    <w:p w14:paraId="3655CB80">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有毒有害物质泄漏后直接进入大气环境或挥发进入大气环境，或者易燃易爆物质泄漏发生火灾爆炸事故时伴生污染物进入大气环境，通过大气扩散对项目周围环境造成危害。</w:t>
      </w:r>
    </w:p>
    <w:p w14:paraId="670EFB09">
      <w:pPr>
        <w:pStyle w:val="26"/>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2、水环境扩散</w:t>
      </w:r>
    </w:p>
    <w:p w14:paraId="32EDA14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项目易燃易爆物质发生火灾事故时产生的消防废水或者泄漏的废水废液未能得到有效收集而进入清净下水系统或雨排系统，通过排水系统排放入外环境，可能会对周围地表水体造成影响。</w:t>
      </w:r>
    </w:p>
    <w:p w14:paraId="57F03C90">
      <w:pPr>
        <w:pStyle w:val="26"/>
        <w:numPr>
          <w:ilvl w:val="0"/>
          <w:numId w:val="0"/>
        </w:numPr>
        <w:bidi w:val="0"/>
        <w:ind w:left="0" w:leftChars="0" w:firstLine="482" w:firstLineChars="200"/>
        <w:rPr>
          <w:rFonts w:hint="default" w:ascii="Times New Roman" w:hAnsi="Times New Roman" w:cs="Times New Roman"/>
          <w:b/>
          <w:bCs/>
          <w:color w:val="auto"/>
          <w:highlight w:val="none"/>
          <w:lang w:val="en-US" w:eastAsia="zh-CN"/>
        </w:rPr>
      </w:pPr>
      <w:r>
        <w:rPr>
          <w:rFonts w:hint="default" w:ascii="Times New Roman" w:hAnsi="Times New Roman" w:eastAsia="宋体" w:cs="Times New Roman"/>
          <w:b/>
          <w:bCs/>
          <w:color w:val="auto"/>
          <w:kern w:val="2"/>
          <w:sz w:val="24"/>
          <w:szCs w:val="30"/>
          <w:lang w:val="en-US" w:eastAsia="zh-CN" w:bidi="ar-SA"/>
        </w:rPr>
        <w:t>3、</w:t>
      </w:r>
      <w:r>
        <w:rPr>
          <w:rFonts w:hint="default" w:ascii="Times New Roman" w:hAnsi="Times New Roman" w:cs="Times New Roman"/>
          <w:b/>
          <w:bCs/>
          <w:color w:val="auto"/>
          <w:highlight w:val="none"/>
          <w:lang w:val="en-US" w:eastAsia="zh-CN"/>
        </w:rPr>
        <w:t>土壤/地下水扩散</w:t>
      </w:r>
    </w:p>
    <w:p w14:paraId="786324FE">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本项目液态危险物质泄漏后聚积地面，通过地面渗透进入土壤/地下含水层，对土壤环境/地下水环境造成风险事故。</w:t>
      </w:r>
    </w:p>
    <w:p w14:paraId="0B1DB34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风险识别结果</w:t>
      </w:r>
    </w:p>
    <w:p w14:paraId="00715259">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本项目环境风险识别结果见下表。</w:t>
      </w:r>
    </w:p>
    <w:p w14:paraId="45F845D8">
      <w:pPr>
        <w:rPr>
          <w:rFonts w:hint="default" w:ascii="Times New Roman" w:hAnsi="Times New Roman" w:cs="Times New Roman"/>
          <w:color w:val="auto"/>
          <w:highlight w:val="none"/>
          <w:lang w:val="en-US" w:eastAsia="zh-CN"/>
        </w:rPr>
      </w:pPr>
    </w:p>
    <w:p w14:paraId="398BB580">
      <w:pPr>
        <w:pStyle w:val="26"/>
        <w:numPr>
          <w:ilvl w:val="0"/>
          <w:numId w:val="33"/>
        </w:numPr>
        <w:bidi w:val="0"/>
        <w:ind w:left="425" w:leftChars="0" w:hanging="425" w:firstLineChars="0"/>
        <w:jc w:val="center"/>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环境风险识别结果表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1319"/>
        <w:gridCol w:w="1146"/>
        <w:gridCol w:w="2325"/>
        <w:gridCol w:w="868"/>
        <w:gridCol w:w="1539"/>
        <w:gridCol w:w="1713"/>
      </w:tblGrid>
      <w:tr w14:paraId="36E8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center"/>
          </w:tcPr>
          <w:p w14:paraId="5BA788D6">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序号</w:t>
            </w:r>
          </w:p>
        </w:tc>
        <w:tc>
          <w:tcPr>
            <w:tcW w:w="1319" w:type="dxa"/>
            <w:noWrap w:val="0"/>
            <w:vAlign w:val="center"/>
          </w:tcPr>
          <w:p w14:paraId="0662346F">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危险单元</w:t>
            </w:r>
          </w:p>
        </w:tc>
        <w:tc>
          <w:tcPr>
            <w:tcW w:w="1146" w:type="dxa"/>
            <w:noWrap w:val="0"/>
            <w:vAlign w:val="center"/>
          </w:tcPr>
          <w:p w14:paraId="321BCC83">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风险源</w:t>
            </w:r>
          </w:p>
        </w:tc>
        <w:tc>
          <w:tcPr>
            <w:tcW w:w="2325" w:type="dxa"/>
            <w:noWrap w:val="0"/>
            <w:vAlign w:val="center"/>
          </w:tcPr>
          <w:p w14:paraId="0A444F8B">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主要危险物质</w:t>
            </w:r>
          </w:p>
        </w:tc>
        <w:tc>
          <w:tcPr>
            <w:tcW w:w="868" w:type="dxa"/>
            <w:noWrap w:val="0"/>
            <w:vAlign w:val="center"/>
          </w:tcPr>
          <w:p w14:paraId="4BCABDDD">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环境风险类型</w:t>
            </w:r>
          </w:p>
        </w:tc>
        <w:tc>
          <w:tcPr>
            <w:tcW w:w="1539" w:type="dxa"/>
            <w:noWrap w:val="0"/>
            <w:vAlign w:val="center"/>
          </w:tcPr>
          <w:p w14:paraId="12E5D727">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环境影响途径</w:t>
            </w:r>
          </w:p>
        </w:tc>
        <w:tc>
          <w:tcPr>
            <w:tcW w:w="1713" w:type="dxa"/>
            <w:noWrap w:val="0"/>
            <w:vAlign w:val="center"/>
          </w:tcPr>
          <w:p w14:paraId="5BBFC08B">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可能受影响的环境敏感目标</w:t>
            </w:r>
          </w:p>
        </w:tc>
      </w:tr>
      <w:tr w14:paraId="513C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center"/>
          </w:tcPr>
          <w:p w14:paraId="2838F4E8">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319" w:type="dxa"/>
            <w:shd w:val="clear" w:color="auto" w:fill="auto"/>
            <w:noWrap w:val="0"/>
            <w:vAlign w:val="center"/>
          </w:tcPr>
          <w:p w14:paraId="3D564DE0">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生产车间</w:t>
            </w:r>
          </w:p>
        </w:tc>
        <w:tc>
          <w:tcPr>
            <w:tcW w:w="1146" w:type="dxa"/>
            <w:shd w:val="clear" w:color="auto" w:fill="auto"/>
            <w:noWrap w:val="0"/>
            <w:vAlign w:val="center"/>
          </w:tcPr>
          <w:p w14:paraId="315AC89D">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罐体、反应釜</w:t>
            </w:r>
          </w:p>
        </w:tc>
        <w:tc>
          <w:tcPr>
            <w:tcW w:w="2325" w:type="dxa"/>
            <w:noWrap w:val="0"/>
            <w:vAlign w:val="center"/>
          </w:tcPr>
          <w:p w14:paraId="7DBCDACC">
            <w:pPr>
              <w:pStyle w:val="24"/>
              <w:bidi w:val="0"/>
              <w:jc w:val="center"/>
              <w:rPr>
                <w:rFonts w:hint="default" w:ascii="Times New Roman" w:hAnsi="Times New Roman" w:cs="Times New Roman"/>
                <w:color w:val="auto"/>
                <w:highlight w:val="none"/>
                <w:lang w:val="en-US" w:eastAsia="zh-CN"/>
              </w:rPr>
            </w:pPr>
            <w:r>
              <w:rPr>
                <w:rFonts w:hint="eastAsia"/>
                <w:color w:val="auto"/>
                <w:highlight w:val="none"/>
                <w:lang w:val="en-US" w:eastAsia="zh-CN"/>
              </w:rPr>
              <w:t>丙烯酸、液碱、硫酸、氟硅酸等</w:t>
            </w:r>
          </w:p>
        </w:tc>
        <w:tc>
          <w:tcPr>
            <w:tcW w:w="868" w:type="dxa"/>
            <w:vMerge w:val="restart"/>
            <w:noWrap w:val="0"/>
            <w:vAlign w:val="center"/>
          </w:tcPr>
          <w:p w14:paraId="7B73D78C">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泄漏</w:t>
            </w:r>
          </w:p>
          <w:p w14:paraId="03568ACC">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、火灾爆炸</w:t>
            </w:r>
          </w:p>
        </w:tc>
        <w:tc>
          <w:tcPr>
            <w:tcW w:w="1539" w:type="dxa"/>
            <w:vMerge w:val="restart"/>
            <w:noWrap w:val="0"/>
            <w:vAlign w:val="center"/>
          </w:tcPr>
          <w:p w14:paraId="1BA3AE00">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大气、地表水、地下水、土壤环境</w:t>
            </w:r>
          </w:p>
        </w:tc>
        <w:tc>
          <w:tcPr>
            <w:tcW w:w="1713" w:type="dxa"/>
            <w:vMerge w:val="restart"/>
            <w:noWrap w:val="0"/>
            <w:vAlign w:val="center"/>
          </w:tcPr>
          <w:p w14:paraId="219EB77C">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周边居民、土壤、地表水、地下水等</w:t>
            </w:r>
          </w:p>
        </w:tc>
      </w:tr>
      <w:tr w14:paraId="7E5C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center"/>
          </w:tcPr>
          <w:p w14:paraId="7402E0BA">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319" w:type="dxa"/>
            <w:shd w:val="clear" w:color="auto" w:fill="auto"/>
            <w:noWrap w:val="0"/>
            <w:vAlign w:val="center"/>
          </w:tcPr>
          <w:p w14:paraId="49125B9F">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罐区</w:t>
            </w:r>
          </w:p>
        </w:tc>
        <w:tc>
          <w:tcPr>
            <w:tcW w:w="1146" w:type="dxa"/>
            <w:shd w:val="clear" w:color="auto" w:fill="auto"/>
            <w:noWrap w:val="0"/>
            <w:vAlign w:val="center"/>
          </w:tcPr>
          <w:p w14:paraId="760D3936">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储罐</w:t>
            </w:r>
          </w:p>
        </w:tc>
        <w:tc>
          <w:tcPr>
            <w:tcW w:w="2325" w:type="dxa"/>
            <w:noWrap w:val="0"/>
            <w:vAlign w:val="center"/>
          </w:tcPr>
          <w:p w14:paraId="1881E3AB">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eastAsia"/>
                <w:color w:val="auto"/>
                <w:highlight w:val="none"/>
                <w:lang w:val="en-US" w:eastAsia="zh-CN"/>
              </w:rPr>
              <w:t>丙烯酸、液碱、硫酸、氟硅酸等</w:t>
            </w:r>
          </w:p>
        </w:tc>
        <w:tc>
          <w:tcPr>
            <w:tcW w:w="868" w:type="dxa"/>
            <w:vMerge w:val="continue"/>
            <w:noWrap w:val="0"/>
            <w:vAlign w:val="center"/>
          </w:tcPr>
          <w:p w14:paraId="093501AB">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p>
        </w:tc>
        <w:tc>
          <w:tcPr>
            <w:tcW w:w="1539" w:type="dxa"/>
            <w:vMerge w:val="continue"/>
            <w:noWrap w:val="0"/>
            <w:vAlign w:val="center"/>
          </w:tcPr>
          <w:p w14:paraId="78AD3EFC">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p>
        </w:tc>
        <w:tc>
          <w:tcPr>
            <w:tcW w:w="1713" w:type="dxa"/>
            <w:vMerge w:val="continue"/>
            <w:noWrap w:val="0"/>
            <w:vAlign w:val="center"/>
          </w:tcPr>
          <w:p w14:paraId="1C7E651F">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p>
        </w:tc>
      </w:tr>
      <w:tr w14:paraId="2E89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noWrap w:val="0"/>
            <w:vAlign w:val="center"/>
          </w:tcPr>
          <w:p w14:paraId="1F97148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319" w:type="dxa"/>
            <w:shd w:val="clear" w:color="auto" w:fill="auto"/>
            <w:noWrap w:val="0"/>
            <w:vAlign w:val="center"/>
          </w:tcPr>
          <w:p w14:paraId="0E1A0ED2">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仓库</w:t>
            </w:r>
          </w:p>
        </w:tc>
        <w:tc>
          <w:tcPr>
            <w:tcW w:w="1146" w:type="dxa"/>
            <w:noWrap w:val="0"/>
            <w:vAlign w:val="center"/>
          </w:tcPr>
          <w:p w14:paraId="3A63C3FC">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储存原料</w:t>
            </w:r>
          </w:p>
        </w:tc>
        <w:tc>
          <w:tcPr>
            <w:tcW w:w="2325" w:type="dxa"/>
            <w:noWrap w:val="0"/>
            <w:vAlign w:val="center"/>
          </w:tcPr>
          <w:p w14:paraId="02370112">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rPr>
              <w:t>巯基乙醇</w:t>
            </w:r>
            <w:r>
              <w:rPr>
                <w:rFonts w:hint="eastAsia" w:cs="Times New Roman"/>
                <w:color w:val="auto"/>
                <w:highlight w:val="none"/>
                <w:lang w:val="en-US" w:eastAsia="zh-CN"/>
              </w:rPr>
              <w:t>、</w:t>
            </w:r>
            <w:r>
              <w:rPr>
                <w:rFonts w:hint="default" w:ascii="Times New Roman" w:hAnsi="Times New Roman" w:cs="Times New Roman"/>
                <w:b w:val="0"/>
                <w:color w:val="auto"/>
                <w:kern w:val="2"/>
                <w:sz w:val="21"/>
                <w:szCs w:val="24"/>
                <w:highlight w:val="none"/>
                <w:lang w:val="en-US" w:eastAsia="zh-CN" w:bidi="ar-SA"/>
              </w:rPr>
              <w:t>润滑油等</w:t>
            </w:r>
          </w:p>
        </w:tc>
        <w:tc>
          <w:tcPr>
            <w:tcW w:w="868" w:type="dxa"/>
            <w:vMerge w:val="continue"/>
            <w:noWrap w:val="0"/>
            <w:vAlign w:val="center"/>
          </w:tcPr>
          <w:p w14:paraId="37C66905">
            <w:pPr>
              <w:pStyle w:val="24"/>
              <w:bidi w:val="0"/>
              <w:ind w:left="0" w:leftChars="0"/>
              <w:jc w:val="center"/>
              <w:rPr>
                <w:rFonts w:hint="default" w:ascii="Times New Roman" w:hAnsi="Times New Roman" w:cs="Times New Roman"/>
                <w:color w:val="auto"/>
                <w:highlight w:val="none"/>
                <w:lang w:val="en-US" w:eastAsia="zh-CN"/>
              </w:rPr>
            </w:pPr>
          </w:p>
        </w:tc>
        <w:tc>
          <w:tcPr>
            <w:tcW w:w="1539" w:type="dxa"/>
            <w:vMerge w:val="continue"/>
            <w:noWrap w:val="0"/>
            <w:vAlign w:val="center"/>
          </w:tcPr>
          <w:p w14:paraId="7FFCD774">
            <w:pPr>
              <w:pStyle w:val="24"/>
              <w:bidi w:val="0"/>
              <w:ind w:left="0" w:leftChars="0"/>
              <w:jc w:val="center"/>
              <w:rPr>
                <w:rFonts w:hint="default" w:ascii="Times New Roman" w:hAnsi="Times New Roman" w:cs="Times New Roman"/>
                <w:color w:val="auto"/>
                <w:highlight w:val="none"/>
                <w:lang w:val="en-US" w:eastAsia="zh-CN"/>
              </w:rPr>
            </w:pPr>
          </w:p>
        </w:tc>
        <w:tc>
          <w:tcPr>
            <w:tcW w:w="1713" w:type="dxa"/>
            <w:vMerge w:val="continue"/>
            <w:noWrap w:val="0"/>
            <w:vAlign w:val="center"/>
          </w:tcPr>
          <w:p w14:paraId="2B9D6D58">
            <w:pPr>
              <w:pStyle w:val="24"/>
              <w:bidi w:val="0"/>
              <w:ind w:left="0" w:leftChars="0"/>
              <w:jc w:val="center"/>
              <w:rPr>
                <w:rFonts w:hint="default" w:ascii="Times New Roman" w:hAnsi="Times New Roman" w:cs="Times New Roman"/>
                <w:color w:val="auto"/>
                <w:highlight w:val="none"/>
                <w:lang w:val="en-US" w:eastAsia="zh-CN"/>
              </w:rPr>
            </w:pPr>
          </w:p>
        </w:tc>
      </w:tr>
      <w:tr w14:paraId="1500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shd w:val="clear" w:color="auto" w:fill="auto"/>
            <w:noWrap w:val="0"/>
            <w:vAlign w:val="center"/>
          </w:tcPr>
          <w:p w14:paraId="68D70CC1">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w:t>
            </w:r>
          </w:p>
        </w:tc>
        <w:tc>
          <w:tcPr>
            <w:tcW w:w="1319" w:type="dxa"/>
            <w:shd w:val="clear" w:color="auto" w:fill="auto"/>
            <w:noWrap w:val="0"/>
            <w:vAlign w:val="center"/>
          </w:tcPr>
          <w:p w14:paraId="34A7E863">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eastAsia" w:cs="Times New Roman"/>
                <w:b w:val="0"/>
                <w:color w:val="auto"/>
                <w:kern w:val="2"/>
                <w:sz w:val="21"/>
                <w:szCs w:val="24"/>
                <w:highlight w:val="none"/>
                <w:lang w:val="en-US" w:eastAsia="zh-CN" w:bidi="ar-SA"/>
              </w:rPr>
              <w:t>质检室</w:t>
            </w:r>
          </w:p>
        </w:tc>
        <w:tc>
          <w:tcPr>
            <w:tcW w:w="1146" w:type="dxa"/>
            <w:noWrap w:val="0"/>
            <w:vAlign w:val="center"/>
          </w:tcPr>
          <w:p w14:paraId="5615072B">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eastAsia" w:cs="Times New Roman"/>
                <w:b w:val="0"/>
                <w:color w:val="auto"/>
                <w:kern w:val="2"/>
                <w:sz w:val="21"/>
                <w:szCs w:val="24"/>
                <w:highlight w:val="none"/>
                <w:lang w:val="en-US" w:eastAsia="zh-CN" w:bidi="ar-SA"/>
              </w:rPr>
              <w:t>试剂柜</w:t>
            </w:r>
          </w:p>
        </w:tc>
        <w:tc>
          <w:tcPr>
            <w:tcW w:w="2325" w:type="dxa"/>
            <w:noWrap w:val="0"/>
            <w:vAlign w:val="center"/>
          </w:tcPr>
          <w:p w14:paraId="0E9968B3">
            <w:pPr>
              <w:pStyle w:val="24"/>
              <w:bidi w:val="0"/>
              <w:ind w:left="0" w:leftChars="0"/>
              <w:jc w:val="center"/>
              <w:rPr>
                <w:rFonts w:hint="default" w:cs="Times New Roman"/>
                <w:color w:val="auto"/>
                <w:highlight w:val="none"/>
                <w:lang w:val="en-US" w:eastAsia="zh-CN"/>
              </w:rPr>
            </w:pPr>
            <w:r>
              <w:rPr>
                <w:rFonts w:hint="eastAsia" w:cs="Times New Roman"/>
                <w:color w:val="auto"/>
                <w:highlight w:val="none"/>
                <w:lang w:val="en-US" w:eastAsia="zh-CN"/>
              </w:rPr>
              <w:t>盐酸、硫酸、氢氟酸</w:t>
            </w:r>
          </w:p>
        </w:tc>
        <w:tc>
          <w:tcPr>
            <w:tcW w:w="868" w:type="dxa"/>
            <w:vMerge w:val="continue"/>
            <w:noWrap w:val="0"/>
            <w:vAlign w:val="center"/>
          </w:tcPr>
          <w:p w14:paraId="5733A507">
            <w:pPr>
              <w:pStyle w:val="24"/>
              <w:bidi w:val="0"/>
              <w:ind w:left="0" w:leftChars="0"/>
              <w:jc w:val="center"/>
              <w:rPr>
                <w:rFonts w:hint="default" w:ascii="Times New Roman" w:hAnsi="Times New Roman" w:cs="Times New Roman"/>
                <w:color w:val="auto"/>
                <w:highlight w:val="none"/>
                <w:lang w:val="en-US" w:eastAsia="zh-CN"/>
              </w:rPr>
            </w:pPr>
          </w:p>
        </w:tc>
        <w:tc>
          <w:tcPr>
            <w:tcW w:w="1539" w:type="dxa"/>
            <w:vMerge w:val="continue"/>
            <w:noWrap w:val="0"/>
            <w:vAlign w:val="center"/>
          </w:tcPr>
          <w:p w14:paraId="7EDDCB09">
            <w:pPr>
              <w:pStyle w:val="24"/>
              <w:bidi w:val="0"/>
              <w:ind w:left="0" w:leftChars="0"/>
              <w:jc w:val="center"/>
              <w:rPr>
                <w:rFonts w:hint="default" w:ascii="Times New Roman" w:hAnsi="Times New Roman" w:cs="Times New Roman"/>
                <w:color w:val="auto"/>
                <w:highlight w:val="none"/>
                <w:lang w:val="en-US" w:eastAsia="zh-CN"/>
              </w:rPr>
            </w:pPr>
          </w:p>
        </w:tc>
        <w:tc>
          <w:tcPr>
            <w:tcW w:w="1713" w:type="dxa"/>
            <w:vMerge w:val="continue"/>
            <w:noWrap w:val="0"/>
            <w:vAlign w:val="center"/>
          </w:tcPr>
          <w:p w14:paraId="48971334">
            <w:pPr>
              <w:pStyle w:val="24"/>
              <w:bidi w:val="0"/>
              <w:ind w:left="0" w:leftChars="0"/>
              <w:jc w:val="center"/>
              <w:rPr>
                <w:rFonts w:hint="default" w:ascii="Times New Roman" w:hAnsi="Times New Roman" w:cs="Times New Roman"/>
                <w:color w:val="auto"/>
                <w:highlight w:val="none"/>
                <w:lang w:val="en-US" w:eastAsia="zh-CN"/>
              </w:rPr>
            </w:pPr>
          </w:p>
        </w:tc>
      </w:tr>
      <w:tr w14:paraId="0869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shd w:val="clear" w:color="auto" w:fill="auto"/>
            <w:noWrap w:val="0"/>
            <w:vAlign w:val="center"/>
          </w:tcPr>
          <w:p w14:paraId="294385C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5</w:t>
            </w:r>
          </w:p>
        </w:tc>
        <w:tc>
          <w:tcPr>
            <w:tcW w:w="1319" w:type="dxa"/>
            <w:shd w:val="clear" w:color="auto" w:fill="auto"/>
            <w:noWrap w:val="0"/>
            <w:vAlign w:val="center"/>
          </w:tcPr>
          <w:p w14:paraId="3E6BD31C">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厂区</w:t>
            </w:r>
          </w:p>
        </w:tc>
        <w:tc>
          <w:tcPr>
            <w:tcW w:w="1146" w:type="dxa"/>
            <w:noWrap w:val="0"/>
            <w:vAlign w:val="center"/>
          </w:tcPr>
          <w:p w14:paraId="0B812E69">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废水</w:t>
            </w:r>
          </w:p>
        </w:tc>
        <w:tc>
          <w:tcPr>
            <w:tcW w:w="2325" w:type="dxa"/>
            <w:noWrap w:val="0"/>
            <w:vAlign w:val="center"/>
          </w:tcPr>
          <w:p w14:paraId="1FE6D71D">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pH、</w:t>
            </w:r>
            <w:r>
              <w:rPr>
                <w:rFonts w:hint="default" w:ascii="Times New Roman" w:hAnsi="Times New Roman" w:cs="Times New Roman"/>
                <w:b w:val="0"/>
                <w:bCs w:val="0"/>
                <w:color w:val="auto"/>
                <w:sz w:val="21"/>
                <w:szCs w:val="21"/>
                <w:highlight w:val="none"/>
                <w:lang w:val="en-US" w:eastAsia="zh-CN"/>
              </w:rPr>
              <w:t>COD、BOD</w:t>
            </w:r>
            <w:r>
              <w:rPr>
                <w:rFonts w:hint="default" w:ascii="Times New Roman" w:hAnsi="Times New Roman" w:cs="Times New Roman"/>
                <w:b w:val="0"/>
                <w:bCs w:val="0"/>
                <w:color w:val="auto"/>
                <w:sz w:val="21"/>
                <w:szCs w:val="21"/>
                <w:highlight w:val="none"/>
                <w:vertAlign w:val="subscript"/>
                <w:lang w:val="en-US" w:eastAsia="zh-CN"/>
              </w:rPr>
              <w:t>5</w:t>
            </w:r>
            <w:r>
              <w:rPr>
                <w:rFonts w:hint="default" w:ascii="Times New Roman" w:hAnsi="Times New Roman" w:cs="Times New Roman"/>
                <w:b w:val="0"/>
                <w:bCs w:val="0"/>
                <w:color w:val="auto"/>
                <w:sz w:val="21"/>
                <w:szCs w:val="21"/>
                <w:highlight w:val="none"/>
                <w:lang w:val="en-US" w:eastAsia="zh-CN"/>
              </w:rPr>
              <w:t>、SS、NH</w:t>
            </w:r>
            <w:r>
              <w:rPr>
                <w:rFonts w:hint="default" w:ascii="Times New Roman" w:hAnsi="Times New Roman" w:cs="Times New Roman"/>
                <w:b w:val="0"/>
                <w:bCs w:val="0"/>
                <w:color w:val="auto"/>
                <w:sz w:val="21"/>
                <w:szCs w:val="21"/>
                <w:highlight w:val="none"/>
                <w:vertAlign w:val="subscript"/>
                <w:lang w:val="en-US" w:eastAsia="zh-CN"/>
              </w:rPr>
              <w:t>3</w:t>
            </w:r>
            <w:r>
              <w:rPr>
                <w:rFonts w:hint="default" w:ascii="Times New Roman" w:hAnsi="Times New Roman" w:cs="Times New Roman"/>
                <w:b w:val="0"/>
                <w:bCs w:val="0"/>
                <w:color w:val="auto"/>
                <w:sz w:val="21"/>
                <w:szCs w:val="21"/>
                <w:highlight w:val="none"/>
                <w:lang w:val="en-US" w:eastAsia="zh-CN"/>
              </w:rPr>
              <w:t>-N等</w:t>
            </w:r>
          </w:p>
        </w:tc>
        <w:tc>
          <w:tcPr>
            <w:tcW w:w="868" w:type="dxa"/>
            <w:vMerge w:val="continue"/>
            <w:noWrap w:val="0"/>
            <w:vAlign w:val="center"/>
          </w:tcPr>
          <w:p w14:paraId="338CAF57">
            <w:pPr>
              <w:pStyle w:val="24"/>
              <w:bidi w:val="0"/>
              <w:ind w:left="0" w:leftChars="0"/>
              <w:jc w:val="center"/>
              <w:rPr>
                <w:rFonts w:hint="default" w:ascii="Times New Roman" w:hAnsi="Times New Roman" w:cs="Times New Roman"/>
                <w:color w:val="auto"/>
                <w:highlight w:val="none"/>
                <w:lang w:val="en-US" w:eastAsia="zh-CN"/>
              </w:rPr>
            </w:pPr>
          </w:p>
        </w:tc>
        <w:tc>
          <w:tcPr>
            <w:tcW w:w="1539" w:type="dxa"/>
            <w:vMerge w:val="continue"/>
            <w:noWrap w:val="0"/>
            <w:vAlign w:val="center"/>
          </w:tcPr>
          <w:p w14:paraId="060274A3">
            <w:pPr>
              <w:pStyle w:val="24"/>
              <w:bidi w:val="0"/>
              <w:ind w:left="0" w:leftChars="0"/>
              <w:jc w:val="center"/>
              <w:rPr>
                <w:rFonts w:hint="default" w:ascii="Times New Roman" w:hAnsi="Times New Roman" w:cs="Times New Roman"/>
                <w:color w:val="auto"/>
                <w:highlight w:val="none"/>
                <w:lang w:val="en-US" w:eastAsia="zh-CN"/>
              </w:rPr>
            </w:pPr>
          </w:p>
        </w:tc>
        <w:tc>
          <w:tcPr>
            <w:tcW w:w="1713" w:type="dxa"/>
            <w:vMerge w:val="continue"/>
            <w:noWrap w:val="0"/>
            <w:vAlign w:val="center"/>
          </w:tcPr>
          <w:p w14:paraId="7930CCC1">
            <w:pPr>
              <w:pStyle w:val="24"/>
              <w:bidi w:val="0"/>
              <w:ind w:left="0" w:leftChars="0"/>
              <w:jc w:val="center"/>
              <w:rPr>
                <w:rFonts w:hint="default" w:ascii="Times New Roman" w:hAnsi="Times New Roman" w:cs="Times New Roman"/>
                <w:color w:val="auto"/>
                <w:highlight w:val="none"/>
                <w:lang w:val="en-US" w:eastAsia="zh-CN"/>
              </w:rPr>
            </w:pPr>
          </w:p>
        </w:tc>
      </w:tr>
      <w:tr w14:paraId="43BA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shd w:val="clear" w:color="auto" w:fill="auto"/>
            <w:noWrap w:val="0"/>
            <w:vAlign w:val="center"/>
          </w:tcPr>
          <w:p w14:paraId="4B331D88">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6</w:t>
            </w:r>
          </w:p>
        </w:tc>
        <w:tc>
          <w:tcPr>
            <w:tcW w:w="1319" w:type="dxa"/>
            <w:shd w:val="clear" w:color="auto" w:fill="auto"/>
            <w:noWrap w:val="0"/>
            <w:vAlign w:val="center"/>
          </w:tcPr>
          <w:p w14:paraId="1398919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val="0"/>
                <w:color w:val="auto"/>
                <w:highlight w:val="none"/>
                <w:lang w:val="en-US" w:eastAsia="zh-CN"/>
              </w:rPr>
              <w:t>危废暂存间</w:t>
            </w:r>
          </w:p>
        </w:tc>
        <w:tc>
          <w:tcPr>
            <w:tcW w:w="1146" w:type="dxa"/>
            <w:shd w:val="clear" w:color="auto" w:fill="auto"/>
            <w:noWrap w:val="0"/>
            <w:vAlign w:val="center"/>
          </w:tcPr>
          <w:p w14:paraId="4B178B05">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default" w:ascii="Times New Roman" w:hAnsi="Times New Roman" w:cs="Times New Roman"/>
                <w:b w:val="0"/>
                <w:color w:val="auto"/>
                <w:kern w:val="2"/>
                <w:sz w:val="21"/>
                <w:szCs w:val="24"/>
                <w:highlight w:val="none"/>
                <w:lang w:val="en-US" w:eastAsia="zh-CN" w:bidi="ar-SA"/>
              </w:rPr>
              <w:t>储存危废</w:t>
            </w:r>
          </w:p>
        </w:tc>
        <w:tc>
          <w:tcPr>
            <w:tcW w:w="2325" w:type="dxa"/>
            <w:shd w:val="clear" w:color="auto" w:fill="auto"/>
            <w:noWrap w:val="0"/>
            <w:vAlign w:val="center"/>
          </w:tcPr>
          <w:p w14:paraId="0FDEE9B7">
            <w:pPr>
              <w:pStyle w:val="24"/>
              <w:bidi w:val="0"/>
              <w:ind w:left="0" w:leftChars="0"/>
              <w:jc w:val="center"/>
              <w:rPr>
                <w:rFonts w:hint="default" w:ascii="Times New Roman" w:hAnsi="Times New Roman" w:eastAsia="宋体" w:cs="Times New Roman"/>
                <w:b w:val="0"/>
                <w:color w:val="auto"/>
                <w:kern w:val="2"/>
                <w:sz w:val="21"/>
                <w:szCs w:val="24"/>
                <w:highlight w:val="none"/>
                <w:lang w:val="en-US" w:eastAsia="zh-CN" w:bidi="ar-SA"/>
              </w:rPr>
            </w:pPr>
            <w:r>
              <w:rPr>
                <w:rFonts w:hint="eastAsia" w:cs="Times New Roman"/>
                <w:b w:val="0"/>
                <w:color w:val="auto"/>
                <w:kern w:val="2"/>
                <w:sz w:val="21"/>
                <w:szCs w:val="24"/>
                <w:highlight w:val="none"/>
                <w:lang w:val="en-US" w:eastAsia="zh-CN" w:bidi="ar-SA"/>
              </w:rPr>
              <w:t>实验废液</w:t>
            </w:r>
            <w:r>
              <w:rPr>
                <w:rFonts w:hint="default" w:ascii="Times New Roman" w:hAnsi="Times New Roman" w:cs="Times New Roman"/>
                <w:b w:val="0"/>
                <w:color w:val="auto"/>
                <w:kern w:val="2"/>
                <w:sz w:val="21"/>
                <w:szCs w:val="24"/>
                <w:highlight w:val="none"/>
                <w:lang w:val="en-US" w:eastAsia="zh-CN" w:bidi="ar-SA"/>
              </w:rPr>
              <w:t>等</w:t>
            </w:r>
          </w:p>
        </w:tc>
        <w:tc>
          <w:tcPr>
            <w:tcW w:w="868" w:type="dxa"/>
            <w:vMerge w:val="continue"/>
            <w:noWrap w:val="0"/>
            <w:vAlign w:val="center"/>
          </w:tcPr>
          <w:p w14:paraId="343CA769">
            <w:pPr>
              <w:pStyle w:val="24"/>
              <w:bidi w:val="0"/>
              <w:ind w:left="0" w:leftChars="0"/>
              <w:jc w:val="center"/>
              <w:rPr>
                <w:rFonts w:hint="default" w:ascii="Times New Roman" w:hAnsi="Times New Roman" w:cs="Times New Roman"/>
                <w:color w:val="auto"/>
                <w:highlight w:val="none"/>
                <w:lang w:val="en-US" w:eastAsia="zh-CN"/>
              </w:rPr>
            </w:pPr>
          </w:p>
        </w:tc>
        <w:tc>
          <w:tcPr>
            <w:tcW w:w="1539" w:type="dxa"/>
            <w:vMerge w:val="continue"/>
            <w:noWrap w:val="0"/>
            <w:vAlign w:val="center"/>
          </w:tcPr>
          <w:p w14:paraId="18B13DDA">
            <w:pPr>
              <w:pStyle w:val="24"/>
              <w:bidi w:val="0"/>
              <w:ind w:left="0" w:leftChars="0"/>
              <w:jc w:val="center"/>
              <w:rPr>
                <w:rFonts w:hint="default" w:ascii="Times New Roman" w:hAnsi="Times New Roman" w:cs="Times New Roman"/>
                <w:color w:val="auto"/>
                <w:highlight w:val="none"/>
                <w:lang w:val="en-US" w:eastAsia="zh-CN"/>
              </w:rPr>
            </w:pPr>
          </w:p>
        </w:tc>
        <w:tc>
          <w:tcPr>
            <w:tcW w:w="1713" w:type="dxa"/>
            <w:vMerge w:val="continue"/>
            <w:noWrap w:val="0"/>
            <w:vAlign w:val="center"/>
          </w:tcPr>
          <w:p w14:paraId="5640F313">
            <w:pPr>
              <w:pStyle w:val="24"/>
              <w:bidi w:val="0"/>
              <w:ind w:left="0" w:leftChars="0"/>
              <w:jc w:val="center"/>
              <w:rPr>
                <w:rFonts w:hint="default" w:ascii="Times New Roman" w:hAnsi="Times New Roman" w:cs="Times New Roman"/>
                <w:color w:val="auto"/>
                <w:highlight w:val="none"/>
                <w:lang w:val="en-US" w:eastAsia="zh-CN"/>
              </w:rPr>
            </w:pPr>
          </w:p>
        </w:tc>
      </w:tr>
      <w:tr w14:paraId="5E9D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01" w:type="dxa"/>
            <w:noWrap w:val="0"/>
            <w:vAlign w:val="center"/>
          </w:tcPr>
          <w:p w14:paraId="58CEEB19">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7</w:t>
            </w:r>
          </w:p>
        </w:tc>
        <w:tc>
          <w:tcPr>
            <w:tcW w:w="1319" w:type="dxa"/>
            <w:noWrap w:val="0"/>
            <w:vAlign w:val="center"/>
          </w:tcPr>
          <w:p w14:paraId="13BF5F53">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废气处理区</w:t>
            </w:r>
          </w:p>
        </w:tc>
        <w:tc>
          <w:tcPr>
            <w:tcW w:w="1146" w:type="dxa"/>
            <w:noWrap w:val="0"/>
            <w:vAlign w:val="center"/>
          </w:tcPr>
          <w:p w14:paraId="35CB8F2B">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eastAsia" w:cs="Times New Roman"/>
                <w:b w:val="0"/>
                <w:color w:val="auto"/>
                <w:kern w:val="2"/>
                <w:sz w:val="21"/>
                <w:szCs w:val="24"/>
                <w:highlight w:val="none"/>
                <w:lang w:val="en-US" w:eastAsia="zh-CN" w:bidi="ar-SA"/>
              </w:rPr>
              <w:t>废气处理设备</w:t>
            </w:r>
          </w:p>
        </w:tc>
        <w:tc>
          <w:tcPr>
            <w:tcW w:w="2325" w:type="dxa"/>
            <w:noWrap w:val="0"/>
            <w:vAlign w:val="center"/>
          </w:tcPr>
          <w:p w14:paraId="627C27BB">
            <w:pPr>
              <w:pStyle w:val="24"/>
              <w:bidi w:val="0"/>
              <w:ind w:left="0" w:leftChars="0"/>
              <w:jc w:val="center"/>
              <w:rPr>
                <w:rFonts w:hint="default" w:ascii="Times New Roman" w:hAnsi="Times New Roman" w:cs="Times New Roman"/>
                <w:b w:val="0"/>
                <w:color w:val="auto"/>
                <w:kern w:val="2"/>
                <w:sz w:val="21"/>
                <w:szCs w:val="24"/>
                <w:highlight w:val="none"/>
                <w:lang w:val="en-US" w:eastAsia="zh-CN" w:bidi="ar-SA"/>
              </w:rPr>
            </w:pPr>
            <w:r>
              <w:rPr>
                <w:rFonts w:hint="eastAsia" w:cs="Times New Roman"/>
                <w:b w:val="0"/>
                <w:color w:val="auto"/>
                <w:kern w:val="2"/>
                <w:sz w:val="21"/>
                <w:szCs w:val="24"/>
                <w:highlight w:val="none"/>
                <w:lang w:val="en-US" w:eastAsia="zh-CN" w:bidi="ar-SA"/>
              </w:rPr>
              <w:t>废气</w:t>
            </w:r>
          </w:p>
        </w:tc>
        <w:tc>
          <w:tcPr>
            <w:tcW w:w="868" w:type="dxa"/>
            <w:vMerge w:val="continue"/>
            <w:noWrap w:val="0"/>
            <w:vAlign w:val="center"/>
          </w:tcPr>
          <w:p w14:paraId="6F17FBA9">
            <w:pPr>
              <w:pStyle w:val="24"/>
              <w:bidi w:val="0"/>
              <w:ind w:left="0" w:leftChars="0"/>
              <w:jc w:val="center"/>
              <w:rPr>
                <w:rFonts w:hint="default" w:ascii="Times New Roman" w:hAnsi="Times New Roman" w:cs="Times New Roman"/>
                <w:color w:val="auto"/>
                <w:highlight w:val="none"/>
                <w:lang w:val="en-US" w:eastAsia="zh-CN"/>
              </w:rPr>
            </w:pPr>
          </w:p>
        </w:tc>
        <w:tc>
          <w:tcPr>
            <w:tcW w:w="1539" w:type="dxa"/>
            <w:vMerge w:val="continue"/>
            <w:noWrap w:val="0"/>
            <w:vAlign w:val="center"/>
          </w:tcPr>
          <w:p w14:paraId="1987F585">
            <w:pPr>
              <w:pStyle w:val="24"/>
              <w:bidi w:val="0"/>
              <w:ind w:left="0" w:leftChars="0"/>
              <w:jc w:val="center"/>
              <w:rPr>
                <w:rFonts w:hint="default" w:ascii="Times New Roman" w:hAnsi="Times New Roman" w:cs="Times New Roman"/>
                <w:color w:val="auto"/>
                <w:highlight w:val="none"/>
                <w:lang w:val="en-US" w:eastAsia="zh-CN"/>
              </w:rPr>
            </w:pPr>
          </w:p>
        </w:tc>
        <w:tc>
          <w:tcPr>
            <w:tcW w:w="1713" w:type="dxa"/>
            <w:vMerge w:val="continue"/>
            <w:noWrap w:val="0"/>
            <w:vAlign w:val="center"/>
          </w:tcPr>
          <w:p w14:paraId="7B908CDF">
            <w:pPr>
              <w:pStyle w:val="24"/>
              <w:bidi w:val="0"/>
              <w:ind w:left="0" w:leftChars="0"/>
              <w:jc w:val="center"/>
              <w:rPr>
                <w:rFonts w:hint="default" w:ascii="Times New Roman" w:hAnsi="Times New Roman" w:cs="Times New Roman"/>
                <w:color w:val="auto"/>
                <w:highlight w:val="none"/>
                <w:lang w:val="en-US" w:eastAsia="zh-CN"/>
              </w:rPr>
            </w:pPr>
          </w:p>
        </w:tc>
      </w:tr>
    </w:tbl>
    <w:p w14:paraId="4BD51ED3">
      <w:pPr>
        <w:ind w:left="0" w:leftChars="0" w:firstLine="0" w:firstLineChars="0"/>
        <w:jc w:val="center"/>
        <w:rPr>
          <w:rFonts w:hint="default" w:ascii="Times New Roman" w:hAnsi="Times New Roman" w:cs="Times New Roman"/>
          <w:color w:val="auto"/>
          <w:highlight w:val="none"/>
          <w:lang w:val="en-US" w:eastAsia="zh-CN"/>
        </w:rPr>
      </w:pPr>
      <w:r>
        <w:rPr>
          <w:color w:val="auto"/>
        </w:rPr>
        <w:drawing>
          <wp:inline distT="0" distB="0" distL="114300" distR="114300">
            <wp:extent cx="5209540" cy="4546600"/>
            <wp:effectExtent l="0" t="0" r="10160" b="6350"/>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77"/>
                    <a:stretch>
                      <a:fillRect/>
                    </a:stretch>
                  </pic:blipFill>
                  <pic:spPr>
                    <a:xfrm>
                      <a:off x="0" y="0"/>
                      <a:ext cx="5209540" cy="4546600"/>
                    </a:xfrm>
                    <a:prstGeom prst="rect">
                      <a:avLst/>
                    </a:prstGeom>
                    <a:noFill/>
                    <a:ln>
                      <a:noFill/>
                    </a:ln>
                  </pic:spPr>
                </pic:pic>
              </a:graphicData>
            </a:graphic>
          </wp:inline>
        </w:drawing>
      </w:r>
    </w:p>
    <w:p w14:paraId="09A4F03C">
      <w:pPr>
        <w:numPr>
          <w:ilvl w:val="0"/>
          <w:numId w:val="34"/>
        </w:numPr>
        <w:ind w:left="425" w:leftChars="0" w:hanging="425" w:firstLineChars="0"/>
        <w:jc w:val="center"/>
        <w:rPr>
          <w:rFonts w:hint="default" w:ascii="Times New Roman" w:hAnsi="Times New Roman" w:cs="Times New Roman"/>
          <w:color w:val="auto"/>
          <w:highlight w:val="none"/>
          <w:lang w:val="en-US" w:eastAsia="zh-CN"/>
        </w:rPr>
      </w:pPr>
      <w:r>
        <w:rPr>
          <w:rFonts w:hint="eastAsia" w:ascii="Times New Roman" w:hAnsi="Times New Roman" w:eastAsia="黑体" w:cs="Times New Roman"/>
          <w:color w:val="auto"/>
          <w:kern w:val="2"/>
          <w:sz w:val="21"/>
          <w:szCs w:val="21"/>
          <w:highlight w:val="none"/>
          <w:lang w:val="en-US" w:eastAsia="zh-CN" w:bidi="ar-SA"/>
        </w:rPr>
        <w:t>项目危险单元分布图</w:t>
      </w:r>
    </w:p>
    <w:p w14:paraId="2499619A">
      <w:pPr>
        <w:pStyle w:val="3"/>
        <w:bidi w:val="0"/>
        <w:rPr>
          <w:rFonts w:hint="default" w:ascii="Times New Roman" w:hAnsi="Times New Roman" w:cs="Times New Roman"/>
          <w:color w:val="auto"/>
          <w:highlight w:val="none"/>
        </w:rPr>
      </w:pPr>
      <w:r>
        <w:rPr>
          <w:rFonts w:hint="default" w:ascii="Times New Roman" w:hAnsi="Times New Roman" w:eastAsia="黑体" w:cs="Times New Roman"/>
          <w:color w:val="auto"/>
          <w:sz w:val="21"/>
          <w:szCs w:val="21"/>
          <w:highlight w:val="none"/>
          <w:lang w:val="en-US" w:eastAsia="zh-CN"/>
        </w:rPr>
        <w:t xml:space="preserve"> </w:t>
      </w:r>
      <w:bookmarkStart w:id="177" w:name="_Toc1608"/>
      <w:bookmarkStart w:id="178" w:name="_Toc1104"/>
      <w:bookmarkStart w:id="179" w:name="_Toc32691"/>
      <w:r>
        <w:rPr>
          <w:rFonts w:hint="default" w:ascii="Times New Roman" w:hAnsi="Times New Roman" w:cs="Times New Roman"/>
          <w:color w:val="auto"/>
          <w:highlight w:val="none"/>
          <w:lang w:val="en-US" w:eastAsia="zh-CN"/>
        </w:rPr>
        <w:t>风险事故情形分析</w:t>
      </w:r>
      <w:bookmarkEnd w:id="177"/>
      <w:bookmarkEnd w:id="178"/>
      <w:bookmarkEnd w:id="179"/>
    </w:p>
    <w:p w14:paraId="495E662E">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风险事故情形设定</w:t>
      </w:r>
    </w:p>
    <w:p w14:paraId="5FA98FAA">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风险事故情形设定内容</w:t>
      </w:r>
    </w:p>
    <w:p w14:paraId="738D4252">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在风险识别的基础上，选择对环境影响较大并具有代表性的事故类型，设定风险事故情形。风险事故情形设定内容应包括环境风险类型、风险源、危险单元、危险物质和影响途径等。</w:t>
      </w:r>
    </w:p>
    <w:p w14:paraId="7B771A95">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rPr>
        <w:t>风险事故情形设定原则</w:t>
      </w:r>
    </w:p>
    <w:p w14:paraId="4D43DA19">
      <w:pPr>
        <w:pStyle w:val="26"/>
        <w:bidi w:val="0"/>
        <w:rPr>
          <w:rFonts w:hint="default" w:ascii="Times New Roman" w:hAnsi="Times New Roman" w:cs="Times New Roman"/>
          <w:color w:val="auto"/>
        </w:rPr>
      </w:pPr>
      <w:r>
        <w:rPr>
          <w:rFonts w:hint="default" w:ascii="Times New Roman" w:hAnsi="Times New Roman" w:cs="Times New Roman"/>
          <w:color w:val="auto"/>
        </w:rPr>
        <w:t>①同一种危险物质可能有多种环境风险类型。风险事故情形应包括危险物质泄漏</w:t>
      </w:r>
      <w:r>
        <w:rPr>
          <w:rFonts w:hint="default" w:ascii="Times New Roman" w:hAnsi="Times New Roman" w:cs="Times New Roman"/>
          <w:color w:val="auto"/>
          <w:lang w:eastAsia="zh-CN"/>
        </w:rPr>
        <w:t>，</w:t>
      </w:r>
      <w:r>
        <w:rPr>
          <w:rFonts w:hint="default" w:ascii="Times New Roman" w:hAnsi="Times New Roman" w:cs="Times New Roman"/>
          <w:color w:val="auto"/>
        </w:rPr>
        <w:t>以及火灾、爆炸等引发的伴生/次生污染物排放情形。对不同环境要素产生影响的风险事故情形，应分别进行设定。</w:t>
      </w:r>
    </w:p>
    <w:p w14:paraId="76DF11D3">
      <w:pPr>
        <w:pStyle w:val="26"/>
        <w:bidi w:val="0"/>
        <w:rPr>
          <w:rFonts w:hint="default" w:ascii="Times New Roman" w:hAnsi="Times New Roman" w:cs="Times New Roman"/>
          <w:color w:val="auto"/>
        </w:rPr>
      </w:pPr>
      <w:r>
        <w:rPr>
          <w:rFonts w:hint="default" w:ascii="Times New Roman" w:hAnsi="Times New Roman" w:cs="Times New Roman"/>
          <w:color w:val="auto"/>
        </w:rPr>
        <w:t>②对于火灾、爆炸事故，需将事故中未完全燃烧的危险物质在高温下迅速挥发释放至大气，以及燃烧过程中产生的伴生/次生污染物对环境的影响作为风险事故情形设定的内容。</w:t>
      </w:r>
    </w:p>
    <w:p w14:paraId="36061198">
      <w:pPr>
        <w:pStyle w:val="26"/>
        <w:bidi w:val="0"/>
        <w:rPr>
          <w:rFonts w:hint="default" w:ascii="Times New Roman" w:hAnsi="Times New Roman" w:cs="Times New Roman"/>
          <w:color w:val="auto"/>
        </w:rPr>
      </w:pPr>
      <w:r>
        <w:rPr>
          <w:rFonts w:hint="default" w:ascii="Times New Roman" w:hAnsi="Times New Roman" w:cs="Times New Roman"/>
          <w:color w:val="auto"/>
        </w:rPr>
        <w:t>③设定的风险事故情形发生可能性应处于合理的区间，并与经济技术发展水平相适应。一般而言，发生频率小于10</w:t>
      </w:r>
      <w:r>
        <w:rPr>
          <w:rFonts w:hint="default" w:ascii="Times New Roman" w:hAnsi="Times New Roman" w:cs="Times New Roman"/>
          <w:color w:val="auto"/>
          <w:vertAlign w:val="superscript"/>
        </w:rPr>
        <w:t>-6</w:t>
      </w:r>
      <w:r>
        <w:rPr>
          <w:rFonts w:hint="default" w:ascii="Times New Roman" w:hAnsi="Times New Roman" w:cs="Times New Roman"/>
          <w:color w:val="auto"/>
        </w:rPr>
        <w:t>/年的事件是极小概率事件，可作为代表性事故情形中最大可信事故设定的参考。</w:t>
      </w:r>
    </w:p>
    <w:p w14:paraId="3A1EBBFB">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rPr>
        <w:t>④风险事故情形设定的不确定性与筛选。由于事故触发因素具有不确定性，因此事故情形的设定并不能包含全部可能的环境风险，但通过具有代表性的事故情形分析可为风险管理提供科学依据。事故情形的设定应在环境风险识别的基础上筛选，设定的事故情形应具有危险物质、环境危害、影响途径等方面的代表性。</w:t>
      </w:r>
    </w:p>
    <w:p w14:paraId="53AE40A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本项目风险事故情形设定</w:t>
      </w:r>
    </w:p>
    <w:p w14:paraId="71C3AA44">
      <w:pPr>
        <w:pStyle w:val="26"/>
        <w:bidi w:val="0"/>
        <w:rPr>
          <w:rFonts w:hint="default" w:ascii="Times New Roman" w:hAnsi="Times New Roman" w:cs="Times New Roman"/>
          <w:color w:val="auto"/>
        </w:rPr>
      </w:pPr>
      <w:r>
        <w:rPr>
          <w:rFonts w:hint="default" w:ascii="Times New Roman" w:hAnsi="Times New Roman" w:cs="Times New Roman"/>
          <w:color w:val="auto"/>
        </w:rPr>
        <w:t>根据风险识别分析结果，本项目主要的环境风险单元为：</w:t>
      </w:r>
      <w:r>
        <w:rPr>
          <w:rFonts w:hint="default" w:ascii="Times New Roman" w:hAnsi="Times New Roman" w:cs="Times New Roman"/>
          <w:color w:val="auto"/>
          <w:lang w:val="en-US" w:eastAsia="zh-CN"/>
        </w:rPr>
        <w:t>生产车间、罐区、仓库、</w:t>
      </w:r>
      <w:r>
        <w:rPr>
          <w:rFonts w:hint="eastAsia" w:cs="Times New Roman"/>
          <w:color w:val="auto"/>
          <w:lang w:val="en-US" w:eastAsia="zh-CN"/>
        </w:rPr>
        <w:t>质检室、</w:t>
      </w:r>
      <w:r>
        <w:rPr>
          <w:rFonts w:hint="eastAsia" w:cs="Times New Roman"/>
          <w:b w:val="0"/>
          <w:bCs w:val="0"/>
          <w:color w:val="auto"/>
          <w:highlight w:val="none"/>
          <w:lang w:val="en-US" w:eastAsia="zh-CN"/>
        </w:rPr>
        <w:t>危废暂存间</w:t>
      </w:r>
      <w:r>
        <w:rPr>
          <w:rFonts w:hint="default" w:ascii="Times New Roman" w:hAnsi="Times New Roman" w:cs="Times New Roman"/>
          <w:color w:val="auto"/>
          <w:lang w:val="en-US" w:eastAsia="zh-CN"/>
        </w:rPr>
        <w:t>等</w:t>
      </w:r>
      <w:r>
        <w:rPr>
          <w:rFonts w:hint="default" w:ascii="Times New Roman" w:hAnsi="Times New Roman" w:cs="Times New Roman"/>
          <w:color w:val="auto"/>
        </w:rPr>
        <w:t>。风险类型有：泄漏、火灾及爆炸事故。</w:t>
      </w:r>
    </w:p>
    <w:p w14:paraId="4A0D5201">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rPr>
        <w:t>风险事故</w:t>
      </w:r>
      <w:r>
        <w:rPr>
          <w:rFonts w:hint="default" w:ascii="Times New Roman" w:hAnsi="Times New Roman" w:cs="Times New Roman"/>
          <w:color w:val="auto"/>
          <w:lang w:val="en-US" w:eastAsia="zh-CN"/>
        </w:rPr>
        <w:t>发生概率</w:t>
      </w:r>
    </w:p>
    <w:p w14:paraId="2CDFA40C">
      <w:pPr>
        <w:pStyle w:val="26"/>
        <w:bidi w:val="0"/>
        <w:rPr>
          <w:rFonts w:hint="default" w:ascii="Times New Roman" w:hAnsi="Times New Roman" w:cs="Times New Roman"/>
          <w:color w:val="auto"/>
        </w:rPr>
      </w:pPr>
      <w:r>
        <w:rPr>
          <w:rFonts w:hint="default" w:ascii="Times New Roman" w:hAnsi="Times New Roman" w:cs="Times New Roman"/>
          <w:color w:val="auto"/>
        </w:rPr>
        <w:t>项目生产装置、储罐均为危险物质的主要存在区，发生风险事故的概率较高。因此，综合考虑事故发生概率、危险品特点、环境危害、影响途径等方面的代表性，确定</w:t>
      </w:r>
      <w:r>
        <w:rPr>
          <w:rFonts w:hint="default" w:ascii="Times New Roman" w:hAnsi="Times New Roman" w:cs="Times New Roman"/>
          <w:color w:val="auto"/>
          <w:lang w:val="en-US" w:eastAsia="zh-CN"/>
        </w:rPr>
        <w:t>本项目</w:t>
      </w:r>
      <w:r>
        <w:rPr>
          <w:rFonts w:hint="default" w:ascii="Times New Roman" w:hAnsi="Times New Roman" w:cs="Times New Roman"/>
          <w:color w:val="auto"/>
        </w:rPr>
        <w:t>最大可信事故为：</w:t>
      </w:r>
      <w:r>
        <w:rPr>
          <w:rFonts w:hint="default" w:ascii="Times New Roman" w:hAnsi="Times New Roman" w:cs="Times New Roman"/>
          <w:color w:val="auto"/>
          <w:lang w:val="en-US" w:eastAsia="zh-CN"/>
        </w:rPr>
        <w:t>储罐</w:t>
      </w:r>
      <w:r>
        <w:rPr>
          <w:rFonts w:hint="default" w:ascii="Times New Roman" w:hAnsi="Times New Roman" w:cs="Times New Roman"/>
          <w:color w:val="auto"/>
        </w:rPr>
        <w:t>泄漏事故</w:t>
      </w:r>
      <w:r>
        <w:rPr>
          <w:rFonts w:hint="default" w:ascii="Times New Roman" w:hAnsi="Times New Roman" w:cs="Times New Roman"/>
          <w:color w:val="auto"/>
          <w:lang w:val="en-US" w:eastAsia="zh-CN"/>
        </w:rPr>
        <w:t>及火灾事故</w:t>
      </w:r>
      <w:r>
        <w:rPr>
          <w:rFonts w:hint="default" w:ascii="Times New Roman" w:hAnsi="Times New Roman" w:cs="Times New Roman"/>
          <w:color w:val="auto"/>
        </w:rPr>
        <w:t>。</w:t>
      </w:r>
    </w:p>
    <w:p w14:paraId="1CB37596">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参照《建设项目环境风险评价技术导则》（HJ169</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2018）附录E，泄漏事故类型如容器、管道、泵体、压缩机、装卸臂和装卸软管的泄漏和破裂等，泄漏频率详见下表</w:t>
      </w:r>
      <w:r>
        <w:rPr>
          <w:rFonts w:hint="default" w:ascii="Times New Roman" w:hAnsi="Times New Roman" w:cs="Times New Roman"/>
          <w:color w:val="auto"/>
          <w:highlight w:val="none"/>
          <w:lang w:eastAsia="zh-CN"/>
        </w:rPr>
        <w:t>。</w:t>
      </w:r>
    </w:p>
    <w:p w14:paraId="2F0ABE5F">
      <w:pPr>
        <w:pStyle w:val="28"/>
        <w:numPr>
          <w:ilvl w:val="0"/>
          <w:numId w:val="0"/>
        </w:numPr>
        <w:bidi w:val="0"/>
        <w:ind w:leftChars="0"/>
        <w:jc w:val="both"/>
        <w:rPr>
          <w:rFonts w:hint="default" w:ascii="Times New Roman" w:hAnsi="Times New Roman" w:cs="Times New Roman"/>
          <w:color w:val="auto"/>
          <w:highlight w:val="none"/>
        </w:rPr>
      </w:pPr>
    </w:p>
    <w:p w14:paraId="581AF406">
      <w:pPr>
        <w:pStyle w:val="28"/>
        <w:numPr>
          <w:ilvl w:val="0"/>
          <w:numId w:val="35"/>
        </w:numPr>
        <w:bidi w:val="0"/>
        <w:ind w:left="425" w:leftChars="0" w:hanging="425"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泄漏频率表</w:t>
      </w:r>
    </w:p>
    <w:tbl>
      <w:tblPr>
        <w:tblStyle w:val="20"/>
        <w:tblW w:w="501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32"/>
        <w:gridCol w:w="4665"/>
        <w:gridCol w:w="2139"/>
      </w:tblGrid>
      <w:tr w14:paraId="75071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1078BF3E">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部件类型</w:t>
            </w:r>
          </w:p>
        </w:tc>
        <w:tc>
          <w:tcPr>
            <w:tcW w:w="2498" w:type="pct"/>
            <w:tcBorders>
              <w:tl2br w:val="nil"/>
              <w:tr2bl w:val="nil"/>
            </w:tcBorders>
            <w:noWrap w:val="0"/>
            <w:vAlign w:val="center"/>
          </w:tcPr>
          <w:p w14:paraId="1930E989">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泄漏模式</w:t>
            </w:r>
          </w:p>
        </w:tc>
        <w:tc>
          <w:tcPr>
            <w:tcW w:w="1145" w:type="pct"/>
            <w:tcBorders>
              <w:tl2br w:val="nil"/>
              <w:tr2bl w:val="nil"/>
            </w:tcBorders>
            <w:noWrap w:val="0"/>
            <w:vAlign w:val="center"/>
          </w:tcPr>
          <w:p w14:paraId="40B4980B">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泄漏频率</w:t>
            </w:r>
          </w:p>
        </w:tc>
      </w:tr>
      <w:tr w14:paraId="0287D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6FDF2EE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反应器/工艺储罐/气体储罐/塔器</w:t>
            </w:r>
          </w:p>
        </w:tc>
        <w:tc>
          <w:tcPr>
            <w:tcW w:w="2498" w:type="pct"/>
            <w:tcBorders>
              <w:tl2br w:val="nil"/>
              <w:tr2bl w:val="nil"/>
            </w:tcBorders>
            <w:noWrap w:val="0"/>
            <w:vAlign w:val="center"/>
          </w:tcPr>
          <w:p w14:paraId="6B30F56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泄漏孔径为10mm孔径</w:t>
            </w:r>
          </w:p>
          <w:p w14:paraId="048DEAB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10min内储罐泄漏完</w:t>
            </w:r>
          </w:p>
          <w:p w14:paraId="520EA52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储罐全破裂</w:t>
            </w:r>
          </w:p>
        </w:tc>
        <w:tc>
          <w:tcPr>
            <w:tcW w:w="1145" w:type="pct"/>
            <w:tcBorders>
              <w:tl2br w:val="nil"/>
              <w:tr2bl w:val="nil"/>
            </w:tcBorders>
            <w:noWrap w:val="0"/>
            <w:vAlign w:val="center"/>
          </w:tcPr>
          <w:p w14:paraId="0ED1316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-4</w:t>
            </w:r>
            <w:r>
              <w:rPr>
                <w:rFonts w:hint="default" w:ascii="Times New Roman" w:hAnsi="Times New Roman" w:cs="Times New Roman"/>
                <w:color w:val="auto"/>
                <w:highlight w:val="none"/>
              </w:rPr>
              <w:t xml:space="preserve"> /a</w:t>
            </w:r>
          </w:p>
          <w:p w14:paraId="04DCDEA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/a</w:t>
            </w:r>
          </w:p>
          <w:p w14:paraId="28FA024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/a</w:t>
            </w:r>
          </w:p>
        </w:tc>
      </w:tr>
      <w:tr w14:paraId="785F7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6A9150C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常压单包容储罐</w:t>
            </w:r>
          </w:p>
        </w:tc>
        <w:tc>
          <w:tcPr>
            <w:tcW w:w="2498" w:type="pct"/>
            <w:tcBorders>
              <w:tl2br w:val="nil"/>
              <w:tr2bl w:val="nil"/>
            </w:tcBorders>
            <w:noWrap w:val="0"/>
            <w:vAlign w:val="center"/>
          </w:tcPr>
          <w:p w14:paraId="6797B07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泄漏孔径为10mm孔径</w:t>
            </w:r>
          </w:p>
          <w:p w14:paraId="74030FE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10min内储罐泄漏完</w:t>
            </w:r>
          </w:p>
          <w:p w14:paraId="32AB0B5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储罐全破裂</w:t>
            </w:r>
          </w:p>
        </w:tc>
        <w:tc>
          <w:tcPr>
            <w:tcW w:w="1145" w:type="pct"/>
            <w:tcBorders>
              <w:tl2br w:val="nil"/>
              <w:tr2bl w:val="nil"/>
            </w:tcBorders>
            <w:noWrap w:val="0"/>
            <w:vAlign w:val="center"/>
          </w:tcPr>
          <w:p w14:paraId="0F8E7A8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-4</w:t>
            </w:r>
            <w:r>
              <w:rPr>
                <w:rFonts w:hint="default" w:ascii="Times New Roman" w:hAnsi="Times New Roman" w:cs="Times New Roman"/>
                <w:color w:val="auto"/>
                <w:highlight w:val="none"/>
              </w:rPr>
              <w:t xml:space="preserve"> /a</w:t>
            </w:r>
          </w:p>
          <w:p w14:paraId="2B4A5B2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/a</w:t>
            </w:r>
          </w:p>
          <w:p w14:paraId="0A31D42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a</w:t>
            </w:r>
          </w:p>
        </w:tc>
      </w:tr>
      <w:tr w14:paraId="480F3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1108DF6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常压双包容储罐</w:t>
            </w:r>
          </w:p>
        </w:tc>
        <w:tc>
          <w:tcPr>
            <w:tcW w:w="2498" w:type="pct"/>
            <w:tcBorders>
              <w:tl2br w:val="nil"/>
              <w:tr2bl w:val="nil"/>
            </w:tcBorders>
            <w:noWrap w:val="0"/>
            <w:vAlign w:val="center"/>
          </w:tcPr>
          <w:p w14:paraId="74B677C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泄漏孔径为10mm孔径</w:t>
            </w:r>
          </w:p>
          <w:p w14:paraId="20B8896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10min内储罐泄漏完</w:t>
            </w:r>
          </w:p>
          <w:p w14:paraId="1326E3D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储罐全破裂</w:t>
            </w:r>
          </w:p>
        </w:tc>
        <w:tc>
          <w:tcPr>
            <w:tcW w:w="1145" w:type="pct"/>
            <w:tcBorders>
              <w:tl2br w:val="nil"/>
              <w:tr2bl w:val="nil"/>
            </w:tcBorders>
            <w:noWrap w:val="0"/>
            <w:vAlign w:val="center"/>
          </w:tcPr>
          <w:p w14:paraId="370CC3C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-4</w:t>
            </w:r>
            <w:r>
              <w:rPr>
                <w:rFonts w:hint="default" w:ascii="Times New Roman" w:hAnsi="Times New Roman" w:cs="Times New Roman"/>
                <w:color w:val="auto"/>
                <w:highlight w:val="none"/>
              </w:rPr>
              <w:t xml:space="preserve"> /a</w:t>
            </w:r>
          </w:p>
          <w:p w14:paraId="7322D3C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1.25×10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 xml:space="preserve"> /a</w:t>
            </w:r>
          </w:p>
          <w:p w14:paraId="2D4998F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1.25×10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 xml:space="preserve"> /a</w:t>
            </w:r>
          </w:p>
        </w:tc>
      </w:tr>
      <w:tr w14:paraId="3F25D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24E6A62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常压全包容储罐</w:t>
            </w:r>
          </w:p>
        </w:tc>
        <w:tc>
          <w:tcPr>
            <w:tcW w:w="2498" w:type="pct"/>
            <w:tcBorders>
              <w:tl2br w:val="nil"/>
              <w:tr2bl w:val="nil"/>
            </w:tcBorders>
            <w:noWrap w:val="0"/>
            <w:vAlign w:val="center"/>
          </w:tcPr>
          <w:p w14:paraId="44B11F6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储罐全破裂</w:t>
            </w:r>
          </w:p>
        </w:tc>
        <w:tc>
          <w:tcPr>
            <w:tcW w:w="1145" w:type="pct"/>
            <w:tcBorders>
              <w:tl2br w:val="nil"/>
              <w:tr2bl w:val="nil"/>
            </w:tcBorders>
            <w:noWrap w:val="0"/>
            <w:vAlign w:val="center"/>
          </w:tcPr>
          <w:p w14:paraId="21CAF0D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 xml:space="preserve"> /a</w:t>
            </w:r>
          </w:p>
        </w:tc>
      </w:tr>
      <w:tr w14:paraId="1C84B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44BF561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内径≤75mm的管道</w:t>
            </w:r>
          </w:p>
        </w:tc>
        <w:tc>
          <w:tcPr>
            <w:tcW w:w="2498" w:type="pct"/>
            <w:tcBorders>
              <w:tl2br w:val="nil"/>
              <w:tr2bl w:val="nil"/>
            </w:tcBorders>
            <w:noWrap w:val="0"/>
            <w:vAlign w:val="center"/>
          </w:tcPr>
          <w:p w14:paraId="2680622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泄漏孔径为10%孔径</w:t>
            </w:r>
          </w:p>
          <w:p w14:paraId="6422578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全管径泄漏</w:t>
            </w:r>
          </w:p>
        </w:tc>
        <w:tc>
          <w:tcPr>
            <w:tcW w:w="1145" w:type="pct"/>
            <w:tcBorders>
              <w:tl2br w:val="nil"/>
              <w:tr2bl w:val="nil"/>
            </w:tcBorders>
            <w:noWrap w:val="0"/>
            <w:vAlign w:val="center"/>
          </w:tcPr>
          <w:p w14:paraId="6004287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/（m·a）</w:t>
            </w:r>
          </w:p>
          <w:p w14:paraId="70BA455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/（m·a）</w:t>
            </w:r>
          </w:p>
        </w:tc>
      </w:tr>
      <w:tr w14:paraId="17D66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1E9379A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75mm＜内径≤150mm的管道</w:t>
            </w:r>
          </w:p>
        </w:tc>
        <w:tc>
          <w:tcPr>
            <w:tcW w:w="2498" w:type="pct"/>
            <w:tcBorders>
              <w:tl2br w:val="nil"/>
              <w:tr2bl w:val="nil"/>
            </w:tcBorders>
            <w:noWrap w:val="0"/>
            <w:vAlign w:val="center"/>
          </w:tcPr>
          <w:p w14:paraId="0473235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泄漏孔径为10%孔径</w:t>
            </w:r>
          </w:p>
          <w:p w14:paraId="20FEDAC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全管径泄漏</w:t>
            </w:r>
          </w:p>
        </w:tc>
        <w:tc>
          <w:tcPr>
            <w:tcW w:w="1145" w:type="pct"/>
            <w:tcBorders>
              <w:tl2br w:val="nil"/>
              <w:tr2bl w:val="nil"/>
            </w:tcBorders>
            <w:noWrap w:val="0"/>
            <w:vAlign w:val="center"/>
          </w:tcPr>
          <w:p w14:paraId="133B9A1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/（m·a）</w:t>
            </w:r>
          </w:p>
          <w:p w14:paraId="10A01E4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3.00×10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 xml:space="preserve"> /（m·a）</w:t>
            </w:r>
          </w:p>
        </w:tc>
      </w:tr>
      <w:tr w14:paraId="1A4B4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7BFBF12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内径＞150mm的管道</w:t>
            </w:r>
          </w:p>
        </w:tc>
        <w:tc>
          <w:tcPr>
            <w:tcW w:w="2498" w:type="pct"/>
            <w:tcBorders>
              <w:tl2br w:val="nil"/>
              <w:tr2bl w:val="nil"/>
            </w:tcBorders>
            <w:noWrap w:val="0"/>
            <w:vAlign w:val="center"/>
          </w:tcPr>
          <w:p w14:paraId="5ACB648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泄漏孔径为10%</w:t>
            </w:r>
          </w:p>
          <w:p w14:paraId="20CD346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孔径（最大50mm）全管径泄漏</w:t>
            </w:r>
          </w:p>
        </w:tc>
        <w:tc>
          <w:tcPr>
            <w:tcW w:w="1145" w:type="pct"/>
            <w:tcBorders>
              <w:tl2br w:val="nil"/>
              <w:tr2bl w:val="nil"/>
            </w:tcBorders>
            <w:noWrap w:val="0"/>
            <w:vAlign w:val="center"/>
          </w:tcPr>
          <w:p w14:paraId="0B8A682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2.40×10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 xml:space="preserve"> /（m·a）*</w:t>
            </w:r>
          </w:p>
          <w:p w14:paraId="4B2196E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 xml:space="preserve"> /（m·a）</w:t>
            </w:r>
          </w:p>
        </w:tc>
      </w:tr>
      <w:tr w14:paraId="1FC9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3014648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泵体和压缩机</w:t>
            </w:r>
          </w:p>
        </w:tc>
        <w:tc>
          <w:tcPr>
            <w:tcW w:w="2498" w:type="pct"/>
            <w:tcBorders>
              <w:tl2br w:val="nil"/>
              <w:tr2bl w:val="nil"/>
            </w:tcBorders>
            <w:noWrap w:val="0"/>
            <w:vAlign w:val="center"/>
          </w:tcPr>
          <w:p w14:paraId="1C814B3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泵体和压缩机最大连接管泄漏孔径为10%孔径（最大50mm）泵体和压缩机最大连接管全管径泄漏</w:t>
            </w:r>
          </w:p>
        </w:tc>
        <w:tc>
          <w:tcPr>
            <w:tcW w:w="1145" w:type="pct"/>
            <w:tcBorders>
              <w:tl2br w:val="nil"/>
              <w:tr2bl w:val="nil"/>
            </w:tcBorders>
            <w:noWrap w:val="0"/>
            <w:vAlign w:val="center"/>
          </w:tcPr>
          <w:p w14:paraId="2BC35E1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5.00×10</w:t>
            </w:r>
            <w:r>
              <w:rPr>
                <w:rFonts w:hint="default" w:ascii="Times New Roman" w:hAnsi="Times New Roman" w:cs="Times New Roman"/>
                <w:color w:val="auto"/>
                <w:highlight w:val="none"/>
                <w:vertAlign w:val="superscript"/>
              </w:rPr>
              <w:t>-4</w:t>
            </w:r>
            <w:r>
              <w:rPr>
                <w:rFonts w:hint="default" w:ascii="Times New Roman" w:hAnsi="Times New Roman" w:cs="Times New Roman"/>
                <w:color w:val="auto"/>
                <w:highlight w:val="none"/>
              </w:rPr>
              <w:t xml:space="preserve"> /a</w:t>
            </w:r>
          </w:p>
          <w:p w14:paraId="1F89C79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-4</w:t>
            </w:r>
            <w:r>
              <w:rPr>
                <w:rFonts w:hint="default" w:ascii="Times New Roman" w:hAnsi="Times New Roman" w:cs="Times New Roman"/>
                <w:color w:val="auto"/>
                <w:highlight w:val="none"/>
              </w:rPr>
              <w:t xml:space="preserve"> /a</w:t>
            </w:r>
          </w:p>
        </w:tc>
      </w:tr>
      <w:tr w14:paraId="7DB9F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5167459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装卸臂</w:t>
            </w:r>
          </w:p>
        </w:tc>
        <w:tc>
          <w:tcPr>
            <w:tcW w:w="2498" w:type="pct"/>
            <w:tcBorders>
              <w:tl2br w:val="nil"/>
              <w:tr2bl w:val="nil"/>
            </w:tcBorders>
            <w:noWrap w:val="0"/>
            <w:vAlign w:val="center"/>
          </w:tcPr>
          <w:p w14:paraId="7CA372A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装卸臂连接管泄漏孔径为10%孔径（最大50mm）</w:t>
            </w:r>
          </w:p>
          <w:p w14:paraId="151EA5F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装卸臂全管径泄漏</w:t>
            </w:r>
          </w:p>
        </w:tc>
        <w:tc>
          <w:tcPr>
            <w:tcW w:w="1145" w:type="pct"/>
            <w:tcBorders>
              <w:tl2br w:val="nil"/>
              <w:tr2bl w:val="nil"/>
            </w:tcBorders>
            <w:noWrap w:val="0"/>
            <w:vAlign w:val="center"/>
          </w:tcPr>
          <w:p w14:paraId="17773B9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3.00×10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 xml:space="preserve"> /h</w:t>
            </w:r>
          </w:p>
          <w:p w14:paraId="6EE1541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3.00×10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 xml:space="preserve"> /h</w:t>
            </w:r>
          </w:p>
        </w:tc>
      </w:tr>
      <w:tr w14:paraId="5464F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56" w:type="pct"/>
            <w:tcBorders>
              <w:tl2br w:val="nil"/>
              <w:tr2bl w:val="nil"/>
            </w:tcBorders>
            <w:noWrap w:val="0"/>
            <w:vAlign w:val="center"/>
          </w:tcPr>
          <w:p w14:paraId="02EA6C7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装卸软管</w:t>
            </w:r>
          </w:p>
        </w:tc>
        <w:tc>
          <w:tcPr>
            <w:tcW w:w="2498" w:type="pct"/>
            <w:tcBorders>
              <w:tl2br w:val="nil"/>
              <w:tr2bl w:val="nil"/>
            </w:tcBorders>
            <w:noWrap w:val="0"/>
            <w:vAlign w:val="center"/>
          </w:tcPr>
          <w:p w14:paraId="1D2318F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装卸软管连接管泄漏孔径为10%孔径（最大50mm）</w:t>
            </w:r>
          </w:p>
          <w:p w14:paraId="429A852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装卸软管全管径泄漏</w:t>
            </w:r>
          </w:p>
        </w:tc>
        <w:tc>
          <w:tcPr>
            <w:tcW w:w="1145" w:type="pct"/>
            <w:tcBorders>
              <w:tl2br w:val="nil"/>
              <w:tr2bl w:val="nil"/>
            </w:tcBorders>
            <w:noWrap w:val="0"/>
            <w:vAlign w:val="center"/>
          </w:tcPr>
          <w:p w14:paraId="27286D9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4.00×10</w:t>
            </w:r>
            <w:r>
              <w:rPr>
                <w:rFonts w:hint="default" w:ascii="Times New Roman" w:hAnsi="Times New Roman" w:cs="Times New Roman"/>
                <w:color w:val="auto"/>
                <w:highlight w:val="none"/>
                <w:vertAlign w:val="superscript"/>
              </w:rPr>
              <w:t>-5</w:t>
            </w:r>
            <w:r>
              <w:rPr>
                <w:rFonts w:hint="default" w:ascii="Times New Roman" w:hAnsi="Times New Roman" w:cs="Times New Roman"/>
                <w:color w:val="auto"/>
                <w:highlight w:val="none"/>
              </w:rPr>
              <w:t xml:space="preserve"> /h</w:t>
            </w:r>
          </w:p>
          <w:p w14:paraId="69977C9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4.00×10</w:t>
            </w:r>
            <w:r>
              <w:rPr>
                <w:rFonts w:hint="default" w:ascii="Times New Roman" w:hAnsi="Times New Roman" w:cs="Times New Roman"/>
                <w:color w:val="auto"/>
                <w:highlight w:val="none"/>
                <w:vertAlign w:val="superscript"/>
              </w:rPr>
              <w:t>-6</w:t>
            </w:r>
            <w:r>
              <w:rPr>
                <w:rFonts w:hint="default" w:ascii="Times New Roman" w:hAnsi="Times New Roman" w:cs="Times New Roman"/>
                <w:color w:val="auto"/>
                <w:highlight w:val="none"/>
              </w:rPr>
              <w:t>/h</w:t>
            </w:r>
          </w:p>
        </w:tc>
      </w:tr>
    </w:tbl>
    <w:p w14:paraId="7E368EB2">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同时，收集查阅并参照化工企业典型风险事故概率相关资料，本项目可能涉及的事故情况及发生概率如下表</w:t>
      </w:r>
      <w:r>
        <w:rPr>
          <w:rFonts w:hint="default" w:ascii="Times New Roman" w:hAnsi="Times New Roman" w:cs="Times New Roman"/>
          <w:color w:val="auto"/>
          <w:highlight w:val="none"/>
          <w:lang w:eastAsia="zh-CN"/>
        </w:rPr>
        <w:t>。</w:t>
      </w:r>
    </w:p>
    <w:p w14:paraId="5ABEF9A5">
      <w:pPr>
        <w:pStyle w:val="28"/>
        <w:numPr>
          <w:ilvl w:val="0"/>
          <w:numId w:val="35"/>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化工企业主要事故情况及发生概率</w:t>
      </w:r>
    </w:p>
    <w:tbl>
      <w:tblPr>
        <w:tblStyle w:val="20"/>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4766"/>
        <w:gridCol w:w="2383"/>
        <w:gridCol w:w="2159"/>
      </w:tblGrid>
      <w:tr w14:paraId="0D0849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2560" w:type="pct"/>
            <w:tcBorders>
              <w:top w:val="single" w:color="000000" w:sz="4" w:space="0"/>
              <w:left w:val="single" w:color="000000" w:sz="4" w:space="0"/>
            </w:tcBorders>
            <w:noWrap w:val="0"/>
            <w:vAlign w:val="center"/>
          </w:tcPr>
          <w:p w14:paraId="768A900D">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事故类型</w:t>
            </w:r>
          </w:p>
        </w:tc>
        <w:tc>
          <w:tcPr>
            <w:tcW w:w="1280" w:type="pct"/>
            <w:tcBorders>
              <w:top w:val="single" w:color="000000" w:sz="4" w:space="0"/>
            </w:tcBorders>
            <w:noWrap w:val="0"/>
            <w:vAlign w:val="center"/>
          </w:tcPr>
          <w:p w14:paraId="60357128">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发生概率（次/年）</w:t>
            </w:r>
          </w:p>
        </w:tc>
        <w:tc>
          <w:tcPr>
            <w:tcW w:w="1160" w:type="pct"/>
            <w:tcBorders>
              <w:top w:val="single" w:color="000000" w:sz="4" w:space="0"/>
              <w:right w:val="single" w:color="000000" w:sz="4" w:space="0"/>
            </w:tcBorders>
            <w:noWrap w:val="0"/>
            <w:vAlign w:val="center"/>
          </w:tcPr>
          <w:p w14:paraId="27E37FA5">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发生频率</w:t>
            </w:r>
          </w:p>
        </w:tc>
      </w:tr>
      <w:tr w14:paraId="3124E1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60" w:type="pct"/>
            <w:tcBorders>
              <w:left w:val="single" w:color="000000" w:sz="4" w:space="0"/>
            </w:tcBorders>
            <w:noWrap w:val="0"/>
            <w:vAlign w:val="center"/>
          </w:tcPr>
          <w:p w14:paraId="4112EB5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管道、输送泵、槽车等损坏泄漏</w:t>
            </w:r>
          </w:p>
        </w:tc>
        <w:tc>
          <w:tcPr>
            <w:tcW w:w="1280" w:type="pct"/>
            <w:noWrap w:val="0"/>
            <w:vAlign w:val="center"/>
          </w:tcPr>
          <w:p w14:paraId="2C61A22C">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-1</w:t>
            </w:r>
          </w:p>
        </w:tc>
        <w:tc>
          <w:tcPr>
            <w:tcW w:w="1160" w:type="pct"/>
            <w:tcBorders>
              <w:right w:val="single" w:color="000000" w:sz="4" w:space="0"/>
            </w:tcBorders>
            <w:noWrap w:val="0"/>
            <w:vAlign w:val="center"/>
          </w:tcPr>
          <w:p w14:paraId="63F92FEA">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可能发生</w:t>
            </w:r>
          </w:p>
        </w:tc>
      </w:tr>
      <w:tr w14:paraId="4F0187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60" w:type="pct"/>
            <w:tcBorders>
              <w:left w:val="single" w:color="000000" w:sz="4" w:space="0"/>
            </w:tcBorders>
            <w:noWrap w:val="0"/>
            <w:vAlign w:val="center"/>
          </w:tcPr>
          <w:p w14:paraId="458F988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管道、贮槽、反应釜等破损泄漏</w:t>
            </w:r>
          </w:p>
        </w:tc>
        <w:tc>
          <w:tcPr>
            <w:tcW w:w="1280" w:type="pct"/>
            <w:noWrap w:val="0"/>
            <w:vAlign w:val="center"/>
          </w:tcPr>
          <w:p w14:paraId="41B7E669">
            <w:pPr>
              <w:pStyle w:val="24"/>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-2</w:t>
            </w:r>
          </w:p>
        </w:tc>
        <w:tc>
          <w:tcPr>
            <w:tcW w:w="1160" w:type="pct"/>
            <w:tcBorders>
              <w:right w:val="single" w:color="000000" w:sz="4" w:space="0"/>
            </w:tcBorders>
            <w:noWrap w:val="0"/>
            <w:vAlign w:val="center"/>
          </w:tcPr>
          <w:p w14:paraId="575AF28C">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偶尔发生</w:t>
            </w:r>
          </w:p>
        </w:tc>
      </w:tr>
      <w:tr w14:paraId="780CB9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60" w:type="pct"/>
            <w:tcBorders>
              <w:left w:val="single" w:color="000000" w:sz="4" w:space="0"/>
            </w:tcBorders>
            <w:noWrap w:val="0"/>
            <w:vAlign w:val="center"/>
          </w:tcPr>
          <w:p w14:paraId="01645B5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管线、阀门、贮槽等严重泄漏</w:t>
            </w:r>
          </w:p>
        </w:tc>
        <w:tc>
          <w:tcPr>
            <w:tcW w:w="1280" w:type="pct"/>
            <w:noWrap w:val="0"/>
            <w:vAlign w:val="center"/>
          </w:tcPr>
          <w:p w14:paraId="7DC6B8A2">
            <w:pPr>
              <w:pStyle w:val="24"/>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-3</w:t>
            </w:r>
          </w:p>
        </w:tc>
        <w:tc>
          <w:tcPr>
            <w:tcW w:w="1160" w:type="pct"/>
            <w:tcBorders>
              <w:right w:val="single" w:color="000000" w:sz="4" w:space="0"/>
            </w:tcBorders>
            <w:noWrap w:val="0"/>
            <w:vAlign w:val="center"/>
          </w:tcPr>
          <w:p w14:paraId="6154844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偶尔发生</w:t>
            </w:r>
          </w:p>
        </w:tc>
      </w:tr>
      <w:tr w14:paraId="349415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60" w:type="pct"/>
            <w:tcBorders>
              <w:left w:val="single" w:color="000000" w:sz="4" w:space="0"/>
            </w:tcBorders>
            <w:noWrap w:val="0"/>
            <w:vAlign w:val="center"/>
          </w:tcPr>
          <w:p w14:paraId="06C0F99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贮槽等出现重大爆炸、爆裂</w:t>
            </w:r>
          </w:p>
        </w:tc>
        <w:tc>
          <w:tcPr>
            <w:tcW w:w="1280" w:type="pct"/>
            <w:noWrap w:val="0"/>
            <w:vAlign w:val="center"/>
          </w:tcPr>
          <w:p w14:paraId="79A52CC1">
            <w:pPr>
              <w:pStyle w:val="24"/>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-4</w:t>
            </w:r>
          </w:p>
        </w:tc>
        <w:tc>
          <w:tcPr>
            <w:tcW w:w="1160" w:type="pct"/>
            <w:tcBorders>
              <w:right w:val="single" w:color="000000" w:sz="4" w:space="0"/>
            </w:tcBorders>
            <w:noWrap w:val="0"/>
            <w:vAlign w:val="center"/>
          </w:tcPr>
          <w:p w14:paraId="26559518">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极少发生</w:t>
            </w:r>
          </w:p>
        </w:tc>
      </w:tr>
      <w:tr w14:paraId="432612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60" w:type="pct"/>
            <w:tcBorders>
              <w:left w:val="single" w:color="000000" w:sz="4" w:space="0"/>
              <w:bottom w:val="single" w:color="000000" w:sz="4" w:space="0"/>
            </w:tcBorders>
            <w:noWrap w:val="0"/>
            <w:vAlign w:val="center"/>
          </w:tcPr>
          <w:p w14:paraId="6098CD9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重大自然灾害事故</w:t>
            </w:r>
          </w:p>
        </w:tc>
        <w:tc>
          <w:tcPr>
            <w:tcW w:w="1280" w:type="pct"/>
            <w:tcBorders>
              <w:bottom w:val="single" w:color="000000" w:sz="4" w:space="0"/>
            </w:tcBorders>
            <w:noWrap w:val="0"/>
            <w:vAlign w:val="center"/>
          </w:tcPr>
          <w:p w14:paraId="71120967">
            <w:pPr>
              <w:pStyle w:val="24"/>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-5</w:t>
            </w: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-6</w:t>
            </w:r>
          </w:p>
        </w:tc>
        <w:tc>
          <w:tcPr>
            <w:tcW w:w="1160" w:type="pct"/>
            <w:tcBorders>
              <w:bottom w:val="single" w:color="000000" w:sz="4" w:space="0"/>
              <w:right w:val="single" w:color="000000" w:sz="4" w:space="0"/>
            </w:tcBorders>
            <w:noWrap w:val="0"/>
            <w:vAlign w:val="center"/>
          </w:tcPr>
          <w:p w14:paraId="3F562452">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很难发生</w:t>
            </w:r>
          </w:p>
        </w:tc>
      </w:tr>
    </w:tbl>
    <w:p w14:paraId="1E84A9AE">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w:t>
      </w:r>
      <w:r>
        <w:rPr>
          <w:rFonts w:hint="default" w:ascii="Times New Roman" w:hAnsi="Times New Roman" w:cs="Times New Roman"/>
          <w:color w:val="auto"/>
        </w:rPr>
        <w:t>风险事故</w:t>
      </w:r>
      <w:r>
        <w:rPr>
          <w:rFonts w:hint="default" w:ascii="Times New Roman" w:hAnsi="Times New Roman" w:cs="Times New Roman"/>
          <w:color w:val="auto"/>
          <w:lang w:val="en-US" w:eastAsia="zh-CN"/>
        </w:rPr>
        <w:t>案例</w:t>
      </w:r>
    </w:p>
    <w:p w14:paraId="0D33AE82">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事故案例1：</w:t>
      </w:r>
      <w:r>
        <w:rPr>
          <w:rFonts w:hint="default" w:ascii="Times New Roman" w:hAnsi="Times New Roman" w:eastAsia="宋体" w:cs="Times New Roman"/>
          <w:color w:val="auto"/>
          <w:sz w:val="24"/>
          <w:szCs w:val="24"/>
        </w:rPr>
        <w:t>2010年12月30日，某制药公司制剂干燥车间发生爆炸起火，造成5人死亡，6人重伤。</w:t>
      </w:r>
    </w:p>
    <w:p w14:paraId="4C78B43A">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（1）事故经过</w:t>
      </w:r>
    </w:p>
    <w:p w14:paraId="5988459C">
      <w:pPr>
        <w:pStyle w:val="26"/>
        <w:bidi w:val="0"/>
        <w:ind w:left="0" w:leftChars="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于检修空调过滤器，导致净化后的空气无法进入车间，同时，操作过程中存在边制粒，边干燥的情况，烘箱内循环热气流使粒料中的水分和乙醇蒸发，排湿口排出水分和乙醇蒸气的效果明显减低，越来越多的乙醇蒸汽不能从排湿口及时排走，烘箱内蓄积了达到爆炸极限的乙醇气体。同时，由于房间内通风不畅，烘箱的配套电气设备不防爆，操作人员在开关烘箱送风机或轴流风机在运转过程中产生的电气火花，引爆了积累在烘箱中达到爆炸极限的乙醇混合气体，炸毁烘箱，将构筑物毁坏。</w:t>
      </w:r>
    </w:p>
    <w:p w14:paraId="6114D6D7">
      <w:pPr>
        <w:pStyle w:val="26"/>
        <w:bidi w:val="0"/>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2）事故总结</w:t>
      </w:r>
    </w:p>
    <w:p w14:paraId="4365861A">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1）通风设备的正常运行是车间安全生产的前提。</w:t>
      </w:r>
    </w:p>
    <w:p w14:paraId="030F9481">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2）电气设备的安全性是车间安全生产的一个重要环节。应定期对车间所有用电设备及线路进行细致巡检，</w:t>
      </w:r>
      <w:r>
        <w:rPr>
          <w:rFonts w:hint="eastAsia" w:cs="Times New Roman"/>
          <w:color w:val="auto"/>
          <w:sz w:val="24"/>
          <w:szCs w:val="24"/>
          <w:lang w:val="en-US" w:eastAsia="zh-CN"/>
        </w:rPr>
        <w:t>特别</w:t>
      </w:r>
      <w:r>
        <w:rPr>
          <w:rFonts w:hint="default" w:ascii="Times New Roman" w:hAnsi="Times New Roman" w:eastAsia="宋体" w:cs="Times New Roman"/>
          <w:color w:val="auto"/>
          <w:sz w:val="24"/>
          <w:szCs w:val="24"/>
        </w:rPr>
        <w:t>是防爆区域。</w:t>
      </w:r>
    </w:p>
    <w:p w14:paraId="06121ADF">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3）可能形成爆炸性气体积聚的车间应选用防爆电气。</w:t>
      </w:r>
    </w:p>
    <w:p w14:paraId="74DC79E3">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事故案例2：</w:t>
      </w:r>
      <w:r>
        <w:rPr>
          <w:rFonts w:hint="default" w:ascii="Times New Roman" w:hAnsi="Times New Roman" w:eastAsia="宋体" w:cs="Times New Roman"/>
          <w:color w:val="auto"/>
          <w:sz w:val="24"/>
          <w:szCs w:val="24"/>
        </w:rPr>
        <w:t>2012年4月18日19时40分左右，安徽中升药业有限公司二车间（尼卡巴嗪生产车间）当班工人在配制釜（500L）中先投入250公斤甲苯，后投入150公斤固体三光气，盖上投料盖后启动搅拌器并升温，随即出现不明有毒气体从搅拌器机封口中喷出，导致3人中毒死亡，4人受伤。</w:t>
      </w:r>
    </w:p>
    <w:p w14:paraId="235D9218">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经初步分析，事故的直接原因是：当班操作工人开启配料釜夹套蒸汽阀配料釜直接加热，致使固体</w:t>
      </w:r>
      <w:r>
        <w:rPr>
          <w:rFonts w:hint="eastAsia" w:cs="Times New Roman"/>
          <w:color w:val="auto"/>
          <w:sz w:val="24"/>
          <w:szCs w:val="24"/>
          <w:lang w:val="en-US" w:eastAsia="zh-CN"/>
        </w:rPr>
        <w:t>蒸气</w:t>
      </w:r>
      <w:r>
        <w:rPr>
          <w:rFonts w:hint="default" w:ascii="Times New Roman" w:hAnsi="Times New Roman" w:eastAsia="宋体" w:cs="Times New Roman"/>
          <w:color w:val="auto"/>
          <w:sz w:val="24"/>
          <w:szCs w:val="24"/>
        </w:rPr>
        <w:t>在高温下分解，并发生泄漏，造成事故的发生。事故的间接原因是：一是生产工艺不合理，对配料釜加热采用蒸汽直接加热而没有采用热水浴方式。</w:t>
      </w:r>
    </w:p>
    <w:p w14:paraId="593343EB">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事故案例3：</w:t>
      </w:r>
      <w:r>
        <w:rPr>
          <w:rFonts w:hint="default" w:ascii="Times New Roman" w:hAnsi="Times New Roman" w:eastAsia="宋体" w:cs="Times New Roman"/>
          <w:color w:val="auto"/>
          <w:sz w:val="24"/>
          <w:szCs w:val="24"/>
        </w:rPr>
        <w:t>2012年2月28日河北克尔化工有限责任公司生产硝酸胍的一车间发生重大爆炸事故，造成25人死亡、4人失踪、46人受伤。</w:t>
      </w:r>
    </w:p>
    <w:p w14:paraId="65AA223A">
      <w:pPr>
        <w:pStyle w:val="26"/>
        <w:bidi w:val="0"/>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1）事故经过</w:t>
      </w:r>
    </w:p>
    <w:p w14:paraId="05FB81CE">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月28日上午8时，该车间当班人员接班时，2个反应釜空釜等待投料，3个反应釜投料生产。8时40分左右，1号反应釜底部放料阀（用导热油伴热）处导热油泄漏着火；9时4分，一车间发生爆炸事故并被夷为平地，造成重大人员伤亡，周边设备、管道严重损坏，厂区遭到严重破坏，周边2公里范围内部分居民房屋玻璃被震碎。</w:t>
      </w:r>
    </w:p>
    <w:p w14:paraId="44746A1F">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（2）事故原因</w:t>
      </w:r>
    </w:p>
    <w:p w14:paraId="7385B8F8">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1）装置本质安全水平低、工厂布局不合理。装置自动化程度低，反应温度缺乏有效、快捷的控制手段；加料、出料、冷却等作业均需人工操作，现场操作人员多。</w:t>
      </w:r>
    </w:p>
    <w:p w14:paraId="4E25682C">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2）车间管理人员、操作人员专业素质低。</w:t>
      </w:r>
    </w:p>
    <w:p w14:paraId="7B479C1C">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3）安全隐患排查治理不认真。</w:t>
      </w:r>
    </w:p>
    <w:p w14:paraId="0D8876D8">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rPr>
        <w:t>风险事故</w:t>
      </w:r>
      <w:r>
        <w:rPr>
          <w:rFonts w:hint="default" w:ascii="Times New Roman" w:hAnsi="Times New Roman" w:cs="Times New Roman"/>
          <w:color w:val="auto"/>
          <w:lang w:val="en-US" w:eastAsia="zh-CN"/>
        </w:rPr>
        <w:t>情形设定</w:t>
      </w:r>
    </w:p>
    <w:p w14:paraId="5E394BD6">
      <w:pPr>
        <w:pStyle w:val="26"/>
        <w:bidi w:val="0"/>
        <w:rPr>
          <w:rFonts w:hint="default" w:ascii="Times New Roman" w:hAnsi="Times New Roman" w:cs="Times New Roman"/>
          <w:color w:val="auto"/>
        </w:rPr>
      </w:pPr>
      <w:r>
        <w:rPr>
          <w:rFonts w:hint="default" w:ascii="Times New Roman" w:hAnsi="Times New Roman" w:cs="Times New Roman"/>
          <w:color w:val="auto"/>
        </w:rPr>
        <w:t>在风险识别的基础上，本次风险评价选择</w:t>
      </w:r>
      <w:r>
        <w:rPr>
          <w:rFonts w:hint="eastAsia" w:cs="Times New Roman"/>
          <w:color w:val="auto"/>
          <w:lang w:val="en-US" w:eastAsia="zh-CN"/>
        </w:rPr>
        <w:t>厂区存在量较大，且具有</w:t>
      </w:r>
      <w:r>
        <w:rPr>
          <w:rFonts w:hint="default" w:ascii="Times New Roman" w:hAnsi="Times New Roman" w:cs="Times New Roman"/>
          <w:color w:val="auto"/>
        </w:rPr>
        <w:t>大气毒性终点浓度</w:t>
      </w:r>
      <w:r>
        <w:rPr>
          <w:rFonts w:hint="eastAsia" w:cs="Times New Roman"/>
          <w:color w:val="auto"/>
          <w:lang w:val="en-US" w:eastAsia="zh-CN"/>
        </w:rPr>
        <w:t>的危险物质作为重点关注</w:t>
      </w:r>
      <w:r>
        <w:rPr>
          <w:rFonts w:hint="default" w:ascii="Times New Roman" w:hAnsi="Times New Roman" w:cs="Times New Roman"/>
          <w:color w:val="auto"/>
        </w:rPr>
        <w:t>的危险物质</w:t>
      </w:r>
      <w:r>
        <w:rPr>
          <w:rFonts w:hint="eastAsia" w:ascii="Times New Roman" w:hAnsi="Times New Roman" w:cs="Times New Roman"/>
          <w:color w:val="auto"/>
          <w:lang w:val="en-US" w:eastAsia="zh-CN"/>
        </w:rPr>
        <w:t>开展预测</w:t>
      </w:r>
      <w:r>
        <w:rPr>
          <w:rFonts w:hint="eastAsia" w:cs="Times New Roman"/>
          <w:color w:val="auto"/>
          <w:lang w:val="en-US" w:eastAsia="zh-CN"/>
        </w:rPr>
        <w:t>（本项目质检室使用极少量的盐酸和氢氟酸，盐酸和氢氟酸存放在防倾倒试剂柜中，使用时在通风橱内进行，几乎不存在发生泄漏的情况）</w:t>
      </w:r>
      <w:r>
        <w:rPr>
          <w:rFonts w:hint="eastAsia" w:ascii="Times New Roman" w:hAnsi="Times New Roman" w:cs="Times New Roman"/>
          <w:color w:val="auto"/>
          <w:lang w:val="en-US" w:eastAsia="zh-CN"/>
        </w:rPr>
        <w:t>，将</w:t>
      </w:r>
      <w:r>
        <w:rPr>
          <w:rFonts w:hint="eastAsia" w:cs="Times New Roman"/>
          <w:color w:val="auto"/>
          <w:lang w:val="en-US" w:eastAsia="zh-CN"/>
        </w:rPr>
        <w:t>丙烯酸、硫酸、氟硅酸等作为</w:t>
      </w:r>
      <w:r>
        <w:rPr>
          <w:rFonts w:hint="default" w:ascii="Times New Roman" w:hAnsi="Times New Roman" w:cs="Times New Roman"/>
          <w:color w:val="auto"/>
        </w:rPr>
        <w:t>主要的危险物质。通过对本项目各生产设施的分析，本次环境风险评价确定以①</w:t>
      </w:r>
      <w:r>
        <w:rPr>
          <w:rFonts w:hint="default" w:ascii="Times New Roman" w:hAnsi="Times New Roman" w:cs="Times New Roman"/>
          <w:color w:val="auto"/>
          <w:lang w:val="en-US" w:eastAsia="zh-CN"/>
        </w:rPr>
        <w:t>罐区</w:t>
      </w:r>
      <w:r>
        <w:rPr>
          <w:rFonts w:hint="eastAsia" w:cs="Times New Roman"/>
          <w:color w:val="auto"/>
          <w:lang w:val="en-US" w:eastAsia="zh-CN"/>
        </w:rPr>
        <w:t>硫酸、氟硅酸、液碱</w:t>
      </w:r>
      <w:r>
        <w:rPr>
          <w:rFonts w:hint="eastAsia"/>
          <w:color w:val="auto"/>
          <w:sz w:val="24"/>
          <w:highlight w:val="none"/>
          <w:lang w:val="en-US" w:eastAsia="zh-CN"/>
        </w:rPr>
        <w:t>、</w:t>
      </w:r>
      <w:r>
        <w:rPr>
          <w:rFonts w:hint="default" w:ascii="Times New Roman" w:hAnsi="Times New Roman" w:cs="Times New Roman"/>
          <w:color w:val="auto"/>
          <w:lang w:val="en-US" w:eastAsia="zh-CN"/>
        </w:rPr>
        <w:t>聚羧酸减水剂母液</w:t>
      </w:r>
      <w:r>
        <w:rPr>
          <w:rFonts w:hint="eastAsia" w:ascii="Times New Roman" w:hAnsi="Times New Roman" w:cs="Times New Roman"/>
          <w:color w:val="auto"/>
          <w:lang w:val="en-US" w:eastAsia="zh-CN"/>
        </w:rPr>
        <w:t>、</w:t>
      </w:r>
      <w:r>
        <w:rPr>
          <w:rFonts w:hint="eastAsia" w:cs="Times New Roman"/>
          <w:color w:val="auto"/>
          <w:lang w:val="en-US" w:eastAsia="zh-CN"/>
        </w:rPr>
        <w:t>有碱速凝剂</w:t>
      </w:r>
      <w:r>
        <w:rPr>
          <w:rFonts w:hint="default" w:ascii="Times New Roman" w:hAnsi="Times New Roman" w:cs="Times New Roman"/>
          <w:color w:val="auto"/>
          <w:lang w:val="en-US" w:eastAsia="zh-CN"/>
        </w:rPr>
        <w:t>及仓库</w:t>
      </w:r>
      <w:r>
        <w:rPr>
          <w:rFonts w:hint="eastAsia" w:cs="Times New Roman"/>
          <w:color w:val="auto"/>
          <w:lang w:val="en-US" w:eastAsia="zh-CN"/>
        </w:rPr>
        <w:t>三乙醇胺</w:t>
      </w:r>
      <w:r>
        <w:rPr>
          <w:rFonts w:hint="default" w:ascii="Times New Roman" w:hAnsi="Times New Roman" w:cs="Times New Roman"/>
          <w:color w:val="auto"/>
        </w:rPr>
        <w:t>泄漏</w:t>
      </w:r>
      <w:r>
        <w:rPr>
          <w:rFonts w:hint="default" w:ascii="Times New Roman" w:hAnsi="Times New Roman" w:cs="Times New Roman"/>
          <w:color w:val="auto"/>
          <w:lang w:val="en-US" w:eastAsia="zh-CN"/>
        </w:rPr>
        <w:t>，②</w:t>
      </w:r>
      <w:r>
        <w:rPr>
          <w:rFonts w:hint="eastAsia" w:cs="Times New Roman"/>
          <w:color w:val="auto"/>
          <w:lang w:val="en-US" w:eastAsia="zh-CN"/>
        </w:rPr>
        <w:t>丙烯酸</w:t>
      </w:r>
      <w:r>
        <w:rPr>
          <w:rFonts w:hint="eastAsia" w:cs="Times New Roman"/>
          <w:color w:val="auto"/>
          <w:lang w:eastAsia="zh-CN"/>
        </w:rPr>
        <w:t>、</w:t>
      </w:r>
      <w:r>
        <w:rPr>
          <w:rFonts w:hint="eastAsia" w:cs="Times New Roman"/>
          <w:color w:val="auto"/>
          <w:lang w:val="en-US" w:eastAsia="zh-CN"/>
        </w:rPr>
        <w:t>硫酸</w:t>
      </w:r>
      <w:r>
        <w:rPr>
          <w:rFonts w:hint="default" w:ascii="Times New Roman" w:hAnsi="Times New Roman" w:cs="Times New Roman"/>
          <w:color w:val="auto"/>
        </w:rPr>
        <w:t>燃烧过程中伴生/次生污染物CO</w:t>
      </w:r>
      <w:r>
        <w:rPr>
          <w:rFonts w:hint="eastAsia" w:cs="Times New Roman"/>
          <w:color w:val="auto"/>
          <w:lang w:eastAsia="zh-CN"/>
        </w:rPr>
        <w:t>、</w:t>
      </w:r>
      <w:r>
        <w:rPr>
          <w:rFonts w:hint="eastAsia" w:ascii="Times New Roman" w:hAnsi="Times New Roman" w:eastAsia="宋体" w:cs="Courier New"/>
          <w:b w:val="0"/>
          <w:bCs w:val="0"/>
          <w:color w:val="auto"/>
          <w:kern w:val="2"/>
          <w:sz w:val="24"/>
          <w:szCs w:val="24"/>
          <w:highlight w:val="none"/>
          <w:lang w:val="en-US" w:eastAsia="zh-CN" w:bidi="ar-SA"/>
        </w:rPr>
        <w:t>SO</w:t>
      </w:r>
      <w:r>
        <w:rPr>
          <w:rFonts w:hint="eastAsia" w:ascii="Times New Roman" w:hAnsi="Times New Roman" w:eastAsia="宋体" w:cs="Courier New"/>
          <w:b w:val="0"/>
          <w:bCs w:val="0"/>
          <w:color w:val="auto"/>
          <w:kern w:val="2"/>
          <w:sz w:val="24"/>
          <w:szCs w:val="24"/>
          <w:highlight w:val="none"/>
          <w:vertAlign w:val="subscript"/>
          <w:lang w:val="en-US" w:eastAsia="zh-CN" w:bidi="ar-SA"/>
        </w:rPr>
        <w:t>2</w:t>
      </w:r>
      <w:r>
        <w:rPr>
          <w:rFonts w:hint="default" w:ascii="Times New Roman" w:hAnsi="Times New Roman" w:cs="Times New Roman"/>
          <w:color w:val="auto"/>
          <w:lang w:eastAsia="zh-CN"/>
        </w:rPr>
        <w:t>，③</w:t>
      </w:r>
      <w:r>
        <w:rPr>
          <w:rFonts w:hint="eastAsia" w:cs="Times New Roman"/>
          <w:color w:val="auto"/>
          <w:lang w:val="en-US" w:eastAsia="zh-CN"/>
        </w:rPr>
        <w:t>厂区</w:t>
      </w:r>
      <w:r>
        <w:rPr>
          <w:rFonts w:hint="default" w:ascii="Times New Roman" w:hAnsi="Times New Roman" w:cs="Times New Roman"/>
          <w:color w:val="auto"/>
          <w:lang w:val="en-US" w:eastAsia="zh-CN"/>
        </w:rPr>
        <w:t>废水</w:t>
      </w:r>
      <w:r>
        <w:rPr>
          <w:rFonts w:hint="eastAsia" w:cs="Times New Roman"/>
          <w:color w:val="auto"/>
          <w:lang w:val="en-US" w:eastAsia="zh-CN"/>
        </w:rPr>
        <w:t>输送</w:t>
      </w:r>
      <w:r>
        <w:rPr>
          <w:rFonts w:hint="default" w:ascii="Times New Roman" w:hAnsi="Times New Roman" w:cs="Times New Roman"/>
          <w:color w:val="auto"/>
          <w:lang w:val="en-US" w:eastAsia="zh-CN"/>
        </w:rPr>
        <w:t>过程中泄漏</w:t>
      </w:r>
      <w:r>
        <w:rPr>
          <w:rFonts w:hint="default" w:ascii="Times New Roman" w:hAnsi="Times New Roman" w:cs="Times New Roman"/>
          <w:color w:val="auto"/>
        </w:rPr>
        <w:t>作为本项目最大可信事故源。</w:t>
      </w:r>
    </w:p>
    <w:p w14:paraId="06FD97D0">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本项目风险事故情形设定情况见下表。</w:t>
      </w:r>
    </w:p>
    <w:p w14:paraId="67DB47FA">
      <w:pPr>
        <w:pStyle w:val="28"/>
        <w:numPr>
          <w:ilvl w:val="0"/>
          <w:numId w:val="35"/>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本项目环境风险事故情形表</w:t>
      </w:r>
    </w:p>
    <w:tbl>
      <w:tblPr>
        <w:tblStyle w:val="21"/>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908"/>
        <w:gridCol w:w="818"/>
        <w:gridCol w:w="1249"/>
        <w:gridCol w:w="2110"/>
        <w:gridCol w:w="1164"/>
        <w:gridCol w:w="2170"/>
      </w:tblGrid>
      <w:tr w14:paraId="1443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 w:type="dxa"/>
            <w:tcBorders>
              <w:tl2br w:val="nil"/>
              <w:tr2bl w:val="nil"/>
            </w:tcBorders>
            <w:noWrap w:val="0"/>
            <w:vAlign w:val="center"/>
          </w:tcPr>
          <w:p w14:paraId="54ED63BC">
            <w:pPr>
              <w:pStyle w:val="24"/>
              <w:bidi w:val="0"/>
              <w:rPr>
                <w:rFonts w:hint="default" w:ascii="Times New Roman" w:hAnsi="Times New Roman" w:cs="Times New Roman"/>
                <w:b/>
                <w:bCs/>
                <w:color w:val="auto"/>
              </w:rPr>
            </w:pPr>
            <w:r>
              <w:rPr>
                <w:rFonts w:hint="default" w:ascii="Times New Roman" w:hAnsi="Times New Roman" w:cs="Times New Roman"/>
                <w:b/>
                <w:bCs/>
                <w:color w:val="auto"/>
              </w:rPr>
              <w:t>环境风险类型</w:t>
            </w:r>
          </w:p>
        </w:tc>
        <w:tc>
          <w:tcPr>
            <w:tcW w:w="908" w:type="dxa"/>
            <w:tcBorders>
              <w:tl2br w:val="nil"/>
              <w:tr2bl w:val="nil"/>
            </w:tcBorders>
            <w:noWrap w:val="0"/>
            <w:vAlign w:val="center"/>
          </w:tcPr>
          <w:p w14:paraId="21C19CA9">
            <w:pPr>
              <w:pStyle w:val="24"/>
              <w:bidi w:val="0"/>
              <w:rPr>
                <w:rFonts w:hint="default" w:ascii="Times New Roman" w:hAnsi="Times New Roman" w:cs="Times New Roman"/>
                <w:b/>
                <w:bCs/>
                <w:color w:val="auto"/>
              </w:rPr>
            </w:pPr>
            <w:r>
              <w:rPr>
                <w:rFonts w:hint="default" w:ascii="Times New Roman" w:hAnsi="Times New Roman" w:cs="Times New Roman"/>
                <w:b/>
                <w:bCs/>
                <w:color w:val="auto"/>
              </w:rPr>
              <w:t>风险源</w:t>
            </w:r>
          </w:p>
        </w:tc>
        <w:tc>
          <w:tcPr>
            <w:tcW w:w="818" w:type="dxa"/>
            <w:tcBorders>
              <w:tl2br w:val="nil"/>
              <w:tr2bl w:val="nil"/>
            </w:tcBorders>
            <w:noWrap w:val="0"/>
            <w:vAlign w:val="center"/>
          </w:tcPr>
          <w:p w14:paraId="2B3B6CBD">
            <w:pPr>
              <w:pStyle w:val="24"/>
              <w:bidi w:val="0"/>
              <w:rPr>
                <w:rFonts w:hint="default" w:ascii="Times New Roman" w:hAnsi="Times New Roman" w:cs="Times New Roman"/>
                <w:b/>
                <w:bCs/>
                <w:color w:val="auto"/>
              </w:rPr>
            </w:pPr>
            <w:r>
              <w:rPr>
                <w:rFonts w:hint="default" w:ascii="Times New Roman" w:hAnsi="Times New Roman" w:cs="Times New Roman"/>
                <w:b/>
                <w:bCs/>
                <w:color w:val="auto"/>
              </w:rPr>
              <w:t>危险单元</w:t>
            </w:r>
          </w:p>
        </w:tc>
        <w:tc>
          <w:tcPr>
            <w:tcW w:w="1249" w:type="dxa"/>
            <w:tcBorders>
              <w:tl2br w:val="nil"/>
              <w:tr2bl w:val="nil"/>
            </w:tcBorders>
            <w:noWrap w:val="0"/>
            <w:vAlign w:val="center"/>
          </w:tcPr>
          <w:p w14:paraId="33BACDAF">
            <w:pPr>
              <w:pStyle w:val="24"/>
              <w:bidi w:val="0"/>
              <w:rPr>
                <w:rFonts w:hint="default" w:ascii="Times New Roman" w:hAnsi="Times New Roman" w:cs="Times New Roman"/>
                <w:b/>
                <w:bCs/>
                <w:color w:val="auto"/>
              </w:rPr>
            </w:pPr>
            <w:r>
              <w:rPr>
                <w:rFonts w:hint="default" w:ascii="Times New Roman" w:hAnsi="Times New Roman" w:cs="Times New Roman"/>
                <w:b/>
                <w:bCs/>
                <w:color w:val="auto"/>
              </w:rPr>
              <w:t>危险物质</w:t>
            </w:r>
          </w:p>
        </w:tc>
        <w:tc>
          <w:tcPr>
            <w:tcW w:w="2110" w:type="dxa"/>
            <w:tcBorders>
              <w:tl2br w:val="nil"/>
              <w:tr2bl w:val="nil"/>
            </w:tcBorders>
            <w:noWrap w:val="0"/>
            <w:vAlign w:val="center"/>
          </w:tcPr>
          <w:p w14:paraId="3D29EAC8">
            <w:pPr>
              <w:pStyle w:val="24"/>
              <w:bidi w:val="0"/>
              <w:rPr>
                <w:rFonts w:hint="default" w:ascii="Times New Roman" w:hAnsi="Times New Roman" w:cs="Times New Roman"/>
                <w:b/>
                <w:bCs/>
                <w:color w:val="auto"/>
              </w:rPr>
            </w:pPr>
            <w:r>
              <w:rPr>
                <w:rFonts w:hint="default" w:ascii="Times New Roman" w:hAnsi="Times New Roman" w:cs="Times New Roman"/>
                <w:b/>
                <w:bCs/>
                <w:color w:val="auto"/>
              </w:rPr>
              <w:t>风险类型</w:t>
            </w:r>
          </w:p>
        </w:tc>
        <w:tc>
          <w:tcPr>
            <w:tcW w:w="1164" w:type="dxa"/>
            <w:tcBorders>
              <w:tl2br w:val="nil"/>
              <w:tr2bl w:val="nil"/>
            </w:tcBorders>
            <w:noWrap w:val="0"/>
            <w:vAlign w:val="center"/>
          </w:tcPr>
          <w:p w14:paraId="47D0BDB2">
            <w:pPr>
              <w:pStyle w:val="24"/>
              <w:bidi w:val="0"/>
              <w:rPr>
                <w:rFonts w:hint="default" w:ascii="Times New Roman" w:hAnsi="Times New Roman" w:cs="Times New Roman"/>
                <w:b/>
                <w:bCs/>
                <w:color w:val="auto"/>
              </w:rPr>
            </w:pPr>
            <w:r>
              <w:rPr>
                <w:rFonts w:hint="default" w:ascii="Times New Roman" w:hAnsi="Times New Roman" w:cs="Times New Roman"/>
                <w:b/>
                <w:bCs/>
                <w:color w:val="auto"/>
                <w:lang w:val="en-US" w:eastAsia="zh-CN"/>
              </w:rPr>
              <w:t>发生概率</w:t>
            </w:r>
          </w:p>
        </w:tc>
        <w:tc>
          <w:tcPr>
            <w:tcW w:w="2170" w:type="dxa"/>
            <w:tcBorders>
              <w:tl2br w:val="nil"/>
              <w:tr2bl w:val="nil"/>
            </w:tcBorders>
            <w:noWrap w:val="0"/>
            <w:vAlign w:val="center"/>
          </w:tcPr>
          <w:p w14:paraId="1563D06A">
            <w:pPr>
              <w:pStyle w:val="24"/>
              <w:bidi w:val="0"/>
              <w:rPr>
                <w:rFonts w:hint="default" w:ascii="Times New Roman" w:hAnsi="Times New Roman" w:cs="Times New Roman"/>
                <w:b/>
                <w:bCs/>
                <w:color w:val="auto"/>
              </w:rPr>
            </w:pPr>
            <w:r>
              <w:rPr>
                <w:rFonts w:hint="default" w:ascii="Times New Roman" w:hAnsi="Times New Roman" w:cs="Times New Roman"/>
                <w:b/>
                <w:bCs/>
                <w:color w:val="auto"/>
              </w:rPr>
              <w:t>影响途径</w:t>
            </w:r>
          </w:p>
        </w:tc>
      </w:tr>
      <w:tr w14:paraId="0643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 w:type="dxa"/>
            <w:vMerge w:val="restart"/>
            <w:tcBorders>
              <w:tl2br w:val="nil"/>
              <w:tr2bl w:val="nil"/>
            </w:tcBorders>
            <w:noWrap w:val="0"/>
            <w:vAlign w:val="center"/>
          </w:tcPr>
          <w:p w14:paraId="01059862">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泄漏</w:t>
            </w:r>
          </w:p>
        </w:tc>
        <w:tc>
          <w:tcPr>
            <w:tcW w:w="908" w:type="dxa"/>
            <w:vMerge w:val="restart"/>
            <w:tcBorders>
              <w:tl2br w:val="nil"/>
              <w:tr2bl w:val="nil"/>
            </w:tcBorders>
            <w:noWrap w:val="0"/>
            <w:vAlign w:val="center"/>
          </w:tcPr>
          <w:p w14:paraId="4B576EEF">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罐区</w:t>
            </w:r>
          </w:p>
        </w:tc>
        <w:tc>
          <w:tcPr>
            <w:tcW w:w="818" w:type="dxa"/>
            <w:vMerge w:val="restart"/>
            <w:tcBorders>
              <w:tl2br w:val="nil"/>
              <w:tr2bl w:val="nil"/>
            </w:tcBorders>
            <w:noWrap w:val="0"/>
            <w:vAlign w:val="center"/>
          </w:tcPr>
          <w:p w14:paraId="4DBE58F3">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储罐</w:t>
            </w:r>
          </w:p>
        </w:tc>
        <w:tc>
          <w:tcPr>
            <w:tcW w:w="1249" w:type="dxa"/>
            <w:vMerge w:val="restart"/>
            <w:tcBorders>
              <w:tl2br w:val="nil"/>
              <w:tr2bl w:val="nil"/>
            </w:tcBorders>
            <w:noWrap w:val="0"/>
            <w:vAlign w:val="center"/>
          </w:tcPr>
          <w:p w14:paraId="6FD166D4">
            <w:pPr>
              <w:pStyle w:val="24"/>
              <w:bidi w:val="0"/>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硫酸、氟硅酸、液碱</w:t>
            </w:r>
            <w:r>
              <w:rPr>
                <w:rFonts w:hint="eastAsia" w:ascii="Times New Roman" w:eastAsia="宋体"/>
                <w:color w:val="auto"/>
                <w:sz w:val="21"/>
                <w:szCs w:val="21"/>
                <w:highlight w:val="none"/>
                <w:lang w:val="en-US" w:eastAsia="zh-CN"/>
              </w:rPr>
              <w:t>、</w:t>
            </w:r>
            <w:r>
              <w:rPr>
                <w:rFonts w:hint="default" w:ascii="Times New Roman" w:hAnsi="Times New Roman" w:cs="Times New Roman"/>
                <w:color w:val="auto"/>
                <w:sz w:val="21"/>
                <w:szCs w:val="21"/>
                <w:lang w:val="en-US" w:eastAsia="zh-CN"/>
              </w:rPr>
              <w:t>聚羧酸减水剂母液</w:t>
            </w:r>
            <w:r>
              <w:rPr>
                <w:rFonts w:hint="eastAsia" w:ascii="Times New Roman" w:hAnsi="Times New Roman" w:cs="Times New Roman"/>
                <w:color w:val="auto"/>
                <w:sz w:val="21"/>
                <w:szCs w:val="21"/>
                <w:lang w:val="en-US" w:eastAsia="zh-CN"/>
              </w:rPr>
              <w:t>、</w:t>
            </w:r>
            <w:r>
              <w:rPr>
                <w:rFonts w:hint="eastAsia" w:cs="Times New Roman"/>
                <w:color w:val="auto"/>
                <w:sz w:val="21"/>
                <w:szCs w:val="21"/>
                <w:lang w:val="en-US" w:eastAsia="zh-CN"/>
              </w:rPr>
              <w:t>有碱速凝剂</w:t>
            </w:r>
          </w:p>
        </w:tc>
        <w:tc>
          <w:tcPr>
            <w:tcW w:w="2110" w:type="dxa"/>
            <w:tcBorders>
              <w:tl2br w:val="nil"/>
              <w:tr2bl w:val="nil"/>
            </w:tcBorders>
            <w:noWrap w:val="0"/>
            <w:vAlign w:val="center"/>
          </w:tcPr>
          <w:p w14:paraId="5D65545B">
            <w:pPr>
              <w:pStyle w:val="24"/>
              <w:bidi w:val="0"/>
              <w:rPr>
                <w:rFonts w:hint="default" w:ascii="Times New Roman" w:hAnsi="Times New Roman" w:cs="Times New Roman"/>
                <w:color w:val="auto"/>
              </w:rPr>
            </w:pPr>
            <w:r>
              <w:rPr>
                <w:rFonts w:hint="default" w:ascii="Times New Roman" w:hAnsi="Times New Roman" w:cs="Times New Roman"/>
                <w:color w:val="auto"/>
                <w:lang w:val="en-US" w:eastAsia="zh-CN"/>
              </w:rPr>
              <w:t>泄漏孔径为10%孔径</w:t>
            </w:r>
          </w:p>
        </w:tc>
        <w:tc>
          <w:tcPr>
            <w:tcW w:w="1164" w:type="dxa"/>
            <w:tcBorders>
              <w:tl2br w:val="nil"/>
              <w:tr2bl w:val="nil"/>
            </w:tcBorders>
            <w:noWrap w:val="0"/>
            <w:vAlign w:val="center"/>
          </w:tcPr>
          <w:p w14:paraId="45B08AE4">
            <w:pPr>
              <w:pStyle w:val="24"/>
              <w:bidi w:val="0"/>
              <w:rPr>
                <w:rFonts w:hint="default" w:ascii="Times New Roman" w:hAnsi="Times New Roman" w:cs="Times New Roman"/>
                <w:color w:val="auto"/>
                <w:lang w:val="en-US" w:eastAsia="zh-CN"/>
              </w:rPr>
            </w:pPr>
            <w:r>
              <w:rPr>
                <w:rFonts w:hint="default" w:ascii="Times New Roman" w:hAnsi="Times New Roman" w:cs="Times New Roman"/>
                <w:color w:val="auto"/>
                <w:highlight w:val="none"/>
              </w:rPr>
              <w:t>1.00×10</w:t>
            </w:r>
            <w:r>
              <w:rPr>
                <w:rFonts w:hint="default" w:ascii="Times New Roman" w:hAnsi="Times New Roman" w:cs="Times New Roman"/>
                <w:color w:val="auto"/>
                <w:highlight w:val="none"/>
                <w:vertAlign w:val="superscript"/>
              </w:rPr>
              <w:t>-4</w:t>
            </w:r>
            <w:r>
              <w:rPr>
                <w:rFonts w:hint="default" w:ascii="Times New Roman" w:hAnsi="Times New Roman" w:cs="Times New Roman"/>
                <w:color w:val="auto"/>
                <w:highlight w:val="none"/>
              </w:rPr>
              <w:t xml:space="preserve"> </w:t>
            </w:r>
          </w:p>
        </w:tc>
        <w:tc>
          <w:tcPr>
            <w:tcW w:w="2170" w:type="dxa"/>
            <w:vMerge w:val="restart"/>
            <w:tcBorders>
              <w:tl2br w:val="nil"/>
              <w:tr2bl w:val="nil"/>
            </w:tcBorders>
            <w:noWrap w:val="0"/>
            <w:vAlign w:val="center"/>
          </w:tcPr>
          <w:p w14:paraId="7EA8B8BB">
            <w:pPr>
              <w:pStyle w:val="24"/>
              <w:bidi w:val="0"/>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大气：泄漏的物料挥发进入大气环境</w:t>
            </w:r>
          </w:p>
          <w:p w14:paraId="554925B1">
            <w:pPr>
              <w:pStyle w:val="24"/>
              <w:bidi w:val="0"/>
              <w:jc w:val="both"/>
              <w:rPr>
                <w:rFonts w:hint="default" w:ascii="Times New Roman" w:hAnsi="Times New Roman" w:cs="Times New Roman"/>
                <w:color w:val="auto"/>
              </w:rPr>
            </w:pPr>
            <w:r>
              <w:rPr>
                <w:rFonts w:hint="default" w:ascii="Times New Roman" w:hAnsi="Times New Roman" w:cs="Times New Roman"/>
                <w:color w:val="auto"/>
                <w:lang w:val="en-US" w:eastAsia="zh-CN"/>
              </w:rPr>
              <w:t>地下水及土壤：防渗层破裂，下渗进入地下水和土壤环境</w:t>
            </w:r>
          </w:p>
        </w:tc>
      </w:tr>
      <w:tr w14:paraId="38C6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 w:type="dxa"/>
            <w:vMerge w:val="continue"/>
            <w:tcBorders>
              <w:tl2br w:val="nil"/>
              <w:tr2bl w:val="nil"/>
            </w:tcBorders>
            <w:noWrap w:val="0"/>
            <w:vAlign w:val="center"/>
          </w:tcPr>
          <w:p w14:paraId="2A20771F">
            <w:pPr>
              <w:pStyle w:val="24"/>
              <w:bidi w:val="0"/>
              <w:rPr>
                <w:rFonts w:hint="default" w:ascii="Times New Roman" w:hAnsi="Times New Roman" w:cs="Times New Roman"/>
                <w:color w:val="auto"/>
              </w:rPr>
            </w:pPr>
          </w:p>
        </w:tc>
        <w:tc>
          <w:tcPr>
            <w:tcW w:w="908" w:type="dxa"/>
            <w:vMerge w:val="continue"/>
            <w:tcBorders>
              <w:tl2br w:val="nil"/>
              <w:tr2bl w:val="nil"/>
            </w:tcBorders>
            <w:noWrap w:val="0"/>
            <w:vAlign w:val="center"/>
          </w:tcPr>
          <w:p w14:paraId="78780EAA">
            <w:pPr>
              <w:pStyle w:val="24"/>
              <w:bidi w:val="0"/>
              <w:rPr>
                <w:rFonts w:hint="default" w:ascii="Times New Roman" w:hAnsi="Times New Roman" w:cs="Times New Roman"/>
                <w:color w:val="auto"/>
              </w:rPr>
            </w:pPr>
          </w:p>
        </w:tc>
        <w:tc>
          <w:tcPr>
            <w:tcW w:w="818" w:type="dxa"/>
            <w:vMerge w:val="continue"/>
            <w:tcBorders>
              <w:tl2br w:val="nil"/>
              <w:tr2bl w:val="nil"/>
            </w:tcBorders>
            <w:noWrap w:val="0"/>
            <w:vAlign w:val="center"/>
          </w:tcPr>
          <w:p w14:paraId="304CF777">
            <w:pPr>
              <w:pStyle w:val="24"/>
              <w:bidi w:val="0"/>
              <w:rPr>
                <w:rFonts w:hint="default" w:ascii="Times New Roman" w:hAnsi="Times New Roman" w:cs="Times New Roman"/>
                <w:color w:val="auto"/>
              </w:rPr>
            </w:pPr>
          </w:p>
        </w:tc>
        <w:tc>
          <w:tcPr>
            <w:tcW w:w="1249" w:type="dxa"/>
            <w:vMerge w:val="continue"/>
            <w:tcBorders>
              <w:tl2br w:val="nil"/>
              <w:tr2bl w:val="nil"/>
            </w:tcBorders>
            <w:noWrap w:val="0"/>
            <w:vAlign w:val="center"/>
          </w:tcPr>
          <w:p w14:paraId="40096840">
            <w:pPr>
              <w:pStyle w:val="24"/>
              <w:bidi w:val="0"/>
              <w:rPr>
                <w:rFonts w:hint="default" w:ascii="Times New Roman" w:hAnsi="Times New Roman" w:cs="Times New Roman"/>
                <w:color w:val="auto"/>
              </w:rPr>
            </w:pPr>
          </w:p>
        </w:tc>
        <w:tc>
          <w:tcPr>
            <w:tcW w:w="2110" w:type="dxa"/>
            <w:tcBorders>
              <w:tl2br w:val="nil"/>
              <w:tr2bl w:val="nil"/>
            </w:tcBorders>
            <w:noWrap w:val="0"/>
            <w:vAlign w:val="center"/>
          </w:tcPr>
          <w:p w14:paraId="13FADC7B">
            <w:pPr>
              <w:pStyle w:val="24"/>
              <w:bidi w:val="0"/>
              <w:ind w:left="0" w:leftChars="0"/>
              <w:rPr>
                <w:rFonts w:hint="default" w:ascii="Times New Roman" w:hAnsi="Times New Roman" w:cs="Times New Roman"/>
                <w:color w:val="auto"/>
                <w:lang w:val="en-US" w:eastAsia="zh-CN"/>
              </w:rPr>
            </w:pPr>
            <w:r>
              <w:rPr>
                <w:rFonts w:hint="default" w:ascii="Times New Roman" w:hAnsi="Times New Roman" w:cs="Times New Roman"/>
                <w:color w:val="auto"/>
                <w:highlight w:val="none"/>
              </w:rPr>
              <w:t>10min内储罐泄漏完</w:t>
            </w:r>
          </w:p>
        </w:tc>
        <w:tc>
          <w:tcPr>
            <w:tcW w:w="1164" w:type="dxa"/>
            <w:tcBorders>
              <w:tl2br w:val="nil"/>
              <w:tr2bl w:val="nil"/>
            </w:tcBorders>
            <w:noWrap w:val="0"/>
            <w:vAlign w:val="center"/>
          </w:tcPr>
          <w:p w14:paraId="78A6E514">
            <w:pPr>
              <w:pStyle w:val="24"/>
              <w:bidi w:val="0"/>
              <w:ind w:left="0" w:leftChars="0"/>
              <w:rPr>
                <w:rFonts w:hint="default" w:ascii="Times New Roman" w:hAnsi="Times New Roman" w:cs="Times New Roman"/>
                <w:color w:val="auto"/>
                <w:lang w:val="en-US" w:eastAsia="zh-CN"/>
              </w:rPr>
            </w:pPr>
            <w:r>
              <w:rPr>
                <w:rFonts w:hint="default" w:ascii="Times New Roman" w:hAnsi="Times New Roman" w:cs="Times New Roman"/>
                <w:color w:val="auto"/>
              </w:rPr>
              <w:t>5×</w:t>
            </w:r>
            <w:r>
              <w:rPr>
                <w:rFonts w:hint="default" w:ascii="Times New Roman" w:hAnsi="Times New Roman" w:cs="Times New Roman"/>
                <w:color w:val="auto"/>
                <w:vertAlign w:val="baseline"/>
              </w:rPr>
              <w:t>10</w:t>
            </w:r>
            <w:r>
              <w:rPr>
                <w:rFonts w:hint="default" w:ascii="Times New Roman" w:hAnsi="Times New Roman" w:cs="Times New Roman"/>
                <w:color w:val="auto"/>
                <w:vertAlign w:val="superscript"/>
              </w:rPr>
              <w:t>-6</w:t>
            </w:r>
          </w:p>
        </w:tc>
        <w:tc>
          <w:tcPr>
            <w:tcW w:w="2170" w:type="dxa"/>
            <w:vMerge w:val="continue"/>
            <w:tcBorders>
              <w:tl2br w:val="nil"/>
              <w:tr2bl w:val="nil"/>
            </w:tcBorders>
            <w:noWrap w:val="0"/>
            <w:vAlign w:val="center"/>
          </w:tcPr>
          <w:p w14:paraId="5C36B9B3">
            <w:pPr>
              <w:pStyle w:val="24"/>
              <w:bidi w:val="0"/>
              <w:rPr>
                <w:rFonts w:hint="default" w:ascii="Times New Roman" w:hAnsi="Times New Roman" w:cs="Times New Roman"/>
                <w:color w:val="auto"/>
                <w:lang w:val="en-US" w:eastAsia="zh-CN"/>
              </w:rPr>
            </w:pPr>
          </w:p>
        </w:tc>
      </w:tr>
      <w:tr w14:paraId="3FB7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 w:type="dxa"/>
            <w:vMerge w:val="continue"/>
            <w:tcBorders>
              <w:tl2br w:val="nil"/>
              <w:tr2bl w:val="nil"/>
            </w:tcBorders>
            <w:noWrap w:val="0"/>
            <w:vAlign w:val="center"/>
          </w:tcPr>
          <w:p w14:paraId="76AEAC05">
            <w:pPr>
              <w:pStyle w:val="24"/>
              <w:bidi w:val="0"/>
              <w:rPr>
                <w:rFonts w:hint="default" w:ascii="Times New Roman" w:hAnsi="Times New Roman" w:eastAsia="宋体" w:cs="Times New Roman"/>
                <w:color w:val="auto"/>
                <w:lang w:val="en-US" w:eastAsia="zh-CN"/>
              </w:rPr>
            </w:pPr>
          </w:p>
        </w:tc>
        <w:tc>
          <w:tcPr>
            <w:tcW w:w="908" w:type="dxa"/>
            <w:tcBorders>
              <w:tl2br w:val="nil"/>
              <w:tr2bl w:val="nil"/>
            </w:tcBorders>
            <w:noWrap w:val="0"/>
            <w:vAlign w:val="center"/>
          </w:tcPr>
          <w:p w14:paraId="3B5DA862">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仓库</w:t>
            </w:r>
          </w:p>
        </w:tc>
        <w:tc>
          <w:tcPr>
            <w:tcW w:w="818" w:type="dxa"/>
            <w:tcBorders>
              <w:tl2br w:val="nil"/>
              <w:tr2bl w:val="nil"/>
            </w:tcBorders>
            <w:noWrap w:val="0"/>
            <w:vAlign w:val="center"/>
          </w:tcPr>
          <w:p w14:paraId="12104F89">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原料桶</w:t>
            </w:r>
          </w:p>
        </w:tc>
        <w:tc>
          <w:tcPr>
            <w:tcW w:w="1249" w:type="dxa"/>
            <w:tcBorders>
              <w:tl2br w:val="nil"/>
              <w:tr2bl w:val="nil"/>
            </w:tcBorders>
            <w:noWrap w:val="0"/>
            <w:vAlign w:val="center"/>
          </w:tcPr>
          <w:p w14:paraId="0FE8FD5D">
            <w:pPr>
              <w:pStyle w:val="24"/>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三乙醇胺</w:t>
            </w:r>
          </w:p>
        </w:tc>
        <w:tc>
          <w:tcPr>
            <w:tcW w:w="2110" w:type="dxa"/>
            <w:tcBorders>
              <w:tl2br w:val="nil"/>
              <w:tr2bl w:val="nil"/>
            </w:tcBorders>
            <w:noWrap w:val="0"/>
            <w:vAlign w:val="center"/>
          </w:tcPr>
          <w:p w14:paraId="567A1CD9">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lang w:val="en-US" w:eastAsia="zh-CN"/>
              </w:rPr>
              <w:t>泄漏孔径为10%孔径</w:t>
            </w:r>
          </w:p>
        </w:tc>
        <w:tc>
          <w:tcPr>
            <w:tcW w:w="1164" w:type="dxa"/>
            <w:tcBorders>
              <w:tl2br w:val="nil"/>
              <w:tr2bl w:val="nil"/>
            </w:tcBorders>
            <w:noWrap w:val="0"/>
            <w:vAlign w:val="center"/>
          </w:tcPr>
          <w:p w14:paraId="1BC61A31">
            <w:pPr>
              <w:pStyle w:val="24"/>
              <w:bidi w:val="0"/>
              <w:ind w:left="0" w:leftChars="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2170" w:type="dxa"/>
            <w:tcBorders>
              <w:tl2br w:val="nil"/>
              <w:tr2bl w:val="nil"/>
            </w:tcBorders>
            <w:noWrap w:val="0"/>
            <w:vAlign w:val="center"/>
          </w:tcPr>
          <w:p w14:paraId="18D550E8">
            <w:pPr>
              <w:pStyle w:val="2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地下水：防渗层破裂，下渗进入地下水环境</w:t>
            </w:r>
          </w:p>
        </w:tc>
      </w:tr>
      <w:tr w14:paraId="0D9F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 w:type="dxa"/>
            <w:vMerge w:val="continue"/>
            <w:tcBorders>
              <w:tl2br w:val="nil"/>
              <w:tr2bl w:val="nil"/>
            </w:tcBorders>
            <w:noWrap w:val="0"/>
            <w:vAlign w:val="center"/>
          </w:tcPr>
          <w:p w14:paraId="6C6A584D">
            <w:pPr>
              <w:pStyle w:val="24"/>
              <w:bidi w:val="0"/>
              <w:rPr>
                <w:rFonts w:hint="default" w:ascii="Times New Roman" w:hAnsi="Times New Roman" w:cs="Times New Roman"/>
                <w:color w:val="auto"/>
                <w:lang w:val="en-US" w:eastAsia="zh-CN"/>
              </w:rPr>
            </w:pPr>
          </w:p>
        </w:tc>
        <w:tc>
          <w:tcPr>
            <w:tcW w:w="908" w:type="dxa"/>
            <w:tcBorders>
              <w:tl2br w:val="nil"/>
              <w:tr2bl w:val="nil"/>
            </w:tcBorders>
            <w:shd w:val="clear" w:color="auto" w:fill="auto"/>
            <w:noWrap w:val="0"/>
            <w:vAlign w:val="center"/>
          </w:tcPr>
          <w:p w14:paraId="00A0BD0A">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val="en-US" w:eastAsia="zh-CN"/>
              </w:rPr>
              <w:t>废水</w:t>
            </w:r>
          </w:p>
        </w:tc>
        <w:tc>
          <w:tcPr>
            <w:tcW w:w="818" w:type="dxa"/>
            <w:tcBorders>
              <w:tl2br w:val="nil"/>
              <w:tr2bl w:val="nil"/>
            </w:tcBorders>
            <w:shd w:val="clear" w:color="auto" w:fill="auto"/>
            <w:noWrap w:val="0"/>
            <w:vAlign w:val="center"/>
          </w:tcPr>
          <w:p w14:paraId="7B1B43EA">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val="en-US" w:eastAsia="zh-CN"/>
              </w:rPr>
              <w:t>厂区</w:t>
            </w:r>
          </w:p>
        </w:tc>
        <w:tc>
          <w:tcPr>
            <w:tcW w:w="1249" w:type="dxa"/>
            <w:tcBorders>
              <w:tl2br w:val="nil"/>
              <w:tr2bl w:val="nil"/>
            </w:tcBorders>
            <w:shd w:val="clear" w:color="auto" w:fill="auto"/>
            <w:noWrap w:val="0"/>
            <w:vAlign w:val="center"/>
          </w:tcPr>
          <w:p w14:paraId="4FC1209C">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val="en-US" w:eastAsia="zh-CN"/>
              </w:rPr>
              <w:t>废水</w:t>
            </w:r>
          </w:p>
        </w:tc>
        <w:tc>
          <w:tcPr>
            <w:tcW w:w="2110" w:type="dxa"/>
            <w:tcBorders>
              <w:tl2br w:val="nil"/>
              <w:tr2bl w:val="nil"/>
            </w:tcBorders>
            <w:shd w:val="clear" w:color="auto" w:fill="auto"/>
            <w:noWrap w:val="0"/>
            <w:vAlign w:val="center"/>
          </w:tcPr>
          <w:p w14:paraId="5F4CBD68">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val="en-US" w:eastAsia="zh-CN"/>
              </w:rPr>
              <w:t>泄漏</w:t>
            </w:r>
          </w:p>
        </w:tc>
        <w:tc>
          <w:tcPr>
            <w:tcW w:w="1164" w:type="dxa"/>
            <w:tcBorders>
              <w:tl2br w:val="nil"/>
              <w:tr2bl w:val="nil"/>
            </w:tcBorders>
            <w:shd w:val="clear" w:color="auto" w:fill="auto"/>
            <w:noWrap w:val="0"/>
            <w:vAlign w:val="center"/>
          </w:tcPr>
          <w:p w14:paraId="694EA396">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val="en-US" w:eastAsia="zh-CN"/>
              </w:rPr>
              <w:t>/</w:t>
            </w:r>
          </w:p>
        </w:tc>
        <w:tc>
          <w:tcPr>
            <w:tcW w:w="2170" w:type="dxa"/>
            <w:tcBorders>
              <w:tl2br w:val="nil"/>
              <w:tr2bl w:val="nil"/>
            </w:tcBorders>
            <w:shd w:val="clear" w:color="auto" w:fill="auto"/>
            <w:noWrap w:val="0"/>
            <w:vAlign w:val="center"/>
          </w:tcPr>
          <w:p w14:paraId="2533B31A">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val="en-US" w:eastAsia="zh-CN"/>
              </w:rPr>
              <w:t>地表水：泄漏的物料进入地表水环境</w:t>
            </w:r>
          </w:p>
        </w:tc>
      </w:tr>
      <w:tr w14:paraId="5531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 w:type="dxa"/>
            <w:tcBorders>
              <w:tl2br w:val="nil"/>
              <w:tr2bl w:val="nil"/>
            </w:tcBorders>
            <w:noWrap w:val="0"/>
            <w:vAlign w:val="center"/>
          </w:tcPr>
          <w:p w14:paraId="5634F681">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火灾、爆炸伴生/次生污染</w:t>
            </w:r>
          </w:p>
        </w:tc>
        <w:tc>
          <w:tcPr>
            <w:tcW w:w="908" w:type="dxa"/>
            <w:tcBorders>
              <w:tl2br w:val="nil"/>
              <w:tr2bl w:val="nil"/>
            </w:tcBorders>
            <w:noWrap w:val="0"/>
            <w:vAlign w:val="center"/>
          </w:tcPr>
          <w:p w14:paraId="63D59407">
            <w:pPr>
              <w:pStyle w:val="24"/>
              <w:bidi w:val="0"/>
              <w:ind w:left="0" w:leftChars="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罐区</w:t>
            </w:r>
          </w:p>
        </w:tc>
        <w:tc>
          <w:tcPr>
            <w:tcW w:w="818" w:type="dxa"/>
            <w:tcBorders>
              <w:tl2br w:val="nil"/>
              <w:tr2bl w:val="nil"/>
            </w:tcBorders>
            <w:noWrap w:val="0"/>
            <w:vAlign w:val="center"/>
          </w:tcPr>
          <w:p w14:paraId="6BFB17FF">
            <w:pPr>
              <w:pStyle w:val="24"/>
              <w:bidi w:val="0"/>
              <w:ind w:left="0" w:leftChars="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储罐</w:t>
            </w:r>
          </w:p>
        </w:tc>
        <w:tc>
          <w:tcPr>
            <w:tcW w:w="1249" w:type="dxa"/>
            <w:tcBorders>
              <w:tl2br w:val="nil"/>
              <w:tr2bl w:val="nil"/>
            </w:tcBorders>
            <w:noWrap w:val="0"/>
            <w:vAlign w:val="center"/>
          </w:tcPr>
          <w:p w14:paraId="0147679C">
            <w:pPr>
              <w:pStyle w:val="24"/>
              <w:bidi w:val="0"/>
              <w:rPr>
                <w:rFonts w:hint="default" w:ascii="Times New Roman" w:hAnsi="Times New Roman" w:eastAsia="宋体" w:cs="Times New Roman"/>
                <w:color w:val="auto"/>
                <w:lang w:val="en-US" w:eastAsia="zh-CN"/>
              </w:rPr>
            </w:pPr>
            <w:r>
              <w:rPr>
                <w:rFonts w:hint="eastAsia" w:cs="Times New Roman"/>
                <w:color w:val="auto"/>
                <w:lang w:val="en-US" w:eastAsia="zh-CN"/>
              </w:rPr>
              <w:t>丙烯酸、硫酸</w:t>
            </w:r>
            <w:r>
              <w:rPr>
                <w:rFonts w:hint="default" w:ascii="Times New Roman" w:hAnsi="Times New Roman" w:cs="Times New Roman"/>
                <w:color w:val="auto"/>
                <w:lang w:val="en-US" w:eastAsia="zh-CN"/>
              </w:rPr>
              <w:t>燃烧伴生/次生污染物CO</w:t>
            </w:r>
            <w:r>
              <w:rPr>
                <w:rFonts w:hint="eastAsia" w:cs="Times New Roman"/>
                <w:color w:val="auto"/>
                <w:sz w:val="21"/>
                <w:szCs w:val="21"/>
                <w:lang w:eastAsia="zh-CN"/>
              </w:rPr>
              <w:t>、</w:t>
            </w:r>
            <w:r>
              <w:rPr>
                <w:rFonts w:hint="eastAsia" w:ascii="Times New Roman" w:hAnsi="Times New Roman" w:eastAsia="宋体" w:cs="Courier New"/>
                <w:b w:val="0"/>
                <w:bCs w:val="0"/>
                <w:color w:val="auto"/>
                <w:kern w:val="2"/>
                <w:sz w:val="21"/>
                <w:szCs w:val="21"/>
                <w:highlight w:val="none"/>
                <w:lang w:val="en-US" w:eastAsia="zh-CN" w:bidi="ar-SA"/>
              </w:rPr>
              <w:t>SO</w:t>
            </w:r>
            <w:r>
              <w:rPr>
                <w:rFonts w:hint="eastAsia" w:ascii="Times New Roman" w:hAnsi="Times New Roman" w:eastAsia="宋体" w:cs="Courier New"/>
                <w:b w:val="0"/>
                <w:bCs w:val="0"/>
                <w:color w:val="auto"/>
                <w:kern w:val="2"/>
                <w:sz w:val="21"/>
                <w:szCs w:val="21"/>
                <w:highlight w:val="none"/>
                <w:vertAlign w:val="subscript"/>
                <w:lang w:val="en-US" w:eastAsia="zh-CN" w:bidi="ar-SA"/>
              </w:rPr>
              <w:t>2</w:t>
            </w:r>
          </w:p>
        </w:tc>
        <w:tc>
          <w:tcPr>
            <w:tcW w:w="2110" w:type="dxa"/>
            <w:tcBorders>
              <w:tl2br w:val="nil"/>
              <w:tr2bl w:val="nil"/>
            </w:tcBorders>
            <w:noWrap w:val="0"/>
            <w:vAlign w:val="center"/>
          </w:tcPr>
          <w:p w14:paraId="046093A8">
            <w:pPr>
              <w:pStyle w:val="24"/>
              <w:bidi w:val="0"/>
              <w:ind w:left="0" w:leftChars="0"/>
              <w:rPr>
                <w:rFonts w:hint="default" w:ascii="Times New Roman" w:hAnsi="Times New Roman" w:eastAsia="宋体" w:cs="Times New Roman"/>
                <w:b w:val="0"/>
                <w:color w:val="auto"/>
                <w:kern w:val="2"/>
                <w:sz w:val="21"/>
                <w:szCs w:val="24"/>
                <w:lang w:val="en-US" w:eastAsia="zh-CN" w:bidi="ar-SA"/>
              </w:rPr>
            </w:pPr>
            <w:r>
              <w:rPr>
                <w:rFonts w:hint="default" w:ascii="Times New Roman" w:hAnsi="Times New Roman" w:cs="Times New Roman"/>
                <w:color w:val="auto"/>
                <w:lang w:val="en-US" w:eastAsia="zh-CN"/>
              </w:rPr>
              <w:t>火灾</w:t>
            </w:r>
          </w:p>
        </w:tc>
        <w:tc>
          <w:tcPr>
            <w:tcW w:w="1164" w:type="dxa"/>
            <w:tcBorders>
              <w:tl2br w:val="nil"/>
              <w:tr2bl w:val="nil"/>
            </w:tcBorders>
            <w:noWrap w:val="0"/>
            <w:vAlign w:val="center"/>
          </w:tcPr>
          <w:p w14:paraId="52D31017">
            <w:pPr>
              <w:pStyle w:val="24"/>
              <w:bidi w:val="0"/>
              <w:ind w:left="0" w:leftChars="0"/>
              <w:rPr>
                <w:rFonts w:hint="default" w:ascii="Times New Roman" w:hAnsi="Times New Roman" w:eastAsia="宋体" w:cs="Times New Roman"/>
                <w:b w:val="0"/>
                <w:color w:val="auto"/>
                <w:kern w:val="2"/>
                <w:sz w:val="21"/>
                <w:szCs w:val="24"/>
                <w:lang w:val="en-US" w:eastAsia="zh-CN" w:bidi="ar-SA"/>
              </w:rPr>
            </w:pPr>
            <w:r>
              <w:rPr>
                <w:rFonts w:hint="default" w:ascii="Times New Roman" w:hAnsi="Times New Roman" w:cs="Times New Roman"/>
                <w:color w:val="auto"/>
                <w:lang w:val="en-US" w:eastAsia="zh-CN"/>
              </w:rPr>
              <w:t>/</w:t>
            </w:r>
          </w:p>
        </w:tc>
        <w:tc>
          <w:tcPr>
            <w:tcW w:w="2170" w:type="dxa"/>
            <w:tcBorders>
              <w:tl2br w:val="nil"/>
              <w:tr2bl w:val="nil"/>
            </w:tcBorders>
            <w:noWrap w:val="0"/>
            <w:vAlign w:val="center"/>
          </w:tcPr>
          <w:p w14:paraId="6245C662">
            <w:pPr>
              <w:pStyle w:val="24"/>
              <w:bidi w:val="0"/>
              <w:ind w:left="0" w:leftChars="0"/>
              <w:jc w:val="center"/>
              <w:rPr>
                <w:rFonts w:hint="default" w:ascii="Times New Roman" w:hAnsi="Times New Roman" w:eastAsia="宋体" w:cs="Times New Roman"/>
                <w:b w:val="0"/>
                <w:color w:val="auto"/>
                <w:kern w:val="2"/>
                <w:sz w:val="21"/>
                <w:szCs w:val="24"/>
                <w:lang w:val="en-US" w:eastAsia="zh-CN" w:bidi="ar-SA"/>
              </w:rPr>
            </w:pPr>
            <w:r>
              <w:rPr>
                <w:rFonts w:hint="default" w:ascii="Times New Roman" w:hAnsi="Times New Roman" w:cs="Times New Roman"/>
                <w:color w:val="auto"/>
                <w:lang w:val="en-US" w:eastAsia="zh-CN"/>
              </w:rPr>
              <w:t>大气：CO</w:t>
            </w:r>
            <w:r>
              <w:rPr>
                <w:rFonts w:hint="eastAsia" w:cs="Times New Roman"/>
                <w:color w:val="auto"/>
                <w:sz w:val="21"/>
                <w:szCs w:val="21"/>
                <w:lang w:eastAsia="zh-CN"/>
              </w:rPr>
              <w:t>、</w:t>
            </w:r>
            <w:r>
              <w:rPr>
                <w:rFonts w:hint="eastAsia" w:ascii="Times New Roman" w:hAnsi="Times New Roman" w:eastAsia="宋体" w:cs="Courier New"/>
                <w:b w:val="0"/>
                <w:bCs w:val="0"/>
                <w:color w:val="auto"/>
                <w:kern w:val="2"/>
                <w:sz w:val="21"/>
                <w:szCs w:val="21"/>
                <w:highlight w:val="none"/>
                <w:lang w:val="en-US" w:eastAsia="zh-CN" w:bidi="ar-SA"/>
              </w:rPr>
              <w:t>SO</w:t>
            </w:r>
            <w:r>
              <w:rPr>
                <w:rFonts w:hint="eastAsia" w:ascii="Times New Roman" w:hAnsi="Times New Roman" w:eastAsia="宋体" w:cs="Courier New"/>
                <w:b w:val="0"/>
                <w:bCs w:val="0"/>
                <w:color w:val="auto"/>
                <w:kern w:val="2"/>
                <w:sz w:val="21"/>
                <w:szCs w:val="21"/>
                <w:highlight w:val="none"/>
                <w:vertAlign w:val="subscript"/>
                <w:lang w:val="en-US" w:eastAsia="zh-CN" w:bidi="ar-SA"/>
              </w:rPr>
              <w:t>2</w:t>
            </w:r>
            <w:r>
              <w:rPr>
                <w:rFonts w:hint="default" w:ascii="Times New Roman" w:hAnsi="Times New Roman" w:cs="Times New Roman"/>
                <w:color w:val="auto"/>
                <w:lang w:val="en-US" w:eastAsia="zh-CN"/>
              </w:rPr>
              <w:t>扩散进入</w:t>
            </w:r>
            <w:r>
              <w:rPr>
                <w:rFonts w:hint="default" w:ascii="Times New Roman" w:hAnsi="Times New Roman" w:cs="Times New Roman"/>
                <w:color w:val="auto"/>
              </w:rPr>
              <w:t>大气</w:t>
            </w:r>
            <w:r>
              <w:rPr>
                <w:rFonts w:hint="default" w:ascii="Times New Roman" w:hAnsi="Times New Roman" w:cs="Times New Roman"/>
                <w:color w:val="auto"/>
                <w:lang w:val="en-US" w:eastAsia="zh-CN"/>
              </w:rPr>
              <w:t>环境</w:t>
            </w:r>
          </w:p>
        </w:tc>
      </w:tr>
    </w:tbl>
    <w:p w14:paraId="5D8F45BB">
      <w:pPr>
        <w:pStyle w:val="4"/>
        <w:bidi w:val="0"/>
        <w:rPr>
          <w:rFonts w:hint="default" w:ascii="Times New Roman" w:hAnsi="Times New Roman" w:cs="Times New Roman"/>
          <w:color w:val="auto"/>
          <w:highlight w:val="none"/>
        </w:rPr>
      </w:pPr>
      <w:bookmarkStart w:id="180" w:name="_Toc12300"/>
      <w:bookmarkStart w:id="181" w:name="_Toc11957"/>
      <w:bookmarkStart w:id="182" w:name="_Toc4639"/>
      <w:bookmarkStart w:id="183" w:name="_Toc1967"/>
      <w:r>
        <w:rPr>
          <w:rFonts w:hint="default" w:ascii="Times New Roman" w:hAnsi="Times New Roman" w:cs="Times New Roman"/>
          <w:color w:val="auto"/>
          <w:highlight w:val="none"/>
        </w:rPr>
        <w:t>风险事故源项</w:t>
      </w:r>
      <w:bookmarkEnd w:id="180"/>
      <w:bookmarkEnd w:id="181"/>
      <w:bookmarkEnd w:id="182"/>
      <w:bookmarkEnd w:id="183"/>
      <w:r>
        <w:rPr>
          <w:rFonts w:hint="default" w:ascii="Times New Roman" w:hAnsi="Times New Roman" w:cs="Times New Roman"/>
          <w:color w:val="auto"/>
          <w:highlight w:val="none"/>
          <w:lang w:val="en-US" w:eastAsia="zh-CN"/>
        </w:rPr>
        <w:t>分析</w:t>
      </w:r>
    </w:p>
    <w:p w14:paraId="755B10FA">
      <w:pPr>
        <w:pStyle w:val="5"/>
        <w:bidi w:val="0"/>
        <w:rPr>
          <w:rFonts w:hint="default" w:ascii="Times New Roman" w:hAnsi="Times New Roman" w:cs="Times New Roman"/>
          <w:color w:val="auto"/>
          <w:highlight w:val="none"/>
        </w:rPr>
      </w:pPr>
      <w:r>
        <w:rPr>
          <w:rFonts w:hint="eastAsia" w:cs="Times New Roman"/>
          <w:color w:val="auto"/>
          <w:highlight w:val="none"/>
          <w:lang w:val="en-US" w:eastAsia="zh-CN"/>
        </w:rPr>
        <w:t>硫酸、氟硅酸</w:t>
      </w:r>
      <w:r>
        <w:rPr>
          <w:rFonts w:hint="default" w:ascii="Times New Roman" w:hAnsi="Times New Roman" w:cs="Times New Roman"/>
          <w:color w:val="auto"/>
          <w:highlight w:val="none"/>
          <w:lang w:val="en-US" w:eastAsia="zh-CN"/>
        </w:rPr>
        <w:t>储罐泄漏事故</w:t>
      </w:r>
      <w:r>
        <w:rPr>
          <w:rFonts w:hint="default" w:ascii="Times New Roman" w:hAnsi="Times New Roman" w:cs="Times New Roman"/>
          <w:color w:val="auto"/>
          <w:highlight w:val="none"/>
        </w:rPr>
        <w:t>源项分析</w:t>
      </w:r>
    </w:p>
    <w:p w14:paraId="4444FCE0">
      <w:pPr>
        <w:pStyle w:val="26"/>
        <w:bidi w:val="0"/>
        <w:rPr>
          <w:rFonts w:hint="default" w:ascii="Times New Roman" w:hAnsi="Times New Roman" w:eastAsia="宋体" w:cs="Times New Roman"/>
          <w:color w:val="auto"/>
          <w:highlight w:val="none"/>
          <w:lang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、氟硅酸</w:t>
      </w:r>
      <w:r>
        <w:rPr>
          <w:rFonts w:hint="default" w:ascii="Times New Roman" w:hAnsi="Times New Roman" w:cs="Times New Roman"/>
          <w:color w:val="auto"/>
          <w:highlight w:val="none"/>
        </w:rPr>
        <w:t>储罐发生罐底泄漏，储罐内的</w:t>
      </w:r>
      <w:r>
        <w:rPr>
          <w:rFonts w:hint="default" w:ascii="Times New Roman" w:hAnsi="Times New Roman" w:cs="Times New Roman"/>
          <w:color w:val="auto"/>
          <w:highlight w:val="none"/>
          <w:lang w:val="en-US" w:eastAsia="zh-CN"/>
        </w:rPr>
        <w:t>物料</w:t>
      </w:r>
      <w:r>
        <w:rPr>
          <w:rFonts w:hint="default" w:ascii="Times New Roman" w:hAnsi="Times New Roman" w:cs="Times New Roman"/>
          <w:color w:val="auto"/>
          <w:highlight w:val="none"/>
        </w:rPr>
        <w:t>泄漏到围堰内。</w:t>
      </w:r>
      <w:r>
        <w:rPr>
          <w:rFonts w:hint="eastAsia" w:cs="Times New Roman"/>
          <w:color w:val="auto"/>
          <w:highlight w:val="none"/>
          <w:lang w:val="en-US" w:eastAsia="zh-CN"/>
        </w:rPr>
        <w:t>硫酸</w:t>
      </w:r>
      <w:r>
        <w:rPr>
          <w:rFonts w:hint="default" w:ascii="Times New Roman" w:hAnsi="Times New Roman" w:cs="Times New Roman"/>
          <w:color w:val="auto"/>
          <w:highlight w:val="none"/>
        </w:rPr>
        <w:t>储罐容积为</w:t>
      </w:r>
      <w:r>
        <w:rPr>
          <w:rFonts w:hint="eastAsia" w:cs="Times New Roman"/>
          <w:color w:val="auto"/>
          <w:highlight w:val="none"/>
          <w:lang w:val="en-US" w:eastAsia="zh-CN"/>
        </w:rPr>
        <w:t>50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储罐中物料量均为</w:t>
      </w:r>
      <w:r>
        <w:rPr>
          <w:rFonts w:hint="eastAsia" w:cs="Times New Roman"/>
          <w:color w:val="auto"/>
          <w:highlight w:val="none"/>
          <w:lang w:val="en-US" w:eastAsia="zh-CN"/>
        </w:rPr>
        <w:t>45</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氟硅酸</w:t>
      </w:r>
      <w:r>
        <w:rPr>
          <w:rFonts w:hint="default" w:ascii="Times New Roman" w:hAnsi="Times New Roman" w:cs="Times New Roman"/>
          <w:color w:val="auto"/>
          <w:highlight w:val="none"/>
        </w:rPr>
        <w:t>储罐容积为</w:t>
      </w:r>
      <w:r>
        <w:rPr>
          <w:rFonts w:hint="eastAsia" w:cs="Times New Roman"/>
          <w:color w:val="auto"/>
          <w:highlight w:val="none"/>
          <w:lang w:val="en-US" w:eastAsia="zh-CN"/>
        </w:rPr>
        <w:t>35</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储罐中物料量为</w:t>
      </w:r>
      <w:r>
        <w:rPr>
          <w:rFonts w:hint="eastAsia" w:cs="Times New Roman"/>
          <w:color w:val="auto"/>
          <w:highlight w:val="none"/>
          <w:lang w:val="en-US" w:eastAsia="zh-CN"/>
        </w:rPr>
        <w:t>31.5</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rPr>
        <w:t>。存储条件为常温常压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本次考虑储罐内</w:t>
      </w:r>
      <w:r>
        <w:rPr>
          <w:rFonts w:hint="default" w:ascii="Times New Roman" w:hAnsi="Times New Roman" w:cs="Times New Roman"/>
          <w:color w:val="auto"/>
          <w:highlight w:val="none"/>
          <w:lang w:val="en-US" w:eastAsia="zh-CN"/>
        </w:rPr>
        <w:t>物料</w:t>
      </w:r>
      <w:r>
        <w:rPr>
          <w:rFonts w:hint="default" w:ascii="Times New Roman" w:hAnsi="Times New Roman" w:cs="Times New Roman"/>
          <w:color w:val="auto"/>
          <w:highlight w:val="none"/>
        </w:rPr>
        <w:t>在10min中内泄漏完，经计算</w:t>
      </w:r>
      <w:r>
        <w:rPr>
          <w:rFonts w:hint="eastAsia" w:cs="Times New Roman"/>
          <w:color w:val="auto"/>
          <w:highlight w:val="none"/>
          <w:lang w:val="en-US" w:eastAsia="zh-CN"/>
        </w:rPr>
        <w:t>硫酸</w:t>
      </w:r>
      <w:r>
        <w:rPr>
          <w:rFonts w:hint="default" w:ascii="Times New Roman" w:hAnsi="Times New Roman" w:cs="Times New Roman"/>
          <w:color w:val="auto"/>
          <w:highlight w:val="none"/>
        </w:rPr>
        <w:t>泄漏速率为</w:t>
      </w:r>
      <w:r>
        <w:rPr>
          <w:rFonts w:hint="eastAsia" w:cs="Times New Roman"/>
          <w:color w:val="auto"/>
          <w:highlight w:val="none"/>
          <w:lang w:val="en-US" w:eastAsia="zh-CN"/>
        </w:rPr>
        <w:t>138</w:t>
      </w:r>
      <w:r>
        <w:rPr>
          <w:rFonts w:hint="default" w:ascii="Times New Roman" w:hAnsi="Times New Roman" w:cs="Times New Roman"/>
          <w:color w:val="auto"/>
          <w:highlight w:val="none"/>
        </w:rPr>
        <w:t>kg/s</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氟硅酸</w:t>
      </w:r>
      <w:r>
        <w:rPr>
          <w:rFonts w:hint="default" w:ascii="Times New Roman" w:hAnsi="Times New Roman" w:cs="Times New Roman"/>
          <w:color w:val="auto"/>
          <w:highlight w:val="none"/>
        </w:rPr>
        <w:t>泄漏速率为</w:t>
      </w:r>
      <w:r>
        <w:rPr>
          <w:rFonts w:hint="eastAsia" w:cs="Times New Roman"/>
          <w:color w:val="auto"/>
          <w:highlight w:val="none"/>
          <w:lang w:val="en-US" w:eastAsia="zh-CN"/>
        </w:rPr>
        <w:t>69.3</w:t>
      </w:r>
      <w:r>
        <w:rPr>
          <w:rFonts w:hint="default" w:ascii="Times New Roman" w:hAnsi="Times New Roman" w:cs="Times New Roman"/>
          <w:color w:val="auto"/>
          <w:highlight w:val="none"/>
        </w:rPr>
        <w:t>kg/s。</w:t>
      </w:r>
    </w:p>
    <w:p w14:paraId="17A5806F">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w:t>
      </w:r>
      <w:r>
        <w:rPr>
          <w:rFonts w:hint="default" w:ascii="Times New Roman" w:hAnsi="Times New Roman" w:cs="Times New Roman"/>
          <w:color w:val="auto"/>
          <w:highlight w:val="none"/>
          <w:lang w:val="en-US" w:eastAsia="zh-CN"/>
        </w:rPr>
        <w:t>物料</w:t>
      </w:r>
      <w:r>
        <w:rPr>
          <w:rFonts w:hint="default" w:ascii="Times New Roman" w:hAnsi="Times New Roman" w:cs="Times New Roman"/>
          <w:color w:val="auto"/>
          <w:highlight w:val="none"/>
        </w:rPr>
        <w:t>在储罐区围堰内形成液池，蒸发进入大气中。一般情况下，蒸发时间可按15~30min计。</w:t>
      </w:r>
      <w:r>
        <w:rPr>
          <w:rFonts w:hint="eastAsia" w:cs="Times New Roman"/>
          <w:color w:val="auto"/>
          <w:highlight w:val="none"/>
          <w:lang w:val="en-US" w:eastAsia="zh-CN"/>
        </w:rPr>
        <w:t>本项目罐区设围堰和集水池，</w:t>
      </w:r>
      <w:r>
        <w:rPr>
          <w:rFonts w:hint="eastAsia"/>
          <w:color w:val="auto"/>
          <w:highlight w:val="none"/>
          <w:lang w:val="en-US" w:eastAsia="zh-CN"/>
        </w:rPr>
        <w:t>集水池内设潜污泵，发生泄漏时，废液可经围堰收集后迅速排入集水池，然后泵入可视化架空管廊，</w:t>
      </w:r>
      <w:r>
        <w:rPr>
          <w:rFonts w:hint="default" w:ascii="Times New Roman" w:hAnsi="Times New Roman" w:cs="Times New Roman"/>
          <w:color w:val="auto"/>
          <w:highlight w:val="none"/>
        </w:rPr>
        <w:t>本次取蒸发时间为</w:t>
      </w:r>
      <w:r>
        <w:rPr>
          <w:rFonts w:hint="eastAsia" w:cs="Times New Roman"/>
          <w:color w:val="auto"/>
          <w:highlight w:val="none"/>
          <w:lang w:val="en-US" w:eastAsia="zh-CN"/>
        </w:rPr>
        <w:t>15</w:t>
      </w:r>
      <w:r>
        <w:rPr>
          <w:rFonts w:hint="default" w:ascii="Times New Roman" w:hAnsi="Times New Roman" w:cs="Times New Roman"/>
          <w:color w:val="auto"/>
          <w:highlight w:val="none"/>
        </w:rPr>
        <w:t>min。</w:t>
      </w:r>
    </w:p>
    <w:p w14:paraId="0A98534C">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泄漏液体的蒸发分为闪蒸蒸发、热量蒸发和质量蒸发三种，其蒸发总量为这三种蒸发之和。</w:t>
      </w:r>
    </w:p>
    <w:p w14:paraId="260EEBDF">
      <w:pPr>
        <w:pStyle w:val="26"/>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闪蒸蒸发</w:t>
      </w:r>
      <w:r>
        <w:rPr>
          <w:rFonts w:hint="default" w:ascii="Times New Roman" w:hAnsi="Times New Roman" w:cs="Times New Roman"/>
          <w:b/>
          <w:bCs/>
          <w:color w:val="auto"/>
          <w:highlight w:val="none"/>
          <w:lang w:val="en-US" w:eastAsia="zh-CN"/>
        </w:rPr>
        <w:t>估算</w:t>
      </w:r>
    </w:p>
    <w:p w14:paraId="663481D6">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液体闪蒸蒸发速率Q</w:t>
      </w:r>
      <w:r>
        <w:rPr>
          <w:rFonts w:hint="default" w:ascii="Times New Roman" w:hAnsi="Times New Roman" w:cs="Times New Roman"/>
          <w:color w:val="auto"/>
          <w:highlight w:val="none"/>
          <w:vertAlign w:val="subscript"/>
          <w:lang w:val="en-US" w:eastAsia="zh-CN"/>
        </w:rPr>
        <w:t>1</w:t>
      </w:r>
      <w:r>
        <w:rPr>
          <w:rFonts w:hint="default" w:ascii="Times New Roman" w:hAnsi="Times New Roman" w:cs="Times New Roman"/>
          <w:color w:val="auto"/>
          <w:highlight w:val="none"/>
        </w:rPr>
        <w:t>按下式计算：</w:t>
      </w:r>
    </w:p>
    <w:p w14:paraId="0078310E">
      <w:pPr>
        <w:pStyle w:val="26"/>
        <w:bidi w:val="0"/>
        <w:jc w:val="center"/>
        <w:rPr>
          <w:rFonts w:hint="default" w:ascii="Times New Roman" w:hAnsi="Times New Roman" w:cs="Times New Roman"/>
          <w:color w:val="auto"/>
          <w:highlight w:val="none"/>
        </w:rPr>
      </w:pPr>
      <w:r>
        <w:rPr>
          <w:rFonts w:hint="default" w:ascii="Times New Roman" w:hAnsi="Times New Roman" w:cs="Times New Roman"/>
          <w:color w:val="auto"/>
        </w:rPr>
        <w:drawing>
          <wp:inline distT="0" distB="0" distL="114300" distR="114300">
            <wp:extent cx="1325880" cy="734695"/>
            <wp:effectExtent l="0" t="0" r="7620" b="8255"/>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178"/>
                    <a:stretch>
                      <a:fillRect/>
                    </a:stretch>
                  </pic:blipFill>
                  <pic:spPr>
                    <a:xfrm>
                      <a:off x="0" y="0"/>
                      <a:ext cx="1325880" cy="734695"/>
                    </a:xfrm>
                    <a:prstGeom prst="rect">
                      <a:avLst/>
                    </a:prstGeom>
                    <a:noFill/>
                    <a:ln>
                      <a:noFill/>
                    </a:ln>
                  </pic:spPr>
                </pic:pic>
              </a:graphicData>
            </a:graphic>
          </wp:inline>
        </w:drawing>
      </w:r>
    </w:p>
    <w:p w14:paraId="524AF0D9">
      <w:pPr>
        <w:pStyle w:val="26"/>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式中：F</w:t>
      </w:r>
      <w:r>
        <w:rPr>
          <w:rFonts w:hint="default" w:ascii="Times New Roman" w:hAnsi="Times New Roman" w:cs="Times New Roman"/>
          <w:color w:val="auto"/>
          <w:highlight w:val="none"/>
          <w:vertAlign w:val="subscript"/>
        </w:rPr>
        <w:t>v</w:t>
      </w:r>
      <w:r>
        <w:rPr>
          <w:rFonts w:hint="default" w:ascii="Times New Roman" w:hAnsi="Times New Roman" w:cs="Times New Roman"/>
          <w:color w:val="auto"/>
          <w:highlight w:val="none"/>
        </w:rPr>
        <w:t>——泄漏液体的闪蒸比</w:t>
      </w:r>
      <w:r>
        <w:rPr>
          <w:rFonts w:hint="default" w:ascii="Times New Roman" w:hAnsi="Times New Roman" w:cs="Times New Roman"/>
          <w:color w:val="auto"/>
          <w:highlight w:val="none"/>
          <w:lang w:eastAsia="zh-CN"/>
        </w:rPr>
        <w:t>；</w:t>
      </w:r>
    </w:p>
    <w:p w14:paraId="5CCADC6E">
      <w:pPr>
        <w:pStyle w:val="26"/>
        <w:bidi w:val="0"/>
        <w:ind w:firstLine="1200" w:firstLineChars="5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T</w:t>
      </w:r>
      <w:r>
        <w:rPr>
          <w:rFonts w:hint="default" w:ascii="Times New Roman" w:hAnsi="Times New Roman" w:cs="Times New Roman"/>
          <w:color w:val="auto"/>
          <w:highlight w:val="none"/>
          <w:vertAlign w:val="subscript"/>
        </w:rPr>
        <w:t>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储存温度，K</w:t>
      </w:r>
      <w:r>
        <w:rPr>
          <w:rFonts w:hint="default" w:ascii="Times New Roman" w:hAnsi="Times New Roman" w:cs="Times New Roman"/>
          <w:color w:val="auto"/>
          <w:highlight w:val="none"/>
          <w:lang w:eastAsia="zh-CN"/>
        </w:rPr>
        <w:t>；</w:t>
      </w:r>
    </w:p>
    <w:p w14:paraId="75CB3A47">
      <w:pPr>
        <w:pStyle w:val="26"/>
        <w:bidi w:val="0"/>
        <w:ind w:firstLine="1200" w:firstLineChars="5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T</w:t>
      </w:r>
      <w:r>
        <w:rPr>
          <w:rFonts w:hint="default" w:ascii="Times New Roman" w:hAnsi="Times New Roman" w:cs="Times New Roman"/>
          <w:color w:val="auto"/>
          <w:highlight w:val="none"/>
          <w:vertAlign w:val="subscript"/>
        </w:rPr>
        <w:t>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泄漏液体的沸点，K</w:t>
      </w:r>
      <w:r>
        <w:rPr>
          <w:rFonts w:hint="default" w:ascii="Times New Roman" w:hAnsi="Times New Roman" w:cs="Times New Roman"/>
          <w:color w:val="auto"/>
          <w:highlight w:val="none"/>
          <w:lang w:eastAsia="zh-CN"/>
        </w:rPr>
        <w:t>；</w:t>
      </w:r>
    </w:p>
    <w:p w14:paraId="44255DBA">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vertAlign w:val="subscript"/>
        </w:rPr>
        <w:t>v</w:t>
      </w:r>
      <w:r>
        <w:rPr>
          <w:rFonts w:hint="default" w:ascii="Times New Roman" w:hAnsi="Times New Roman" w:cs="Times New Roman"/>
          <w:color w:val="auto"/>
          <w:highlight w:val="none"/>
        </w:rPr>
        <w:t>——泄漏液体的蒸发热，J/kg;</w:t>
      </w:r>
    </w:p>
    <w:p w14:paraId="4067CD6E">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p</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泄漏液体的定压比热容，J/（kg·K）；</w:t>
      </w:r>
    </w:p>
    <w:p w14:paraId="19A6B4BF">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过热液体闪蒸蒸发速率，kg/s;</w:t>
      </w:r>
    </w:p>
    <w:p w14:paraId="1F6F7AC5">
      <w:pPr>
        <w:pStyle w:val="26"/>
        <w:bidi w:val="0"/>
        <w:ind w:firstLine="1200" w:firstLineChars="5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Q</w:t>
      </w:r>
      <w:r>
        <w:rPr>
          <w:rFonts w:hint="default" w:ascii="Times New Roman" w:hAnsi="Times New Roman" w:cs="Times New Roman"/>
          <w:color w:val="auto"/>
          <w:highlight w:val="none"/>
          <w:vertAlign w:val="subscript"/>
        </w:rPr>
        <w:t>L</w:t>
      </w:r>
      <w:r>
        <w:rPr>
          <w:rFonts w:hint="default" w:ascii="Times New Roman" w:hAnsi="Times New Roman" w:cs="Times New Roman"/>
          <w:color w:val="auto"/>
          <w:highlight w:val="none"/>
        </w:rPr>
        <w:t>——物质泄漏速率，kg/s</w:t>
      </w:r>
      <w:r>
        <w:rPr>
          <w:rFonts w:hint="default" w:ascii="Times New Roman" w:hAnsi="Times New Roman" w:cs="Times New Roman"/>
          <w:color w:val="auto"/>
          <w:highlight w:val="none"/>
          <w:lang w:eastAsia="zh-CN"/>
        </w:rPr>
        <w:t>。</w:t>
      </w:r>
    </w:p>
    <w:p w14:paraId="1A20F647">
      <w:pPr>
        <w:pStyle w:val="26"/>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热量蒸发</w:t>
      </w:r>
      <w:r>
        <w:rPr>
          <w:rFonts w:hint="default" w:ascii="Times New Roman" w:hAnsi="Times New Roman" w:cs="Times New Roman"/>
          <w:b/>
          <w:bCs/>
          <w:color w:val="auto"/>
          <w:highlight w:val="none"/>
          <w:lang w:val="en-US" w:eastAsia="zh-CN"/>
        </w:rPr>
        <w:t>估算</w:t>
      </w:r>
    </w:p>
    <w:p w14:paraId="4B6A3F49">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热量蒸发的蒸发速度Q</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rPr>
        <w:t>按下式计算：</w:t>
      </w:r>
    </w:p>
    <w:p w14:paraId="10DDCC4F">
      <w:pPr>
        <w:pStyle w:val="26"/>
        <w:bidi w:val="0"/>
        <w:jc w:val="center"/>
        <w:rPr>
          <w:rFonts w:hint="default" w:ascii="Times New Roman" w:hAnsi="Times New Roman" w:cs="Times New Roman"/>
          <w:color w:val="auto"/>
          <w:highlight w:val="none"/>
        </w:rPr>
      </w:pPr>
      <w:r>
        <w:rPr>
          <w:rFonts w:hint="default" w:ascii="Times New Roman" w:hAnsi="Times New Roman" w:cs="Times New Roman"/>
          <w:color w:val="auto"/>
        </w:rPr>
        <w:drawing>
          <wp:inline distT="0" distB="0" distL="114300" distR="114300">
            <wp:extent cx="1534160" cy="624840"/>
            <wp:effectExtent l="0" t="0" r="8890" b="3810"/>
            <wp:docPr id="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5"/>
                    <pic:cNvPicPr>
                      <a:picLocks noChangeAspect="1"/>
                    </pic:cNvPicPr>
                  </pic:nvPicPr>
                  <pic:blipFill>
                    <a:blip r:embed="rId179"/>
                    <a:stretch>
                      <a:fillRect/>
                    </a:stretch>
                  </pic:blipFill>
                  <pic:spPr>
                    <a:xfrm>
                      <a:off x="0" y="0"/>
                      <a:ext cx="1534160" cy="624840"/>
                    </a:xfrm>
                    <a:prstGeom prst="rect">
                      <a:avLst/>
                    </a:prstGeom>
                    <a:noFill/>
                    <a:ln>
                      <a:noFill/>
                    </a:ln>
                  </pic:spPr>
                </pic:pic>
              </a:graphicData>
            </a:graphic>
          </wp:inline>
        </w:drawing>
      </w:r>
    </w:p>
    <w:p w14:paraId="2D7E31CA">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热量蒸发速度，kg/s;</w:t>
      </w:r>
    </w:p>
    <w:p w14:paraId="37414CCC">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T</w:t>
      </w:r>
      <w:r>
        <w:rPr>
          <w:rFonts w:hint="default" w:ascii="Times New Roman" w:hAnsi="Times New Roman" w:cs="Times New Roman"/>
          <w:color w:val="auto"/>
          <w:highlight w:val="none"/>
          <w:vertAlign w:val="subscript"/>
          <w:lang w:val="en-US" w:eastAsia="zh-CN"/>
        </w:rPr>
        <w:t>0</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环境温度，K；</w:t>
      </w:r>
    </w:p>
    <w:p w14:paraId="67BCE59F">
      <w:pPr>
        <w:pStyle w:val="26"/>
        <w:bidi w:val="0"/>
        <w:ind w:firstLine="1200" w:firstLineChars="5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T</w:t>
      </w:r>
      <w:r>
        <w:rPr>
          <w:rFonts w:hint="default" w:ascii="Times New Roman" w:hAnsi="Times New Roman" w:cs="Times New Roman"/>
          <w:color w:val="auto"/>
          <w:highlight w:val="none"/>
          <w:vertAlign w:val="subscript"/>
        </w:rPr>
        <w:t>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沸点温度，K</w:t>
      </w:r>
      <w:r>
        <w:rPr>
          <w:rFonts w:hint="default" w:ascii="Times New Roman" w:hAnsi="Times New Roman" w:cs="Times New Roman"/>
          <w:color w:val="auto"/>
          <w:highlight w:val="none"/>
          <w:lang w:eastAsia="zh-CN"/>
        </w:rPr>
        <w:t>；</w:t>
      </w:r>
    </w:p>
    <w:p w14:paraId="1E0A6CD3">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液池面积，m²；</w:t>
      </w:r>
    </w:p>
    <w:p w14:paraId="394B8F8E">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液体的气化热，J/kg；</w:t>
      </w:r>
    </w:p>
    <w:p w14:paraId="0663E7F3">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表面热导系数，W/m·k；</w:t>
      </w:r>
    </w:p>
    <w:p w14:paraId="146946DF">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表面热扩散系数，m²/s；</w:t>
      </w:r>
    </w:p>
    <w:p w14:paraId="02E71453">
      <w:pPr>
        <w:pStyle w:val="26"/>
        <w:bidi w:val="0"/>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t——蒸发时间，s。</w:t>
      </w:r>
    </w:p>
    <w:p w14:paraId="346C810C">
      <w:pPr>
        <w:pStyle w:val="26"/>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rPr>
        <w:t>质量蒸发</w:t>
      </w:r>
      <w:r>
        <w:rPr>
          <w:rFonts w:hint="default" w:ascii="Times New Roman" w:hAnsi="Times New Roman" w:cs="Times New Roman"/>
          <w:b/>
          <w:bCs/>
          <w:color w:val="auto"/>
          <w:highlight w:val="none"/>
          <w:lang w:val="en-US" w:eastAsia="zh-CN"/>
        </w:rPr>
        <w:t>估算</w:t>
      </w:r>
    </w:p>
    <w:p w14:paraId="591967C2">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质量蒸发速率Q</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按下式计算：</w:t>
      </w:r>
    </w:p>
    <w:p w14:paraId="7653ACEF">
      <w:pPr>
        <w:pStyle w:val="26"/>
        <w:bidi w:val="0"/>
        <w:jc w:val="center"/>
        <w:rPr>
          <w:rFonts w:hint="default" w:ascii="Times New Roman" w:hAnsi="Times New Roman" w:cs="Times New Roman"/>
          <w:color w:val="auto"/>
          <w:highlight w:val="none"/>
        </w:rPr>
      </w:pPr>
      <w:r>
        <w:rPr>
          <w:rFonts w:hint="default" w:ascii="Times New Roman" w:hAnsi="Times New Roman" w:cs="Times New Roman"/>
          <w:color w:val="auto"/>
        </w:rPr>
        <w:drawing>
          <wp:inline distT="0" distB="0" distL="114300" distR="114300">
            <wp:extent cx="2287905" cy="699135"/>
            <wp:effectExtent l="0" t="0" r="17145" b="5715"/>
            <wp:docPr id="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
                    <pic:cNvPicPr>
                      <a:picLocks noChangeAspect="1"/>
                    </pic:cNvPicPr>
                  </pic:nvPicPr>
                  <pic:blipFill>
                    <a:blip r:embed="rId180"/>
                    <a:stretch>
                      <a:fillRect/>
                    </a:stretch>
                  </pic:blipFill>
                  <pic:spPr>
                    <a:xfrm>
                      <a:off x="0" y="0"/>
                      <a:ext cx="2287905" cy="699135"/>
                    </a:xfrm>
                    <a:prstGeom prst="rect">
                      <a:avLst/>
                    </a:prstGeom>
                    <a:noFill/>
                    <a:ln>
                      <a:noFill/>
                    </a:ln>
                  </pic:spPr>
                </pic:pic>
              </a:graphicData>
            </a:graphic>
          </wp:inline>
        </w:drawing>
      </w:r>
    </w:p>
    <w:p w14:paraId="5F7BDDBA">
      <w:pPr>
        <w:pStyle w:val="26"/>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式中：Q</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——质量蒸发速度，kg/s</w:t>
      </w:r>
      <w:r>
        <w:rPr>
          <w:rFonts w:hint="default" w:ascii="Times New Roman" w:hAnsi="Times New Roman" w:cs="Times New Roman"/>
          <w:color w:val="auto"/>
          <w:highlight w:val="none"/>
          <w:lang w:eastAsia="zh-CN"/>
        </w:rPr>
        <w:t>；</w:t>
      </w:r>
    </w:p>
    <w:p w14:paraId="32E39DDA">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p——液体表面蒸气压，Pa</w:t>
      </w:r>
      <w:r>
        <w:rPr>
          <w:rFonts w:hint="default" w:ascii="Times New Roman" w:hAnsi="Times New Roman" w:cs="Times New Roman"/>
          <w:color w:val="auto"/>
          <w:highlight w:val="none"/>
          <w:lang w:eastAsia="zh-CN"/>
        </w:rPr>
        <w:t>；</w:t>
      </w:r>
    </w:p>
    <w:p w14:paraId="640C7D09">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R——气体常数，J/（mol</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k）；</w:t>
      </w:r>
    </w:p>
    <w:p w14:paraId="2A089DF1">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T</w:t>
      </w:r>
      <w:r>
        <w:rPr>
          <w:rFonts w:hint="default" w:ascii="Times New Roman" w:hAnsi="Times New Roman" w:cs="Times New Roman"/>
          <w:color w:val="auto"/>
          <w:highlight w:val="none"/>
          <w:vertAlign w:val="subscript"/>
          <w:lang w:val="en-US" w:eastAsia="zh-CN"/>
        </w:rPr>
        <w:t>0</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环境温度，</w:t>
      </w:r>
      <w:r>
        <w:rPr>
          <w:rFonts w:hint="default" w:ascii="Times New Roman" w:hAnsi="Times New Roman" w:cs="Times New Roman"/>
          <w:color w:val="auto"/>
          <w:highlight w:val="none"/>
          <w:lang w:val="en-US" w:eastAsia="zh-CN"/>
        </w:rPr>
        <w:t>K</w:t>
      </w:r>
      <w:r>
        <w:rPr>
          <w:rFonts w:hint="default" w:ascii="Times New Roman" w:hAnsi="Times New Roman" w:cs="Times New Roman"/>
          <w:color w:val="auto"/>
          <w:highlight w:val="none"/>
          <w:lang w:eastAsia="zh-CN"/>
        </w:rPr>
        <w:t>；</w:t>
      </w:r>
    </w:p>
    <w:p w14:paraId="344951A4">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M——物质的摩尔质量，kg/mol；</w:t>
      </w:r>
    </w:p>
    <w:p w14:paraId="13C8B5A2">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u——风速，m/s；</w:t>
      </w:r>
    </w:p>
    <w:p w14:paraId="07D0A6A2">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r</w:t>
      </w:r>
      <w:r>
        <w:rPr>
          <w:rFonts w:hint="default" w:ascii="Times New Roman" w:hAnsi="Times New Roman" w:cs="Times New Roman"/>
          <w:color w:val="auto"/>
          <w:highlight w:val="none"/>
          <w:lang w:eastAsia="zh-CN"/>
        </w:rPr>
        <w:t>——液池半径，m；</w:t>
      </w:r>
    </w:p>
    <w:p w14:paraId="623C6127">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α，n——大气稳定度系数</w:t>
      </w:r>
      <w:r>
        <w:rPr>
          <w:rFonts w:hint="default" w:ascii="Times New Roman" w:hAnsi="Times New Roman" w:cs="Times New Roman"/>
          <w:color w:val="auto"/>
          <w:highlight w:val="none"/>
          <w:lang w:eastAsia="zh-CN"/>
        </w:rPr>
        <w:t>。</w:t>
      </w:r>
    </w:p>
    <w:p w14:paraId="190A8EEF">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4、液体蒸发总量</w:t>
      </w:r>
    </w:p>
    <w:p w14:paraId="01045AB9">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液体蒸发总量的计算：</w:t>
      </w:r>
    </w:p>
    <w:p w14:paraId="19DCF7DF">
      <w:pPr>
        <w:pStyle w:val="26"/>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rPr>
        <w:drawing>
          <wp:inline distT="0" distB="0" distL="114300" distR="114300">
            <wp:extent cx="1635125" cy="403225"/>
            <wp:effectExtent l="0" t="0" r="3175" b="15875"/>
            <wp:docPr id="1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7"/>
                    <pic:cNvPicPr>
                      <a:picLocks noChangeAspect="1"/>
                    </pic:cNvPicPr>
                  </pic:nvPicPr>
                  <pic:blipFill>
                    <a:blip r:embed="rId181"/>
                    <a:stretch>
                      <a:fillRect/>
                    </a:stretch>
                  </pic:blipFill>
                  <pic:spPr>
                    <a:xfrm>
                      <a:off x="0" y="0"/>
                      <a:ext cx="1635125" cy="403225"/>
                    </a:xfrm>
                    <a:prstGeom prst="rect">
                      <a:avLst/>
                    </a:prstGeom>
                    <a:noFill/>
                    <a:ln>
                      <a:noFill/>
                    </a:ln>
                  </pic:spPr>
                </pic:pic>
              </a:graphicData>
            </a:graphic>
          </wp:inline>
        </w:drawing>
      </w:r>
    </w:p>
    <w:p w14:paraId="338E2F6C">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式中：W</w:t>
      </w:r>
      <w:r>
        <w:rPr>
          <w:rFonts w:hint="default" w:ascii="Times New Roman" w:hAnsi="Times New Roman" w:cs="Times New Roman"/>
          <w:color w:val="auto"/>
          <w:highlight w:val="none"/>
          <w:vertAlign w:val="subscript"/>
          <w:lang w:eastAsia="zh-CN"/>
        </w:rPr>
        <w:t>p</w:t>
      </w:r>
      <w:r>
        <w:rPr>
          <w:rFonts w:hint="default" w:ascii="Times New Roman" w:hAnsi="Times New Roman" w:cs="Times New Roman"/>
          <w:color w:val="auto"/>
          <w:highlight w:val="none"/>
          <w:lang w:eastAsia="zh-CN"/>
        </w:rPr>
        <w:t>——液体蒸发总量，kg；</w:t>
      </w:r>
    </w:p>
    <w:p w14:paraId="3BCB7DEA">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Q</w:t>
      </w:r>
      <w:r>
        <w:rPr>
          <w:rFonts w:hint="default" w:ascii="Times New Roman" w:hAnsi="Times New Roman" w:cs="Times New Roman"/>
          <w:color w:val="auto"/>
          <w:highlight w:val="none"/>
          <w:vertAlign w:val="subscript"/>
          <w:lang w:val="en-US" w:eastAsia="zh-CN"/>
        </w:rPr>
        <w:t>1</w:t>
      </w:r>
      <w:r>
        <w:rPr>
          <w:rFonts w:hint="default" w:ascii="Times New Roman" w:hAnsi="Times New Roman" w:cs="Times New Roman"/>
          <w:color w:val="auto"/>
          <w:highlight w:val="none"/>
          <w:lang w:eastAsia="zh-CN"/>
        </w:rPr>
        <w:t>——闪蒸液体蒸发速率，kg/s；</w:t>
      </w:r>
    </w:p>
    <w:p w14:paraId="7AD939B2">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eastAsia="zh-CN"/>
        </w:rPr>
        <w:t>—热量蒸发速率，kg/s；</w:t>
      </w:r>
    </w:p>
    <w:p w14:paraId="31EEB89A">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vertAlign w:val="subscript"/>
          <w:lang w:val="en-US" w:eastAsia="zh-CN"/>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闪蒸蒸发时间，s；</w:t>
      </w:r>
    </w:p>
    <w:p w14:paraId="75AE4027">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eastAsia="zh-CN"/>
        </w:rPr>
        <w:t>——热量蒸发时间，s；</w:t>
      </w:r>
    </w:p>
    <w:p w14:paraId="59E82EE1">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eastAsia="zh-CN"/>
        </w:rPr>
        <w:t>3</w:t>
      </w:r>
      <w:r>
        <w:rPr>
          <w:rFonts w:hint="default" w:ascii="Times New Roman" w:hAnsi="Times New Roman" w:cs="Times New Roman"/>
          <w:color w:val="auto"/>
          <w:highlight w:val="none"/>
          <w:lang w:eastAsia="zh-CN"/>
        </w:rPr>
        <w:t>——质量蒸发速率，kg/s；</w:t>
      </w:r>
    </w:p>
    <w:p w14:paraId="2A9CFEDA">
      <w:pPr>
        <w:pStyle w:val="26"/>
        <w:bidi w:val="0"/>
        <w:ind w:firstLine="1200" w:firstLineChars="50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t</w:t>
      </w:r>
      <w:r>
        <w:rPr>
          <w:rFonts w:hint="default" w:ascii="Times New Roman" w:hAnsi="Times New Roman" w:cs="Times New Roman"/>
          <w:color w:val="auto"/>
          <w:highlight w:val="none"/>
          <w:vertAlign w:val="subscript"/>
          <w:lang w:eastAsia="zh-CN"/>
        </w:rPr>
        <w:t>3</w:t>
      </w:r>
      <w:r>
        <w:rPr>
          <w:rFonts w:hint="default" w:ascii="Times New Roman" w:hAnsi="Times New Roman" w:cs="Times New Roman"/>
          <w:color w:val="auto"/>
          <w:highlight w:val="none"/>
          <w:lang w:eastAsia="zh-CN"/>
        </w:rPr>
        <w:t>——从液体泄漏到液体全部处理完毕的时间，s。</w:t>
      </w:r>
    </w:p>
    <w:p w14:paraId="73785413">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由于</w:t>
      </w:r>
      <w:r>
        <w:rPr>
          <w:rFonts w:hint="eastAsia" w:cs="Times New Roman"/>
          <w:color w:val="auto"/>
          <w:highlight w:val="none"/>
          <w:lang w:val="en-US" w:eastAsia="zh-CN"/>
        </w:rPr>
        <w:t>硫酸、氟硅酸</w:t>
      </w:r>
      <w:r>
        <w:rPr>
          <w:rFonts w:hint="default" w:ascii="Times New Roman" w:hAnsi="Times New Roman" w:cs="Times New Roman"/>
          <w:color w:val="auto"/>
          <w:highlight w:val="none"/>
          <w:lang w:eastAsia="zh-CN"/>
        </w:rPr>
        <w:t>储存</w:t>
      </w:r>
      <w:r>
        <w:rPr>
          <w:rFonts w:hint="default" w:ascii="Times New Roman" w:hAnsi="Times New Roman" w:cs="Times New Roman"/>
          <w:color w:val="auto"/>
          <w:highlight w:val="none"/>
          <w:lang w:val="en-US" w:eastAsia="zh-CN"/>
        </w:rPr>
        <w:t>均</w:t>
      </w:r>
      <w:r>
        <w:rPr>
          <w:rFonts w:hint="default" w:ascii="Times New Roman" w:hAnsi="Times New Roman" w:cs="Times New Roman"/>
          <w:color w:val="auto"/>
          <w:highlight w:val="none"/>
          <w:lang w:eastAsia="zh-CN"/>
        </w:rPr>
        <w:t>属于常温、常压，且</w:t>
      </w:r>
      <w:r>
        <w:rPr>
          <w:rFonts w:hint="eastAsia" w:cs="Times New Roman"/>
          <w:color w:val="auto"/>
          <w:highlight w:val="none"/>
          <w:lang w:val="en-US" w:eastAsia="zh-CN"/>
        </w:rPr>
        <w:t>硫酸、氟硅酸</w:t>
      </w:r>
      <w:r>
        <w:rPr>
          <w:rFonts w:hint="default" w:ascii="Times New Roman" w:hAnsi="Times New Roman" w:cs="Times New Roman"/>
          <w:color w:val="auto"/>
          <w:highlight w:val="none"/>
          <w:lang w:eastAsia="zh-CN"/>
        </w:rPr>
        <w:t>常压下沸点</w:t>
      </w:r>
      <w:r>
        <w:rPr>
          <w:rFonts w:hint="default" w:ascii="Times New Roman" w:hAnsi="Times New Roman" w:cs="Times New Roman"/>
          <w:color w:val="auto"/>
          <w:highlight w:val="none"/>
          <w:lang w:val="en-US" w:eastAsia="zh-CN"/>
        </w:rPr>
        <w:t>均</w:t>
      </w:r>
      <w:r>
        <w:rPr>
          <w:rFonts w:hint="default" w:ascii="Times New Roman" w:hAnsi="Times New Roman" w:cs="Times New Roman"/>
          <w:color w:val="auto"/>
          <w:highlight w:val="none"/>
          <w:lang w:eastAsia="zh-CN"/>
        </w:rPr>
        <w:t>高于环境温度，因此不考虑闪蒸液体蒸发速率和热量蒸发速率，仅计算质量蒸发损失。</w:t>
      </w:r>
    </w:p>
    <w:p w14:paraId="38FD2EF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经查阅液池蒸发模式参数，最不利气象条件下，大气稳定度为F，u为1.5m/s，α为5.285×10</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，n为0.3；</w:t>
      </w:r>
      <w:r>
        <w:rPr>
          <w:rFonts w:hint="default" w:ascii="Times New Roman" w:hAnsi="Times New Roman" w:cs="Times New Roman"/>
          <w:color w:val="auto"/>
          <w:highlight w:val="none"/>
        </w:rPr>
        <w:t>根据</w:t>
      </w:r>
      <w:r>
        <w:rPr>
          <w:rFonts w:hint="eastAsia" w:cs="Times New Roman"/>
          <w:color w:val="auto"/>
          <w:highlight w:val="none"/>
          <w:lang w:val="en-US" w:eastAsia="zh-CN"/>
        </w:rPr>
        <w:t>通江</w:t>
      </w:r>
      <w:r>
        <w:rPr>
          <w:rFonts w:hint="default" w:ascii="Times New Roman" w:hAnsi="Times New Roman" w:cs="Times New Roman"/>
          <w:color w:val="auto"/>
          <w:highlight w:val="none"/>
          <w:lang w:val="en-US" w:eastAsia="zh-CN"/>
        </w:rPr>
        <w:t>气象站</w:t>
      </w:r>
      <w:r>
        <w:rPr>
          <w:rFonts w:hint="default" w:ascii="Times New Roman" w:hAnsi="Times New Roman" w:cs="Times New Roman"/>
          <w:color w:val="auto"/>
          <w:highlight w:val="none"/>
        </w:rPr>
        <w:t>（</w:t>
      </w:r>
      <w:r>
        <w:rPr>
          <w:rFonts w:hint="eastAsia"/>
          <w:color w:val="auto"/>
          <w:lang w:eastAsia="zh-CN"/>
        </w:rPr>
        <w:t>57320</w:t>
      </w:r>
      <w:r>
        <w:rPr>
          <w:rFonts w:hint="default" w:ascii="Times New Roman" w:hAnsi="Times New Roman" w:cs="Times New Roman"/>
          <w:color w:val="auto"/>
          <w:highlight w:val="none"/>
        </w:rPr>
        <w:t>）</w:t>
      </w:r>
      <w:r>
        <w:rPr>
          <w:rFonts w:hint="eastAsia" w:cs="Times New Roman"/>
          <w:color w:val="auto"/>
          <w:highlight w:val="none"/>
          <w:lang w:val="en-US" w:eastAsia="zh-CN"/>
        </w:rPr>
        <w:t>2025</w:t>
      </w:r>
      <w:r>
        <w:rPr>
          <w:rFonts w:hint="default" w:ascii="Times New Roman" w:hAnsi="Times New Roman" w:cs="Times New Roman"/>
          <w:color w:val="auto"/>
          <w:highlight w:val="none"/>
        </w:rPr>
        <w:t>年气象</w:t>
      </w:r>
      <w:r>
        <w:rPr>
          <w:rFonts w:hint="default" w:ascii="Times New Roman" w:hAnsi="Times New Roman" w:cs="Times New Roman"/>
          <w:color w:val="auto"/>
          <w:highlight w:val="none"/>
          <w:lang w:val="en-US" w:eastAsia="zh-CN"/>
        </w:rPr>
        <w:t>条件统计结果，最常见气象条件下，出现频率最高的稳定度也为F，则α也为5.285×10</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，n也为0.3，该稳定度下的平均风速为1.</w:t>
      </w:r>
      <w:r>
        <w:rPr>
          <w:rFonts w:hint="eastAsia" w:cs="Times New Roman"/>
          <w:color w:val="auto"/>
          <w:highlight w:val="none"/>
          <w:lang w:val="en-US" w:eastAsia="zh-CN"/>
        </w:rPr>
        <w:t>14</w:t>
      </w:r>
      <w:r>
        <w:rPr>
          <w:rFonts w:hint="default" w:ascii="Times New Roman" w:hAnsi="Times New Roman" w:cs="Times New Roman"/>
          <w:color w:val="auto"/>
          <w:highlight w:val="none"/>
          <w:lang w:val="en-US" w:eastAsia="zh-CN"/>
        </w:rPr>
        <w:t>m/s。</w:t>
      </w:r>
    </w:p>
    <w:p w14:paraId="739FEFEA">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同时，液池最大直径取决于泄漏点附近的地域构型、泄漏的连续性或瞬时性。有围堰时，以围堰最大等效半径为液池半径；无围堰时，设定液体瞬间扩散到最小厚度时，推算液池等效半径。本项目罐区设围堰，以围堰最大等效半径为液池半径。</w:t>
      </w:r>
    </w:p>
    <w:p w14:paraId="2793614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据此，</w:t>
      </w:r>
      <w:r>
        <w:rPr>
          <w:rFonts w:hint="default" w:ascii="Times New Roman" w:hAnsi="Times New Roman" w:cs="Times New Roman"/>
          <w:color w:val="auto"/>
          <w:highlight w:val="none"/>
          <w:lang w:eastAsia="zh-CN"/>
        </w:rPr>
        <w:t>最不利气象条件</w:t>
      </w:r>
      <w:r>
        <w:rPr>
          <w:rFonts w:hint="default" w:ascii="Times New Roman" w:hAnsi="Times New Roman" w:cs="Times New Roman"/>
          <w:color w:val="auto"/>
          <w:highlight w:val="none"/>
          <w:lang w:val="en-US" w:eastAsia="zh-CN"/>
        </w:rPr>
        <w:t>和最常见气象条件下，</w:t>
      </w:r>
      <w:r>
        <w:rPr>
          <w:rFonts w:hint="eastAsia" w:cs="Times New Roman"/>
          <w:color w:val="auto"/>
          <w:highlight w:val="none"/>
          <w:lang w:val="en-US" w:eastAsia="zh-CN"/>
        </w:rPr>
        <w:t>硫酸、氟硅酸</w:t>
      </w:r>
      <w:r>
        <w:rPr>
          <w:rFonts w:hint="default" w:ascii="Times New Roman" w:hAnsi="Times New Roman" w:cs="Times New Roman"/>
          <w:color w:val="auto"/>
          <w:highlight w:val="none"/>
          <w:lang w:eastAsia="zh-CN"/>
        </w:rPr>
        <w:t>蒸发量</w:t>
      </w:r>
      <w:r>
        <w:rPr>
          <w:rFonts w:hint="default" w:ascii="Times New Roman" w:hAnsi="Times New Roman" w:cs="Times New Roman"/>
          <w:color w:val="auto"/>
          <w:highlight w:val="none"/>
          <w:lang w:val="en-US" w:eastAsia="zh-CN"/>
        </w:rPr>
        <w:t>见下表：</w:t>
      </w:r>
    </w:p>
    <w:p w14:paraId="0138AE80">
      <w:pPr>
        <w:pStyle w:val="28"/>
        <w:numPr>
          <w:ilvl w:val="0"/>
          <w:numId w:val="35"/>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、氟硅酸</w:t>
      </w:r>
      <w:r>
        <w:rPr>
          <w:rFonts w:hint="default" w:ascii="Times New Roman" w:hAnsi="Times New Roman" w:cs="Times New Roman"/>
          <w:color w:val="auto"/>
          <w:highlight w:val="none"/>
          <w:lang w:eastAsia="zh-CN"/>
        </w:rPr>
        <w:t>蒸发量</w:t>
      </w:r>
      <w:r>
        <w:rPr>
          <w:rFonts w:hint="default" w:ascii="Times New Roman" w:hAnsi="Times New Roman" w:cs="Times New Roman"/>
          <w:color w:val="auto"/>
          <w:highlight w:val="none"/>
          <w:lang w:val="en-US" w:eastAsia="zh-CN"/>
        </w:rPr>
        <w:t>一览表</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862"/>
        <w:gridCol w:w="1013"/>
        <w:gridCol w:w="900"/>
        <w:gridCol w:w="797"/>
        <w:gridCol w:w="768"/>
        <w:gridCol w:w="831"/>
        <w:gridCol w:w="628"/>
        <w:gridCol w:w="600"/>
        <w:gridCol w:w="559"/>
        <w:gridCol w:w="891"/>
        <w:gridCol w:w="913"/>
      </w:tblGrid>
      <w:tr w14:paraId="2304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9" w:type="pct"/>
            <w:vMerge w:val="restart"/>
            <w:tcBorders>
              <w:tl2br w:val="nil"/>
              <w:tr2bl w:val="nil"/>
            </w:tcBorders>
            <w:noWrap w:val="0"/>
            <w:vAlign w:val="center"/>
          </w:tcPr>
          <w:p w14:paraId="24572D54">
            <w:pPr>
              <w:pStyle w:val="24"/>
              <w:bidi w:val="0"/>
              <w:rPr>
                <w:rFonts w:hint="default" w:ascii="Times New Roman" w:hAnsi="Times New Roman" w:eastAsia="宋体" w:cs="Times New Roman"/>
                <w:b/>
                <w:bCs/>
                <w:color w:val="auto"/>
                <w:lang w:val="en-US" w:eastAsia="zh-CN"/>
              </w:rPr>
            </w:pPr>
            <w:r>
              <w:rPr>
                <w:rFonts w:hint="default" w:ascii="Times New Roman" w:hAnsi="Times New Roman" w:cs="Times New Roman"/>
                <w:b/>
                <w:bCs/>
                <w:color w:val="auto"/>
                <w:lang w:val="en-US" w:eastAsia="zh-CN"/>
              </w:rPr>
              <w:t>气象条件</w:t>
            </w:r>
          </w:p>
        </w:tc>
        <w:tc>
          <w:tcPr>
            <w:tcW w:w="453" w:type="pct"/>
            <w:vMerge w:val="restart"/>
            <w:tcBorders>
              <w:tl2br w:val="nil"/>
              <w:tr2bl w:val="nil"/>
            </w:tcBorders>
            <w:noWrap w:val="0"/>
            <w:vAlign w:val="center"/>
          </w:tcPr>
          <w:p w14:paraId="354C1C47">
            <w:pPr>
              <w:pStyle w:val="24"/>
              <w:bidi w:val="0"/>
              <w:rPr>
                <w:rFonts w:hint="default" w:ascii="Times New Roman" w:hAnsi="Times New Roman" w:cs="Times New Roman"/>
                <w:b/>
                <w:bCs/>
                <w:color w:val="auto"/>
              </w:rPr>
            </w:pPr>
            <w:r>
              <w:rPr>
                <w:rFonts w:hint="default" w:ascii="Times New Roman" w:hAnsi="Times New Roman" w:cs="Times New Roman"/>
                <w:b/>
                <w:bCs/>
                <w:color w:val="auto"/>
                <w:lang w:val="en-US" w:eastAsia="zh-CN"/>
              </w:rPr>
              <w:t>物质名称</w:t>
            </w:r>
          </w:p>
        </w:tc>
        <w:tc>
          <w:tcPr>
            <w:tcW w:w="3207" w:type="pct"/>
            <w:gridSpan w:val="8"/>
            <w:tcBorders>
              <w:tl2br w:val="nil"/>
              <w:tr2bl w:val="nil"/>
            </w:tcBorders>
            <w:noWrap w:val="0"/>
            <w:vAlign w:val="center"/>
          </w:tcPr>
          <w:p w14:paraId="5CE6DCB1">
            <w:pPr>
              <w:pStyle w:val="24"/>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计算参数</w:t>
            </w:r>
          </w:p>
        </w:tc>
        <w:tc>
          <w:tcPr>
            <w:tcW w:w="949" w:type="pct"/>
            <w:gridSpan w:val="2"/>
            <w:tcBorders>
              <w:tl2br w:val="nil"/>
              <w:tr2bl w:val="nil"/>
            </w:tcBorders>
            <w:noWrap w:val="0"/>
            <w:vAlign w:val="center"/>
          </w:tcPr>
          <w:p w14:paraId="5966F700">
            <w:pPr>
              <w:pStyle w:val="24"/>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计算结果</w:t>
            </w:r>
          </w:p>
        </w:tc>
      </w:tr>
      <w:tr w14:paraId="34CD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9" w:type="pct"/>
            <w:vMerge w:val="continue"/>
            <w:tcBorders>
              <w:tl2br w:val="nil"/>
              <w:tr2bl w:val="nil"/>
            </w:tcBorders>
            <w:noWrap w:val="0"/>
            <w:vAlign w:val="center"/>
          </w:tcPr>
          <w:p w14:paraId="77163C39">
            <w:pPr>
              <w:pStyle w:val="24"/>
              <w:bidi w:val="0"/>
              <w:rPr>
                <w:rFonts w:hint="default" w:ascii="Times New Roman" w:hAnsi="Times New Roman" w:cs="Times New Roman"/>
                <w:color w:val="auto"/>
              </w:rPr>
            </w:pPr>
          </w:p>
        </w:tc>
        <w:tc>
          <w:tcPr>
            <w:tcW w:w="453" w:type="pct"/>
            <w:vMerge w:val="continue"/>
            <w:tcBorders>
              <w:tl2br w:val="nil"/>
              <w:tr2bl w:val="nil"/>
            </w:tcBorders>
            <w:noWrap w:val="0"/>
            <w:vAlign w:val="center"/>
          </w:tcPr>
          <w:p w14:paraId="3742C773">
            <w:pPr>
              <w:pStyle w:val="24"/>
              <w:bidi w:val="0"/>
              <w:rPr>
                <w:rFonts w:hint="default" w:ascii="Times New Roman" w:hAnsi="Times New Roman" w:cs="Times New Roman"/>
                <w:color w:val="auto"/>
              </w:rPr>
            </w:pPr>
          </w:p>
        </w:tc>
        <w:tc>
          <w:tcPr>
            <w:tcW w:w="532" w:type="pct"/>
            <w:tcBorders>
              <w:tl2br w:val="nil"/>
              <w:tr2bl w:val="nil"/>
            </w:tcBorders>
            <w:shd w:val="clear" w:color="auto" w:fill="auto"/>
            <w:noWrap w:val="0"/>
            <w:vAlign w:val="center"/>
          </w:tcPr>
          <w:p w14:paraId="1F9DE931">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highlight w:val="none"/>
              </w:rPr>
              <w:t>α</w:t>
            </w:r>
          </w:p>
        </w:tc>
        <w:tc>
          <w:tcPr>
            <w:tcW w:w="473" w:type="pct"/>
            <w:tcBorders>
              <w:tl2br w:val="nil"/>
              <w:tr2bl w:val="nil"/>
            </w:tcBorders>
            <w:shd w:val="clear" w:color="auto" w:fill="auto"/>
            <w:noWrap w:val="0"/>
            <w:vAlign w:val="center"/>
          </w:tcPr>
          <w:p w14:paraId="11B36695">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p</w:t>
            </w:r>
          </w:p>
        </w:tc>
        <w:tc>
          <w:tcPr>
            <w:tcW w:w="419" w:type="pct"/>
            <w:tcBorders>
              <w:tl2br w:val="nil"/>
              <w:tr2bl w:val="nil"/>
            </w:tcBorders>
            <w:shd w:val="clear" w:color="auto" w:fill="auto"/>
            <w:noWrap w:val="0"/>
            <w:vAlign w:val="center"/>
          </w:tcPr>
          <w:p w14:paraId="5A8BEAD4">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M</w:t>
            </w:r>
          </w:p>
        </w:tc>
        <w:tc>
          <w:tcPr>
            <w:tcW w:w="404" w:type="pct"/>
            <w:tcBorders>
              <w:tl2br w:val="nil"/>
              <w:tr2bl w:val="nil"/>
            </w:tcBorders>
            <w:shd w:val="clear" w:color="auto" w:fill="auto"/>
            <w:noWrap w:val="0"/>
            <w:vAlign w:val="center"/>
          </w:tcPr>
          <w:p w14:paraId="52A59E3E">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R</w:t>
            </w:r>
          </w:p>
        </w:tc>
        <w:tc>
          <w:tcPr>
            <w:tcW w:w="437" w:type="pct"/>
            <w:tcBorders>
              <w:tl2br w:val="nil"/>
              <w:tr2bl w:val="nil"/>
            </w:tcBorders>
            <w:shd w:val="clear" w:color="auto" w:fill="auto"/>
            <w:noWrap w:val="0"/>
            <w:vAlign w:val="center"/>
          </w:tcPr>
          <w:p w14:paraId="47652103">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T</w:t>
            </w:r>
            <w:r>
              <w:rPr>
                <w:rFonts w:hint="default" w:ascii="Times New Roman" w:hAnsi="Times New Roman" w:cs="Times New Roman"/>
                <w:b/>
                <w:bCs/>
                <w:color w:val="auto"/>
                <w:vertAlign w:val="subscript"/>
                <w:lang w:val="en-US" w:eastAsia="zh-CN"/>
              </w:rPr>
              <w:t>0</w:t>
            </w:r>
          </w:p>
        </w:tc>
        <w:tc>
          <w:tcPr>
            <w:tcW w:w="330" w:type="pct"/>
            <w:tcBorders>
              <w:tl2br w:val="nil"/>
              <w:tr2bl w:val="nil"/>
            </w:tcBorders>
            <w:shd w:val="clear" w:color="auto" w:fill="auto"/>
            <w:noWrap w:val="0"/>
            <w:vAlign w:val="center"/>
          </w:tcPr>
          <w:p w14:paraId="4DDFC53B">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u</w:t>
            </w:r>
          </w:p>
        </w:tc>
        <w:tc>
          <w:tcPr>
            <w:tcW w:w="315" w:type="pct"/>
            <w:tcBorders>
              <w:tl2br w:val="nil"/>
              <w:tr2bl w:val="nil"/>
            </w:tcBorders>
            <w:shd w:val="clear" w:color="auto" w:fill="auto"/>
            <w:noWrap w:val="0"/>
            <w:vAlign w:val="center"/>
          </w:tcPr>
          <w:p w14:paraId="6AEEC964">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r</w:t>
            </w:r>
          </w:p>
        </w:tc>
        <w:tc>
          <w:tcPr>
            <w:tcW w:w="294" w:type="pct"/>
            <w:tcBorders>
              <w:tl2br w:val="nil"/>
              <w:tr2bl w:val="nil"/>
            </w:tcBorders>
            <w:shd w:val="clear" w:color="auto" w:fill="auto"/>
            <w:noWrap w:val="0"/>
            <w:vAlign w:val="center"/>
          </w:tcPr>
          <w:p w14:paraId="208792D8">
            <w:pPr>
              <w:pStyle w:val="24"/>
              <w:bidi w:val="0"/>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cs="Times New Roman"/>
                <w:b/>
                <w:bCs/>
                <w:color w:val="auto"/>
                <w:lang w:val="en-US" w:eastAsia="zh-CN"/>
              </w:rPr>
              <w:t>n</w:t>
            </w:r>
          </w:p>
        </w:tc>
        <w:tc>
          <w:tcPr>
            <w:tcW w:w="468" w:type="pct"/>
            <w:tcBorders>
              <w:tl2br w:val="nil"/>
              <w:tr2bl w:val="nil"/>
            </w:tcBorders>
            <w:noWrap w:val="0"/>
            <w:vAlign w:val="center"/>
          </w:tcPr>
          <w:p w14:paraId="5009D236">
            <w:pPr>
              <w:pStyle w:val="2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Q</w:t>
            </w:r>
            <w:r>
              <w:rPr>
                <w:rFonts w:hint="default" w:ascii="Times New Roman" w:hAnsi="Times New Roman" w:cs="Times New Roman"/>
                <w:b/>
                <w:bCs/>
                <w:color w:val="auto"/>
                <w:highlight w:val="none"/>
                <w:vertAlign w:val="subscript"/>
                <w:lang w:val="en-US" w:eastAsia="zh-CN"/>
              </w:rPr>
              <w:t>3</w:t>
            </w:r>
          </w:p>
        </w:tc>
        <w:tc>
          <w:tcPr>
            <w:tcW w:w="480" w:type="pct"/>
            <w:tcBorders>
              <w:tl2br w:val="nil"/>
              <w:tr2bl w:val="nil"/>
            </w:tcBorders>
            <w:noWrap w:val="0"/>
            <w:vAlign w:val="center"/>
          </w:tcPr>
          <w:p w14:paraId="2C1F05A3">
            <w:pPr>
              <w:pStyle w:val="2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W</w:t>
            </w:r>
            <w:r>
              <w:rPr>
                <w:rFonts w:hint="default" w:ascii="Times New Roman" w:hAnsi="Times New Roman" w:cs="Times New Roman"/>
                <w:b/>
                <w:bCs/>
                <w:color w:val="auto"/>
                <w:highlight w:val="none"/>
                <w:vertAlign w:val="subscript"/>
                <w:lang w:eastAsia="zh-CN"/>
              </w:rPr>
              <w:t>p</w:t>
            </w:r>
          </w:p>
        </w:tc>
      </w:tr>
      <w:tr w14:paraId="209F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9" w:type="pct"/>
            <w:vMerge w:val="restart"/>
            <w:tcBorders>
              <w:tl2br w:val="nil"/>
              <w:tr2bl w:val="nil"/>
            </w:tcBorders>
            <w:noWrap w:val="0"/>
            <w:vAlign w:val="center"/>
          </w:tcPr>
          <w:p w14:paraId="05514919">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最不利气象</w:t>
            </w:r>
          </w:p>
        </w:tc>
        <w:tc>
          <w:tcPr>
            <w:tcW w:w="453" w:type="pct"/>
            <w:tcBorders>
              <w:tl2br w:val="nil"/>
              <w:tr2bl w:val="nil"/>
            </w:tcBorders>
            <w:noWrap w:val="0"/>
            <w:vAlign w:val="center"/>
          </w:tcPr>
          <w:p w14:paraId="6FF2B999">
            <w:pPr>
              <w:pStyle w:val="24"/>
              <w:bidi w:val="0"/>
              <w:rPr>
                <w:rFonts w:hint="default" w:ascii="Times New Roman" w:hAnsi="Times New Roman" w:eastAsia="宋体" w:cs="Times New Roman"/>
                <w:color w:val="auto"/>
                <w:lang w:val="en-US" w:eastAsia="zh-CN"/>
              </w:rPr>
            </w:pPr>
            <w:r>
              <w:rPr>
                <w:rFonts w:hint="eastAsia" w:cs="Times New Roman"/>
                <w:color w:val="auto"/>
                <w:lang w:val="en-US" w:eastAsia="zh-CN"/>
              </w:rPr>
              <w:t>硫酸</w:t>
            </w:r>
          </w:p>
        </w:tc>
        <w:tc>
          <w:tcPr>
            <w:tcW w:w="532" w:type="pct"/>
            <w:tcBorders>
              <w:tl2br w:val="nil"/>
              <w:tr2bl w:val="nil"/>
            </w:tcBorders>
            <w:noWrap w:val="0"/>
            <w:vAlign w:val="center"/>
          </w:tcPr>
          <w:p w14:paraId="361E5136">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0.005285</w:t>
            </w:r>
          </w:p>
        </w:tc>
        <w:tc>
          <w:tcPr>
            <w:tcW w:w="473" w:type="pct"/>
            <w:tcBorders>
              <w:tl2br w:val="nil"/>
              <w:tr2bl w:val="nil"/>
            </w:tcBorders>
            <w:noWrap w:val="0"/>
            <w:vAlign w:val="center"/>
          </w:tcPr>
          <w:p w14:paraId="7CF98146">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485.71</w:t>
            </w:r>
          </w:p>
        </w:tc>
        <w:tc>
          <w:tcPr>
            <w:tcW w:w="419" w:type="pct"/>
            <w:tcBorders>
              <w:tl2br w:val="nil"/>
              <w:tr2bl w:val="nil"/>
            </w:tcBorders>
            <w:noWrap w:val="0"/>
            <w:vAlign w:val="center"/>
          </w:tcPr>
          <w:p w14:paraId="224147AE">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0.098</w:t>
            </w:r>
          </w:p>
        </w:tc>
        <w:tc>
          <w:tcPr>
            <w:tcW w:w="404" w:type="pct"/>
            <w:tcBorders>
              <w:tl2br w:val="nil"/>
              <w:tr2bl w:val="nil"/>
            </w:tcBorders>
            <w:noWrap w:val="0"/>
            <w:vAlign w:val="center"/>
          </w:tcPr>
          <w:p w14:paraId="1FF11CC5">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8.314</w:t>
            </w:r>
          </w:p>
        </w:tc>
        <w:tc>
          <w:tcPr>
            <w:tcW w:w="437" w:type="pct"/>
            <w:tcBorders>
              <w:tl2br w:val="nil"/>
              <w:tr2bl w:val="nil"/>
            </w:tcBorders>
            <w:noWrap w:val="0"/>
            <w:vAlign w:val="center"/>
          </w:tcPr>
          <w:p w14:paraId="44AEA3C8">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298.15</w:t>
            </w:r>
          </w:p>
        </w:tc>
        <w:tc>
          <w:tcPr>
            <w:tcW w:w="330" w:type="pct"/>
            <w:tcBorders>
              <w:tl2br w:val="nil"/>
              <w:tr2bl w:val="nil"/>
            </w:tcBorders>
            <w:noWrap w:val="0"/>
            <w:vAlign w:val="center"/>
          </w:tcPr>
          <w:p w14:paraId="680C2EB0">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1.5</w:t>
            </w:r>
          </w:p>
        </w:tc>
        <w:tc>
          <w:tcPr>
            <w:tcW w:w="315" w:type="pct"/>
            <w:tcBorders>
              <w:tl2br w:val="nil"/>
              <w:tr2bl w:val="nil"/>
            </w:tcBorders>
            <w:noWrap w:val="0"/>
            <w:vAlign w:val="center"/>
          </w:tcPr>
          <w:p w14:paraId="504B54BA">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6.3</w:t>
            </w:r>
          </w:p>
        </w:tc>
        <w:tc>
          <w:tcPr>
            <w:tcW w:w="294" w:type="pct"/>
            <w:tcBorders>
              <w:tl2br w:val="nil"/>
              <w:tr2bl w:val="nil"/>
            </w:tcBorders>
            <w:noWrap w:val="0"/>
            <w:vAlign w:val="center"/>
          </w:tcPr>
          <w:p w14:paraId="6A72AC19">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0.3</w:t>
            </w:r>
          </w:p>
        </w:tc>
        <w:tc>
          <w:tcPr>
            <w:tcW w:w="468" w:type="pct"/>
            <w:tcBorders>
              <w:tl2br w:val="nil"/>
              <w:tr2bl w:val="nil"/>
            </w:tcBorders>
            <w:noWrap w:val="0"/>
            <w:vAlign w:val="center"/>
          </w:tcPr>
          <w:p w14:paraId="107F495B">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0.0043</w:t>
            </w:r>
          </w:p>
        </w:tc>
        <w:tc>
          <w:tcPr>
            <w:tcW w:w="480" w:type="pct"/>
            <w:tcBorders>
              <w:tl2br w:val="nil"/>
              <w:tr2bl w:val="nil"/>
            </w:tcBorders>
            <w:noWrap w:val="0"/>
            <w:vAlign w:val="center"/>
          </w:tcPr>
          <w:p w14:paraId="516D8086">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3.85</w:t>
            </w:r>
          </w:p>
        </w:tc>
      </w:tr>
      <w:tr w14:paraId="0E59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9" w:type="pct"/>
            <w:vMerge w:val="continue"/>
            <w:tcBorders>
              <w:tl2br w:val="nil"/>
              <w:tr2bl w:val="nil"/>
            </w:tcBorders>
            <w:noWrap w:val="0"/>
            <w:vAlign w:val="center"/>
          </w:tcPr>
          <w:p w14:paraId="2E85971A">
            <w:pPr>
              <w:pStyle w:val="24"/>
              <w:bidi w:val="0"/>
              <w:rPr>
                <w:rFonts w:hint="default" w:ascii="Times New Roman" w:hAnsi="Times New Roman" w:eastAsia="宋体" w:cs="Times New Roman"/>
                <w:color w:val="auto"/>
                <w:lang w:val="en-US" w:eastAsia="zh-CN"/>
              </w:rPr>
            </w:pPr>
          </w:p>
        </w:tc>
        <w:tc>
          <w:tcPr>
            <w:tcW w:w="453" w:type="pct"/>
            <w:tcBorders>
              <w:tl2br w:val="nil"/>
              <w:tr2bl w:val="nil"/>
            </w:tcBorders>
            <w:noWrap w:val="0"/>
            <w:vAlign w:val="center"/>
          </w:tcPr>
          <w:p w14:paraId="0B6E6428">
            <w:pPr>
              <w:pStyle w:val="24"/>
              <w:bidi w:val="0"/>
              <w:rPr>
                <w:rFonts w:hint="default" w:ascii="Times New Roman" w:hAnsi="Times New Roman" w:eastAsia="宋体" w:cs="Times New Roman"/>
                <w:color w:val="auto"/>
                <w:lang w:val="en-US" w:eastAsia="zh-CN"/>
              </w:rPr>
            </w:pPr>
            <w:r>
              <w:rPr>
                <w:rFonts w:hint="eastAsia" w:cs="Times New Roman"/>
                <w:color w:val="auto"/>
                <w:lang w:val="en-US" w:eastAsia="zh-CN"/>
              </w:rPr>
              <w:t>氟硅酸</w:t>
            </w:r>
          </w:p>
        </w:tc>
        <w:tc>
          <w:tcPr>
            <w:tcW w:w="532" w:type="pct"/>
            <w:tcBorders>
              <w:tl2br w:val="nil"/>
              <w:tr2bl w:val="nil"/>
            </w:tcBorders>
            <w:noWrap w:val="0"/>
            <w:vAlign w:val="center"/>
          </w:tcPr>
          <w:p w14:paraId="157B0C58">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0.005285</w:t>
            </w:r>
          </w:p>
        </w:tc>
        <w:tc>
          <w:tcPr>
            <w:tcW w:w="473" w:type="pct"/>
            <w:tcBorders>
              <w:tl2br w:val="nil"/>
              <w:tr2bl w:val="nil"/>
            </w:tcBorders>
            <w:noWrap w:val="0"/>
            <w:vAlign w:val="center"/>
          </w:tcPr>
          <w:p w14:paraId="5CF8FA17">
            <w:pPr>
              <w:pStyle w:val="24"/>
              <w:bidi w:val="0"/>
              <w:ind w:left="0" w:leftChars="0"/>
              <w:rPr>
                <w:rFonts w:hint="default" w:ascii="Times New Roman" w:hAnsi="Times New Roman" w:cs="Times New Roman"/>
                <w:color w:val="auto"/>
                <w:highlight w:val="none"/>
                <w:lang w:val="en-US" w:eastAsia="zh-CN"/>
              </w:rPr>
            </w:pPr>
            <w:r>
              <w:rPr>
                <w:rFonts w:hint="eastAsia" w:cs="Times New Roman"/>
                <w:b w:val="0"/>
                <w:bCs w:val="0"/>
                <w:color w:val="auto"/>
                <w:sz w:val="21"/>
                <w:szCs w:val="21"/>
                <w:highlight w:val="none"/>
                <w:lang w:val="en-US" w:eastAsia="zh-CN"/>
              </w:rPr>
              <w:t>3333.05</w:t>
            </w:r>
          </w:p>
        </w:tc>
        <w:tc>
          <w:tcPr>
            <w:tcW w:w="419" w:type="pct"/>
            <w:tcBorders>
              <w:tl2br w:val="nil"/>
              <w:tr2bl w:val="nil"/>
            </w:tcBorders>
            <w:noWrap w:val="0"/>
            <w:vAlign w:val="center"/>
          </w:tcPr>
          <w:p w14:paraId="747574DC">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0.02</w:t>
            </w:r>
          </w:p>
        </w:tc>
        <w:tc>
          <w:tcPr>
            <w:tcW w:w="404" w:type="pct"/>
            <w:tcBorders>
              <w:tl2br w:val="nil"/>
              <w:tr2bl w:val="nil"/>
            </w:tcBorders>
            <w:noWrap w:val="0"/>
            <w:vAlign w:val="center"/>
          </w:tcPr>
          <w:p w14:paraId="33D88329">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8.314</w:t>
            </w:r>
          </w:p>
        </w:tc>
        <w:tc>
          <w:tcPr>
            <w:tcW w:w="437" w:type="pct"/>
            <w:tcBorders>
              <w:tl2br w:val="nil"/>
              <w:tr2bl w:val="nil"/>
            </w:tcBorders>
            <w:noWrap w:val="0"/>
            <w:vAlign w:val="center"/>
          </w:tcPr>
          <w:p w14:paraId="78534253">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298.15</w:t>
            </w:r>
          </w:p>
        </w:tc>
        <w:tc>
          <w:tcPr>
            <w:tcW w:w="330" w:type="pct"/>
            <w:tcBorders>
              <w:tl2br w:val="nil"/>
              <w:tr2bl w:val="nil"/>
            </w:tcBorders>
            <w:noWrap w:val="0"/>
            <w:vAlign w:val="center"/>
          </w:tcPr>
          <w:p w14:paraId="2CBBEAF0">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1.5</w:t>
            </w:r>
          </w:p>
        </w:tc>
        <w:tc>
          <w:tcPr>
            <w:tcW w:w="315" w:type="pct"/>
            <w:tcBorders>
              <w:tl2br w:val="nil"/>
              <w:tr2bl w:val="nil"/>
            </w:tcBorders>
            <w:noWrap w:val="0"/>
            <w:vAlign w:val="center"/>
          </w:tcPr>
          <w:p w14:paraId="281391C8">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6.3</w:t>
            </w:r>
          </w:p>
        </w:tc>
        <w:tc>
          <w:tcPr>
            <w:tcW w:w="294" w:type="pct"/>
            <w:tcBorders>
              <w:tl2br w:val="nil"/>
              <w:tr2bl w:val="nil"/>
            </w:tcBorders>
            <w:noWrap w:val="0"/>
            <w:vAlign w:val="center"/>
          </w:tcPr>
          <w:p w14:paraId="02318B1E">
            <w:pPr>
              <w:pStyle w:val="24"/>
              <w:bidi w:val="0"/>
              <w:ind w:left="0" w:left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0.3</w:t>
            </w:r>
          </w:p>
        </w:tc>
        <w:tc>
          <w:tcPr>
            <w:tcW w:w="468" w:type="pct"/>
            <w:tcBorders>
              <w:tl2br w:val="nil"/>
              <w:tr2bl w:val="nil"/>
            </w:tcBorders>
            <w:noWrap w:val="0"/>
            <w:vAlign w:val="center"/>
          </w:tcPr>
          <w:p w14:paraId="49C2FD2C">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0.0060</w:t>
            </w:r>
          </w:p>
        </w:tc>
        <w:tc>
          <w:tcPr>
            <w:tcW w:w="480" w:type="pct"/>
            <w:tcBorders>
              <w:tl2br w:val="nil"/>
              <w:tr2bl w:val="nil"/>
            </w:tcBorders>
            <w:noWrap w:val="0"/>
            <w:vAlign w:val="center"/>
          </w:tcPr>
          <w:p w14:paraId="500E2452">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5.39</w:t>
            </w:r>
          </w:p>
        </w:tc>
      </w:tr>
      <w:tr w14:paraId="0698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9" w:type="pct"/>
            <w:vMerge w:val="restart"/>
            <w:tcBorders>
              <w:tl2br w:val="nil"/>
              <w:tr2bl w:val="nil"/>
            </w:tcBorders>
            <w:noWrap w:val="0"/>
            <w:vAlign w:val="center"/>
          </w:tcPr>
          <w:p w14:paraId="37DAEAEE">
            <w:pPr>
              <w:pStyle w:val="24"/>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最常见气象</w:t>
            </w:r>
          </w:p>
        </w:tc>
        <w:tc>
          <w:tcPr>
            <w:tcW w:w="453" w:type="pct"/>
            <w:tcBorders>
              <w:tl2br w:val="nil"/>
              <w:tr2bl w:val="nil"/>
            </w:tcBorders>
            <w:shd w:val="clear" w:color="auto" w:fill="auto"/>
            <w:noWrap w:val="0"/>
            <w:vAlign w:val="center"/>
          </w:tcPr>
          <w:p w14:paraId="4344DA1F">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硫酸</w:t>
            </w:r>
          </w:p>
        </w:tc>
        <w:tc>
          <w:tcPr>
            <w:tcW w:w="532" w:type="pct"/>
            <w:tcBorders>
              <w:tl2br w:val="nil"/>
              <w:tr2bl w:val="nil"/>
            </w:tcBorders>
            <w:noWrap w:val="0"/>
            <w:vAlign w:val="center"/>
          </w:tcPr>
          <w:p w14:paraId="0E5DC4E3">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0.005285</w:t>
            </w:r>
          </w:p>
        </w:tc>
        <w:tc>
          <w:tcPr>
            <w:tcW w:w="473" w:type="pct"/>
            <w:tcBorders>
              <w:tl2br w:val="nil"/>
              <w:tr2bl w:val="nil"/>
            </w:tcBorders>
            <w:noWrap w:val="0"/>
            <w:vAlign w:val="center"/>
          </w:tcPr>
          <w:p w14:paraId="7C2CB0A3">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485.71</w:t>
            </w:r>
          </w:p>
        </w:tc>
        <w:tc>
          <w:tcPr>
            <w:tcW w:w="419" w:type="pct"/>
            <w:tcBorders>
              <w:tl2br w:val="nil"/>
              <w:tr2bl w:val="nil"/>
            </w:tcBorders>
            <w:noWrap w:val="0"/>
            <w:vAlign w:val="center"/>
          </w:tcPr>
          <w:p w14:paraId="08886ACD">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0.098</w:t>
            </w:r>
          </w:p>
        </w:tc>
        <w:tc>
          <w:tcPr>
            <w:tcW w:w="404" w:type="pct"/>
            <w:tcBorders>
              <w:tl2br w:val="nil"/>
              <w:tr2bl w:val="nil"/>
            </w:tcBorders>
            <w:noWrap w:val="0"/>
            <w:vAlign w:val="center"/>
          </w:tcPr>
          <w:p w14:paraId="7D07DF1C">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8.314</w:t>
            </w:r>
          </w:p>
        </w:tc>
        <w:tc>
          <w:tcPr>
            <w:tcW w:w="437" w:type="pct"/>
            <w:tcBorders>
              <w:tl2br w:val="nil"/>
              <w:tr2bl w:val="nil"/>
            </w:tcBorders>
            <w:noWrap w:val="0"/>
            <w:vAlign w:val="center"/>
          </w:tcPr>
          <w:p w14:paraId="3B17B4E7">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306.03</w:t>
            </w:r>
          </w:p>
        </w:tc>
        <w:tc>
          <w:tcPr>
            <w:tcW w:w="330" w:type="pct"/>
            <w:tcBorders>
              <w:tl2br w:val="nil"/>
              <w:tr2bl w:val="nil"/>
            </w:tcBorders>
            <w:noWrap w:val="0"/>
            <w:vAlign w:val="center"/>
          </w:tcPr>
          <w:p w14:paraId="14E07838">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1.14</w:t>
            </w:r>
          </w:p>
        </w:tc>
        <w:tc>
          <w:tcPr>
            <w:tcW w:w="315" w:type="pct"/>
            <w:tcBorders>
              <w:tl2br w:val="nil"/>
              <w:tr2bl w:val="nil"/>
            </w:tcBorders>
            <w:noWrap w:val="0"/>
            <w:vAlign w:val="center"/>
          </w:tcPr>
          <w:p w14:paraId="30D07236">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w:t>
            </w:r>
          </w:p>
        </w:tc>
        <w:tc>
          <w:tcPr>
            <w:tcW w:w="294" w:type="pct"/>
            <w:tcBorders>
              <w:tl2br w:val="nil"/>
              <w:tr2bl w:val="nil"/>
            </w:tcBorders>
            <w:noWrap w:val="0"/>
            <w:vAlign w:val="center"/>
          </w:tcPr>
          <w:p w14:paraId="467A6AEA">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0.3</w:t>
            </w:r>
          </w:p>
        </w:tc>
        <w:tc>
          <w:tcPr>
            <w:tcW w:w="468" w:type="pct"/>
            <w:tcBorders>
              <w:tl2br w:val="nil"/>
              <w:tr2bl w:val="nil"/>
            </w:tcBorders>
            <w:noWrap w:val="0"/>
            <w:vAlign w:val="center"/>
          </w:tcPr>
          <w:p w14:paraId="6EB6AB6C">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0.0034</w:t>
            </w:r>
          </w:p>
        </w:tc>
        <w:tc>
          <w:tcPr>
            <w:tcW w:w="480" w:type="pct"/>
            <w:tcBorders>
              <w:tl2br w:val="nil"/>
              <w:tr2bl w:val="nil"/>
            </w:tcBorders>
            <w:noWrap w:val="0"/>
            <w:vAlign w:val="center"/>
          </w:tcPr>
          <w:p w14:paraId="4F92363E">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3.06</w:t>
            </w:r>
          </w:p>
        </w:tc>
      </w:tr>
      <w:tr w14:paraId="34AF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9" w:type="pct"/>
            <w:vMerge w:val="continue"/>
            <w:tcBorders>
              <w:tl2br w:val="nil"/>
              <w:tr2bl w:val="nil"/>
            </w:tcBorders>
            <w:noWrap w:val="0"/>
            <w:vAlign w:val="center"/>
          </w:tcPr>
          <w:p w14:paraId="27DF9259">
            <w:pPr>
              <w:pStyle w:val="24"/>
              <w:bidi w:val="0"/>
              <w:rPr>
                <w:rFonts w:hint="default" w:ascii="Times New Roman" w:hAnsi="Times New Roman" w:eastAsia="宋体" w:cs="Times New Roman"/>
                <w:color w:val="auto"/>
                <w:lang w:val="en-US" w:eastAsia="zh-CN"/>
              </w:rPr>
            </w:pPr>
          </w:p>
        </w:tc>
        <w:tc>
          <w:tcPr>
            <w:tcW w:w="453" w:type="pct"/>
            <w:tcBorders>
              <w:tl2br w:val="nil"/>
              <w:tr2bl w:val="nil"/>
            </w:tcBorders>
            <w:shd w:val="clear" w:color="auto" w:fill="auto"/>
            <w:noWrap w:val="0"/>
            <w:vAlign w:val="center"/>
          </w:tcPr>
          <w:p w14:paraId="0CC9E785">
            <w:pPr>
              <w:pStyle w:val="24"/>
              <w:bidi w:val="0"/>
              <w:ind w:left="0" w:leftChars="0"/>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氟硅酸</w:t>
            </w:r>
          </w:p>
        </w:tc>
        <w:tc>
          <w:tcPr>
            <w:tcW w:w="532" w:type="pct"/>
            <w:tcBorders>
              <w:tl2br w:val="nil"/>
              <w:tr2bl w:val="nil"/>
            </w:tcBorders>
            <w:noWrap w:val="0"/>
            <w:vAlign w:val="center"/>
          </w:tcPr>
          <w:p w14:paraId="6940DE5F">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0.005285</w:t>
            </w:r>
          </w:p>
        </w:tc>
        <w:tc>
          <w:tcPr>
            <w:tcW w:w="473" w:type="pct"/>
            <w:tcBorders>
              <w:tl2br w:val="nil"/>
              <w:tr2bl w:val="nil"/>
            </w:tcBorders>
            <w:noWrap w:val="0"/>
            <w:vAlign w:val="center"/>
          </w:tcPr>
          <w:p w14:paraId="27B04FEA">
            <w:pPr>
              <w:pStyle w:val="24"/>
              <w:bidi w:val="0"/>
              <w:ind w:left="0" w:leftChars="0"/>
              <w:rPr>
                <w:rFonts w:hint="default" w:ascii="Times New Roman" w:hAnsi="Times New Roman" w:cs="Times New Roman"/>
                <w:color w:val="auto"/>
                <w:highlight w:val="none"/>
                <w:lang w:val="en-US" w:eastAsia="zh-CN"/>
              </w:rPr>
            </w:pPr>
            <w:r>
              <w:rPr>
                <w:rFonts w:hint="eastAsia" w:cs="Times New Roman"/>
                <w:b w:val="0"/>
                <w:bCs w:val="0"/>
                <w:color w:val="auto"/>
                <w:sz w:val="21"/>
                <w:szCs w:val="21"/>
                <w:highlight w:val="none"/>
                <w:lang w:val="en-US" w:eastAsia="zh-CN"/>
              </w:rPr>
              <w:t>3333.05</w:t>
            </w:r>
          </w:p>
        </w:tc>
        <w:tc>
          <w:tcPr>
            <w:tcW w:w="419" w:type="pct"/>
            <w:tcBorders>
              <w:tl2br w:val="nil"/>
              <w:tr2bl w:val="nil"/>
            </w:tcBorders>
            <w:noWrap w:val="0"/>
            <w:vAlign w:val="center"/>
          </w:tcPr>
          <w:p w14:paraId="4CE2CA49">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0.02</w:t>
            </w:r>
          </w:p>
        </w:tc>
        <w:tc>
          <w:tcPr>
            <w:tcW w:w="404" w:type="pct"/>
            <w:tcBorders>
              <w:tl2br w:val="nil"/>
              <w:tr2bl w:val="nil"/>
            </w:tcBorders>
            <w:noWrap w:val="0"/>
            <w:vAlign w:val="center"/>
          </w:tcPr>
          <w:p w14:paraId="06A795DB">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8.314</w:t>
            </w:r>
          </w:p>
        </w:tc>
        <w:tc>
          <w:tcPr>
            <w:tcW w:w="437" w:type="pct"/>
            <w:tcBorders>
              <w:tl2br w:val="nil"/>
              <w:tr2bl w:val="nil"/>
            </w:tcBorders>
            <w:noWrap w:val="0"/>
            <w:vAlign w:val="center"/>
          </w:tcPr>
          <w:p w14:paraId="0085B859">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306.03</w:t>
            </w:r>
          </w:p>
        </w:tc>
        <w:tc>
          <w:tcPr>
            <w:tcW w:w="330" w:type="pct"/>
            <w:tcBorders>
              <w:tl2br w:val="nil"/>
              <w:tr2bl w:val="nil"/>
            </w:tcBorders>
            <w:noWrap w:val="0"/>
            <w:vAlign w:val="center"/>
          </w:tcPr>
          <w:p w14:paraId="7FD64FD5">
            <w:pPr>
              <w:pStyle w:val="24"/>
              <w:bidi w:val="0"/>
              <w:ind w:left="0" w:left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1.14</w:t>
            </w:r>
          </w:p>
        </w:tc>
        <w:tc>
          <w:tcPr>
            <w:tcW w:w="315" w:type="pct"/>
            <w:tcBorders>
              <w:tl2br w:val="nil"/>
              <w:tr2bl w:val="nil"/>
            </w:tcBorders>
            <w:noWrap w:val="0"/>
            <w:vAlign w:val="center"/>
          </w:tcPr>
          <w:p w14:paraId="18141C2E">
            <w:pPr>
              <w:pStyle w:val="24"/>
              <w:bidi w:val="0"/>
              <w:ind w:left="0" w:leftChars="0"/>
              <w:rPr>
                <w:rFonts w:hint="default" w:cs="Times New Roman"/>
                <w:color w:val="auto"/>
                <w:highlight w:val="none"/>
                <w:lang w:val="en-US" w:eastAsia="zh-CN"/>
              </w:rPr>
            </w:pPr>
            <w:r>
              <w:rPr>
                <w:rFonts w:hint="eastAsia" w:cs="Times New Roman"/>
                <w:color w:val="auto"/>
                <w:highlight w:val="none"/>
                <w:lang w:val="en-US" w:eastAsia="zh-CN"/>
              </w:rPr>
              <w:t>6.3</w:t>
            </w:r>
          </w:p>
        </w:tc>
        <w:tc>
          <w:tcPr>
            <w:tcW w:w="294" w:type="pct"/>
            <w:tcBorders>
              <w:tl2br w:val="nil"/>
              <w:tr2bl w:val="nil"/>
            </w:tcBorders>
            <w:noWrap w:val="0"/>
            <w:vAlign w:val="center"/>
          </w:tcPr>
          <w:p w14:paraId="42344D4A">
            <w:pPr>
              <w:pStyle w:val="24"/>
              <w:bidi w:val="0"/>
              <w:ind w:left="0" w:left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0.3</w:t>
            </w:r>
          </w:p>
        </w:tc>
        <w:tc>
          <w:tcPr>
            <w:tcW w:w="468" w:type="pct"/>
            <w:tcBorders>
              <w:tl2br w:val="nil"/>
              <w:tr2bl w:val="nil"/>
            </w:tcBorders>
            <w:noWrap w:val="0"/>
            <w:vAlign w:val="center"/>
          </w:tcPr>
          <w:p w14:paraId="5B5C65F2">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0.0048</w:t>
            </w:r>
          </w:p>
        </w:tc>
        <w:tc>
          <w:tcPr>
            <w:tcW w:w="480" w:type="pct"/>
            <w:tcBorders>
              <w:tl2br w:val="nil"/>
              <w:tr2bl w:val="nil"/>
            </w:tcBorders>
            <w:noWrap w:val="0"/>
            <w:vAlign w:val="center"/>
          </w:tcPr>
          <w:p w14:paraId="21C08C1B">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4.29</w:t>
            </w:r>
          </w:p>
        </w:tc>
      </w:tr>
    </w:tbl>
    <w:p w14:paraId="7E826E93">
      <w:pPr>
        <w:pStyle w:val="5"/>
        <w:bidi w:val="0"/>
        <w:jc w:val="both"/>
        <w:rPr>
          <w:rFonts w:hint="default" w:ascii="Times New Roman" w:hAnsi="Times New Roman" w:cs="Times New Roman"/>
          <w:color w:val="auto"/>
          <w:highlight w:val="none"/>
        </w:rPr>
      </w:pPr>
      <w:r>
        <w:rPr>
          <w:rFonts w:hint="eastAsia" w:cs="Times New Roman"/>
          <w:color w:val="auto"/>
          <w:highlight w:val="none"/>
          <w:lang w:val="en-US" w:eastAsia="zh-CN"/>
        </w:rPr>
        <w:t>丙烯酸、硫酸</w:t>
      </w:r>
      <w:r>
        <w:rPr>
          <w:rFonts w:hint="default" w:ascii="Times New Roman" w:hAnsi="Times New Roman" w:cs="Times New Roman"/>
          <w:color w:val="auto"/>
          <w:highlight w:val="none"/>
          <w:lang w:val="en-US" w:eastAsia="zh-CN"/>
        </w:rPr>
        <w:t>燃烧CO</w:t>
      </w:r>
      <w:r>
        <w:rPr>
          <w:rFonts w:hint="eastAsia" w:cs="Times New Roman"/>
          <w:color w:val="auto"/>
          <w:highlight w:val="none"/>
          <w:lang w:val="en-US" w:eastAsia="zh-CN"/>
        </w:rPr>
        <w:t>、</w:t>
      </w:r>
      <w:r>
        <w:rPr>
          <w:rFonts w:hint="eastAsia" w:ascii="Times New Roman" w:hAnsi="Times New Roman" w:eastAsia="宋体" w:cs="Courier New"/>
          <w:b w:val="0"/>
          <w:bCs w:val="0"/>
          <w:color w:val="auto"/>
          <w:kern w:val="2"/>
          <w:sz w:val="24"/>
          <w:szCs w:val="24"/>
          <w:highlight w:val="none"/>
          <w:lang w:val="en-US" w:eastAsia="zh-CN" w:bidi="ar-SA"/>
        </w:rPr>
        <w:t>SO</w:t>
      </w:r>
      <w:r>
        <w:rPr>
          <w:rFonts w:hint="eastAsia" w:ascii="Times New Roman" w:hAnsi="Times New Roman" w:eastAsia="宋体" w:cs="Courier New"/>
          <w:b w:val="0"/>
          <w:bCs w:val="0"/>
          <w:color w:val="auto"/>
          <w:kern w:val="2"/>
          <w:sz w:val="24"/>
          <w:szCs w:val="24"/>
          <w:highlight w:val="none"/>
          <w:vertAlign w:val="subscript"/>
          <w:lang w:val="en-US" w:eastAsia="zh-CN" w:bidi="ar-SA"/>
        </w:rPr>
        <w:t>2</w:t>
      </w:r>
      <w:r>
        <w:rPr>
          <w:rFonts w:hint="default" w:ascii="Times New Roman" w:hAnsi="Times New Roman" w:cs="Times New Roman"/>
          <w:color w:val="auto"/>
          <w:highlight w:val="none"/>
          <w:lang w:val="en-US" w:eastAsia="zh-CN"/>
        </w:rPr>
        <w:t>扩散</w:t>
      </w:r>
      <w:r>
        <w:rPr>
          <w:rFonts w:hint="default" w:ascii="Times New Roman" w:hAnsi="Times New Roman" w:cs="Times New Roman"/>
          <w:color w:val="auto"/>
          <w:highlight w:val="none"/>
        </w:rPr>
        <w:t>源项分析</w:t>
      </w:r>
    </w:p>
    <w:p w14:paraId="37546AE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丙烯酸、</w:t>
      </w:r>
      <w:r>
        <w:rPr>
          <w:rFonts w:hint="eastAsia" w:cs="Times New Roman"/>
          <w:color w:val="auto"/>
          <w:highlight w:val="none"/>
          <w:lang w:val="en-US" w:eastAsia="zh-CN"/>
        </w:rPr>
        <w:t>硫酸储</w:t>
      </w:r>
      <w:r>
        <w:rPr>
          <w:rFonts w:hint="default" w:ascii="Times New Roman" w:hAnsi="Times New Roman" w:cs="Times New Roman"/>
          <w:color w:val="auto"/>
          <w:highlight w:val="none"/>
          <w:lang w:val="en-US" w:eastAsia="zh-CN"/>
        </w:rPr>
        <w:t>罐发生火灾爆炸事故，</w:t>
      </w:r>
      <w:r>
        <w:rPr>
          <w:rFonts w:hint="eastAsia" w:cs="Times New Roman"/>
          <w:color w:val="auto"/>
          <w:highlight w:val="none"/>
          <w:lang w:val="en-US" w:eastAsia="zh-CN"/>
        </w:rPr>
        <w:t>丙烯酸、硫酸</w:t>
      </w:r>
      <w:r>
        <w:rPr>
          <w:rFonts w:hint="default" w:ascii="Times New Roman" w:hAnsi="Times New Roman" w:cs="Times New Roman"/>
          <w:color w:val="auto"/>
          <w:highlight w:val="none"/>
          <w:lang w:val="en-US" w:eastAsia="zh-CN"/>
        </w:rPr>
        <w:t>完全泄漏并燃烧产生的伴生/次生污染物一氧化碳</w:t>
      </w:r>
      <w:r>
        <w:rPr>
          <w:rFonts w:hint="eastAsia" w:cs="Times New Roman"/>
          <w:color w:val="auto"/>
          <w:highlight w:val="none"/>
          <w:lang w:val="en-US" w:eastAsia="zh-CN"/>
        </w:rPr>
        <w:t>、</w:t>
      </w:r>
      <w:r>
        <w:rPr>
          <w:rFonts w:hint="eastAsia" w:ascii="Times New Roman" w:hAnsi="Times New Roman" w:eastAsia="宋体" w:cs="Courier New"/>
          <w:b w:val="0"/>
          <w:bCs w:val="0"/>
          <w:color w:val="auto"/>
          <w:kern w:val="2"/>
          <w:sz w:val="24"/>
          <w:szCs w:val="24"/>
          <w:highlight w:val="none"/>
          <w:lang w:val="en-US" w:eastAsia="zh-CN" w:bidi="ar-SA"/>
        </w:rPr>
        <w:t>二氧化硫</w:t>
      </w:r>
      <w:r>
        <w:rPr>
          <w:rFonts w:hint="default" w:ascii="Times New Roman" w:hAnsi="Times New Roman" w:cs="Times New Roman"/>
          <w:color w:val="auto"/>
          <w:highlight w:val="none"/>
          <w:lang w:val="en-US" w:eastAsia="zh-CN"/>
        </w:rPr>
        <w:t>扩散到大气，造成环境风险事故</w:t>
      </w:r>
      <w:r>
        <w:rPr>
          <w:rFonts w:hint="eastAsia" w:cs="Times New Roman"/>
          <w:color w:val="auto"/>
          <w:highlight w:val="none"/>
          <w:lang w:val="en-US" w:eastAsia="zh-CN"/>
        </w:rPr>
        <w:t>。</w:t>
      </w:r>
    </w:p>
    <w:p w14:paraId="66407156">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1、液体燃烧速度估算</w:t>
      </w:r>
    </w:p>
    <w:p w14:paraId="4DB29CF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液体燃烧速度根据下式进行计算：</w:t>
      </w:r>
    </w:p>
    <w:p w14:paraId="3E151A56">
      <w:pPr>
        <w:pStyle w:val="26"/>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drawing>
          <wp:inline distT="0" distB="0" distL="114300" distR="114300">
            <wp:extent cx="1770380" cy="673735"/>
            <wp:effectExtent l="0" t="0" r="1270" b="12065"/>
            <wp:docPr id="1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3"/>
                    <pic:cNvPicPr>
                      <a:picLocks noChangeAspect="1"/>
                    </pic:cNvPicPr>
                  </pic:nvPicPr>
                  <pic:blipFill>
                    <a:blip r:embed="rId182"/>
                    <a:stretch>
                      <a:fillRect/>
                    </a:stretch>
                  </pic:blipFill>
                  <pic:spPr>
                    <a:xfrm>
                      <a:off x="0" y="0"/>
                      <a:ext cx="1770380" cy="673735"/>
                    </a:xfrm>
                    <a:prstGeom prst="rect">
                      <a:avLst/>
                    </a:prstGeom>
                    <a:noFill/>
                    <a:ln>
                      <a:noFill/>
                    </a:ln>
                  </pic:spPr>
                </pic:pic>
              </a:graphicData>
            </a:graphic>
          </wp:inline>
        </w:drawing>
      </w:r>
    </w:p>
    <w:p w14:paraId="10E58FF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式中：m</w:t>
      </w:r>
      <w:r>
        <w:rPr>
          <w:rFonts w:hint="default" w:ascii="Times New Roman" w:hAnsi="Times New Roman" w:cs="Times New Roman"/>
          <w:color w:val="auto"/>
          <w:highlight w:val="none"/>
          <w:vertAlign w:val="subscript"/>
          <w:lang w:val="en-US" w:eastAsia="zh-CN"/>
        </w:rPr>
        <w:t>f</w:t>
      </w:r>
      <w:r>
        <w:rPr>
          <w:rFonts w:hint="default" w:ascii="Times New Roman" w:hAnsi="Times New Roman" w:cs="Times New Roman"/>
          <w:color w:val="auto"/>
          <w:highlight w:val="none"/>
          <w:lang w:val="en-US" w:eastAsia="zh-CN"/>
        </w:rPr>
        <w:t>——液体单位表面积燃烧速度，kg/（m²·s）；</w:t>
      </w:r>
    </w:p>
    <w:p w14:paraId="0480F3D2">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w:t>
      </w:r>
      <w:r>
        <w:rPr>
          <w:rFonts w:hint="default" w:ascii="Times New Roman" w:hAnsi="Times New Roman" w:cs="Times New Roman"/>
          <w:color w:val="auto"/>
          <w:highlight w:val="none"/>
          <w:vertAlign w:val="subscript"/>
          <w:lang w:val="en-US" w:eastAsia="zh-CN"/>
        </w:rPr>
        <w:t>c</w:t>
      </w:r>
      <w:r>
        <w:rPr>
          <w:rFonts w:hint="default" w:ascii="Times New Roman" w:hAnsi="Times New Roman" w:cs="Times New Roman"/>
          <w:color w:val="auto"/>
          <w:highlight w:val="none"/>
          <w:lang w:val="en-US" w:eastAsia="zh-CN"/>
        </w:rPr>
        <w:t>——液体燃烧热，J/kg</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取</w:t>
      </w:r>
      <w:r>
        <w:rPr>
          <w:rFonts w:hint="eastAsia" w:cs="Times New Roman"/>
          <w:color w:val="auto"/>
          <w:highlight w:val="none"/>
          <w:lang w:val="en-US" w:eastAsia="zh-CN"/>
        </w:rPr>
        <w:t>1366.9、硫酸取0.296</w:t>
      </w: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vertAlign w:val="superscript"/>
          <w:lang w:val="en-US" w:eastAsia="zh-CN"/>
        </w:rPr>
        <w:t>5</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w:t>
      </w:r>
    </w:p>
    <w:p w14:paraId="42607BCD">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w:t>
      </w:r>
      <w:r>
        <w:rPr>
          <w:rFonts w:hint="default" w:ascii="Times New Roman" w:hAnsi="Times New Roman" w:cs="Times New Roman"/>
          <w:color w:val="auto"/>
          <w:highlight w:val="none"/>
          <w:vertAlign w:val="subscript"/>
          <w:lang w:val="en-US" w:eastAsia="zh-CN"/>
        </w:rPr>
        <w:t>p</w:t>
      </w:r>
      <w:r>
        <w:rPr>
          <w:rFonts w:hint="default" w:ascii="Times New Roman" w:hAnsi="Times New Roman" w:cs="Times New Roman"/>
          <w:color w:val="auto"/>
          <w:highlight w:val="none"/>
          <w:lang w:val="en-US" w:eastAsia="zh-CN"/>
        </w:rPr>
        <w:t>——液体的比定压热容，J/(kg·K）</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取</w:t>
      </w:r>
      <w:r>
        <w:rPr>
          <w:rFonts w:hint="eastAsia" w:cs="Times New Roman"/>
          <w:color w:val="auto"/>
          <w:highlight w:val="none"/>
          <w:lang w:val="en-US" w:eastAsia="zh-CN"/>
        </w:rPr>
        <w:t>1970、硫酸取1967）</w:t>
      </w:r>
      <w:r>
        <w:rPr>
          <w:rFonts w:hint="default" w:ascii="Times New Roman" w:hAnsi="Times New Roman" w:cs="Times New Roman"/>
          <w:color w:val="auto"/>
          <w:highlight w:val="none"/>
          <w:lang w:val="en-US" w:eastAsia="zh-CN"/>
        </w:rPr>
        <w:t>；</w:t>
      </w:r>
    </w:p>
    <w:p w14:paraId="658B5BC1">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vertAlign w:val="subscript"/>
          <w:lang w:val="en-US" w:eastAsia="zh-CN"/>
        </w:rPr>
        <w:t>b</w:t>
      </w:r>
      <w:r>
        <w:rPr>
          <w:rFonts w:hint="default" w:ascii="Times New Roman" w:hAnsi="Times New Roman" w:cs="Times New Roman"/>
          <w:color w:val="auto"/>
          <w:highlight w:val="none"/>
          <w:lang w:val="en-US" w:eastAsia="zh-CN"/>
        </w:rPr>
        <w:t>——液体的沸点，K（</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取</w:t>
      </w:r>
      <w:r>
        <w:rPr>
          <w:rFonts w:hint="eastAsia" w:cs="Times New Roman"/>
          <w:color w:val="auto"/>
          <w:highlight w:val="none"/>
          <w:lang w:val="en-US" w:eastAsia="zh-CN"/>
        </w:rPr>
        <w:t>140.9、硫酸</w:t>
      </w:r>
      <w:r>
        <w:rPr>
          <w:rFonts w:hint="eastAsia" w:ascii="Times New Roman" w:hAnsi="Times New Roman" w:eastAsia="宋体" w:cs="Courier New"/>
          <w:b w:val="0"/>
          <w:bCs w:val="0"/>
          <w:color w:val="auto"/>
          <w:kern w:val="2"/>
          <w:sz w:val="24"/>
          <w:szCs w:val="24"/>
          <w:highlight w:val="none"/>
          <w:lang w:val="en-US" w:eastAsia="zh-CN" w:bidi="ar-SA"/>
        </w:rPr>
        <w:t>取</w:t>
      </w:r>
      <w:r>
        <w:rPr>
          <w:rFonts w:hint="eastAsia" w:cs="Courier New"/>
          <w:b w:val="0"/>
          <w:bCs w:val="0"/>
          <w:color w:val="auto"/>
          <w:kern w:val="2"/>
          <w:sz w:val="24"/>
          <w:szCs w:val="24"/>
          <w:highlight w:val="none"/>
          <w:lang w:val="en-US" w:eastAsia="zh-CN" w:bidi="ar-SA"/>
        </w:rPr>
        <w:t>337</w:t>
      </w:r>
      <w:r>
        <w:rPr>
          <w:rFonts w:hint="default" w:ascii="Times New Roman" w:hAnsi="Times New Roman" w:cs="Times New Roman"/>
          <w:color w:val="auto"/>
          <w:highlight w:val="none"/>
          <w:lang w:val="en-US" w:eastAsia="zh-CN"/>
        </w:rPr>
        <w:t>）；</w:t>
      </w:r>
    </w:p>
    <w:p w14:paraId="468D2536">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vertAlign w:val="baseline"/>
          <w:lang w:val="en-US" w:eastAsia="zh-CN"/>
        </w:rPr>
        <w:t>T</w:t>
      </w:r>
      <w:r>
        <w:rPr>
          <w:rFonts w:hint="default" w:ascii="Times New Roman" w:hAnsi="Times New Roman" w:cs="Times New Roman"/>
          <w:color w:val="auto"/>
          <w:highlight w:val="none"/>
          <w:vertAlign w:val="subscript"/>
          <w:lang w:val="en-US" w:eastAsia="zh-CN"/>
        </w:rPr>
        <w:t>a</w:t>
      </w:r>
      <w:r>
        <w:rPr>
          <w:rFonts w:hint="default" w:ascii="Times New Roman" w:hAnsi="Times New Roman" w:cs="Times New Roman"/>
          <w:color w:val="auto"/>
          <w:highlight w:val="none"/>
          <w:lang w:val="en-US" w:eastAsia="zh-CN"/>
        </w:rPr>
        <w:t>——环境温度，K（取298.15</w:t>
      </w:r>
      <w:r>
        <w:rPr>
          <w:rFonts w:hint="eastAsia" w:cs="Times New Roman"/>
          <w:color w:val="auto"/>
          <w:highlight w:val="none"/>
          <w:lang w:val="en-US" w:eastAsia="zh-CN"/>
        </w:rPr>
        <w:t>/306.03</w:t>
      </w:r>
      <w:r>
        <w:rPr>
          <w:rFonts w:hint="default" w:ascii="Times New Roman" w:hAnsi="Times New Roman" w:cs="Times New Roman"/>
          <w:color w:val="auto"/>
          <w:highlight w:val="none"/>
          <w:lang w:val="en-US" w:eastAsia="zh-CN"/>
        </w:rPr>
        <w:t>）；</w:t>
      </w:r>
    </w:p>
    <w:p w14:paraId="22284C7A">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w:t>
      </w:r>
      <w:r>
        <w:rPr>
          <w:rFonts w:hint="default" w:ascii="Times New Roman" w:hAnsi="Times New Roman" w:cs="Times New Roman"/>
          <w:color w:val="auto"/>
          <w:highlight w:val="none"/>
          <w:vertAlign w:val="subscript"/>
          <w:lang w:val="en-US" w:eastAsia="zh-CN"/>
        </w:rPr>
        <w:t>v</w:t>
      </w:r>
      <w:r>
        <w:rPr>
          <w:rFonts w:hint="default" w:ascii="Times New Roman" w:hAnsi="Times New Roman" w:cs="Times New Roman"/>
          <w:color w:val="auto"/>
          <w:highlight w:val="none"/>
          <w:lang w:val="en-US" w:eastAsia="zh-CN"/>
        </w:rPr>
        <w:t>——液体在常压沸点下的蒸发热（气化热），J/kg（取4.06×10</w:t>
      </w:r>
      <w:r>
        <w:rPr>
          <w:rFonts w:hint="default" w:ascii="Times New Roman" w:hAnsi="Times New Roman" w:cs="Times New Roman"/>
          <w:color w:val="auto"/>
          <w:highlight w:val="none"/>
          <w:vertAlign w:val="superscript"/>
          <w:lang w:val="en-US" w:eastAsia="zh-CN"/>
        </w:rPr>
        <w:t>5</w:t>
      </w:r>
      <w:r>
        <w:rPr>
          <w:rFonts w:hint="default" w:ascii="Times New Roman" w:hAnsi="Times New Roman" w:cs="Times New Roman"/>
          <w:color w:val="auto"/>
          <w:highlight w:val="none"/>
          <w:lang w:val="en-US" w:eastAsia="zh-CN"/>
        </w:rPr>
        <w:t>J/kg）。</w:t>
      </w:r>
    </w:p>
    <w:p w14:paraId="594A2E6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计算可得，最不利气象条件下，</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的燃烧速度为</w:t>
      </w:r>
      <w:r>
        <w:rPr>
          <w:rFonts w:hint="eastAsia" w:cs="Times New Roman"/>
          <w:color w:val="auto"/>
          <w:highlight w:val="none"/>
          <w:lang w:val="en-US" w:eastAsia="zh-CN"/>
        </w:rPr>
        <w:t>1.42E-05</w:t>
      </w:r>
      <w:r>
        <w:rPr>
          <w:rFonts w:hint="default" w:ascii="Times New Roman" w:hAnsi="Times New Roman" w:cs="Times New Roman"/>
          <w:color w:val="auto"/>
          <w:highlight w:val="none"/>
          <w:lang w:val="en-US" w:eastAsia="zh-CN"/>
        </w:rPr>
        <w:t>kg/（m²·s）</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的燃烧速度为</w:t>
      </w:r>
      <w:r>
        <w:rPr>
          <w:rFonts w:hint="eastAsia" w:cs="Times New Roman"/>
          <w:color w:val="auto"/>
          <w:highlight w:val="none"/>
          <w:lang w:val="en-US" w:eastAsia="zh-CN"/>
        </w:rPr>
        <w:t>6.14E-05k</w:t>
      </w:r>
      <w:r>
        <w:rPr>
          <w:rFonts w:hint="default" w:ascii="Times New Roman" w:hAnsi="Times New Roman" w:cs="Times New Roman"/>
          <w:color w:val="auto"/>
          <w:highlight w:val="none"/>
          <w:lang w:val="en-US" w:eastAsia="zh-CN"/>
        </w:rPr>
        <w:t>g/（m²·s）；最常见气象条件下，</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的燃烧速度为</w:t>
      </w:r>
      <w:r>
        <w:rPr>
          <w:rFonts w:hint="eastAsia" w:cs="Times New Roman"/>
          <w:color w:val="auto"/>
          <w:highlight w:val="none"/>
          <w:lang w:val="en-US" w:eastAsia="zh-CN"/>
        </w:rPr>
        <w:t>1.69E-05</w:t>
      </w:r>
      <w:r>
        <w:rPr>
          <w:rFonts w:hint="default" w:ascii="Times New Roman" w:hAnsi="Times New Roman" w:cs="Times New Roman"/>
          <w:color w:val="auto"/>
          <w:highlight w:val="none"/>
          <w:lang w:val="en-US" w:eastAsia="zh-CN"/>
        </w:rPr>
        <w:t>kg/（m²·s）</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的燃烧速度为</w:t>
      </w:r>
      <w:r>
        <w:rPr>
          <w:rFonts w:hint="eastAsia" w:cs="Times New Roman"/>
          <w:color w:val="auto"/>
          <w:highlight w:val="none"/>
          <w:lang w:val="en-US" w:eastAsia="zh-CN"/>
        </w:rPr>
        <w:t>6.34E-05k</w:t>
      </w:r>
      <w:r>
        <w:rPr>
          <w:rFonts w:hint="default" w:ascii="Times New Roman" w:hAnsi="Times New Roman" w:cs="Times New Roman"/>
          <w:color w:val="auto"/>
          <w:highlight w:val="none"/>
          <w:lang w:val="en-US" w:eastAsia="zh-CN"/>
        </w:rPr>
        <w:t>g/（m²·s）。</w:t>
      </w:r>
    </w:p>
    <w:p w14:paraId="213361C7">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2、火灾伴生/次生污染物产生量估算</w:t>
      </w:r>
    </w:p>
    <w:p w14:paraId="3DEAE2A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（1）一氧化碳产生量</w:t>
      </w:r>
    </w:p>
    <w:p w14:paraId="243E3F7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火灾伴生/次生一氧化碳产生量按下式计算：</w:t>
      </w:r>
    </w:p>
    <w:p w14:paraId="42ACC733">
      <w:pPr>
        <w:pStyle w:val="26"/>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drawing>
          <wp:inline distT="0" distB="0" distL="114300" distR="114300">
            <wp:extent cx="1323340" cy="348615"/>
            <wp:effectExtent l="0" t="0" r="10160" b="13335"/>
            <wp:docPr id="1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4"/>
                    <pic:cNvPicPr>
                      <a:picLocks noChangeAspect="1"/>
                    </pic:cNvPicPr>
                  </pic:nvPicPr>
                  <pic:blipFill>
                    <a:blip r:embed="rId183"/>
                    <a:stretch>
                      <a:fillRect/>
                    </a:stretch>
                  </pic:blipFill>
                  <pic:spPr>
                    <a:xfrm>
                      <a:off x="0" y="0"/>
                      <a:ext cx="1323340" cy="348615"/>
                    </a:xfrm>
                    <a:prstGeom prst="rect">
                      <a:avLst/>
                    </a:prstGeom>
                    <a:noFill/>
                    <a:ln>
                      <a:noFill/>
                    </a:ln>
                  </pic:spPr>
                </pic:pic>
              </a:graphicData>
            </a:graphic>
          </wp:inline>
        </w:drawing>
      </w:r>
    </w:p>
    <w:p w14:paraId="1826F53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式中：G</w:t>
      </w:r>
      <w:r>
        <w:rPr>
          <w:rFonts w:hint="default" w:ascii="Times New Roman" w:hAnsi="Times New Roman" w:cs="Times New Roman"/>
          <w:color w:val="auto"/>
          <w:highlight w:val="none"/>
          <w:vertAlign w:val="subscript"/>
          <w:lang w:val="en-US" w:eastAsia="zh-CN"/>
        </w:rPr>
        <w:t>一氧化碳</w:t>
      </w:r>
      <w:r>
        <w:rPr>
          <w:rFonts w:hint="default" w:ascii="Times New Roman" w:hAnsi="Times New Roman" w:cs="Times New Roman"/>
          <w:color w:val="auto"/>
          <w:highlight w:val="none"/>
          <w:lang w:val="en-US" w:eastAsia="zh-CN"/>
        </w:rPr>
        <w:t>——一氧化碳的产生量，kg/s；</w:t>
      </w:r>
    </w:p>
    <w:p w14:paraId="67739432">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C——物质中碳的含量，约</w:t>
      </w:r>
      <w:r>
        <w:rPr>
          <w:rFonts w:hint="eastAsia" w:cs="Times New Roman"/>
          <w:color w:val="auto"/>
          <w:highlight w:val="none"/>
          <w:lang w:val="en-US" w:eastAsia="zh-CN"/>
        </w:rPr>
        <w:t>50</w:t>
      </w:r>
      <w:r>
        <w:rPr>
          <w:rFonts w:hint="default" w:ascii="Times New Roman" w:hAnsi="Times New Roman" w:cs="Times New Roman"/>
          <w:color w:val="auto"/>
          <w:highlight w:val="none"/>
          <w:lang w:val="en-US" w:eastAsia="zh-CN"/>
        </w:rPr>
        <w:t>%；</w:t>
      </w:r>
    </w:p>
    <w:p w14:paraId="20F4B1E6">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q——化学不完全燃烧值，取1.5%~6.0%；</w:t>
      </w:r>
    </w:p>
    <w:p w14:paraId="3C01CD4E">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Q——参与燃烧的物质量，t/s。</w:t>
      </w:r>
    </w:p>
    <w:p w14:paraId="1B8B68B3">
      <w:pPr>
        <w:pStyle w:val="26"/>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w:t>
      </w:r>
      <w:r>
        <w:rPr>
          <w:rFonts w:hint="eastAsia"/>
          <w:color w:val="auto"/>
          <w:highlight w:val="none"/>
          <w:lang w:val="en-US" w:eastAsia="zh-CN"/>
        </w:rPr>
        <w:t>二氧化硫</w:t>
      </w:r>
      <w:r>
        <w:rPr>
          <w:rFonts w:hint="default"/>
          <w:color w:val="auto"/>
          <w:highlight w:val="none"/>
          <w:lang w:val="en-US" w:eastAsia="zh-CN"/>
        </w:rPr>
        <w:t>产生量</w:t>
      </w:r>
    </w:p>
    <w:p w14:paraId="7F736C1A">
      <w:pPr>
        <w:pStyle w:val="26"/>
        <w:bidi w:val="0"/>
        <w:rPr>
          <w:rFonts w:hint="default" w:ascii="Times New Roman" w:hAnsi="Times New Roman" w:cs="Times New Roman"/>
          <w:color w:val="auto"/>
          <w:highlight w:val="none"/>
          <w:lang w:val="en-US" w:eastAsia="zh-CN"/>
        </w:rPr>
      </w:pPr>
      <w:r>
        <w:rPr>
          <w:rFonts w:hint="default"/>
          <w:color w:val="auto"/>
          <w:highlight w:val="none"/>
          <w:lang w:val="en-US" w:eastAsia="zh-CN"/>
        </w:rPr>
        <w:t>火灾伴生/次生</w:t>
      </w:r>
      <w:r>
        <w:rPr>
          <w:rFonts w:hint="eastAsia"/>
          <w:color w:val="auto"/>
          <w:highlight w:val="none"/>
          <w:lang w:val="en-US" w:eastAsia="zh-CN"/>
        </w:rPr>
        <w:t>二氧化硫</w:t>
      </w:r>
      <w:r>
        <w:rPr>
          <w:rFonts w:hint="default"/>
          <w:color w:val="auto"/>
          <w:highlight w:val="none"/>
          <w:lang w:val="en-US" w:eastAsia="zh-CN"/>
        </w:rPr>
        <w:t>产生量按下式计算：</w:t>
      </w:r>
    </w:p>
    <w:p w14:paraId="75FB7CC1">
      <w:pPr>
        <w:pStyle w:val="26"/>
        <w:bidi w:val="0"/>
        <w:jc w:val="center"/>
        <w:rPr>
          <w:rFonts w:hint="default"/>
          <w:color w:val="auto"/>
          <w:highlight w:val="none"/>
          <w:lang w:val="en-US" w:eastAsia="zh-CN"/>
        </w:rPr>
      </w:pPr>
      <w:r>
        <w:rPr>
          <w:rFonts w:hint="eastAsia"/>
          <w:color w:val="auto"/>
          <w:highlight w:val="none"/>
          <w:lang w:val="en-US" w:eastAsia="zh-CN"/>
        </w:rPr>
        <w:drawing>
          <wp:inline distT="0" distB="0" distL="114300" distR="114300">
            <wp:extent cx="1258570" cy="362585"/>
            <wp:effectExtent l="0" t="0" r="17780" b="18415"/>
            <wp:docPr id="20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75"/>
                    <pic:cNvPicPr>
                      <a:picLocks noChangeAspect="1"/>
                    </pic:cNvPicPr>
                  </pic:nvPicPr>
                  <pic:blipFill>
                    <a:blip r:embed="rId184"/>
                    <a:stretch>
                      <a:fillRect/>
                    </a:stretch>
                  </pic:blipFill>
                  <pic:spPr>
                    <a:xfrm>
                      <a:off x="0" y="0"/>
                      <a:ext cx="1258570" cy="362585"/>
                    </a:xfrm>
                    <a:prstGeom prst="rect">
                      <a:avLst/>
                    </a:prstGeom>
                    <a:noFill/>
                    <a:ln>
                      <a:noFill/>
                    </a:ln>
                  </pic:spPr>
                </pic:pic>
              </a:graphicData>
            </a:graphic>
          </wp:inline>
        </w:drawing>
      </w:r>
    </w:p>
    <w:p w14:paraId="7633F9BA">
      <w:pPr>
        <w:pStyle w:val="26"/>
        <w:bidi w:val="0"/>
        <w:rPr>
          <w:rFonts w:hint="default"/>
          <w:color w:val="auto"/>
          <w:highlight w:val="none"/>
          <w:lang w:val="en-US" w:eastAsia="zh-CN"/>
        </w:rPr>
      </w:pPr>
      <w:r>
        <w:rPr>
          <w:rFonts w:hint="default"/>
          <w:color w:val="auto"/>
          <w:highlight w:val="none"/>
          <w:lang w:val="en-US" w:eastAsia="zh-CN"/>
        </w:rPr>
        <w:t>式中：G</w:t>
      </w:r>
      <w:r>
        <w:rPr>
          <w:rFonts w:hint="eastAsia"/>
          <w:color w:val="auto"/>
          <w:highlight w:val="none"/>
          <w:vertAlign w:val="subscript"/>
          <w:lang w:val="en-US" w:eastAsia="zh-CN"/>
        </w:rPr>
        <w:t>二氧化硫</w:t>
      </w:r>
      <w:r>
        <w:rPr>
          <w:rFonts w:hint="default"/>
          <w:color w:val="auto"/>
          <w:highlight w:val="none"/>
          <w:lang w:val="en-US" w:eastAsia="zh-CN"/>
        </w:rPr>
        <w:t>——二氧化硫</w:t>
      </w:r>
      <w:r>
        <w:rPr>
          <w:rFonts w:hint="eastAsia"/>
          <w:color w:val="auto"/>
          <w:highlight w:val="none"/>
          <w:lang w:val="en-US" w:eastAsia="zh-CN"/>
        </w:rPr>
        <w:t>排放速率</w:t>
      </w:r>
      <w:r>
        <w:rPr>
          <w:rFonts w:hint="default"/>
          <w:color w:val="auto"/>
          <w:highlight w:val="none"/>
          <w:lang w:val="en-US" w:eastAsia="zh-CN"/>
        </w:rPr>
        <w:t>，kg/</w:t>
      </w:r>
      <w:r>
        <w:rPr>
          <w:rFonts w:hint="eastAsia"/>
          <w:color w:val="auto"/>
          <w:highlight w:val="none"/>
          <w:lang w:val="en-US" w:eastAsia="zh-CN"/>
        </w:rPr>
        <w:t>h</w:t>
      </w:r>
      <w:r>
        <w:rPr>
          <w:rFonts w:hint="default"/>
          <w:color w:val="auto"/>
          <w:highlight w:val="none"/>
          <w:lang w:val="en-US" w:eastAsia="zh-CN"/>
        </w:rPr>
        <w:t>；</w:t>
      </w:r>
    </w:p>
    <w:p w14:paraId="43D0F296">
      <w:pPr>
        <w:pStyle w:val="26"/>
        <w:bidi w:val="0"/>
        <w:ind w:firstLine="1200" w:firstLineChars="500"/>
        <w:rPr>
          <w:rFonts w:hint="default"/>
          <w:color w:val="auto"/>
          <w:highlight w:val="none"/>
          <w:lang w:val="en-US" w:eastAsia="zh-CN"/>
        </w:rPr>
      </w:pPr>
      <w:r>
        <w:rPr>
          <w:rFonts w:hint="eastAsia"/>
          <w:color w:val="auto"/>
          <w:highlight w:val="none"/>
          <w:lang w:val="en-US" w:eastAsia="zh-CN"/>
        </w:rPr>
        <w:t>B</w:t>
      </w:r>
      <w:r>
        <w:rPr>
          <w:rFonts w:hint="default"/>
          <w:color w:val="auto"/>
          <w:highlight w:val="none"/>
          <w:lang w:val="en-US" w:eastAsia="zh-CN"/>
        </w:rPr>
        <w:t>——物质</w:t>
      </w:r>
      <w:r>
        <w:rPr>
          <w:rFonts w:hint="eastAsia"/>
          <w:color w:val="auto"/>
          <w:highlight w:val="none"/>
          <w:lang w:val="en-US" w:eastAsia="zh-CN"/>
        </w:rPr>
        <w:t>燃烧</w:t>
      </w:r>
      <w:r>
        <w:rPr>
          <w:rFonts w:hint="default"/>
          <w:color w:val="auto"/>
          <w:highlight w:val="none"/>
          <w:lang w:val="en-US" w:eastAsia="zh-CN"/>
        </w:rPr>
        <w:t>量，kg/</w:t>
      </w:r>
      <w:r>
        <w:rPr>
          <w:rFonts w:hint="eastAsia"/>
          <w:color w:val="auto"/>
          <w:highlight w:val="none"/>
          <w:lang w:val="en-US" w:eastAsia="zh-CN"/>
        </w:rPr>
        <w:t>h</w:t>
      </w:r>
      <w:r>
        <w:rPr>
          <w:rFonts w:hint="default"/>
          <w:color w:val="auto"/>
          <w:highlight w:val="none"/>
          <w:lang w:val="en-US" w:eastAsia="zh-CN"/>
        </w:rPr>
        <w:t>；</w:t>
      </w:r>
    </w:p>
    <w:p w14:paraId="49BADD2D">
      <w:pPr>
        <w:pStyle w:val="26"/>
        <w:bidi w:val="0"/>
        <w:ind w:firstLine="1200" w:firstLineChars="500"/>
        <w:rPr>
          <w:rFonts w:hint="default"/>
          <w:color w:val="auto"/>
          <w:highlight w:val="none"/>
          <w:lang w:val="en-US" w:eastAsia="zh-CN"/>
        </w:rPr>
      </w:pPr>
      <w:r>
        <w:rPr>
          <w:rFonts w:hint="eastAsia"/>
          <w:color w:val="auto"/>
          <w:highlight w:val="none"/>
          <w:lang w:val="en-US" w:eastAsia="zh-CN"/>
        </w:rPr>
        <w:t>S</w:t>
      </w:r>
      <w:r>
        <w:rPr>
          <w:rFonts w:hint="default"/>
          <w:color w:val="auto"/>
          <w:highlight w:val="none"/>
          <w:lang w:val="en-US" w:eastAsia="zh-CN"/>
        </w:rPr>
        <w:t>——</w:t>
      </w:r>
      <w:r>
        <w:rPr>
          <w:rFonts w:hint="eastAsia"/>
          <w:color w:val="auto"/>
          <w:highlight w:val="none"/>
          <w:lang w:val="en-US" w:eastAsia="zh-CN"/>
        </w:rPr>
        <w:t>物质中硫的含量</w:t>
      </w:r>
      <w:r>
        <w:rPr>
          <w:rFonts w:hint="default"/>
          <w:color w:val="auto"/>
          <w:highlight w:val="none"/>
          <w:lang w:val="en-US" w:eastAsia="zh-CN"/>
        </w:rPr>
        <w:t>值，%</w:t>
      </w:r>
      <w:r>
        <w:rPr>
          <w:rFonts w:hint="eastAsia"/>
          <w:color w:val="auto"/>
          <w:highlight w:val="none"/>
          <w:lang w:val="en-US" w:eastAsia="zh-CN"/>
        </w:rPr>
        <w:t>，32.65%</w:t>
      </w:r>
      <w:r>
        <w:rPr>
          <w:rFonts w:hint="default"/>
          <w:color w:val="auto"/>
          <w:highlight w:val="none"/>
          <w:lang w:val="en-US" w:eastAsia="zh-CN"/>
        </w:rPr>
        <w:t>。</w:t>
      </w:r>
    </w:p>
    <w:p w14:paraId="5CAF5A9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）池火火焰高度按下式进行估算：</w:t>
      </w:r>
    </w:p>
    <w:p w14:paraId="70D9DB22">
      <w:pPr>
        <w:pStyle w:val="26"/>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drawing>
          <wp:inline distT="0" distB="0" distL="114300" distR="114300">
            <wp:extent cx="1517650" cy="621030"/>
            <wp:effectExtent l="0" t="0" r="6350" b="7620"/>
            <wp:docPr id="1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5"/>
                    <pic:cNvPicPr>
                      <a:picLocks noChangeAspect="1"/>
                    </pic:cNvPicPr>
                  </pic:nvPicPr>
                  <pic:blipFill>
                    <a:blip r:embed="rId185"/>
                    <a:stretch>
                      <a:fillRect/>
                    </a:stretch>
                  </pic:blipFill>
                  <pic:spPr>
                    <a:xfrm>
                      <a:off x="0" y="0"/>
                      <a:ext cx="1517650" cy="621030"/>
                    </a:xfrm>
                    <a:prstGeom prst="rect">
                      <a:avLst/>
                    </a:prstGeom>
                    <a:noFill/>
                    <a:ln>
                      <a:noFill/>
                    </a:ln>
                  </pic:spPr>
                </pic:pic>
              </a:graphicData>
            </a:graphic>
          </wp:inline>
        </w:drawing>
      </w:r>
    </w:p>
    <w:p w14:paraId="5413585A">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式中：h——火焰高度，</w:t>
      </w:r>
    </w:p>
    <w:p w14:paraId="6B6C98C3">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r——液池半径，m（</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取</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、硫酸取6.3m</w:t>
      </w:r>
      <w:r>
        <w:rPr>
          <w:rFonts w:hint="default" w:ascii="Times New Roman" w:hAnsi="Times New Roman" w:cs="Times New Roman"/>
          <w:color w:val="auto"/>
          <w:highlight w:val="none"/>
          <w:lang w:val="en-US" w:eastAsia="zh-CN"/>
        </w:rPr>
        <w:t>）；</w:t>
      </w:r>
    </w:p>
    <w:p w14:paraId="70BE0EC1">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vertAlign w:val="baseline"/>
          <w:lang w:val="en-US" w:eastAsia="zh-CN"/>
        </w:rPr>
        <w:t>p</w:t>
      </w:r>
      <w:r>
        <w:rPr>
          <w:rFonts w:hint="default" w:ascii="Times New Roman" w:hAnsi="Times New Roman" w:cs="Times New Roman"/>
          <w:color w:val="auto"/>
          <w:highlight w:val="none"/>
          <w:vertAlign w:val="subscript"/>
          <w:lang w:val="en-US" w:eastAsia="zh-CN"/>
        </w:rPr>
        <w:t>0</w:t>
      </w:r>
      <w:r>
        <w:rPr>
          <w:rFonts w:hint="default" w:ascii="Times New Roman" w:hAnsi="Times New Roman" w:cs="Times New Roman"/>
          <w:color w:val="auto"/>
          <w:highlight w:val="none"/>
          <w:lang w:val="en-US" w:eastAsia="zh-CN"/>
        </w:rPr>
        <w:t>——周围空气密度，kg/m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（1.29kg/m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w:t>
      </w:r>
    </w:p>
    <w:p w14:paraId="5ACA1E2A">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g——重力加速度，m/s²（取9.8m/s²）；</w:t>
      </w:r>
    </w:p>
    <w:p w14:paraId="2BE17B1F">
      <w:pPr>
        <w:pStyle w:val="26"/>
        <w:bidi w:val="0"/>
        <w:ind w:firstLine="1200" w:firstLineChars="5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dm/dt——燃烧速度，kg/（m²·s）。</w:t>
      </w:r>
    </w:p>
    <w:p w14:paraId="1E0DD31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经计算，最不利气象条件下，</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泄漏火灾事故CO排放速率为</w:t>
      </w:r>
      <w:r>
        <w:rPr>
          <w:rFonts w:hint="eastAsia" w:cs="Times New Roman"/>
          <w:color w:val="auto"/>
          <w:highlight w:val="none"/>
          <w:lang w:val="en-US" w:eastAsia="zh-CN"/>
        </w:rPr>
        <w:t>3.97E-05k</w:t>
      </w:r>
      <w:r>
        <w:rPr>
          <w:rFonts w:hint="default" w:ascii="Times New Roman" w:hAnsi="Times New Roman" w:cs="Times New Roman"/>
          <w:color w:val="auto"/>
          <w:highlight w:val="none"/>
          <w:lang w:val="en-US" w:eastAsia="zh-CN"/>
        </w:rPr>
        <w:t>g/s，火焰高度为</w:t>
      </w:r>
      <w:r>
        <w:rPr>
          <w:rFonts w:hint="eastAsia" w:cs="Times New Roman"/>
          <w:color w:val="auto"/>
          <w:highlight w:val="none"/>
          <w:lang w:val="en-US" w:eastAsia="zh-CN"/>
        </w:rPr>
        <w:t>0.11</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泄漏火灾事故</w:t>
      </w:r>
      <w:r>
        <w:rPr>
          <w:rFonts w:hint="eastAsia" w:cs="Times New Roman"/>
          <w:color w:val="auto"/>
          <w:highlight w:val="none"/>
          <w:lang w:val="en-US" w:eastAsia="zh-CN"/>
        </w:rPr>
        <w:t>SO</w:t>
      </w:r>
      <w:r>
        <w:rPr>
          <w:rFonts w:hint="eastAsia"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排放速率为</w:t>
      </w:r>
      <w:r>
        <w:rPr>
          <w:rFonts w:hint="eastAsia" w:cs="Times New Roman"/>
          <w:color w:val="auto"/>
          <w:highlight w:val="none"/>
          <w:lang w:val="en-US" w:eastAsia="zh-CN"/>
        </w:rPr>
        <w:t>0.0050k</w:t>
      </w:r>
      <w:r>
        <w:rPr>
          <w:rFonts w:hint="default" w:ascii="Times New Roman" w:hAnsi="Times New Roman" w:cs="Times New Roman"/>
          <w:color w:val="auto"/>
          <w:highlight w:val="none"/>
          <w:lang w:val="en-US" w:eastAsia="zh-CN"/>
        </w:rPr>
        <w:t>g/s，火焰高度为</w:t>
      </w:r>
      <w:r>
        <w:rPr>
          <w:rFonts w:hint="eastAsia" w:cs="Times New Roman"/>
          <w:color w:val="auto"/>
          <w:highlight w:val="none"/>
          <w:lang w:val="en-US" w:eastAsia="zh-CN"/>
        </w:rPr>
        <w:t>0.32</w:t>
      </w:r>
      <w:r>
        <w:rPr>
          <w:rFonts w:hint="default" w:ascii="Times New Roman" w:hAnsi="Times New Roman" w:cs="Times New Roman"/>
          <w:color w:val="auto"/>
          <w:highlight w:val="none"/>
          <w:lang w:val="en-US" w:eastAsia="zh-CN"/>
        </w:rPr>
        <w:t>m</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最常见气象条件下，</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泄漏火灾事故CO排放速率为</w:t>
      </w:r>
      <w:r>
        <w:rPr>
          <w:rFonts w:hint="eastAsia" w:cs="Times New Roman"/>
          <w:color w:val="auto"/>
          <w:highlight w:val="none"/>
          <w:lang w:val="en-US" w:eastAsia="zh-CN"/>
        </w:rPr>
        <w:t>4.74E-05k</w:t>
      </w:r>
      <w:r>
        <w:rPr>
          <w:rFonts w:hint="default" w:ascii="Times New Roman" w:hAnsi="Times New Roman" w:cs="Times New Roman"/>
          <w:color w:val="auto"/>
          <w:highlight w:val="none"/>
          <w:lang w:val="en-US" w:eastAsia="zh-CN"/>
        </w:rPr>
        <w:t>g/s，火焰高度为</w:t>
      </w:r>
      <w:r>
        <w:rPr>
          <w:rFonts w:hint="eastAsia" w:cs="Times New Roman"/>
          <w:color w:val="auto"/>
          <w:highlight w:val="none"/>
          <w:lang w:val="en-US" w:eastAsia="zh-CN"/>
        </w:rPr>
        <w:t>0.12</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泄漏火灾事故</w:t>
      </w:r>
      <w:r>
        <w:rPr>
          <w:rFonts w:hint="eastAsia" w:cs="Times New Roman"/>
          <w:color w:val="auto"/>
          <w:highlight w:val="none"/>
          <w:lang w:val="en-US" w:eastAsia="zh-CN"/>
        </w:rPr>
        <w:t>SO</w:t>
      </w:r>
      <w:r>
        <w:rPr>
          <w:rFonts w:hint="eastAsia"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排放速率为</w:t>
      </w:r>
      <w:r>
        <w:rPr>
          <w:rFonts w:hint="eastAsia" w:cs="Times New Roman"/>
          <w:color w:val="auto"/>
          <w:highlight w:val="none"/>
          <w:lang w:val="en-US" w:eastAsia="zh-CN"/>
        </w:rPr>
        <w:t>0.0052k</w:t>
      </w:r>
      <w:r>
        <w:rPr>
          <w:rFonts w:hint="default" w:ascii="Times New Roman" w:hAnsi="Times New Roman" w:cs="Times New Roman"/>
          <w:color w:val="auto"/>
          <w:highlight w:val="none"/>
          <w:lang w:val="en-US" w:eastAsia="zh-CN"/>
        </w:rPr>
        <w:t>g/s，火焰高度为</w:t>
      </w:r>
      <w:r>
        <w:rPr>
          <w:rFonts w:hint="eastAsia" w:cs="Times New Roman"/>
          <w:color w:val="auto"/>
          <w:highlight w:val="none"/>
          <w:lang w:val="en-US" w:eastAsia="zh-CN"/>
        </w:rPr>
        <w:t>0.32</w:t>
      </w:r>
      <w:r>
        <w:rPr>
          <w:rFonts w:hint="default" w:ascii="Times New Roman" w:hAnsi="Times New Roman" w:cs="Times New Roman"/>
          <w:color w:val="auto"/>
          <w:highlight w:val="none"/>
          <w:lang w:val="en-US" w:eastAsia="zh-CN"/>
        </w:rPr>
        <w:t>m</w:t>
      </w:r>
      <w:r>
        <w:rPr>
          <w:rFonts w:hint="eastAsia" w:ascii="Times New Roman" w:hAnsi="Times New Roman" w:cs="Times New Roman"/>
          <w:color w:val="auto"/>
          <w:highlight w:val="none"/>
          <w:lang w:val="en-US" w:eastAsia="zh-CN"/>
        </w:rPr>
        <w:t>。</w:t>
      </w:r>
    </w:p>
    <w:p w14:paraId="14ECF2AD">
      <w:pPr>
        <w:pStyle w:val="5"/>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事故废水</w:t>
      </w:r>
      <w:r>
        <w:rPr>
          <w:rFonts w:hint="default" w:ascii="Times New Roman" w:hAnsi="Times New Roman" w:cs="Times New Roman"/>
          <w:color w:val="auto"/>
          <w:highlight w:val="none"/>
        </w:rPr>
        <w:t>源项分析</w:t>
      </w:r>
    </w:p>
    <w:p w14:paraId="226FB812">
      <w:pPr>
        <w:pStyle w:val="26"/>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本项目</w:t>
      </w:r>
      <w:r>
        <w:rPr>
          <w:rFonts w:hint="default" w:ascii="Times New Roman" w:hAnsi="Times New Roman" w:cs="Times New Roman"/>
          <w:bCs/>
          <w:color w:val="auto"/>
          <w:sz w:val="24"/>
          <w:szCs w:val="24"/>
          <w:highlight w:val="none"/>
          <w:lang w:val="en-US" w:eastAsia="zh-CN"/>
        </w:rPr>
        <w:t>废水</w:t>
      </w:r>
      <w:r>
        <w:rPr>
          <w:rFonts w:hint="eastAsia" w:cs="Times New Roman"/>
          <w:bCs/>
          <w:color w:val="auto"/>
          <w:sz w:val="24"/>
          <w:szCs w:val="24"/>
          <w:highlight w:val="none"/>
          <w:lang w:val="en-US" w:eastAsia="zh-CN"/>
        </w:rPr>
        <w:t>外排</w:t>
      </w:r>
      <w:r>
        <w:rPr>
          <w:rFonts w:hint="default" w:ascii="Times New Roman" w:hAnsi="Times New Roman" w:cs="Times New Roman"/>
          <w:bCs/>
          <w:color w:val="auto"/>
          <w:sz w:val="24"/>
          <w:szCs w:val="24"/>
          <w:highlight w:val="none"/>
          <w:lang w:val="en-US" w:eastAsia="zh-CN"/>
        </w:rPr>
        <w:t>量为</w:t>
      </w:r>
      <w:r>
        <w:rPr>
          <w:rFonts w:hint="eastAsia" w:cs="Times New Roman"/>
          <w:bCs/>
          <w:color w:val="auto"/>
          <w:sz w:val="24"/>
          <w:szCs w:val="24"/>
          <w:highlight w:val="none"/>
          <w:lang w:val="en-US" w:eastAsia="zh-CN"/>
        </w:rPr>
        <w:t>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z w:val="24"/>
          <w:szCs w:val="24"/>
          <w:lang w:val="en-US" w:eastAsia="zh-CN"/>
        </w:rPr>
        <w:t>，</w:t>
      </w:r>
      <w:r>
        <w:rPr>
          <w:rFonts w:hint="eastAsia"/>
          <w:color w:val="auto"/>
          <w:sz w:val="24"/>
          <w:lang w:val="en-US" w:eastAsia="zh-CN"/>
        </w:rPr>
        <w:t>外排废水</w:t>
      </w:r>
      <w:r>
        <w:rPr>
          <w:rFonts w:hint="eastAsia" w:ascii="Times New Roman" w:hAnsi="Times New Roman" w:eastAsia="宋体" w:cs="Times New Roman"/>
          <w:color w:val="auto"/>
          <w:sz w:val="24"/>
          <w:szCs w:val="24"/>
          <w:lang w:val="en-US" w:eastAsia="zh-CN"/>
        </w:rPr>
        <w:t>经预处理</w:t>
      </w:r>
      <w:r>
        <w:rPr>
          <w:rFonts w:hint="eastAsia" w:cs="Times New Roman"/>
          <w:color w:val="auto"/>
          <w:sz w:val="24"/>
          <w:szCs w:val="24"/>
          <w:lang w:val="en-US" w:eastAsia="zh-CN"/>
        </w:rPr>
        <w:t>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通过园区污水管网排入通江县秋锦山产业园区综合污水处理厂进一步处理达标后排入通江河。</w:t>
      </w:r>
      <w:r>
        <w:rPr>
          <w:rFonts w:hint="eastAsia"/>
          <w:color w:val="auto"/>
          <w:sz w:val="24"/>
          <w:szCs w:val="24"/>
          <w:lang w:val="en-US" w:eastAsia="zh-CN"/>
        </w:rPr>
        <w:t>本次考虑</w:t>
      </w:r>
      <w:r>
        <w:rPr>
          <w:rFonts w:hint="default" w:ascii="Times New Roman" w:hAnsi="Times New Roman" w:eastAsia="宋体" w:cs="Times New Roman"/>
          <w:color w:val="auto"/>
          <w:kern w:val="0"/>
          <w:sz w:val="24"/>
          <w:szCs w:val="24"/>
          <w:highlight w:val="none"/>
          <w:lang w:val="en-US" w:eastAsia="zh-CN" w:bidi="ar"/>
        </w:rPr>
        <w:t>若发生</w:t>
      </w:r>
      <w:r>
        <w:rPr>
          <w:rFonts w:hint="default" w:ascii="Times New Roman" w:hAnsi="Times New Roman" w:cs="Times New Roman"/>
          <w:color w:val="auto"/>
          <w:highlight w:val="none"/>
          <w:lang w:val="en-US" w:eastAsia="zh-CN"/>
        </w:rPr>
        <w:t>废水管道破损，未处理的废水通过厂区雨水管网排入</w:t>
      </w:r>
      <w:r>
        <w:rPr>
          <w:rFonts w:hint="eastAsia" w:cs="Times New Roman"/>
          <w:color w:val="auto"/>
          <w:highlight w:val="none"/>
          <w:lang w:val="en-US" w:eastAsia="zh-CN"/>
        </w:rPr>
        <w:t>周围水体</w:t>
      </w:r>
      <w:r>
        <w:rPr>
          <w:rFonts w:hint="default" w:ascii="Times New Roman" w:hAnsi="Times New Roman" w:cs="Times New Roman"/>
          <w:color w:val="auto"/>
          <w:highlight w:val="none"/>
          <w:lang w:val="en-US" w:eastAsia="zh-CN"/>
        </w:rPr>
        <w:t>，最终汇入</w:t>
      </w:r>
      <w:r>
        <w:rPr>
          <w:rFonts w:hint="eastAsia" w:cs="Times New Roman"/>
          <w:color w:val="auto"/>
          <w:highlight w:val="none"/>
          <w:lang w:val="en-US" w:eastAsia="zh-CN"/>
        </w:rPr>
        <w:t>通江河</w:t>
      </w:r>
      <w:r>
        <w:rPr>
          <w:rFonts w:hint="default" w:ascii="Times New Roman" w:hAnsi="Times New Roman" w:cs="Times New Roman"/>
          <w:color w:val="auto"/>
          <w:highlight w:val="none"/>
          <w:lang w:val="en-US" w:eastAsia="zh-CN"/>
        </w:rPr>
        <w:t>，造成水体污染</w:t>
      </w:r>
      <w:r>
        <w:rPr>
          <w:rFonts w:hint="default" w:ascii="Times New Roman" w:hAnsi="Times New Roman" w:cs="Times New Roman"/>
          <w:color w:val="auto"/>
          <w:kern w:val="0"/>
          <w:sz w:val="24"/>
          <w:szCs w:val="24"/>
          <w:highlight w:val="none"/>
          <w:lang w:val="en-US" w:eastAsia="zh-CN" w:bidi="ar"/>
        </w:rPr>
        <w:t>，泄漏量按</w:t>
      </w:r>
      <w:r>
        <w:rPr>
          <w:rFonts w:hint="eastAsia" w:cs="Times New Roman"/>
          <w:bCs/>
          <w:color w:val="auto"/>
          <w:sz w:val="24"/>
          <w:szCs w:val="24"/>
          <w:highlight w:val="none"/>
          <w:lang w:val="en-US" w:eastAsia="zh-CN"/>
        </w:rPr>
        <w:t>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考虑。</w:t>
      </w:r>
    </w:p>
    <w:p w14:paraId="4743CAA1">
      <w:pPr>
        <w:pStyle w:val="2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因此，事故情况下，废水进入地表水中废水量为</w:t>
      </w:r>
      <w:r>
        <w:rPr>
          <w:rFonts w:hint="eastAsia" w:cs="Times New Roman"/>
          <w:bCs/>
          <w:color w:val="auto"/>
          <w:sz w:val="24"/>
          <w:szCs w:val="24"/>
          <w:highlight w:val="none"/>
          <w:lang w:val="en-US" w:eastAsia="zh-CN"/>
        </w:rPr>
        <w:t>4.42</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highlight w:val="none"/>
          <w:lang w:val="en-US" w:eastAsia="zh-CN"/>
        </w:rPr>
        <w:t>污染物浓度为COD</w:t>
      </w:r>
      <w:r>
        <w:rPr>
          <w:rFonts w:hint="eastAsia" w:cs="Times New Roman"/>
          <w:color w:val="auto"/>
          <w:highlight w:val="none"/>
          <w:lang w:val="en-US" w:eastAsia="zh-CN"/>
        </w:rPr>
        <w:t>325</w:t>
      </w:r>
      <w:r>
        <w:rPr>
          <w:rFonts w:hint="default" w:ascii="Times New Roman" w:hAnsi="Times New Roman" w:cs="Times New Roman"/>
          <w:color w:val="auto"/>
          <w:highlight w:val="none"/>
          <w:lang w:val="en-US" w:eastAsia="zh-CN"/>
        </w:rPr>
        <w:t>mg/L、</w:t>
      </w:r>
      <w:r>
        <w:rPr>
          <w:rFonts w:hint="default" w:ascii="Times New Roman" w:hAnsi="Times New Roman" w:cs="Times New Roman"/>
          <w:b w:val="0"/>
          <w:bCs w:val="0"/>
          <w:color w:val="auto"/>
          <w:sz w:val="24"/>
          <w:szCs w:val="24"/>
          <w:highlight w:val="none"/>
          <w:lang w:val="en-US" w:eastAsia="zh-CN"/>
        </w:rPr>
        <w:t>NH</w:t>
      </w:r>
      <w:r>
        <w:rPr>
          <w:rFonts w:hint="default" w:ascii="Times New Roman" w:hAnsi="Times New Roman" w:cs="Times New Roman"/>
          <w:b w:val="0"/>
          <w:bCs w:val="0"/>
          <w:color w:val="auto"/>
          <w:sz w:val="24"/>
          <w:szCs w:val="24"/>
          <w:highlight w:val="none"/>
          <w:vertAlign w:val="subscript"/>
          <w:lang w:val="en-US" w:eastAsia="zh-CN"/>
        </w:rPr>
        <w:t>3</w:t>
      </w:r>
      <w:r>
        <w:rPr>
          <w:rFonts w:hint="default" w:ascii="Times New Roman" w:hAnsi="Times New Roman" w:cs="Times New Roman"/>
          <w:b w:val="0"/>
          <w:bCs w:val="0"/>
          <w:color w:val="auto"/>
          <w:sz w:val="24"/>
          <w:szCs w:val="24"/>
          <w:highlight w:val="none"/>
          <w:lang w:val="en-US" w:eastAsia="zh-CN"/>
        </w:rPr>
        <w:t>-N</w:t>
      </w:r>
      <w:r>
        <w:rPr>
          <w:rFonts w:hint="eastAsia" w:cs="Times New Roman"/>
          <w:b w:val="0"/>
          <w:bCs w:val="0"/>
          <w:color w:val="auto"/>
          <w:sz w:val="24"/>
          <w:szCs w:val="24"/>
          <w:highlight w:val="none"/>
          <w:lang w:val="en-US" w:eastAsia="zh-CN"/>
        </w:rPr>
        <w:t>37.7</w:t>
      </w:r>
      <w:r>
        <w:rPr>
          <w:rFonts w:hint="default" w:ascii="Times New Roman" w:hAnsi="Times New Roman" w:cs="Times New Roman"/>
          <w:color w:val="auto"/>
          <w:sz w:val="24"/>
          <w:szCs w:val="24"/>
          <w:highlight w:val="none"/>
          <w:lang w:val="en-US" w:eastAsia="zh-CN"/>
        </w:rPr>
        <w:t>mg/L。</w:t>
      </w:r>
    </w:p>
    <w:p w14:paraId="64BA492C">
      <w:pPr>
        <w:pStyle w:val="5"/>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地下水污染</w:t>
      </w:r>
      <w:r>
        <w:rPr>
          <w:rFonts w:hint="default" w:ascii="Times New Roman" w:hAnsi="Times New Roman" w:cs="Times New Roman"/>
          <w:color w:val="auto"/>
          <w:highlight w:val="none"/>
        </w:rPr>
        <w:t>源项分析</w:t>
      </w:r>
    </w:p>
    <w:p w14:paraId="04E23349">
      <w:pPr>
        <w:pStyle w:val="26"/>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本项目地下水污染</w:t>
      </w:r>
      <w:r>
        <w:rPr>
          <w:rFonts w:hint="default" w:ascii="Times New Roman" w:hAnsi="Times New Roman" w:cs="Times New Roman"/>
          <w:color w:val="auto"/>
          <w:highlight w:val="none"/>
        </w:rPr>
        <w:t>源</w:t>
      </w:r>
      <w:r>
        <w:rPr>
          <w:rFonts w:hint="default" w:ascii="Times New Roman" w:hAnsi="Times New Roman" w:cs="Times New Roman"/>
          <w:color w:val="auto"/>
          <w:highlight w:val="none"/>
          <w:lang w:val="en-US" w:eastAsia="zh-CN"/>
        </w:rPr>
        <w:t>见</w:t>
      </w:r>
      <w:r>
        <w:rPr>
          <w:rFonts w:hint="eastAsia" w:cs="Times New Roman"/>
          <w:color w:val="auto"/>
          <w:highlight w:val="none"/>
          <w:lang w:val="en-US" w:eastAsia="zh-CN"/>
        </w:rPr>
        <w:t>5.2.5.9章节</w:t>
      </w:r>
      <w:r>
        <w:rPr>
          <w:rFonts w:hint="default" w:ascii="Times New Roman" w:hAnsi="Times New Roman" w:cs="Times New Roman"/>
          <w:color w:val="auto"/>
          <w:highlight w:val="none"/>
          <w:lang w:val="en-US" w:eastAsia="zh-CN"/>
        </w:rPr>
        <w:t>。</w:t>
      </w:r>
    </w:p>
    <w:p w14:paraId="5FF8081A">
      <w:pPr>
        <w:pStyle w:val="3"/>
        <w:bidi w:val="0"/>
        <w:rPr>
          <w:rFonts w:hint="default" w:ascii="Times New Roman" w:hAnsi="Times New Roman" w:cs="Times New Roman"/>
          <w:color w:val="auto"/>
          <w:highlight w:val="none"/>
          <w:lang w:val="en-US" w:eastAsia="zh-CN"/>
        </w:rPr>
      </w:pPr>
      <w:bookmarkStart w:id="184" w:name="_Toc4537"/>
      <w:bookmarkStart w:id="185" w:name="_Toc30111"/>
      <w:bookmarkStart w:id="186" w:name="_Toc15080"/>
      <w:r>
        <w:rPr>
          <w:rFonts w:hint="default" w:ascii="Times New Roman" w:hAnsi="Times New Roman" w:cs="Times New Roman"/>
          <w:color w:val="auto"/>
          <w:highlight w:val="none"/>
          <w:lang w:val="en-US" w:eastAsia="zh-CN"/>
        </w:rPr>
        <w:t>大气风险预测与评价</w:t>
      </w:r>
      <w:bookmarkEnd w:id="184"/>
      <w:bookmarkEnd w:id="185"/>
      <w:bookmarkEnd w:id="186"/>
    </w:p>
    <w:p w14:paraId="524B22E4">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预测模型</w:t>
      </w:r>
    </w:p>
    <w:p w14:paraId="74C0CEB7">
      <w:pPr>
        <w:pStyle w:val="26"/>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根据《建设项目环境风险评价技术导则》（HJ169-2018）附录G：</w:t>
      </w:r>
    </w:p>
    <w:p w14:paraId="018626B5">
      <w:pPr>
        <w:pStyle w:val="2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储罐泄漏产生的</w:t>
      </w:r>
      <w:r>
        <w:rPr>
          <w:rFonts w:hint="eastAsia" w:ascii="Times New Roman" w:hAnsi="Times New Roman" w:cs="Times New Roman"/>
          <w:color w:val="auto"/>
          <w:highlight w:val="none"/>
          <w:lang w:val="en-US" w:eastAsia="zh-CN"/>
        </w:rPr>
        <w:t>硫酸</w:t>
      </w:r>
      <w:r>
        <w:rPr>
          <w:rFonts w:hint="default" w:ascii="Times New Roman" w:hAnsi="Times New Roman" w:cs="Times New Roman"/>
          <w:color w:val="auto"/>
          <w:highlight w:val="none"/>
          <w:lang w:val="en-US" w:eastAsia="zh-CN"/>
        </w:rPr>
        <w:t>扩散气体在最不利气象条件下，理查德森数Ri=0.0</w:t>
      </w:r>
      <w:r>
        <w:rPr>
          <w:rFonts w:hint="eastAsia" w:ascii="Times New Roman" w:hAnsi="Times New Roman" w:cs="Times New Roman"/>
          <w:color w:val="auto"/>
          <w:highlight w:val="none"/>
          <w:lang w:val="en-US" w:eastAsia="zh-CN"/>
        </w:rPr>
        <w:t>15</w:t>
      </w:r>
      <w:r>
        <w:rPr>
          <w:rFonts w:hint="default" w:ascii="Times New Roman" w:hAnsi="Times New Roman" w:cs="Times New Roman"/>
          <w:color w:val="auto"/>
          <w:highlight w:val="none"/>
          <w:lang w:val="en-US" w:eastAsia="zh-CN"/>
        </w:rPr>
        <w:t>＜1/6，为轻质气体；在最常见气象条件下，理查德森数Ri=0.02</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＜1/6，为轻质气体。</w:t>
      </w:r>
    </w:p>
    <w:p w14:paraId="56F0EDF8">
      <w:pPr>
        <w:pStyle w:val="2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储罐泄漏产生的氢氟酸扩散气体在最不利气象条件下，理查德森数Ri=0.</w:t>
      </w:r>
      <w:r>
        <w:rPr>
          <w:rFonts w:hint="eastAsia" w:cs="Times New Roman"/>
          <w:color w:val="auto"/>
          <w:highlight w:val="none"/>
          <w:lang w:val="en-US" w:eastAsia="zh-CN"/>
        </w:rPr>
        <w:t>123</w:t>
      </w:r>
      <w:r>
        <w:rPr>
          <w:rFonts w:hint="default" w:ascii="Times New Roman" w:hAnsi="Times New Roman" w:cs="Times New Roman"/>
          <w:color w:val="auto"/>
          <w:highlight w:val="none"/>
          <w:lang w:val="en-US" w:eastAsia="zh-CN"/>
        </w:rPr>
        <w:t>＜1/6，为轻质气体；在最常见气象条件下，理查德森数Ri=</w:t>
      </w:r>
      <w:r>
        <w:rPr>
          <w:rFonts w:hint="eastAsia" w:cs="Times New Roman"/>
          <w:color w:val="auto"/>
          <w:highlight w:val="none"/>
          <w:lang w:val="en-US" w:eastAsia="zh-CN"/>
        </w:rPr>
        <w:t>0.165</w:t>
      </w:r>
      <w:r>
        <w:rPr>
          <w:rFonts w:hint="default" w:ascii="Times New Roman" w:hAnsi="Times New Roman" w:cs="Times New Roman"/>
          <w:color w:val="auto"/>
          <w:highlight w:val="none"/>
          <w:lang w:val="en-US" w:eastAsia="zh-CN"/>
        </w:rPr>
        <w:t>＜1/6，为轻质气体。</w:t>
      </w:r>
    </w:p>
    <w:p w14:paraId="6E257532">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同时，</w:t>
      </w:r>
      <w:r>
        <w:rPr>
          <w:rFonts w:hint="eastAsia" w:cs="Times New Roman"/>
          <w:color w:val="auto"/>
          <w:highlight w:val="none"/>
          <w:lang w:val="en-US" w:eastAsia="zh-CN"/>
        </w:rPr>
        <w:t>丙烯酸</w:t>
      </w:r>
      <w:r>
        <w:rPr>
          <w:rFonts w:hint="default" w:ascii="Times New Roman" w:hAnsi="Times New Roman" w:cs="Times New Roman"/>
          <w:color w:val="auto"/>
          <w:highlight w:val="none"/>
          <w:lang w:val="en-US" w:eastAsia="zh-CN"/>
        </w:rPr>
        <w:t>储罐火灾爆炸事故产生的次生污染物一氧化碳扩散气体密度为1.25kg/m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，未大于空气密度1.29kg/m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，不计算理查德森数</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储罐火灾爆炸事故产生的次生污染物</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扩散气体在最不利气象条件下，理查德森数Ri=0.</w:t>
      </w:r>
      <w:r>
        <w:rPr>
          <w:rFonts w:hint="eastAsia" w:cs="Times New Roman"/>
          <w:color w:val="auto"/>
          <w:highlight w:val="none"/>
          <w:lang w:val="en-US" w:eastAsia="zh-CN"/>
        </w:rPr>
        <w:t>074</w:t>
      </w:r>
      <w:r>
        <w:rPr>
          <w:rFonts w:hint="default" w:ascii="Times New Roman" w:hAnsi="Times New Roman" w:cs="Times New Roman"/>
          <w:color w:val="auto"/>
          <w:highlight w:val="none"/>
          <w:lang w:val="en-US" w:eastAsia="zh-CN"/>
        </w:rPr>
        <w:t>＜1/6，为轻质气体；在最常见气象条件下，理查德森数Ri=0.</w:t>
      </w:r>
      <w:r>
        <w:rPr>
          <w:rFonts w:hint="eastAsia" w:cs="Times New Roman"/>
          <w:color w:val="auto"/>
          <w:highlight w:val="none"/>
          <w:lang w:val="en-US" w:eastAsia="zh-CN"/>
        </w:rPr>
        <w:t>110</w:t>
      </w:r>
      <w:r>
        <w:rPr>
          <w:rFonts w:hint="default" w:ascii="Times New Roman" w:hAnsi="Times New Roman" w:cs="Times New Roman"/>
          <w:color w:val="auto"/>
          <w:highlight w:val="none"/>
          <w:lang w:val="en-US" w:eastAsia="zh-CN"/>
        </w:rPr>
        <w:t>＜1/6，为轻质气体。</w:t>
      </w:r>
    </w:p>
    <w:p w14:paraId="126B755C">
      <w:pPr>
        <w:pStyle w:val="2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本项目风险物质</w:t>
      </w:r>
      <w:r>
        <w:rPr>
          <w:rFonts w:hint="default" w:ascii="Times New Roman" w:hAnsi="Times New Roman" w:cs="Times New Roman"/>
          <w:color w:val="auto"/>
          <w:highlight w:val="none"/>
          <w:lang w:val="en-US" w:eastAsia="zh-CN"/>
        </w:rPr>
        <w:t>泄漏/火灾情形下的污染影响</w:t>
      </w:r>
      <w:r>
        <w:rPr>
          <w:rFonts w:hint="eastAsia" w:ascii="Times New Roman" w:hAnsi="Times New Roman" w:cs="Times New Roman"/>
          <w:color w:val="auto"/>
          <w:highlight w:val="none"/>
          <w:lang w:val="en-US" w:eastAsia="zh-CN"/>
        </w:rPr>
        <w:t>采用</w:t>
      </w:r>
      <w:r>
        <w:rPr>
          <w:rFonts w:hint="default" w:ascii="Times New Roman" w:hAnsi="Times New Roman" w:cs="Times New Roman"/>
          <w:color w:val="auto"/>
          <w:highlight w:val="none"/>
          <w:lang w:val="en-US" w:eastAsia="zh-CN"/>
        </w:rPr>
        <w:t>AFTOX模型预测。</w:t>
      </w:r>
    </w:p>
    <w:p w14:paraId="0C45D4A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预测范围与计算点</w:t>
      </w:r>
    </w:p>
    <w:p w14:paraId="778C4C5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w:t>
      </w:r>
      <w:r>
        <w:rPr>
          <w:rFonts w:hint="default" w:ascii="Times New Roman" w:hAnsi="Times New Roman" w:eastAsia="宋体" w:cs="Times New Roman"/>
          <w:color w:val="auto"/>
          <w:sz w:val="24"/>
          <w:szCs w:val="24"/>
          <w:highlight w:val="none"/>
        </w:rPr>
        <w:t>本项目大气环境风险评价范围为距离项目厂界</w:t>
      </w:r>
      <w:r>
        <w:rPr>
          <w:rFonts w:hint="default" w:ascii="Times New Roman" w:hAnsi="Times New Roman" w:eastAsia="TimesNewRomanPSMT" w:cs="Times New Roman"/>
          <w:color w:val="auto"/>
          <w:sz w:val="24"/>
          <w:szCs w:val="24"/>
          <w:highlight w:val="none"/>
        </w:rPr>
        <w:t>5km</w:t>
      </w:r>
      <w:r>
        <w:rPr>
          <w:rFonts w:hint="default" w:ascii="Times New Roman" w:hAnsi="Times New Roman" w:eastAsia="宋体" w:cs="Times New Roman"/>
          <w:color w:val="auto"/>
          <w:sz w:val="24"/>
          <w:szCs w:val="24"/>
          <w:highlight w:val="none"/>
        </w:rPr>
        <w:t>的范围</w:t>
      </w:r>
      <w:r>
        <w:rPr>
          <w:rFonts w:hint="default" w:ascii="Times New Roman" w:hAnsi="Times New Roman" w:cs="Times New Roman"/>
          <w:color w:val="auto"/>
          <w:highlight w:val="none"/>
          <w:lang w:val="en-US" w:eastAsia="zh-CN"/>
        </w:rPr>
        <w:t>，本次评价预测范围与评价范围一致。</w:t>
      </w:r>
    </w:p>
    <w:p w14:paraId="7C6678D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预测计算点中涉及特殊计算点和一般计算点。特殊计算点为项目周围的环境保护目标，一般计算点根据范围设置不同间距。</w:t>
      </w:r>
    </w:p>
    <w:p w14:paraId="6382FA6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气象条件</w:t>
      </w:r>
    </w:p>
    <w:p w14:paraId="03D49DA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根据《建设项目环境风险评价技术导则》（HJ169-2018），一级评价需选取最不利气象条件和最常见气象条件进行后果预测。</w:t>
      </w:r>
    </w:p>
    <w:p w14:paraId="57123C9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最不利气象条件：选取F稳定度，1.5m/s风速，温度25℃，相对湿度50%。</w:t>
      </w:r>
    </w:p>
    <w:p w14:paraId="139D2DC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r>
        <w:rPr>
          <w:rFonts w:hint="default" w:ascii="Times New Roman" w:hAnsi="Times New Roman" w:cs="Times New Roman"/>
          <w:color w:val="auto"/>
          <w:highlight w:val="none"/>
        </w:rPr>
        <w:t>根据</w:t>
      </w:r>
      <w:r>
        <w:rPr>
          <w:rFonts w:hint="eastAsia" w:cs="Times New Roman"/>
          <w:color w:val="auto"/>
          <w:highlight w:val="none"/>
          <w:lang w:val="en-US" w:eastAsia="zh-CN"/>
        </w:rPr>
        <w:t>通江</w:t>
      </w:r>
      <w:r>
        <w:rPr>
          <w:rFonts w:hint="default" w:ascii="Times New Roman" w:hAnsi="Times New Roman" w:cs="Times New Roman"/>
          <w:color w:val="auto"/>
          <w:highlight w:val="none"/>
          <w:lang w:val="en-US" w:eastAsia="zh-CN"/>
        </w:rPr>
        <w:t>气象站</w:t>
      </w:r>
      <w:r>
        <w:rPr>
          <w:rFonts w:hint="default" w:ascii="Times New Roman" w:hAnsi="Times New Roman" w:cs="Times New Roman"/>
          <w:color w:val="auto"/>
          <w:highlight w:val="none"/>
        </w:rPr>
        <w:t>（</w:t>
      </w:r>
      <w:r>
        <w:rPr>
          <w:rFonts w:hint="eastAsia"/>
          <w:color w:val="auto"/>
          <w:lang w:eastAsia="zh-CN"/>
        </w:rPr>
        <w:t>57320</w:t>
      </w:r>
      <w:r>
        <w:rPr>
          <w:rFonts w:hint="default" w:ascii="Times New Roman" w:hAnsi="Times New Roman" w:cs="Times New Roman"/>
          <w:color w:val="auto"/>
          <w:highlight w:val="none"/>
        </w:rPr>
        <w:t>）</w:t>
      </w:r>
      <w:r>
        <w:rPr>
          <w:rFonts w:hint="eastAsia" w:cs="Times New Roman"/>
          <w:color w:val="auto"/>
          <w:highlight w:val="none"/>
          <w:lang w:val="en-US" w:eastAsia="zh-CN"/>
        </w:rPr>
        <w:t>2025</w:t>
      </w:r>
      <w:r>
        <w:rPr>
          <w:rFonts w:hint="default" w:ascii="Times New Roman" w:hAnsi="Times New Roman" w:cs="Times New Roman"/>
          <w:color w:val="auto"/>
          <w:highlight w:val="none"/>
        </w:rPr>
        <w:t>年年气象</w:t>
      </w:r>
      <w:r>
        <w:rPr>
          <w:rFonts w:hint="default" w:ascii="Times New Roman" w:hAnsi="Times New Roman" w:cs="Times New Roman"/>
          <w:color w:val="auto"/>
          <w:highlight w:val="none"/>
          <w:lang w:val="en-US" w:eastAsia="zh-CN"/>
        </w:rPr>
        <w:t>条件统计结果，选取F稳定度，1.</w:t>
      </w:r>
      <w:r>
        <w:rPr>
          <w:rFonts w:hint="eastAsia" w:cs="Times New Roman"/>
          <w:color w:val="auto"/>
          <w:highlight w:val="none"/>
          <w:lang w:val="en-US" w:eastAsia="zh-CN"/>
        </w:rPr>
        <w:t>14</w:t>
      </w:r>
      <w:r>
        <w:rPr>
          <w:rFonts w:hint="default" w:ascii="Times New Roman" w:hAnsi="Times New Roman" w:cs="Times New Roman"/>
          <w:color w:val="auto"/>
          <w:highlight w:val="none"/>
          <w:lang w:val="en-US" w:eastAsia="zh-CN"/>
        </w:rPr>
        <w:t>m/s风速，温度3</w:t>
      </w:r>
      <w:r>
        <w:rPr>
          <w:rFonts w:hint="eastAsia" w:cs="Times New Roman"/>
          <w:color w:val="auto"/>
          <w:highlight w:val="none"/>
          <w:lang w:val="en-US" w:eastAsia="zh-CN"/>
        </w:rPr>
        <w:t>2.88</w:t>
      </w:r>
      <w:r>
        <w:rPr>
          <w:rFonts w:hint="default" w:ascii="Times New Roman" w:hAnsi="Times New Roman" w:cs="Times New Roman"/>
          <w:color w:val="auto"/>
          <w:highlight w:val="none"/>
          <w:lang w:val="en-US" w:eastAsia="zh-CN"/>
        </w:rPr>
        <w:t>℃，年平均湿度</w:t>
      </w:r>
      <w:r>
        <w:rPr>
          <w:rFonts w:hint="eastAsia" w:cs="Times New Roman"/>
          <w:color w:val="auto"/>
          <w:highlight w:val="none"/>
          <w:lang w:val="en-US" w:eastAsia="zh-CN"/>
        </w:rPr>
        <w:t>77.0</w:t>
      </w:r>
      <w:r>
        <w:rPr>
          <w:rFonts w:hint="default" w:ascii="Times New Roman" w:hAnsi="Times New Roman" w:cs="Times New Roman"/>
          <w:color w:val="auto"/>
          <w:highlight w:val="none"/>
          <w:lang w:val="en-US" w:eastAsia="zh-CN"/>
        </w:rPr>
        <w:t>%。</w:t>
      </w:r>
    </w:p>
    <w:p w14:paraId="7C7942D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预测参数</w:t>
      </w:r>
    </w:p>
    <w:p w14:paraId="34AA5A22">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大气环境风险预测参数见下表</w:t>
      </w:r>
      <w:r>
        <w:rPr>
          <w:rFonts w:hint="default" w:ascii="Times New Roman" w:hAnsi="Times New Roman" w:cs="Times New Roman"/>
          <w:color w:val="auto"/>
          <w:highlight w:val="none"/>
          <w:lang w:eastAsia="zh-CN"/>
        </w:rPr>
        <w:t>。</w:t>
      </w:r>
    </w:p>
    <w:p w14:paraId="16B14CA9">
      <w:pPr>
        <w:pStyle w:val="28"/>
        <w:numPr>
          <w:ilvl w:val="0"/>
          <w:numId w:val="36"/>
        </w:numPr>
        <w:bidi w:val="0"/>
        <w:ind w:left="425" w:leftChars="0" w:hanging="425"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大气风险预测模型主要参数</w:t>
      </w:r>
    </w:p>
    <w:tbl>
      <w:tblPr>
        <w:tblStyle w:val="20"/>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533"/>
        <w:gridCol w:w="3494"/>
        <w:gridCol w:w="4487"/>
      </w:tblGrid>
      <w:tr w14:paraId="15C7B2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806" w:type="pct"/>
            <w:tcBorders>
              <w:top w:val="single" w:color="000000" w:sz="4" w:space="0"/>
              <w:left w:val="single" w:color="000000" w:sz="4" w:space="0"/>
              <w:bottom w:val="single" w:color="000000" w:sz="4" w:space="0"/>
              <w:right w:val="single" w:color="000000" w:sz="4" w:space="0"/>
            </w:tcBorders>
            <w:noWrap w:val="0"/>
            <w:vAlign w:val="center"/>
          </w:tcPr>
          <w:p w14:paraId="093A85D2">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参数类型</w:t>
            </w: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0769B796">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选项</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68076233">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参数</w:t>
            </w:r>
          </w:p>
        </w:tc>
      </w:tr>
      <w:tr w14:paraId="07D72A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06" w:type="pct"/>
            <w:vMerge w:val="restart"/>
            <w:tcBorders>
              <w:top w:val="single" w:color="000000" w:sz="4" w:space="0"/>
              <w:left w:val="single" w:color="000000" w:sz="4" w:space="0"/>
              <w:bottom w:val="single" w:color="000000" w:sz="4" w:space="0"/>
              <w:right w:val="single" w:color="000000" w:sz="4" w:space="0"/>
            </w:tcBorders>
            <w:noWrap w:val="0"/>
            <w:vAlign w:val="center"/>
          </w:tcPr>
          <w:p w14:paraId="15D90C1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基本情况</w:t>
            </w: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5E4952A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事故源经度/(°)</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24230FF7">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107.231402</w:t>
            </w:r>
          </w:p>
        </w:tc>
      </w:tr>
      <w:tr w14:paraId="0EB164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09800E">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11E96ED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事故源纬度/(°)</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0728A5FB">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31.879581</w:t>
            </w:r>
          </w:p>
        </w:tc>
      </w:tr>
      <w:tr w14:paraId="2F9C91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8A1464">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264EC76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事故源类型</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169BAF33">
            <w:pPr>
              <w:pStyle w:val="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泄漏</w:t>
            </w:r>
            <w:r>
              <w:rPr>
                <w:rFonts w:hint="default" w:ascii="Times New Roman" w:hAnsi="Times New Roman" w:cs="Times New Roman"/>
                <w:color w:val="auto"/>
                <w:highlight w:val="none"/>
              </w:rPr>
              <w:t>引起的污染物排放</w:t>
            </w:r>
          </w:p>
          <w:p w14:paraId="70DA9F1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泄漏燃烧</w:t>
            </w:r>
            <w:r>
              <w:rPr>
                <w:rFonts w:hint="default" w:ascii="Times New Roman" w:hAnsi="Times New Roman" w:cs="Times New Roman"/>
                <w:color w:val="auto"/>
                <w:highlight w:val="none"/>
              </w:rPr>
              <w:t>引起的伴生/次生污染物排放</w:t>
            </w:r>
          </w:p>
        </w:tc>
      </w:tr>
      <w:tr w14:paraId="3734CB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06" w:type="pct"/>
            <w:vMerge w:val="restart"/>
            <w:tcBorders>
              <w:top w:val="single" w:color="000000" w:sz="4" w:space="0"/>
              <w:left w:val="single" w:color="000000" w:sz="4" w:space="0"/>
              <w:bottom w:val="single" w:color="000000" w:sz="4" w:space="0"/>
              <w:right w:val="single" w:color="000000" w:sz="4" w:space="0"/>
            </w:tcBorders>
            <w:noWrap w:val="0"/>
            <w:vAlign w:val="center"/>
          </w:tcPr>
          <w:p w14:paraId="642980F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气象参数</w:t>
            </w: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7660351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气象条件类型</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2F837CB5">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最不利气象</w:t>
            </w:r>
            <w:r>
              <w:rPr>
                <w:rFonts w:hint="default" w:ascii="Times New Roman" w:hAnsi="Times New Roman" w:cs="Times New Roman"/>
                <w:color w:val="auto"/>
                <w:highlight w:val="none"/>
                <w:lang w:val="en-US" w:eastAsia="zh-CN"/>
              </w:rPr>
              <w:t>/最常见</w:t>
            </w:r>
            <w:r>
              <w:rPr>
                <w:rFonts w:hint="default" w:ascii="Times New Roman" w:hAnsi="Times New Roman" w:cs="Times New Roman"/>
                <w:color w:val="auto"/>
                <w:highlight w:val="none"/>
              </w:rPr>
              <w:t>气象</w:t>
            </w:r>
          </w:p>
        </w:tc>
      </w:tr>
      <w:tr w14:paraId="5EAE4A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96BE69">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248A8D5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风速/(m/s)</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252F6CA1">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1.5</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14</w:t>
            </w:r>
          </w:p>
        </w:tc>
      </w:tr>
      <w:tr w14:paraId="5C315A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640CB3">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51310AD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环境温度/℃</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7B33625E">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25</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2.88</w:t>
            </w:r>
          </w:p>
        </w:tc>
      </w:tr>
      <w:tr w14:paraId="182353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6A7662">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02B79CA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相对湿度/%</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761A7529">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50</w:t>
            </w:r>
            <w:r>
              <w:rPr>
                <w:rFonts w:hint="default" w:ascii="Times New Roman" w:hAnsi="Times New Roman" w:cs="Times New Roman"/>
                <w:color w:val="auto"/>
                <w:highlight w:val="none"/>
                <w:lang w:val="en-US" w:eastAsia="zh-CN"/>
              </w:rPr>
              <w:t>/7</w:t>
            </w:r>
            <w:r>
              <w:rPr>
                <w:rFonts w:hint="eastAsia" w:cs="Times New Roman"/>
                <w:color w:val="auto"/>
                <w:highlight w:val="none"/>
                <w:lang w:val="en-US" w:eastAsia="zh-CN"/>
              </w:rPr>
              <w:t>7.0</w:t>
            </w:r>
          </w:p>
        </w:tc>
      </w:tr>
      <w:tr w14:paraId="338CCB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9C722A">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661D650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稳定度</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246B838B">
            <w:pPr>
              <w:pStyle w:val="2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F</w:t>
            </w:r>
            <w:r>
              <w:rPr>
                <w:rFonts w:hint="eastAsia" w:cs="Times New Roman"/>
                <w:color w:val="auto"/>
                <w:highlight w:val="none"/>
                <w:lang w:val="en-US" w:eastAsia="zh-CN"/>
              </w:rPr>
              <w:t>/F</w:t>
            </w:r>
          </w:p>
        </w:tc>
      </w:tr>
      <w:tr w14:paraId="3C699A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572D49">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67DB045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地表粗糙度/</w:t>
            </w:r>
            <w:r>
              <w:rPr>
                <w:rFonts w:hint="eastAsia" w:cs="Times New Roman"/>
                <w:color w:val="auto"/>
                <w:highlight w:val="none"/>
                <w:lang w:val="en-US" w:eastAsia="zh-CN"/>
              </w:rPr>
              <w:t>c</w:t>
            </w:r>
            <w:r>
              <w:rPr>
                <w:rFonts w:hint="default" w:ascii="Times New Roman" w:hAnsi="Times New Roman" w:cs="Times New Roman"/>
                <w:color w:val="auto"/>
                <w:highlight w:val="none"/>
              </w:rPr>
              <w:t>m</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6A1587BA">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w:t>
            </w:r>
          </w:p>
        </w:tc>
      </w:tr>
      <w:tr w14:paraId="78808A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06" w:type="pct"/>
            <w:vMerge w:val="restart"/>
            <w:tcBorders>
              <w:top w:val="single" w:color="000000" w:sz="4" w:space="0"/>
              <w:left w:val="single" w:color="000000" w:sz="4" w:space="0"/>
              <w:bottom w:val="single" w:color="000000" w:sz="4" w:space="0"/>
              <w:right w:val="single" w:color="000000" w:sz="4" w:space="0"/>
            </w:tcBorders>
            <w:noWrap w:val="0"/>
            <w:vAlign w:val="center"/>
          </w:tcPr>
          <w:p w14:paraId="229DF63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其他参数</w:t>
            </w: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438B38A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是否考虑地形</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774566E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是</w:t>
            </w:r>
          </w:p>
        </w:tc>
      </w:tr>
      <w:tr w14:paraId="473F96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506FE9">
            <w:pPr>
              <w:pStyle w:val="24"/>
              <w:bidi w:val="0"/>
              <w:rPr>
                <w:rFonts w:hint="default" w:ascii="Times New Roman" w:hAnsi="Times New Roman" w:cs="Times New Roman"/>
                <w:color w:val="auto"/>
                <w:highlight w:val="none"/>
              </w:rPr>
            </w:pPr>
          </w:p>
        </w:tc>
        <w:tc>
          <w:tcPr>
            <w:tcW w:w="1836" w:type="pct"/>
            <w:tcBorders>
              <w:top w:val="single" w:color="000000" w:sz="4" w:space="0"/>
              <w:left w:val="single" w:color="000000" w:sz="4" w:space="0"/>
              <w:bottom w:val="single" w:color="000000" w:sz="4" w:space="0"/>
              <w:right w:val="single" w:color="000000" w:sz="4" w:space="0"/>
            </w:tcBorders>
            <w:noWrap w:val="0"/>
            <w:vAlign w:val="center"/>
          </w:tcPr>
          <w:p w14:paraId="2E686B6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地形数据精度/m</w:t>
            </w:r>
          </w:p>
        </w:tc>
        <w:tc>
          <w:tcPr>
            <w:tcW w:w="2358" w:type="pct"/>
            <w:tcBorders>
              <w:top w:val="single" w:color="000000" w:sz="4" w:space="0"/>
              <w:left w:val="single" w:color="000000" w:sz="4" w:space="0"/>
              <w:bottom w:val="single" w:color="000000" w:sz="4" w:space="0"/>
              <w:right w:val="single" w:color="000000" w:sz="4" w:space="0"/>
            </w:tcBorders>
            <w:noWrap w:val="0"/>
            <w:vAlign w:val="center"/>
          </w:tcPr>
          <w:p w14:paraId="63E5AF4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90m</w:t>
            </w:r>
          </w:p>
        </w:tc>
      </w:tr>
    </w:tbl>
    <w:p w14:paraId="09277E56">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大气毒性终点浓度值</w:t>
      </w:r>
    </w:p>
    <w:p w14:paraId="2AB19293">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根据《建设项目环境风险评价技术导则》（HJ169-2018）附录H，本项目大气环境风险预测的危险物质大气毒性终点浓度值见下表</w:t>
      </w:r>
      <w:r>
        <w:rPr>
          <w:rFonts w:hint="default" w:ascii="Times New Roman" w:hAnsi="Times New Roman" w:cs="Times New Roman"/>
          <w:color w:val="auto"/>
          <w:highlight w:val="none"/>
          <w:lang w:eastAsia="zh-CN"/>
        </w:rPr>
        <w:t>。</w:t>
      </w:r>
    </w:p>
    <w:p w14:paraId="2315C304">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大气毒性终点浓度值</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19"/>
        <w:gridCol w:w="3643"/>
        <w:gridCol w:w="3852"/>
      </w:tblGrid>
      <w:tr w14:paraId="7C80F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tcBorders>
              <w:top w:val="single" w:color="auto" w:sz="4" w:space="0"/>
              <w:left w:val="single" w:color="auto" w:sz="4" w:space="0"/>
              <w:bottom w:val="single" w:color="auto" w:sz="4" w:space="0"/>
              <w:right w:val="single" w:color="auto" w:sz="4" w:space="0"/>
            </w:tcBorders>
            <w:noWrap w:val="0"/>
            <w:vAlign w:val="center"/>
          </w:tcPr>
          <w:p w14:paraId="187BABFD">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物料名称</w:t>
            </w:r>
          </w:p>
        </w:tc>
        <w:tc>
          <w:tcPr>
            <w:tcW w:w="1914" w:type="pct"/>
            <w:tcBorders>
              <w:top w:val="single" w:color="auto" w:sz="4" w:space="0"/>
              <w:left w:val="single" w:color="auto" w:sz="4" w:space="0"/>
              <w:bottom w:val="single" w:color="auto" w:sz="4" w:space="0"/>
              <w:right w:val="single" w:color="auto" w:sz="4" w:space="0"/>
            </w:tcBorders>
            <w:noWrap w:val="0"/>
            <w:vAlign w:val="center"/>
          </w:tcPr>
          <w:p w14:paraId="710B1304">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大气毒性终点浓度-1级（mg/m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c>
          <w:tcPr>
            <w:tcW w:w="2024" w:type="pct"/>
            <w:tcBorders>
              <w:top w:val="single" w:color="auto" w:sz="4" w:space="0"/>
              <w:left w:val="single" w:color="auto" w:sz="4" w:space="0"/>
              <w:bottom w:val="single" w:color="auto" w:sz="4" w:space="0"/>
              <w:right w:val="single" w:color="auto" w:sz="4" w:space="0"/>
            </w:tcBorders>
            <w:noWrap w:val="0"/>
            <w:vAlign w:val="center"/>
          </w:tcPr>
          <w:p w14:paraId="03E5883C">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大气毒性终点浓度-2级（mg/m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r>
      <w:tr w14:paraId="1EA8AD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tcBorders>
              <w:top w:val="single" w:color="auto" w:sz="4" w:space="0"/>
              <w:left w:val="single" w:color="auto" w:sz="4" w:space="0"/>
              <w:bottom w:val="single" w:color="auto" w:sz="4" w:space="0"/>
              <w:right w:val="single" w:color="auto" w:sz="4" w:space="0"/>
            </w:tcBorders>
            <w:noWrap w:val="0"/>
            <w:vAlign w:val="center"/>
          </w:tcPr>
          <w:p w14:paraId="6DD867CD">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硫酸</w:t>
            </w:r>
          </w:p>
        </w:tc>
        <w:tc>
          <w:tcPr>
            <w:tcW w:w="1914" w:type="pct"/>
            <w:tcBorders>
              <w:top w:val="single" w:color="auto" w:sz="4" w:space="0"/>
              <w:left w:val="single" w:color="auto" w:sz="4" w:space="0"/>
              <w:bottom w:val="single" w:color="auto" w:sz="4" w:space="0"/>
              <w:right w:val="single" w:color="auto" w:sz="4" w:space="0"/>
            </w:tcBorders>
            <w:noWrap w:val="0"/>
            <w:vAlign w:val="center"/>
          </w:tcPr>
          <w:p w14:paraId="25C8765A">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160</w:t>
            </w:r>
          </w:p>
        </w:tc>
        <w:tc>
          <w:tcPr>
            <w:tcW w:w="2024" w:type="pct"/>
            <w:tcBorders>
              <w:top w:val="single" w:color="auto" w:sz="4" w:space="0"/>
              <w:left w:val="single" w:color="auto" w:sz="4" w:space="0"/>
              <w:bottom w:val="single" w:color="auto" w:sz="4" w:space="0"/>
              <w:right w:val="single" w:color="auto" w:sz="4" w:space="0"/>
            </w:tcBorders>
            <w:noWrap w:val="0"/>
            <w:vAlign w:val="center"/>
          </w:tcPr>
          <w:p w14:paraId="3623EC0C">
            <w:pPr>
              <w:pStyle w:val="24"/>
              <w:bidi w:val="0"/>
              <w:ind w:left="0" w:left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8.7</w:t>
            </w:r>
          </w:p>
        </w:tc>
      </w:tr>
      <w:tr w14:paraId="34C13B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tcBorders>
              <w:top w:val="single" w:color="auto" w:sz="4" w:space="0"/>
              <w:left w:val="single" w:color="auto" w:sz="4" w:space="0"/>
              <w:bottom w:val="single" w:color="auto" w:sz="4" w:space="0"/>
              <w:right w:val="single" w:color="auto" w:sz="4" w:space="0"/>
            </w:tcBorders>
            <w:noWrap w:val="0"/>
            <w:vAlign w:val="center"/>
          </w:tcPr>
          <w:p w14:paraId="22FC8559">
            <w:pPr>
              <w:pStyle w:val="2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p>
        </w:tc>
        <w:tc>
          <w:tcPr>
            <w:tcW w:w="1914" w:type="pct"/>
            <w:tcBorders>
              <w:top w:val="single" w:color="auto" w:sz="4" w:space="0"/>
              <w:left w:val="single" w:color="auto" w:sz="4" w:space="0"/>
              <w:bottom w:val="single" w:color="auto" w:sz="4" w:space="0"/>
              <w:right w:val="single" w:color="auto" w:sz="4" w:space="0"/>
            </w:tcBorders>
            <w:noWrap w:val="0"/>
            <w:vAlign w:val="center"/>
          </w:tcPr>
          <w:p w14:paraId="43604A08">
            <w:pPr>
              <w:pStyle w:val="2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630</w:t>
            </w:r>
          </w:p>
        </w:tc>
        <w:tc>
          <w:tcPr>
            <w:tcW w:w="2024" w:type="pct"/>
            <w:tcBorders>
              <w:top w:val="single" w:color="auto" w:sz="4" w:space="0"/>
              <w:left w:val="single" w:color="auto" w:sz="4" w:space="0"/>
              <w:bottom w:val="single" w:color="auto" w:sz="4" w:space="0"/>
              <w:right w:val="single" w:color="auto" w:sz="4" w:space="0"/>
            </w:tcBorders>
            <w:noWrap w:val="0"/>
            <w:vAlign w:val="center"/>
          </w:tcPr>
          <w:p w14:paraId="09CA0981">
            <w:pPr>
              <w:pStyle w:val="2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110</w:t>
            </w:r>
          </w:p>
        </w:tc>
      </w:tr>
      <w:tr w14:paraId="08CCA7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2165E8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一氧化碳</w:t>
            </w:r>
          </w:p>
        </w:tc>
        <w:tc>
          <w:tcPr>
            <w:tcW w:w="191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81BA7A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380</w:t>
            </w:r>
          </w:p>
        </w:tc>
        <w:tc>
          <w:tcPr>
            <w:tcW w:w="202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E30E3D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95</w:t>
            </w:r>
          </w:p>
        </w:tc>
      </w:tr>
      <w:tr w14:paraId="3A545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89983F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二氧化硫</w:t>
            </w:r>
          </w:p>
        </w:tc>
        <w:tc>
          <w:tcPr>
            <w:tcW w:w="191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ECCCD5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79</w:t>
            </w:r>
          </w:p>
        </w:tc>
        <w:tc>
          <w:tcPr>
            <w:tcW w:w="202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9D4157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2</w:t>
            </w:r>
          </w:p>
        </w:tc>
      </w:tr>
    </w:tbl>
    <w:p w14:paraId="1ED6B4A8">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预测结果</w:t>
      </w:r>
    </w:p>
    <w:p w14:paraId="0E19952F">
      <w:pPr>
        <w:pStyle w:val="5"/>
        <w:bidi w:val="0"/>
        <w:jc w:val="both"/>
        <w:rPr>
          <w:rFonts w:hint="default" w:ascii="Times New Roman" w:hAnsi="Times New Roman" w:cs="Times New Roman"/>
          <w:color w:val="auto"/>
          <w:highlight w:val="none"/>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泄漏</w:t>
      </w:r>
    </w:p>
    <w:p w14:paraId="5B240F31">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在最不利</w:t>
      </w:r>
      <w:r>
        <w:rPr>
          <w:rFonts w:hint="default" w:ascii="Times New Roman" w:hAnsi="Times New Roman" w:cs="Times New Roman"/>
          <w:color w:val="auto"/>
          <w:highlight w:val="none"/>
          <w:lang w:val="en-US" w:eastAsia="zh-CN"/>
        </w:rPr>
        <w:t>/最常见</w:t>
      </w:r>
      <w:r>
        <w:rPr>
          <w:rFonts w:hint="default" w:ascii="Times New Roman" w:hAnsi="Times New Roman" w:cs="Times New Roman"/>
          <w:color w:val="auto"/>
          <w:highlight w:val="none"/>
        </w:rPr>
        <w:t>气象条件下，</w:t>
      </w:r>
      <w:r>
        <w:rPr>
          <w:rFonts w:hint="default" w:ascii="Times New Roman" w:hAnsi="Times New Roman" w:cs="Times New Roman"/>
          <w:color w:val="auto"/>
          <w:highlight w:val="none"/>
          <w:lang w:val="en-US" w:eastAsia="zh-CN"/>
        </w:rPr>
        <w:t>预测</w:t>
      </w:r>
      <w:r>
        <w:rPr>
          <w:rFonts w:hint="default" w:ascii="Times New Roman" w:hAnsi="Times New Roman" w:cs="Times New Roman"/>
          <w:color w:val="auto"/>
          <w:highlight w:val="none"/>
        </w:rPr>
        <w:t>下风向不同距离处有毒有害物质的最大浓度，以及预测浓度达到不同毒性终点浓度的最大影响范围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预测结果如下</w:t>
      </w:r>
      <w:r>
        <w:rPr>
          <w:rFonts w:hint="default" w:ascii="Times New Roman" w:hAnsi="Times New Roman" w:cs="Times New Roman"/>
          <w:color w:val="auto"/>
          <w:highlight w:val="none"/>
          <w:lang w:eastAsia="zh-CN"/>
        </w:rPr>
        <w:t>。</w:t>
      </w:r>
    </w:p>
    <w:p w14:paraId="7BDE3614">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1、</w:t>
      </w:r>
      <w:r>
        <w:rPr>
          <w:rFonts w:hint="default" w:ascii="Times New Roman" w:hAnsi="Times New Roman" w:cs="Times New Roman"/>
          <w:color w:val="auto"/>
          <w:highlight w:val="none"/>
          <w:lang w:val="en-US" w:eastAsia="zh-CN"/>
        </w:rPr>
        <w:t>预测参数</w:t>
      </w:r>
    </w:p>
    <w:p w14:paraId="4B9B82E0">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硫酸</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预测参数见下表。</w:t>
      </w:r>
    </w:p>
    <w:p w14:paraId="70056A87">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硫酸泄漏事故主要参数表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2"/>
        <w:gridCol w:w="3152"/>
        <w:gridCol w:w="3153"/>
      </w:tblGrid>
      <w:tr w14:paraId="307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noWrap w:val="0"/>
            <w:vAlign w:val="center"/>
          </w:tcPr>
          <w:p w14:paraId="5EBEED63">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参数类型</w:t>
            </w:r>
          </w:p>
        </w:tc>
        <w:tc>
          <w:tcPr>
            <w:tcW w:w="3152" w:type="dxa"/>
            <w:noWrap w:val="0"/>
            <w:vAlign w:val="center"/>
          </w:tcPr>
          <w:p w14:paraId="6354798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选项</w:t>
            </w:r>
          </w:p>
        </w:tc>
        <w:tc>
          <w:tcPr>
            <w:tcW w:w="3153" w:type="dxa"/>
            <w:noWrap w:val="0"/>
            <w:vAlign w:val="center"/>
          </w:tcPr>
          <w:p w14:paraId="7F8EC6FC">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w:t>
            </w:r>
          </w:p>
        </w:tc>
      </w:tr>
      <w:tr w14:paraId="6962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restart"/>
            <w:noWrap w:val="0"/>
            <w:vAlign w:val="center"/>
          </w:tcPr>
          <w:p w14:paraId="52A7BE6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源强参数</w:t>
            </w:r>
          </w:p>
        </w:tc>
        <w:tc>
          <w:tcPr>
            <w:tcW w:w="3152" w:type="dxa"/>
            <w:shd w:val="clear" w:color="auto" w:fill="auto"/>
            <w:noWrap w:val="0"/>
            <w:vAlign w:val="center"/>
          </w:tcPr>
          <w:p w14:paraId="4F441ECD">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持续时间（s）</w:t>
            </w:r>
          </w:p>
        </w:tc>
        <w:tc>
          <w:tcPr>
            <w:tcW w:w="3153" w:type="dxa"/>
            <w:shd w:val="clear" w:color="auto" w:fill="auto"/>
            <w:noWrap w:val="0"/>
            <w:vAlign w:val="center"/>
          </w:tcPr>
          <w:p w14:paraId="0F2D4743">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900</w:t>
            </w:r>
          </w:p>
        </w:tc>
      </w:tr>
      <w:tr w14:paraId="1495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3152" w:type="dxa"/>
            <w:vMerge w:val="continue"/>
            <w:noWrap w:val="0"/>
            <w:vAlign w:val="center"/>
          </w:tcPr>
          <w:p w14:paraId="3041B8F1">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066D7516">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排放速率（</w:t>
            </w:r>
            <w:r>
              <w:rPr>
                <w:rFonts w:hint="eastAsia" w:cs="Times New Roman"/>
                <w:color w:val="auto"/>
                <w:highlight w:val="none"/>
                <w:lang w:val="en-US" w:eastAsia="zh-CN"/>
              </w:rPr>
              <w:t>k</w:t>
            </w:r>
            <w:r>
              <w:rPr>
                <w:rFonts w:hint="default" w:ascii="Times New Roman" w:hAnsi="Times New Roman" w:cs="Times New Roman"/>
                <w:color w:val="auto"/>
                <w:highlight w:val="none"/>
                <w:lang w:val="en-US" w:eastAsia="zh-CN"/>
              </w:rPr>
              <w:t>g/s）</w:t>
            </w:r>
          </w:p>
        </w:tc>
        <w:tc>
          <w:tcPr>
            <w:tcW w:w="3153" w:type="dxa"/>
            <w:shd w:val="clear" w:color="auto" w:fill="auto"/>
            <w:noWrap w:val="0"/>
            <w:vAlign w:val="center"/>
          </w:tcPr>
          <w:p w14:paraId="77E5F8DA">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0.0043/0.0034</w:t>
            </w:r>
          </w:p>
        </w:tc>
      </w:tr>
      <w:tr w14:paraId="7C8D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57489DBD">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421731A9">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源高度（m）</w:t>
            </w:r>
          </w:p>
        </w:tc>
        <w:tc>
          <w:tcPr>
            <w:tcW w:w="3153" w:type="dxa"/>
            <w:shd w:val="clear" w:color="auto" w:fill="auto"/>
            <w:noWrap w:val="0"/>
            <w:vAlign w:val="center"/>
          </w:tcPr>
          <w:p w14:paraId="3B8CB6B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6.45</w:t>
            </w:r>
          </w:p>
        </w:tc>
      </w:tr>
      <w:tr w14:paraId="2977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537D9DC0">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1A804192">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烟气温度（℃）</w:t>
            </w:r>
          </w:p>
        </w:tc>
        <w:tc>
          <w:tcPr>
            <w:tcW w:w="3153" w:type="dxa"/>
            <w:shd w:val="clear" w:color="auto" w:fill="auto"/>
            <w:noWrap w:val="0"/>
            <w:vAlign w:val="center"/>
          </w:tcPr>
          <w:p w14:paraId="5D352F3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25</w:t>
            </w:r>
            <w:r>
              <w:rPr>
                <w:rFonts w:hint="eastAsia" w:cs="Times New Roman"/>
                <w:color w:val="auto"/>
                <w:highlight w:val="none"/>
                <w:lang w:val="en-US" w:eastAsia="zh-CN"/>
              </w:rPr>
              <w:t>/32.88</w:t>
            </w:r>
          </w:p>
        </w:tc>
      </w:tr>
    </w:tbl>
    <w:p w14:paraId="069E84E1">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2、</w:t>
      </w:r>
      <w:r>
        <w:rPr>
          <w:rFonts w:hint="default" w:ascii="Times New Roman" w:hAnsi="Times New Roman" w:cs="Times New Roman"/>
          <w:color w:val="auto"/>
          <w:highlight w:val="none"/>
          <w:lang w:val="en-US" w:eastAsia="zh-CN"/>
        </w:rPr>
        <w:t>预测结果分析</w:t>
      </w:r>
    </w:p>
    <w:p w14:paraId="00F1954E">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关注限值距离</w:t>
      </w:r>
    </w:p>
    <w:p w14:paraId="0678FC73">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 w:val="24"/>
          <w:szCs w:val="24"/>
          <w:highlight w:val="none"/>
          <w:lang w:val="en-US" w:eastAsia="zh-CN" w:bidi="ar"/>
        </w:rPr>
        <w:t>在不同时刻达到关注限值的最远距离见下表。</w:t>
      </w:r>
    </w:p>
    <w:p w14:paraId="1A36255C">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硫酸不同时刻达到关注限值的最远预测距离</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1155"/>
        <w:gridCol w:w="1255"/>
        <w:gridCol w:w="1371"/>
        <w:gridCol w:w="1261"/>
        <w:gridCol w:w="1091"/>
        <w:gridCol w:w="1430"/>
      </w:tblGrid>
      <w:tr w14:paraId="1CFC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Merge w:val="restart"/>
            <w:noWrap w:val="0"/>
            <w:vAlign w:val="center"/>
          </w:tcPr>
          <w:p w14:paraId="03FF0FD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3781" w:type="dxa"/>
            <w:gridSpan w:val="3"/>
            <w:noWrap w:val="0"/>
            <w:vAlign w:val="center"/>
          </w:tcPr>
          <w:p w14:paraId="33A3CF9A">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毒性终点浓度-1</w:t>
            </w:r>
          </w:p>
        </w:tc>
        <w:tc>
          <w:tcPr>
            <w:tcW w:w="3782" w:type="dxa"/>
            <w:gridSpan w:val="3"/>
            <w:noWrap w:val="0"/>
            <w:vAlign w:val="center"/>
          </w:tcPr>
          <w:p w14:paraId="442264A0">
            <w:pPr>
              <w:pStyle w:val="31"/>
              <w:bidi w:val="0"/>
              <w:ind w:left="0"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毒性终点浓度-2</w:t>
            </w:r>
          </w:p>
        </w:tc>
      </w:tr>
      <w:tr w14:paraId="4801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0" w:type="dxa"/>
            <w:vMerge w:val="continue"/>
            <w:noWrap w:val="0"/>
            <w:vAlign w:val="center"/>
          </w:tcPr>
          <w:p w14:paraId="2B16A8B8">
            <w:pPr>
              <w:pStyle w:val="24"/>
              <w:bidi w:val="0"/>
              <w:jc w:val="center"/>
              <w:rPr>
                <w:rFonts w:hint="default" w:ascii="Times New Roman" w:hAnsi="Times New Roman" w:cs="Times New Roman"/>
                <w:color w:val="auto"/>
                <w:highlight w:val="none"/>
                <w:lang w:val="en-US" w:eastAsia="zh-CN"/>
              </w:rPr>
            </w:pPr>
          </w:p>
        </w:tc>
        <w:tc>
          <w:tcPr>
            <w:tcW w:w="1155" w:type="dxa"/>
            <w:noWrap w:val="0"/>
            <w:vAlign w:val="center"/>
          </w:tcPr>
          <w:p w14:paraId="5F21980B">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255" w:type="dxa"/>
            <w:noWrap w:val="0"/>
            <w:vAlign w:val="center"/>
          </w:tcPr>
          <w:p w14:paraId="35E5137C">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距离（m）</w:t>
            </w:r>
          </w:p>
        </w:tc>
        <w:tc>
          <w:tcPr>
            <w:tcW w:w="1371" w:type="dxa"/>
            <w:noWrap w:val="0"/>
            <w:vAlign w:val="center"/>
          </w:tcPr>
          <w:p w14:paraId="22D1B10B">
            <w:pPr>
              <w:pStyle w:val="24"/>
              <w:bidi w:val="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c>
          <w:tcPr>
            <w:tcW w:w="1261" w:type="dxa"/>
            <w:noWrap w:val="0"/>
            <w:vAlign w:val="center"/>
          </w:tcPr>
          <w:p w14:paraId="788F696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091" w:type="dxa"/>
            <w:noWrap w:val="0"/>
            <w:vAlign w:val="center"/>
          </w:tcPr>
          <w:p w14:paraId="0C2928CD">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距离（m）</w:t>
            </w:r>
          </w:p>
        </w:tc>
        <w:tc>
          <w:tcPr>
            <w:tcW w:w="1430" w:type="dxa"/>
            <w:noWrap w:val="0"/>
            <w:vAlign w:val="center"/>
          </w:tcPr>
          <w:p w14:paraId="09C9CBEE">
            <w:pPr>
              <w:pStyle w:val="24"/>
              <w:bidi w:val="0"/>
              <w:ind w:left="0" w:leftChars="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r>
      <w:tr w14:paraId="6DF8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3582AA4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1155" w:type="dxa"/>
            <w:noWrap w:val="0"/>
            <w:vAlign w:val="center"/>
          </w:tcPr>
          <w:p w14:paraId="13CA537B">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160</w:t>
            </w:r>
          </w:p>
        </w:tc>
        <w:tc>
          <w:tcPr>
            <w:tcW w:w="1255" w:type="dxa"/>
            <w:noWrap w:val="0"/>
            <w:vAlign w:val="center"/>
          </w:tcPr>
          <w:p w14:paraId="156016AD">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371" w:type="dxa"/>
            <w:noWrap w:val="0"/>
            <w:vAlign w:val="center"/>
          </w:tcPr>
          <w:p w14:paraId="779D2610">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261" w:type="dxa"/>
            <w:noWrap w:val="0"/>
            <w:vAlign w:val="center"/>
          </w:tcPr>
          <w:p w14:paraId="2D2AE869">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8.7</w:t>
            </w:r>
          </w:p>
        </w:tc>
        <w:tc>
          <w:tcPr>
            <w:tcW w:w="1091" w:type="dxa"/>
            <w:noWrap w:val="0"/>
            <w:vAlign w:val="center"/>
          </w:tcPr>
          <w:p w14:paraId="26C20141">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260</w:t>
            </w:r>
          </w:p>
        </w:tc>
        <w:tc>
          <w:tcPr>
            <w:tcW w:w="1430" w:type="dxa"/>
            <w:noWrap w:val="0"/>
            <w:vAlign w:val="center"/>
          </w:tcPr>
          <w:p w14:paraId="174B79CB">
            <w:pPr>
              <w:pStyle w:val="24"/>
              <w:bidi w:val="0"/>
              <w:ind w:left="0" w:left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2.8889E+00</w:t>
            </w:r>
          </w:p>
        </w:tc>
      </w:tr>
      <w:tr w14:paraId="2126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55FB2E5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c>
          <w:tcPr>
            <w:tcW w:w="1155" w:type="dxa"/>
            <w:shd w:val="clear" w:color="auto" w:fill="auto"/>
            <w:noWrap w:val="0"/>
            <w:vAlign w:val="center"/>
          </w:tcPr>
          <w:p w14:paraId="2491A40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160</w:t>
            </w:r>
          </w:p>
        </w:tc>
        <w:tc>
          <w:tcPr>
            <w:tcW w:w="1255" w:type="dxa"/>
            <w:shd w:val="clear" w:color="auto" w:fill="auto"/>
            <w:noWrap w:val="0"/>
            <w:vAlign w:val="center"/>
          </w:tcPr>
          <w:p w14:paraId="16068511">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c>
          <w:tcPr>
            <w:tcW w:w="1371" w:type="dxa"/>
            <w:shd w:val="clear" w:color="auto" w:fill="auto"/>
            <w:noWrap w:val="0"/>
            <w:vAlign w:val="center"/>
          </w:tcPr>
          <w:p w14:paraId="6F5F2AC3">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c>
          <w:tcPr>
            <w:tcW w:w="1261" w:type="dxa"/>
            <w:shd w:val="clear" w:color="auto" w:fill="auto"/>
            <w:noWrap w:val="0"/>
            <w:vAlign w:val="center"/>
          </w:tcPr>
          <w:p w14:paraId="5A9A64A2">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8.7</w:t>
            </w:r>
          </w:p>
        </w:tc>
        <w:tc>
          <w:tcPr>
            <w:tcW w:w="1091" w:type="dxa"/>
            <w:noWrap w:val="0"/>
            <w:vAlign w:val="center"/>
          </w:tcPr>
          <w:p w14:paraId="35124CC5">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260</w:t>
            </w:r>
          </w:p>
        </w:tc>
        <w:tc>
          <w:tcPr>
            <w:tcW w:w="1430" w:type="dxa"/>
            <w:noWrap w:val="0"/>
            <w:vAlign w:val="center"/>
          </w:tcPr>
          <w:p w14:paraId="762B83EE">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3.8012E+00</w:t>
            </w:r>
          </w:p>
        </w:tc>
      </w:tr>
    </w:tbl>
    <w:p w14:paraId="13E6504B">
      <w:pPr>
        <w:pStyle w:val="26"/>
        <w:bidi w:val="0"/>
        <w:ind w:left="0" w:leftChars="0" w:firstLine="0" w:firstLineChars="0"/>
        <w:jc w:val="center"/>
        <w:rPr>
          <w:color w:val="auto"/>
        </w:rPr>
      </w:pPr>
    </w:p>
    <w:p w14:paraId="24AE7E67">
      <w:pPr>
        <w:pStyle w:val="26"/>
        <w:bidi w:val="0"/>
        <w:ind w:left="0" w:leftChars="0" w:firstLine="0" w:firstLineChars="0"/>
        <w:jc w:val="center"/>
        <w:rPr>
          <w:color w:val="auto"/>
        </w:rPr>
      </w:pPr>
    </w:p>
    <w:p w14:paraId="6716B52B">
      <w:pPr>
        <w:pStyle w:val="26"/>
        <w:bidi w:val="0"/>
        <w:ind w:left="0" w:leftChars="0" w:firstLine="0" w:firstLineChars="0"/>
        <w:jc w:val="center"/>
        <w:rPr>
          <w:color w:val="auto"/>
        </w:rPr>
      </w:pPr>
    </w:p>
    <w:p w14:paraId="427A4E0D">
      <w:pPr>
        <w:pStyle w:val="26"/>
        <w:bidi w:val="0"/>
        <w:ind w:left="0" w:leftChars="0" w:firstLine="0" w:firstLineChars="0"/>
        <w:jc w:val="center"/>
        <w:rPr>
          <w:color w:val="auto"/>
        </w:rPr>
      </w:pPr>
      <w:r>
        <w:rPr>
          <w:color w:val="auto"/>
        </w:rPr>
        <w:drawing>
          <wp:inline distT="0" distB="0" distL="114300" distR="114300">
            <wp:extent cx="5897880" cy="3599180"/>
            <wp:effectExtent l="0" t="0" r="7620" b="1270"/>
            <wp:docPr id="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
                    <pic:cNvPicPr>
                      <a:picLocks noChangeAspect="1"/>
                    </pic:cNvPicPr>
                  </pic:nvPicPr>
                  <pic:blipFill>
                    <a:blip r:embed="rId186"/>
                    <a:stretch>
                      <a:fillRect/>
                    </a:stretch>
                  </pic:blipFill>
                  <pic:spPr>
                    <a:xfrm>
                      <a:off x="0" y="0"/>
                      <a:ext cx="5897880" cy="3599180"/>
                    </a:xfrm>
                    <a:prstGeom prst="rect">
                      <a:avLst/>
                    </a:prstGeom>
                    <a:noFill/>
                    <a:ln>
                      <a:noFill/>
                    </a:ln>
                  </pic:spPr>
                </pic:pic>
              </a:graphicData>
            </a:graphic>
          </wp:inline>
        </w:drawing>
      </w:r>
    </w:p>
    <w:p w14:paraId="18FB1146">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浓度达到评价标准时的最大影响范围图（最不利气象条件）</w:t>
      </w:r>
    </w:p>
    <w:p w14:paraId="1CE95FFC">
      <w:pPr>
        <w:pStyle w:val="26"/>
        <w:bidi w:val="0"/>
        <w:ind w:left="0" w:leftChars="0" w:firstLine="0" w:firstLineChars="0"/>
        <w:jc w:val="center"/>
        <w:rPr>
          <w:rFonts w:hint="default" w:ascii="Times New Roman" w:hAnsi="Times New Roman" w:cs="Times New Roman"/>
          <w:color w:val="auto"/>
          <w:highlight w:val="none"/>
          <w:lang w:val="en-US" w:eastAsia="zh-CN"/>
        </w:rPr>
      </w:pPr>
      <w:r>
        <w:rPr>
          <w:color w:val="auto"/>
        </w:rPr>
        <w:drawing>
          <wp:inline distT="0" distB="0" distL="114300" distR="114300">
            <wp:extent cx="5897880" cy="3599180"/>
            <wp:effectExtent l="0" t="0" r="7620" b="1270"/>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187"/>
                    <a:stretch>
                      <a:fillRect/>
                    </a:stretch>
                  </pic:blipFill>
                  <pic:spPr>
                    <a:xfrm>
                      <a:off x="0" y="0"/>
                      <a:ext cx="5897880" cy="3599180"/>
                    </a:xfrm>
                    <a:prstGeom prst="rect">
                      <a:avLst/>
                    </a:prstGeom>
                    <a:noFill/>
                    <a:ln>
                      <a:noFill/>
                    </a:ln>
                  </pic:spPr>
                </pic:pic>
              </a:graphicData>
            </a:graphic>
          </wp:inline>
        </w:drawing>
      </w:r>
    </w:p>
    <w:p w14:paraId="617F1A98">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浓度达到评价标准时的最大影响范围图（最</w:t>
      </w:r>
      <w:r>
        <w:rPr>
          <w:rFonts w:hint="eastAsia" w:ascii="Times New Roman" w:hAnsi="Times New Roman"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w:t>
      </w:r>
    </w:p>
    <w:p w14:paraId="0B2CDCC6">
      <w:pPr>
        <w:pStyle w:val="26"/>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由上表可知，当</w:t>
      </w:r>
      <w:r>
        <w:rPr>
          <w:rFonts w:hint="eastAsia" w:cs="Times New Roman"/>
          <w:color w:val="auto"/>
          <w:highlight w:val="none"/>
          <w:lang w:val="en-US" w:eastAsia="zh-CN"/>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highlight w:val="none"/>
          <w:lang w:val="en-US" w:eastAsia="zh-CN"/>
        </w:rPr>
        <w:t>发生泄漏事故时，产生的</w:t>
      </w:r>
      <w:r>
        <w:rPr>
          <w:rFonts w:hint="eastAsia" w:cs="Times New Roman"/>
          <w:color w:val="auto"/>
          <w:highlight w:val="none"/>
          <w:lang w:val="en-US" w:eastAsia="zh-CN"/>
        </w:rPr>
        <w:t>硫酸雾</w:t>
      </w:r>
      <w:r>
        <w:rPr>
          <w:rFonts w:hint="default" w:ascii="Times New Roman" w:hAnsi="Times New Roman" w:cs="Times New Roman"/>
          <w:color w:val="auto"/>
          <w:highlight w:val="none"/>
          <w:lang w:val="en-US" w:eastAsia="zh-CN"/>
        </w:rPr>
        <w:t>在最不利</w:t>
      </w:r>
      <w:r>
        <w:rPr>
          <w:rFonts w:hint="eastAsia" w:cs="Times New Roman"/>
          <w:color w:val="auto"/>
          <w:highlight w:val="none"/>
          <w:lang w:val="en-US" w:eastAsia="zh-CN"/>
        </w:rPr>
        <w:t>和</w:t>
      </w:r>
      <w:r>
        <w:rPr>
          <w:rFonts w:hint="default" w:ascii="Times New Roman" w:hAnsi="Times New Roman" w:cs="Times New Roman"/>
          <w:color w:val="auto"/>
          <w:highlight w:val="none"/>
          <w:lang w:val="en-US" w:eastAsia="zh-CN"/>
        </w:rPr>
        <w:t>最</w:t>
      </w:r>
      <w:r>
        <w:rPr>
          <w:rFonts w:hint="eastAsia"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气象条件下，毒性终点浓度-2的距离</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为下风向</w:t>
      </w:r>
      <w:r>
        <w:rPr>
          <w:rFonts w:hint="eastAsia" w:cs="Times New Roman"/>
          <w:color w:val="auto"/>
          <w:highlight w:val="none"/>
          <w:lang w:val="en-US" w:eastAsia="zh-CN"/>
        </w:rPr>
        <w:t>260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不会出现大气毒性终点浓度-1</w:t>
      </w:r>
      <w:r>
        <w:rPr>
          <w:rFonts w:hint="eastAsia" w:cs="Times New Roman"/>
          <w:color w:val="auto"/>
          <w:highlight w:val="none"/>
          <w:lang w:val="en-US" w:eastAsia="zh-CN"/>
        </w:rPr>
        <w:t>。最不利和最常见气象条件下，硫酸</w:t>
      </w:r>
      <w:r>
        <w:rPr>
          <w:rFonts w:hint="default" w:ascii="Times New Roman" w:hAnsi="Times New Roman" w:cs="Times New Roman"/>
          <w:color w:val="auto"/>
          <w:highlight w:val="none"/>
          <w:lang w:val="en-US" w:eastAsia="zh-CN"/>
        </w:rPr>
        <w:t>毒性终点浓度-2</w:t>
      </w:r>
      <w:r>
        <w:rPr>
          <w:rFonts w:hint="eastAsia" w:cs="Times New Roman"/>
          <w:color w:val="auto"/>
          <w:highlight w:val="none"/>
          <w:lang w:val="en-US" w:eastAsia="zh-CN"/>
        </w:rPr>
        <w:t>影响范围内有少量散户分布。</w:t>
      </w:r>
    </w:p>
    <w:p w14:paraId="5280B53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（2）下风向不同距离</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浓度预测值</w:t>
      </w:r>
    </w:p>
    <w:p w14:paraId="5D1901B4">
      <w:pPr>
        <w:pStyle w:val="26"/>
        <w:bidi w:val="0"/>
        <w:rPr>
          <w:rFonts w:hint="default" w:ascii="Times New Roman" w:hAnsi="Times New Roman" w:cs="Times New Roman"/>
          <w:color w:val="auto"/>
          <w:highlight w:val="none"/>
        </w:rPr>
      </w:pP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下风向不同</w:t>
      </w:r>
      <w:r>
        <w:rPr>
          <w:rFonts w:hint="default" w:ascii="Times New Roman" w:hAnsi="Times New Roman" w:eastAsia="宋体" w:cs="Times New Roman"/>
          <w:color w:val="auto"/>
          <w:kern w:val="0"/>
          <w:szCs w:val="24"/>
          <w:highlight w:val="none"/>
          <w:lang w:val="en-US" w:eastAsia="zh-CN" w:bidi="ar"/>
        </w:rPr>
        <w:t>距离</w:t>
      </w: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Cs w:val="24"/>
          <w:highlight w:val="none"/>
          <w:lang w:val="en-US" w:eastAsia="zh-CN" w:bidi="ar"/>
        </w:rPr>
        <w:t>浓度预测结果见下表。</w:t>
      </w:r>
    </w:p>
    <w:p w14:paraId="57316730">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硫酸储罐泄漏事故下风向不同距离硫酸浓度预测结果表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934"/>
        <w:gridCol w:w="2325"/>
        <w:gridCol w:w="1839"/>
        <w:gridCol w:w="2059"/>
      </w:tblGrid>
      <w:tr w14:paraId="661E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Merge w:val="restart"/>
            <w:noWrap w:val="0"/>
            <w:vAlign w:val="center"/>
          </w:tcPr>
          <w:p w14:paraId="29F5CFE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下风向距离（m）</w:t>
            </w:r>
          </w:p>
        </w:tc>
        <w:tc>
          <w:tcPr>
            <w:tcW w:w="2240" w:type="pct"/>
            <w:gridSpan w:val="2"/>
            <w:noWrap w:val="0"/>
            <w:vAlign w:val="center"/>
          </w:tcPr>
          <w:p w14:paraId="7F8535E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2050" w:type="pct"/>
            <w:gridSpan w:val="2"/>
            <w:noWrap w:val="0"/>
            <w:vAlign w:val="center"/>
          </w:tcPr>
          <w:p w14:paraId="03EC8DB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r>
      <w:tr w14:paraId="76A8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vMerge w:val="continue"/>
            <w:noWrap w:val="0"/>
            <w:vAlign w:val="center"/>
          </w:tcPr>
          <w:p w14:paraId="2F2FE42A">
            <w:pPr>
              <w:pStyle w:val="24"/>
              <w:bidi w:val="0"/>
              <w:jc w:val="center"/>
              <w:rPr>
                <w:rFonts w:hint="default" w:ascii="Times New Roman" w:hAnsi="Times New Roman" w:cs="Times New Roman"/>
                <w:color w:val="auto"/>
                <w:highlight w:val="none"/>
                <w:lang w:val="en-US" w:eastAsia="zh-CN"/>
              </w:rPr>
            </w:pPr>
          </w:p>
        </w:tc>
        <w:tc>
          <w:tcPr>
            <w:tcW w:w="1017" w:type="pct"/>
            <w:noWrap w:val="0"/>
            <w:vAlign w:val="center"/>
          </w:tcPr>
          <w:p w14:paraId="54E643BB">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223" w:type="pct"/>
            <w:noWrap w:val="0"/>
            <w:vAlign w:val="center"/>
          </w:tcPr>
          <w:p w14:paraId="6A5C9316">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浓度出现时间（min）</w:t>
            </w:r>
          </w:p>
        </w:tc>
        <w:tc>
          <w:tcPr>
            <w:tcW w:w="967" w:type="pct"/>
            <w:shd w:val="clear" w:color="auto" w:fill="auto"/>
            <w:noWrap w:val="0"/>
            <w:vAlign w:val="center"/>
          </w:tcPr>
          <w:p w14:paraId="462A7D3C">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083" w:type="pct"/>
            <w:shd w:val="clear" w:color="auto" w:fill="auto"/>
            <w:noWrap w:val="0"/>
            <w:vAlign w:val="center"/>
          </w:tcPr>
          <w:p w14:paraId="1A1E0A5C">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浓度出现时间（min）</w:t>
            </w:r>
          </w:p>
        </w:tc>
      </w:tr>
      <w:tr w14:paraId="5AA7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53E5CCB6">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934" w:type="dxa"/>
            <w:shd w:val="clear" w:color="auto" w:fill="auto"/>
            <w:noWrap w:val="0"/>
            <w:vAlign w:val="bottom"/>
          </w:tcPr>
          <w:p w14:paraId="22CF0F9D">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4.8733E+00   </w:t>
            </w:r>
          </w:p>
        </w:tc>
        <w:tc>
          <w:tcPr>
            <w:tcW w:w="2325" w:type="dxa"/>
            <w:shd w:val="clear" w:color="auto" w:fill="auto"/>
            <w:noWrap w:val="0"/>
            <w:vAlign w:val="bottom"/>
          </w:tcPr>
          <w:p w14:paraId="63474AE6">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1.1111E-01</w:t>
            </w:r>
          </w:p>
        </w:tc>
        <w:tc>
          <w:tcPr>
            <w:tcW w:w="1839" w:type="dxa"/>
            <w:noWrap w:val="0"/>
            <w:vAlign w:val="bottom"/>
          </w:tcPr>
          <w:p w14:paraId="3B98DF1D">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5.0701E+00</w:t>
            </w:r>
          </w:p>
        </w:tc>
        <w:tc>
          <w:tcPr>
            <w:tcW w:w="2059" w:type="dxa"/>
            <w:noWrap w:val="0"/>
            <w:vAlign w:val="bottom"/>
          </w:tcPr>
          <w:p w14:paraId="0A747085">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1.4620E-01</w:t>
            </w:r>
          </w:p>
        </w:tc>
      </w:tr>
      <w:tr w14:paraId="3640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shd w:val="clear" w:color="auto" w:fill="auto"/>
            <w:noWrap w:val="0"/>
            <w:vAlign w:val="center"/>
          </w:tcPr>
          <w:p w14:paraId="6E1BE853">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50</w:t>
            </w:r>
          </w:p>
        </w:tc>
        <w:tc>
          <w:tcPr>
            <w:tcW w:w="1934" w:type="dxa"/>
            <w:shd w:val="clear" w:color="auto" w:fill="auto"/>
            <w:noWrap w:val="0"/>
            <w:vAlign w:val="bottom"/>
          </w:tcPr>
          <w:p w14:paraId="3538E332">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8.6422E+01   </w:t>
            </w:r>
          </w:p>
        </w:tc>
        <w:tc>
          <w:tcPr>
            <w:tcW w:w="2325" w:type="dxa"/>
            <w:shd w:val="clear" w:color="auto" w:fill="auto"/>
            <w:noWrap w:val="0"/>
            <w:vAlign w:val="bottom"/>
          </w:tcPr>
          <w:p w14:paraId="57BB6AF6">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5.5556E-01</w:t>
            </w:r>
          </w:p>
        </w:tc>
        <w:tc>
          <w:tcPr>
            <w:tcW w:w="1839" w:type="dxa"/>
            <w:noWrap w:val="0"/>
            <w:vAlign w:val="bottom"/>
          </w:tcPr>
          <w:p w14:paraId="3B76E0BE">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8.9913E+01</w:t>
            </w:r>
          </w:p>
        </w:tc>
        <w:tc>
          <w:tcPr>
            <w:tcW w:w="2059" w:type="dxa"/>
            <w:noWrap w:val="0"/>
            <w:vAlign w:val="bottom"/>
          </w:tcPr>
          <w:p w14:paraId="733B1222">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7.3099E-01</w:t>
            </w:r>
          </w:p>
        </w:tc>
      </w:tr>
      <w:tr w14:paraId="3B02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shd w:val="clear" w:color="auto" w:fill="auto"/>
            <w:noWrap w:val="0"/>
            <w:vAlign w:val="center"/>
          </w:tcPr>
          <w:p w14:paraId="610179EC">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100</w:t>
            </w:r>
          </w:p>
        </w:tc>
        <w:tc>
          <w:tcPr>
            <w:tcW w:w="1934" w:type="dxa"/>
            <w:shd w:val="clear" w:color="auto" w:fill="auto"/>
            <w:noWrap w:val="0"/>
            <w:vAlign w:val="bottom"/>
          </w:tcPr>
          <w:p w14:paraId="58A92638">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3.7911E+01   </w:t>
            </w:r>
          </w:p>
        </w:tc>
        <w:tc>
          <w:tcPr>
            <w:tcW w:w="2325" w:type="dxa"/>
            <w:shd w:val="clear" w:color="auto" w:fill="auto"/>
            <w:noWrap w:val="0"/>
            <w:vAlign w:val="bottom"/>
          </w:tcPr>
          <w:p w14:paraId="5A46A0B8">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1.1111E+00</w:t>
            </w:r>
          </w:p>
        </w:tc>
        <w:tc>
          <w:tcPr>
            <w:tcW w:w="1839" w:type="dxa"/>
            <w:noWrap w:val="0"/>
            <w:vAlign w:val="bottom"/>
          </w:tcPr>
          <w:p w14:paraId="20E7A111">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3.9443E+01</w:t>
            </w:r>
          </w:p>
        </w:tc>
        <w:tc>
          <w:tcPr>
            <w:tcW w:w="2059" w:type="dxa"/>
            <w:noWrap w:val="0"/>
            <w:vAlign w:val="bottom"/>
          </w:tcPr>
          <w:p w14:paraId="57A09BBB">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1.4620E+00</w:t>
            </w:r>
          </w:p>
        </w:tc>
      </w:tr>
      <w:tr w14:paraId="1DAA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shd w:val="clear" w:color="auto" w:fill="auto"/>
            <w:noWrap w:val="0"/>
            <w:vAlign w:val="center"/>
          </w:tcPr>
          <w:p w14:paraId="4EE39F0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200</w:t>
            </w:r>
          </w:p>
        </w:tc>
        <w:tc>
          <w:tcPr>
            <w:tcW w:w="1934" w:type="dxa"/>
            <w:shd w:val="clear" w:color="auto" w:fill="auto"/>
            <w:noWrap w:val="0"/>
            <w:vAlign w:val="bottom"/>
          </w:tcPr>
          <w:p w14:paraId="500C63FE">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1.3336E+01   </w:t>
            </w:r>
          </w:p>
        </w:tc>
        <w:tc>
          <w:tcPr>
            <w:tcW w:w="2325" w:type="dxa"/>
            <w:shd w:val="clear" w:color="auto" w:fill="auto"/>
            <w:noWrap w:val="0"/>
            <w:vAlign w:val="bottom"/>
          </w:tcPr>
          <w:p w14:paraId="2846EF95">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2.2222E+00</w:t>
            </w:r>
          </w:p>
        </w:tc>
        <w:tc>
          <w:tcPr>
            <w:tcW w:w="1839" w:type="dxa"/>
            <w:noWrap w:val="0"/>
            <w:vAlign w:val="bottom"/>
          </w:tcPr>
          <w:p w14:paraId="71256ABC">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1.3875E+01</w:t>
            </w:r>
          </w:p>
        </w:tc>
        <w:tc>
          <w:tcPr>
            <w:tcW w:w="2059" w:type="dxa"/>
            <w:noWrap w:val="0"/>
            <w:vAlign w:val="bottom"/>
          </w:tcPr>
          <w:p w14:paraId="415DDC14">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2.9240E+00</w:t>
            </w:r>
          </w:p>
        </w:tc>
      </w:tr>
      <w:tr w14:paraId="0D1A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763C9873">
            <w:pPr>
              <w:pStyle w:val="24"/>
              <w:bidi w:val="0"/>
              <w:jc w:val="center"/>
              <w:rPr>
                <w:rFonts w:hint="default" w:cs="Times New Roman"/>
                <w:color w:val="auto"/>
                <w:highlight w:val="none"/>
                <w:lang w:val="en-US" w:eastAsia="zh-CN"/>
              </w:rPr>
            </w:pPr>
            <w:r>
              <w:rPr>
                <w:rFonts w:hint="eastAsia" w:cs="Times New Roman"/>
                <w:color w:val="auto"/>
                <w:highlight w:val="none"/>
                <w:lang w:val="en-US" w:eastAsia="zh-CN"/>
              </w:rPr>
              <w:t>260</w:t>
            </w:r>
          </w:p>
        </w:tc>
        <w:tc>
          <w:tcPr>
            <w:tcW w:w="1934" w:type="dxa"/>
            <w:shd w:val="clear" w:color="auto" w:fill="auto"/>
            <w:noWrap w:val="0"/>
            <w:vAlign w:val="bottom"/>
          </w:tcPr>
          <w:p w14:paraId="171998A7">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8.7678E+00   </w:t>
            </w:r>
          </w:p>
        </w:tc>
        <w:tc>
          <w:tcPr>
            <w:tcW w:w="2325" w:type="dxa"/>
            <w:shd w:val="clear" w:color="auto" w:fill="auto"/>
            <w:noWrap w:val="0"/>
            <w:vAlign w:val="bottom"/>
          </w:tcPr>
          <w:p w14:paraId="30795AE8">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2.8889E+00</w:t>
            </w:r>
          </w:p>
        </w:tc>
        <w:tc>
          <w:tcPr>
            <w:tcW w:w="1839" w:type="dxa"/>
            <w:noWrap w:val="0"/>
            <w:vAlign w:val="bottom"/>
          </w:tcPr>
          <w:p w14:paraId="5B78D7FC">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9.1219E+00</w:t>
            </w:r>
          </w:p>
        </w:tc>
        <w:tc>
          <w:tcPr>
            <w:tcW w:w="2059" w:type="dxa"/>
            <w:noWrap w:val="0"/>
            <w:vAlign w:val="bottom"/>
          </w:tcPr>
          <w:p w14:paraId="7BB887BE">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3.8012E+00</w:t>
            </w:r>
          </w:p>
        </w:tc>
      </w:tr>
      <w:tr w14:paraId="0B37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shd w:val="clear" w:color="auto" w:fill="auto"/>
            <w:noWrap w:val="0"/>
            <w:vAlign w:val="center"/>
          </w:tcPr>
          <w:p w14:paraId="47147F88">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500</w:t>
            </w:r>
          </w:p>
        </w:tc>
        <w:tc>
          <w:tcPr>
            <w:tcW w:w="1934" w:type="dxa"/>
            <w:shd w:val="clear" w:color="auto" w:fill="auto"/>
            <w:noWrap w:val="0"/>
            <w:vAlign w:val="bottom"/>
          </w:tcPr>
          <w:p w14:paraId="068C0721">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3.0056E+00   </w:t>
            </w:r>
          </w:p>
        </w:tc>
        <w:tc>
          <w:tcPr>
            <w:tcW w:w="2325" w:type="dxa"/>
            <w:shd w:val="clear" w:color="auto" w:fill="auto"/>
            <w:noWrap w:val="0"/>
            <w:vAlign w:val="bottom"/>
          </w:tcPr>
          <w:p w14:paraId="78055894">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5.5556E+00</w:t>
            </w:r>
          </w:p>
        </w:tc>
        <w:tc>
          <w:tcPr>
            <w:tcW w:w="1839" w:type="dxa"/>
            <w:noWrap w:val="0"/>
            <w:vAlign w:val="bottom"/>
          </w:tcPr>
          <w:p w14:paraId="6C2F1857">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3.1270E+00</w:t>
            </w:r>
          </w:p>
        </w:tc>
        <w:tc>
          <w:tcPr>
            <w:tcW w:w="2059" w:type="dxa"/>
            <w:noWrap w:val="0"/>
            <w:vAlign w:val="bottom"/>
          </w:tcPr>
          <w:p w14:paraId="225B13E5">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7.3099E+00</w:t>
            </w:r>
          </w:p>
        </w:tc>
      </w:tr>
      <w:tr w14:paraId="25BC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shd w:val="clear" w:color="auto" w:fill="auto"/>
            <w:noWrap w:val="0"/>
            <w:vAlign w:val="center"/>
          </w:tcPr>
          <w:p w14:paraId="519AE08D">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1000</w:t>
            </w:r>
          </w:p>
        </w:tc>
        <w:tc>
          <w:tcPr>
            <w:tcW w:w="1934" w:type="dxa"/>
            <w:shd w:val="clear" w:color="auto" w:fill="auto"/>
            <w:noWrap w:val="0"/>
            <w:vAlign w:val="bottom"/>
          </w:tcPr>
          <w:p w14:paraId="55A127B7">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9.4852E-01   </w:t>
            </w:r>
          </w:p>
        </w:tc>
        <w:tc>
          <w:tcPr>
            <w:tcW w:w="2325" w:type="dxa"/>
            <w:shd w:val="clear" w:color="auto" w:fill="auto"/>
            <w:noWrap w:val="0"/>
            <w:vAlign w:val="bottom"/>
          </w:tcPr>
          <w:p w14:paraId="23D4BC7F">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1.1111E+01</w:t>
            </w:r>
          </w:p>
        </w:tc>
        <w:tc>
          <w:tcPr>
            <w:tcW w:w="1839" w:type="dxa"/>
            <w:noWrap w:val="0"/>
            <w:vAlign w:val="bottom"/>
          </w:tcPr>
          <w:p w14:paraId="428C7B43">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9.8683E-01</w:t>
            </w:r>
          </w:p>
        </w:tc>
        <w:tc>
          <w:tcPr>
            <w:tcW w:w="2059" w:type="dxa"/>
            <w:noWrap w:val="0"/>
            <w:vAlign w:val="bottom"/>
          </w:tcPr>
          <w:p w14:paraId="21EB60E8">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1.4620E+01</w:t>
            </w:r>
          </w:p>
        </w:tc>
      </w:tr>
      <w:tr w14:paraId="0244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shd w:val="clear" w:color="auto" w:fill="auto"/>
            <w:noWrap w:val="0"/>
            <w:vAlign w:val="center"/>
          </w:tcPr>
          <w:p w14:paraId="09602432">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2000</w:t>
            </w:r>
          </w:p>
        </w:tc>
        <w:tc>
          <w:tcPr>
            <w:tcW w:w="1934" w:type="dxa"/>
            <w:shd w:val="clear" w:color="auto" w:fill="auto"/>
            <w:noWrap w:val="0"/>
            <w:vAlign w:val="bottom"/>
          </w:tcPr>
          <w:p w14:paraId="7780A01A">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3.3305E-01   </w:t>
            </w:r>
          </w:p>
        </w:tc>
        <w:tc>
          <w:tcPr>
            <w:tcW w:w="2325" w:type="dxa"/>
            <w:shd w:val="clear" w:color="auto" w:fill="auto"/>
            <w:noWrap w:val="0"/>
            <w:vAlign w:val="bottom"/>
          </w:tcPr>
          <w:p w14:paraId="116F3FA0">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2.6222E+01</w:t>
            </w:r>
          </w:p>
        </w:tc>
        <w:tc>
          <w:tcPr>
            <w:tcW w:w="1839" w:type="dxa"/>
            <w:noWrap w:val="0"/>
            <w:vAlign w:val="bottom"/>
          </w:tcPr>
          <w:p w14:paraId="69A7D8B1">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3.4651E-01</w:t>
            </w:r>
          </w:p>
        </w:tc>
        <w:tc>
          <w:tcPr>
            <w:tcW w:w="2059" w:type="dxa"/>
            <w:noWrap w:val="0"/>
            <w:vAlign w:val="bottom"/>
          </w:tcPr>
          <w:p w14:paraId="62FA7C85">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3.4240E+01</w:t>
            </w:r>
          </w:p>
        </w:tc>
      </w:tr>
      <w:tr w14:paraId="6C9B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shd w:val="clear" w:color="auto" w:fill="auto"/>
            <w:noWrap w:val="0"/>
            <w:vAlign w:val="center"/>
          </w:tcPr>
          <w:p w14:paraId="121591D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3000</w:t>
            </w:r>
          </w:p>
        </w:tc>
        <w:tc>
          <w:tcPr>
            <w:tcW w:w="1934" w:type="dxa"/>
            <w:shd w:val="clear" w:color="auto" w:fill="auto"/>
            <w:noWrap w:val="0"/>
            <w:vAlign w:val="bottom"/>
          </w:tcPr>
          <w:p w14:paraId="610A9113">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1.9391E-01   </w:t>
            </w:r>
          </w:p>
        </w:tc>
        <w:tc>
          <w:tcPr>
            <w:tcW w:w="2325" w:type="dxa"/>
            <w:shd w:val="clear" w:color="auto" w:fill="auto"/>
            <w:noWrap w:val="0"/>
            <w:vAlign w:val="bottom"/>
          </w:tcPr>
          <w:p w14:paraId="07C5E3DE">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3.9333E+01</w:t>
            </w:r>
          </w:p>
        </w:tc>
        <w:tc>
          <w:tcPr>
            <w:tcW w:w="1839" w:type="dxa"/>
            <w:noWrap w:val="0"/>
            <w:vAlign w:val="bottom"/>
          </w:tcPr>
          <w:p w14:paraId="262E69B9">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2.0177E-01</w:t>
            </w:r>
          </w:p>
        </w:tc>
        <w:tc>
          <w:tcPr>
            <w:tcW w:w="2059" w:type="dxa"/>
            <w:noWrap w:val="0"/>
            <w:vAlign w:val="bottom"/>
          </w:tcPr>
          <w:p w14:paraId="06A8F91A">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5.1860E+01</w:t>
            </w:r>
          </w:p>
        </w:tc>
      </w:tr>
      <w:tr w14:paraId="67E1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shd w:val="clear" w:color="auto" w:fill="auto"/>
            <w:noWrap w:val="0"/>
            <w:vAlign w:val="center"/>
          </w:tcPr>
          <w:p w14:paraId="67876B6A">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4000</w:t>
            </w:r>
          </w:p>
        </w:tc>
        <w:tc>
          <w:tcPr>
            <w:tcW w:w="1934" w:type="dxa"/>
            <w:shd w:val="clear" w:color="auto" w:fill="auto"/>
            <w:noWrap w:val="0"/>
            <w:vAlign w:val="bottom"/>
          </w:tcPr>
          <w:p w14:paraId="0EF86E2D">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1.3208E-01   </w:t>
            </w:r>
          </w:p>
        </w:tc>
        <w:tc>
          <w:tcPr>
            <w:tcW w:w="2325" w:type="dxa"/>
            <w:shd w:val="clear" w:color="auto" w:fill="auto"/>
            <w:noWrap w:val="0"/>
            <w:vAlign w:val="bottom"/>
          </w:tcPr>
          <w:p w14:paraId="23FAD48B">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5.1444E+01</w:t>
            </w:r>
          </w:p>
        </w:tc>
        <w:tc>
          <w:tcPr>
            <w:tcW w:w="1839" w:type="dxa"/>
            <w:noWrap w:val="0"/>
            <w:vAlign w:val="bottom"/>
          </w:tcPr>
          <w:p w14:paraId="795EF268">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1.3737E-01</w:t>
            </w:r>
          </w:p>
        </w:tc>
        <w:tc>
          <w:tcPr>
            <w:tcW w:w="2059" w:type="dxa"/>
            <w:noWrap w:val="0"/>
            <w:vAlign w:val="bottom"/>
          </w:tcPr>
          <w:p w14:paraId="54F09803">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6.5479E+01</w:t>
            </w:r>
          </w:p>
        </w:tc>
      </w:tr>
      <w:tr w14:paraId="1738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30AB0AAD">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5000</w:t>
            </w:r>
          </w:p>
        </w:tc>
        <w:tc>
          <w:tcPr>
            <w:tcW w:w="1934" w:type="dxa"/>
            <w:shd w:val="clear" w:color="auto" w:fill="auto"/>
            <w:noWrap w:val="0"/>
            <w:vAlign w:val="bottom"/>
          </w:tcPr>
          <w:p w14:paraId="3227735F">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9.8029E-02   </w:t>
            </w:r>
          </w:p>
        </w:tc>
        <w:tc>
          <w:tcPr>
            <w:tcW w:w="2325" w:type="dxa"/>
            <w:shd w:val="clear" w:color="auto" w:fill="auto"/>
            <w:noWrap w:val="0"/>
            <w:vAlign w:val="bottom"/>
          </w:tcPr>
          <w:p w14:paraId="39B15DC4">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6.2555E+01</w:t>
            </w:r>
          </w:p>
        </w:tc>
        <w:tc>
          <w:tcPr>
            <w:tcW w:w="1839" w:type="dxa"/>
            <w:noWrap w:val="0"/>
            <w:vAlign w:val="bottom"/>
          </w:tcPr>
          <w:p w14:paraId="36A1E16A">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1.0154E-01</w:t>
            </w:r>
          </w:p>
        </w:tc>
        <w:tc>
          <w:tcPr>
            <w:tcW w:w="2059" w:type="dxa"/>
            <w:noWrap w:val="0"/>
            <w:vAlign w:val="bottom"/>
          </w:tcPr>
          <w:p w14:paraId="761B0026">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8.0100E+01</w:t>
            </w:r>
          </w:p>
        </w:tc>
      </w:tr>
    </w:tbl>
    <w:p w14:paraId="51686215">
      <w:pPr>
        <w:pStyle w:val="24"/>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188"/>
                    <a:stretch>
                      <a:fillRect/>
                    </a:stretch>
                  </pic:blipFill>
                  <pic:spPr>
                    <a:xfrm>
                      <a:off x="0" y="0"/>
                      <a:ext cx="5899785" cy="2965450"/>
                    </a:xfrm>
                    <a:prstGeom prst="rect">
                      <a:avLst/>
                    </a:prstGeom>
                    <a:noFill/>
                    <a:ln>
                      <a:noFill/>
                    </a:ln>
                  </pic:spPr>
                </pic:pic>
              </a:graphicData>
            </a:graphic>
          </wp:inline>
        </w:drawing>
      </w:r>
    </w:p>
    <w:p w14:paraId="2CDDBAC4">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轴线最大浓度-距离曲线图（最不利气象条件）</w:t>
      </w:r>
    </w:p>
    <w:p w14:paraId="1BC56338">
      <w:pPr>
        <w:pStyle w:val="28"/>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189"/>
                    <a:stretch>
                      <a:fillRect/>
                    </a:stretch>
                  </pic:blipFill>
                  <pic:spPr>
                    <a:xfrm>
                      <a:off x="0" y="0"/>
                      <a:ext cx="5899785" cy="2965450"/>
                    </a:xfrm>
                    <a:prstGeom prst="rect">
                      <a:avLst/>
                    </a:prstGeom>
                    <a:noFill/>
                    <a:ln>
                      <a:noFill/>
                    </a:ln>
                  </pic:spPr>
                </pic:pic>
              </a:graphicData>
            </a:graphic>
          </wp:inline>
        </w:drawing>
      </w:r>
    </w:p>
    <w:p w14:paraId="636A11A7">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轴线最大浓度-距离曲线图（最常见气象条件）</w:t>
      </w:r>
    </w:p>
    <w:p w14:paraId="1C6450B7">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（3）敏感点预测浓度</w:t>
      </w:r>
    </w:p>
    <w:p w14:paraId="12B4B9A4">
      <w:pPr>
        <w:pStyle w:val="26"/>
        <w:bidi w:val="0"/>
        <w:rPr>
          <w:rFonts w:hint="default" w:ascii="Times New Roman" w:hAnsi="Times New Roman" w:cs="Times New Roman"/>
          <w:color w:val="auto"/>
          <w:highlight w:val="none"/>
        </w:rPr>
      </w:pP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污染物扩散至周边环境敏感点浓度预测结果见下表。</w:t>
      </w:r>
    </w:p>
    <w:p w14:paraId="21E2F08C">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硫</w:t>
      </w:r>
      <w:r>
        <w:rPr>
          <w:rFonts w:hint="default" w:ascii="Times New Roman" w:hAnsi="Times New Roman" w:cs="Times New Roman"/>
          <w:color w:val="auto"/>
          <w:highlight w:val="none"/>
          <w:lang w:val="en-US" w:eastAsia="zh-CN"/>
        </w:rPr>
        <w:t>酸储罐泄漏事故下环境关心点</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浓度预测结果</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546"/>
        <w:gridCol w:w="1759"/>
        <w:gridCol w:w="1829"/>
        <w:gridCol w:w="1675"/>
      </w:tblGrid>
      <w:tr w14:paraId="281D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restart"/>
            <w:noWrap w:val="0"/>
            <w:vAlign w:val="center"/>
          </w:tcPr>
          <w:p w14:paraId="3A288E90">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1738" w:type="pct"/>
            <w:gridSpan w:val="2"/>
            <w:noWrap w:val="0"/>
            <w:vAlign w:val="center"/>
          </w:tcPr>
          <w:p w14:paraId="5A124071">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最不利气象条件</w:t>
            </w:r>
          </w:p>
        </w:tc>
        <w:tc>
          <w:tcPr>
            <w:tcW w:w="1843" w:type="pct"/>
            <w:gridSpan w:val="2"/>
            <w:noWrap w:val="0"/>
            <w:vAlign w:val="center"/>
          </w:tcPr>
          <w:p w14:paraId="13D62963">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最常见气象条件</w:t>
            </w:r>
          </w:p>
        </w:tc>
      </w:tr>
      <w:tr w14:paraId="7E8A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continue"/>
            <w:noWrap w:val="0"/>
            <w:vAlign w:val="center"/>
          </w:tcPr>
          <w:p w14:paraId="543FD360">
            <w:pPr>
              <w:pStyle w:val="24"/>
              <w:bidi w:val="0"/>
              <w:rPr>
                <w:rFonts w:hint="default" w:ascii="Times New Roman" w:hAnsi="Times New Roman" w:cs="Times New Roman"/>
                <w:color w:val="auto"/>
                <w:sz w:val="21"/>
                <w:szCs w:val="21"/>
              </w:rPr>
            </w:pPr>
          </w:p>
        </w:tc>
        <w:tc>
          <w:tcPr>
            <w:tcW w:w="813" w:type="pct"/>
            <w:shd w:val="clear" w:color="auto" w:fill="auto"/>
            <w:noWrap w:val="0"/>
            <w:vAlign w:val="center"/>
          </w:tcPr>
          <w:p w14:paraId="6608728D">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924" w:type="pct"/>
            <w:shd w:val="clear" w:color="auto" w:fill="auto"/>
            <w:noWrap w:val="0"/>
            <w:vAlign w:val="center"/>
          </w:tcPr>
          <w:p w14:paraId="5EACCF0D">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最大浓度出现时间（min）</w:t>
            </w:r>
          </w:p>
        </w:tc>
        <w:tc>
          <w:tcPr>
            <w:tcW w:w="962" w:type="pct"/>
            <w:noWrap w:val="0"/>
            <w:vAlign w:val="center"/>
          </w:tcPr>
          <w:p w14:paraId="2425B4BE">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880" w:type="pct"/>
            <w:noWrap w:val="0"/>
            <w:vAlign w:val="center"/>
          </w:tcPr>
          <w:p w14:paraId="199EF122">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最大浓度出现时间（min）</w:t>
            </w:r>
          </w:p>
        </w:tc>
      </w:tr>
      <w:tr w14:paraId="7C56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6A53DE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13" w:type="pct"/>
            <w:shd w:val="clear" w:color="auto" w:fill="auto"/>
            <w:noWrap w:val="0"/>
            <w:vAlign w:val="bottom"/>
          </w:tcPr>
          <w:p w14:paraId="67867834">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8.22E+01</w:t>
            </w:r>
          </w:p>
        </w:tc>
        <w:tc>
          <w:tcPr>
            <w:tcW w:w="924" w:type="pct"/>
            <w:shd w:val="clear" w:color="auto" w:fill="auto"/>
            <w:noWrap w:val="0"/>
            <w:vAlign w:val="center"/>
          </w:tcPr>
          <w:p w14:paraId="3CB2CF8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w:t>
            </w:r>
          </w:p>
        </w:tc>
        <w:tc>
          <w:tcPr>
            <w:tcW w:w="962" w:type="pct"/>
            <w:shd w:val="clear" w:color="auto" w:fill="auto"/>
            <w:noWrap w:val="0"/>
            <w:vAlign w:val="bottom"/>
          </w:tcPr>
          <w:p w14:paraId="66E9CAF7">
            <w:pPr>
              <w:pStyle w:val="24"/>
              <w:bidi w:val="0"/>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8.55E+01</w:t>
            </w:r>
          </w:p>
        </w:tc>
        <w:tc>
          <w:tcPr>
            <w:tcW w:w="880" w:type="pct"/>
            <w:shd w:val="clear" w:color="auto" w:fill="auto"/>
            <w:noWrap w:val="0"/>
            <w:vAlign w:val="center"/>
          </w:tcPr>
          <w:p w14:paraId="06D1FC1A">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r>
      <w:tr w14:paraId="0272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27E6A6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金堂村</w:t>
            </w:r>
          </w:p>
        </w:tc>
        <w:tc>
          <w:tcPr>
            <w:tcW w:w="813" w:type="pct"/>
            <w:noWrap w:val="0"/>
            <w:vAlign w:val="bottom"/>
          </w:tcPr>
          <w:p w14:paraId="4E4C43D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3.76E-01</w:t>
            </w:r>
          </w:p>
        </w:tc>
        <w:tc>
          <w:tcPr>
            <w:tcW w:w="924" w:type="pct"/>
            <w:noWrap w:val="0"/>
            <w:vAlign w:val="center"/>
          </w:tcPr>
          <w:p w14:paraId="44CE41C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w:t>
            </w:r>
          </w:p>
        </w:tc>
        <w:tc>
          <w:tcPr>
            <w:tcW w:w="962" w:type="pct"/>
            <w:noWrap w:val="0"/>
            <w:vAlign w:val="bottom"/>
          </w:tcPr>
          <w:p w14:paraId="35F25F93">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3.91E-01</w:t>
            </w:r>
          </w:p>
        </w:tc>
        <w:tc>
          <w:tcPr>
            <w:tcW w:w="880" w:type="pct"/>
            <w:shd w:val="clear" w:color="auto" w:fill="auto"/>
            <w:noWrap w:val="0"/>
            <w:vAlign w:val="center"/>
          </w:tcPr>
          <w:p w14:paraId="2DEF585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31</w:t>
            </w:r>
          </w:p>
        </w:tc>
      </w:tr>
      <w:tr w14:paraId="7194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 w:type="pct"/>
            <w:noWrap w:val="0"/>
            <w:vAlign w:val="bottom"/>
          </w:tcPr>
          <w:p w14:paraId="23DAA69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亮垭村</w:t>
            </w:r>
          </w:p>
        </w:tc>
        <w:tc>
          <w:tcPr>
            <w:tcW w:w="813" w:type="pct"/>
            <w:noWrap w:val="0"/>
            <w:vAlign w:val="bottom"/>
          </w:tcPr>
          <w:p w14:paraId="669FEE9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2.57E-01</w:t>
            </w:r>
          </w:p>
        </w:tc>
        <w:tc>
          <w:tcPr>
            <w:tcW w:w="924" w:type="pct"/>
            <w:noWrap w:val="0"/>
            <w:vAlign w:val="center"/>
          </w:tcPr>
          <w:p w14:paraId="729E6E7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31</w:t>
            </w:r>
          </w:p>
        </w:tc>
        <w:tc>
          <w:tcPr>
            <w:tcW w:w="962" w:type="pct"/>
            <w:noWrap w:val="0"/>
            <w:vAlign w:val="bottom"/>
          </w:tcPr>
          <w:p w14:paraId="227C29F6">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2.68E-01</w:t>
            </w:r>
          </w:p>
        </w:tc>
        <w:tc>
          <w:tcPr>
            <w:tcW w:w="880" w:type="pct"/>
            <w:shd w:val="clear" w:color="auto" w:fill="auto"/>
            <w:noWrap w:val="0"/>
            <w:vAlign w:val="center"/>
          </w:tcPr>
          <w:p w14:paraId="42644D55">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41</w:t>
            </w:r>
          </w:p>
        </w:tc>
      </w:tr>
      <w:tr w14:paraId="6940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D56D354">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秋锦山村</w:t>
            </w:r>
          </w:p>
        </w:tc>
        <w:tc>
          <w:tcPr>
            <w:tcW w:w="813" w:type="pct"/>
            <w:noWrap w:val="0"/>
            <w:vAlign w:val="bottom"/>
          </w:tcPr>
          <w:p w14:paraId="5C516F3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3.12E-01</w:t>
            </w:r>
          </w:p>
        </w:tc>
        <w:tc>
          <w:tcPr>
            <w:tcW w:w="924" w:type="pct"/>
            <w:noWrap w:val="0"/>
            <w:vAlign w:val="center"/>
          </w:tcPr>
          <w:p w14:paraId="6AB9D4D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27</w:t>
            </w:r>
          </w:p>
        </w:tc>
        <w:tc>
          <w:tcPr>
            <w:tcW w:w="962" w:type="pct"/>
            <w:noWrap w:val="0"/>
            <w:vAlign w:val="bottom"/>
          </w:tcPr>
          <w:p w14:paraId="00D33641">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3.24E-01</w:t>
            </w:r>
          </w:p>
        </w:tc>
        <w:tc>
          <w:tcPr>
            <w:tcW w:w="880" w:type="pct"/>
            <w:shd w:val="clear" w:color="auto" w:fill="auto"/>
            <w:noWrap w:val="0"/>
            <w:vAlign w:val="center"/>
          </w:tcPr>
          <w:p w14:paraId="196AC2EB">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35</w:t>
            </w:r>
          </w:p>
        </w:tc>
      </w:tr>
      <w:tr w14:paraId="06F0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4E413C4">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春在镇</w:t>
            </w:r>
          </w:p>
        </w:tc>
        <w:tc>
          <w:tcPr>
            <w:tcW w:w="813" w:type="pct"/>
            <w:noWrap w:val="0"/>
            <w:vAlign w:val="bottom"/>
          </w:tcPr>
          <w:p w14:paraId="14AAD9C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2.72E-01</w:t>
            </w:r>
          </w:p>
        </w:tc>
        <w:tc>
          <w:tcPr>
            <w:tcW w:w="924" w:type="pct"/>
            <w:noWrap w:val="0"/>
            <w:vAlign w:val="center"/>
          </w:tcPr>
          <w:p w14:paraId="0FBEE14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29</w:t>
            </w:r>
          </w:p>
        </w:tc>
        <w:tc>
          <w:tcPr>
            <w:tcW w:w="962" w:type="pct"/>
            <w:noWrap w:val="0"/>
            <w:vAlign w:val="bottom"/>
          </w:tcPr>
          <w:p w14:paraId="6CBF9502">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2.83E-01</w:t>
            </w:r>
          </w:p>
        </w:tc>
        <w:tc>
          <w:tcPr>
            <w:tcW w:w="880" w:type="pct"/>
            <w:shd w:val="clear" w:color="auto" w:fill="auto"/>
            <w:noWrap w:val="0"/>
            <w:vAlign w:val="center"/>
          </w:tcPr>
          <w:p w14:paraId="64CFB5DA">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39</w:t>
            </w:r>
          </w:p>
        </w:tc>
      </w:tr>
      <w:tr w14:paraId="199E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75514AA">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通江县城</w:t>
            </w:r>
          </w:p>
        </w:tc>
        <w:tc>
          <w:tcPr>
            <w:tcW w:w="813" w:type="pct"/>
            <w:noWrap w:val="0"/>
            <w:vAlign w:val="bottom"/>
          </w:tcPr>
          <w:p w14:paraId="27DED88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1.78E-01</w:t>
            </w:r>
          </w:p>
        </w:tc>
        <w:tc>
          <w:tcPr>
            <w:tcW w:w="924" w:type="pct"/>
            <w:noWrap w:val="0"/>
            <w:vAlign w:val="center"/>
          </w:tcPr>
          <w:p w14:paraId="12D5886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40</w:t>
            </w:r>
          </w:p>
        </w:tc>
        <w:tc>
          <w:tcPr>
            <w:tcW w:w="962" w:type="pct"/>
            <w:noWrap w:val="0"/>
            <w:vAlign w:val="bottom"/>
          </w:tcPr>
          <w:p w14:paraId="6F717D76">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1.85E-01</w:t>
            </w:r>
          </w:p>
        </w:tc>
        <w:tc>
          <w:tcPr>
            <w:tcW w:w="880" w:type="pct"/>
            <w:shd w:val="clear" w:color="auto" w:fill="auto"/>
            <w:noWrap w:val="0"/>
            <w:vAlign w:val="center"/>
          </w:tcPr>
          <w:p w14:paraId="282D01C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53</w:t>
            </w:r>
          </w:p>
        </w:tc>
      </w:tr>
      <w:tr w14:paraId="62C7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35AE86F">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檬子垭村</w:t>
            </w:r>
          </w:p>
        </w:tc>
        <w:tc>
          <w:tcPr>
            <w:tcW w:w="813" w:type="pct"/>
            <w:noWrap w:val="0"/>
            <w:vAlign w:val="bottom"/>
          </w:tcPr>
          <w:p w14:paraId="7C44394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1.22E-01</w:t>
            </w:r>
          </w:p>
        </w:tc>
        <w:tc>
          <w:tcPr>
            <w:tcW w:w="924" w:type="pct"/>
            <w:noWrap w:val="0"/>
            <w:vAlign w:val="center"/>
          </w:tcPr>
          <w:p w14:paraId="2B31C89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53</w:t>
            </w:r>
          </w:p>
        </w:tc>
        <w:tc>
          <w:tcPr>
            <w:tcW w:w="962" w:type="pct"/>
            <w:noWrap w:val="0"/>
            <w:vAlign w:val="bottom"/>
          </w:tcPr>
          <w:p w14:paraId="75392365">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2.44E-02</w:t>
            </w:r>
          </w:p>
        </w:tc>
        <w:tc>
          <w:tcPr>
            <w:tcW w:w="880" w:type="pct"/>
            <w:shd w:val="clear" w:color="auto" w:fill="auto"/>
            <w:noWrap w:val="0"/>
            <w:vAlign w:val="center"/>
          </w:tcPr>
          <w:p w14:paraId="672D910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17D3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4AB66A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火峰村</w:t>
            </w:r>
          </w:p>
        </w:tc>
        <w:tc>
          <w:tcPr>
            <w:tcW w:w="813" w:type="pct"/>
            <w:noWrap w:val="0"/>
            <w:vAlign w:val="bottom"/>
          </w:tcPr>
          <w:p w14:paraId="73417A4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1.34E-01</w:t>
            </w:r>
          </w:p>
        </w:tc>
        <w:tc>
          <w:tcPr>
            <w:tcW w:w="924" w:type="pct"/>
            <w:noWrap w:val="0"/>
            <w:vAlign w:val="center"/>
          </w:tcPr>
          <w:p w14:paraId="7E8D4AF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49</w:t>
            </w:r>
          </w:p>
        </w:tc>
        <w:tc>
          <w:tcPr>
            <w:tcW w:w="962" w:type="pct"/>
            <w:noWrap w:val="0"/>
            <w:vAlign w:val="bottom"/>
          </w:tcPr>
          <w:p w14:paraId="3C220300">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1.18E-01</w:t>
            </w:r>
          </w:p>
        </w:tc>
        <w:tc>
          <w:tcPr>
            <w:tcW w:w="880" w:type="pct"/>
            <w:shd w:val="clear" w:color="auto" w:fill="auto"/>
            <w:noWrap w:val="0"/>
            <w:vAlign w:val="center"/>
          </w:tcPr>
          <w:p w14:paraId="3D517F2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31FD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9D76CC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13" w:type="pct"/>
            <w:noWrap w:val="0"/>
            <w:vAlign w:val="bottom"/>
          </w:tcPr>
          <w:p w14:paraId="22741A7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1.32E-01</w:t>
            </w:r>
          </w:p>
        </w:tc>
        <w:tc>
          <w:tcPr>
            <w:tcW w:w="924" w:type="pct"/>
            <w:noWrap w:val="0"/>
            <w:vAlign w:val="center"/>
          </w:tcPr>
          <w:p w14:paraId="198AE81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49</w:t>
            </w:r>
          </w:p>
        </w:tc>
        <w:tc>
          <w:tcPr>
            <w:tcW w:w="962" w:type="pct"/>
            <w:noWrap w:val="0"/>
            <w:vAlign w:val="bottom"/>
          </w:tcPr>
          <w:p w14:paraId="1D4D4A20">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1.03E-01</w:t>
            </w:r>
          </w:p>
        </w:tc>
        <w:tc>
          <w:tcPr>
            <w:tcW w:w="880" w:type="pct"/>
            <w:shd w:val="clear" w:color="auto" w:fill="auto"/>
            <w:noWrap w:val="0"/>
            <w:vAlign w:val="center"/>
          </w:tcPr>
          <w:p w14:paraId="1580990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628C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080796F">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大铁山村</w:t>
            </w:r>
          </w:p>
        </w:tc>
        <w:tc>
          <w:tcPr>
            <w:tcW w:w="813" w:type="pct"/>
            <w:noWrap w:val="0"/>
            <w:vAlign w:val="bottom"/>
          </w:tcPr>
          <w:p w14:paraId="3607A01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1.14E-01</w:t>
            </w:r>
          </w:p>
        </w:tc>
        <w:tc>
          <w:tcPr>
            <w:tcW w:w="924" w:type="pct"/>
            <w:noWrap w:val="0"/>
            <w:vAlign w:val="center"/>
          </w:tcPr>
          <w:p w14:paraId="25BB47F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55</w:t>
            </w:r>
          </w:p>
        </w:tc>
        <w:tc>
          <w:tcPr>
            <w:tcW w:w="962" w:type="pct"/>
            <w:noWrap w:val="0"/>
            <w:vAlign w:val="bottom"/>
          </w:tcPr>
          <w:p w14:paraId="287B9A0A">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2.13E-03</w:t>
            </w:r>
          </w:p>
        </w:tc>
        <w:tc>
          <w:tcPr>
            <w:tcW w:w="880" w:type="pct"/>
            <w:shd w:val="clear" w:color="auto" w:fill="auto"/>
            <w:noWrap w:val="0"/>
            <w:vAlign w:val="center"/>
          </w:tcPr>
          <w:p w14:paraId="0904024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417A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08F1B9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马岭村</w:t>
            </w:r>
          </w:p>
        </w:tc>
        <w:tc>
          <w:tcPr>
            <w:tcW w:w="813" w:type="pct"/>
            <w:noWrap w:val="0"/>
            <w:vAlign w:val="bottom"/>
          </w:tcPr>
          <w:p w14:paraId="7D706EC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1.27E-01</w:t>
            </w:r>
          </w:p>
        </w:tc>
        <w:tc>
          <w:tcPr>
            <w:tcW w:w="924" w:type="pct"/>
            <w:noWrap w:val="0"/>
            <w:vAlign w:val="center"/>
          </w:tcPr>
          <w:p w14:paraId="53129C9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51</w:t>
            </w:r>
          </w:p>
        </w:tc>
        <w:tc>
          <w:tcPr>
            <w:tcW w:w="962" w:type="pct"/>
            <w:noWrap w:val="0"/>
            <w:vAlign w:val="bottom"/>
          </w:tcPr>
          <w:p w14:paraId="611A55A3">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6.15E-02</w:t>
            </w:r>
          </w:p>
        </w:tc>
        <w:tc>
          <w:tcPr>
            <w:tcW w:w="880" w:type="pct"/>
            <w:shd w:val="clear" w:color="auto" w:fill="auto"/>
            <w:noWrap w:val="0"/>
            <w:vAlign w:val="center"/>
          </w:tcPr>
          <w:p w14:paraId="54ACE01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20D6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6EFEE8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13" w:type="pct"/>
            <w:noWrap w:val="0"/>
            <w:vAlign w:val="bottom"/>
          </w:tcPr>
          <w:p w14:paraId="4B435B4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2.07E-01</w:t>
            </w:r>
          </w:p>
        </w:tc>
        <w:tc>
          <w:tcPr>
            <w:tcW w:w="924" w:type="pct"/>
            <w:noWrap w:val="0"/>
            <w:vAlign w:val="center"/>
          </w:tcPr>
          <w:p w14:paraId="358DC12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36</w:t>
            </w:r>
          </w:p>
        </w:tc>
        <w:tc>
          <w:tcPr>
            <w:tcW w:w="962" w:type="pct"/>
            <w:noWrap w:val="0"/>
            <w:vAlign w:val="bottom"/>
          </w:tcPr>
          <w:p w14:paraId="13003E78">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2.15E-01</w:t>
            </w:r>
          </w:p>
        </w:tc>
        <w:tc>
          <w:tcPr>
            <w:tcW w:w="880" w:type="pct"/>
            <w:shd w:val="clear" w:color="auto" w:fill="auto"/>
            <w:noWrap w:val="0"/>
            <w:vAlign w:val="center"/>
          </w:tcPr>
          <w:p w14:paraId="3B7B6E64">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47</w:t>
            </w:r>
          </w:p>
        </w:tc>
      </w:tr>
      <w:tr w14:paraId="5377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1CB8A0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13" w:type="pct"/>
            <w:noWrap w:val="0"/>
            <w:vAlign w:val="bottom"/>
          </w:tcPr>
          <w:p w14:paraId="7977811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1.40E-01</w:t>
            </w:r>
          </w:p>
        </w:tc>
        <w:tc>
          <w:tcPr>
            <w:tcW w:w="924" w:type="pct"/>
            <w:noWrap w:val="0"/>
            <w:vAlign w:val="center"/>
          </w:tcPr>
          <w:p w14:paraId="64F5F26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48</w:t>
            </w:r>
          </w:p>
        </w:tc>
        <w:tc>
          <w:tcPr>
            <w:tcW w:w="962" w:type="pct"/>
            <w:noWrap w:val="0"/>
            <w:vAlign w:val="bottom"/>
          </w:tcPr>
          <w:p w14:paraId="78FD58C3">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1.40E-01</w:t>
            </w:r>
          </w:p>
        </w:tc>
        <w:tc>
          <w:tcPr>
            <w:tcW w:w="880" w:type="pct"/>
            <w:noWrap w:val="0"/>
            <w:vAlign w:val="center"/>
          </w:tcPr>
          <w:p w14:paraId="4F8C5A7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6094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257012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13" w:type="pct"/>
            <w:noWrap w:val="0"/>
            <w:vAlign w:val="bottom"/>
          </w:tcPr>
          <w:p w14:paraId="3F591BC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1.39E-01</w:t>
            </w:r>
          </w:p>
        </w:tc>
        <w:tc>
          <w:tcPr>
            <w:tcW w:w="924" w:type="pct"/>
            <w:noWrap w:val="0"/>
            <w:vAlign w:val="center"/>
          </w:tcPr>
          <w:p w14:paraId="54BCF2B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48</w:t>
            </w:r>
          </w:p>
        </w:tc>
        <w:tc>
          <w:tcPr>
            <w:tcW w:w="962" w:type="pct"/>
            <w:noWrap w:val="0"/>
            <w:vAlign w:val="bottom"/>
          </w:tcPr>
          <w:p w14:paraId="06E8268A">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1.37E-01</w:t>
            </w:r>
          </w:p>
        </w:tc>
        <w:tc>
          <w:tcPr>
            <w:tcW w:w="880" w:type="pct"/>
            <w:noWrap w:val="0"/>
            <w:vAlign w:val="center"/>
          </w:tcPr>
          <w:p w14:paraId="232703B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279A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B7D4E84">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13" w:type="pct"/>
            <w:noWrap w:val="0"/>
            <w:vAlign w:val="bottom"/>
          </w:tcPr>
          <w:p w14:paraId="3A59B91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1.17E-01</w:t>
            </w:r>
          </w:p>
        </w:tc>
        <w:tc>
          <w:tcPr>
            <w:tcW w:w="924" w:type="pct"/>
            <w:noWrap w:val="0"/>
            <w:vAlign w:val="center"/>
          </w:tcPr>
          <w:p w14:paraId="585BEF7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54</w:t>
            </w:r>
          </w:p>
        </w:tc>
        <w:tc>
          <w:tcPr>
            <w:tcW w:w="962" w:type="pct"/>
            <w:noWrap w:val="0"/>
            <w:vAlign w:val="bottom"/>
          </w:tcPr>
          <w:p w14:paraId="00C2E11B">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6.96E-03</w:t>
            </w:r>
          </w:p>
        </w:tc>
        <w:tc>
          <w:tcPr>
            <w:tcW w:w="880" w:type="pct"/>
            <w:noWrap w:val="0"/>
            <w:vAlign w:val="center"/>
          </w:tcPr>
          <w:p w14:paraId="418042F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6C0B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89DBD5B">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13" w:type="pct"/>
            <w:noWrap w:val="0"/>
            <w:vAlign w:val="bottom"/>
          </w:tcPr>
          <w:p w14:paraId="2731E67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1.35E-01</w:t>
            </w:r>
          </w:p>
        </w:tc>
        <w:tc>
          <w:tcPr>
            <w:tcW w:w="924" w:type="pct"/>
            <w:noWrap w:val="0"/>
            <w:vAlign w:val="center"/>
          </w:tcPr>
          <w:p w14:paraId="0354067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49</w:t>
            </w:r>
          </w:p>
        </w:tc>
        <w:tc>
          <w:tcPr>
            <w:tcW w:w="962" w:type="pct"/>
            <w:noWrap w:val="0"/>
            <w:vAlign w:val="bottom"/>
          </w:tcPr>
          <w:p w14:paraId="41857658">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1.22E-01</w:t>
            </w:r>
          </w:p>
        </w:tc>
        <w:tc>
          <w:tcPr>
            <w:tcW w:w="880" w:type="pct"/>
            <w:noWrap w:val="0"/>
            <w:vAlign w:val="center"/>
          </w:tcPr>
          <w:p w14:paraId="4E1FB79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6C9A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66C4C2D">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13" w:type="pct"/>
            <w:noWrap w:val="0"/>
            <w:vAlign w:val="bottom"/>
          </w:tcPr>
          <w:p w14:paraId="29686B0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1.14E-01</w:t>
            </w:r>
          </w:p>
        </w:tc>
        <w:tc>
          <w:tcPr>
            <w:tcW w:w="924" w:type="pct"/>
            <w:noWrap w:val="0"/>
            <w:vAlign w:val="center"/>
          </w:tcPr>
          <w:p w14:paraId="77DBBB4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55</w:t>
            </w:r>
          </w:p>
        </w:tc>
        <w:tc>
          <w:tcPr>
            <w:tcW w:w="962" w:type="pct"/>
            <w:noWrap w:val="0"/>
            <w:vAlign w:val="bottom"/>
          </w:tcPr>
          <w:p w14:paraId="322A9325">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2.28E-03</w:t>
            </w:r>
          </w:p>
        </w:tc>
        <w:tc>
          <w:tcPr>
            <w:tcW w:w="880" w:type="pct"/>
            <w:noWrap w:val="0"/>
            <w:vAlign w:val="center"/>
          </w:tcPr>
          <w:p w14:paraId="2D405CD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7859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07D505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13" w:type="pct"/>
            <w:noWrap w:val="0"/>
            <w:vAlign w:val="bottom"/>
          </w:tcPr>
          <w:p w14:paraId="3D0808F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1.17E-01</w:t>
            </w:r>
          </w:p>
        </w:tc>
        <w:tc>
          <w:tcPr>
            <w:tcW w:w="924" w:type="pct"/>
            <w:noWrap w:val="0"/>
            <w:vAlign w:val="center"/>
          </w:tcPr>
          <w:p w14:paraId="662C112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55</w:t>
            </w:r>
          </w:p>
        </w:tc>
        <w:tc>
          <w:tcPr>
            <w:tcW w:w="962" w:type="pct"/>
            <w:noWrap w:val="0"/>
            <w:vAlign w:val="bottom"/>
          </w:tcPr>
          <w:p w14:paraId="1292EADE">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5.52E-03</w:t>
            </w:r>
          </w:p>
        </w:tc>
        <w:tc>
          <w:tcPr>
            <w:tcW w:w="880" w:type="pct"/>
            <w:noWrap w:val="0"/>
            <w:vAlign w:val="center"/>
          </w:tcPr>
          <w:p w14:paraId="10105CC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02D7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6FF494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13" w:type="pct"/>
            <w:noWrap w:val="0"/>
            <w:vAlign w:val="bottom"/>
          </w:tcPr>
          <w:p w14:paraId="06DE785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1.17E-01</w:t>
            </w:r>
          </w:p>
        </w:tc>
        <w:tc>
          <w:tcPr>
            <w:tcW w:w="924" w:type="pct"/>
            <w:noWrap w:val="0"/>
            <w:vAlign w:val="center"/>
          </w:tcPr>
          <w:p w14:paraId="0F5CB8D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54</w:t>
            </w:r>
          </w:p>
        </w:tc>
        <w:tc>
          <w:tcPr>
            <w:tcW w:w="962" w:type="pct"/>
            <w:noWrap w:val="0"/>
            <w:vAlign w:val="bottom"/>
          </w:tcPr>
          <w:p w14:paraId="49DA12F3">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6.21E-03</w:t>
            </w:r>
          </w:p>
        </w:tc>
        <w:tc>
          <w:tcPr>
            <w:tcW w:w="880" w:type="pct"/>
            <w:noWrap w:val="0"/>
            <w:vAlign w:val="center"/>
          </w:tcPr>
          <w:p w14:paraId="19F55B8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7EA0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63D4ABF">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13" w:type="pct"/>
            <w:noWrap w:val="0"/>
            <w:vAlign w:val="bottom"/>
          </w:tcPr>
          <w:p w14:paraId="4198A37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1.35E-01</w:t>
            </w:r>
          </w:p>
        </w:tc>
        <w:tc>
          <w:tcPr>
            <w:tcW w:w="924" w:type="pct"/>
            <w:noWrap w:val="0"/>
            <w:vAlign w:val="center"/>
          </w:tcPr>
          <w:p w14:paraId="42FDB5C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48</w:t>
            </w:r>
          </w:p>
        </w:tc>
        <w:tc>
          <w:tcPr>
            <w:tcW w:w="962" w:type="pct"/>
            <w:noWrap w:val="0"/>
            <w:vAlign w:val="bottom"/>
          </w:tcPr>
          <w:p w14:paraId="71C3655C">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1.23E-01</w:t>
            </w:r>
          </w:p>
        </w:tc>
        <w:tc>
          <w:tcPr>
            <w:tcW w:w="880" w:type="pct"/>
            <w:noWrap w:val="0"/>
            <w:vAlign w:val="center"/>
          </w:tcPr>
          <w:p w14:paraId="7353F5A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6214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154A421">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13" w:type="pct"/>
            <w:noWrap w:val="0"/>
            <w:vAlign w:val="bottom"/>
          </w:tcPr>
          <w:p w14:paraId="2DB94D1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8.98E-02</w:t>
            </w:r>
          </w:p>
        </w:tc>
        <w:tc>
          <w:tcPr>
            <w:tcW w:w="924" w:type="pct"/>
            <w:noWrap w:val="0"/>
            <w:vAlign w:val="center"/>
          </w:tcPr>
          <w:p w14:paraId="4EDF89C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60</w:t>
            </w:r>
          </w:p>
        </w:tc>
        <w:tc>
          <w:tcPr>
            <w:tcW w:w="962" w:type="pct"/>
            <w:noWrap w:val="0"/>
            <w:vAlign w:val="bottom"/>
          </w:tcPr>
          <w:p w14:paraId="5BC02467">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1.63E-09</w:t>
            </w:r>
          </w:p>
        </w:tc>
        <w:tc>
          <w:tcPr>
            <w:tcW w:w="880" w:type="pct"/>
            <w:noWrap w:val="0"/>
            <w:vAlign w:val="center"/>
          </w:tcPr>
          <w:p w14:paraId="02FDC98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r w14:paraId="4821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3D843FF">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13" w:type="pct"/>
            <w:noWrap w:val="0"/>
            <w:vAlign w:val="bottom"/>
          </w:tcPr>
          <w:p w14:paraId="6F1E6D2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9.06E-02</w:t>
            </w:r>
          </w:p>
        </w:tc>
        <w:tc>
          <w:tcPr>
            <w:tcW w:w="924" w:type="pct"/>
            <w:noWrap w:val="0"/>
            <w:vAlign w:val="center"/>
          </w:tcPr>
          <w:p w14:paraId="48C3F40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60</w:t>
            </w:r>
          </w:p>
        </w:tc>
        <w:tc>
          <w:tcPr>
            <w:tcW w:w="962" w:type="pct"/>
            <w:noWrap w:val="0"/>
            <w:vAlign w:val="bottom"/>
          </w:tcPr>
          <w:p w14:paraId="7EC51151">
            <w:pPr>
              <w:pStyle w:val="24"/>
              <w:bidi w:val="0"/>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2.03E-09</w:t>
            </w:r>
          </w:p>
        </w:tc>
        <w:tc>
          <w:tcPr>
            <w:tcW w:w="880" w:type="pct"/>
            <w:noWrap w:val="0"/>
            <w:vAlign w:val="center"/>
          </w:tcPr>
          <w:p w14:paraId="504C830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r>
    </w:tbl>
    <w:p w14:paraId="11466C2F">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根据预测结果，</w:t>
      </w: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 w:val="24"/>
          <w:szCs w:val="24"/>
          <w:highlight w:val="none"/>
          <w:lang w:val="en-US" w:eastAsia="zh-CN" w:bidi="ar"/>
        </w:rPr>
        <w:t>储罐发生</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事故，在最不利气象条件下评价范围内</w:t>
      </w:r>
      <w:r>
        <w:rPr>
          <w:rFonts w:hint="eastAsia" w:cs="Times New Roman"/>
          <w:color w:val="auto"/>
          <w:kern w:val="0"/>
          <w:sz w:val="24"/>
          <w:szCs w:val="24"/>
          <w:highlight w:val="none"/>
          <w:lang w:val="en-US" w:eastAsia="zh-CN" w:bidi="ar"/>
        </w:rPr>
        <w:t>东北侧散户出现了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，持续时间为15min</w:t>
      </w:r>
      <w:r>
        <w:rPr>
          <w:rFonts w:hint="eastAsia" w:cs="Times New Roman"/>
          <w:color w:val="auto"/>
          <w:kern w:val="0"/>
          <w:sz w:val="24"/>
          <w:szCs w:val="24"/>
          <w:highlight w:val="none"/>
          <w:lang w:val="en-US" w:eastAsia="zh-CN" w:bidi="ar"/>
        </w:rPr>
        <w:t>；在最常见</w:t>
      </w:r>
      <w:r>
        <w:rPr>
          <w:rFonts w:hint="default" w:ascii="Times New Roman" w:hAnsi="Times New Roman" w:eastAsia="宋体" w:cs="Times New Roman"/>
          <w:color w:val="auto"/>
          <w:kern w:val="0"/>
          <w:sz w:val="24"/>
          <w:szCs w:val="24"/>
          <w:highlight w:val="none"/>
          <w:lang w:val="en-US" w:eastAsia="zh-CN" w:bidi="ar"/>
        </w:rPr>
        <w:t>气象条件下评价范围内</w:t>
      </w:r>
      <w:r>
        <w:rPr>
          <w:rFonts w:hint="eastAsia" w:cs="Times New Roman"/>
          <w:color w:val="auto"/>
          <w:kern w:val="0"/>
          <w:sz w:val="24"/>
          <w:szCs w:val="24"/>
          <w:highlight w:val="none"/>
          <w:lang w:val="en-US" w:eastAsia="zh-CN" w:bidi="ar"/>
        </w:rPr>
        <w:t>东北侧散户出现了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，持续时间为1</w:t>
      </w:r>
      <w:r>
        <w:rPr>
          <w:rFonts w:hint="eastAsia" w:cs="Times New Roman"/>
          <w:color w:val="auto"/>
          <w:kern w:val="0"/>
          <w:sz w:val="24"/>
          <w:szCs w:val="24"/>
          <w:highlight w:val="none"/>
          <w:lang w:val="en-US" w:eastAsia="zh-CN" w:bidi="ar"/>
        </w:rPr>
        <w:t>6</w:t>
      </w:r>
      <w:r>
        <w:rPr>
          <w:rFonts w:hint="eastAsia" w:ascii="Times New Roman" w:hAnsi="Times New Roman" w:eastAsia="宋体" w:cs="Times New Roman"/>
          <w:color w:val="auto"/>
          <w:kern w:val="0"/>
          <w:sz w:val="24"/>
          <w:szCs w:val="24"/>
          <w:highlight w:val="none"/>
          <w:lang w:val="en-US" w:eastAsia="zh-CN" w:bidi="ar"/>
        </w:rPr>
        <w:t>min</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一旦发生事故，应根据事故当天风向确定最大影响范围，并及时通知影响范围内人员在</w:t>
      </w:r>
      <w:r>
        <w:rPr>
          <w:rFonts w:hint="eastAsia" w:cs="Times New Roman"/>
          <w:color w:val="auto"/>
          <w:kern w:val="0"/>
          <w:sz w:val="24"/>
          <w:szCs w:val="24"/>
          <w:highlight w:val="none"/>
          <w:lang w:val="en-US" w:eastAsia="zh-CN" w:bidi="ar"/>
        </w:rPr>
        <w:t>5min</w:t>
      </w:r>
      <w:r>
        <w:rPr>
          <w:rFonts w:hint="eastAsia" w:ascii="Times New Roman" w:hAnsi="Times New Roman" w:eastAsia="宋体" w:cs="Times New Roman"/>
          <w:color w:val="auto"/>
          <w:kern w:val="0"/>
          <w:sz w:val="24"/>
          <w:szCs w:val="24"/>
          <w:highlight w:val="none"/>
          <w:lang w:val="en-US" w:eastAsia="zh-CN" w:bidi="ar"/>
        </w:rPr>
        <w:t>内全部撤离。</w:t>
      </w:r>
    </w:p>
    <w:p w14:paraId="33EE8DE5">
      <w:pPr>
        <w:pStyle w:val="26"/>
        <w:bidi w:val="0"/>
        <w:rPr>
          <w:rFonts w:hint="default" w:ascii="Times New Roman" w:hAnsi="Times New Roman" w:cs="Times New Roman"/>
          <w:color w:val="auto"/>
          <w:highlight w:val="none"/>
        </w:rPr>
      </w:pPr>
      <w:r>
        <w:rPr>
          <w:rFonts w:hint="eastAsia" w:cs="Times New Roman"/>
          <w:color w:val="auto"/>
          <w:kern w:val="0"/>
          <w:sz w:val="24"/>
          <w:szCs w:val="24"/>
          <w:highlight w:val="none"/>
          <w:lang w:val="en-US" w:eastAsia="zh-CN" w:bidi="ar"/>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周边环境敏感点</w:t>
      </w:r>
      <w:r>
        <w:rPr>
          <w:rFonts w:hint="eastAsia" w:cs="Times New Roman"/>
          <w:color w:val="auto"/>
          <w:kern w:val="0"/>
          <w:sz w:val="24"/>
          <w:szCs w:val="24"/>
          <w:highlight w:val="none"/>
          <w:lang w:val="en-US" w:eastAsia="zh-CN" w:bidi="ar"/>
        </w:rPr>
        <w:t>硫酸</w:t>
      </w:r>
      <w:r>
        <w:rPr>
          <w:rFonts w:hint="default" w:ascii="Times New Roman" w:hAnsi="Times New Roman" w:cs="Times New Roman"/>
          <w:color w:val="auto"/>
          <w:highlight w:val="none"/>
          <w:lang w:val="en-US" w:eastAsia="zh-CN"/>
        </w:rPr>
        <w:t>浓度随时间变化情况表见下表。</w:t>
      </w:r>
    </w:p>
    <w:p w14:paraId="36AC2176">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硫酸储罐泄漏事故下环境关心点硫酸浓度随时间变化情况表</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064"/>
        <w:gridCol w:w="1159"/>
        <w:gridCol w:w="1063"/>
        <w:gridCol w:w="1078"/>
        <w:gridCol w:w="1077"/>
        <w:gridCol w:w="1118"/>
        <w:gridCol w:w="1047"/>
      </w:tblGrid>
      <w:tr w14:paraId="0E0E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vMerge w:val="restart"/>
            <w:noWrap w:val="0"/>
            <w:vAlign w:val="center"/>
          </w:tcPr>
          <w:p w14:paraId="4893B43F">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4000" w:type="pct"/>
            <w:gridSpan w:val="7"/>
            <w:noWrap w:val="0"/>
            <w:vAlign w:val="center"/>
          </w:tcPr>
          <w:p w14:paraId="38B29F4A">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浓度-最不利气象条件下</w:t>
            </w:r>
          </w:p>
        </w:tc>
      </w:tr>
      <w:tr w14:paraId="238D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vMerge w:val="continue"/>
            <w:noWrap w:val="0"/>
            <w:vAlign w:val="center"/>
          </w:tcPr>
          <w:p w14:paraId="4F3240FC">
            <w:pPr>
              <w:pStyle w:val="24"/>
              <w:bidi w:val="0"/>
              <w:rPr>
                <w:rFonts w:hint="default" w:ascii="Times New Roman" w:hAnsi="Times New Roman" w:cs="Times New Roman"/>
                <w:color w:val="auto"/>
                <w:sz w:val="21"/>
                <w:szCs w:val="21"/>
              </w:rPr>
            </w:pPr>
          </w:p>
        </w:tc>
        <w:tc>
          <w:tcPr>
            <w:tcW w:w="559" w:type="pct"/>
            <w:shd w:val="clear" w:color="auto" w:fill="auto"/>
            <w:noWrap w:val="0"/>
            <w:vAlign w:val="center"/>
          </w:tcPr>
          <w:p w14:paraId="3C490AB9">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1</w:t>
            </w:r>
            <w:r>
              <w:rPr>
                <w:rFonts w:hint="default" w:ascii="Times New Roman" w:hAnsi="Times New Roman" w:eastAsia="宋体" w:cs="Times New Roman"/>
                <w:b/>
                <w:bCs/>
                <w:color w:val="auto"/>
                <w:kern w:val="2"/>
                <w:sz w:val="21"/>
                <w:szCs w:val="21"/>
                <w:highlight w:val="none"/>
                <w:lang w:val="en-US" w:eastAsia="zh-CN" w:bidi="ar-SA"/>
              </w:rPr>
              <w:t>min</w:t>
            </w:r>
          </w:p>
        </w:tc>
        <w:tc>
          <w:tcPr>
            <w:tcW w:w="609" w:type="pct"/>
            <w:shd w:val="clear" w:color="auto" w:fill="auto"/>
            <w:noWrap w:val="0"/>
            <w:vAlign w:val="center"/>
          </w:tcPr>
          <w:p w14:paraId="1FE21AE2">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559" w:type="pct"/>
            <w:shd w:val="clear" w:color="auto" w:fill="auto"/>
            <w:noWrap w:val="0"/>
            <w:vAlign w:val="center"/>
          </w:tcPr>
          <w:p w14:paraId="73B0EEE2">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15min</w:t>
            </w:r>
          </w:p>
        </w:tc>
        <w:tc>
          <w:tcPr>
            <w:tcW w:w="567" w:type="pct"/>
            <w:noWrap w:val="0"/>
            <w:vAlign w:val="center"/>
          </w:tcPr>
          <w:p w14:paraId="28DE3F86">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16min</w:t>
            </w:r>
          </w:p>
        </w:tc>
        <w:tc>
          <w:tcPr>
            <w:tcW w:w="566" w:type="pct"/>
            <w:noWrap w:val="0"/>
            <w:vAlign w:val="center"/>
          </w:tcPr>
          <w:p w14:paraId="61FC7259">
            <w:pPr>
              <w:pStyle w:val="24"/>
              <w:bidi w:val="0"/>
              <w:ind w:left="0" w:leftChars="0"/>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588" w:type="pct"/>
            <w:shd w:val="clear" w:color="auto" w:fill="auto"/>
            <w:noWrap w:val="0"/>
            <w:vAlign w:val="center"/>
          </w:tcPr>
          <w:p w14:paraId="54014371">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550" w:type="pct"/>
            <w:shd w:val="clear" w:color="auto" w:fill="auto"/>
            <w:noWrap w:val="0"/>
            <w:vAlign w:val="center"/>
          </w:tcPr>
          <w:p w14:paraId="1FFDC46F">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57B1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06FF1F3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559" w:type="pct"/>
            <w:shd w:val="clear" w:color="auto" w:fill="auto"/>
            <w:noWrap w:val="0"/>
            <w:vAlign w:val="center"/>
          </w:tcPr>
          <w:p w14:paraId="00AFF26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8.22E+01</w:t>
            </w:r>
          </w:p>
        </w:tc>
        <w:tc>
          <w:tcPr>
            <w:tcW w:w="609" w:type="pct"/>
            <w:shd w:val="clear" w:color="auto" w:fill="auto"/>
            <w:noWrap w:val="0"/>
            <w:vAlign w:val="center"/>
          </w:tcPr>
          <w:p w14:paraId="35463E94">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8.22E+01</w:t>
            </w:r>
          </w:p>
        </w:tc>
        <w:tc>
          <w:tcPr>
            <w:tcW w:w="559" w:type="pct"/>
            <w:shd w:val="clear" w:color="auto" w:fill="auto"/>
            <w:noWrap w:val="0"/>
            <w:vAlign w:val="center"/>
          </w:tcPr>
          <w:p w14:paraId="2CBEE26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8.22E+01</w:t>
            </w:r>
          </w:p>
        </w:tc>
        <w:tc>
          <w:tcPr>
            <w:tcW w:w="567" w:type="pct"/>
            <w:shd w:val="clear" w:color="auto" w:fill="auto"/>
            <w:noWrap w:val="0"/>
            <w:vAlign w:val="center"/>
          </w:tcPr>
          <w:p w14:paraId="6719657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1.17E-02</w:t>
            </w:r>
          </w:p>
        </w:tc>
        <w:tc>
          <w:tcPr>
            <w:tcW w:w="566" w:type="pct"/>
            <w:shd w:val="clear" w:color="auto" w:fill="auto"/>
            <w:noWrap w:val="0"/>
            <w:vAlign w:val="center"/>
          </w:tcPr>
          <w:p w14:paraId="7AF0836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55E114A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0" w:type="pct"/>
            <w:shd w:val="clear" w:color="auto" w:fill="auto"/>
            <w:noWrap w:val="0"/>
            <w:vAlign w:val="center"/>
          </w:tcPr>
          <w:p w14:paraId="03BAE36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4E04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4971C3D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559" w:type="pct"/>
            <w:noWrap w:val="0"/>
            <w:vAlign w:val="center"/>
          </w:tcPr>
          <w:p w14:paraId="56784CA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7D643EC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5461508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268D590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3.05E-08</w:t>
            </w:r>
          </w:p>
        </w:tc>
        <w:tc>
          <w:tcPr>
            <w:tcW w:w="566" w:type="pct"/>
            <w:noWrap w:val="0"/>
            <w:vAlign w:val="center"/>
          </w:tcPr>
          <w:p w14:paraId="5EF9823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1.36E-01</w:t>
            </w:r>
          </w:p>
        </w:tc>
        <w:tc>
          <w:tcPr>
            <w:tcW w:w="588" w:type="pct"/>
            <w:shd w:val="clear" w:color="auto" w:fill="auto"/>
            <w:noWrap w:val="0"/>
            <w:vAlign w:val="center"/>
          </w:tcPr>
          <w:p w14:paraId="11470AB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0" w:type="pct"/>
            <w:shd w:val="clear" w:color="auto" w:fill="auto"/>
            <w:noWrap w:val="0"/>
            <w:vAlign w:val="center"/>
          </w:tcPr>
          <w:p w14:paraId="7E43F5A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5D88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37CFFE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559" w:type="pct"/>
            <w:noWrap w:val="0"/>
            <w:vAlign w:val="center"/>
          </w:tcPr>
          <w:p w14:paraId="64F4491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149C18F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1CC38BA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6CD4C1C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3.61E-24</w:t>
            </w:r>
          </w:p>
        </w:tc>
        <w:tc>
          <w:tcPr>
            <w:tcW w:w="566" w:type="pct"/>
            <w:noWrap w:val="0"/>
            <w:vAlign w:val="center"/>
          </w:tcPr>
          <w:p w14:paraId="2A04BFF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1.31E-11</w:t>
            </w:r>
          </w:p>
        </w:tc>
        <w:tc>
          <w:tcPr>
            <w:tcW w:w="588" w:type="pct"/>
            <w:shd w:val="clear" w:color="auto" w:fill="auto"/>
            <w:noWrap w:val="0"/>
            <w:vAlign w:val="center"/>
          </w:tcPr>
          <w:p w14:paraId="552C8A0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2.49E-01</w:t>
            </w:r>
          </w:p>
        </w:tc>
        <w:tc>
          <w:tcPr>
            <w:tcW w:w="550" w:type="pct"/>
            <w:shd w:val="clear" w:color="auto" w:fill="auto"/>
            <w:noWrap w:val="0"/>
            <w:vAlign w:val="center"/>
          </w:tcPr>
          <w:p w14:paraId="4412FC7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51F5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C38E3C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559" w:type="pct"/>
            <w:noWrap w:val="0"/>
            <w:vAlign w:val="center"/>
          </w:tcPr>
          <w:p w14:paraId="2B8374B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76077DE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7A00FC1D">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2791BD5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2.98E-15</w:t>
            </w:r>
          </w:p>
        </w:tc>
        <w:tc>
          <w:tcPr>
            <w:tcW w:w="566" w:type="pct"/>
            <w:noWrap w:val="0"/>
            <w:vAlign w:val="center"/>
          </w:tcPr>
          <w:p w14:paraId="6FFAB30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8.36E-05</w:t>
            </w:r>
          </w:p>
        </w:tc>
        <w:tc>
          <w:tcPr>
            <w:tcW w:w="588" w:type="pct"/>
            <w:shd w:val="clear" w:color="auto" w:fill="auto"/>
            <w:noWrap w:val="0"/>
            <w:vAlign w:val="center"/>
          </w:tcPr>
          <w:p w14:paraId="3E431C5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1.78E-02</w:t>
            </w:r>
          </w:p>
        </w:tc>
        <w:tc>
          <w:tcPr>
            <w:tcW w:w="550" w:type="pct"/>
            <w:shd w:val="clear" w:color="auto" w:fill="auto"/>
            <w:noWrap w:val="0"/>
            <w:vAlign w:val="center"/>
          </w:tcPr>
          <w:p w14:paraId="70F84B9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49D5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129BEC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559" w:type="pct"/>
            <w:noWrap w:val="0"/>
            <w:vAlign w:val="center"/>
          </w:tcPr>
          <w:p w14:paraId="7A927B5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6B6235A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7832B9F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7F93335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2.03E-21</w:t>
            </w:r>
          </w:p>
        </w:tc>
        <w:tc>
          <w:tcPr>
            <w:tcW w:w="566" w:type="pct"/>
            <w:noWrap w:val="0"/>
            <w:vAlign w:val="center"/>
          </w:tcPr>
          <w:p w14:paraId="4B15EE0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1.51E-09</w:t>
            </w:r>
          </w:p>
        </w:tc>
        <w:tc>
          <w:tcPr>
            <w:tcW w:w="588" w:type="pct"/>
            <w:shd w:val="clear" w:color="auto" w:fill="auto"/>
            <w:noWrap w:val="0"/>
            <w:vAlign w:val="center"/>
          </w:tcPr>
          <w:p w14:paraId="32142DB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2.19E-01</w:t>
            </w:r>
          </w:p>
        </w:tc>
        <w:tc>
          <w:tcPr>
            <w:tcW w:w="550" w:type="pct"/>
            <w:shd w:val="clear" w:color="auto" w:fill="auto"/>
            <w:noWrap w:val="0"/>
            <w:vAlign w:val="center"/>
          </w:tcPr>
          <w:p w14:paraId="2B0D16A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2F16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689369A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559" w:type="pct"/>
            <w:noWrap w:val="0"/>
            <w:vAlign w:val="center"/>
          </w:tcPr>
          <w:p w14:paraId="4D62195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5645569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3CF2FB1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0A58FD9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4CB4193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3.58E-29</w:t>
            </w:r>
          </w:p>
        </w:tc>
        <w:tc>
          <w:tcPr>
            <w:tcW w:w="588" w:type="pct"/>
            <w:shd w:val="clear" w:color="auto" w:fill="auto"/>
            <w:noWrap w:val="0"/>
            <w:vAlign w:val="center"/>
          </w:tcPr>
          <w:p w14:paraId="599280E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1.78E-01</w:t>
            </w:r>
          </w:p>
        </w:tc>
        <w:tc>
          <w:tcPr>
            <w:tcW w:w="550" w:type="pct"/>
            <w:shd w:val="clear" w:color="auto" w:fill="auto"/>
            <w:noWrap w:val="0"/>
            <w:vAlign w:val="center"/>
          </w:tcPr>
          <w:p w14:paraId="7953026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1B1E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0F43D6E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559" w:type="pct"/>
            <w:noWrap w:val="0"/>
            <w:vAlign w:val="center"/>
          </w:tcPr>
          <w:p w14:paraId="4A24E3A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1BDC9A5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56B5119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04DCE2E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4BE9049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7917306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2.12E-06</w:t>
            </w:r>
          </w:p>
        </w:tc>
        <w:tc>
          <w:tcPr>
            <w:tcW w:w="550" w:type="pct"/>
            <w:shd w:val="clear" w:color="auto" w:fill="auto"/>
            <w:noWrap w:val="0"/>
            <w:vAlign w:val="center"/>
          </w:tcPr>
          <w:p w14:paraId="2233BAE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1.09E-01</w:t>
            </w:r>
          </w:p>
        </w:tc>
      </w:tr>
      <w:tr w14:paraId="5758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1FD4BEC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559" w:type="pct"/>
            <w:noWrap w:val="0"/>
            <w:vAlign w:val="center"/>
          </w:tcPr>
          <w:p w14:paraId="65E2446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10A24A9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0EF27CD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69D9062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5E35890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10589A2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1.69E-03</w:t>
            </w:r>
          </w:p>
        </w:tc>
        <w:tc>
          <w:tcPr>
            <w:tcW w:w="550" w:type="pct"/>
            <w:shd w:val="clear" w:color="auto" w:fill="auto"/>
            <w:noWrap w:val="0"/>
            <w:vAlign w:val="center"/>
          </w:tcPr>
          <w:p w14:paraId="5E3BE41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3.57E-02</w:t>
            </w:r>
          </w:p>
        </w:tc>
      </w:tr>
      <w:tr w14:paraId="7D8D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20B545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559" w:type="pct"/>
            <w:noWrap w:val="0"/>
            <w:vAlign w:val="center"/>
          </w:tcPr>
          <w:p w14:paraId="46402CF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4450E50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2A86C13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15DAB67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1BF684B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6B57496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7.49E-04</w:t>
            </w:r>
          </w:p>
        </w:tc>
        <w:tc>
          <w:tcPr>
            <w:tcW w:w="550" w:type="pct"/>
            <w:shd w:val="clear" w:color="auto" w:fill="auto"/>
            <w:noWrap w:val="0"/>
            <w:vAlign w:val="center"/>
          </w:tcPr>
          <w:p w14:paraId="796C8D5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5.09E-02</w:t>
            </w:r>
          </w:p>
        </w:tc>
      </w:tr>
      <w:tr w14:paraId="6024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1EFB518A">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559" w:type="pct"/>
            <w:noWrap w:val="0"/>
            <w:vAlign w:val="center"/>
          </w:tcPr>
          <w:p w14:paraId="0E7C35B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1F8073B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7BB93EB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5C0C06F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53AF0E4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0FCCE97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4.21E-09</w:t>
            </w:r>
          </w:p>
        </w:tc>
        <w:tc>
          <w:tcPr>
            <w:tcW w:w="550" w:type="pct"/>
            <w:shd w:val="clear" w:color="auto" w:fill="auto"/>
            <w:noWrap w:val="0"/>
            <w:vAlign w:val="center"/>
          </w:tcPr>
          <w:p w14:paraId="29D6998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1.13E-01</w:t>
            </w:r>
          </w:p>
        </w:tc>
      </w:tr>
      <w:tr w14:paraId="2FBD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19B596A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559" w:type="pct"/>
            <w:noWrap w:val="0"/>
            <w:vAlign w:val="center"/>
          </w:tcPr>
          <w:p w14:paraId="2EF63CC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273341D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61364AA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78D2DFD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7DC9B93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0A537FF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8.09E-05</w:t>
            </w:r>
          </w:p>
        </w:tc>
        <w:tc>
          <w:tcPr>
            <w:tcW w:w="550" w:type="pct"/>
            <w:shd w:val="clear" w:color="auto" w:fill="auto"/>
            <w:noWrap w:val="0"/>
            <w:vAlign w:val="center"/>
          </w:tcPr>
          <w:p w14:paraId="18628C1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8.67E-02</w:t>
            </w:r>
          </w:p>
        </w:tc>
      </w:tr>
      <w:tr w14:paraId="45C0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DAE2C0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559" w:type="pct"/>
            <w:noWrap w:val="0"/>
            <w:vAlign w:val="center"/>
          </w:tcPr>
          <w:p w14:paraId="4DAF68E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2F025A6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34ABCC4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753249F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593A4F1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2.84E-21</w:t>
            </w:r>
          </w:p>
        </w:tc>
        <w:tc>
          <w:tcPr>
            <w:tcW w:w="588" w:type="pct"/>
            <w:shd w:val="clear" w:color="auto" w:fill="auto"/>
            <w:noWrap w:val="0"/>
            <w:vAlign w:val="center"/>
          </w:tcPr>
          <w:p w14:paraId="3F3674C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2.07E-01</w:t>
            </w:r>
          </w:p>
        </w:tc>
        <w:tc>
          <w:tcPr>
            <w:tcW w:w="550" w:type="pct"/>
            <w:shd w:val="clear" w:color="auto" w:fill="auto"/>
            <w:noWrap w:val="0"/>
            <w:vAlign w:val="center"/>
          </w:tcPr>
          <w:p w14:paraId="0B73D33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2450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4C72BD7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559" w:type="pct"/>
            <w:noWrap w:val="0"/>
            <w:vAlign w:val="center"/>
          </w:tcPr>
          <w:p w14:paraId="18294BA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3CD98EA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7C999B2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073EA4D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31E9344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122BA4B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8.67E-03</w:t>
            </w:r>
          </w:p>
        </w:tc>
        <w:tc>
          <w:tcPr>
            <w:tcW w:w="550" w:type="pct"/>
            <w:noWrap w:val="0"/>
            <w:vAlign w:val="center"/>
          </w:tcPr>
          <w:p w14:paraId="7637EB9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1.13E-02</w:t>
            </w:r>
          </w:p>
        </w:tc>
      </w:tr>
      <w:tr w14:paraId="22B3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6E6FE55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559" w:type="pct"/>
            <w:noWrap w:val="0"/>
            <w:vAlign w:val="center"/>
          </w:tcPr>
          <w:p w14:paraId="377D703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64D987E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007EAAF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1D31828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509DEDB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0042B27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6.70E-03</w:t>
            </w:r>
          </w:p>
        </w:tc>
        <w:tc>
          <w:tcPr>
            <w:tcW w:w="550" w:type="pct"/>
            <w:noWrap w:val="0"/>
            <w:vAlign w:val="center"/>
          </w:tcPr>
          <w:p w14:paraId="1920011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1.44E-02</w:t>
            </w:r>
          </w:p>
        </w:tc>
      </w:tr>
      <w:tr w14:paraId="74BB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64A8BD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559" w:type="pct"/>
            <w:noWrap w:val="0"/>
            <w:vAlign w:val="center"/>
          </w:tcPr>
          <w:p w14:paraId="72D3600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1AADABF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4434990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0A7B318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31FBABF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6C42EA2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3.98E-08</w:t>
            </w:r>
          </w:p>
        </w:tc>
        <w:tc>
          <w:tcPr>
            <w:tcW w:w="550" w:type="pct"/>
            <w:noWrap w:val="0"/>
            <w:vAlign w:val="center"/>
          </w:tcPr>
          <w:p w14:paraId="7A86719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1.14E-01</w:t>
            </w:r>
          </w:p>
        </w:tc>
      </w:tr>
      <w:tr w14:paraId="4740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01F2B4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559" w:type="pct"/>
            <w:noWrap w:val="0"/>
            <w:vAlign w:val="center"/>
          </w:tcPr>
          <w:p w14:paraId="7DC92B3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3434615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3563ED34">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394C3AD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72CBE5E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61BA569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2.14E-03</w:t>
            </w:r>
          </w:p>
        </w:tc>
        <w:tc>
          <w:tcPr>
            <w:tcW w:w="550" w:type="pct"/>
            <w:noWrap w:val="0"/>
            <w:vAlign w:val="center"/>
          </w:tcPr>
          <w:p w14:paraId="33DA6F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3.26E-02</w:t>
            </w:r>
          </w:p>
        </w:tc>
      </w:tr>
      <w:tr w14:paraId="3B44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00B4C9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559" w:type="pct"/>
            <w:noWrap w:val="0"/>
            <w:vAlign w:val="center"/>
          </w:tcPr>
          <w:p w14:paraId="4A14DD8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5925E7F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0163F3A6">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54D6DC7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371A2C7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7859FF4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4.76E-09</w:t>
            </w:r>
          </w:p>
        </w:tc>
        <w:tc>
          <w:tcPr>
            <w:tcW w:w="550" w:type="pct"/>
            <w:noWrap w:val="0"/>
            <w:vAlign w:val="center"/>
          </w:tcPr>
          <w:p w14:paraId="6FF0513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1.13E-01</w:t>
            </w:r>
          </w:p>
        </w:tc>
      </w:tr>
      <w:tr w14:paraId="24BB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1D8A9C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559" w:type="pct"/>
            <w:noWrap w:val="0"/>
            <w:vAlign w:val="center"/>
          </w:tcPr>
          <w:p w14:paraId="41F2554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0515DB2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3BD26F2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41FEBD9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765BDC4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217E8D1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2.51E-08</w:t>
            </w:r>
          </w:p>
        </w:tc>
        <w:tc>
          <w:tcPr>
            <w:tcW w:w="550" w:type="pct"/>
            <w:noWrap w:val="0"/>
            <w:vAlign w:val="center"/>
          </w:tcPr>
          <w:p w14:paraId="3894002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1.14E-01</w:t>
            </w:r>
          </w:p>
        </w:tc>
      </w:tr>
      <w:tr w14:paraId="53A8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43B7B3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559" w:type="pct"/>
            <w:noWrap w:val="0"/>
            <w:vAlign w:val="center"/>
          </w:tcPr>
          <w:p w14:paraId="66EE4C2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6FE9906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166039C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15CE8A0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24F060E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2D8626E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3.16E-08</w:t>
            </w:r>
          </w:p>
        </w:tc>
        <w:tc>
          <w:tcPr>
            <w:tcW w:w="550" w:type="pct"/>
            <w:noWrap w:val="0"/>
            <w:vAlign w:val="center"/>
          </w:tcPr>
          <w:p w14:paraId="73B5814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1.14E-01</w:t>
            </w:r>
          </w:p>
        </w:tc>
      </w:tr>
      <w:tr w14:paraId="6202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EADF8D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559" w:type="pct"/>
            <w:noWrap w:val="0"/>
            <w:vAlign w:val="center"/>
          </w:tcPr>
          <w:p w14:paraId="11879C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61CF9D8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7C37D86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6DF67A2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173C36E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3948E55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2.31E-03</w:t>
            </w:r>
          </w:p>
        </w:tc>
        <w:tc>
          <w:tcPr>
            <w:tcW w:w="550" w:type="pct"/>
            <w:noWrap w:val="0"/>
            <w:vAlign w:val="center"/>
          </w:tcPr>
          <w:p w14:paraId="4CCFDB7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3.04E-02</w:t>
            </w:r>
          </w:p>
        </w:tc>
      </w:tr>
      <w:tr w14:paraId="164F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E91769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559" w:type="pct"/>
            <w:noWrap w:val="0"/>
            <w:vAlign w:val="center"/>
          </w:tcPr>
          <w:p w14:paraId="382193F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610373B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62C37E1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0B01420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65BDE9C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70247AE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1.48E-16</w:t>
            </w:r>
          </w:p>
        </w:tc>
        <w:tc>
          <w:tcPr>
            <w:tcW w:w="550" w:type="pct"/>
            <w:noWrap w:val="0"/>
            <w:vAlign w:val="center"/>
          </w:tcPr>
          <w:p w14:paraId="762B03B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8.98E-02</w:t>
            </w:r>
          </w:p>
        </w:tc>
      </w:tr>
      <w:tr w14:paraId="5D42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36E3CDF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559" w:type="pct"/>
            <w:noWrap w:val="0"/>
            <w:vAlign w:val="center"/>
          </w:tcPr>
          <w:p w14:paraId="0C78CFF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609" w:type="pct"/>
            <w:noWrap w:val="0"/>
            <w:vAlign w:val="center"/>
          </w:tcPr>
          <w:p w14:paraId="3C4B720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59" w:type="pct"/>
            <w:noWrap w:val="0"/>
            <w:vAlign w:val="center"/>
          </w:tcPr>
          <w:p w14:paraId="3CBA018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7" w:type="pct"/>
            <w:noWrap w:val="0"/>
            <w:vAlign w:val="center"/>
          </w:tcPr>
          <w:p w14:paraId="7B8013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66" w:type="pct"/>
            <w:noWrap w:val="0"/>
            <w:vAlign w:val="center"/>
          </w:tcPr>
          <w:p w14:paraId="3B1CA97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588" w:type="pct"/>
            <w:shd w:val="clear" w:color="auto" w:fill="auto"/>
            <w:noWrap w:val="0"/>
            <w:vAlign w:val="center"/>
          </w:tcPr>
          <w:p w14:paraId="5CC345F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1.99E-16</w:t>
            </w:r>
          </w:p>
        </w:tc>
        <w:tc>
          <w:tcPr>
            <w:tcW w:w="550" w:type="pct"/>
            <w:noWrap w:val="0"/>
            <w:vAlign w:val="center"/>
          </w:tcPr>
          <w:p w14:paraId="27ED246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9.06E-02</w:t>
            </w:r>
          </w:p>
        </w:tc>
      </w:tr>
      <w:tr w14:paraId="3CA0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vMerge w:val="restart"/>
            <w:noWrap w:val="0"/>
            <w:vAlign w:val="center"/>
          </w:tcPr>
          <w:p w14:paraId="5CF34E8A">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4000" w:type="pct"/>
            <w:gridSpan w:val="7"/>
            <w:noWrap w:val="0"/>
            <w:vAlign w:val="center"/>
          </w:tcPr>
          <w:p w14:paraId="08F5DF19">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w:t>
            </w:r>
            <w:r>
              <w:rPr>
                <w:rFonts w:hint="eastAsia" w:cs="Times New Roman"/>
                <w:b/>
                <w:bCs/>
                <w:color w:val="auto"/>
                <w:sz w:val="21"/>
                <w:szCs w:val="21"/>
                <w:highlight w:val="none"/>
                <w:lang w:val="en-US" w:eastAsia="zh-CN"/>
              </w:rPr>
              <w:t>常见</w:t>
            </w:r>
            <w:r>
              <w:rPr>
                <w:rFonts w:hint="default" w:ascii="Times New Roman" w:hAnsi="Times New Roman" w:cs="Times New Roman"/>
                <w:b/>
                <w:bCs/>
                <w:color w:val="auto"/>
                <w:sz w:val="21"/>
                <w:szCs w:val="21"/>
                <w:highlight w:val="none"/>
                <w:lang w:val="en-US" w:eastAsia="zh-CN"/>
              </w:rPr>
              <w:t>气象条件下</w:t>
            </w:r>
          </w:p>
        </w:tc>
      </w:tr>
      <w:tr w14:paraId="02CD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vMerge w:val="continue"/>
            <w:noWrap w:val="0"/>
            <w:vAlign w:val="center"/>
          </w:tcPr>
          <w:p w14:paraId="170B6EA7">
            <w:pPr>
              <w:pStyle w:val="24"/>
              <w:bidi w:val="0"/>
              <w:rPr>
                <w:rFonts w:hint="default" w:ascii="Times New Roman" w:hAnsi="Times New Roman" w:cs="Times New Roman"/>
                <w:color w:val="auto"/>
                <w:sz w:val="21"/>
                <w:szCs w:val="21"/>
              </w:rPr>
            </w:pPr>
          </w:p>
        </w:tc>
        <w:tc>
          <w:tcPr>
            <w:tcW w:w="559" w:type="pct"/>
            <w:shd w:val="clear" w:color="auto" w:fill="auto"/>
            <w:noWrap w:val="0"/>
            <w:vAlign w:val="center"/>
          </w:tcPr>
          <w:p w14:paraId="30876979">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1</w:t>
            </w:r>
            <w:r>
              <w:rPr>
                <w:rFonts w:hint="default" w:ascii="Times New Roman" w:hAnsi="Times New Roman" w:eastAsia="宋体" w:cs="Times New Roman"/>
                <w:b/>
                <w:bCs/>
                <w:color w:val="auto"/>
                <w:kern w:val="2"/>
                <w:sz w:val="21"/>
                <w:szCs w:val="21"/>
                <w:highlight w:val="none"/>
                <w:lang w:val="en-US" w:eastAsia="zh-CN" w:bidi="ar-SA"/>
              </w:rPr>
              <w:t>min</w:t>
            </w:r>
          </w:p>
        </w:tc>
        <w:tc>
          <w:tcPr>
            <w:tcW w:w="609" w:type="pct"/>
            <w:shd w:val="clear" w:color="auto" w:fill="auto"/>
            <w:noWrap w:val="0"/>
            <w:vAlign w:val="center"/>
          </w:tcPr>
          <w:p w14:paraId="78F33039">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559" w:type="pct"/>
            <w:shd w:val="clear" w:color="auto" w:fill="auto"/>
            <w:noWrap w:val="0"/>
            <w:vAlign w:val="center"/>
          </w:tcPr>
          <w:p w14:paraId="7522E71E">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kern w:val="2"/>
                <w:sz w:val="21"/>
                <w:szCs w:val="21"/>
                <w:highlight w:val="none"/>
                <w:lang w:val="en-US" w:eastAsia="zh-CN" w:bidi="ar-SA"/>
              </w:rPr>
              <w:t>16min</w:t>
            </w:r>
          </w:p>
        </w:tc>
        <w:tc>
          <w:tcPr>
            <w:tcW w:w="567" w:type="pct"/>
            <w:noWrap w:val="0"/>
            <w:vAlign w:val="center"/>
          </w:tcPr>
          <w:p w14:paraId="26C01702">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17min</w:t>
            </w:r>
          </w:p>
        </w:tc>
        <w:tc>
          <w:tcPr>
            <w:tcW w:w="566" w:type="pct"/>
            <w:noWrap w:val="0"/>
            <w:vAlign w:val="center"/>
          </w:tcPr>
          <w:p w14:paraId="2AA8271E">
            <w:pPr>
              <w:pStyle w:val="24"/>
              <w:bidi w:val="0"/>
              <w:ind w:left="0" w:leftChars="0"/>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588" w:type="pct"/>
            <w:shd w:val="clear" w:color="auto" w:fill="auto"/>
            <w:noWrap w:val="0"/>
            <w:vAlign w:val="center"/>
          </w:tcPr>
          <w:p w14:paraId="068D0CD2">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550" w:type="pct"/>
            <w:shd w:val="clear" w:color="auto" w:fill="auto"/>
            <w:noWrap w:val="0"/>
            <w:vAlign w:val="center"/>
          </w:tcPr>
          <w:p w14:paraId="777FD828">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1CD9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EEE426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1064" w:type="dxa"/>
            <w:shd w:val="clear" w:color="auto" w:fill="auto"/>
            <w:noWrap w:val="0"/>
            <w:vAlign w:val="center"/>
          </w:tcPr>
          <w:p w14:paraId="12EFB04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8.55E+01</w:t>
            </w:r>
          </w:p>
        </w:tc>
        <w:tc>
          <w:tcPr>
            <w:tcW w:w="1159" w:type="dxa"/>
            <w:shd w:val="clear" w:color="auto" w:fill="auto"/>
            <w:noWrap w:val="0"/>
            <w:vAlign w:val="center"/>
          </w:tcPr>
          <w:p w14:paraId="4A82B19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8.55E+01</w:t>
            </w:r>
          </w:p>
        </w:tc>
        <w:tc>
          <w:tcPr>
            <w:tcW w:w="1063" w:type="dxa"/>
            <w:shd w:val="clear" w:color="auto" w:fill="auto"/>
            <w:noWrap w:val="0"/>
            <w:vAlign w:val="center"/>
          </w:tcPr>
          <w:p w14:paraId="46F43E4F">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7.73E+01</w:t>
            </w:r>
          </w:p>
        </w:tc>
        <w:tc>
          <w:tcPr>
            <w:tcW w:w="1078" w:type="dxa"/>
            <w:shd w:val="clear" w:color="auto" w:fill="auto"/>
            <w:noWrap w:val="0"/>
            <w:vAlign w:val="center"/>
          </w:tcPr>
          <w:p w14:paraId="6F57E544">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shd w:val="clear" w:color="auto" w:fill="auto"/>
            <w:noWrap w:val="0"/>
            <w:vAlign w:val="center"/>
          </w:tcPr>
          <w:p w14:paraId="3BB3A17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2151D053">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47" w:type="dxa"/>
            <w:shd w:val="clear" w:color="auto" w:fill="auto"/>
            <w:noWrap w:val="0"/>
            <w:vAlign w:val="center"/>
          </w:tcPr>
          <w:p w14:paraId="360A88DC">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0E4D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5A6255A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1064" w:type="dxa"/>
            <w:noWrap w:val="0"/>
            <w:vAlign w:val="center"/>
          </w:tcPr>
          <w:p w14:paraId="7A50B52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3016990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6469E48D">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2.73E-22</w:t>
            </w:r>
          </w:p>
        </w:tc>
        <w:tc>
          <w:tcPr>
            <w:tcW w:w="1078" w:type="dxa"/>
            <w:noWrap w:val="0"/>
            <w:vAlign w:val="center"/>
          </w:tcPr>
          <w:p w14:paraId="3E324F4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7.53E-19</w:t>
            </w:r>
          </w:p>
        </w:tc>
        <w:tc>
          <w:tcPr>
            <w:tcW w:w="1077" w:type="dxa"/>
            <w:noWrap w:val="0"/>
            <w:vAlign w:val="center"/>
          </w:tcPr>
          <w:p w14:paraId="7F79697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1.53E-10</w:t>
            </w:r>
          </w:p>
        </w:tc>
        <w:tc>
          <w:tcPr>
            <w:tcW w:w="1118" w:type="dxa"/>
            <w:shd w:val="clear" w:color="auto" w:fill="auto"/>
            <w:noWrap w:val="0"/>
            <w:vAlign w:val="center"/>
          </w:tcPr>
          <w:p w14:paraId="50F32AD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3.70E-01</w:t>
            </w:r>
          </w:p>
        </w:tc>
        <w:tc>
          <w:tcPr>
            <w:tcW w:w="1047" w:type="dxa"/>
            <w:shd w:val="clear" w:color="auto" w:fill="auto"/>
            <w:noWrap w:val="0"/>
            <w:vAlign w:val="center"/>
          </w:tcPr>
          <w:p w14:paraId="5FB4841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2BEC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52165B8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1064" w:type="dxa"/>
            <w:noWrap w:val="0"/>
            <w:vAlign w:val="center"/>
          </w:tcPr>
          <w:p w14:paraId="4215F44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25F874B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3D69C4F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74DD5DF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35D1FD5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1.88E-27</w:t>
            </w:r>
          </w:p>
        </w:tc>
        <w:tc>
          <w:tcPr>
            <w:tcW w:w="1118" w:type="dxa"/>
            <w:shd w:val="clear" w:color="auto" w:fill="auto"/>
            <w:noWrap w:val="0"/>
            <w:vAlign w:val="center"/>
          </w:tcPr>
          <w:p w14:paraId="279F267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2.67E-01</w:t>
            </w:r>
          </w:p>
        </w:tc>
        <w:tc>
          <w:tcPr>
            <w:tcW w:w="1047" w:type="dxa"/>
            <w:shd w:val="clear" w:color="auto" w:fill="auto"/>
            <w:noWrap w:val="0"/>
            <w:vAlign w:val="center"/>
          </w:tcPr>
          <w:p w14:paraId="262CFE8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07D7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55D8A4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1064" w:type="dxa"/>
            <w:noWrap w:val="0"/>
            <w:vAlign w:val="center"/>
          </w:tcPr>
          <w:p w14:paraId="3CB3FE2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64A2395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048B74E6">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1.70E-31</w:t>
            </w:r>
          </w:p>
        </w:tc>
        <w:tc>
          <w:tcPr>
            <w:tcW w:w="1078" w:type="dxa"/>
            <w:noWrap w:val="0"/>
            <w:vAlign w:val="center"/>
          </w:tcPr>
          <w:p w14:paraId="05A23FB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9.00E-28</w:t>
            </w:r>
          </w:p>
        </w:tc>
        <w:tc>
          <w:tcPr>
            <w:tcW w:w="1077" w:type="dxa"/>
            <w:noWrap w:val="0"/>
            <w:vAlign w:val="center"/>
          </w:tcPr>
          <w:p w14:paraId="3EF3A1C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3.62E-18</w:t>
            </w:r>
          </w:p>
        </w:tc>
        <w:tc>
          <w:tcPr>
            <w:tcW w:w="1118" w:type="dxa"/>
            <w:shd w:val="clear" w:color="auto" w:fill="auto"/>
            <w:noWrap w:val="0"/>
            <w:vAlign w:val="center"/>
          </w:tcPr>
          <w:p w14:paraId="67DF159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3.24E-01</w:t>
            </w:r>
          </w:p>
        </w:tc>
        <w:tc>
          <w:tcPr>
            <w:tcW w:w="1047" w:type="dxa"/>
            <w:shd w:val="clear" w:color="auto" w:fill="auto"/>
            <w:noWrap w:val="0"/>
            <w:vAlign w:val="center"/>
          </w:tcPr>
          <w:p w14:paraId="21648E7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1CF7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48C4389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1064" w:type="dxa"/>
            <w:noWrap w:val="0"/>
            <w:vAlign w:val="center"/>
          </w:tcPr>
          <w:p w14:paraId="743104E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68D9374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769B0F3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7159A85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078B5B3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1.29E-24</w:t>
            </w:r>
          </w:p>
        </w:tc>
        <w:tc>
          <w:tcPr>
            <w:tcW w:w="1118" w:type="dxa"/>
            <w:shd w:val="clear" w:color="auto" w:fill="auto"/>
            <w:noWrap w:val="0"/>
            <w:vAlign w:val="center"/>
          </w:tcPr>
          <w:p w14:paraId="2B28A57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2.83E-01</w:t>
            </w:r>
          </w:p>
        </w:tc>
        <w:tc>
          <w:tcPr>
            <w:tcW w:w="1047" w:type="dxa"/>
            <w:shd w:val="clear" w:color="auto" w:fill="auto"/>
            <w:noWrap w:val="0"/>
            <w:vAlign w:val="center"/>
          </w:tcPr>
          <w:p w14:paraId="7FEA0E7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r>
      <w:tr w14:paraId="074E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1304D5D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1064" w:type="dxa"/>
            <w:noWrap w:val="0"/>
            <w:vAlign w:val="center"/>
          </w:tcPr>
          <w:p w14:paraId="313B813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68D8810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28AF6D6D">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601B429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7C20A9A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27A0F57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2.05E-05</w:t>
            </w:r>
          </w:p>
        </w:tc>
        <w:tc>
          <w:tcPr>
            <w:tcW w:w="1047" w:type="dxa"/>
            <w:shd w:val="clear" w:color="auto" w:fill="auto"/>
            <w:noWrap w:val="0"/>
            <w:vAlign w:val="center"/>
          </w:tcPr>
          <w:p w14:paraId="35AF437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1.56E-01</w:t>
            </w:r>
          </w:p>
        </w:tc>
      </w:tr>
      <w:tr w14:paraId="0C01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B3B879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1064" w:type="dxa"/>
            <w:noWrap w:val="0"/>
            <w:vAlign w:val="center"/>
          </w:tcPr>
          <w:p w14:paraId="7031FD5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19777D1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4557A7C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6F2E640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2A4CA18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63D56BC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9.06E-22</w:t>
            </w:r>
          </w:p>
        </w:tc>
        <w:tc>
          <w:tcPr>
            <w:tcW w:w="1047" w:type="dxa"/>
            <w:shd w:val="clear" w:color="auto" w:fill="auto"/>
            <w:noWrap w:val="0"/>
            <w:vAlign w:val="center"/>
          </w:tcPr>
          <w:p w14:paraId="61635A4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2.44E-02</w:t>
            </w:r>
          </w:p>
        </w:tc>
      </w:tr>
      <w:tr w14:paraId="0C22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94F588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1064" w:type="dxa"/>
            <w:noWrap w:val="0"/>
            <w:vAlign w:val="center"/>
          </w:tcPr>
          <w:p w14:paraId="42FA8E4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4CD8E58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063F80F4">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1DBF6F4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5882B8A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5F7219D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6.95E-17</w:t>
            </w:r>
          </w:p>
        </w:tc>
        <w:tc>
          <w:tcPr>
            <w:tcW w:w="1047" w:type="dxa"/>
            <w:shd w:val="clear" w:color="auto" w:fill="auto"/>
            <w:noWrap w:val="0"/>
            <w:vAlign w:val="center"/>
          </w:tcPr>
          <w:p w14:paraId="7C5B2BC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1.18E-01</w:t>
            </w:r>
          </w:p>
        </w:tc>
      </w:tr>
      <w:tr w14:paraId="12EE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10DC5CC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1064" w:type="dxa"/>
            <w:noWrap w:val="0"/>
            <w:vAlign w:val="center"/>
          </w:tcPr>
          <w:p w14:paraId="25E6F90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056669B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7651E93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6AE2CBE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4949D7C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6C3D7C4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1.09E-17</w:t>
            </w:r>
          </w:p>
        </w:tc>
        <w:tc>
          <w:tcPr>
            <w:tcW w:w="1047" w:type="dxa"/>
            <w:shd w:val="clear" w:color="auto" w:fill="auto"/>
            <w:noWrap w:val="0"/>
            <w:vAlign w:val="center"/>
          </w:tcPr>
          <w:p w14:paraId="2747586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1.03E-01</w:t>
            </w:r>
          </w:p>
        </w:tc>
      </w:tr>
      <w:tr w14:paraId="01E7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4CD3AC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1064" w:type="dxa"/>
            <w:noWrap w:val="0"/>
            <w:vAlign w:val="center"/>
          </w:tcPr>
          <w:p w14:paraId="3423BBE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7E943BB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387B9801">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717C5F6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5B1E9A9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7692CD7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2.16E-25</w:t>
            </w:r>
          </w:p>
        </w:tc>
        <w:tc>
          <w:tcPr>
            <w:tcW w:w="1047" w:type="dxa"/>
            <w:shd w:val="clear" w:color="auto" w:fill="auto"/>
            <w:noWrap w:val="0"/>
            <w:vAlign w:val="center"/>
          </w:tcPr>
          <w:p w14:paraId="41E36ED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2.13E-03</w:t>
            </w:r>
          </w:p>
        </w:tc>
      </w:tr>
      <w:tr w14:paraId="3D6A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181DCD7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1064" w:type="dxa"/>
            <w:noWrap w:val="0"/>
            <w:vAlign w:val="center"/>
          </w:tcPr>
          <w:p w14:paraId="647D782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0A1AE51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331FAD80">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0754D1B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044A298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6D832A4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1.23E-19</w:t>
            </w:r>
          </w:p>
        </w:tc>
        <w:tc>
          <w:tcPr>
            <w:tcW w:w="1047" w:type="dxa"/>
            <w:shd w:val="clear" w:color="auto" w:fill="auto"/>
            <w:noWrap w:val="0"/>
            <w:vAlign w:val="center"/>
          </w:tcPr>
          <w:p w14:paraId="06216A1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6.15E-02</w:t>
            </w:r>
          </w:p>
        </w:tc>
      </w:tr>
      <w:tr w14:paraId="652E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B1B4A4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1064" w:type="dxa"/>
            <w:noWrap w:val="0"/>
            <w:vAlign w:val="center"/>
          </w:tcPr>
          <w:p w14:paraId="7C7508E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4148EC6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4E7A41A7">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1807821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43B5EA0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0A6EBC7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3.15E-02</w:t>
            </w:r>
          </w:p>
        </w:tc>
        <w:tc>
          <w:tcPr>
            <w:tcW w:w="1047" w:type="dxa"/>
            <w:shd w:val="clear" w:color="auto" w:fill="auto"/>
            <w:noWrap w:val="0"/>
            <w:vAlign w:val="center"/>
          </w:tcPr>
          <w:p w14:paraId="610C5B2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7.11E-03</w:t>
            </w:r>
          </w:p>
        </w:tc>
      </w:tr>
      <w:tr w14:paraId="1092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54A5A0C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1064" w:type="dxa"/>
            <w:noWrap w:val="0"/>
            <w:vAlign w:val="center"/>
          </w:tcPr>
          <w:p w14:paraId="3056110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18293FB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5EB79B8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35121CA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7354BA0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221BB8F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4.67E-15</w:t>
            </w:r>
          </w:p>
        </w:tc>
        <w:tc>
          <w:tcPr>
            <w:tcW w:w="1047" w:type="dxa"/>
            <w:noWrap w:val="0"/>
            <w:vAlign w:val="center"/>
          </w:tcPr>
          <w:p w14:paraId="05EAA18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1.40E-01</w:t>
            </w:r>
          </w:p>
        </w:tc>
      </w:tr>
      <w:tr w14:paraId="3042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4C7EB7E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1064" w:type="dxa"/>
            <w:noWrap w:val="0"/>
            <w:vAlign w:val="center"/>
          </w:tcPr>
          <w:p w14:paraId="19B6618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3E601E5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1921B53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5D471C4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4898726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7518C14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2.26E-15</w:t>
            </w:r>
          </w:p>
        </w:tc>
        <w:tc>
          <w:tcPr>
            <w:tcW w:w="1047" w:type="dxa"/>
            <w:noWrap w:val="0"/>
            <w:vAlign w:val="center"/>
          </w:tcPr>
          <w:p w14:paraId="2D29370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1.37E-01</w:t>
            </w:r>
          </w:p>
        </w:tc>
      </w:tr>
      <w:tr w14:paraId="6764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512EBA5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1064" w:type="dxa"/>
            <w:noWrap w:val="0"/>
            <w:vAlign w:val="center"/>
          </w:tcPr>
          <w:p w14:paraId="1D4BA5B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7578980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415E204F">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50EDA5E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1CBD7EE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77B156B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7.92E-24</w:t>
            </w:r>
          </w:p>
        </w:tc>
        <w:tc>
          <w:tcPr>
            <w:tcW w:w="1047" w:type="dxa"/>
            <w:noWrap w:val="0"/>
            <w:vAlign w:val="center"/>
          </w:tcPr>
          <w:p w14:paraId="2FC6AD8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6.96E-03</w:t>
            </w:r>
          </w:p>
        </w:tc>
      </w:tr>
      <w:tr w14:paraId="4D9C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61E7782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1064" w:type="dxa"/>
            <w:noWrap w:val="0"/>
            <w:vAlign w:val="center"/>
          </w:tcPr>
          <w:p w14:paraId="39AA4C5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4C9F878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60F14FF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33FF7AA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1D26325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3DFB6BD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1.21E-16</w:t>
            </w:r>
          </w:p>
        </w:tc>
        <w:tc>
          <w:tcPr>
            <w:tcW w:w="1047" w:type="dxa"/>
            <w:noWrap w:val="0"/>
            <w:vAlign w:val="center"/>
          </w:tcPr>
          <w:p w14:paraId="1D1AA09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1.22E-01</w:t>
            </w:r>
          </w:p>
        </w:tc>
      </w:tr>
      <w:tr w14:paraId="469E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5BDBAA2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1064" w:type="dxa"/>
            <w:noWrap w:val="0"/>
            <w:vAlign w:val="center"/>
          </w:tcPr>
          <w:p w14:paraId="5822199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61BA6A4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0D0CA21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40F2BCD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5BF01D0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4FAC8F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2.61E-25</w:t>
            </w:r>
          </w:p>
        </w:tc>
        <w:tc>
          <w:tcPr>
            <w:tcW w:w="1047" w:type="dxa"/>
            <w:noWrap w:val="0"/>
            <w:vAlign w:val="center"/>
          </w:tcPr>
          <w:p w14:paraId="1F37C28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2.28E-03</w:t>
            </w:r>
          </w:p>
        </w:tc>
      </w:tr>
      <w:tr w14:paraId="117F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514C790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1064" w:type="dxa"/>
            <w:noWrap w:val="0"/>
            <w:vAlign w:val="center"/>
          </w:tcPr>
          <w:p w14:paraId="44F04D9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43DA479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5CB9B13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49A5D3A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7C438CB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2FC6E63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3.71E-24</w:t>
            </w:r>
          </w:p>
        </w:tc>
        <w:tc>
          <w:tcPr>
            <w:tcW w:w="1047" w:type="dxa"/>
            <w:noWrap w:val="0"/>
            <w:vAlign w:val="center"/>
          </w:tcPr>
          <w:p w14:paraId="16F86B2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5.52E-03</w:t>
            </w:r>
          </w:p>
        </w:tc>
      </w:tr>
      <w:tr w14:paraId="3878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10C8EF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1064" w:type="dxa"/>
            <w:noWrap w:val="0"/>
            <w:vAlign w:val="center"/>
          </w:tcPr>
          <w:p w14:paraId="2B41330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180B928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54528383">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6955D9D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0C1EAB0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0D06180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5.42E-24</w:t>
            </w:r>
          </w:p>
        </w:tc>
        <w:tc>
          <w:tcPr>
            <w:tcW w:w="1047" w:type="dxa"/>
            <w:noWrap w:val="0"/>
            <w:vAlign w:val="center"/>
          </w:tcPr>
          <w:p w14:paraId="4312924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6.21E-03</w:t>
            </w:r>
          </w:p>
        </w:tc>
      </w:tr>
      <w:tr w14:paraId="35E7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7EE5B76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1064" w:type="dxa"/>
            <w:noWrap w:val="0"/>
            <w:vAlign w:val="center"/>
          </w:tcPr>
          <w:p w14:paraId="46E4F47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49AA243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37E52CFD">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6805317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3A60206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2F557F1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1.45E-16</w:t>
            </w:r>
          </w:p>
        </w:tc>
        <w:tc>
          <w:tcPr>
            <w:tcW w:w="1047" w:type="dxa"/>
            <w:noWrap w:val="0"/>
            <w:vAlign w:val="center"/>
          </w:tcPr>
          <w:p w14:paraId="387CFC8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1.23E-01</w:t>
            </w:r>
          </w:p>
        </w:tc>
      </w:tr>
      <w:tr w14:paraId="4194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6CD9D03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1064" w:type="dxa"/>
            <w:noWrap w:val="0"/>
            <w:vAlign w:val="center"/>
          </w:tcPr>
          <w:p w14:paraId="4C2B20A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215A50B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4930DB7F">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4A9999A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183D96C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2B33406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47" w:type="dxa"/>
            <w:noWrap w:val="0"/>
            <w:vAlign w:val="center"/>
          </w:tcPr>
          <w:p w14:paraId="4A9837C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1.63E-09</w:t>
            </w:r>
          </w:p>
        </w:tc>
      </w:tr>
      <w:tr w14:paraId="4356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99" w:type="pct"/>
            <w:shd w:val="clear" w:color="auto" w:fill="auto"/>
            <w:noWrap w:val="0"/>
            <w:vAlign w:val="center"/>
          </w:tcPr>
          <w:p w14:paraId="25469BF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1064" w:type="dxa"/>
            <w:noWrap w:val="0"/>
            <w:vAlign w:val="center"/>
          </w:tcPr>
          <w:p w14:paraId="7CD4E8E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59" w:type="dxa"/>
            <w:noWrap w:val="0"/>
            <w:vAlign w:val="center"/>
          </w:tcPr>
          <w:p w14:paraId="1639BE7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63" w:type="dxa"/>
            <w:noWrap w:val="0"/>
            <w:vAlign w:val="center"/>
          </w:tcPr>
          <w:p w14:paraId="2DD11127">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8" w:type="dxa"/>
            <w:noWrap w:val="0"/>
            <w:vAlign w:val="center"/>
          </w:tcPr>
          <w:p w14:paraId="713C7BC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77" w:type="dxa"/>
            <w:noWrap w:val="0"/>
            <w:vAlign w:val="center"/>
          </w:tcPr>
          <w:p w14:paraId="5855A6C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118" w:type="dxa"/>
            <w:shd w:val="clear" w:color="auto" w:fill="auto"/>
            <w:noWrap w:val="0"/>
            <w:vAlign w:val="center"/>
          </w:tcPr>
          <w:p w14:paraId="7784606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047" w:type="dxa"/>
            <w:noWrap w:val="0"/>
            <w:vAlign w:val="center"/>
          </w:tcPr>
          <w:p w14:paraId="525178D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2.03E-09</w:t>
            </w:r>
          </w:p>
        </w:tc>
      </w:tr>
    </w:tbl>
    <w:p w14:paraId="1AFF428B">
      <w:pPr>
        <w:pStyle w:val="5"/>
        <w:bidi w:val="0"/>
        <w:jc w:val="both"/>
        <w:rPr>
          <w:rFonts w:hint="default" w:ascii="Times New Roman" w:hAnsi="Times New Roman" w:cs="Times New Roman"/>
          <w:color w:val="auto"/>
          <w:highlight w:val="none"/>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泄漏</w:t>
      </w:r>
    </w:p>
    <w:p w14:paraId="60571F09">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在最不利</w:t>
      </w:r>
      <w:r>
        <w:rPr>
          <w:rFonts w:hint="default" w:ascii="Times New Roman" w:hAnsi="Times New Roman" w:cs="Times New Roman"/>
          <w:color w:val="auto"/>
          <w:highlight w:val="none"/>
          <w:lang w:val="en-US" w:eastAsia="zh-CN"/>
        </w:rPr>
        <w:t>/最常见</w:t>
      </w:r>
      <w:r>
        <w:rPr>
          <w:rFonts w:hint="default" w:ascii="Times New Roman" w:hAnsi="Times New Roman" w:cs="Times New Roman"/>
          <w:color w:val="auto"/>
          <w:highlight w:val="none"/>
        </w:rPr>
        <w:t>气象条件下，</w:t>
      </w:r>
      <w:r>
        <w:rPr>
          <w:rFonts w:hint="default" w:ascii="Times New Roman" w:hAnsi="Times New Roman" w:cs="Times New Roman"/>
          <w:color w:val="auto"/>
          <w:highlight w:val="none"/>
          <w:lang w:val="en-US" w:eastAsia="zh-CN"/>
        </w:rPr>
        <w:t>预测</w:t>
      </w:r>
      <w:r>
        <w:rPr>
          <w:rFonts w:hint="default" w:ascii="Times New Roman" w:hAnsi="Times New Roman" w:cs="Times New Roman"/>
          <w:color w:val="auto"/>
          <w:highlight w:val="none"/>
        </w:rPr>
        <w:t>下风向不同距离处有毒有害物质的最大浓度，以及预测浓度达到不同毒性终点浓度的最大影响范围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预测结果如下</w:t>
      </w:r>
      <w:r>
        <w:rPr>
          <w:rFonts w:hint="default" w:ascii="Times New Roman" w:hAnsi="Times New Roman" w:cs="Times New Roman"/>
          <w:color w:val="auto"/>
          <w:highlight w:val="none"/>
          <w:lang w:eastAsia="zh-CN"/>
        </w:rPr>
        <w:t>。</w:t>
      </w:r>
    </w:p>
    <w:p w14:paraId="7FFEE7F4">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1、</w:t>
      </w:r>
      <w:r>
        <w:rPr>
          <w:rFonts w:hint="default" w:ascii="Times New Roman" w:hAnsi="Times New Roman" w:cs="Times New Roman"/>
          <w:color w:val="auto"/>
          <w:highlight w:val="none"/>
          <w:lang w:val="en-US" w:eastAsia="zh-CN"/>
        </w:rPr>
        <w:t>预测参数</w:t>
      </w:r>
    </w:p>
    <w:p w14:paraId="0CC410DA">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氟硅酸</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预测参数见下表。</w:t>
      </w:r>
    </w:p>
    <w:p w14:paraId="31C3D9E2">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氟硅酸泄漏事故主要参数表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2"/>
        <w:gridCol w:w="3152"/>
        <w:gridCol w:w="3153"/>
      </w:tblGrid>
      <w:tr w14:paraId="32F3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noWrap w:val="0"/>
            <w:vAlign w:val="center"/>
          </w:tcPr>
          <w:p w14:paraId="43E10957">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参数类型</w:t>
            </w:r>
          </w:p>
        </w:tc>
        <w:tc>
          <w:tcPr>
            <w:tcW w:w="3152" w:type="dxa"/>
            <w:noWrap w:val="0"/>
            <w:vAlign w:val="center"/>
          </w:tcPr>
          <w:p w14:paraId="1C700BE2">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选项</w:t>
            </w:r>
          </w:p>
        </w:tc>
        <w:tc>
          <w:tcPr>
            <w:tcW w:w="3153" w:type="dxa"/>
            <w:noWrap w:val="0"/>
            <w:vAlign w:val="center"/>
          </w:tcPr>
          <w:p w14:paraId="1A39963A">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w:t>
            </w:r>
          </w:p>
        </w:tc>
      </w:tr>
      <w:tr w14:paraId="6E65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restart"/>
            <w:noWrap w:val="0"/>
            <w:vAlign w:val="center"/>
          </w:tcPr>
          <w:p w14:paraId="7F149BE3">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源强参数</w:t>
            </w:r>
          </w:p>
        </w:tc>
        <w:tc>
          <w:tcPr>
            <w:tcW w:w="3152" w:type="dxa"/>
            <w:shd w:val="clear" w:color="auto" w:fill="auto"/>
            <w:noWrap w:val="0"/>
            <w:vAlign w:val="center"/>
          </w:tcPr>
          <w:p w14:paraId="3943ACE0">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持续时间（s）</w:t>
            </w:r>
          </w:p>
        </w:tc>
        <w:tc>
          <w:tcPr>
            <w:tcW w:w="3153" w:type="dxa"/>
            <w:shd w:val="clear" w:color="auto" w:fill="auto"/>
            <w:noWrap w:val="0"/>
            <w:vAlign w:val="center"/>
          </w:tcPr>
          <w:p w14:paraId="1412B787">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900</w:t>
            </w:r>
          </w:p>
        </w:tc>
      </w:tr>
      <w:tr w14:paraId="782E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03B64659">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09F92E5A">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排放速率（</w:t>
            </w:r>
            <w:r>
              <w:rPr>
                <w:rFonts w:hint="eastAsia" w:cs="Times New Roman"/>
                <w:color w:val="auto"/>
                <w:highlight w:val="none"/>
                <w:lang w:val="en-US" w:eastAsia="zh-CN"/>
              </w:rPr>
              <w:t>k</w:t>
            </w:r>
            <w:r>
              <w:rPr>
                <w:rFonts w:hint="default" w:ascii="Times New Roman" w:hAnsi="Times New Roman" w:cs="Times New Roman"/>
                <w:color w:val="auto"/>
                <w:highlight w:val="none"/>
                <w:lang w:val="en-US" w:eastAsia="zh-CN"/>
              </w:rPr>
              <w:t>g/s）</w:t>
            </w:r>
          </w:p>
        </w:tc>
        <w:tc>
          <w:tcPr>
            <w:tcW w:w="3153" w:type="dxa"/>
            <w:shd w:val="clear" w:color="auto" w:fill="auto"/>
            <w:noWrap w:val="0"/>
            <w:vAlign w:val="center"/>
          </w:tcPr>
          <w:p w14:paraId="2F0127B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0.0060/0.0048</w:t>
            </w:r>
          </w:p>
        </w:tc>
      </w:tr>
      <w:tr w14:paraId="254F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3CE1DAE6">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04951B19">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源高度（m）</w:t>
            </w:r>
          </w:p>
        </w:tc>
        <w:tc>
          <w:tcPr>
            <w:tcW w:w="3153" w:type="dxa"/>
            <w:shd w:val="clear" w:color="auto" w:fill="auto"/>
            <w:noWrap w:val="0"/>
            <w:vAlign w:val="center"/>
          </w:tcPr>
          <w:p w14:paraId="0B85454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4.45</w:t>
            </w:r>
          </w:p>
        </w:tc>
      </w:tr>
      <w:tr w14:paraId="28E3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2A78716D">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78FC51EC">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烟气温度（℃）</w:t>
            </w:r>
          </w:p>
        </w:tc>
        <w:tc>
          <w:tcPr>
            <w:tcW w:w="3153" w:type="dxa"/>
            <w:shd w:val="clear" w:color="auto" w:fill="auto"/>
            <w:noWrap w:val="0"/>
            <w:vAlign w:val="center"/>
          </w:tcPr>
          <w:p w14:paraId="716EC88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25</w:t>
            </w:r>
            <w:r>
              <w:rPr>
                <w:rFonts w:hint="eastAsia" w:cs="Times New Roman"/>
                <w:color w:val="auto"/>
                <w:highlight w:val="none"/>
                <w:lang w:val="en-US" w:eastAsia="zh-CN"/>
              </w:rPr>
              <w:t>/32.88</w:t>
            </w:r>
          </w:p>
        </w:tc>
      </w:tr>
    </w:tbl>
    <w:p w14:paraId="488BE461">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2、</w:t>
      </w:r>
      <w:r>
        <w:rPr>
          <w:rFonts w:hint="default" w:ascii="Times New Roman" w:hAnsi="Times New Roman" w:cs="Times New Roman"/>
          <w:color w:val="auto"/>
          <w:highlight w:val="none"/>
          <w:lang w:val="en-US" w:eastAsia="zh-CN"/>
        </w:rPr>
        <w:t>预测结果分析</w:t>
      </w:r>
    </w:p>
    <w:p w14:paraId="63D504DD">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关注限值距离</w:t>
      </w:r>
    </w:p>
    <w:p w14:paraId="7D64FDFA">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氟硅酸储罐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eastAsia" w:cs="Times New Roman"/>
          <w:color w:val="auto"/>
          <w:highlight w:val="none"/>
          <w:lang w:val="en-US" w:eastAsia="zh-CN"/>
        </w:rPr>
        <w:t>氟化物</w:t>
      </w:r>
      <w:r>
        <w:rPr>
          <w:rFonts w:hint="default" w:ascii="Times New Roman" w:hAnsi="Times New Roman" w:eastAsia="宋体" w:cs="Times New Roman"/>
          <w:color w:val="auto"/>
          <w:kern w:val="0"/>
          <w:sz w:val="24"/>
          <w:szCs w:val="24"/>
          <w:highlight w:val="none"/>
          <w:lang w:val="en-US" w:eastAsia="zh-CN" w:bidi="ar"/>
        </w:rPr>
        <w:t>在不同时刻达到关注限值的最远距离见下表。</w:t>
      </w:r>
    </w:p>
    <w:p w14:paraId="4D9DDF11">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不同时刻达到关注限值的最远预测距离</w:t>
      </w:r>
    </w:p>
    <w:tbl>
      <w:tblPr>
        <w:tblStyle w:val="21"/>
        <w:tblW w:w="94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1155"/>
        <w:gridCol w:w="1255"/>
        <w:gridCol w:w="1371"/>
        <w:gridCol w:w="1261"/>
        <w:gridCol w:w="1091"/>
        <w:gridCol w:w="1430"/>
      </w:tblGrid>
      <w:tr w14:paraId="1E2E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Merge w:val="restart"/>
            <w:noWrap w:val="0"/>
            <w:vAlign w:val="center"/>
          </w:tcPr>
          <w:p w14:paraId="63F09DC4">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3781" w:type="dxa"/>
            <w:gridSpan w:val="3"/>
            <w:noWrap w:val="0"/>
            <w:vAlign w:val="center"/>
          </w:tcPr>
          <w:p w14:paraId="62204128">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毒性终点浓度-1</w:t>
            </w:r>
          </w:p>
        </w:tc>
        <w:tc>
          <w:tcPr>
            <w:tcW w:w="3782" w:type="dxa"/>
            <w:gridSpan w:val="3"/>
            <w:noWrap w:val="0"/>
            <w:vAlign w:val="center"/>
          </w:tcPr>
          <w:p w14:paraId="7BD17CEE">
            <w:pPr>
              <w:pStyle w:val="31"/>
              <w:bidi w:val="0"/>
              <w:ind w:left="0"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毒性终点浓度-2</w:t>
            </w:r>
          </w:p>
        </w:tc>
      </w:tr>
      <w:tr w14:paraId="3A23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0" w:type="dxa"/>
            <w:vMerge w:val="continue"/>
            <w:noWrap w:val="0"/>
            <w:vAlign w:val="center"/>
          </w:tcPr>
          <w:p w14:paraId="46CD6AA5">
            <w:pPr>
              <w:pStyle w:val="24"/>
              <w:bidi w:val="0"/>
              <w:jc w:val="center"/>
              <w:rPr>
                <w:rFonts w:hint="default" w:ascii="Times New Roman" w:hAnsi="Times New Roman" w:cs="Times New Roman"/>
                <w:color w:val="auto"/>
                <w:highlight w:val="none"/>
                <w:lang w:val="en-US" w:eastAsia="zh-CN"/>
              </w:rPr>
            </w:pPr>
          </w:p>
        </w:tc>
        <w:tc>
          <w:tcPr>
            <w:tcW w:w="1155" w:type="dxa"/>
            <w:noWrap w:val="0"/>
            <w:vAlign w:val="center"/>
          </w:tcPr>
          <w:p w14:paraId="1DF9E199">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255" w:type="dxa"/>
            <w:noWrap w:val="0"/>
            <w:vAlign w:val="center"/>
          </w:tcPr>
          <w:p w14:paraId="6843686C">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距离（m）</w:t>
            </w:r>
          </w:p>
        </w:tc>
        <w:tc>
          <w:tcPr>
            <w:tcW w:w="1371" w:type="dxa"/>
            <w:noWrap w:val="0"/>
            <w:vAlign w:val="center"/>
          </w:tcPr>
          <w:p w14:paraId="058C7702">
            <w:pPr>
              <w:pStyle w:val="24"/>
              <w:bidi w:val="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c>
          <w:tcPr>
            <w:tcW w:w="1261" w:type="dxa"/>
            <w:noWrap w:val="0"/>
            <w:vAlign w:val="center"/>
          </w:tcPr>
          <w:p w14:paraId="696C001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091" w:type="dxa"/>
            <w:noWrap w:val="0"/>
            <w:vAlign w:val="center"/>
          </w:tcPr>
          <w:p w14:paraId="4B5E0B08">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距离（m）</w:t>
            </w:r>
          </w:p>
        </w:tc>
        <w:tc>
          <w:tcPr>
            <w:tcW w:w="1430" w:type="dxa"/>
            <w:noWrap w:val="0"/>
            <w:vAlign w:val="center"/>
          </w:tcPr>
          <w:p w14:paraId="0FEFE79A">
            <w:pPr>
              <w:pStyle w:val="24"/>
              <w:bidi w:val="0"/>
              <w:ind w:left="0" w:leftChars="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r>
      <w:tr w14:paraId="4EB1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36DF54BA">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1155" w:type="dxa"/>
            <w:noWrap w:val="0"/>
            <w:vAlign w:val="center"/>
          </w:tcPr>
          <w:p w14:paraId="669441B5">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630</w:t>
            </w:r>
          </w:p>
        </w:tc>
        <w:tc>
          <w:tcPr>
            <w:tcW w:w="1255" w:type="dxa"/>
            <w:noWrap w:val="0"/>
            <w:vAlign w:val="center"/>
          </w:tcPr>
          <w:p w14:paraId="44F654D3">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371" w:type="dxa"/>
            <w:noWrap w:val="0"/>
            <w:vAlign w:val="center"/>
          </w:tcPr>
          <w:p w14:paraId="7316A3E1">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261" w:type="dxa"/>
            <w:noWrap w:val="0"/>
            <w:vAlign w:val="center"/>
          </w:tcPr>
          <w:p w14:paraId="0574F484">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110</w:t>
            </w:r>
          </w:p>
        </w:tc>
        <w:tc>
          <w:tcPr>
            <w:tcW w:w="1091" w:type="dxa"/>
            <w:shd w:val="clear" w:color="auto" w:fill="auto"/>
            <w:noWrap w:val="0"/>
            <w:vAlign w:val="center"/>
          </w:tcPr>
          <w:p w14:paraId="04B22DD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50</w:t>
            </w:r>
          </w:p>
        </w:tc>
        <w:tc>
          <w:tcPr>
            <w:tcW w:w="1430" w:type="dxa"/>
            <w:shd w:val="clear" w:color="auto" w:fill="auto"/>
            <w:noWrap w:val="0"/>
            <w:vAlign w:val="center"/>
          </w:tcPr>
          <w:p w14:paraId="205D1464">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5.5556E-01</w:t>
            </w:r>
          </w:p>
        </w:tc>
      </w:tr>
      <w:tr w14:paraId="539B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1563799A">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c>
          <w:tcPr>
            <w:tcW w:w="1155" w:type="dxa"/>
            <w:shd w:val="clear" w:color="auto" w:fill="auto"/>
            <w:noWrap w:val="0"/>
            <w:vAlign w:val="center"/>
          </w:tcPr>
          <w:p w14:paraId="14B06026">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630</w:t>
            </w:r>
          </w:p>
        </w:tc>
        <w:tc>
          <w:tcPr>
            <w:tcW w:w="1255" w:type="dxa"/>
            <w:shd w:val="clear" w:color="auto" w:fill="auto"/>
            <w:noWrap w:val="0"/>
            <w:vAlign w:val="center"/>
          </w:tcPr>
          <w:p w14:paraId="334E0301">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c>
          <w:tcPr>
            <w:tcW w:w="1371" w:type="dxa"/>
            <w:shd w:val="clear" w:color="auto" w:fill="auto"/>
            <w:noWrap w:val="0"/>
            <w:vAlign w:val="center"/>
          </w:tcPr>
          <w:p w14:paraId="04336023">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c>
          <w:tcPr>
            <w:tcW w:w="1261" w:type="dxa"/>
            <w:noWrap w:val="0"/>
            <w:vAlign w:val="center"/>
          </w:tcPr>
          <w:p w14:paraId="414BBD78">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110</w:t>
            </w:r>
          </w:p>
        </w:tc>
        <w:tc>
          <w:tcPr>
            <w:tcW w:w="1091" w:type="dxa"/>
            <w:shd w:val="clear" w:color="auto" w:fill="auto"/>
            <w:noWrap w:val="0"/>
            <w:vAlign w:val="center"/>
          </w:tcPr>
          <w:p w14:paraId="58FAF988">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50</w:t>
            </w:r>
          </w:p>
        </w:tc>
        <w:tc>
          <w:tcPr>
            <w:tcW w:w="1430" w:type="dxa"/>
            <w:shd w:val="clear" w:color="auto" w:fill="auto"/>
            <w:noWrap w:val="0"/>
            <w:vAlign w:val="center"/>
          </w:tcPr>
          <w:p w14:paraId="6909B02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7.3099E-01</w:t>
            </w:r>
          </w:p>
        </w:tc>
      </w:tr>
    </w:tbl>
    <w:p w14:paraId="1EF49195">
      <w:pPr>
        <w:pStyle w:val="26"/>
        <w:bidi w:val="0"/>
        <w:ind w:left="0" w:leftChars="0" w:firstLine="0" w:firstLineChars="0"/>
        <w:jc w:val="center"/>
        <w:rPr>
          <w:rFonts w:hint="default" w:ascii="Times New Roman" w:hAnsi="Times New Roman" w:cs="Times New Roman"/>
          <w:color w:val="auto"/>
          <w:highlight w:val="none"/>
          <w:lang w:val="en-US" w:eastAsia="zh-CN"/>
        </w:rPr>
      </w:pPr>
      <w:r>
        <w:rPr>
          <w:color w:val="auto"/>
        </w:rPr>
        <w:drawing>
          <wp:inline distT="0" distB="0" distL="114300" distR="114300">
            <wp:extent cx="5897880" cy="3599180"/>
            <wp:effectExtent l="0" t="0" r="7620" b="1270"/>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190"/>
                    <a:stretch>
                      <a:fillRect/>
                    </a:stretch>
                  </pic:blipFill>
                  <pic:spPr>
                    <a:xfrm>
                      <a:off x="0" y="0"/>
                      <a:ext cx="5897880" cy="3599180"/>
                    </a:xfrm>
                    <a:prstGeom prst="rect">
                      <a:avLst/>
                    </a:prstGeom>
                    <a:noFill/>
                    <a:ln>
                      <a:noFill/>
                    </a:ln>
                  </pic:spPr>
                </pic:pic>
              </a:graphicData>
            </a:graphic>
          </wp:inline>
        </w:drawing>
      </w:r>
    </w:p>
    <w:p w14:paraId="47759461">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浓度达到评价标准时的最大影响范围图（最不利气象条件）</w:t>
      </w:r>
    </w:p>
    <w:p w14:paraId="2A2F4238">
      <w:pPr>
        <w:rPr>
          <w:rFonts w:hint="default"/>
          <w:color w:val="auto"/>
          <w:lang w:val="en-US" w:eastAsia="zh-CN"/>
        </w:rPr>
      </w:pPr>
    </w:p>
    <w:p w14:paraId="7A546EBC">
      <w:pPr>
        <w:pStyle w:val="26"/>
        <w:bidi w:val="0"/>
        <w:ind w:left="0" w:leftChars="0" w:firstLine="0" w:firstLineChars="0"/>
        <w:jc w:val="center"/>
        <w:rPr>
          <w:rFonts w:hint="default" w:ascii="Times New Roman" w:hAnsi="Times New Roman" w:cs="Times New Roman"/>
          <w:color w:val="auto"/>
          <w:highlight w:val="none"/>
          <w:lang w:val="en-US" w:eastAsia="zh-CN"/>
        </w:rPr>
      </w:pPr>
      <w:r>
        <w:rPr>
          <w:color w:val="auto"/>
        </w:rPr>
        <w:drawing>
          <wp:inline distT="0" distB="0" distL="114300" distR="114300">
            <wp:extent cx="5897880" cy="3599180"/>
            <wp:effectExtent l="0" t="0" r="7620" b="1270"/>
            <wp:docPr id="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5"/>
                    <pic:cNvPicPr>
                      <a:picLocks noChangeAspect="1"/>
                    </pic:cNvPicPr>
                  </pic:nvPicPr>
                  <pic:blipFill>
                    <a:blip r:embed="rId191"/>
                    <a:stretch>
                      <a:fillRect/>
                    </a:stretch>
                  </pic:blipFill>
                  <pic:spPr>
                    <a:xfrm>
                      <a:off x="0" y="0"/>
                      <a:ext cx="5897880" cy="3599180"/>
                    </a:xfrm>
                    <a:prstGeom prst="rect">
                      <a:avLst/>
                    </a:prstGeom>
                    <a:noFill/>
                    <a:ln>
                      <a:noFill/>
                    </a:ln>
                  </pic:spPr>
                </pic:pic>
              </a:graphicData>
            </a:graphic>
          </wp:inline>
        </w:drawing>
      </w:r>
    </w:p>
    <w:p w14:paraId="0B926D02">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浓度达到评价标准时的最大影响范围图（最</w:t>
      </w:r>
      <w:r>
        <w:rPr>
          <w:rFonts w:hint="eastAsia" w:ascii="Times New Roman" w:hAnsi="Times New Roman"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w:t>
      </w:r>
    </w:p>
    <w:p w14:paraId="401588C2">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由上表可知，当</w:t>
      </w:r>
      <w:r>
        <w:rPr>
          <w:rFonts w:hint="eastAsia" w:cs="Times New Roman"/>
          <w:color w:val="auto"/>
          <w:highlight w:val="none"/>
          <w:lang w:val="en-US" w:eastAsia="zh-CN"/>
        </w:rPr>
        <w:t>氟硅酸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highlight w:val="none"/>
          <w:lang w:val="en-US" w:eastAsia="zh-CN"/>
        </w:rPr>
        <w:t>发生泄漏事故时，产生的</w:t>
      </w:r>
      <w:r>
        <w:rPr>
          <w:rFonts w:hint="eastAsia" w:cs="Times New Roman"/>
          <w:color w:val="auto"/>
          <w:highlight w:val="none"/>
          <w:lang w:val="en-US" w:eastAsia="zh-CN"/>
        </w:rPr>
        <w:t>氟化物</w:t>
      </w:r>
      <w:r>
        <w:rPr>
          <w:rFonts w:hint="default" w:ascii="Times New Roman" w:hAnsi="Times New Roman" w:cs="Times New Roman"/>
          <w:color w:val="auto"/>
          <w:highlight w:val="none"/>
          <w:lang w:val="en-US" w:eastAsia="zh-CN"/>
        </w:rPr>
        <w:t>在最不利</w:t>
      </w:r>
      <w:r>
        <w:rPr>
          <w:rFonts w:hint="eastAsia" w:cs="Times New Roman"/>
          <w:color w:val="auto"/>
          <w:highlight w:val="none"/>
          <w:lang w:val="en-US" w:eastAsia="zh-CN"/>
        </w:rPr>
        <w:t>和</w:t>
      </w:r>
      <w:r>
        <w:rPr>
          <w:rFonts w:hint="default" w:ascii="Times New Roman" w:hAnsi="Times New Roman" w:cs="Times New Roman"/>
          <w:color w:val="auto"/>
          <w:highlight w:val="none"/>
          <w:lang w:val="en-US" w:eastAsia="zh-CN"/>
        </w:rPr>
        <w:t>最</w:t>
      </w:r>
      <w:r>
        <w:rPr>
          <w:rFonts w:hint="eastAsia"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气象条件下，毒性终点浓度-2的距离</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为下风向</w:t>
      </w:r>
      <w:r>
        <w:rPr>
          <w:rFonts w:hint="eastAsia" w:cs="Times New Roman"/>
          <w:color w:val="auto"/>
          <w:highlight w:val="none"/>
          <w:lang w:val="en-US" w:eastAsia="zh-CN"/>
        </w:rPr>
        <w:t>60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不会出现大气毒性终点浓度-1</w:t>
      </w:r>
      <w:r>
        <w:rPr>
          <w:rFonts w:hint="eastAsia" w:cs="Times New Roman"/>
          <w:color w:val="auto"/>
          <w:highlight w:val="none"/>
          <w:lang w:val="en-US" w:eastAsia="zh-CN"/>
        </w:rPr>
        <w:t>。东北侧散户距氟硅酸储罐泄漏源约85m，因此，最不利和最常见气象条件下，氟化物</w:t>
      </w:r>
      <w:r>
        <w:rPr>
          <w:rFonts w:hint="default" w:ascii="Times New Roman" w:hAnsi="Times New Roman" w:cs="Times New Roman"/>
          <w:color w:val="auto"/>
          <w:highlight w:val="none"/>
          <w:lang w:val="en-US" w:eastAsia="zh-CN"/>
        </w:rPr>
        <w:t>毒性终点浓度-</w:t>
      </w:r>
      <w:r>
        <w:rPr>
          <w:rFonts w:hint="eastAsia" w:ascii="Times New Roman" w:hAnsi="Times New Roman" w:cs="Times New Roman"/>
          <w:color w:val="auto"/>
          <w:highlight w:val="none"/>
          <w:lang w:val="en-US" w:eastAsia="zh-CN"/>
        </w:rPr>
        <w:t>2</w:t>
      </w:r>
      <w:r>
        <w:rPr>
          <w:rFonts w:hint="eastAsia" w:cs="Times New Roman"/>
          <w:color w:val="auto"/>
          <w:highlight w:val="none"/>
          <w:lang w:val="en-US" w:eastAsia="zh-CN"/>
        </w:rPr>
        <w:t>影响范围内均无敏感点分布。</w:t>
      </w:r>
    </w:p>
    <w:p w14:paraId="676B0D3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（2）下风向不同距离</w:t>
      </w: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浓度预测值</w:t>
      </w:r>
    </w:p>
    <w:p w14:paraId="0A9C31FF">
      <w:pPr>
        <w:pStyle w:val="26"/>
        <w:bidi w:val="0"/>
        <w:rPr>
          <w:rFonts w:hint="default" w:ascii="Times New Roman" w:hAnsi="Times New Roman" w:eastAsia="宋体" w:cs="Times New Roman"/>
          <w:color w:val="auto"/>
          <w:kern w:val="0"/>
          <w:szCs w:val="24"/>
          <w:highlight w:val="none"/>
          <w:lang w:val="en-US" w:eastAsia="zh-CN" w:bidi="ar"/>
        </w:rPr>
      </w:pPr>
      <w:r>
        <w:rPr>
          <w:rFonts w:hint="eastAsia" w:cs="Times New Roman"/>
          <w:color w:val="auto"/>
          <w:highlight w:val="none"/>
          <w:lang w:val="en-US" w:eastAsia="zh-CN"/>
        </w:rPr>
        <w:t>氟硅酸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下风向不同</w:t>
      </w:r>
      <w:r>
        <w:rPr>
          <w:rFonts w:hint="default" w:ascii="Times New Roman" w:hAnsi="Times New Roman" w:eastAsia="宋体" w:cs="Times New Roman"/>
          <w:color w:val="auto"/>
          <w:kern w:val="0"/>
          <w:szCs w:val="24"/>
          <w:highlight w:val="none"/>
          <w:lang w:val="en-US" w:eastAsia="zh-CN" w:bidi="ar"/>
        </w:rPr>
        <w:t>距离</w:t>
      </w:r>
      <w:r>
        <w:rPr>
          <w:rFonts w:hint="eastAsia" w:cs="Times New Roman"/>
          <w:color w:val="auto"/>
          <w:kern w:val="0"/>
          <w:szCs w:val="24"/>
          <w:highlight w:val="none"/>
          <w:lang w:val="en-US" w:eastAsia="zh-CN" w:bidi="ar"/>
        </w:rPr>
        <w:t>氟化物</w:t>
      </w:r>
      <w:r>
        <w:rPr>
          <w:rFonts w:hint="default" w:ascii="Times New Roman" w:hAnsi="Times New Roman" w:eastAsia="宋体" w:cs="Times New Roman"/>
          <w:color w:val="auto"/>
          <w:kern w:val="0"/>
          <w:szCs w:val="24"/>
          <w:highlight w:val="none"/>
          <w:lang w:val="en-US" w:eastAsia="zh-CN" w:bidi="ar"/>
        </w:rPr>
        <w:t>浓度预测结果见下表。</w:t>
      </w:r>
    </w:p>
    <w:p w14:paraId="4D6123BF">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储罐泄漏事故下风向不同距离</w:t>
      </w:r>
      <w:r>
        <w:rPr>
          <w:rFonts w:hint="eastAsia" w:cs="Times New Roman"/>
          <w:color w:val="auto"/>
          <w:highlight w:val="none"/>
          <w:lang w:val="en-US" w:eastAsia="zh-CN"/>
        </w:rPr>
        <w:t>氟化物</w:t>
      </w:r>
      <w:r>
        <w:rPr>
          <w:rFonts w:hint="default" w:ascii="Times New Roman" w:hAnsi="Times New Roman" w:cs="Times New Roman"/>
          <w:color w:val="auto"/>
          <w:highlight w:val="none"/>
          <w:lang w:val="en-US" w:eastAsia="zh-CN"/>
        </w:rPr>
        <w:t>浓度预测结果表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934"/>
        <w:gridCol w:w="2325"/>
        <w:gridCol w:w="1839"/>
        <w:gridCol w:w="2059"/>
      </w:tblGrid>
      <w:tr w14:paraId="32AC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Merge w:val="restart"/>
            <w:noWrap w:val="0"/>
            <w:vAlign w:val="center"/>
          </w:tcPr>
          <w:p w14:paraId="183D734D">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下风向距离（m）</w:t>
            </w:r>
          </w:p>
        </w:tc>
        <w:tc>
          <w:tcPr>
            <w:tcW w:w="2240" w:type="pct"/>
            <w:gridSpan w:val="2"/>
            <w:noWrap w:val="0"/>
            <w:vAlign w:val="center"/>
          </w:tcPr>
          <w:p w14:paraId="50B9831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2050" w:type="pct"/>
            <w:gridSpan w:val="2"/>
            <w:noWrap w:val="0"/>
            <w:vAlign w:val="center"/>
          </w:tcPr>
          <w:p w14:paraId="4D341E0F">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r>
      <w:tr w14:paraId="1AA1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vMerge w:val="continue"/>
            <w:noWrap w:val="0"/>
            <w:vAlign w:val="center"/>
          </w:tcPr>
          <w:p w14:paraId="4A3B0689">
            <w:pPr>
              <w:pStyle w:val="24"/>
              <w:bidi w:val="0"/>
              <w:jc w:val="center"/>
              <w:rPr>
                <w:rFonts w:hint="default" w:ascii="Times New Roman" w:hAnsi="Times New Roman" w:cs="Times New Roman"/>
                <w:color w:val="auto"/>
                <w:highlight w:val="none"/>
                <w:lang w:val="en-US" w:eastAsia="zh-CN"/>
              </w:rPr>
            </w:pPr>
          </w:p>
        </w:tc>
        <w:tc>
          <w:tcPr>
            <w:tcW w:w="1017" w:type="pct"/>
            <w:noWrap w:val="0"/>
            <w:vAlign w:val="center"/>
          </w:tcPr>
          <w:p w14:paraId="4559F8C1">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223" w:type="pct"/>
            <w:noWrap w:val="0"/>
            <w:vAlign w:val="center"/>
          </w:tcPr>
          <w:p w14:paraId="3274B557">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浓度出现时间（min）</w:t>
            </w:r>
          </w:p>
        </w:tc>
        <w:tc>
          <w:tcPr>
            <w:tcW w:w="967" w:type="pct"/>
            <w:shd w:val="clear" w:color="auto" w:fill="auto"/>
            <w:noWrap w:val="0"/>
            <w:vAlign w:val="center"/>
          </w:tcPr>
          <w:p w14:paraId="23BE1093">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083" w:type="pct"/>
            <w:shd w:val="clear" w:color="auto" w:fill="auto"/>
            <w:noWrap w:val="0"/>
            <w:vAlign w:val="center"/>
          </w:tcPr>
          <w:p w14:paraId="73B1AFF6">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浓度出现时间（min）</w:t>
            </w:r>
          </w:p>
        </w:tc>
      </w:tr>
      <w:tr w14:paraId="22C1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3E1CCEF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934" w:type="dxa"/>
            <w:shd w:val="clear" w:color="auto" w:fill="auto"/>
            <w:noWrap w:val="0"/>
            <w:vAlign w:val="bottom"/>
          </w:tcPr>
          <w:p w14:paraId="0CEBB14B">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6.8000E+00   </w:t>
            </w:r>
          </w:p>
        </w:tc>
        <w:tc>
          <w:tcPr>
            <w:tcW w:w="2325" w:type="dxa"/>
            <w:noWrap w:val="0"/>
            <w:vAlign w:val="bottom"/>
          </w:tcPr>
          <w:p w14:paraId="153BA100">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1.1111E-01</w:t>
            </w:r>
          </w:p>
        </w:tc>
        <w:tc>
          <w:tcPr>
            <w:tcW w:w="1839" w:type="dxa"/>
            <w:noWrap w:val="0"/>
            <w:vAlign w:val="bottom"/>
          </w:tcPr>
          <w:p w14:paraId="4041C9B0">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7.1578E+00</w:t>
            </w:r>
          </w:p>
        </w:tc>
        <w:tc>
          <w:tcPr>
            <w:tcW w:w="2059" w:type="dxa"/>
            <w:noWrap w:val="0"/>
            <w:vAlign w:val="bottom"/>
          </w:tcPr>
          <w:p w14:paraId="42BE4D52">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1.4620E-01</w:t>
            </w:r>
          </w:p>
        </w:tc>
      </w:tr>
      <w:tr w14:paraId="1470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5B58E31B">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w:t>
            </w:r>
          </w:p>
        </w:tc>
        <w:tc>
          <w:tcPr>
            <w:tcW w:w="1934" w:type="dxa"/>
            <w:shd w:val="clear" w:color="auto" w:fill="auto"/>
            <w:noWrap w:val="0"/>
            <w:vAlign w:val="bottom"/>
          </w:tcPr>
          <w:p w14:paraId="31C3A5B5">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1.2059E+02   </w:t>
            </w:r>
          </w:p>
        </w:tc>
        <w:tc>
          <w:tcPr>
            <w:tcW w:w="2325" w:type="dxa"/>
            <w:noWrap w:val="0"/>
            <w:vAlign w:val="bottom"/>
          </w:tcPr>
          <w:p w14:paraId="6974D234">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5.5556E-01</w:t>
            </w:r>
          </w:p>
        </w:tc>
        <w:tc>
          <w:tcPr>
            <w:tcW w:w="1839" w:type="dxa"/>
            <w:noWrap w:val="0"/>
            <w:vAlign w:val="bottom"/>
          </w:tcPr>
          <w:p w14:paraId="78D449F2">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1.2694E+02</w:t>
            </w:r>
          </w:p>
        </w:tc>
        <w:tc>
          <w:tcPr>
            <w:tcW w:w="2059" w:type="dxa"/>
            <w:noWrap w:val="0"/>
            <w:vAlign w:val="bottom"/>
          </w:tcPr>
          <w:p w14:paraId="5D72839E">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7.3099E-01</w:t>
            </w:r>
          </w:p>
        </w:tc>
      </w:tr>
      <w:tr w14:paraId="13CD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08" w:type="pct"/>
            <w:noWrap w:val="0"/>
            <w:vAlign w:val="center"/>
          </w:tcPr>
          <w:p w14:paraId="02788136">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1934" w:type="dxa"/>
            <w:shd w:val="clear" w:color="auto" w:fill="auto"/>
            <w:noWrap w:val="0"/>
            <w:vAlign w:val="bottom"/>
          </w:tcPr>
          <w:p w14:paraId="68A3D798">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5.2900E+01   </w:t>
            </w:r>
          </w:p>
        </w:tc>
        <w:tc>
          <w:tcPr>
            <w:tcW w:w="2325" w:type="dxa"/>
            <w:noWrap w:val="0"/>
            <w:vAlign w:val="bottom"/>
          </w:tcPr>
          <w:p w14:paraId="64596142">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1.1111E+00</w:t>
            </w:r>
          </w:p>
        </w:tc>
        <w:tc>
          <w:tcPr>
            <w:tcW w:w="1839" w:type="dxa"/>
            <w:noWrap w:val="0"/>
            <w:vAlign w:val="bottom"/>
          </w:tcPr>
          <w:p w14:paraId="6AEC6D9A">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5.5684E+01</w:t>
            </w:r>
          </w:p>
        </w:tc>
        <w:tc>
          <w:tcPr>
            <w:tcW w:w="2059" w:type="dxa"/>
            <w:noWrap w:val="0"/>
            <w:vAlign w:val="bottom"/>
          </w:tcPr>
          <w:p w14:paraId="331006C0">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1.4620E+00</w:t>
            </w:r>
          </w:p>
        </w:tc>
      </w:tr>
      <w:tr w14:paraId="6850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5DD69BD3">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w:t>
            </w:r>
          </w:p>
        </w:tc>
        <w:tc>
          <w:tcPr>
            <w:tcW w:w="1934" w:type="dxa"/>
            <w:shd w:val="clear" w:color="auto" w:fill="auto"/>
            <w:noWrap w:val="0"/>
            <w:vAlign w:val="bottom"/>
          </w:tcPr>
          <w:p w14:paraId="2D6F9457">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1.8608E+01   </w:t>
            </w:r>
          </w:p>
        </w:tc>
        <w:tc>
          <w:tcPr>
            <w:tcW w:w="2325" w:type="dxa"/>
            <w:noWrap w:val="0"/>
            <w:vAlign w:val="bottom"/>
          </w:tcPr>
          <w:p w14:paraId="74006C0C">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2.2222E+00</w:t>
            </w:r>
          </w:p>
        </w:tc>
        <w:tc>
          <w:tcPr>
            <w:tcW w:w="1839" w:type="dxa"/>
            <w:noWrap w:val="0"/>
            <w:vAlign w:val="bottom"/>
          </w:tcPr>
          <w:p w14:paraId="47482D85">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1.9588E+01</w:t>
            </w:r>
          </w:p>
        </w:tc>
        <w:tc>
          <w:tcPr>
            <w:tcW w:w="2059" w:type="dxa"/>
            <w:noWrap w:val="0"/>
            <w:vAlign w:val="bottom"/>
          </w:tcPr>
          <w:p w14:paraId="593852D9">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2.9240E+00</w:t>
            </w:r>
          </w:p>
        </w:tc>
      </w:tr>
      <w:tr w14:paraId="6B89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28B65FA1">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00</w:t>
            </w:r>
          </w:p>
        </w:tc>
        <w:tc>
          <w:tcPr>
            <w:tcW w:w="1934" w:type="dxa"/>
            <w:shd w:val="clear" w:color="auto" w:fill="auto"/>
            <w:noWrap w:val="0"/>
            <w:vAlign w:val="bottom"/>
          </w:tcPr>
          <w:p w14:paraId="1C1FB765">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4.1939E+00   </w:t>
            </w:r>
          </w:p>
        </w:tc>
        <w:tc>
          <w:tcPr>
            <w:tcW w:w="2325" w:type="dxa"/>
            <w:noWrap w:val="0"/>
            <w:vAlign w:val="bottom"/>
          </w:tcPr>
          <w:p w14:paraId="25C891D2">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5.5556E+00</w:t>
            </w:r>
          </w:p>
        </w:tc>
        <w:tc>
          <w:tcPr>
            <w:tcW w:w="1839" w:type="dxa"/>
            <w:noWrap w:val="0"/>
            <w:vAlign w:val="bottom"/>
          </w:tcPr>
          <w:p w14:paraId="7E7641EA">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4.4146E+00</w:t>
            </w:r>
          </w:p>
        </w:tc>
        <w:tc>
          <w:tcPr>
            <w:tcW w:w="2059" w:type="dxa"/>
            <w:noWrap w:val="0"/>
            <w:vAlign w:val="bottom"/>
          </w:tcPr>
          <w:p w14:paraId="0210A0BC">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7.3099E+00</w:t>
            </w:r>
          </w:p>
        </w:tc>
      </w:tr>
      <w:tr w14:paraId="19F5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4B17F5F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1000</w:t>
            </w:r>
          </w:p>
        </w:tc>
        <w:tc>
          <w:tcPr>
            <w:tcW w:w="1934" w:type="dxa"/>
            <w:shd w:val="clear" w:color="auto" w:fill="auto"/>
            <w:noWrap w:val="0"/>
            <w:vAlign w:val="bottom"/>
          </w:tcPr>
          <w:p w14:paraId="796CE9B0">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1.3235E+00   </w:t>
            </w:r>
          </w:p>
        </w:tc>
        <w:tc>
          <w:tcPr>
            <w:tcW w:w="2325" w:type="dxa"/>
            <w:noWrap w:val="0"/>
            <w:vAlign w:val="bottom"/>
          </w:tcPr>
          <w:p w14:paraId="077D545D">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1.1111E+01</w:t>
            </w:r>
          </w:p>
        </w:tc>
        <w:tc>
          <w:tcPr>
            <w:tcW w:w="1839" w:type="dxa"/>
            <w:noWrap w:val="0"/>
            <w:vAlign w:val="bottom"/>
          </w:tcPr>
          <w:p w14:paraId="6BD0A449">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1.3932E+00</w:t>
            </w:r>
          </w:p>
        </w:tc>
        <w:tc>
          <w:tcPr>
            <w:tcW w:w="2059" w:type="dxa"/>
            <w:noWrap w:val="0"/>
            <w:vAlign w:val="bottom"/>
          </w:tcPr>
          <w:p w14:paraId="79F02DA1">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1.4620E+01</w:t>
            </w:r>
          </w:p>
        </w:tc>
      </w:tr>
      <w:tr w14:paraId="543C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4DBA35E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2000</w:t>
            </w:r>
          </w:p>
        </w:tc>
        <w:tc>
          <w:tcPr>
            <w:tcW w:w="1934" w:type="dxa"/>
            <w:shd w:val="clear" w:color="auto" w:fill="auto"/>
            <w:noWrap w:val="0"/>
            <w:vAlign w:val="bottom"/>
          </w:tcPr>
          <w:p w14:paraId="67D9DEB6">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4.6473E-01   </w:t>
            </w:r>
          </w:p>
        </w:tc>
        <w:tc>
          <w:tcPr>
            <w:tcW w:w="2325" w:type="dxa"/>
            <w:noWrap w:val="0"/>
            <w:vAlign w:val="bottom"/>
          </w:tcPr>
          <w:p w14:paraId="15A0CE4E">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2.6222E+01</w:t>
            </w:r>
          </w:p>
        </w:tc>
        <w:tc>
          <w:tcPr>
            <w:tcW w:w="1839" w:type="dxa"/>
            <w:noWrap w:val="0"/>
            <w:vAlign w:val="bottom"/>
          </w:tcPr>
          <w:p w14:paraId="7C41492D">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4.8919E-01</w:t>
            </w:r>
          </w:p>
        </w:tc>
        <w:tc>
          <w:tcPr>
            <w:tcW w:w="2059" w:type="dxa"/>
            <w:noWrap w:val="0"/>
            <w:vAlign w:val="bottom"/>
          </w:tcPr>
          <w:p w14:paraId="170BD3B3">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3.4240E+01</w:t>
            </w:r>
          </w:p>
        </w:tc>
      </w:tr>
      <w:tr w14:paraId="1348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766E2312">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3000</w:t>
            </w:r>
          </w:p>
        </w:tc>
        <w:tc>
          <w:tcPr>
            <w:tcW w:w="1934" w:type="dxa"/>
            <w:shd w:val="clear" w:color="auto" w:fill="auto"/>
            <w:noWrap w:val="0"/>
            <w:vAlign w:val="bottom"/>
          </w:tcPr>
          <w:p w14:paraId="6D8C1B9B">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2.7057E-01   </w:t>
            </w:r>
          </w:p>
        </w:tc>
        <w:tc>
          <w:tcPr>
            <w:tcW w:w="2325" w:type="dxa"/>
            <w:noWrap w:val="0"/>
            <w:vAlign w:val="bottom"/>
          </w:tcPr>
          <w:p w14:paraId="06AAE4D9">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3.9333E+01</w:t>
            </w:r>
          </w:p>
        </w:tc>
        <w:tc>
          <w:tcPr>
            <w:tcW w:w="1839" w:type="dxa"/>
            <w:noWrap w:val="0"/>
            <w:vAlign w:val="bottom"/>
          </w:tcPr>
          <w:p w14:paraId="5157AA6E">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2.8485E-01</w:t>
            </w:r>
          </w:p>
        </w:tc>
        <w:tc>
          <w:tcPr>
            <w:tcW w:w="2059" w:type="dxa"/>
            <w:noWrap w:val="0"/>
            <w:vAlign w:val="bottom"/>
          </w:tcPr>
          <w:p w14:paraId="0E4563CA">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5.1860E+01</w:t>
            </w:r>
          </w:p>
        </w:tc>
      </w:tr>
      <w:tr w14:paraId="7F48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34B2B7FB">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4000</w:t>
            </w:r>
          </w:p>
        </w:tc>
        <w:tc>
          <w:tcPr>
            <w:tcW w:w="1934" w:type="dxa"/>
            <w:shd w:val="clear" w:color="auto" w:fill="auto"/>
            <w:noWrap w:val="0"/>
            <w:vAlign w:val="bottom"/>
          </w:tcPr>
          <w:p w14:paraId="05B96982">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1.8430E-01   </w:t>
            </w:r>
          </w:p>
        </w:tc>
        <w:tc>
          <w:tcPr>
            <w:tcW w:w="2325" w:type="dxa"/>
            <w:noWrap w:val="0"/>
            <w:vAlign w:val="bottom"/>
          </w:tcPr>
          <w:p w14:paraId="78974E59">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5.1444E+01</w:t>
            </w:r>
          </w:p>
        </w:tc>
        <w:tc>
          <w:tcPr>
            <w:tcW w:w="1839" w:type="dxa"/>
            <w:noWrap w:val="0"/>
            <w:vAlign w:val="bottom"/>
          </w:tcPr>
          <w:p w14:paraId="21407617">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1.9393E-01</w:t>
            </w:r>
          </w:p>
        </w:tc>
        <w:tc>
          <w:tcPr>
            <w:tcW w:w="2059" w:type="dxa"/>
            <w:noWrap w:val="0"/>
            <w:vAlign w:val="bottom"/>
          </w:tcPr>
          <w:p w14:paraId="3457C97E">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6.5479E+01</w:t>
            </w:r>
          </w:p>
        </w:tc>
      </w:tr>
      <w:tr w14:paraId="542B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49737C34">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5000</w:t>
            </w:r>
          </w:p>
        </w:tc>
        <w:tc>
          <w:tcPr>
            <w:tcW w:w="1934" w:type="dxa"/>
            <w:shd w:val="clear" w:color="auto" w:fill="auto"/>
            <w:noWrap w:val="0"/>
            <w:vAlign w:val="bottom"/>
          </w:tcPr>
          <w:p w14:paraId="264DE7C8">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1.3678E-01   </w:t>
            </w:r>
          </w:p>
        </w:tc>
        <w:tc>
          <w:tcPr>
            <w:tcW w:w="2325" w:type="dxa"/>
            <w:noWrap w:val="0"/>
            <w:vAlign w:val="bottom"/>
          </w:tcPr>
          <w:p w14:paraId="13673175">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6.2555E+01</w:t>
            </w:r>
          </w:p>
        </w:tc>
        <w:tc>
          <w:tcPr>
            <w:tcW w:w="1839" w:type="dxa"/>
            <w:noWrap w:val="0"/>
            <w:vAlign w:val="bottom"/>
          </w:tcPr>
          <w:p w14:paraId="1185A407">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1.4336E-01</w:t>
            </w:r>
          </w:p>
        </w:tc>
        <w:tc>
          <w:tcPr>
            <w:tcW w:w="2059" w:type="dxa"/>
            <w:noWrap w:val="0"/>
            <w:vAlign w:val="bottom"/>
          </w:tcPr>
          <w:p w14:paraId="30CCE907">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8.0100E+01</w:t>
            </w:r>
          </w:p>
        </w:tc>
      </w:tr>
    </w:tbl>
    <w:p w14:paraId="30B2916C">
      <w:pPr>
        <w:pStyle w:val="24"/>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pic:cNvPicPr>
                      <a:picLocks noChangeAspect="1"/>
                    </pic:cNvPicPr>
                  </pic:nvPicPr>
                  <pic:blipFill>
                    <a:blip r:embed="rId192"/>
                    <a:stretch>
                      <a:fillRect/>
                    </a:stretch>
                  </pic:blipFill>
                  <pic:spPr>
                    <a:xfrm>
                      <a:off x="0" y="0"/>
                      <a:ext cx="5899785" cy="2965450"/>
                    </a:xfrm>
                    <a:prstGeom prst="rect">
                      <a:avLst/>
                    </a:prstGeom>
                    <a:noFill/>
                    <a:ln>
                      <a:noFill/>
                    </a:ln>
                  </pic:spPr>
                </pic:pic>
              </a:graphicData>
            </a:graphic>
          </wp:inline>
        </w:drawing>
      </w:r>
    </w:p>
    <w:p w14:paraId="7585AAA8">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氟化物</w:t>
      </w:r>
      <w:r>
        <w:rPr>
          <w:rFonts w:hint="default" w:ascii="Times New Roman" w:hAnsi="Times New Roman" w:cs="Times New Roman"/>
          <w:color w:val="auto"/>
          <w:highlight w:val="none"/>
          <w:lang w:val="en-US" w:eastAsia="zh-CN"/>
        </w:rPr>
        <w:t>轴线最大浓度-距离曲线图（最不利气象条件）</w:t>
      </w:r>
    </w:p>
    <w:p w14:paraId="0C7E5BC5">
      <w:pPr>
        <w:pStyle w:val="28"/>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pic:cNvPicPr>
                      <a:picLocks noChangeAspect="1"/>
                    </pic:cNvPicPr>
                  </pic:nvPicPr>
                  <pic:blipFill>
                    <a:blip r:embed="rId193"/>
                    <a:stretch>
                      <a:fillRect/>
                    </a:stretch>
                  </pic:blipFill>
                  <pic:spPr>
                    <a:xfrm>
                      <a:off x="0" y="0"/>
                      <a:ext cx="5899785" cy="2965450"/>
                    </a:xfrm>
                    <a:prstGeom prst="rect">
                      <a:avLst/>
                    </a:prstGeom>
                    <a:noFill/>
                    <a:ln>
                      <a:noFill/>
                    </a:ln>
                  </pic:spPr>
                </pic:pic>
              </a:graphicData>
            </a:graphic>
          </wp:inline>
        </w:drawing>
      </w:r>
    </w:p>
    <w:p w14:paraId="12B2C9EC">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氟化物</w:t>
      </w:r>
      <w:r>
        <w:rPr>
          <w:rFonts w:hint="default" w:ascii="Times New Roman" w:hAnsi="Times New Roman" w:cs="Times New Roman"/>
          <w:color w:val="auto"/>
          <w:highlight w:val="none"/>
          <w:lang w:val="en-US" w:eastAsia="zh-CN"/>
        </w:rPr>
        <w:t>轴线最大浓度-距离曲线图（最常见气象条件）</w:t>
      </w:r>
    </w:p>
    <w:p w14:paraId="56B5B5F5">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（3）敏感点预测浓度</w:t>
      </w:r>
    </w:p>
    <w:p w14:paraId="4C4762AC">
      <w:pPr>
        <w:pStyle w:val="26"/>
        <w:bidi w:val="0"/>
        <w:rPr>
          <w:rFonts w:hint="default" w:ascii="Times New Roman" w:hAnsi="Times New Roman" w:cs="Times New Roman"/>
          <w:color w:val="auto"/>
          <w:highlight w:val="none"/>
        </w:rPr>
      </w:pPr>
      <w:r>
        <w:rPr>
          <w:rFonts w:hint="eastAsia" w:cs="Times New Roman"/>
          <w:color w:val="auto"/>
          <w:kern w:val="0"/>
          <w:sz w:val="24"/>
          <w:szCs w:val="24"/>
          <w:highlight w:val="none"/>
          <w:lang w:val="en-US" w:eastAsia="zh-CN" w:bidi="ar"/>
        </w:rPr>
        <w:t>氟硅酸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污染物扩散至周边环境敏感点浓度预测结果见下表。</w:t>
      </w:r>
    </w:p>
    <w:p w14:paraId="23D1F4E7">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cs="Times New Roman"/>
          <w:color w:val="auto"/>
          <w:highlight w:val="none"/>
          <w:lang w:val="en-US" w:eastAsia="zh-CN"/>
        </w:rPr>
        <w:t>储罐泄漏事故下环境关心点</w:t>
      </w:r>
      <w:r>
        <w:rPr>
          <w:rFonts w:hint="eastAsia" w:cs="Times New Roman"/>
          <w:color w:val="auto"/>
          <w:highlight w:val="none"/>
          <w:lang w:val="en-US" w:eastAsia="zh-CN"/>
        </w:rPr>
        <w:t>氟化物</w:t>
      </w:r>
      <w:r>
        <w:rPr>
          <w:rFonts w:hint="default" w:ascii="Times New Roman" w:hAnsi="Times New Roman" w:cs="Times New Roman"/>
          <w:color w:val="auto"/>
          <w:highlight w:val="none"/>
          <w:lang w:val="en-US" w:eastAsia="zh-CN"/>
        </w:rPr>
        <w:t>浓度预测结果</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546"/>
        <w:gridCol w:w="1759"/>
        <w:gridCol w:w="1829"/>
        <w:gridCol w:w="1675"/>
      </w:tblGrid>
      <w:tr w14:paraId="4CF0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restart"/>
            <w:noWrap w:val="0"/>
            <w:vAlign w:val="center"/>
          </w:tcPr>
          <w:p w14:paraId="5A07D47F">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1738" w:type="pct"/>
            <w:gridSpan w:val="2"/>
            <w:noWrap w:val="0"/>
            <w:vAlign w:val="center"/>
          </w:tcPr>
          <w:p w14:paraId="73717DFB">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最不利气象条件</w:t>
            </w:r>
          </w:p>
        </w:tc>
        <w:tc>
          <w:tcPr>
            <w:tcW w:w="1843" w:type="pct"/>
            <w:gridSpan w:val="2"/>
            <w:noWrap w:val="0"/>
            <w:vAlign w:val="center"/>
          </w:tcPr>
          <w:p w14:paraId="413FDCA5">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最常见气象条件</w:t>
            </w:r>
          </w:p>
        </w:tc>
      </w:tr>
      <w:tr w14:paraId="59B5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continue"/>
            <w:noWrap w:val="0"/>
            <w:vAlign w:val="center"/>
          </w:tcPr>
          <w:p w14:paraId="08007468">
            <w:pPr>
              <w:pStyle w:val="24"/>
              <w:bidi w:val="0"/>
              <w:rPr>
                <w:rFonts w:hint="default" w:ascii="Times New Roman" w:hAnsi="Times New Roman" w:cs="Times New Roman"/>
                <w:color w:val="auto"/>
                <w:sz w:val="21"/>
                <w:szCs w:val="21"/>
              </w:rPr>
            </w:pPr>
          </w:p>
        </w:tc>
        <w:tc>
          <w:tcPr>
            <w:tcW w:w="813" w:type="pct"/>
            <w:shd w:val="clear" w:color="auto" w:fill="auto"/>
            <w:noWrap w:val="0"/>
            <w:vAlign w:val="center"/>
          </w:tcPr>
          <w:p w14:paraId="4418849B">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924" w:type="pct"/>
            <w:shd w:val="clear" w:color="auto" w:fill="auto"/>
            <w:noWrap w:val="0"/>
            <w:vAlign w:val="center"/>
          </w:tcPr>
          <w:p w14:paraId="6EE4892B">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最大浓度出现时间（min）</w:t>
            </w:r>
          </w:p>
        </w:tc>
        <w:tc>
          <w:tcPr>
            <w:tcW w:w="962" w:type="pct"/>
            <w:noWrap w:val="0"/>
            <w:vAlign w:val="center"/>
          </w:tcPr>
          <w:p w14:paraId="38328DFB">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880" w:type="pct"/>
            <w:noWrap w:val="0"/>
            <w:vAlign w:val="center"/>
          </w:tcPr>
          <w:p w14:paraId="320F5D78">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最大浓度出现时间（min）</w:t>
            </w:r>
          </w:p>
        </w:tc>
      </w:tr>
      <w:tr w14:paraId="71A1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2B370B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13" w:type="pct"/>
            <w:shd w:val="clear" w:color="auto" w:fill="auto"/>
            <w:noWrap w:val="0"/>
            <w:vAlign w:val="bottom"/>
          </w:tcPr>
          <w:p w14:paraId="5BC6309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924" w:type="pct"/>
            <w:shd w:val="clear" w:color="auto" w:fill="auto"/>
            <w:noWrap w:val="0"/>
            <w:vAlign w:val="center"/>
          </w:tcPr>
          <w:p w14:paraId="2146F13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shd w:val="clear" w:color="auto" w:fill="auto"/>
            <w:noWrap w:val="0"/>
            <w:vAlign w:val="bottom"/>
          </w:tcPr>
          <w:p w14:paraId="0CA8D973">
            <w:pPr>
              <w:pStyle w:val="24"/>
              <w:bidi w:val="0"/>
              <w:ind w:left="0" w:leftChars="0"/>
              <w:rPr>
                <w:rFonts w:hint="eastAsia"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AE9241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99F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563D7D1">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金堂村</w:t>
            </w:r>
          </w:p>
        </w:tc>
        <w:tc>
          <w:tcPr>
            <w:tcW w:w="1546" w:type="dxa"/>
            <w:noWrap w:val="0"/>
            <w:vAlign w:val="bottom"/>
          </w:tcPr>
          <w:p w14:paraId="7073106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373DB6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41EC8E7">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20047E5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667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 w:type="pct"/>
            <w:noWrap w:val="0"/>
            <w:vAlign w:val="bottom"/>
          </w:tcPr>
          <w:p w14:paraId="1C65E6D5">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亮垭村</w:t>
            </w:r>
          </w:p>
        </w:tc>
        <w:tc>
          <w:tcPr>
            <w:tcW w:w="1546" w:type="dxa"/>
            <w:noWrap w:val="0"/>
            <w:vAlign w:val="bottom"/>
          </w:tcPr>
          <w:p w14:paraId="28B57B0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6FBF04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0FE81378">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7089A3F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8E9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A5726BC">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秋锦山村</w:t>
            </w:r>
          </w:p>
        </w:tc>
        <w:tc>
          <w:tcPr>
            <w:tcW w:w="1546" w:type="dxa"/>
            <w:noWrap w:val="0"/>
            <w:vAlign w:val="bottom"/>
          </w:tcPr>
          <w:p w14:paraId="0FDF17C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16E0F2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750092D">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706FF2B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D51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147427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春在镇</w:t>
            </w:r>
          </w:p>
        </w:tc>
        <w:tc>
          <w:tcPr>
            <w:tcW w:w="1546" w:type="dxa"/>
            <w:noWrap w:val="0"/>
            <w:vAlign w:val="bottom"/>
          </w:tcPr>
          <w:p w14:paraId="3E90C2B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4E2E0C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6DCAE96">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7C704B1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BB5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829BCD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通江县城</w:t>
            </w:r>
          </w:p>
        </w:tc>
        <w:tc>
          <w:tcPr>
            <w:tcW w:w="1546" w:type="dxa"/>
            <w:noWrap w:val="0"/>
            <w:vAlign w:val="bottom"/>
          </w:tcPr>
          <w:p w14:paraId="7901864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2BF73AD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52176ADE">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4993AEA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53C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195476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檬子垭村</w:t>
            </w:r>
          </w:p>
        </w:tc>
        <w:tc>
          <w:tcPr>
            <w:tcW w:w="1546" w:type="dxa"/>
            <w:noWrap w:val="0"/>
            <w:vAlign w:val="bottom"/>
          </w:tcPr>
          <w:p w14:paraId="509215D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1266B2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337B29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63B16C9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27B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17D4EE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火峰村</w:t>
            </w:r>
          </w:p>
        </w:tc>
        <w:tc>
          <w:tcPr>
            <w:tcW w:w="1546" w:type="dxa"/>
            <w:noWrap w:val="0"/>
            <w:vAlign w:val="bottom"/>
          </w:tcPr>
          <w:p w14:paraId="4635CA5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2804C4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3642A80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56E725C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04F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281956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1546" w:type="dxa"/>
            <w:noWrap w:val="0"/>
            <w:vAlign w:val="bottom"/>
          </w:tcPr>
          <w:p w14:paraId="50460FB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46D954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5F435AF7">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EA4943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9E5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BAD84C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大铁山村</w:t>
            </w:r>
          </w:p>
        </w:tc>
        <w:tc>
          <w:tcPr>
            <w:tcW w:w="1546" w:type="dxa"/>
            <w:noWrap w:val="0"/>
            <w:vAlign w:val="bottom"/>
          </w:tcPr>
          <w:p w14:paraId="1FF34E0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8586BB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AF34DC5">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4EAD0E2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65E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6D9EF9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马岭村</w:t>
            </w:r>
          </w:p>
        </w:tc>
        <w:tc>
          <w:tcPr>
            <w:tcW w:w="1546" w:type="dxa"/>
            <w:noWrap w:val="0"/>
            <w:vAlign w:val="bottom"/>
          </w:tcPr>
          <w:p w14:paraId="0861D9E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33F35B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24F2EE5">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671E8A8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E86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83DC88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1546" w:type="dxa"/>
            <w:noWrap w:val="0"/>
            <w:vAlign w:val="bottom"/>
          </w:tcPr>
          <w:p w14:paraId="2675738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D1830F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D639951">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FE66B4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D6A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C502F4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1546" w:type="dxa"/>
            <w:noWrap w:val="0"/>
            <w:vAlign w:val="bottom"/>
          </w:tcPr>
          <w:p w14:paraId="00E382B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3539E5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412761A">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0BC8690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6C6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9E7E60B">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1546" w:type="dxa"/>
            <w:noWrap w:val="0"/>
            <w:vAlign w:val="bottom"/>
          </w:tcPr>
          <w:p w14:paraId="3919BF5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30C52E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CC134C5">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076EF1E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01C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519036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1546" w:type="dxa"/>
            <w:noWrap w:val="0"/>
            <w:vAlign w:val="bottom"/>
          </w:tcPr>
          <w:p w14:paraId="28D6225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1140BC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5684066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17D1127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7B7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D8D3DF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1546" w:type="dxa"/>
            <w:noWrap w:val="0"/>
            <w:vAlign w:val="bottom"/>
          </w:tcPr>
          <w:p w14:paraId="7A6432B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30F833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164E57E">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45CF407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BFB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E647CE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1546" w:type="dxa"/>
            <w:noWrap w:val="0"/>
            <w:vAlign w:val="bottom"/>
          </w:tcPr>
          <w:p w14:paraId="21CE0BE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C3BDD4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7D1D4A9E">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754215A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6A62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5779561">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1546" w:type="dxa"/>
            <w:noWrap w:val="0"/>
            <w:vAlign w:val="bottom"/>
          </w:tcPr>
          <w:p w14:paraId="222C1B1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F28C5A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7B88D982">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35D1F16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4A0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54E189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1546" w:type="dxa"/>
            <w:noWrap w:val="0"/>
            <w:vAlign w:val="bottom"/>
          </w:tcPr>
          <w:p w14:paraId="443E720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22A787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3B7B9B0F">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1A19A20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471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4C2E08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1546" w:type="dxa"/>
            <w:noWrap w:val="0"/>
            <w:vAlign w:val="bottom"/>
          </w:tcPr>
          <w:p w14:paraId="22EDBEE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CA9743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56AEF929">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428D136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4D5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AFC852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1546" w:type="dxa"/>
            <w:noWrap w:val="0"/>
            <w:vAlign w:val="bottom"/>
          </w:tcPr>
          <w:p w14:paraId="1ADE0C6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DABE22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F4444C7">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0A250F0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5CB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001780E">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1546" w:type="dxa"/>
            <w:noWrap w:val="0"/>
            <w:vAlign w:val="bottom"/>
          </w:tcPr>
          <w:p w14:paraId="779092F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AE74F4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572F1194">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4F8E621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3507B054">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根据预测结果，</w:t>
      </w:r>
      <w:r>
        <w:rPr>
          <w:rFonts w:hint="eastAsia" w:cs="Times New Roman"/>
          <w:color w:val="auto"/>
          <w:highlight w:val="none"/>
          <w:lang w:val="en-US" w:eastAsia="zh-CN"/>
        </w:rPr>
        <w:t>氟硅酸</w:t>
      </w:r>
      <w:r>
        <w:rPr>
          <w:rFonts w:hint="default" w:ascii="Times New Roman" w:hAnsi="Times New Roman" w:eastAsia="宋体" w:cs="Times New Roman"/>
          <w:color w:val="auto"/>
          <w:kern w:val="0"/>
          <w:sz w:val="24"/>
          <w:szCs w:val="24"/>
          <w:highlight w:val="none"/>
          <w:lang w:val="en-US" w:eastAsia="zh-CN" w:bidi="ar"/>
        </w:rPr>
        <w:t>储罐发生</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事故，在最不利</w:t>
      </w:r>
      <w:r>
        <w:rPr>
          <w:rFonts w:hint="default" w:ascii="Times New Roman" w:hAnsi="Times New Roman" w:cs="Times New Roman"/>
          <w:color w:val="auto"/>
          <w:kern w:val="0"/>
          <w:sz w:val="24"/>
          <w:szCs w:val="24"/>
          <w:highlight w:val="none"/>
          <w:lang w:val="en-US" w:eastAsia="zh-CN" w:bidi="ar"/>
        </w:rPr>
        <w:t>/最常见</w:t>
      </w:r>
      <w:r>
        <w:rPr>
          <w:rFonts w:hint="default" w:ascii="Times New Roman" w:hAnsi="Times New Roman" w:eastAsia="宋体" w:cs="Times New Roman"/>
          <w:color w:val="auto"/>
          <w:kern w:val="0"/>
          <w:sz w:val="24"/>
          <w:szCs w:val="24"/>
          <w:highlight w:val="none"/>
          <w:lang w:val="en-US" w:eastAsia="zh-CN" w:bidi="ar"/>
        </w:rPr>
        <w:t>气象件下评价范围内各关心点</w:t>
      </w:r>
      <w:r>
        <w:rPr>
          <w:rFonts w:hint="eastAsia" w:cs="Times New Roman"/>
          <w:color w:val="auto"/>
          <w:kern w:val="0"/>
          <w:sz w:val="24"/>
          <w:szCs w:val="24"/>
          <w:highlight w:val="none"/>
          <w:lang w:val="en-US" w:eastAsia="zh-CN" w:bidi="ar"/>
        </w:rPr>
        <w:t>均</w:t>
      </w:r>
      <w:r>
        <w:rPr>
          <w:rFonts w:hint="default" w:ascii="Times New Roman" w:hAnsi="Times New Roman" w:eastAsia="宋体" w:cs="Times New Roman"/>
          <w:color w:val="auto"/>
          <w:kern w:val="0"/>
          <w:sz w:val="24"/>
          <w:szCs w:val="24"/>
          <w:highlight w:val="none"/>
          <w:lang w:val="en-US" w:eastAsia="zh-CN" w:bidi="ar"/>
        </w:rPr>
        <w:t>不会出现毒性终点浓度-1值、毒性终点浓度-2值。</w:t>
      </w:r>
    </w:p>
    <w:p w14:paraId="551091D9">
      <w:pPr>
        <w:pStyle w:val="2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氟硅酸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kern w:val="0"/>
          <w:sz w:val="24"/>
          <w:szCs w:val="24"/>
          <w:highlight w:val="none"/>
          <w:lang w:val="en-US" w:eastAsia="zh-CN" w:bidi="ar"/>
        </w:rPr>
        <w:t>泄漏</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周边环境敏感点</w:t>
      </w:r>
      <w:r>
        <w:rPr>
          <w:rFonts w:hint="eastAsia" w:cs="Times New Roman"/>
          <w:color w:val="auto"/>
          <w:kern w:val="0"/>
          <w:sz w:val="24"/>
          <w:szCs w:val="24"/>
          <w:highlight w:val="none"/>
          <w:lang w:val="en-US" w:eastAsia="zh-CN" w:bidi="ar"/>
        </w:rPr>
        <w:t>氟化物</w:t>
      </w:r>
      <w:r>
        <w:rPr>
          <w:rFonts w:hint="default" w:ascii="Times New Roman" w:hAnsi="Times New Roman" w:cs="Times New Roman"/>
          <w:color w:val="auto"/>
          <w:highlight w:val="none"/>
          <w:lang w:val="en-US" w:eastAsia="zh-CN"/>
        </w:rPr>
        <w:t>浓度随时间变化情况表见下表。</w:t>
      </w:r>
    </w:p>
    <w:p w14:paraId="2868DAAD">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w:t>
      </w:r>
      <w:r>
        <w:rPr>
          <w:rFonts w:hint="eastAsia" w:cs="Times New Roman"/>
          <w:color w:val="auto"/>
          <w:kern w:val="0"/>
          <w:sz w:val="21"/>
          <w:szCs w:val="21"/>
          <w:highlight w:val="none"/>
          <w:lang w:val="en-US" w:eastAsia="zh-CN" w:bidi="ar"/>
        </w:rPr>
        <w:t>氟硅酸</w:t>
      </w:r>
      <w:r>
        <w:rPr>
          <w:rFonts w:hint="default" w:ascii="Times New Roman" w:hAnsi="Times New Roman" w:cs="Times New Roman"/>
          <w:color w:val="auto"/>
          <w:highlight w:val="none"/>
          <w:lang w:val="en-US" w:eastAsia="zh-CN"/>
        </w:rPr>
        <w:t>储罐泄漏事故下环境关心点</w:t>
      </w:r>
      <w:r>
        <w:rPr>
          <w:rFonts w:hint="eastAsia" w:cs="Times New Roman"/>
          <w:color w:val="auto"/>
          <w:kern w:val="0"/>
          <w:sz w:val="21"/>
          <w:szCs w:val="21"/>
          <w:highlight w:val="none"/>
          <w:lang w:val="en-US" w:eastAsia="zh-CN" w:bidi="ar"/>
        </w:rPr>
        <w:t>氟化物</w:t>
      </w:r>
      <w:r>
        <w:rPr>
          <w:rFonts w:hint="default" w:ascii="Times New Roman" w:hAnsi="Times New Roman" w:cs="Times New Roman"/>
          <w:color w:val="auto"/>
          <w:highlight w:val="none"/>
          <w:lang w:val="en-US" w:eastAsia="zh-CN"/>
        </w:rPr>
        <w:t>浓度随时间变化情况表</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1527"/>
        <w:gridCol w:w="1446"/>
        <w:gridCol w:w="1486"/>
        <w:gridCol w:w="1418"/>
        <w:gridCol w:w="1470"/>
      </w:tblGrid>
      <w:tr w14:paraId="3A9A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restart"/>
            <w:noWrap w:val="0"/>
            <w:vAlign w:val="center"/>
          </w:tcPr>
          <w:p w14:paraId="50688CDD">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3864" w:type="pct"/>
            <w:gridSpan w:val="5"/>
            <w:noWrap w:val="0"/>
            <w:vAlign w:val="center"/>
          </w:tcPr>
          <w:p w14:paraId="04FD0384">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浓度-最不利气象条件下</w:t>
            </w:r>
          </w:p>
        </w:tc>
      </w:tr>
      <w:tr w14:paraId="2109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5" w:type="pct"/>
            <w:vMerge w:val="continue"/>
            <w:noWrap w:val="0"/>
            <w:vAlign w:val="center"/>
          </w:tcPr>
          <w:p w14:paraId="6F36E69A">
            <w:pPr>
              <w:pStyle w:val="24"/>
              <w:bidi w:val="0"/>
              <w:rPr>
                <w:rFonts w:hint="default" w:ascii="Times New Roman" w:hAnsi="Times New Roman" w:cs="Times New Roman"/>
                <w:color w:val="auto"/>
                <w:sz w:val="21"/>
                <w:szCs w:val="21"/>
              </w:rPr>
            </w:pPr>
          </w:p>
        </w:tc>
        <w:tc>
          <w:tcPr>
            <w:tcW w:w="803" w:type="pct"/>
            <w:shd w:val="clear" w:color="auto" w:fill="auto"/>
            <w:noWrap w:val="0"/>
            <w:vAlign w:val="center"/>
          </w:tcPr>
          <w:p w14:paraId="600B3BA4">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1min</w:t>
            </w:r>
          </w:p>
        </w:tc>
        <w:tc>
          <w:tcPr>
            <w:tcW w:w="760" w:type="pct"/>
            <w:shd w:val="clear" w:color="auto" w:fill="auto"/>
            <w:noWrap w:val="0"/>
            <w:vAlign w:val="center"/>
          </w:tcPr>
          <w:p w14:paraId="04A3B310">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781" w:type="pct"/>
            <w:noWrap w:val="0"/>
            <w:vAlign w:val="center"/>
          </w:tcPr>
          <w:p w14:paraId="15BF0716">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745" w:type="pct"/>
            <w:shd w:val="clear" w:color="auto" w:fill="auto"/>
            <w:noWrap w:val="0"/>
            <w:vAlign w:val="center"/>
          </w:tcPr>
          <w:p w14:paraId="08AF901D">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773" w:type="pct"/>
            <w:shd w:val="clear" w:color="auto" w:fill="auto"/>
            <w:noWrap w:val="0"/>
            <w:vAlign w:val="center"/>
          </w:tcPr>
          <w:p w14:paraId="250F9957">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6F5E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5E1711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03" w:type="pct"/>
            <w:noWrap w:val="0"/>
            <w:vAlign w:val="center"/>
          </w:tcPr>
          <w:p w14:paraId="023C241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873027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12E1E1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AD705D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D6C5A1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B8F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35" w:type="pct"/>
            <w:shd w:val="clear" w:color="auto" w:fill="auto"/>
            <w:noWrap w:val="0"/>
            <w:vAlign w:val="center"/>
          </w:tcPr>
          <w:p w14:paraId="05B5F1F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803" w:type="pct"/>
            <w:noWrap w:val="0"/>
            <w:vAlign w:val="center"/>
          </w:tcPr>
          <w:p w14:paraId="2BD611E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64C0CF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BCD5B1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F9C271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3F64E5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254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F56A84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803" w:type="pct"/>
            <w:noWrap w:val="0"/>
            <w:vAlign w:val="center"/>
          </w:tcPr>
          <w:p w14:paraId="5F15235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D9009A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7686FF9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0EE2C0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58A21E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C73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A20EC2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803" w:type="pct"/>
            <w:noWrap w:val="0"/>
            <w:vAlign w:val="center"/>
          </w:tcPr>
          <w:p w14:paraId="5DEC493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9A30EB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7EE3BB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05A3DD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EE8736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16C3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7C5C50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803" w:type="pct"/>
            <w:noWrap w:val="0"/>
            <w:vAlign w:val="center"/>
          </w:tcPr>
          <w:p w14:paraId="51198FC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5639B49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6238F5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FA6B7A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074208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C0F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4F33F8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803" w:type="pct"/>
            <w:noWrap w:val="0"/>
            <w:vAlign w:val="center"/>
          </w:tcPr>
          <w:p w14:paraId="49E9AFB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E9DDED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7F6E9C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B61D69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68C1E8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826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A0D7CC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803" w:type="pct"/>
            <w:noWrap w:val="0"/>
            <w:vAlign w:val="center"/>
          </w:tcPr>
          <w:p w14:paraId="6600D10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269A6E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65306E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119F69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4CE6EB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686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EF2A3E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803" w:type="pct"/>
            <w:noWrap w:val="0"/>
            <w:vAlign w:val="center"/>
          </w:tcPr>
          <w:p w14:paraId="052E905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C2418B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79598A7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87D84D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2C2C7E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450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571B85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03" w:type="pct"/>
            <w:noWrap w:val="0"/>
            <w:vAlign w:val="center"/>
          </w:tcPr>
          <w:p w14:paraId="24CE2F4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C345CD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624B1E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E1D276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D536A6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3A7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C49CC4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803" w:type="pct"/>
            <w:noWrap w:val="0"/>
            <w:vAlign w:val="center"/>
          </w:tcPr>
          <w:p w14:paraId="3BFD924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A267E9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E65737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1CEF88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8E04C4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8E4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A58DBA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803" w:type="pct"/>
            <w:noWrap w:val="0"/>
            <w:vAlign w:val="center"/>
          </w:tcPr>
          <w:p w14:paraId="704218B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A234C6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4A57F5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B45D50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5A47DB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C49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1A6CE3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03" w:type="pct"/>
            <w:noWrap w:val="0"/>
            <w:vAlign w:val="center"/>
          </w:tcPr>
          <w:p w14:paraId="7C33264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4703DD5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78ECF58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FE70CE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2A896F0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534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439DFF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03" w:type="pct"/>
            <w:noWrap w:val="0"/>
            <w:vAlign w:val="center"/>
          </w:tcPr>
          <w:p w14:paraId="6FB4237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89A458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4F6C7A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179A42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912C1F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E1C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726FD1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03" w:type="pct"/>
            <w:noWrap w:val="0"/>
            <w:vAlign w:val="center"/>
          </w:tcPr>
          <w:p w14:paraId="71274BA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4394C6E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B8FECF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D49E72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24DCA2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545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A1ADE4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03" w:type="pct"/>
            <w:noWrap w:val="0"/>
            <w:vAlign w:val="center"/>
          </w:tcPr>
          <w:p w14:paraId="0352EB2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A4865D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615D027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7CDEC5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0B34CB1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2FB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43C426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03" w:type="pct"/>
            <w:noWrap w:val="0"/>
            <w:vAlign w:val="center"/>
          </w:tcPr>
          <w:p w14:paraId="06EC16F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575499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2AC808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855FB5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B20B68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A43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8BAF89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03" w:type="pct"/>
            <w:noWrap w:val="0"/>
            <w:vAlign w:val="center"/>
          </w:tcPr>
          <w:p w14:paraId="479DEF8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A19208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DE64F9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A5C050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A660B1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BF4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3447C3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03" w:type="pct"/>
            <w:noWrap w:val="0"/>
            <w:vAlign w:val="center"/>
          </w:tcPr>
          <w:p w14:paraId="1CC1AC3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B6E805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71317BB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371E32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23C4E7C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1A5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31DA15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03" w:type="pct"/>
            <w:noWrap w:val="0"/>
            <w:vAlign w:val="center"/>
          </w:tcPr>
          <w:p w14:paraId="1179E39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390B535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4A58F0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C0D730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34E63A6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7CC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AAE128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03" w:type="pct"/>
            <w:noWrap w:val="0"/>
            <w:vAlign w:val="center"/>
          </w:tcPr>
          <w:p w14:paraId="5967C4D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36CAAA1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BBD51D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10D403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223A6E3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672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4C0DB5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03" w:type="pct"/>
            <w:noWrap w:val="0"/>
            <w:vAlign w:val="center"/>
          </w:tcPr>
          <w:p w14:paraId="795395B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BB0D2B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F4B417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801737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16AED0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C538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C160B7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03" w:type="pct"/>
            <w:noWrap w:val="0"/>
            <w:vAlign w:val="center"/>
          </w:tcPr>
          <w:p w14:paraId="561ABDE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49AD59D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6B30BF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5127F1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021872A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115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restart"/>
            <w:noWrap w:val="0"/>
            <w:vAlign w:val="center"/>
          </w:tcPr>
          <w:p w14:paraId="274846B9">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3864" w:type="pct"/>
            <w:gridSpan w:val="5"/>
            <w:noWrap w:val="0"/>
            <w:vAlign w:val="center"/>
          </w:tcPr>
          <w:p w14:paraId="2B6F6251">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浓度-最常见气象条件下</w:t>
            </w:r>
          </w:p>
        </w:tc>
      </w:tr>
      <w:tr w14:paraId="0D61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continue"/>
            <w:noWrap w:val="0"/>
            <w:vAlign w:val="center"/>
          </w:tcPr>
          <w:p w14:paraId="4C1A3A68">
            <w:pPr>
              <w:pStyle w:val="24"/>
              <w:bidi w:val="0"/>
              <w:rPr>
                <w:rFonts w:hint="default" w:ascii="Times New Roman" w:hAnsi="Times New Roman" w:cs="Times New Roman"/>
                <w:color w:val="auto"/>
                <w:sz w:val="21"/>
                <w:szCs w:val="21"/>
              </w:rPr>
            </w:pPr>
          </w:p>
        </w:tc>
        <w:tc>
          <w:tcPr>
            <w:tcW w:w="803" w:type="pct"/>
            <w:shd w:val="clear" w:color="auto" w:fill="auto"/>
            <w:noWrap w:val="0"/>
            <w:vAlign w:val="center"/>
          </w:tcPr>
          <w:p w14:paraId="5004AE7F">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1min</w:t>
            </w:r>
          </w:p>
        </w:tc>
        <w:tc>
          <w:tcPr>
            <w:tcW w:w="760" w:type="pct"/>
            <w:shd w:val="clear" w:color="auto" w:fill="auto"/>
            <w:noWrap w:val="0"/>
            <w:vAlign w:val="center"/>
          </w:tcPr>
          <w:p w14:paraId="0DFF0053">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781" w:type="pct"/>
            <w:noWrap w:val="0"/>
            <w:vAlign w:val="center"/>
          </w:tcPr>
          <w:p w14:paraId="4C618CB4">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745" w:type="pct"/>
            <w:shd w:val="clear" w:color="auto" w:fill="auto"/>
            <w:noWrap w:val="0"/>
            <w:vAlign w:val="center"/>
          </w:tcPr>
          <w:p w14:paraId="0C676AA5">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773" w:type="pct"/>
            <w:shd w:val="clear" w:color="auto" w:fill="auto"/>
            <w:noWrap w:val="0"/>
            <w:vAlign w:val="center"/>
          </w:tcPr>
          <w:p w14:paraId="5545E6F5">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619D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146091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03" w:type="pct"/>
            <w:shd w:val="clear" w:color="auto" w:fill="auto"/>
            <w:noWrap w:val="0"/>
            <w:vAlign w:val="center"/>
          </w:tcPr>
          <w:p w14:paraId="132115B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71EE53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075BDA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59365B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FE7C59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2EA9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3B8E9B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803" w:type="pct"/>
            <w:shd w:val="clear" w:color="auto" w:fill="auto"/>
            <w:noWrap w:val="0"/>
            <w:vAlign w:val="center"/>
          </w:tcPr>
          <w:p w14:paraId="007A5D8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4B25C21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7BD5DE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96142B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423E3AF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027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B76ECE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803" w:type="pct"/>
            <w:shd w:val="clear" w:color="auto" w:fill="auto"/>
            <w:noWrap w:val="0"/>
            <w:vAlign w:val="center"/>
          </w:tcPr>
          <w:p w14:paraId="18ED6B8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38F3542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B5E2D0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E81B5F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275091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7242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D95FB0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803" w:type="pct"/>
            <w:shd w:val="clear" w:color="auto" w:fill="auto"/>
            <w:noWrap w:val="0"/>
            <w:vAlign w:val="center"/>
          </w:tcPr>
          <w:p w14:paraId="54FDAFA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28B1EB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2881B5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E0C6A2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C34D2C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7A61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C07A7A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803" w:type="pct"/>
            <w:shd w:val="clear" w:color="auto" w:fill="auto"/>
            <w:noWrap w:val="0"/>
            <w:vAlign w:val="center"/>
          </w:tcPr>
          <w:p w14:paraId="73BE236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34ECD4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12BB345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24BDB1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CC2016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CAA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806EFE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803" w:type="pct"/>
            <w:shd w:val="clear" w:color="auto" w:fill="auto"/>
            <w:noWrap w:val="0"/>
            <w:vAlign w:val="center"/>
          </w:tcPr>
          <w:p w14:paraId="3F0BE71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4EFE07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9756AF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7779E1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3AF42D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40DA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55722E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803" w:type="pct"/>
            <w:shd w:val="clear" w:color="auto" w:fill="auto"/>
            <w:noWrap w:val="0"/>
            <w:vAlign w:val="center"/>
          </w:tcPr>
          <w:p w14:paraId="401F118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F2A229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41D9C9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2B333D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DCEB1B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549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3E66E0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803" w:type="pct"/>
            <w:shd w:val="clear" w:color="auto" w:fill="auto"/>
            <w:noWrap w:val="0"/>
            <w:vAlign w:val="center"/>
          </w:tcPr>
          <w:p w14:paraId="46E18FF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4DE146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C44C79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7A2ED2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AC8FF7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423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1FBF16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03" w:type="pct"/>
            <w:shd w:val="clear" w:color="auto" w:fill="auto"/>
            <w:noWrap w:val="0"/>
            <w:vAlign w:val="center"/>
          </w:tcPr>
          <w:p w14:paraId="655556D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0D8214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387FAB1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310C0F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BF7243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78D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A063E9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803" w:type="pct"/>
            <w:shd w:val="clear" w:color="auto" w:fill="auto"/>
            <w:noWrap w:val="0"/>
            <w:vAlign w:val="center"/>
          </w:tcPr>
          <w:p w14:paraId="0F94322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A95AAF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52D8F3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7BDFEA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711C24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E21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574EC2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803" w:type="pct"/>
            <w:shd w:val="clear" w:color="auto" w:fill="auto"/>
            <w:noWrap w:val="0"/>
            <w:vAlign w:val="center"/>
          </w:tcPr>
          <w:p w14:paraId="0B45C73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65131C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010972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CA8394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EA1A5D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CA1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153971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03" w:type="pct"/>
            <w:shd w:val="clear" w:color="auto" w:fill="auto"/>
            <w:noWrap w:val="0"/>
            <w:vAlign w:val="center"/>
          </w:tcPr>
          <w:p w14:paraId="2FA2947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B14267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3F1D515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01D1D7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DD9F23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2C2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912765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03" w:type="pct"/>
            <w:shd w:val="clear" w:color="auto" w:fill="auto"/>
            <w:noWrap w:val="0"/>
            <w:vAlign w:val="center"/>
          </w:tcPr>
          <w:p w14:paraId="76BA2A8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55CA42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B69220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3C07AD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7EB7C8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223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00C235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03" w:type="pct"/>
            <w:shd w:val="clear" w:color="auto" w:fill="auto"/>
            <w:noWrap w:val="0"/>
            <w:vAlign w:val="center"/>
          </w:tcPr>
          <w:p w14:paraId="2703185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27C5EE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28DF6B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772D05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28973C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395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9A99BD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03" w:type="pct"/>
            <w:shd w:val="clear" w:color="auto" w:fill="auto"/>
            <w:noWrap w:val="0"/>
            <w:vAlign w:val="center"/>
          </w:tcPr>
          <w:p w14:paraId="60F3C19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E9BD1E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354678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48A9B2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231A09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AEB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826568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03" w:type="pct"/>
            <w:shd w:val="clear" w:color="auto" w:fill="auto"/>
            <w:noWrap w:val="0"/>
            <w:vAlign w:val="center"/>
          </w:tcPr>
          <w:p w14:paraId="0047605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E371E4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6BC232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C11F15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49E2E7B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D9B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6F7470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03" w:type="pct"/>
            <w:shd w:val="clear" w:color="auto" w:fill="auto"/>
            <w:noWrap w:val="0"/>
            <w:vAlign w:val="center"/>
          </w:tcPr>
          <w:p w14:paraId="4E8681F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9D9004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999D75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85DF94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D7D2DD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C47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188140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03" w:type="pct"/>
            <w:shd w:val="clear" w:color="auto" w:fill="auto"/>
            <w:noWrap w:val="0"/>
            <w:vAlign w:val="center"/>
          </w:tcPr>
          <w:p w14:paraId="35ADE69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95C972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5E67C3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001A7E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864233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4FA4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014DB0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03" w:type="pct"/>
            <w:shd w:val="clear" w:color="auto" w:fill="auto"/>
            <w:noWrap w:val="0"/>
            <w:vAlign w:val="center"/>
          </w:tcPr>
          <w:p w14:paraId="4687A82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BC778C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5A7668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0AB548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0096B4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065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5C6687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03" w:type="pct"/>
            <w:shd w:val="clear" w:color="auto" w:fill="auto"/>
            <w:noWrap w:val="0"/>
            <w:vAlign w:val="center"/>
          </w:tcPr>
          <w:p w14:paraId="7AA4FA0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E50109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12A83E2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AEDD1B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265467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CC5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AA5C30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03" w:type="pct"/>
            <w:shd w:val="clear" w:color="auto" w:fill="auto"/>
            <w:noWrap w:val="0"/>
            <w:vAlign w:val="center"/>
          </w:tcPr>
          <w:p w14:paraId="7D87799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4DAFB56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21116C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77DB0F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9E7B2D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F68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BCD766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03" w:type="pct"/>
            <w:shd w:val="clear" w:color="auto" w:fill="auto"/>
            <w:noWrap w:val="0"/>
            <w:vAlign w:val="center"/>
          </w:tcPr>
          <w:p w14:paraId="1468079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44F829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E2869E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51D59C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F78B3F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bl>
    <w:p w14:paraId="7F3F6FCA">
      <w:pPr>
        <w:pStyle w:val="5"/>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火灾爆炸一氧化碳</w:t>
      </w:r>
    </w:p>
    <w:p w14:paraId="20972236">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在最不利</w:t>
      </w:r>
      <w:r>
        <w:rPr>
          <w:rFonts w:hint="default" w:ascii="Times New Roman" w:hAnsi="Times New Roman" w:cs="Times New Roman"/>
          <w:color w:val="auto"/>
          <w:highlight w:val="none"/>
          <w:lang w:val="en-US" w:eastAsia="zh-CN"/>
        </w:rPr>
        <w:t>/最常见</w:t>
      </w:r>
      <w:r>
        <w:rPr>
          <w:rFonts w:hint="default" w:ascii="Times New Roman" w:hAnsi="Times New Roman" w:cs="Times New Roman"/>
          <w:color w:val="auto"/>
          <w:highlight w:val="none"/>
        </w:rPr>
        <w:t>气象条件下，</w:t>
      </w:r>
      <w:r>
        <w:rPr>
          <w:rFonts w:hint="default" w:ascii="Times New Roman" w:hAnsi="Times New Roman" w:cs="Times New Roman"/>
          <w:color w:val="auto"/>
          <w:highlight w:val="none"/>
          <w:lang w:val="en-US" w:eastAsia="zh-CN"/>
        </w:rPr>
        <w:t>预测</w:t>
      </w:r>
      <w:r>
        <w:rPr>
          <w:rFonts w:hint="default" w:ascii="Times New Roman" w:hAnsi="Times New Roman" w:cs="Times New Roman"/>
          <w:color w:val="auto"/>
          <w:highlight w:val="none"/>
        </w:rPr>
        <w:t>下风向不同距离处有毒有害物质的最大浓度，以及预测浓度达到不同毒性终点浓度的最大影响范围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预测结果如下</w:t>
      </w:r>
      <w:r>
        <w:rPr>
          <w:rFonts w:hint="default" w:ascii="Times New Roman" w:hAnsi="Times New Roman" w:cs="Times New Roman"/>
          <w:color w:val="auto"/>
          <w:highlight w:val="none"/>
          <w:lang w:eastAsia="zh-CN"/>
        </w:rPr>
        <w:t>。</w:t>
      </w:r>
    </w:p>
    <w:p w14:paraId="4B909471">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1、</w:t>
      </w:r>
      <w:r>
        <w:rPr>
          <w:rFonts w:hint="default" w:ascii="Times New Roman" w:hAnsi="Times New Roman" w:cs="Times New Roman"/>
          <w:color w:val="auto"/>
          <w:highlight w:val="none"/>
          <w:lang w:val="en-US" w:eastAsia="zh-CN"/>
        </w:rPr>
        <w:t>预测参数</w:t>
      </w:r>
    </w:p>
    <w:p w14:paraId="1AD7B247">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lang w:val="en-US" w:eastAsia="zh-CN"/>
        </w:rPr>
        <w:t>火灾爆炸产生的次生污染物一氧化碳</w:t>
      </w:r>
      <w:r>
        <w:rPr>
          <w:rFonts w:hint="default" w:ascii="Times New Roman" w:hAnsi="Times New Roman" w:eastAsia="宋体" w:cs="Times New Roman"/>
          <w:color w:val="auto"/>
          <w:kern w:val="0"/>
          <w:sz w:val="24"/>
          <w:szCs w:val="24"/>
          <w:highlight w:val="none"/>
          <w:lang w:val="en-US" w:eastAsia="zh-CN" w:bidi="ar"/>
        </w:rPr>
        <w:t>预测参数见下表。</w:t>
      </w:r>
    </w:p>
    <w:p w14:paraId="33F5C097">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火灾爆炸产生的次生污染物一氧化碳主要参数表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2"/>
        <w:gridCol w:w="3152"/>
        <w:gridCol w:w="3153"/>
      </w:tblGrid>
      <w:tr w14:paraId="13C4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noWrap w:val="0"/>
            <w:vAlign w:val="center"/>
          </w:tcPr>
          <w:p w14:paraId="62E0C9A7">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参数类型</w:t>
            </w:r>
          </w:p>
        </w:tc>
        <w:tc>
          <w:tcPr>
            <w:tcW w:w="3152" w:type="dxa"/>
            <w:noWrap w:val="0"/>
            <w:vAlign w:val="center"/>
          </w:tcPr>
          <w:p w14:paraId="4C200B4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选项</w:t>
            </w:r>
          </w:p>
        </w:tc>
        <w:tc>
          <w:tcPr>
            <w:tcW w:w="3153" w:type="dxa"/>
            <w:noWrap w:val="0"/>
            <w:vAlign w:val="center"/>
          </w:tcPr>
          <w:p w14:paraId="7DBB8816">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w:t>
            </w:r>
          </w:p>
        </w:tc>
      </w:tr>
      <w:tr w14:paraId="1D79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restart"/>
            <w:noWrap w:val="0"/>
            <w:vAlign w:val="center"/>
          </w:tcPr>
          <w:p w14:paraId="06941BEE">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源强参数</w:t>
            </w:r>
          </w:p>
        </w:tc>
        <w:tc>
          <w:tcPr>
            <w:tcW w:w="3152" w:type="dxa"/>
            <w:shd w:val="clear" w:color="auto" w:fill="auto"/>
            <w:noWrap w:val="0"/>
            <w:vAlign w:val="center"/>
          </w:tcPr>
          <w:p w14:paraId="4747F3B9">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持续时间（s）</w:t>
            </w:r>
          </w:p>
        </w:tc>
        <w:tc>
          <w:tcPr>
            <w:tcW w:w="3153" w:type="dxa"/>
            <w:shd w:val="clear" w:color="auto" w:fill="auto"/>
            <w:noWrap w:val="0"/>
            <w:vAlign w:val="center"/>
          </w:tcPr>
          <w:p w14:paraId="56FD9CC0">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3600</w:t>
            </w:r>
          </w:p>
        </w:tc>
      </w:tr>
      <w:tr w14:paraId="5FCD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2AA3CC0F">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494FB6AB">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排放速率（</w:t>
            </w:r>
            <w:r>
              <w:rPr>
                <w:rFonts w:hint="eastAsia" w:cs="Times New Roman"/>
                <w:color w:val="auto"/>
                <w:highlight w:val="none"/>
                <w:lang w:val="en-US" w:eastAsia="zh-CN"/>
              </w:rPr>
              <w:t>k</w:t>
            </w:r>
            <w:r>
              <w:rPr>
                <w:rFonts w:hint="default" w:ascii="Times New Roman" w:hAnsi="Times New Roman" w:cs="Times New Roman"/>
                <w:color w:val="auto"/>
                <w:highlight w:val="none"/>
                <w:lang w:val="en-US" w:eastAsia="zh-CN"/>
              </w:rPr>
              <w:t>g/s）</w:t>
            </w:r>
          </w:p>
        </w:tc>
        <w:tc>
          <w:tcPr>
            <w:tcW w:w="3153" w:type="dxa"/>
            <w:shd w:val="clear" w:color="auto" w:fill="auto"/>
            <w:noWrap w:val="0"/>
            <w:vAlign w:val="center"/>
          </w:tcPr>
          <w:p w14:paraId="51CE0EE6">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3.97E-05</w:t>
            </w:r>
            <w:r>
              <w:rPr>
                <w:rFonts w:hint="eastAsia" w:cs="Times New Roman"/>
                <w:color w:val="auto"/>
                <w:kern w:val="2"/>
                <w:sz w:val="21"/>
                <w:szCs w:val="24"/>
                <w:highlight w:val="none"/>
                <w:lang w:val="en-US" w:eastAsia="zh-CN" w:bidi="ar-SA"/>
              </w:rPr>
              <w:t>/4.74E-05</w:t>
            </w:r>
          </w:p>
        </w:tc>
      </w:tr>
      <w:tr w14:paraId="34BD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78ACB58F">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098A405B">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源高度（m）</w:t>
            </w:r>
          </w:p>
        </w:tc>
        <w:tc>
          <w:tcPr>
            <w:tcW w:w="3153" w:type="dxa"/>
            <w:shd w:val="clear" w:color="auto" w:fill="auto"/>
            <w:noWrap w:val="0"/>
            <w:vAlign w:val="center"/>
          </w:tcPr>
          <w:p w14:paraId="159C734A">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0.11/0.12</w:t>
            </w:r>
          </w:p>
        </w:tc>
      </w:tr>
      <w:tr w14:paraId="44D2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5D7849D6">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3E51D40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烟气温度（℃）</w:t>
            </w:r>
          </w:p>
        </w:tc>
        <w:tc>
          <w:tcPr>
            <w:tcW w:w="3153" w:type="dxa"/>
            <w:shd w:val="clear" w:color="auto" w:fill="auto"/>
            <w:noWrap w:val="0"/>
            <w:vAlign w:val="center"/>
          </w:tcPr>
          <w:p w14:paraId="0A2D8B2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180</w:t>
            </w:r>
          </w:p>
        </w:tc>
      </w:tr>
    </w:tbl>
    <w:p w14:paraId="71E863FC">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2、</w:t>
      </w:r>
      <w:r>
        <w:rPr>
          <w:rFonts w:hint="default" w:ascii="Times New Roman" w:hAnsi="Times New Roman" w:cs="Times New Roman"/>
          <w:color w:val="auto"/>
          <w:highlight w:val="none"/>
          <w:lang w:val="en-US" w:eastAsia="zh-CN"/>
        </w:rPr>
        <w:t>预测结果分析</w:t>
      </w:r>
    </w:p>
    <w:p w14:paraId="10F3EF52">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（1）一氧化碳关注限值距离</w:t>
      </w:r>
    </w:p>
    <w:p w14:paraId="737406D6">
      <w:pPr>
        <w:keepNext w:val="0"/>
        <w:keepLines w:val="0"/>
        <w:widowControl/>
        <w:suppressLineNumbers w:val="0"/>
        <w:ind w:left="0" w:leftChars="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lang w:val="en-US" w:eastAsia="zh-CN"/>
        </w:rPr>
        <w:t>火灾爆炸产生的次生污染物一氧化碳</w:t>
      </w:r>
      <w:r>
        <w:rPr>
          <w:rFonts w:hint="default" w:ascii="Times New Roman" w:hAnsi="Times New Roman" w:eastAsia="宋体" w:cs="Times New Roman"/>
          <w:color w:val="auto"/>
          <w:kern w:val="0"/>
          <w:sz w:val="24"/>
          <w:szCs w:val="24"/>
          <w:highlight w:val="none"/>
          <w:lang w:val="en-US" w:eastAsia="zh-CN" w:bidi="ar"/>
        </w:rPr>
        <w:t>情况下，</w:t>
      </w:r>
      <w:r>
        <w:rPr>
          <w:rFonts w:hint="default" w:ascii="Times New Roman" w:hAnsi="Times New Roman" w:cs="Times New Roman"/>
          <w:color w:val="auto"/>
          <w:highlight w:val="none"/>
          <w:lang w:val="en-US" w:eastAsia="zh-CN"/>
        </w:rPr>
        <w:t>一氧化碳</w:t>
      </w:r>
      <w:r>
        <w:rPr>
          <w:rFonts w:hint="default" w:ascii="Times New Roman" w:hAnsi="Times New Roman" w:eastAsia="宋体" w:cs="Times New Roman"/>
          <w:color w:val="auto"/>
          <w:kern w:val="0"/>
          <w:sz w:val="24"/>
          <w:szCs w:val="24"/>
          <w:highlight w:val="none"/>
          <w:lang w:val="en-US" w:eastAsia="zh-CN" w:bidi="ar"/>
        </w:rPr>
        <w:t>在不同时刻达到关注限值的最远距离见下表。</w:t>
      </w:r>
    </w:p>
    <w:p w14:paraId="42DE31DF">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一氧化碳不同时刻达到关注限值的最远预测距离</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1155"/>
        <w:gridCol w:w="1255"/>
        <w:gridCol w:w="1371"/>
        <w:gridCol w:w="1261"/>
        <w:gridCol w:w="1091"/>
        <w:gridCol w:w="1430"/>
      </w:tblGrid>
      <w:tr w14:paraId="5A1A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Merge w:val="restart"/>
            <w:noWrap w:val="0"/>
            <w:vAlign w:val="center"/>
          </w:tcPr>
          <w:p w14:paraId="7978E95A">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3781" w:type="dxa"/>
            <w:gridSpan w:val="3"/>
            <w:noWrap w:val="0"/>
            <w:vAlign w:val="center"/>
          </w:tcPr>
          <w:p w14:paraId="2C597B76">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毒性终点浓度-1</w:t>
            </w:r>
          </w:p>
        </w:tc>
        <w:tc>
          <w:tcPr>
            <w:tcW w:w="3782" w:type="dxa"/>
            <w:gridSpan w:val="3"/>
            <w:noWrap w:val="0"/>
            <w:vAlign w:val="center"/>
          </w:tcPr>
          <w:p w14:paraId="4E91F8A5">
            <w:pPr>
              <w:pStyle w:val="31"/>
              <w:bidi w:val="0"/>
              <w:ind w:left="0"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毒性终点浓度-2</w:t>
            </w:r>
          </w:p>
        </w:tc>
      </w:tr>
      <w:tr w14:paraId="0539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0" w:type="dxa"/>
            <w:vMerge w:val="continue"/>
            <w:noWrap w:val="0"/>
            <w:vAlign w:val="center"/>
          </w:tcPr>
          <w:p w14:paraId="785FB1FB">
            <w:pPr>
              <w:pStyle w:val="24"/>
              <w:bidi w:val="0"/>
              <w:jc w:val="center"/>
              <w:rPr>
                <w:rFonts w:hint="default" w:ascii="Times New Roman" w:hAnsi="Times New Roman" w:cs="Times New Roman"/>
                <w:color w:val="auto"/>
                <w:highlight w:val="none"/>
                <w:lang w:val="en-US" w:eastAsia="zh-CN"/>
              </w:rPr>
            </w:pPr>
          </w:p>
        </w:tc>
        <w:tc>
          <w:tcPr>
            <w:tcW w:w="1155" w:type="dxa"/>
            <w:noWrap w:val="0"/>
            <w:vAlign w:val="center"/>
          </w:tcPr>
          <w:p w14:paraId="116ADECD">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255" w:type="dxa"/>
            <w:noWrap w:val="0"/>
            <w:vAlign w:val="center"/>
          </w:tcPr>
          <w:p w14:paraId="6420EC6A">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距离（m）</w:t>
            </w:r>
          </w:p>
        </w:tc>
        <w:tc>
          <w:tcPr>
            <w:tcW w:w="1371" w:type="dxa"/>
            <w:noWrap w:val="0"/>
            <w:vAlign w:val="center"/>
          </w:tcPr>
          <w:p w14:paraId="0C4EC6AE">
            <w:pPr>
              <w:pStyle w:val="24"/>
              <w:bidi w:val="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c>
          <w:tcPr>
            <w:tcW w:w="1261" w:type="dxa"/>
            <w:noWrap w:val="0"/>
            <w:vAlign w:val="center"/>
          </w:tcPr>
          <w:p w14:paraId="73B9407B">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091" w:type="dxa"/>
            <w:noWrap w:val="0"/>
            <w:vAlign w:val="center"/>
          </w:tcPr>
          <w:p w14:paraId="00E6CA9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距离（m）</w:t>
            </w:r>
          </w:p>
        </w:tc>
        <w:tc>
          <w:tcPr>
            <w:tcW w:w="1430" w:type="dxa"/>
            <w:noWrap w:val="0"/>
            <w:vAlign w:val="center"/>
          </w:tcPr>
          <w:p w14:paraId="0D0A7C6F">
            <w:pPr>
              <w:pStyle w:val="24"/>
              <w:bidi w:val="0"/>
              <w:ind w:left="0" w:leftChars="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r>
      <w:tr w14:paraId="6F77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5138E84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1155" w:type="dxa"/>
            <w:noWrap w:val="0"/>
            <w:vAlign w:val="center"/>
          </w:tcPr>
          <w:p w14:paraId="6BF5DAE9">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380</w:t>
            </w:r>
          </w:p>
        </w:tc>
        <w:tc>
          <w:tcPr>
            <w:tcW w:w="1255" w:type="dxa"/>
            <w:noWrap w:val="0"/>
            <w:vAlign w:val="center"/>
          </w:tcPr>
          <w:p w14:paraId="66CBCA14">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371" w:type="dxa"/>
            <w:noWrap w:val="0"/>
            <w:vAlign w:val="center"/>
          </w:tcPr>
          <w:p w14:paraId="7BCE8624">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261" w:type="dxa"/>
            <w:noWrap w:val="0"/>
            <w:vAlign w:val="center"/>
          </w:tcPr>
          <w:p w14:paraId="3F83048E">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95</w:t>
            </w:r>
          </w:p>
        </w:tc>
        <w:tc>
          <w:tcPr>
            <w:tcW w:w="1091" w:type="dxa"/>
            <w:noWrap w:val="0"/>
            <w:vAlign w:val="center"/>
          </w:tcPr>
          <w:p w14:paraId="62449D35">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430" w:type="dxa"/>
            <w:noWrap w:val="0"/>
            <w:vAlign w:val="center"/>
          </w:tcPr>
          <w:p w14:paraId="571C2733">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r>
      <w:tr w14:paraId="7493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32F24C14">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c>
          <w:tcPr>
            <w:tcW w:w="1155" w:type="dxa"/>
            <w:shd w:val="clear" w:color="auto" w:fill="auto"/>
            <w:noWrap w:val="0"/>
            <w:vAlign w:val="center"/>
          </w:tcPr>
          <w:p w14:paraId="3D6911E3">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380</w:t>
            </w:r>
          </w:p>
        </w:tc>
        <w:tc>
          <w:tcPr>
            <w:tcW w:w="1255" w:type="dxa"/>
            <w:shd w:val="clear" w:color="auto" w:fill="auto"/>
            <w:noWrap w:val="0"/>
            <w:vAlign w:val="center"/>
          </w:tcPr>
          <w:p w14:paraId="1933E04E">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c>
          <w:tcPr>
            <w:tcW w:w="1371" w:type="dxa"/>
            <w:shd w:val="clear" w:color="auto" w:fill="auto"/>
            <w:noWrap w:val="0"/>
            <w:vAlign w:val="center"/>
          </w:tcPr>
          <w:p w14:paraId="334CDACD">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w:t>
            </w:r>
          </w:p>
        </w:tc>
        <w:tc>
          <w:tcPr>
            <w:tcW w:w="1261" w:type="dxa"/>
            <w:noWrap w:val="0"/>
            <w:vAlign w:val="center"/>
          </w:tcPr>
          <w:p w14:paraId="2D739F91">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95</w:t>
            </w:r>
          </w:p>
        </w:tc>
        <w:tc>
          <w:tcPr>
            <w:tcW w:w="1091" w:type="dxa"/>
            <w:noWrap w:val="0"/>
            <w:vAlign w:val="center"/>
          </w:tcPr>
          <w:p w14:paraId="3660B0D6">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c>
          <w:tcPr>
            <w:tcW w:w="1430" w:type="dxa"/>
            <w:noWrap w:val="0"/>
            <w:vAlign w:val="center"/>
          </w:tcPr>
          <w:p w14:paraId="4AB0416D">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w:t>
            </w:r>
          </w:p>
        </w:tc>
      </w:tr>
    </w:tbl>
    <w:p w14:paraId="1F2E962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由上表可知，当火灾爆炸事故时，产生的一氧化碳在最不利/最常见气象条件下，均不会出现大气毒性终点浓度-1和大气毒性终点浓度-2。</w:t>
      </w:r>
    </w:p>
    <w:p w14:paraId="51A9766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（2）下风向不同距离一氧化碳浓度预测值</w:t>
      </w:r>
    </w:p>
    <w:p w14:paraId="06137D3E">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火灾爆炸产生的次生污染物一氧化碳</w:t>
      </w:r>
      <w:r>
        <w:rPr>
          <w:rFonts w:hint="default" w:ascii="Times New Roman" w:hAnsi="Times New Roman" w:eastAsia="宋体" w:cs="Times New Roman"/>
          <w:color w:val="auto"/>
          <w:kern w:val="0"/>
          <w:sz w:val="24"/>
          <w:szCs w:val="24"/>
          <w:highlight w:val="none"/>
          <w:lang w:val="en-US" w:eastAsia="zh-CN" w:bidi="ar"/>
        </w:rPr>
        <w:t>情况下，</w:t>
      </w:r>
      <w:r>
        <w:rPr>
          <w:rFonts w:hint="default" w:ascii="Times New Roman" w:hAnsi="Times New Roman" w:cs="Times New Roman"/>
          <w:color w:val="auto"/>
          <w:highlight w:val="none"/>
          <w:lang w:val="en-US" w:eastAsia="zh-CN"/>
        </w:rPr>
        <w:t>下风向不同</w:t>
      </w:r>
      <w:r>
        <w:rPr>
          <w:rFonts w:hint="default" w:ascii="Times New Roman" w:hAnsi="Times New Roman" w:eastAsia="宋体" w:cs="Times New Roman"/>
          <w:color w:val="auto"/>
          <w:kern w:val="0"/>
          <w:szCs w:val="24"/>
          <w:highlight w:val="none"/>
          <w:lang w:val="en-US" w:eastAsia="zh-CN" w:bidi="ar"/>
        </w:rPr>
        <w:t>距离</w:t>
      </w:r>
      <w:r>
        <w:rPr>
          <w:rFonts w:hint="default" w:ascii="Times New Roman" w:hAnsi="Times New Roman" w:cs="Times New Roman"/>
          <w:color w:val="auto"/>
          <w:highlight w:val="none"/>
          <w:lang w:val="en-US" w:eastAsia="zh-CN"/>
        </w:rPr>
        <w:t>一氧化碳</w:t>
      </w:r>
      <w:r>
        <w:rPr>
          <w:rFonts w:hint="default" w:ascii="Times New Roman" w:hAnsi="Times New Roman" w:eastAsia="宋体" w:cs="Times New Roman"/>
          <w:color w:val="auto"/>
          <w:kern w:val="0"/>
          <w:szCs w:val="24"/>
          <w:highlight w:val="none"/>
          <w:lang w:val="en-US" w:eastAsia="zh-CN" w:bidi="ar"/>
        </w:rPr>
        <w:t>浓度预测结果见下表。</w:t>
      </w:r>
    </w:p>
    <w:p w14:paraId="25755451">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火灾爆炸事故下风向不同距离一氧化碳浓度预测结果表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934"/>
        <w:gridCol w:w="2325"/>
        <w:gridCol w:w="1839"/>
        <w:gridCol w:w="2059"/>
      </w:tblGrid>
      <w:tr w14:paraId="5FED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Merge w:val="restart"/>
            <w:noWrap w:val="0"/>
            <w:vAlign w:val="center"/>
          </w:tcPr>
          <w:p w14:paraId="0DCC1325">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下风向距离（m）</w:t>
            </w:r>
          </w:p>
        </w:tc>
        <w:tc>
          <w:tcPr>
            <w:tcW w:w="2240" w:type="pct"/>
            <w:gridSpan w:val="2"/>
            <w:noWrap w:val="0"/>
            <w:vAlign w:val="center"/>
          </w:tcPr>
          <w:p w14:paraId="241DC22B">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2050" w:type="pct"/>
            <w:gridSpan w:val="2"/>
            <w:noWrap w:val="0"/>
            <w:vAlign w:val="center"/>
          </w:tcPr>
          <w:p w14:paraId="6FF30926">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r>
      <w:tr w14:paraId="2A73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vMerge w:val="continue"/>
            <w:noWrap w:val="0"/>
            <w:vAlign w:val="center"/>
          </w:tcPr>
          <w:p w14:paraId="268F9C16">
            <w:pPr>
              <w:pStyle w:val="24"/>
              <w:bidi w:val="0"/>
              <w:jc w:val="center"/>
              <w:rPr>
                <w:rFonts w:hint="default" w:ascii="Times New Roman" w:hAnsi="Times New Roman" w:cs="Times New Roman"/>
                <w:color w:val="auto"/>
                <w:highlight w:val="none"/>
                <w:lang w:val="en-US" w:eastAsia="zh-CN"/>
              </w:rPr>
            </w:pPr>
          </w:p>
        </w:tc>
        <w:tc>
          <w:tcPr>
            <w:tcW w:w="1017" w:type="pct"/>
            <w:noWrap w:val="0"/>
            <w:vAlign w:val="center"/>
          </w:tcPr>
          <w:p w14:paraId="1B3F235D">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223" w:type="pct"/>
            <w:noWrap w:val="0"/>
            <w:vAlign w:val="center"/>
          </w:tcPr>
          <w:p w14:paraId="3C43027B">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浓度出现时间（min）</w:t>
            </w:r>
          </w:p>
        </w:tc>
        <w:tc>
          <w:tcPr>
            <w:tcW w:w="967" w:type="pct"/>
            <w:shd w:val="clear" w:color="auto" w:fill="auto"/>
            <w:noWrap w:val="0"/>
            <w:vAlign w:val="center"/>
          </w:tcPr>
          <w:p w14:paraId="3966410D">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083" w:type="pct"/>
            <w:shd w:val="clear" w:color="auto" w:fill="auto"/>
            <w:noWrap w:val="0"/>
            <w:vAlign w:val="center"/>
          </w:tcPr>
          <w:p w14:paraId="7D840B4D">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浓度出现时间（min）</w:t>
            </w:r>
          </w:p>
        </w:tc>
      </w:tr>
      <w:tr w14:paraId="7DE1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42FD0103">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934" w:type="dxa"/>
            <w:shd w:val="clear" w:color="auto" w:fill="auto"/>
            <w:noWrap w:val="0"/>
            <w:vAlign w:val="bottom"/>
          </w:tcPr>
          <w:p w14:paraId="48A888B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5.3772E-02   </w:t>
            </w:r>
          </w:p>
        </w:tc>
        <w:tc>
          <w:tcPr>
            <w:tcW w:w="2325" w:type="dxa"/>
            <w:noWrap w:val="0"/>
            <w:vAlign w:val="bottom"/>
          </w:tcPr>
          <w:p w14:paraId="6B6E3AF4">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1.1111E-01</w:t>
            </w:r>
          </w:p>
        </w:tc>
        <w:tc>
          <w:tcPr>
            <w:tcW w:w="1839" w:type="dxa"/>
            <w:noWrap w:val="0"/>
            <w:vAlign w:val="bottom"/>
          </w:tcPr>
          <w:p w14:paraId="52602C3A">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8.7157E-02</w:t>
            </w:r>
          </w:p>
        </w:tc>
        <w:tc>
          <w:tcPr>
            <w:tcW w:w="2059" w:type="dxa"/>
            <w:shd w:val="clear" w:color="auto" w:fill="auto"/>
            <w:noWrap w:val="0"/>
            <w:vAlign w:val="bottom"/>
          </w:tcPr>
          <w:p w14:paraId="0E8BEBD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1.4620E-01</w:t>
            </w:r>
          </w:p>
        </w:tc>
      </w:tr>
      <w:tr w14:paraId="54EC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70ED6C78">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w:t>
            </w:r>
          </w:p>
        </w:tc>
        <w:tc>
          <w:tcPr>
            <w:tcW w:w="1934" w:type="dxa"/>
            <w:shd w:val="clear" w:color="auto" w:fill="auto"/>
            <w:noWrap w:val="0"/>
            <w:vAlign w:val="bottom"/>
          </w:tcPr>
          <w:p w14:paraId="45BA7EA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7.9784E-01   </w:t>
            </w:r>
          </w:p>
        </w:tc>
        <w:tc>
          <w:tcPr>
            <w:tcW w:w="2325" w:type="dxa"/>
            <w:noWrap w:val="0"/>
            <w:vAlign w:val="bottom"/>
          </w:tcPr>
          <w:p w14:paraId="3D9CF3A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5.5556E-01</w:t>
            </w:r>
          </w:p>
        </w:tc>
        <w:tc>
          <w:tcPr>
            <w:tcW w:w="1839" w:type="dxa"/>
            <w:noWrap w:val="0"/>
            <w:vAlign w:val="bottom"/>
          </w:tcPr>
          <w:p w14:paraId="2E608E9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1.2534E+00</w:t>
            </w:r>
          </w:p>
        </w:tc>
        <w:tc>
          <w:tcPr>
            <w:tcW w:w="2059" w:type="dxa"/>
            <w:shd w:val="clear" w:color="auto" w:fill="auto"/>
            <w:noWrap w:val="0"/>
            <w:vAlign w:val="bottom"/>
          </w:tcPr>
          <w:p w14:paraId="6C39EA9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7.3099E-01</w:t>
            </w:r>
          </w:p>
        </w:tc>
      </w:tr>
      <w:tr w14:paraId="10C6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02205CB7">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1934" w:type="dxa"/>
            <w:shd w:val="clear" w:color="auto" w:fill="auto"/>
            <w:noWrap w:val="0"/>
            <w:vAlign w:val="bottom"/>
          </w:tcPr>
          <w:p w14:paraId="473EAC6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3.4990E-01   </w:t>
            </w:r>
          </w:p>
        </w:tc>
        <w:tc>
          <w:tcPr>
            <w:tcW w:w="2325" w:type="dxa"/>
            <w:shd w:val="clear" w:color="auto" w:fill="auto"/>
            <w:noWrap w:val="0"/>
            <w:vAlign w:val="bottom"/>
          </w:tcPr>
          <w:p w14:paraId="05A2ACB7">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1.1111E+00</w:t>
            </w:r>
          </w:p>
        </w:tc>
        <w:tc>
          <w:tcPr>
            <w:tcW w:w="1839" w:type="dxa"/>
            <w:noWrap w:val="0"/>
            <w:vAlign w:val="bottom"/>
          </w:tcPr>
          <w:p w14:paraId="2CEDC86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5.4966E-01</w:t>
            </w:r>
          </w:p>
        </w:tc>
        <w:tc>
          <w:tcPr>
            <w:tcW w:w="2059" w:type="dxa"/>
            <w:shd w:val="clear" w:color="auto" w:fill="auto"/>
            <w:noWrap w:val="0"/>
            <w:vAlign w:val="bottom"/>
          </w:tcPr>
          <w:p w14:paraId="2090556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1.4620E+00</w:t>
            </w:r>
          </w:p>
        </w:tc>
      </w:tr>
      <w:tr w14:paraId="1FA8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03916D8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w:t>
            </w:r>
          </w:p>
        </w:tc>
        <w:tc>
          <w:tcPr>
            <w:tcW w:w="1934" w:type="dxa"/>
            <w:shd w:val="clear" w:color="auto" w:fill="auto"/>
            <w:noWrap w:val="0"/>
            <w:vAlign w:val="bottom"/>
          </w:tcPr>
          <w:p w14:paraId="7A6C5FBD">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1.2311E-01   </w:t>
            </w:r>
          </w:p>
        </w:tc>
        <w:tc>
          <w:tcPr>
            <w:tcW w:w="2325" w:type="dxa"/>
            <w:shd w:val="clear" w:color="auto" w:fill="auto"/>
            <w:noWrap w:val="0"/>
            <w:vAlign w:val="bottom"/>
          </w:tcPr>
          <w:p w14:paraId="2C7D5B7E">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2.2222E+00</w:t>
            </w:r>
          </w:p>
        </w:tc>
        <w:tc>
          <w:tcPr>
            <w:tcW w:w="1839" w:type="dxa"/>
            <w:noWrap w:val="0"/>
            <w:vAlign w:val="bottom"/>
          </w:tcPr>
          <w:p w14:paraId="7B50B08A">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1.9340E-01</w:t>
            </w:r>
          </w:p>
        </w:tc>
        <w:tc>
          <w:tcPr>
            <w:tcW w:w="2059" w:type="dxa"/>
            <w:shd w:val="clear" w:color="auto" w:fill="auto"/>
            <w:noWrap w:val="0"/>
            <w:vAlign w:val="bottom"/>
          </w:tcPr>
          <w:p w14:paraId="2187AF2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2.9240E+00</w:t>
            </w:r>
          </w:p>
        </w:tc>
      </w:tr>
      <w:tr w14:paraId="5EE2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5F7D9294">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00</w:t>
            </w:r>
          </w:p>
        </w:tc>
        <w:tc>
          <w:tcPr>
            <w:tcW w:w="1934" w:type="dxa"/>
            <w:shd w:val="clear" w:color="auto" w:fill="auto"/>
            <w:noWrap w:val="0"/>
            <w:vAlign w:val="bottom"/>
          </w:tcPr>
          <w:p w14:paraId="1DEF484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2.7749E-02   </w:t>
            </w:r>
          </w:p>
        </w:tc>
        <w:tc>
          <w:tcPr>
            <w:tcW w:w="2325" w:type="dxa"/>
            <w:shd w:val="clear" w:color="auto" w:fill="auto"/>
            <w:noWrap w:val="0"/>
            <w:vAlign w:val="bottom"/>
          </w:tcPr>
          <w:p w14:paraId="0D9451D5">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5.5556E+00</w:t>
            </w:r>
          </w:p>
        </w:tc>
        <w:tc>
          <w:tcPr>
            <w:tcW w:w="1839" w:type="dxa"/>
            <w:noWrap w:val="0"/>
            <w:vAlign w:val="bottom"/>
          </w:tcPr>
          <w:p w14:paraId="4F954DEC">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4.3592E-02</w:t>
            </w:r>
          </w:p>
        </w:tc>
        <w:tc>
          <w:tcPr>
            <w:tcW w:w="2059" w:type="dxa"/>
            <w:shd w:val="clear" w:color="auto" w:fill="auto"/>
            <w:noWrap w:val="0"/>
            <w:vAlign w:val="bottom"/>
          </w:tcPr>
          <w:p w14:paraId="2919F24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7.3099E+00</w:t>
            </w:r>
          </w:p>
        </w:tc>
      </w:tr>
      <w:tr w14:paraId="4D19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01BE54C3">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1000</w:t>
            </w:r>
          </w:p>
        </w:tc>
        <w:tc>
          <w:tcPr>
            <w:tcW w:w="1934" w:type="dxa"/>
            <w:shd w:val="clear" w:color="auto" w:fill="auto"/>
            <w:noWrap w:val="0"/>
            <w:vAlign w:val="bottom"/>
          </w:tcPr>
          <w:p w14:paraId="4B69BAEE">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8.7571E-03   </w:t>
            </w:r>
          </w:p>
        </w:tc>
        <w:tc>
          <w:tcPr>
            <w:tcW w:w="2325" w:type="dxa"/>
            <w:shd w:val="clear" w:color="auto" w:fill="auto"/>
            <w:noWrap w:val="0"/>
            <w:vAlign w:val="bottom"/>
          </w:tcPr>
          <w:p w14:paraId="31509FD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1.1111E+01</w:t>
            </w:r>
          </w:p>
        </w:tc>
        <w:tc>
          <w:tcPr>
            <w:tcW w:w="1839" w:type="dxa"/>
            <w:noWrap w:val="0"/>
            <w:vAlign w:val="bottom"/>
          </w:tcPr>
          <w:p w14:paraId="131BEECF">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1.3757E-02</w:t>
            </w:r>
          </w:p>
        </w:tc>
        <w:tc>
          <w:tcPr>
            <w:tcW w:w="2059" w:type="dxa"/>
            <w:shd w:val="clear" w:color="auto" w:fill="auto"/>
            <w:noWrap w:val="0"/>
            <w:vAlign w:val="bottom"/>
          </w:tcPr>
          <w:p w14:paraId="1B121DB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1.4620E+01</w:t>
            </w:r>
          </w:p>
        </w:tc>
      </w:tr>
      <w:tr w14:paraId="73EE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3C8F45F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2000</w:t>
            </w:r>
          </w:p>
        </w:tc>
        <w:tc>
          <w:tcPr>
            <w:tcW w:w="1934" w:type="dxa"/>
            <w:shd w:val="clear" w:color="auto" w:fill="auto"/>
            <w:noWrap w:val="0"/>
            <w:vAlign w:val="bottom"/>
          </w:tcPr>
          <w:p w14:paraId="64158EA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3.0751E-03   </w:t>
            </w:r>
          </w:p>
        </w:tc>
        <w:tc>
          <w:tcPr>
            <w:tcW w:w="2325" w:type="dxa"/>
            <w:shd w:val="clear" w:color="auto" w:fill="auto"/>
            <w:noWrap w:val="0"/>
            <w:vAlign w:val="bottom"/>
          </w:tcPr>
          <w:p w14:paraId="6E36BB2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2.2222E+01</w:t>
            </w:r>
          </w:p>
        </w:tc>
        <w:tc>
          <w:tcPr>
            <w:tcW w:w="1839" w:type="dxa"/>
            <w:noWrap w:val="0"/>
            <w:vAlign w:val="bottom"/>
          </w:tcPr>
          <w:p w14:paraId="3245C5D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4.8310E-03</w:t>
            </w:r>
          </w:p>
        </w:tc>
        <w:tc>
          <w:tcPr>
            <w:tcW w:w="2059" w:type="dxa"/>
            <w:shd w:val="clear" w:color="auto" w:fill="auto"/>
            <w:noWrap w:val="0"/>
            <w:vAlign w:val="bottom"/>
          </w:tcPr>
          <w:p w14:paraId="7FA84BE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2.9240E+01</w:t>
            </w:r>
          </w:p>
        </w:tc>
      </w:tr>
      <w:tr w14:paraId="5F85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8" w:type="pct"/>
            <w:noWrap w:val="0"/>
            <w:vAlign w:val="center"/>
          </w:tcPr>
          <w:p w14:paraId="43F7A28A">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3000</w:t>
            </w:r>
          </w:p>
        </w:tc>
        <w:tc>
          <w:tcPr>
            <w:tcW w:w="1934" w:type="dxa"/>
            <w:shd w:val="clear" w:color="auto" w:fill="auto"/>
            <w:noWrap w:val="0"/>
            <w:vAlign w:val="bottom"/>
          </w:tcPr>
          <w:p w14:paraId="6924298D">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1.7904E-03   </w:t>
            </w:r>
          </w:p>
        </w:tc>
        <w:tc>
          <w:tcPr>
            <w:tcW w:w="2325" w:type="dxa"/>
            <w:shd w:val="clear" w:color="auto" w:fill="auto"/>
            <w:noWrap w:val="0"/>
            <w:vAlign w:val="bottom"/>
          </w:tcPr>
          <w:p w14:paraId="67B366B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3.3333E+01</w:t>
            </w:r>
          </w:p>
        </w:tc>
        <w:tc>
          <w:tcPr>
            <w:tcW w:w="1839" w:type="dxa"/>
            <w:noWrap w:val="0"/>
            <w:vAlign w:val="bottom"/>
          </w:tcPr>
          <w:p w14:paraId="17DA836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2.8127E-03</w:t>
            </w:r>
          </w:p>
        </w:tc>
        <w:tc>
          <w:tcPr>
            <w:tcW w:w="2059" w:type="dxa"/>
            <w:shd w:val="clear" w:color="auto" w:fill="auto"/>
            <w:noWrap w:val="0"/>
            <w:vAlign w:val="bottom"/>
          </w:tcPr>
          <w:p w14:paraId="4FB54BF7">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4.3860E+01</w:t>
            </w:r>
          </w:p>
        </w:tc>
      </w:tr>
      <w:tr w14:paraId="498B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4BFE0ED2">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4000</w:t>
            </w:r>
          </w:p>
        </w:tc>
        <w:tc>
          <w:tcPr>
            <w:tcW w:w="1934" w:type="dxa"/>
            <w:shd w:val="clear" w:color="auto" w:fill="auto"/>
            <w:noWrap w:val="0"/>
            <w:vAlign w:val="bottom"/>
          </w:tcPr>
          <w:p w14:paraId="1146BD12">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1.2194E-03   </w:t>
            </w:r>
          </w:p>
        </w:tc>
        <w:tc>
          <w:tcPr>
            <w:tcW w:w="2325" w:type="dxa"/>
            <w:shd w:val="clear" w:color="auto" w:fill="auto"/>
            <w:noWrap w:val="0"/>
            <w:vAlign w:val="bottom"/>
          </w:tcPr>
          <w:p w14:paraId="229471C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4.4444E+01</w:t>
            </w:r>
          </w:p>
        </w:tc>
        <w:tc>
          <w:tcPr>
            <w:tcW w:w="1839" w:type="dxa"/>
            <w:noWrap w:val="0"/>
            <w:vAlign w:val="bottom"/>
          </w:tcPr>
          <w:p w14:paraId="589E30D7">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1.9176E-03</w:t>
            </w:r>
          </w:p>
        </w:tc>
        <w:tc>
          <w:tcPr>
            <w:tcW w:w="2059" w:type="dxa"/>
            <w:shd w:val="clear" w:color="auto" w:fill="auto"/>
            <w:noWrap w:val="0"/>
            <w:vAlign w:val="bottom"/>
          </w:tcPr>
          <w:p w14:paraId="2C09ED8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6.8479E+01</w:t>
            </w:r>
          </w:p>
        </w:tc>
      </w:tr>
      <w:tr w14:paraId="0368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noWrap w:val="0"/>
            <w:vAlign w:val="center"/>
          </w:tcPr>
          <w:p w14:paraId="66E68F4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5000</w:t>
            </w:r>
          </w:p>
        </w:tc>
        <w:tc>
          <w:tcPr>
            <w:tcW w:w="1934" w:type="dxa"/>
            <w:shd w:val="clear" w:color="auto" w:fill="auto"/>
            <w:noWrap w:val="0"/>
            <w:vAlign w:val="bottom"/>
          </w:tcPr>
          <w:p w14:paraId="0902ECD8">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9.0553E-04   </w:t>
            </w:r>
          </w:p>
        </w:tc>
        <w:tc>
          <w:tcPr>
            <w:tcW w:w="2325" w:type="dxa"/>
            <w:shd w:val="clear" w:color="auto" w:fill="auto"/>
            <w:noWrap w:val="0"/>
            <w:vAlign w:val="bottom"/>
          </w:tcPr>
          <w:p w14:paraId="6580296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6.4555E+01</w:t>
            </w:r>
          </w:p>
        </w:tc>
        <w:tc>
          <w:tcPr>
            <w:tcW w:w="1839" w:type="dxa"/>
            <w:noWrap w:val="0"/>
            <w:vAlign w:val="bottom"/>
          </w:tcPr>
          <w:p w14:paraId="230AA81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1.4276E-03</w:t>
            </w:r>
          </w:p>
        </w:tc>
        <w:tc>
          <w:tcPr>
            <w:tcW w:w="2059" w:type="dxa"/>
            <w:shd w:val="clear" w:color="auto" w:fill="auto"/>
            <w:noWrap w:val="0"/>
            <w:vAlign w:val="bottom"/>
          </w:tcPr>
          <w:p w14:paraId="47A7C44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8.5100E+01</w:t>
            </w:r>
          </w:p>
        </w:tc>
      </w:tr>
    </w:tbl>
    <w:p w14:paraId="089BA5D3">
      <w:pPr>
        <w:pStyle w:val="24"/>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8"/>
                    <pic:cNvPicPr>
                      <a:picLocks noChangeAspect="1"/>
                    </pic:cNvPicPr>
                  </pic:nvPicPr>
                  <pic:blipFill>
                    <a:blip r:embed="rId194"/>
                    <a:stretch>
                      <a:fillRect/>
                    </a:stretch>
                  </pic:blipFill>
                  <pic:spPr>
                    <a:xfrm>
                      <a:off x="0" y="0"/>
                      <a:ext cx="5899785" cy="2965450"/>
                    </a:xfrm>
                    <a:prstGeom prst="rect">
                      <a:avLst/>
                    </a:prstGeom>
                    <a:noFill/>
                    <a:ln>
                      <a:noFill/>
                    </a:ln>
                  </pic:spPr>
                </pic:pic>
              </a:graphicData>
            </a:graphic>
          </wp:inline>
        </w:drawing>
      </w:r>
    </w:p>
    <w:p w14:paraId="6B84871B">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一氧化碳轴线最大浓度-距离曲线图（最不利气象条件）</w:t>
      </w:r>
    </w:p>
    <w:p w14:paraId="15E0D8C8">
      <w:pPr>
        <w:pStyle w:val="28"/>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pic:cNvPicPr>
                      <a:picLocks noChangeAspect="1"/>
                    </pic:cNvPicPr>
                  </pic:nvPicPr>
                  <pic:blipFill>
                    <a:blip r:embed="rId195"/>
                    <a:stretch>
                      <a:fillRect/>
                    </a:stretch>
                  </pic:blipFill>
                  <pic:spPr>
                    <a:xfrm>
                      <a:off x="0" y="0"/>
                      <a:ext cx="5899785" cy="2965450"/>
                    </a:xfrm>
                    <a:prstGeom prst="rect">
                      <a:avLst/>
                    </a:prstGeom>
                    <a:noFill/>
                    <a:ln>
                      <a:noFill/>
                    </a:ln>
                  </pic:spPr>
                </pic:pic>
              </a:graphicData>
            </a:graphic>
          </wp:inline>
        </w:drawing>
      </w:r>
    </w:p>
    <w:p w14:paraId="01CF79F2">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一氧化碳轴线最大浓度-距离曲线图（最常见气象条件）</w:t>
      </w:r>
    </w:p>
    <w:p w14:paraId="547B47A2">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（3）敏感点预测浓度</w:t>
      </w:r>
    </w:p>
    <w:p w14:paraId="774AA9CA">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火灾爆炸产生的次生污染物一氧化碳</w:t>
      </w:r>
      <w:r>
        <w:rPr>
          <w:rFonts w:hint="default" w:ascii="Times New Roman" w:hAnsi="Times New Roman" w:eastAsia="宋体" w:cs="Times New Roman"/>
          <w:color w:val="auto"/>
          <w:kern w:val="0"/>
          <w:sz w:val="24"/>
          <w:szCs w:val="24"/>
          <w:highlight w:val="none"/>
          <w:lang w:val="en-US" w:eastAsia="zh-CN" w:bidi="ar"/>
        </w:rPr>
        <w:t>情况下，</w:t>
      </w:r>
      <w:r>
        <w:rPr>
          <w:rFonts w:hint="default" w:ascii="Times New Roman" w:hAnsi="Times New Roman" w:cs="Times New Roman"/>
          <w:color w:val="auto"/>
          <w:highlight w:val="none"/>
          <w:lang w:val="en-US" w:eastAsia="zh-CN"/>
        </w:rPr>
        <w:t>污染物扩散至周边环境敏感点浓度预测结果见下表。</w:t>
      </w:r>
    </w:p>
    <w:p w14:paraId="4B16A47D">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火灾爆炸事故下环境关心点一氧化碳浓度预测结果</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546"/>
        <w:gridCol w:w="1759"/>
        <w:gridCol w:w="1829"/>
        <w:gridCol w:w="1675"/>
      </w:tblGrid>
      <w:tr w14:paraId="3B84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restart"/>
            <w:noWrap w:val="0"/>
            <w:vAlign w:val="center"/>
          </w:tcPr>
          <w:p w14:paraId="2BE30231">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1738" w:type="pct"/>
            <w:gridSpan w:val="2"/>
            <w:noWrap w:val="0"/>
            <w:vAlign w:val="center"/>
          </w:tcPr>
          <w:p w14:paraId="58E4532F">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最不利气象条件</w:t>
            </w:r>
          </w:p>
        </w:tc>
        <w:tc>
          <w:tcPr>
            <w:tcW w:w="1843" w:type="pct"/>
            <w:gridSpan w:val="2"/>
            <w:noWrap w:val="0"/>
            <w:vAlign w:val="center"/>
          </w:tcPr>
          <w:p w14:paraId="478B556F">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最常见气象条件</w:t>
            </w:r>
          </w:p>
        </w:tc>
      </w:tr>
      <w:tr w14:paraId="21EE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continue"/>
            <w:noWrap w:val="0"/>
            <w:vAlign w:val="center"/>
          </w:tcPr>
          <w:p w14:paraId="57F6975F">
            <w:pPr>
              <w:pStyle w:val="24"/>
              <w:bidi w:val="0"/>
              <w:rPr>
                <w:rFonts w:hint="default" w:ascii="Times New Roman" w:hAnsi="Times New Roman" w:cs="Times New Roman"/>
                <w:color w:val="auto"/>
                <w:sz w:val="21"/>
                <w:szCs w:val="21"/>
              </w:rPr>
            </w:pPr>
          </w:p>
        </w:tc>
        <w:tc>
          <w:tcPr>
            <w:tcW w:w="813" w:type="pct"/>
            <w:shd w:val="clear" w:color="auto" w:fill="auto"/>
            <w:noWrap w:val="0"/>
            <w:vAlign w:val="center"/>
          </w:tcPr>
          <w:p w14:paraId="45435B4B">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924" w:type="pct"/>
            <w:shd w:val="clear" w:color="auto" w:fill="auto"/>
            <w:noWrap w:val="0"/>
            <w:vAlign w:val="center"/>
          </w:tcPr>
          <w:p w14:paraId="21D41D9B">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最大浓度出现时间（min）</w:t>
            </w:r>
          </w:p>
        </w:tc>
        <w:tc>
          <w:tcPr>
            <w:tcW w:w="962" w:type="pct"/>
            <w:noWrap w:val="0"/>
            <w:vAlign w:val="center"/>
          </w:tcPr>
          <w:p w14:paraId="33ACC545">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880" w:type="pct"/>
            <w:noWrap w:val="0"/>
            <w:vAlign w:val="center"/>
          </w:tcPr>
          <w:p w14:paraId="09485A3B">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最大浓度出现时间（min）</w:t>
            </w:r>
          </w:p>
        </w:tc>
      </w:tr>
      <w:tr w14:paraId="3750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35EE83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13" w:type="pct"/>
            <w:shd w:val="clear" w:color="auto" w:fill="auto"/>
            <w:noWrap w:val="0"/>
            <w:vAlign w:val="bottom"/>
          </w:tcPr>
          <w:p w14:paraId="52F634B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2.96E-25</w:t>
            </w:r>
          </w:p>
        </w:tc>
        <w:tc>
          <w:tcPr>
            <w:tcW w:w="924" w:type="pct"/>
            <w:shd w:val="clear" w:color="auto" w:fill="auto"/>
            <w:noWrap w:val="0"/>
            <w:vAlign w:val="center"/>
          </w:tcPr>
          <w:p w14:paraId="687BC06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1829" w:type="dxa"/>
            <w:shd w:val="clear" w:color="auto" w:fill="auto"/>
            <w:noWrap w:val="0"/>
            <w:vAlign w:val="bottom"/>
          </w:tcPr>
          <w:p w14:paraId="0D319C80">
            <w:pPr>
              <w:pStyle w:val="24"/>
              <w:bidi w:val="0"/>
              <w:ind w:left="0" w:leftChars="0"/>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4.65E-25</w:t>
            </w:r>
          </w:p>
        </w:tc>
        <w:tc>
          <w:tcPr>
            <w:tcW w:w="1675" w:type="dxa"/>
            <w:shd w:val="clear" w:color="auto" w:fill="auto"/>
            <w:noWrap w:val="0"/>
            <w:vAlign w:val="center"/>
          </w:tcPr>
          <w:p w14:paraId="5EC5984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w:t>
            </w:r>
          </w:p>
        </w:tc>
      </w:tr>
      <w:tr w14:paraId="366B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0545CA1">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金堂村</w:t>
            </w:r>
          </w:p>
        </w:tc>
        <w:tc>
          <w:tcPr>
            <w:tcW w:w="1546" w:type="dxa"/>
            <w:noWrap w:val="0"/>
            <w:vAlign w:val="bottom"/>
          </w:tcPr>
          <w:p w14:paraId="08D642A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E9B217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4A68E65">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6F02A79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376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 w:type="pct"/>
            <w:noWrap w:val="0"/>
            <w:vAlign w:val="bottom"/>
          </w:tcPr>
          <w:p w14:paraId="33E4838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亮垭村</w:t>
            </w:r>
          </w:p>
        </w:tc>
        <w:tc>
          <w:tcPr>
            <w:tcW w:w="1546" w:type="dxa"/>
            <w:noWrap w:val="0"/>
            <w:vAlign w:val="bottom"/>
          </w:tcPr>
          <w:p w14:paraId="1248EC7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41DBD5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A2CDF0A">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3FE1850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C6E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8A20AA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秋锦山村</w:t>
            </w:r>
          </w:p>
        </w:tc>
        <w:tc>
          <w:tcPr>
            <w:tcW w:w="1546" w:type="dxa"/>
            <w:noWrap w:val="0"/>
            <w:vAlign w:val="bottom"/>
          </w:tcPr>
          <w:p w14:paraId="4F3E7D2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03A1D9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4119DAB">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343A45D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2C8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7399E6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春在镇</w:t>
            </w:r>
          </w:p>
        </w:tc>
        <w:tc>
          <w:tcPr>
            <w:tcW w:w="1546" w:type="dxa"/>
            <w:noWrap w:val="0"/>
            <w:vAlign w:val="bottom"/>
          </w:tcPr>
          <w:p w14:paraId="5EB3AA9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C27D0C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711E4F26">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563EED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6663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2606E45">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通江县城</w:t>
            </w:r>
          </w:p>
        </w:tc>
        <w:tc>
          <w:tcPr>
            <w:tcW w:w="1546" w:type="dxa"/>
            <w:noWrap w:val="0"/>
            <w:vAlign w:val="bottom"/>
          </w:tcPr>
          <w:p w14:paraId="54F6F8D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9795E5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163C4CA">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1E50B13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EA6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726668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檬子垭村</w:t>
            </w:r>
          </w:p>
        </w:tc>
        <w:tc>
          <w:tcPr>
            <w:tcW w:w="1546" w:type="dxa"/>
            <w:noWrap w:val="0"/>
            <w:vAlign w:val="bottom"/>
          </w:tcPr>
          <w:p w14:paraId="7716A25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2719A10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2C027C2">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340B09B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28B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C4116D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火峰村</w:t>
            </w:r>
          </w:p>
        </w:tc>
        <w:tc>
          <w:tcPr>
            <w:tcW w:w="1546" w:type="dxa"/>
            <w:noWrap w:val="0"/>
            <w:vAlign w:val="bottom"/>
          </w:tcPr>
          <w:p w14:paraId="50FC3CD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F3094F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715ABAD">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135FBBA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C1F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99BEA2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1546" w:type="dxa"/>
            <w:noWrap w:val="0"/>
            <w:vAlign w:val="bottom"/>
          </w:tcPr>
          <w:p w14:paraId="0310215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BD622A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7639DF0B">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78F395C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60E8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812E3D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大铁山村</w:t>
            </w:r>
          </w:p>
        </w:tc>
        <w:tc>
          <w:tcPr>
            <w:tcW w:w="1546" w:type="dxa"/>
            <w:noWrap w:val="0"/>
            <w:vAlign w:val="bottom"/>
          </w:tcPr>
          <w:p w14:paraId="6FD5733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A40092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06B8E94E">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CC6B7F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821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D2AFE41">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马岭村</w:t>
            </w:r>
          </w:p>
        </w:tc>
        <w:tc>
          <w:tcPr>
            <w:tcW w:w="1546" w:type="dxa"/>
            <w:noWrap w:val="0"/>
            <w:vAlign w:val="bottom"/>
          </w:tcPr>
          <w:p w14:paraId="6F35D9A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45F8942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32F3611">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175F31E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EB2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D3C7BD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1546" w:type="dxa"/>
            <w:noWrap w:val="0"/>
            <w:vAlign w:val="bottom"/>
          </w:tcPr>
          <w:p w14:paraId="7B2C67A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8B190C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894F66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5C205D5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267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D5CFB1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1546" w:type="dxa"/>
            <w:noWrap w:val="0"/>
            <w:vAlign w:val="bottom"/>
          </w:tcPr>
          <w:p w14:paraId="5A8CF4B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A64FF9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0C7E2CBD">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7F7E2DD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AD3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FD7719B">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1546" w:type="dxa"/>
            <w:noWrap w:val="0"/>
            <w:vAlign w:val="bottom"/>
          </w:tcPr>
          <w:p w14:paraId="6F07334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7EBF27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05ABD99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205D4D4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0BD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8653EC4">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1546" w:type="dxa"/>
            <w:noWrap w:val="0"/>
            <w:vAlign w:val="bottom"/>
          </w:tcPr>
          <w:p w14:paraId="1A452A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1BDB58F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D3406F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25523E9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537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103895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1546" w:type="dxa"/>
            <w:noWrap w:val="0"/>
            <w:vAlign w:val="bottom"/>
          </w:tcPr>
          <w:p w14:paraId="4856931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03D14B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3DC9B68B">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5F68C30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3C7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41EDC5D">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1546" w:type="dxa"/>
            <w:noWrap w:val="0"/>
            <w:vAlign w:val="bottom"/>
          </w:tcPr>
          <w:p w14:paraId="52E0E24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2530AE0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AE56FA0">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60FFFBA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0F1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19CACCC">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1546" w:type="dxa"/>
            <w:noWrap w:val="0"/>
            <w:vAlign w:val="bottom"/>
          </w:tcPr>
          <w:p w14:paraId="4FA4FE1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549E26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932AFE9">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2F94EBF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C18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F0F6C9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1546" w:type="dxa"/>
            <w:noWrap w:val="0"/>
            <w:vAlign w:val="bottom"/>
          </w:tcPr>
          <w:p w14:paraId="1D63F9A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854104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7E60E48">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3CAFCC0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D6E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FD55AC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1546" w:type="dxa"/>
            <w:noWrap w:val="0"/>
            <w:vAlign w:val="bottom"/>
          </w:tcPr>
          <w:p w14:paraId="4030CE7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8BDE3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A825E9B">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0021201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199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42AD7FD">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1546" w:type="dxa"/>
            <w:noWrap w:val="0"/>
            <w:vAlign w:val="bottom"/>
          </w:tcPr>
          <w:p w14:paraId="65B0DAA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4C7715A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05DA40CD">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0000182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F3C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EDD3F0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1546" w:type="dxa"/>
            <w:noWrap w:val="0"/>
            <w:vAlign w:val="bottom"/>
          </w:tcPr>
          <w:p w14:paraId="428DB14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8C2369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AF3C391">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5F5885E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2F1153DF">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根据预测结果，</w:t>
      </w:r>
      <w:r>
        <w:rPr>
          <w:rFonts w:hint="default" w:ascii="Times New Roman" w:hAnsi="Times New Roman" w:cs="Times New Roman"/>
          <w:color w:val="auto"/>
          <w:highlight w:val="none"/>
          <w:lang w:val="en-US" w:eastAsia="zh-CN"/>
        </w:rPr>
        <w:t>火灾爆炸产生的次生污染物一氧化碳</w:t>
      </w:r>
      <w:r>
        <w:rPr>
          <w:rFonts w:hint="default" w:ascii="Times New Roman" w:hAnsi="Times New Roman" w:eastAsia="宋体" w:cs="Times New Roman"/>
          <w:color w:val="auto"/>
          <w:kern w:val="0"/>
          <w:sz w:val="24"/>
          <w:szCs w:val="24"/>
          <w:highlight w:val="none"/>
          <w:lang w:val="en-US" w:eastAsia="zh-CN" w:bidi="ar"/>
        </w:rPr>
        <w:t>情况下，在最不利</w:t>
      </w:r>
      <w:r>
        <w:rPr>
          <w:rFonts w:hint="default" w:ascii="Times New Roman" w:hAnsi="Times New Roman" w:cs="Times New Roman"/>
          <w:color w:val="auto"/>
          <w:kern w:val="0"/>
          <w:sz w:val="24"/>
          <w:szCs w:val="24"/>
          <w:highlight w:val="none"/>
          <w:lang w:val="en-US" w:eastAsia="zh-CN" w:bidi="ar"/>
        </w:rPr>
        <w:t>/最常见</w:t>
      </w:r>
      <w:r>
        <w:rPr>
          <w:rFonts w:hint="default" w:ascii="Times New Roman" w:hAnsi="Times New Roman" w:eastAsia="宋体" w:cs="Times New Roman"/>
          <w:color w:val="auto"/>
          <w:kern w:val="0"/>
          <w:sz w:val="24"/>
          <w:szCs w:val="24"/>
          <w:highlight w:val="none"/>
          <w:lang w:val="en-US" w:eastAsia="zh-CN" w:bidi="ar"/>
        </w:rPr>
        <w:t>气象件下评价范围内各关心点不会出现毒性终点浓度-1值、毒性终点浓度-2值。</w:t>
      </w:r>
    </w:p>
    <w:p w14:paraId="1B1877B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周边环境敏感点一氧化碳浓度随时间变化情况表见下表。</w:t>
      </w:r>
    </w:p>
    <w:p w14:paraId="4734F3EC">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火灾爆炸事故下环境关心点</w:t>
      </w:r>
      <w:r>
        <w:rPr>
          <w:rFonts w:hint="default" w:ascii="Times New Roman" w:hAnsi="Times New Roman" w:cs="Times New Roman"/>
          <w:color w:val="auto"/>
          <w:kern w:val="0"/>
          <w:sz w:val="21"/>
          <w:szCs w:val="21"/>
          <w:highlight w:val="none"/>
          <w:lang w:val="en-US" w:eastAsia="zh-CN" w:bidi="ar"/>
        </w:rPr>
        <w:t>一氧化碳</w:t>
      </w:r>
      <w:r>
        <w:rPr>
          <w:rFonts w:hint="default" w:ascii="Times New Roman" w:hAnsi="Times New Roman" w:cs="Times New Roman"/>
          <w:color w:val="auto"/>
          <w:highlight w:val="none"/>
          <w:lang w:val="en-US" w:eastAsia="zh-CN"/>
        </w:rPr>
        <w:t>浓度随时间变化情况表</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1527"/>
        <w:gridCol w:w="1446"/>
        <w:gridCol w:w="1486"/>
        <w:gridCol w:w="1418"/>
        <w:gridCol w:w="1470"/>
      </w:tblGrid>
      <w:tr w14:paraId="4DD8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restart"/>
            <w:noWrap w:val="0"/>
            <w:vAlign w:val="center"/>
          </w:tcPr>
          <w:p w14:paraId="6D4677DA">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3864" w:type="pct"/>
            <w:gridSpan w:val="5"/>
            <w:noWrap w:val="0"/>
            <w:vAlign w:val="center"/>
          </w:tcPr>
          <w:p w14:paraId="470A54AE">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浓度-最不利气象条件下</w:t>
            </w:r>
          </w:p>
        </w:tc>
      </w:tr>
      <w:tr w14:paraId="5DBF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5" w:type="pct"/>
            <w:vMerge w:val="continue"/>
            <w:noWrap w:val="0"/>
            <w:vAlign w:val="center"/>
          </w:tcPr>
          <w:p w14:paraId="3049937F">
            <w:pPr>
              <w:pStyle w:val="24"/>
              <w:bidi w:val="0"/>
              <w:rPr>
                <w:rFonts w:hint="default" w:ascii="Times New Roman" w:hAnsi="Times New Roman" w:cs="Times New Roman"/>
                <w:color w:val="auto"/>
                <w:sz w:val="21"/>
                <w:szCs w:val="21"/>
              </w:rPr>
            </w:pPr>
          </w:p>
        </w:tc>
        <w:tc>
          <w:tcPr>
            <w:tcW w:w="803" w:type="pct"/>
            <w:shd w:val="clear" w:color="auto" w:fill="auto"/>
            <w:noWrap w:val="0"/>
            <w:vAlign w:val="center"/>
          </w:tcPr>
          <w:p w14:paraId="714950F7">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1min</w:t>
            </w:r>
          </w:p>
        </w:tc>
        <w:tc>
          <w:tcPr>
            <w:tcW w:w="760" w:type="pct"/>
            <w:shd w:val="clear" w:color="auto" w:fill="auto"/>
            <w:noWrap w:val="0"/>
            <w:vAlign w:val="center"/>
          </w:tcPr>
          <w:p w14:paraId="761C815B">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781" w:type="pct"/>
            <w:noWrap w:val="0"/>
            <w:vAlign w:val="center"/>
          </w:tcPr>
          <w:p w14:paraId="3DA43705">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745" w:type="pct"/>
            <w:shd w:val="clear" w:color="auto" w:fill="auto"/>
            <w:noWrap w:val="0"/>
            <w:vAlign w:val="center"/>
          </w:tcPr>
          <w:p w14:paraId="4CF788D0">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773" w:type="pct"/>
            <w:shd w:val="clear" w:color="auto" w:fill="auto"/>
            <w:noWrap w:val="0"/>
            <w:vAlign w:val="center"/>
          </w:tcPr>
          <w:p w14:paraId="22071CAD">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4C9C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6EE051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1527" w:type="dxa"/>
            <w:noWrap w:val="0"/>
            <w:vAlign w:val="bottom"/>
          </w:tcPr>
          <w:p w14:paraId="3F0FCC9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2.96E-25</w:t>
            </w:r>
          </w:p>
        </w:tc>
        <w:tc>
          <w:tcPr>
            <w:tcW w:w="1446" w:type="dxa"/>
            <w:noWrap w:val="0"/>
            <w:vAlign w:val="bottom"/>
          </w:tcPr>
          <w:p w14:paraId="09A1B80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2.96E-25</w:t>
            </w:r>
          </w:p>
        </w:tc>
        <w:tc>
          <w:tcPr>
            <w:tcW w:w="1486" w:type="dxa"/>
            <w:noWrap w:val="0"/>
            <w:vAlign w:val="bottom"/>
          </w:tcPr>
          <w:p w14:paraId="3C00B46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2.96E-25</w:t>
            </w:r>
          </w:p>
        </w:tc>
        <w:tc>
          <w:tcPr>
            <w:tcW w:w="1418" w:type="dxa"/>
            <w:shd w:val="clear" w:color="auto" w:fill="auto"/>
            <w:noWrap w:val="0"/>
            <w:vAlign w:val="bottom"/>
          </w:tcPr>
          <w:p w14:paraId="55278C5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1470" w:type="dxa"/>
            <w:shd w:val="clear" w:color="auto" w:fill="auto"/>
            <w:noWrap w:val="0"/>
            <w:vAlign w:val="bottom"/>
          </w:tcPr>
          <w:p w14:paraId="0BBB573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F71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35" w:type="pct"/>
            <w:shd w:val="clear" w:color="auto" w:fill="auto"/>
            <w:noWrap w:val="0"/>
            <w:vAlign w:val="center"/>
          </w:tcPr>
          <w:p w14:paraId="1B2F0E2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803" w:type="pct"/>
            <w:noWrap w:val="0"/>
            <w:vAlign w:val="center"/>
          </w:tcPr>
          <w:p w14:paraId="5A83E3D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39E91D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ECB896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136AE4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8FA3E6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691B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9BBBC9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803" w:type="pct"/>
            <w:noWrap w:val="0"/>
            <w:vAlign w:val="center"/>
          </w:tcPr>
          <w:p w14:paraId="7050788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5E552F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C38681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FF2181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96D8AE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18D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13D522A">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803" w:type="pct"/>
            <w:noWrap w:val="0"/>
            <w:vAlign w:val="center"/>
          </w:tcPr>
          <w:p w14:paraId="25B0E12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37DA86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56CB00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8F8EAF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2D11C3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6444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6233CC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803" w:type="pct"/>
            <w:noWrap w:val="0"/>
            <w:vAlign w:val="center"/>
          </w:tcPr>
          <w:p w14:paraId="2600BAB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FE6A4B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518759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00850C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2E159E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1A5B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FD6ABD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803" w:type="pct"/>
            <w:noWrap w:val="0"/>
            <w:vAlign w:val="center"/>
          </w:tcPr>
          <w:p w14:paraId="0B722A0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4F75AB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C23B77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2E3D08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65BD07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1BF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11473F9">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803" w:type="pct"/>
            <w:noWrap w:val="0"/>
            <w:vAlign w:val="center"/>
          </w:tcPr>
          <w:p w14:paraId="65FB4B2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999A44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7C565E3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C2046F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1B1F9E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D3C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65DC66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803" w:type="pct"/>
            <w:noWrap w:val="0"/>
            <w:vAlign w:val="center"/>
          </w:tcPr>
          <w:p w14:paraId="29B7540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489034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D23DEB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49C6F1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410B7C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6E3C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3145B9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03" w:type="pct"/>
            <w:noWrap w:val="0"/>
            <w:vAlign w:val="center"/>
          </w:tcPr>
          <w:p w14:paraId="1161E43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D457E0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EAF5D6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E21F27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C8EE4B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747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054959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803" w:type="pct"/>
            <w:noWrap w:val="0"/>
            <w:vAlign w:val="center"/>
          </w:tcPr>
          <w:p w14:paraId="1825153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85B260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819358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16A41B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9A1978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712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2D6CB9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803" w:type="pct"/>
            <w:noWrap w:val="0"/>
            <w:vAlign w:val="center"/>
          </w:tcPr>
          <w:p w14:paraId="178596D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A8CF5B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4EAE86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424069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90846F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F7F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F16842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03" w:type="pct"/>
            <w:noWrap w:val="0"/>
            <w:vAlign w:val="center"/>
          </w:tcPr>
          <w:p w14:paraId="22941B3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5303430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81F601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8932FC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06A7DBC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DC0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61B64B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03" w:type="pct"/>
            <w:noWrap w:val="0"/>
            <w:vAlign w:val="center"/>
          </w:tcPr>
          <w:p w14:paraId="27F7006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3C2788C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06E5B7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3D62A2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F4A394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0B9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13D8D8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03" w:type="pct"/>
            <w:noWrap w:val="0"/>
            <w:vAlign w:val="center"/>
          </w:tcPr>
          <w:p w14:paraId="173E763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623366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9D4BA1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78466E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6ED79A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A44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71B76A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03" w:type="pct"/>
            <w:noWrap w:val="0"/>
            <w:vAlign w:val="center"/>
          </w:tcPr>
          <w:p w14:paraId="382F2C5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3B3B63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8F8D62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84D51C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5B520C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F13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6C94E9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03" w:type="pct"/>
            <w:noWrap w:val="0"/>
            <w:vAlign w:val="center"/>
          </w:tcPr>
          <w:p w14:paraId="6E5E5D5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93AC1B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7ECF86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5A7CA7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61B64C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0A5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630E6D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03" w:type="pct"/>
            <w:noWrap w:val="0"/>
            <w:vAlign w:val="center"/>
          </w:tcPr>
          <w:p w14:paraId="2D7E780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B1FE76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F49D16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3AAEB7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009CE81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5B0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F19E01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03" w:type="pct"/>
            <w:noWrap w:val="0"/>
            <w:vAlign w:val="center"/>
          </w:tcPr>
          <w:p w14:paraId="697D609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5067FD7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67C54C8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0092A6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19CF25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3F1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418C61A">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03" w:type="pct"/>
            <w:noWrap w:val="0"/>
            <w:vAlign w:val="center"/>
          </w:tcPr>
          <w:p w14:paraId="4A4BEE7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C6614C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DF9E6E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59AFF0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3D5119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54D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0E9673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03" w:type="pct"/>
            <w:noWrap w:val="0"/>
            <w:vAlign w:val="center"/>
          </w:tcPr>
          <w:p w14:paraId="47A0E13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EC9945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BA12E1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471291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C0BAC8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6A1F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FF2486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03" w:type="pct"/>
            <w:noWrap w:val="0"/>
            <w:vAlign w:val="center"/>
          </w:tcPr>
          <w:p w14:paraId="27FB71F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12451D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78BB2C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C37D23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1E5E78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1AED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E26429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03" w:type="pct"/>
            <w:noWrap w:val="0"/>
            <w:vAlign w:val="center"/>
          </w:tcPr>
          <w:p w14:paraId="6552C3C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2B6AD2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7FC701E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4C3124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3A6C18B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AF6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restart"/>
            <w:noWrap w:val="0"/>
            <w:vAlign w:val="center"/>
          </w:tcPr>
          <w:p w14:paraId="2BF082DE">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3864" w:type="pct"/>
            <w:gridSpan w:val="5"/>
            <w:noWrap w:val="0"/>
            <w:vAlign w:val="center"/>
          </w:tcPr>
          <w:p w14:paraId="6ED6AF4C">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浓度-最常见气象条件下</w:t>
            </w:r>
          </w:p>
        </w:tc>
      </w:tr>
      <w:tr w14:paraId="3CB5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continue"/>
            <w:noWrap w:val="0"/>
            <w:vAlign w:val="center"/>
          </w:tcPr>
          <w:p w14:paraId="3AC8A003">
            <w:pPr>
              <w:pStyle w:val="24"/>
              <w:bidi w:val="0"/>
              <w:rPr>
                <w:rFonts w:hint="default" w:ascii="Times New Roman" w:hAnsi="Times New Roman" w:cs="Times New Roman"/>
                <w:color w:val="auto"/>
                <w:sz w:val="21"/>
                <w:szCs w:val="21"/>
              </w:rPr>
            </w:pPr>
          </w:p>
        </w:tc>
        <w:tc>
          <w:tcPr>
            <w:tcW w:w="803" w:type="pct"/>
            <w:shd w:val="clear" w:color="auto" w:fill="auto"/>
            <w:noWrap w:val="0"/>
            <w:vAlign w:val="center"/>
          </w:tcPr>
          <w:p w14:paraId="41C07C8A">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1min</w:t>
            </w:r>
          </w:p>
        </w:tc>
        <w:tc>
          <w:tcPr>
            <w:tcW w:w="760" w:type="pct"/>
            <w:shd w:val="clear" w:color="auto" w:fill="auto"/>
            <w:noWrap w:val="0"/>
            <w:vAlign w:val="center"/>
          </w:tcPr>
          <w:p w14:paraId="3BDAECA2">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781" w:type="pct"/>
            <w:noWrap w:val="0"/>
            <w:vAlign w:val="center"/>
          </w:tcPr>
          <w:p w14:paraId="4D1982C6">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745" w:type="pct"/>
            <w:shd w:val="clear" w:color="auto" w:fill="auto"/>
            <w:noWrap w:val="0"/>
            <w:vAlign w:val="center"/>
          </w:tcPr>
          <w:p w14:paraId="5322E034">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773" w:type="pct"/>
            <w:shd w:val="clear" w:color="auto" w:fill="auto"/>
            <w:noWrap w:val="0"/>
            <w:vAlign w:val="center"/>
          </w:tcPr>
          <w:p w14:paraId="27D8F0AE">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51BB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A008DD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03" w:type="pct"/>
            <w:shd w:val="clear" w:color="auto" w:fill="auto"/>
            <w:noWrap w:val="0"/>
            <w:vAlign w:val="center"/>
          </w:tcPr>
          <w:p w14:paraId="4455410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rPr>
              <w:t>4.65E-25</w:t>
            </w:r>
          </w:p>
        </w:tc>
        <w:tc>
          <w:tcPr>
            <w:tcW w:w="760" w:type="pct"/>
            <w:shd w:val="clear" w:color="auto" w:fill="auto"/>
            <w:noWrap w:val="0"/>
            <w:vAlign w:val="center"/>
          </w:tcPr>
          <w:p w14:paraId="6E52906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rPr>
              <w:t>4.65E-25</w:t>
            </w:r>
          </w:p>
        </w:tc>
        <w:tc>
          <w:tcPr>
            <w:tcW w:w="1486" w:type="dxa"/>
            <w:shd w:val="clear" w:color="auto" w:fill="auto"/>
            <w:noWrap w:val="0"/>
            <w:vAlign w:val="center"/>
          </w:tcPr>
          <w:p w14:paraId="0282C58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rPr>
              <w:t>4.65E-25</w:t>
            </w:r>
          </w:p>
        </w:tc>
        <w:tc>
          <w:tcPr>
            <w:tcW w:w="1418" w:type="dxa"/>
            <w:shd w:val="clear" w:color="auto" w:fill="auto"/>
            <w:noWrap w:val="0"/>
            <w:vAlign w:val="center"/>
          </w:tcPr>
          <w:p w14:paraId="5783D16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rPr>
              <w:t>4.65E-25</w:t>
            </w:r>
          </w:p>
        </w:tc>
        <w:tc>
          <w:tcPr>
            <w:tcW w:w="1470" w:type="dxa"/>
            <w:shd w:val="clear" w:color="auto" w:fill="auto"/>
            <w:noWrap w:val="0"/>
            <w:vAlign w:val="center"/>
          </w:tcPr>
          <w:p w14:paraId="2657B17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cs="Times New Roman"/>
                <w:b w:val="0"/>
                <w:bCs w:val="0"/>
                <w:color w:val="auto"/>
                <w:sz w:val="21"/>
                <w:szCs w:val="21"/>
                <w:highlight w:val="none"/>
                <w:lang w:val="en-US" w:eastAsia="zh-CN"/>
              </w:rPr>
              <w:t>4.65E-25</w:t>
            </w:r>
          </w:p>
        </w:tc>
      </w:tr>
      <w:tr w14:paraId="75CF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6D35B2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803" w:type="pct"/>
            <w:shd w:val="clear" w:color="auto" w:fill="auto"/>
            <w:noWrap w:val="0"/>
            <w:vAlign w:val="center"/>
          </w:tcPr>
          <w:p w14:paraId="357F897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50D759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DF51A4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6AA205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28B136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4A49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DBA674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803" w:type="pct"/>
            <w:shd w:val="clear" w:color="auto" w:fill="auto"/>
            <w:noWrap w:val="0"/>
            <w:vAlign w:val="center"/>
          </w:tcPr>
          <w:p w14:paraId="1409F11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4AE79B1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7E259B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9A62AA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E39FE3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59B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278AC9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803" w:type="pct"/>
            <w:shd w:val="clear" w:color="auto" w:fill="auto"/>
            <w:noWrap w:val="0"/>
            <w:vAlign w:val="center"/>
          </w:tcPr>
          <w:p w14:paraId="681D78E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4B1F58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DFBF56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962FAF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430980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20F7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D94737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803" w:type="pct"/>
            <w:shd w:val="clear" w:color="auto" w:fill="auto"/>
            <w:noWrap w:val="0"/>
            <w:vAlign w:val="center"/>
          </w:tcPr>
          <w:p w14:paraId="722A0EF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C4AD48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BFB387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C1ED63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56477C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363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127C68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803" w:type="pct"/>
            <w:shd w:val="clear" w:color="auto" w:fill="auto"/>
            <w:noWrap w:val="0"/>
            <w:vAlign w:val="center"/>
          </w:tcPr>
          <w:p w14:paraId="45CA0ED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B4F5FF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5F8EFD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279C6C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0F650C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7E8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697DD1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803" w:type="pct"/>
            <w:shd w:val="clear" w:color="auto" w:fill="auto"/>
            <w:noWrap w:val="0"/>
            <w:vAlign w:val="center"/>
          </w:tcPr>
          <w:p w14:paraId="3F3A18F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032031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B7DE81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DE7DB6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C68B25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2FCE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ECD717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803" w:type="pct"/>
            <w:shd w:val="clear" w:color="auto" w:fill="auto"/>
            <w:noWrap w:val="0"/>
            <w:vAlign w:val="center"/>
          </w:tcPr>
          <w:p w14:paraId="0E68350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C85EFD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590D6E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B5B6CF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0727FF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C50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175E285">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03" w:type="pct"/>
            <w:shd w:val="clear" w:color="auto" w:fill="auto"/>
            <w:noWrap w:val="0"/>
            <w:vAlign w:val="center"/>
          </w:tcPr>
          <w:p w14:paraId="4871300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A374ED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378504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CDA497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4ED61FB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A36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487AD7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803" w:type="pct"/>
            <w:shd w:val="clear" w:color="auto" w:fill="auto"/>
            <w:noWrap w:val="0"/>
            <w:vAlign w:val="center"/>
          </w:tcPr>
          <w:p w14:paraId="78C1396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261691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937B59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3F14DE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1D6AC3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7ED6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6E6E94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803" w:type="pct"/>
            <w:shd w:val="clear" w:color="auto" w:fill="auto"/>
            <w:noWrap w:val="0"/>
            <w:vAlign w:val="center"/>
          </w:tcPr>
          <w:p w14:paraId="397A4DF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ACBD6E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A816C8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116709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7C08BC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0C9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0BAE4A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03" w:type="pct"/>
            <w:shd w:val="clear" w:color="auto" w:fill="auto"/>
            <w:noWrap w:val="0"/>
            <w:vAlign w:val="center"/>
          </w:tcPr>
          <w:p w14:paraId="2412244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428102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7C35E1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2D1338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3A0F4C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3F9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EDCF0F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03" w:type="pct"/>
            <w:shd w:val="clear" w:color="auto" w:fill="auto"/>
            <w:noWrap w:val="0"/>
            <w:vAlign w:val="center"/>
          </w:tcPr>
          <w:p w14:paraId="3636CB8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B7B4DD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F389C0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E548A7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1D10E5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73C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83CC02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03" w:type="pct"/>
            <w:shd w:val="clear" w:color="auto" w:fill="auto"/>
            <w:noWrap w:val="0"/>
            <w:vAlign w:val="center"/>
          </w:tcPr>
          <w:p w14:paraId="00EEBFF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450BBF9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0B9541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8AC306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5CCF7C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3D9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96AE00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03" w:type="pct"/>
            <w:shd w:val="clear" w:color="auto" w:fill="auto"/>
            <w:noWrap w:val="0"/>
            <w:vAlign w:val="center"/>
          </w:tcPr>
          <w:p w14:paraId="1660850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0C7673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579A6C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6F3A0B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88AC3E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1BF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ECB95C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03" w:type="pct"/>
            <w:shd w:val="clear" w:color="auto" w:fill="auto"/>
            <w:noWrap w:val="0"/>
            <w:vAlign w:val="center"/>
          </w:tcPr>
          <w:p w14:paraId="107219E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08BAC5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30F12AC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2610EA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78E25F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C85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7A5148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03" w:type="pct"/>
            <w:shd w:val="clear" w:color="auto" w:fill="auto"/>
            <w:noWrap w:val="0"/>
            <w:vAlign w:val="center"/>
          </w:tcPr>
          <w:p w14:paraId="3EB3D1D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DB5655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09056A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6BE55B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3820C6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69C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17D259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03" w:type="pct"/>
            <w:shd w:val="clear" w:color="auto" w:fill="auto"/>
            <w:noWrap w:val="0"/>
            <w:vAlign w:val="center"/>
          </w:tcPr>
          <w:p w14:paraId="63E6C24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80DB55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79316B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1E36A9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A1FDA7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9A8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05EADE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03" w:type="pct"/>
            <w:shd w:val="clear" w:color="auto" w:fill="auto"/>
            <w:noWrap w:val="0"/>
            <w:vAlign w:val="center"/>
          </w:tcPr>
          <w:p w14:paraId="6C8D048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DEC915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D965DE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C06478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869DA9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243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B79E1B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03" w:type="pct"/>
            <w:shd w:val="clear" w:color="auto" w:fill="auto"/>
            <w:noWrap w:val="0"/>
            <w:vAlign w:val="center"/>
          </w:tcPr>
          <w:p w14:paraId="7013DC2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F96386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EBF2C8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4109BA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0E3C4B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2C98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BBCFBF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03" w:type="pct"/>
            <w:shd w:val="clear" w:color="auto" w:fill="auto"/>
            <w:noWrap w:val="0"/>
            <w:vAlign w:val="center"/>
          </w:tcPr>
          <w:p w14:paraId="2716905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674383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AE9E1D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98B28E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08EEEB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D92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6FE9F6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03" w:type="pct"/>
            <w:shd w:val="clear" w:color="auto" w:fill="auto"/>
            <w:noWrap w:val="0"/>
            <w:vAlign w:val="center"/>
          </w:tcPr>
          <w:p w14:paraId="05CB93A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2AED19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156B3E2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659A4E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A12DC8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bl>
    <w:p w14:paraId="6B2FF4A2">
      <w:pPr>
        <w:pStyle w:val="30"/>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（4）大气伤害概率</w:t>
      </w:r>
    </w:p>
    <w:p w14:paraId="428CE900">
      <w:pPr>
        <w:pStyle w:val="26"/>
        <w:bidi w:val="0"/>
        <w:rPr>
          <w:rFonts w:hint="default" w:ascii="Times New Roman" w:hAnsi="Times New Roman" w:cs="Times New Roman"/>
          <w:color w:val="auto"/>
          <w:highlight w:val="none"/>
        </w:rPr>
      </w:pPr>
      <w:r>
        <w:rPr>
          <w:rFonts w:hint="default" w:ascii="Times New Roman" w:hAnsi="Times New Roman" w:cs="Times New Roman"/>
          <w:color w:val="auto"/>
          <w:kern w:val="0"/>
          <w:sz w:val="24"/>
          <w:szCs w:val="24"/>
          <w:highlight w:val="none"/>
          <w:lang w:val="en-US" w:eastAsia="zh-CN" w:bidi="ar"/>
        </w:rPr>
        <w:t>本次取</w:t>
      </w:r>
      <w:r>
        <w:rPr>
          <w:rFonts w:hint="default" w:ascii="Times New Roman" w:hAnsi="Times New Roman" w:cs="Times New Roman"/>
          <w:color w:val="auto"/>
          <w:lang w:val="en-US" w:eastAsia="zh-CN"/>
        </w:rPr>
        <w:t>《建设项目环境风险评价技术导则》（HJ169-2018）附录I中</w:t>
      </w:r>
      <w:r>
        <w:rPr>
          <w:rFonts w:hint="eastAsia" w:ascii="Times New Roman" w:hAnsi="Times New Roman" w:cs="Times New Roman"/>
          <w:color w:val="auto"/>
          <w:lang w:val="en-US" w:eastAsia="zh-CN"/>
        </w:rPr>
        <w:t>一氧化碳</w:t>
      </w:r>
      <w:r>
        <w:rPr>
          <w:rFonts w:hint="default" w:ascii="Times New Roman" w:hAnsi="Times New Roman" w:cs="Times New Roman"/>
          <w:color w:val="auto"/>
          <w:lang w:val="en-US" w:eastAsia="zh-CN"/>
        </w:rPr>
        <w:t>的相关参数对暴露于有</w:t>
      </w:r>
      <w:r>
        <w:rPr>
          <w:rFonts w:hint="eastAsia" w:ascii="Times New Roman" w:hAnsi="Times New Roman" w:cs="Times New Roman"/>
          <w:color w:val="auto"/>
          <w:lang w:val="en-US" w:eastAsia="zh-CN"/>
        </w:rPr>
        <w:t>一氧化碳</w:t>
      </w:r>
      <w:r>
        <w:rPr>
          <w:rFonts w:hint="default" w:ascii="Times New Roman" w:hAnsi="Times New Roman" w:cs="Times New Roman"/>
          <w:color w:val="auto"/>
          <w:lang w:val="en-US" w:eastAsia="zh-CN"/>
        </w:rPr>
        <w:t>气团下、无任何防护的人员，因</w:t>
      </w:r>
      <w:r>
        <w:rPr>
          <w:rFonts w:hint="eastAsia" w:ascii="Times New Roman" w:hAnsi="Times New Roman" w:cs="Times New Roman"/>
          <w:color w:val="auto"/>
          <w:lang w:val="en-US" w:eastAsia="zh-CN"/>
        </w:rPr>
        <w:t>一氧化碳</w:t>
      </w:r>
      <w:r>
        <w:rPr>
          <w:rFonts w:hint="default" w:ascii="Times New Roman" w:hAnsi="Times New Roman" w:cs="Times New Roman"/>
          <w:color w:val="auto"/>
          <w:lang w:val="en-US" w:eastAsia="zh-CN"/>
        </w:rPr>
        <w:t>毒性而导致死亡的概率进行计算可知，</w:t>
      </w:r>
      <w:r>
        <w:rPr>
          <w:rFonts w:hint="eastAsia" w:ascii="Times New Roman" w:hAnsi="Times New Roman" w:cs="Times New Roman"/>
          <w:color w:val="auto"/>
          <w:lang w:val="en-US" w:eastAsia="zh-CN"/>
        </w:rPr>
        <w:t>一氧化碳</w:t>
      </w:r>
      <w:r>
        <w:rPr>
          <w:rFonts w:hint="default" w:ascii="Times New Roman" w:hAnsi="Times New Roman" w:eastAsia="宋体" w:cs="Times New Roman"/>
          <w:color w:val="auto"/>
          <w:highlight w:val="none"/>
          <w:lang w:val="en-US" w:eastAsia="zh-CN"/>
        </w:rPr>
        <w:t>大气伤害概率为0。</w:t>
      </w:r>
    </w:p>
    <w:p w14:paraId="15CFBF54">
      <w:pPr>
        <w:pStyle w:val="5"/>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火灾爆炸</w:t>
      </w:r>
      <w:r>
        <w:rPr>
          <w:rFonts w:hint="eastAsia" w:cs="Times New Roman"/>
          <w:color w:val="auto"/>
          <w:highlight w:val="none"/>
          <w:lang w:val="en-US" w:eastAsia="zh-CN"/>
        </w:rPr>
        <w:t>二氧化硫</w:t>
      </w:r>
    </w:p>
    <w:p w14:paraId="5BFB454F">
      <w:pPr>
        <w:pStyle w:val="2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在最不利</w:t>
      </w:r>
      <w:r>
        <w:rPr>
          <w:rFonts w:hint="default" w:ascii="Times New Roman" w:hAnsi="Times New Roman" w:cs="Times New Roman"/>
          <w:color w:val="auto"/>
          <w:highlight w:val="none"/>
          <w:lang w:val="en-US" w:eastAsia="zh-CN"/>
        </w:rPr>
        <w:t>/最常见</w:t>
      </w:r>
      <w:r>
        <w:rPr>
          <w:rFonts w:hint="default" w:ascii="Times New Roman" w:hAnsi="Times New Roman" w:cs="Times New Roman"/>
          <w:color w:val="auto"/>
          <w:highlight w:val="none"/>
        </w:rPr>
        <w:t>气象条件下，</w:t>
      </w:r>
      <w:r>
        <w:rPr>
          <w:rFonts w:hint="default" w:ascii="Times New Roman" w:hAnsi="Times New Roman" w:cs="Times New Roman"/>
          <w:color w:val="auto"/>
          <w:highlight w:val="none"/>
          <w:lang w:val="en-US" w:eastAsia="zh-CN"/>
        </w:rPr>
        <w:t>预测</w:t>
      </w:r>
      <w:r>
        <w:rPr>
          <w:rFonts w:hint="default" w:ascii="Times New Roman" w:hAnsi="Times New Roman" w:cs="Times New Roman"/>
          <w:color w:val="auto"/>
          <w:highlight w:val="none"/>
        </w:rPr>
        <w:t>下风向不同距离处有毒有害物质的最大浓度，以及预测浓度达到不同毒性终点浓度的最大影响范围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预测结果如下</w:t>
      </w:r>
      <w:r>
        <w:rPr>
          <w:rFonts w:hint="default" w:ascii="Times New Roman" w:hAnsi="Times New Roman" w:cs="Times New Roman"/>
          <w:color w:val="auto"/>
          <w:highlight w:val="none"/>
          <w:lang w:eastAsia="zh-CN"/>
        </w:rPr>
        <w:t>。</w:t>
      </w:r>
    </w:p>
    <w:p w14:paraId="03D7332E">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1、</w:t>
      </w:r>
      <w:r>
        <w:rPr>
          <w:rFonts w:hint="default" w:ascii="Times New Roman" w:hAnsi="Times New Roman" w:cs="Times New Roman"/>
          <w:color w:val="auto"/>
          <w:highlight w:val="none"/>
          <w:lang w:val="en-US" w:eastAsia="zh-CN"/>
        </w:rPr>
        <w:t>预测参数</w:t>
      </w:r>
    </w:p>
    <w:p w14:paraId="0EAF4D07">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lang w:val="en-US" w:eastAsia="zh-CN"/>
        </w:rPr>
        <w:t>火灾爆炸产生的次生污染物</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 w:val="24"/>
          <w:szCs w:val="24"/>
          <w:highlight w:val="none"/>
          <w:lang w:val="en-US" w:eastAsia="zh-CN" w:bidi="ar"/>
        </w:rPr>
        <w:t>预测参数见下表。</w:t>
      </w:r>
    </w:p>
    <w:p w14:paraId="71A9B9B2">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火灾爆炸产生的次生污染物</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主要参数表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2"/>
        <w:gridCol w:w="3152"/>
        <w:gridCol w:w="3153"/>
      </w:tblGrid>
      <w:tr w14:paraId="006B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noWrap w:val="0"/>
            <w:vAlign w:val="center"/>
          </w:tcPr>
          <w:p w14:paraId="02C7D830">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参数类型</w:t>
            </w:r>
          </w:p>
        </w:tc>
        <w:tc>
          <w:tcPr>
            <w:tcW w:w="3152" w:type="dxa"/>
            <w:noWrap w:val="0"/>
            <w:vAlign w:val="center"/>
          </w:tcPr>
          <w:p w14:paraId="38727AA0">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选项</w:t>
            </w:r>
          </w:p>
        </w:tc>
        <w:tc>
          <w:tcPr>
            <w:tcW w:w="3153" w:type="dxa"/>
            <w:noWrap w:val="0"/>
            <w:vAlign w:val="center"/>
          </w:tcPr>
          <w:p w14:paraId="132E7F8A">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参数</w:t>
            </w:r>
          </w:p>
        </w:tc>
      </w:tr>
      <w:tr w14:paraId="4D02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restart"/>
            <w:noWrap w:val="0"/>
            <w:vAlign w:val="center"/>
          </w:tcPr>
          <w:p w14:paraId="3CF159B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源强参数</w:t>
            </w:r>
          </w:p>
        </w:tc>
        <w:tc>
          <w:tcPr>
            <w:tcW w:w="3152" w:type="dxa"/>
            <w:shd w:val="clear" w:color="auto" w:fill="auto"/>
            <w:noWrap w:val="0"/>
            <w:vAlign w:val="center"/>
          </w:tcPr>
          <w:p w14:paraId="6BDED7D7">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持续时间（s）</w:t>
            </w:r>
          </w:p>
        </w:tc>
        <w:tc>
          <w:tcPr>
            <w:tcW w:w="3153" w:type="dxa"/>
            <w:shd w:val="clear" w:color="auto" w:fill="auto"/>
            <w:noWrap w:val="0"/>
            <w:vAlign w:val="center"/>
          </w:tcPr>
          <w:p w14:paraId="164BE932">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3600</w:t>
            </w:r>
          </w:p>
        </w:tc>
      </w:tr>
      <w:tr w14:paraId="05E0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12012DFD">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15828E06">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排放速率（</w:t>
            </w:r>
            <w:r>
              <w:rPr>
                <w:rFonts w:hint="eastAsia" w:cs="Times New Roman"/>
                <w:color w:val="auto"/>
                <w:highlight w:val="none"/>
                <w:lang w:val="en-US" w:eastAsia="zh-CN"/>
              </w:rPr>
              <w:t>k</w:t>
            </w:r>
            <w:r>
              <w:rPr>
                <w:rFonts w:hint="default" w:ascii="Times New Roman" w:hAnsi="Times New Roman" w:cs="Times New Roman"/>
                <w:color w:val="auto"/>
                <w:highlight w:val="none"/>
                <w:lang w:val="en-US" w:eastAsia="zh-CN"/>
              </w:rPr>
              <w:t>g/s）</w:t>
            </w:r>
          </w:p>
        </w:tc>
        <w:tc>
          <w:tcPr>
            <w:tcW w:w="3153" w:type="dxa"/>
            <w:shd w:val="clear" w:color="auto" w:fill="auto"/>
            <w:noWrap w:val="0"/>
            <w:vAlign w:val="center"/>
          </w:tcPr>
          <w:p w14:paraId="4067B7A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0.0050/0.0052</w:t>
            </w:r>
          </w:p>
        </w:tc>
      </w:tr>
      <w:tr w14:paraId="0E2E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0B594ABA">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4567F08F">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源高度（m）</w:t>
            </w:r>
          </w:p>
        </w:tc>
        <w:tc>
          <w:tcPr>
            <w:tcW w:w="3153" w:type="dxa"/>
            <w:shd w:val="clear" w:color="auto" w:fill="auto"/>
            <w:noWrap w:val="0"/>
            <w:vAlign w:val="center"/>
          </w:tcPr>
          <w:p w14:paraId="61F97654">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0.32/0.32</w:t>
            </w:r>
          </w:p>
        </w:tc>
      </w:tr>
      <w:tr w14:paraId="2265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2" w:type="dxa"/>
            <w:vMerge w:val="continue"/>
            <w:noWrap w:val="0"/>
            <w:vAlign w:val="center"/>
          </w:tcPr>
          <w:p w14:paraId="3FB59FE6">
            <w:pPr>
              <w:pStyle w:val="24"/>
              <w:bidi w:val="0"/>
              <w:jc w:val="center"/>
              <w:rPr>
                <w:rFonts w:hint="default" w:ascii="Times New Roman" w:hAnsi="Times New Roman" w:cs="Times New Roman"/>
                <w:color w:val="auto"/>
                <w:highlight w:val="none"/>
                <w:lang w:val="en-US" w:eastAsia="zh-CN"/>
              </w:rPr>
            </w:pPr>
          </w:p>
        </w:tc>
        <w:tc>
          <w:tcPr>
            <w:tcW w:w="3152" w:type="dxa"/>
            <w:shd w:val="clear" w:color="auto" w:fill="auto"/>
            <w:noWrap w:val="0"/>
            <w:vAlign w:val="center"/>
          </w:tcPr>
          <w:p w14:paraId="0BC5096D">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烟气温度（℃）</w:t>
            </w:r>
          </w:p>
        </w:tc>
        <w:tc>
          <w:tcPr>
            <w:tcW w:w="3153" w:type="dxa"/>
            <w:shd w:val="clear" w:color="auto" w:fill="auto"/>
            <w:noWrap w:val="0"/>
            <w:vAlign w:val="center"/>
          </w:tcPr>
          <w:p w14:paraId="0F27028A">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180</w:t>
            </w:r>
          </w:p>
        </w:tc>
      </w:tr>
    </w:tbl>
    <w:p w14:paraId="5B5BA82B">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2、</w:t>
      </w:r>
      <w:r>
        <w:rPr>
          <w:rFonts w:hint="default" w:ascii="Times New Roman" w:hAnsi="Times New Roman" w:cs="Times New Roman"/>
          <w:color w:val="auto"/>
          <w:highlight w:val="none"/>
          <w:lang w:val="en-US" w:eastAsia="zh-CN"/>
        </w:rPr>
        <w:t>预测结果分析</w:t>
      </w:r>
    </w:p>
    <w:p w14:paraId="6EA97012">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关注限值距离</w:t>
      </w:r>
    </w:p>
    <w:p w14:paraId="40EA4C6F">
      <w:pPr>
        <w:keepNext w:val="0"/>
        <w:keepLines w:val="0"/>
        <w:widowControl/>
        <w:suppressLineNumbers w:val="0"/>
        <w:ind w:left="0" w:leftChars="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lang w:val="en-US" w:eastAsia="zh-CN"/>
        </w:rPr>
        <w:t>火灾爆炸产生的次生污染物</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 w:val="24"/>
          <w:szCs w:val="24"/>
          <w:highlight w:val="none"/>
          <w:lang w:val="en-US" w:eastAsia="zh-CN" w:bidi="ar"/>
        </w:rPr>
        <w:t>情况下，</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 w:val="24"/>
          <w:szCs w:val="24"/>
          <w:highlight w:val="none"/>
          <w:lang w:val="en-US" w:eastAsia="zh-CN" w:bidi="ar"/>
        </w:rPr>
        <w:t>在不同时刻达到关注限值的最远距离见下表。</w:t>
      </w:r>
    </w:p>
    <w:p w14:paraId="4BCB46E6">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不同时刻达到关注限值的最远预测距离</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1155"/>
        <w:gridCol w:w="1255"/>
        <w:gridCol w:w="1371"/>
        <w:gridCol w:w="1261"/>
        <w:gridCol w:w="1091"/>
        <w:gridCol w:w="1430"/>
      </w:tblGrid>
      <w:tr w14:paraId="141B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Merge w:val="restart"/>
            <w:noWrap w:val="0"/>
            <w:vAlign w:val="center"/>
          </w:tcPr>
          <w:p w14:paraId="43F94DAA">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3781" w:type="dxa"/>
            <w:gridSpan w:val="3"/>
            <w:noWrap w:val="0"/>
            <w:vAlign w:val="center"/>
          </w:tcPr>
          <w:p w14:paraId="4D6C7801">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毒性终点浓度-1</w:t>
            </w:r>
          </w:p>
        </w:tc>
        <w:tc>
          <w:tcPr>
            <w:tcW w:w="3782" w:type="dxa"/>
            <w:gridSpan w:val="3"/>
            <w:noWrap w:val="0"/>
            <w:vAlign w:val="center"/>
          </w:tcPr>
          <w:p w14:paraId="1C5B517A">
            <w:pPr>
              <w:pStyle w:val="31"/>
              <w:bidi w:val="0"/>
              <w:ind w:left="0" w:left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毒性终点浓度-2</w:t>
            </w:r>
          </w:p>
        </w:tc>
      </w:tr>
      <w:tr w14:paraId="3994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0" w:type="dxa"/>
            <w:vMerge w:val="continue"/>
            <w:noWrap w:val="0"/>
            <w:vAlign w:val="center"/>
          </w:tcPr>
          <w:p w14:paraId="1BA99441">
            <w:pPr>
              <w:pStyle w:val="24"/>
              <w:bidi w:val="0"/>
              <w:jc w:val="center"/>
              <w:rPr>
                <w:rFonts w:hint="default" w:ascii="Times New Roman" w:hAnsi="Times New Roman" w:cs="Times New Roman"/>
                <w:color w:val="auto"/>
                <w:highlight w:val="none"/>
                <w:lang w:val="en-US" w:eastAsia="zh-CN"/>
              </w:rPr>
            </w:pPr>
          </w:p>
        </w:tc>
        <w:tc>
          <w:tcPr>
            <w:tcW w:w="1155" w:type="dxa"/>
            <w:noWrap w:val="0"/>
            <w:vAlign w:val="center"/>
          </w:tcPr>
          <w:p w14:paraId="165A79D4">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255" w:type="dxa"/>
            <w:noWrap w:val="0"/>
            <w:vAlign w:val="center"/>
          </w:tcPr>
          <w:p w14:paraId="2C4724DB">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距离（m）</w:t>
            </w:r>
          </w:p>
        </w:tc>
        <w:tc>
          <w:tcPr>
            <w:tcW w:w="1371" w:type="dxa"/>
            <w:noWrap w:val="0"/>
            <w:vAlign w:val="center"/>
          </w:tcPr>
          <w:p w14:paraId="4342C8BE">
            <w:pPr>
              <w:pStyle w:val="24"/>
              <w:bidi w:val="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c>
          <w:tcPr>
            <w:tcW w:w="1261" w:type="dxa"/>
            <w:noWrap w:val="0"/>
            <w:vAlign w:val="center"/>
          </w:tcPr>
          <w:p w14:paraId="096ABA93">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浓度限值</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mg/m</w:t>
            </w:r>
            <w:r>
              <w:rPr>
                <w:rFonts w:hint="default" w:ascii="Times New Roman" w:hAnsi="Times New Roman" w:cs="Times New Roman"/>
                <w:b/>
                <w:bCs/>
                <w:color w:val="auto"/>
                <w:highlight w:val="none"/>
                <w:vertAlign w:val="superscript"/>
                <w:lang w:val="en-US" w:eastAsia="zh-CN"/>
              </w:rPr>
              <w:t>3</w:t>
            </w:r>
            <w:r>
              <w:rPr>
                <w:rFonts w:hint="eastAsia" w:cs="Times New Roman"/>
                <w:b/>
                <w:bCs/>
                <w:color w:val="auto"/>
                <w:highlight w:val="none"/>
                <w:lang w:val="en-US" w:eastAsia="zh-CN"/>
              </w:rPr>
              <w:t>）</w:t>
            </w:r>
          </w:p>
        </w:tc>
        <w:tc>
          <w:tcPr>
            <w:tcW w:w="1091" w:type="dxa"/>
            <w:noWrap w:val="0"/>
            <w:vAlign w:val="center"/>
          </w:tcPr>
          <w:p w14:paraId="2EEB0B9F">
            <w:pPr>
              <w:pStyle w:val="24"/>
              <w:bidi w:val="0"/>
              <w:ind w:left="0" w:lef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highlight w:val="none"/>
                <w:lang w:val="en-US" w:eastAsia="zh-CN"/>
              </w:rPr>
              <w:t>距离（m）</w:t>
            </w:r>
          </w:p>
        </w:tc>
        <w:tc>
          <w:tcPr>
            <w:tcW w:w="1430" w:type="dxa"/>
            <w:noWrap w:val="0"/>
            <w:vAlign w:val="center"/>
          </w:tcPr>
          <w:p w14:paraId="7101F680">
            <w:pPr>
              <w:pStyle w:val="24"/>
              <w:bidi w:val="0"/>
              <w:ind w:left="0" w:leftChars="0"/>
              <w:jc w:val="center"/>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到达时间（min）</w:t>
            </w:r>
          </w:p>
        </w:tc>
      </w:tr>
      <w:tr w14:paraId="0190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62300319">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1155" w:type="dxa"/>
            <w:noWrap w:val="0"/>
            <w:vAlign w:val="center"/>
          </w:tcPr>
          <w:p w14:paraId="5BA7B1E7">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79</w:t>
            </w:r>
          </w:p>
        </w:tc>
        <w:tc>
          <w:tcPr>
            <w:tcW w:w="1255" w:type="dxa"/>
            <w:noWrap w:val="0"/>
            <w:vAlign w:val="center"/>
          </w:tcPr>
          <w:p w14:paraId="6114AA8C">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60</w:t>
            </w:r>
          </w:p>
        </w:tc>
        <w:tc>
          <w:tcPr>
            <w:tcW w:w="1371" w:type="dxa"/>
            <w:noWrap w:val="0"/>
            <w:vAlign w:val="center"/>
          </w:tcPr>
          <w:p w14:paraId="4D81487F">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6.6667E-01</w:t>
            </w:r>
          </w:p>
        </w:tc>
        <w:tc>
          <w:tcPr>
            <w:tcW w:w="1261" w:type="dxa"/>
            <w:noWrap w:val="0"/>
            <w:vAlign w:val="center"/>
          </w:tcPr>
          <w:p w14:paraId="5387157B">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p>
        </w:tc>
        <w:tc>
          <w:tcPr>
            <w:tcW w:w="1091" w:type="dxa"/>
            <w:noWrap w:val="0"/>
            <w:vAlign w:val="center"/>
          </w:tcPr>
          <w:p w14:paraId="0EEB0D18">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690</w:t>
            </w:r>
          </w:p>
        </w:tc>
        <w:tc>
          <w:tcPr>
            <w:tcW w:w="1430" w:type="dxa"/>
            <w:noWrap w:val="0"/>
            <w:vAlign w:val="center"/>
          </w:tcPr>
          <w:p w14:paraId="50F946C4">
            <w:pPr>
              <w:pStyle w:val="24"/>
              <w:bidi w:val="0"/>
              <w:ind w:left="0" w:left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7.6667E+00</w:t>
            </w:r>
          </w:p>
        </w:tc>
      </w:tr>
      <w:tr w14:paraId="43C5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noWrap w:val="0"/>
            <w:vAlign w:val="center"/>
          </w:tcPr>
          <w:p w14:paraId="0D8734D9">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c>
          <w:tcPr>
            <w:tcW w:w="1155" w:type="dxa"/>
            <w:shd w:val="clear" w:color="auto" w:fill="auto"/>
            <w:noWrap w:val="0"/>
            <w:vAlign w:val="center"/>
          </w:tcPr>
          <w:p w14:paraId="572668DD">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79</w:t>
            </w:r>
          </w:p>
        </w:tc>
        <w:tc>
          <w:tcPr>
            <w:tcW w:w="1255" w:type="dxa"/>
            <w:shd w:val="clear" w:color="auto" w:fill="auto"/>
            <w:noWrap w:val="0"/>
            <w:vAlign w:val="center"/>
          </w:tcPr>
          <w:p w14:paraId="0F332EA5">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80</w:t>
            </w:r>
          </w:p>
        </w:tc>
        <w:tc>
          <w:tcPr>
            <w:tcW w:w="1371" w:type="dxa"/>
            <w:shd w:val="clear" w:color="auto" w:fill="auto"/>
            <w:noWrap w:val="0"/>
            <w:vAlign w:val="center"/>
          </w:tcPr>
          <w:p w14:paraId="0EBB8196">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1.1696E+00</w:t>
            </w:r>
          </w:p>
        </w:tc>
        <w:tc>
          <w:tcPr>
            <w:tcW w:w="1261" w:type="dxa"/>
            <w:noWrap w:val="0"/>
            <w:vAlign w:val="center"/>
          </w:tcPr>
          <w:p w14:paraId="476732A2">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1091" w:type="dxa"/>
            <w:noWrap w:val="0"/>
            <w:vAlign w:val="center"/>
          </w:tcPr>
          <w:p w14:paraId="6CB4E246">
            <w:pPr>
              <w:pStyle w:val="24"/>
              <w:bidi w:val="0"/>
              <w:ind w:left="0" w:left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840</w:t>
            </w:r>
          </w:p>
        </w:tc>
        <w:tc>
          <w:tcPr>
            <w:tcW w:w="1430" w:type="dxa"/>
            <w:noWrap w:val="0"/>
            <w:vAlign w:val="center"/>
          </w:tcPr>
          <w:p w14:paraId="306CA6A0">
            <w:pPr>
              <w:pStyle w:val="24"/>
              <w:bidi w:val="0"/>
              <w:ind w:left="0" w:leftChars="0"/>
              <w:jc w:val="center"/>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highlight w:val="none"/>
                <w:lang w:val="en-US" w:eastAsia="zh-CN"/>
              </w:rPr>
              <w:t>1.2281E+01</w:t>
            </w:r>
          </w:p>
        </w:tc>
      </w:tr>
    </w:tbl>
    <w:p w14:paraId="54A1B1E0">
      <w:pPr>
        <w:pStyle w:val="26"/>
        <w:bidi w:val="0"/>
        <w:ind w:left="0" w:leftChars="0" w:firstLine="0" w:firstLineChars="0"/>
        <w:jc w:val="center"/>
        <w:rPr>
          <w:rFonts w:hint="default" w:ascii="Times New Roman" w:hAnsi="Times New Roman" w:cs="Times New Roman"/>
          <w:color w:val="auto"/>
          <w:highlight w:val="none"/>
          <w:lang w:val="en-US" w:eastAsia="zh-CN"/>
        </w:rPr>
      </w:pPr>
      <w:r>
        <w:rPr>
          <w:color w:val="auto"/>
        </w:rPr>
        <w:drawing>
          <wp:inline distT="0" distB="0" distL="114300" distR="114300">
            <wp:extent cx="5897880" cy="3599180"/>
            <wp:effectExtent l="0" t="0" r="7620" b="1270"/>
            <wp:docPr id="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pic:cNvPicPr>
                      <a:picLocks noChangeAspect="1"/>
                    </pic:cNvPicPr>
                  </pic:nvPicPr>
                  <pic:blipFill>
                    <a:blip r:embed="rId196"/>
                    <a:stretch>
                      <a:fillRect/>
                    </a:stretch>
                  </pic:blipFill>
                  <pic:spPr>
                    <a:xfrm>
                      <a:off x="0" y="0"/>
                      <a:ext cx="5897880" cy="3599180"/>
                    </a:xfrm>
                    <a:prstGeom prst="rect">
                      <a:avLst/>
                    </a:prstGeom>
                    <a:noFill/>
                    <a:ln>
                      <a:noFill/>
                    </a:ln>
                  </pic:spPr>
                </pic:pic>
              </a:graphicData>
            </a:graphic>
          </wp:inline>
        </w:drawing>
      </w:r>
    </w:p>
    <w:p w14:paraId="220E0B1D">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浓度达到评价标准时的最大影响范围图（最不利气象条件）</w:t>
      </w:r>
    </w:p>
    <w:p w14:paraId="0834F97A">
      <w:pPr>
        <w:pStyle w:val="26"/>
        <w:bidi w:val="0"/>
        <w:ind w:left="0" w:leftChars="0" w:firstLine="0" w:firstLineChars="0"/>
        <w:jc w:val="both"/>
        <w:rPr>
          <w:color w:val="auto"/>
        </w:rPr>
      </w:pPr>
      <w:r>
        <w:rPr>
          <w:color w:val="auto"/>
        </w:rPr>
        <w:drawing>
          <wp:inline distT="0" distB="0" distL="114300" distR="114300">
            <wp:extent cx="5897880" cy="3599180"/>
            <wp:effectExtent l="0" t="0" r="7620" b="1270"/>
            <wp:docPr id="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pic:cNvPicPr>
                      <a:picLocks noChangeAspect="1"/>
                    </pic:cNvPicPr>
                  </pic:nvPicPr>
                  <pic:blipFill>
                    <a:blip r:embed="rId197"/>
                    <a:stretch>
                      <a:fillRect/>
                    </a:stretch>
                  </pic:blipFill>
                  <pic:spPr>
                    <a:xfrm>
                      <a:off x="0" y="0"/>
                      <a:ext cx="5897880" cy="3599180"/>
                    </a:xfrm>
                    <a:prstGeom prst="rect">
                      <a:avLst/>
                    </a:prstGeom>
                    <a:noFill/>
                    <a:ln>
                      <a:noFill/>
                    </a:ln>
                  </pic:spPr>
                </pic:pic>
              </a:graphicData>
            </a:graphic>
          </wp:inline>
        </w:drawing>
      </w:r>
    </w:p>
    <w:p w14:paraId="10971430">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浓度达到评价标准时的最大影响范围图（最</w:t>
      </w:r>
      <w:r>
        <w:rPr>
          <w:rFonts w:hint="eastAsia" w:ascii="Times New Roman" w:hAnsi="Times New Roman"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w:t>
      </w:r>
    </w:p>
    <w:p w14:paraId="6338A2D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由上表可知，当火灾爆炸事故时，产生的</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在最不利气象条件下，毒性终点浓度-2的距离为下风向</w:t>
      </w:r>
      <w:r>
        <w:rPr>
          <w:rFonts w:hint="eastAsia" w:cs="Times New Roman"/>
          <w:color w:val="auto"/>
          <w:highlight w:val="none"/>
          <w:lang w:val="en-US" w:eastAsia="zh-CN"/>
        </w:rPr>
        <w:t>690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毒性终点浓度-</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的距离为下风向</w:t>
      </w:r>
      <w:r>
        <w:rPr>
          <w:rFonts w:hint="eastAsia" w:ascii="Times New Roman" w:hAnsi="Times New Roman" w:cs="Times New Roman"/>
          <w:color w:val="auto"/>
          <w:highlight w:val="none"/>
          <w:lang w:val="en-US" w:eastAsia="zh-CN"/>
        </w:rPr>
        <w:t>60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在最</w:t>
      </w:r>
      <w:r>
        <w:rPr>
          <w:rFonts w:hint="eastAsia"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气象条件下，毒性终点浓度-2的距离为下风向</w:t>
      </w:r>
      <w:r>
        <w:rPr>
          <w:rFonts w:hint="eastAsia" w:cs="Times New Roman"/>
          <w:color w:val="auto"/>
          <w:highlight w:val="none"/>
          <w:lang w:val="en-US" w:eastAsia="zh-CN"/>
        </w:rPr>
        <w:t>840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毒性终点浓度-</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的距离为下风向</w:t>
      </w:r>
      <w:r>
        <w:rPr>
          <w:rFonts w:hint="eastAsia" w:cs="Times New Roman"/>
          <w:color w:val="auto"/>
          <w:highlight w:val="none"/>
          <w:lang w:val="en-US" w:eastAsia="zh-CN"/>
        </w:rPr>
        <w:t>80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。东北侧散户距氟硅酸储罐泄漏源约85m，因此，最不利和最常见气象条件下，二氧化硫</w:t>
      </w:r>
      <w:r>
        <w:rPr>
          <w:rFonts w:hint="default" w:ascii="Times New Roman" w:hAnsi="Times New Roman" w:cs="Times New Roman"/>
          <w:color w:val="auto"/>
          <w:highlight w:val="none"/>
          <w:lang w:val="en-US" w:eastAsia="zh-CN"/>
        </w:rPr>
        <w:t>毒性终点浓度-</w:t>
      </w: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毒性终点浓度-2</w:t>
      </w:r>
      <w:r>
        <w:rPr>
          <w:rFonts w:hint="eastAsia" w:cs="Times New Roman"/>
          <w:color w:val="auto"/>
          <w:highlight w:val="none"/>
          <w:lang w:val="en-US" w:eastAsia="zh-CN"/>
        </w:rPr>
        <w:t>影响范围内均无敏感点分布。</w:t>
      </w:r>
    </w:p>
    <w:p w14:paraId="7C327A1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（2）下风向不同距离</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浓度预测值</w:t>
      </w:r>
    </w:p>
    <w:p w14:paraId="329D9573">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火灾爆炸产生的次生污染物</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 w:val="24"/>
          <w:szCs w:val="24"/>
          <w:highlight w:val="none"/>
          <w:lang w:val="en-US" w:eastAsia="zh-CN" w:bidi="ar"/>
        </w:rPr>
        <w:t>情况下，</w:t>
      </w:r>
      <w:r>
        <w:rPr>
          <w:rFonts w:hint="default" w:ascii="Times New Roman" w:hAnsi="Times New Roman" w:cs="Times New Roman"/>
          <w:color w:val="auto"/>
          <w:highlight w:val="none"/>
          <w:lang w:val="en-US" w:eastAsia="zh-CN"/>
        </w:rPr>
        <w:t>下风向不同</w:t>
      </w:r>
      <w:r>
        <w:rPr>
          <w:rFonts w:hint="default" w:ascii="Times New Roman" w:hAnsi="Times New Roman" w:eastAsia="宋体" w:cs="Times New Roman"/>
          <w:color w:val="auto"/>
          <w:kern w:val="0"/>
          <w:szCs w:val="24"/>
          <w:highlight w:val="none"/>
          <w:lang w:val="en-US" w:eastAsia="zh-CN" w:bidi="ar"/>
        </w:rPr>
        <w:t>距离</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Cs w:val="24"/>
          <w:highlight w:val="none"/>
          <w:lang w:val="en-US" w:eastAsia="zh-CN" w:bidi="ar"/>
        </w:rPr>
        <w:t>浓度预测结果见下表。</w:t>
      </w:r>
    </w:p>
    <w:p w14:paraId="68B5F4B8">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火灾爆炸事故下风向不同距离</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浓度预测结果表</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890"/>
        <w:gridCol w:w="2285"/>
        <w:gridCol w:w="2006"/>
        <w:gridCol w:w="2019"/>
      </w:tblGrid>
      <w:tr w14:paraId="36AB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vMerge w:val="restart"/>
            <w:noWrap w:val="0"/>
            <w:vAlign w:val="center"/>
          </w:tcPr>
          <w:p w14:paraId="52872C63">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下风向距离（m）</w:t>
            </w:r>
          </w:p>
        </w:tc>
        <w:tc>
          <w:tcPr>
            <w:tcW w:w="2196" w:type="pct"/>
            <w:gridSpan w:val="2"/>
            <w:noWrap w:val="0"/>
            <w:vAlign w:val="center"/>
          </w:tcPr>
          <w:p w14:paraId="7BBEDFB8">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最不利气象条件</w:t>
            </w:r>
          </w:p>
        </w:tc>
        <w:tc>
          <w:tcPr>
            <w:tcW w:w="2117" w:type="pct"/>
            <w:gridSpan w:val="2"/>
            <w:noWrap w:val="0"/>
            <w:vAlign w:val="center"/>
          </w:tcPr>
          <w:p w14:paraId="208C8D5A">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最常见气象条件</w:t>
            </w:r>
          </w:p>
        </w:tc>
      </w:tr>
      <w:tr w14:paraId="2676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6" w:type="pct"/>
            <w:vMerge w:val="continue"/>
            <w:noWrap w:val="0"/>
            <w:vAlign w:val="center"/>
          </w:tcPr>
          <w:p w14:paraId="713A2421">
            <w:pPr>
              <w:pStyle w:val="24"/>
              <w:bidi w:val="0"/>
              <w:jc w:val="center"/>
              <w:rPr>
                <w:rFonts w:hint="default" w:ascii="Times New Roman" w:hAnsi="Times New Roman" w:cs="Times New Roman"/>
                <w:color w:val="auto"/>
                <w:highlight w:val="none"/>
                <w:lang w:val="en-US" w:eastAsia="zh-CN"/>
              </w:rPr>
            </w:pPr>
          </w:p>
        </w:tc>
        <w:tc>
          <w:tcPr>
            <w:tcW w:w="994" w:type="pct"/>
            <w:noWrap w:val="0"/>
            <w:vAlign w:val="center"/>
          </w:tcPr>
          <w:p w14:paraId="36AD50D1">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201" w:type="pct"/>
            <w:noWrap w:val="0"/>
            <w:vAlign w:val="center"/>
          </w:tcPr>
          <w:p w14:paraId="7AE2A210">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浓度出现时间（min）</w:t>
            </w:r>
          </w:p>
        </w:tc>
        <w:tc>
          <w:tcPr>
            <w:tcW w:w="1055" w:type="pct"/>
            <w:shd w:val="clear" w:color="auto" w:fill="auto"/>
            <w:noWrap w:val="0"/>
            <w:vAlign w:val="center"/>
          </w:tcPr>
          <w:p w14:paraId="42D5C8DA">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高峰浓度/mg/m</w:t>
            </w:r>
            <w:r>
              <w:rPr>
                <w:rFonts w:hint="default" w:ascii="Times New Roman" w:hAnsi="Times New Roman" w:cs="Times New Roman"/>
                <w:b/>
                <w:bCs/>
                <w:color w:val="auto"/>
                <w:highlight w:val="none"/>
                <w:vertAlign w:val="superscript"/>
                <w:lang w:val="en-US" w:eastAsia="zh-CN"/>
              </w:rPr>
              <w:t>3</w:t>
            </w:r>
          </w:p>
        </w:tc>
        <w:tc>
          <w:tcPr>
            <w:tcW w:w="1061" w:type="pct"/>
            <w:shd w:val="clear" w:color="auto" w:fill="auto"/>
            <w:noWrap w:val="0"/>
            <w:vAlign w:val="center"/>
          </w:tcPr>
          <w:p w14:paraId="5D51757C">
            <w:pPr>
              <w:pStyle w:val="24"/>
              <w:bidi w:val="0"/>
              <w:ind w:left="0" w:leftChars="0"/>
              <w:jc w:val="center"/>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cs="Times New Roman"/>
                <w:b/>
                <w:bCs/>
                <w:color w:val="auto"/>
                <w:highlight w:val="none"/>
                <w:lang w:val="en-US" w:eastAsia="zh-CN"/>
              </w:rPr>
              <w:t>浓度出现时间（min）</w:t>
            </w:r>
          </w:p>
        </w:tc>
      </w:tr>
      <w:tr w14:paraId="0B5B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6" w:type="pct"/>
            <w:noWrap w:val="0"/>
            <w:vAlign w:val="center"/>
          </w:tcPr>
          <w:p w14:paraId="37FB2FF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891" w:type="dxa"/>
            <w:shd w:val="clear" w:color="auto" w:fill="auto"/>
            <w:noWrap w:val="0"/>
            <w:vAlign w:val="bottom"/>
          </w:tcPr>
          <w:p w14:paraId="56EFC418">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1.6370E+01   </w:t>
            </w:r>
          </w:p>
        </w:tc>
        <w:tc>
          <w:tcPr>
            <w:tcW w:w="2283" w:type="dxa"/>
            <w:noWrap w:val="0"/>
            <w:vAlign w:val="bottom"/>
          </w:tcPr>
          <w:p w14:paraId="47EFD77E">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1.1111E-01</w:t>
            </w:r>
          </w:p>
        </w:tc>
        <w:tc>
          <w:tcPr>
            <w:tcW w:w="2007" w:type="dxa"/>
            <w:noWrap w:val="0"/>
            <w:vAlign w:val="bottom"/>
          </w:tcPr>
          <w:p w14:paraId="66F0A93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2.2401E+01</w:t>
            </w:r>
          </w:p>
        </w:tc>
        <w:tc>
          <w:tcPr>
            <w:tcW w:w="2018" w:type="dxa"/>
            <w:shd w:val="clear" w:color="auto" w:fill="auto"/>
            <w:noWrap w:val="0"/>
            <w:vAlign w:val="bottom"/>
          </w:tcPr>
          <w:p w14:paraId="7F38783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1.4620E-01</w:t>
            </w:r>
          </w:p>
        </w:tc>
      </w:tr>
      <w:tr w14:paraId="4A3C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0FF719D5">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w:t>
            </w:r>
          </w:p>
        </w:tc>
        <w:tc>
          <w:tcPr>
            <w:tcW w:w="1891" w:type="dxa"/>
            <w:shd w:val="clear" w:color="auto" w:fill="auto"/>
            <w:noWrap w:val="0"/>
            <w:vAlign w:val="bottom"/>
          </w:tcPr>
          <w:p w14:paraId="0DF3F62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1.0043E+02   </w:t>
            </w:r>
          </w:p>
        </w:tc>
        <w:tc>
          <w:tcPr>
            <w:tcW w:w="2283" w:type="dxa"/>
            <w:shd w:val="clear" w:color="auto" w:fill="auto"/>
            <w:noWrap w:val="0"/>
            <w:vAlign w:val="bottom"/>
          </w:tcPr>
          <w:p w14:paraId="47AFA04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5.5556E-01</w:t>
            </w:r>
          </w:p>
        </w:tc>
        <w:tc>
          <w:tcPr>
            <w:tcW w:w="2007" w:type="dxa"/>
            <w:shd w:val="clear" w:color="auto" w:fill="auto"/>
            <w:noWrap w:val="0"/>
            <w:vAlign w:val="bottom"/>
          </w:tcPr>
          <w:p w14:paraId="4C312E5A">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1.3743E+02</w:t>
            </w:r>
          </w:p>
        </w:tc>
        <w:tc>
          <w:tcPr>
            <w:tcW w:w="2018" w:type="dxa"/>
            <w:shd w:val="clear" w:color="auto" w:fill="auto"/>
            <w:noWrap w:val="0"/>
            <w:vAlign w:val="bottom"/>
          </w:tcPr>
          <w:p w14:paraId="0708727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7.3099E-01</w:t>
            </w:r>
          </w:p>
        </w:tc>
      </w:tr>
      <w:tr w14:paraId="58F3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6C801495">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60</w:t>
            </w:r>
          </w:p>
        </w:tc>
        <w:tc>
          <w:tcPr>
            <w:tcW w:w="1891" w:type="dxa"/>
            <w:shd w:val="clear" w:color="auto" w:fill="auto"/>
            <w:noWrap w:val="0"/>
            <w:vAlign w:val="bottom"/>
          </w:tcPr>
          <w:p w14:paraId="27F9C6CC">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8.3731E+01   </w:t>
            </w:r>
          </w:p>
        </w:tc>
        <w:tc>
          <w:tcPr>
            <w:tcW w:w="2283" w:type="dxa"/>
            <w:shd w:val="clear" w:color="auto" w:fill="auto"/>
            <w:noWrap w:val="0"/>
            <w:vAlign w:val="bottom"/>
          </w:tcPr>
          <w:p w14:paraId="1E01A4C0">
            <w:pPr>
              <w:pStyle w:val="24"/>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6.6667E-01</w:t>
            </w:r>
          </w:p>
        </w:tc>
        <w:tc>
          <w:tcPr>
            <w:tcW w:w="2007" w:type="dxa"/>
            <w:shd w:val="clear" w:color="auto" w:fill="auto"/>
            <w:noWrap w:val="0"/>
            <w:vAlign w:val="bottom"/>
          </w:tcPr>
          <w:p w14:paraId="346C368C">
            <w:pPr>
              <w:pStyle w:val="24"/>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1.1458E+02</w:t>
            </w:r>
          </w:p>
        </w:tc>
        <w:tc>
          <w:tcPr>
            <w:tcW w:w="2018" w:type="dxa"/>
            <w:shd w:val="clear" w:color="auto" w:fill="auto"/>
            <w:noWrap w:val="0"/>
            <w:vAlign w:val="bottom"/>
          </w:tcPr>
          <w:p w14:paraId="3C3639E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8.7719E-01</w:t>
            </w:r>
          </w:p>
        </w:tc>
      </w:tr>
      <w:tr w14:paraId="0EB3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080C204A">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80</w:t>
            </w:r>
          </w:p>
        </w:tc>
        <w:tc>
          <w:tcPr>
            <w:tcW w:w="1891" w:type="dxa"/>
            <w:shd w:val="clear" w:color="auto" w:fill="auto"/>
            <w:noWrap w:val="0"/>
            <w:vAlign w:val="bottom"/>
          </w:tcPr>
          <w:p w14:paraId="100AA6F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5.9385E+01   </w:t>
            </w:r>
          </w:p>
        </w:tc>
        <w:tc>
          <w:tcPr>
            <w:tcW w:w="2283" w:type="dxa"/>
            <w:shd w:val="clear" w:color="auto" w:fill="auto"/>
            <w:noWrap w:val="0"/>
            <w:vAlign w:val="bottom"/>
          </w:tcPr>
          <w:p w14:paraId="6D14E5B1">
            <w:pPr>
              <w:pStyle w:val="24"/>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8.8889E-01</w:t>
            </w:r>
          </w:p>
        </w:tc>
        <w:tc>
          <w:tcPr>
            <w:tcW w:w="2007" w:type="dxa"/>
            <w:shd w:val="clear" w:color="auto" w:fill="auto"/>
            <w:noWrap w:val="0"/>
            <w:vAlign w:val="bottom"/>
          </w:tcPr>
          <w:p w14:paraId="5A99470E">
            <w:pPr>
              <w:pStyle w:val="24"/>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8.1264E+01</w:t>
            </w:r>
          </w:p>
        </w:tc>
        <w:tc>
          <w:tcPr>
            <w:tcW w:w="2018" w:type="dxa"/>
            <w:shd w:val="clear" w:color="auto" w:fill="auto"/>
            <w:noWrap w:val="0"/>
            <w:vAlign w:val="bottom"/>
          </w:tcPr>
          <w:p w14:paraId="232C2A4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1.1696E+00</w:t>
            </w:r>
          </w:p>
        </w:tc>
      </w:tr>
      <w:tr w14:paraId="54EB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86" w:type="pct"/>
            <w:noWrap w:val="0"/>
            <w:vAlign w:val="center"/>
          </w:tcPr>
          <w:p w14:paraId="4CF6DFD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1891" w:type="dxa"/>
            <w:shd w:val="clear" w:color="auto" w:fill="auto"/>
            <w:noWrap w:val="0"/>
            <w:vAlign w:val="bottom"/>
          </w:tcPr>
          <w:p w14:paraId="24CAEC6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4.3960E+01   </w:t>
            </w:r>
          </w:p>
        </w:tc>
        <w:tc>
          <w:tcPr>
            <w:tcW w:w="2283" w:type="dxa"/>
            <w:shd w:val="clear" w:color="auto" w:fill="auto"/>
            <w:noWrap w:val="0"/>
            <w:vAlign w:val="bottom"/>
          </w:tcPr>
          <w:p w14:paraId="198D5D85">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1.1111E+00</w:t>
            </w:r>
          </w:p>
        </w:tc>
        <w:tc>
          <w:tcPr>
            <w:tcW w:w="2007" w:type="dxa"/>
            <w:shd w:val="clear" w:color="auto" w:fill="auto"/>
            <w:noWrap w:val="0"/>
            <w:vAlign w:val="bottom"/>
          </w:tcPr>
          <w:p w14:paraId="2862A2AF">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6.0155E+01</w:t>
            </w:r>
          </w:p>
        </w:tc>
        <w:tc>
          <w:tcPr>
            <w:tcW w:w="2018" w:type="dxa"/>
            <w:shd w:val="clear" w:color="auto" w:fill="auto"/>
            <w:noWrap w:val="0"/>
            <w:vAlign w:val="bottom"/>
          </w:tcPr>
          <w:p w14:paraId="6A3C610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1.4620E+00</w:t>
            </w:r>
          </w:p>
        </w:tc>
      </w:tr>
      <w:tr w14:paraId="39CB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0E65EBE0">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w:t>
            </w:r>
          </w:p>
        </w:tc>
        <w:tc>
          <w:tcPr>
            <w:tcW w:w="1891" w:type="dxa"/>
            <w:shd w:val="clear" w:color="auto" w:fill="auto"/>
            <w:noWrap w:val="0"/>
            <w:vAlign w:val="bottom"/>
          </w:tcPr>
          <w:p w14:paraId="0AC7D00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1.5488E+01   </w:t>
            </w:r>
          </w:p>
        </w:tc>
        <w:tc>
          <w:tcPr>
            <w:tcW w:w="2283" w:type="dxa"/>
            <w:shd w:val="clear" w:color="auto" w:fill="auto"/>
            <w:noWrap w:val="0"/>
            <w:vAlign w:val="bottom"/>
          </w:tcPr>
          <w:p w14:paraId="29B2BC57">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2.2222E+00</w:t>
            </w:r>
          </w:p>
        </w:tc>
        <w:tc>
          <w:tcPr>
            <w:tcW w:w="2007" w:type="dxa"/>
            <w:shd w:val="clear" w:color="auto" w:fill="auto"/>
            <w:noWrap w:val="0"/>
            <w:vAlign w:val="bottom"/>
          </w:tcPr>
          <w:p w14:paraId="7942BC4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2.1194E+01</w:t>
            </w:r>
          </w:p>
        </w:tc>
        <w:tc>
          <w:tcPr>
            <w:tcW w:w="2018" w:type="dxa"/>
            <w:shd w:val="clear" w:color="auto" w:fill="auto"/>
            <w:noWrap w:val="0"/>
            <w:vAlign w:val="bottom"/>
          </w:tcPr>
          <w:p w14:paraId="72B4640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2.9240E+00</w:t>
            </w:r>
          </w:p>
        </w:tc>
      </w:tr>
      <w:tr w14:paraId="7950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7AF1898B">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500</w:t>
            </w:r>
          </w:p>
        </w:tc>
        <w:tc>
          <w:tcPr>
            <w:tcW w:w="1891" w:type="dxa"/>
            <w:shd w:val="clear" w:color="auto" w:fill="auto"/>
            <w:noWrap w:val="0"/>
            <w:vAlign w:val="bottom"/>
          </w:tcPr>
          <w:p w14:paraId="683BE48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3.4938E+00   </w:t>
            </w:r>
          </w:p>
        </w:tc>
        <w:tc>
          <w:tcPr>
            <w:tcW w:w="2283" w:type="dxa"/>
            <w:shd w:val="clear" w:color="auto" w:fill="auto"/>
            <w:noWrap w:val="0"/>
            <w:vAlign w:val="bottom"/>
          </w:tcPr>
          <w:p w14:paraId="70B07E97">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5.5556E+00</w:t>
            </w:r>
          </w:p>
        </w:tc>
        <w:tc>
          <w:tcPr>
            <w:tcW w:w="2007" w:type="dxa"/>
            <w:shd w:val="clear" w:color="auto" w:fill="auto"/>
            <w:noWrap w:val="0"/>
            <w:vAlign w:val="bottom"/>
          </w:tcPr>
          <w:p w14:paraId="22E0431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4.7809E+00</w:t>
            </w:r>
          </w:p>
        </w:tc>
        <w:tc>
          <w:tcPr>
            <w:tcW w:w="2018" w:type="dxa"/>
            <w:shd w:val="clear" w:color="auto" w:fill="auto"/>
            <w:noWrap w:val="0"/>
            <w:vAlign w:val="bottom"/>
          </w:tcPr>
          <w:p w14:paraId="08F45B9B">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7.3099E+00</w:t>
            </w:r>
          </w:p>
        </w:tc>
      </w:tr>
      <w:tr w14:paraId="35F3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7F8799A2">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690</w:t>
            </w:r>
          </w:p>
        </w:tc>
        <w:tc>
          <w:tcPr>
            <w:tcW w:w="1891" w:type="dxa"/>
            <w:shd w:val="clear" w:color="auto" w:fill="auto"/>
            <w:noWrap w:val="0"/>
            <w:vAlign w:val="bottom"/>
          </w:tcPr>
          <w:p w14:paraId="14F755F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2.0474E+00   </w:t>
            </w:r>
          </w:p>
        </w:tc>
        <w:tc>
          <w:tcPr>
            <w:tcW w:w="2283" w:type="dxa"/>
            <w:shd w:val="clear" w:color="auto" w:fill="auto"/>
            <w:noWrap w:val="0"/>
            <w:vAlign w:val="bottom"/>
          </w:tcPr>
          <w:p w14:paraId="5CF3E2F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7.6667E+00</w:t>
            </w:r>
          </w:p>
        </w:tc>
        <w:tc>
          <w:tcPr>
            <w:tcW w:w="2007" w:type="dxa"/>
            <w:shd w:val="clear" w:color="auto" w:fill="auto"/>
            <w:noWrap w:val="0"/>
            <w:vAlign w:val="bottom"/>
          </w:tcPr>
          <w:p w14:paraId="32ABFE42">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2.8017E+00</w:t>
            </w:r>
          </w:p>
        </w:tc>
        <w:tc>
          <w:tcPr>
            <w:tcW w:w="2018" w:type="dxa"/>
            <w:shd w:val="clear" w:color="auto" w:fill="auto"/>
            <w:noWrap w:val="0"/>
            <w:vAlign w:val="bottom"/>
          </w:tcPr>
          <w:p w14:paraId="02DC01EF">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1.0088E+01</w:t>
            </w:r>
          </w:p>
        </w:tc>
      </w:tr>
      <w:tr w14:paraId="2161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215457A4">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840</w:t>
            </w:r>
          </w:p>
        </w:tc>
        <w:tc>
          <w:tcPr>
            <w:tcW w:w="1891" w:type="dxa"/>
            <w:shd w:val="clear" w:color="auto" w:fill="auto"/>
            <w:noWrap w:val="0"/>
            <w:vAlign w:val="bottom"/>
          </w:tcPr>
          <w:p w14:paraId="1021377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1.4753E+00   </w:t>
            </w:r>
          </w:p>
        </w:tc>
        <w:tc>
          <w:tcPr>
            <w:tcW w:w="2283" w:type="dxa"/>
            <w:shd w:val="clear" w:color="auto" w:fill="auto"/>
            <w:noWrap w:val="0"/>
            <w:vAlign w:val="bottom"/>
          </w:tcPr>
          <w:p w14:paraId="3F2429A2">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9.3333E+00</w:t>
            </w:r>
          </w:p>
        </w:tc>
        <w:tc>
          <w:tcPr>
            <w:tcW w:w="2007" w:type="dxa"/>
            <w:shd w:val="clear" w:color="auto" w:fill="auto"/>
            <w:noWrap w:val="0"/>
            <w:vAlign w:val="bottom"/>
          </w:tcPr>
          <w:p w14:paraId="6D3D004A">
            <w:pPr>
              <w:pStyle w:val="24"/>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2.0189E+00</w:t>
            </w:r>
          </w:p>
        </w:tc>
        <w:tc>
          <w:tcPr>
            <w:tcW w:w="2018" w:type="dxa"/>
            <w:shd w:val="clear" w:color="auto" w:fill="auto"/>
            <w:noWrap w:val="0"/>
            <w:vAlign w:val="bottom"/>
          </w:tcPr>
          <w:p w14:paraId="1755FCF4">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1.2281E+01</w:t>
            </w:r>
          </w:p>
        </w:tc>
      </w:tr>
      <w:tr w14:paraId="015C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07C8BD6C">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1000</w:t>
            </w:r>
          </w:p>
        </w:tc>
        <w:tc>
          <w:tcPr>
            <w:tcW w:w="1891" w:type="dxa"/>
            <w:shd w:val="clear" w:color="auto" w:fill="auto"/>
            <w:noWrap w:val="0"/>
            <w:vAlign w:val="bottom"/>
          </w:tcPr>
          <w:p w14:paraId="61324AC3">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1.1028E+00   </w:t>
            </w:r>
          </w:p>
        </w:tc>
        <w:tc>
          <w:tcPr>
            <w:tcW w:w="2283" w:type="dxa"/>
            <w:shd w:val="clear" w:color="auto" w:fill="auto"/>
            <w:noWrap w:val="0"/>
            <w:vAlign w:val="bottom"/>
          </w:tcPr>
          <w:p w14:paraId="033BEB6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1.1111E+01</w:t>
            </w:r>
          </w:p>
        </w:tc>
        <w:tc>
          <w:tcPr>
            <w:tcW w:w="2007" w:type="dxa"/>
            <w:shd w:val="clear" w:color="auto" w:fill="auto"/>
            <w:noWrap w:val="0"/>
            <w:vAlign w:val="bottom"/>
          </w:tcPr>
          <w:p w14:paraId="0EF668FA">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1.5091E+00</w:t>
            </w:r>
          </w:p>
        </w:tc>
        <w:tc>
          <w:tcPr>
            <w:tcW w:w="2018" w:type="dxa"/>
            <w:shd w:val="clear" w:color="auto" w:fill="auto"/>
            <w:noWrap w:val="0"/>
            <w:vAlign w:val="bottom"/>
          </w:tcPr>
          <w:p w14:paraId="6820CC04">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1.4620E+01</w:t>
            </w:r>
          </w:p>
        </w:tc>
      </w:tr>
      <w:tr w14:paraId="485E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6" w:type="pct"/>
            <w:noWrap w:val="0"/>
            <w:vAlign w:val="center"/>
          </w:tcPr>
          <w:p w14:paraId="551FB272">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2000</w:t>
            </w:r>
          </w:p>
        </w:tc>
        <w:tc>
          <w:tcPr>
            <w:tcW w:w="1891" w:type="dxa"/>
            <w:shd w:val="clear" w:color="auto" w:fill="auto"/>
            <w:noWrap w:val="0"/>
            <w:vAlign w:val="bottom"/>
          </w:tcPr>
          <w:p w14:paraId="7E55F45C">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3.8728E-01   </w:t>
            </w:r>
          </w:p>
        </w:tc>
        <w:tc>
          <w:tcPr>
            <w:tcW w:w="2283" w:type="dxa"/>
            <w:shd w:val="clear" w:color="auto" w:fill="auto"/>
            <w:noWrap w:val="0"/>
            <w:vAlign w:val="bottom"/>
          </w:tcPr>
          <w:p w14:paraId="6A2B68E1">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2.2222E+01</w:t>
            </w:r>
          </w:p>
        </w:tc>
        <w:tc>
          <w:tcPr>
            <w:tcW w:w="2007" w:type="dxa"/>
            <w:shd w:val="clear" w:color="auto" w:fill="auto"/>
            <w:noWrap w:val="0"/>
            <w:vAlign w:val="bottom"/>
          </w:tcPr>
          <w:p w14:paraId="0418F969">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5.2996E-01</w:t>
            </w:r>
          </w:p>
        </w:tc>
        <w:tc>
          <w:tcPr>
            <w:tcW w:w="2018" w:type="dxa"/>
            <w:shd w:val="clear" w:color="auto" w:fill="auto"/>
            <w:noWrap w:val="0"/>
            <w:vAlign w:val="bottom"/>
          </w:tcPr>
          <w:p w14:paraId="40BC5026">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2.9240E+01</w:t>
            </w:r>
          </w:p>
        </w:tc>
      </w:tr>
      <w:tr w14:paraId="6622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6" w:type="pct"/>
            <w:noWrap w:val="0"/>
            <w:vAlign w:val="center"/>
          </w:tcPr>
          <w:p w14:paraId="6849CB76">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3000</w:t>
            </w:r>
          </w:p>
        </w:tc>
        <w:tc>
          <w:tcPr>
            <w:tcW w:w="1891" w:type="dxa"/>
            <w:shd w:val="clear" w:color="auto" w:fill="auto"/>
            <w:noWrap w:val="0"/>
            <w:vAlign w:val="bottom"/>
          </w:tcPr>
          <w:p w14:paraId="519171DE">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2.2548E-01   </w:t>
            </w:r>
          </w:p>
        </w:tc>
        <w:tc>
          <w:tcPr>
            <w:tcW w:w="2283" w:type="dxa"/>
            <w:shd w:val="clear" w:color="auto" w:fill="auto"/>
            <w:noWrap w:val="0"/>
            <w:vAlign w:val="bottom"/>
          </w:tcPr>
          <w:p w14:paraId="46D295CA">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3.3333E+01</w:t>
            </w:r>
          </w:p>
        </w:tc>
        <w:tc>
          <w:tcPr>
            <w:tcW w:w="2007" w:type="dxa"/>
            <w:shd w:val="clear" w:color="auto" w:fill="auto"/>
            <w:noWrap w:val="0"/>
            <w:vAlign w:val="bottom"/>
          </w:tcPr>
          <w:p w14:paraId="2E0913CF">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3.0856E-01</w:t>
            </w:r>
          </w:p>
        </w:tc>
        <w:tc>
          <w:tcPr>
            <w:tcW w:w="2018" w:type="dxa"/>
            <w:shd w:val="clear" w:color="auto" w:fill="auto"/>
            <w:noWrap w:val="0"/>
            <w:vAlign w:val="bottom"/>
          </w:tcPr>
          <w:p w14:paraId="3C8B2482">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4.3860E+01</w:t>
            </w:r>
          </w:p>
        </w:tc>
      </w:tr>
      <w:tr w14:paraId="36E0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4BF7F1CC">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4000</w:t>
            </w:r>
          </w:p>
        </w:tc>
        <w:tc>
          <w:tcPr>
            <w:tcW w:w="1891" w:type="dxa"/>
            <w:shd w:val="clear" w:color="auto" w:fill="auto"/>
            <w:noWrap w:val="0"/>
            <w:vAlign w:val="bottom"/>
          </w:tcPr>
          <w:p w14:paraId="07446EA8">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1.5357E-01   </w:t>
            </w:r>
          </w:p>
        </w:tc>
        <w:tc>
          <w:tcPr>
            <w:tcW w:w="2283" w:type="dxa"/>
            <w:shd w:val="clear" w:color="auto" w:fill="auto"/>
            <w:noWrap w:val="0"/>
            <w:vAlign w:val="bottom"/>
          </w:tcPr>
          <w:p w14:paraId="0BCA2830">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4.4444E+01</w:t>
            </w:r>
          </w:p>
        </w:tc>
        <w:tc>
          <w:tcPr>
            <w:tcW w:w="2007" w:type="dxa"/>
            <w:shd w:val="clear" w:color="auto" w:fill="auto"/>
            <w:noWrap w:val="0"/>
            <w:vAlign w:val="bottom"/>
          </w:tcPr>
          <w:p w14:paraId="543470E2">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2.1036E-01</w:t>
            </w:r>
          </w:p>
        </w:tc>
        <w:tc>
          <w:tcPr>
            <w:tcW w:w="2018" w:type="dxa"/>
            <w:shd w:val="clear" w:color="auto" w:fill="auto"/>
            <w:noWrap w:val="0"/>
            <w:vAlign w:val="bottom"/>
          </w:tcPr>
          <w:p w14:paraId="1FBD5A54">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6.8479E+01</w:t>
            </w:r>
          </w:p>
        </w:tc>
      </w:tr>
      <w:tr w14:paraId="432C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6" w:type="pct"/>
            <w:noWrap w:val="0"/>
            <w:vAlign w:val="center"/>
          </w:tcPr>
          <w:p w14:paraId="44A18755">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5000</w:t>
            </w:r>
          </w:p>
        </w:tc>
        <w:tc>
          <w:tcPr>
            <w:tcW w:w="1891" w:type="dxa"/>
            <w:shd w:val="clear" w:color="auto" w:fill="auto"/>
            <w:noWrap w:val="0"/>
            <w:vAlign w:val="bottom"/>
          </w:tcPr>
          <w:p w14:paraId="1E8418A7">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1.1405E-01   </w:t>
            </w:r>
          </w:p>
        </w:tc>
        <w:tc>
          <w:tcPr>
            <w:tcW w:w="2283" w:type="dxa"/>
            <w:shd w:val="clear" w:color="auto" w:fill="auto"/>
            <w:noWrap w:val="0"/>
            <w:vAlign w:val="bottom"/>
          </w:tcPr>
          <w:p w14:paraId="21122D44">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6.4555E+01</w:t>
            </w:r>
          </w:p>
        </w:tc>
        <w:tc>
          <w:tcPr>
            <w:tcW w:w="2007" w:type="dxa"/>
            <w:shd w:val="clear" w:color="auto" w:fill="auto"/>
            <w:noWrap w:val="0"/>
            <w:vAlign w:val="bottom"/>
          </w:tcPr>
          <w:p w14:paraId="6DBE66C4">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1.5661E-01</w:t>
            </w:r>
          </w:p>
        </w:tc>
        <w:tc>
          <w:tcPr>
            <w:tcW w:w="2018" w:type="dxa"/>
            <w:shd w:val="clear" w:color="auto" w:fill="auto"/>
            <w:noWrap w:val="0"/>
            <w:vAlign w:val="bottom"/>
          </w:tcPr>
          <w:p w14:paraId="28F0F788">
            <w:pPr>
              <w:pStyle w:val="24"/>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8.5100E+01</w:t>
            </w:r>
          </w:p>
        </w:tc>
      </w:tr>
    </w:tbl>
    <w:p w14:paraId="733318B8">
      <w:pPr>
        <w:pStyle w:val="24"/>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2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pic:cNvPicPr>
                      <a:picLocks noChangeAspect="1"/>
                    </pic:cNvPicPr>
                  </pic:nvPicPr>
                  <pic:blipFill>
                    <a:blip r:embed="rId198"/>
                    <a:stretch>
                      <a:fillRect/>
                    </a:stretch>
                  </pic:blipFill>
                  <pic:spPr>
                    <a:xfrm>
                      <a:off x="0" y="0"/>
                      <a:ext cx="5899785" cy="2965450"/>
                    </a:xfrm>
                    <a:prstGeom prst="rect">
                      <a:avLst/>
                    </a:prstGeom>
                    <a:noFill/>
                    <a:ln>
                      <a:noFill/>
                    </a:ln>
                  </pic:spPr>
                </pic:pic>
              </a:graphicData>
            </a:graphic>
          </wp:inline>
        </w:drawing>
      </w:r>
    </w:p>
    <w:p w14:paraId="1215A041">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轴线最大浓度-距离曲线图（最不利气象条件）</w:t>
      </w:r>
    </w:p>
    <w:p w14:paraId="4DF43900">
      <w:pPr>
        <w:pStyle w:val="28"/>
        <w:bidi w:val="0"/>
        <w:rPr>
          <w:rFonts w:hint="default" w:ascii="Times New Roman" w:hAnsi="Times New Roman" w:cs="Times New Roman"/>
          <w:color w:val="auto"/>
        </w:rPr>
      </w:pPr>
      <w:r>
        <w:rPr>
          <w:color w:val="auto"/>
        </w:rPr>
        <w:drawing>
          <wp:inline distT="0" distB="0" distL="114300" distR="114300">
            <wp:extent cx="5899785" cy="2965450"/>
            <wp:effectExtent l="0" t="0" r="5715" b="6350"/>
            <wp:docPr id="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3"/>
                    <pic:cNvPicPr>
                      <a:picLocks noChangeAspect="1"/>
                    </pic:cNvPicPr>
                  </pic:nvPicPr>
                  <pic:blipFill>
                    <a:blip r:embed="rId199"/>
                    <a:stretch>
                      <a:fillRect/>
                    </a:stretch>
                  </pic:blipFill>
                  <pic:spPr>
                    <a:xfrm>
                      <a:off x="0" y="0"/>
                      <a:ext cx="5899785" cy="2965450"/>
                    </a:xfrm>
                    <a:prstGeom prst="rect">
                      <a:avLst/>
                    </a:prstGeom>
                    <a:noFill/>
                    <a:ln>
                      <a:noFill/>
                    </a:ln>
                  </pic:spPr>
                </pic:pic>
              </a:graphicData>
            </a:graphic>
          </wp:inline>
        </w:drawing>
      </w:r>
    </w:p>
    <w:p w14:paraId="3AF4EA68">
      <w:pPr>
        <w:pStyle w:val="28"/>
        <w:numPr>
          <w:ilvl w:val="0"/>
          <w:numId w:val="37"/>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轴线最大浓度-距离曲线图（最常见气象条件）</w:t>
      </w:r>
    </w:p>
    <w:p w14:paraId="2E46198F">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（3）敏感点预测浓度</w:t>
      </w:r>
    </w:p>
    <w:p w14:paraId="6B6CDB39">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火灾爆炸产生的次生污染物</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 w:val="24"/>
          <w:szCs w:val="24"/>
          <w:highlight w:val="none"/>
          <w:lang w:val="en-US" w:eastAsia="zh-CN" w:bidi="ar"/>
        </w:rPr>
        <w:t>情况下，</w:t>
      </w:r>
      <w:r>
        <w:rPr>
          <w:rFonts w:hint="default" w:ascii="Times New Roman" w:hAnsi="Times New Roman" w:cs="Times New Roman"/>
          <w:color w:val="auto"/>
          <w:highlight w:val="none"/>
          <w:lang w:val="en-US" w:eastAsia="zh-CN"/>
        </w:rPr>
        <w:t>污染物扩散至周边环境敏感点浓度预测结果见下表。</w:t>
      </w:r>
    </w:p>
    <w:p w14:paraId="6E33B2CE">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火灾爆炸事故下环境关心点</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浓度预测结果</w:t>
      </w:r>
    </w:p>
    <w:tbl>
      <w:tblPr>
        <w:tblStyle w:val="2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546"/>
        <w:gridCol w:w="1759"/>
        <w:gridCol w:w="1829"/>
        <w:gridCol w:w="1675"/>
      </w:tblGrid>
      <w:tr w14:paraId="33E2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restart"/>
            <w:noWrap w:val="0"/>
            <w:vAlign w:val="center"/>
          </w:tcPr>
          <w:p w14:paraId="64715E4C">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1738" w:type="pct"/>
            <w:gridSpan w:val="2"/>
            <w:noWrap w:val="0"/>
            <w:vAlign w:val="center"/>
          </w:tcPr>
          <w:p w14:paraId="74B3B9E9">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最不利气象条件</w:t>
            </w:r>
          </w:p>
        </w:tc>
        <w:tc>
          <w:tcPr>
            <w:tcW w:w="1843" w:type="pct"/>
            <w:gridSpan w:val="2"/>
            <w:noWrap w:val="0"/>
            <w:vAlign w:val="center"/>
          </w:tcPr>
          <w:p w14:paraId="71D627B4">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最常见气象条件</w:t>
            </w:r>
          </w:p>
        </w:tc>
      </w:tr>
      <w:tr w14:paraId="122A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vMerge w:val="continue"/>
            <w:noWrap w:val="0"/>
            <w:vAlign w:val="center"/>
          </w:tcPr>
          <w:p w14:paraId="009C31D0">
            <w:pPr>
              <w:pStyle w:val="24"/>
              <w:bidi w:val="0"/>
              <w:rPr>
                <w:rFonts w:hint="default" w:ascii="Times New Roman" w:hAnsi="Times New Roman" w:cs="Times New Roman"/>
                <w:color w:val="auto"/>
                <w:sz w:val="21"/>
                <w:szCs w:val="21"/>
              </w:rPr>
            </w:pPr>
          </w:p>
        </w:tc>
        <w:tc>
          <w:tcPr>
            <w:tcW w:w="813" w:type="pct"/>
            <w:shd w:val="clear" w:color="auto" w:fill="auto"/>
            <w:noWrap w:val="0"/>
            <w:vAlign w:val="center"/>
          </w:tcPr>
          <w:p w14:paraId="0F6E7F34">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924" w:type="pct"/>
            <w:shd w:val="clear" w:color="auto" w:fill="auto"/>
            <w:noWrap w:val="0"/>
            <w:vAlign w:val="center"/>
          </w:tcPr>
          <w:p w14:paraId="6C417D11">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最大浓度出现时间（min）</w:t>
            </w:r>
          </w:p>
        </w:tc>
        <w:tc>
          <w:tcPr>
            <w:tcW w:w="962" w:type="pct"/>
            <w:noWrap w:val="0"/>
            <w:vAlign w:val="center"/>
          </w:tcPr>
          <w:p w14:paraId="645EBE1E">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预测浓度（mg/m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w:t>
            </w:r>
          </w:p>
        </w:tc>
        <w:tc>
          <w:tcPr>
            <w:tcW w:w="880" w:type="pct"/>
            <w:noWrap w:val="0"/>
            <w:vAlign w:val="center"/>
          </w:tcPr>
          <w:p w14:paraId="0E5807DC">
            <w:pPr>
              <w:pStyle w:val="24"/>
              <w:bidi w:val="0"/>
              <w:ind w:left="0" w:leftChars="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最大浓度出现时间（min）</w:t>
            </w:r>
          </w:p>
        </w:tc>
      </w:tr>
      <w:tr w14:paraId="6F15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18B317B">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13" w:type="pct"/>
            <w:shd w:val="clear" w:color="auto" w:fill="auto"/>
            <w:noWrap w:val="0"/>
            <w:vAlign w:val="bottom"/>
          </w:tcPr>
          <w:p w14:paraId="6D74E10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924" w:type="pct"/>
            <w:shd w:val="clear" w:color="auto" w:fill="auto"/>
            <w:noWrap w:val="0"/>
            <w:vAlign w:val="center"/>
          </w:tcPr>
          <w:p w14:paraId="78BA909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shd w:val="clear" w:color="auto" w:fill="auto"/>
            <w:noWrap w:val="0"/>
            <w:vAlign w:val="bottom"/>
          </w:tcPr>
          <w:p w14:paraId="37322B14">
            <w:pPr>
              <w:pStyle w:val="24"/>
              <w:bidi w:val="0"/>
              <w:ind w:left="0" w:leftChars="0"/>
              <w:rPr>
                <w:rFonts w:hint="eastAsia"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7B5A50E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B18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5CF60E4">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金堂村</w:t>
            </w:r>
          </w:p>
        </w:tc>
        <w:tc>
          <w:tcPr>
            <w:tcW w:w="1546" w:type="dxa"/>
            <w:noWrap w:val="0"/>
            <w:vAlign w:val="bottom"/>
          </w:tcPr>
          <w:p w14:paraId="3B2238F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2114BD8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2195938">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B97520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B46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 w:type="pct"/>
            <w:noWrap w:val="0"/>
            <w:vAlign w:val="bottom"/>
          </w:tcPr>
          <w:p w14:paraId="5952C00E">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亮垭村</w:t>
            </w:r>
          </w:p>
        </w:tc>
        <w:tc>
          <w:tcPr>
            <w:tcW w:w="1546" w:type="dxa"/>
            <w:noWrap w:val="0"/>
            <w:vAlign w:val="bottom"/>
          </w:tcPr>
          <w:p w14:paraId="3F8A1E4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4918953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415AE22">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26F864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736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1B5002A">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秋锦山村</w:t>
            </w:r>
          </w:p>
        </w:tc>
        <w:tc>
          <w:tcPr>
            <w:tcW w:w="1546" w:type="dxa"/>
            <w:noWrap w:val="0"/>
            <w:vAlign w:val="bottom"/>
          </w:tcPr>
          <w:p w14:paraId="2DAABC0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C234B4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7FACABC8">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7A61954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44E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E8EE816">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春在镇</w:t>
            </w:r>
          </w:p>
        </w:tc>
        <w:tc>
          <w:tcPr>
            <w:tcW w:w="1546" w:type="dxa"/>
            <w:noWrap w:val="0"/>
            <w:vAlign w:val="bottom"/>
          </w:tcPr>
          <w:p w14:paraId="783FFAD0">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40B7B9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1EE017D">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72929E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AE0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687CFD1">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通江县城</w:t>
            </w:r>
          </w:p>
        </w:tc>
        <w:tc>
          <w:tcPr>
            <w:tcW w:w="1546" w:type="dxa"/>
            <w:noWrap w:val="0"/>
            <w:vAlign w:val="bottom"/>
          </w:tcPr>
          <w:p w14:paraId="377B12D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462A27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500004B9">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3A6DAD4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CC9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74E92C0">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檬子垭村</w:t>
            </w:r>
          </w:p>
        </w:tc>
        <w:tc>
          <w:tcPr>
            <w:tcW w:w="1546" w:type="dxa"/>
            <w:noWrap w:val="0"/>
            <w:vAlign w:val="bottom"/>
          </w:tcPr>
          <w:p w14:paraId="6B3B3FC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3F1358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2F84816">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2AF8216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811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5DB7A7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火峰村</w:t>
            </w:r>
          </w:p>
        </w:tc>
        <w:tc>
          <w:tcPr>
            <w:tcW w:w="1546" w:type="dxa"/>
            <w:noWrap w:val="0"/>
            <w:vAlign w:val="bottom"/>
          </w:tcPr>
          <w:p w14:paraId="3E10982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5D440C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928DF3E">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32E5001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170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6BCF6AC">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1546" w:type="dxa"/>
            <w:noWrap w:val="0"/>
            <w:vAlign w:val="bottom"/>
          </w:tcPr>
          <w:p w14:paraId="45E3832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0C7CB4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DC58EFA">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696DDD3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CB6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355B7CA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大铁山村</w:t>
            </w:r>
          </w:p>
        </w:tc>
        <w:tc>
          <w:tcPr>
            <w:tcW w:w="1546" w:type="dxa"/>
            <w:noWrap w:val="0"/>
            <w:vAlign w:val="bottom"/>
          </w:tcPr>
          <w:p w14:paraId="46EAB907">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2296F76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7D8AEAE">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338D59A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949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228AA5E">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马岭村</w:t>
            </w:r>
          </w:p>
        </w:tc>
        <w:tc>
          <w:tcPr>
            <w:tcW w:w="1546" w:type="dxa"/>
            <w:noWrap w:val="0"/>
            <w:vAlign w:val="bottom"/>
          </w:tcPr>
          <w:p w14:paraId="46D0B4E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BF50CE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3290B64">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6366C71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672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9E1CEBA">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1546" w:type="dxa"/>
            <w:noWrap w:val="0"/>
            <w:vAlign w:val="bottom"/>
          </w:tcPr>
          <w:p w14:paraId="1486843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E5580A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99F1185">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shd w:val="clear" w:color="auto" w:fill="auto"/>
            <w:noWrap w:val="0"/>
            <w:vAlign w:val="center"/>
          </w:tcPr>
          <w:p w14:paraId="0D2F827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894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E0B02C9">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1546" w:type="dxa"/>
            <w:noWrap w:val="0"/>
            <w:vAlign w:val="bottom"/>
          </w:tcPr>
          <w:p w14:paraId="0D77439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BF7E618">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50F88DC">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70504A2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FC8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8024B5C">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1546" w:type="dxa"/>
            <w:noWrap w:val="0"/>
            <w:vAlign w:val="bottom"/>
          </w:tcPr>
          <w:p w14:paraId="7EBFE60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0A42775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029DC632">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6DD2C91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1B8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4D00FCF2">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1546" w:type="dxa"/>
            <w:noWrap w:val="0"/>
            <w:vAlign w:val="bottom"/>
          </w:tcPr>
          <w:p w14:paraId="46772C6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9F8A575">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2D96135">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16E1D4F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41D2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1643D6D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1546" w:type="dxa"/>
            <w:noWrap w:val="0"/>
            <w:vAlign w:val="bottom"/>
          </w:tcPr>
          <w:p w14:paraId="731C16E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4DB6BC3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2536BC0">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7663601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329C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6B2E4AF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1546" w:type="dxa"/>
            <w:noWrap w:val="0"/>
            <w:vAlign w:val="bottom"/>
          </w:tcPr>
          <w:p w14:paraId="1824630C">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74E0CEC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702A90A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1B34A4B1">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7CF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38FBE3D">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1546" w:type="dxa"/>
            <w:noWrap w:val="0"/>
            <w:vAlign w:val="bottom"/>
          </w:tcPr>
          <w:p w14:paraId="203E8A4A">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BAE09F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4EAAD766">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6B45FD33">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B99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074D59BD">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1546" w:type="dxa"/>
            <w:noWrap w:val="0"/>
            <w:vAlign w:val="bottom"/>
          </w:tcPr>
          <w:p w14:paraId="3EEA3B2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588FFE4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6B76772F">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4A18A83F">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1B71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7FC7C6BC">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1546" w:type="dxa"/>
            <w:noWrap w:val="0"/>
            <w:vAlign w:val="bottom"/>
          </w:tcPr>
          <w:p w14:paraId="17602824">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63888D9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2CE82F1B">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43905A49">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9D6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225380FE">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1546" w:type="dxa"/>
            <w:noWrap w:val="0"/>
            <w:vAlign w:val="bottom"/>
          </w:tcPr>
          <w:p w14:paraId="3E12FC2D">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3B693B0B">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4B140D9">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0AD4C5F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2A10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17" w:type="pct"/>
            <w:noWrap w:val="0"/>
            <w:vAlign w:val="bottom"/>
          </w:tcPr>
          <w:p w14:paraId="54370568">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1546" w:type="dxa"/>
            <w:noWrap w:val="0"/>
            <w:vAlign w:val="bottom"/>
          </w:tcPr>
          <w:p w14:paraId="0B2614D2">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759" w:type="dxa"/>
            <w:noWrap w:val="0"/>
            <w:vAlign w:val="center"/>
          </w:tcPr>
          <w:p w14:paraId="11DEF2D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829" w:type="dxa"/>
            <w:noWrap w:val="0"/>
            <w:vAlign w:val="bottom"/>
          </w:tcPr>
          <w:p w14:paraId="1D42A363">
            <w:pPr>
              <w:pStyle w:val="24"/>
              <w:bidi w:val="0"/>
              <w:ind w:left="0" w:leftChars="0"/>
              <w:rPr>
                <w:rFonts w:hint="default"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0.00E+00</w:t>
            </w:r>
          </w:p>
        </w:tc>
        <w:tc>
          <w:tcPr>
            <w:tcW w:w="1675" w:type="dxa"/>
            <w:noWrap w:val="0"/>
            <w:vAlign w:val="center"/>
          </w:tcPr>
          <w:p w14:paraId="243E034E">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2E7A9896">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根据预测结果，</w:t>
      </w:r>
      <w:r>
        <w:rPr>
          <w:rFonts w:hint="default" w:ascii="Times New Roman" w:hAnsi="Times New Roman" w:cs="Times New Roman"/>
          <w:color w:val="auto"/>
          <w:highlight w:val="none"/>
          <w:lang w:val="en-US" w:eastAsia="zh-CN"/>
        </w:rPr>
        <w:t>火灾爆炸产生的次生污染物</w:t>
      </w:r>
      <w:r>
        <w:rPr>
          <w:rFonts w:hint="eastAsia" w:cs="Times New Roman"/>
          <w:color w:val="auto"/>
          <w:highlight w:val="none"/>
          <w:lang w:val="en-US" w:eastAsia="zh-CN"/>
        </w:rPr>
        <w:t>二氧化硫</w:t>
      </w:r>
      <w:r>
        <w:rPr>
          <w:rFonts w:hint="default" w:ascii="Times New Roman" w:hAnsi="Times New Roman" w:eastAsia="宋体" w:cs="Times New Roman"/>
          <w:color w:val="auto"/>
          <w:kern w:val="0"/>
          <w:sz w:val="24"/>
          <w:szCs w:val="24"/>
          <w:highlight w:val="none"/>
          <w:lang w:val="en-US" w:eastAsia="zh-CN" w:bidi="ar"/>
        </w:rPr>
        <w:t>情况下，在最不利</w:t>
      </w:r>
      <w:r>
        <w:rPr>
          <w:rFonts w:hint="default" w:ascii="Times New Roman" w:hAnsi="Times New Roman" w:cs="Times New Roman"/>
          <w:color w:val="auto"/>
          <w:kern w:val="0"/>
          <w:sz w:val="24"/>
          <w:szCs w:val="24"/>
          <w:highlight w:val="none"/>
          <w:lang w:val="en-US" w:eastAsia="zh-CN" w:bidi="ar"/>
        </w:rPr>
        <w:t>/最常见</w:t>
      </w:r>
      <w:r>
        <w:rPr>
          <w:rFonts w:hint="default" w:ascii="Times New Roman" w:hAnsi="Times New Roman" w:eastAsia="宋体" w:cs="Times New Roman"/>
          <w:color w:val="auto"/>
          <w:kern w:val="0"/>
          <w:sz w:val="24"/>
          <w:szCs w:val="24"/>
          <w:highlight w:val="none"/>
          <w:lang w:val="en-US" w:eastAsia="zh-CN" w:bidi="ar"/>
        </w:rPr>
        <w:t>气象件下评价范围内各关心点</w:t>
      </w:r>
      <w:r>
        <w:rPr>
          <w:rFonts w:hint="eastAsia" w:cs="Times New Roman"/>
          <w:color w:val="auto"/>
          <w:kern w:val="0"/>
          <w:sz w:val="24"/>
          <w:szCs w:val="24"/>
          <w:highlight w:val="none"/>
          <w:lang w:val="en-US" w:eastAsia="zh-CN" w:bidi="ar"/>
        </w:rPr>
        <w:t>均</w:t>
      </w:r>
      <w:r>
        <w:rPr>
          <w:rFonts w:hint="default" w:ascii="Times New Roman" w:hAnsi="Times New Roman" w:eastAsia="宋体" w:cs="Times New Roman"/>
          <w:color w:val="auto"/>
          <w:kern w:val="0"/>
          <w:sz w:val="24"/>
          <w:szCs w:val="24"/>
          <w:highlight w:val="none"/>
          <w:lang w:val="en-US" w:eastAsia="zh-CN" w:bidi="ar"/>
        </w:rPr>
        <w:t>不会出现毒性终点浓度-1值、毒性终点浓度-2值。</w:t>
      </w:r>
    </w:p>
    <w:p w14:paraId="5B6169D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w:t>
      </w:r>
      <w:r>
        <w:rPr>
          <w:rFonts w:hint="default" w:ascii="Times New Roman" w:hAnsi="Times New Roman" w:eastAsia="宋体" w:cs="Times New Roman"/>
          <w:color w:val="auto"/>
          <w:kern w:val="0"/>
          <w:sz w:val="24"/>
          <w:szCs w:val="24"/>
          <w:highlight w:val="none"/>
          <w:lang w:val="en-US" w:eastAsia="zh-CN" w:bidi="ar"/>
        </w:rPr>
        <w:t>事故情况下，</w:t>
      </w:r>
      <w:r>
        <w:rPr>
          <w:rFonts w:hint="default" w:ascii="Times New Roman" w:hAnsi="Times New Roman" w:cs="Times New Roman"/>
          <w:color w:val="auto"/>
          <w:highlight w:val="none"/>
          <w:lang w:val="en-US" w:eastAsia="zh-CN"/>
        </w:rPr>
        <w:t>周边环境敏感点</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浓度随时间变化情况表见下表。</w:t>
      </w:r>
    </w:p>
    <w:p w14:paraId="2DC2A379">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火灾爆炸事故下环境关心点</w:t>
      </w:r>
      <w:r>
        <w:rPr>
          <w:rFonts w:hint="eastAsia" w:cs="Times New Roman"/>
          <w:color w:val="auto"/>
          <w:highlight w:val="none"/>
          <w:lang w:val="en-US" w:eastAsia="zh-CN"/>
        </w:rPr>
        <w:t>二氧化硫</w:t>
      </w:r>
      <w:r>
        <w:rPr>
          <w:rFonts w:hint="default" w:ascii="Times New Roman" w:hAnsi="Times New Roman" w:cs="Times New Roman"/>
          <w:color w:val="auto"/>
          <w:highlight w:val="none"/>
          <w:lang w:val="en-US" w:eastAsia="zh-CN"/>
        </w:rPr>
        <w:t>浓度随时间变化情况表</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1527"/>
        <w:gridCol w:w="1446"/>
        <w:gridCol w:w="1486"/>
        <w:gridCol w:w="1418"/>
        <w:gridCol w:w="1470"/>
      </w:tblGrid>
      <w:tr w14:paraId="312B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restart"/>
            <w:noWrap w:val="0"/>
            <w:vAlign w:val="center"/>
          </w:tcPr>
          <w:p w14:paraId="7FD995D5">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3864" w:type="pct"/>
            <w:gridSpan w:val="5"/>
            <w:noWrap w:val="0"/>
            <w:vAlign w:val="center"/>
          </w:tcPr>
          <w:p w14:paraId="735E04E1">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浓度-最不利气象条件下</w:t>
            </w:r>
          </w:p>
        </w:tc>
      </w:tr>
      <w:tr w14:paraId="0182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5" w:type="pct"/>
            <w:vMerge w:val="continue"/>
            <w:noWrap w:val="0"/>
            <w:vAlign w:val="center"/>
          </w:tcPr>
          <w:p w14:paraId="4E42953A">
            <w:pPr>
              <w:pStyle w:val="24"/>
              <w:bidi w:val="0"/>
              <w:rPr>
                <w:rFonts w:hint="default" w:ascii="Times New Roman" w:hAnsi="Times New Roman" w:cs="Times New Roman"/>
                <w:color w:val="auto"/>
                <w:sz w:val="21"/>
                <w:szCs w:val="21"/>
              </w:rPr>
            </w:pPr>
          </w:p>
        </w:tc>
        <w:tc>
          <w:tcPr>
            <w:tcW w:w="803" w:type="pct"/>
            <w:shd w:val="clear" w:color="auto" w:fill="auto"/>
            <w:noWrap w:val="0"/>
            <w:vAlign w:val="center"/>
          </w:tcPr>
          <w:p w14:paraId="0361473F">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1min</w:t>
            </w:r>
          </w:p>
        </w:tc>
        <w:tc>
          <w:tcPr>
            <w:tcW w:w="760" w:type="pct"/>
            <w:shd w:val="clear" w:color="auto" w:fill="auto"/>
            <w:noWrap w:val="0"/>
            <w:vAlign w:val="center"/>
          </w:tcPr>
          <w:p w14:paraId="06BB82B9">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781" w:type="pct"/>
            <w:noWrap w:val="0"/>
            <w:vAlign w:val="center"/>
          </w:tcPr>
          <w:p w14:paraId="46D4DA73">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745" w:type="pct"/>
            <w:shd w:val="clear" w:color="auto" w:fill="auto"/>
            <w:noWrap w:val="0"/>
            <w:vAlign w:val="center"/>
          </w:tcPr>
          <w:p w14:paraId="0A45DDE0">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773" w:type="pct"/>
            <w:shd w:val="clear" w:color="auto" w:fill="auto"/>
            <w:noWrap w:val="0"/>
            <w:vAlign w:val="center"/>
          </w:tcPr>
          <w:p w14:paraId="069E5058">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3CA9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8837D7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03" w:type="pct"/>
            <w:noWrap w:val="0"/>
            <w:vAlign w:val="center"/>
          </w:tcPr>
          <w:p w14:paraId="04966D6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28AE81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369543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FE64C3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4468AF4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5860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35" w:type="pct"/>
            <w:shd w:val="clear" w:color="auto" w:fill="auto"/>
            <w:noWrap w:val="0"/>
            <w:vAlign w:val="center"/>
          </w:tcPr>
          <w:p w14:paraId="2890880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803" w:type="pct"/>
            <w:noWrap w:val="0"/>
            <w:vAlign w:val="center"/>
          </w:tcPr>
          <w:p w14:paraId="450A12B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351414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40F3DE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B64226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FC869C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BAD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71673C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803" w:type="pct"/>
            <w:noWrap w:val="0"/>
            <w:vAlign w:val="center"/>
          </w:tcPr>
          <w:p w14:paraId="1AB2CAE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F2BCAA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7A4D9D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0C255D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D1F7F2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495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0AAE05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803" w:type="pct"/>
            <w:noWrap w:val="0"/>
            <w:vAlign w:val="center"/>
          </w:tcPr>
          <w:p w14:paraId="1F23163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9B7738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9D6142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74726E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7F410B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659E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A3A18E3">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803" w:type="pct"/>
            <w:noWrap w:val="0"/>
            <w:vAlign w:val="center"/>
          </w:tcPr>
          <w:p w14:paraId="59FA1FE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D8694F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A989A3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727059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3354FB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353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F3C6E4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803" w:type="pct"/>
            <w:noWrap w:val="0"/>
            <w:vAlign w:val="center"/>
          </w:tcPr>
          <w:p w14:paraId="7ADB9F5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35CF0C5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A7973A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65348A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573BA8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B96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86A235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803" w:type="pct"/>
            <w:noWrap w:val="0"/>
            <w:vAlign w:val="center"/>
          </w:tcPr>
          <w:p w14:paraId="4BCF58B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DA05D2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81DAF7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A99A26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85BFC8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153F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23B911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803" w:type="pct"/>
            <w:noWrap w:val="0"/>
            <w:vAlign w:val="center"/>
          </w:tcPr>
          <w:p w14:paraId="1A2B84F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4A09F5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6A8CCA6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EBD01F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2E89B3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9ADD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95CF55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03" w:type="pct"/>
            <w:noWrap w:val="0"/>
            <w:vAlign w:val="center"/>
          </w:tcPr>
          <w:p w14:paraId="3A03193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4802DD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F187A4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66A7894">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27AD69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85C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E4EE00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803" w:type="pct"/>
            <w:noWrap w:val="0"/>
            <w:vAlign w:val="center"/>
          </w:tcPr>
          <w:p w14:paraId="4608FBB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4036EB7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B91956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606FE6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9001E6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ED8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3CE43CA">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803" w:type="pct"/>
            <w:noWrap w:val="0"/>
            <w:vAlign w:val="center"/>
          </w:tcPr>
          <w:p w14:paraId="07BDB3DC">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7045BB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BF6EC2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7B213F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F08E7E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1F4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93C893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03" w:type="pct"/>
            <w:noWrap w:val="0"/>
            <w:vAlign w:val="center"/>
          </w:tcPr>
          <w:p w14:paraId="6984676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C61C1F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017306C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69261A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EA78AB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ADF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5ECB5E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03" w:type="pct"/>
            <w:noWrap w:val="0"/>
            <w:vAlign w:val="center"/>
          </w:tcPr>
          <w:p w14:paraId="21C9F3C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1A3BF67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45C245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D23855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0388EE0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335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7CD0E9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03" w:type="pct"/>
            <w:noWrap w:val="0"/>
            <w:vAlign w:val="center"/>
          </w:tcPr>
          <w:p w14:paraId="5D626C6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7F29A9C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82B0EC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754357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5C03184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78BF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948DFB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03" w:type="pct"/>
            <w:noWrap w:val="0"/>
            <w:vAlign w:val="center"/>
          </w:tcPr>
          <w:p w14:paraId="5C8614F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5224AA8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2A2099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BF3AE4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14986C80">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268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2DB2A9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03" w:type="pct"/>
            <w:noWrap w:val="0"/>
            <w:vAlign w:val="center"/>
          </w:tcPr>
          <w:p w14:paraId="4F3ED29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5645192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213FB47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6D1F5C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2C0DDB0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06E5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2A1C12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03" w:type="pct"/>
            <w:noWrap w:val="0"/>
            <w:vAlign w:val="center"/>
          </w:tcPr>
          <w:p w14:paraId="380C68D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0A6731D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56681A3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6E7E3D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5675ED8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92C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3AAEF3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03" w:type="pct"/>
            <w:noWrap w:val="0"/>
            <w:vAlign w:val="center"/>
          </w:tcPr>
          <w:p w14:paraId="2F7E384D">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C49F10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0794C3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7CCD2F9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163F1EE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32AF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C37803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03" w:type="pct"/>
            <w:noWrap w:val="0"/>
            <w:vAlign w:val="center"/>
          </w:tcPr>
          <w:p w14:paraId="4A9C6EEE">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C00683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6B2348E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DFE8F7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448614D1">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4F1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DDFF4E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03" w:type="pct"/>
            <w:noWrap w:val="0"/>
            <w:vAlign w:val="center"/>
          </w:tcPr>
          <w:p w14:paraId="2C90F45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C0C4EA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1D17259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4226902">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62E9496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4DF6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AF5BFA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03" w:type="pct"/>
            <w:noWrap w:val="0"/>
            <w:vAlign w:val="center"/>
          </w:tcPr>
          <w:p w14:paraId="0EBDF6DA">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2454FBB5">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3F316AC3">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D68E679">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79A944CB">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4A2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41B0052">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03" w:type="pct"/>
            <w:noWrap w:val="0"/>
            <w:vAlign w:val="center"/>
          </w:tcPr>
          <w:p w14:paraId="6A0AD35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60" w:type="pct"/>
            <w:noWrap w:val="0"/>
            <w:vAlign w:val="center"/>
          </w:tcPr>
          <w:p w14:paraId="623D703F">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81" w:type="pct"/>
            <w:noWrap w:val="0"/>
            <w:vAlign w:val="center"/>
          </w:tcPr>
          <w:p w14:paraId="4FFD8E67">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E443888">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c>
          <w:tcPr>
            <w:tcW w:w="773" w:type="pct"/>
            <w:noWrap w:val="0"/>
            <w:vAlign w:val="center"/>
          </w:tcPr>
          <w:p w14:paraId="5BF0E746">
            <w:pPr>
              <w:pStyle w:val="24"/>
              <w:bidi w:val="0"/>
              <w:ind w:left="0" w:left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0.00E+00</w:t>
            </w:r>
          </w:p>
        </w:tc>
      </w:tr>
      <w:tr w14:paraId="255B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restart"/>
            <w:noWrap w:val="0"/>
            <w:vAlign w:val="center"/>
          </w:tcPr>
          <w:p w14:paraId="4007B652">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关心点名称</w:t>
            </w:r>
          </w:p>
        </w:tc>
        <w:tc>
          <w:tcPr>
            <w:tcW w:w="3864" w:type="pct"/>
            <w:gridSpan w:val="5"/>
            <w:noWrap w:val="0"/>
            <w:vAlign w:val="center"/>
          </w:tcPr>
          <w:p w14:paraId="55E03CAD">
            <w:pPr>
              <w:pStyle w:val="24"/>
              <w:bidi w:val="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浓度-最常见气象条件下</w:t>
            </w:r>
          </w:p>
        </w:tc>
      </w:tr>
      <w:tr w14:paraId="5F74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vMerge w:val="continue"/>
            <w:noWrap w:val="0"/>
            <w:vAlign w:val="center"/>
          </w:tcPr>
          <w:p w14:paraId="4DEE7919">
            <w:pPr>
              <w:pStyle w:val="24"/>
              <w:bidi w:val="0"/>
              <w:rPr>
                <w:rFonts w:hint="default" w:ascii="Times New Roman" w:hAnsi="Times New Roman" w:cs="Times New Roman"/>
                <w:color w:val="auto"/>
                <w:sz w:val="21"/>
                <w:szCs w:val="21"/>
              </w:rPr>
            </w:pPr>
          </w:p>
        </w:tc>
        <w:tc>
          <w:tcPr>
            <w:tcW w:w="803" w:type="pct"/>
            <w:shd w:val="clear" w:color="auto" w:fill="auto"/>
            <w:noWrap w:val="0"/>
            <w:vAlign w:val="center"/>
          </w:tcPr>
          <w:p w14:paraId="6179ED6D">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1min</w:t>
            </w:r>
          </w:p>
        </w:tc>
        <w:tc>
          <w:tcPr>
            <w:tcW w:w="760" w:type="pct"/>
            <w:shd w:val="clear" w:color="auto" w:fill="auto"/>
            <w:noWrap w:val="0"/>
            <w:vAlign w:val="center"/>
          </w:tcPr>
          <w:p w14:paraId="19F7B1B7">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w:t>
            </w:r>
            <w:r>
              <w:rPr>
                <w:rFonts w:hint="default" w:ascii="Times New Roman" w:hAnsi="Times New Roman" w:eastAsia="宋体" w:cs="Times New Roman"/>
                <w:b/>
                <w:bCs/>
                <w:color w:val="auto"/>
                <w:kern w:val="2"/>
                <w:sz w:val="21"/>
                <w:szCs w:val="21"/>
                <w:highlight w:val="none"/>
                <w:lang w:val="en-US" w:eastAsia="zh-CN" w:bidi="ar-SA"/>
              </w:rPr>
              <w:t>min</w:t>
            </w:r>
          </w:p>
        </w:tc>
        <w:tc>
          <w:tcPr>
            <w:tcW w:w="781" w:type="pct"/>
            <w:noWrap w:val="0"/>
            <w:vAlign w:val="center"/>
          </w:tcPr>
          <w:p w14:paraId="15F0E85F">
            <w:pPr>
              <w:pStyle w:val="24"/>
              <w:bidi w:val="0"/>
              <w:ind w:left="0" w:leftChars="0"/>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lang w:val="en-US" w:eastAsia="zh-CN"/>
              </w:rPr>
              <w:t>0min</w:t>
            </w:r>
          </w:p>
        </w:tc>
        <w:tc>
          <w:tcPr>
            <w:tcW w:w="745" w:type="pct"/>
            <w:shd w:val="clear" w:color="auto" w:fill="auto"/>
            <w:noWrap w:val="0"/>
            <w:vAlign w:val="center"/>
          </w:tcPr>
          <w:p w14:paraId="4B311E68">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0min</w:t>
            </w:r>
          </w:p>
        </w:tc>
        <w:tc>
          <w:tcPr>
            <w:tcW w:w="773" w:type="pct"/>
            <w:shd w:val="clear" w:color="auto" w:fill="auto"/>
            <w:noWrap w:val="0"/>
            <w:vAlign w:val="center"/>
          </w:tcPr>
          <w:p w14:paraId="09F777B8">
            <w:pPr>
              <w:pStyle w:val="24"/>
              <w:bidi w:val="0"/>
              <w:ind w:left="0" w:leftChars="0"/>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0min</w:t>
            </w:r>
          </w:p>
        </w:tc>
      </w:tr>
      <w:tr w14:paraId="5AD0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72C7FA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东北侧</w:t>
            </w:r>
            <w:r>
              <w:rPr>
                <w:rFonts w:hint="eastAsia" w:ascii="Times New Roman" w:hAnsi="Times New Roman" w:eastAsia="宋体" w:cs="Times New Roman"/>
                <w:b w:val="0"/>
                <w:bCs w:val="0"/>
                <w:color w:val="auto"/>
                <w:sz w:val="21"/>
                <w:szCs w:val="21"/>
                <w:highlight w:val="none"/>
                <w:lang w:val="en-US" w:eastAsia="zh-CN"/>
              </w:rPr>
              <w:t>散户</w:t>
            </w:r>
          </w:p>
        </w:tc>
        <w:tc>
          <w:tcPr>
            <w:tcW w:w="803" w:type="pct"/>
            <w:shd w:val="clear" w:color="auto" w:fill="auto"/>
            <w:noWrap w:val="0"/>
            <w:vAlign w:val="center"/>
          </w:tcPr>
          <w:p w14:paraId="57FFB84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624082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2290251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9B6D97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4941BB2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BCC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7EFE9CC">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金堂村</w:t>
            </w:r>
          </w:p>
        </w:tc>
        <w:tc>
          <w:tcPr>
            <w:tcW w:w="803" w:type="pct"/>
            <w:shd w:val="clear" w:color="auto" w:fill="auto"/>
            <w:noWrap w:val="0"/>
            <w:vAlign w:val="center"/>
          </w:tcPr>
          <w:p w14:paraId="4F989FA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CC8D81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185D650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D90562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B8C23C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674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2BE8A5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亮垭村</w:t>
            </w:r>
          </w:p>
        </w:tc>
        <w:tc>
          <w:tcPr>
            <w:tcW w:w="803" w:type="pct"/>
            <w:shd w:val="clear" w:color="auto" w:fill="auto"/>
            <w:noWrap w:val="0"/>
            <w:vAlign w:val="center"/>
          </w:tcPr>
          <w:p w14:paraId="7AB58EF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AA57C8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E08FD0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5A6349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1C2D9F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876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123A7E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秋锦山村</w:t>
            </w:r>
          </w:p>
        </w:tc>
        <w:tc>
          <w:tcPr>
            <w:tcW w:w="803" w:type="pct"/>
            <w:shd w:val="clear" w:color="auto" w:fill="auto"/>
            <w:noWrap w:val="0"/>
            <w:vAlign w:val="center"/>
          </w:tcPr>
          <w:p w14:paraId="749F732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523212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1D4D200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92DFCE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FD87CA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8DD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DE17A1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春在镇</w:t>
            </w:r>
          </w:p>
        </w:tc>
        <w:tc>
          <w:tcPr>
            <w:tcW w:w="803" w:type="pct"/>
            <w:shd w:val="clear" w:color="auto" w:fill="auto"/>
            <w:noWrap w:val="0"/>
            <w:vAlign w:val="center"/>
          </w:tcPr>
          <w:p w14:paraId="088E4D8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346AF6F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13769F6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7D4982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E40557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C9B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5766A8E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通江县城</w:t>
            </w:r>
          </w:p>
        </w:tc>
        <w:tc>
          <w:tcPr>
            <w:tcW w:w="803" w:type="pct"/>
            <w:shd w:val="clear" w:color="auto" w:fill="auto"/>
            <w:noWrap w:val="0"/>
            <w:vAlign w:val="center"/>
          </w:tcPr>
          <w:p w14:paraId="6E8F235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22ED4A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C5A462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BE0D98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7D2F8CE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BD6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0F67AB8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檬子垭村</w:t>
            </w:r>
          </w:p>
        </w:tc>
        <w:tc>
          <w:tcPr>
            <w:tcW w:w="803" w:type="pct"/>
            <w:shd w:val="clear" w:color="auto" w:fill="auto"/>
            <w:noWrap w:val="0"/>
            <w:vAlign w:val="center"/>
          </w:tcPr>
          <w:p w14:paraId="00DA4D5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1C19D1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1241E1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D2E258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43B135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4CB4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60B57A4">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火峰村</w:t>
            </w:r>
          </w:p>
        </w:tc>
        <w:tc>
          <w:tcPr>
            <w:tcW w:w="803" w:type="pct"/>
            <w:shd w:val="clear" w:color="auto" w:fill="auto"/>
            <w:noWrap w:val="0"/>
            <w:vAlign w:val="center"/>
          </w:tcPr>
          <w:p w14:paraId="285E009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7B48E2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8615B3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CD19FA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028A1D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620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3CAB8A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新桥村小学</w:t>
            </w:r>
          </w:p>
        </w:tc>
        <w:tc>
          <w:tcPr>
            <w:tcW w:w="803" w:type="pct"/>
            <w:shd w:val="clear" w:color="auto" w:fill="auto"/>
            <w:noWrap w:val="0"/>
            <w:vAlign w:val="center"/>
          </w:tcPr>
          <w:p w14:paraId="3EC6FF5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F98AFC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724183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9DF3C0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7CD571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47A5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D290AB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大铁山村</w:t>
            </w:r>
          </w:p>
        </w:tc>
        <w:tc>
          <w:tcPr>
            <w:tcW w:w="803" w:type="pct"/>
            <w:shd w:val="clear" w:color="auto" w:fill="auto"/>
            <w:noWrap w:val="0"/>
            <w:vAlign w:val="center"/>
          </w:tcPr>
          <w:p w14:paraId="5C90522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3C4BA31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749455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358901C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274B05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2FD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F4368DD">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马岭村</w:t>
            </w:r>
          </w:p>
        </w:tc>
        <w:tc>
          <w:tcPr>
            <w:tcW w:w="803" w:type="pct"/>
            <w:shd w:val="clear" w:color="auto" w:fill="auto"/>
            <w:noWrap w:val="0"/>
            <w:vAlign w:val="center"/>
          </w:tcPr>
          <w:p w14:paraId="72AA1F1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E4B29A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01B7A8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BEC96E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26F124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9D6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6060A6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通江县思源实验学校</w:t>
            </w:r>
          </w:p>
        </w:tc>
        <w:tc>
          <w:tcPr>
            <w:tcW w:w="803" w:type="pct"/>
            <w:shd w:val="clear" w:color="auto" w:fill="auto"/>
            <w:noWrap w:val="0"/>
            <w:vAlign w:val="center"/>
          </w:tcPr>
          <w:p w14:paraId="7A2AC49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54EE9FF5">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3799BA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6BAC9F8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3164F2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2929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1377B67A">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通江县第五小学</w:t>
            </w:r>
          </w:p>
        </w:tc>
        <w:tc>
          <w:tcPr>
            <w:tcW w:w="803" w:type="pct"/>
            <w:shd w:val="clear" w:color="auto" w:fill="auto"/>
            <w:noWrap w:val="0"/>
            <w:vAlign w:val="center"/>
          </w:tcPr>
          <w:p w14:paraId="3872FC3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F658DE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53DA33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1B839B2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1284CD7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4E68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9925221">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通江县中医医院</w:t>
            </w:r>
          </w:p>
        </w:tc>
        <w:tc>
          <w:tcPr>
            <w:tcW w:w="803" w:type="pct"/>
            <w:shd w:val="clear" w:color="auto" w:fill="auto"/>
            <w:noWrap w:val="0"/>
            <w:vAlign w:val="center"/>
          </w:tcPr>
          <w:p w14:paraId="40B70FC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84D043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AEC32D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9E1DBE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A8FD8C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1732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A7DC7C6">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通江县第三小学</w:t>
            </w:r>
          </w:p>
        </w:tc>
        <w:tc>
          <w:tcPr>
            <w:tcW w:w="803" w:type="pct"/>
            <w:shd w:val="clear" w:color="auto" w:fill="auto"/>
            <w:noWrap w:val="0"/>
            <w:vAlign w:val="center"/>
          </w:tcPr>
          <w:p w14:paraId="622279D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85398C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3CC5DAB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28FB2E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4C49AF1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506E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2595A998">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通江县实验小学</w:t>
            </w:r>
          </w:p>
        </w:tc>
        <w:tc>
          <w:tcPr>
            <w:tcW w:w="803" w:type="pct"/>
            <w:shd w:val="clear" w:color="auto" w:fill="auto"/>
            <w:noWrap w:val="0"/>
            <w:vAlign w:val="center"/>
          </w:tcPr>
          <w:p w14:paraId="1422061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4C4819F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B7B6C2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EA7A10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AD0C15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E4F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7056B1B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通江县实验中学</w:t>
            </w:r>
          </w:p>
        </w:tc>
        <w:tc>
          <w:tcPr>
            <w:tcW w:w="803" w:type="pct"/>
            <w:shd w:val="clear" w:color="auto" w:fill="auto"/>
            <w:noWrap w:val="0"/>
            <w:vAlign w:val="center"/>
          </w:tcPr>
          <w:p w14:paraId="0D600D1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273C2B8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3CF52E17">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E868963">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0A77A63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216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6AC26D77">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通江县妇幼保健院</w:t>
            </w:r>
          </w:p>
        </w:tc>
        <w:tc>
          <w:tcPr>
            <w:tcW w:w="803" w:type="pct"/>
            <w:shd w:val="clear" w:color="auto" w:fill="auto"/>
            <w:noWrap w:val="0"/>
            <w:vAlign w:val="center"/>
          </w:tcPr>
          <w:p w14:paraId="78920F6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11C9F44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40FCA236">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57BDEE6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2AD8BDA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142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AA7C180">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通江县第二小学</w:t>
            </w:r>
          </w:p>
        </w:tc>
        <w:tc>
          <w:tcPr>
            <w:tcW w:w="803" w:type="pct"/>
            <w:shd w:val="clear" w:color="auto" w:fill="auto"/>
            <w:noWrap w:val="0"/>
            <w:vAlign w:val="center"/>
          </w:tcPr>
          <w:p w14:paraId="1B29893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64ED47F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65E2C56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4CFB2BB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E465ED2">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3AAD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72BFDCF">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诺江镇苗南小学</w:t>
            </w:r>
          </w:p>
        </w:tc>
        <w:tc>
          <w:tcPr>
            <w:tcW w:w="803" w:type="pct"/>
            <w:shd w:val="clear" w:color="auto" w:fill="auto"/>
            <w:noWrap w:val="0"/>
            <w:vAlign w:val="center"/>
          </w:tcPr>
          <w:p w14:paraId="7E04B4D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76B2FBE9">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5FE37728">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C311D41">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50B07A1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0DF9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3FE0B7BB">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通江县第六小学</w:t>
            </w:r>
          </w:p>
        </w:tc>
        <w:tc>
          <w:tcPr>
            <w:tcW w:w="803" w:type="pct"/>
            <w:shd w:val="clear" w:color="auto" w:fill="auto"/>
            <w:noWrap w:val="0"/>
            <w:vAlign w:val="center"/>
          </w:tcPr>
          <w:p w14:paraId="486B4144">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3E54F8A">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0DC5634F">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2760DDB0">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62DE571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r w14:paraId="6D2E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35" w:type="pct"/>
            <w:shd w:val="clear" w:color="auto" w:fill="auto"/>
            <w:noWrap w:val="0"/>
            <w:vAlign w:val="center"/>
          </w:tcPr>
          <w:p w14:paraId="480493DE">
            <w:pPr>
              <w:pStyle w:val="24"/>
              <w:bidi w:val="0"/>
              <w:ind w:left="0" w:leftChars="0"/>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通江新区医院</w:t>
            </w:r>
          </w:p>
        </w:tc>
        <w:tc>
          <w:tcPr>
            <w:tcW w:w="803" w:type="pct"/>
            <w:shd w:val="clear" w:color="auto" w:fill="auto"/>
            <w:noWrap w:val="0"/>
            <w:vAlign w:val="center"/>
          </w:tcPr>
          <w:p w14:paraId="6C25CB1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60" w:type="pct"/>
            <w:shd w:val="clear" w:color="auto" w:fill="auto"/>
            <w:noWrap w:val="0"/>
            <w:vAlign w:val="center"/>
          </w:tcPr>
          <w:p w14:paraId="046EB67E">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81" w:type="pct"/>
            <w:shd w:val="clear" w:color="auto" w:fill="auto"/>
            <w:noWrap w:val="0"/>
            <w:vAlign w:val="center"/>
          </w:tcPr>
          <w:p w14:paraId="7E1E3DBB">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45" w:type="pct"/>
            <w:shd w:val="clear" w:color="auto" w:fill="auto"/>
            <w:noWrap w:val="0"/>
            <w:vAlign w:val="center"/>
          </w:tcPr>
          <w:p w14:paraId="0DFF650C">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c>
          <w:tcPr>
            <w:tcW w:w="773" w:type="pct"/>
            <w:shd w:val="clear" w:color="auto" w:fill="auto"/>
            <w:noWrap w:val="0"/>
            <w:vAlign w:val="center"/>
          </w:tcPr>
          <w:p w14:paraId="3292F0DD">
            <w:pPr>
              <w:pStyle w:val="24"/>
              <w:bidi w:val="0"/>
              <w:ind w:left="0" w:leftChars="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0.00E+00</w:t>
            </w:r>
          </w:p>
        </w:tc>
      </w:tr>
    </w:tbl>
    <w:p w14:paraId="12E26855">
      <w:pPr>
        <w:pStyle w:val="30"/>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（4）大气伤害概率</w:t>
      </w:r>
    </w:p>
    <w:p w14:paraId="72177F9C">
      <w:pPr>
        <w:pStyle w:val="26"/>
        <w:bidi w:val="0"/>
        <w:rPr>
          <w:rFonts w:hint="default" w:ascii="Times New Roman" w:hAnsi="Times New Roman" w:cs="Times New Roman"/>
          <w:color w:val="auto"/>
          <w:highlight w:val="none"/>
        </w:rPr>
      </w:pPr>
      <w:r>
        <w:rPr>
          <w:rFonts w:hint="default" w:ascii="Times New Roman" w:hAnsi="Times New Roman" w:cs="Times New Roman"/>
          <w:color w:val="auto"/>
          <w:kern w:val="0"/>
          <w:sz w:val="24"/>
          <w:szCs w:val="24"/>
          <w:highlight w:val="none"/>
          <w:lang w:val="en-US" w:eastAsia="zh-CN" w:bidi="ar"/>
        </w:rPr>
        <w:t>本次取</w:t>
      </w:r>
      <w:r>
        <w:rPr>
          <w:rFonts w:hint="default" w:ascii="Times New Roman" w:hAnsi="Times New Roman" w:cs="Times New Roman"/>
          <w:color w:val="auto"/>
          <w:lang w:val="en-US" w:eastAsia="zh-CN"/>
        </w:rPr>
        <w:t>《建设项目环境风险评价技术导则》（HJ169-2018）附录I中</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的相关参数对暴露于有</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气团下、无任何防护的人员，因</w:t>
      </w:r>
      <w:r>
        <w:rPr>
          <w:rFonts w:hint="eastAsia" w:ascii="Times New Roman" w:hAnsi="Times New Roman" w:cs="Times New Roman"/>
          <w:color w:val="auto"/>
          <w:lang w:val="en-US" w:eastAsia="zh-CN"/>
        </w:rPr>
        <w:t>二氧化硫</w:t>
      </w:r>
      <w:r>
        <w:rPr>
          <w:rFonts w:hint="default" w:ascii="Times New Roman" w:hAnsi="Times New Roman" w:cs="Times New Roman"/>
          <w:color w:val="auto"/>
          <w:lang w:val="en-US" w:eastAsia="zh-CN"/>
        </w:rPr>
        <w:t>毒性而导致死亡的概率进行计算可知，</w:t>
      </w:r>
      <w:r>
        <w:rPr>
          <w:rFonts w:hint="eastAsia" w:ascii="Times New Roman" w:hAnsi="Times New Roman" w:cs="Times New Roman"/>
          <w:color w:val="auto"/>
          <w:lang w:val="en-US" w:eastAsia="zh-CN"/>
        </w:rPr>
        <w:t>二氧化硫</w:t>
      </w:r>
      <w:r>
        <w:rPr>
          <w:rFonts w:hint="default" w:ascii="Times New Roman" w:hAnsi="Times New Roman" w:eastAsia="宋体" w:cs="Times New Roman"/>
          <w:color w:val="auto"/>
          <w:highlight w:val="none"/>
          <w:lang w:val="en-US" w:eastAsia="zh-CN"/>
        </w:rPr>
        <w:t>大气伤害概率为0。</w:t>
      </w:r>
    </w:p>
    <w:p w14:paraId="0568D3B2">
      <w:pPr>
        <w:pStyle w:val="3"/>
        <w:bidi w:val="0"/>
        <w:rPr>
          <w:rFonts w:hint="default" w:ascii="Times New Roman" w:hAnsi="Times New Roman" w:cs="Times New Roman"/>
          <w:color w:val="auto"/>
          <w:highlight w:val="none"/>
          <w:lang w:val="en-US" w:eastAsia="zh-CN"/>
        </w:rPr>
      </w:pPr>
      <w:bookmarkStart w:id="187" w:name="_Toc8904"/>
      <w:bookmarkStart w:id="188" w:name="_Toc19995"/>
      <w:bookmarkStart w:id="189" w:name="_Toc8945"/>
      <w:r>
        <w:rPr>
          <w:rFonts w:hint="default" w:ascii="Times New Roman" w:hAnsi="Times New Roman" w:cs="Times New Roman"/>
          <w:color w:val="auto"/>
          <w:highlight w:val="none"/>
          <w:lang w:val="en-US" w:eastAsia="zh-CN"/>
        </w:rPr>
        <w:t>地表水风险预测与评价</w:t>
      </w:r>
      <w:bookmarkEnd w:id="187"/>
      <w:bookmarkEnd w:id="188"/>
      <w:bookmarkEnd w:id="189"/>
    </w:p>
    <w:p w14:paraId="5DC73BF7">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预测模型</w:t>
      </w:r>
    </w:p>
    <w:p w14:paraId="7C8D22D3">
      <w:pPr>
        <w:pStyle w:val="26"/>
        <w:ind w:firstLine="480"/>
        <w:rPr>
          <w:rFonts w:hint="default" w:ascii="Times New Roman" w:hAnsi="Times New Roman" w:cs="Times New Roman"/>
          <w:color w:val="auto"/>
        </w:rPr>
      </w:pPr>
      <w:r>
        <w:rPr>
          <w:rFonts w:hint="default" w:ascii="Times New Roman" w:hAnsi="Times New Roman" w:cs="Times New Roman"/>
          <w:bCs/>
          <w:color w:val="auto"/>
          <w:szCs w:val="24"/>
        </w:rPr>
        <w:t>根据《环境影响评价技术导则 地表水环境》（HJ2.3-2018）中</w:t>
      </w:r>
      <w:r>
        <w:rPr>
          <w:rFonts w:hint="default" w:ascii="Times New Roman" w:hAnsi="Times New Roman" w:cs="Times New Roman"/>
          <w:bCs/>
          <w:i/>
          <w:iCs/>
          <w:color w:val="auto"/>
          <w:szCs w:val="24"/>
        </w:rPr>
        <w:t>“7.6.1地表水环境影响预测模型包括数学模型、物理模型。地表水环境影响预测宜选用数学模型。7.6.3.2水动力模型及水质模型：按照时间分为稳态模型与非稳态模型，按照空间分为零维、一维、二维以及三维模型，按照是否需要采用数值离散方法分为解析解模型与数值解模型。7.7.2河流水域概化要求：a）预测河段及代表性断面的宽深比≥20</w:t>
      </w:r>
      <w:r>
        <w:rPr>
          <w:rFonts w:hint="default" w:ascii="Times New Roman" w:hAnsi="Times New Roman" w:cs="Times New Roman"/>
          <w:i/>
          <w:iCs/>
          <w:color w:val="auto"/>
        </w:rPr>
        <w:t>时，可视为矩形河段；b）河段弯曲系数＞1.3时，可视为弯曲河段，其余可概化为平直河段”</w:t>
      </w:r>
      <w:r>
        <w:rPr>
          <w:rFonts w:hint="default" w:ascii="Times New Roman" w:hAnsi="Times New Roman" w:cs="Times New Roman"/>
          <w:color w:val="auto"/>
        </w:rPr>
        <w:t>。</w:t>
      </w:r>
    </w:p>
    <w:p w14:paraId="53C315F0">
      <w:pPr>
        <w:pStyle w:val="26"/>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rPr>
        <w:t>本项目采用河流二维模型计算河段沿线的污染物浓度</w:t>
      </w:r>
      <w:r>
        <w:rPr>
          <w:rFonts w:hint="default" w:ascii="Times New Roman" w:hAnsi="Times New Roman" w:cs="Times New Roman"/>
          <w:color w:val="auto"/>
          <w:lang w:eastAsia="zh-CN"/>
        </w:rPr>
        <w:t>，</w:t>
      </w:r>
      <w:r>
        <w:rPr>
          <w:rFonts w:hint="default" w:ascii="Times New Roman" w:hAnsi="Times New Roman" w:cs="Times New Roman"/>
          <w:color w:val="auto"/>
        </w:rPr>
        <w:t>且</w:t>
      </w:r>
      <w:r>
        <w:rPr>
          <w:rFonts w:hint="eastAsia" w:cs="Times New Roman"/>
          <w:color w:val="auto"/>
          <w:lang w:val="en-US" w:eastAsia="zh-CN"/>
        </w:rPr>
        <w:t>通江河</w:t>
      </w:r>
      <w:r>
        <w:rPr>
          <w:rFonts w:hint="default" w:ascii="Times New Roman" w:hAnsi="Times New Roman" w:cs="Times New Roman"/>
          <w:color w:val="auto"/>
        </w:rPr>
        <w:t>宽深比为＞20，弯曲系数＜1.3，故评价河段可简化为矩形平直河流。污染源特性为连续、稳定排放。根据《环境影响评价技术导则  地表水环境》（HJ2.3-2018）表4河流数学模型适用条件中模型时间分类，属于稳态。根据7.6.3.2水动力模型及水质模型a）河流数学模型：在模拟河流顺直、水流均匀且排污稳定时可以采用解析解模型。</w:t>
      </w:r>
      <w:r>
        <w:rPr>
          <w:rFonts w:hint="default" w:ascii="Times New Roman" w:hAnsi="Times New Roman" w:cs="Times New Roman"/>
          <w:color w:val="auto"/>
          <w:szCs w:val="24"/>
        </w:rPr>
        <w:t>故采用E.6平面二维数学模型中E.6.2解析方法中E.6.2.1不考虑岸边反射影响的宽浅型平直恒定均匀河流，岸边点源稳定排放，浓度分布公式。</w:t>
      </w:r>
    </w:p>
    <w:p w14:paraId="0DF63EB0">
      <w:pPr>
        <w:pStyle w:val="26"/>
        <w:ind w:firstLine="480"/>
        <w:rPr>
          <w:rFonts w:hint="default" w:ascii="Times New Roman" w:hAnsi="Times New Roman" w:cs="Times New Roman"/>
          <w:color w:val="auto"/>
        </w:rPr>
      </w:pPr>
      <w:r>
        <w:rPr>
          <w:rFonts w:hint="default" w:ascii="Times New Roman" w:hAnsi="Times New Roman" w:cs="Times New Roman"/>
          <w:color w:val="auto"/>
        </w:rPr>
        <w:t>根据E.6.2.1平面二维数学模型，不考虑岸边反射影响的宽浅型平直恒定均匀河流，岸边点源稳定排放，浓度分布公式为：</w:t>
      </w:r>
    </w:p>
    <w:p w14:paraId="652CF0F6">
      <w:pPr>
        <w:pStyle w:val="26"/>
        <w:ind w:firstLine="480"/>
        <w:jc w:val="center"/>
        <w:rPr>
          <w:rFonts w:hint="default" w:ascii="Times New Roman" w:hAnsi="Times New Roman" w:cs="Times New Roman"/>
          <w:color w:val="auto"/>
          <w:szCs w:val="24"/>
        </w:rPr>
      </w:pPr>
      <w:r>
        <w:rPr>
          <w:rFonts w:hint="default" w:ascii="Times New Roman" w:hAnsi="Times New Roman" w:cs="Times New Roman"/>
          <w:color w:val="auto"/>
          <w:position w:val="-36"/>
          <w:szCs w:val="21"/>
        </w:rPr>
        <w:object>
          <v:shape id="_x0000_i1049" o:spt="75" type="#_x0000_t75" style="height:41.4pt;width:246pt;" o:ole="t" filled="f" o:preferrelative="t" stroked="f" coordsize="21600,21600">
            <v:path/>
            <v:fill on="f" focussize="0,0"/>
            <v:stroke on="f" joinstyle="miter"/>
            <v:imagedata r:id="rId201" o:title=""/>
            <o:lock v:ext="edit" aspectratio="t"/>
            <w10:wrap type="none"/>
            <w10:anchorlock/>
          </v:shape>
          <o:OLEObject Type="Embed" ProgID="Equation.DSMT4" ShapeID="_x0000_i1049" DrawAspect="Content" ObjectID="_1468075749" r:id="rId200">
            <o:LockedField>false</o:LockedField>
          </o:OLEObject>
        </w:object>
      </w:r>
    </w:p>
    <w:p w14:paraId="40E83813">
      <w:pPr>
        <w:pStyle w:val="26"/>
        <w:ind w:firstLine="480"/>
        <w:rPr>
          <w:rFonts w:hint="default" w:ascii="Times New Roman" w:hAnsi="Times New Roman" w:cs="Times New Roman"/>
          <w:color w:val="auto"/>
        </w:rPr>
      </w:pPr>
      <w:r>
        <w:rPr>
          <w:rFonts w:hint="default" w:ascii="Times New Roman" w:hAnsi="Times New Roman" w:cs="Times New Roman"/>
          <w:color w:val="auto"/>
        </w:rPr>
        <w:t>式中：C（x，y）——纵向距离x、横向距离y点的污染物浓度，mg/L；</w:t>
      </w:r>
    </w:p>
    <w:p w14:paraId="16FDDFE8">
      <w:pPr>
        <w:pStyle w:val="26"/>
        <w:ind w:firstLine="1188" w:firstLineChars="495"/>
        <w:rPr>
          <w:rFonts w:hint="default" w:ascii="Times New Roman" w:hAnsi="Times New Roman" w:cs="Times New Roman"/>
          <w:i/>
          <w:iCs/>
          <w:color w:val="auto"/>
        </w:rPr>
      </w:pPr>
      <w:r>
        <w:rPr>
          <w:rFonts w:hint="default" w:ascii="Times New Roman" w:hAnsi="Times New Roman" w:cs="Times New Roman"/>
          <w:i/>
          <w:iCs/>
          <w:color w:val="auto"/>
        </w:rPr>
        <w:t>C</w:t>
      </w:r>
      <w:r>
        <w:rPr>
          <w:rFonts w:hint="default" w:ascii="Times New Roman" w:hAnsi="Times New Roman" w:cs="Times New Roman"/>
          <w:i/>
          <w:iCs/>
          <w:color w:val="auto"/>
          <w:vertAlign w:val="subscript"/>
        </w:rPr>
        <w:t>h</w:t>
      </w:r>
      <w:r>
        <w:rPr>
          <w:rFonts w:hint="default" w:ascii="Times New Roman" w:hAnsi="Times New Roman" w:cs="Times New Roman"/>
          <w:i/>
          <w:iCs/>
          <w:color w:val="auto"/>
        </w:rPr>
        <w:t>——</w:t>
      </w:r>
      <w:r>
        <w:rPr>
          <w:rFonts w:hint="default" w:ascii="Times New Roman" w:hAnsi="Times New Roman" w:cs="Times New Roman"/>
          <w:color w:val="auto"/>
        </w:rPr>
        <w:t>河流上游污染物浓度，mg/L；</w:t>
      </w:r>
    </w:p>
    <w:p w14:paraId="603C617C">
      <w:pPr>
        <w:pStyle w:val="26"/>
        <w:ind w:firstLine="1188" w:firstLineChars="495"/>
        <w:rPr>
          <w:rFonts w:hint="default" w:ascii="Times New Roman" w:hAnsi="Times New Roman" w:cs="Times New Roman"/>
          <w:color w:val="auto"/>
        </w:rPr>
      </w:pPr>
      <w:r>
        <w:rPr>
          <w:rFonts w:hint="default" w:ascii="Times New Roman" w:hAnsi="Times New Roman" w:cs="Times New Roman"/>
          <w:i/>
          <w:iCs/>
          <w:color w:val="auto"/>
        </w:rPr>
        <w:t>m</w:t>
      </w:r>
      <w:r>
        <w:rPr>
          <w:rFonts w:hint="default" w:ascii="Times New Roman" w:hAnsi="Times New Roman" w:cs="Times New Roman"/>
          <w:color w:val="auto"/>
        </w:rPr>
        <w:t>——污染物排放速率，g/s；</w:t>
      </w:r>
    </w:p>
    <w:p w14:paraId="5AF20979">
      <w:pPr>
        <w:pStyle w:val="26"/>
        <w:ind w:firstLine="1188" w:firstLineChars="495"/>
        <w:rPr>
          <w:rFonts w:hint="default" w:ascii="Times New Roman" w:hAnsi="Times New Roman" w:cs="Times New Roman"/>
          <w:color w:val="auto"/>
        </w:rPr>
      </w:pPr>
      <w:r>
        <w:rPr>
          <w:rFonts w:hint="default" w:ascii="Times New Roman" w:hAnsi="Times New Roman" w:cs="Times New Roman"/>
          <w:i/>
          <w:iCs/>
          <w:color w:val="auto"/>
        </w:rPr>
        <w:t>h——</w:t>
      </w:r>
      <w:r>
        <w:rPr>
          <w:rFonts w:hint="default" w:ascii="Times New Roman" w:hAnsi="Times New Roman" w:cs="Times New Roman"/>
          <w:color w:val="auto"/>
        </w:rPr>
        <w:t>断面水深，m；</w:t>
      </w:r>
    </w:p>
    <w:p w14:paraId="237E6881">
      <w:pPr>
        <w:pStyle w:val="26"/>
        <w:ind w:firstLine="1188" w:firstLineChars="495"/>
        <w:rPr>
          <w:rFonts w:hint="default" w:ascii="Times New Roman" w:hAnsi="Times New Roman" w:cs="Times New Roman"/>
          <w:color w:val="auto"/>
        </w:rPr>
      </w:pPr>
      <w:r>
        <w:rPr>
          <w:rFonts w:hint="default" w:ascii="Times New Roman" w:hAnsi="Times New Roman" w:cs="Times New Roman"/>
          <w:i/>
          <w:iCs/>
          <w:color w:val="auto"/>
        </w:rPr>
        <w:t>π</w:t>
      </w:r>
      <w:r>
        <w:rPr>
          <w:rFonts w:hint="default" w:ascii="Times New Roman" w:hAnsi="Times New Roman" w:cs="Times New Roman"/>
          <w:color w:val="auto"/>
        </w:rPr>
        <w:t>——圆周率。</w:t>
      </w:r>
    </w:p>
    <w:p w14:paraId="036F11C6">
      <w:pPr>
        <w:pStyle w:val="26"/>
        <w:ind w:firstLine="1188" w:firstLineChars="495"/>
        <w:rPr>
          <w:rFonts w:hint="default" w:ascii="Times New Roman" w:hAnsi="Times New Roman" w:cs="Times New Roman"/>
          <w:color w:val="auto"/>
        </w:rPr>
      </w:pPr>
      <w:r>
        <w:rPr>
          <w:rFonts w:hint="default" w:ascii="Times New Roman" w:hAnsi="Times New Roman" w:cs="Times New Roman"/>
          <w:color w:val="auto"/>
        </w:rPr>
        <w:t>u——断面流速，m/s；</w:t>
      </w:r>
    </w:p>
    <w:p w14:paraId="4DE47467">
      <w:pPr>
        <w:pStyle w:val="26"/>
        <w:ind w:firstLine="1188" w:firstLineChars="495"/>
        <w:rPr>
          <w:rFonts w:hint="default" w:ascii="Times New Roman" w:hAnsi="Times New Roman" w:cs="Times New Roman"/>
          <w:color w:val="auto"/>
        </w:rPr>
      </w:pPr>
      <w:r>
        <w:rPr>
          <w:rFonts w:hint="default" w:ascii="Times New Roman" w:hAnsi="Times New Roman" w:cs="Times New Roman"/>
          <w:i/>
          <w:iCs/>
          <w:color w:val="auto"/>
        </w:rPr>
        <w:t>x——</w:t>
      </w:r>
      <w:r>
        <w:rPr>
          <w:rFonts w:hint="default" w:ascii="Times New Roman" w:hAnsi="Times New Roman" w:cs="Times New Roman"/>
          <w:color w:val="auto"/>
        </w:rPr>
        <w:t>笛卡尔坐标系X向的坐标，m；</w:t>
      </w:r>
    </w:p>
    <w:p w14:paraId="4F6ADA90">
      <w:pPr>
        <w:pStyle w:val="26"/>
        <w:ind w:firstLine="1188" w:firstLineChars="495"/>
        <w:rPr>
          <w:rFonts w:hint="default" w:ascii="Times New Roman" w:hAnsi="Times New Roman" w:cs="Times New Roman"/>
          <w:color w:val="auto"/>
        </w:rPr>
      </w:pPr>
      <w:r>
        <w:rPr>
          <w:rFonts w:hint="default" w:ascii="Times New Roman" w:hAnsi="Times New Roman" w:cs="Times New Roman"/>
          <w:i/>
          <w:iCs/>
          <w:color w:val="auto"/>
        </w:rPr>
        <w:t>y——</w:t>
      </w:r>
      <w:r>
        <w:rPr>
          <w:rFonts w:hint="default" w:ascii="Times New Roman" w:hAnsi="Times New Roman" w:cs="Times New Roman"/>
          <w:color w:val="auto"/>
        </w:rPr>
        <w:t>笛卡尔坐标系Y向的坐标，m；</w:t>
      </w:r>
    </w:p>
    <w:p w14:paraId="61419605">
      <w:pPr>
        <w:pStyle w:val="26"/>
        <w:ind w:firstLine="1188" w:firstLineChars="495"/>
        <w:rPr>
          <w:rFonts w:hint="default" w:ascii="Times New Roman" w:hAnsi="Times New Roman" w:cs="Times New Roman"/>
          <w:color w:val="auto"/>
        </w:rPr>
      </w:pPr>
      <w:r>
        <w:rPr>
          <w:rFonts w:hint="default" w:ascii="Times New Roman" w:hAnsi="Times New Roman" w:cs="Times New Roman"/>
          <w:color w:val="auto"/>
        </w:rPr>
        <w:t>k——污染物综合衰减系数，1/s；</w:t>
      </w:r>
    </w:p>
    <w:p w14:paraId="15D6DFF0">
      <w:pPr>
        <w:pStyle w:val="26"/>
        <w:ind w:firstLine="1188" w:firstLineChars="495"/>
        <w:rPr>
          <w:rFonts w:hint="default" w:ascii="Times New Roman" w:hAnsi="Times New Roman" w:cs="Times New Roman"/>
          <w:color w:val="auto"/>
        </w:rPr>
      </w:pPr>
      <w:r>
        <w:rPr>
          <w:rFonts w:hint="default" w:ascii="Times New Roman" w:hAnsi="Times New Roman" w:cs="Times New Roman"/>
          <w:color w:val="auto"/>
        </w:rPr>
        <w:t>n——河道糙率，量纲1；</w:t>
      </w:r>
    </w:p>
    <w:p w14:paraId="34506543">
      <w:pPr>
        <w:pStyle w:val="26"/>
        <w:ind w:firstLine="1188" w:firstLineChars="495"/>
        <w:rPr>
          <w:rFonts w:hint="default" w:ascii="Times New Roman" w:hAnsi="Times New Roman" w:cs="Times New Roman"/>
          <w:color w:val="auto"/>
        </w:rPr>
      </w:pPr>
      <w:r>
        <w:rPr>
          <w:rFonts w:hint="default" w:ascii="Times New Roman" w:hAnsi="Times New Roman" w:cs="Times New Roman"/>
          <w:color w:val="auto"/>
        </w:rPr>
        <w:t>B——水面宽度，m；</w:t>
      </w:r>
    </w:p>
    <w:p w14:paraId="5100E3BD">
      <w:pPr>
        <w:pStyle w:val="26"/>
        <w:bidi w:val="0"/>
        <w:ind w:firstLine="1200" w:firstLineChars="5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rPr>
        <w:t>E</w:t>
      </w:r>
      <w:r>
        <w:rPr>
          <w:rFonts w:hint="default" w:ascii="Times New Roman" w:hAnsi="Times New Roman" w:cs="Times New Roman"/>
          <w:color w:val="auto"/>
          <w:vertAlign w:val="subscript"/>
        </w:rPr>
        <w:t>y</w:t>
      </w:r>
      <w:r>
        <w:rPr>
          <w:rFonts w:hint="default" w:ascii="Times New Roman" w:hAnsi="Times New Roman" w:cs="Times New Roman"/>
          <w:color w:val="auto"/>
        </w:rPr>
        <w:t>——污染物横向扩散系数，m</w:t>
      </w:r>
      <w:r>
        <w:rPr>
          <w:rFonts w:hint="default" w:ascii="Times New Roman" w:hAnsi="Times New Roman" w:cs="Times New Roman"/>
          <w:color w:val="auto"/>
          <w:vertAlign w:val="superscript"/>
        </w:rPr>
        <w:t>2</w:t>
      </w:r>
      <w:r>
        <w:rPr>
          <w:rFonts w:hint="default" w:ascii="Times New Roman" w:hAnsi="Times New Roman" w:cs="Times New Roman"/>
          <w:color w:val="auto"/>
        </w:rPr>
        <w:t>/s</w:t>
      </w:r>
      <w:r>
        <w:rPr>
          <w:rFonts w:hint="default" w:ascii="Times New Roman" w:hAnsi="Times New Roman" w:cs="Times New Roman"/>
          <w:color w:val="auto"/>
          <w:lang w:eastAsia="zh-CN"/>
        </w:rPr>
        <w:t>。</w:t>
      </w:r>
    </w:p>
    <w:p w14:paraId="08F4AFD7">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模型参数</w:t>
      </w:r>
    </w:p>
    <w:p w14:paraId="6B11EF16">
      <w:pPr>
        <w:spacing w:line="360" w:lineRule="auto"/>
        <w:ind w:left="0" w:leftChars="0" w:firstLine="480" w:firstLineChars="200"/>
        <w:rPr>
          <w:rFonts w:hint="default" w:ascii="Times New Roman" w:hAnsi="Times New Roman" w:cs="Times New Roman"/>
          <w:color w:val="auto"/>
          <w:sz w:val="24"/>
          <w:szCs w:val="30"/>
        </w:rPr>
      </w:pPr>
      <w:r>
        <w:rPr>
          <w:rFonts w:hint="default" w:ascii="Times New Roman" w:hAnsi="Times New Roman" w:cs="Times New Roman"/>
          <w:color w:val="auto"/>
        </w:rPr>
        <w:t>根据《环境影响评价技术导则</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rPr>
        <w:t>地表水环境》（HJ2.3-2018）的规定，河流不利枯水条件宜采用90%保证率最枯月平均流量或近10年最枯月平均流量作为不利枯水水量。</w:t>
      </w:r>
      <w:r>
        <w:rPr>
          <w:rFonts w:hint="eastAsia" w:cs="Times New Roman"/>
          <w:color w:val="auto"/>
          <w:lang w:val="en-US" w:eastAsia="zh-CN"/>
        </w:rPr>
        <w:t>根据</w:t>
      </w:r>
      <w:r>
        <w:rPr>
          <w:rFonts w:hint="eastAsia"/>
          <w:color w:val="auto"/>
          <w:sz w:val="24"/>
          <w:lang w:val="en-US" w:eastAsia="zh-CN"/>
        </w:rPr>
        <w:t>《通江县秋锦山产业园区综合污水处理厂及配套设施建设项目环境影响报告书》，</w:t>
      </w:r>
      <w:r>
        <w:rPr>
          <w:rFonts w:hint="default" w:ascii="Times New Roman" w:hAnsi="Times New Roman" w:cs="Times New Roman"/>
          <w:color w:val="auto"/>
          <w:sz w:val="24"/>
          <w:szCs w:val="30"/>
          <w:lang w:val="en-US" w:eastAsia="zh-CN"/>
        </w:rPr>
        <w:t>最枯月</w:t>
      </w:r>
      <w:r>
        <w:rPr>
          <w:rFonts w:hint="default" w:ascii="Times New Roman" w:hAnsi="Times New Roman" w:cs="Times New Roman"/>
          <w:color w:val="auto"/>
          <w:sz w:val="24"/>
          <w:szCs w:val="30"/>
        </w:rPr>
        <w:t>平均流量</w:t>
      </w:r>
      <w:r>
        <w:rPr>
          <w:rFonts w:hint="default" w:ascii="Times New Roman" w:hAnsi="Times New Roman" w:cs="Times New Roman"/>
          <w:color w:val="auto"/>
          <w:sz w:val="24"/>
          <w:szCs w:val="30"/>
          <w:lang w:val="en-US" w:eastAsia="zh-CN"/>
        </w:rPr>
        <w:t>为</w:t>
      </w:r>
      <w:r>
        <w:rPr>
          <w:rFonts w:hint="eastAsia" w:cs="Times New Roman"/>
          <w:color w:val="auto"/>
          <w:sz w:val="24"/>
          <w:szCs w:val="30"/>
          <w:lang w:val="en-US" w:eastAsia="zh-CN"/>
        </w:rPr>
        <w:t>10</w:t>
      </w:r>
      <w:r>
        <w:rPr>
          <w:rFonts w:hint="default" w:ascii="Times New Roman" w:hAnsi="Times New Roman" w:cs="Times New Roman"/>
          <w:color w:val="auto"/>
          <w:sz w:val="24"/>
          <w:szCs w:val="30"/>
        </w:rPr>
        <w:t>m</w:t>
      </w:r>
      <w:r>
        <w:rPr>
          <w:rFonts w:hint="default" w:ascii="Times New Roman" w:hAnsi="Times New Roman" w:cs="Times New Roman"/>
          <w:color w:val="auto"/>
          <w:sz w:val="24"/>
          <w:szCs w:val="30"/>
          <w:vertAlign w:val="superscript"/>
        </w:rPr>
        <w:t>3</w:t>
      </w:r>
      <w:r>
        <w:rPr>
          <w:rFonts w:hint="default" w:ascii="Times New Roman" w:hAnsi="Times New Roman" w:cs="Times New Roman"/>
          <w:color w:val="auto"/>
          <w:sz w:val="24"/>
          <w:szCs w:val="30"/>
        </w:rPr>
        <w:t>/s</w:t>
      </w:r>
      <w:r>
        <w:rPr>
          <w:rFonts w:hint="eastAsia" w:cs="Times New Roman"/>
          <w:color w:val="auto"/>
          <w:sz w:val="24"/>
          <w:szCs w:val="30"/>
          <w:lang w:eastAsia="zh-CN"/>
        </w:rPr>
        <w:t>、</w:t>
      </w:r>
      <w:r>
        <w:rPr>
          <w:rFonts w:hint="eastAsia" w:cs="Times New Roman"/>
          <w:color w:val="auto"/>
          <w:sz w:val="24"/>
          <w:szCs w:val="30"/>
          <w:lang w:val="en-US" w:eastAsia="zh-CN"/>
        </w:rPr>
        <w:t>流速0.225m/s、平均水深0.74m、平均河宽60m、平均比降0.89%</w:t>
      </w:r>
      <w:r>
        <w:rPr>
          <w:rFonts w:hint="default" w:ascii="Times New Roman" w:hAnsi="Times New Roman" w:cs="Times New Roman"/>
          <w:color w:val="auto"/>
          <w:sz w:val="24"/>
          <w:szCs w:val="30"/>
        </w:rPr>
        <w:t>。</w:t>
      </w:r>
    </w:p>
    <w:p w14:paraId="1110885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预测背景浓度及目标浓度</w:t>
      </w:r>
    </w:p>
    <w:p w14:paraId="40985804">
      <w:pPr>
        <w:pStyle w:val="26"/>
        <w:ind w:firstLine="480"/>
        <w:rPr>
          <w:rFonts w:hint="default" w:ascii="Times New Roman" w:hAnsi="Times New Roman" w:cs="Times New Roman"/>
          <w:color w:val="auto"/>
          <w:szCs w:val="24"/>
        </w:rPr>
      </w:pPr>
      <w:r>
        <w:rPr>
          <w:rFonts w:hint="default" w:ascii="Times New Roman" w:hAnsi="Times New Roman" w:cs="Times New Roman"/>
          <w:color w:val="auto"/>
        </w:rPr>
        <w:t>本次预测</w:t>
      </w:r>
      <w:r>
        <w:rPr>
          <w:rFonts w:hint="eastAsia" w:cs="Times New Roman"/>
          <w:color w:val="auto"/>
          <w:lang w:val="en-US" w:eastAsia="zh-CN"/>
        </w:rPr>
        <w:t>通江河</w:t>
      </w:r>
      <w:r>
        <w:rPr>
          <w:rFonts w:hint="default" w:ascii="Times New Roman" w:hAnsi="Times New Roman" w:cs="Times New Roman"/>
          <w:color w:val="auto"/>
        </w:rPr>
        <w:t>背景浓度</w:t>
      </w:r>
      <w:r>
        <w:rPr>
          <w:rFonts w:hint="default" w:ascii="Times New Roman" w:hAnsi="Times New Roman" w:cs="Times New Roman"/>
          <w:color w:val="auto"/>
          <w:lang w:val="en-US" w:eastAsia="zh-CN"/>
        </w:rPr>
        <w:t>引用</w:t>
      </w:r>
      <w:r>
        <w:rPr>
          <w:rFonts w:hint="default" w:ascii="Times New Roman" w:hAnsi="Times New Roman" w:cs="Times New Roman"/>
          <w:color w:val="auto"/>
          <w:highlight w:val="none"/>
          <w:lang w:val="en-US" w:eastAsia="zh-CN"/>
        </w:rPr>
        <w:t>《</w:t>
      </w:r>
      <w:r>
        <w:rPr>
          <w:rFonts w:hint="eastAsia"/>
          <w:color w:val="auto"/>
          <w:sz w:val="24"/>
          <w:lang w:val="en-US" w:eastAsia="zh-CN"/>
        </w:rPr>
        <w:t>通江县秋锦山产业园区综合污水处理厂及配套设施建设项目环境影响报告书</w:t>
      </w:r>
      <w:r>
        <w:rPr>
          <w:rFonts w:hint="default" w:ascii="Times New Roman" w:hAnsi="Times New Roman" w:cs="Times New Roman"/>
          <w:color w:val="auto"/>
          <w:highlight w:val="none"/>
          <w:lang w:val="en-US" w:eastAsia="zh-CN"/>
        </w:rPr>
        <w:t>》中</w:t>
      </w:r>
      <w:r>
        <w:rPr>
          <w:rFonts w:hint="eastAsia" w:cs="Times New Roman"/>
          <w:color w:val="auto"/>
          <w:highlight w:val="none"/>
          <w:lang w:val="en-US" w:eastAsia="zh-CN"/>
        </w:rPr>
        <w:t>高坑电站下</w:t>
      </w:r>
      <w:r>
        <w:rPr>
          <w:rFonts w:hint="default" w:ascii="Times New Roman" w:hAnsi="Times New Roman" w:cs="Times New Roman"/>
          <w:color w:val="auto"/>
          <w:highlight w:val="none"/>
          <w:lang w:val="en-US" w:eastAsia="zh-CN"/>
        </w:rPr>
        <w:t>游</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00m</w:t>
      </w:r>
      <w:r>
        <w:rPr>
          <w:rFonts w:hint="eastAsia" w:cs="Times New Roman"/>
          <w:color w:val="auto"/>
          <w:highlight w:val="none"/>
          <w:lang w:val="en-US" w:eastAsia="zh-CN"/>
        </w:rPr>
        <w:t>（位于本项目上游约1km）</w:t>
      </w:r>
      <w:r>
        <w:rPr>
          <w:rFonts w:hint="default" w:ascii="Times New Roman" w:hAnsi="Times New Roman" w:cs="Times New Roman"/>
          <w:color w:val="auto"/>
        </w:rPr>
        <w:t>处地表水环境质量现状监测数据中COD、NH</w:t>
      </w:r>
      <w:r>
        <w:rPr>
          <w:rFonts w:hint="default" w:ascii="Times New Roman" w:hAnsi="Times New Roman" w:cs="Times New Roman"/>
          <w:color w:val="auto"/>
          <w:vertAlign w:val="subscript"/>
        </w:rPr>
        <w:t>3</w:t>
      </w:r>
      <w:r>
        <w:rPr>
          <w:rFonts w:hint="default" w:ascii="Times New Roman" w:hAnsi="Times New Roman" w:cs="Times New Roman"/>
          <w:color w:val="auto"/>
        </w:rPr>
        <w:t>-N浓度最大值作为预测背景浓度</w:t>
      </w:r>
      <w:r>
        <w:rPr>
          <w:rFonts w:hint="eastAsia" w:cs="Times New Roman"/>
          <w:color w:val="auto"/>
          <w:lang w:eastAsia="zh-CN"/>
        </w:rPr>
        <w:t>；</w:t>
      </w:r>
      <w:r>
        <w:rPr>
          <w:rFonts w:hint="eastAsia" w:cs="Times New Roman"/>
          <w:color w:val="auto"/>
          <w:sz w:val="24"/>
          <w:szCs w:val="24"/>
          <w:lang w:val="en-US" w:eastAsia="zh-CN"/>
        </w:rPr>
        <w:t>通江河</w:t>
      </w:r>
      <w:r>
        <w:rPr>
          <w:rFonts w:hint="default" w:ascii="Times New Roman" w:hAnsi="Times New Roman" w:cs="Times New Roman"/>
          <w:color w:val="auto"/>
          <w:sz w:val="24"/>
          <w:szCs w:val="24"/>
        </w:rPr>
        <w:t>属《地表水环境质量标准》（GB3838-2002）Ⅲ类水域</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同时，根据《四川省生态环境厅办公室关于印发&lt;2023年四川省水生态环境保护工作要点&gt;的通知》（川环办函〔2023〕60号），纳溪口国控断面按照Ⅱ类水域标准考核。</w:t>
      </w:r>
      <w:r>
        <w:rPr>
          <w:rFonts w:hint="default" w:ascii="Times New Roman" w:hAnsi="Times New Roman" w:cs="Times New Roman"/>
          <w:color w:val="auto"/>
          <w:szCs w:val="24"/>
        </w:rPr>
        <w:t>预测背景浓度及目标浓度如下表。</w:t>
      </w:r>
    </w:p>
    <w:p w14:paraId="42695D04">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背景浓度及目标浓度表 </w:t>
      </w:r>
    </w:p>
    <w:tbl>
      <w:tblPr>
        <w:tblStyle w:val="2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85"/>
        <w:gridCol w:w="1432"/>
        <w:gridCol w:w="1376"/>
        <w:gridCol w:w="1307"/>
        <w:gridCol w:w="1333"/>
        <w:gridCol w:w="1361"/>
        <w:gridCol w:w="1253"/>
      </w:tblGrid>
      <w:tr w14:paraId="0753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jc w:val="center"/>
        </w:trPr>
        <w:tc>
          <w:tcPr>
            <w:tcW w:w="687" w:type="pct"/>
            <w:vMerge w:val="restart"/>
            <w:vAlign w:val="center"/>
          </w:tcPr>
          <w:p w14:paraId="67C7C90F">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河流</w:t>
            </w:r>
          </w:p>
        </w:tc>
        <w:tc>
          <w:tcPr>
            <w:tcW w:w="1502" w:type="pct"/>
            <w:gridSpan w:val="2"/>
            <w:vMerge w:val="restart"/>
            <w:vAlign w:val="center"/>
          </w:tcPr>
          <w:p w14:paraId="2951CD74">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背景浓度（mg/L）</w:t>
            </w:r>
          </w:p>
        </w:tc>
        <w:tc>
          <w:tcPr>
            <w:tcW w:w="2810" w:type="pct"/>
            <w:gridSpan w:val="4"/>
            <w:vAlign w:val="center"/>
          </w:tcPr>
          <w:p w14:paraId="67EB30BC">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目标浓度（mg/L）</w:t>
            </w:r>
          </w:p>
        </w:tc>
      </w:tr>
      <w:tr w14:paraId="436C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jc w:val="center"/>
        </w:trPr>
        <w:tc>
          <w:tcPr>
            <w:tcW w:w="687" w:type="pct"/>
            <w:vMerge w:val="continue"/>
            <w:vAlign w:val="center"/>
          </w:tcPr>
          <w:p w14:paraId="122B4499">
            <w:pPr>
              <w:pStyle w:val="24"/>
              <w:rPr>
                <w:color w:val="auto"/>
              </w:rPr>
            </w:pPr>
          </w:p>
        </w:tc>
        <w:tc>
          <w:tcPr>
            <w:tcW w:w="1502" w:type="pct"/>
            <w:gridSpan w:val="2"/>
            <w:vMerge w:val="continue"/>
            <w:vAlign w:val="center"/>
          </w:tcPr>
          <w:p w14:paraId="4AEC4343">
            <w:pPr>
              <w:pStyle w:val="24"/>
              <w:rPr>
                <w:color w:val="auto"/>
              </w:rPr>
            </w:pPr>
          </w:p>
        </w:tc>
        <w:tc>
          <w:tcPr>
            <w:tcW w:w="1412" w:type="pct"/>
            <w:gridSpan w:val="2"/>
            <w:vAlign w:val="center"/>
          </w:tcPr>
          <w:p w14:paraId="34A2E0FC">
            <w:pPr>
              <w:pStyle w:val="24"/>
              <w:rPr>
                <w:rFonts w:hint="eastAsia" w:ascii="Times New Roman" w:hAnsi="Times New Roman" w:eastAsia="宋体" w:cs="Times New Roman"/>
                <w:b/>
                <w:bCs/>
                <w:color w:val="auto"/>
                <w:lang w:val="en-US" w:eastAsia="zh-CN"/>
              </w:rPr>
            </w:pPr>
            <w:r>
              <w:rPr>
                <w:rFonts w:hint="eastAsia" w:cs="Times New Roman"/>
                <w:b/>
                <w:bCs/>
                <w:color w:val="auto"/>
                <w:lang w:val="en-US" w:eastAsia="zh-CN"/>
              </w:rPr>
              <w:t>通江河</w:t>
            </w:r>
          </w:p>
        </w:tc>
        <w:tc>
          <w:tcPr>
            <w:tcW w:w="1398" w:type="pct"/>
            <w:gridSpan w:val="2"/>
            <w:vAlign w:val="center"/>
          </w:tcPr>
          <w:p w14:paraId="21AE50FB">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lang w:val="en-US" w:eastAsia="zh-CN"/>
              </w:rPr>
              <w:t>纳溪口国控断面</w:t>
            </w:r>
          </w:p>
        </w:tc>
      </w:tr>
      <w:tr w14:paraId="7B43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7" w:type="pct"/>
            <w:vMerge w:val="continue"/>
            <w:vAlign w:val="center"/>
          </w:tcPr>
          <w:p w14:paraId="64174BD2">
            <w:pPr>
              <w:pStyle w:val="24"/>
              <w:rPr>
                <w:rFonts w:hint="default" w:ascii="Times New Roman" w:hAnsi="Times New Roman" w:eastAsia="宋体" w:cs="Times New Roman"/>
                <w:b/>
                <w:bCs/>
                <w:color w:val="auto"/>
              </w:rPr>
            </w:pPr>
          </w:p>
        </w:tc>
        <w:tc>
          <w:tcPr>
            <w:tcW w:w="766" w:type="pct"/>
            <w:vAlign w:val="center"/>
          </w:tcPr>
          <w:p w14:paraId="7A6809C6">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COD</w:t>
            </w:r>
          </w:p>
        </w:tc>
        <w:tc>
          <w:tcPr>
            <w:tcW w:w="736" w:type="pct"/>
            <w:vAlign w:val="center"/>
          </w:tcPr>
          <w:p w14:paraId="25A37876">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NH</w:t>
            </w:r>
            <w:r>
              <w:rPr>
                <w:rFonts w:hint="default" w:ascii="Times New Roman" w:hAnsi="Times New Roman" w:eastAsia="宋体" w:cs="Times New Roman"/>
                <w:b/>
                <w:bCs/>
                <w:color w:val="auto"/>
                <w:vertAlign w:val="subscript"/>
              </w:rPr>
              <w:t>3</w:t>
            </w:r>
            <w:r>
              <w:rPr>
                <w:rFonts w:hint="default" w:ascii="Times New Roman" w:hAnsi="Times New Roman" w:eastAsia="宋体" w:cs="Times New Roman"/>
                <w:b/>
                <w:bCs/>
                <w:color w:val="auto"/>
              </w:rPr>
              <w:t>-N</w:t>
            </w:r>
          </w:p>
        </w:tc>
        <w:tc>
          <w:tcPr>
            <w:tcW w:w="699" w:type="pct"/>
            <w:vAlign w:val="center"/>
          </w:tcPr>
          <w:p w14:paraId="601A856E">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COD</w:t>
            </w:r>
          </w:p>
        </w:tc>
        <w:tc>
          <w:tcPr>
            <w:tcW w:w="713" w:type="pct"/>
            <w:vAlign w:val="center"/>
          </w:tcPr>
          <w:p w14:paraId="218E8848">
            <w:pPr>
              <w:pStyle w:val="24"/>
              <w:rPr>
                <w:rFonts w:hint="default" w:ascii="Times New Roman" w:hAnsi="Times New Roman" w:eastAsia="宋体" w:cs="Times New Roman"/>
                <w:b/>
                <w:bCs/>
                <w:color w:val="auto"/>
              </w:rPr>
            </w:pPr>
            <w:r>
              <w:rPr>
                <w:rFonts w:hint="default" w:ascii="Times New Roman" w:hAnsi="Times New Roman" w:eastAsia="宋体" w:cs="Times New Roman"/>
                <w:b/>
                <w:bCs/>
                <w:color w:val="auto"/>
              </w:rPr>
              <w:t>NH</w:t>
            </w:r>
            <w:r>
              <w:rPr>
                <w:rFonts w:hint="default" w:ascii="Times New Roman" w:hAnsi="Times New Roman" w:eastAsia="宋体" w:cs="Times New Roman"/>
                <w:b/>
                <w:bCs/>
                <w:color w:val="auto"/>
                <w:vertAlign w:val="subscript"/>
              </w:rPr>
              <w:t>3</w:t>
            </w:r>
            <w:r>
              <w:rPr>
                <w:rFonts w:hint="default" w:ascii="Times New Roman" w:hAnsi="Times New Roman" w:eastAsia="宋体" w:cs="Times New Roman"/>
                <w:b/>
                <w:bCs/>
                <w:color w:val="auto"/>
              </w:rPr>
              <w:t>-N</w:t>
            </w:r>
          </w:p>
        </w:tc>
        <w:tc>
          <w:tcPr>
            <w:tcW w:w="728" w:type="pct"/>
            <w:shd w:val="clear" w:color="auto" w:fill="auto"/>
            <w:vAlign w:val="center"/>
          </w:tcPr>
          <w:p w14:paraId="4FB744FA">
            <w:pPr>
              <w:pStyle w:val="24"/>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rPr>
              <w:t>COD</w:t>
            </w:r>
          </w:p>
        </w:tc>
        <w:tc>
          <w:tcPr>
            <w:tcW w:w="669" w:type="pct"/>
            <w:shd w:val="clear" w:color="auto" w:fill="auto"/>
            <w:vAlign w:val="center"/>
          </w:tcPr>
          <w:p w14:paraId="151BB8DE">
            <w:pPr>
              <w:pStyle w:val="24"/>
              <w:ind w:left="0" w:leftChars="0"/>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rPr>
              <w:t>NH</w:t>
            </w:r>
            <w:r>
              <w:rPr>
                <w:rFonts w:hint="default" w:ascii="Times New Roman" w:hAnsi="Times New Roman" w:eastAsia="宋体" w:cs="Times New Roman"/>
                <w:b/>
                <w:bCs/>
                <w:color w:val="auto"/>
                <w:vertAlign w:val="subscript"/>
              </w:rPr>
              <w:t>3</w:t>
            </w:r>
            <w:r>
              <w:rPr>
                <w:rFonts w:hint="default" w:ascii="Times New Roman" w:hAnsi="Times New Roman" w:eastAsia="宋体" w:cs="Times New Roman"/>
                <w:b/>
                <w:bCs/>
                <w:color w:val="auto"/>
              </w:rPr>
              <w:t>-N</w:t>
            </w:r>
          </w:p>
        </w:tc>
      </w:tr>
      <w:tr w14:paraId="189D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7" w:type="pct"/>
            <w:vAlign w:val="center"/>
          </w:tcPr>
          <w:p w14:paraId="4D044D4A">
            <w:pPr>
              <w:pStyle w:val="24"/>
              <w:rPr>
                <w:rFonts w:hint="default" w:ascii="Times New Roman" w:hAnsi="Times New Roman" w:eastAsia="宋体" w:cs="Times New Roman"/>
                <w:color w:val="auto"/>
              </w:rPr>
            </w:pPr>
            <w:r>
              <w:rPr>
                <w:rFonts w:hint="eastAsia" w:cs="Times New Roman"/>
                <w:color w:val="auto"/>
                <w:lang w:val="en-US" w:eastAsia="zh-CN"/>
              </w:rPr>
              <w:t>通江河</w:t>
            </w:r>
          </w:p>
        </w:tc>
        <w:tc>
          <w:tcPr>
            <w:tcW w:w="766" w:type="pct"/>
            <w:vAlign w:val="center"/>
          </w:tcPr>
          <w:p w14:paraId="5C192068">
            <w:pPr>
              <w:pStyle w:val="24"/>
              <w:rPr>
                <w:rFonts w:hint="default" w:ascii="Times New Roman" w:hAnsi="Times New Roman" w:eastAsia="宋体" w:cs="Times New Roman"/>
                <w:color w:val="auto"/>
                <w:lang w:val="en-US" w:eastAsia="zh-CN"/>
              </w:rPr>
            </w:pPr>
            <w:r>
              <w:rPr>
                <w:rFonts w:hint="eastAsia" w:cs="Times New Roman"/>
                <w:color w:val="auto"/>
                <w:lang w:val="en-US" w:eastAsia="zh-CN"/>
              </w:rPr>
              <w:t>10</w:t>
            </w:r>
          </w:p>
        </w:tc>
        <w:tc>
          <w:tcPr>
            <w:tcW w:w="736" w:type="pct"/>
            <w:vAlign w:val="center"/>
          </w:tcPr>
          <w:p w14:paraId="75D4F380">
            <w:pPr>
              <w:pStyle w:val="24"/>
              <w:rPr>
                <w:rFonts w:hint="default" w:ascii="Times New Roman" w:hAnsi="Times New Roman" w:eastAsia="宋体" w:cs="Times New Roman"/>
                <w:color w:val="auto"/>
                <w:lang w:val="en-US" w:eastAsia="zh-CN"/>
              </w:rPr>
            </w:pPr>
            <w:r>
              <w:rPr>
                <w:rFonts w:hint="eastAsia" w:cs="Times New Roman"/>
                <w:color w:val="auto"/>
                <w:lang w:val="en-US" w:eastAsia="zh-CN"/>
              </w:rPr>
              <w:t>0.156</w:t>
            </w:r>
          </w:p>
        </w:tc>
        <w:tc>
          <w:tcPr>
            <w:tcW w:w="699" w:type="pct"/>
            <w:vAlign w:val="center"/>
          </w:tcPr>
          <w:p w14:paraId="50D2B10D">
            <w:pPr>
              <w:pStyle w:val="24"/>
              <w:rPr>
                <w:rFonts w:hint="default" w:ascii="Times New Roman" w:hAnsi="Times New Roman" w:eastAsia="宋体" w:cs="Times New Roman"/>
                <w:color w:val="auto"/>
                <w:lang w:val="en-US" w:eastAsia="zh-CN"/>
              </w:rPr>
            </w:pPr>
            <w:r>
              <w:rPr>
                <w:rFonts w:hint="eastAsia" w:cs="Times New Roman"/>
                <w:color w:val="auto"/>
                <w:lang w:val="en-US" w:eastAsia="zh-CN"/>
              </w:rPr>
              <w:t>20</w:t>
            </w:r>
          </w:p>
        </w:tc>
        <w:tc>
          <w:tcPr>
            <w:tcW w:w="713" w:type="pct"/>
            <w:vAlign w:val="center"/>
          </w:tcPr>
          <w:p w14:paraId="2B9FC166">
            <w:pPr>
              <w:pStyle w:val="24"/>
              <w:rPr>
                <w:rFonts w:hint="default" w:ascii="Times New Roman" w:hAnsi="Times New Roman" w:eastAsia="宋体" w:cs="Times New Roman"/>
                <w:color w:val="auto"/>
                <w:lang w:val="en-US" w:eastAsia="zh-CN"/>
              </w:rPr>
            </w:pPr>
            <w:r>
              <w:rPr>
                <w:rFonts w:hint="eastAsia" w:cs="Times New Roman"/>
                <w:color w:val="auto"/>
                <w:lang w:val="en-US" w:eastAsia="zh-CN"/>
              </w:rPr>
              <w:t>1.0</w:t>
            </w:r>
          </w:p>
        </w:tc>
        <w:tc>
          <w:tcPr>
            <w:tcW w:w="728" w:type="pct"/>
            <w:vAlign w:val="center"/>
          </w:tcPr>
          <w:p w14:paraId="76FCAB5C">
            <w:pPr>
              <w:pStyle w:val="24"/>
              <w:rPr>
                <w:rFonts w:hint="default" w:cs="Times New Roman"/>
                <w:color w:val="auto"/>
                <w:lang w:val="en-US" w:eastAsia="zh-CN"/>
              </w:rPr>
            </w:pPr>
            <w:r>
              <w:rPr>
                <w:rFonts w:hint="eastAsia" w:cs="Times New Roman"/>
                <w:color w:val="auto"/>
                <w:lang w:val="en-US" w:eastAsia="zh-CN"/>
              </w:rPr>
              <w:t>15</w:t>
            </w:r>
          </w:p>
        </w:tc>
        <w:tc>
          <w:tcPr>
            <w:tcW w:w="669" w:type="pct"/>
            <w:vAlign w:val="center"/>
          </w:tcPr>
          <w:p w14:paraId="4E662EE1">
            <w:pPr>
              <w:pStyle w:val="24"/>
              <w:rPr>
                <w:rFonts w:hint="default" w:cs="Times New Roman"/>
                <w:color w:val="auto"/>
                <w:lang w:val="en-US" w:eastAsia="zh-CN"/>
              </w:rPr>
            </w:pPr>
            <w:r>
              <w:rPr>
                <w:rFonts w:hint="eastAsia" w:cs="Times New Roman"/>
                <w:color w:val="auto"/>
                <w:lang w:val="en-US" w:eastAsia="zh-CN"/>
              </w:rPr>
              <w:t>0.5</w:t>
            </w:r>
          </w:p>
        </w:tc>
      </w:tr>
    </w:tbl>
    <w:p w14:paraId="6A7A1872">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污染物自净系数K的确定</w:t>
      </w:r>
    </w:p>
    <w:p w14:paraId="46787586">
      <w:pPr>
        <w:pStyle w:val="26"/>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污染物综合自净系数K是反映污染物沿程综合衰变的特征参数。</w:t>
      </w:r>
    </w:p>
    <w:p w14:paraId="766561D7">
      <w:pPr>
        <w:pStyle w:val="26"/>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本次污染物自净系数K根据《全国地表水水坏境容量核定技术复核要点》中一般河道水质降解系数参考值表确定。</w:t>
      </w:r>
    </w:p>
    <w:p w14:paraId="069B7064">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一般河道水质降解系数参考值表</w:t>
      </w:r>
    </w:p>
    <w:tbl>
      <w:tblPr>
        <w:tblStyle w:val="2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996"/>
        <w:gridCol w:w="2758"/>
        <w:gridCol w:w="2760"/>
      </w:tblGrid>
      <w:tr w14:paraId="189283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 w:hRule="atLeast"/>
          <w:tblHeader/>
        </w:trPr>
        <w:tc>
          <w:tcPr>
            <w:tcW w:w="2100" w:type="pct"/>
            <w:vMerge w:val="restart"/>
            <w:tcBorders>
              <w:tl2br w:val="nil"/>
              <w:tr2bl w:val="nil"/>
            </w:tcBorders>
            <w:vAlign w:val="center"/>
          </w:tcPr>
          <w:p w14:paraId="29A6447F">
            <w:pPr>
              <w:pStyle w:val="31"/>
              <w:contextualSpacing/>
              <w:rPr>
                <w:rFonts w:hint="default" w:ascii="Times New Roman" w:hAnsi="Times New Roman" w:eastAsia="Helv" w:cs="Times New Roman"/>
                <w:b/>
                <w:bCs w:val="0"/>
                <w:color w:val="auto"/>
              </w:rPr>
            </w:pPr>
            <w:r>
              <w:rPr>
                <w:rFonts w:hint="default" w:ascii="Times New Roman" w:hAnsi="Times New Roman" w:cs="Times New Roman"/>
                <w:b/>
                <w:bCs w:val="0"/>
                <w:color w:val="auto"/>
              </w:rPr>
              <w:t>水质及水环境状况</w:t>
            </w:r>
          </w:p>
        </w:tc>
        <w:tc>
          <w:tcPr>
            <w:tcW w:w="2899" w:type="pct"/>
            <w:gridSpan w:val="2"/>
            <w:tcBorders>
              <w:tl2br w:val="nil"/>
              <w:tr2bl w:val="nil"/>
            </w:tcBorders>
            <w:vAlign w:val="center"/>
          </w:tcPr>
          <w:p w14:paraId="69FE073B">
            <w:pPr>
              <w:pStyle w:val="31"/>
              <w:contextualSpacing/>
              <w:rPr>
                <w:rFonts w:hint="default" w:ascii="Times New Roman" w:hAnsi="Times New Roman" w:eastAsia="Helv" w:cs="Times New Roman"/>
                <w:b/>
                <w:bCs w:val="0"/>
                <w:color w:val="auto"/>
              </w:rPr>
            </w:pPr>
            <w:r>
              <w:rPr>
                <w:rFonts w:hint="default" w:ascii="Times New Roman" w:hAnsi="Times New Roman" w:cs="Times New Roman"/>
                <w:b/>
                <w:bCs w:val="0"/>
                <w:color w:val="auto"/>
              </w:rPr>
              <w:t>污染物综合衰减系数</w:t>
            </w:r>
          </w:p>
        </w:tc>
      </w:tr>
      <w:tr w14:paraId="3BF851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 w:hRule="atLeast"/>
        </w:trPr>
        <w:tc>
          <w:tcPr>
            <w:tcW w:w="2100" w:type="pct"/>
            <w:vMerge w:val="continue"/>
            <w:tcBorders>
              <w:tl2br w:val="nil"/>
              <w:tr2bl w:val="nil"/>
            </w:tcBorders>
            <w:vAlign w:val="center"/>
          </w:tcPr>
          <w:p w14:paraId="7F25CBEA">
            <w:pPr>
              <w:pStyle w:val="31"/>
              <w:contextualSpacing/>
              <w:rPr>
                <w:rFonts w:hint="default" w:ascii="Times New Roman" w:hAnsi="Times New Roman" w:cs="Times New Roman"/>
                <w:b/>
                <w:bCs w:val="0"/>
                <w:color w:val="auto"/>
              </w:rPr>
            </w:pPr>
          </w:p>
        </w:tc>
        <w:tc>
          <w:tcPr>
            <w:tcW w:w="1449" w:type="pct"/>
            <w:tcBorders>
              <w:tl2br w:val="nil"/>
              <w:tr2bl w:val="nil"/>
            </w:tcBorders>
            <w:vAlign w:val="center"/>
          </w:tcPr>
          <w:p w14:paraId="527F0656">
            <w:pPr>
              <w:pStyle w:val="31"/>
              <w:contextualSpacing/>
              <w:rPr>
                <w:rFonts w:hint="default" w:ascii="Times New Roman" w:hAnsi="Times New Roman" w:cs="Times New Roman"/>
                <w:b/>
                <w:bCs w:val="0"/>
                <w:color w:val="auto"/>
              </w:rPr>
            </w:pPr>
            <w:r>
              <w:rPr>
                <w:rFonts w:hint="default" w:ascii="Times New Roman" w:hAnsi="Times New Roman" w:cs="Times New Roman"/>
                <w:b/>
                <w:bCs w:val="0"/>
                <w:color w:val="auto"/>
              </w:rPr>
              <w:t>COD</w:t>
            </w:r>
          </w:p>
        </w:tc>
        <w:tc>
          <w:tcPr>
            <w:tcW w:w="1449" w:type="pct"/>
            <w:tcBorders>
              <w:tl2br w:val="nil"/>
              <w:tr2bl w:val="nil"/>
            </w:tcBorders>
            <w:vAlign w:val="center"/>
          </w:tcPr>
          <w:p w14:paraId="2080E351">
            <w:pPr>
              <w:pStyle w:val="31"/>
              <w:contextualSpacing/>
              <w:rPr>
                <w:rFonts w:hint="default" w:ascii="Times New Roman" w:hAnsi="Times New Roman" w:cs="Times New Roman"/>
                <w:b/>
                <w:bCs w:val="0"/>
                <w:color w:val="auto"/>
              </w:rPr>
            </w:pPr>
            <w:r>
              <w:rPr>
                <w:rFonts w:hint="default" w:ascii="Times New Roman" w:hAnsi="Times New Roman" w:cs="Times New Roman"/>
                <w:b/>
                <w:bCs w:val="0"/>
                <w:color w:val="auto"/>
              </w:rPr>
              <w:t>NH</w:t>
            </w:r>
            <w:r>
              <w:rPr>
                <w:rFonts w:hint="default" w:ascii="Times New Roman" w:hAnsi="Times New Roman" w:cs="Times New Roman"/>
                <w:b/>
                <w:bCs w:val="0"/>
                <w:color w:val="auto"/>
                <w:vertAlign w:val="subscript"/>
              </w:rPr>
              <w:t>3</w:t>
            </w:r>
            <w:r>
              <w:rPr>
                <w:rFonts w:hint="default" w:ascii="Times New Roman" w:hAnsi="Times New Roman" w:cs="Times New Roman"/>
                <w:b/>
                <w:bCs w:val="0"/>
                <w:color w:val="auto"/>
              </w:rPr>
              <w:t>-N</w:t>
            </w:r>
          </w:p>
        </w:tc>
      </w:tr>
      <w:tr w14:paraId="4EBBB5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 w:hRule="atLeast"/>
        </w:trPr>
        <w:tc>
          <w:tcPr>
            <w:tcW w:w="2100" w:type="pct"/>
            <w:tcBorders>
              <w:tl2br w:val="nil"/>
              <w:tr2bl w:val="nil"/>
            </w:tcBorders>
            <w:vAlign w:val="center"/>
          </w:tcPr>
          <w:p w14:paraId="6472A5A6">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优（II~III类）</w:t>
            </w:r>
          </w:p>
        </w:tc>
        <w:tc>
          <w:tcPr>
            <w:tcW w:w="1449" w:type="pct"/>
            <w:tcBorders>
              <w:tl2br w:val="nil"/>
              <w:tr2bl w:val="nil"/>
            </w:tcBorders>
            <w:vAlign w:val="center"/>
          </w:tcPr>
          <w:p w14:paraId="15725D22">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0.18~0.25</w:t>
            </w:r>
          </w:p>
        </w:tc>
        <w:tc>
          <w:tcPr>
            <w:tcW w:w="1449" w:type="pct"/>
            <w:tcBorders>
              <w:tl2br w:val="nil"/>
              <w:tr2bl w:val="nil"/>
            </w:tcBorders>
            <w:vAlign w:val="center"/>
          </w:tcPr>
          <w:p w14:paraId="6EF99358">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0.15~0.20</w:t>
            </w:r>
          </w:p>
        </w:tc>
      </w:tr>
      <w:tr w14:paraId="7B260C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 w:hRule="atLeast"/>
        </w:trPr>
        <w:tc>
          <w:tcPr>
            <w:tcW w:w="2100" w:type="pct"/>
            <w:tcBorders>
              <w:tl2br w:val="nil"/>
              <w:tr2bl w:val="nil"/>
            </w:tcBorders>
            <w:vAlign w:val="center"/>
          </w:tcPr>
          <w:p w14:paraId="0B4490CA">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中（III~Ⅳ类）</w:t>
            </w:r>
          </w:p>
        </w:tc>
        <w:tc>
          <w:tcPr>
            <w:tcW w:w="1449" w:type="pct"/>
            <w:tcBorders>
              <w:tl2br w:val="nil"/>
              <w:tr2bl w:val="nil"/>
            </w:tcBorders>
            <w:vAlign w:val="center"/>
          </w:tcPr>
          <w:p w14:paraId="0A560F30">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0.10~0.18</w:t>
            </w:r>
          </w:p>
        </w:tc>
        <w:tc>
          <w:tcPr>
            <w:tcW w:w="1449" w:type="pct"/>
            <w:tcBorders>
              <w:tl2br w:val="nil"/>
              <w:tr2bl w:val="nil"/>
            </w:tcBorders>
            <w:vAlign w:val="center"/>
          </w:tcPr>
          <w:p w14:paraId="67BAC998">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0.10~0.15</w:t>
            </w:r>
          </w:p>
        </w:tc>
      </w:tr>
      <w:tr w14:paraId="06DACF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 w:hRule="atLeast"/>
        </w:trPr>
        <w:tc>
          <w:tcPr>
            <w:tcW w:w="2100" w:type="pct"/>
            <w:tcBorders>
              <w:tl2br w:val="nil"/>
              <w:tr2bl w:val="nil"/>
            </w:tcBorders>
            <w:vAlign w:val="center"/>
          </w:tcPr>
          <w:p w14:paraId="6F16FF1A">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劣（Ⅴ类或劣Ⅴ类）</w:t>
            </w:r>
          </w:p>
        </w:tc>
        <w:tc>
          <w:tcPr>
            <w:tcW w:w="1449" w:type="pct"/>
            <w:tcBorders>
              <w:tl2br w:val="nil"/>
              <w:tr2bl w:val="nil"/>
            </w:tcBorders>
            <w:vAlign w:val="center"/>
          </w:tcPr>
          <w:p w14:paraId="096D1D0F">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0.05~0.10</w:t>
            </w:r>
          </w:p>
        </w:tc>
        <w:tc>
          <w:tcPr>
            <w:tcW w:w="1449" w:type="pct"/>
            <w:tcBorders>
              <w:tl2br w:val="nil"/>
              <w:tr2bl w:val="nil"/>
            </w:tcBorders>
            <w:vAlign w:val="center"/>
          </w:tcPr>
          <w:p w14:paraId="2633C9B3">
            <w:pPr>
              <w:pStyle w:val="24"/>
              <w:contextualSpacing/>
              <w:rPr>
                <w:rFonts w:hint="default" w:ascii="Times New Roman" w:hAnsi="Times New Roman" w:cs="Times New Roman"/>
                <w:bCs/>
                <w:color w:val="auto"/>
              </w:rPr>
            </w:pPr>
            <w:r>
              <w:rPr>
                <w:rFonts w:hint="default" w:ascii="Times New Roman" w:hAnsi="Times New Roman" w:cs="Times New Roman"/>
                <w:bCs/>
                <w:color w:val="auto"/>
              </w:rPr>
              <w:t>0.05~0.10</w:t>
            </w:r>
          </w:p>
        </w:tc>
      </w:tr>
    </w:tbl>
    <w:p w14:paraId="51287F88">
      <w:pPr>
        <w:pStyle w:val="26"/>
        <w:ind w:firstLine="480"/>
        <w:rPr>
          <w:rFonts w:hint="default" w:ascii="Times New Roman" w:hAnsi="Times New Roman" w:cs="Times New Roman"/>
          <w:color w:val="auto"/>
          <w:szCs w:val="24"/>
        </w:rPr>
      </w:pPr>
      <w:r>
        <w:rPr>
          <w:rFonts w:hint="eastAsia" w:cs="Times New Roman"/>
          <w:color w:val="auto"/>
          <w:sz w:val="24"/>
          <w:szCs w:val="24"/>
          <w:lang w:val="en-US" w:eastAsia="zh-CN"/>
        </w:rPr>
        <w:t>通江河</w:t>
      </w:r>
      <w:r>
        <w:rPr>
          <w:rFonts w:hint="default" w:ascii="Times New Roman" w:hAnsi="Times New Roman" w:cs="Times New Roman"/>
          <w:color w:val="auto"/>
          <w:sz w:val="24"/>
          <w:szCs w:val="24"/>
        </w:rPr>
        <w:t>属《地表水环境质量标准》（GB3838-2002）Ⅲ类水域</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rPr>
        <w:t>COD、NH</w:t>
      </w:r>
      <w:r>
        <w:rPr>
          <w:rFonts w:hint="default" w:ascii="Times New Roman" w:hAnsi="Times New Roman" w:cs="Times New Roman"/>
          <w:color w:val="auto"/>
          <w:vertAlign w:val="subscript"/>
        </w:rPr>
        <w:t>3</w:t>
      </w:r>
      <w:r>
        <w:rPr>
          <w:rFonts w:hint="default" w:ascii="Times New Roman" w:hAnsi="Times New Roman" w:cs="Times New Roman"/>
          <w:color w:val="auto"/>
        </w:rPr>
        <w:t>-N的综合衰减系数K取值0.</w:t>
      </w:r>
      <w:r>
        <w:rPr>
          <w:rFonts w:hint="default" w:ascii="Times New Roman" w:hAnsi="Times New Roman" w:cs="Times New Roman"/>
          <w:color w:val="auto"/>
          <w:lang w:val="en-US" w:eastAsia="zh-CN"/>
        </w:rPr>
        <w:t>18</w:t>
      </w:r>
      <w:r>
        <w:rPr>
          <w:rFonts w:hint="default" w:ascii="Times New Roman" w:hAnsi="Times New Roman" w:cs="Times New Roman"/>
          <w:color w:val="auto"/>
        </w:rPr>
        <w:t>、0.</w:t>
      </w:r>
      <w:r>
        <w:rPr>
          <w:rFonts w:hint="default" w:ascii="Times New Roman" w:hAnsi="Times New Roman" w:cs="Times New Roman"/>
          <w:color w:val="auto"/>
          <w:lang w:val="en-US" w:eastAsia="zh-CN"/>
        </w:rPr>
        <w:t>15</w:t>
      </w:r>
      <w:r>
        <w:rPr>
          <w:rFonts w:hint="default" w:ascii="Times New Roman" w:hAnsi="Times New Roman" w:cs="Times New Roman"/>
          <w:color w:val="auto"/>
        </w:rPr>
        <w:t>。</w:t>
      </w:r>
    </w:p>
    <w:p w14:paraId="3DC5B380">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预测结果</w:t>
      </w:r>
    </w:p>
    <w:p w14:paraId="2D813F81">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1、</w:t>
      </w:r>
      <w:r>
        <w:rPr>
          <w:rFonts w:hint="default" w:ascii="Times New Roman" w:hAnsi="Times New Roman" w:cs="Times New Roman"/>
          <w:color w:val="auto"/>
          <w:highlight w:val="none"/>
          <w:lang w:val="en-US" w:eastAsia="zh-CN"/>
        </w:rPr>
        <w:t>COD</w:t>
      </w:r>
    </w:p>
    <w:p w14:paraId="24645902">
      <w:pPr>
        <w:ind w:left="0" w:leftChars="0" w:firstLine="480" w:firstLineChars="200"/>
        <w:rPr>
          <w:rFonts w:hint="default" w:ascii="Times New Roman" w:hAnsi="Times New Roman" w:cs="Times New Roman"/>
          <w:bCs/>
          <w:color w:val="auto"/>
        </w:rPr>
      </w:pPr>
      <w:r>
        <w:rPr>
          <w:rFonts w:hint="eastAsia" w:cs="Times New Roman"/>
          <w:bCs/>
          <w:color w:val="auto"/>
          <w:lang w:val="en-US" w:eastAsia="zh-CN"/>
        </w:rPr>
        <w:t>通江河</w:t>
      </w:r>
      <w:r>
        <w:rPr>
          <w:rFonts w:hint="default" w:ascii="Times New Roman" w:hAnsi="Times New Roman" w:cs="Times New Roman"/>
          <w:bCs/>
          <w:color w:val="auto"/>
        </w:rPr>
        <w:t>水体中COD浓度预测结果见下表。</w:t>
      </w:r>
    </w:p>
    <w:p w14:paraId="292249E7">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通江河水体COD浓度预测值  单位：mg/L</w:t>
      </w:r>
    </w:p>
    <w:tbl>
      <w:tblPr>
        <w:tblStyle w:val="20"/>
        <w:tblW w:w="4996"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6"/>
        <w:gridCol w:w="2154"/>
        <w:gridCol w:w="1039"/>
        <w:gridCol w:w="1039"/>
        <w:gridCol w:w="1039"/>
        <w:gridCol w:w="1039"/>
        <w:gridCol w:w="1039"/>
        <w:gridCol w:w="1042"/>
      </w:tblGrid>
      <w:tr w14:paraId="4D832D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noWrap/>
            <w:vAlign w:val="center"/>
          </w:tcPr>
          <w:p w14:paraId="7215B124">
            <w:pPr>
              <w:pStyle w:val="31"/>
              <w:contextualSpacing/>
              <w:rPr>
                <w:rFonts w:hint="default"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评价河段</w:t>
            </w:r>
          </w:p>
        </w:tc>
        <w:tc>
          <w:tcPr>
            <w:tcW w:w="1132" w:type="pct"/>
            <w:noWrap/>
            <w:vAlign w:val="center"/>
          </w:tcPr>
          <w:p w14:paraId="45399D27">
            <w:pPr>
              <w:pStyle w:val="31"/>
              <w:contextualSpacing/>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X\c/Y</w:t>
            </w:r>
          </w:p>
        </w:tc>
        <w:tc>
          <w:tcPr>
            <w:tcW w:w="546" w:type="pct"/>
            <w:noWrap/>
            <w:vAlign w:val="center"/>
          </w:tcPr>
          <w:p w14:paraId="4E4EAA5F">
            <w:pPr>
              <w:pStyle w:val="31"/>
              <w:contextualSpacing/>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0m</w:t>
            </w:r>
          </w:p>
        </w:tc>
        <w:tc>
          <w:tcPr>
            <w:tcW w:w="546" w:type="pct"/>
          </w:tcPr>
          <w:p w14:paraId="45EBA390">
            <w:pPr>
              <w:pStyle w:val="31"/>
              <w:contextualSpacing/>
              <w:rPr>
                <w:rFonts w:hint="default" w:ascii="Times New Roman" w:hAnsi="Times New Roman" w:eastAsia="宋体" w:cs="Times New Roman"/>
                <w:b/>
                <w:bCs w:val="0"/>
                <w:color w:val="auto"/>
              </w:rPr>
            </w:pPr>
            <w:r>
              <w:rPr>
                <w:rFonts w:hint="eastAsia" w:cs="Times New Roman"/>
                <w:b/>
                <w:bCs w:val="0"/>
                <w:color w:val="auto"/>
                <w:lang w:val="en-US" w:eastAsia="zh-CN"/>
              </w:rPr>
              <w:t>5</w:t>
            </w:r>
            <w:r>
              <w:rPr>
                <w:rFonts w:hint="default" w:ascii="Times New Roman" w:hAnsi="Times New Roman" w:eastAsia="宋体" w:cs="Times New Roman"/>
                <w:b/>
                <w:bCs w:val="0"/>
                <w:color w:val="auto"/>
              </w:rPr>
              <w:t>m</w:t>
            </w:r>
          </w:p>
        </w:tc>
        <w:tc>
          <w:tcPr>
            <w:tcW w:w="546" w:type="pct"/>
            <w:noWrap/>
            <w:vAlign w:val="center"/>
          </w:tcPr>
          <w:p w14:paraId="3AEAEA1C">
            <w:pPr>
              <w:pStyle w:val="31"/>
              <w:contextualSpacing/>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10</w:t>
            </w:r>
            <w:r>
              <w:rPr>
                <w:rFonts w:hint="default" w:ascii="Times New Roman" w:hAnsi="Times New Roman" w:eastAsia="宋体" w:cs="Times New Roman"/>
                <w:b/>
                <w:bCs w:val="0"/>
                <w:color w:val="auto"/>
                <w:lang w:val="en-US" w:eastAsia="zh-CN"/>
              </w:rPr>
              <w:t>m</w:t>
            </w:r>
          </w:p>
        </w:tc>
        <w:tc>
          <w:tcPr>
            <w:tcW w:w="546" w:type="pct"/>
            <w:vAlign w:val="center"/>
          </w:tcPr>
          <w:p w14:paraId="612407B7">
            <w:pPr>
              <w:pStyle w:val="31"/>
              <w:contextualSpacing/>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20</w:t>
            </w:r>
            <w:r>
              <w:rPr>
                <w:rFonts w:hint="default" w:ascii="Times New Roman" w:hAnsi="Times New Roman" w:eastAsia="宋体" w:cs="Times New Roman"/>
                <w:b/>
                <w:bCs w:val="0"/>
                <w:color w:val="auto"/>
                <w:lang w:val="en-US" w:eastAsia="zh-CN"/>
              </w:rPr>
              <w:t>m</w:t>
            </w:r>
          </w:p>
        </w:tc>
        <w:tc>
          <w:tcPr>
            <w:tcW w:w="546" w:type="pct"/>
            <w:noWrap/>
            <w:vAlign w:val="center"/>
          </w:tcPr>
          <w:p w14:paraId="3E48E5A0">
            <w:pPr>
              <w:pStyle w:val="31"/>
              <w:contextualSpacing/>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40</w:t>
            </w:r>
            <w:r>
              <w:rPr>
                <w:rFonts w:hint="default" w:ascii="Times New Roman" w:hAnsi="Times New Roman" w:eastAsia="宋体" w:cs="Times New Roman"/>
                <w:b/>
                <w:bCs w:val="0"/>
                <w:color w:val="auto"/>
                <w:lang w:val="en-US" w:eastAsia="zh-CN"/>
              </w:rPr>
              <w:t>m</w:t>
            </w:r>
          </w:p>
        </w:tc>
        <w:tc>
          <w:tcPr>
            <w:tcW w:w="548" w:type="pct"/>
            <w:noWrap/>
            <w:vAlign w:val="center"/>
          </w:tcPr>
          <w:p w14:paraId="0D9E056B">
            <w:pPr>
              <w:pStyle w:val="31"/>
              <w:contextualSpacing/>
              <w:rPr>
                <w:rFonts w:hint="default" w:ascii="Times New Roman" w:hAnsi="Times New Roman" w:eastAsia="宋体" w:cs="Times New Roman"/>
                <w:b/>
                <w:bCs w:val="0"/>
                <w:color w:val="auto"/>
              </w:rPr>
            </w:pPr>
            <w:r>
              <w:rPr>
                <w:rFonts w:hint="eastAsia" w:cs="Times New Roman"/>
                <w:b/>
                <w:bCs w:val="0"/>
                <w:color w:val="auto"/>
                <w:lang w:val="en-US" w:eastAsia="zh-CN"/>
              </w:rPr>
              <w:t>6</w:t>
            </w:r>
            <w:r>
              <w:rPr>
                <w:rFonts w:hint="default" w:ascii="Times New Roman" w:hAnsi="Times New Roman" w:eastAsia="宋体" w:cs="Times New Roman"/>
                <w:b/>
                <w:bCs w:val="0"/>
                <w:color w:val="auto"/>
              </w:rPr>
              <w:t>0m</w:t>
            </w:r>
          </w:p>
        </w:tc>
      </w:tr>
      <w:tr w14:paraId="7AB2EB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restart"/>
            <w:noWrap/>
            <w:vAlign w:val="center"/>
          </w:tcPr>
          <w:p w14:paraId="3C7AE091">
            <w:pPr>
              <w:pStyle w:val="31"/>
              <w:contextualSpacing/>
              <w:rPr>
                <w:rFonts w:hint="default" w:ascii="Times New Roman" w:hAnsi="Times New Roman" w:eastAsia="宋体" w:cs="Times New Roman"/>
                <w:b w:val="0"/>
                <w:bCs/>
                <w:color w:val="auto"/>
              </w:rPr>
            </w:pPr>
            <w:r>
              <w:rPr>
                <w:rFonts w:hint="default" w:ascii="Times New Roman" w:hAnsi="Times New Roman" w:eastAsia="宋体" w:cs="Times New Roman"/>
                <w:b w:val="0"/>
                <w:bCs/>
                <w:color w:val="auto"/>
                <w:lang w:val="en-US" w:eastAsia="zh-CN"/>
              </w:rPr>
              <w:t>通江河</w:t>
            </w:r>
          </w:p>
        </w:tc>
        <w:tc>
          <w:tcPr>
            <w:tcW w:w="1132" w:type="pct"/>
            <w:noWrap/>
            <w:vAlign w:val="center"/>
          </w:tcPr>
          <w:p w14:paraId="5105FB6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w:t>
            </w:r>
          </w:p>
        </w:tc>
        <w:tc>
          <w:tcPr>
            <w:tcW w:w="1039" w:type="dxa"/>
            <w:noWrap/>
            <w:vAlign w:val="center"/>
          </w:tcPr>
          <w:p w14:paraId="6D8AB1B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10.0788</w:t>
            </w:r>
          </w:p>
        </w:tc>
        <w:tc>
          <w:tcPr>
            <w:tcW w:w="1039" w:type="dxa"/>
            <w:vAlign w:val="center"/>
          </w:tcPr>
          <w:p w14:paraId="0C31872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c>
          <w:tcPr>
            <w:tcW w:w="1039" w:type="dxa"/>
            <w:noWrap/>
            <w:vAlign w:val="center"/>
          </w:tcPr>
          <w:p w14:paraId="7CD10A74">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c>
          <w:tcPr>
            <w:tcW w:w="1039" w:type="dxa"/>
            <w:vAlign w:val="center"/>
          </w:tcPr>
          <w:p w14:paraId="7A8AF4E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c>
          <w:tcPr>
            <w:tcW w:w="1039" w:type="dxa"/>
            <w:noWrap/>
            <w:vAlign w:val="center"/>
          </w:tcPr>
          <w:p w14:paraId="3FE2505B">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c>
          <w:tcPr>
            <w:tcW w:w="1042" w:type="dxa"/>
            <w:noWrap/>
            <w:vAlign w:val="center"/>
          </w:tcPr>
          <w:p w14:paraId="6831986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r>
      <w:tr w14:paraId="18F600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3CFA6F4C">
            <w:pPr>
              <w:pStyle w:val="31"/>
              <w:contextualSpacing/>
              <w:rPr>
                <w:rFonts w:hint="default" w:ascii="Times New Roman" w:hAnsi="Times New Roman" w:eastAsia="宋体" w:cs="Times New Roman"/>
                <w:b w:val="0"/>
                <w:bCs/>
                <w:color w:val="auto"/>
              </w:rPr>
            </w:pPr>
          </w:p>
        </w:tc>
        <w:tc>
          <w:tcPr>
            <w:tcW w:w="1132" w:type="pct"/>
            <w:noWrap/>
            <w:vAlign w:val="center"/>
          </w:tcPr>
          <w:p w14:paraId="6E8C8D9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50</w:t>
            </w:r>
          </w:p>
        </w:tc>
        <w:tc>
          <w:tcPr>
            <w:tcW w:w="1039" w:type="dxa"/>
            <w:noWrap/>
            <w:vAlign w:val="center"/>
          </w:tcPr>
          <w:p w14:paraId="2121225E">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10.0111</w:t>
            </w:r>
          </w:p>
        </w:tc>
        <w:tc>
          <w:tcPr>
            <w:tcW w:w="1039" w:type="dxa"/>
            <w:vAlign w:val="center"/>
          </w:tcPr>
          <w:p w14:paraId="6CB309F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10.0086</w:t>
            </w:r>
          </w:p>
        </w:tc>
        <w:tc>
          <w:tcPr>
            <w:tcW w:w="1039" w:type="dxa"/>
            <w:noWrap/>
            <w:vAlign w:val="center"/>
          </w:tcPr>
          <w:p w14:paraId="0F302653">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10.0040</w:t>
            </w:r>
          </w:p>
        </w:tc>
        <w:tc>
          <w:tcPr>
            <w:tcW w:w="1039" w:type="dxa"/>
            <w:vAlign w:val="center"/>
          </w:tcPr>
          <w:p w14:paraId="453AFE24">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10.0002</w:t>
            </w:r>
          </w:p>
        </w:tc>
        <w:tc>
          <w:tcPr>
            <w:tcW w:w="1039" w:type="dxa"/>
            <w:noWrap/>
            <w:vAlign w:val="center"/>
          </w:tcPr>
          <w:p w14:paraId="0334899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c>
          <w:tcPr>
            <w:tcW w:w="1042" w:type="dxa"/>
            <w:noWrap/>
            <w:vAlign w:val="center"/>
          </w:tcPr>
          <w:p w14:paraId="118E3507">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r>
      <w:tr w14:paraId="001A36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3086C733">
            <w:pPr>
              <w:pStyle w:val="31"/>
              <w:contextualSpacing/>
              <w:rPr>
                <w:rFonts w:hint="default" w:ascii="Times New Roman" w:hAnsi="Times New Roman" w:eastAsia="宋体" w:cs="Times New Roman"/>
                <w:b w:val="0"/>
                <w:bCs/>
                <w:color w:val="auto"/>
              </w:rPr>
            </w:pPr>
          </w:p>
        </w:tc>
        <w:tc>
          <w:tcPr>
            <w:tcW w:w="1132" w:type="pct"/>
            <w:noWrap/>
            <w:vAlign w:val="center"/>
          </w:tcPr>
          <w:p w14:paraId="3D94AB05">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w:t>
            </w:r>
          </w:p>
        </w:tc>
        <w:tc>
          <w:tcPr>
            <w:tcW w:w="1039" w:type="dxa"/>
            <w:noWrap/>
            <w:vAlign w:val="center"/>
          </w:tcPr>
          <w:p w14:paraId="0B71C133">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10.0079</w:t>
            </w:r>
          </w:p>
        </w:tc>
        <w:tc>
          <w:tcPr>
            <w:tcW w:w="1039" w:type="dxa"/>
            <w:vAlign w:val="center"/>
          </w:tcPr>
          <w:p w14:paraId="276EFA47">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10.0069</w:t>
            </w:r>
          </w:p>
        </w:tc>
        <w:tc>
          <w:tcPr>
            <w:tcW w:w="1039" w:type="dxa"/>
            <w:noWrap/>
            <w:vAlign w:val="center"/>
          </w:tcPr>
          <w:p w14:paraId="260D87F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10.0047</w:t>
            </w:r>
          </w:p>
        </w:tc>
        <w:tc>
          <w:tcPr>
            <w:tcW w:w="1039" w:type="dxa"/>
            <w:vAlign w:val="center"/>
          </w:tcPr>
          <w:p w14:paraId="7025B850">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10.0010</w:t>
            </w:r>
          </w:p>
        </w:tc>
        <w:tc>
          <w:tcPr>
            <w:tcW w:w="1039" w:type="dxa"/>
            <w:noWrap/>
            <w:vAlign w:val="center"/>
          </w:tcPr>
          <w:p w14:paraId="721CCDFE">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c>
          <w:tcPr>
            <w:tcW w:w="1042" w:type="dxa"/>
            <w:noWrap/>
            <w:vAlign w:val="center"/>
          </w:tcPr>
          <w:p w14:paraId="5617901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10.0000</w:t>
            </w:r>
          </w:p>
        </w:tc>
      </w:tr>
      <w:tr w14:paraId="67C039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47101411">
            <w:pPr>
              <w:pStyle w:val="31"/>
              <w:contextualSpacing/>
              <w:rPr>
                <w:rFonts w:hint="default" w:ascii="Times New Roman" w:hAnsi="Times New Roman" w:eastAsia="宋体" w:cs="Times New Roman"/>
                <w:b w:val="0"/>
                <w:bCs/>
                <w:color w:val="auto"/>
              </w:rPr>
            </w:pPr>
          </w:p>
        </w:tc>
        <w:tc>
          <w:tcPr>
            <w:tcW w:w="1132" w:type="pct"/>
            <w:noWrap/>
            <w:vAlign w:val="center"/>
          </w:tcPr>
          <w:p w14:paraId="69500BD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500</w:t>
            </w:r>
          </w:p>
        </w:tc>
        <w:tc>
          <w:tcPr>
            <w:tcW w:w="1039" w:type="dxa"/>
            <w:noWrap/>
            <w:vAlign w:val="center"/>
          </w:tcPr>
          <w:p w14:paraId="6E39FF9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10.0035</w:t>
            </w:r>
          </w:p>
        </w:tc>
        <w:tc>
          <w:tcPr>
            <w:tcW w:w="1039" w:type="dxa"/>
            <w:vAlign w:val="center"/>
          </w:tcPr>
          <w:p w14:paraId="0538540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10.0034</w:t>
            </w:r>
          </w:p>
        </w:tc>
        <w:tc>
          <w:tcPr>
            <w:tcW w:w="1039" w:type="dxa"/>
            <w:noWrap/>
            <w:vAlign w:val="center"/>
          </w:tcPr>
          <w:p w14:paraId="43C7005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10.0032</w:t>
            </w:r>
          </w:p>
        </w:tc>
        <w:tc>
          <w:tcPr>
            <w:tcW w:w="1039" w:type="dxa"/>
            <w:vAlign w:val="center"/>
          </w:tcPr>
          <w:p w14:paraId="403CEC0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10.0023</w:t>
            </w:r>
          </w:p>
        </w:tc>
        <w:tc>
          <w:tcPr>
            <w:tcW w:w="1039" w:type="dxa"/>
            <w:noWrap/>
            <w:vAlign w:val="center"/>
          </w:tcPr>
          <w:p w14:paraId="44B6A68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c>
          <w:tcPr>
            <w:tcW w:w="1042" w:type="dxa"/>
            <w:noWrap/>
            <w:vAlign w:val="center"/>
          </w:tcPr>
          <w:p w14:paraId="780CC50C">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10.0001</w:t>
            </w:r>
          </w:p>
        </w:tc>
      </w:tr>
      <w:tr w14:paraId="7621D2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6B0AF3AF">
            <w:pPr>
              <w:pStyle w:val="31"/>
              <w:contextualSpacing/>
              <w:rPr>
                <w:rFonts w:hint="default" w:ascii="Times New Roman" w:hAnsi="Times New Roman" w:eastAsia="宋体" w:cs="Times New Roman"/>
                <w:b w:val="0"/>
                <w:bCs/>
                <w:color w:val="auto"/>
              </w:rPr>
            </w:pPr>
          </w:p>
        </w:tc>
        <w:tc>
          <w:tcPr>
            <w:tcW w:w="1132" w:type="pct"/>
            <w:noWrap/>
            <w:vAlign w:val="center"/>
          </w:tcPr>
          <w:p w14:paraId="4E19F650">
            <w:pPr>
              <w:pStyle w:val="31"/>
              <w:contextualSpacing/>
              <w:rPr>
                <w:rFonts w:hint="default" w:ascii="Times New Roman" w:hAnsi="Times New Roman" w:eastAsia="宋体" w:cs="Times New Roman"/>
                <w:b w:val="0"/>
                <w:bCs/>
                <w:color w:val="auto"/>
                <w:lang w:val="en-US" w:eastAsia="zh-CN"/>
              </w:rPr>
            </w:pPr>
            <w:r>
              <w:rPr>
                <w:rFonts w:hint="eastAsia" w:cs="Times New Roman"/>
                <w:b w:val="0"/>
                <w:bCs/>
                <w:color w:val="auto"/>
                <w:lang w:val="en-US" w:eastAsia="zh-CN"/>
              </w:rPr>
              <w:t>10</w:t>
            </w:r>
            <w:r>
              <w:rPr>
                <w:rFonts w:hint="default" w:ascii="Times New Roman" w:hAnsi="Times New Roman" w:eastAsia="宋体" w:cs="Times New Roman"/>
                <w:b w:val="0"/>
                <w:bCs/>
                <w:color w:val="auto"/>
                <w:lang w:val="en-US" w:eastAsia="zh-CN"/>
              </w:rPr>
              <w:t>00</w:t>
            </w:r>
          </w:p>
        </w:tc>
        <w:tc>
          <w:tcPr>
            <w:tcW w:w="1039" w:type="dxa"/>
            <w:noWrap/>
            <w:vAlign w:val="center"/>
          </w:tcPr>
          <w:p w14:paraId="550B37E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10.0025</w:t>
            </w:r>
          </w:p>
        </w:tc>
        <w:tc>
          <w:tcPr>
            <w:tcW w:w="1039" w:type="dxa"/>
            <w:vAlign w:val="center"/>
          </w:tcPr>
          <w:p w14:paraId="3CBDC67A">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10.0024</w:t>
            </w:r>
          </w:p>
        </w:tc>
        <w:tc>
          <w:tcPr>
            <w:tcW w:w="1039" w:type="dxa"/>
            <w:noWrap/>
            <w:vAlign w:val="center"/>
          </w:tcPr>
          <w:p w14:paraId="2A6C4E6B">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10.0023</w:t>
            </w:r>
          </w:p>
        </w:tc>
        <w:tc>
          <w:tcPr>
            <w:tcW w:w="1039" w:type="dxa"/>
            <w:vAlign w:val="center"/>
          </w:tcPr>
          <w:p w14:paraId="18092CE0">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10.0020</w:t>
            </w:r>
          </w:p>
        </w:tc>
        <w:tc>
          <w:tcPr>
            <w:tcW w:w="1039" w:type="dxa"/>
            <w:noWrap/>
            <w:vAlign w:val="center"/>
          </w:tcPr>
          <w:p w14:paraId="330B443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10.0011</w:t>
            </w:r>
          </w:p>
        </w:tc>
        <w:tc>
          <w:tcPr>
            <w:tcW w:w="1042" w:type="dxa"/>
            <w:noWrap/>
            <w:vAlign w:val="center"/>
          </w:tcPr>
          <w:p w14:paraId="5245170C">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10.0004</w:t>
            </w:r>
          </w:p>
        </w:tc>
      </w:tr>
      <w:tr w14:paraId="014696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0A8CD99E">
            <w:pPr>
              <w:pStyle w:val="31"/>
              <w:contextualSpacing/>
              <w:rPr>
                <w:rFonts w:hint="default" w:ascii="Times New Roman" w:hAnsi="Times New Roman" w:eastAsia="宋体" w:cs="Times New Roman"/>
                <w:b w:val="0"/>
                <w:bCs/>
                <w:color w:val="auto"/>
              </w:rPr>
            </w:pPr>
          </w:p>
        </w:tc>
        <w:tc>
          <w:tcPr>
            <w:tcW w:w="1132" w:type="pct"/>
            <w:noWrap/>
            <w:vAlign w:val="center"/>
          </w:tcPr>
          <w:p w14:paraId="5885448F">
            <w:pPr>
              <w:pStyle w:val="31"/>
              <w:contextualSpacing/>
              <w:rPr>
                <w:rFonts w:hint="default" w:ascii="Times New Roman" w:hAnsi="Times New Roman" w:eastAsia="宋体" w:cs="Times New Roman"/>
                <w:b w:val="0"/>
                <w:bCs/>
                <w:color w:val="auto"/>
                <w:lang w:val="en-US" w:eastAsia="zh-CN"/>
              </w:rPr>
            </w:pPr>
            <w:r>
              <w:rPr>
                <w:rFonts w:hint="eastAsia" w:cs="Times New Roman"/>
                <w:b w:val="0"/>
                <w:bCs/>
                <w:color w:val="auto"/>
                <w:lang w:val="en-US" w:eastAsia="zh-CN"/>
              </w:rPr>
              <w:t>5000</w:t>
            </w:r>
          </w:p>
        </w:tc>
        <w:tc>
          <w:tcPr>
            <w:tcW w:w="1039" w:type="dxa"/>
            <w:noWrap/>
            <w:vAlign w:val="center"/>
          </w:tcPr>
          <w:p w14:paraId="0BA40AB4">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10.0011</w:t>
            </w:r>
          </w:p>
        </w:tc>
        <w:tc>
          <w:tcPr>
            <w:tcW w:w="1039" w:type="dxa"/>
            <w:vAlign w:val="center"/>
          </w:tcPr>
          <w:p w14:paraId="1AED42F3">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10.0011</w:t>
            </w:r>
          </w:p>
        </w:tc>
        <w:tc>
          <w:tcPr>
            <w:tcW w:w="1039" w:type="dxa"/>
            <w:noWrap/>
            <w:vAlign w:val="center"/>
          </w:tcPr>
          <w:p w14:paraId="2F3B4C5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10.0011</w:t>
            </w:r>
          </w:p>
        </w:tc>
        <w:tc>
          <w:tcPr>
            <w:tcW w:w="1039" w:type="dxa"/>
            <w:vAlign w:val="center"/>
          </w:tcPr>
          <w:p w14:paraId="10EBB0B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10.0010</w:t>
            </w:r>
          </w:p>
        </w:tc>
        <w:tc>
          <w:tcPr>
            <w:tcW w:w="1039" w:type="dxa"/>
            <w:noWrap/>
            <w:vAlign w:val="center"/>
          </w:tcPr>
          <w:p w14:paraId="3CE74EE5">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10.0009</w:t>
            </w:r>
          </w:p>
        </w:tc>
        <w:tc>
          <w:tcPr>
            <w:tcW w:w="1042" w:type="dxa"/>
            <w:noWrap/>
            <w:vAlign w:val="center"/>
          </w:tcPr>
          <w:p w14:paraId="10CA8F0C">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r>
      <w:tr w14:paraId="39CFD4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5940E56B">
            <w:pPr>
              <w:pStyle w:val="31"/>
              <w:contextualSpacing/>
              <w:rPr>
                <w:rFonts w:hint="default" w:ascii="Times New Roman" w:hAnsi="Times New Roman" w:eastAsia="宋体" w:cs="Times New Roman"/>
                <w:b w:val="0"/>
                <w:bCs/>
                <w:color w:val="auto"/>
              </w:rPr>
            </w:pPr>
          </w:p>
        </w:tc>
        <w:tc>
          <w:tcPr>
            <w:tcW w:w="1132" w:type="pct"/>
            <w:noWrap/>
            <w:vAlign w:val="center"/>
          </w:tcPr>
          <w:p w14:paraId="100798C2">
            <w:pPr>
              <w:pStyle w:val="31"/>
              <w:contextualSpacing/>
              <w:rPr>
                <w:rFonts w:hint="default" w:cs="Times New Roman"/>
                <w:b w:val="0"/>
                <w:bCs/>
                <w:color w:val="auto"/>
                <w:lang w:val="en-US" w:eastAsia="zh-CN"/>
              </w:rPr>
            </w:pPr>
            <w:r>
              <w:rPr>
                <w:rFonts w:hint="eastAsia" w:cs="Times New Roman"/>
                <w:b w:val="0"/>
                <w:bCs/>
                <w:color w:val="auto"/>
                <w:lang w:val="en-US" w:eastAsia="zh-CN"/>
              </w:rPr>
              <w:t>10000</w:t>
            </w:r>
          </w:p>
        </w:tc>
        <w:tc>
          <w:tcPr>
            <w:tcW w:w="1039" w:type="dxa"/>
            <w:noWrap/>
            <w:vAlign w:val="center"/>
          </w:tcPr>
          <w:p w14:paraId="77EB4F2B">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c>
          <w:tcPr>
            <w:tcW w:w="1039" w:type="dxa"/>
            <w:vAlign w:val="center"/>
          </w:tcPr>
          <w:p w14:paraId="0E13546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c>
          <w:tcPr>
            <w:tcW w:w="1039" w:type="dxa"/>
            <w:noWrap/>
            <w:vAlign w:val="center"/>
          </w:tcPr>
          <w:p w14:paraId="00D42E0C">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c>
          <w:tcPr>
            <w:tcW w:w="1039" w:type="dxa"/>
            <w:vAlign w:val="center"/>
          </w:tcPr>
          <w:p w14:paraId="15CA279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c>
          <w:tcPr>
            <w:tcW w:w="1039" w:type="dxa"/>
            <w:noWrap/>
            <w:vAlign w:val="center"/>
          </w:tcPr>
          <w:p w14:paraId="01956C5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10.0007</w:t>
            </w:r>
          </w:p>
        </w:tc>
        <w:tc>
          <w:tcPr>
            <w:tcW w:w="1042" w:type="dxa"/>
            <w:noWrap/>
            <w:vAlign w:val="center"/>
          </w:tcPr>
          <w:p w14:paraId="6C7FD16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10.0006</w:t>
            </w:r>
          </w:p>
        </w:tc>
      </w:tr>
      <w:tr w14:paraId="68C79F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35BD4A31">
            <w:pPr>
              <w:pStyle w:val="31"/>
              <w:contextualSpacing/>
              <w:rPr>
                <w:rFonts w:hint="default" w:ascii="Times New Roman" w:hAnsi="Times New Roman" w:eastAsia="宋体" w:cs="Times New Roman"/>
                <w:b w:val="0"/>
                <w:bCs/>
                <w:color w:val="auto"/>
              </w:rPr>
            </w:pPr>
          </w:p>
        </w:tc>
        <w:tc>
          <w:tcPr>
            <w:tcW w:w="1132" w:type="pct"/>
            <w:noWrap/>
            <w:vAlign w:val="center"/>
          </w:tcPr>
          <w:p w14:paraId="373B710C">
            <w:pPr>
              <w:pStyle w:val="31"/>
              <w:contextualSpacing/>
              <w:rPr>
                <w:rFonts w:hint="eastAsia" w:cs="Times New Roman"/>
                <w:b w:val="0"/>
                <w:bCs/>
                <w:color w:val="auto"/>
                <w:lang w:val="en-US" w:eastAsia="zh-CN"/>
              </w:rPr>
            </w:pPr>
            <w:r>
              <w:rPr>
                <w:rFonts w:hint="eastAsia" w:cs="Times New Roman"/>
                <w:b w:val="0"/>
                <w:bCs/>
                <w:color w:val="auto"/>
                <w:lang w:val="en-US" w:eastAsia="zh-CN"/>
              </w:rPr>
              <w:t>30400</w:t>
            </w:r>
          </w:p>
          <w:p w14:paraId="23E13F53">
            <w:pPr>
              <w:pStyle w:val="31"/>
              <w:contextualSpacing/>
              <w:rPr>
                <w:rFonts w:hint="default" w:cs="Times New Roman"/>
                <w:b w:val="0"/>
                <w:bCs/>
                <w:color w:val="auto"/>
                <w:lang w:val="en-US" w:eastAsia="zh-CN"/>
              </w:rPr>
            </w:pPr>
            <w:r>
              <w:rPr>
                <w:rFonts w:hint="eastAsia" w:cs="Times New Roman"/>
                <w:b w:val="0"/>
                <w:bCs/>
                <w:color w:val="auto"/>
                <w:lang w:val="en-US" w:eastAsia="zh-CN"/>
              </w:rPr>
              <w:t>（纳溪口国控断面）</w:t>
            </w:r>
          </w:p>
        </w:tc>
        <w:tc>
          <w:tcPr>
            <w:tcW w:w="1039" w:type="dxa"/>
            <w:noWrap/>
            <w:vAlign w:val="center"/>
          </w:tcPr>
          <w:p w14:paraId="7C69B63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10.0003</w:t>
            </w:r>
          </w:p>
        </w:tc>
        <w:tc>
          <w:tcPr>
            <w:tcW w:w="1039" w:type="dxa"/>
            <w:vAlign w:val="center"/>
          </w:tcPr>
          <w:p w14:paraId="433914C5">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10.0003</w:t>
            </w:r>
          </w:p>
        </w:tc>
        <w:tc>
          <w:tcPr>
            <w:tcW w:w="1039" w:type="dxa"/>
            <w:noWrap/>
            <w:vAlign w:val="center"/>
          </w:tcPr>
          <w:p w14:paraId="40E199EC">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10.0003</w:t>
            </w:r>
          </w:p>
        </w:tc>
        <w:tc>
          <w:tcPr>
            <w:tcW w:w="1039" w:type="dxa"/>
            <w:vAlign w:val="center"/>
          </w:tcPr>
          <w:p w14:paraId="4481C29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10.0003</w:t>
            </w:r>
          </w:p>
        </w:tc>
        <w:tc>
          <w:tcPr>
            <w:tcW w:w="1039" w:type="dxa"/>
            <w:noWrap/>
            <w:vAlign w:val="center"/>
          </w:tcPr>
          <w:p w14:paraId="5A6E5BA3">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10.0003</w:t>
            </w:r>
          </w:p>
        </w:tc>
        <w:tc>
          <w:tcPr>
            <w:tcW w:w="1042" w:type="dxa"/>
            <w:noWrap/>
            <w:vAlign w:val="center"/>
          </w:tcPr>
          <w:p w14:paraId="184CCC8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10.0003</w:t>
            </w:r>
          </w:p>
        </w:tc>
      </w:tr>
    </w:tbl>
    <w:p w14:paraId="2F317A1F">
      <w:pPr>
        <w:pStyle w:val="30"/>
        <w:numPr>
          <w:ilvl w:val="0"/>
          <w:numId w:val="0"/>
        </w:numPr>
        <w:bidi w:val="0"/>
        <w:ind w:left="0" w:leftChars="0" w:right="0" w:rightChars="0" w:firstLine="48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color w:val="auto"/>
          <w:kern w:val="2"/>
          <w:sz w:val="24"/>
          <w:szCs w:val="21"/>
          <w:lang w:val="en-US" w:eastAsia="zh-CN" w:bidi="ar-SA"/>
        </w:rPr>
        <w:t>2、</w:t>
      </w:r>
      <w:r>
        <w:rPr>
          <w:rFonts w:hint="default" w:ascii="Times New Roman" w:hAnsi="Times New Roman" w:cs="Times New Roman"/>
          <w:color w:val="auto"/>
        </w:rPr>
        <w:t>NH</w:t>
      </w:r>
      <w:r>
        <w:rPr>
          <w:rFonts w:hint="default" w:ascii="Times New Roman" w:hAnsi="Times New Roman" w:cs="Times New Roman"/>
          <w:color w:val="auto"/>
          <w:vertAlign w:val="subscript"/>
        </w:rPr>
        <w:t>3</w:t>
      </w:r>
      <w:r>
        <w:rPr>
          <w:rFonts w:hint="default" w:ascii="Times New Roman" w:hAnsi="Times New Roman" w:cs="Times New Roman"/>
          <w:color w:val="auto"/>
        </w:rPr>
        <w:t>-N</w:t>
      </w:r>
    </w:p>
    <w:p w14:paraId="5061CCCA">
      <w:pPr>
        <w:ind w:left="0" w:leftChars="0" w:firstLine="480" w:firstLineChars="200"/>
        <w:rPr>
          <w:rFonts w:hint="default" w:ascii="Times New Roman" w:hAnsi="Times New Roman" w:cs="Times New Roman"/>
          <w:bCs/>
          <w:color w:val="auto"/>
        </w:rPr>
      </w:pPr>
      <w:r>
        <w:rPr>
          <w:rFonts w:hint="eastAsia" w:cs="Times New Roman"/>
          <w:bCs/>
          <w:color w:val="auto"/>
          <w:lang w:val="en-US" w:eastAsia="zh-CN"/>
        </w:rPr>
        <w:t>通江河</w:t>
      </w:r>
      <w:r>
        <w:rPr>
          <w:rFonts w:hint="default" w:ascii="Times New Roman" w:hAnsi="Times New Roman" w:cs="Times New Roman"/>
          <w:bCs/>
          <w:color w:val="auto"/>
        </w:rPr>
        <w:t>水体中</w:t>
      </w:r>
      <w:r>
        <w:rPr>
          <w:rFonts w:hint="default" w:ascii="Times New Roman" w:hAnsi="Times New Roman" w:cs="Times New Roman"/>
          <w:color w:val="auto"/>
        </w:rPr>
        <w:t>NH</w:t>
      </w:r>
      <w:r>
        <w:rPr>
          <w:rFonts w:hint="default" w:ascii="Times New Roman" w:hAnsi="Times New Roman" w:cs="Times New Roman"/>
          <w:color w:val="auto"/>
          <w:vertAlign w:val="subscript"/>
        </w:rPr>
        <w:t>3</w:t>
      </w:r>
      <w:r>
        <w:rPr>
          <w:rFonts w:hint="default" w:ascii="Times New Roman" w:hAnsi="Times New Roman" w:cs="Times New Roman"/>
          <w:color w:val="auto"/>
        </w:rPr>
        <w:t>-N</w:t>
      </w:r>
      <w:r>
        <w:rPr>
          <w:rFonts w:hint="default" w:ascii="Times New Roman" w:hAnsi="Times New Roman" w:cs="Times New Roman"/>
          <w:bCs/>
          <w:color w:val="auto"/>
        </w:rPr>
        <w:t>浓度预测结果见下表。</w:t>
      </w:r>
    </w:p>
    <w:p w14:paraId="26ACBD20">
      <w:pPr>
        <w:pStyle w:val="28"/>
        <w:numPr>
          <w:ilvl w:val="0"/>
          <w:numId w:val="36"/>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通江河水体</w:t>
      </w:r>
      <w:r>
        <w:rPr>
          <w:rFonts w:hint="default" w:ascii="Times New Roman" w:hAnsi="Times New Roman" w:cs="Times New Roman"/>
          <w:color w:val="auto"/>
        </w:rPr>
        <w:t>NH</w:t>
      </w:r>
      <w:r>
        <w:rPr>
          <w:rFonts w:hint="default" w:ascii="Times New Roman" w:hAnsi="Times New Roman" w:cs="Times New Roman"/>
          <w:color w:val="auto"/>
          <w:vertAlign w:val="subscript"/>
        </w:rPr>
        <w:t>3</w:t>
      </w:r>
      <w:r>
        <w:rPr>
          <w:rFonts w:hint="default" w:ascii="Times New Roman" w:hAnsi="Times New Roman" w:cs="Times New Roman"/>
          <w:color w:val="auto"/>
        </w:rPr>
        <w:t>-N</w:t>
      </w:r>
      <w:r>
        <w:rPr>
          <w:rFonts w:hint="default" w:ascii="Times New Roman" w:hAnsi="Times New Roman" w:cs="Times New Roman"/>
          <w:color w:val="auto"/>
          <w:highlight w:val="none"/>
          <w:lang w:val="en-US" w:eastAsia="zh-CN"/>
        </w:rPr>
        <w:t>浓度预测值  单位：mg/L</w:t>
      </w:r>
    </w:p>
    <w:tbl>
      <w:tblPr>
        <w:tblStyle w:val="20"/>
        <w:tblW w:w="4996"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6"/>
        <w:gridCol w:w="2154"/>
        <w:gridCol w:w="1039"/>
        <w:gridCol w:w="1039"/>
        <w:gridCol w:w="1039"/>
        <w:gridCol w:w="1039"/>
        <w:gridCol w:w="1039"/>
        <w:gridCol w:w="1042"/>
      </w:tblGrid>
      <w:tr w14:paraId="29C188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noWrap/>
            <w:vAlign w:val="center"/>
          </w:tcPr>
          <w:p w14:paraId="06031A11">
            <w:pPr>
              <w:pStyle w:val="31"/>
              <w:contextualSpacing/>
              <w:rPr>
                <w:rFonts w:hint="default"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评价河段</w:t>
            </w:r>
          </w:p>
        </w:tc>
        <w:tc>
          <w:tcPr>
            <w:tcW w:w="1132" w:type="pct"/>
            <w:noWrap/>
            <w:vAlign w:val="center"/>
          </w:tcPr>
          <w:p w14:paraId="0DA378B8">
            <w:pPr>
              <w:pStyle w:val="31"/>
              <w:contextualSpacing/>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X\c/Y</w:t>
            </w:r>
          </w:p>
        </w:tc>
        <w:tc>
          <w:tcPr>
            <w:tcW w:w="546" w:type="pct"/>
            <w:noWrap/>
            <w:vAlign w:val="center"/>
          </w:tcPr>
          <w:p w14:paraId="2DA4E838">
            <w:pPr>
              <w:pStyle w:val="31"/>
              <w:contextualSpacing/>
              <w:rPr>
                <w:rFonts w:hint="default" w:ascii="Times New Roman" w:hAnsi="Times New Roman" w:eastAsia="宋体" w:cs="Times New Roman"/>
                <w:b/>
                <w:bCs w:val="0"/>
                <w:color w:val="auto"/>
              </w:rPr>
            </w:pPr>
            <w:r>
              <w:rPr>
                <w:rFonts w:hint="default" w:ascii="Times New Roman" w:hAnsi="Times New Roman" w:eastAsia="宋体" w:cs="Times New Roman"/>
                <w:b/>
                <w:bCs w:val="0"/>
                <w:color w:val="auto"/>
              </w:rPr>
              <w:t>0m</w:t>
            </w:r>
          </w:p>
        </w:tc>
        <w:tc>
          <w:tcPr>
            <w:tcW w:w="546" w:type="pct"/>
          </w:tcPr>
          <w:p w14:paraId="56B18074">
            <w:pPr>
              <w:pStyle w:val="31"/>
              <w:contextualSpacing/>
              <w:rPr>
                <w:rFonts w:hint="default" w:ascii="Times New Roman" w:hAnsi="Times New Roman" w:eastAsia="宋体" w:cs="Times New Roman"/>
                <w:b/>
                <w:bCs w:val="0"/>
                <w:color w:val="auto"/>
              </w:rPr>
            </w:pPr>
            <w:r>
              <w:rPr>
                <w:rFonts w:hint="eastAsia" w:cs="Times New Roman"/>
                <w:b/>
                <w:bCs w:val="0"/>
                <w:color w:val="auto"/>
                <w:lang w:val="en-US" w:eastAsia="zh-CN"/>
              </w:rPr>
              <w:t>5</w:t>
            </w:r>
            <w:r>
              <w:rPr>
                <w:rFonts w:hint="default" w:ascii="Times New Roman" w:hAnsi="Times New Roman" w:eastAsia="宋体" w:cs="Times New Roman"/>
                <w:b/>
                <w:bCs w:val="0"/>
                <w:color w:val="auto"/>
              </w:rPr>
              <w:t>m</w:t>
            </w:r>
          </w:p>
        </w:tc>
        <w:tc>
          <w:tcPr>
            <w:tcW w:w="546" w:type="pct"/>
            <w:noWrap/>
            <w:vAlign w:val="center"/>
          </w:tcPr>
          <w:p w14:paraId="776CB2F9">
            <w:pPr>
              <w:pStyle w:val="31"/>
              <w:contextualSpacing/>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10</w:t>
            </w:r>
            <w:r>
              <w:rPr>
                <w:rFonts w:hint="default" w:ascii="Times New Roman" w:hAnsi="Times New Roman" w:eastAsia="宋体" w:cs="Times New Roman"/>
                <w:b/>
                <w:bCs w:val="0"/>
                <w:color w:val="auto"/>
                <w:lang w:val="en-US" w:eastAsia="zh-CN"/>
              </w:rPr>
              <w:t>m</w:t>
            </w:r>
          </w:p>
        </w:tc>
        <w:tc>
          <w:tcPr>
            <w:tcW w:w="546" w:type="pct"/>
            <w:vAlign w:val="center"/>
          </w:tcPr>
          <w:p w14:paraId="6E19F0DC">
            <w:pPr>
              <w:pStyle w:val="31"/>
              <w:contextualSpacing/>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20</w:t>
            </w:r>
            <w:r>
              <w:rPr>
                <w:rFonts w:hint="default" w:ascii="Times New Roman" w:hAnsi="Times New Roman" w:eastAsia="宋体" w:cs="Times New Roman"/>
                <w:b/>
                <w:bCs w:val="0"/>
                <w:color w:val="auto"/>
                <w:lang w:val="en-US" w:eastAsia="zh-CN"/>
              </w:rPr>
              <w:t>m</w:t>
            </w:r>
          </w:p>
        </w:tc>
        <w:tc>
          <w:tcPr>
            <w:tcW w:w="546" w:type="pct"/>
            <w:noWrap/>
            <w:vAlign w:val="center"/>
          </w:tcPr>
          <w:p w14:paraId="5886F079">
            <w:pPr>
              <w:pStyle w:val="31"/>
              <w:contextualSpacing/>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40</w:t>
            </w:r>
            <w:r>
              <w:rPr>
                <w:rFonts w:hint="default" w:ascii="Times New Roman" w:hAnsi="Times New Roman" w:eastAsia="宋体" w:cs="Times New Roman"/>
                <w:b/>
                <w:bCs w:val="0"/>
                <w:color w:val="auto"/>
                <w:lang w:val="en-US" w:eastAsia="zh-CN"/>
              </w:rPr>
              <w:t>m</w:t>
            </w:r>
          </w:p>
        </w:tc>
        <w:tc>
          <w:tcPr>
            <w:tcW w:w="548" w:type="pct"/>
            <w:noWrap/>
            <w:vAlign w:val="center"/>
          </w:tcPr>
          <w:p w14:paraId="23F4267E">
            <w:pPr>
              <w:pStyle w:val="31"/>
              <w:contextualSpacing/>
              <w:rPr>
                <w:rFonts w:hint="default" w:ascii="Times New Roman" w:hAnsi="Times New Roman" w:eastAsia="宋体" w:cs="Times New Roman"/>
                <w:b/>
                <w:bCs w:val="0"/>
                <w:color w:val="auto"/>
              </w:rPr>
            </w:pPr>
            <w:r>
              <w:rPr>
                <w:rFonts w:hint="eastAsia" w:cs="Times New Roman"/>
                <w:b/>
                <w:bCs w:val="0"/>
                <w:color w:val="auto"/>
                <w:lang w:val="en-US" w:eastAsia="zh-CN"/>
              </w:rPr>
              <w:t>6</w:t>
            </w:r>
            <w:r>
              <w:rPr>
                <w:rFonts w:hint="default" w:ascii="Times New Roman" w:hAnsi="Times New Roman" w:eastAsia="宋体" w:cs="Times New Roman"/>
                <w:b/>
                <w:bCs w:val="0"/>
                <w:color w:val="auto"/>
              </w:rPr>
              <w:t>0m</w:t>
            </w:r>
          </w:p>
        </w:tc>
      </w:tr>
      <w:tr w14:paraId="185834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restart"/>
            <w:noWrap/>
            <w:vAlign w:val="center"/>
          </w:tcPr>
          <w:p w14:paraId="234205F3">
            <w:pPr>
              <w:pStyle w:val="31"/>
              <w:contextualSpacing/>
              <w:rPr>
                <w:rFonts w:hint="default" w:ascii="Times New Roman" w:hAnsi="Times New Roman" w:eastAsia="宋体" w:cs="Times New Roman"/>
                <w:b w:val="0"/>
                <w:bCs/>
                <w:color w:val="auto"/>
              </w:rPr>
            </w:pPr>
            <w:r>
              <w:rPr>
                <w:rFonts w:hint="default" w:ascii="Times New Roman" w:hAnsi="Times New Roman" w:eastAsia="宋体" w:cs="Times New Roman"/>
                <w:b w:val="0"/>
                <w:bCs/>
                <w:color w:val="auto"/>
                <w:lang w:val="en-US" w:eastAsia="zh-CN"/>
              </w:rPr>
              <w:t>通江河</w:t>
            </w:r>
          </w:p>
        </w:tc>
        <w:tc>
          <w:tcPr>
            <w:tcW w:w="1132" w:type="pct"/>
            <w:noWrap/>
            <w:vAlign w:val="center"/>
          </w:tcPr>
          <w:p w14:paraId="52615FF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w:t>
            </w:r>
          </w:p>
        </w:tc>
        <w:tc>
          <w:tcPr>
            <w:tcW w:w="1039" w:type="dxa"/>
            <w:noWrap/>
            <w:vAlign w:val="center"/>
          </w:tcPr>
          <w:p w14:paraId="33231200">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0.1651</w:t>
            </w:r>
          </w:p>
        </w:tc>
        <w:tc>
          <w:tcPr>
            <w:tcW w:w="1039" w:type="dxa"/>
            <w:vAlign w:val="center"/>
          </w:tcPr>
          <w:p w14:paraId="55880D2E">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noWrap/>
            <w:vAlign w:val="center"/>
          </w:tcPr>
          <w:p w14:paraId="6CD76FFD">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vAlign w:val="center"/>
          </w:tcPr>
          <w:p w14:paraId="5639180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noWrap/>
            <w:vAlign w:val="center"/>
          </w:tcPr>
          <w:p w14:paraId="39DC9E1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42" w:type="dxa"/>
            <w:noWrap/>
            <w:vAlign w:val="center"/>
          </w:tcPr>
          <w:p w14:paraId="51737C00">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r>
      <w:tr w14:paraId="4F3573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2DCC3321">
            <w:pPr>
              <w:pStyle w:val="31"/>
              <w:contextualSpacing/>
              <w:rPr>
                <w:rFonts w:hint="default" w:ascii="Times New Roman" w:hAnsi="Times New Roman" w:eastAsia="宋体" w:cs="Times New Roman"/>
                <w:b w:val="0"/>
                <w:bCs/>
                <w:color w:val="auto"/>
              </w:rPr>
            </w:pPr>
          </w:p>
        </w:tc>
        <w:tc>
          <w:tcPr>
            <w:tcW w:w="1132" w:type="pct"/>
            <w:noWrap/>
            <w:vAlign w:val="center"/>
          </w:tcPr>
          <w:p w14:paraId="36B7A2A7">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50</w:t>
            </w:r>
          </w:p>
        </w:tc>
        <w:tc>
          <w:tcPr>
            <w:tcW w:w="1039" w:type="dxa"/>
            <w:noWrap/>
            <w:vAlign w:val="center"/>
          </w:tcPr>
          <w:p w14:paraId="670944D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0.1573</w:t>
            </w:r>
          </w:p>
        </w:tc>
        <w:tc>
          <w:tcPr>
            <w:tcW w:w="1039" w:type="dxa"/>
            <w:vAlign w:val="center"/>
          </w:tcPr>
          <w:p w14:paraId="28C67B4A">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0.1570</w:t>
            </w:r>
          </w:p>
        </w:tc>
        <w:tc>
          <w:tcPr>
            <w:tcW w:w="1039" w:type="dxa"/>
            <w:noWrap/>
            <w:vAlign w:val="center"/>
          </w:tcPr>
          <w:p w14:paraId="2288E6C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0.1565</w:t>
            </w:r>
          </w:p>
        </w:tc>
        <w:tc>
          <w:tcPr>
            <w:tcW w:w="1039" w:type="dxa"/>
            <w:vAlign w:val="center"/>
          </w:tcPr>
          <w:p w14:paraId="21C31E3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noWrap/>
            <w:vAlign w:val="center"/>
          </w:tcPr>
          <w:p w14:paraId="6699F27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42" w:type="dxa"/>
            <w:noWrap/>
            <w:vAlign w:val="center"/>
          </w:tcPr>
          <w:p w14:paraId="686CC56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r>
      <w:tr w14:paraId="2ED823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09D12375">
            <w:pPr>
              <w:pStyle w:val="31"/>
              <w:contextualSpacing/>
              <w:rPr>
                <w:rFonts w:hint="default" w:ascii="Times New Roman" w:hAnsi="Times New Roman" w:eastAsia="宋体" w:cs="Times New Roman"/>
                <w:b w:val="0"/>
                <w:bCs/>
                <w:color w:val="auto"/>
              </w:rPr>
            </w:pPr>
          </w:p>
        </w:tc>
        <w:tc>
          <w:tcPr>
            <w:tcW w:w="1132" w:type="pct"/>
            <w:noWrap/>
            <w:vAlign w:val="center"/>
          </w:tcPr>
          <w:p w14:paraId="71EF6EA5">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100</w:t>
            </w:r>
          </w:p>
        </w:tc>
        <w:tc>
          <w:tcPr>
            <w:tcW w:w="1039" w:type="dxa"/>
            <w:noWrap/>
            <w:vAlign w:val="center"/>
          </w:tcPr>
          <w:p w14:paraId="4762687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0.1569</w:t>
            </w:r>
          </w:p>
        </w:tc>
        <w:tc>
          <w:tcPr>
            <w:tcW w:w="1039" w:type="dxa"/>
            <w:vAlign w:val="center"/>
          </w:tcPr>
          <w:p w14:paraId="46E79AC4">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0.1568</w:t>
            </w:r>
          </w:p>
        </w:tc>
        <w:tc>
          <w:tcPr>
            <w:tcW w:w="1039" w:type="dxa"/>
            <w:noWrap/>
            <w:vAlign w:val="center"/>
          </w:tcPr>
          <w:p w14:paraId="3470A60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0.1565</w:t>
            </w:r>
          </w:p>
        </w:tc>
        <w:tc>
          <w:tcPr>
            <w:tcW w:w="1039" w:type="dxa"/>
            <w:vAlign w:val="center"/>
          </w:tcPr>
          <w:p w14:paraId="6402CF58">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noWrap/>
            <w:vAlign w:val="center"/>
          </w:tcPr>
          <w:p w14:paraId="3AA8A6AA">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42" w:type="dxa"/>
            <w:noWrap/>
            <w:vAlign w:val="center"/>
          </w:tcPr>
          <w:p w14:paraId="17130A0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r>
      <w:tr w14:paraId="1B7893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42AD6F95">
            <w:pPr>
              <w:pStyle w:val="31"/>
              <w:contextualSpacing/>
              <w:rPr>
                <w:rFonts w:hint="default" w:ascii="Times New Roman" w:hAnsi="Times New Roman" w:eastAsia="宋体" w:cs="Times New Roman"/>
                <w:b w:val="0"/>
                <w:bCs/>
                <w:color w:val="auto"/>
              </w:rPr>
            </w:pPr>
          </w:p>
        </w:tc>
        <w:tc>
          <w:tcPr>
            <w:tcW w:w="1132" w:type="pct"/>
            <w:noWrap/>
            <w:vAlign w:val="center"/>
          </w:tcPr>
          <w:p w14:paraId="65E6524C">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500</w:t>
            </w:r>
          </w:p>
        </w:tc>
        <w:tc>
          <w:tcPr>
            <w:tcW w:w="1039" w:type="dxa"/>
            <w:noWrap/>
            <w:vAlign w:val="center"/>
          </w:tcPr>
          <w:p w14:paraId="748539A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0.1564</w:t>
            </w:r>
          </w:p>
        </w:tc>
        <w:tc>
          <w:tcPr>
            <w:tcW w:w="1039" w:type="dxa"/>
            <w:vAlign w:val="center"/>
          </w:tcPr>
          <w:p w14:paraId="63FEECD3">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0.1564</w:t>
            </w:r>
          </w:p>
        </w:tc>
        <w:tc>
          <w:tcPr>
            <w:tcW w:w="1039" w:type="dxa"/>
            <w:noWrap/>
            <w:vAlign w:val="center"/>
          </w:tcPr>
          <w:p w14:paraId="7A21B375">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0.1564</w:t>
            </w:r>
          </w:p>
        </w:tc>
        <w:tc>
          <w:tcPr>
            <w:tcW w:w="1039" w:type="dxa"/>
            <w:vAlign w:val="center"/>
          </w:tcPr>
          <w:p w14:paraId="4B18E4EB">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0.1563</w:t>
            </w:r>
          </w:p>
        </w:tc>
        <w:tc>
          <w:tcPr>
            <w:tcW w:w="1039" w:type="dxa"/>
            <w:noWrap/>
            <w:vAlign w:val="center"/>
          </w:tcPr>
          <w:p w14:paraId="201151BA">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42" w:type="dxa"/>
            <w:noWrap/>
            <w:vAlign w:val="center"/>
          </w:tcPr>
          <w:p w14:paraId="008F3A1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r>
      <w:tr w14:paraId="3CBF90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4662BCF6">
            <w:pPr>
              <w:pStyle w:val="31"/>
              <w:contextualSpacing/>
              <w:rPr>
                <w:rFonts w:hint="default" w:ascii="Times New Roman" w:hAnsi="Times New Roman" w:eastAsia="宋体" w:cs="Times New Roman"/>
                <w:b w:val="0"/>
                <w:bCs/>
                <w:color w:val="auto"/>
              </w:rPr>
            </w:pPr>
          </w:p>
        </w:tc>
        <w:tc>
          <w:tcPr>
            <w:tcW w:w="1132" w:type="pct"/>
            <w:noWrap/>
            <w:vAlign w:val="center"/>
          </w:tcPr>
          <w:p w14:paraId="5A5155AB">
            <w:pPr>
              <w:pStyle w:val="31"/>
              <w:contextualSpacing/>
              <w:rPr>
                <w:rFonts w:hint="default" w:ascii="Times New Roman" w:hAnsi="Times New Roman" w:eastAsia="宋体" w:cs="Times New Roman"/>
                <w:b w:val="0"/>
                <w:bCs/>
                <w:color w:val="auto"/>
                <w:lang w:val="en-US" w:eastAsia="zh-CN"/>
              </w:rPr>
            </w:pPr>
            <w:r>
              <w:rPr>
                <w:rFonts w:hint="eastAsia" w:cs="Times New Roman"/>
                <w:b w:val="0"/>
                <w:bCs/>
                <w:color w:val="auto"/>
                <w:lang w:val="en-US" w:eastAsia="zh-CN"/>
              </w:rPr>
              <w:t>10</w:t>
            </w:r>
            <w:r>
              <w:rPr>
                <w:rFonts w:hint="default" w:ascii="Times New Roman" w:hAnsi="Times New Roman" w:eastAsia="宋体" w:cs="Times New Roman"/>
                <w:b w:val="0"/>
                <w:bCs/>
                <w:color w:val="auto"/>
                <w:lang w:val="en-US" w:eastAsia="zh-CN"/>
              </w:rPr>
              <w:t>00</w:t>
            </w:r>
          </w:p>
        </w:tc>
        <w:tc>
          <w:tcPr>
            <w:tcW w:w="1039" w:type="dxa"/>
            <w:noWrap/>
            <w:vAlign w:val="center"/>
          </w:tcPr>
          <w:p w14:paraId="7A1FA244">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0.1563</w:t>
            </w:r>
          </w:p>
        </w:tc>
        <w:tc>
          <w:tcPr>
            <w:tcW w:w="1039" w:type="dxa"/>
            <w:vAlign w:val="center"/>
          </w:tcPr>
          <w:p w14:paraId="53FE665B">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0.1563</w:t>
            </w:r>
          </w:p>
        </w:tc>
        <w:tc>
          <w:tcPr>
            <w:tcW w:w="1039" w:type="dxa"/>
            <w:noWrap/>
            <w:vAlign w:val="center"/>
          </w:tcPr>
          <w:p w14:paraId="5C6BA0A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0.1563</w:t>
            </w:r>
          </w:p>
        </w:tc>
        <w:tc>
          <w:tcPr>
            <w:tcW w:w="1039" w:type="dxa"/>
            <w:vAlign w:val="center"/>
          </w:tcPr>
          <w:p w14:paraId="39C8E72A">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0.1562</w:t>
            </w:r>
          </w:p>
        </w:tc>
        <w:tc>
          <w:tcPr>
            <w:tcW w:w="1039" w:type="dxa"/>
            <w:noWrap/>
            <w:vAlign w:val="center"/>
          </w:tcPr>
          <w:p w14:paraId="2627805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42" w:type="dxa"/>
            <w:noWrap/>
            <w:vAlign w:val="center"/>
          </w:tcPr>
          <w:p w14:paraId="34D7679E">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r>
      <w:tr w14:paraId="5FEB88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09B6BCCA">
            <w:pPr>
              <w:pStyle w:val="31"/>
              <w:contextualSpacing/>
              <w:rPr>
                <w:rFonts w:hint="default" w:ascii="Times New Roman" w:hAnsi="Times New Roman" w:eastAsia="宋体" w:cs="Times New Roman"/>
                <w:b w:val="0"/>
                <w:bCs/>
                <w:color w:val="auto"/>
              </w:rPr>
            </w:pPr>
          </w:p>
        </w:tc>
        <w:tc>
          <w:tcPr>
            <w:tcW w:w="1132" w:type="pct"/>
            <w:noWrap/>
            <w:vAlign w:val="center"/>
          </w:tcPr>
          <w:p w14:paraId="64047767">
            <w:pPr>
              <w:pStyle w:val="31"/>
              <w:contextualSpacing/>
              <w:rPr>
                <w:rFonts w:hint="default" w:ascii="Times New Roman" w:hAnsi="Times New Roman" w:eastAsia="宋体" w:cs="Times New Roman"/>
                <w:b w:val="0"/>
                <w:bCs/>
                <w:color w:val="auto"/>
                <w:lang w:val="en-US" w:eastAsia="zh-CN"/>
              </w:rPr>
            </w:pPr>
            <w:r>
              <w:rPr>
                <w:rFonts w:hint="eastAsia" w:cs="Times New Roman"/>
                <w:b w:val="0"/>
                <w:bCs/>
                <w:color w:val="auto"/>
                <w:lang w:val="en-US" w:eastAsia="zh-CN"/>
              </w:rPr>
              <w:t>5000</w:t>
            </w:r>
          </w:p>
        </w:tc>
        <w:tc>
          <w:tcPr>
            <w:tcW w:w="1039" w:type="dxa"/>
            <w:noWrap/>
            <w:vAlign w:val="center"/>
          </w:tcPr>
          <w:p w14:paraId="16D8F525">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vAlign w:val="center"/>
          </w:tcPr>
          <w:p w14:paraId="0E5F15B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noWrap/>
            <w:vAlign w:val="center"/>
          </w:tcPr>
          <w:p w14:paraId="64C51489">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vAlign w:val="center"/>
          </w:tcPr>
          <w:p w14:paraId="31600FC2">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noWrap/>
            <w:vAlign w:val="center"/>
          </w:tcPr>
          <w:p w14:paraId="492A193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42" w:type="dxa"/>
            <w:noWrap/>
            <w:vAlign w:val="center"/>
          </w:tcPr>
          <w:p w14:paraId="4D7A304A">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r>
      <w:tr w14:paraId="7359E8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0E87D2B4">
            <w:pPr>
              <w:pStyle w:val="31"/>
              <w:contextualSpacing/>
              <w:rPr>
                <w:rFonts w:hint="default" w:ascii="Times New Roman" w:hAnsi="Times New Roman" w:eastAsia="宋体" w:cs="Times New Roman"/>
                <w:b w:val="0"/>
                <w:bCs/>
                <w:color w:val="auto"/>
              </w:rPr>
            </w:pPr>
          </w:p>
        </w:tc>
        <w:tc>
          <w:tcPr>
            <w:tcW w:w="1132" w:type="pct"/>
            <w:noWrap/>
            <w:vAlign w:val="center"/>
          </w:tcPr>
          <w:p w14:paraId="1C141167">
            <w:pPr>
              <w:pStyle w:val="31"/>
              <w:contextualSpacing/>
              <w:rPr>
                <w:rFonts w:hint="default" w:cs="Times New Roman"/>
                <w:b w:val="0"/>
                <w:bCs/>
                <w:color w:val="auto"/>
                <w:lang w:val="en-US" w:eastAsia="zh-CN"/>
              </w:rPr>
            </w:pPr>
            <w:r>
              <w:rPr>
                <w:rFonts w:hint="eastAsia" w:cs="Times New Roman"/>
                <w:b w:val="0"/>
                <w:bCs/>
                <w:color w:val="auto"/>
                <w:lang w:val="en-US" w:eastAsia="zh-CN"/>
              </w:rPr>
              <w:t>10000</w:t>
            </w:r>
          </w:p>
        </w:tc>
        <w:tc>
          <w:tcPr>
            <w:tcW w:w="1039" w:type="dxa"/>
            <w:noWrap/>
            <w:vAlign w:val="center"/>
          </w:tcPr>
          <w:p w14:paraId="0910E534">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vAlign w:val="center"/>
          </w:tcPr>
          <w:p w14:paraId="1D28C79D">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noWrap/>
            <w:vAlign w:val="center"/>
          </w:tcPr>
          <w:p w14:paraId="3CDBE460">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vAlign w:val="center"/>
          </w:tcPr>
          <w:p w14:paraId="07DA792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39" w:type="dxa"/>
            <w:noWrap/>
            <w:vAlign w:val="center"/>
          </w:tcPr>
          <w:p w14:paraId="2C79802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c>
          <w:tcPr>
            <w:tcW w:w="1042" w:type="dxa"/>
            <w:noWrap/>
            <w:vAlign w:val="center"/>
          </w:tcPr>
          <w:p w14:paraId="1370EAD3">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0.1561</w:t>
            </w:r>
          </w:p>
        </w:tc>
      </w:tr>
      <w:tr w14:paraId="07CD1F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586" w:type="pct"/>
            <w:vMerge w:val="continue"/>
            <w:noWrap/>
            <w:vAlign w:val="center"/>
          </w:tcPr>
          <w:p w14:paraId="340B5627">
            <w:pPr>
              <w:pStyle w:val="31"/>
              <w:contextualSpacing/>
              <w:rPr>
                <w:rFonts w:hint="default" w:ascii="Times New Roman" w:hAnsi="Times New Roman" w:eastAsia="宋体" w:cs="Times New Roman"/>
                <w:b w:val="0"/>
                <w:bCs/>
                <w:color w:val="auto"/>
              </w:rPr>
            </w:pPr>
          </w:p>
        </w:tc>
        <w:tc>
          <w:tcPr>
            <w:tcW w:w="1132" w:type="pct"/>
            <w:noWrap/>
            <w:vAlign w:val="center"/>
          </w:tcPr>
          <w:p w14:paraId="45F48280">
            <w:pPr>
              <w:pStyle w:val="31"/>
              <w:contextualSpacing/>
              <w:rPr>
                <w:rFonts w:hint="eastAsia" w:cs="Times New Roman"/>
                <w:b w:val="0"/>
                <w:bCs/>
                <w:color w:val="auto"/>
                <w:lang w:val="en-US" w:eastAsia="zh-CN"/>
              </w:rPr>
            </w:pPr>
            <w:r>
              <w:rPr>
                <w:rFonts w:hint="eastAsia" w:cs="Times New Roman"/>
                <w:b w:val="0"/>
                <w:bCs/>
                <w:color w:val="auto"/>
                <w:lang w:val="en-US" w:eastAsia="zh-CN"/>
              </w:rPr>
              <w:t>30400</w:t>
            </w:r>
          </w:p>
          <w:p w14:paraId="3BDE82ED">
            <w:pPr>
              <w:pStyle w:val="31"/>
              <w:contextualSpacing/>
              <w:rPr>
                <w:rFonts w:hint="default" w:cs="Times New Roman"/>
                <w:b w:val="0"/>
                <w:bCs/>
                <w:color w:val="auto"/>
                <w:lang w:val="en-US" w:eastAsia="zh-CN"/>
              </w:rPr>
            </w:pPr>
            <w:r>
              <w:rPr>
                <w:rFonts w:hint="eastAsia" w:cs="Times New Roman"/>
                <w:b w:val="0"/>
                <w:bCs/>
                <w:color w:val="auto"/>
                <w:lang w:val="en-US" w:eastAsia="zh-CN"/>
              </w:rPr>
              <w:t>（纳溪口国控断面）</w:t>
            </w:r>
          </w:p>
        </w:tc>
        <w:tc>
          <w:tcPr>
            <w:tcW w:w="1039" w:type="dxa"/>
            <w:noWrap/>
            <w:vAlign w:val="center"/>
          </w:tcPr>
          <w:p w14:paraId="54FE676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vAlign w:val="center"/>
          </w:tcPr>
          <w:p w14:paraId="48C37747">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noWrap/>
            <w:vAlign w:val="center"/>
          </w:tcPr>
          <w:p w14:paraId="5B00EDD0">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vAlign w:val="center"/>
          </w:tcPr>
          <w:p w14:paraId="1AE32451">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39" w:type="dxa"/>
            <w:noWrap/>
            <w:vAlign w:val="center"/>
          </w:tcPr>
          <w:p w14:paraId="65062C26">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c>
          <w:tcPr>
            <w:tcW w:w="1042" w:type="dxa"/>
            <w:noWrap/>
            <w:vAlign w:val="center"/>
          </w:tcPr>
          <w:p w14:paraId="3968D33F">
            <w:pPr>
              <w:pStyle w:val="31"/>
              <w:contextualSpacing/>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0.1560</w:t>
            </w:r>
          </w:p>
        </w:tc>
      </w:tr>
    </w:tbl>
    <w:p w14:paraId="527809FB">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由预测结果可知，项目废水在事故情况下进入</w:t>
      </w:r>
      <w:r>
        <w:rPr>
          <w:rFonts w:hint="eastAsia" w:cs="Times New Roman"/>
          <w:color w:val="auto"/>
          <w:highlight w:val="none"/>
          <w:lang w:val="en-US" w:eastAsia="zh-CN"/>
        </w:rPr>
        <w:t>通江河</w:t>
      </w:r>
      <w:r>
        <w:rPr>
          <w:rFonts w:hint="default" w:ascii="Times New Roman" w:hAnsi="Times New Roman" w:cs="Times New Roman"/>
          <w:color w:val="auto"/>
          <w:highlight w:val="none"/>
        </w:rPr>
        <w:t>，其地表水环境中COD</w:t>
      </w:r>
      <w:r>
        <w:rPr>
          <w:rFonts w:hint="default" w:ascii="Times New Roman" w:hAnsi="Times New Roman" w:cs="Times New Roman"/>
          <w:color w:val="auto"/>
          <w:highlight w:val="none"/>
          <w:lang w:eastAsia="zh-CN"/>
        </w:rPr>
        <w:t>、</w:t>
      </w:r>
      <w:r>
        <w:rPr>
          <w:rFonts w:hint="default" w:ascii="Times New Roman" w:hAnsi="Times New Roman" w:cs="Times New Roman"/>
          <w:color w:val="auto"/>
        </w:rPr>
        <w:t>NH</w:t>
      </w:r>
      <w:r>
        <w:rPr>
          <w:rFonts w:hint="default" w:ascii="Times New Roman" w:hAnsi="Times New Roman" w:cs="Times New Roman"/>
          <w:color w:val="auto"/>
          <w:vertAlign w:val="subscript"/>
        </w:rPr>
        <w:t>3</w:t>
      </w:r>
      <w:r>
        <w:rPr>
          <w:rFonts w:hint="default" w:ascii="Times New Roman" w:hAnsi="Times New Roman" w:cs="Times New Roman"/>
          <w:color w:val="auto"/>
        </w:rPr>
        <w:t>-N</w:t>
      </w:r>
      <w:r>
        <w:rPr>
          <w:rFonts w:hint="default" w:ascii="Times New Roman" w:hAnsi="Times New Roman" w:cs="Times New Roman"/>
          <w:color w:val="auto"/>
          <w:lang w:val="en-US" w:eastAsia="zh-CN"/>
        </w:rPr>
        <w:t>预测</w:t>
      </w:r>
      <w:r>
        <w:rPr>
          <w:rFonts w:hint="default" w:ascii="Times New Roman" w:hAnsi="Times New Roman" w:cs="Times New Roman"/>
          <w:color w:val="auto"/>
          <w:highlight w:val="none"/>
        </w:rPr>
        <w:t>浓度</w:t>
      </w:r>
      <w:r>
        <w:rPr>
          <w:rFonts w:hint="default" w:ascii="Times New Roman" w:hAnsi="Times New Roman" w:cs="Times New Roman"/>
          <w:color w:val="auto"/>
          <w:highlight w:val="none"/>
          <w:lang w:val="en-US" w:eastAsia="zh-CN"/>
        </w:rPr>
        <w:t>均</w:t>
      </w:r>
      <w:r>
        <w:rPr>
          <w:rFonts w:hint="default" w:ascii="Times New Roman" w:hAnsi="Times New Roman" w:cs="Times New Roman"/>
          <w:color w:val="auto"/>
          <w:highlight w:val="none"/>
        </w:rPr>
        <w:t>未超过《地表水环境质量标准》（GB3838-2002）</w:t>
      </w:r>
      <w:r>
        <w:rPr>
          <w:rFonts w:hint="default" w:ascii="Times New Roman" w:hAnsi="Times New Roman" w:cs="Times New Roman"/>
          <w:color w:val="auto"/>
          <w:sz w:val="24"/>
          <w:szCs w:val="24"/>
        </w:rPr>
        <w:t>Ⅲ类</w:t>
      </w:r>
      <w:r>
        <w:rPr>
          <w:rFonts w:hint="default" w:ascii="Times New Roman" w:hAnsi="Times New Roman" w:cs="Times New Roman"/>
          <w:color w:val="auto"/>
          <w:highlight w:val="none"/>
        </w:rPr>
        <w:t>标准，</w:t>
      </w:r>
      <w:r>
        <w:rPr>
          <w:rFonts w:hint="eastAsia" w:cs="Times New Roman"/>
          <w:color w:val="auto"/>
          <w:highlight w:val="none"/>
          <w:lang w:val="en-US" w:eastAsia="zh-CN"/>
        </w:rPr>
        <w:t>且下游纳溪口国控断面预测浓度能达到Ⅱ类水域标准要求，</w:t>
      </w:r>
      <w:r>
        <w:rPr>
          <w:rFonts w:hint="default" w:ascii="Times New Roman" w:hAnsi="Times New Roman" w:cs="Times New Roman"/>
          <w:color w:val="auto"/>
          <w:highlight w:val="none"/>
        </w:rPr>
        <w:t>即项目废水</w:t>
      </w:r>
      <w:r>
        <w:rPr>
          <w:rFonts w:hint="default" w:ascii="Times New Roman" w:hAnsi="Times New Roman" w:cs="Times New Roman"/>
          <w:color w:val="auto"/>
          <w:highlight w:val="none"/>
          <w:lang w:val="en-US" w:eastAsia="zh-CN"/>
        </w:rPr>
        <w:t>事故排放</w:t>
      </w:r>
      <w:r>
        <w:rPr>
          <w:rFonts w:hint="default" w:ascii="Times New Roman" w:hAnsi="Times New Roman" w:cs="Times New Roman"/>
          <w:color w:val="auto"/>
          <w:highlight w:val="none"/>
        </w:rPr>
        <w:t>不会导致</w:t>
      </w:r>
      <w:r>
        <w:rPr>
          <w:rFonts w:hint="eastAsia" w:cs="Times New Roman"/>
          <w:color w:val="auto"/>
          <w:highlight w:val="none"/>
          <w:lang w:val="en-US" w:eastAsia="zh-CN"/>
        </w:rPr>
        <w:t>通江河</w:t>
      </w:r>
      <w:r>
        <w:rPr>
          <w:rFonts w:hint="default" w:ascii="Times New Roman" w:hAnsi="Times New Roman" w:cs="Times New Roman"/>
          <w:color w:val="auto"/>
          <w:highlight w:val="none"/>
        </w:rPr>
        <w:t>水质超标。</w:t>
      </w:r>
    </w:p>
    <w:p w14:paraId="70CAE1D8">
      <w:pPr>
        <w:pStyle w:val="3"/>
        <w:bidi w:val="0"/>
        <w:rPr>
          <w:rFonts w:hint="default" w:ascii="Times New Roman" w:hAnsi="Times New Roman" w:cs="Times New Roman"/>
          <w:color w:val="auto"/>
          <w:highlight w:val="none"/>
          <w:lang w:val="en-US" w:eastAsia="zh-CN"/>
        </w:rPr>
      </w:pPr>
      <w:bookmarkStart w:id="190" w:name="_Toc606"/>
      <w:bookmarkStart w:id="191" w:name="_Toc3117"/>
      <w:bookmarkStart w:id="192" w:name="_Toc24386"/>
      <w:r>
        <w:rPr>
          <w:rFonts w:hint="default" w:ascii="Times New Roman" w:hAnsi="Times New Roman" w:cs="Times New Roman"/>
          <w:color w:val="auto"/>
          <w:highlight w:val="none"/>
          <w:lang w:val="en-US" w:eastAsia="zh-CN"/>
        </w:rPr>
        <w:t>地下水风险预测与评价</w:t>
      </w:r>
      <w:bookmarkEnd w:id="190"/>
      <w:bookmarkEnd w:id="191"/>
      <w:bookmarkEnd w:id="192"/>
    </w:p>
    <w:p w14:paraId="3C72CCD6">
      <w:pPr>
        <w:pStyle w:val="26"/>
        <w:bidi w:val="0"/>
        <w:rPr>
          <w:rFonts w:hint="default" w:ascii="Times New Roman" w:hAnsi="Times New Roman" w:cs="Times New Roman"/>
          <w:color w:val="auto"/>
          <w:highlight w:val="none"/>
        </w:rPr>
      </w:pPr>
      <w:r>
        <w:rPr>
          <w:rFonts w:hint="default" w:ascii="Times New Roman" w:hAnsi="Times New Roman" w:eastAsia="宋体" w:cs="Times New Roman"/>
          <w:b w:val="0"/>
          <w:bCs w:val="0"/>
          <w:color w:val="auto"/>
          <w:highlight w:val="none"/>
          <w:lang w:val="en-US" w:eastAsia="zh-CN"/>
        </w:rPr>
        <w:t>非正常状况下，</w:t>
      </w:r>
      <w:r>
        <w:rPr>
          <w:rFonts w:hint="default" w:ascii="Times New Roman" w:hAnsi="Times New Roman" w:cs="Times New Roman"/>
          <w:b w:val="0"/>
          <w:bCs w:val="0"/>
          <w:color w:val="auto"/>
          <w:highlight w:val="none"/>
          <w:lang w:val="en-US" w:eastAsia="zh-CN"/>
        </w:rPr>
        <w:t>罐体/原料桶破损，物料</w:t>
      </w:r>
      <w:r>
        <w:rPr>
          <w:rFonts w:hint="default" w:ascii="Times New Roman" w:hAnsi="Times New Roman" w:eastAsia="宋体" w:cs="Times New Roman"/>
          <w:b w:val="0"/>
          <w:bCs w:val="0"/>
          <w:color w:val="auto"/>
          <w:highlight w:val="none"/>
          <w:lang w:val="en-US" w:eastAsia="zh-CN"/>
        </w:rPr>
        <w:t>发生泄漏，恰好发生泄漏处的地下水防渗层破裂或损坏，</w:t>
      </w:r>
      <w:r>
        <w:rPr>
          <w:rFonts w:hint="default" w:ascii="Times New Roman" w:hAnsi="Times New Roman" w:cs="Times New Roman"/>
          <w:color w:val="auto"/>
          <w:lang w:val="en-US" w:eastAsia="zh-CN"/>
        </w:rPr>
        <w:t>废液</w:t>
      </w:r>
      <w:r>
        <w:rPr>
          <w:rFonts w:hint="default" w:ascii="Times New Roman" w:hAnsi="Times New Roman" w:cs="Times New Roman"/>
          <w:color w:val="auto"/>
        </w:rPr>
        <w:t>穿过防渗层及包气带，渗漏进入含水层</w:t>
      </w:r>
      <w:r>
        <w:rPr>
          <w:rFonts w:hint="default" w:ascii="Times New Roman" w:hAnsi="Times New Roman" w:cs="Times New Roman"/>
          <w:color w:val="auto"/>
          <w:lang w:eastAsia="zh-CN"/>
        </w:rPr>
        <w:t>。</w:t>
      </w:r>
      <w:r>
        <w:rPr>
          <w:rFonts w:hint="default" w:ascii="Times New Roman" w:hAnsi="Times New Roman" w:cs="Times New Roman"/>
          <w:color w:val="auto"/>
          <w:highlight w:val="none"/>
          <w:lang w:val="en-US" w:eastAsia="zh-CN"/>
        </w:rPr>
        <w:t>根据5.2.5地下水环境影响分析中预测结果分析，</w:t>
      </w:r>
      <w:r>
        <w:rPr>
          <w:rFonts w:hint="default" w:ascii="Times New Roman" w:hAnsi="Times New Roman" w:cs="Times New Roman"/>
          <w:color w:val="auto"/>
          <w:highlight w:val="none"/>
        </w:rPr>
        <w:t>项目非正常状况下将对下游地下水局部水质造成污染，环评要求：运营期应严格落实环评提出的地下水污染防治措施</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定期对地下水水质进行监测，如发现水质异常，</w:t>
      </w:r>
      <w:r>
        <w:rPr>
          <w:rFonts w:hint="default" w:ascii="Times New Roman" w:hAnsi="Times New Roman" w:cs="Times New Roman"/>
          <w:color w:val="auto"/>
          <w:highlight w:val="none"/>
          <w:lang w:val="en-US" w:eastAsia="zh-CN"/>
        </w:rPr>
        <w:t>应</w:t>
      </w:r>
      <w:r>
        <w:rPr>
          <w:rFonts w:hint="default" w:ascii="Times New Roman" w:hAnsi="Times New Roman" w:cs="Times New Roman"/>
          <w:color w:val="auto"/>
          <w:highlight w:val="none"/>
        </w:rPr>
        <w:t>立刻采取有效措施切断污染源并阻止污染羽的扩散迁移，将地下水控制在局部范围，避免对厂区下游地下水造成污染。</w:t>
      </w:r>
    </w:p>
    <w:p w14:paraId="4162EA9F">
      <w:pPr>
        <w:pStyle w:val="3"/>
        <w:bidi w:val="0"/>
        <w:rPr>
          <w:rFonts w:hint="default" w:ascii="Times New Roman" w:hAnsi="Times New Roman" w:cs="Times New Roman"/>
          <w:color w:val="auto"/>
          <w:highlight w:val="none"/>
          <w:lang w:val="en-US" w:eastAsia="zh-CN"/>
        </w:rPr>
      </w:pPr>
      <w:bookmarkStart w:id="193" w:name="_Toc24981"/>
      <w:r>
        <w:rPr>
          <w:rFonts w:hint="default" w:ascii="Times New Roman" w:hAnsi="Times New Roman" w:cs="Times New Roman"/>
          <w:color w:val="auto"/>
          <w:highlight w:val="none"/>
          <w:lang w:val="en-US" w:eastAsia="zh-CN"/>
        </w:rPr>
        <w:t>环境风险防范措施</w:t>
      </w:r>
      <w:bookmarkEnd w:id="193"/>
    </w:p>
    <w:p w14:paraId="33C935A4">
      <w:pPr>
        <w:pStyle w:val="4"/>
        <w:bidi w:val="0"/>
        <w:rPr>
          <w:rFonts w:hint="default" w:ascii="Times New Roman" w:hAnsi="Times New Roman" w:cs="Times New Roman"/>
          <w:color w:val="auto"/>
          <w:highlight w:val="none"/>
          <w:lang w:val="en-US" w:eastAsia="zh-CN"/>
        </w:rPr>
      </w:pPr>
      <w:bookmarkStart w:id="194" w:name="_Toc7046"/>
      <w:bookmarkStart w:id="195" w:name="_Toc21735"/>
      <w:bookmarkStart w:id="196" w:name="_Toc3664"/>
      <w:bookmarkStart w:id="197" w:name="_Toc26322"/>
      <w:r>
        <w:rPr>
          <w:rFonts w:hint="default" w:ascii="Times New Roman" w:hAnsi="Times New Roman" w:cs="Times New Roman"/>
          <w:color w:val="auto"/>
          <w:highlight w:val="none"/>
          <w:lang w:val="en-US" w:eastAsia="zh-CN"/>
        </w:rPr>
        <w:t>设计上采取的风险防范措施</w:t>
      </w:r>
      <w:bookmarkEnd w:id="194"/>
      <w:bookmarkEnd w:id="195"/>
      <w:bookmarkEnd w:id="196"/>
      <w:bookmarkEnd w:id="197"/>
    </w:p>
    <w:p w14:paraId="1041BB3A">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1、总图布置和建筑安全防范措施</w:t>
      </w:r>
    </w:p>
    <w:p w14:paraId="47582523">
      <w:pPr>
        <w:pStyle w:val="26"/>
        <w:bidi w:val="0"/>
        <w:rPr>
          <w:rFonts w:hint="default" w:ascii="Times New Roman" w:hAnsi="Times New Roman" w:cs="Times New Roman"/>
          <w:color w:val="auto"/>
          <w:highlight w:val="none"/>
          <w:lang w:val="en-US" w:eastAsia="zh-CN"/>
        </w:rPr>
      </w:pPr>
      <w:bookmarkStart w:id="198" w:name="_Hlk92706518"/>
      <w:r>
        <w:rPr>
          <w:rFonts w:hint="default" w:ascii="Times New Roman" w:hAnsi="Times New Roman" w:cs="Times New Roman"/>
          <w:color w:val="auto"/>
          <w:highlight w:val="none"/>
          <w:lang w:val="en-US" w:eastAsia="zh-CN"/>
        </w:rPr>
        <w:t>项目的建（构）筑物布置、罐组布置、生产火灾类别、防火间距、安全疏散等应严格按照</w:t>
      </w:r>
      <w:r>
        <w:rPr>
          <w:rFonts w:hint="default" w:ascii="Times New Roman" w:hAnsi="Times New Roman" w:eastAsia="宋体" w:cs="Times New Roman"/>
          <w:color w:val="auto"/>
          <w:sz w:val="24"/>
          <w:szCs w:val="24"/>
          <w:highlight w:val="none"/>
          <w:lang w:val="en-US" w:eastAsia="zh-CN"/>
        </w:rPr>
        <w:t>《精细化工企业工程设计防火标准》（GB51283-2020）和《建筑设计防火规范》（GB50016-2014，2018年版）中相关要求</w:t>
      </w:r>
      <w:r>
        <w:rPr>
          <w:rFonts w:hint="default" w:ascii="Times New Roman" w:hAnsi="Times New Roman" w:cs="Times New Roman"/>
          <w:color w:val="auto"/>
          <w:highlight w:val="none"/>
          <w:lang w:val="en-US" w:eastAsia="zh-CN"/>
        </w:rPr>
        <w:t>执行，在施工中必须按图施工，保证设计中的防火间距及其他间距要求。总平面布置按照功能区分区布置，各功能区、装置之间设置环形通道，并与厂外道路连接，利于安全疏散和消防。厂区人流和货运流明确分开，危险货物运输须有单独路线，不与人流及其他货流并行或平交。按规定设置建筑物的安全通道，以便紧急状态下保证人员的疏散。生产现场有可能接触有毒物质的地点设置安全淋浴洗眼设备。设置必要的生产卫生用室、生活卫生用室、医务室和安全卫生教育室等辅助用房，配备必要的劳动保护用品，如防毒面具、防护手套、防护鞋、防护服等。为了防止偶然火灾事故造成重大人身伤亡和设备损失，设计有完整、高效的泄漏报警系统和消防系统等，整个系统包括泄漏监控系统、感烟系统、应急疏散系统、室内外消防装置系统、排烟系统和应急照明及疏散指示系统等。</w:t>
      </w:r>
    </w:p>
    <w:bookmarkEnd w:id="198"/>
    <w:p w14:paraId="4B261BBA">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2、生产工艺及设备安全防范措施</w:t>
      </w:r>
    </w:p>
    <w:p w14:paraId="2752DE25">
      <w:pPr>
        <w:pStyle w:val="26"/>
        <w:bidi w:val="0"/>
        <w:rPr>
          <w:rFonts w:hint="default" w:ascii="Times New Roman" w:hAnsi="Times New Roman" w:cs="Times New Roman"/>
          <w:color w:val="auto"/>
          <w:highlight w:val="none"/>
          <w:lang w:val="en-US" w:eastAsia="zh-CN"/>
        </w:rPr>
      </w:pPr>
      <w:bookmarkStart w:id="199" w:name="_Hlk92706555"/>
      <w:r>
        <w:rPr>
          <w:rFonts w:hint="default" w:ascii="Times New Roman" w:hAnsi="Times New Roman" w:cs="Times New Roman"/>
          <w:color w:val="auto"/>
          <w:highlight w:val="none"/>
          <w:lang w:val="en-US" w:eastAsia="zh-CN"/>
        </w:rPr>
        <w:t>（1）涉及有毒有害危险介质的设备宜采用性能可靠的机械密封。为防止物料跑、冒、滴、漏，设备、机泵、阀门、管道等均采取有效的密闭措施，根据介质的性质和操作条件选用符合规范要求的管道材料，压力等级和密封面形式的法兰和垫片，同时加强生产过程中设备与管道系统的管理和维修，并定期进行检漏。</w:t>
      </w:r>
    </w:p>
    <w:p w14:paraId="3D5C41B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eastAsia"/>
          <w:color w:val="auto"/>
          <w:highlight w:val="none"/>
          <w:lang w:val="en-US" w:eastAsia="zh-CN"/>
        </w:rPr>
        <w:t>采用DCS分散型控制系统对泵、罐体和生产设备等的重要参数（如温度、压力、液位、流量等）进行监视、控制及报警；并在生产车间、罐区、仓库和装卸区等可能存在可燃气体/有毒气体泄漏的位置设置1套可燃气体/有毒气体检测系统，信号引入中央控制室集中报警</w:t>
      </w:r>
      <w:r>
        <w:rPr>
          <w:rFonts w:hint="default" w:ascii="Times New Roman" w:hAnsi="Times New Roman" w:cs="Times New Roman"/>
          <w:color w:val="auto"/>
          <w:highlight w:val="none"/>
          <w:lang w:val="en-US" w:eastAsia="zh-CN"/>
        </w:rPr>
        <w:t>。</w:t>
      </w:r>
    </w:p>
    <w:p w14:paraId="455DD10E">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罐区</w:t>
      </w:r>
      <w:r>
        <w:rPr>
          <w:rFonts w:hint="default" w:ascii="Times New Roman" w:hAnsi="Times New Roman" w:eastAsia="宋体" w:cs="Times New Roman"/>
          <w:color w:val="auto"/>
          <w:highlight w:val="none"/>
          <w:lang w:val="en-US" w:eastAsia="zh-CN"/>
        </w:rPr>
        <w:t>四周设1.</w:t>
      </w:r>
      <w:r>
        <w:rPr>
          <w:rFonts w:hint="eastAsia" w:cs="Times New Roman"/>
          <w:color w:val="auto"/>
          <w:highlight w:val="none"/>
          <w:lang w:val="en-US" w:eastAsia="zh-CN"/>
        </w:rPr>
        <w:t>1</w:t>
      </w:r>
      <w:r>
        <w:rPr>
          <w:rFonts w:hint="default" w:ascii="Times New Roman" w:hAnsi="Times New Roman" w:eastAsia="宋体" w:cs="Times New Roman"/>
          <w:color w:val="auto"/>
          <w:highlight w:val="none"/>
          <w:lang w:val="en-US" w:eastAsia="zh-CN"/>
        </w:rPr>
        <w:t>m高防火堤，</w:t>
      </w:r>
      <w:r>
        <w:rPr>
          <w:rFonts w:hint="default" w:ascii="Times New Roman" w:hAnsi="Times New Roman" w:eastAsia="宋体" w:cs="Times New Roman"/>
          <w:caps w:val="0"/>
          <w:smallCaps w:val="0"/>
          <w:color w:val="auto"/>
          <w:sz w:val="24"/>
          <w:highlight w:val="none"/>
          <w:lang w:val="en-US" w:eastAsia="zh-CN"/>
        </w:rPr>
        <w:t>防火堤采用非燃材料建造，储罐输送物料的泵设置在防火堤外。</w:t>
      </w:r>
    </w:p>
    <w:p w14:paraId="26999E22">
      <w:pPr>
        <w:pStyle w:val="26"/>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（4）</w:t>
      </w:r>
      <w:r>
        <w:rPr>
          <w:rFonts w:hint="eastAsia" w:cs="Times New Roman"/>
          <w:caps w:val="0"/>
          <w:smallCaps w:val="0"/>
          <w:color w:val="auto"/>
          <w:sz w:val="24"/>
          <w:highlight w:val="none"/>
          <w:lang w:val="en-US" w:eastAsia="zh-CN"/>
        </w:rPr>
        <w:t>罐体、反应釜</w:t>
      </w:r>
      <w:r>
        <w:rPr>
          <w:rFonts w:hint="default" w:ascii="Times New Roman" w:hAnsi="Times New Roman" w:eastAsia="宋体" w:cs="Times New Roman"/>
          <w:caps w:val="0"/>
          <w:smallCaps w:val="0"/>
          <w:color w:val="auto"/>
          <w:sz w:val="24"/>
          <w:highlight w:val="none"/>
          <w:lang w:val="en-US" w:eastAsia="zh-CN"/>
        </w:rPr>
        <w:t>选材应充分考虑物料性质及工作条件，</w:t>
      </w:r>
      <w:r>
        <w:rPr>
          <w:rFonts w:hint="eastAsia" w:cs="Times New Roman"/>
          <w:caps w:val="0"/>
          <w:smallCaps w:val="0"/>
          <w:color w:val="auto"/>
          <w:sz w:val="24"/>
          <w:highlight w:val="none"/>
          <w:lang w:val="en-US" w:eastAsia="zh-CN"/>
        </w:rPr>
        <w:t>罐体、反应釜</w:t>
      </w:r>
      <w:r>
        <w:rPr>
          <w:rFonts w:hint="default" w:ascii="Times New Roman" w:hAnsi="Times New Roman" w:eastAsia="宋体" w:cs="Times New Roman"/>
          <w:caps w:val="0"/>
          <w:smallCaps w:val="0"/>
          <w:color w:val="auto"/>
          <w:sz w:val="24"/>
          <w:highlight w:val="none"/>
          <w:lang w:val="en-US" w:eastAsia="zh-CN"/>
        </w:rPr>
        <w:t>上应设置温度、压力、液位显示仪表，</w:t>
      </w:r>
      <w:r>
        <w:rPr>
          <w:rFonts w:hint="eastAsia" w:cs="Times New Roman"/>
          <w:caps w:val="0"/>
          <w:smallCaps w:val="0"/>
          <w:color w:val="auto"/>
          <w:sz w:val="24"/>
          <w:highlight w:val="none"/>
          <w:lang w:val="en-US" w:eastAsia="zh-CN"/>
        </w:rPr>
        <w:t>罐体、反应釜</w:t>
      </w:r>
      <w:r>
        <w:rPr>
          <w:rFonts w:hint="default" w:ascii="Times New Roman" w:hAnsi="Times New Roman" w:eastAsia="宋体" w:cs="Times New Roman"/>
          <w:caps w:val="0"/>
          <w:smallCaps w:val="0"/>
          <w:color w:val="auto"/>
          <w:sz w:val="24"/>
          <w:highlight w:val="none"/>
          <w:lang w:val="en-US" w:eastAsia="zh-CN"/>
        </w:rPr>
        <w:t>应设置排气阀</w:t>
      </w:r>
      <w:r>
        <w:rPr>
          <w:rFonts w:hint="default" w:ascii="Times New Roman" w:hAnsi="Times New Roman" w:cs="Times New Roman"/>
          <w:color w:val="auto"/>
          <w:highlight w:val="none"/>
          <w:lang w:val="en-US" w:eastAsia="zh-CN"/>
        </w:rPr>
        <w:t>。</w:t>
      </w:r>
    </w:p>
    <w:p w14:paraId="16C37410">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cs="Times New Roman"/>
          <w:color w:val="auto"/>
          <w:highlight w:val="none"/>
          <w:lang w:val="en-US" w:eastAsia="zh-CN"/>
        </w:rPr>
        <w:t>（5）对于</w:t>
      </w:r>
      <w:r>
        <w:rPr>
          <w:rFonts w:hint="eastAsia" w:cs="Times New Roman"/>
          <w:color w:val="auto"/>
          <w:highlight w:val="none"/>
          <w:lang w:val="en-US" w:eastAsia="zh-CN"/>
        </w:rPr>
        <w:t>需控制反应温度的</w:t>
      </w:r>
      <w:r>
        <w:rPr>
          <w:rFonts w:hint="default" w:ascii="Times New Roman" w:hAnsi="Times New Roman" w:cs="Times New Roman"/>
          <w:color w:val="auto"/>
          <w:highlight w:val="none"/>
          <w:lang w:val="en-US" w:eastAsia="zh-CN"/>
        </w:rPr>
        <w:t>生产过程，</w:t>
      </w:r>
      <w:r>
        <w:rPr>
          <w:rFonts w:hint="default" w:ascii="Times New Roman" w:hAnsi="Times New Roman" w:eastAsia="宋体" w:cs="Times New Roman"/>
          <w:caps w:val="0"/>
          <w:smallCaps w:val="0"/>
          <w:color w:val="auto"/>
          <w:sz w:val="24"/>
          <w:highlight w:val="none"/>
          <w:lang w:val="en-US" w:eastAsia="zh-CN"/>
        </w:rPr>
        <w:t>先采用循环</w:t>
      </w:r>
      <w:r>
        <w:rPr>
          <w:rFonts w:hint="eastAsia" w:cs="Times New Roman"/>
          <w:caps w:val="0"/>
          <w:smallCaps w:val="0"/>
          <w:color w:val="auto"/>
          <w:sz w:val="24"/>
          <w:highlight w:val="none"/>
          <w:lang w:val="en-US" w:eastAsia="zh-CN"/>
        </w:rPr>
        <w:t>冷冻</w:t>
      </w:r>
      <w:r>
        <w:rPr>
          <w:rFonts w:hint="default" w:ascii="Times New Roman" w:hAnsi="Times New Roman" w:eastAsia="宋体" w:cs="Times New Roman"/>
          <w:caps w:val="0"/>
          <w:smallCaps w:val="0"/>
          <w:color w:val="auto"/>
          <w:sz w:val="24"/>
          <w:highlight w:val="none"/>
          <w:lang w:val="en-US" w:eastAsia="zh-CN"/>
        </w:rPr>
        <w:t>水对</w:t>
      </w:r>
      <w:r>
        <w:rPr>
          <w:rFonts w:hint="eastAsia" w:cs="Times New Roman"/>
          <w:caps w:val="0"/>
          <w:smallCaps w:val="0"/>
          <w:color w:val="auto"/>
          <w:sz w:val="24"/>
          <w:highlight w:val="none"/>
          <w:lang w:val="en-US" w:eastAsia="zh-CN"/>
        </w:rPr>
        <w:t>反应釜</w:t>
      </w:r>
      <w:r>
        <w:rPr>
          <w:rFonts w:hint="default" w:ascii="Times New Roman" w:hAnsi="Times New Roman" w:eastAsia="宋体" w:cs="Times New Roman"/>
          <w:caps w:val="0"/>
          <w:smallCaps w:val="0"/>
          <w:color w:val="auto"/>
          <w:sz w:val="24"/>
          <w:highlight w:val="none"/>
          <w:lang w:val="en-US" w:eastAsia="zh-CN"/>
        </w:rPr>
        <w:t>进行降温，且</w:t>
      </w:r>
      <w:r>
        <w:rPr>
          <w:rFonts w:hint="default" w:ascii="Times New Roman" w:hAnsi="Times New Roman" w:cs="Times New Roman"/>
          <w:color w:val="auto"/>
          <w:highlight w:val="none"/>
          <w:lang w:val="en-US" w:eastAsia="zh-CN"/>
        </w:rPr>
        <w:t>应先添加物料水，</w:t>
      </w:r>
      <w:r>
        <w:rPr>
          <w:rFonts w:hint="default" w:ascii="Times New Roman" w:hAnsi="Times New Roman" w:eastAsia="宋体" w:cs="Times New Roman"/>
          <w:caps w:val="0"/>
          <w:smallCaps w:val="0"/>
          <w:color w:val="auto"/>
          <w:sz w:val="24"/>
          <w:highlight w:val="none"/>
          <w:lang w:val="en-US" w:eastAsia="zh-CN"/>
        </w:rPr>
        <w:t>并</w:t>
      </w:r>
      <w:r>
        <w:rPr>
          <w:rFonts w:hint="default" w:ascii="Times New Roman" w:hAnsi="Times New Roman" w:cs="Times New Roman"/>
          <w:color w:val="auto"/>
          <w:highlight w:val="none"/>
          <w:lang w:val="en-US" w:eastAsia="zh-CN"/>
        </w:rPr>
        <w:t>严格控制加料速度、加料方式，</w:t>
      </w:r>
      <w:r>
        <w:rPr>
          <w:rFonts w:hint="eastAsia" w:cs="Times New Roman"/>
          <w:color w:val="auto"/>
          <w:highlight w:val="none"/>
          <w:lang w:val="en-US" w:eastAsia="zh-CN"/>
        </w:rPr>
        <w:t>严格控制反应</w:t>
      </w:r>
      <w:r>
        <w:rPr>
          <w:rFonts w:hint="default" w:ascii="Times New Roman" w:hAnsi="Times New Roman" w:eastAsia="宋体" w:cs="Times New Roman"/>
          <w:caps w:val="0"/>
          <w:smallCaps w:val="0"/>
          <w:color w:val="auto"/>
          <w:sz w:val="24"/>
          <w:highlight w:val="none"/>
          <w:lang w:val="en-US" w:eastAsia="zh-CN"/>
        </w:rPr>
        <w:t>温度。</w:t>
      </w:r>
    </w:p>
    <w:p w14:paraId="02DD4750">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（6）设置紧急降温降压装置。生产过程中，出现异常反应导致温度和压力急剧上升的时候，作业人员须快速撤离作业现场，系统自动启动紧急降温降压装置。</w:t>
      </w:r>
    </w:p>
    <w:p w14:paraId="2A5F0C04">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7）为实现釜内物料在温度失控产生气体形成压力的情况下能够及时泄压，在反应釜顶部安装安全阀。对可能具有比较剧烈反应的过程应安装爆破片，或者安全阀和爆破片联用。爆破片的连接管出口必须伸到室外安全地点或者抽风管口，禁止指向道路和操作平台，以防物料喷溅伤人。</w:t>
      </w:r>
    </w:p>
    <w:p w14:paraId="289B7C66">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（8）产生有毒有害气体的设备应设置在当地常年主导风向的下风侧，便于气体扩散或抽空，也便于操作者合理操作以减少气体污染伤害。</w:t>
      </w:r>
    </w:p>
    <w:p w14:paraId="6910980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（9）工作人员在正常操作时宜穿防静电工作服，戴防护手套等。紧急情况下应急处理人员戴自给正压式呼吸器，穿防静电工作服，按应急处理原则及时处理，防止事故进一步扩大。</w:t>
      </w:r>
    </w:p>
    <w:p w14:paraId="29624E3C">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cs="Times New Roman"/>
          <w:color w:val="auto"/>
          <w:highlight w:val="none"/>
          <w:lang w:val="en-US" w:eastAsia="zh-CN"/>
        </w:rPr>
        <w:t>（10）在有爆炸危险介质的场所采用防爆</w:t>
      </w:r>
      <w:r>
        <w:rPr>
          <w:rFonts w:hint="eastAsia" w:cs="Times New Roman"/>
          <w:color w:val="auto"/>
          <w:highlight w:val="none"/>
          <w:lang w:val="en-US" w:eastAsia="zh-CN"/>
        </w:rPr>
        <w:t>电气</w:t>
      </w:r>
      <w:r>
        <w:rPr>
          <w:rFonts w:hint="default" w:ascii="Times New Roman" w:hAnsi="Times New Roman" w:cs="Times New Roman"/>
          <w:color w:val="auto"/>
          <w:highlight w:val="none"/>
          <w:lang w:val="en-US" w:eastAsia="zh-CN"/>
        </w:rPr>
        <w:t>设备和防爆照明。车间、设备及管道设置防雷、防静电措施。</w:t>
      </w:r>
    </w:p>
    <w:p w14:paraId="0FF887B4">
      <w:pPr>
        <w:pStyle w:val="26"/>
        <w:bidi w:val="0"/>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（11）进出罐区的车辆，必须配备阻火器。装料前必须先将槽车罐接地。罐区严禁烟火，且不能使用移动通讯设备。</w:t>
      </w:r>
    </w:p>
    <w:bookmarkEnd w:id="199"/>
    <w:p w14:paraId="7AA4E664">
      <w:pPr>
        <w:pStyle w:val="26"/>
        <w:bidi w:val="0"/>
        <w:rPr>
          <w:rFonts w:hint="default" w:ascii="Times New Roman" w:hAnsi="Times New Roman" w:cs="Times New Roman"/>
          <w:b/>
          <w:bCs/>
          <w:color w:val="auto"/>
          <w:highlight w:val="none"/>
          <w:lang w:val="en-US" w:eastAsia="zh-CN"/>
        </w:rPr>
      </w:pPr>
      <w:bookmarkStart w:id="200" w:name="_Hlk92706587"/>
      <w:r>
        <w:rPr>
          <w:rFonts w:hint="default" w:ascii="Times New Roman" w:hAnsi="Times New Roman" w:cs="Times New Roman"/>
          <w:b/>
          <w:bCs/>
          <w:color w:val="auto"/>
          <w:highlight w:val="none"/>
          <w:lang w:val="en-US" w:eastAsia="zh-CN"/>
        </w:rPr>
        <w:t>3、可燃/有毒气体检测报警系统</w:t>
      </w:r>
    </w:p>
    <w:p w14:paraId="75421B24">
      <w:pPr>
        <w:pStyle w:val="26"/>
        <w:bidi w:val="0"/>
        <w:rPr>
          <w:rFonts w:hint="default" w:ascii="Times New Roman" w:hAnsi="Times New Roman" w:cs="Times New Roman"/>
          <w:color w:val="auto"/>
          <w:highlight w:val="none"/>
          <w:lang w:val="en-US" w:eastAsia="zh-CN"/>
        </w:rPr>
      </w:pPr>
      <w:r>
        <w:rPr>
          <w:rFonts w:hint="eastAsia"/>
          <w:color w:val="auto"/>
          <w:highlight w:val="none"/>
          <w:lang w:val="en-US" w:eastAsia="zh-CN"/>
        </w:rPr>
        <w:t>在生产车间、罐区、仓库和装卸区等可能存在可燃气体/有毒气体泄漏的位置设置1套可燃气体/有毒气体检测系统，信号引入中央控制室集中报警</w:t>
      </w:r>
      <w:r>
        <w:rPr>
          <w:rFonts w:hint="default" w:ascii="Times New Roman" w:hAnsi="Times New Roman" w:cs="Times New Roman"/>
          <w:color w:val="auto"/>
          <w:highlight w:val="none"/>
          <w:lang w:val="en-US" w:eastAsia="zh-CN"/>
        </w:rPr>
        <w:t>，一旦探测到可燃/有毒气体泄漏，控制器发出声光报警信号，操作人员启动相应的保护设施，切断有关的物料管线或设备的进出物料管线阀门。</w:t>
      </w:r>
    </w:p>
    <w:bookmarkEnd w:id="200"/>
    <w:p w14:paraId="721A2428">
      <w:pPr>
        <w:pStyle w:val="4"/>
        <w:bidi w:val="0"/>
        <w:rPr>
          <w:rFonts w:hint="default" w:ascii="Times New Roman" w:hAnsi="Times New Roman" w:cs="Times New Roman"/>
          <w:color w:val="auto"/>
          <w:highlight w:val="none"/>
          <w:lang w:val="en-US" w:eastAsia="zh-CN"/>
        </w:rPr>
      </w:pPr>
      <w:bookmarkStart w:id="201" w:name="_Toc2460"/>
      <w:bookmarkStart w:id="202" w:name="_Toc15029"/>
      <w:bookmarkStart w:id="203" w:name="_Toc17330"/>
      <w:bookmarkStart w:id="204" w:name="_Toc27680"/>
      <w:r>
        <w:rPr>
          <w:rFonts w:hint="default" w:ascii="Times New Roman" w:hAnsi="Times New Roman" w:cs="Times New Roman"/>
          <w:color w:val="auto"/>
          <w:highlight w:val="none"/>
          <w:lang w:val="en-US" w:eastAsia="zh-CN"/>
        </w:rPr>
        <w:t>消防及火灾防范措施</w:t>
      </w:r>
      <w:bookmarkEnd w:id="201"/>
      <w:bookmarkEnd w:id="202"/>
      <w:bookmarkEnd w:id="203"/>
      <w:bookmarkEnd w:id="204"/>
    </w:p>
    <w:p w14:paraId="6F57B93A">
      <w:pPr>
        <w:ind w:left="0" w:leftChars="0" w:firstLine="482" w:firstLineChars="200"/>
        <w:rPr>
          <w:rFonts w:hint="default" w:ascii="Times New Roman" w:hAnsi="Times New Roman" w:cs="Times New Roman"/>
          <w:b/>
          <w:bCs/>
          <w:color w:val="auto"/>
          <w:sz w:val="24"/>
          <w:highlight w:val="none"/>
          <w:lang w:val="en-US" w:eastAsia="zh-CN"/>
        </w:rPr>
      </w:pPr>
      <w:bookmarkStart w:id="205" w:name="_Hlk92706636"/>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sz w:val="24"/>
          <w:highlight w:val="none"/>
          <w:lang w:val="en-US" w:eastAsia="zh-CN"/>
        </w:rPr>
        <w:t>消防水系统</w:t>
      </w:r>
    </w:p>
    <w:p w14:paraId="5528121B">
      <w:pPr>
        <w:ind w:left="0" w:leftChars="0" w:firstLine="480" w:firstLineChars="200"/>
        <w:rPr>
          <w:rFonts w:hint="default" w:ascii="Times New Roman" w:hAnsi="Times New Roman" w:cs="Times New Roman"/>
          <w:color w:val="auto"/>
          <w:szCs w:val="20"/>
        </w:rPr>
      </w:pPr>
      <w:r>
        <w:rPr>
          <w:rFonts w:hint="default" w:ascii="Times New Roman" w:hAnsi="Times New Roman" w:cs="Times New Roman"/>
          <w:bCs/>
          <w:color w:val="auto"/>
          <w:sz w:val="24"/>
          <w:highlight w:val="none"/>
          <w:lang w:val="en-US" w:eastAsia="zh-CN"/>
        </w:rPr>
        <w:t>本项目设1套消防系统，</w:t>
      </w:r>
      <w:r>
        <w:rPr>
          <w:rFonts w:hint="eastAsia" w:cs="Times New Roman"/>
          <w:bCs/>
          <w:color w:val="auto"/>
          <w:sz w:val="24"/>
          <w:highlight w:val="none"/>
          <w:lang w:val="en-US" w:eastAsia="zh-CN"/>
        </w:rPr>
        <w:t>由消防水罐、消防水泵、消防管网、消火栓等组成，厂区设</w:t>
      </w:r>
      <w:r>
        <w:rPr>
          <w:rFonts w:hint="eastAsia" w:cs="Times New Roman"/>
          <w:b w:val="0"/>
          <w:bCs w:val="0"/>
          <w:color w:val="auto"/>
          <w:highlight w:val="none"/>
          <w:lang w:val="en-US" w:eastAsia="zh-CN"/>
        </w:rPr>
        <w:t>2个330m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消防水罐</w:t>
      </w:r>
      <w:r>
        <w:rPr>
          <w:rFonts w:hint="eastAsia" w:eastAsia="宋体" w:cs="Times New Roman"/>
          <w:b w:val="0"/>
          <w:bCs w:val="0"/>
          <w:color w:val="auto"/>
          <w:highlight w:val="none"/>
          <w:lang w:val="en-US" w:eastAsia="zh-CN"/>
        </w:rPr>
        <w:t>、2台消防水泵，消防管网从消防水泵房引出在厂区布置呈环状，在环状管网上设地上式室外消火栓。</w:t>
      </w:r>
    </w:p>
    <w:p w14:paraId="75A413E6">
      <w:pPr>
        <w:ind w:left="0" w:leftChars="0" w:firstLine="482" w:firstLineChars="200"/>
        <w:rPr>
          <w:rFonts w:hint="default" w:ascii="Times New Roman" w:hAnsi="Times New Roman" w:cs="Times New Roman"/>
          <w:b/>
          <w:bCs/>
          <w:color w:val="auto"/>
          <w:lang w:val="en-US" w:eastAsia="zh-CN"/>
        </w:rPr>
      </w:pPr>
      <w:r>
        <w:rPr>
          <w:rFonts w:hint="default" w:ascii="Times New Roman" w:hAnsi="Times New Roman" w:cs="Times New Roman"/>
          <w:b/>
          <w:bCs/>
          <w:color w:val="auto"/>
          <w:sz w:val="24"/>
          <w:highlight w:val="none"/>
          <w:lang w:val="en-US" w:eastAsia="zh-CN"/>
        </w:rPr>
        <w:t>2、灭火器材配置</w:t>
      </w:r>
    </w:p>
    <w:p w14:paraId="42A0160A">
      <w:pPr>
        <w:ind w:left="0" w:leftChars="0" w:firstLine="480" w:firstLineChars="200"/>
        <w:rPr>
          <w:rFonts w:hint="default" w:ascii="Times New Roman" w:hAnsi="Times New Roman" w:cs="Times New Roman"/>
          <w:color w:val="auto"/>
          <w:lang w:val="en-US" w:eastAsia="zh-CN"/>
        </w:rPr>
      </w:pPr>
      <w:r>
        <w:rPr>
          <w:rFonts w:hint="default" w:ascii="Times New Roman" w:hAnsi="Times New Roman" w:cs="Times New Roman"/>
          <w:color w:val="auto"/>
          <w:highlight w:val="none"/>
          <w:lang w:val="en-US" w:eastAsia="zh-CN"/>
        </w:rPr>
        <w:t>严格按照《建筑灭火器配置设计规范》（GB50140-2005）的要求配置灭火器材</w:t>
      </w:r>
      <w:r>
        <w:rPr>
          <w:rFonts w:hint="eastAsia" w:cs="Times New Roman"/>
          <w:color w:val="auto"/>
          <w:highlight w:val="none"/>
          <w:lang w:val="en-US" w:eastAsia="zh-CN"/>
        </w:rPr>
        <w:t>，</w:t>
      </w:r>
      <w:r>
        <w:rPr>
          <w:rFonts w:hint="default" w:ascii="Times New Roman" w:hAnsi="Times New Roman" w:cs="Times New Roman"/>
          <w:color w:val="auto"/>
          <w:lang w:val="en-US" w:eastAsia="zh-CN"/>
        </w:rPr>
        <w:t>对灭火器材实行以下使用与管理要求：</w:t>
      </w:r>
    </w:p>
    <w:p w14:paraId="0C66232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1）各岗位对灭火器应设专人负责，经常检查维护，并掌握灭火器材的种类、规格及数量。</w:t>
      </w:r>
    </w:p>
    <w:p w14:paraId="2B66207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2）各种灭火器材应有固定的存放地点、放置地点明显，使用方便和防止腐蚀。灭火器应放在保温之处，不准随便搬运或到处乱扔。</w:t>
      </w:r>
    </w:p>
    <w:p w14:paraId="7C75109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3）各种灭火器材在非火灾情况下一律禁止动用，更不准擅自损坏。</w:t>
      </w:r>
    </w:p>
    <w:p w14:paraId="2C66732D">
      <w:pPr>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highlight w:val="none"/>
          <w:lang w:val="en-US" w:eastAsia="zh-CN"/>
        </w:rPr>
        <w:t>4）每季度或重要节日对灭火器材进行一次全面检查，灭火器要定期换药并做好详细记录。</w:t>
      </w:r>
    </w:p>
    <w:p w14:paraId="79AE8DD8">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lang w:val="en-US" w:eastAsia="zh-CN"/>
        </w:rPr>
        <w:t>3、</w:t>
      </w:r>
      <w:r>
        <w:rPr>
          <w:rFonts w:hint="default" w:ascii="Times New Roman" w:hAnsi="Times New Roman" w:cs="Times New Roman"/>
          <w:b/>
          <w:bCs/>
          <w:color w:val="auto"/>
          <w:highlight w:val="none"/>
          <w:lang w:val="en-US" w:eastAsia="zh-CN"/>
        </w:rPr>
        <w:t>火灾自动报警系统</w:t>
      </w:r>
    </w:p>
    <w:p w14:paraId="4DE5E74A">
      <w:pPr>
        <w:ind w:left="0" w:leftChars="0" w:firstLine="48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highlight w:val="none"/>
          <w:lang w:val="en-US" w:eastAsia="zh-CN"/>
        </w:rPr>
        <w:t>设置1套火灾自动监测报警系统，由火灾报警控制柜、现场手动报警按钮和火灾报警探测器组成，其中反应区使用防爆型火灾报警探测器。采用总线式系统，通过总线接收来自现场的报警信号并将报警信号发送到</w:t>
      </w:r>
      <w:r>
        <w:rPr>
          <w:rFonts w:hint="eastAsia" w:cs="Times New Roman"/>
          <w:color w:val="auto"/>
          <w:highlight w:val="none"/>
          <w:lang w:val="en-US" w:eastAsia="zh-CN"/>
        </w:rPr>
        <w:t>中央</w:t>
      </w:r>
      <w:r>
        <w:rPr>
          <w:rFonts w:hint="default" w:ascii="Times New Roman" w:hAnsi="Times New Roman" w:cs="Times New Roman"/>
          <w:color w:val="auto"/>
          <w:highlight w:val="none"/>
          <w:lang w:val="en-US" w:eastAsia="zh-CN"/>
        </w:rPr>
        <w:t>控制室，以便进行火灾扑救工作。</w:t>
      </w:r>
    </w:p>
    <w:p w14:paraId="749AD8B6">
      <w:pPr>
        <w:ind w:left="0" w:leftChars="0" w:firstLine="482" w:firstLineChars="200"/>
        <w:rPr>
          <w:rFonts w:hint="default" w:ascii="Times New Roman" w:hAnsi="Times New Roman" w:eastAsia="宋体" w:cs="Times New Roman"/>
          <w:b/>
          <w:bCs/>
          <w:color w:val="auto"/>
          <w:lang w:val="en-US" w:eastAsia="zh-CN"/>
        </w:rPr>
      </w:pPr>
      <w:r>
        <w:rPr>
          <w:rFonts w:hint="default" w:ascii="Times New Roman" w:hAnsi="Times New Roman" w:cs="Times New Roman"/>
          <w:b/>
          <w:bCs/>
          <w:color w:val="auto"/>
          <w:lang w:val="en-US" w:eastAsia="zh-CN"/>
        </w:rPr>
        <w:t>4、消防站</w:t>
      </w:r>
    </w:p>
    <w:p w14:paraId="06FBA91F">
      <w:pPr>
        <w:pStyle w:val="26"/>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0"/>
          <w:sz w:val="24"/>
          <w:szCs w:val="24"/>
          <w:lang w:val="en-US" w:eastAsia="zh-CN" w:bidi="ar"/>
        </w:rPr>
        <w:t>依托园区内</w:t>
      </w:r>
      <w:r>
        <w:rPr>
          <w:rFonts w:hint="eastAsia" w:cs="Times New Roman"/>
          <w:color w:val="auto"/>
          <w:kern w:val="0"/>
          <w:sz w:val="24"/>
          <w:szCs w:val="24"/>
          <w:lang w:val="en-US" w:eastAsia="zh-CN" w:bidi="ar"/>
        </w:rPr>
        <w:t>拟建1</w:t>
      </w:r>
      <w:r>
        <w:rPr>
          <w:rFonts w:hint="default" w:ascii="Times New Roman" w:hAnsi="Times New Roman" w:eastAsia="宋体" w:cs="Times New Roman"/>
          <w:color w:val="auto"/>
          <w:kern w:val="0"/>
          <w:sz w:val="24"/>
          <w:szCs w:val="24"/>
          <w:lang w:val="en-US" w:eastAsia="zh-CN" w:bidi="ar"/>
        </w:rPr>
        <w:t>个消防站，位于</w:t>
      </w:r>
      <w:r>
        <w:rPr>
          <w:rFonts w:hint="eastAsia" w:cs="Times New Roman"/>
          <w:color w:val="auto"/>
          <w:kern w:val="0"/>
          <w:sz w:val="24"/>
          <w:szCs w:val="24"/>
          <w:lang w:val="en-US" w:eastAsia="zh-CN" w:bidi="ar"/>
        </w:rPr>
        <w:t>园区</w:t>
      </w:r>
      <w:r>
        <w:rPr>
          <w:rFonts w:hint="default" w:ascii="Times New Roman" w:hAnsi="Times New Roman" w:eastAsia="宋体" w:cs="Times New Roman"/>
          <w:color w:val="auto"/>
          <w:kern w:val="0"/>
          <w:sz w:val="24"/>
          <w:szCs w:val="24"/>
          <w:lang w:val="en-US" w:eastAsia="zh-CN" w:bidi="ar"/>
        </w:rPr>
        <w:t>东侧金春路与纬一路交口处。</w:t>
      </w:r>
    </w:p>
    <w:p w14:paraId="03538515">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5、消防管理制度</w:t>
      </w:r>
    </w:p>
    <w:p w14:paraId="0C7AD9C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（1）要求各级领导和职工必须认真学习消防常识及各种消防管理标准；应对电、气焊工人、电工及生产使用易燃易爆物品或可燃物资集中的人员采取短期训练方法，进行消防常识教育。</w:t>
      </w:r>
    </w:p>
    <w:p w14:paraId="38422CB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（2）生产区内一律严禁吸烟；操作工一律禁止携带火柴、打火机等一切引火物进入化学品库、</w:t>
      </w:r>
      <w:r>
        <w:rPr>
          <w:rFonts w:hint="eastAsia" w:cs="Times New Roman"/>
          <w:b w:val="0"/>
          <w:bCs w:val="0"/>
          <w:color w:val="auto"/>
          <w:highlight w:val="none"/>
          <w:lang w:val="en-US" w:eastAsia="zh-CN"/>
        </w:rPr>
        <w:t>危废暂存间</w:t>
      </w:r>
      <w:r>
        <w:rPr>
          <w:rFonts w:hint="default" w:ascii="Times New Roman" w:hAnsi="Times New Roman" w:cs="Times New Roman"/>
          <w:color w:val="auto"/>
          <w:highlight w:val="none"/>
          <w:lang w:val="en-US" w:eastAsia="zh-CN"/>
        </w:rPr>
        <w:t>、仓库等区域；职工禁止将易燃易爆物品存放在岗位上。</w:t>
      </w:r>
    </w:p>
    <w:p w14:paraId="2216F9B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（3）根据生产使用储存物品的性质及各单位周围环境的危险程度，该企业动火区域进行分级，动火时必须办理动火许可证，并按照动火安全规程进行操作。</w:t>
      </w:r>
    </w:p>
    <w:p w14:paraId="50C5609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（4）发生火警时在消防队未到达前，事故单位的负责人要立即组织义务消防队和职工进行补救。</w:t>
      </w:r>
    </w:p>
    <w:p w14:paraId="769D83CA">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（5）火灾消灭后，一定要做到</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三不放过</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，即事故原因不清不放过，责任者和工人不受教育不放过，不采取有效措施不放过。</w:t>
      </w:r>
    </w:p>
    <w:p w14:paraId="1586612C">
      <w:pPr>
        <w:pStyle w:val="4"/>
        <w:bidi w:val="0"/>
        <w:rPr>
          <w:rFonts w:hint="default" w:ascii="Times New Roman" w:hAnsi="Times New Roman" w:cs="Times New Roman"/>
          <w:color w:val="auto"/>
          <w:highlight w:val="none"/>
          <w:lang w:val="en-US" w:eastAsia="zh-CN"/>
        </w:rPr>
      </w:pPr>
      <w:bookmarkStart w:id="206" w:name="_Toc24023"/>
      <w:bookmarkStart w:id="207" w:name="_Toc30392"/>
      <w:bookmarkStart w:id="208" w:name="_Toc13303"/>
      <w:bookmarkStart w:id="209" w:name="_Toc11303"/>
      <w:r>
        <w:rPr>
          <w:rFonts w:hint="default" w:ascii="Times New Roman" w:hAnsi="Times New Roman" w:cs="Times New Roman"/>
          <w:color w:val="auto"/>
          <w:highlight w:val="none"/>
          <w:lang w:val="en-US" w:eastAsia="zh-CN"/>
        </w:rPr>
        <w:t>物料输送管道风险防范措施</w:t>
      </w:r>
      <w:bookmarkEnd w:id="206"/>
      <w:bookmarkEnd w:id="207"/>
      <w:bookmarkEnd w:id="208"/>
      <w:bookmarkEnd w:id="209"/>
    </w:p>
    <w:p w14:paraId="1C43B7E2">
      <w:pPr>
        <w:pStyle w:val="26"/>
        <w:bidi w:val="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本项目液体物料采用泵和管道输送，管道、管件、阀门、法兰、垫片、紧固件等要选择合格厂家的产品，选材要合理、质量和强度要满足工艺的要求；管道的安装焊接施工单位应具备相关资质，并按要求严格实施管道的焊接和安装工作。</w:t>
      </w:r>
    </w:p>
    <w:p w14:paraId="01926C8F">
      <w:pPr>
        <w:pStyle w:val="26"/>
        <w:bidi w:val="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（2）管道采用柔性布置，充分考虑温度对管道位移的影响，防止管道因为热胀冷缩等因素产生变形、弯曲、拱起等。</w:t>
      </w:r>
    </w:p>
    <w:p w14:paraId="7AE5EB92">
      <w:pPr>
        <w:pStyle w:val="26"/>
        <w:bidi w:val="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（3）管道采用必要的防腐蚀措施。对输送腐蚀性介质的管道，根据介质特性选择合理的材料或加防腐蚀内衬，管道外部涂抹防腐涂料。</w:t>
      </w:r>
    </w:p>
    <w:p w14:paraId="6FD4433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物料泄漏风险防范措施</w:t>
      </w:r>
    </w:p>
    <w:p w14:paraId="112F68AE">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针对项目可能存在的物料泄漏事故，可采取如下风险防范措施：</w:t>
      </w:r>
    </w:p>
    <w:p w14:paraId="6A1C3BA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eastAsia" w:ascii="Times New Roman" w:hAnsi="Times New Roman" w:eastAsia="宋体"/>
          <w:color w:val="auto"/>
          <w:highlight w:val="none"/>
          <w:lang w:val="en-US" w:eastAsia="zh-CN"/>
        </w:rPr>
        <w:t>1#罐区四周设</w:t>
      </w:r>
      <w:r>
        <w:rPr>
          <w:rFonts w:hint="eastAsia"/>
          <w:color w:val="auto"/>
          <w:highlight w:val="none"/>
          <w:lang w:val="en-US" w:eastAsia="zh-CN"/>
        </w:rPr>
        <w:t>0.6</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w:t>
      </w:r>
      <w:r>
        <w:rPr>
          <w:rFonts w:hint="eastAsia"/>
          <w:color w:val="auto"/>
          <w:highlight w:val="none"/>
          <w:lang w:val="en-US" w:eastAsia="zh-CN"/>
        </w:rPr>
        <w:t>、2</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1.1</w:t>
      </w:r>
      <w:r>
        <w:rPr>
          <w:rFonts w:hint="eastAsia" w:ascii="Times New Roman" w:hAnsi="Times New Roman" w:eastAsia="宋体"/>
          <w:color w:val="auto"/>
          <w:highlight w:val="none"/>
          <w:lang w:val="en-US" w:eastAsia="zh-CN"/>
        </w:rPr>
        <w:t>m高防火堤（与围堰合建）</w:t>
      </w:r>
      <w:r>
        <w:rPr>
          <w:rFonts w:hint="eastAsia"/>
          <w:color w:val="auto"/>
          <w:highlight w:val="none"/>
          <w:lang w:val="en-US" w:eastAsia="zh-CN"/>
        </w:rPr>
        <w:t>、3</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0.4</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堤（与围堰合建），且</w:t>
      </w:r>
      <w:r>
        <w:rPr>
          <w:rFonts w:hint="eastAsia"/>
          <w:color w:val="auto"/>
          <w:highlight w:val="none"/>
          <w:lang w:val="en-US" w:eastAsia="zh-CN"/>
        </w:rPr>
        <w:t>1#和2#</w:t>
      </w:r>
      <w:r>
        <w:rPr>
          <w:rFonts w:hint="eastAsia" w:ascii="Times New Roman" w:hAnsi="Times New Roman" w:eastAsia="宋体"/>
          <w:color w:val="auto"/>
          <w:highlight w:val="none"/>
          <w:lang w:val="en-US" w:eastAsia="zh-CN"/>
        </w:rPr>
        <w:t>罐区内各区域均设1个容积</w:t>
      </w:r>
      <w:r>
        <w:rPr>
          <w:rFonts w:hint="eastAsia"/>
          <w:color w:val="auto"/>
          <w:highlight w:val="none"/>
          <w:lang w:val="en-US" w:eastAsia="zh-CN"/>
        </w:rPr>
        <w:t>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池、3#</w:t>
      </w:r>
      <w:r>
        <w:rPr>
          <w:rFonts w:hint="eastAsia" w:ascii="Times New Roman" w:hAnsi="Times New Roman" w:eastAsia="宋体"/>
          <w:color w:val="auto"/>
          <w:highlight w:val="none"/>
          <w:lang w:val="en-US" w:eastAsia="zh-CN"/>
        </w:rPr>
        <w:t>罐区内设1个容积</w:t>
      </w:r>
      <w:r>
        <w:rPr>
          <w:rFonts w:hint="eastAsia"/>
          <w:color w:val="auto"/>
          <w:highlight w:val="none"/>
          <w:lang w:val="en-US" w:eastAsia="zh-CN"/>
        </w:rPr>
        <w:t>1.44</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p w14:paraId="44F83E7D">
      <w:pPr>
        <w:pStyle w:val="2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（2）</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ascii="Times New Roman" w:hAnsi="Times New Roman" w:eastAsia="宋体" w:cs="Times New Roman"/>
          <w:b w:val="0"/>
          <w:bCs w:val="0"/>
          <w:color w:val="auto"/>
          <w:highlight w:val="none"/>
          <w:lang w:val="en-US" w:eastAsia="zh-CN"/>
        </w:rPr>
        <w:t>。</w:t>
      </w:r>
    </w:p>
    <w:p w14:paraId="66B7AFEC">
      <w:pPr>
        <w:pStyle w:val="26"/>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w:t>
      </w:r>
      <w:r>
        <w:rPr>
          <w:rFonts w:hint="eastAsia"/>
          <w:color w:val="auto"/>
          <w:lang w:val="en-US" w:eastAsia="zh-CN"/>
        </w:rPr>
        <w:t>仓库内液体库</w:t>
      </w:r>
      <w:r>
        <w:rPr>
          <w:rFonts w:hint="eastAsia"/>
          <w:color w:val="auto"/>
          <w:sz w:val="24"/>
          <w:szCs w:val="24"/>
          <w:lang w:val="en-US" w:eastAsia="zh-CN"/>
        </w:rPr>
        <w:t>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w:t>
      </w:r>
    </w:p>
    <w:p w14:paraId="7C6C67F8">
      <w:pPr>
        <w:pStyle w:val="26"/>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（4）</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，用于事故</w:t>
      </w:r>
      <w:r>
        <w:rPr>
          <w:rFonts w:hint="eastAsia" w:cs="Times New Roman"/>
          <w:b w:val="0"/>
          <w:bCs w:val="0"/>
          <w:color w:val="auto"/>
          <w:sz w:val="24"/>
          <w:szCs w:val="24"/>
          <w:highlight w:val="none"/>
          <w:lang w:val="en-US" w:eastAsia="zh-CN"/>
        </w:rPr>
        <w:t>废水</w:t>
      </w:r>
      <w:r>
        <w:rPr>
          <w:rFonts w:hint="default" w:ascii="Times New Roman" w:hAnsi="Times New Roman" w:eastAsia="宋体" w:cs="Times New Roman"/>
          <w:b w:val="0"/>
          <w:bCs w:val="0"/>
          <w:color w:val="auto"/>
          <w:sz w:val="24"/>
          <w:szCs w:val="24"/>
          <w:highlight w:val="none"/>
          <w:lang w:val="en-US" w:eastAsia="zh-CN"/>
        </w:rPr>
        <w:t>的收集。</w:t>
      </w:r>
    </w:p>
    <w:p w14:paraId="53294A1B">
      <w:pPr>
        <w:pStyle w:val="26"/>
        <w:bidi w:val="0"/>
        <w:rPr>
          <w:rFonts w:hint="eastAsia" w:ascii="Times New Roman" w:hAnsi="Times New Roman" w:cs="Times New Roman"/>
          <w:b w:val="0"/>
          <w:bCs w:val="0"/>
          <w:color w:val="auto"/>
          <w:highlight w:val="none"/>
          <w:u w:val="none"/>
          <w:lang w:val="en-US" w:eastAsia="zh-CN"/>
        </w:rPr>
      </w:pPr>
      <w:r>
        <w:rPr>
          <w:rFonts w:hint="default" w:ascii="Times New Roman" w:hAnsi="Times New Roman" w:eastAsia="宋体" w:cs="Times New Roman"/>
          <w:color w:val="auto"/>
          <w:sz w:val="24"/>
          <w:szCs w:val="24"/>
          <w:highlight w:val="none"/>
          <w:lang w:val="en-US" w:eastAsia="zh-CN"/>
        </w:rPr>
        <w:t>（5）</w:t>
      </w:r>
      <w:r>
        <w:rPr>
          <w:rFonts w:hint="eastAsia" w:ascii="Times New Roman" w:hAnsi="Times New Roman" w:cs="Times New Roman"/>
          <w:b w:val="0"/>
          <w:bCs w:val="0"/>
          <w:color w:val="auto"/>
          <w:highlight w:val="none"/>
          <w:u w:val="none"/>
          <w:lang w:val="en-US" w:eastAsia="zh-CN"/>
        </w:rPr>
        <w:t>化学品/废液/废水管道可视化：</w:t>
      </w:r>
    </w:p>
    <w:p w14:paraId="31742B8D">
      <w:pPr>
        <w:pStyle w:val="33"/>
        <w:numPr>
          <w:ilvl w:val="0"/>
          <w:numId w:val="0"/>
        </w:numPr>
        <w:bidi w:val="0"/>
        <w:ind w:left="0" w:leftChars="0" w:firstLine="480" w:firstLineChars="200"/>
        <w:rPr>
          <w:rFonts w:hint="eastAsia" w:ascii="Times New Roman" w:hAnsi="Times New Roman" w:cs="Times New Roman"/>
          <w:b w:val="0"/>
          <w:bCs w:val="0"/>
          <w:color w:val="auto"/>
          <w:highlight w:val="none"/>
          <w:u w:val="none"/>
          <w:lang w:val="en-US" w:eastAsia="zh-CN"/>
        </w:rPr>
      </w:pPr>
      <w:r>
        <w:rPr>
          <w:rFonts w:hint="eastAsia" w:ascii="Times New Roman" w:hAnsi="Times New Roman" w:cs="Times New Roman"/>
          <w:b w:val="0"/>
          <w:bCs w:val="0"/>
          <w:color w:val="auto"/>
          <w:highlight w:val="none"/>
          <w:u w:val="none"/>
          <w:lang w:val="en-US" w:eastAsia="zh-CN"/>
        </w:rPr>
        <w:t>a.厂区内化学品输送管道均可视化架空设置。</w:t>
      </w:r>
    </w:p>
    <w:p w14:paraId="45A26BE7">
      <w:pPr>
        <w:pStyle w:val="33"/>
        <w:numPr>
          <w:ilvl w:val="0"/>
          <w:numId w:val="0"/>
        </w:numPr>
        <w:bidi w:val="0"/>
        <w:ind w:left="0" w:leftChars="0" w:firstLine="480" w:firstLineChars="200"/>
        <w:rPr>
          <w:rFonts w:hint="eastAsia" w:ascii="Times New Roman" w:hAnsi="Times New Roman" w:cs="Times New Roman"/>
          <w:b w:val="0"/>
          <w:bCs w:val="0"/>
          <w:color w:val="auto"/>
          <w:highlight w:val="none"/>
          <w:u w:val="none"/>
          <w:lang w:val="en-US" w:eastAsia="zh-CN"/>
        </w:rPr>
      </w:pPr>
      <w:r>
        <w:rPr>
          <w:rFonts w:hint="eastAsia" w:ascii="Times New Roman" w:hAnsi="Times New Roman" w:cs="Times New Roman"/>
          <w:b w:val="0"/>
          <w:bCs w:val="0"/>
          <w:color w:val="auto"/>
          <w:highlight w:val="none"/>
          <w:u w:val="none"/>
          <w:lang w:val="en-US" w:eastAsia="zh-CN"/>
        </w:rPr>
        <w:t>b.罐区、生产车间</w:t>
      </w:r>
      <w:r>
        <w:rPr>
          <w:rFonts w:hint="eastAsia" w:cs="Times New Roman"/>
          <w:b w:val="0"/>
          <w:bCs w:val="0"/>
          <w:color w:val="auto"/>
          <w:highlight w:val="none"/>
          <w:u w:val="none"/>
          <w:lang w:val="en-US" w:eastAsia="zh-CN"/>
        </w:rPr>
        <w:t>、液体库区、危废暂存间</w:t>
      </w:r>
      <w:r>
        <w:rPr>
          <w:rFonts w:hint="eastAsia" w:ascii="Times New Roman" w:hAnsi="Times New Roman" w:cs="Times New Roman"/>
          <w:b w:val="0"/>
          <w:bCs w:val="0"/>
          <w:color w:val="auto"/>
          <w:highlight w:val="none"/>
          <w:u w:val="none"/>
          <w:lang w:val="en-US" w:eastAsia="zh-CN"/>
        </w:rPr>
        <w:t>设集水</w:t>
      </w:r>
      <w:r>
        <w:rPr>
          <w:rFonts w:hint="eastAsia"/>
          <w:color w:val="auto"/>
          <w:sz w:val="24"/>
          <w:szCs w:val="24"/>
          <w:highlight w:val="none"/>
          <w:u w:val="none"/>
          <w:lang w:val="en-US" w:eastAsia="zh-CN"/>
        </w:rPr>
        <w:t>池</w:t>
      </w:r>
      <w:r>
        <w:rPr>
          <w:rFonts w:hint="eastAsia" w:ascii="Times New Roman" w:hAnsi="Times New Roman" w:cs="Times New Roman"/>
          <w:b w:val="0"/>
          <w:bCs w:val="0"/>
          <w:color w:val="auto"/>
          <w:highlight w:val="none"/>
          <w:u w:val="none"/>
          <w:lang w:val="en-US" w:eastAsia="zh-CN"/>
        </w:rPr>
        <w:t>，集水池设潜污泵。正常工况下，上述区域初期雨水经集水</w:t>
      </w:r>
      <w:r>
        <w:rPr>
          <w:rFonts w:hint="eastAsia"/>
          <w:color w:val="auto"/>
          <w:sz w:val="24"/>
          <w:szCs w:val="24"/>
          <w:highlight w:val="none"/>
          <w:u w:val="none"/>
          <w:lang w:val="en-US" w:eastAsia="zh-CN"/>
        </w:rPr>
        <w:t>池</w:t>
      </w:r>
      <w:r>
        <w:rPr>
          <w:rFonts w:hint="eastAsia" w:ascii="Times New Roman" w:hAnsi="Times New Roman" w:cs="Times New Roman"/>
          <w:b w:val="0"/>
          <w:bCs w:val="0"/>
          <w:color w:val="auto"/>
          <w:highlight w:val="none"/>
          <w:u w:val="none"/>
          <w:lang w:val="en-US" w:eastAsia="zh-CN"/>
        </w:rPr>
        <w:t>收集，并通过埋地钢筋混凝土管道自流至初期雨水池，作为回用水用于高性能聚羧酸减水剂复配</w:t>
      </w:r>
      <w:r>
        <w:rPr>
          <w:rFonts w:hint="eastAsia" w:cs="Times New Roman"/>
          <w:b w:val="0"/>
          <w:bCs w:val="0"/>
          <w:color w:val="auto"/>
          <w:highlight w:val="none"/>
          <w:u w:val="none"/>
          <w:lang w:val="en-US" w:eastAsia="zh-CN"/>
        </w:rPr>
        <w:t>，</w:t>
      </w:r>
      <w:r>
        <w:rPr>
          <w:rFonts w:hint="eastAsia" w:ascii="Times New Roman" w:hAnsi="Times New Roman" w:cs="Times New Roman"/>
          <w:b w:val="0"/>
          <w:bCs w:val="0"/>
          <w:color w:val="auto"/>
          <w:highlight w:val="none"/>
          <w:u w:val="none"/>
          <w:lang w:val="en-US" w:eastAsia="zh-CN"/>
        </w:rPr>
        <w:t>同时，初期雨水池前端设置截断阀，降雨后期关闭初期雨水池进水口，清洁雨水直接排入</w:t>
      </w:r>
      <w:r>
        <w:rPr>
          <w:rFonts w:hint="eastAsia" w:cs="Times New Roman"/>
          <w:b w:val="0"/>
          <w:bCs w:val="0"/>
          <w:color w:val="auto"/>
          <w:highlight w:val="none"/>
          <w:u w:val="none"/>
          <w:lang w:val="en-US" w:eastAsia="zh-CN"/>
        </w:rPr>
        <w:t>周围地表水体。</w:t>
      </w:r>
      <w:r>
        <w:rPr>
          <w:rFonts w:hint="eastAsia" w:ascii="Times New Roman" w:hAnsi="Times New Roman" w:cs="Times New Roman"/>
          <w:b w:val="0"/>
          <w:bCs w:val="0"/>
          <w:color w:val="auto"/>
          <w:highlight w:val="none"/>
          <w:u w:val="none"/>
          <w:lang w:val="en-US" w:eastAsia="zh-CN"/>
        </w:rPr>
        <w:t>事故状态下，泄漏液体或消防废水经集水</w:t>
      </w:r>
      <w:r>
        <w:rPr>
          <w:rFonts w:hint="eastAsia" w:cs="Times New Roman"/>
          <w:b w:val="0"/>
          <w:bCs w:val="0"/>
          <w:color w:val="auto"/>
          <w:highlight w:val="none"/>
          <w:u w:val="none"/>
          <w:lang w:val="en-US" w:eastAsia="zh-CN"/>
        </w:rPr>
        <w:t>池</w:t>
      </w:r>
      <w:r>
        <w:rPr>
          <w:rFonts w:hint="eastAsia" w:ascii="Times New Roman" w:hAnsi="Times New Roman" w:cs="Times New Roman"/>
          <w:b w:val="0"/>
          <w:bCs w:val="0"/>
          <w:color w:val="auto"/>
          <w:highlight w:val="none"/>
          <w:u w:val="none"/>
          <w:lang w:val="en-US" w:eastAsia="zh-CN"/>
        </w:rPr>
        <w:t>内</w:t>
      </w:r>
      <w:r>
        <w:rPr>
          <w:rFonts w:hint="eastAsia" w:cs="Times New Roman"/>
          <w:b w:val="0"/>
          <w:bCs w:val="0"/>
          <w:color w:val="auto"/>
          <w:highlight w:val="none"/>
          <w:u w:val="none"/>
          <w:lang w:val="en-US" w:eastAsia="zh-CN"/>
        </w:rPr>
        <w:t>潜污</w:t>
      </w:r>
      <w:r>
        <w:rPr>
          <w:rFonts w:hint="eastAsia" w:ascii="Times New Roman" w:hAnsi="Times New Roman" w:cs="Times New Roman"/>
          <w:b w:val="0"/>
          <w:bCs w:val="0"/>
          <w:color w:val="auto"/>
          <w:highlight w:val="none"/>
          <w:u w:val="none"/>
          <w:lang w:val="en-US" w:eastAsia="zh-CN"/>
        </w:rPr>
        <w:t>泵泵入可视化架空设置的废液/废水管道，输送至事故应急池</w:t>
      </w:r>
      <w:r>
        <w:rPr>
          <w:rFonts w:hint="eastAsia" w:cs="Times New Roman"/>
          <w:b w:val="0"/>
          <w:bCs w:val="0"/>
          <w:color w:val="auto"/>
          <w:highlight w:val="none"/>
          <w:u w:val="none"/>
          <w:lang w:val="en-US" w:eastAsia="zh-CN"/>
        </w:rPr>
        <w:t>，最终作为危废交由具资质单位处置</w:t>
      </w:r>
      <w:r>
        <w:rPr>
          <w:rFonts w:hint="eastAsia" w:ascii="Times New Roman" w:hAnsi="Times New Roman" w:cs="Times New Roman"/>
          <w:b w:val="0"/>
          <w:bCs w:val="0"/>
          <w:color w:val="auto"/>
          <w:highlight w:val="none"/>
          <w:u w:val="none"/>
          <w:lang w:val="en-US" w:eastAsia="zh-CN"/>
        </w:rPr>
        <w:t>。</w:t>
      </w:r>
    </w:p>
    <w:p w14:paraId="39BFD9C4">
      <w:pPr>
        <w:pStyle w:val="33"/>
        <w:numPr>
          <w:ilvl w:val="0"/>
          <w:numId w:val="0"/>
        </w:numPr>
        <w:bidi w:val="0"/>
        <w:ind w:left="0" w:leftChars="0" w:firstLine="480" w:firstLineChars="200"/>
        <w:rPr>
          <w:rFonts w:hint="eastAsia" w:ascii="Times New Roman" w:hAnsi="Times New Roman" w:cs="Times New Roman"/>
          <w:b w:val="0"/>
          <w:bCs w:val="0"/>
          <w:color w:val="auto"/>
          <w:highlight w:val="none"/>
          <w:u w:val="none"/>
          <w:lang w:val="en-US" w:eastAsia="zh-CN"/>
        </w:rPr>
      </w:pPr>
      <w:r>
        <w:rPr>
          <w:rFonts w:hint="eastAsia" w:ascii="Times New Roman" w:hAnsi="Times New Roman" w:cs="Times New Roman"/>
          <w:b w:val="0"/>
          <w:bCs w:val="0"/>
          <w:color w:val="auto"/>
          <w:highlight w:val="none"/>
          <w:u w:val="none"/>
          <w:lang w:val="en-US" w:eastAsia="zh-CN"/>
        </w:rPr>
        <w:t>c.厂区内</w:t>
      </w:r>
      <w:r>
        <w:rPr>
          <w:rFonts w:hint="eastAsia" w:cs="Times New Roman"/>
          <w:b w:val="0"/>
          <w:bCs w:val="0"/>
          <w:color w:val="auto"/>
          <w:highlight w:val="none"/>
          <w:u w:val="none"/>
          <w:lang w:val="en-US" w:eastAsia="zh-CN"/>
        </w:rPr>
        <w:t>生产废水（即车间地面清洁废水）</w:t>
      </w:r>
      <w:r>
        <w:rPr>
          <w:rFonts w:hint="eastAsia" w:ascii="Times New Roman" w:hAnsi="Times New Roman" w:cs="Times New Roman"/>
          <w:b w:val="0"/>
          <w:bCs w:val="0"/>
          <w:color w:val="auto"/>
          <w:highlight w:val="none"/>
          <w:u w:val="none"/>
          <w:lang w:val="en-US" w:eastAsia="zh-CN"/>
        </w:rPr>
        <w:t>管道可视化架空设置，</w:t>
      </w:r>
      <w:r>
        <w:rPr>
          <w:rFonts w:hint="eastAsia" w:cs="Times New Roman"/>
          <w:b w:val="0"/>
          <w:bCs w:val="0"/>
          <w:color w:val="auto"/>
          <w:highlight w:val="none"/>
          <w:u w:val="none"/>
          <w:lang w:val="en-US" w:eastAsia="zh-CN"/>
        </w:rPr>
        <w:t>车间地面清洁废水经集水池收集后</w:t>
      </w:r>
      <w:r>
        <w:rPr>
          <w:rFonts w:hint="eastAsia" w:ascii="Times New Roman" w:hAnsi="Times New Roman" w:cs="Times New Roman"/>
          <w:b w:val="0"/>
          <w:bCs w:val="0"/>
          <w:color w:val="auto"/>
          <w:highlight w:val="none"/>
          <w:u w:val="none"/>
          <w:lang w:val="en-US" w:eastAsia="zh-CN"/>
        </w:rPr>
        <w:t>泵入可视化架空设置的废水管道，输送至</w:t>
      </w:r>
      <w:r>
        <w:rPr>
          <w:rFonts w:hint="eastAsia" w:cs="Times New Roman"/>
          <w:b w:val="0"/>
          <w:bCs w:val="0"/>
          <w:color w:val="auto"/>
          <w:highlight w:val="none"/>
          <w:u w:val="none"/>
          <w:lang w:val="en-US" w:eastAsia="zh-CN"/>
        </w:rPr>
        <w:t>沉淀池</w:t>
      </w:r>
      <w:r>
        <w:rPr>
          <w:rFonts w:hint="eastAsia" w:ascii="Times New Roman" w:hAnsi="Times New Roman" w:cs="Times New Roman"/>
          <w:b w:val="0"/>
          <w:bCs w:val="0"/>
          <w:color w:val="auto"/>
          <w:highlight w:val="none"/>
          <w:u w:val="none"/>
          <w:lang w:val="en-US" w:eastAsia="zh-CN"/>
        </w:rPr>
        <w:t>，</w:t>
      </w:r>
      <w:r>
        <w:rPr>
          <w:rFonts w:hint="eastAsia" w:cs="Times New Roman"/>
          <w:b w:val="0"/>
          <w:bCs w:val="0"/>
          <w:color w:val="auto"/>
          <w:highlight w:val="none"/>
          <w:u w:val="none"/>
          <w:lang w:val="en-US" w:eastAsia="zh-CN"/>
        </w:rPr>
        <w:t>经沉淀后</w:t>
      </w:r>
      <w:r>
        <w:rPr>
          <w:rFonts w:hint="eastAsia" w:ascii="Times New Roman" w:hAnsi="Times New Roman" w:cs="Times New Roman"/>
          <w:b w:val="0"/>
          <w:bCs w:val="0"/>
          <w:color w:val="auto"/>
          <w:highlight w:val="none"/>
          <w:u w:val="none"/>
          <w:lang w:val="en-US" w:eastAsia="zh-CN"/>
        </w:rPr>
        <w:t>作为回用水用于高性能聚羧酸减水剂复配。</w:t>
      </w:r>
    </w:p>
    <w:p w14:paraId="1BD765F9">
      <w:pPr>
        <w:pStyle w:val="26"/>
        <w:bidi w:val="0"/>
        <w:ind w:left="0" w:leftChars="0" w:firstLine="0" w:firstLineChars="0"/>
        <w:jc w:val="center"/>
        <w:rPr>
          <w:rFonts w:hint="eastAsia" w:ascii="Times New Roman" w:hAnsi="Times New Roman" w:cs="Times New Roman"/>
          <w:b w:val="0"/>
          <w:bCs w:val="0"/>
          <w:color w:val="auto"/>
          <w:highlight w:val="none"/>
          <w:u w:val="none"/>
          <w:lang w:val="en-US" w:eastAsia="zh-CN"/>
        </w:rPr>
      </w:pPr>
      <w:r>
        <w:rPr>
          <w:rFonts w:hint="eastAsia" w:ascii="Times New Roman" w:hAnsi="Times New Roman" w:cs="Times New Roman"/>
          <w:b w:val="0"/>
          <w:bCs w:val="0"/>
          <w:color w:val="auto"/>
          <w:highlight w:val="none"/>
          <w:u w:val="none"/>
          <w:lang w:val="en-US" w:eastAsia="zh-CN"/>
        </w:rPr>
        <w:object>
          <v:shape id="_x0000_i1050" o:spt="75" type="#_x0000_t75" style="height:201pt;width:453pt;" o:ole="t" filled="f" o:preferrelative="t" stroked="f" coordsize="21600,21600">
            <v:path/>
            <v:fill on="f" focussize="0,0"/>
            <v:stroke on="f"/>
            <v:imagedata r:id="rId203" o:title=""/>
            <o:lock v:ext="edit" aspectratio="f"/>
            <w10:wrap type="none"/>
            <w10:anchorlock/>
          </v:shape>
          <o:OLEObject Type="Embed" ProgID="Visio.Drawing.11" ShapeID="_x0000_i1050" DrawAspect="Content" ObjectID="_1468075750" r:id="rId202">
            <o:LockedField>false</o:LockedField>
          </o:OLEObject>
        </w:object>
      </w:r>
    </w:p>
    <w:p w14:paraId="1134FE2E">
      <w:pPr>
        <w:pStyle w:val="26"/>
        <w:numPr>
          <w:ilvl w:val="0"/>
          <w:numId w:val="38"/>
        </w:numPr>
        <w:bidi w:val="0"/>
        <w:ind w:left="425" w:leftChars="0" w:hanging="425" w:firstLineChars="0"/>
        <w:jc w:val="center"/>
        <w:rPr>
          <w:rFonts w:hint="default" w:ascii="Times New Roman" w:hAnsi="Times New Roman" w:cs="Times New Roman"/>
          <w:b w:val="0"/>
          <w:bCs w:val="0"/>
          <w:color w:val="auto"/>
          <w:highlight w:val="none"/>
          <w:u w:val="none"/>
          <w:lang w:val="en-US" w:eastAsia="zh-CN"/>
        </w:rPr>
      </w:pPr>
      <w:r>
        <w:rPr>
          <w:rFonts w:hint="eastAsia" w:ascii="黑体" w:hAnsi="黑体" w:eastAsia="黑体" w:cs="黑体"/>
          <w:color w:val="auto"/>
          <w:sz w:val="21"/>
          <w:szCs w:val="21"/>
          <w:highlight w:val="none"/>
          <w:lang w:val="en-US" w:eastAsia="zh-CN"/>
        </w:rPr>
        <w:t>防止事故废水进入外环境的控制及封堵系统图</w:t>
      </w:r>
    </w:p>
    <w:p w14:paraId="24A76F8B">
      <w:pPr>
        <w:pStyle w:val="26"/>
        <w:bidi w:val="0"/>
        <w:rPr>
          <w:rFonts w:hint="default" w:ascii="Times New Roman" w:hAnsi="Times New Roman" w:cs="Times New Roman"/>
          <w:b w:val="0"/>
          <w:bCs w:val="0"/>
          <w:color w:val="auto"/>
          <w:highlight w:val="none"/>
          <w:u w:val="none"/>
          <w:lang w:val="en-US" w:eastAsia="zh-CN"/>
        </w:rPr>
      </w:pPr>
      <w:r>
        <w:rPr>
          <w:rFonts w:hint="eastAsia" w:cs="Times New Roman"/>
          <w:b w:val="0"/>
          <w:bCs w:val="0"/>
          <w:color w:val="auto"/>
          <w:highlight w:val="none"/>
          <w:u w:val="none"/>
          <w:lang w:val="en-US" w:eastAsia="zh-CN"/>
        </w:rPr>
        <w:t>（5）地下水</w:t>
      </w:r>
    </w:p>
    <w:p w14:paraId="58C7C81F">
      <w:pPr>
        <w:pStyle w:val="26"/>
        <w:bidi w:val="0"/>
        <w:rPr>
          <w:rFonts w:hint="default" w:ascii="Times New Roman" w:hAnsi="Times New Roman" w:cs="Times New Roman"/>
          <w:b w:val="0"/>
          <w:bCs w:val="0"/>
          <w:color w:val="auto"/>
          <w:highlight w:val="none"/>
          <w:u w:val="none"/>
          <w:lang w:val="en-US" w:eastAsia="zh-CN"/>
        </w:rPr>
      </w:pPr>
      <w:r>
        <w:rPr>
          <w:rFonts w:hint="eastAsia" w:cs="Times New Roman"/>
          <w:b w:val="0"/>
          <w:bCs w:val="0"/>
          <w:color w:val="auto"/>
          <w:highlight w:val="none"/>
          <w:u w:val="none"/>
          <w:lang w:val="en-US" w:eastAsia="zh-CN"/>
        </w:rPr>
        <w:t>a.</w:t>
      </w:r>
      <w:r>
        <w:rPr>
          <w:rFonts w:hint="eastAsia"/>
          <w:color w:val="auto"/>
          <w:lang w:val="en-US" w:eastAsia="zh-CN"/>
        </w:rPr>
        <w:t>加强对防渗工程的检查，定期进行检漏监测，若发现防渗密封材料老化或损坏，及时维修更换。</w:t>
      </w:r>
    </w:p>
    <w:p w14:paraId="648815E9">
      <w:pPr>
        <w:pStyle w:val="26"/>
        <w:bidi w:val="0"/>
        <w:rPr>
          <w:rFonts w:hint="eastAsia"/>
          <w:color w:val="auto"/>
        </w:rPr>
      </w:pPr>
      <w:r>
        <w:rPr>
          <w:rFonts w:hint="eastAsia" w:cs="Times New Roman"/>
          <w:b w:val="0"/>
          <w:bCs w:val="0"/>
          <w:color w:val="auto"/>
          <w:highlight w:val="none"/>
          <w:u w:val="none"/>
          <w:lang w:val="en-US" w:eastAsia="zh-CN"/>
        </w:rPr>
        <w:t>b.</w:t>
      </w:r>
      <w:r>
        <w:rPr>
          <w:rFonts w:hint="eastAsia"/>
          <w:color w:val="auto"/>
        </w:rPr>
        <w:t>厂区</w:t>
      </w:r>
      <w:r>
        <w:rPr>
          <w:rFonts w:hint="eastAsia"/>
          <w:color w:val="auto"/>
          <w:lang w:val="en-US" w:eastAsia="zh-CN"/>
        </w:rPr>
        <w:t>设3口</w:t>
      </w:r>
      <w:r>
        <w:rPr>
          <w:rFonts w:hint="eastAsia"/>
          <w:color w:val="auto"/>
        </w:rPr>
        <w:t>地下水跟踪监测井</w:t>
      </w:r>
      <w:r>
        <w:rPr>
          <w:rFonts w:hint="eastAsia"/>
          <w:color w:val="auto"/>
          <w:lang w:eastAsia="zh-CN"/>
        </w:rPr>
        <w:t>，</w:t>
      </w:r>
      <w:r>
        <w:rPr>
          <w:rFonts w:hint="eastAsia"/>
          <w:color w:val="auto"/>
        </w:rPr>
        <w:t>建立地下水环境监测管理体系，严格按照环评要求对</w:t>
      </w:r>
      <w:r>
        <w:rPr>
          <w:rFonts w:hint="eastAsia"/>
          <w:color w:val="auto"/>
          <w:lang w:val="en-US" w:eastAsia="zh-CN"/>
        </w:rPr>
        <w:t>区域地下水</w:t>
      </w:r>
      <w:r>
        <w:rPr>
          <w:rFonts w:hint="eastAsia"/>
          <w:color w:val="auto"/>
        </w:rPr>
        <w:t>水质监测井进行监测，一旦发现水质异常，立刻采取有效措施（如采用水动力隔离技术）阻止污染羽的扩散迁移，将地下水控制在局部范围，避免对厂区下游地下水造成污染。</w:t>
      </w:r>
    </w:p>
    <w:p w14:paraId="7A5C5106">
      <w:pPr>
        <w:pStyle w:val="26"/>
        <w:bidi w:val="0"/>
        <w:rPr>
          <w:rFonts w:hint="eastAsia" w:eastAsia="宋体"/>
          <w:color w:val="auto"/>
          <w:lang w:val="en-US" w:eastAsia="zh-CN"/>
        </w:rPr>
      </w:pPr>
      <w:r>
        <w:rPr>
          <w:rFonts w:hint="eastAsia"/>
          <w:color w:val="auto"/>
          <w:lang w:eastAsia="zh-CN"/>
        </w:rPr>
        <w:t>（</w:t>
      </w:r>
      <w:r>
        <w:rPr>
          <w:rFonts w:hint="eastAsia"/>
          <w:color w:val="auto"/>
          <w:lang w:val="en-US" w:eastAsia="zh-CN"/>
        </w:rPr>
        <w:t>6</w:t>
      </w:r>
      <w:r>
        <w:rPr>
          <w:rFonts w:hint="eastAsia"/>
          <w:color w:val="auto"/>
          <w:lang w:eastAsia="zh-CN"/>
        </w:rPr>
        <w:t>）</w:t>
      </w:r>
      <w:r>
        <w:rPr>
          <w:rFonts w:hint="eastAsia"/>
          <w:color w:val="auto"/>
          <w:lang w:val="en-US" w:eastAsia="zh-CN"/>
        </w:rPr>
        <w:t>厂区配备足够的正压式防毒面具、护目镜等防护器具。</w:t>
      </w:r>
    </w:p>
    <w:bookmarkEnd w:id="205"/>
    <w:p w14:paraId="359CF48A">
      <w:pPr>
        <w:pStyle w:val="4"/>
        <w:bidi w:val="0"/>
        <w:rPr>
          <w:rFonts w:hint="default" w:ascii="Times New Roman" w:hAnsi="Times New Roman" w:cs="Times New Roman"/>
          <w:color w:val="auto"/>
          <w:highlight w:val="none"/>
          <w:lang w:val="en-US" w:eastAsia="zh-CN"/>
        </w:rPr>
      </w:pPr>
      <w:bookmarkStart w:id="210" w:name="_Toc3396"/>
      <w:bookmarkStart w:id="211" w:name="_Toc1472"/>
      <w:bookmarkStart w:id="212" w:name="_Toc19643"/>
      <w:bookmarkStart w:id="213" w:name="_Toc11017"/>
      <w:r>
        <w:rPr>
          <w:rFonts w:hint="default" w:ascii="Times New Roman" w:hAnsi="Times New Roman" w:cs="Times New Roman"/>
          <w:color w:val="auto"/>
          <w:highlight w:val="none"/>
          <w:lang w:val="en-US" w:eastAsia="zh-CN"/>
        </w:rPr>
        <w:t>安全教育及管理措施</w:t>
      </w:r>
      <w:bookmarkEnd w:id="210"/>
      <w:bookmarkEnd w:id="211"/>
      <w:bookmarkEnd w:id="212"/>
      <w:bookmarkEnd w:id="213"/>
    </w:p>
    <w:p w14:paraId="194B238B">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1、加强内部安全管理</w:t>
      </w:r>
    </w:p>
    <w:p w14:paraId="1F10552A">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建立并完善生产经营单位的安全管理组织机构和人员配置，保证各类安全生产管理制度能认真贯彻执行，各项安全生产责任制能落实到人。明确各级第一负责人为安全生产第一责任人。在落实安全生产管理机构和人员配置后，还需建立各级机构和人员安全生产责任制。</w:t>
      </w:r>
    </w:p>
    <w:p w14:paraId="0283FE4B">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生产经营单位的主要负责人、安全生产管理人员、特种作业人员和生产一线操作人员，都必须接受相应的安全教育和培训，并且考试合格。</w:t>
      </w:r>
    </w:p>
    <w:p w14:paraId="2F8716B4">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（2）安全投入</w:t>
      </w:r>
    </w:p>
    <w:p w14:paraId="34DEA3ED">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1）建立健全生产经营单位安全生产投入的长效保障机制，从资金和设施装备等物质方面保障安全生产工作正常进行。</w:t>
      </w:r>
    </w:p>
    <w:p w14:paraId="02CAF56A">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2）建设项目安全设施，必须与主体工程同时设计、同时施工、同时投入生产和使用。安全设施投资应当纳入建设项目概算。</w:t>
      </w:r>
    </w:p>
    <w:p w14:paraId="465D845C">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3）建设单位在日常运行过程中应根据国家相关规定提取用于安全生产的专项资金，专款专用，进行安全生产方面的技术改造，增添安全设施和防护设备以及个体防护用品。</w:t>
      </w:r>
    </w:p>
    <w:p w14:paraId="4F36283C">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4）项目建成后，企业应按照《企业安全生产费用提取和使用管理办法》（财企</w:t>
      </w:r>
      <w:r>
        <w:rPr>
          <w:rFonts w:hint="eastAsia" w:cs="Times New Roman"/>
          <w:color w:val="auto"/>
          <w:highlight w:val="none"/>
          <w:lang w:val="en-US" w:eastAsia="zh-CN"/>
        </w:rPr>
        <w:t>〔</w:t>
      </w:r>
      <w:r>
        <w:rPr>
          <w:rFonts w:hint="default" w:ascii="Times New Roman" w:hAnsi="Times New Roman" w:cs="Times New Roman"/>
          <w:b w:val="0"/>
          <w:bCs w:val="0"/>
          <w:color w:val="auto"/>
          <w:highlight w:val="none"/>
          <w:lang w:val="en-US" w:eastAsia="zh-CN"/>
        </w:rPr>
        <w:t>2012</w:t>
      </w:r>
      <w:r>
        <w:rPr>
          <w:rFonts w:hint="eastAsia" w:cs="Times New Roman"/>
          <w:color w:val="auto"/>
          <w:highlight w:val="none"/>
          <w:lang w:val="en-US" w:eastAsia="zh-CN"/>
        </w:rPr>
        <w:t>〕</w:t>
      </w:r>
      <w:r>
        <w:rPr>
          <w:rFonts w:hint="default" w:ascii="Times New Roman" w:hAnsi="Times New Roman" w:cs="Times New Roman"/>
          <w:b w:val="0"/>
          <w:bCs w:val="0"/>
          <w:color w:val="auto"/>
          <w:highlight w:val="none"/>
          <w:lang w:val="en-US" w:eastAsia="zh-CN"/>
        </w:rPr>
        <w:t>16号）的规定每年提取专项的安全资金。</w:t>
      </w:r>
    </w:p>
    <w:p w14:paraId="6ABEBDFA">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（3）对于可能引发事故的场所、设备设施应制定必要的应急救援措施和配备相应的消防、救援设施。</w:t>
      </w:r>
    </w:p>
    <w:p w14:paraId="7D9D1F4B">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2、加强对工艺操作的安全管理</w:t>
      </w:r>
    </w:p>
    <w:p w14:paraId="2AD1713B">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（1）贯彻执行工艺操作规程</w:t>
      </w:r>
    </w:p>
    <w:p w14:paraId="28435729">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工艺操作规程是生产活动的主要依据，也是制定企业各类生产性规程、制度的依据。工艺操作规程是企业重要和基本的技术文件。工艺操作规程制定出后，凡与产品生产有关的职能部门和职工都必须严格执行，不得违反。工厂应加强对操作人员，特别是对新入厂的操作人员进行工艺操作规程的培训，使操作人员严格按工艺操作规程操作。</w:t>
      </w:r>
    </w:p>
    <w:p w14:paraId="51EDABA1">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（2）严格贯彻执行安全操作规程</w:t>
      </w:r>
    </w:p>
    <w:p w14:paraId="6998E66F">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安全操作规程是操作者在岗位范围内，如何合理运用劳动资料完成本职任务的规定性文件，是操作者进行生产活动的行为准则。安全操作规程是集工艺技术、安全技术、设备维护保养及安全管理制度于一体的综合性规定性文件，是操作工人必须严格执行的作业程序。因此，工厂应加强对操作人员，特别是对新入厂的操作人员进行安全操作规程的培训，使操作人员严格按安全操作规程操作。</w:t>
      </w:r>
    </w:p>
    <w:p w14:paraId="4B117DE2">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w:t>
      </w:r>
      <w:r>
        <w:rPr>
          <w:rFonts w:hint="eastAsia" w:cs="Times New Roman"/>
          <w:b w:val="0"/>
          <w:bCs w:val="0"/>
          <w:color w:val="auto"/>
          <w:highlight w:val="none"/>
          <w:lang w:val="en-US" w:eastAsia="zh-CN"/>
        </w:rPr>
        <w:t>做好</w:t>
      </w:r>
      <w:r>
        <w:rPr>
          <w:rFonts w:hint="default" w:ascii="Times New Roman" w:hAnsi="Times New Roman" w:cs="Times New Roman"/>
          <w:b w:val="0"/>
          <w:bCs w:val="0"/>
          <w:color w:val="auto"/>
          <w:highlight w:val="none"/>
          <w:lang w:val="en-US" w:eastAsia="zh-CN"/>
        </w:rPr>
        <w:t>开停车及检修工作</w:t>
      </w:r>
    </w:p>
    <w:p w14:paraId="723A8ED8">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生产过程中的开停车及检修，往往是事故多发过程，因此应严格执行工厂制定的开停车规程和检修操作规程，</w:t>
      </w:r>
      <w:r>
        <w:rPr>
          <w:rFonts w:hint="eastAsia" w:cs="Times New Roman"/>
          <w:b w:val="0"/>
          <w:bCs w:val="0"/>
          <w:color w:val="auto"/>
          <w:highlight w:val="none"/>
          <w:lang w:val="en-US" w:eastAsia="zh-CN"/>
        </w:rPr>
        <w:t>做好</w:t>
      </w:r>
      <w:r>
        <w:rPr>
          <w:rFonts w:hint="default" w:ascii="Times New Roman" w:hAnsi="Times New Roman" w:cs="Times New Roman"/>
          <w:b w:val="0"/>
          <w:bCs w:val="0"/>
          <w:color w:val="auto"/>
          <w:highlight w:val="none"/>
          <w:lang w:val="en-US" w:eastAsia="zh-CN"/>
        </w:rPr>
        <w:t>物料置换及检测等工作，避免事故发生。</w:t>
      </w:r>
    </w:p>
    <w:p w14:paraId="6DADDFD6">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3、加强安全培训、教育和考核</w:t>
      </w:r>
    </w:p>
    <w:p w14:paraId="5DDFD3D0">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应建立规范的管理和技术人员培训制度，针对本项目特点，定期对管理和技术人员、操作人员进行相应的安全教育和培训，考试合格才能上岗。</w:t>
      </w:r>
    </w:p>
    <w:p w14:paraId="05DCA600">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4、加强设备管理</w:t>
      </w:r>
    </w:p>
    <w:p w14:paraId="005CBB3F">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（1）贯彻计划检修，提高检修质量，实行双包制度。</w:t>
      </w:r>
    </w:p>
    <w:p w14:paraId="0A76AEE9">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（2）加强设备的安全管理，强化监察和检测工作。公司应指定专业的技术人员加强设备安全管理，各级管理人员均应缩短现场检查周期，并按规定定期进行检验、检测，发现问题及时处理，防止事故发生。</w:t>
      </w:r>
    </w:p>
    <w:p w14:paraId="1A0016BF">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（3）设备的安全附件和安全装置要完整、灵敏、可靠、安全好用，同时，要注意用比较先进的、可靠性好的逐步取代老式的。</w:t>
      </w:r>
    </w:p>
    <w:p w14:paraId="3738BF3E">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（4）推广检测工具的使用，逐步把对设备检查的方法从看、听、摸上升为用状态监测器进行，使之从经验检查变为直观化、数据化检查。</w:t>
      </w:r>
    </w:p>
    <w:p w14:paraId="601C67B3">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（5）严格执行《特种设备安全监察条例》和有关安全生产的法律、行政法规的规定，保证特种设备的安全使用。</w:t>
      </w:r>
    </w:p>
    <w:p w14:paraId="2267046F">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（6）应当建立特种设备安全技术档案。</w:t>
      </w:r>
    </w:p>
    <w:p w14:paraId="0D206751">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（7）应当对在用特种设备进行经常性日常维护保养，并定期检测、检查。</w:t>
      </w:r>
    </w:p>
    <w:p w14:paraId="7F36EE88">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（8）应当制定特种设备的事故应急措施和救援预案。</w:t>
      </w:r>
    </w:p>
    <w:p w14:paraId="33D18948">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（9）特种设备作业人员应当按照国家有关规定经特种设备安全监督管理部门考核合格，取得国家统一格式的特种作业人员证书，方可从事相应的作业或者管理工作。</w:t>
      </w:r>
    </w:p>
    <w:p w14:paraId="052FF864">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（10）应当对特种设备作业人员进行特种设备安全教育和培训，保证特种设备作业人员具备必要的特种设备安全作业知识。特种设备作业人员在作业中应当严格执行特种设备的操作规程和有关的安全规章制度。</w:t>
      </w:r>
    </w:p>
    <w:p w14:paraId="2B7649E9">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5、加强火源管理</w:t>
      </w:r>
    </w:p>
    <w:p w14:paraId="523B3850">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各种动机械均能因各种原因产生摩擦与撞击导致火花产生，因此必须加强各种动机械的润滑管理、清垢管理；不能随意在易燃易爆场所抛掷金属物件，撞击设备、管线。</w:t>
      </w:r>
    </w:p>
    <w:p w14:paraId="45B56C39">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6、加强消防组织与消防设施管理</w:t>
      </w:r>
    </w:p>
    <w:p w14:paraId="22FDA6F2">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要积极贯彻“预防为主，防消结合”的消防方针，应根据生产检修情况和季节变化，拟定消防工作计划，进行经常性的消防宣传教育、在训练场地结合事故预想进行演练。</w:t>
      </w:r>
    </w:p>
    <w:p w14:paraId="78DBE5AC">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7、实施监督与日常检查</w:t>
      </w:r>
    </w:p>
    <w:p w14:paraId="0799D810">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建设单位应当教育和督促从业人员严格执行本单位的安全生产规章制度和安全操作规程；并向从业人员如实告知作业场所和工作岗位存在的危险因素、防范措施以及事故应急措施。</w:t>
      </w:r>
    </w:p>
    <w:p w14:paraId="6ECCAA1D">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安全生产管理人员应当根据本单位的生产经营特点，对安全生产状况进行经常性检查；对检查中发现的安全问题，应当立即处理；不能处理的，应当及时报告本单位有关负责人。检查及处理情况应当记录在案。</w:t>
      </w:r>
    </w:p>
    <w:p w14:paraId="2FECD88D">
      <w:pPr>
        <w:pStyle w:val="26"/>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要加强对设备运行时的监视、检查、定期维修保养等管理工作。经常进行安全分析，对发生过的事故或未遂事件、故障、异常工艺条件和操作失误等，应作详细记录和原因分析，并找出改进措施。还应经常收集、分析国内外的有关案例，类比本企业建设项目的具体情况，加强教育，积极采取安全技术、管理等方面的有效措施，防止类似事故的发生。经常对主要设备故障处理方案进行修订，使之不断完善。</w:t>
      </w:r>
    </w:p>
    <w:p w14:paraId="32B33B2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大气环境风险防范措施</w:t>
      </w:r>
    </w:p>
    <w:p w14:paraId="309CB677">
      <w:pPr>
        <w:pStyle w:val="26"/>
        <w:numPr>
          <w:ilvl w:val="0"/>
          <w:numId w:val="0"/>
        </w:numPr>
        <w:bidi w:val="0"/>
        <w:ind w:left="0" w:leftChars="0" w:firstLine="480" w:firstLineChars="200"/>
        <w:rPr>
          <w:rFonts w:hint="eastAsia"/>
          <w:color w:val="auto"/>
          <w:lang w:eastAsia="zh-CN"/>
        </w:rPr>
      </w:pPr>
      <w:r>
        <w:rPr>
          <w:rFonts w:hint="default" w:ascii="Times New Roman" w:hAnsi="Times New Roman" w:eastAsia="宋体" w:cs="Times New Roman"/>
          <w:b w:val="0"/>
          <w:bCs w:val="0"/>
          <w:color w:val="auto"/>
          <w:kern w:val="2"/>
          <w:sz w:val="24"/>
          <w:szCs w:val="30"/>
          <w:lang w:val="en-US" w:eastAsia="zh-CN" w:bidi="ar-SA"/>
        </w:rPr>
        <w:t>（1）</w:t>
      </w:r>
      <w:r>
        <w:rPr>
          <w:rFonts w:hint="eastAsia"/>
          <w:color w:val="auto"/>
        </w:rPr>
        <w:t>设置</w:t>
      </w:r>
      <w:r>
        <w:rPr>
          <w:rFonts w:hint="eastAsia"/>
          <w:color w:val="auto"/>
          <w:highlight w:val="none"/>
          <w:lang w:val="en-US" w:eastAsia="zh-CN"/>
        </w:rPr>
        <w:t>DCS分散型控制系统</w:t>
      </w:r>
      <w:r>
        <w:rPr>
          <w:rFonts w:hint="eastAsia"/>
          <w:color w:val="auto"/>
        </w:rPr>
        <w:t>，当出现工艺装置运行不正常、管道泄漏等异常情况</w:t>
      </w:r>
      <w:r>
        <w:rPr>
          <w:rFonts w:hint="eastAsia"/>
          <w:color w:val="auto"/>
          <w:lang w:val="en-US" w:eastAsia="zh-CN"/>
        </w:rPr>
        <w:t>时</w:t>
      </w:r>
      <w:r>
        <w:rPr>
          <w:rFonts w:hint="eastAsia"/>
          <w:color w:val="auto"/>
        </w:rPr>
        <w:t>可实现紧急停车，并利用配套的废气收集系统将事故排气</w:t>
      </w:r>
      <w:r>
        <w:rPr>
          <w:rFonts w:hint="eastAsia"/>
          <w:color w:val="auto"/>
          <w:lang w:val="en-US" w:eastAsia="zh-CN"/>
        </w:rPr>
        <w:t>废气</w:t>
      </w:r>
      <w:r>
        <w:rPr>
          <w:rFonts w:hint="eastAsia"/>
          <w:color w:val="auto"/>
        </w:rPr>
        <w:t>收集至废气处理装置</w:t>
      </w:r>
      <w:r>
        <w:rPr>
          <w:rFonts w:hint="eastAsia"/>
          <w:color w:val="auto"/>
          <w:lang w:val="en-US" w:eastAsia="zh-CN"/>
        </w:rPr>
        <w:t>进行</w:t>
      </w:r>
      <w:r>
        <w:rPr>
          <w:rFonts w:hint="eastAsia"/>
          <w:color w:val="auto"/>
        </w:rPr>
        <w:t>处理</w:t>
      </w:r>
      <w:r>
        <w:rPr>
          <w:rFonts w:hint="eastAsia"/>
          <w:color w:val="auto"/>
          <w:lang w:eastAsia="zh-CN"/>
        </w:rPr>
        <w:t>。</w:t>
      </w:r>
    </w:p>
    <w:p w14:paraId="306C6292">
      <w:pPr>
        <w:pStyle w:val="26"/>
        <w:numPr>
          <w:ilvl w:val="0"/>
          <w:numId w:val="0"/>
        </w:numPr>
        <w:bidi w:val="0"/>
        <w:ind w:left="0" w:leftChars="0" w:firstLine="480" w:firstLineChars="20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（2）</w:t>
      </w:r>
      <w:r>
        <w:rPr>
          <w:rFonts w:hint="default" w:ascii="Times New Roman" w:hAnsi="Times New Roman" w:cs="Times New Roman"/>
          <w:b w:val="0"/>
          <w:bCs w:val="0"/>
          <w:color w:val="auto"/>
          <w:highlight w:val="none"/>
          <w:lang w:val="en-US" w:eastAsia="zh-CN"/>
        </w:rPr>
        <w:t>在生产车间火灾危险性较大或较重要的建筑物内设火灾探测器和消防手动报警按钮。</w:t>
      </w:r>
    </w:p>
    <w:p w14:paraId="767036A2">
      <w:pPr>
        <w:pStyle w:val="26"/>
        <w:numPr>
          <w:ilvl w:val="0"/>
          <w:numId w:val="0"/>
        </w:numPr>
        <w:bidi w:val="0"/>
        <w:ind w:firstLine="480" w:firstLineChars="20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w:t>
      </w:r>
      <w:r>
        <w:rPr>
          <w:rFonts w:hint="eastAsia" w:cs="Times New Roman"/>
          <w:b w:val="0"/>
          <w:bCs w:val="0"/>
          <w:color w:val="auto"/>
          <w:highlight w:val="none"/>
          <w:lang w:val="en-US" w:eastAsia="zh-CN"/>
        </w:rPr>
        <w:t>3</w:t>
      </w:r>
      <w:r>
        <w:rPr>
          <w:rFonts w:hint="default" w:ascii="Times New Roman" w:hAnsi="Times New Roman" w:cs="Times New Roman"/>
          <w:b w:val="0"/>
          <w:bCs w:val="0"/>
          <w:color w:val="auto"/>
          <w:highlight w:val="none"/>
          <w:lang w:val="en-US" w:eastAsia="zh-CN"/>
        </w:rPr>
        <w:t>）</w:t>
      </w:r>
      <w:r>
        <w:rPr>
          <w:rFonts w:hint="default" w:ascii="Times New Roman" w:hAnsi="Times New Roman" w:cs="Times New Roman"/>
          <w:color w:val="auto"/>
          <w:highlight w:val="none"/>
        </w:rPr>
        <w:t>加强</w:t>
      </w:r>
      <w:r>
        <w:rPr>
          <w:rFonts w:hint="default" w:ascii="Times New Roman" w:hAnsi="Times New Roman" w:cs="Times New Roman"/>
          <w:color w:val="auto"/>
          <w:highlight w:val="none"/>
          <w:lang w:val="en-US" w:eastAsia="zh-CN"/>
        </w:rPr>
        <w:t>废气处理系统</w:t>
      </w:r>
      <w:r>
        <w:rPr>
          <w:rFonts w:hint="default" w:ascii="Times New Roman" w:hAnsi="Times New Roman" w:cs="Times New Roman"/>
          <w:color w:val="auto"/>
          <w:highlight w:val="none"/>
        </w:rPr>
        <w:t>的日常维护和保养，关键设备和零部件应配备足够的备用件，</w:t>
      </w:r>
      <w:r>
        <w:rPr>
          <w:rFonts w:hint="eastAsia" w:cs="Times New Roman"/>
          <w:color w:val="auto"/>
          <w:highlight w:val="none"/>
          <w:lang w:val="en-US" w:eastAsia="zh-CN"/>
        </w:rPr>
        <w:t>并设置备用电源，</w:t>
      </w:r>
      <w:r>
        <w:rPr>
          <w:rFonts w:hint="default" w:ascii="Times New Roman" w:hAnsi="Times New Roman" w:cs="Times New Roman"/>
          <w:color w:val="auto"/>
          <w:highlight w:val="none"/>
          <w:lang w:val="en-US" w:eastAsia="zh-CN"/>
        </w:rPr>
        <w:t>及时更换活性炭和喷淋介质，</w:t>
      </w:r>
      <w:r>
        <w:rPr>
          <w:rFonts w:hint="default" w:ascii="Times New Roman" w:hAnsi="Times New Roman" w:cs="Times New Roman"/>
          <w:color w:val="auto"/>
          <w:highlight w:val="none"/>
        </w:rPr>
        <w:t>确保其稳定、正常运行</w:t>
      </w:r>
      <w:r>
        <w:rPr>
          <w:rFonts w:hint="default" w:ascii="Times New Roman" w:hAnsi="Times New Roman" w:cs="Times New Roman"/>
          <w:color w:val="auto"/>
          <w:highlight w:val="none"/>
          <w:lang w:eastAsia="zh-CN"/>
        </w:rPr>
        <w:t>。</w:t>
      </w:r>
    </w:p>
    <w:p w14:paraId="54AF08F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地表水环境风险防范措施</w:t>
      </w:r>
    </w:p>
    <w:p w14:paraId="46585802">
      <w:pPr>
        <w:pStyle w:val="26"/>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1、三级防控体系</w:t>
      </w:r>
    </w:p>
    <w:p w14:paraId="4F96C87B">
      <w:pPr>
        <w:spacing w:line="360" w:lineRule="auto"/>
        <w:ind w:left="0" w:leftChars="0" w:firstLine="480" w:firstLineChars="200"/>
        <w:rPr>
          <w:rFonts w:hint="default" w:ascii="Times New Roman" w:hAnsi="Times New Roman"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建设项目环境风险评价技术导则》（HJ169-2018），事故废水环境风险防范应明确“单元-厂区-园区/区域"的环境风险防控体系要求，设置事故废水收集和应急储存设施，以满足事故状态下收集泄漏物料、污染消防水和污染雨水的需要。本项目设置“生产单元-企业-园区”的三级事故废水防范体系，</w:t>
      </w:r>
      <w:r>
        <w:rPr>
          <w:rFonts w:hint="default" w:ascii="Times New Roman" w:hAnsi="Times New Roman" w:cs="Times New Roman"/>
          <w:color w:val="auto"/>
          <w:kern w:val="0"/>
          <w:sz w:val="24"/>
          <w:szCs w:val="24"/>
          <w:lang w:val="en-US" w:eastAsia="zh-CN" w:bidi="ar"/>
        </w:rPr>
        <w:t>即：</w:t>
      </w:r>
    </w:p>
    <w:p w14:paraId="319DE24F">
      <w:pPr>
        <w:spacing w:line="360" w:lineRule="auto"/>
        <w:ind w:left="0" w:leftChars="0" w:firstLine="480" w:firstLineChars="200"/>
        <w:rPr>
          <w:rFonts w:hint="eastAsia"/>
          <w:color w:val="auto"/>
          <w:sz w:val="24"/>
          <w:szCs w:val="24"/>
          <w:highlight w:val="none"/>
          <w:lang w:val="en-US" w:eastAsia="zh-CN"/>
        </w:rPr>
      </w:pPr>
      <w:r>
        <w:rPr>
          <w:rFonts w:hint="eastAsia" w:ascii="宋体" w:hAnsi="宋体" w:cs="宋体"/>
          <w:color w:val="auto"/>
          <w:kern w:val="0"/>
          <w:sz w:val="24"/>
          <w:szCs w:val="24"/>
          <w:lang w:val="en-US" w:eastAsia="zh-CN" w:bidi="ar"/>
        </w:rPr>
        <w:t>第一级：</w:t>
      </w:r>
      <w:r>
        <w:rPr>
          <w:rFonts w:hint="eastAsia" w:ascii="Times New Roman" w:hAnsi="Times New Roman" w:eastAsia="宋体"/>
          <w:color w:val="auto"/>
          <w:sz w:val="24"/>
          <w:szCs w:val="24"/>
          <w:highlight w:val="none"/>
          <w:lang w:val="en-US" w:eastAsia="zh-CN"/>
        </w:rPr>
        <w:t>1#罐区四周设</w:t>
      </w:r>
      <w:r>
        <w:rPr>
          <w:rFonts w:hint="eastAsia"/>
          <w:color w:val="auto"/>
          <w:sz w:val="24"/>
          <w:szCs w:val="24"/>
          <w:highlight w:val="none"/>
          <w:lang w:val="en-US" w:eastAsia="zh-CN"/>
        </w:rPr>
        <w:t>0.6</w:t>
      </w:r>
      <w:r>
        <w:rPr>
          <w:rFonts w:hint="eastAsia" w:ascii="Times New Roman" w:hAnsi="Times New Roman" w:eastAsia="宋体"/>
          <w:color w:val="auto"/>
          <w:sz w:val="24"/>
          <w:szCs w:val="24"/>
          <w:highlight w:val="none"/>
          <w:lang w:val="en-US" w:eastAsia="zh-CN"/>
        </w:rPr>
        <w:t>m高防火堤（与围堰合建）</w:t>
      </w:r>
      <w:r>
        <w:rPr>
          <w:rFonts w:hint="eastAsia"/>
          <w:color w:val="auto"/>
          <w:sz w:val="24"/>
          <w:szCs w:val="24"/>
          <w:highlight w:val="none"/>
          <w:lang w:val="en-US" w:eastAsia="zh-CN"/>
        </w:rPr>
        <w:t>、2</w:t>
      </w:r>
      <w:r>
        <w:rPr>
          <w:rFonts w:hint="eastAsia" w:ascii="Times New Roman" w:hAnsi="Times New Roman" w:eastAsia="宋体"/>
          <w:color w:val="auto"/>
          <w:sz w:val="24"/>
          <w:szCs w:val="24"/>
          <w:highlight w:val="none"/>
          <w:lang w:val="en-US" w:eastAsia="zh-CN"/>
        </w:rPr>
        <w:t>#罐区四周设</w:t>
      </w:r>
      <w:r>
        <w:rPr>
          <w:rFonts w:hint="eastAsia"/>
          <w:color w:val="auto"/>
          <w:sz w:val="24"/>
          <w:szCs w:val="24"/>
          <w:highlight w:val="none"/>
          <w:lang w:val="en-US" w:eastAsia="zh-CN"/>
        </w:rPr>
        <w:t>1.1</w:t>
      </w:r>
      <w:r>
        <w:rPr>
          <w:rFonts w:hint="eastAsia" w:ascii="Times New Roman" w:hAnsi="Times New Roman" w:eastAsia="宋体"/>
          <w:color w:val="auto"/>
          <w:sz w:val="24"/>
          <w:szCs w:val="24"/>
          <w:highlight w:val="none"/>
          <w:lang w:val="en-US" w:eastAsia="zh-CN"/>
        </w:rPr>
        <w:t>m高防火堤（与围堰合建）</w:t>
      </w:r>
      <w:r>
        <w:rPr>
          <w:rFonts w:hint="eastAsia"/>
          <w:color w:val="auto"/>
          <w:sz w:val="24"/>
          <w:szCs w:val="24"/>
          <w:highlight w:val="none"/>
          <w:lang w:val="en-US" w:eastAsia="zh-CN"/>
        </w:rPr>
        <w:t>、3</w:t>
      </w:r>
      <w:r>
        <w:rPr>
          <w:rFonts w:hint="eastAsia" w:ascii="Times New Roman" w:hAnsi="Times New Roman" w:eastAsia="宋体"/>
          <w:color w:val="auto"/>
          <w:sz w:val="24"/>
          <w:szCs w:val="24"/>
          <w:highlight w:val="none"/>
          <w:lang w:val="en-US" w:eastAsia="zh-CN"/>
        </w:rPr>
        <w:t>#罐区四周设</w:t>
      </w:r>
      <w:r>
        <w:rPr>
          <w:rFonts w:hint="eastAsia"/>
          <w:color w:val="auto"/>
          <w:sz w:val="24"/>
          <w:szCs w:val="24"/>
          <w:highlight w:val="none"/>
          <w:lang w:val="en-US" w:eastAsia="zh-CN"/>
        </w:rPr>
        <w:t>0.4</w:t>
      </w:r>
      <w:r>
        <w:rPr>
          <w:rFonts w:hint="eastAsia" w:ascii="Times New Roman" w:hAnsi="Times New Roman" w:eastAsia="宋体"/>
          <w:color w:val="auto"/>
          <w:sz w:val="24"/>
          <w:szCs w:val="24"/>
          <w:highlight w:val="none"/>
          <w:lang w:val="en-US" w:eastAsia="zh-CN"/>
        </w:rPr>
        <w:t>m高防火堤（与围堰合建），且</w:t>
      </w:r>
      <w:r>
        <w:rPr>
          <w:rFonts w:hint="eastAsia"/>
          <w:color w:val="auto"/>
          <w:sz w:val="24"/>
          <w:szCs w:val="24"/>
          <w:highlight w:val="none"/>
          <w:lang w:val="en-US" w:eastAsia="zh-CN"/>
        </w:rPr>
        <w:t>1#和2#</w:t>
      </w:r>
      <w:r>
        <w:rPr>
          <w:rFonts w:hint="eastAsia" w:ascii="Times New Roman" w:hAnsi="Times New Roman" w:eastAsia="宋体"/>
          <w:color w:val="auto"/>
          <w:sz w:val="24"/>
          <w:szCs w:val="24"/>
          <w:highlight w:val="none"/>
          <w:lang w:val="en-US" w:eastAsia="zh-CN"/>
        </w:rPr>
        <w:t>罐区内各区域均设1个容积</w:t>
      </w:r>
      <w:r>
        <w:rPr>
          <w:rFonts w:hint="eastAsia"/>
          <w:color w:val="auto"/>
          <w:sz w:val="24"/>
          <w:szCs w:val="24"/>
          <w:highlight w:val="none"/>
          <w:lang w:val="en-US" w:eastAsia="zh-CN"/>
        </w:rPr>
        <w:t>2.25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池、3#</w:t>
      </w:r>
      <w:r>
        <w:rPr>
          <w:rFonts w:hint="eastAsia" w:ascii="Times New Roman" w:hAnsi="Times New Roman" w:eastAsia="宋体"/>
          <w:color w:val="auto"/>
          <w:sz w:val="24"/>
          <w:szCs w:val="24"/>
          <w:highlight w:val="none"/>
          <w:lang w:val="en-US" w:eastAsia="zh-CN"/>
        </w:rPr>
        <w:t>罐区内设1个容积</w:t>
      </w:r>
      <w:r>
        <w:rPr>
          <w:rFonts w:hint="eastAsia"/>
          <w:color w:val="auto"/>
          <w:sz w:val="24"/>
          <w:szCs w:val="24"/>
          <w:highlight w:val="none"/>
          <w:lang w:val="en-US" w:eastAsia="zh-CN"/>
        </w:rPr>
        <w:t>1.44</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olor w:val="auto"/>
          <w:sz w:val="24"/>
          <w:szCs w:val="24"/>
          <w:lang w:val="en-US" w:eastAsia="zh-CN"/>
        </w:rPr>
        <w:t>仓库内液体库区、双氧水库房和危废暂存间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p>
    <w:p w14:paraId="1347A2F4">
      <w:pPr>
        <w:spacing w:line="360" w:lineRule="auto"/>
        <w:ind w:left="0" w:leftChars="0" w:firstLine="480" w:firstLineChars="200"/>
        <w:rPr>
          <w:rFonts w:hint="default" w:cs="Times New Roman"/>
          <w:b w:val="0"/>
          <w:bCs w:val="0"/>
          <w:color w:val="auto"/>
          <w:sz w:val="24"/>
          <w:szCs w:val="24"/>
          <w:highlight w:val="none"/>
          <w:lang w:val="en-US" w:eastAsia="zh-CN"/>
        </w:rPr>
      </w:pPr>
      <w:r>
        <w:rPr>
          <w:rFonts w:hint="eastAsia"/>
          <w:color w:val="auto"/>
          <w:sz w:val="24"/>
          <w:szCs w:val="24"/>
          <w:highlight w:val="none"/>
          <w:lang w:val="en-US" w:eastAsia="zh-CN"/>
        </w:rPr>
        <w:t>第二级：厂区</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highlight w:val="none"/>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w:t>
      </w:r>
      <w:r>
        <w:rPr>
          <w:rFonts w:hint="eastAsia" w:cs="Times New Roman"/>
          <w:b w:val="0"/>
          <w:bCs w:val="0"/>
          <w:color w:val="auto"/>
          <w:sz w:val="24"/>
          <w:szCs w:val="24"/>
          <w:highlight w:val="none"/>
          <w:lang w:val="en-US" w:eastAsia="zh-CN"/>
        </w:rPr>
        <w:t>事故废水和</w:t>
      </w:r>
      <w:r>
        <w:rPr>
          <w:rFonts w:hint="default" w:ascii="Times New Roman" w:hAnsi="Times New Roman" w:eastAsia="宋体" w:cs="Times New Roman"/>
          <w:b w:val="0"/>
          <w:bCs w:val="0"/>
          <w:color w:val="auto"/>
          <w:sz w:val="24"/>
          <w:szCs w:val="24"/>
          <w:highlight w:val="none"/>
          <w:lang w:val="en-US" w:eastAsia="zh-CN"/>
        </w:rPr>
        <w:t>消防废水的收集</w:t>
      </w:r>
      <w:r>
        <w:rPr>
          <w:rFonts w:hint="eastAsia" w:cs="Times New Roman"/>
          <w:b w:val="0"/>
          <w:bCs w:val="0"/>
          <w:color w:val="auto"/>
          <w:sz w:val="24"/>
          <w:szCs w:val="24"/>
          <w:highlight w:val="none"/>
          <w:lang w:val="en-US" w:eastAsia="zh-CN"/>
        </w:rPr>
        <w:t>；并设</w:t>
      </w:r>
      <w:r>
        <w:rPr>
          <w:rFonts w:hint="default" w:ascii="Times New Roman" w:hAnsi="Times New Roman" w:cs="Times New Roman"/>
          <w:color w:val="auto"/>
          <w:lang w:val="en-US" w:eastAsia="zh-CN"/>
        </w:rPr>
        <w:t>1</w:t>
      </w:r>
      <w:r>
        <w:rPr>
          <w:rFonts w:hint="eastAsia" w:cs="Times New Roman"/>
          <w:b w:val="0"/>
          <w:bCs w:val="0"/>
          <w:color w:val="auto"/>
          <w:sz w:val="24"/>
          <w:szCs w:val="24"/>
          <w:highlight w:val="none"/>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w:t>
      </w:r>
    </w:p>
    <w:p w14:paraId="58303851">
      <w:pPr>
        <w:keepNext w:val="0"/>
        <w:keepLines w:val="0"/>
        <w:widowControl/>
        <w:suppressLineNumbers w:val="0"/>
        <w:ind w:left="0" w:leftChars="0" w:firstLine="480" w:firstLineChars="200"/>
        <w:jc w:val="left"/>
        <w:rPr>
          <w:rFonts w:hint="default" w:ascii="Times New Roman" w:hAnsi="Times New Roman" w:eastAsia="宋体" w:cs="Times New Roman"/>
          <w:color w:val="auto"/>
          <w:kern w:val="0"/>
          <w:sz w:val="24"/>
          <w:szCs w:val="24"/>
          <w:lang w:val="en-US" w:eastAsia="zh-CN" w:bidi="ar"/>
        </w:rPr>
      </w:pPr>
      <w:r>
        <w:rPr>
          <w:rFonts w:hint="eastAsia" w:cs="Times New Roman"/>
          <w:b w:val="0"/>
          <w:bCs w:val="0"/>
          <w:color w:val="auto"/>
          <w:sz w:val="24"/>
          <w:szCs w:val="24"/>
          <w:highlight w:val="none"/>
          <w:lang w:val="en-US" w:eastAsia="zh-CN"/>
        </w:rPr>
        <w:t>第三级：通江县秋锦山产业园区综合污水处理厂设置进水水质自动检测装置及报警装置，设置进厂污水截断装置，当事故发生后，及时阻断不良水质进入污水处理厂，一旦污水处理厂进水超标，立即截断污水来源和杜绝事故排放，联动园区上游生产企业启动应急预案，必要时采取减产、停产或关闭企业厂区排口的方式，阻断超标污水持续排入污水处理；污水处理厂设置1座容积6361</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highlight w:val="none"/>
          <w:lang w:val="en-US" w:eastAsia="zh-CN"/>
        </w:rPr>
        <w:t>事故应急池，已进入厂内的污水可以排入事故应急池暂存，待后续恢复正常后进行处理</w:t>
      </w:r>
      <w:r>
        <w:rPr>
          <w:rFonts w:hint="eastAsia" w:ascii="宋体" w:hAnsi="宋体" w:cs="宋体"/>
          <w:color w:val="auto"/>
          <w:kern w:val="0"/>
          <w:sz w:val="24"/>
          <w:szCs w:val="24"/>
          <w:lang w:val="en-US" w:eastAsia="zh-CN" w:bidi="ar"/>
        </w:rPr>
        <w:t>。</w:t>
      </w:r>
    </w:p>
    <w:p w14:paraId="6B8A4092">
      <w:pPr>
        <w:pStyle w:val="26"/>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2、初期雨水池及</w:t>
      </w:r>
      <w:r>
        <w:rPr>
          <w:rFonts w:hint="eastAsia"/>
          <w:b/>
          <w:bCs/>
          <w:color w:val="auto"/>
          <w:highlight w:val="none"/>
          <w:lang w:val="en-US" w:eastAsia="zh-CN"/>
        </w:rPr>
        <w:t>事故应急池</w:t>
      </w:r>
      <w:r>
        <w:rPr>
          <w:rFonts w:hint="default" w:ascii="Times New Roman" w:hAnsi="Times New Roman" w:eastAsia="宋体" w:cs="Times New Roman"/>
          <w:b/>
          <w:bCs/>
          <w:color w:val="auto"/>
          <w:highlight w:val="none"/>
          <w:lang w:val="en-US" w:eastAsia="zh-CN"/>
        </w:rPr>
        <w:t>容积合理性</w:t>
      </w:r>
    </w:p>
    <w:p w14:paraId="5D48FB0F">
      <w:pPr>
        <w:pStyle w:val="26"/>
        <w:bidi w:val="0"/>
        <w:rPr>
          <w:rFonts w:hint="default" w:ascii="Times New Roman" w:hAnsi="Times New Roman" w:cs="Times New Roman"/>
          <w:color w:val="auto"/>
          <w:kern w:val="24"/>
          <w:sz w:val="24"/>
          <w:highlight w:val="none"/>
          <w:lang w:val="en-US" w:eastAsia="zh-CN"/>
        </w:rPr>
      </w:pPr>
      <w:r>
        <w:rPr>
          <w:rFonts w:hint="default" w:ascii="Times New Roman" w:hAnsi="Times New Roman" w:cs="Times New Roman"/>
          <w:color w:val="auto"/>
          <w:kern w:val="24"/>
          <w:sz w:val="24"/>
          <w:highlight w:val="none"/>
          <w:lang w:val="en-US" w:eastAsia="zh-CN"/>
        </w:rPr>
        <w:t>（1）初期雨水</w:t>
      </w:r>
    </w:p>
    <w:p w14:paraId="252CB95D">
      <w:pPr>
        <w:bidi w:val="0"/>
        <w:ind w:left="0" w:leftChars="0" w:firstLine="480" w:firstLineChars="200"/>
        <w:rPr>
          <w:rFonts w:hint="eastAsia"/>
          <w:color w:val="auto"/>
          <w:kern w:val="24"/>
          <w:sz w:val="24"/>
          <w:highlight w:val="none"/>
          <w:lang w:val="en-US" w:eastAsia="zh-CN"/>
        </w:rPr>
      </w:pPr>
      <w:r>
        <w:rPr>
          <w:rFonts w:hint="eastAsia"/>
          <w:color w:val="auto"/>
          <w:kern w:val="24"/>
          <w:sz w:val="24"/>
          <w:highlight w:val="none"/>
          <w:lang w:val="en-US" w:eastAsia="zh-CN"/>
        </w:rPr>
        <w:t>根据《石油化工给水排水系统设计规范》（SH/T3015-2019）6.3.3“</w:t>
      </w:r>
      <w:r>
        <w:rPr>
          <w:rFonts w:hint="eastAsia"/>
          <w:i/>
          <w:iCs/>
          <w:color w:val="auto"/>
          <w:kern w:val="24"/>
          <w:sz w:val="24"/>
          <w:highlight w:val="none"/>
          <w:lang w:val="en-US" w:eastAsia="zh-CN"/>
        </w:rPr>
        <w:t>一次初期雨水总量宜按污染区面积与15mm~30mm降水深度的乘积计算</w:t>
      </w:r>
      <w:r>
        <w:rPr>
          <w:rFonts w:hint="eastAsia"/>
          <w:color w:val="auto"/>
          <w:kern w:val="24"/>
          <w:sz w:val="24"/>
          <w:highlight w:val="none"/>
          <w:lang w:val="en-US" w:eastAsia="zh-CN"/>
        </w:rPr>
        <w:t>”，本项目污染区面积约</w:t>
      </w:r>
      <w:r>
        <w:rPr>
          <w:rFonts w:hint="eastAsia"/>
          <w:color w:val="auto"/>
          <w:sz w:val="24"/>
          <w:lang w:val="en-US" w:eastAsia="zh-CN"/>
        </w:rPr>
        <w:t>12500</w:t>
      </w:r>
      <w:r>
        <w:rPr>
          <w:rFonts w:hint="eastAsia" w:ascii="Times New Roman"/>
          <w:color w:val="auto"/>
          <w:sz w:val="24"/>
          <w:lang w:val="en-US" w:eastAsia="zh-CN"/>
        </w:rPr>
        <w:t>m</w:t>
      </w:r>
      <w:r>
        <w:rPr>
          <w:rFonts w:hint="eastAsia" w:ascii="Times New Roman"/>
          <w:color w:val="auto"/>
          <w:sz w:val="24"/>
          <w:vertAlign w:val="superscript"/>
          <w:lang w:val="en-US" w:eastAsia="zh-CN"/>
        </w:rPr>
        <w:t>2</w:t>
      </w:r>
      <w:r>
        <w:rPr>
          <w:rFonts w:hint="eastAsia"/>
          <w:color w:val="auto"/>
          <w:sz w:val="24"/>
          <w:lang w:val="en-US" w:eastAsia="zh-CN"/>
        </w:rPr>
        <w:t>，本次取降水深度15mm，则本项目一次初期雨水量为187.5</w:t>
      </w:r>
      <w:r>
        <w:rPr>
          <w:rFonts w:hint="eastAsia"/>
          <w:color w:val="auto"/>
          <w:kern w:val="24"/>
          <w:sz w:val="24"/>
          <w:highlight w:val="none"/>
          <w:lang w:val="en-US" w:eastAsia="zh-CN"/>
        </w:rPr>
        <w:t>m</w:t>
      </w:r>
      <w:r>
        <w:rPr>
          <w:rFonts w:hint="eastAsia"/>
          <w:color w:val="auto"/>
          <w:kern w:val="24"/>
          <w:sz w:val="24"/>
          <w:highlight w:val="none"/>
          <w:vertAlign w:val="superscript"/>
          <w:lang w:val="en-US" w:eastAsia="zh-CN"/>
        </w:rPr>
        <w:t>3</w:t>
      </w:r>
      <w:r>
        <w:rPr>
          <w:rFonts w:hint="eastAsia"/>
          <w:color w:val="auto"/>
          <w:kern w:val="24"/>
          <w:sz w:val="24"/>
          <w:highlight w:val="none"/>
          <w:lang w:val="en-US" w:eastAsia="zh-CN"/>
        </w:rPr>
        <w:t>。</w:t>
      </w:r>
    </w:p>
    <w:p w14:paraId="58D70A92">
      <w:pPr>
        <w:pStyle w:val="26"/>
        <w:bidi w:val="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cs="Times New Roman"/>
          <w:color w:val="auto"/>
          <w:kern w:val="24"/>
          <w:sz w:val="24"/>
          <w:highlight w:val="none"/>
          <w:lang w:val="en-US" w:eastAsia="zh-CN"/>
        </w:rPr>
        <w:t>本项目设</w:t>
      </w:r>
      <w:r>
        <w:rPr>
          <w:rFonts w:hint="default" w:ascii="Times New Roman" w:hAnsi="Times New Roman" w:cs="Times New Roman"/>
          <w:color w:val="auto"/>
          <w:lang w:val="en-US" w:eastAsia="zh-CN"/>
        </w:rPr>
        <w:t>1个</w:t>
      </w:r>
      <w:r>
        <w:rPr>
          <w:rFonts w:hint="eastAsia" w:cs="Times New Roman"/>
          <w:color w:val="auto"/>
          <w:lang w:val="en-US" w:eastAsia="zh-CN"/>
        </w:rPr>
        <w:t>191.3m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初期雨水池，初期雨水池容积满足厂区</w:t>
      </w:r>
      <w:r>
        <w:rPr>
          <w:rFonts w:hint="default" w:ascii="Times New Roman" w:hAnsi="Times New Roman" w:cs="Times New Roman"/>
          <w:color w:val="auto"/>
          <w:sz w:val="24"/>
          <w:lang w:val="en-US" w:eastAsia="zh-CN"/>
        </w:rPr>
        <w:t>一次初期雨水量暂存需求。</w:t>
      </w:r>
    </w:p>
    <w:p w14:paraId="4B0E9010">
      <w:pPr>
        <w:pStyle w:val="26"/>
        <w:bidi w:val="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（2）</w:t>
      </w:r>
      <w:r>
        <w:rPr>
          <w:rFonts w:hint="eastAsia"/>
          <w:color w:val="auto"/>
          <w:highlight w:val="none"/>
          <w:lang w:val="en-US" w:eastAsia="zh-CN"/>
        </w:rPr>
        <w:t>事故应急池</w:t>
      </w:r>
    </w:p>
    <w:p w14:paraId="12E2EC4A">
      <w:pPr>
        <w:pStyle w:val="26"/>
        <w:keepNext w:val="0"/>
        <w:keepLines w:val="0"/>
        <w:suppressLineNumbers w:val="0"/>
        <w:bidi w:val="0"/>
        <w:spacing w:before="0" w:beforeAutospacing="0" w:after="0" w:afterAutospacing="0"/>
        <w:ind w:left="0" w:right="0"/>
        <w:rPr>
          <w:rFonts w:hint="eastAsia" w:eastAsia="宋体"/>
          <w:color w:val="auto"/>
          <w:lang w:eastAsia="zh-CN"/>
        </w:rPr>
      </w:pPr>
      <w:r>
        <w:rPr>
          <w:rFonts w:hint="default"/>
          <w:color w:val="auto"/>
        </w:rPr>
        <w:t>当生产中出现物料泄漏和火灾、爆炸事故时，将产生消防废水，即事故状态废水</w:t>
      </w:r>
      <w:r>
        <w:rPr>
          <w:rFonts w:hint="eastAsia"/>
          <w:color w:val="auto"/>
          <w:lang w:eastAsia="zh-CN"/>
        </w:rPr>
        <w:t>，如果不对其加以收集、处置，必然会对当地地表水和地下水造成严重的污染。事故应急池最小容积根据《水体污染防控紧急措施设计导则》进行计算，事故储存设施总有效容积计算公式为：</w:t>
      </w:r>
    </w:p>
    <w:p w14:paraId="25453ACB">
      <w:pPr>
        <w:pStyle w:val="26"/>
        <w:keepNext w:val="0"/>
        <w:keepLines w:val="0"/>
        <w:suppressLineNumbers w:val="0"/>
        <w:bidi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V</w:t>
      </w:r>
      <w:r>
        <w:rPr>
          <w:rFonts w:hint="default" w:ascii="Times New Roman" w:hAnsi="Times New Roman" w:cs="Times New Roman"/>
          <w:color w:val="auto"/>
          <w:vertAlign w:val="subscript"/>
        </w:rPr>
        <w:t>总</w:t>
      </w:r>
      <w:r>
        <w:rPr>
          <w:rFonts w:hint="default" w:ascii="Times New Roman" w:hAnsi="Times New Roman" w:cs="Times New Roman"/>
          <w:color w:val="auto"/>
        </w:rPr>
        <w:t>=（V</w:t>
      </w:r>
      <w:r>
        <w:rPr>
          <w:rFonts w:hint="default" w:ascii="Times New Roman" w:hAnsi="Times New Roman" w:cs="Times New Roman"/>
          <w:color w:val="auto"/>
          <w:vertAlign w:val="subscript"/>
        </w:rPr>
        <w:t>1</w:t>
      </w:r>
      <w:r>
        <w:rPr>
          <w:rFonts w:hint="default" w:ascii="Times New Roman" w:hAnsi="Times New Roman" w:cs="Times New Roman"/>
          <w:color w:val="auto"/>
        </w:rPr>
        <w:t>+V</w:t>
      </w:r>
      <w:r>
        <w:rPr>
          <w:rFonts w:hint="default" w:ascii="Times New Roman" w:hAnsi="Times New Roman" w:cs="Times New Roman"/>
          <w:color w:val="auto"/>
          <w:vertAlign w:val="subscript"/>
        </w:rPr>
        <w:t>2</w:t>
      </w:r>
      <w:r>
        <w:rPr>
          <w:rFonts w:hint="default" w:ascii="Times New Roman" w:hAnsi="Times New Roman" w:cs="Times New Roman"/>
          <w:color w:val="auto"/>
        </w:rPr>
        <w:t>-V</w:t>
      </w:r>
      <w:r>
        <w:rPr>
          <w:rFonts w:hint="default" w:ascii="Times New Roman" w:hAnsi="Times New Roman" w:cs="Times New Roman"/>
          <w:color w:val="auto"/>
          <w:vertAlign w:val="subscript"/>
        </w:rPr>
        <w:t>3</w:t>
      </w:r>
      <w:r>
        <w:rPr>
          <w:rFonts w:hint="default" w:ascii="Times New Roman" w:hAnsi="Times New Roman" w:cs="Times New Roman"/>
          <w:color w:val="auto"/>
        </w:rPr>
        <w:t>）</w:t>
      </w:r>
      <w:r>
        <w:rPr>
          <w:rFonts w:hint="default" w:ascii="Times New Roman" w:hAnsi="Times New Roman" w:cs="Times New Roman"/>
          <w:color w:val="auto"/>
          <w:vertAlign w:val="subscript"/>
        </w:rPr>
        <w:t>max</w:t>
      </w:r>
      <w:r>
        <w:rPr>
          <w:rFonts w:hint="default" w:ascii="Times New Roman" w:hAnsi="Times New Roman" w:cs="Times New Roman"/>
          <w:color w:val="auto"/>
        </w:rPr>
        <w:t>+V</w:t>
      </w:r>
      <w:r>
        <w:rPr>
          <w:rFonts w:hint="default" w:ascii="Times New Roman" w:hAnsi="Times New Roman" w:cs="Times New Roman"/>
          <w:color w:val="auto"/>
          <w:vertAlign w:val="subscript"/>
        </w:rPr>
        <w:t>4</w:t>
      </w:r>
      <w:r>
        <w:rPr>
          <w:rFonts w:hint="default" w:ascii="Times New Roman" w:hAnsi="Times New Roman" w:cs="Times New Roman"/>
          <w:color w:val="auto"/>
        </w:rPr>
        <w:t>+V</w:t>
      </w:r>
      <w:r>
        <w:rPr>
          <w:rFonts w:hint="default" w:ascii="Times New Roman" w:hAnsi="Times New Roman" w:cs="Times New Roman"/>
          <w:color w:val="auto"/>
          <w:vertAlign w:val="subscript"/>
        </w:rPr>
        <w:t>5</w:t>
      </w:r>
    </w:p>
    <w:p w14:paraId="7F0EA8E7">
      <w:pPr>
        <w:spacing w:line="360" w:lineRule="auto"/>
        <w:ind w:left="0" w:leftChars="0" w:firstLine="480" w:firstLineChars="200"/>
        <w:rPr>
          <w:color w:val="auto"/>
          <w:sz w:val="24"/>
          <w:szCs w:val="24"/>
        </w:rPr>
      </w:pPr>
      <w:r>
        <w:rPr>
          <w:color w:val="auto"/>
          <w:sz w:val="24"/>
          <w:szCs w:val="24"/>
        </w:rPr>
        <w:t>其中：V</w:t>
      </w:r>
      <w:r>
        <w:rPr>
          <w:color w:val="auto"/>
          <w:sz w:val="24"/>
          <w:szCs w:val="24"/>
          <w:vertAlign w:val="subscript"/>
        </w:rPr>
        <w:t>1</w:t>
      </w:r>
      <w:r>
        <w:rPr>
          <w:color w:val="auto"/>
          <w:sz w:val="24"/>
          <w:szCs w:val="24"/>
        </w:rPr>
        <w:t>——收集系统范围内发生事故的一个</w:t>
      </w:r>
      <w:r>
        <w:rPr>
          <w:rFonts w:hint="eastAsia"/>
          <w:color w:val="auto"/>
          <w:sz w:val="24"/>
          <w:szCs w:val="24"/>
        </w:rPr>
        <w:t>罐组</w:t>
      </w:r>
      <w:r>
        <w:rPr>
          <w:color w:val="auto"/>
          <w:sz w:val="24"/>
          <w:szCs w:val="24"/>
        </w:rPr>
        <w:t>或一套装置的物料量</w:t>
      </w:r>
      <w:r>
        <w:rPr>
          <w:i/>
          <w:color w:val="auto"/>
          <w:sz w:val="24"/>
          <w:szCs w:val="24"/>
        </w:rPr>
        <w:t>（储存相同物料的罐组按一个最大储罐计）</w:t>
      </w:r>
      <w:r>
        <w:rPr>
          <w:color w:val="auto"/>
          <w:sz w:val="24"/>
          <w:szCs w:val="24"/>
        </w:rPr>
        <w:t>，m</w:t>
      </w:r>
      <w:r>
        <w:rPr>
          <w:color w:val="auto"/>
          <w:sz w:val="24"/>
          <w:szCs w:val="24"/>
          <w:vertAlign w:val="superscript"/>
        </w:rPr>
        <w:t>3</w:t>
      </w:r>
      <w:r>
        <w:rPr>
          <w:color w:val="auto"/>
          <w:sz w:val="24"/>
          <w:szCs w:val="24"/>
        </w:rPr>
        <w:t>；</w:t>
      </w:r>
    </w:p>
    <w:p w14:paraId="2E9A012F">
      <w:pPr>
        <w:spacing w:line="360" w:lineRule="auto"/>
        <w:ind w:firstLine="720" w:firstLineChars="300"/>
        <w:rPr>
          <w:color w:val="auto"/>
          <w:sz w:val="24"/>
          <w:szCs w:val="24"/>
        </w:rPr>
      </w:pPr>
      <w:r>
        <w:rPr>
          <w:color w:val="auto"/>
          <w:sz w:val="24"/>
          <w:szCs w:val="24"/>
        </w:rPr>
        <w:t>V</w:t>
      </w:r>
      <w:r>
        <w:rPr>
          <w:color w:val="auto"/>
          <w:sz w:val="24"/>
          <w:szCs w:val="24"/>
          <w:vertAlign w:val="subscript"/>
        </w:rPr>
        <w:t>2</w:t>
      </w:r>
      <w:r>
        <w:rPr>
          <w:color w:val="auto"/>
          <w:sz w:val="24"/>
          <w:szCs w:val="24"/>
        </w:rPr>
        <w:t>——发生事故的储罐或装置的消防水量，m</w:t>
      </w:r>
      <w:r>
        <w:rPr>
          <w:color w:val="auto"/>
          <w:sz w:val="24"/>
          <w:szCs w:val="24"/>
          <w:vertAlign w:val="superscript"/>
        </w:rPr>
        <w:t>3</w:t>
      </w:r>
      <w:r>
        <w:rPr>
          <w:color w:val="auto"/>
          <w:sz w:val="24"/>
          <w:szCs w:val="24"/>
        </w:rPr>
        <w:t>；</w:t>
      </w:r>
    </w:p>
    <w:p w14:paraId="3AC94D73">
      <w:pPr>
        <w:spacing w:line="360" w:lineRule="auto"/>
        <w:ind w:firstLine="720" w:firstLineChars="300"/>
        <w:rPr>
          <w:color w:val="auto"/>
          <w:sz w:val="24"/>
          <w:szCs w:val="24"/>
        </w:rPr>
      </w:pPr>
      <w:r>
        <w:rPr>
          <w:color w:val="auto"/>
          <w:sz w:val="24"/>
          <w:szCs w:val="24"/>
        </w:rPr>
        <w:t>V</w:t>
      </w:r>
      <w:r>
        <w:rPr>
          <w:color w:val="auto"/>
          <w:sz w:val="24"/>
          <w:szCs w:val="24"/>
          <w:vertAlign w:val="subscript"/>
        </w:rPr>
        <w:t>3</w:t>
      </w:r>
      <w:r>
        <w:rPr>
          <w:color w:val="auto"/>
          <w:sz w:val="24"/>
          <w:szCs w:val="24"/>
        </w:rPr>
        <w:t>——发生事故时可以转输到其他储存或处理设施的物料量，m</w:t>
      </w:r>
      <w:r>
        <w:rPr>
          <w:color w:val="auto"/>
          <w:sz w:val="24"/>
          <w:szCs w:val="24"/>
          <w:vertAlign w:val="superscript"/>
        </w:rPr>
        <w:t>3</w:t>
      </w:r>
      <w:r>
        <w:rPr>
          <w:color w:val="auto"/>
          <w:sz w:val="24"/>
          <w:szCs w:val="24"/>
        </w:rPr>
        <w:t>；</w:t>
      </w:r>
    </w:p>
    <w:p w14:paraId="60696738">
      <w:pPr>
        <w:spacing w:line="360" w:lineRule="auto"/>
        <w:ind w:firstLine="720" w:firstLineChars="300"/>
        <w:rPr>
          <w:color w:val="auto"/>
          <w:sz w:val="24"/>
          <w:szCs w:val="24"/>
        </w:rPr>
      </w:pPr>
      <w:r>
        <w:rPr>
          <w:color w:val="auto"/>
          <w:sz w:val="24"/>
          <w:szCs w:val="24"/>
        </w:rPr>
        <w:t>V</w:t>
      </w:r>
      <w:r>
        <w:rPr>
          <w:color w:val="auto"/>
          <w:sz w:val="24"/>
          <w:szCs w:val="24"/>
          <w:vertAlign w:val="subscript"/>
        </w:rPr>
        <w:t>4</w:t>
      </w:r>
      <w:r>
        <w:rPr>
          <w:color w:val="auto"/>
          <w:sz w:val="24"/>
          <w:szCs w:val="24"/>
        </w:rPr>
        <w:t>——发生事故时仍必须进入该收集系统的生产废水量，m</w:t>
      </w:r>
      <w:r>
        <w:rPr>
          <w:color w:val="auto"/>
          <w:sz w:val="24"/>
          <w:szCs w:val="24"/>
          <w:vertAlign w:val="superscript"/>
        </w:rPr>
        <w:t>3</w:t>
      </w:r>
      <w:r>
        <w:rPr>
          <w:color w:val="auto"/>
          <w:sz w:val="24"/>
          <w:szCs w:val="24"/>
        </w:rPr>
        <w:t>；</w:t>
      </w:r>
    </w:p>
    <w:p w14:paraId="6226A834">
      <w:pPr>
        <w:pStyle w:val="26"/>
        <w:keepNext w:val="0"/>
        <w:keepLines w:val="0"/>
        <w:suppressLineNumbers w:val="0"/>
        <w:bidi w:val="0"/>
        <w:spacing w:before="0" w:beforeAutospacing="0" w:after="0" w:afterAutospacing="0"/>
        <w:ind w:left="0" w:leftChars="0" w:right="0" w:firstLine="1159" w:firstLineChars="483"/>
        <w:rPr>
          <w:rFonts w:hint="default" w:ascii="Times New Roman" w:hAnsi="Times New Roman" w:cs="Times New Roman"/>
          <w:color w:val="auto"/>
        </w:rPr>
      </w:pPr>
      <w:r>
        <w:rPr>
          <w:color w:val="auto"/>
          <w:sz w:val="24"/>
          <w:szCs w:val="24"/>
        </w:rPr>
        <w:t>V</w:t>
      </w:r>
      <w:r>
        <w:rPr>
          <w:color w:val="auto"/>
          <w:sz w:val="24"/>
          <w:szCs w:val="24"/>
          <w:vertAlign w:val="subscript"/>
        </w:rPr>
        <w:t>5</w:t>
      </w:r>
      <w:r>
        <w:rPr>
          <w:color w:val="auto"/>
          <w:sz w:val="24"/>
          <w:szCs w:val="24"/>
        </w:rPr>
        <w:t>——发生事故时可能进入该收集系统的降雨量，m</w:t>
      </w:r>
      <w:r>
        <w:rPr>
          <w:color w:val="auto"/>
          <w:sz w:val="24"/>
          <w:szCs w:val="24"/>
          <w:vertAlign w:val="superscript"/>
        </w:rPr>
        <w:t>3</w:t>
      </w:r>
      <w:r>
        <w:rPr>
          <w:color w:val="auto"/>
          <w:sz w:val="24"/>
          <w:szCs w:val="24"/>
        </w:rPr>
        <w:t>。</w:t>
      </w:r>
    </w:p>
    <w:p w14:paraId="55B5AB18">
      <w:pPr>
        <w:spacing w:line="360" w:lineRule="auto"/>
        <w:rPr>
          <w:b/>
          <w:color w:val="auto"/>
          <w:sz w:val="24"/>
          <w:szCs w:val="24"/>
        </w:rPr>
      </w:pPr>
      <w:r>
        <w:rPr>
          <w:rFonts w:hint="eastAsia"/>
          <w:b/>
          <w:color w:val="auto"/>
          <w:sz w:val="24"/>
          <w:szCs w:val="24"/>
        </w:rPr>
        <w:t>①发生事故的储罐或装置的物料量</w:t>
      </w:r>
    </w:p>
    <w:p w14:paraId="4D51F6C1">
      <w:pPr>
        <w:spacing w:line="360" w:lineRule="auto"/>
        <w:ind w:left="0" w:leftChars="0" w:firstLine="480" w:firstLineChars="200"/>
        <w:rPr>
          <w:color w:val="auto"/>
          <w:sz w:val="24"/>
          <w:szCs w:val="24"/>
        </w:rPr>
      </w:pPr>
      <w:r>
        <w:rPr>
          <w:rFonts w:hint="eastAsia"/>
          <w:color w:val="auto"/>
          <w:sz w:val="24"/>
          <w:szCs w:val="24"/>
        </w:rPr>
        <w:t>本项目罐区最大储罐为</w:t>
      </w:r>
      <w:r>
        <w:rPr>
          <w:rFonts w:hint="eastAsia"/>
          <w:color w:val="auto"/>
          <w:sz w:val="24"/>
          <w:szCs w:val="24"/>
          <w:lang w:val="en-US" w:eastAsia="zh-CN"/>
        </w:rPr>
        <w:t>50</w:t>
      </w:r>
      <w:r>
        <w:rPr>
          <w:rFonts w:hint="eastAsia"/>
          <w:color w:val="auto"/>
          <w:sz w:val="24"/>
          <w:szCs w:val="24"/>
        </w:rPr>
        <w:t>m</w:t>
      </w:r>
      <w:r>
        <w:rPr>
          <w:color w:val="auto"/>
          <w:sz w:val="24"/>
          <w:szCs w:val="24"/>
          <w:vertAlign w:val="superscript"/>
        </w:rPr>
        <w:t>3</w:t>
      </w:r>
      <w:r>
        <w:rPr>
          <w:rFonts w:hint="eastAsia"/>
          <w:color w:val="auto"/>
          <w:sz w:val="24"/>
          <w:szCs w:val="24"/>
        </w:rPr>
        <w:t>，</w:t>
      </w:r>
      <w:r>
        <w:rPr>
          <w:rFonts w:hint="eastAsia"/>
          <w:color w:val="auto"/>
          <w:sz w:val="24"/>
          <w:szCs w:val="24"/>
          <w:lang w:val="en-US" w:eastAsia="zh-CN"/>
        </w:rPr>
        <w:t>最大储存量为45</w:t>
      </w:r>
      <w:r>
        <w:rPr>
          <w:rFonts w:hint="eastAsia"/>
          <w:color w:val="auto"/>
          <w:sz w:val="24"/>
          <w:szCs w:val="24"/>
        </w:rPr>
        <w:t>m</w:t>
      </w:r>
      <w:r>
        <w:rPr>
          <w:color w:val="auto"/>
          <w:sz w:val="24"/>
          <w:szCs w:val="24"/>
          <w:vertAlign w:val="superscript"/>
        </w:rPr>
        <w:t>3</w:t>
      </w:r>
      <w:r>
        <w:rPr>
          <w:rFonts w:hint="eastAsia"/>
          <w:color w:val="auto"/>
          <w:sz w:val="24"/>
          <w:szCs w:val="24"/>
        </w:rPr>
        <w:t>，</w:t>
      </w:r>
      <w:r>
        <w:rPr>
          <w:rFonts w:hint="eastAsia"/>
          <w:color w:val="auto"/>
          <w:sz w:val="24"/>
          <w:szCs w:val="24"/>
          <w:lang w:val="en-US" w:eastAsia="zh-CN"/>
        </w:rPr>
        <w:t>则</w:t>
      </w:r>
      <w:r>
        <w:rPr>
          <w:rFonts w:hint="eastAsia"/>
          <w:color w:val="auto"/>
          <w:sz w:val="24"/>
          <w:szCs w:val="24"/>
        </w:rPr>
        <w:t>发生事故的储罐最大物料量V</w:t>
      </w:r>
      <w:r>
        <w:rPr>
          <w:color w:val="auto"/>
          <w:sz w:val="24"/>
          <w:szCs w:val="24"/>
          <w:vertAlign w:val="subscript"/>
        </w:rPr>
        <w:t>1</w:t>
      </w:r>
      <w:r>
        <w:rPr>
          <w:rFonts w:hint="eastAsia"/>
          <w:color w:val="auto"/>
          <w:sz w:val="24"/>
          <w:szCs w:val="24"/>
        </w:rPr>
        <w:t>=</w:t>
      </w:r>
      <w:r>
        <w:rPr>
          <w:rFonts w:hint="eastAsia"/>
          <w:color w:val="auto"/>
          <w:sz w:val="24"/>
          <w:szCs w:val="24"/>
          <w:lang w:val="en-US" w:eastAsia="zh-CN"/>
        </w:rPr>
        <w:t>45</w:t>
      </w:r>
      <w:r>
        <w:rPr>
          <w:color w:val="auto"/>
          <w:sz w:val="24"/>
          <w:szCs w:val="24"/>
        </w:rPr>
        <w:t>m</w:t>
      </w:r>
      <w:r>
        <w:rPr>
          <w:color w:val="auto"/>
          <w:sz w:val="24"/>
          <w:szCs w:val="24"/>
          <w:vertAlign w:val="superscript"/>
        </w:rPr>
        <w:t>3</w:t>
      </w:r>
      <w:r>
        <w:rPr>
          <w:rFonts w:hint="eastAsia"/>
          <w:color w:val="auto"/>
          <w:sz w:val="24"/>
          <w:szCs w:val="24"/>
        </w:rPr>
        <w:t>。</w:t>
      </w:r>
    </w:p>
    <w:p w14:paraId="56929F49">
      <w:pPr>
        <w:spacing w:line="360" w:lineRule="auto"/>
        <w:rPr>
          <w:b/>
          <w:color w:val="auto"/>
          <w:sz w:val="24"/>
          <w:szCs w:val="24"/>
        </w:rPr>
      </w:pPr>
      <w:r>
        <w:rPr>
          <w:rFonts w:hint="eastAsia"/>
          <w:b/>
          <w:color w:val="auto"/>
          <w:sz w:val="24"/>
          <w:szCs w:val="24"/>
        </w:rPr>
        <w:t>②发生事故的储罐或装置的消防水量</w:t>
      </w:r>
    </w:p>
    <w:p w14:paraId="28A7D01B">
      <w:pPr>
        <w:spacing w:line="360" w:lineRule="auto"/>
        <w:ind w:left="0" w:leftChars="0" w:firstLine="480" w:firstLineChars="200"/>
        <w:rPr>
          <w:color w:val="auto"/>
          <w:sz w:val="24"/>
          <w:szCs w:val="24"/>
        </w:rPr>
      </w:pPr>
      <w:r>
        <w:rPr>
          <w:rFonts w:hint="eastAsia" w:ascii="Times New Roman" w:hAnsi="Times New Roman"/>
          <w:color w:val="auto"/>
          <w:sz w:val="24"/>
          <w:szCs w:val="24"/>
        </w:rPr>
        <w:t>根据《消防给水及消火栓系统技术规范》（GB50974-2014）和建设单位提供的有关资料，同一时间内的火灾起数应按1起确定。厂区最不利消防对象为</w:t>
      </w:r>
      <w:r>
        <w:rPr>
          <w:rFonts w:hint="eastAsia" w:ascii="Times New Roman" w:hAnsi="Times New Roman"/>
          <w:color w:val="auto"/>
          <w:sz w:val="24"/>
          <w:szCs w:val="24"/>
          <w:lang w:val="en-US" w:eastAsia="zh-CN"/>
        </w:rPr>
        <w:t>生产车间，为</w:t>
      </w:r>
      <w:r>
        <w:rPr>
          <w:rFonts w:hint="eastAsia"/>
          <w:color w:val="auto"/>
          <w:sz w:val="24"/>
          <w:szCs w:val="24"/>
          <w:lang w:val="en-US" w:eastAsia="zh-CN"/>
        </w:rPr>
        <w:t>乙类</w:t>
      </w:r>
      <w:r>
        <w:rPr>
          <w:rFonts w:hint="eastAsia" w:ascii="Times New Roman" w:hAnsi="Times New Roman"/>
          <w:color w:val="auto"/>
          <w:sz w:val="24"/>
          <w:szCs w:val="24"/>
        </w:rPr>
        <w:t>厂房，</w:t>
      </w:r>
      <w:r>
        <w:rPr>
          <w:rFonts w:hint="eastAsia" w:ascii="Times New Roman" w:hAnsi="Times New Roman"/>
          <w:color w:val="auto"/>
          <w:sz w:val="24"/>
          <w:szCs w:val="24"/>
          <w:lang w:val="en-US" w:eastAsia="zh-CN"/>
        </w:rPr>
        <w:t>耐火等级为二级，</w:t>
      </w:r>
      <w:r>
        <w:rPr>
          <w:rFonts w:hint="eastAsia" w:cs="Times New Roman"/>
          <w:color w:val="auto"/>
          <w:lang w:val="en-US" w:eastAsia="zh-CN"/>
        </w:rPr>
        <w:t>1层，层高13.5m，占地面积1932</w:t>
      </w:r>
      <w:r>
        <w:rPr>
          <w:color w:val="auto"/>
        </w:rPr>
        <w:t>m</w:t>
      </w:r>
      <w:r>
        <w:rPr>
          <w:color w:val="auto"/>
          <w:vertAlign w:val="superscript"/>
        </w:rPr>
        <w:t>2</w:t>
      </w:r>
      <w:r>
        <w:rPr>
          <w:rFonts w:hint="eastAsia"/>
          <w:color w:val="auto"/>
          <w:lang w:eastAsia="zh-CN"/>
        </w:rPr>
        <w:t>，</w:t>
      </w:r>
      <w:r>
        <w:rPr>
          <w:rFonts w:hint="eastAsia" w:ascii="Times New Roman" w:hAnsi="Times New Roman"/>
          <w:color w:val="auto"/>
          <w:sz w:val="24"/>
          <w:szCs w:val="24"/>
        </w:rPr>
        <w:t>建筑物体积</w:t>
      </w:r>
      <w:r>
        <w:rPr>
          <w:rFonts w:hint="eastAsia" w:ascii="Times New Roman" w:hAnsi="Times New Roman"/>
          <w:color w:val="auto"/>
          <w:sz w:val="24"/>
          <w:szCs w:val="24"/>
          <w:lang w:val="en-US" w:eastAsia="zh-CN"/>
        </w:rPr>
        <w:t>介于</w:t>
      </w:r>
      <w:r>
        <w:rPr>
          <w:rFonts w:hint="eastAsia"/>
          <w:color w:val="auto"/>
          <w:sz w:val="24"/>
          <w:szCs w:val="24"/>
          <w:lang w:val="en-US" w:eastAsia="zh-CN"/>
        </w:rPr>
        <w:t>1500</w:t>
      </w:r>
      <w:r>
        <w:rPr>
          <w:rFonts w:hint="eastAsia" w:ascii="Times New Roman" w:hAnsi="Times New Roman"/>
          <w:color w:val="auto"/>
          <w:sz w:val="24"/>
          <w:szCs w:val="24"/>
        </w:rPr>
        <w:t>m</w:t>
      </w:r>
      <w:r>
        <w:rPr>
          <w:rFonts w:hint="eastAsia" w:ascii="Times New Roman" w:hAnsi="Times New Roman"/>
          <w:color w:val="auto"/>
          <w:sz w:val="24"/>
          <w:szCs w:val="24"/>
          <w:vertAlign w:val="superscript"/>
        </w:rPr>
        <w:t>3</w:t>
      </w:r>
      <w:r>
        <w:rPr>
          <w:rFonts w:hint="eastAsia" w:ascii="Times New Roman" w:hAnsi="Times New Roman"/>
          <w:color w:val="auto"/>
          <w:sz w:val="24"/>
          <w:szCs w:val="24"/>
          <w:lang w:val="en-US" w:eastAsia="zh-CN"/>
        </w:rPr>
        <w:t>~</w:t>
      </w:r>
      <w:r>
        <w:rPr>
          <w:rFonts w:hint="eastAsia"/>
          <w:color w:val="auto"/>
          <w:sz w:val="24"/>
          <w:szCs w:val="24"/>
          <w:lang w:val="en-US" w:eastAsia="zh-CN"/>
        </w:rPr>
        <w:t>30</w:t>
      </w:r>
      <w:r>
        <w:rPr>
          <w:rFonts w:hint="eastAsia" w:ascii="Times New Roman" w:hAnsi="Times New Roman"/>
          <w:color w:val="auto"/>
          <w:sz w:val="24"/>
          <w:szCs w:val="24"/>
          <w:lang w:val="en-US" w:eastAsia="zh-CN"/>
        </w:rPr>
        <w:t>00</w:t>
      </w:r>
      <w:r>
        <w:rPr>
          <w:rFonts w:hint="eastAsia" w:ascii="Times New Roman" w:hAnsi="Times New Roman"/>
          <w:color w:val="auto"/>
          <w:sz w:val="24"/>
          <w:szCs w:val="24"/>
        </w:rPr>
        <w:t>m</w:t>
      </w:r>
      <w:r>
        <w:rPr>
          <w:rFonts w:hint="eastAsia" w:ascii="Times New Roman" w:hAnsi="Times New Roman"/>
          <w:color w:val="auto"/>
          <w:sz w:val="24"/>
          <w:szCs w:val="24"/>
          <w:vertAlign w:val="superscript"/>
        </w:rPr>
        <w:t>3</w:t>
      </w:r>
      <w:r>
        <w:rPr>
          <w:rFonts w:hint="eastAsia" w:ascii="Times New Roman" w:hAnsi="Times New Roman"/>
          <w:color w:val="auto"/>
          <w:sz w:val="24"/>
          <w:szCs w:val="24"/>
          <w:lang w:val="en-US" w:eastAsia="zh-CN"/>
        </w:rPr>
        <w:t>间</w:t>
      </w:r>
      <w:r>
        <w:rPr>
          <w:rFonts w:hint="eastAsia" w:ascii="Times New Roman" w:hAnsi="Times New Roman"/>
          <w:color w:val="auto"/>
          <w:sz w:val="24"/>
          <w:szCs w:val="24"/>
        </w:rPr>
        <w:t>，室外消火栓用水量为</w:t>
      </w:r>
      <w:r>
        <w:rPr>
          <w:rFonts w:hint="eastAsia"/>
          <w:color w:val="auto"/>
          <w:sz w:val="24"/>
          <w:szCs w:val="24"/>
          <w:lang w:val="en-US" w:eastAsia="zh-CN"/>
        </w:rPr>
        <w:t>1</w:t>
      </w:r>
      <w:r>
        <w:rPr>
          <w:rFonts w:hint="eastAsia" w:ascii="Times New Roman" w:hAnsi="Times New Roman"/>
          <w:color w:val="auto"/>
          <w:sz w:val="24"/>
          <w:szCs w:val="24"/>
          <w:lang w:val="en-US" w:eastAsia="zh-CN"/>
        </w:rPr>
        <w:t>5</w:t>
      </w:r>
      <w:r>
        <w:rPr>
          <w:rFonts w:hint="eastAsia" w:ascii="Times New Roman" w:hAnsi="Times New Roman"/>
          <w:color w:val="auto"/>
          <w:sz w:val="24"/>
          <w:szCs w:val="24"/>
        </w:rPr>
        <w:t>L/s，室内消火栓用水量为</w:t>
      </w:r>
      <w:r>
        <w:rPr>
          <w:rFonts w:hint="eastAsia" w:ascii="Times New Roman" w:hAnsi="Times New Roman"/>
          <w:color w:val="auto"/>
          <w:sz w:val="24"/>
          <w:szCs w:val="24"/>
          <w:lang w:val="en-US" w:eastAsia="zh-CN"/>
        </w:rPr>
        <w:t>1</w:t>
      </w:r>
      <w:r>
        <w:rPr>
          <w:rFonts w:ascii="Times New Roman" w:hAnsi="Times New Roman"/>
          <w:color w:val="auto"/>
          <w:sz w:val="24"/>
          <w:szCs w:val="24"/>
        </w:rPr>
        <w:t>0</w:t>
      </w:r>
      <w:r>
        <w:rPr>
          <w:rFonts w:hint="eastAsia" w:ascii="Times New Roman" w:hAnsi="Times New Roman"/>
          <w:color w:val="auto"/>
          <w:sz w:val="24"/>
          <w:szCs w:val="24"/>
        </w:rPr>
        <w:t>L/s，合计室内外消火栓</w:t>
      </w:r>
      <w:r>
        <w:rPr>
          <w:rFonts w:hint="eastAsia" w:ascii="Times New Roman" w:hAnsi="Times New Roman"/>
          <w:color w:val="auto"/>
          <w:sz w:val="24"/>
          <w:szCs w:val="24"/>
          <w:lang w:val="en-US" w:eastAsia="zh-CN"/>
        </w:rPr>
        <w:t>最大</w:t>
      </w:r>
      <w:r>
        <w:rPr>
          <w:rFonts w:hint="eastAsia" w:ascii="Times New Roman" w:hAnsi="Times New Roman"/>
          <w:color w:val="auto"/>
          <w:sz w:val="24"/>
          <w:szCs w:val="24"/>
        </w:rPr>
        <w:t>用水量</w:t>
      </w:r>
      <w:r>
        <w:rPr>
          <w:rFonts w:hint="eastAsia"/>
          <w:color w:val="auto"/>
          <w:sz w:val="24"/>
          <w:szCs w:val="24"/>
          <w:lang w:val="en-US" w:eastAsia="zh-CN"/>
        </w:rPr>
        <w:t>25</w:t>
      </w:r>
      <w:r>
        <w:rPr>
          <w:rFonts w:hint="eastAsia" w:ascii="Times New Roman" w:hAnsi="Times New Roman"/>
          <w:color w:val="auto"/>
          <w:sz w:val="24"/>
          <w:szCs w:val="24"/>
        </w:rPr>
        <w:t>L/s，火灾延续时间按</w:t>
      </w:r>
      <w:r>
        <w:rPr>
          <w:rFonts w:ascii="Times New Roman" w:hAnsi="Times New Roman"/>
          <w:color w:val="auto"/>
          <w:sz w:val="24"/>
          <w:szCs w:val="24"/>
        </w:rPr>
        <w:t>1</w:t>
      </w:r>
      <w:r>
        <w:rPr>
          <w:rFonts w:hint="eastAsia" w:ascii="Times New Roman" w:hAnsi="Times New Roman"/>
          <w:color w:val="auto"/>
          <w:sz w:val="24"/>
          <w:szCs w:val="24"/>
        </w:rPr>
        <w:t>h计，一次消火栓灭火用水量为</w:t>
      </w:r>
      <w:r>
        <w:rPr>
          <w:rFonts w:hint="eastAsia"/>
          <w:color w:val="auto"/>
          <w:sz w:val="24"/>
          <w:szCs w:val="24"/>
          <w:lang w:val="en-US" w:eastAsia="zh-CN"/>
        </w:rPr>
        <w:t>90</w:t>
      </w:r>
      <w:r>
        <w:rPr>
          <w:rFonts w:hint="eastAsia" w:ascii="Times New Roman" w:hAnsi="Times New Roman"/>
          <w:color w:val="auto"/>
          <w:sz w:val="24"/>
          <w:szCs w:val="24"/>
        </w:rPr>
        <w:t>m</w:t>
      </w:r>
      <w:r>
        <w:rPr>
          <w:rFonts w:hint="eastAsia" w:ascii="Times New Roman" w:hAnsi="Times New Roman"/>
          <w:color w:val="auto"/>
          <w:sz w:val="24"/>
          <w:szCs w:val="24"/>
          <w:vertAlign w:val="superscript"/>
        </w:rPr>
        <w:t>3</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则</w:t>
      </w:r>
      <w:r>
        <w:rPr>
          <w:rFonts w:hint="eastAsia"/>
          <w:color w:val="auto"/>
          <w:sz w:val="24"/>
          <w:szCs w:val="24"/>
          <w:lang w:val="en-US" w:eastAsia="zh-CN"/>
        </w:rPr>
        <w:t>本</w:t>
      </w:r>
      <w:r>
        <w:rPr>
          <w:rFonts w:hint="eastAsia"/>
          <w:color w:val="auto"/>
          <w:sz w:val="24"/>
          <w:szCs w:val="24"/>
        </w:rPr>
        <w:t>项目最大消防用水量V</w:t>
      </w:r>
      <w:r>
        <w:rPr>
          <w:rFonts w:hint="eastAsia"/>
          <w:color w:val="auto"/>
          <w:sz w:val="24"/>
          <w:szCs w:val="24"/>
          <w:vertAlign w:val="subscript"/>
        </w:rPr>
        <w:t>2</w:t>
      </w:r>
      <w:r>
        <w:rPr>
          <w:rFonts w:hint="eastAsia"/>
          <w:color w:val="auto"/>
          <w:sz w:val="24"/>
          <w:szCs w:val="24"/>
        </w:rPr>
        <w:t>=</w:t>
      </w:r>
      <w:r>
        <w:rPr>
          <w:rFonts w:hint="eastAsia"/>
          <w:color w:val="auto"/>
          <w:sz w:val="24"/>
          <w:szCs w:val="24"/>
          <w:lang w:val="en-US" w:eastAsia="zh-CN"/>
        </w:rPr>
        <w:t>90</w:t>
      </w:r>
      <w:r>
        <w:rPr>
          <w:color w:val="auto"/>
          <w:sz w:val="24"/>
          <w:szCs w:val="24"/>
        </w:rPr>
        <w:t>m</w:t>
      </w:r>
      <w:r>
        <w:rPr>
          <w:color w:val="auto"/>
          <w:sz w:val="24"/>
          <w:szCs w:val="24"/>
          <w:vertAlign w:val="superscript"/>
        </w:rPr>
        <w:t>3</w:t>
      </w:r>
      <w:r>
        <w:rPr>
          <w:rFonts w:hint="eastAsia"/>
          <w:color w:val="auto"/>
          <w:sz w:val="24"/>
          <w:szCs w:val="24"/>
        </w:rPr>
        <w:t>。</w:t>
      </w:r>
    </w:p>
    <w:p w14:paraId="350A0EFA">
      <w:pPr>
        <w:spacing w:line="360" w:lineRule="auto"/>
        <w:rPr>
          <w:b/>
          <w:color w:val="auto"/>
          <w:sz w:val="24"/>
          <w:szCs w:val="24"/>
        </w:rPr>
      </w:pPr>
      <w:r>
        <w:rPr>
          <w:rFonts w:hint="eastAsia"/>
          <w:b/>
          <w:color w:val="auto"/>
          <w:sz w:val="24"/>
          <w:szCs w:val="24"/>
        </w:rPr>
        <w:t>③发生事故时可以转输到其他储存或处理设施的物料量</w:t>
      </w:r>
    </w:p>
    <w:p w14:paraId="0249B9CA">
      <w:pPr>
        <w:spacing w:line="360" w:lineRule="auto"/>
        <w:rPr>
          <w:rFonts w:hint="eastAsia" w:eastAsiaTheme="minorEastAsia"/>
          <w:color w:val="auto"/>
          <w:sz w:val="24"/>
          <w:szCs w:val="24"/>
          <w:lang w:eastAsia="zh-CN"/>
        </w:rPr>
      </w:pPr>
      <w:r>
        <w:rPr>
          <w:rFonts w:hint="eastAsia" w:ascii="Times New Roman" w:hAnsi="Times New Roman"/>
          <w:color w:val="auto"/>
          <w:sz w:val="24"/>
          <w:szCs w:val="24"/>
          <w:lang w:val="en-US" w:eastAsia="zh-CN"/>
        </w:rPr>
        <w:t>保守按不转输物料考虑</w:t>
      </w:r>
      <w:r>
        <w:rPr>
          <w:rFonts w:hint="eastAsia"/>
          <w:color w:val="auto"/>
          <w:sz w:val="24"/>
          <w:szCs w:val="24"/>
        </w:rPr>
        <w:t>。</w:t>
      </w:r>
    </w:p>
    <w:p w14:paraId="3EAEA027">
      <w:pPr>
        <w:spacing w:line="360" w:lineRule="auto"/>
        <w:rPr>
          <w:b/>
          <w:color w:val="auto"/>
          <w:sz w:val="24"/>
          <w:szCs w:val="24"/>
        </w:rPr>
      </w:pPr>
      <w:r>
        <w:rPr>
          <w:rFonts w:hint="eastAsia"/>
          <w:b/>
          <w:color w:val="auto"/>
          <w:sz w:val="24"/>
          <w:szCs w:val="24"/>
        </w:rPr>
        <w:t>④发生事故时仍必须进入该收集系统的生产废水量</w:t>
      </w:r>
    </w:p>
    <w:p w14:paraId="55EE0C87">
      <w:pPr>
        <w:spacing w:line="360" w:lineRule="auto"/>
        <w:ind w:left="0" w:leftChars="0" w:firstLine="480" w:firstLineChars="200"/>
        <w:rPr>
          <w:rFonts w:hint="default"/>
          <w:color w:val="auto"/>
          <w:sz w:val="24"/>
          <w:szCs w:val="24"/>
          <w:lang w:val="en-US"/>
        </w:rPr>
      </w:pPr>
      <w:r>
        <w:rPr>
          <w:rFonts w:hint="default" w:ascii="Times New Roman" w:hAnsi="Times New Roman" w:eastAsia="宋体" w:cs="Times New Roman"/>
          <w:color w:val="auto"/>
          <w:kern w:val="0"/>
          <w:sz w:val="24"/>
          <w:szCs w:val="24"/>
          <w:highlight w:val="none"/>
          <w:lang w:val="en-US" w:eastAsia="zh-CN" w:bidi="ar"/>
        </w:rPr>
        <w:t>本项目</w:t>
      </w:r>
      <w:r>
        <w:rPr>
          <w:rFonts w:hint="default" w:ascii="Times New Roman" w:hAnsi="Times New Roman" w:cs="Times New Roman"/>
          <w:bCs/>
          <w:color w:val="auto"/>
          <w:sz w:val="24"/>
          <w:szCs w:val="24"/>
          <w:highlight w:val="none"/>
          <w:lang w:val="en-US" w:eastAsia="zh-CN"/>
        </w:rPr>
        <w:t>废水最大产生量为</w:t>
      </w:r>
      <w:r>
        <w:rPr>
          <w:rFonts w:hint="eastAsia" w:cs="Times New Roman"/>
          <w:bCs/>
          <w:color w:val="auto"/>
          <w:sz w:val="24"/>
          <w:szCs w:val="24"/>
          <w:highlight w:val="none"/>
          <w:lang w:val="en-US" w:eastAsia="zh-CN"/>
        </w:rPr>
        <w:t>6.6555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z w:val="24"/>
          <w:szCs w:val="24"/>
          <w:lang w:val="en-US" w:eastAsia="zh-CN"/>
        </w:rPr>
        <w:t>，</w:t>
      </w:r>
      <w:r>
        <w:rPr>
          <w:rFonts w:hint="eastAsia"/>
          <w:color w:val="auto"/>
          <w:sz w:val="24"/>
          <w:szCs w:val="24"/>
          <w:lang w:val="en-US" w:eastAsia="zh-CN"/>
        </w:rPr>
        <w:t>则</w:t>
      </w:r>
      <w:r>
        <w:rPr>
          <w:rFonts w:hint="eastAsia"/>
          <w:color w:val="auto"/>
          <w:sz w:val="24"/>
          <w:szCs w:val="24"/>
        </w:rPr>
        <w:t>本项目发生事故时仍必须进入该收集系统的生产废水量V</w:t>
      </w:r>
      <w:r>
        <w:rPr>
          <w:rFonts w:hint="eastAsia"/>
          <w:color w:val="auto"/>
          <w:sz w:val="24"/>
          <w:szCs w:val="24"/>
          <w:vertAlign w:val="subscript"/>
        </w:rPr>
        <w:t>4</w:t>
      </w:r>
      <w:r>
        <w:rPr>
          <w:rFonts w:hint="eastAsia"/>
          <w:color w:val="auto"/>
          <w:sz w:val="24"/>
          <w:szCs w:val="24"/>
        </w:rPr>
        <w:t>=</w:t>
      </w:r>
      <w:r>
        <w:rPr>
          <w:rFonts w:hint="eastAsia"/>
          <w:color w:val="auto"/>
          <w:sz w:val="24"/>
          <w:szCs w:val="24"/>
          <w:lang w:val="en-US" w:eastAsia="zh-CN"/>
        </w:rPr>
        <w:t>6.6555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eastAsia" w:ascii="Times New Roman" w:hAnsi="Times New Roman" w:eastAsia="宋体" w:cs="Times New Roman"/>
          <w:color w:val="auto"/>
          <w:sz w:val="24"/>
          <w:szCs w:val="24"/>
          <w:lang w:val="en-US" w:eastAsia="zh-CN"/>
        </w:rPr>
        <w:t>。</w:t>
      </w:r>
    </w:p>
    <w:p w14:paraId="5C976AF0">
      <w:pPr>
        <w:spacing w:line="360" w:lineRule="auto"/>
        <w:rPr>
          <w:b/>
          <w:color w:val="auto"/>
          <w:sz w:val="24"/>
          <w:szCs w:val="24"/>
        </w:rPr>
      </w:pPr>
      <w:r>
        <w:rPr>
          <w:rFonts w:hint="eastAsia"/>
          <w:b/>
          <w:color w:val="auto"/>
          <w:sz w:val="24"/>
          <w:szCs w:val="24"/>
        </w:rPr>
        <w:t>⑤发生事故时可能进入该收集系统的降雨量</w:t>
      </w:r>
    </w:p>
    <w:p w14:paraId="3E4EF9FF">
      <w:pPr>
        <w:spacing w:line="360" w:lineRule="auto"/>
        <w:ind w:left="0" w:leftChars="0" w:firstLine="480" w:firstLineChars="200"/>
        <w:rPr>
          <w:color w:val="auto"/>
          <w:sz w:val="24"/>
          <w:szCs w:val="24"/>
        </w:rPr>
      </w:pPr>
      <w:r>
        <w:rPr>
          <w:rFonts w:hint="eastAsia"/>
          <w:color w:val="auto"/>
          <w:sz w:val="24"/>
          <w:szCs w:val="24"/>
          <w:lang w:val="en-US" w:eastAsia="zh-CN"/>
        </w:rPr>
        <w:t>本项目</w:t>
      </w:r>
      <w:r>
        <w:rPr>
          <w:rFonts w:hint="default" w:ascii="Times New Roman" w:hAnsi="Times New Roman" w:cs="Times New Roman"/>
          <w:color w:val="auto"/>
          <w:kern w:val="24"/>
          <w:sz w:val="24"/>
          <w:highlight w:val="none"/>
          <w:lang w:val="en-US" w:eastAsia="zh-CN"/>
        </w:rPr>
        <w:t>设</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初期雨水池，初期雨水池容积满足厂区</w:t>
      </w:r>
      <w:r>
        <w:rPr>
          <w:rFonts w:hint="default" w:ascii="Times New Roman" w:hAnsi="Times New Roman" w:cs="Times New Roman"/>
          <w:color w:val="auto"/>
          <w:sz w:val="24"/>
          <w:lang w:val="en-US" w:eastAsia="zh-CN"/>
        </w:rPr>
        <w:t>一次初期雨水量暂存需求</w:t>
      </w:r>
      <w:r>
        <w:rPr>
          <w:rFonts w:hint="eastAsia" w:ascii="Times New Roman" w:hAnsi="Times New Roman" w:cs="Times New Roman"/>
          <w:color w:val="auto"/>
          <w:sz w:val="24"/>
          <w:lang w:val="en-US" w:eastAsia="zh-CN"/>
        </w:rPr>
        <w:t>，</w:t>
      </w:r>
      <w:r>
        <w:rPr>
          <w:color w:val="auto"/>
          <w:sz w:val="24"/>
          <w:szCs w:val="24"/>
        </w:rPr>
        <w:t>则</w:t>
      </w:r>
      <w:r>
        <w:rPr>
          <w:rFonts w:hint="eastAsia"/>
          <w:color w:val="auto"/>
          <w:sz w:val="24"/>
          <w:szCs w:val="24"/>
        </w:rPr>
        <w:t>发生事故时可能进入该收集系统的降雨量V</w:t>
      </w:r>
      <w:r>
        <w:rPr>
          <w:color w:val="auto"/>
          <w:sz w:val="24"/>
          <w:szCs w:val="24"/>
          <w:vertAlign w:val="subscript"/>
        </w:rPr>
        <w:t>5</w:t>
      </w:r>
      <w:r>
        <w:rPr>
          <w:rFonts w:hint="eastAsia"/>
          <w:color w:val="auto"/>
          <w:sz w:val="24"/>
          <w:szCs w:val="24"/>
        </w:rPr>
        <w:t>=</w:t>
      </w:r>
      <w:r>
        <w:rPr>
          <w:rFonts w:hint="eastAsia"/>
          <w:color w:val="auto"/>
          <w:sz w:val="24"/>
          <w:szCs w:val="24"/>
          <w:lang w:val="en-US" w:eastAsia="zh-CN"/>
        </w:rPr>
        <w:t>0</w:t>
      </w:r>
      <w:r>
        <w:rPr>
          <w:color w:val="auto"/>
          <w:sz w:val="24"/>
          <w:szCs w:val="24"/>
        </w:rPr>
        <w:t>。</w:t>
      </w:r>
    </w:p>
    <w:p w14:paraId="1887DC94">
      <w:pPr>
        <w:pStyle w:val="26"/>
        <w:bidi w:val="0"/>
        <w:rPr>
          <w:rFonts w:hint="default" w:ascii="Times New Roman" w:hAnsi="Times New Roman" w:eastAsia="宋体" w:cs="Times New Roman"/>
          <w:color w:val="auto"/>
          <w:kern w:val="0"/>
          <w:sz w:val="24"/>
          <w:szCs w:val="24"/>
          <w:lang w:val="en-US" w:eastAsia="zh-CN" w:bidi="ar"/>
        </w:rPr>
      </w:pPr>
      <w:r>
        <w:rPr>
          <w:rFonts w:hint="eastAsia"/>
          <w:color w:val="auto"/>
          <w:sz w:val="24"/>
          <w:szCs w:val="24"/>
        </w:rPr>
        <w:t>因此，事故状态下需收集的废水量V</w:t>
      </w:r>
      <w:r>
        <w:rPr>
          <w:rFonts w:hint="eastAsia"/>
          <w:color w:val="auto"/>
          <w:sz w:val="24"/>
          <w:szCs w:val="24"/>
          <w:vertAlign w:val="subscript"/>
        </w:rPr>
        <w:t>总</w:t>
      </w:r>
      <w:r>
        <w:rPr>
          <w:rFonts w:hint="eastAsia"/>
          <w:color w:val="auto"/>
          <w:sz w:val="24"/>
          <w:szCs w:val="24"/>
        </w:rPr>
        <w:t>=</w:t>
      </w:r>
      <w:r>
        <w:rPr>
          <w:rFonts w:hint="eastAsia"/>
          <w:color w:val="auto"/>
          <w:sz w:val="24"/>
          <w:szCs w:val="24"/>
          <w:lang w:val="en-US" w:eastAsia="zh-CN"/>
        </w:rPr>
        <w:t>45</w:t>
      </w:r>
      <w:r>
        <w:rPr>
          <w:color w:val="auto"/>
          <w:sz w:val="24"/>
          <w:szCs w:val="24"/>
        </w:rPr>
        <w:t>m</w:t>
      </w:r>
      <w:r>
        <w:rPr>
          <w:color w:val="auto"/>
          <w:sz w:val="24"/>
          <w:szCs w:val="24"/>
          <w:vertAlign w:val="superscript"/>
        </w:rPr>
        <w:t>3</w:t>
      </w:r>
      <w:r>
        <w:rPr>
          <w:rFonts w:hint="eastAsia"/>
          <w:color w:val="auto"/>
          <w:sz w:val="24"/>
          <w:szCs w:val="24"/>
        </w:rPr>
        <w:t>+</w:t>
      </w:r>
      <w:r>
        <w:rPr>
          <w:rFonts w:hint="eastAsia"/>
          <w:color w:val="auto"/>
          <w:sz w:val="24"/>
          <w:szCs w:val="24"/>
          <w:lang w:val="en-US" w:eastAsia="zh-CN"/>
        </w:rPr>
        <w:t>90</w:t>
      </w:r>
      <w:r>
        <w:rPr>
          <w:color w:val="auto"/>
          <w:sz w:val="24"/>
          <w:szCs w:val="24"/>
        </w:rPr>
        <w:t>m</w:t>
      </w:r>
      <w:r>
        <w:rPr>
          <w:color w:val="auto"/>
          <w:sz w:val="24"/>
          <w:szCs w:val="24"/>
          <w:vertAlign w:val="superscript"/>
        </w:rPr>
        <w:t>3</w:t>
      </w:r>
      <w:r>
        <w:rPr>
          <w:rFonts w:hint="eastAsia"/>
          <w:color w:val="auto"/>
          <w:sz w:val="24"/>
          <w:szCs w:val="24"/>
          <w:lang w:val="en-US" w:eastAsia="zh-CN"/>
        </w:rPr>
        <w:t>-0</w:t>
      </w:r>
      <w:r>
        <w:rPr>
          <w:color w:val="auto"/>
          <w:sz w:val="24"/>
          <w:szCs w:val="24"/>
        </w:rPr>
        <w:t>m</w:t>
      </w:r>
      <w:r>
        <w:rPr>
          <w:color w:val="auto"/>
          <w:sz w:val="24"/>
          <w:szCs w:val="24"/>
          <w:vertAlign w:val="superscript"/>
        </w:rPr>
        <w:t>3</w:t>
      </w:r>
      <w:r>
        <w:rPr>
          <w:rFonts w:hint="eastAsia"/>
          <w:color w:val="auto"/>
          <w:sz w:val="24"/>
          <w:szCs w:val="24"/>
        </w:rPr>
        <w:t>+</w:t>
      </w:r>
      <w:r>
        <w:rPr>
          <w:rFonts w:hint="eastAsia"/>
          <w:color w:val="auto"/>
          <w:sz w:val="24"/>
          <w:szCs w:val="24"/>
          <w:lang w:val="en-US" w:eastAsia="zh-CN"/>
        </w:rPr>
        <w:t>6.6555</w:t>
      </w:r>
      <w:r>
        <w:rPr>
          <w:color w:val="auto"/>
          <w:sz w:val="24"/>
          <w:szCs w:val="24"/>
        </w:rPr>
        <w:t>m</w:t>
      </w:r>
      <w:r>
        <w:rPr>
          <w:color w:val="auto"/>
          <w:sz w:val="24"/>
          <w:szCs w:val="24"/>
          <w:vertAlign w:val="superscript"/>
        </w:rPr>
        <w:t>3</w:t>
      </w:r>
      <w:r>
        <w:rPr>
          <w:rFonts w:hint="eastAsia"/>
          <w:color w:val="auto"/>
          <w:sz w:val="24"/>
          <w:szCs w:val="24"/>
        </w:rPr>
        <w:t>+</w:t>
      </w:r>
      <w:r>
        <w:rPr>
          <w:rFonts w:hint="eastAsia"/>
          <w:color w:val="auto"/>
          <w:sz w:val="24"/>
          <w:szCs w:val="24"/>
          <w:lang w:val="en-US" w:eastAsia="zh-CN"/>
        </w:rPr>
        <w:t>0</w:t>
      </w:r>
      <w:r>
        <w:rPr>
          <w:color w:val="auto"/>
          <w:sz w:val="24"/>
          <w:szCs w:val="24"/>
        </w:rPr>
        <w:t>m</w:t>
      </w:r>
      <w:r>
        <w:rPr>
          <w:color w:val="auto"/>
          <w:sz w:val="24"/>
          <w:szCs w:val="24"/>
          <w:vertAlign w:val="superscript"/>
        </w:rPr>
        <w:t>3</w:t>
      </w:r>
      <w:r>
        <w:rPr>
          <w:rFonts w:hint="eastAsia"/>
          <w:color w:val="auto"/>
          <w:sz w:val="24"/>
          <w:szCs w:val="24"/>
        </w:rPr>
        <w:t>=</w:t>
      </w:r>
      <w:r>
        <w:rPr>
          <w:rFonts w:hint="eastAsia"/>
          <w:color w:val="auto"/>
          <w:sz w:val="24"/>
          <w:szCs w:val="24"/>
          <w:lang w:val="en-US" w:eastAsia="zh-CN"/>
        </w:rPr>
        <w:t>141.6555</w:t>
      </w:r>
      <w:r>
        <w:rPr>
          <w:color w:val="auto"/>
          <w:sz w:val="24"/>
          <w:szCs w:val="24"/>
        </w:rPr>
        <w:t>m</w:t>
      </w:r>
      <w:r>
        <w:rPr>
          <w:color w:val="auto"/>
          <w:sz w:val="24"/>
          <w:szCs w:val="24"/>
          <w:vertAlign w:val="superscript"/>
        </w:rPr>
        <w:t>3</w:t>
      </w:r>
      <w:r>
        <w:rPr>
          <w:color w:val="auto"/>
          <w:sz w:val="24"/>
          <w:szCs w:val="24"/>
        </w:rPr>
        <w:t>，</w:t>
      </w:r>
      <w:r>
        <w:rPr>
          <w:rFonts w:hint="default" w:ascii="Times New Roman" w:hAnsi="Times New Roman" w:cs="Times New Roman"/>
          <w:color w:val="auto"/>
          <w:sz w:val="24"/>
          <w:szCs w:val="24"/>
          <w:highlight w:val="none"/>
          <w:lang w:val="en-US" w:eastAsia="zh-CN"/>
        </w:rPr>
        <w:t>厂区</w:t>
      </w:r>
      <w:r>
        <w:rPr>
          <w:rFonts w:hint="default" w:ascii="Times New Roman" w:hAnsi="Times New Roman"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w:t>
      </w:r>
      <w:r>
        <w:rPr>
          <w:rFonts w:hint="default" w:ascii="Times New Roman" w:hAnsi="Times New Roman" w:cs="Times New Roman"/>
          <w:b w:val="0"/>
          <w:bCs w:val="0"/>
          <w:color w:val="auto"/>
          <w:sz w:val="24"/>
          <w:szCs w:val="24"/>
          <w:highlight w:val="none"/>
          <w:lang w:val="en-US" w:eastAsia="zh-CN"/>
        </w:rPr>
        <w:t>容积</w:t>
      </w:r>
      <w:r>
        <w:rPr>
          <w:rFonts w:hint="eastAsia" w:cs="Times New Roman"/>
          <w:b w:val="0"/>
          <w:bCs w:val="0"/>
          <w:color w:val="auto"/>
          <w:sz w:val="24"/>
          <w:szCs w:val="24"/>
          <w:highlight w:val="none"/>
          <w:lang w:val="en-US" w:eastAsia="zh-CN"/>
        </w:rPr>
        <w:t>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cs="Times New Roman"/>
          <w:color w:val="auto"/>
          <w:kern w:val="24"/>
          <w:sz w:val="24"/>
          <w:szCs w:val="24"/>
          <w:highlight w:val="none"/>
          <w:lang w:val="en-US" w:eastAsia="zh-CN"/>
        </w:rPr>
        <w:t>的</w:t>
      </w:r>
      <w:r>
        <w:rPr>
          <w:rFonts w:hint="eastAsia"/>
          <w:color w:val="auto"/>
          <w:highlight w:val="none"/>
          <w:lang w:val="en-US" w:eastAsia="zh-CN"/>
        </w:rPr>
        <w:t>事故应急池</w:t>
      </w:r>
      <w:r>
        <w:rPr>
          <w:rFonts w:hint="eastAsia"/>
          <w:color w:val="auto"/>
          <w:sz w:val="24"/>
          <w:szCs w:val="24"/>
        </w:rPr>
        <w:t>，</w:t>
      </w:r>
      <w:r>
        <w:rPr>
          <w:color w:val="auto"/>
          <w:sz w:val="24"/>
          <w:szCs w:val="24"/>
        </w:rPr>
        <w:t>可防止事故废水溢流至雨水管网或周边地表水体。</w:t>
      </w:r>
    </w:p>
    <w:p w14:paraId="2ACF3F71">
      <w:pPr>
        <w:pStyle w:val="26"/>
        <w:bidi w:val="0"/>
        <w:rPr>
          <w:rFonts w:hint="eastAsia" w:ascii="Times New Roman" w:hAnsi="Times New Roman" w:eastAsia="宋体" w:cs="Times New Roman"/>
          <w:b/>
          <w:bCs/>
          <w:color w:val="auto"/>
          <w:kern w:val="0"/>
          <w:sz w:val="24"/>
          <w:szCs w:val="24"/>
          <w:lang w:val="en-US" w:eastAsia="zh-CN" w:bidi="ar"/>
        </w:rPr>
      </w:pPr>
      <w:r>
        <w:rPr>
          <w:rFonts w:hint="eastAsia" w:ascii="Times New Roman" w:hAnsi="Times New Roman" w:eastAsia="宋体" w:cs="Times New Roman"/>
          <w:b/>
          <w:bCs/>
          <w:color w:val="auto"/>
          <w:kern w:val="0"/>
          <w:sz w:val="24"/>
          <w:szCs w:val="24"/>
          <w:lang w:val="en-US" w:eastAsia="zh-CN" w:bidi="ar"/>
        </w:rPr>
        <w:t>3、事故废水环境风险防范措施</w:t>
      </w:r>
    </w:p>
    <w:p w14:paraId="0F4B0191">
      <w:pPr>
        <w:pStyle w:val="26"/>
        <w:bidi w:val="0"/>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运营期应建立“单元-厂区-园区/区域”事故废水环境风险防控体系，加强区域联动。项目厂内实行雨污分流、清污分流，项目合理布设雨水排水管网并配套完善的初期雨水收集和截断系统，统一设置一个雨水排口，厂区初期雨水不得就近外排。生产装置区设有</w:t>
      </w:r>
      <w:r>
        <w:rPr>
          <w:rFonts w:hint="eastAsia" w:cs="Times New Roman"/>
          <w:color w:val="auto"/>
          <w:kern w:val="0"/>
          <w:sz w:val="24"/>
          <w:szCs w:val="24"/>
          <w:lang w:val="en-US" w:eastAsia="zh-CN" w:bidi="ar"/>
        </w:rPr>
        <w:t>地漏和集水池</w:t>
      </w:r>
      <w:r>
        <w:rPr>
          <w:rFonts w:hint="eastAsia" w:ascii="Times New Roman" w:hAnsi="Times New Roman" w:eastAsia="宋体" w:cs="Times New Roman"/>
          <w:color w:val="auto"/>
          <w:kern w:val="0"/>
          <w:sz w:val="24"/>
          <w:szCs w:val="24"/>
          <w:lang w:val="en-US" w:eastAsia="zh-CN" w:bidi="ar"/>
        </w:rPr>
        <w:t>，用于及时将车间非正常及事故状态下的废水或废液</w:t>
      </w:r>
      <w:r>
        <w:rPr>
          <w:rFonts w:hint="eastAsia" w:cs="Times New Roman"/>
          <w:color w:val="auto"/>
          <w:kern w:val="0"/>
          <w:sz w:val="24"/>
          <w:szCs w:val="24"/>
          <w:lang w:val="en-US" w:eastAsia="zh-CN" w:bidi="ar"/>
        </w:rPr>
        <w:t>泵入</w:t>
      </w:r>
      <w:r>
        <w:rPr>
          <w:rFonts w:hint="eastAsia"/>
          <w:color w:val="auto"/>
          <w:highlight w:val="none"/>
          <w:lang w:val="en-US" w:eastAsia="zh-CN"/>
        </w:rPr>
        <w:t>事故应急池</w:t>
      </w:r>
      <w:r>
        <w:rPr>
          <w:rFonts w:hint="eastAsia" w:ascii="Times New Roman" w:hAnsi="Times New Roman" w:eastAsia="宋体" w:cs="Times New Roman"/>
          <w:color w:val="auto"/>
          <w:kern w:val="0"/>
          <w:sz w:val="24"/>
          <w:szCs w:val="24"/>
          <w:lang w:val="en-US" w:eastAsia="zh-CN" w:bidi="ar"/>
        </w:rPr>
        <w:t>中。一旦发生事故，立即打开通向</w:t>
      </w:r>
      <w:r>
        <w:rPr>
          <w:rFonts w:hint="eastAsia"/>
          <w:color w:val="auto"/>
          <w:highlight w:val="none"/>
          <w:lang w:val="en-US" w:eastAsia="zh-CN"/>
        </w:rPr>
        <w:t>事故应急池</w:t>
      </w:r>
      <w:r>
        <w:rPr>
          <w:rFonts w:hint="eastAsia" w:ascii="Times New Roman" w:hAnsi="Times New Roman" w:eastAsia="宋体" w:cs="Times New Roman"/>
          <w:color w:val="auto"/>
          <w:kern w:val="0"/>
          <w:sz w:val="24"/>
          <w:szCs w:val="24"/>
          <w:lang w:val="en-US" w:eastAsia="zh-CN" w:bidi="ar"/>
        </w:rPr>
        <w:t>的连接口，将事故废水引入；雨、污管道出口设切断阀，发生事故时立即关闭出厂雨、污管道，以杜绝事故废水外流。</w:t>
      </w:r>
    </w:p>
    <w:p w14:paraId="2C14084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w:t>
      </w:r>
      <w:r>
        <w:rPr>
          <w:rFonts w:hint="eastAsia" w:ascii="Times New Roman" w:hAnsi="Times New Roman" w:cs="Times New Roman"/>
          <w:color w:val="auto"/>
          <w:highlight w:val="none"/>
          <w:lang w:val="en-US" w:eastAsia="zh-CN"/>
        </w:rPr>
        <w:t>下</w:t>
      </w:r>
      <w:r>
        <w:rPr>
          <w:rFonts w:hint="default" w:ascii="Times New Roman" w:hAnsi="Times New Roman" w:cs="Times New Roman"/>
          <w:color w:val="auto"/>
          <w:highlight w:val="none"/>
          <w:lang w:val="en-US" w:eastAsia="zh-CN"/>
        </w:rPr>
        <w:t>水环境风险防范措施</w:t>
      </w:r>
    </w:p>
    <w:p w14:paraId="1484AE96">
      <w:pPr>
        <w:pStyle w:val="26"/>
        <w:numPr>
          <w:ilvl w:val="0"/>
          <w:numId w:val="0"/>
        </w:numPr>
        <w:bidi w:val="0"/>
        <w:ind w:left="0" w:leftChars="0" w:firstLine="480" w:firstLineChars="200"/>
        <w:rPr>
          <w:rFonts w:hint="eastAsia"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kern w:val="2"/>
          <w:sz w:val="24"/>
          <w:szCs w:val="24"/>
          <w:lang w:val="en-US" w:eastAsia="zh-CN" w:bidi="ar-SA"/>
        </w:rPr>
        <w:t>（1）</w:t>
      </w:r>
      <w:r>
        <w:rPr>
          <w:rFonts w:hint="eastAsia" w:ascii="Times New Roman" w:hAnsi="Times New Roman" w:eastAsia="宋体" w:cs="Times New Roman"/>
          <w:color w:val="auto"/>
          <w:kern w:val="0"/>
          <w:sz w:val="24"/>
          <w:szCs w:val="24"/>
          <w:lang w:val="en-US" w:eastAsia="zh-CN" w:bidi="ar"/>
        </w:rPr>
        <w:t>严格按照</w:t>
      </w:r>
      <w:r>
        <w:rPr>
          <w:rFonts w:hint="eastAsia"/>
          <w:color w:val="auto"/>
          <w:highlight w:val="none"/>
        </w:rPr>
        <w:t>《环境影响评价技术导则 地下水环境》（HJ610-2016）</w:t>
      </w:r>
      <w:r>
        <w:rPr>
          <w:color w:val="auto"/>
          <w:highlight w:val="none"/>
        </w:rPr>
        <w:t>防渗分区原则</w:t>
      </w:r>
      <w:r>
        <w:rPr>
          <w:rFonts w:hint="eastAsia"/>
          <w:color w:val="auto"/>
          <w:highlight w:val="none"/>
        </w:rPr>
        <w:t>，</w:t>
      </w:r>
      <w:r>
        <w:rPr>
          <w:rFonts w:hint="eastAsia"/>
          <w:color w:val="auto"/>
          <w:highlight w:val="none"/>
          <w:lang w:val="en-US" w:eastAsia="zh-CN"/>
        </w:rPr>
        <w:t>采取分区防渗措施，确保</w:t>
      </w:r>
      <w:r>
        <w:rPr>
          <w:rFonts w:hint="eastAsia"/>
          <w:color w:val="auto"/>
        </w:rPr>
        <w:t>危废暂存间满足渗透系数K≤10</w:t>
      </w:r>
      <w:r>
        <w:rPr>
          <w:rFonts w:hint="eastAsia"/>
          <w:color w:val="auto"/>
          <w:vertAlign w:val="superscript"/>
        </w:rPr>
        <w:t>-10</w:t>
      </w:r>
      <w:r>
        <w:rPr>
          <w:rFonts w:hint="eastAsia"/>
          <w:color w:val="auto"/>
        </w:rPr>
        <w:t>cm/s的要求</w:t>
      </w:r>
      <w:r>
        <w:rPr>
          <w:rFonts w:hint="eastAsia"/>
          <w:color w:val="auto"/>
          <w:lang w:eastAsia="zh-CN"/>
        </w:rPr>
        <w:t>，</w:t>
      </w:r>
      <w:r>
        <w:rPr>
          <w:rFonts w:hint="eastAsia"/>
          <w:color w:val="auto"/>
        </w:rPr>
        <w:t>其他</w:t>
      </w:r>
      <w:r>
        <w:rPr>
          <w:rFonts w:hint="eastAsia"/>
          <w:color w:val="auto"/>
          <w:lang w:val="en-US" w:eastAsia="zh-CN"/>
        </w:rPr>
        <w:t>重点防渗</w:t>
      </w:r>
      <w:r>
        <w:rPr>
          <w:rFonts w:hint="eastAsia"/>
          <w:color w:val="auto"/>
        </w:rPr>
        <w:t>区域满足等效黏土防渗层Mb≥6.0m</w:t>
      </w:r>
      <w:r>
        <w:rPr>
          <w:rFonts w:hint="eastAsia"/>
          <w:color w:val="auto"/>
          <w:lang w:eastAsia="zh-CN"/>
        </w:rPr>
        <w:t>、</w:t>
      </w:r>
      <w:r>
        <w:rPr>
          <w:rFonts w:hint="eastAsia"/>
          <w:color w:val="auto"/>
        </w:rPr>
        <w:t>渗透系数K≤10</w:t>
      </w:r>
      <w:r>
        <w:rPr>
          <w:rFonts w:hint="eastAsia"/>
          <w:color w:val="auto"/>
          <w:vertAlign w:val="superscript"/>
        </w:rPr>
        <w:t>-7</w:t>
      </w:r>
      <w:r>
        <w:rPr>
          <w:rFonts w:hint="eastAsia"/>
          <w:color w:val="auto"/>
        </w:rPr>
        <w:t>cm/s的要</w:t>
      </w:r>
      <w:r>
        <w:rPr>
          <w:rFonts w:hint="eastAsia"/>
          <w:color w:val="auto"/>
          <w:sz w:val="24"/>
          <w:szCs w:val="24"/>
        </w:rPr>
        <w:t>求</w:t>
      </w:r>
      <w:r>
        <w:rPr>
          <w:rFonts w:hint="eastAsia"/>
          <w:color w:val="auto"/>
          <w:sz w:val="24"/>
          <w:szCs w:val="24"/>
          <w:lang w:eastAsia="zh-CN"/>
        </w:rPr>
        <w:t>；</w:t>
      </w:r>
      <w:r>
        <w:rPr>
          <w:rFonts w:hint="eastAsia" w:cs="Times New Roman"/>
          <w:b w:val="0"/>
          <w:bCs w:val="0"/>
          <w:color w:val="auto"/>
          <w:sz w:val="24"/>
          <w:szCs w:val="24"/>
          <w:highlight w:val="none"/>
          <w:lang w:val="en-US" w:eastAsia="zh-CN"/>
        </w:rPr>
        <w:t>一般防渗区满足等效黏土防渗层Mb≥1.5m、渗透系数K≤10</w:t>
      </w:r>
      <w:r>
        <w:rPr>
          <w:rFonts w:hint="eastAsia" w:cs="Times New Roman"/>
          <w:b w:val="0"/>
          <w:bCs w:val="0"/>
          <w:color w:val="auto"/>
          <w:sz w:val="24"/>
          <w:szCs w:val="24"/>
          <w:highlight w:val="none"/>
          <w:vertAlign w:val="superscript"/>
          <w:lang w:val="en-US" w:eastAsia="zh-CN"/>
        </w:rPr>
        <w:t>-7</w:t>
      </w:r>
      <w:r>
        <w:rPr>
          <w:rFonts w:hint="eastAsia" w:cs="Times New Roman"/>
          <w:b w:val="0"/>
          <w:bCs w:val="0"/>
          <w:color w:val="auto"/>
          <w:sz w:val="24"/>
          <w:szCs w:val="24"/>
          <w:highlight w:val="none"/>
          <w:lang w:val="en-US" w:eastAsia="zh-CN"/>
        </w:rPr>
        <w:t>cm/s的要求。并</w:t>
      </w:r>
      <w:r>
        <w:rPr>
          <w:rFonts w:hint="eastAsia" w:ascii="Times New Roman" w:hAnsi="Times New Roman"/>
          <w:color w:val="auto"/>
          <w:sz w:val="24"/>
          <w:szCs w:val="24"/>
          <w:highlight w:val="none"/>
          <w:lang w:val="en-US" w:eastAsia="zh-CN"/>
        </w:rPr>
        <w:t>加强对防渗工程的检查，</w:t>
      </w:r>
      <w:r>
        <w:rPr>
          <w:rFonts w:hint="eastAsia"/>
          <w:color w:val="auto"/>
          <w:sz w:val="24"/>
          <w:szCs w:val="24"/>
          <w:highlight w:val="none"/>
          <w:lang w:val="en-US" w:eastAsia="zh-CN"/>
        </w:rPr>
        <w:t>定期进行检漏监测，</w:t>
      </w:r>
      <w:r>
        <w:rPr>
          <w:rFonts w:hint="eastAsia" w:ascii="Times New Roman" w:hAnsi="Times New Roman"/>
          <w:color w:val="auto"/>
          <w:sz w:val="24"/>
          <w:szCs w:val="24"/>
          <w:highlight w:val="none"/>
          <w:lang w:val="en-US" w:eastAsia="zh-CN"/>
        </w:rPr>
        <w:t>若发现防渗密封材料老化或损坏，及时维修更换</w:t>
      </w:r>
      <w:r>
        <w:rPr>
          <w:rFonts w:hint="eastAsia"/>
          <w:color w:val="auto"/>
          <w:sz w:val="24"/>
          <w:szCs w:val="24"/>
          <w:highlight w:val="none"/>
          <w:lang w:val="en-US" w:eastAsia="zh-CN"/>
        </w:rPr>
        <w:t>。</w:t>
      </w:r>
    </w:p>
    <w:p w14:paraId="352DEEB1">
      <w:pPr>
        <w:pStyle w:val="26"/>
        <w:numPr>
          <w:ilvl w:val="0"/>
          <w:numId w:val="0"/>
        </w:numPr>
        <w:bidi w:val="0"/>
        <w:ind w:left="0" w:leftChars="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（2）</w:t>
      </w:r>
      <w:r>
        <w:rPr>
          <w:rFonts w:hint="eastAsia"/>
          <w:color w:val="auto"/>
          <w:highlight w:val="none"/>
          <w:lang w:val="en-US" w:eastAsia="zh-CN"/>
        </w:rPr>
        <w:t>化学品输送管道可视化，</w:t>
      </w:r>
      <w:r>
        <w:rPr>
          <w:rFonts w:hint="eastAsia" w:ascii="Times New Roman" w:hAnsi="Times New Roman"/>
          <w:color w:val="auto"/>
          <w:sz w:val="24"/>
          <w:szCs w:val="24"/>
          <w:highlight w:val="none"/>
        </w:rPr>
        <w:t>加强各管路</w:t>
      </w:r>
      <w:r>
        <w:rPr>
          <w:rFonts w:hint="eastAsia"/>
          <w:color w:val="auto"/>
          <w:sz w:val="24"/>
          <w:szCs w:val="24"/>
          <w:highlight w:val="none"/>
          <w:lang w:eastAsia="zh-CN"/>
        </w:rPr>
        <w:t>、</w:t>
      </w:r>
      <w:r>
        <w:rPr>
          <w:rFonts w:hint="eastAsia"/>
          <w:color w:val="auto"/>
          <w:sz w:val="24"/>
          <w:szCs w:val="24"/>
          <w:highlight w:val="none"/>
          <w:lang w:val="en-US" w:eastAsia="zh-CN"/>
        </w:rPr>
        <w:t>设备</w:t>
      </w:r>
      <w:r>
        <w:rPr>
          <w:rFonts w:hint="eastAsia" w:ascii="Times New Roman" w:hAnsi="Times New Roman"/>
          <w:color w:val="auto"/>
          <w:sz w:val="24"/>
          <w:szCs w:val="24"/>
          <w:highlight w:val="none"/>
        </w:rPr>
        <w:t>的检修，避免工艺过程中溶液的漏滴。</w:t>
      </w:r>
    </w:p>
    <w:p w14:paraId="2DAF89D3">
      <w:pPr>
        <w:pStyle w:val="26"/>
        <w:numPr>
          <w:ilvl w:val="0"/>
          <w:numId w:val="0"/>
        </w:numPr>
        <w:bidi w:val="0"/>
        <w:ind w:left="0" w:leftChars="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（3）</w:t>
      </w:r>
      <w:r>
        <w:rPr>
          <w:rFonts w:hint="eastAsia"/>
          <w:color w:val="auto"/>
          <w:highlight w:val="none"/>
        </w:rPr>
        <w:t>厂区</w:t>
      </w:r>
      <w:r>
        <w:rPr>
          <w:rFonts w:hint="eastAsia"/>
          <w:color w:val="auto"/>
          <w:highlight w:val="none"/>
          <w:lang w:val="en-US" w:eastAsia="zh-CN"/>
        </w:rPr>
        <w:t>设3口</w:t>
      </w:r>
      <w:r>
        <w:rPr>
          <w:rFonts w:hint="eastAsia"/>
          <w:color w:val="auto"/>
          <w:highlight w:val="none"/>
        </w:rPr>
        <w:t>地下水跟踪监测井</w:t>
      </w:r>
      <w:r>
        <w:rPr>
          <w:rFonts w:hint="eastAsia"/>
          <w:color w:val="auto"/>
          <w:highlight w:val="none"/>
          <w:lang w:eastAsia="zh-CN"/>
        </w:rPr>
        <w:t>，</w:t>
      </w:r>
      <w:r>
        <w:rPr>
          <w:rFonts w:hint="eastAsia"/>
          <w:color w:val="auto"/>
          <w:highlight w:val="none"/>
        </w:rPr>
        <w:t>建立地下水环境监测管理体系，严格按照环评要求对</w:t>
      </w:r>
      <w:r>
        <w:rPr>
          <w:rFonts w:hint="eastAsia"/>
          <w:color w:val="auto"/>
          <w:highlight w:val="none"/>
          <w:lang w:val="en-US" w:eastAsia="zh-CN"/>
        </w:rPr>
        <w:t>区域地下水</w:t>
      </w:r>
      <w:r>
        <w:rPr>
          <w:rFonts w:hint="eastAsia"/>
          <w:color w:val="auto"/>
          <w:highlight w:val="none"/>
        </w:rPr>
        <w:t>水质监测井进行监测，一旦发现水质异常，立刻采取有效措施（如采用水动力隔离技术）阻止污染羽的扩散迁移，将地下水控制在局部范围，避免对厂区下游地下水造成污染。</w:t>
      </w:r>
    </w:p>
    <w:p w14:paraId="3F39A9E6">
      <w:pPr>
        <w:pStyle w:val="4"/>
        <w:bidi w:val="0"/>
        <w:rPr>
          <w:rFonts w:hint="default" w:ascii="Times New Roman" w:hAnsi="Times New Roman" w:cs="Times New Roman"/>
          <w:color w:val="auto"/>
          <w:highlight w:val="none"/>
          <w:lang w:val="en-US" w:eastAsia="zh-CN"/>
        </w:rPr>
      </w:pPr>
      <w:bookmarkStart w:id="214" w:name="_Toc22411"/>
      <w:bookmarkStart w:id="215" w:name="_Toc9544"/>
      <w:bookmarkStart w:id="216" w:name="_Toc17360"/>
      <w:bookmarkStart w:id="217" w:name="_Toc32115"/>
      <w:r>
        <w:rPr>
          <w:rFonts w:hint="default" w:ascii="Times New Roman" w:hAnsi="Times New Roman" w:cs="Times New Roman"/>
          <w:color w:val="auto"/>
          <w:highlight w:val="none"/>
          <w:lang w:val="en-US" w:eastAsia="zh-CN"/>
        </w:rPr>
        <w:t>危险废物</w:t>
      </w:r>
      <w:r>
        <w:rPr>
          <w:rFonts w:hint="eastAsia" w:ascii="Times New Roman" w:hAnsi="Times New Roman" w:cs="Times New Roman"/>
          <w:color w:val="auto"/>
          <w:highlight w:val="none"/>
          <w:lang w:val="en-US" w:eastAsia="zh-CN"/>
        </w:rPr>
        <w:t>环境</w:t>
      </w:r>
      <w:r>
        <w:rPr>
          <w:rFonts w:hint="default" w:ascii="Times New Roman" w:hAnsi="Times New Roman" w:cs="Times New Roman"/>
          <w:color w:val="auto"/>
          <w:highlight w:val="none"/>
          <w:lang w:val="en-US" w:eastAsia="zh-CN"/>
        </w:rPr>
        <w:t>风险防范措施</w:t>
      </w:r>
    </w:p>
    <w:p w14:paraId="5FEAC9F9">
      <w:pPr>
        <w:pStyle w:val="26"/>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1、危险废物的储存和包装方式</w:t>
      </w:r>
    </w:p>
    <w:p w14:paraId="597DF75C">
      <w:pPr>
        <w:pStyle w:val="26"/>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为满足《危险废物贮存污染控制标准》</w:t>
      </w:r>
      <w:r>
        <w:rPr>
          <w:rFonts w:hint="default" w:ascii="Times New Roman" w:hAnsi="Times New Roman" w:eastAsia="宋体" w:cs="Times New Roman"/>
          <w:color w:val="auto"/>
          <w:kern w:val="0"/>
          <w:sz w:val="24"/>
          <w:szCs w:val="24"/>
          <w:highlight w:val="none"/>
          <w:lang w:val="en-US" w:eastAsia="zh-CN" w:bidi="ar"/>
        </w:rPr>
        <w:t>（GB18597-2023）</w:t>
      </w:r>
      <w:r>
        <w:rPr>
          <w:rFonts w:hint="default" w:ascii="Times New Roman" w:hAnsi="Times New Roman" w:cs="Times New Roman"/>
          <w:color w:val="auto"/>
          <w:highlight w:val="none"/>
          <w:lang w:val="en-US" w:eastAsia="zh-CN"/>
        </w:rPr>
        <w:t>中对危险废物的包装和储存要求，本项目各类危险废物储存及包装方式见下表。</w:t>
      </w:r>
    </w:p>
    <w:p w14:paraId="330F164C">
      <w:pPr>
        <w:pStyle w:val="28"/>
        <w:numPr>
          <w:ilvl w:val="0"/>
          <w:numId w:val="39"/>
        </w:numPr>
        <w:bidi w:val="0"/>
        <w:ind w:left="425" w:leftChars="0" w:hanging="425"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项目危险废物储存过程危害特性及包装方式</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1160"/>
        <w:gridCol w:w="2578"/>
        <w:gridCol w:w="2713"/>
        <w:gridCol w:w="1396"/>
      </w:tblGrid>
      <w:tr w14:paraId="696D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pct"/>
            <w:noWrap w:val="0"/>
            <w:vAlign w:val="center"/>
          </w:tcPr>
          <w:p w14:paraId="63D1D6F5">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污染源</w:t>
            </w:r>
          </w:p>
        </w:tc>
        <w:tc>
          <w:tcPr>
            <w:tcW w:w="609" w:type="pct"/>
            <w:noWrap w:val="0"/>
            <w:vAlign w:val="center"/>
          </w:tcPr>
          <w:p w14:paraId="27B7BB57">
            <w:pPr>
              <w:pStyle w:val="24"/>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危险种类</w:t>
            </w:r>
          </w:p>
        </w:tc>
        <w:tc>
          <w:tcPr>
            <w:tcW w:w="1354" w:type="pct"/>
            <w:noWrap w:val="0"/>
            <w:vAlign w:val="center"/>
          </w:tcPr>
          <w:p w14:paraId="25DCCBF8">
            <w:pPr>
              <w:pStyle w:val="24"/>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储存过程危害特性</w:t>
            </w:r>
          </w:p>
        </w:tc>
        <w:tc>
          <w:tcPr>
            <w:tcW w:w="1425" w:type="pct"/>
            <w:noWrap w:val="0"/>
            <w:vAlign w:val="center"/>
          </w:tcPr>
          <w:p w14:paraId="34CC69B0">
            <w:pPr>
              <w:pStyle w:val="24"/>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包装方式</w:t>
            </w:r>
          </w:p>
        </w:tc>
        <w:tc>
          <w:tcPr>
            <w:tcW w:w="733" w:type="pct"/>
            <w:noWrap w:val="0"/>
            <w:vAlign w:val="center"/>
          </w:tcPr>
          <w:p w14:paraId="6D740FEF">
            <w:pPr>
              <w:pStyle w:val="24"/>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暂存方式</w:t>
            </w:r>
          </w:p>
        </w:tc>
      </w:tr>
      <w:tr w14:paraId="0007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pct"/>
            <w:noWrap w:val="0"/>
            <w:vAlign w:val="center"/>
          </w:tcPr>
          <w:p w14:paraId="21888062">
            <w:pPr>
              <w:pStyle w:val="24"/>
              <w:bidi w:val="0"/>
              <w:jc w:val="center"/>
              <w:rPr>
                <w:rFonts w:hint="default" w:ascii="Times New Roman" w:hAnsi="Times New Roman" w:cs="Times New Roman"/>
                <w:color w:val="auto"/>
                <w:highlight w:val="none"/>
                <w:lang w:val="en-US" w:eastAsia="zh-CN"/>
              </w:rPr>
            </w:pPr>
            <w:r>
              <w:rPr>
                <w:rFonts w:hint="eastAsia" w:cs="Times New Roman"/>
                <w:b w:val="0"/>
                <w:bCs w:val="0"/>
                <w:color w:val="auto"/>
                <w:highlight w:val="none"/>
                <w:lang w:val="en-US" w:eastAsia="zh-CN"/>
              </w:rPr>
              <w:t>危废暂存间</w:t>
            </w:r>
          </w:p>
        </w:tc>
        <w:tc>
          <w:tcPr>
            <w:tcW w:w="609" w:type="pct"/>
            <w:noWrap w:val="0"/>
            <w:vAlign w:val="center"/>
          </w:tcPr>
          <w:p w14:paraId="1047501C">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危险废物</w:t>
            </w:r>
          </w:p>
        </w:tc>
        <w:tc>
          <w:tcPr>
            <w:tcW w:w="1354" w:type="pct"/>
            <w:noWrap w:val="0"/>
            <w:vAlign w:val="center"/>
          </w:tcPr>
          <w:p w14:paraId="11EB021C">
            <w:pPr>
              <w:pStyle w:val="24"/>
              <w:bidi w:val="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危险废物泄漏会造成一定的环境污染</w:t>
            </w:r>
          </w:p>
        </w:tc>
        <w:tc>
          <w:tcPr>
            <w:tcW w:w="1425" w:type="pct"/>
            <w:noWrap w:val="0"/>
            <w:vAlign w:val="center"/>
          </w:tcPr>
          <w:p w14:paraId="5EC9EF3B">
            <w:pPr>
              <w:pStyle w:val="24"/>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采用专用密封桶</w:t>
            </w:r>
            <w:r>
              <w:rPr>
                <w:rFonts w:hint="eastAsia" w:ascii="Times New Roman" w:hAnsi="Times New Roman" w:cs="Times New Roman"/>
                <w:color w:val="auto"/>
                <w:highlight w:val="none"/>
                <w:lang w:val="en-US" w:eastAsia="zh-CN"/>
              </w:rPr>
              <w:t>/袋</w:t>
            </w:r>
            <w:r>
              <w:rPr>
                <w:rFonts w:hint="default" w:ascii="Times New Roman" w:hAnsi="Times New Roman" w:cs="Times New Roman"/>
                <w:color w:val="auto"/>
                <w:highlight w:val="none"/>
                <w:lang w:val="en-US" w:eastAsia="zh-CN"/>
              </w:rPr>
              <w:t>密封包装，分种类包装，不可混合</w:t>
            </w:r>
          </w:p>
        </w:tc>
        <w:tc>
          <w:tcPr>
            <w:tcW w:w="733" w:type="pct"/>
            <w:noWrap w:val="0"/>
            <w:vAlign w:val="center"/>
          </w:tcPr>
          <w:p w14:paraId="2C7E9121">
            <w:pPr>
              <w:pStyle w:val="24"/>
              <w:bidi w:val="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暂存于</w:t>
            </w:r>
            <w:r>
              <w:rPr>
                <w:rFonts w:hint="eastAsia" w:cs="Times New Roman"/>
                <w:b w:val="0"/>
                <w:bCs w:val="0"/>
                <w:color w:val="auto"/>
                <w:highlight w:val="none"/>
                <w:lang w:val="en-US" w:eastAsia="zh-CN"/>
              </w:rPr>
              <w:t>危废暂存间</w:t>
            </w:r>
            <w:r>
              <w:rPr>
                <w:rFonts w:hint="default" w:ascii="Times New Roman" w:hAnsi="Times New Roman" w:cs="Times New Roman"/>
                <w:color w:val="auto"/>
                <w:highlight w:val="none"/>
                <w:lang w:val="en-US" w:eastAsia="zh-CN"/>
              </w:rPr>
              <w:t>内</w:t>
            </w:r>
          </w:p>
        </w:tc>
      </w:tr>
    </w:tbl>
    <w:p w14:paraId="31099A3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危险废物包装执行《危险货物运输包装通用技术条件》（GB12463-2009）《危险货物包装标志》（GB190-2009）中相关要求，且危险废物入库前需严格对包装容器和材料进行检查，同一容器内不能有性质不兼容物质；包装容器如有破损，及时采取措施清理更换；包装容器上应贴有标签；包装容器外表面如残留有废液、废渣、污泥等物质时，及时进行擦拭</w:t>
      </w:r>
    </w:p>
    <w:p w14:paraId="7731766B">
      <w:pPr>
        <w:pStyle w:val="30"/>
        <w:bidi w:val="0"/>
        <w:rPr>
          <w:rFonts w:hint="default" w:ascii="Times New Roman" w:hAnsi="Times New Roman" w:cs="Times New Roman"/>
          <w:color w:val="auto"/>
          <w:highlight w:val="none"/>
        </w:rPr>
      </w:pPr>
      <w:r>
        <w:rPr>
          <w:rFonts w:hint="default" w:ascii="Times New Roman" w:hAnsi="Times New Roman" w:eastAsia="宋体" w:cs="Times New Roman"/>
          <w:b/>
          <w:bCs/>
          <w:color w:val="auto"/>
          <w:kern w:val="0"/>
          <w:sz w:val="24"/>
          <w:szCs w:val="24"/>
          <w:highlight w:val="none"/>
          <w:lang w:val="en-US" w:eastAsia="zh-CN" w:bidi="ar"/>
        </w:rPr>
        <w:t>2、危险废物的储存场所</w:t>
      </w:r>
    </w:p>
    <w:p w14:paraId="05E9203A">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本项目危险废物储存场所具体防治措施具体如下：</w:t>
      </w:r>
    </w:p>
    <w:p w14:paraId="546BE393">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30"/>
          <w:lang w:val="en-US" w:eastAsia="zh-CN" w:bidi="ar-SA"/>
        </w:rPr>
        <w:t>（1）</w:t>
      </w:r>
      <w:r>
        <w:rPr>
          <w:rFonts w:hint="default" w:ascii="Times New Roman" w:hAnsi="Times New Roman" w:cs="Times New Roman"/>
          <w:color w:val="auto"/>
          <w:highlight w:val="none"/>
          <w:lang w:val="en-US" w:eastAsia="zh-CN"/>
        </w:rPr>
        <w:t>危险废物应分区贮存，各分区间采取过道隔离，各分区内危废分类、分堆存放，不相容的危废禁止堆放在一起；</w:t>
      </w:r>
      <w:r>
        <w:rPr>
          <w:rFonts w:hint="eastAsia" w:cs="Times New Roman"/>
          <w:b w:val="0"/>
          <w:bCs w:val="0"/>
          <w:color w:val="auto"/>
          <w:highlight w:val="none"/>
          <w:lang w:val="en-US" w:eastAsia="zh-CN"/>
        </w:rPr>
        <w:t>危废暂存间</w:t>
      </w:r>
      <w:r>
        <w:rPr>
          <w:rFonts w:hint="default" w:ascii="Times New Roman" w:hAnsi="Times New Roman" w:cs="Times New Roman"/>
          <w:color w:val="auto"/>
          <w:highlight w:val="none"/>
          <w:lang w:val="en-US" w:eastAsia="zh-CN"/>
        </w:rPr>
        <w:t>应按照《危险废物识别标志设置技术规范》（HJ1276-2022）设置警示标识，由专人负责管理。</w:t>
      </w:r>
    </w:p>
    <w:p w14:paraId="054B02D0">
      <w:pPr>
        <w:pStyle w:val="26"/>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30"/>
          <w:lang w:val="en-US" w:eastAsia="zh-CN" w:bidi="ar-SA"/>
        </w:rPr>
        <w:t>（2）</w:t>
      </w:r>
      <w:r>
        <w:rPr>
          <w:rFonts w:hint="eastAsia" w:cs="Times New Roman"/>
          <w:b w:val="0"/>
          <w:bCs w:val="0"/>
          <w:color w:val="auto"/>
          <w:highlight w:val="none"/>
          <w:lang w:val="en-US" w:eastAsia="zh-CN"/>
        </w:rPr>
        <w:t>危废暂存间</w:t>
      </w:r>
      <w:r>
        <w:rPr>
          <w:rFonts w:hint="default" w:ascii="Times New Roman" w:hAnsi="Times New Roman" w:cs="Times New Roman"/>
          <w:color w:val="auto"/>
          <w:highlight w:val="none"/>
          <w:lang w:val="en-US" w:eastAsia="zh-CN"/>
        </w:rPr>
        <w:t>地面采用重点防渗，</w:t>
      </w:r>
      <w:r>
        <w:rPr>
          <w:rFonts w:hint="default" w:ascii="Times New Roman" w:hAnsi="Times New Roman" w:cs="Times New Roman"/>
          <w:b w:val="0"/>
          <w:bCs w:val="0"/>
          <w:color w:val="auto"/>
          <w:sz w:val="24"/>
          <w:szCs w:val="24"/>
          <w:highlight w:val="none"/>
          <w:lang w:val="en-US" w:eastAsia="zh-CN"/>
        </w:rPr>
        <w:t>确保防渗层满足渗透系数K≤10</w:t>
      </w:r>
      <w:r>
        <w:rPr>
          <w:rFonts w:hint="default" w:ascii="Times New Roman" w:hAnsi="Times New Roman" w:cs="Times New Roman"/>
          <w:b w:val="0"/>
          <w:bCs w:val="0"/>
          <w:color w:val="auto"/>
          <w:sz w:val="24"/>
          <w:szCs w:val="24"/>
          <w:highlight w:val="none"/>
          <w:vertAlign w:val="superscript"/>
          <w:lang w:val="en-US" w:eastAsia="zh-CN"/>
        </w:rPr>
        <w:t>-12</w:t>
      </w:r>
      <w:r>
        <w:rPr>
          <w:rFonts w:hint="default" w:ascii="Times New Roman" w:hAnsi="Times New Roman" w:cs="Times New Roman"/>
          <w:b w:val="0"/>
          <w:bCs w:val="0"/>
          <w:color w:val="auto"/>
          <w:sz w:val="24"/>
          <w:szCs w:val="24"/>
          <w:highlight w:val="none"/>
          <w:lang w:val="en-US" w:eastAsia="zh-CN"/>
        </w:rPr>
        <w:t>cm/s的要求。</w:t>
      </w:r>
      <w:r>
        <w:rPr>
          <w:rFonts w:hint="eastAsia" w:cs="Times New Roman"/>
          <w:b w:val="0"/>
          <w:bCs w:val="0"/>
          <w:color w:val="auto"/>
          <w:sz w:val="24"/>
          <w:szCs w:val="24"/>
          <w:highlight w:val="none"/>
          <w:lang w:val="en-US" w:eastAsia="zh-CN"/>
        </w:rPr>
        <w:t>进出侧设防渗斜坡，并设置地漏和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default" w:ascii="Times New Roman" w:hAnsi="Times New Roman" w:cs="Times New Roman"/>
          <w:color w:val="auto"/>
          <w:highlight w:val="none"/>
          <w:lang w:val="en-US" w:eastAsia="zh-CN"/>
        </w:rPr>
        <w:t>，采取防风、防晒、防雨、防 漏、防渗、防腐的</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六防</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措施。</w:t>
      </w:r>
    </w:p>
    <w:p w14:paraId="771D4B1B">
      <w:pPr>
        <w:pStyle w:val="26"/>
        <w:numPr>
          <w:ilvl w:val="0"/>
          <w:numId w:val="0"/>
        </w:numPr>
        <w:bidi w:val="0"/>
        <w:ind w:left="0" w:leftChars="0"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2"/>
          <w:sz w:val="24"/>
          <w:szCs w:val="30"/>
          <w:lang w:val="en-US" w:eastAsia="zh-CN" w:bidi="ar-SA"/>
        </w:rPr>
        <w:t>（3）</w:t>
      </w:r>
      <w:r>
        <w:rPr>
          <w:rFonts w:hint="default" w:ascii="Times New Roman" w:hAnsi="Times New Roman" w:cs="Times New Roman"/>
          <w:color w:val="auto"/>
          <w:highlight w:val="none"/>
        </w:rPr>
        <w:t>危险废物贮存期限，不得超过一年，应符合《中华人民共和国固体废物污染环境防治法》的有关规定。</w:t>
      </w:r>
    </w:p>
    <w:p w14:paraId="62B93062">
      <w:pPr>
        <w:pStyle w:val="26"/>
        <w:numPr>
          <w:ilvl w:val="0"/>
          <w:numId w:val="0"/>
        </w:numPr>
        <w:bidi w:val="0"/>
        <w:ind w:left="0" w:leftChars="0"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2"/>
          <w:sz w:val="24"/>
          <w:szCs w:val="30"/>
          <w:lang w:val="en-US" w:eastAsia="zh-CN" w:bidi="ar-SA"/>
        </w:rPr>
        <w:t>（</w:t>
      </w:r>
      <w:r>
        <w:rPr>
          <w:rFonts w:hint="eastAsia" w:ascii="Times New Roman" w:hAnsi="Times New Roman" w:eastAsia="宋体" w:cs="Times New Roman"/>
          <w:color w:val="auto"/>
          <w:kern w:val="2"/>
          <w:sz w:val="24"/>
          <w:szCs w:val="30"/>
          <w:lang w:val="en-US" w:eastAsia="zh-CN" w:bidi="ar-SA"/>
        </w:rPr>
        <w:t>4</w:t>
      </w:r>
      <w:r>
        <w:rPr>
          <w:rFonts w:hint="default" w:ascii="Times New Roman" w:hAnsi="Times New Roman" w:eastAsia="宋体" w:cs="Times New Roman"/>
          <w:color w:val="auto"/>
          <w:kern w:val="2"/>
          <w:sz w:val="24"/>
          <w:szCs w:val="30"/>
          <w:lang w:val="en-US" w:eastAsia="zh-CN" w:bidi="ar-SA"/>
        </w:rPr>
        <w:t>）</w:t>
      </w:r>
      <w:r>
        <w:rPr>
          <w:rFonts w:hint="default" w:ascii="Times New Roman" w:hAnsi="Times New Roman" w:cs="Times New Roman"/>
          <w:color w:val="auto"/>
          <w:highlight w:val="none"/>
        </w:rPr>
        <w:t>危险废物贮存单位应建立危险废物贮存的台账制度，危险废物出入库交接应按照相关要求记录内容</w:t>
      </w:r>
      <w:r>
        <w:rPr>
          <w:rFonts w:hint="default" w:ascii="Times New Roman" w:hAnsi="Times New Roman" w:cs="Times New Roman"/>
          <w:color w:val="auto"/>
          <w:highlight w:val="none"/>
          <w:lang w:eastAsia="zh-CN"/>
        </w:rPr>
        <w:t>。</w:t>
      </w:r>
    </w:p>
    <w:p w14:paraId="2FEEC7AC">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3、危险废物的运输</w:t>
      </w:r>
    </w:p>
    <w:p w14:paraId="03B1DB9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（1）危险废物运输应由持有危险废物经营许可证的单位按照其许可证的经营范围组织实施，承担危险废物运输的单位应获得交通运输部门颁发的危险货物运输资质。</w:t>
      </w:r>
    </w:p>
    <w:p w14:paraId="354C23B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（2）危险废物公路运输应按照《道路危险货物运输管理规定》、JT617以及JT618执行；危险废物铁路运输应按《铁路危险货物运输管理规则》规定执行；危险废物水路运输应按《水路危险货物运输规则》规定执行。</w:t>
      </w:r>
    </w:p>
    <w:p w14:paraId="015BBCF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（3）废弃危险化学品的运输应执行《危险化学品安全管理条例》有关运输的规定。</w:t>
      </w:r>
    </w:p>
    <w:p w14:paraId="42F5DF2A">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（4）运输单位承运危废时，应在危险废物包装上按照《危险废物贮存污染控制标准》附录A设置标志。</w:t>
      </w:r>
    </w:p>
    <w:p w14:paraId="51E3640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（5）危险废物公路运输时，运输车辆应按《道路运输危险货物车辆标志》设置车辆标志。铁路运输和水路运输危险废物时应在集装箱外按《危险货物包装标志》规定悬挂标志。</w:t>
      </w:r>
    </w:p>
    <w:p w14:paraId="1691197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（6）危险废物运输时的中转、装卸过程应遵守如下技术要求：</w:t>
      </w:r>
    </w:p>
    <w:p w14:paraId="4637A09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①卸载区的工作人员应熟悉废物的危险特性，并配备适当的个人防护装备，装卸剧毒废物应配备特殊的防护装备。</w:t>
      </w:r>
    </w:p>
    <w:p w14:paraId="1ECDB51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②卸载区应配备必要的消防设备和设施，并设置明显的指示标志。</w:t>
      </w:r>
    </w:p>
    <w:p w14:paraId="2A36DE6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③危险废物装卸区应设置隔离设施。</w:t>
      </w:r>
    </w:p>
    <w:p w14:paraId="4BE2DA7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综上，项目各类固废均可得到妥善处理或综合利用，不会产生二次环境污染。</w:t>
      </w:r>
    </w:p>
    <w:p w14:paraId="5D6531CB">
      <w:pPr>
        <w:pStyle w:val="4"/>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区域环境</w:t>
      </w:r>
      <w:r>
        <w:rPr>
          <w:rFonts w:hint="default" w:ascii="Times New Roman" w:hAnsi="Times New Roman" w:cs="Times New Roman"/>
          <w:color w:val="auto"/>
          <w:highlight w:val="none"/>
          <w:lang w:val="en-US" w:eastAsia="zh-CN"/>
        </w:rPr>
        <w:t>风险防范措施</w:t>
      </w:r>
      <w:r>
        <w:rPr>
          <w:rFonts w:hint="eastAsia" w:ascii="Times New Roman" w:hAnsi="Times New Roman" w:cs="Times New Roman"/>
          <w:color w:val="auto"/>
          <w:highlight w:val="none"/>
          <w:lang w:val="en-US" w:eastAsia="zh-CN"/>
        </w:rPr>
        <w:t>联动</w:t>
      </w:r>
    </w:p>
    <w:p w14:paraId="1CF1CFE2">
      <w:pPr>
        <w:spacing w:line="360" w:lineRule="auto"/>
        <w:ind w:left="0" w:leftChars="0" w:firstLine="480" w:firstLineChars="200"/>
        <w:rPr>
          <w:rFonts w:hint="default" w:eastAsia="宋体" w:cs="Times New Roman"/>
          <w:color w:val="auto"/>
          <w:highlight w:val="none"/>
          <w:lang w:val="en-US" w:eastAsia="zh-CN"/>
        </w:rPr>
      </w:pPr>
      <w:r>
        <w:rPr>
          <w:rFonts w:hint="eastAsia" w:cs="Times New Roman"/>
          <w:color w:val="auto"/>
          <w:highlight w:val="none"/>
          <w:lang w:val="en-US" w:eastAsia="zh-CN"/>
        </w:rPr>
        <w:t>本项目</w:t>
      </w:r>
      <w:r>
        <w:rPr>
          <w:rFonts w:ascii="宋体" w:hAnsi="宋体" w:eastAsia="宋体" w:cs="宋体"/>
          <w:color w:val="auto"/>
          <w:sz w:val="24"/>
          <w:szCs w:val="24"/>
        </w:rPr>
        <w:t>应加强与园区和区域环境风险防控设施及管理有效联动</w:t>
      </w:r>
      <w:r>
        <w:rPr>
          <w:rFonts w:hint="eastAsia" w:ascii="宋体" w:hAnsi="宋体" w:eastAsia="宋体" w:cs="宋体"/>
          <w:color w:val="auto"/>
          <w:sz w:val="24"/>
          <w:szCs w:val="24"/>
          <w:lang w:eastAsia="zh-CN"/>
        </w:rPr>
        <w:t>，</w:t>
      </w:r>
      <w:r>
        <w:rPr>
          <w:rFonts w:ascii="宋体" w:hAnsi="宋体" w:eastAsia="宋体" w:cs="宋体"/>
          <w:color w:val="auto"/>
          <w:sz w:val="24"/>
          <w:szCs w:val="24"/>
        </w:rPr>
        <w:t>并形成企业（一级）、园区（二级）和地方政府（三级）联动机制的三级应急救援管理体系</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主要采取以下联动措施：</w:t>
      </w:r>
    </w:p>
    <w:p w14:paraId="619EBDC3">
      <w:pPr>
        <w:spacing w:line="360" w:lineRule="auto"/>
        <w:ind w:left="0" w:leftChars="0" w:firstLine="480" w:firstLineChars="20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eastAsia="宋体" w:cs="Times New Roman"/>
          <w:color w:val="auto"/>
          <w:kern w:val="0"/>
          <w:sz w:val="24"/>
          <w:szCs w:val="24"/>
          <w:lang w:val="en-US" w:eastAsia="zh-CN" w:bidi="ar"/>
        </w:rPr>
        <w:t>设置“生产单元-企业-园区”的三级事故废水防范体系。</w:t>
      </w:r>
    </w:p>
    <w:p w14:paraId="32157D13">
      <w:pPr>
        <w:pStyle w:val="26"/>
        <w:bidi w:val="0"/>
        <w:rPr>
          <w:rFonts w:hint="default" w:ascii="Times New Roman" w:hAnsi="Times New Roman" w:eastAsia="宋体" w:cs="Times New Roman"/>
          <w:color w:val="auto"/>
          <w:kern w:val="0"/>
          <w:sz w:val="24"/>
          <w:szCs w:val="24"/>
          <w:lang w:val="en-US" w:eastAsia="zh-CN" w:bidi="ar"/>
        </w:rPr>
      </w:pPr>
      <w:r>
        <w:rPr>
          <w:rFonts w:hint="eastAsia" w:cs="Times New Roman"/>
          <w:color w:val="auto"/>
          <w:highlight w:val="none"/>
          <w:lang w:val="en-US" w:eastAsia="zh-CN"/>
        </w:rPr>
        <w:t>2、</w:t>
      </w:r>
      <w:r>
        <w:rPr>
          <w:rFonts w:hint="default" w:ascii="Times New Roman" w:hAnsi="Times New Roman" w:eastAsia="宋体" w:cs="Times New Roman"/>
          <w:color w:val="auto"/>
          <w:kern w:val="0"/>
          <w:sz w:val="24"/>
          <w:szCs w:val="24"/>
          <w:lang w:val="en-US" w:eastAsia="zh-CN" w:bidi="ar"/>
        </w:rPr>
        <w:t>依托园区</w:t>
      </w:r>
      <w:r>
        <w:rPr>
          <w:rFonts w:hint="eastAsia" w:cs="Times New Roman"/>
          <w:color w:val="auto"/>
          <w:kern w:val="0"/>
          <w:sz w:val="24"/>
          <w:szCs w:val="24"/>
          <w:lang w:val="en-US" w:eastAsia="zh-CN" w:bidi="ar"/>
        </w:rPr>
        <w:t>拟建1</w:t>
      </w:r>
      <w:r>
        <w:rPr>
          <w:rFonts w:hint="default" w:ascii="Times New Roman" w:hAnsi="Times New Roman" w:eastAsia="宋体" w:cs="Times New Roman"/>
          <w:color w:val="auto"/>
          <w:kern w:val="0"/>
          <w:sz w:val="24"/>
          <w:szCs w:val="24"/>
          <w:lang w:val="en-US" w:eastAsia="zh-CN" w:bidi="ar"/>
        </w:rPr>
        <w:t>个消防站。</w:t>
      </w:r>
    </w:p>
    <w:p w14:paraId="17196694">
      <w:pPr>
        <w:pStyle w:val="26"/>
        <w:bidi w:val="0"/>
        <w:rPr>
          <w:rFonts w:hint="default" w:ascii="Times New Roman" w:hAnsi="Times New Roman" w:eastAsia="宋体" w:cs="Times New Roman"/>
          <w:color w:val="auto"/>
          <w:kern w:val="0"/>
          <w:sz w:val="24"/>
          <w:szCs w:val="24"/>
          <w:lang w:val="en-US" w:eastAsia="zh-CN" w:bidi="ar"/>
        </w:rPr>
      </w:pPr>
      <w:r>
        <w:rPr>
          <w:rFonts w:hint="eastAsia" w:ascii="宋体" w:hAnsi="宋体" w:eastAsia="宋体" w:cs="宋体"/>
          <w:color w:val="auto"/>
          <w:sz w:val="24"/>
          <w:szCs w:val="24"/>
          <w:lang w:val="en-US" w:eastAsia="zh-CN"/>
        </w:rPr>
        <w:t>同时，</w:t>
      </w:r>
      <w:r>
        <w:rPr>
          <w:rFonts w:ascii="宋体" w:hAnsi="宋体" w:eastAsia="宋体" w:cs="宋体"/>
          <w:color w:val="auto"/>
          <w:sz w:val="24"/>
          <w:szCs w:val="24"/>
        </w:rPr>
        <w:t>为防止重大事故的发生，并能在事故发生后，迅速、有效地控制事故发展，正确实施现场抢救和其他各种救援措施，最大限度减少人员伤亡和财产损失，企业应针对自身特点，以园区、当地政府制定突发环境事件总体应急预案及各专项应急预案作为联动预案建立本单位的应急预案体系，使得一旦发生事故，整个区域的应急力量都可以有效调度，统一采取救援行动，将损失降到最低。</w:t>
      </w:r>
      <w:r>
        <w:rPr>
          <w:rFonts w:hint="eastAsia" w:ascii="宋体" w:hAnsi="宋体" w:eastAsia="宋体" w:cs="宋体"/>
          <w:color w:val="auto"/>
          <w:sz w:val="24"/>
          <w:szCs w:val="24"/>
          <w:lang w:val="en-US" w:eastAsia="zh-CN"/>
        </w:rPr>
        <w:t>并</w:t>
      </w:r>
      <w:r>
        <w:rPr>
          <w:rFonts w:ascii="宋体" w:hAnsi="宋体" w:eastAsia="宋体" w:cs="宋体"/>
          <w:color w:val="auto"/>
          <w:sz w:val="24"/>
          <w:szCs w:val="24"/>
        </w:rPr>
        <w:t>按分级响应要求及时启动环境风险防范措施，实现厂内与项目周边企业及地方政府有效联动，有效控制环境风险。</w:t>
      </w:r>
    </w:p>
    <w:bookmarkEnd w:id="214"/>
    <w:bookmarkEnd w:id="215"/>
    <w:bookmarkEnd w:id="216"/>
    <w:bookmarkEnd w:id="217"/>
    <w:p w14:paraId="21C34779">
      <w:pPr>
        <w:pStyle w:val="3"/>
        <w:bidi w:val="0"/>
        <w:rPr>
          <w:rFonts w:hint="default" w:ascii="Times New Roman" w:hAnsi="Times New Roman" w:cs="Times New Roman"/>
          <w:color w:val="auto"/>
          <w:highlight w:val="none"/>
          <w:lang w:val="en-US" w:eastAsia="zh-CN"/>
        </w:rPr>
      </w:pPr>
      <w:bookmarkStart w:id="218" w:name="_Toc1659"/>
      <w:bookmarkStart w:id="219" w:name="_Toc4109"/>
      <w:bookmarkStart w:id="220" w:name="_Toc24824"/>
      <w:bookmarkStart w:id="221" w:name="_Toc4437"/>
      <w:bookmarkStart w:id="222" w:name="_Toc16376"/>
      <w:r>
        <w:rPr>
          <w:rFonts w:hint="default" w:ascii="Times New Roman" w:hAnsi="Times New Roman" w:cs="Times New Roman"/>
          <w:color w:val="auto"/>
          <w:highlight w:val="none"/>
          <w:lang w:val="en-US" w:eastAsia="zh-CN"/>
        </w:rPr>
        <w:t>环境风险应急预案</w:t>
      </w:r>
      <w:bookmarkEnd w:id="218"/>
      <w:bookmarkEnd w:id="219"/>
      <w:bookmarkEnd w:id="220"/>
      <w:bookmarkEnd w:id="221"/>
      <w:bookmarkEnd w:id="222"/>
    </w:p>
    <w:p w14:paraId="078B8936">
      <w:pPr>
        <w:pStyle w:val="26"/>
        <w:bidi w:val="0"/>
        <w:rPr>
          <w:rFonts w:hint="default" w:ascii="Times New Roman" w:hAnsi="Times New Roman" w:cs="Times New Roman"/>
          <w:color w:val="auto"/>
          <w:highlight w:val="none"/>
          <w:lang w:val="en-US" w:eastAsia="zh-CN"/>
        </w:rPr>
      </w:pPr>
      <w:r>
        <w:rPr>
          <w:rFonts w:hint="eastAsia" w:cs="Times New Roman"/>
          <w:color w:val="auto"/>
          <w:kern w:val="2"/>
          <w:sz w:val="24"/>
          <w:szCs w:val="24"/>
          <w:lang w:val="en-US" w:eastAsia="zh-CN" w:bidi="ar-SA"/>
        </w:rPr>
        <w:t>本项目</w:t>
      </w:r>
      <w:r>
        <w:rPr>
          <w:rFonts w:hint="eastAsia"/>
          <w:bCs/>
          <w:color w:val="auto"/>
          <w:kern w:val="0"/>
          <w:sz w:val="24"/>
          <w:lang w:val="en-US" w:eastAsia="zh-CN"/>
        </w:rPr>
        <w:t>为</w:t>
      </w:r>
      <w:r>
        <w:rPr>
          <w:rFonts w:hint="eastAsia"/>
          <w:color w:val="auto"/>
          <w:lang w:val="en-US" w:eastAsia="zh-CN"/>
        </w:rPr>
        <w:t>混凝土添加剂生产，属于</w:t>
      </w:r>
      <w:r>
        <w:rPr>
          <w:rFonts w:hint="eastAsia"/>
          <w:bCs/>
          <w:color w:val="auto"/>
          <w:kern w:val="0"/>
          <w:sz w:val="24"/>
          <w:lang w:val="en-US" w:eastAsia="zh-CN"/>
        </w:rPr>
        <w:t>《国民经济行业分类》（GB/T4754-2017）中“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”，属于</w:t>
      </w:r>
      <w:r>
        <w:rPr>
          <w:rFonts w:hint="eastAsia" w:cs="Times New Roman"/>
          <w:color w:val="auto"/>
          <w:highlight w:val="none"/>
          <w:lang w:val="en-US" w:eastAsia="zh-CN"/>
        </w:rPr>
        <w:t>《四川省突发环境事件应急预案备案行业名录（2022年版）》中“</w:t>
      </w:r>
      <w:r>
        <w:rPr>
          <w:rFonts w:hint="eastAsia" w:cs="Times New Roman"/>
          <w:i/>
          <w:iCs/>
          <w:color w:val="auto"/>
          <w:highlight w:val="none"/>
          <w:lang w:val="en-US" w:eastAsia="zh-CN"/>
        </w:rPr>
        <w:t>C26化学原料和化学制品制造业</w:t>
      </w:r>
      <w:r>
        <w:rPr>
          <w:rFonts w:cstheme="minorHAnsi"/>
          <w:b w:val="0"/>
          <w:bCs w:val="0"/>
          <w:i/>
          <w:iCs/>
          <w:color w:val="auto"/>
          <w:szCs w:val="24"/>
        </w:rPr>
        <w:t>/</w:t>
      </w:r>
      <w:r>
        <w:rPr>
          <w:rFonts w:hint="eastAsia" w:cstheme="minorHAnsi"/>
          <w:b w:val="0"/>
          <w:bCs w:val="0"/>
          <w:i/>
          <w:iCs/>
          <w:color w:val="auto"/>
          <w:szCs w:val="24"/>
          <w:lang w:val="en-US" w:eastAsia="zh-CN"/>
        </w:rPr>
        <w:t>266专用化学产品制造</w:t>
      </w:r>
      <w:r>
        <w:rPr>
          <w:rFonts w:hint="eastAsia" w:cstheme="minorHAnsi"/>
          <w:b w:val="0"/>
          <w:bCs w:val="0"/>
          <w:i/>
          <w:iCs/>
          <w:color w:val="auto"/>
          <w:szCs w:val="24"/>
        </w:rPr>
        <w:t>/</w:t>
      </w:r>
      <w:r>
        <w:rPr>
          <w:rFonts w:hint="eastAsia" w:cstheme="minorHAnsi"/>
          <w:b w:val="0"/>
          <w:bCs w:val="0"/>
          <w:i/>
          <w:iCs/>
          <w:color w:val="auto"/>
          <w:szCs w:val="24"/>
          <w:lang w:val="en-US" w:eastAsia="zh-CN"/>
        </w:rPr>
        <w:t>2662 专项化学用品制造</w:t>
      </w:r>
      <w:r>
        <w:rPr>
          <w:rFonts w:hint="eastAsia" w:cs="Times New Roman"/>
          <w:color w:val="auto"/>
          <w:highlight w:val="none"/>
          <w:lang w:val="en-US" w:eastAsia="zh-CN"/>
        </w:rPr>
        <w:t>”，应制定突发环境事件应急预案，</w:t>
      </w:r>
      <w:r>
        <w:rPr>
          <w:rFonts w:hint="default" w:ascii="Times New Roman" w:hAnsi="Times New Roman" w:cs="Times New Roman"/>
          <w:color w:val="auto"/>
          <w:highlight w:val="none"/>
          <w:lang w:val="en-US" w:eastAsia="zh-CN"/>
        </w:rPr>
        <w:t>并经常加以演练。为便于企业编制预案，本报告提供了应急预案的框架。如下：</w:t>
      </w:r>
    </w:p>
    <w:p w14:paraId="41FE270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1、指导思想</w:t>
      </w:r>
    </w:p>
    <w:p w14:paraId="4B9D3ECA">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企业根据自身特点，本着</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预防为主、自救为主、统一指挥、分工负责</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的原则，根据国家危险化学品</w:t>
      </w:r>
      <w:r>
        <w:rPr>
          <w:rFonts w:hint="eastAsia" w:cs="Times New Roman"/>
          <w:color w:val="auto"/>
          <w:highlight w:val="none"/>
          <w:lang w:val="en-US" w:eastAsia="zh-CN"/>
        </w:rPr>
        <w:t>安全</w:t>
      </w:r>
      <w:r>
        <w:rPr>
          <w:rFonts w:hint="default" w:ascii="Times New Roman" w:hAnsi="Times New Roman" w:cs="Times New Roman"/>
          <w:color w:val="auto"/>
          <w:highlight w:val="none"/>
          <w:lang w:val="en-US" w:eastAsia="zh-CN"/>
        </w:rPr>
        <w:t>管理条例中有关事故应急救援的要求。制订化学事故应急救援预案。</w:t>
      </w:r>
    </w:p>
    <w:p w14:paraId="65885AC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2、基本内容</w:t>
      </w:r>
    </w:p>
    <w:p w14:paraId="2AF382CD">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（1）厂区的基本情况，包括：企业主要装置的生产能力及产量；化学危险品的品名及正常储量； </w:t>
      </w:r>
    </w:p>
    <w:p w14:paraId="7AF92AA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（2）化学危险目标的数量及分布图。</w:t>
      </w:r>
    </w:p>
    <w:p w14:paraId="29846F32">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（3）指挥机构的设置和职责。</w:t>
      </w:r>
    </w:p>
    <w:p w14:paraId="0B68FFA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（4）装备及通讯网络的联络方式。</w:t>
      </w:r>
    </w:p>
    <w:p w14:paraId="63B077C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（5）应急救援专业队伍的任务和训练。</w:t>
      </w:r>
    </w:p>
    <w:p w14:paraId="1B3AC2D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（6）预防事故的措施。</w:t>
      </w:r>
    </w:p>
    <w:p w14:paraId="5EB7262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（7）事故的处置。</w:t>
      </w:r>
    </w:p>
    <w:p w14:paraId="1B20B44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（8）工程抢救抢修。</w:t>
      </w:r>
    </w:p>
    <w:p w14:paraId="1F74C6D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（9）现场医疗救护。</w:t>
      </w:r>
    </w:p>
    <w:p w14:paraId="2C79330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（10）紧急安全疏散。</w:t>
      </w:r>
    </w:p>
    <w:p w14:paraId="492CDFC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（11）社会支援等。</w:t>
      </w:r>
    </w:p>
    <w:p w14:paraId="436E30C7">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3、指挥机构、职责及分工</w:t>
      </w:r>
    </w:p>
    <w:p w14:paraId="4EC076A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（1）指挥机构</w:t>
      </w:r>
    </w:p>
    <w:p w14:paraId="4157FFC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企业成立事故应急救援</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指挥领导小组</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由厂长、副厂长及生产、安全、设备、保卫、卫生、环保等部门的有关领导组成，下设应急救援办公室，日常工作由安全部门兼管。发生重大事故时，以指挥领导小组为基础，立即成立化学事故应急救援指挥部，厂长任总指挥，有关副厂长任副总指挥，负责全厂应急救援工作的组织和指挥，指挥部可设在生产调度室。在编制</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预案</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时应明确若厂长和副厂长不在企业时，由安全部门或其他部门负责人为临时总指挥，全权负责应急救援工作。</w:t>
      </w:r>
    </w:p>
    <w:p w14:paraId="3797012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（2）指挥机构职责</w:t>
      </w:r>
    </w:p>
    <w:p w14:paraId="159534A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指挥领导小组：负责单位</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预案</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的制定、修订；组建应急救援专业队伍，组织实施和演练；检查督促做好重大事故的预防措施和应急救援的各项准备工作。</w:t>
      </w:r>
    </w:p>
    <w:p w14:paraId="5125121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指挥部：发生重大事故时，由指挥部发布和解除应急救援命令、信号；组织救援队伍实施救援行动；向上级汇报和向友邻单位通报事故情况，必要时向有关单位发出救援请求；组织事故调查，总结应急救援经验教训。</w:t>
      </w:r>
    </w:p>
    <w:p w14:paraId="314284C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指挥人员分工：总指挥，组织指挥全厂的应急救援。副总指挥，协助总指挥负责应急救援的具体指挥工作。安全科长，协助总指挥做好事故报警、情况通报及事故处置工作。保卫科长，负责灭火、警戒、治安保卫、疏散、道路管制工作。生产科长，负责事故处置时生产系统、开停车调度工作；事故现场通讯联络和对外联系。设备科长，协助总指挥负责工程抢险抢修工作的现场指挥。卫生科长：负责现场医疗救护指挥及中毒、受伤人员分类抢救和护送转院工作。总务科长，负责抢救受伤、中毒人员的生活必需品供应。供销科长，负责抢险救援物资的供应和运输工作。环保科长，负责事故现场及有害物质扩散区域内的洗消、监测工作，必要时代表总指挥对外发布有关信息。</w:t>
      </w:r>
    </w:p>
    <w:p w14:paraId="3104752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4、危险目标的确定及潜在危险性的评估</w:t>
      </w:r>
    </w:p>
    <w:p w14:paraId="3872816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（1）危险目标的确定：根据生产、使用、贮存化学危险物质的品种、数量、危险特性及可能引起事故的后果，确定应急救援的危险目标，可按危险性的大小依次排序。</w:t>
      </w:r>
    </w:p>
    <w:p w14:paraId="429B799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潜在危险性的评估：对每个已确定的危险目标要做出潜在危险性的评估，即一旦发生事故可能造成的后果，可能对周围环境带来的危害及范围。预测可能导致事故发生的途径，如误操作、设备失修、腐蚀、工艺失控、物料不纯、泄漏等。</w:t>
      </w:r>
    </w:p>
    <w:p w14:paraId="3A579DE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5、救援队伍</w:t>
      </w:r>
    </w:p>
    <w:p w14:paraId="1892EC71">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企业根据实际需要，应建立各种不脱产的专业救援队伍，包括抢险抢修队、医疗救护队、义务消防队、治安队等，救援队伍是化学事故应急救援的骨干力量，担负企业各类重大化学事故的处置任务。企业的医务室应承担中毒伤员的现场抢救任务。</w:t>
      </w:r>
    </w:p>
    <w:p w14:paraId="7810163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6、准备和信号规定</w:t>
      </w:r>
    </w:p>
    <w:p w14:paraId="514AB20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为保证应急救援工作及时有效，事先必须配备装备器材，并对信号作出规定。</w:t>
      </w:r>
    </w:p>
    <w:p w14:paraId="4288DF6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（1）企业必须针对危险目标并根据需要，将抢险抢修、个体防护、医疗救援、通讯联络等装备器材配备齐全。平时要专人维护、保管、检验，确保器材始终处于完好状态，保证能有效使用。</w:t>
      </w:r>
    </w:p>
    <w:p w14:paraId="72E941F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（2）信号规定：对各种通讯工具、警报及事故信号，平时必须做出明确规定，报警方法、联络号码和信号使用规定要置于明显位置，使每一位值班人员熟练掌握。</w:t>
      </w:r>
    </w:p>
    <w:p w14:paraId="64E8C6CF">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7、确定预防事故方案</w:t>
      </w:r>
    </w:p>
    <w:p w14:paraId="41ECEED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已确定的危险目标，根据其可能导致事故的途径，采取有针对性地预防措施，避免事故发生。各种预防措施必须建立责任制，落实到部门（单位）和个人。同时还应制定，一旦发生大量有害物料泄漏、着火等情况时，尽力降低危害程度的措施。</w:t>
      </w:r>
    </w:p>
    <w:p w14:paraId="3C35275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8、事故处置</w:t>
      </w:r>
    </w:p>
    <w:p w14:paraId="16720C59">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制定重大事故的处置方案和处理程序。</w:t>
      </w:r>
    </w:p>
    <w:p w14:paraId="099ABEE2">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处置方案：根据危险目标模拟事故状态，制定出各种事故状态下的应急处置方案，如燃烧、爆炸、停水、停电等，包括通讯联络、抢险抢救、医疗救护、伤员转送、人员疏散、生产系统指挥、上报联系、救援行动方案等。</w:t>
      </w:r>
    </w:p>
    <w:p w14:paraId="5C90E10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（2）处理程序：指挥部应制定事故处理程序图，一旦发生重大事故时，应按照处理程序进行。做到临危不惧，正确指挥。</w:t>
      </w:r>
    </w:p>
    <w:p w14:paraId="05F4806D">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重大事故发生时，各有关部门应立即处于紧急状态，在指挥部的统一指挥下，根据对危险目标潜在危险的评估，按处置方案有条不紊地处理和控制事故，</w:t>
      </w:r>
      <w:r>
        <w:rPr>
          <w:rFonts w:hint="eastAsia" w:cs="Times New Roman"/>
          <w:color w:val="auto"/>
          <w:highlight w:val="none"/>
          <w:lang w:val="en-US" w:eastAsia="zh-CN"/>
        </w:rPr>
        <w:t>既</w:t>
      </w:r>
      <w:r>
        <w:rPr>
          <w:rFonts w:hint="default" w:ascii="Times New Roman" w:hAnsi="Times New Roman" w:cs="Times New Roman"/>
          <w:color w:val="auto"/>
          <w:highlight w:val="none"/>
          <w:lang w:val="en-US" w:eastAsia="zh-CN"/>
        </w:rPr>
        <w:t>不要</w:t>
      </w:r>
      <w:r>
        <w:rPr>
          <w:rFonts w:hint="eastAsia" w:cs="Times New Roman"/>
          <w:color w:val="auto"/>
          <w:highlight w:val="none"/>
          <w:lang w:val="en-US" w:eastAsia="zh-CN"/>
        </w:rPr>
        <w:t>惊慌</w:t>
      </w:r>
      <w:r>
        <w:rPr>
          <w:rFonts w:hint="default" w:ascii="Times New Roman" w:hAnsi="Times New Roman" w:cs="Times New Roman"/>
          <w:color w:val="auto"/>
          <w:highlight w:val="none"/>
          <w:lang w:val="en-US" w:eastAsia="zh-CN"/>
        </w:rPr>
        <w:t>失措，也不要麻痹大意，尽量把事故控制在最小范围内，最大限度地减少人员伤亡和财产损失。</w:t>
      </w:r>
    </w:p>
    <w:p w14:paraId="7B35547B">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9、紧急安全疏散</w:t>
      </w:r>
    </w:p>
    <w:p w14:paraId="2081C64D">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在发生重大风险事故，可能对厂区内外人群安全构成威胁时，必须在指挥部统一指挥下，对事故应急救援无关的人员进行紧急疏散。企业在最高建筑物上应设立</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风向标</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疏散的方向、距离和集中地点，必须根据不同事故，作出具体规定。总的原则是疏散安全点处于当时的上风向。对可能威胁到厂外居民（包括友邻单位人员）安全时，指挥部应立即和地方有关部门联系，引导居民迅速撤离到安全地点。</w:t>
      </w:r>
    </w:p>
    <w:p w14:paraId="7F62E784">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0"/>
          <w:sz w:val="24"/>
          <w:szCs w:val="24"/>
          <w:lang w:val="en-US" w:eastAsia="zh-CN" w:bidi="ar"/>
        </w:rPr>
        <w:t>根据</w:t>
      </w:r>
      <w:r>
        <w:rPr>
          <w:rFonts w:hint="default" w:ascii="Times New Roman" w:hAnsi="Times New Roman" w:cs="Times New Roman"/>
          <w:color w:val="auto"/>
          <w:lang w:val="en-US" w:eastAsia="zh-CN"/>
        </w:rPr>
        <w:t>通江气象站</w:t>
      </w:r>
      <w:r>
        <w:rPr>
          <w:rFonts w:hint="default" w:ascii="Times New Roman" w:hAnsi="Times New Roman" w:cs="Times New Roman"/>
          <w:color w:val="auto"/>
        </w:rPr>
        <w:t>（</w:t>
      </w:r>
      <w:r>
        <w:rPr>
          <w:rFonts w:hint="default" w:ascii="Times New Roman" w:hAnsi="Times New Roman" w:cs="Times New Roman"/>
          <w:color w:val="auto"/>
          <w:lang w:eastAsia="zh-CN"/>
        </w:rPr>
        <w:t>57320</w:t>
      </w:r>
      <w:r>
        <w:rPr>
          <w:rFonts w:hint="default" w:ascii="Times New Roman" w:hAnsi="Times New Roman" w:cs="Times New Roman"/>
          <w:color w:val="auto"/>
        </w:rPr>
        <w:t>）近20年（</w:t>
      </w:r>
      <w:r>
        <w:rPr>
          <w:rFonts w:hint="default" w:ascii="Times New Roman" w:hAnsi="Times New Roman" w:cs="Times New Roman"/>
          <w:color w:val="auto"/>
          <w:lang w:eastAsia="zh-CN"/>
        </w:rPr>
        <w:t>2006-2025</w:t>
      </w:r>
      <w:r>
        <w:rPr>
          <w:rFonts w:hint="default" w:ascii="Times New Roman" w:hAnsi="Times New Roman" w:cs="Times New Roman"/>
          <w:color w:val="auto"/>
        </w:rPr>
        <w:t>）</w:t>
      </w:r>
      <w:r>
        <w:rPr>
          <w:rFonts w:hint="default" w:ascii="Times New Roman" w:hAnsi="Times New Roman" w:cs="Times New Roman"/>
          <w:color w:val="auto"/>
          <w:lang w:val="en-US" w:eastAsia="zh-CN"/>
        </w:rPr>
        <w:t>风向频率统计，</w:t>
      </w:r>
      <w:r>
        <w:rPr>
          <w:rFonts w:hint="default" w:ascii="Times New Roman" w:hAnsi="Times New Roman" w:cs="Times New Roman"/>
          <w:color w:val="auto"/>
          <w:kern w:val="0"/>
          <w:sz w:val="24"/>
          <w:szCs w:val="24"/>
          <w:lang w:val="en-US" w:eastAsia="zh-CN" w:bidi="ar"/>
        </w:rPr>
        <w:t>本项目所在区域主导风向为NNW，</w:t>
      </w:r>
      <w:r>
        <w:rPr>
          <w:rFonts w:hint="eastAsia" w:ascii="Times New Roman" w:hAnsi="Times New Roman" w:cs="Times New Roman"/>
          <w:color w:val="auto"/>
          <w:kern w:val="0"/>
          <w:sz w:val="24"/>
          <w:szCs w:val="24"/>
          <w:lang w:val="en-US" w:eastAsia="zh-CN" w:bidi="ar"/>
        </w:rPr>
        <w:t>因此，</w:t>
      </w:r>
      <w:r>
        <w:rPr>
          <w:rFonts w:hint="default" w:ascii="Times New Roman" w:hAnsi="Times New Roman" w:eastAsia="宋体" w:cs="Times New Roman"/>
          <w:color w:val="auto"/>
          <w:kern w:val="0"/>
          <w:sz w:val="24"/>
          <w:szCs w:val="24"/>
          <w:lang w:val="en-US" w:eastAsia="zh-CN" w:bidi="ar"/>
        </w:rPr>
        <w:t>规划</w:t>
      </w:r>
      <w:r>
        <w:rPr>
          <w:rFonts w:hint="eastAsia" w:ascii="Times New Roman" w:hAnsi="Times New Roman" w:cs="Times New Roman"/>
          <w:color w:val="auto"/>
          <w:kern w:val="0"/>
          <w:sz w:val="24"/>
          <w:szCs w:val="24"/>
          <w:lang w:val="en-US" w:eastAsia="zh-CN" w:bidi="ar"/>
        </w:rPr>
        <w:t>项目纬二路向西北接乡道</w:t>
      </w:r>
      <w:r>
        <w:rPr>
          <w:rFonts w:hint="default" w:ascii="Times New Roman" w:hAnsi="Times New Roman" w:eastAsia="宋体" w:cs="Times New Roman"/>
          <w:color w:val="auto"/>
          <w:kern w:val="0"/>
          <w:sz w:val="24"/>
          <w:szCs w:val="24"/>
          <w:lang w:val="en-US" w:eastAsia="zh-CN" w:bidi="ar"/>
        </w:rPr>
        <w:t>为疏散通道</w:t>
      </w:r>
      <w:r>
        <w:rPr>
          <w:rFonts w:hint="eastAsia" w:ascii="Times New Roman" w:hAnsi="Times New Roman" w:cs="Times New Roman"/>
          <w:color w:val="auto"/>
          <w:kern w:val="0"/>
          <w:sz w:val="24"/>
          <w:szCs w:val="24"/>
          <w:lang w:val="en-US" w:eastAsia="zh-CN" w:bidi="ar"/>
        </w:rPr>
        <w:t>至通江县城方向安置</w:t>
      </w:r>
      <w:r>
        <w:rPr>
          <w:rFonts w:hint="default" w:ascii="Times New Roman" w:hAnsi="Times New Roman" w:eastAsia="宋体" w:cs="Times New Roman"/>
          <w:color w:val="auto"/>
          <w:kern w:val="0"/>
          <w:sz w:val="24"/>
          <w:szCs w:val="24"/>
          <w:lang w:val="en-US" w:eastAsia="zh-CN" w:bidi="ar"/>
        </w:rPr>
        <w:t>。</w:t>
      </w:r>
    </w:p>
    <w:p w14:paraId="6B099200">
      <w:pPr>
        <w:pStyle w:val="26"/>
        <w:bidi w:val="0"/>
        <w:ind w:left="0" w:leftChars="0" w:firstLine="0" w:firstLineChars="0"/>
        <w:jc w:val="center"/>
        <w:rPr>
          <w:rFonts w:hint="default" w:ascii="Times New Roman" w:hAnsi="Times New Roman" w:cs="Times New Roman"/>
          <w:color w:val="auto"/>
          <w:highlight w:val="none"/>
          <w:lang w:val="en-US" w:eastAsia="zh-CN"/>
        </w:rPr>
      </w:pPr>
      <w:r>
        <w:rPr>
          <w:color w:val="auto"/>
        </w:rPr>
        <w:drawing>
          <wp:inline distT="0" distB="0" distL="114300" distR="114300">
            <wp:extent cx="5898515" cy="4801235"/>
            <wp:effectExtent l="0" t="0" r="6985" b="18415"/>
            <wp:docPr id="2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4"/>
                    <pic:cNvPicPr>
                      <a:picLocks noChangeAspect="1"/>
                    </pic:cNvPicPr>
                  </pic:nvPicPr>
                  <pic:blipFill>
                    <a:blip r:embed="rId204"/>
                    <a:stretch>
                      <a:fillRect/>
                    </a:stretch>
                  </pic:blipFill>
                  <pic:spPr>
                    <a:xfrm>
                      <a:off x="0" y="0"/>
                      <a:ext cx="5898515" cy="4801235"/>
                    </a:xfrm>
                    <a:prstGeom prst="rect">
                      <a:avLst/>
                    </a:prstGeom>
                    <a:noFill/>
                    <a:ln>
                      <a:noFill/>
                    </a:ln>
                  </pic:spPr>
                </pic:pic>
              </a:graphicData>
            </a:graphic>
          </wp:inline>
        </w:drawing>
      </w:r>
    </w:p>
    <w:p w14:paraId="03459314">
      <w:pPr>
        <w:pStyle w:val="26"/>
        <w:numPr>
          <w:ilvl w:val="0"/>
          <w:numId w:val="40"/>
        </w:numPr>
        <w:bidi w:val="0"/>
        <w:ind w:left="425" w:leftChars="0" w:hanging="425" w:firstLineChars="0"/>
        <w:jc w:val="center"/>
        <w:rPr>
          <w:rFonts w:hint="default" w:ascii="Times New Roman" w:hAnsi="Times New Roman" w:cs="Times New Roman"/>
          <w:color w:val="auto"/>
          <w:highlight w:val="none"/>
          <w:lang w:val="en-US" w:eastAsia="zh-CN"/>
        </w:rPr>
      </w:pPr>
      <w:r>
        <w:rPr>
          <w:rFonts w:hint="eastAsia" w:ascii="黑体" w:hAnsi="黑体" w:eastAsia="黑体" w:cs="黑体"/>
          <w:color w:val="auto"/>
          <w:sz w:val="21"/>
          <w:szCs w:val="21"/>
          <w:highlight w:val="none"/>
          <w:lang w:val="en-US" w:eastAsia="zh-CN"/>
        </w:rPr>
        <w:t>区域应急疏散通道及安置场所位置图</w:t>
      </w:r>
    </w:p>
    <w:p w14:paraId="73CA77C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10、工程抢险抢修</w:t>
      </w:r>
    </w:p>
    <w:p w14:paraId="041E6AAC">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有效的工程抢险抢修是控制事故、消灭事故的关键。抢救人员应根据事先拟定的方案，在做好个体防护的基础上，以最快的速度及时堵漏排险、消灭事故。</w:t>
      </w:r>
    </w:p>
    <w:p w14:paraId="060AB1A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11、现场医疗救护</w:t>
      </w:r>
    </w:p>
    <w:p w14:paraId="0970FF4E">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及时有效地现场医疗救护是减少伤亡的重要一环。车间应建立抢救小组，每个职工都应学会心肺复苏术。一旦发生事故出现伤员，首先要做好自救互救。</w:t>
      </w:r>
    </w:p>
    <w:p w14:paraId="447D6B5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12、社会支援</w:t>
      </w:r>
    </w:p>
    <w:p w14:paraId="77EE47D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企业一旦发生重大化学事故，本单位抢险抢救力量不足或有可能危及社会安全时，指挥部必须立即向上级和友邻单位通报，必要时请求社会力量援助。社会救援队伍进入厂区时，指挥部应责成专人联络，引导并告知安全注意事项。</w:t>
      </w:r>
    </w:p>
    <w:p w14:paraId="5437E528">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13、训练和演习</w:t>
      </w:r>
    </w:p>
    <w:p w14:paraId="79554CF3">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要加强对各救援队伍的培训。指挥领导小组要从实际出发，针对危险目标可能发生的事故，每年至少组织一次模拟演习，把指挥机构和各救援队伍训练成一支思想好、技术精、作风硬的指挥班子和抢救队伍。</w:t>
      </w:r>
    </w:p>
    <w:p w14:paraId="37AA1956">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14、有关规定</w:t>
      </w:r>
    </w:p>
    <w:p w14:paraId="6874218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为了能在事故发生后，迅速、准确、有效地进行处理，必须制定好</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事故应急救援预案</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，做好应急救援的各项准备工作，对全厂职工进行经常性的应急救援常识教育，落实岗位责任制和各项规章制度。同时还应建立以下相应制度：</w:t>
      </w:r>
    </w:p>
    <w:p w14:paraId="481B2AF2">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（1）值班制度：建立24小时值班制度，夜间由行政值班和生产调度负责，遇有问题及时处理。</w:t>
      </w:r>
    </w:p>
    <w:p w14:paraId="31BEF47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（2）检查制度：每月由企业应急救援指挥领导小组结合生产安全工作，检查应急救援工作情况，发现问题及时整改。</w:t>
      </w:r>
    </w:p>
    <w:p w14:paraId="3CB57E55">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（3）例会制度：每季度由事故应急救援指挥领导小组组织召开一次指挥组成员和各救援队伍负责人会议，检查上季度工作，并针对存在的问题，积极采取有效措施，加以改进。</w:t>
      </w:r>
    </w:p>
    <w:p w14:paraId="7272684B">
      <w:pPr>
        <w:pStyle w:val="26"/>
        <w:bidi w:val="0"/>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lang w:val="en-US" w:eastAsia="zh-CN" w:bidi="ar"/>
        </w:rPr>
        <w:t>根据预测结果，</w:t>
      </w:r>
      <w:r>
        <w:rPr>
          <w:rFonts w:hint="default" w:ascii="Times New Roman" w:hAnsi="Times New Roman" w:cs="Times New Roman"/>
          <w:color w:val="auto"/>
          <w:highlight w:val="none"/>
          <w:lang w:val="en-US" w:eastAsia="zh-CN"/>
        </w:rPr>
        <w:t>当</w:t>
      </w:r>
      <w:r>
        <w:rPr>
          <w:rFonts w:hint="eastAsia" w:cs="Times New Roman"/>
          <w:color w:val="auto"/>
          <w:highlight w:val="none"/>
          <w:lang w:val="en-US" w:eastAsia="zh-CN"/>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highlight w:val="none"/>
          <w:lang w:val="en-US" w:eastAsia="zh-CN"/>
        </w:rPr>
        <w:t>发生泄漏事故时，产生的</w:t>
      </w:r>
      <w:r>
        <w:rPr>
          <w:rFonts w:hint="eastAsia" w:cs="Times New Roman"/>
          <w:color w:val="auto"/>
          <w:highlight w:val="none"/>
          <w:lang w:val="en-US" w:eastAsia="zh-CN"/>
        </w:rPr>
        <w:t>硫酸雾</w:t>
      </w:r>
      <w:r>
        <w:rPr>
          <w:rFonts w:hint="default" w:ascii="Times New Roman" w:hAnsi="Times New Roman" w:cs="Times New Roman"/>
          <w:color w:val="auto"/>
          <w:highlight w:val="none"/>
          <w:lang w:val="en-US" w:eastAsia="zh-CN"/>
        </w:rPr>
        <w:t>在最不利</w:t>
      </w:r>
      <w:r>
        <w:rPr>
          <w:rFonts w:hint="eastAsia" w:cs="Times New Roman"/>
          <w:color w:val="auto"/>
          <w:highlight w:val="none"/>
          <w:lang w:val="en-US" w:eastAsia="zh-CN"/>
        </w:rPr>
        <w:t>和</w:t>
      </w:r>
      <w:r>
        <w:rPr>
          <w:rFonts w:hint="default" w:ascii="Times New Roman" w:hAnsi="Times New Roman" w:cs="Times New Roman"/>
          <w:color w:val="auto"/>
          <w:highlight w:val="none"/>
          <w:lang w:val="en-US" w:eastAsia="zh-CN"/>
        </w:rPr>
        <w:t>最</w:t>
      </w:r>
      <w:r>
        <w:rPr>
          <w:rFonts w:hint="eastAsia" w:cs="Times New Roman"/>
          <w:color w:val="auto"/>
          <w:highlight w:val="none"/>
          <w:lang w:val="en-US" w:eastAsia="zh-CN"/>
        </w:rPr>
        <w:t>常见</w:t>
      </w:r>
      <w:r>
        <w:rPr>
          <w:rFonts w:hint="default" w:ascii="Times New Roman" w:hAnsi="Times New Roman" w:cs="Times New Roman"/>
          <w:color w:val="auto"/>
          <w:highlight w:val="none"/>
          <w:lang w:val="en-US" w:eastAsia="zh-CN"/>
        </w:rPr>
        <w:t>气象条件下，毒性终点浓度-2的距离</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为下风向</w:t>
      </w:r>
      <w:r>
        <w:rPr>
          <w:rFonts w:hint="eastAsia" w:cs="Times New Roman"/>
          <w:color w:val="auto"/>
          <w:highlight w:val="none"/>
          <w:lang w:val="en-US" w:eastAsia="zh-CN"/>
        </w:rPr>
        <w:t>260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毒性终点浓度-2</w:t>
      </w:r>
      <w:r>
        <w:rPr>
          <w:rFonts w:hint="eastAsia" w:cs="Times New Roman"/>
          <w:color w:val="auto"/>
          <w:highlight w:val="none"/>
          <w:lang w:val="en-US" w:eastAsia="zh-CN"/>
        </w:rPr>
        <w:t>影响范围内有少量散户分布。</w:t>
      </w:r>
      <w:r>
        <w:rPr>
          <w:rFonts w:hint="default" w:ascii="Times New Roman" w:hAnsi="Times New Roman" w:eastAsia="宋体" w:cs="Times New Roman"/>
          <w:color w:val="auto"/>
          <w:kern w:val="0"/>
          <w:sz w:val="24"/>
          <w:szCs w:val="24"/>
          <w:highlight w:val="none"/>
          <w:lang w:val="en-US" w:eastAsia="zh-CN" w:bidi="ar"/>
        </w:rPr>
        <w:t>在最不利气象条件下评价范围内</w:t>
      </w:r>
      <w:r>
        <w:rPr>
          <w:rFonts w:hint="eastAsia" w:cs="Times New Roman"/>
          <w:color w:val="auto"/>
          <w:kern w:val="0"/>
          <w:sz w:val="24"/>
          <w:szCs w:val="24"/>
          <w:highlight w:val="none"/>
          <w:lang w:val="en-US" w:eastAsia="zh-CN" w:bidi="ar"/>
        </w:rPr>
        <w:t>东北侧散户出现了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，持续时间为15min</w:t>
      </w:r>
      <w:r>
        <w:rPr>
          <w:rFonts w:hint="eastAsia" w:cs="Times New Roman"/>
          <w:color w:val="auto"/>
          <w:kern w:val="0"/>
          <w:sz w:val="24"/>
          <w:szCs w:val="24"/>
          <w:highlight w:val="none"/>
          <w:lang w:val="en-US" w:eastAsia="zh-CN" w:bidi="ar"/>
        </w:rPr>
        <w:t>；在最常见</w:t>
      </w:r>
      <w:r>
        <w:rPr>
          <w:rFonts w:hint="default" w:ascii="Times New Roman" w:hAnsi="Times New Roman" w:eastAsia="宋体" w:cs="Times New Roman"/>
          <w:color w:val="auto"/>
          <w:kern w:val="0"/>
          <w:sz w:val="24"/>
          <w:szCs w:val="24"/>
          <w:highlight w:val="none"/>
          <w:lang w:val="en-US" w:eastAsia="zh-CN" w:bidi="ar"/>
        </w:rPr>
        <w:t>气象条件下评价范围内</w:t>
      </w:r>
      <w:r>
        <w:rPr>
          <w:rFonts w:hint="eastAsia" w:cs="Times New Roman"/>
          <w:color w:val="auto"/>
          <w:kern w:val="0"/>
          <w:sz w:val="24"/>
          <w:szCs w:val="24"/>
          <w:highlight w:val="none"/>
          <w:lang w:val="en-US" w:eastAsia="zh-CN" w:bidi="ar"/>
        </w:rPr>
        <w:t>东北侧散户出现了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，持续时间为1</w:t>
      </w:r>
      <w:r>
        <w:rPr>
          <w:rFonts w:hint="eastAsia" w:cs="Times New Roman"/>
          <w:color w:val="auto"/>
          <w:kern w:val="0"/>
          <w:sz w:val="24"/>
          <w:szCs w:val="24"/>
          <w:highlight w:val="none"/>
          <w:lang w:val="en-US" w:eastAsia="zh-CN" w:bidi="ar"/>
        </w:rPr>
        <w:t>6</w:t>
      </w:r>
      <w:r>
        <w:rPr>
          <w:rFonts w:hint="eastAsia" w:ascii="Times New Roman" w:hAnsi="Times New Roman" w:eastAsia="宋体" w:cs="Times New Roman"/>
          <w:color w:val="auto"/>
          <w:kern w:val="0"/>
          <w:sz w:val="24"/>
          <w:szCs w:val="24"/>
          <w:highlight w:val="none"/>
          <w:lang w:val="en-US" w:eastAsia="zh-CN" w:bidi="ar"/>
        </w:rPr>
        <w:t>min</w:t>
      </w:r>
      <w:r>
        <w:rPr>
          <w:rFonts w:hint="eastAsia" w:cs="Times New Roman"/>
          <w:color w:val="auto"/>
          <w:kern w:val="0"/>
          <w:sz w:val="24"/>
          <w:szCs w:val="24"/>
          <w:highlight w:val="none"/>
          <w:lang w:val="en-US" w:eastAsia="zh-CN" w:bidi="ar"/>
        </w:rPr>
        <w:t>。环评要求：</w:t>
      </w:r>
      <w:r>
        <w:rPr>
          <w:rFonts w:hint="eastAsia" w:ascii="Times New Roman" w:hAnsi="Times New Roman" w:eastAsia="宋体" w:cs="Times New Roman"/>
          <w:color w:val="auto"/>
          <w:kern w:val="0"/>
          <w:sz w:val="24"/>
          <w:szCs w:val="24"/>
          <w:highlight w:val="none"/>
          <w:lang w:val="en-US" w:eastAsia="zh-CN" w:bidi="ar"/>
        </w:rPr>
        <w:t>一旦发生事故，应立即启动应急预案，根据事故当天风向确定最大影响范围，及时对影响范围内人员发布警报，并组织厂区员工、附近群众在5min内按拟定逃生路线进行疏散撤离，同时确定应急监测点，组织应急监测，直至监测达标方才恢复正常生产、生活。</w:t>
      </w:r>
    </w:p>
    <w:p w14:paraId="617DE84B">
      <w:pPr>
        <w:pStyle w:val="3"/>
        <w:bidi w:val="0"/>
        <w:rPr>
          <w:rFonts w:hint="default" w:ascii="Times New Roman" w:hAnsi="Times New Roman" w:cs="Times New Roman"/>
          <w:color w:val="auto"/>
          <w:highlight w:val="none"/>
          <w:lang w:val="en-US" w:eastAsia="zh-CN"/>
        </w:rPr>
      </w:pPr>
      <w:bookmarkStart w:id="223" w:name="_Toc4904"/>
      <w:r>
        <w:rPr>
          <w:rFonts w:hint="eastAsia" w:cs="Times New Roman"/>
          <w:color w:val="auto"/>
          <w:highlight w:val="none"/>
          <w:lang w:val="en-US" w:eastAsia="zh-CN"/>
        </w:rPr>
        <w:t>应急监测计划</w:t>
      </w:r>
      <w:bookmarkEnd w:id="223"/>
    </w:p>
    <w:p w14:paraId="29C94CC0">
      <w:pPr>
        <w:pStyle w:val="26"/>
        <w:bidi w:val="0"/>
        <w:rPr>
          <w:rFonts w:hint="default" w:ascii="Times New Roman" w:hAnsi="Times New Roman" w:cs="Times New Roman"/>
          <w:color w:val="auto"/>
          <w:kern w:val="0"/>
          <w:sz w:val="24"/>
          <w:szCs w:val="24"/>
          <w:lang w:val="en-US" w:eastAsia="zh-CN" w:bidi="ar"/>
        </w:rPr>
      </w:pPr>
      <w:r>
        <w:rPr>
          <w:rFonts w:hint="eastAsia" w:cs="Times New Roman"/>
          <w:color w:val="auto"/>
          <w:kern w:val="0"/>
          <w:sz w:val="24"/>
          <w:szCs w:val="24"/>
          <w:lang w:val="en-US" w:eastAsia="zh-CN" w:bidi="ar"/>
        </w:rPr>
        <w:t>根据前文分析，本项目大气环境风险较大，本次主要针对大气风险提出应急监测计划。</w:t>
      </w:r>
    </w:p>
    <w:p w14:paraId="51D89F9B">
      <w:pPr>
        <w:pStyle w:val="26"/>
        <w:bidi w:val="0"/>
        <w:rPr>
          <w:rFonts w:hint="default" w:ascii="Times New Roman" w:hAnsi="Times New Roman" w:cs="Times New Roman"/>
          <w:color w:val="auto"/>
          <w:kern w:val="0"/>
          <w:sz w:val="24"/>
          <w:szCs w:val="24"/>
          <w:lang w:val="en-US" w:eastAsia="zh-CN" w:bidi="ar"/>
        </w:rPr>
      </w:pPr>
      <w:r>
        <w:rPr>
          <w:rFonts w:hint="eastAsia" w:cs="Times New Roman"/>
          <w:color w:val="auto"/>
          <w:kern w:val="0"/>
          <w:sz w:val="24"/>
          <w:szCs w:val="24"/>
          <w:lang w:val="en-US" w:eastAsia="zh-CN" w:bidi="ar"/>
        </w:rPr>
        <w:t>1、基本原则</w:t>
      </w:r>
    </w:p>
    <w:p w14:paraId="2072FF16">
      <w:pPr>
        <w:pStyle w:val="26"/>
        <w:bidi w:val="0"/>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对于有毒物质，若</w:t>
      </w:r>
      <w:r>
        <w:rPr>
          <w:rFonts w:hint="eastAsia" w:cs="Times New Roman"/>
          <w:color w:val="auto"/>
          <w:kern w:val="0"/>
          <w:sz w:val="24"/>
          <w:szCs w:val="24"/>
          <w:lang w:val="en-US" w:eastAsia="zh-CN" w:bidi="ar"/>
        </w:rPr>
        <w:t>发生硫酸、氟硅酸</w:t>
      </w:r>
      <w:r>
        <w:rPr>
          <w:rFonts w:hint="eastAsia" w:ascii="Times New Roman" w:hAnsi="Times New Roman" w:cs="Times New Roman"/>
          <w:color w:val="auto"/>
          <w:kern w:val="0"/>
          <w:sz w:val="24"/>
          <w:szCs w:val="24"/>
          <w:lang w:val="en-US" w:eastAsia="zh-CN" w:bidi="ar"/>
        </w:rPr>
        <w:t>的</w:t>
      </w:r>
      <w:r>
        <w:rPr>
          <w:rFonts w:hint="eastAsia" w:cs="Times New Roman"/>
          <w:color w:val="auto"/>
          <w:kern w:val="0"/>
          <w:sz w:val="24"/>
          <w:szCs w:val="24"/>
          <w:lang w:val="en-US" w:eastAsia="zh-CN" w:bidi="ar"/>
        </w:rPr>
        <w:t>泄漏</w:t>
      </w:r>
      <w:r>
        <w:rPr>
          <w:rFonts w:hint="eastAsia" w:ascii="Times New Roman" w:hAnsi="Times New Roman" w:cs="Times New Roman"/>
          <w:color w:val="auto"/>
          <w:kern w:val="0"/>
          <w:sz w:val="24"/>
          <w:szCs w:val="24"/>
          <w:lang w:val="en-US" w:eastAsia="zh-CN" w:bidi="ar"/>
        </w:rPr>
        <w:t>，首先应当尽可能在事故发生地就近采样，并以事故地点为中心，根据事故发生地的地理特点、风向及其他自然条件，在事故发生地当日的下风向影响区域，按一定间隔的圆形布点采样，根据事故发生的严重程度，确定采样点布置的范围</w:t>
      </w:r>
      <w:r>
        <w:rPr>
          <w:rFonts w:hint="eastAsia" w:cs="Times New Roman"/>
          <w:color w:val="auto"/>
          <w:kern w:val="0"/>
          <w:sz w:val="24"/>
          <w:szCs w:val="24"/>
          <w:lang w:val="en-US" w:eastAsia="zh-CN" w:bidi="ar"/>
        </w:rPr>
        <w:t>，</w:t>
      </w:r>
      <w:r>
        <w:rPr>
          <w:rFonts w:hint="eastAsia" w:ascii="Times New Roman" w:hAnsi="Times New Roman" w:cs="Times New Roman"/>
          <w:color w:val="auto"/>
          <w:kern w:val="0"/>
          <w:sz w:val="24"/>
          <w:szCs w:val="24"/>
          <w:lang w:val="en-US" w:eastAsia="zh-CN" w:bidi="ar"/>
        </w:rPr>
        <w:t>且需要在不同高度采样，</w:t>
      </w:r>
      <w:r>
        <w:rPr>
          <w:rFonts w:hint="eastAsia" w:cs="Times New Roman"/>
          <w:color w:val="auto"/>
          <w:kern w:val="0"/>
          <w:sz w:val="24"/>
          <w:szCs w:val="24"/>
          <w:lang w:val="en-US" w:eastAsia="zh-CN" w:bidi="ar"/>
        </w:rPr>
        <w:t>并</w:t>
      </w:r>
      <w:r>
        <w:rPr>
          <w:rFonts w:hint="eastAsia" w:ascii="Times New Roman" w:hAnsi="Times New Roman" w:cs="Times New Roman"/>
          <w:color w:val="auto"/>
          <w:kern w:val="0"/>
          <w:sz w:val="24"/>
          <w:szCs w:val="24"/>
          <w:lang w:val="en-US" w:eastAsia="zh-CN" w:bidi="ar"/>
        </w:rPr>
        <w:t>在事故点的上风向适当位置布设采样，作为对照点。</w:t>
      </w:r>
      <w:r>
        <w:rPr>
          <w:rFonts w:hint="eastAsia" w:cs="Times New Roman"/>
          <w:color w:val="auto"/>
          <w:kern w:val="0"/>
          <w:sz w:val="24"/>
          <w:szCs w:val="24"/>
          <w:lang w:val="en-US" w:eastAsia="zh-CN" w:bidi="ar"/>
        </w:rPr>
        <w:t>同时，</w:t>
      </w:r>
      <w:r>
        <w:rPr>
          <w:rFonts w:hint="eastAsia" w:ascii="Times New Roman" w:hAnsi="Times New Roman" w:cs="Times New Roman"/>
          <w:color w:val="auto"/>
          <w:kern w:val="0"/>
          <w:sz w:val="24"/>
          <w:szCs w:val="24"/>
          <w:lang w:val="en-US" w:eastAsia="zh-CN" w:bidi="ar"/>
        </w:rPr>
        <w:t>在距事故发生地最近的居民住宅区布点采样，且采样过程中应注意风向的变化，及时调整采样点位置。</w:t>
      </w:r>
    </w:p>
    <w:p w14:paraId="628A98F5">
      <w:pPr>
        <w:pStyle w:val="26"/>
        <w:bidi w:val="0"/>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对于火灾以及爆炸事故，首先应当确定事故中可能产生的衍生污染物，再根据该污染物的性质特征，按照以上的采样点布置原则进行布点。</w:t>
      </w:r>
    </w:p>
    <w:p w14:paraId="20C3F82D">
      <w:pPr>
        <w:pStyle w:val="26"/>
        <w:bidi w:val="0"/>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采样时，使用大气采样器确定好采样的流量和采样的时间，同时记录气温、气压、风向和风速，采样总体积应换算为标准状态下的体积。</w:t>
      </w:r>
    </w:p>
    <w:p w14:paraId="334F36B0">
      <w:pPr>
        <w:pStyle w:val="26"/>
        <w:bidi w:val="0"/>
        <w:rPr>
          <w:rFonts w:hint="eastAsia" w:ascii="Times New Roman" w:hAnsi="Times New Roman" w:cs="Times New Roman"/>
          <w:color w:val="auto"/>
          <w:kern w:val="0"/>
          <w:sz w:val="24"/>
          <w:szCs w:val="24"/>
          <w:lang w:val="en-US" w:eastAsia="zh-CN" w:bidi="ar"/>
        </w:rPr>
      </w:pPr>
      <w:r>
        <w:rPr>
          <w:rFonts w:hint="eastAsia" w:cs="Times New Roman"/>
          <w:color w:val="auto"/>
          <w:kern w:val="0"/>
          <w:sz w:val="24"/>
          <w:szCs w:val="24"/>
          <w:lang w:val="en-US" w:eastAsia="zh-CN" w:bidi="ar"/>
        </w:rPr>
        <w:t>2、</w:t>
      </w:r>
      <w:r>
        <w:rPr>
          <w:rFonts w:hint="eastAsia" w:ascii="Times New Roman" w:hAnsi="Times New Roman" w:cs="Times New Roman"/>
          <w:color w:val="auto"/>
          <w:kern w:val="0"/>
          <w:sz w:val="24"/>
          <w:szCs w:val="24"/>
          <w:lang w:val="en-US" w:eastAsia="zh-CN" w:bidi="ar"/>
        </w:rPr>
        <w:t>监测布点</w:t>
      </w:r>
    </w:p>
    <w:p w14:paraId="11187EF6">
      <w:pPr>
        <w:pStyle w:val="26"/>
        <w:bidi w:val="0"/>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主要在事故现场的附近（周边居民、下风向附近敏感点</w:t>
      </w:r>
      <w:r>
        <w:rPr>
          <w:rFonts w:hint="eastAsia" w:cs="Times New Roman"/>
          <w:color w:val="auto"/>
          <w:kern w:val="0"/>
          <w:sz w:val="24"/>
          <w:szCs w:val="24"/>
          <w:lang w:val="en-US" w:eastAsia="zh-CN" w:bidi="ar"/>
        </w:rPr>
        <w:t>处</w:t>
      </w:r>
      <w:r>
        <w:rPr>
          <w:rFonts w:hint="eastAsia" w:ascii="Times New Roman" w:hAnsi="Times New Roman" w:cs="Times New Roman"/>
          <w:color w:val="auto"/>
          <w:kern w:val="0"/>
          <w:sz w:val="24"/>
          <w:szCs w:val="24"/>
          <w:lang w:val="en-US" w:eastAsia="zh-CN" w:bidi="ar"/>
        </w:rPr>
        <w:t xml:space="preserve">）布设 </w:t>
      </w:r>
      <w:r>
        <w:rPr>
          <w:rFonts w:hint="eastAsia" w:cs="Times New Roman"/>
          <w:color w:val="auto"/>
          <w:kern w:val="0"/>
          <w:sz w:val="24"/>
          <w:szCs w:val="24"/>
          <w:lang w:val="en-US" w:eastAsia="zh-CN" w:bidi="ar"/>
        </w:rPr>
        <w:t>5-10</w:t>
      </w:r>
      <w:r>
        <w:rPr>
          <w:rFonts w:hint="eastAsia" w:ascii="Times New Roman" w:hAnsi="Times New Roman" w:cs="Times New Roman"/>
          <w:color w:val="auto"/>
          <w:kern w:val="0"/>
          <w:sz w:val="24"/>
          <w:szCs w:val="24"/>
          <w:lang w:val="en-US" w:eastAsia="zh-CN" w:bidi="ar"/>
        </w:rPr>
        <w:t>个监测点。</w:t>
      </w:r>
    </w:p>
    <w:p w14:paraId="14488489">
      <w:pPr>
        <w:pStyle w:val="26"/>
        <w:bidi w:val="0"/>
        <w:rPr>
          <w:rFonts w:hint="eastAsia" w:ascii="Times New Roman" w:hAnsi="Times New Roman" w:cs="Times New Roman"/>
          <w:color w:val="auto"/>
          <w:kern w:val="0"/>
          <w:sz w:val="24"/>
          <w:szCs w:val="24"/>
          <w:lang w:val="en-US" w:eastAsia="zh-CN" w:bidi="ar"/>
        </w:rPr>
      </w:pPr>
      <w:r>
        <w:rPr>
          <w:rFonts w:hint="eastAsia" w:cs="Times New Roman"/>
          <w:color w:val="auto"/>
          <w:kern w:val="0"/>
          <w:sz w:val="24"/>
          <w:szCs w:val="24"/>
          <w:lang w:val="en-US" w:eastAsia="zh-CN" w:bidi="ar"/>
        </w:rPr>
        <w:t>3、</w:t>
      </w:r>
      <w:r>
        <w:rPr>
          <w:rFonts w:hint="eastAsia" w:ascii="Times New Roman" w:hAnsi="Times New Roman" w:cs="Times New Roman"/>
          <w:color w:val="auto"/>
          <w:kern w:val="0"/>
          <w:sz w:val="24"/>
          <w:szCs w:val="24"/>
          <w:lang w:val="en-US" w:eastAsia="zh-CN" w:bidi="ar"/>
        </w:rPr>
        <w:t>监测项目</w:t>
      </w:r>
    </w:p>
    <w:p w14:paraId="285B3DE7">
      <w:pPr>
        <w:pStyle w:val="26"/>
        <w:bidi w:val="0"/>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选择</w:t>
      </w:r>
      <w:r>
        <w:rPr>
          <w:rFonts w:hint="eastAsia" w:cs="Times New Roman"/>
          <w:color w:val="auto"/>
          <w:highlight w:val="none"/>
          <w:lang w:val="en-US" w:eastAsia="zh-CN"/>
        </w:rPr>
        <w:t>硫酸</w:t>
      </w:r>
      <w:r>
        <w:rPr>
          <w:rFonts w:hint="default" w:ascii="Times New Roman" w:hAnsi="Times New Roman" w:cs="Times New Roman"/>
          <w:color w:val="auto"/>
          <w:highlight w:val="none"/>
          <w:lang w:val="en-US" w:eastAsia="zh-CN"/>
        </w:rPr>
        <w:t>、氟硅酸</w:t>
      </w:r>
      <w:r>
        <w:rPr>
          <w:rFonts w:hint="eastAsia" w:cs="Times New Roman"/>
          <w:color w:val="auto"/>
          <w:highlight w:val="none"/>
          <w:lang w:val="en-US" w:eastAsia="zh-CN"/>
        </w:rPr>
        <w:t>、一氧化碳、二氧化硫</w:t>
      </w:r>
      <w:r>
        <w:rPr>
          <w:rFonts w:hint="eastAsia" w:ascii="Times New Roman" w:hAnsi="Times New Roman" w:cs="Times New Roman"/>
          <w:color w:val="auto"/>
          <w:kern w:val="0"/>
          <w:sz w:val="24"/>
          <w:szCs w:val="24"/>
          <w:lang w:val="en-US" w:eastAsia="zh-CN" w:bidi="ar"/>
        </w:rPr>
        <w:t>作为基本监测项目，另外根据事故类型及可能出现的污染物临时决定监测项目。</w:t>
      </w:r>
    </w:p>
    <w:p w14:paraId="1CE06D76">
      <w:pPr>
        <w:pStyle w:val="26"/>
        <w:bidi w:val="0"/>
        <w:rPr>
          <w:rFonts w:hint="eastAsia" w:ascii="Times New Roman" w:hAnsi="Times New Roman" w:cs="Times New Roman"/>
          <w:color w:val="auto"/>
          <w:kern w:val="0"/>
          <w:sz w:val="24"/>
          <w:szCs w:val="24"/>
          <w:lang w:val="en-US" w:eastAsia="zh-CN" w:bidi="ar"/>
        </w:rPr>
      </w:pPr>
      <w:r>
        <w:rPr>
          <w:rFonts w:hint="eastAsia" w:cs="Times New Roman"/>
          <w:color w:val="auto"/>
          <w:kern w:val="0"/>
          <w:sz w:val="24"/>
          <w:szCs w:val="24"/>
          <w:lang w:val="en-US" w:eastAsia="zh-CN" w:bidi="ar"/>
        </w:rPr>
        <w:t>4、</w:t>
      </w:r>
      <w:r>
        <w:rPr>
          <w:rFonts w:hint="eastAsia" w:ascii="Times New Roman" w:hAnsi="Times New Roman" w:cs="Times New Roman"/>
          <w:color w:val="auto"/>
          <w:kern w:val="0"/>
          <w:sz w:val="24"/>
          <w:szCs w:val="24"/>
          <w:lang w:val="en-US" w:eastAsia="zh-CN" w:bidi="ar"/>
        </w:rPr>
        <w:t>监测频率</w:t>
      </w:r>
    </w:p>
    <w:p w14:paraId="456243A5">
      <w:pPr>
        <w:pStyle w:val="26"/>
        <w:bidi w:val="0"/>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发生事故时，实施24小时的连续监测；险情得到控制后则每天进行一次监测，分别在4个时段采样，直至事故影响区内的环境空气质量恢复到事故前的水平为止。</w:t>
      </w:r>
    </w:p>
    <w:p w14:paraId="78C12EFC">
      <w:pPr>
        <w:pStyle w:val="28"/>
        <w:numPr>
          <w:ilvl w:val="0"/>
          <w:numId w:val="41"/>
        </w:numPr>
        <w:bidi w:val="0"/>
        <w:ind w:left="425" w:leftChars="0" w:hanging="425"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大气</w:t>
      </w:r>
      <w:r>
        <w:rPr>
          <w:rFonts w:hint="default" w:ascii="Times New Roman" w:hAnsi="Times New Roman" w:cs="Times New Roman"/>
          <w:color w:val="auto"/>
          <w:highlight w:val="none"/>
          <w:lang w:val="en-US" w:eastAsia="zh-CN"/>
        </w:rPr>
        <w:t>环境风险</w:t>
      </w:r>
      <w:r>
        <w:rPr>
          <w:rFonts w:hint="eastAsia" w:cs="Times New Roman"/>
          <w:color w:val="auto"/>
          <w:highlight w:val="none"/>
          <w:lang w:val="en-US" w:eastAsia="zh-CN"/>
        </w:rPr>
        <w:t>应急监测计划</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589"/>
        <w:gridCol w:w="914"/>
        <w:gridCol w:w="859"/>
        <w:gridCol w:w="1105"/>
        <w:gridCol w:w="1636"/>
        <w:gridCol w:w="1868"/>
        <w:gridCol w:w="954"/>
      </w:tblGrid>
      <w:tr w14:paraId="427C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shd w:val="clear" w:color="auto" w:fill="auto"/>
            <w:vAlign w:val="center"/>
          </w:tcPr>
          <w:p w14:paraId="212F91D9">
            <w:pPr>
              <w:pStyle w:val="24"/>
              <w:bidi w:val="0"/>
              <w:rPr>
                <w:rFonts w:hint="default" w:ascii="Times New Roman" w:hAnsi="Times New Roman" w:eastAsia="宋体" w:cs="Courier New"/>
                <w:b/>
                <w:bCs/>
                <w:color w:val="auto"/>
                <w:sz w:val="21"/>
                <w:szCs w:val="21"/>
                <w:highlight w:val="none"/>
                <w:lang w:val="en-US" w:eastAsia="zh-CN"/>
              </w:rPr>
            </w:pPr>
            <w:r>
              <w:rPr>
                <w:rFonts w:hint="eastAsia" w:cs="Courier New"/>
                <w:b/>
                <w:bCs/>
                <w:color w:val="auto"/>
                <w:sz w:val="21"/>
                <w:szCs w:val="21"/>
                <w:highlight w:val="none"/>
                <w:lang w:val="en-US" w:eastAsia="zh-CN"/>
              </w:rPr>
              <w:t>编号</w:t>
            </w:r>
          </w:p>
        </w:tc>
        <w:tc>
          <w:tcPr>
            <w:tcW w:w="836" w:type="pct"/>
            <w:shd w:val="clear" w:color="auto" w:fill="auto"/>
            <w:vAlign w:val="center"/>
          </w:tcPr>
          <w:p w14:paraId="2D4EDB16">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480" w:type="pct"/>
            <w:shd w:val="clear" w:color="auto" w:fill="auto"/>
            <w:vAlign w:val="center"/>
          </w:tcPr>
          <w:p w14:paraId="3441D6E3">
            <w:pPr>
              <w:pStyle w:val="24"/>
              <w:bidi w:val="0"/>
              <w:ind w:left="0" w:leftChars="0"/>
              <w:rPr>
                <w:rFonts w:hint="default" w:ascii="Times New Roman" w:hAnsi="Times New Roman" w:eastAsia="宋体"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点位性质</w:t>
            </w:r>
          </w:p>
        </w:tc>
        <w:tc>
          <w:tcPr>
            <w:tcW w:w="451" w:type="pct"/>
            <w:shd w:val="clear" w:color="auto" w:fill="auto"/>
            <w:vAlign w:val="center"/>
          </w:tcPr>
          <w:p w14:paraId="3EBCCC60">
            <w:pPr>
              <w:pStyle w:val="24"/>
              <w:bidi w:val="0"/>
              <w:ind w:left="0" w:leftChars="0"/>
              <w:rPr>
                <w:rFonts w:hint="eastAsia"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采样</w:t>
            </w:r>
          </w:p>
          <w:p w14:paraId="485D2F60">
            <w:pPr>
              <w:pStyle w:val="24"/>
              <w:bidi w:val="0"/>
              <w:ind w:left="0" w:leftChars="0"/>
              <w:rPr>
                <w:rFonts w:hint="default" w:ascii="Times New Roman" w:hAnsi="Times New Roman" w:eastAsia="宋体"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高度</w:t>
            </w:r>
          </w:p>
        </w:tc>
        <w:tc>
          <w:tcPr>
            <w:tcW w:w="581" w:type="pct"/>
            <w:shd w:val="clear" w:color="auto" w:fill="auto"/>
            <w:vAlign w:val="center"/>
          </w:tcPr>
          <w:p w14:paraId="6E972BE1">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监测指标</w:t>
            </w:r>
          </w:p>
        </w:tc>
        <w:tc>
          <w:tcPr>
            <w:tcW w:w="860" w:type="pct"/>
            <w:shd w:val="clear" w:color="auto" w:fill="auto"/>
            <w:vAlign w:val="center"/>
          </w:tcPr>
          <w:p w14:paraId="22FD1724">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监测频次</w:t>
            </w:r>
          </w:p>
        </w:tc>
        <w:tc>
          <w:tcPr>
            <w:tcW w:w="982" w:type="pct"/>
            <w:shd w:val="clear" w:color="auto" w:fill="auto"/>
            <w:vAlign w:val="center"/>
          </w:tcPr>
          <w:p w14:paraId="724C203E">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执行标准</w:t>
            </w:r>
          </w:p>
        </w:tc>
        <w:tc>
          <w:tcPr>
            <w:tcW w:w="501" w:type="pct"/>
            <w:shd w:val="clear" w:color="auto" w:fill="auto"/>
            <w:vAlign w:val="center"/>
          </w:tcPr>
          <w:p w14:paraId="75A29EA7">
            <w:pPr>
              <w:pStyle w:val="24"/>
              <w:bidi w:val="0"/>
              <w:ind w:left="0" w:leftChars="0"/>
              <w:rPr>
                <w:rFonts w:hint="default" w:ascii="Times New Roman" w:hAnsi="Times New Roman" w:eastAsia="宋体" w:cs="Courier New"/>
                <w:b/>
                <w:bCs/>
                <w:color w:val="auto"/>
                <w:sz w:val="21"/>
                <w:szCs w:val="21"/>
                <w:highlight w:val="none"/>
                <w:lang w:val="en-US" w:eastAsia="zh-CN"/>
              </w:rPr>
            </w:pPr>
            <w:r>
              <w:rPr>
                <w:rFonts w:hint="eastAsia" w:cs="Courier New"/>
                <w:b/>
                <w:bCs/>
                <w:color w:val="auto"/>
                <w:sz w:val="21"/>
                <w:szCs w:val="21"/>
                <w:highlight w:val="none"/>
                <w:lang w:val="en-US" w:eastAsia="zh-CN"/>
              </w:rPr>
              <w:t>备注</w:t>
            </w:r>
          </w:p>
        </w:tc>
      </w:tr>
      <w:tr w14:paraId="5364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604AB1CB">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A1</w:t>
            </w:r>
          </w:p>
        </w:tc>
        <w:tc>
          <w:tcPr>
            <w:tcW w:w="836" w:type="pct"/>
            <w:shd w:val="clear" w:color="auto" w:fill="auto"/>
            <w:vAlign w:val="center"/>
          </w:tcPr>
          <w:p w14:paraId="657DDA4B">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西北侧农户处</w:t>
            </w:r>
          </w:p>
        </w:tc>
        <w:tc>
          <w:tcPr>
            <w:tcW w:w="480" w:type="pct"/>
            <w:shd w:val="clear" w:color="auto" w:fill="auto"/>
            <w:vAlign w:val="center"/>
          </w:tcPr>
          <w:p w14:paraId="5BB10090">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对照点</w:t>
            </w:r>
          </w:p>
        </w:tc>
        <w:tc>
          <w:tcPr>
            <w:tcW w:w="451" w:type="pct"/>
            <w:vMerge w:val="restart"/>
            <w:shd w:val="clear" w:color="auto" w:fill="auto"/>
            <w:vAlign w:val="center"/>
          </w:tcPr>
          <w:p w14:paraId="0FBD2CB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0.5-1m、1.5-2m、2-3m、3-5m、5m以上</w:t>
            </w:r>
          </w:p>
        </w:tc>
        <w:tc>
          <w:tcPr>
            <w:tcW w:w="581" w:type="pct"/>
            <w:vMerge w:val="restart"/>
            <w:shd w:val="clear" w:color="auto" w:fill="auto"/>
            <w:vAlign w:val="center"/>
          </w:tcPr>
          <w:p w14:paraId="154EACF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硫酸、氟硅酸、一氧化碳、二氧化硫</w:t>
            </w:r>
            <w:r>
              <w:rPr>
                <w:rFonts w:hint="eastAsia" w:cs="Courier New"/>
                <w:b w:val="0"/>
                <w:bCs w:val="0"/>
                <w:color w:val="auto"/>
                <w:kern w:val="2"/>
                <w:sz w:val="21"/>
                <w:szCs w:val="21"/>
                <w:highlight w:val="none"/>
                <w:lang w:val="en-US" w:eastAsia="zh-CN" w:bidi="ar-SA"/>
              </w:rPr>
              <w:t>，另外根据事故类型及可能出现的污染物临时决定监测项目</w:t>
            </w:r>
          </w:p>
        </w:tc>
        <w:tc>
          <w:tcPr>
            <w:tcW w:w="860" w:type="pct"/>
            <w:vMerge w:val="restart"/>
            <w:shd w:val="clear" w:color="auto" w:fill="auto"/>
            <w:vAlign w:val="center"/>
          </w:tcPr>
          <w:p w14:paraId="733AE351">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default" w:ascii="Times New Roman" w:hAnsi="Times New Roman" w:eastAsia="宋体" w:cs="Courier New"/>
                <w:b w:val="0"/>
                <w:bCs w:val="0"/>
                <w:color w:val="auto"/>
                <w:kern w:val="2"/>
                <w:sz w:val="21"/>
                <w:szCs w:val="21"/>
                <w:highlight w:val="none"/>
                <w:lang w:val="en-US" w:eastAsia="zh-CN" w:bidi="ar-SA"/>
              </w:rPr>
              <w:t>发生事故时，实施24小时的连续监测；险情得到控制后则每天进行一次监测，分别在4个时段采样，直至事故影响区内的环境空气质量恢复到事故前的水平为止</w:t>
            </w:r>
          </w:p>
        </w:tc>
        <w:tc>
          <w:tcPr>
            <w:tcW w:w="982" w:type="pct"/>
            <w:vMerge w:val="restart"/>
            <w:shd w:val="clear" w:color="auto" w:fill="auto"/>
            <w:vAlign w:val="center"/>
          </w:tcPr>
          <w:p w14:paraId="3008644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硫酸执行《环境影响评价技术导则 大气导则》（HJ2.2-2018）附录D中相关限值</w:t>
            </w:r>
            <w:r>
              <w:rPr>
                <w:rFonts w:hint="eastAsia" w:ascii="Times New Roman" w:hAnsi="Times New Roman" w:cs="Courier New"/>
                <w:b w:val="0"/>
                <w:bCs w:val="0"/>
                <w:color w:val="auto"/>
                <w:kern w:val="2"/>
                <w:sz w:val="21"/>
                <w:szCs w:val="21"/>
                <w:highlight w:val="none"/>
                <w:lang w:val="en-US" w:eastAsia="zh-CN" w:bidi="ar-SA"/>
              </w:rPr>
              <w:t>，</w:t>
            </w:r>
            <w:r>
              <w:rPr>
                <w:rFonts w:hint="eastAsia" w:ascii="Times New Roman" w:hAnsi="Times New Roman" w:eastAsia="宋体" w:cs="Courier New"/>
                <w:b w:val="0"/>
                <w:bCs w:val="0"/>
                <w:color w:val="auto"/>
                <w:kern w:val="2"/>
                <w:sz w:val="21"/>
                <w:szCs w:val="21"/>
                <w:highlight w:val="none"/>
                <w:lang w:val="en-US" w:eastAsia="zh-CN" w:bidi="ar-SA"/>
              </w:rPr>
              <w:t>氟化物执行《环境空气质量标准》（GB3095-2026）中浓度限值</w:t>
            </w:r>
            <w:r>
              <w:rPr>
                <w:rFonts w:hint="eastAsia" w:cs="Courier New"/>
                <w:b w:val="0"/>
                <w:bCs w:val="0"/>
                <w:color w:val="auto"/>
                <w:kern w:val="2"/>
                <w:sz w:val="21"/>
                <w:szCs w:val="21"/>
                <w:highlight w:val="none"/>
                <w:lang w:val="en-US" w:eastAsia="zh-CN" w:bidi="ar-SA"/>
              </w:rPr>
              <w:t>，</w:t>
            </w:r>
            <w:r>
              <w:rPr>
                <w:rFonts w:ascii="Times New Roman" w:hAnsi="Times New Roman"/>
                <w:color w:val="auto"/>
                <w:sz w:val="21"/>
                <w:szCs w:val="21"/>
              </w:rPr>
              <w:t>CO</w:t>
            </w:r>
            <w:r>
              <w:rPr>
                <w:rFonts w:hint="eastAsia" w:ascii="Times New Roman" w:hAnsi="Times New Roman"/>
                <w:color w:val="auto"/>
                <w:sz w:val="21"/>
                <w:szCs w:val="21"/>
                <w:lang w:eastAsia="zh-CN"/>
              </w:rPr>
              <w:t>、</w:t>
            </w:r>
            <w:r>
              <w:rPr>
                <w:rFonts w:ascii="Times New Roman" w:hAnsi="Times New Roman"/>
                <w:color w:val="auto"/>
                <w:sz w:val="21"/>
                <w:szCs w:val="21"/>
              </w:rPr>
              <w:t>SO</w:t>
            </w:r>
            <w:r>
              <w:rPr>
                <w:rFonts w:ascii="Times New Roman" w:hAnsi="Times New Roman"/>
                <w:color w:val="auto"/>
                <w:sz w:val="21"/>
                <w:szCs w:val="21"/>
                <w:vertAlign w:val="subscript"/>
              </w:rPr>
              <w:t>2</w:t>
            </w:r>
            <w:r>
              <w:rPr>
                <w:color w:val="auto"/>
                <w:sz w:val="21"/>
                <w:szCs w:val="21"/>
              </w:rPr>
              <w:t>执行《环境空气质量标准》（</w:t>
            </w:r>
            <w:r>
              <w:rPr>
                <w:rFonts w:hint="eastAsia"/>
                <w:color w:val="auto"/>
                <w:sz w:val="21"/>
                <w:szCs w:val="21"/>
                <w:lang w:eastAsia="zh-CN"/>
              </w:rPr>
              <w:t>GB3095-2026</w:t>
            </w:r>
            <w:r>
              <w:rPr>
                <w:color w:val="auto"/>
                <w:sz w:val="21"/>
                <w:szCs w:val="21"/>
              </w:rPr>
              <w:t>）</w:t>
            </w:r>
            <w:r>
              <w:rPr>
                <w:rFonts w:hint="eastAsia"/>
                <w:color w:val="auto"/>
                <w:sz w:val="21"/>
                <w:szCs w:val="21"/>
                <w:lang w:val="en-US" w:eastAsia="zh-CN"/>
              </w:rPr>
              <w:t>表1中</w:t>
            </w:r>
            <w:r>
              <w:rPr>
                <w:color w:val="auto"/>
                <w:sz w:val="21"/>
                <w:szCs w:val="21"/>
              </w:rPr>
              <w:t>二级标准</w:t>
            </w:r>
          </w:p>
        </w:tc>
        <w:tc>
          <w:tcPr>
            <w:tcW w:w="501" w:type="pct"/>
            <w:shd w:val="clear" w:color="auto" w:fill="auto"/>
            <w:vAlign w:val="center"/>
          </w:tcPr>
          <w:p w14:paraId="090D6594">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必测</w:t>
            </w:r>
          </w:p>
        </w:tc>
      </w:tr>
      <w:tr w14:paraId="0645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6606D27E">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A2</w:t>
            </w:r>
          </w:p>
        </w:tc>
        <w:tc>
          <w:tcPr>
            <w:tcW w:w="836" w:type="pct"/>
            <w:shd w:val="clear" w:color="auto" w:fill="auto"/>
            <w:vAlign w:val="center"/>
          </w:tcPr>
          <w:p w14:paraId="3E83E7EE">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东北侧散户</w:t>
            </w:r>
          </w:p>
        </w:tc>
        <w:tc>
          <w:tcPr>
            <w:tcW w:w="480" w:type="pct"/>
            <w:shd w:val="clear" w:color="auto" w:fill="auto"/>
            <w:vAlign w:val="center"/>
          </w:tcPr>
          <w:p w14:paraId="355F008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周边居民</w:t>
            </w:r>
          </w:p>
        </w:tc>
        <w:tc>
          <w:tcPr>
            <w:tcW w:w="451" w:type="pct"/>
            <w:vMerge w:val="continue"/>
            <w:shd w:val="clear" w:color="auto" w:fill="auto"/>
            <w:vAlign w:val="center"/>
          </w:tcPr>
          <w:p w14:paraId="37C24B0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7E7D8C02">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59751A36">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724EA8F2">
            <w:pPr>
              <w:pStyle w:val="24"/>
              <w:bidi w:val="0"/>
              <w:rPr>
                <w:rFonts w:hint="default" w:cs="Courier New"/>
                <w:b w:val="0"/>
                <w:bCs w:val="0"/>
                <w:color w:val="auto"/>
                <w:sz w:val="21"/>
                <w:szCs w:val="21"/>
                <w:highlight w:val="none"/>
                <w:lang w:val="en-US" w:eastAsia="zh-CN"/>
              </w:rPr>
            </w:pPr>
          </w:p>
        </w:tc>
        <w:tc>
          <w:tcPr>
            <w:tcW w:w="501" w:type="pct"/>
            <w:vAlign w:val="center"/>
          </w:tcPr>
          <w:p w14:paraId="2D204558">
            <w:pPr>
              <w:pStyle w:val="24"/>
              <w:bidi w:val="0"/>
              <w:rPr>
                <w:rFonts w:hint="default" w:cs="Courier New"/>
                <w:b w:val="0"/>
                <w:bCs w:val="0"/>
                <w:color w:val="auto"/>
                <w:sz w:val="21"/>
                <w:szCs w:val="21"/>
                <w:highlight w:val="none"/>
                <w:lang w:val="en-US" w:eastAsia="zh-CN"/>
              </w:rPr>
            </w:pPr>
            <w:r>
              <w:rPr>
                <w:rFonts w:hint="eastAsia" w:cs="Courier New"/>
                <w:b w:val="0"/>
                <w:bCs w:val="0"/>
                <w:color w:val="auto"/>
                <w:kern w:val="2"/>
                <w:sz w:val="21"/>
                <w:szCs w:val="21"/>
                <w:highlight w:val="none"/>
                <w:lang w:val="en-US" w:eastAsia="zh-CN" w:bidi="ar-SA"/>
              </w:rPr>
              <w:t>必测</w:t>
            </w:r>
          </w:p>
        </w:tc>
      </w:tr>
      <w:tr w14:paraId="43A8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68DD58B2">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A3</w:t>
            </w:r>
          </w:p>
        </w:tc>
        <w:tc>
          <w:tcPr>
            <w:tcW w:w="836" w:type="pct"/>
            <w:shd w:val="clear" w:color="auto" w:fill="auto"/>
            <w:vAlign w:val="center"/>
          </w:tcPr>
          <w:p w14:paraId="09B3C3C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金堂村</w:t>
            </w:r>
          </w:p>
        </w:tc>
        <w:tc>
          <w:tcPr>
            <w:tcW w:w="480" w:type="pct"/>
            <w:vMerge w:val="restart"/>
            <w:shd w:val="clear" w:color="auto" w:fill="auto"/>
            <w:vAlign w:val="center"/>
          </w:tcPr>
          <w:p w14:paraId="577F511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kern w:val="2"/>
                <w:sz w:val="21"/>
                <w:szCs w:val="21"/>
                <w:highlight w:val="none"/>
                <w:lang w:val="en-US" w:eastAsia="zh-CN" w:bidi="ar-SA"/>
              </w:rPr>
              <w:t>下风向附近敏感点</w:t>
            </w:r>
          </w:p>
        </w:tc>
        <w:tc>
          <w:tcPr>
            <w:tcW w:w="451" w:type="pct"/>
            <w:vMerge w:val="continue"/>
            <w:shd w:val="clear" w:color="auto" w:fill="auto"/>
            <w:vAlign w:val="center"/>
          </w:tcPr>
          <w:p w14:paraId="6A2F278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66A3A64F">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1FB6E2ED">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759CE6C2">
            <w:pPr>
              <w:pStyle w:val="24"/>
              <w:bidi w:val="0"/>
              <w:rPr>
                <w:rFonts w:hint="default" w:cs="Courier New"/>
                <w:b w:val="0"/>
                <w:bCs w:val="0"/>
                <w:color w:val="auto"/>
                <w:sz w:val="21"/>
                <w:szCs w:val="21"/>
                <w:highlight w:val="none"/>
                <w:lang w:val="en-US" w:eastAsia="zh-CN"/>
              </w:rPr>
            </w:pPr>
          </w:p>
        </w:tc>
        <w:tc>
          <w:tcPr>
            <w:tcW w:w="501" w:type="pct"/>
            <w:vAlign w:val="center"/>
          </w:tcPr>
          <w:p w14:paraId="2F0E1882">
            <w:pPr>
              <w:pStyle w:val="24"/>
              <w:bidi w:val="0"/>
              <w:rPr>
                <w:rFonts w:hint="default" w:cs="Courier New"/>
                <w:b w:val="0"/>
                <w:bCs w:val="0"/>
                <w:color w:val="auto"/>
                <w:sz w:val="21"/>
                <w:szCs w:val="21"/>
                <w:highlight w:val="none"/>
                <w:lang w:val="en-US" w:eastAsia="zh-CN"/>
              </w:rPr>
            </w:pPr>
            <w:r>
              <w:rPr>
                <w:rFonts w:hint="eastAsia" w:cs="Courier New"/>
                <w:b w:val="0"/>
                <w:bCs w:val="0"/>
                <w:color w:val="auto"/>
                <w:kern w:val="2"/>
                <w:sz w:val="21"/>
                <w:szCs w:val="21"/>
                <w:highlight w:val="none"/>
                <w:lang w:val="en-US" w:eastAsia="zh-CN" w:bidi="ar-SA"/>
              </w:rPr>
              <w:t>必测</w:t>
            </w:r>
          </w:p>
        </w:tc>
      </w:tr>
      <w:tr w14:paraId="0F8A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57E1097A">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A4</w:t>
            </w:r>
          </w:p>
        </w:tc>
        <w:tc>
          <w:tcPr>
            <w:tcW w:w="836" w:type="pct"/>
            <w:shd w:val="clear" w:color="auto" w:fill="auto"/>
            <w:vAlign w:val="center"/>
          </w:tcPr>
          <w:p w14:paraId="329EA22C">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亮垭村</w:t>
            </w:r>
          </w:p>
        </w:tc>
        <w:tc>
          <w:tcPr>
            <w:tcW w:w="480" w:type="pct"/>
            <w:vMerge w:val="continue"/>
            <w:shd w:val="clear" w:color="auto" w:fill="auto"/>
            <w:vAlign w:val="center"/>
          </w:tcPr>
          <w:p w14:paraId="0146DA5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0F79B5A8">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51FD6658">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3FD1858F">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4F06B96F">
            <w:pPr>
              <w:pStyle w:val="24"/>
              <w:bidi w:val="0"/>
              <w:rPr>
                <w:rFonts w:hint="default" w:cs="Courier New"/>
                <w:b w:val="0"/>
                <w:bCs w:val="0"/>
                <w:color w:val="auto"/>
                <w:sz w:val="21"/>
                <w:szCs w:val="21"/>
                <w:highlight w:val="none"/>
                <w:lang w:val="en-US" w:eastAsia="zh-CN"/>
              </w:rPr>
            </w:pPr>
          </w:p>
        </w:tc>
        <w:tc>
          <w:tcPr>
            <w:tcW w:w="501" w:type="pct"/>
            <w:vAlign w:val="center"/>
          </w:tcPr>
          <w:p w14:paraId="4DD788CA">
            <w:pPr>
              <w:pStyle w:val="24"/>
              <w:bidi w:val="0"/>
              <w:rPr>
                <w:rFonts w:hint="default" w:cs="Courier New"/>
                <w:b w:val="0"/>
                <w:bCs w:val="0"/>
                <w:color w:val="auto"/>
                <w:sz w:val="21"/>
                <w:szCs w:val="21"/>
                <w:highlight w:val="none"/>
                <w:lang w:val="en-US" w:eastAsia="zh-CN"/>
              </w:rPr>
            </w:pPr>
            <w:r>
              <w:rPr>
                <w:rFonts w:hint="eastAsia" w:cs="Courier New"/>
                <w:b w:val="0"/>
                <w:bCs w:val="0"/>
                <w:color w:val="auto"/>
                <w:kern w:val="2"/>
                <w:sz w:val="21"/>
                <w:szCs w:val="21"/>
                <w:highlight w:val="none"/>
                <w:lang w:val="en-US" w:eastAsia="zh-CN" w:bidi="ar-SA"/>
              </w:rPr>
              <w:t>必测</w:t>
            </w:r>
          </w:p>
        </w:tc>
      </w:tr>
      <w:tr w14:paraId="1462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59B69E8D">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A5</w:t>
            </w:r>
          </w:p>
        </w:tc>
        <w:tc>
          <w:tcPr>
            <w:tcW w:w="836" w:type="pct"/>
            <w:shd w:val="clear" w:color="auto" w:fill="auto"/>
            <w:vAlign w:val="center"/>
          </w:tcPr>
          <w:p w14:paraId="48E32B16">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春在镇</w:t>
            </w:r>
          </w:p>
        </w:tc>
        <w:tc>
          <w:tcPr>
            <w:tcW w:w="480" w:type="pct"/>
            <w:vMerge w:val="continue"/>
            <w:shd w:val="clear" w:color="auto" w:fill="auto"/>
            <w:vAlign w:val="center"/>
          </w:tcPr>
          <w:p w14:paraId="58FB29E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7BAC338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6972F2AF">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7FF7FDDE">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33F9EC37">
            <w:pPr>
              <w:pStyle w:val="24"/>
              <w:bidi w:val="0"/>
              <w:rPr>
                <w:rFonts w:hint="default" w:cs="Courier New"/>
                <w:b w:val="0"/>
                <w:bCs w:val="0"/>
                <w:color w:val="auto"/>
                <w:sz w:val="21"/>
                <w:szCs w:val="21"/>
                <w:highlight w:val="none"/>
                <w:lang w:val="en-US" w:eastAsia="zh-CN"/>
              </w:rPr>
            </w:pPr>
          </w:p>
        </w:tc>
        <w:tc>
          <w:tcPr>
            <w:tcW w:w="501" w:type="pct"/>
            <w:vAlign w:val="center"/>
          </w:tcPr>
          <w:p w14:paraId="1BFCD7AB">
            <w:pPr>
              <w:pStyle w:val="24"/>
              <w:bidi w:val="0"/>
              <w:rPr>
                <w:rFonts w:hint="default" w:cs="Courier New"/>
                <w:b w:val="0"/>
                <w:bCs w:val="0"/>
                <w:color w:val="auto"/>
                <w:sz w:val="21"/>
                <w:szCs w:val="21"/>
                <w:highlight w:val="none"/>
                <w:lang w:val="en-US" w:eastAsia="zh-CN"/>
              </w:rPr>
            </w:pPr>
            <w:r>
              <w:rPr>
                <w:rFonts w:hint="eastAsia" w:cs="Courier New"/>
                <w:b w:val="0"/>
                <w:bCs w:val="0"/>
                <w:color w:val="auto"/>
                <w:kern w:val="2"/>
                <w:sz w:val="21"/>
                <w:szCs w:val="21"/>
                <w:highlight w:val="none"/>
                <w:lang w:val="en-US" w:eastAsia="zh-CN" w:bidi="ar-SA"/>
              </w:rPr>
              <w:t>必测</w:t>
            </w:r>
          </w:p>
        </w:tc>
      </w:tr>
      <w:tr w14:paraId="126F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04" w:type="pct"/>
            <w:shd w:val="clear" w:color="auto" w:fill="auto"/>
            <w:vAlign w:val="center"/>
          </w:tcPr>
          <w:p w14:paraId="6281A94E">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A6</w:t>
            </w:r>
          </w:p>
        </w:tc>
        <w:tc>
          <w:tcPr>
            <w:tcW w:w="836" w:type="pct"/>
            <w:shd w:val="clear" w:color="auto" w:fill="auto"/>
            <w:vAlign w:val="center"/>
          </w:tcPr>
          <w:p w14:paraId="4C92E284">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檬子垭村</w:t>
            </w:r>
          </w:p>
        </w:tc>
        <w:tc>
          <w:tcPr>
            <w:tcW w:w="480" w:type="pct"/>
            <w:vMerge w:val="continue"/>
            <w:shd w:val="clear" w:color="auto" w:fill="auto"/>
            <w:vAlign w:val="center"/>
          </w:tcPr>
          <w:p w14:paraId="79F6DB2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1EB1A48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202E4F68">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376E0C91">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784205CB">
            <w:pPr>
              <w:pStyle w:val="24"/>
              <w:bidi w:val="0"/>
              <w:rPr>
                <w:rFonts w:hint="default" w:cs="Courier New"/>
                <w:b w:val="0"/>
                <w:bCs w:val="0"/>
                <w:color w:val="auto"/>
                <w:sz w:val="21"/>
                <w:szCs w:val="21"/>
                <w:highlight w:val="none"/>
                <w:lang w:val="en-US" w:eastAsia="zh-CN"/>
              </w:rPr>
            </w:pPr>
          </w:p>
        </w:tc>
        <w:tc>
          <w:tcPr>
            <w:tcW w:w="501" w:type="pct"/>
            <w:vMerge w:val="restart"/>
            <w:vAlign w:val="center"/>
          </w:tcPr>
          <w:p w14:paraId="4B4404F5">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根据事故情况选择性布设</w:t>
            </w:r>
          </w:p>
        </w:tc>
      </w:tr>
      <w:tr w14:paraId="594D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38A004C2">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A7</w:t>
            </w:r>
          </w:p>
        </w:tc>
        <w:tc>
          <w:tcPr>
            <w:tcW w:w="836" w:type="pct"/>
            <w:shd w:val="clear" w:color="auto" w:fill="auto"/>
            <w:vAlign w:val="center"/>
          </w:tcPr>
          <w:p w14:paraId="6AF6C30D">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火峰村</w:t>
            </w:r>
          </w:p>
        </w:tc>
        <w:tc>
          <w:tcPr>
            <w:tcW w:w="480" w:type="pct"/>
            <w:vMerge w:val="continue"/>
            <w:shd w:val="clear" w:color="auto" w:fill="auto"/>
            <w:vAlign w:val="center"/>
          </w:tcPr>
          <w:p w14:paraId="4199EB9E">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47C830C7">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09420D81">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0AAFF30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23C741EE">
            <w:pPr>
              <w:pStyle w:val="24"/>
              <w:bidi w:val="0"/>
              <w:rPr>
                <w:rFonts w:hint="default" w:cs="Courier New"/>
                <w:b w:val="0"/>
                <w:bCs w:val="0"/>
                <w:color w:val="auto"/>
                <w:sz w:val="21"/>
                <w:szCs w:val="21"/>
                <w:highlight w:val="none"/>
                <w:lang w:val="en-US" w:eastAsia="zh-CN"/>
              </w:rPr>
            </w:pPr>
          </w:p>
        </w:tc>
        <w:tc>
          <w:tcPr>
            <w:tcW w:w="501" w:type="pct"/>
            <w:vMerge w:val="continue"/>
            <w:vAlign w:val="center"/>
          </w:tcPr>
          <w:p w14:paraId="53D7B305">
            <w:pPr>
              <w:pStyle w:val="24"/>
              <w:bidi w:val="0"/>
              <w:rPr>
                <w:rFonts w:hint="default" w:cs="Courier New"/>
                <w:b w:val="0"/>
                <w:bCs w:val="0"/>
                <w:color w:val="auto"/>
                <w:sz w:val="21"/>
                <w:szCs w:val="21"/>
                <w:highlight w:val="none"/>
                <w:lang w:val="en-US" w:eastAsia="zh-CN"/>
              </w:rPr>
            </w:pPr>
          </w:p>
        </w:tc>
      </w:tr>
      <w:tr w14:paraId="6A27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0A172BEE">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A8</w:t>
            </w:r>
          </w:p>
        </w:tc>
        <w:tc>
          <w:tcPr>
            <w:tcW w:w="836" w:type="pct"/>
            <w:shd w:val="clear" w:color="auto" w:fill="auto"/>
            <w:vAlign w:val="center"/>
          </w:tcPr>
          <w:p w14:paraId="2209505A">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新桥村小学</w:t>
            </w:r>
          </w:p>
        </w:tc>
        <w:tc>
          <w:tcPr>
            <w:tcW w:w="480" w:type="pct"/>
            <w:vMerge w:val="continue"/>
            <w:shd w:val="clear" w:color="auto" w:fill="auto"/>
            <w:vAlign w:val="center"/>
          </w:tcPr>
          <w:p w14:paraId="164F857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63E557C7">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10CEEBBE">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1810EB49">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2929CF42">
            <w:pPr>
              <w:pStyle w:val="24"/>
              <w:bidi w:val="0"/>
              <w:rPr>
                <w:rFonts w:hint="default" w:cs="Courier New"/>
                <w:b w:val="0"/>
                <w:bCs w:val="0"/>
                <w:color w:val="auto"/>
                <w:sz w:val="21"/>
                <w:szCs w:val="21"/>
                <w:highlight w:val="none"/>
                <w:lang w:val="en-US" w:eastAsia="zh-CN"/>
              </w:rPr>
            </w:pPr>
          </w:p>
        </w:tc>
        <w:tc>
          <w:tcPr>
            <w:tcW w:w="501" w:type="pct"/>
            <w:vMerge w:val="continue"/>
            <w:vAlign w:val="center"/>
          </w:tcPr>
          <w:p w14:paraId="35587804">
            <w:pPr>
              <w:pStyle w:val="24"/>
              <w:bidi w:val="0"/>
              <w:rPr>
                <w:rFonts w:hint="default" w:cs="Courier New"/>
                <w:b w:val="0"/>
                <w:bCs w:val="0"/>
                <w:color w:val="auto"/>
                <w:sz w:val="21"/>
                <w:szCs w:val="21"/>
                <w:highlight w:val="none"/>
                <w:lang w:val="en-US" w:eastAsia="zh-CN"/>
              </w:rPr>
            </w:pPr>
          </w:p>
        </w:tc>
      </w:tr>
      <w:tr w14:paraId="70CD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0EA43B05">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A9</w:t>
            </w:r>
          </w:p>
        </w:tc>
        <w:tc>
          <w:tcPr>
            <w:tcW w:w="836" w:type="pct"/>
            <w:shd w:val="clear" w:color="auto" w:fill="auto"/>
            <w:vAlign w:val="center"/>
          </w:tcPr>
          <w:p w14:paraId="626D86B8">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大铁山村</w:t>
            </w:r>
          </w:p>
        </w:tc>
        <w:tc>
          <w:tcPr>
            <w:tcW w:w="480" w:type="pct"/>
            <w:vMerge w:val="continue"/>
            <w:shd w:val="clear" w:color="auto" w:fill="auto"/>
            <w:vAlign w:val="center"/>
          </w:tcPr>
          <w:p w14:paraId="73F48E1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53A334A4">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11739236">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46E07F1A">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4C09661A">
            <w:pPr>
              <w:pStyle w:val="24"/>
              <w:bidi w:val="0"/>
              <w:rPr>
                <w:rFonts w:hint="default" w:cs="Courier New"/>
                <w:b w:val="0"/>
                <w:bCs w:val="0"/>
                <w:color w:val="auto"/>
                <w:sz w:val="21"/>
                <w:szCs w:val="21"/>
                <w:highlight w:val="none"/>
                <w:lang w:val="en-US" w:eastAsia="zh-CN"/>
              </w:rPr>
            </w:pPr>
          </w:p>
        </w:tc>
        <w:tc>
          <w:tcPr>
            <w:tcW w:w="501" w:type="pct"/>
            <w:vMerge w:val="continue"/>
            <w:vAlign w:val="center"/>
          </w:tcPr>
          <w:p w14:paraId="7CD46850">
            <w:pPr>
              <w:pStyle w:val="24"/>
              <w:bidi w:val="0"/>
              <w:rPr>
                <w:rFonts w:hint="default" w:cs="Courier New"/>
                <w:b w:val="0"/>
                <w:bCs w:val="0"/>
                <w:color w:val="auto"/>
                <w:sz w:val="21"/>
                <w:szCs w:val="21"/>
                <w:highlight w:val="none"/>
                <w:lang w:val="en-US" w:eastAsia="zh-CN"/>
              </w:rPr>
            </w:pPr>
          </w:p>
        </w:tc>
      </w:tr>
      <w:tr w14:paraId="751A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04" w:type="pct"/>
            <w:shd w:val="clear" w:color="auto" w:fill="auto"/>
            <w:vAlign w:val="center"/>
          </w:tcPr>
          <w:p w14:paraId="598DFDAB">
            <w:pPr>
              <w:pStyle w:val="24"/>
              <w:bidi w:val="0"/>
              <w:ind w:left="0" w:leftChars="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A10</w:t>
            </w:r>
          </w:p>
        </w:tc>
        <w:tc>
          <w:tcPr>
            <w:tcW w:w="836" w:type="pct"/>
            <w:shd w:val="clear" w:color="auto" w:fill="auto"/>
            <w:vAlign w:val="center"/>
          </w:tcPr>
          <w:p w14:paraId="0B625485">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通江县思源实验学校</w:t>
            </w:r>
          </w:p>
        </w:tc>
        <w:tc>
          <w:tcPr>
            <w:tcW w:w="480" w:type="pct"/>
            <w:vMerge w:val="continue"/>
            <w:shd w:val="clear" w:color="auto" w:fill="auto"/>
            <w:vAlign w:val="center"/>
          </w:tcPr>
          <w:p w14:paraId="3D074890">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451" w:type="pct"/>
            <w:vMerge w:val="continue"/>
            <w:shd w:val="clear" w:color="auto" w:fill="auto"/>
            <w:vAlign w:val="center"/>
          </w:tcPr>
          <w:p w14:paraId="4A8A618A">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p>
        </w:tc>
        <w:tc>
          <w:tcPr>
            <w:tcW w:w="581" w:type="pct"/>
            <w:vMerge w:val="continue"/>
            <w:vAlign w:val="center"/>
          </w:tcPr>
          <w:p w14:paraId="01370F6B">
            <w:pPr>
              <w:pStyle w:val="24"/>
              <w:bidi w:val="0"/>
              <w:rPr>
                <w:rFonts w:hint="eastAsia" w:ascii="Times New Roman" w:hAnsi="Times New Roman" w:eastAsia="宋体" w:cs="Courier New"/>
                <w:b w:val="0"/>
                <w:bCs w:val="0"/>
                <w:color w:val="auto"/>
                <w:sz w:val="21"/>
                <w:szCs w:val="21"/>
                <w:highlight w:val="none"/>
                <w:lang w:val="en-US" w:eastAsia="zh-CN"/>
              </w:rPr>
            </w:pPr>
          </w:p>
        </w:tc>
        <w:tc>
          <w:tcPr>
            <w:tcW w:w="860" w:type="pct"/>
            <w:vMerge w:val="continue"/>
            <w:shd w:val="clear" w:color="auto" w:fill="auto"/>
            <w:vAlign w:val="center"/>
          </w:tcPr>
          <w:p w14:paraId="13696CB8">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p>
        </w:tc>
        <w:tc>
          <w:tcPr>
            <w:tcW w:w="982" w:type="pct"/>
            <w:vMerge w:val="continue"/>
            <w:vAlign w:val="center"/>
          </w:tcPr>
          <w:p w14:paraId="70A9436B">
            <w:pPr>
              <w:pStyle w:val="24"/>
              <w:bidi w:val="0"/>
              <w:rPr>
                <w:rFonts w:hint="default" w:cs="Courier New"/>
                <w:b w:val="0"/>
                <w:bCs w:val="0"/>
                <w:color w:val="auto"/>
                <w:sz w:val="21"/>
                <w:szCs w:val="21"/>
                <w:highlight w:val="none"/>
                <w:lang w:val="en-US" w:eastAsia="zh-CN"/>
              </w:rPr>
            </w:pPr>
          </w:p>
        </w:tc>
        <w:tc>
          <w:tcPr>
            <w:tcW w:w="501" w:type="pct"/>
            <w:vMerge w:val="continue"/>
            <w:vAlign w:val="center"/>
          </w:tcPr>
          <w:p w14:paraId="732936B4">
            <w:pPr>
              <w:pStyle w:val="24"/>
              <w:bidi w:val="0"/>
              <w:rPr>
                <w:rFonts w:hint="default" w:cs="Courier New"/>
                <w:b w:val="0"/>
                <w:bCs w:val="0"/>
                <w:color w:val="auto"/>
                <w:sz w:val="21"/>
                <w:szCs w:val="21"/>
                <w:highlight w:val="none"/>
                <w:lang w:val="en-US" w:eastAsia="zh-CN"/>
              </w:rPr>
            </w:pPr>
          </w:p>
        </w:tc>
      </w:tr>
    </w:tbl>
    <w:p w14:paraId="02F7D254">
      <w:pPr>
        <w:pStyle w:val="26"/>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lang w:val="en-US" w:eastAsia="zh-CN"/>
        </w:rPr>
        <w:t>事故应急救援</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指挥领导小组</w:t>
      </w:r>
      <w:r>
        <w:rPr>
          <w:rFonts w:hint="default"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应</w:t>
      </w:r>
      <w:r>
        <w:rPr>
          <w:rFonts w:hint="eastAsia" w:ascii="Times New Roman" w:hAnsi="Times New Roman" w:cs="Times New Roman"/>
          <w:color w:val="auto"/>
          <w:kern w:val="0"/>
          <w:sz w:val="24"/>
          <w:szCs w:val="24"/>
          <w:lang w:val="en-US" w:eastAsia="zh-CN" w:bidi="ar"/>
        </w:rPr>
        <w:t>根据监测结果，综合分析突发性环境污染事故污染变化趋势，并通过专家咨询和讨论的方式，预测并报告突发性环境污染事故的发展情况和污染物的变化情况，作为突发性环境污染事故应急决策的依据。</w:t>
      </w:r>
      <w:r>
        <w:rPr>
          <w:rFonts w:hint="eastAsia" w:ascii="Times New Roman" w:hAnsi="Times New Roman" w:eastAsia="宋体" w:cs="Times New Roman"/>
          <w:color w:val="auto"/>
          <w:kern w:val="0"/>
          <w:sz w:val="24"/>
          <w:szCs w:val="24"/>
          <w:highlight w:val="none"/>
          <w:lang w:val="en-US" w:eastAsia="zh-CN" w:bidi="ar"/>
        </w:rPr>
        <w:t>至监测达标</w:t>
      </w:r>
      <w:r>
        <w:rPr>
          <w:rFonts w:hint="eastAsia" w:ascii="Times New Roman" w:hAnsi="Times New Roman" w:cs="Times New Roman"/>
          <w:color w:val="auto"/>
          <w:kern w:val="0"/>
          <w:sz w:val="24"/>
          <w:szCs w:val="24"/>
          <w:highlight w:val="none"/>
          <w:lang w:val="en-US" w:eastAsia="zh-CN" w:bidi="ar"/>
        </w:rPr>
        <w:t>后，</w:t>
      </w:r>
      <w:r>
        <w:rPr>
          <w:rFonts w:hint="eastAsia" w:ascii="Times New Roman" w:hAnsi="Times New Roman" w:eastAsia="宋体" w:cs="Times New Roman"/>
          <w:color w:val="auto"/>
          <w:kern w:val="0"/>
          <w:sz w:val="24"/>
          <w:szCs w:val="24"/>
          <w:highlight w:val="none"/>
          <w:lang w:val="en-US" w:eastAsia="zh-CN" w:bidi="ar"/>
        </w:rPr>
        <w:t>方才恢复正常生产、生活</w:t>
      </w:r>
      <w:r>
        <w:rPr>
          <w:rFonts w:hint="eastAsia" w:ascii="Times New Roman" w:hAnsi="Times New Roman" w:cs="Times New Roman"/>
          <w:color w:val="auto"/>
          <w:kern w:val="0"/>
          <w:sz w:val="24"/>
          <w:szCs w:val="24"/>
          <w:highlight w:val="none"/>
          <w:lang w:val="en-US" w:eastAsia="zh-CN" w:bidi="ar"/>
        </w:rPr>
        <w:t>。</w:t>
      </w:r>
    </w:p>
    <w:p w14:paraId="41EEFB39">
      <w:pPr>
        <w:pStyle w:val="3"/>
        <w:bidi w:val="0"/>
        <w:rPr>
          <w:rFonts w:hint="default" w:ascii="Times New Roman" w:hAnsi="Times New Roman" w:cs="Times New Roman"/>
          <w:color w:val="auto"/>
          <w:highlight w:val="none"/>
          <w:lang w:val="en-US" w:eastAsia="zh-CN"/>
        </w:rPr>
      </w:pPr>
      <w:bookmarkStart w:id="224" w:name="_Toc28667"/>
      <w:bookmarkStart w:id="225" w:name="_Toc24388"/>
      <w:bookmarkStart w:id="226" w:name="_Toc20299"/>
      <w:bookmarkStart w:id="227" w:name="_Toc20617"/>
      <w:r>
        <w:rPr>
          <w:rFonts w:hint="default" w:ascii="Times New Roman" w:hAnsi="Times New Roman" w:cs="Times New Roman"/>
          <w:color w:val="auto"/>
          <w:highlight w:val="none"/>
          <w:lang w:val="en-US" w:eastAsia="zh-CN"/>
        </w:rPr>
        <w:t>风险防范措施投资</w:t>
      </w:r>
      <w:bookmarkEnd w:id="224"/>
      <w:bookmarkEnd w:id="225"/>
      <w:bookmarkEnd w:id="226"/>
      <w:bookmarkEnd w:id="227"/>
    </w:p>
    <w:p w14:paraId="58A66190">
      <w:pPr>
        <w:pStyle w:val="2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本项目风险防范措施主要体现在防火、防爆、防泄漏及防污染物事故排放方面，项目环境风险防范投资见下表：</w:t>
      </w:r>
    </w:p>
    <w:p w14:paraId="4FAE80B9">
      <w:pPr>
        <w:pStyle w:val="28"/>
        <w:numPr>
          <w:ilvl w:val="0"/>
          <w:numId w:val="42"/>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本项目环境风险投资一览表</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3"/>
        <w:gridCol w:w="7011"/>
        <w:gridCol w:w="1139"/>
      </w:tblGrid>
      <w:tr w14:paraId="47E6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45385299">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类型</w:t>
            </w:r>
          </w:p>
        </w:tc>
        <w:tc>
          <w:tcPr>
            <w:tcW w:w="3687" w:type="pct"/>
            <w:tcBorders>
              <w:tl2br w:val="nil"/>
              <w:tr2bl w:val="nil"/>
            </w:tcBorders>
            <w:noWrap w:val="0"/>
            <w:vAlign w:val="center"/>
          </w:tcPr>
          <w:p w14:paraId="112F14F4">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风险防范措施</w:t>
            </w:r>
          </w:p>
        </w:tc>
        <w:tc>
          <w:tcPr>
            <w:tcW w:w="599" w:type="pct"/>
            <w:tcBorders>
              <w:tl2br w:val="nil"/>
              <w:tr2bl w:val="nil"/>
            </w:tcBorders>
            <w:noWrap w:val="0"/>
            <w:vAlign w:val="center"/>
          </w:tcPr>
          <w:p w14:paraId="0B2A4756">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投资</w:t>
            </w:r>
          </w:p>
          <w:p w14:paraId="2940054C">
            <w:pPr>
              <w:pStyle w:val="31"/>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（万元）</w:t>
            </w:r>
          </w:p>
        </w:tc>
      </w:tr>
      <w:tr w14:paraId="08BD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18E5EA8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总图布置、工艺设计</w:t>
            </w:r>
          </w:p>
        </w:tc>
        <w:tc>
          <w:tcPr>
            <w:tcW w:w="3687" w:type="pct"/>
            <w:tcBorders>
              <w:tl2br w:val="nil"/>
              <w:tr2bl w:val="nil"/>
            </w:tcBorders>
            <w:noWrap w:val="0"/>
            <w:vAlign w:val="top"/>
          </w:tcPr>
          <w:p w14:paraId="07176F5C">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1、厂区建（构）筑物、罐组</w:t>
            </w:r>
            <w:r>
              <w:rPr>
                <w:rFonts w:hint="eastAsia" w:ascii="Times New Roman" w:hAnsi="Times New Roman" w:cs="Times New Roman"/>
                <w:color w:val="auto"/>
                <w:highlight w:val="none"/>
                <w:lang w:val="en-US" w:eastAsia="zh-CN"/>
              </w:rPr>
              <w:t>等防火间距严格按照《精细化工企业工程设计防火标准》（GB51283-2020）和《建筑设计防火规范》（GB50016-2014，2018年版）中相关要求执行</w:t>
            </w:r>
            <w:r>
              <w:rPr>
                <w:rFonts w:hint="default" w:ascii="Times New Roman" w:hAnsi="Times New Roman" w:cs="Times New Roman"/>
                <w:color w:val="auto"/>
                <w:highlight w:val="none"/>
                <w:lang w:val="en-US" w:eastAsia="zh-CN"/>
              </w:rPr>
              <w:t>；</w:t>
            </w:r>
          </w:p>
          <w:p w14:paraId="7D343F64">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2、建筑物设置安全通道、排烟系统、应急照明及疏散指示系统。</w:t>
            </w:r>
          </w:p>
          <w:p w14:paraId="15A39451">
            <w:pPr>
              <w:pStyle w:val="24"/>
              <w:bidi w:val="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r>
              <w:rPr>
                <w:rFonts w:hint="eastAsia"/>
                <w:color w:val="auto"/>
                <w:highlight w:val="none"/>
                <w:lang w:val="en-US" w:eastAsia="zh-CN"/>
              </w:rPr>
              <w:t>采用DCS分散型控制系统对泵、罐体和生产设备等的重要参数（如温度、压力、液位、流量等）进行监视、控制及报警；并在生产车间、罐区、仓库和装卸区等可能存在可燃气体/有毒气体泄漏的位置设置1套可燃气体/有毒气体检测系统，信号引入中央控制室集中报警</w:t>
            </w:r>
            <w:r>
              <w:rPr>
                <w:rFonts w:hint="eastAsia" w:ascii="Times New Roman" w:hAnsi="Times New Roman" w:eastAsia="宋体" w:cs="Times New Roman"/>
                <w:color w:val="auto"/>
                <w:highlight w:val="none"/>
                <w:lang w:val="en-US" w:eastAsia="zh-CN"/>
              </w:rPr>
              <w:t>。</w:t>
            </w:r>
          </w:p>
          <w:p w14:paraId="5EC8CD2B">
            <w:pPr>
              <w:pStyle w:val="24"/>
              <w:bidi w:val="0"/>
              <w:jc w:val="both"/>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highlight w:val="none"/>
                <w:lang w:val="en-US" w:eastAsia="zh-CN"/>
              </w:rPr>
              <w:t>4、2#罐区四周设1.1m高防火堤，防火堤采用非燃材料建造，储罐输送物料的泵设置在防火堤外。</w:t>
            </w:r>
          </w:p>
        </w:tc>
        <w:tc>
          <w:tcPr>
            <w:tcW w:w="599" w:type="pct"/>
            <w:tcBorders>
              <w:tl2br w:val="nil"/>
              <w:tr2bl w:val="nil"/>
            </w:tcBorders>
            <w:noWrap w:val="0"/>
            <w:vAlign w:val="center"/>
          </w:tcPr>
          <w:p w14:paraId="4CE5602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计入主体工程投资</w:t>
            </w:r>
          </w:p>
        </w:tc>
      </w:tr>
      <w:tr w14:paraId="648A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62EE5FFD">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消防及火灾防范措施</w:t>
            </w:r>
          </w:p>
        </w:tc>
        <w:tc>
          <w:tcPr>
            <w:tcW w:w="3687" w:type="pct"/>
            <w:tcBorders>
              <w:tl2br w:val="nil"/>
              <w:tr2bl w:val="nil"/>
            </w:tcBorders>
            <w:noWrap w:val="0"/>
            <w:vAlign w:val="top"/>
          </w:tcPr>
          <w:p w14:paraId="1A34FDA4">
            <w:pPr>
              <w:pStyle w:val="24"/>
              <w:numPr>
                <w:ilvl w:val="0"/>
                <w:numId w:val="0"/>
              </w:numPr>
              <w:bidi w:val="0"/>
              <w:ind w:left="0" w:leftChars="0"/>
              <w:jc w:val="both"/>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lang w:val="en-US" w:eastAsia="zh-CN" w:bidi="ar-SA"/>
              </w:rPr>
              <w:t>1、</w:t>
            </w:r>
            <w:r>
              <w:rPr>
                <w:rFonts w:hint="default" w:ascii="Times New Roman" w:hAnsi="Times New Roman" w:cs="Times New Roman"/>
                <w:bCs/>
                <w:color w:val="auto"/>
                <w:sz w:val="21"/>
                <w:szCs w:val="21"/>
                <w:highlight w:val="none"/>
                <w:lang w:val="en-US" w:eastAsia="zh-CN"/>
              </w:rPr>
              <w:t>设</w:t>
            </w:r>
            <w:r>
              <w:rPr>
                <w:rFonts w:hint="eastAsia" w:cs="Times New Roman"/>
                <w:b w:val="0"/>
                <w:bCs w:val="0"/>
                <w:color w:val="auto"/>
                <w:highlight w:val="none"/>
                <w:lang w:val="en-US" w:eastAsia="zh-CN"/>
              </w:rPr>
              <w:t>2个330m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消防水罐</w:t>
            </w:r>
            <w:r>
              <w:rPr>
                <w:rFonts w:hint="eastAsia" w:ascii="Times New Roman" w:hAnsi="Times New Roman" w:eastAsia="宋体" w:cs="Times New Roman"/>
                <w:b w:val="0"/>
                <w:bCs w:val="0"/>
                <w:color w:val="auto"/>
                <w:sz w:val="21"/>
                <w:szCs w:val="21"/>
                <w:highlight w:val="none"/>
                <w:lang w:val="en-US" w:eastAsia="zh-CN"/>
              </w:rPr>
              <w:t>。</w:t>
            </w:r>
          </w:p>
          <w:p w14:paraId="1F75A9B2">
            <w:pPr>
              <w:pStyle w:val="24"/>
              <w:numPr>
                <w:ilvl w:val="0"/>
                <w:numId w:val="0"/>
              </w:numPr>
              <w:bidi w:val="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2、在关键区域配置灭火器、</w:t>
            </w:r>
            <w:r>
              <w:rPr>
                <w:rFonts w:hint="default" w:ascii="Times New Roman" w:hAnsi="Times New Roman" w:cs="Times New Roman"/>
                <w:color w:val="auto"/>
              </w:rPr>
              <w:t>消防沙</w:t>
            </w:r>
            <w:r>
              <w:rPr>
                <w:rFonts w:hint="default" w:ascii="Times New Roman" w:hAnsi="Times New Roman" w:cs="Times New Roman"/>
                <w:color w:val="auto"/>
                <w:sz w:val="21"/>
                <w:szCs w:val="21"/>
                <w:highlight w:val="none"/>
                <w:lang w:val="en-US" w:eastAsia="zh-CN"/>
              </w:rPr>
              <w:t>等消防设施；</w:t>
            </w:r>
          </w:p>
          <w:p w14:paraId="701356C0">
            <w:pPr>
              <w:pStyle w:val="24"/>
              <w:bidi w:val="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highlight w:val="none"/>
                <w:lang w:val="en-US" w:eastAsia="zh-CN"/>
              </w:rPr>
              <w:t>设置1套火灾自动监测报警系统</w:t>
            </w:r>
            <w:r>
              <w:rPr>
                <w:rFonts w:hint="default" w:ascii="Times New Roman" w:hAnsi="Times New Roman" w:cs="Times New Roman"/>
                <w:color w:val="auto"/>
                <w:sz w:val="21"/>
                <w:szCs w:val="21"/>
                <w:highlight w:val="none"/>
                <w:lang w:val="en-US" w:eastAsia="zh-CN"/>
              </w:rPr>
              <w:t>。</w:t>
            </w:r>
          </w:p>
        </w:tc>
        <w:tc>
          <w:tcPr>
            <w:tcW w:w="599" w:type="pct"/>
            <w:tcBorders>
              <w:tl2br w:val="nil"/>
              <w:tr2bl w:val="nil"/>
            </w:tcBorders>
            <w:noWrap w:val="0"/>
            <w:vAlign w:val="center"/>
          </w:tcPr>
          <w:p w14:paraId="4687A037">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r>
      <w:tr w14:paraId="607F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3F7DCF21">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物料输送管道风险防范措施</w:t>
            </w:r>
          </w:p>
        </w:tc>
        <w:tc>
          <w:tcPr>
            <w:tcW w:w="3687" w:type="pct"/>
            <w:tcBorders>
              <w:tl2br w:val="nil"/>
              <w:tr2bl w:val="nil"/>
            </w:tcBorders>
            <w:noWrap w:val="0"/>
            <w:vAlign w:val="top"/>
          </w:tcPr>
          <w:p w14:paraId="1D8D60F0">
            <w:pPr>
              <w:pStyle w:val="24"/>
              <w:numPr>
                <w:ilvl w:val="0"/>
                <w:numId w:val="0"/>
              </w:numPr>
              <w:bidi w:val="0"/>
              <w:ind w:left="0" w:leftChars="0"/>
              <w:jc w:val="both"/>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kern w:val="2"/>
                <w:sz w:val="21"/>
                <w:szCs w:val="21"/>
                <w:lang w:val="en-US" w:eastAsia="zh-CN" w:bidi="ar-SA"/>
              </w:rPr>
              <w:t>2、</w:t>
            </w:r>
            <w:r>
              <w:rPr>
                <w:rFonts w:hint="eastAsia" w:ascii="Times New Roman" w:hAnsi="Times New Roman" w:eastAsia="宋体" w:cs="Times New Roman"/>
                <w:bCs/>
                <w:color w:val="auto"/>
                <w:sz w:val="21"/>
                <w:szCs w:val="21"/>
                <w:highlight w:val="none"/>
                <w:lang w:val="en-US" w:eastAsia="zh-CN"/>
              </w:rPr>
              <w:t>选材要合理、质量和强度要满足工艺的要求。</w:t>
            </w:r>
          </w:p>
          <w:p w14:paraId="496F0C80">
            <w:pPr>
              <w:pStyle w:val="24"/>
              <w:numPr>
                <w:ilvl w:val="0"/>
                <w:numId w:val="0"/>
              </w:numPr>
              <w:bidi w:val="0"/>
              <w:ind w:left="0" w:leftChars="0"/>
              <w:jc w:val="both"/>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kern w:val="2"/>
                <w:sz w:val="21"/>
                <w:szCs w:val="21"/>
                <w:lang w:val="en-US" w:eastAsia="zh-CN" w:bidi="ar-SA"/>
              </w:rPr>
              <w:t>3、</w:t>
            </w:r>
            <w:r>
              <w:rPr>
                <w:rFonts w:hint="default" w:ascii="Times New Roman" w:hAnsi="Times New Roman" w:eastAsia="宋体" w:cs="Times New Roman"/>
                <w:bCs/>
                <w:color w:val="auto"/>
                <w:sz w:val="21"/>
                <w:szCs w:val="21"/>
                <w:highlight w:val="none"/>
                <w:lang w:val="en-US" w:eastAsia="zh-CN"/>
              </w:rPr>
              <w:t>管道采用柔性布置</w:t>
            </w:r>
            <w:r>
              <w:rPr>
                <w:rFonts w:hint="eastAsia" w:ascii="Times New Roman" w:hAnsi="Times New Roman" w:eastAsia="宋体" w:cs="Times New Roman"/>
                <w:bCs/>
                <w:color w:val="auto"/>
                <w:sz w:val="21"/>
                <w:szCs w:val="21"/>
                <w:highlight w:val="none"/>
                <w:lang w:val="en-US" w:eastAsia="zh-CN"/>
              </w:rPr>
              <w:t>。</w:t>
            </w:r>
          </w:p>
          <w:p w14:paraId="5D13A598">
            <w:pPr>
              <w:pStyle w:val="24"/>
              <w:numPr>
                <w:ilvl w:val="0"/>
                <w:numId w:val="0"/>
              </w:numPr>
              <w:bidi w:val="0"/>
              <w:ind w:left="0" w:leftChars="0"/>
              <w:jc w:val="both"/>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kern w:val="2"/>
                <w:sz w:val="21"/>
                <w:szCs w:val="21"/>
                <w:lang w:val="en-US" w:eastAsia="zh-CN" w:bidi="ar-SA"/>
              </w:rPr>
              <w:t>4、</w:t>
            </w:r>
            <w:r>
              <w:rPr>
                <w:rFonts w:hint="default" w:ascii="Times New Roman" w:hAnsi="Times New Roman" w:eastAsia="宋体" w:cs="Times New Roman"/>
                <w:bCs/>
                <w:color w:val="auto"/>
                <w:sz w:val="21"/>
                <w:szCs w:val="21"/>
                <w:highlight w:val="none"/>
                <w:lang w:val="en-US" w:eastAsia="zh-CN"/>
              </w:rPr>
              <w:t>采用必要的防腐蚀措施。</w:t>
            </w:r>
          </w:p>
        </w:tc>
        <w:tc>
          <w:tcPr>
            <w:tcW w:w="599" w:type="pct"/>
            <w:tcBorders>
              <w:tl2br w:val="nil"/>
              <w:tr2bl w:val="nil"/>
            </w:tcBorders>
            <w:noWrap w:val="0"/>
            <w:vAlign w:val="center"/>
          </w:tcPr>
          <w:p w14:paraId="35B29E83">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计入主体工程投资</w:t>
            </w:r>
          </w:p>
        </w:tc>
      </w:tr>
      <w:tr w14:paraId="7121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3BD3C06B">
            <w:pPr>
              <w:pStyle w:val="24"/>
              <w:bidi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泄漏设施风险防范</w:t>
            </w:r>
          </w:p>
        </w:tc>
        <w:tc>
          <w:tcPr>
            <w:tcW w:w="3687" w:type="pct"/>
            <w:tcBorders>
              <w:tl2br w:val="nil"/>
              <w:tr2bl w:val="nil"/>
            </w:tcBorders>
            <w:noWrap w:val="0"/>
            <w:vAlign w:val="top"/>
          </w:tcPr>
          <w:p w14:paraId="18C92486">
            <w:pPr>
              <w:pStyle w:val="26"/>
              <w:numPr>
                <w:ilvl w:val="0"/>
                <w:numId w:val="0"/>
              </w:numPr>
              <w:bidi w:val="0"/>
              <w:spacing w:line="240" w:lineRule="auto"/>
              <w:ind w:left="0" w:leftChars="0" w:firstLine="0" w:firstLineChars="0"/>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lang w:val="en-US" w:eastAsia="zh-CN" w:bidi="ar-SA"/>
              </w:rPr>
              <w:t>1、</w:t>
            </w:r>
            <w:r>
              <w:rPr>
                <w:rFonts w:hint="eastAsia" w:ascii="Times New Roman" w:hAnsi="Times New Roman" w:eastAsia="宋体"/>
                <w:color w:val="auto"/>
                <w:sz w:val="21"/>
                <w:szCs w:val="21"/>
                <w:highlight w:val="none"/>
                <w:lang w:val="en-US" w:eastAsia="zh-CN"/>
              </w:rPr>
              <w:t>1#罐区四周设</w:t>
            </w:r>
            <w:r>
              <w:rPr>
                <w:rFonts w:hint="eastAsia"/>
                <w:color w:val="auto"/>
                <w:sz w:val="21"/>
                <w:szCs w:val="21"/>
                <w:highlight w:val="none"/>
                <w:lang w:val="en-US" w:eastAsia="zh-CN"/>
              </w:rPr>
              <w:t>0.6</w:t>
            </w:r>
            <w:r>
              <w:rPr>
                <w:rFonts w:hint="eastAsia" w:ascii="Times New Roman" w:hAnsi="Times New Roman" w:eastAsia="宋体"/>
                <w:color w:val="auto"/>
                <w:sz w:val="21"/>
                <w:szCs w:val="21"/>
                <w:highlight w:val="none"/>
                <w:lang w:val="en-US" w:eastAsia="zh-CN"/>
              </w:rPr>
              <w:t>m高防</w:t>
            </w:r>
            <w:r>
              <w:rPr>
                <w:rFonts w:hint="eastAsia"/>
                <w:color w:val="auto"/>
                <w:sz w:val="21"/>
                <w:szCs w:val="21"/>
                <w:highlight w:val="none"/>
                <w:lang w:val="en-US" w:eastAsia="zh-CN"/>
              </w:rPr>
              <w:t>护</w:t>
            </w:r>
            <w:r>
              <w:rPr>
                <w:rFonts w:hint="eastAsia" w:ascii="Times New Roman" w:hAnsi="Times New Roman" w:eastAsia="宋体"/>
                <w:color w:val="auto"/>
                <w:sz w:val="21"/>
                <w:szCs w:val="21"/>
                <w:highlight w:val="none"/>
                <w:lang w:val="en-US" w:eastAsia="zh-CN"/>
              </w:rPr>
              <w:t>堤（与围堰合建）</w:t>
            </w:r>
            <w:r>
              <w:rPr>
                <w:rFonts w:hint="eastAsia"/>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t>#罐区四周设</w:t>
            </w:r>
            <w:r>
              <w:rPr>
                <w:rFonts w:hint="eastAsia"/>
                <w:color w:val="auto"/>
                <w:sz w:val="21"/>
                <w:szCs w:val="21"/>
                <w:highlight w:val="none"/>
                <w:lang w:val="en-US" w:eastAsia="zh-CN"/>
              </w:rPr>
              <w:t>1.1</w:t>
            </w:r>
            <w:r>
              <w:rPr>
                <w:rFonts w:hint="eastAsia" w:ascii="Times New Roman" w:hAnsi="Times New Roman" w:eastAsia="宋体"/>
                <w:color w:val="auto"/>
                <w:sz w:val="21"/>
                <w:szCs w:val="21"/>
                <w:highlight w:val="none"/>
                <w:lang w:val="en-US" w:eastAsia="zh-CN"/>
              </w:rPr>
              <w:t>m高防火堤（与围堰合建）</w:t>
            </w:r>
            <w:r>
              <w:rPr>
                <w:rFonts w:hint="eastAsia"/>
                <w:color w:val="auto"/>
                <w:sz w:val="21"/>
                <w:szCs w:val="21"/>
                <w:highlight w:val="none"/>
                <w:lang w:val="en-US" w:eastAsia="zh-CN"/>
              </w:rPr>
              <w:t>、3</w:t>
            </w:r>
            <w:r>
              <w:rPr>
                <w:rFonts w:hint="eastAsia" w:ascii="Times New Roman" w:hAnsi="Times New Roman" w:eastAsia="宋体"/>
                <w:color w:val="auto"/>
                <w:sz w:val="21"/>
                <w:szCs w:val="21"/>
                <w:highlight w:val="none"/>
                <w:lang w:val="en-US" w:eastAsia="zh-CN"/>
              </w:rPr>
              <w:t>#罐区四周设</w:t>
            </w:r>
            <w:r>
              <w:rPr>
                <w:rFonts w:hint="eastAsia"/>
                <w:color w:val="auto"/>
                <w:sz w:val="21"/>
                <w:szCs w:val="21"/>
                <w:highlight w:val="none"/>
                <w:lang w:val="en-US" w:eastAsia="zh-CN"/>
              </w:rPr>
              <w:t>0.4</w:t>
            </w:r>
            <w:r>
              <w:rPr>
                <w:rFonts w:hint="eastAsia" w:ascii="Times New Roman" w:hAnsi="Times New Roman" w:eastAsia="宋体"/>
                <w:color w:val="auto"/>
                <w:sz w:val="21"/>
                <w:szCs w:val="21"/>
                <w:highlight w:val="none"/>
                <w:lang w:val="en-US" w:eastAsia="zh-CN"/>
              </w:rPr>
              <w:t>m高防</w:t>
            </w:r>
            <w:r>
              <w:rPr>
                <w:rFonts w:hint="eastAsia"/>
                <w:color w:val="auto"/>
                <w:sz w:val="21"/>
                <w:szCs w:val="21"/>
                <w:highlight w:val="none"/>
                <w:lang w:val="en-US" w:eastAsia="zh-CN"/>
              </w:rPr>
              <w:t>护</w:t>
            </w:r>
            <w:r>
              <w:rPr>
                <w:rFonts w:hint="eastAsia" w:ascii="Times New Roman" w:hAnsi="Times New Roman" w:eastAsia="宋体"/>
                <w:color w:val="auto"/>
                <w:sz w:val="21"/>
                <w:szCs w:val="21"/>
                <w:highlight w:val="none"/>
                <w:lang w:val="en-US" w:eastAsia="zh-CN"/>
              </w:rPr>
              <w:t>堤（与围堰合建），且</w:t>
            </w:r>
            <w:r>
              <w:rPr>
                <w:rFonts w:hint="eastAsia"/>
                <w:color w:val="auto"/>
                <w:sz w:val="21"/>
                <w:szCs w:val="21"/>
                <w:highlight w:val="none"/>
                <w:lang w:val="en-US" w:eastAsia="zh-CN"/>
              </w:rPr>
              <w:t>1#和2#</w:t>
            </w:r>
            <w:r>
              <w:rPr>
                <w:rFonts w:hint="eastAsia" w:ascii="Times New Roman" w:hAnsi="Times New Roman" w:eastAsia="宋体"/>
                <w:color w:val="auto"/>
                <w:sz w:val="21"/>
                <w:szCs w:val="21"/>
                <w:highlight w:val="none"/>
                <w:lang w:val="en-US" w:eastAsia="zh-CN"/>
              </w:rPr>
              <w:t>罐区内各区域均设1个容积</w:t>
            </w:r>
            <w:r>
              <w:rPr>
                <w:rFonts w:hint="eastAsia"/>
                <w:color w:val="auto"/>
                <w:sz w:val="21"/>
                <w:szCs w:val="21"/>
                <w:highlight w:val="none"/>
                <w:lang w:val="en-US" w:eastAsia="zh-CN"/>
              </w:rPr>
              <w:t>2.25</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池、3#</w:t>
            </w:r>
            <w:r>
              <w:rPr>
                <w:rFonts w:hint="eastAsia" w:ascii="Times New Roman" w:hAnsi="Times New Roman" w:eastAsia="宋体"/>
                <w:color w:val="auto"/>
                <w:sz w:val="21"/>
                <w:szCs w:val="21"/>
                <w:highlight w:val="none"/>
                <w:lang w:val="en-US" w:eastAsia="zh-CN"/>
              </w:rPr>
              <w:t>罐区内设1个容积</w:t>
            </w:r>
            <w:r>
              <w:rPr>
                <w:rFonts w:hint="eastAsia"/>
                <w:color w:val="auto"/>
                <w:sz w:val="21"/>
                <w:szCs w:val="21"/>
                <w:highlight w:val="none"/>
                <w:lang w:val="en-US" w:eastAsia="zh-CN"/>
              </w:rPr>
              <w:t>1.44</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池（集水池内设潜污泵，用于提升事故废水至可视化架空管廊）</w:t>
            </w:r>
            <w:r>
              <w:rPr>
                <w:rFonts w:hint="default" w:ascii="Times New Roman" w:hAnsi="Times New Roman" w:cs="Times New Roman"/>
                <w:b w:val="0"/>
                <w:bCs w:val="0"/>
                <w:color w:val="auto"/>
                <w:sz w:val="21"/>
                <w:szCs w:val="21"/>
                <w:highlight w:val="none"/>
                <w:lang w:val="en-US" w:eastAsia="zh-CN"/>
              </w:rPr>
              <w:t>。</w:t>
            </w:r>
          </w:p>
          <w:p w14:paraId="5F7E5089">
            <w:pPr>
              <w:pStyle w:val="26"/>
              <w:numPr>
                <w:ilvl w:val="0"/>
                <w:numId w:val="0"/>
              </w:numPr>
              <w:bidi w:val="0"/>
              <w:spacing w:line="240" w:lineRule="auto"/>
              <w:ind w:left="0" w:leftChars="0"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lang w:val="en-US" w:eastAsia="zh-CN" w:bidi="ar-SA"/>
              </w:rPr>
              <w:t>2、</w:t>
            </w:r>
            <w:r>
              <w:rPr>
                <w:rFonts w:hint="eastAsia" w:cs="Times New Roman"/>
                <w:b w:val="0"/>
                <w:bCs w:val="0"/>
                <w:color w:val="auto"/>
                <w:sz w:val="21"/>
                <w:szCs w:val="21"/>
                <w:highlight w:val="none"/>
                <w:lang w:val="en-US" w:eastAsia="zh-CN"/>
              </w:rPr>
              <w:t>生产车间</w:t>
            </w:r>
            <w:r>
              <w:rPr>
                <w:rFonts w:hint="default" w:ascii="Times New Roman" w:hAnsi="Times New Roman" w:cs="Times New Roman"/>
                <w:color w:val="auto"/>
                <w:sz w:val="21"/>
                <w:szCs w:val="21"/>
                <w:highlight w:val="none"/>
                <w:lang w:val="en-US" w:eastAsia="zh-CN"/>
              </w:rPr>
              <w:t>设</w:t>
            </w:r>
            <w:r>
              <w:rPr>
                <w:rFonts w:hint="eastAsia" w:cs="Times New Roman"/>
                <w:color w:val="auto"/>
                <w:sz w:val="21"/>
                <w:szCs w:val="21"/>
                <w:highlight w:val="none"/>
                <w:lang w:val="en-US" w:eastAsia="zh-CN"/>
              </w:rPr>
              <w:t>地漏，</w:t>
            </w:r>
            <w:r>
              <w:rPr>
                <w:rFonts w:hint="eastAsia" w:cs="Times New Roman"/>
                <w:b w:val="0"/>
                <w:bCs w:val="0"/>
                <w:color w:val="auto"/>
                <w:sz w:val="21"/>
                <w:szCs w:val="21"/>
                <w:highlight w:val="none"/>
                <w:lang w:val="en-US" w:eastAsia="zh-CN"/>
              </w:rPr>
              <w:t>并设置</w:t>
            </w:r>
            <w:r>
              <w:rPr>
                <w:rFonts w:hint="eastAsia" w:ascii="Times New Roman" w:hAnsi="Times New Roman" w:eastAsia="宋体"/>
                <w:color w:val="auto"/>
                <w:sz w:val="21"/>
                <w:szCs w:val="21"/>
                <w:highlight w:val="none"/>
                <w:lang w:val="en-US" w:eastAsia="zh-CN"/>
              </w:rPr>
              <w:t>1个容积</w:t>
            </w:r>
            <w:r>
              <w:rPr>
                <w:rFonts w:hint="eastAsia"/>
                <w:color w:val="auto"/>
                <w:sz w:val="21"/>
                <w:szCs w:val="21"/>
                <w:highlight w:val="none"/>
                <w:lang w:val="en-US" w:eastAsia="zh-CN"/>
              </w:rPr>
              <w:t>10.5</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池（集水池内设潜污泵，用于提升事故废水至可视化架空管廊）</w:t>
            </w:r>
            <w:r>
              <w:rPr>
                <w:rFonts w:hint="default" w:ascii="Times New Roman" w:hAnsi="Times New Roman" w:cs="Times New Roman"/>
                <w:color w:val="auto"/>
                <w:sz w:val="21"/>
                <w:szCs w:val="21"/>
                <w:highlight w:val="none"/>
                <w:lang w:val="en-US" w:eastAsia="zh-CN"/>
              </w:rPr>
              <w:t>。</w:t>
            </w:r>
          </w:p>
          <w:p w14:paraId="441186A7">
            <w:pPr>
              <w:pStyle w:val="26"/>
              <w:bidi w:val="0"/>
              <w:spacing w:line="240" w:lineRule="auto"/>
              <w:ind w:left="0" w:leftChars="0"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r>
              <w:rPr>
                <w:rFonts w:hint="eastAsia"/>
                <w:color w:val="auto"/>
                <w:sz w:val="21"/>
                <w:szCs w:val="21"/>
                <w:lang w:val="en-US" w:eastAsia="zh-CN"/>
              </w:rPr>
              <w:t>仓库内液体库区、双氧水库房和危废暂存间</w:t>
            </w:r>
            <w:r>
              <w:rPr>
                <w:rFonts w:hint="eastAsia" w:cs="Times New Roman"/>
                <w:b w:val="0"/>
                <w:bCs w:val="0"/>
                <w:color w:val="auto"/>
                <w:sz w:val="21"/>
                <w:szCs w:val="21"/>
                <w:highlight w:val="none"/>
                <w:lang w:val="en-US" w:eastAsia="zh-CN"/>
              </w:rPr>
              <w:t>进出侧均设防渗斜坡，并设置地漏和</w:t>
            </w:r>
            <w:r>
              <w:rPr>
                <w:rFonts w:hint="eastAsia" w:ascii="Times New Roman" w:hAnsi="Times New Roman" w:eastAsia="宋体"/>
                <w:color w:val="auto"/>
                <w:sz w:val="21"/>
                <w:szCs w:val="21"/>
                <w:highlight w:val="none"/>
                <w:lang w:val="en-US" w:eastAsia="zh-CN"/>
              </w:rPr>
              <w:t>1个容积</w:t>
            </w:r>
            <w:r>
              <w:rPr>
                <w:rFonts w:hint="eastAsia"/>
                <w:color w:val="auto"/>
                <w:sz w:val="21"/>
                <w:szCs w:val="21"/>
                <w:highlight w:val="none"/>
                <w:lang w:val="en-US" w:eastAsia="zh-CN"/>
              </w:rPr>
              <w:t>10.5</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池（集水池内设潜污泵，用于提升事故废水至可视化架空管廊）</w:t>
            </w:r>
            <w:r>
              <w:rPr>
                <w:rFonts w:hint="eastAsia" w:cs="Times New Roman"/>
                <w:b w:val="0"/>
                <w:bCs w:val="0"/>
                <w:color w:val="auto"/>
                <w:sz w:val="21"/>
                <w:szCs w:val="21"/>
                <w:highlight w:val="none"/>
                <w:lang w:val="en-US" w:eastAsia="zh-CN"/>
              </w:rPr>
              <w:t>。</w:t>
            </w:r>
          </w:p>
          <w:p w14:paraId="431F4D2F">
            <w:pPr>
              <w:pStyle w:val="26"/>
              <w:bidi w:val="0"/>
              <w:spacing w:line="240" w:lineRule="auto"/>
              <w:ind w:left="0" w:lef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w:t>
            </w:r>
            <w:r>
              <w:rPr>
                <w:rFonts w:hint="eastAsia" w:cs="Times New Roman"/>
                <w:b w:val="0"/>
                <w:bCs w:val="0"/>
                <w:color w:val="auto"/>
                <w:sz w:val="21"/>
                <w:szCs w:val="21"/>
                <w:highlight w:val="none"/>
                <w:lang w:val="en-US" w:eastAsia="zh-CN"/>
              </w:rPr>
              <w:t>设</w:t>
            </w:r>
            <w:r>
              <w:rPr>
                <w:rFonts w:hint="default" w:ascii="Times New Roman" w:hAnsi="Times New Roman" w:eastAsia="宋体" w:cs="Times New Roman"/>
                <w:b w:val="0"/>
                <w:bCs w:val="0"/>
                <w:color w:val="auto"/>
                <w:sz w:val="21"/>
                <w:szCs w:val="21"/>
                <w:highlight w:val="none"/>
                <w:lang w:val="en-US" w:eastAsia="zh-CN"/>
              </w:rPr>
              <w:t>1</w:t>
            </w:r>
            <w:r>
              <w:rPr>
                <w:rFonts w:hint="eastAsia" w:cs="Times New Roman"/>
                <w:b w:val="0"/>
                <w:bCs w:val="0"/>
                <w:color w:val="auto"/>
                <w:sz w:val="21"/>
                <w:szCs w:val="21"/>
                <w:highlight w:val="none"/>
                <w:lang w:val="en-US" w:eastAsia="zh-CN"/>
              </w:rPr>
              <w:t>座容积814.38</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eastAsia"/>
                <w:color w:val="auto"/>
                <w:kern w:val="24"/>
                <w:sz w:val="21"/>
                <w:szCs w:val="21"/>
                <w:highlight w:val="none"/>
                <w:lang w:val="en-US" w:eastAsia="zh-CN"/>
              </w:rPr>
              <w:t>的</w:t>
            </w:r>
            <w:r>
              <w:rPr>
                <w:rFonts w:hint="eastAsia"/>
                <w:color w:val="auto"/>
                <w:sz w:val="21"/>
                <w:szCs w:val="21"/>
                <w:lang w:val="en-US" w:eastAsia="zh-CN"/>
              </w:rPr>
              <w:t>事故应急池</w:t>
            </w:r>
            <w:r>
              <w:rPr>
                <w:rFonts w:hint="default" w:ascii="Times New Roman" w:hAnsi="Times New Roman" w:eastAsia="宋体" w:cs="Times New Roman"/>
                <w:b w:val="0"/>
                <w:bCs w:val="0"/>
                <w:color w:val="auto"/>
                <w:sz w:val="21"/>
                <w:szCs w:val="21"/>
                <w:highlight w:val="none"/>
                <w:lang w:val="en-US" w:eastAsia="zh-CN"/>
              </w:rPr>
              <w:t>，用于事故</w:t>
            </w:r>
            <w:r>
              <w:rPr>
                <w:rFonts w:hint="eastAsia" w:cs="Times New Roman"/>
                <w:b w:val="0"/>
                <w:bCs w:val="0"/>
                <w:color w:val="auto"/>
                <w:sz w:val="21"/>
                <w:szCs w:val="21"/>
                <w:highlight w:val="none"/>
                <w:lang w:val="en-US" w:eastAsia="zh-CN"/>
              </w:rPr>
              <w:t>废水</w:t>
            </w:r>
            <w:r>
              <w:rPr>
                <w:rFonts w:hint="default" w:ascii="Times New Roman" w:hAnsi="Times New Roman" w:eastAsia="宋体" w:cs="Times New Roman"/>
                <w:b w:val="0"/>
                <w:bCs w:val="0"/>
                <w:color w:val="auto"/>
                <w:sz w:val="21"/>
                <w:szCs w:val="21"/>
                <w:highlight w:val="none"/>
                <w:lang w:val="en-US" w:eastAsia="zh-CN"/>
              </w:rPr>
              <w:t>的收集。</w:t>
            </w:r>
          </w:p>
          <w:p w14:paraId="13C915F0">
            <w:pPr>
              <w:pStyle w:val="26"/>
              <w:bidi w:val="0"/>
              <w:spacing w:line="240" w:lineRule="auto"/>
              <w:ind w:left="0" w:leftChars="0" w:firstLine="0" w:firstLine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r>
              <w:rPr>
                <w:rFonts w:hint="eastAsia" w:ascii="Times New Roman" w:hAnsi="Times New Roman" w:cs="Times New Roman"/>
                <w:b w:val="0"/>
                <w:bCs w:val="0"/>
                <w:color w:val="auto"/>
                <w:sz w:val="21"/>
                <w:szCs w:val="21"/>
                <w:highlight w:val="none"/>
                <w:u w:val="none"/>
                <w:lang w:val="en-US" w:eastAsia="zh-CN"/>
              </w:rPr>
              <w:t>化学品/废液/废水管道可视化</w:t>
            </w:r>
            <w:r>
              <w:rPr>
                <w:rFonts w:hint="eastAsia" w:ascii="Times New Roman" w:hAnsi="Times New Roman" w:eastAsia="宋体" w:cs="Times New Roman"/>
                <w:b w:val="0"/>
                <w:bCs w:val="0"/>
                <w:color w:val="auto"/>
                <w:sz w:val="21"/>
                <w:szCs w:val="21"/>
                <w:highlight w:val="none"/>
                <w:lang w:val="en-US" w:eastAsia="zh-CN"/>
              </w:rPr>
              <w:t>。</w:t>
            </w:r>
          </w:p>
          <w:p w14:paraId="256B3F5B">
            <w:pPr>
              <w:pStyle w:val="26"/>
              <w:bidi w:val="0"/>
              <w:spacing w:line="240" w:lineRule="auto"/>
              <w:ind w:left="0" w:leftChars="0" w:firstLine="0" w:firstLineChars="0"/>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6、定期对防渗工程进行检漏监测，并制定地下水应急响应方案。</w:t>
            </w:r>
          </w:p>
        </w:tc>
        <w:tc>
          <w:tcPr>
            <w:tcW w:w="599" w:type="pct"/>
            <w:tcBorders>
              <w:tl2br w:val="nil"/>
              <w:tr2bl w:val="nil"/>
            </w:tcBorders>
            <w:noWrap w:val="0"/>
            <w:vAlign w:val="center"/>
          </w:tcPr>
          <w:p w14:paraId="417B9923">
            <w:pPr>
              <w:pStyle w:val="24"/>
              <w:bidi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r>
      <w:tr w14:paraId="6F24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6983F504">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废水/废气事故排放风险防范措施</w:t>
            </w:r>
          </w:p>
        </w:tc>
        <w:tc>
          <w:tcPr>
            <w:tcW w:w="3687" w:type="pct"/>
            <w:tcBorders>
              <w:tl2br w:val="nil"/>
              <w:tr2bl w:val="nil"/>
            </w:tcBorders>
            <w:noWrap w:val="0"/>
            <w:vAlign w:val="top"/>
          </w:tcPr>
          <w:p w14:paraId="2F72F416">
            <w:pPr>
              <w:pStyle w:val="24"/>
              <w:bidi w:val="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加强</w:t>
            </w:r>
            <w:r>
              <w:rPr>
                <w:rFonts w:hint="default" w:ascii="Times New Roman" w:hAnsi="Times New Roman" w:cs="Times New Roman"/>
                <w:color w:val="auto"/>
                <w:sz w:val="21"/>
                <w:szCs w:val="21"/>
                <w:highlight w:val="none"/>
                <w:lang w:val="en-US" w:eastAsia="zh-CN"/>
              </w:rPr>
              <w:t>废气处理系统</w:t>
            </w:r>
            <w:r>
              <w:rPr>
                <w:rFonts w:hint="default" w:ascii="Times New Roman" w:hAnsi="Times New Roman" w:cs="Times New Roman"/>
                <w:color w:val="auto"/>
                <w:sz w:val="21"/>
                <w:szCs w:val="21"/>
                <w:highlight w:val="none"/>
              </w:rPr>
              <w:t>的日常维护和保养，</w:t>
            </w:r>
            <w:r>
              <w:rPr>
                <w:rFonts w:hint="default" w:ascii="Times New Roman" w:hAnsi="Times New Roman" w:cs="Times New Roman"/>
                <w:color w:val="auto"/>
                <w:sz w:val="21"/>
                <w:szCs w:val="21"/>
                <w:highlight w:val="none"/>
                <w:lang w:val="en-US" w:eastAsia="zh-CN"/>
              </w:rPr>
              <w:t>及时更换活性炭和喷淋介质</w:t>
            </w:r>
            <w:r>
              <w:rPr>
                <w:rFonts w:hint="eastAsia" w:ascii="Times New Roman" w:hAnsi="Times New Roman" w:cs="Times New Roman"/>
                <w:color w:val="auto"/>
                <w:sz w:val="21"/>
                <w:szCs w:val="21"/>
                <w:highlight w:val="none"/>
                <w:lang w:val="en-US" w:eastAsia="zh-CN"/>
              </w:rPr>
              <w:t>。</w:t>
            </w:r>
          </w:p>
          <w:p w14:paraId="1DA2B0E2">
            <w:pPr>
              <w:pStyle w:val="24"/>
              <w:bidi w:val="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建立</w:t>
            </w:r>
            <w:r>
              <w:rPr>
                <w:rFonts w:hint="default" w:ascii="Times New Roman" w:hAnsi="Times New Roman" w:eastAsia="宋体" w:cs="Times New Roman"/>
                <w:color w:val="auto"/>
                <w:kern w:val="0"/>
                <w:sz w:val="21"/>
                <w:szCs w:val="21"/>
                <w:lang w:val="en-US" w:eastAsia="zh-CN" w:bidi="ar"/>
              </w:rPr>
              <w:t>“生产单元-企业-园区</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的</w:t>
            </w:r>
            <w:r>
              <w:rPr>
                <w:rFonts w:hint="eastAsia" w:ascii="Times New Roman" w:hAnsi="Times New Roman" w:eastAsia="宋体" w:cs="Times New Roman"/>
                <w:color w:val="auto"/>
                <w:kern w:val="0"/>
                <w:sz w:val="21"/>
                <w:szCs w:val="21"/>
                <w:lang w:val="en-US" w:eastAsia="zh-CN" w:bidi="ar"/>
              </w:rPr>
              <w:t>三级事故废水防范体系。</w:t>
            </w:r>
          </w:p>
        </w:tc>
        <w:tc>
          <w:tcPr>
            <w:tcW w:w="599" w:type="pct"/>
            <w:tcBorders>
              <w:tl2br w:val="nil"/>
              <w:tr2bl w:val="nil"/>
            </w:tcBorders>
            <w:noWrap w:val="0"/>
            <w:vAlign w:val="center"/>
          </w:tcPr>
          <w:p w14:paraId="07F0EFA2">
            <w:pPr>
              <w:pStyle w:val="24"/>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p>
        </w:tc>
      </w:tr>
      <w:tr w14:paraId="78E9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3A0E4ECC">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地下水污染防治措施</w:t>
            </w:r>
          </w:p>
        </w:tc>
        <w:tc>
          <w:tcPr>
            <w:tcW w:w="3687" w:type="pct"/>
            <w:tcBorders>
              <w:tl2br w:val="nil"/>
              <w:tr2bl w:val="nil"/>
            </w:tcBorders>
            <w:noWrap w:val="0"/>
            <w:vAlign w:val="top"/>
          </w:tcPr>
          <w:p w14:paraId="430E074F">
            <w:pPr>
              <w:pStyle w:val="24"/>
              <w:numPr>
                <w:ilvl w:val="0"/>
                <w:numId w:val="0"/>
              </w:numPr>
              <w:bidi w:val="0"/>
              <w:spacing w:line="240" w:lineRule="auto"/>
              <w:ind w:left="0" w:leftChars="0"/>
              <w:jc w:val="both"/>
              <w:rPr>
                <w:rFonts w:hint="eastAsia"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lang w:val="en-US" w:eastAsia="zh-CN" w:bidi="ar-SA"/>
              </w:rPr>
              <w:t>1、</w:t>
            </w:r>
            <w:r>
              <w:rPr>
                <w:rFonts w:hint="default" w:ascii="Times New Roman" w:hAnsi="Times New Roman" w:cs="Times New Roman"/>
                <w:color w:val="auto"/>
                <w:sz w:val="21"/>
                <w:szCs w:val="21"/>
                <w:highlight w:val="none"/>
                <w:lang w:val="en-US" w:eastAsia="zh-CN"/>
              </w:rPr>
              <w:t>采取分区防渗</w:t>
            </w:r>
            <w:r>
              <w:rPr>
                <w:rFonts w:hint="eastAsia" w:ascii="Times New Roman" w:hAnsi="Times New Roman" w:cs="Times New Roman"/>
                <w:color w:val="auto"/>
                <w:sz w:val="21"/>
                <w:szCs w:val="21"/>
                <w:highlight w:val="none"/>
                <w:lang w:val="en-US" w:eastAsia="zh-CN"/>
              </w:rPr>
              <w:t>。</w:t>
            </w:r>
          </w:p>
          <w:p w14:paraId="015B5E60">
            <w:pPr>
              <w:numPr>
                <w:ilvl w:val="0"/>
                <w:numId w:val="0"/>
              </w:numPr>
              <w:spacing w:line="240" w:lineRule="auto"/>
              <w:rPr>
                <w:rFonts w:hint="default"/>
                <w:color w:val="auto"/>
                <w:sz w:val="21"/>
                <w:szCs w:val="21"/>
                <w:lang w:val="en-US" w:eastAsia="zh-CN"/>
              </w:rPr>
            </w:pPr>
            <w:r>
              <w:rPr>
                <w:rFonts w:hint="default" w:ascii="Times New Roman" w:hAnsi="Times New Roman" w:eastAsia="宋体" w:cs="Times New Roman"/>
                <w:color w:val="auto"/>
                <w:kern w:val="2"/>
                <w:sz w:val="21"/>
                <w:szCs w:val="21"/>
                <w:lang w:val="en-US" w:eastAsia="zh-CN" w:bidi="ar-SA"/>
              </w:rPr>
              <w:t>2、</w:t>
            </w:r>
            <w:r>
              <w:rPr>
                <w:rFonts w:hint="eastAsia" w:ascii="Times New Roman" w:hAnsi="Times New Roman" w:eastAsia="宋体" w:cs="Courier New"/>
                <w:b w:val="0"/>
                <w:bCs w:val="0"/>
                <w:color w:val="auto"/>
                <w:sz w:val="21"/>
                <w:szCs w:val="21"/>
                <w:highlight w:val="none"/>
                <w:lang w:val="en-US" w:eastAsia="zh-CN"/>
              </w:rPr>
              <w:t>定期检查工艺设备、管道、罐体状态。</w:t>
            </w:r>
          </w:p>
          <w:p w14:paraId="07362078">
            <w:pPr>
              <w:pStyle w:val="24"/>
              <w:bidi w:val="0"/>
              <w:spacing w:line="240" w:lineRule="auto"/>
              <w:jc w:val="both"/>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设3口地下水跟踪监测井</w:t>
            </w:r>
            <w:r>
              <w:rPr>
                <w:rFonts w:hint="default" w:ascii="Times New Roman" w:hAnsi="Times New Roman" w:cs="Times New Roman"/>
                <w:color w:val="auto"/>
                <w:sz w:val="21"/>
                <w:szCs w:val="21"/>
                <w:highlight w:val="none"/>
                <w:lang w:val="en-US" w:eastAsia="zh-CN"/>
              </w:rPr>
              <w:t>。</w:t>
            </w:r>
          </w:p>
          <w:p w14:paraId="4D871966">
            <w:pPr>
              <w:spacing w:line="240" w:lineRule="auto"/>
              <w:ind w:left="0" w:leftChars="0" w:firstLine="0" w:firstLineChars="0"/>
              <w:rPr>
                <w:rFonts w:hint="default"/>
                <w:color w:val="auto"/>
                <w:sz w:val="21"/>
                <w:szCs w:val="21"/>
                <w:lang w:val="en-US" w:eastAsia="zh-CN"/>
              </w:rPr>
            </w:pPr>
            <w:r>
              <w:rPr>
                <w:rFonts w:hint="eastAsia" w:ascii="Times New Roman" w:hAnsi="Times New Roman" w:eastAsia="宋体" w:cs="Courier New"/>
                <w:b w:val="0"/>
                <w:bCs w:val="0"/>
                <w:color w:val="auto"/>
                <w:sz w:val="21"/>
                <w:szCs w:val="21"/>
                <w:highlight w:val="none"/>
                <w:lang w:val="en-US" w:eastAsia="zh-CN"/>
              </w:rPr>
              <w:t>4、预留地下水水质监测费。</w:t>
            </w:r>
          </w:p>
        </w:tc>
        <w:tc>
          <w:tcPr>
            <w:tcW w:w="599" w:type="pct"/>
            <w:tcBorders>
              <w:tl2br w:val="nil"/>
              <w:tr2bl w:val="nil"/>
            </w:tcBorders>
            <w:noWrap w:val="0"/>
            <w:vAlign w:val="center"/>
          </w:tcPr>
          <w:p w14:paraId="545643D3">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30</w:t>
            </w:r>
          </w:p>
        </w:tc>
      </w:tr>
      <w:tr w14:paraId="35B5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tcBorders>
              <w:tl2br w:val="nil"/>
              <w:tr2bl w:val="nil"/>
            </w:tcBorders>
            <w:noWrap w:val="0"/>
            <w:vAlign w:val="center"/>
          </w:tcPr>
          <w:p w14:paraId="0512AAFF">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安全教育及管理</w:t>
            </w:r>
          </w:p>
        </w:tc>
        <w:tc>
          <w:tcPr>
            <w:tcW w:w="3687" w:type="pct"/>
            <w:tcBorders>
              <w:tl2br w:val="nil"/>
              <w:tr2bl w:val="nil"/>
            </w:tcBorders>
            <w:noWrap w:val="0"/>
            <w:vAlign w:val="top"/>
          </w:tcPr>
          <w:p w14:paraId="1A26F7F0">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1、加强员工安全生产和环保教育；</w:t>
            </w:r>
          </w:p>
          <w:p w14:paraId="5CAAFDE8">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2、关键岗位需持证上岗；</w:t>
            </w:r>
          </w:p>
          <w:p w14:paraId="684CC09D">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3、进出厂区的车辆佩戴阻火器。</w:t>
            </w:r>
          </w:p>
        </w:tc>
        <w:tc>
          <w:tcPr>
            <w:tcW w:w="599" w:type="pct"/>
            <w:tcBorders>
              <w:tl2br w:val="nil"/>
              <w:tr2bl w:val="nil"/>
            </w:tcBorders>
            <w:noWrap w:val="0"/>
            <w:vAlign w:val="center"/>
          </w:tcPr>
          <w:p w14:paraId="457DE476">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纳入主体工程投资</w:t>
            </w:r>
          </w:p>
        </w:tc>
      </w:tr>
      <w:tr w14:paraId="0F0E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400" w:type="pct"/>
            <w:gridSpan w:val="2"/>
            <w:tcBorders>
              <w:tl2br w:val="nil"/>
              <w:tr2bl w:val="nil"/>
            </w:tcBorders>
            <w:noWrap w:val="0"/>
            <w:vAlign w:val="center"/>
          </w:tcPr>
          <w:p w14:paraId="6F5B65E5">
            <w:pPr>
              <w:pStyle w:val="24"/>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599" w:type="pct"/>
            <w:tcBorders>
              <w:tl2br w:val="nil"/>
              <w:tr2bl w:val="nil"/>
            </w:tcBorders>
            <w:noWrap w:val="0"/>
            <w:vAlign w:val="center"/>
          </w:tcPr>
          <w:p w14:paraId="0AE7765A">
            <w:pPr>
              <w:pStyle w:val="24"/>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100</w:t>
            </w:r>
          </w:p>
        </w:tc>
      </w:tr>
    </w:tbl>
    <w:p w14:paraId="0BACC3C4">
      <w:pPr>
        <w:pStyle w:val="3"/>
        <w:bidi w:val="0"/>
        <w:rPr>
          <w:rFonts w:hint="default" w:ascii="Times New Roman" w:hAnsi="Times New Roman" w:cs="Times New Roman"/>
          <w:color w:val="auto"/>
          <w:highlight w:val="none"/>
          <w:lang w:val="en-US" w:eastAsia="zh-CN"/>
        </w:rPr>
      </w:pPr>
      <w:bookmarkStart w:id="228" w:name="_Toc25956"/>
      <w:bookmarkStart w:id="229" w:name="_Toc12809"/>
      <w:bookmarkStart w:id="230" w:name="_Toc19368"/>
      <w:bookmarkStart w:id="231" w:name="_Toc17782"/>
      <w:r>
        <w:rPr>
          <w:rFonts w:hint="default" w:ascii="Times New Roman" w:hAnsi="Times New Roman" w:cs="Times New Roman"/>
          <w:color w:val="auto"/>
          <w:highlight w:val="none"/>
          <w:lang w:val="en-US" w:eastAsia="zh-CN"/>
        </w:rPr>
        <w:t>小结</w:t>
      </w:r>
      <w:bookmarkEnd w:id="228"/>
      <w:bookmarkEnd w:id="229"/>
      <w:bookmarkEnd w:id="230"/>
      <w:bookmarkEnd w:id="231"/>
    </w:p>
    <w:p w14:paraId="70EB296D">
      <w:pPr>
        <w:pStyle w:val="26"/>
        <w:bidi w:val="0"/>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综上分析可知，项目存在一定风险，风险事故会对周围环境造成一定程度的影响，企业须加强管理，采取必要的风险事故防范措施，杜绝有毒有害物</w:t>
      </w:r>
      <w:r>
        <w:rPr>
          <w:rFonts w:hint="default" w:ascii="Times New Roman" w:hAnsi="Times New Roman" w:cs="Times New Roman"/>
          <w:color w:val="auto"/>
          <w:highlight w:val="none"/>
        </w:rPr>
        <w:t>质泄漏及燃爆事故发生；同时若一旦发生事故，则应立即启动应急预案，判断风向、及时对下风向的敏感点发布警报，并组织附近群众在短时间内进行疏散</w:t>
      </w:r>
      <w:r>
        <w:rPr>
          <w:rFonts w:hint="eastAsia"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撤离，通过采取严密的风险防范措施，项目环境分析处于可接受水平。环评建议，企业定期组织应急事故演练和应急事故防范和控制措施学习，加强员工风险意识，并且今后需要进一步加强管理和监控，将环境风险控制</w:t>
      </w:r>
      <w:r>
        <w:rPr>
          <w:rFonts w:hint="default" w:ascii="Times New Roman" w:hAnsi="Times New Roman" w:eastAsia="宋体" w:cs="Times New Roman"/>
          <w:color w:val="auto"/>
          <w:szCs w:val="24"/>
          <w:highlight w:val="none"/>
        </w:rPr>
        <w:t>在可接受水平之内</w:t>
      </w:r>
      <w:r>
        <w:rPr>
          <w:rFonts w:hint="default" w:ascii="Times New Roman" w:hAnsi="Times New Roman" w:eastAsia="宋体" w:cs="Times New Roman"/>
          <w:color w:val="auto"/>
          <w:szCs w:val="24"/>
          <w:highlight w:val="none"/>
          <w:lang w:eastAsia="zh-CN"/>
        </w:rPr>
        <w:t>。</w:t>
      </w:r>
    </w:p>
    <w:p w14:paraId="38E45AEC">
      <w:pPr>
        <w:pStyle w:val="3"/>
        <w:bidi w:val="0"/>
        <w:rPr>
          <w:rFonts w:hint="default" w:ascii="Times New Roman" w:hAnsi="Times New Roman" w:cs="Times New Roman"/>
          <w:color w:val="auto"/>
          <w:highlight w:val="none"/>
        </w:rPr>
      </w:pPr>
      <w:bookmarkStart w:id="232" w:name="_Toc11003"/>
      <w:bookmarkStart w:id="233" w:name="_Toc6824"/>
      <w:bookmarkStart w:id="234" w:name="_Toc3901"/>
      <w:r>
        <w:rPr>
          <w:rFonts w:hint="default" w:ascii="Times New Roman" w:hAnsi="Times New Roman" w:cs="Times New Roman"/>
          <w:color w:val="auto"/>
          <w:highlight w:val="none"/>
          <w:lang w:val="en-US" w:eastAsia="zh-CN"/>
        </w:rPr>
        <w:t>环境风险评价自查表</w:t>
      </w:r>
      <w:bookmarkEnd w:id="232"/>
      <w:bookmarkEnd w:id="233"/>
      <w:bookmarkEnd w:id="234"/>
    </w:p>
    <w:p w14:paraId="63719857">
      <w:pPr>
        <w:pStyle w:val="26"/>
        <w:bidi w:val="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lang w:val="en-US" w:eastAsia="zh-CN"/>
        </w:rPr>
        <w:t>本项目环境风险评价自查表见下表。</w:t>
      </w:r>
    </w:p>
    <w:p w14:paraId="1EA68875">
      <w:pPr>
        <w:pStyle w:val="28"/>
        <w:numPr>
          <w:ilvl w:val="0"/>
          <w:numId w:val="43"/>
        </w:numPr>
        <w:bidi w:val="0"/>
        <w:ind w:left="425" w:leftChars="0" w:hanging="425"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环境风险评价自查表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1172"/>
        <w:gridCol w:w="1086"/>
        <w:gridCol w:w="441"/>
        <w:gridCol w:w="42"/>
        <w:gridCol w:w="1572"/>
        <w:gridCol w:w="1813"/>
        <w:gridCol w:w="624"/>
        <w:gridCol w:w="718"/>
        <w:gridCol w:w="1546"/>
      </w:tblGrid>
      <w:tr w14:paraId="76EF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9" w:type="pct"/>
            <w:gridSpan w:val="2"/>
            <w:noWrap w:val="0"/>
            <w:vAlign w:val="center"/>
          </w:tcPr>
          <w:p w14:paraId="3763B845">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工作内容</w:t>
            </w:r>
          </w:p>
        </w:tc>
        <w:tc>
          <w:tcPr>
            <w:tcW w:w="4120" w:type="pct"/>
            <w:gridSpan w:val="8"/>
            <w:noWrap w:val="0"/>
            <w:vAlign w:val="center"/>
          </w:tcPr>
          <w:p w14:paraId="547A7561">
            <w:pPr>
              <w:pStyle w:val="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完成情况</w:t>
            </w:r>
          </w:p>
        </w:tc>
      </w:tr>
      <w:tr w14:paraId="0EF9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3" w:type="pct"/>
            <w:vMerge w:val="restart"/>
            <w:noWrap w:val="0"/>
            <w:vAlign w:val="center"/>
          </w:tcPr>
          <w:p w14:paraId="2609CB7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风险调查</w:t>
            </w:r>
          </w:p>
        </w:tc>
        <w:tc>
          <w:tcPr>
            <w:tcW w:w="615" w:type="pct"/>
            <w:vMerge w:val="restart"/>
            <w:noWrap w:val="0"/>
            <w:vAlign w:val="center"/>
          </w:tcPr>
          <w:p w14:paraId="22B4EDA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危险物质</w:t>
            </w:r>
          </w:p>
        </w:tc>
        <w:tc>
          <w:tcPr>
            <w:tcW w:w="571" w:type="pct"/>
            <w:noWrap w:val="0"/>
            <w:vAlign w:val="center"/>
          </w:tcPr>
          <w:p w14:paraId="6B44CA1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3548" w:type="pct"/>
            <w:gridSpan w:val="7"/>
            <w:noWrap w:val="0"/>
            <w:vAlign w:val="center"/>
          </w:tcPr>
          <w:p w14:paraId="260ED597">
            <w:pPr>
              <w:pStyle w:val="24"/>
              <w:bidi w:val="0"/>
              <w:rPr>
                <w:rFonts w:hint="default" w:ascii="Times New Roman" w:hAnsi="Times New Roman" w:cs="Times New Roman"/>
                <w:color w:val="auto"/>
                <w:highlight w:val="none"/>
              </w:rPr>
            </w:pPr>
            <w:r>
              <w:rPr>
                <w:rFonts w:hint="eastAsia" w:cs="Times New Roman"/>
                <w:color w:val="auto"/>
                <w:highlight w:val="none"/>
                <w:lang w:val="en-US" w:eastAsia="zh-CN"/>
              </w:rPr>
              <w:t>丙烯酸、液碱、硫酸、氟硅酸</w:t>
            </w:r>
            <w:r>
              <w:rPr>
                <w:rFonts w:hint="default" w:ascii="Times New Roman" w:hAnsi="Times New Roman" w:cs="Times New Roman"/>
                <w:color w:val="auto"/>
                <w:highlight w:val="none"/>
                <w:lang w:val="en-US" w:eastAsia="zh-CN"/>
              </w:rPr>
              <w:t>等</w:t>
            </w:r>
          </w:p>
        </w:tc>
      </w:tr>
      <w:tr w14:paraId="33B9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3" w:type="pct"/>
            <w:vMerge w:val="continue"/>
            <w:noWrap w:val="0"/>
            <w:vAlign w:val="center"/>
          </w:tcPr>
          <w:p w14:paraId="69CD9181">
            <w:pPr>
              <w:pStyle w:val="24"/>
              <w:bidi w:val="0"/>
              <w:rPr>
                <w:rFonts w:hint="default" w:ascii="Times New Roman" w:hAnsi="Times New Roman" w:cs="Times New Roman"/>
                <w:color w:val="auto"/>
                <w:highlight w:val="none"/>
              </w:rPr>
            </w:pPr>
          </w:p>
        </w:tc>
        <w:tc>
          <w:tcPr>
            <w:tcW w:w="615" w:type="pct"/>
            <w:vMerge w:val="continue"/>
            <w:noWrap w:val="0"/>
            <w:vAlign w:val="center"/>
          </w:tcPr>
          <w:p w14:paraId="29163F63">
            <w:pPr>
              <w:pStyle w:val="24"/>
              <w:bidi w:val="0"/>
              <w:rPr>
                <w:rFonts w:hint="default" w:ascii="Times New Roman" w:hAnsi="Times New Roman" w:cs="Times New Roman"/>
                <w:color w:val="auto"/>
                <w:highlight w:val="none"/>
              </w:rPr>
            </w:pPr>
          </w:p>
        </w:tc>
        <w:tc>
          <w:tcPr>
            <w:tcW w:w="571" w:type="pct"/>
            <w:noWrap w:val="0"/>
            <w:vAlign w:val="center"/>
          </w:tcPr>
          <w:p w14:paraId="76B6333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存在总量/t</w:t>
            </w:r>
          </w:p>
        </w:tc>
        <w:tc>
          <w:tcPr>
            <w:tcW w:w="3548" w:type="pct"/>
            <w:gridSpan w:val="7"/>
            <w:noWrap w:val="0"/>
            <w:vAlign w:val="center"/>
          </w:tcPr>
          <w:p w14:paraId="1840BBFC">
            <w:pPr>
              <w:pStyle w:val="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635.63</w:t>
            </w:r>
          </w:p>
        </w:tc>
      </w:tr>
      <w:tr w14:paraId="6DA8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63" w:type="pct"/>
            <w:vMerge w:val="continue"/>
            <w:noWrap w:val="0"/>
            <w:vAlign w:val="center"/>
          </w:tcPr>
          <w:p w14:paraId="7B7315FD">
            <w:pPr>
              <w:pStyle w:val="24"/>
              <w:bidi w:val="0"/>
              <w:rPr>
                <w:rFonts w:hint="default" w:ascii="Times New Roman" w:hAnsi="Times New Roman" w:cs="Times New Roman"/>
                <w:color w:val="auto"/>
                <w:highlight w:val="none"/>
              </w:rPr>
            </w:pPr>
          </w:p>
        </w:tc>
        <w:tc>
          <w:tcPr>
            <w:tcW w:w="615" w:type="pct"/>
            <w:vMerge w:val="restart"/>
            <w:noWrap w:val="0"/>
            <w:vAlign w:val="center"/>
          </w:tcPr>
          <w:p w14:paraId="40D8970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环境敏感性</w:t>
            </w:r>
          </w:p>
        </w:tc>
        <w:tc>
          <w:tcPr>
            <w:tcW w:w="571" w:type="pct"/>
            <w:vMerge w:val="restart"/>
            <w:noWrap w:val="0"/>
            <w:vAlign w:val="center"/>
          </w:tcPr>
          <w:p w14:paraId="40C7789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大气</w:t>
            </w:r>
          </w:p>
        </w:tc>
        <w:tc>
          <w:tcPr>
            <w:tcW w:w="2033" w:type="pct"/>
            <w:gridSpan w:val="4"/>
            <w:noWrap w:val="0"/>
            <w:vAlign w:val="center"/>
          </w:tcPr>
          <w:p w14:paraId="564A2A1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500m范围内人口数</w:t>
            </w:r>
            <w:r>
              <w:rPr>
                <w:rFonts w:hint="eastAsia" w:ascii="Times New Roman" w:hAnsi="Times New Roman" w:cs="Times New Roman"/>
                <w:color w:val="auto"/>
                <w:highlight w:val="none"/>
                <w:u w:val="single"/>
                <w:lang w:val="en-US" w:eastAsia="zh-CN"/>
              </w:rPr>
              <w:t xml:space="preserve">  </w:t>
            </w:r>
            <w:r>
              <w:rPr>
                <w:rFonts w:hint="default" w:ascii="Times New Roman" w:hAnsi="Times New Roman" w:cs="Times New Roman"/>
                <w:color w:val="auto"/>
                <w:highlight w:val="none"/>
              </w:rPr>
              <w:t>人</w:t>
            </w:r>
          </w:p>
        </w:tc>
        <w:tc>
          <w:tcPr>
            <w:tcW w:w="1515" w:type="pct"/>
            <w:gridSpan w:val="3"/>
            <w:noWrap w:val="0"/>
            <w:vAlign w:val="center"/>
          </w:tcPr>
          <w:p w14:paraId="666F312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5km范围内人口数</w:t>
            </w:r>
            <w:r>
              <w:rPr>
                <w:rFonts w:hint="default" w:ascii="Times New Roman" w:hAnsi="Times New Roman" w:cs="Times New Roman"/>
                <w:color w:val="auto"/>
                <w:highlight w:val="none"/>
                <w:u w:val="single"/>
                <w:lang w:val="en-US" w:eastAsia="zh-CN"/>
              </w:rPr>
              <w:t>＞5</w:t>
            </w:r>
            <w:r>
              <w:rPr>
                <w:rFonts w:hint="default" w:ascii="Times New Roman" w:hAnsi="Times New Roman" w:cs="Times New Roman"/>
                <w:color w:val="auto"/>
                <w:highlight w:val="none"/>
                <w:lang w:val="en-US" w:eastAsia="zh-CN"/>
              </w:rPr>
              <w:t>万</w:t>
            </w:r>
            <w:r>
              <w:rPr>
                <w:rFonts w:hint="default" w:ascii="Times New Roman" w:hAnsi="Times New Roman" w:cs="Times New Roman"/>
                <w:color w:val="auto"/>
                <w:highlight w:val="none"/>
              </w:rPr>
              <w:t>人</w:t>
            </w:r>
          </w:p>
        </w:tc>
      </w:tr>
      <w:tr w14:paraId="2CFC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263" w:type="pct"/>
            <w:vMerge w:val="continue"/>
            <w:noWrap w:val="0"/>
            <w:vAlign w:val="center"/>
          </w:tcPr>
          <w:p w14:paraId="185380C3">
            <w:pPr>
              <w:pStyle w:val="24"/>
              <w:bidi w:val="0"/>
              <w:rPr>
                <w:rFonts w:hint="default" w:ascii="Times New Roman" w:hAnsi="Times New Roman" w:cs="Times New Roman"/>
                <w:color w:val="auto"/>
                <w:highlight w:val="none"/>
              </w:rPr>
            </w:pPr>
          </w:p>
        </w:tc>
        <w:tc>
          <w:tcPr>
            <w:tcW w:w="615" w:type="pct"/>
            <w:vMerge w:val="continue"/>
            <w:noWrap w:val="0"/>
            <w:vAlign w:val="center"/>
          </w:tcPr>
          <w:p w14:paraId="3494D898">
            <w:pPr>
              <w:pStyle w:val="24"/>
              <w:bidi w:val="0"/>
              <w:rPr>
                <w:rFonts w:hint="default" w:ascii="Times New Roman" w:hAnsi="Times New Roman" w:cs="Times New Roman"/>
                <w:color w:val="auto"/>
                <w:highlight w:val="none"/>
              </w:rPr>
            </w:pPr>
          </w:p>
        </w:tc>
        <w:tc>
          <w:tcPr>
            <w:tcW w:w="571" w:type="pct"/>
            <w:vMerge w:val="continue"/>
            <w:noWrap w:val="0"/>
            <w:vAlign w:val="center"/>
          </w:tcPr>
          <w:p w14:paraId="2CD0A7CA">
            <w:pPr>
              <w:pStyle w:val="24"/>
              <w:bidi w:val="0"/>
              <w:rPr>
                <w:rFonts w:hint="default" w:ascii="Times New Roman" w:hAnsi="Times New Roman" w:cs="Times New Roman"/>
                <w:color w:val="auto"/>
                <w:highlight w:val="none"/>
              </w:rPr>
            </w:pPr>
          </w:p>
        </w:tc>
        <w:tc>
          <w:tcPr>
            <w:tcW w:w="2738" w:type="pct"/>
            <w:gridSpan w:val="6"/>
            <w:noWrap w:val="0"/>
            <w:vAlign w:val="center"/>
          </w:tcPr>
          <w:p w14:paraId="6E28DC4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每公里管段周边200m范围内人口数（最大）</w:t>
            </w:r>
          </w:p>
        </w:tc>
        <w:tc>
          <w:tcPr>
            <w:tcW w:w="810" w:type="pct"/>
            <w:noWrap w:val="0"/>
            <w:vAlign w:val="center"/>
          </w:tcPr>
          <w:p w14:paraId="7289BF5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人</w:t>
            </w:r>
          </w:p>
        </w:tc>
      </w:tr>
      <w:tr w14:paraId="7438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3" w:type="pct"/>
            <w:vMerge w:val="continue"/>
            <w:noWrap w:val="0"/>
            <w:vAlign w:val="center"/>
          </w:tcPr>
          <w:p w14:paraId="12F04A46">
            <w:pPr>
              <w:pStyle w:val="24"/>
              <w:bidi w:val="0"/>
              <w:rPr>
                <w:rFonts w:hint="default" w:ascii="Times New Roman" w:hAnsi="Times New Roman" w:cs="Times New Roman"/>
                <w:color w:val="auto"/>
                <w:highlight w:val="none"/>
              </w:rPr>
            </w:pPr>
          </w:p>
        </w:tc>
        <w:tc>
          <w:tcPr>
            <w:tcW w:w="615" w:type="pct"/>
            <w:vMerge w:val="continue"/>
            <w:noWrap w:val="0"/>
            <w:vAlign w:val="center"/>
          </w:tcPr>
          <w:p w14:paraId="45D06266">
            <w:pPr>
              <w:pStyle w:val="24"/>
              <w:bidi w:val="0"/>
              <w:rPr>
                <w:rFonts w:hint="default" w:ascii="Times New Roman" w:hAnsi="Times New Roman" w:cs="Times New Roman"/>
                <w:color w:val="auto"/>
                <w:highlight w:val="none"/>
              </w:rPr>
            </w:pPr>
          </w:p>
        </w:tc>
        <w:tc>
          <w:tcPr>
            <w:tcW w:w="571" w:type="pct"/>
            <w:vMerge w:val="restart"/>
            <w:noWrap w:val="0"/>
            <w:vAlign w:val="center"/>
          </w:tcPr>
          <w:p w14:paraId="7F1648D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w:t>
            </w:r>
          </w:p>
        </w:tc>
        <w:tc>
          <w:tcPr>
            <w:tcW w:w="1079" w:type="pct"/>
            <w:gridSpan w:val="3"/>
            <w:noWrap w:val="0"/>
            <w:vAlign w:val="center"/>
          </w:tcPr>
          <w:p w14:paraId="2A984FA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地表水功能敏感性</w:t>
            </w:r>
          </w:p>
        </w:tc>
        <w:tc>
          <w:tcPr>
            <w:tcW w:w="953" w:type="pct"/>
            <w:noWrap w:val="0"/>
            <w:vAlign w:val="center"/>
          </w:tcPr>
          <w:p w14:paraId="656DF71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F1□</w:t>
            </w:r>
          </w:p>
        </w:tc>
        <w:tc>
          <w:tcPr>
            <w:tcW w:w="704" w:type="pct"/>
            <w:gridSpan w:val="2"/>
            <w:noWrap w:val="0"/>
            <w:vAlign w:val="center"/>
          </w:tcPr>
          <w:p w14:paraId="35327EA3">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F2</w:t>
            </w:r>
            <w:r>
              <w:rPr>
                <w:rFonts w:hint="default" w:ascii="Times New Roman" w:hAnsi="Times New Roman" w:cs="Times New Roman"/>
                <w:color w:val="auto"/>
                <w:highlight w:val="none"/>
              </w:rPr>
              <w:sym w:font="Wingdings 2" w:char="F052"/>
            </w:r>
          </w:p>
        </w:tc>
        <w:tc>
          <w:tcPr>
            <w:tcW w:w="810" w:type="pct"/>
            <w:noWrap w:val="0"/>
            <w:vAlign w:val="center"/>
          </w:tcPr>
          <w:p w14:paraId="0274F75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F3□</w:t>
            </w:r>
          </w:p>
        </w:tc>
      </w:tr>
      <w:tr w14:paraId="1DE1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3" w:type="pct"/>
            <w:vMerge w:val="continue"/>
            <w:noWrap w:val="0"/>
            <w:vAlign w:val="center"/>
          </w:tcPr>
          <w:p w14:paraId="20CD17EA">
            <w:pPr>
              <w:pStyle w:val="24"/>
              <w:bidi w:val="0"/>
              <w:rPr>
                <w:rFonts w:hint="default" w:ascii="Times New Roman" w:hAnsi="Times New Roman" w:cs="Times New Roman"/>
                <w:color w:val="auto"/>
                <w:highlight w:val="none"/>
              </w:rPr>
            </w:pPr>
          </w:p>
        </w:tc>
        <w:tc>
          <w:tcPr>
            <w:tcW w:w="615" w:type="pct"/>
            <w:vMerge w:val="continue"/>
            <w:noWrap w:val="0"/>
            <w:vAlign w:val="center"/>
          </w:tcPr>
          <w:p w14:paraId="77914ABF">
            <w:pPr>
              <w:pStyle w:val="24"/>
              <w:bidi w:val="0"/>
              <w:rPr>
                <w:rFonts w:hint="default" w:ascii="Times New Roman" w:hAnsi="Times New Roman" w:cs="Times New Roman"/>
                <w:color w:val="auto"/>
                <w:highlight w:val="none"/>
              </w:rPr>
            </w:pPr>
          </w:p>
        </w:tc>
        <w:tc>
          <w:tcPr>
            <w:tcW w:w="571" w:type="pct"/>
            <w:vMerge w:val="continue"/>
            <w:noWrap w:val="0"/>
            <w:vAlign w:val="center"/>
          </w:tcPr>
          <w:p w14:paraId="24DEF23C">
            <w:pPr>
              <w:pStyle w:val="24"/>
              <w:bidi w:val="0"/>
              <w:rPr>
                <w:rFonts w:hint="default" w:ascii="Times New Roman" w:hAnsi="Times New Roman" w:cs="Times New Roman"/>
                <w:color w:val="auto"/>
                <w:highlight w:val="none"/>
              </w:rPr>
            </w:pPr>
          </w:p>
        </w:tc>
        <w:tc>
          <w:tcPr>
            <w:tcW w:w="1079" w:type="pct"/>
            <w:gridSpan w:val="3"/>
            <w:noWrap w:val="0"/>
            <w:vAlign w:val="center"/>
          </w:tcPr>
          <w:p w14:paraId="0862EFE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环境敏感目标分级</w:t>
            </w:r>
          </w:p>
        </w:tc>
        <w:tc>
          <w:tcPr>
            <w:tcW w:w="953" w:type="pct"/>
            <w:noWrap w:val="0"/>
            <w:vAlign w:val="center"/>
          </w:tcPr>
          <w:p w14:paraId="0AFF57B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S1□</w:t>
            </w:r>
          </w:p>
        </w:tc>
        <w:tc>
          <w:tcPr>
            <w:tcW w:w="704" w:type="pct"/>
            <w:gridSpan w:val="2"/>
            <w:noWrap w:val="0"/>
            <w:vAlign w:val="center"/>
          </w:tcPr>
          <w:p w14:paraId="04E2C35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S2□</w:t>
            </w:r>
          </w:p>
        </w:tc>
        <w:tc>
          <w:tcPr>
            <w:tcW w:w="810" w:type="pct"/>
            <w:noWrap w:val="0"/>
            <w:vAlign w:val="center"/>
          </w:tcPr>
          <w:p w14:paraId="1C747899">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S3</w:t>
            </w:r>
            <w:r>
              <w:rPr>
                <w:rFonts w:hint="default" w:ascii="Times New Roman" w:hAnsi="Times New Roman" w:cs="Times New Roman"/>
                <w:color w:val="auto"/>
                <w:highlight w:val="none"/>
              </w:rPr>
              <w:sym w:font="Wingdings 2" w:char="F052"/>
            </w:r>
          </w:p>
        </w:tc>
      </w:tr>
      <w:tr w14:paraId="274D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3" w:type="pct"/>
            <w:vMerge w:val="continue"/>
            <w:noWrap w:val="0"/>
            <w:vAlign w:val="center"/>
          </w:tcPr>
          <w:p w14:paraId="1844D0CD">
            <w:pPr>
              <w:pStyle w:val="24"/>
              <w:bidi w:val="0"/>
              <w:rPr>
                <w:rFonts w:hint="default" w:ascii="Times New Roman" w:hAnsi="Times New Roman" w:cs="Times New Roman"/>
                <w:color w:val="auto"/>
                <w:highlight w:val="none"/>
              </w:rPr>
            </w:pPr>
          </w:p>
        </w:tc>
        <w:tc>
          <w:tcPr>
            <w:tcW w:w="615" w:type="pct"/>
            <w:vMerge w:val="continue"/>
            <w:noWrap w:val="0"/>
            <w:vAlign w:val="center"/>
          </w:tcPr>
          <w:p w14:paraId="225C7607">
            <w:pPr>
              <w:pStyle w:val="24"/>
              <w:bidi w:val="0"/>
              <w:rPr>
                <w:rFonts w:hint="default" w:ascii="Times New Roman" w:hAnsi="Times New Roman" w:cs="Times New Roman"/>
                <w:color w:val="auto"/>
                <w:highlight w:val="none"/>
              </w:rPr>
            </w:pPr>
          </w:p>
        </w:tc>
        <w:tc>
          <w:tcPr>
            <w:tcW w:w="571" w:type="pct"/>
            <w:vMerge w:val="restart"/>
            <w:noWrap w:val="0"/>
            <w:vAlign w:val="center"/>
          </w:tcPr>
          <w:p w14:paraId="0201814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w:t>
            </w:r>
          </w:p>
        </w:tc>
        <w:tc>
          <w:tcPr>
            <w:tcW w:w="1079" w:type="pct"/>
            <w:gridSpan w:val="3"/>
            <w:noWrap w:val="0"/>
            <w:vAlign w:val="center"/>
          </w:tcPr>
          <w:p w14:paraId="690CA85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地下水功能敏感性</w:t>
            </w:r>
          </w:p>
        </w:tc>
        <w:tc>
          <w:tcPr>
            <w:tcW w:w="953" w:type="pct"/>
            <w:noWrap w:val="0"/>
            <w:vAlign w:val="center"/>
          </w:tcPr>
          <w:p w14:paraId="47CB0B3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G1□</w:t>
            </w:r>
          </w:p>
        </w:tc>
        <w:tc>
          <w:tcPr>
            <w:tcW w:w="704" w:type="pct"/>
            <w:gridSpan w:val="2"/>
            <w:noWrap w:val="0"/>
            <w:vAlign w:val="center"/>
          </w:tcPr>
          <w:p w14:paraId="438F909F">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G2</w:t>
            </w:r>
            <w:r>
              <w:rPr>
                <w:rFonts w:hint="eastAsia" w:cs="Times New Roman"/>
                <w:color w:val="auto"/>
                <w:highlight w:val="none"/>
                <w:lang w:eastAsia="zh-CN"/>
              </w:rPr>
              <w:t>☑</w:t>
            </w:r>
          </w:p>
        </w:tc>
        <w:tc>
          <w:tcPr>
            <w:tcW w:w="810" w:type="pct"/>
            <w:noWrap w:val="0"/>
            <w:vAlign w:val="center"/>
          </w:tcPr>
          <w:p w14:paraId="3FC0FD11">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G3</w:t>
            </w:r>
            <w:r>
              <w:rPr>
                <w:rFonts w:hint="default" w:ascii="Times New Roman" w:hAnsi="Times New Roman" w:cs="Times New Roman"/>
                <w:color w:val="auto"/>
                <w:highlight w:val="none"/>
              </w:rPr>
              <w:sym w:font="Wingdings 2" w:char="00A3"/>
            </w:r>
          </w:p>
        </w:tc>
      </w:tr>
      <w:tr w14:paraId="70DE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3" w:type="pct"/>
            <w:vMerge w:val="continue"/>
            <w:noWrap w:val="0"/>
            <w:vAlign w:val="center"/>
          </w:tcPr>
          <w:p w14:paraId="1A761AC9">
            <w:pPr>
              <w:pStyle w:val="24"/>
              <w:bidi w:val="0"/>
              <w:rPr>
                <w:rFonts w:hint="default" w:ascii="Times New Roman" w:hAnsi="Times New Roman" w:cs="Times New Roman"/>
                <w:color w:val="auto"/>
                <w:highlight w:val="none"/>
              </w:rPr>
            </w:pPr>
          </w:p>
        </w:tc>
        <w:tc>
          <w:tcPr>
            <w:tcW w:w="615" w:type="pct"/>
            <w:vMerge w:val="continue"/>
            <w:noWrap w:val="0"/>
            <w:vAlign w:val="center"/>
          </w:tcPr>
          <w:p w14:paraId="56C26C79">
            <w:pPr>
              <w:pStyle w:val="24"/>
              <w:bidi w:val="0"/>
              <w:rPr>
                <w:rFonts w:hint="default" w:ascii="Times New Roman" w:hAnsi="Times New Roman" w:cs="Times New Roman"/>
                <w:color w:val="auto"/>
                <w:highlight w:val="none"/>
              </w:rPr>
            </w:pPr>
          </w:p>
        </w:tc>
        <w:tc>
          <w:tcPr>
            <w:tcW w:w="571" w:type="pct"/>
            <w:vMerge w:val="continue"/>
            <w:noWrap w:val="0"/>
            <w:vAlign w:val="center"/>
          </w:tcPr>
          <w:p w14:paraId="09F482EE">
            <w:pPr>
              <w:pStyle w:val="24"/>
              <w:bidi w:val="0"/>
              <w:rPr>
                <w:rFonts w:hint="default" w:ascii="Times New Roman" w:hAnsi="Times New Roman" w:cs="Times New Roman"/>
                <w:color w:val="auto"/>
                <w:highlight w:val="none"/>
              </w:rPr>
            </w:pPr>
          </w:p>
        </w:tc>
        <w:tc>
          <w:tcPr>
            <w:tcW w:w="1079" w:type="pct"/>
            <w:gridSpan w:val="3"/>
            <w:noWrap w:val="0"/>
            <w:vAlign w:val="center"/>
          </w:tcPr>
          <w:p w14:paraId="2586883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包气带防污性能</w:t>
            </w:r>
          </w:p>
        </w:tc>
        <w:tc>
          <w:tcPr>
            <w:tcW w:w="953" w:type="pct"/>
            <w:noWrap w:val="0"/>
            <w:vAlign w:val="center"/>
          </w:tcPr>
          <w:p w14:paraId="1FA1D33B">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D1</w:t>
            </w:r>
            <w:r>
              <w:rPr>
                <w:rFonts w:hint="eastAsia" w:ascii="Times New Roman" w:hAnsi="Times New Roman" w:cs="Times New Roman"/>
                <w:color w:val="auto"/>
                <w:highlight w:val="none"/>
                <w:lang w:eastAsia="zh-CN"/>
              </w:rPr>
              <w:t>☑</w:t>
            </w:r>
          </w:p>
        </w:tc>
        <w:tc>
          <w:tcPr>
            <w:tcW w:w="704" w:type="pct"/>
            <w:gridSpan w:val="2"/>
            <w:noWrap w:val="0"/>
            <w:vAlign w:val="center"/>
          </w:tcPr>
          <w:p w14:paraId="4384EC43">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D2</w:t>
            </w:r>
            <w:r>
              <w:rPr>
                <w:rFonts w:hint="default" w:ascii="Times New Roman" w:hAnsi="Times New Roman" w:cs="Times New Roman"/>
                <w:color w:val="auto"/>
                <w:highlight w:val="none"/>
              </w:rPr>
              <w:sym w:font="Wingdings 2" w:char="00A3"/>
            </w:r>
          </w:p>
        </w:tc>
        <w:tc>
          <w:tcPr>
            <w:tcW w:w="810" w:type="pct"/>
            <w:noWrap w:val="0"/>
            <w:vAlign w:val="center"/>
          </w:tcPr>
          <w:p w14:paraId="408AB58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D3□</w:t>
            </w:r>
          </w:p>
        </w:tc>
      </w:tr>
      <w:tr w14:paraId="3F34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9" w:type="pct"/>
            <w:gridSpan w:val="2"/>
            <w:vMerge w:val="restart"/>
            <w:noWrap w:val="0"/>
            <w:vAlign w:val="center"/>
          </w:tcPr>
          <w:p w14:paraId="755E79F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物质及工艺系统危险性</w:t>
            </w:r>
          </w:p>
        </w:tc>
        <w:tc>
          <w:tcPr>
            <w:tcW w:w="571" w:type="pct"/>
            <w:noWrap w:val="0"/>
            <w:vAlign w:val="center"/>
          </w:tcPr>
          <w:p w14:paraId="5003B68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Q值</w:t>
            </w:r>
          </w:p>
        </w:tc>
        <w:tc>
          <w:tcPr>
            <w:tcW w:w="1079" w:type="pct"/>
            <w:gridSpan w:val="3"/>
            <w:noWrap w:val="0"/>
            <w:vAlign w:val="center"/>
          </w:tcPr>
          <w:p w14:paraId="37FA6C9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Q&lt;1</w:t>
            </w:r>
            <w:r>
              <w:rPr>
                <w:rFonts w:hint="default" w:ascii="Times New Roman" w:hAnsi="Times New Roman" w:cs="Times New Roman"/>
                <w:color w:val="auto"/>
                <w:highlight w:val="none"/>
              </w:rPr>
              <w:sym w:font="Wingdings 2" w:char="00A3"/>
            </w:r>
          </w:p>
        </w:tc>
        <w:tc>
          <w:tcPr>
            <w:tcW w:w="953" w:type="pct"/>
            <w:noWrap w:val="0"/>
            <w:vAlign w:val="center"/>
          </w:tcPr>
          <w:p w14:paraId="2B52443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1≤Q&lt;10□</w:t>
            </w:r>
          </w:p>
        </w:tc>
        <w:tc>
          <w:tcPr>
            <w:tcW w:w="704" w:type="pct"/>
            <w:gridSpan w:val="2"/>
            <w:noWrap w:val="0"/>
            <w:vAlign w:val="center"/>
          </w:tcPr>
          <w:p w14:paraId="7572F586">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10≤Q&lt;100</w:t>
            </w:r>
            <w:r>
              <w:rPr>
                <w:rFonts w:hint="eastAsia" w:ascii="Times New Roman" w:hAnsi="Times New Roman" w:cs="Times New Roman"/>
                <w:color w:val="auto"/>
                <w:highlight w:val="none"/>
                <w:lang w:eastAsia="zh-CN"/>
              </w:rPr>
              <w:t>☑</w:t>
            </w:r>
          </w:p>
        </w:tc>
        <w:tc>
          <w:tcPr>
            <w:tcW w:w="810" w:type="pct"/>
            <w:noWrap w:val="0"/>
            <w:vAlign w:val="center"/>
          </w:tcPr>
          <w:p w14:paraId="3CF0BCCA">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Q&gt;100</w:t>
            </w:r>
            <w:r>
              <w:rPr>
                <w:rFonts w:hint="default" w:ascii="Times New Roman" w:hAnsi="Times New Roman" w:cs="Times New Roman"/>
                <w:color w:val="auto"/>
                <w:highlight w:val="none"/>
              </w:rPr>
              <w:sym w:font="Wingdings 2" w:char="00A3"/>
            </w:r>
          </w:p>
        </w:tc>
      </w:tr>
      <w:tr w14:paraId="7DE1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9" w:type="pct"/>
            <w:gridSpan w:val="2"/>
            <w:vMerge w:val="continue"/>
            <w:noWrap w:val="0"/>
            <w:vAlign w:val="center"/>
          </w:tcPr>
          <w:p w14:paraId="5B786590">
            <w:pPr>
              <w:pStyle w:val="24"/>
              <w:bidi w:val="0"/>
              <w:rPr>
                <w:rFonts w:hint="default" w:ascii="Times New Roman" w:hAnsi="Times New Roman" w:cs="Times New Roman"/>
                <w:color w:val="auto"/>
                <w:highlight w:val="none"/>
              </w:rPr>
            </w:pPr>
          </w:p>
        </w:tc>
        <w:tc>
          <w:tcPr>
            <w:tcW w:w="571" w:type="pct"/>
            <w:noWrap w:val="0"/>
            <w:vAlign w:val="center"/>
          </w:tcPr>
          <w:p w14:paraId="5EA8463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M值</w:t>
            </w:r>
          </w:p>
        </w:tc>
        <w:tc>
          <w:tcPr>
            <w:tcW w:w="1079" w:type="pct"/>
            <w:gridSpan w:val="3"/>
            <w:noWrap w:val="0"/>
            <w:vAlign w:val="center"/>
          </w:tcPr>
          <w:p w14:paraId="2F274DF2">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M1</w:t>
            </w:r>
            <w:r>
              <w:rPr>
                <w:rFonts w:hint="eastAsia" w:cs="Times New Roman"/>
                <w:color w:val="auto"/>
                <w:highlight w:val="none"/>
                <w:lang w:eastAsia="zh-CN"/>
              </w:rPr>
              <w:t>☑</w:t>
            </w:r>
          </w:p>
        </w:tc>
        <w:tc>
          <w:tcPr>
            <w:tcW w:w="953" w:type="pct"/>
            <w:noWrap w:val="0"/>
            <w:vAlign w:val="center"/>
          </w:tcPr>
          <w:p w14:paraId="337B0958">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M2</w:t>
            </w:r>
            <w:r>
              <w:rPr>
                <w:rFonts w:hint="eastAsia" w:cs="Times New Roman"/>
                <w:color w:val="auto"/>
                <w:highlight w:val="none"/>
                <w:lang w:eastAsia="zh-CN"/>
              </w:rPr>
              <w:t>□</w:t>
            </w:r>
          </w:p>
        </w:tc>
        <w:tc>
          <w:tcPr>
            <w:tcW w:w="704" w:type="pct"/>
            <w:gridSpan w:val="2"/>
            <w:noWrap w:val="0"/>
            <w:vAlign w:val="center"/>
          </w:tcPr>
          <w:p w14:paraId="0187CC1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M3□</w:t>
            </w:r>
          </w:p>
        </w:tc>
        <w:tc>
          <w:tcPr>
            <w:tcW w:w="810" w:type="pct"/>
            <w:noWrap w:val="0"/>
            <w:vAlign w:val="center"/>
          </w:tcPr>
          <w:p w14:paraId="1B579926">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M4</w:t>
            </w:r>
            <w:r>
              <w:rPr>
                <w:rFonts w:hint="default" w:ascii="Times New Roman" w:hAnsi="Times New Roman" w:cs="Times New Roman"/>
                <w:color w:val="auto"/>
                <w:highlight w:val="none"/>
              </w:rPr>
              <w:sym w:font="Wingdings 2" w:char="00A3"/>
            </w:r>
          </w:p>
        </w:tc>
      </w:tr>
      <w:tr w14:paraId="5168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79" w:type="pct"/>
            <w:gridSpan w:val="2"/>
            <w:vMerge w:val="continue"/>
            <w:noWrap w:val="0"/>
            <w:vAlign w:val="center"/>
          </w:tcPr>
          <w:p w14:paraId="4C690FB2">
            <w:pPr>
              <w:pStyle w:val="24"/>
              <w:bidi w:val="0"/>
              <w:rPr>
                <w:rFonts w:hint="default" w:ascii="Times New Roman" w:hAnsi="Times New Roman" w:cs="Times New Roman"/>
                <w:color w:val="auto"/>
                <w:highlight w:val="none"/>
              </w:rPr>
            </w:pPr>
          </w:p>
        </w:tc>
        <w:tc>
          <w:tcPr>
            <w:tcW w:w="571" w:type="pct"/>
            <w:noWrap w:val="0"/>
            <w:vAlign w:val="center"/>
          </w:tcPr>
          <w:p w14:paraId="6F3E2F0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P值</w:t>
            </w:r>
          </w:p>
        </w:tc>
        <w:tc>
          <w:tcPr>
            <w:tcW w:w="1079" w:type="pct"/>
            <w:gridSpan w:val="3"/>
            <w:noWrap w:val="0"/>
            <w:vAlign w:val="center"/>
          </w:tcPr>
          <w:p w14:paraId="36D1FE97">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P1</w:t>
            </w:r>
            <w:r>
              <w:rPr>
                <w:rFonts w:hint="eastAsia" w:cs="Times New Roman"/>
                <w:color w:val="auto"/>
                <w:highlight w:val="none"/>
                <w:lang w:eastAsia="zh-CN"/>
              </w:rPr>
              <w:t>☑</w:t>
            </w:r>
          </w:p>
        </w:tc>
        <w:tc>
          <w:tcPr>
            <w:tcW w:w="953" w:type="pct"/>
            <w:noWrap w:val="0"/>
            <w:vAlign w:val="center"/>
          </w:tcPr>
          <w:p w14:paraId="45A4FF71">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P2</w:t>
            </w:r>
            <w:r>
              <w:rPr>
                <w:rFonts w:hint="eastAsia" w:cs="Times New Roman"/>
                <w:color w:val="auto"/>
                <w:highlight w:val="none"/>
                <w:lang w:eastAsia="zh-CN"/>
              </w:rPr>
              <w:t>□</w:t>
            </w:r>
          </w:p>
        </w:tc>
        <w:tc>
          <w:tcPr>
            <w:tcW w:w="704" w:type="pct"/>
            <w:gridSpan w:val="2"/>
            <w:noWrap w:val="0"/>
            <w:vAlign w:val="center"/>
          </w:tcPr>
          <w:p w14:paraId="7376DD53">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P3</w:t>
            </w:r>
            <w:r>
              <w:rPr>
                <w:rFonts w:hint="default" w:ascii="Times New Roman" w:hAnsi="Times New Roman" w:cs="Times New Roman"/>
                <w:color w:val="auto"/>
                <w:highlight w:val="none"/>
              </w:rPr>
              <w:sym w:font="Wingdings 2" w:char="F052"/>
            </w:r>
          </w:p>
        </w:tc>
        <w:tc>
          <w:tcPr>
            <w:tcW w:w="810" w:type="pct"/>
            <w:noWrap w:val="0"/>
            <w:vAlign w:val="center"/>
          </w:tcPr>
          <w:p w14:paraId="60C911DE">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P4□</w:t>
            </w:r>
          </w:p>
        </w:tc>
      </w:tr>
      <w:tr w14:paraId="1786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vMerge w:val="restart"/>
            <w:noWrap w:val="0"/>
            <w:vAlign w:val="center"/>
          </w:tcPr>
          <w:p w14:paraId="6701286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环境敏感程度</w:t>
            </w:r>
          </w:p>
        </w:tc>
        <w:tc>
          <w:tcPr>
            <w:tcW w:w="571" w:type="pct"/>
            <w:noWrap w:val="0"/>
            <w:vAlign w:val="center"/>
          </w:tcPr>
          <w:p w14:paraId="11D0EC8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大气</w:t>
            </w:r>
          </w:p>
        </w:tc>
        <w:tc>
          <w:tcPr>
            <w:tcW w:w="1079" w:type="pct"/>
            <w:gridSpan w:val="3"/>
            <w:noWrap w:val="0"/>
            <w:vAlign w:val="center"/>
          </w:tcPr>
          <w:p w14:paraId="7FF2C8EE">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E1</w:t>
            </w:r>
            <w:r>
              <w:rPr>
                <w:rFonts w:hint="default" w:ascii="Times New Roman" w:hAnsi="Times New Roman" w:cs="Times New Roman"/>
                <w:color w:val="auto"/>
                <w:highlight w:val="none"/>
              </w:rPr>
              <w:sym w:font="Wingdings 2" w:char="F052"/>
            </w:r>
          </w:p>
        </w:tc>
        <w:tc>
          <w:tcPr>
            <w:tcW w:w="1281" w:type="pct"/>
            <w:gridSpan w:val="2"/>
            <w:noWrap w:val="0"/>
            <w:vAlign w:val="center"/>
          </w:tcPr>
          <w:p w14:paraId="185E53F3">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E2□</w:t>
            </w:r>
          </w:p>
        </w:tc>
        <w:tc>
          <w:tcPr>
            <w:tcW w:w="1187" w:type="pct"/>
            <w:gridSpan w:val="2"/>
            <w:noWrap w:val="0"/>
            <w:vAlign w:val="center"/>
          </w:tcPr>
          <w:p w14:paraId="7C02F74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E3□</w:t>
            </w:r>
          </w:p>
        </w:tc>
      </w:tr>
      <w:tr w14:paraId="0556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vMerge w:val="continue"/>
            <w:noWrap w:val="0"/>
            <w:vAlign w:val="center"/>
          </w:tcPr>
          <w:p w14:paraId="6483B202">
            <w:pPr>
              <w:pStyle w:val="24"/>
              <w:bidi w:val="0"/>
              <w:rPr>
                <w:rFonts w:hint="default" w:ascii="Times New Roman" w:hAnsi="Times New Roman" w:cs="Times New Roman"/>
                <w:color w:val="auto"/>
                <w:highlight w:val="none"/>
              </w:rPr>
            </w:pPr>
          </w:p>
        </w:tc>
        <w:tc>
          <w:tcPr>
            <w:tcW w:w="571" w:type="pct"/>
            <w:noWrap w:val="0"/>
            <w:vAlign w:val="center"/>
          </w:tcPr>
          <w:p w14:paraId="2F1538C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w:t>
            </w:r>
          </w:p>
        </w:tc>
        <w:tc>
          <w:tcPr>
            <w:tcW w:w="1079" w:type="pct"/>
            <w:gridSpan w:val="3"/>
            <w:noWrap w:val="0"/>
            <w:vAlign w:val="center"/>
          </w:tcPr>
          <w:p w14:paraId="7179180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E1□</w:t>
            </w:r>
          </w:p>
        </w:tc>
        <w:tc>
          <w:tcPr>
            <w:tcW w:w="1281" w:type="pct"/>
            <w:gridSpan w:val="2"/>
            <w:noWrap w:val="0"/>
            <w:vAlign w:val="center"/>
          </w:tcPr>
          <w:p w14:paraId="796F7E02">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E2</w:t>
            </w:r>
            <w:r>
              <w:rPr>
                <w:rFonts w:hint="default" w:ascii="Times New Roman" w:hAnsi="Times New Roman" w:cs="Times New Roman"/>
                <w:color w:val="auto"/>
                <w:highlight w:val="none"/>
              </w:rPr>
              <w:sym w:font="Wingdings 2" w:char="F052"/>
            </w:r>
          </w:p>
        </w:tc>
        <w:tc>
          <w:tcPr>
            <w:tcW w:w="1187" w:type="pct"/>
            <w:gridSpan w:val="2"/>
            <w:noWrap w:val="0"/>
            <w:vAlign w:val="center"/>
          </w:tcPr>
          <w:p w14:paraId="6EDD864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E3□</w:t>
            </w:r>
          </w:p>
        </w:tc>
      </w:tr>
      <w:tr w14:paraId="2375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vMerge w:val="continue"/>
            <w:noWrap w:val="0"/>
            <w:vAlign w:val="center"/>
          </w:tcPr>
          <w:p w14:paraId="4EB89DC4">
            <w:pPr>
              <w:pStyle w:val="24"/>
              <w:bidi w:val="0"/>
              <w:rPr>
                <w:rFonts w:hint="default" w:ascii="Times New Roman" w:hAnsi="Times New Roman" w:cs="Times New Roman"/>
                <w:color w:val="auto"/>
                <w:highlight w:val="none"/>
              </w:rPr>
            </w:pPr>
          </w:p>
        </w:tc>
        <w:tc>
          <w:tcPr>
            <w:tcW w:w="571" w:type="pct"/>
            <w:noWrap w:val="0"/>
            <w:vAlign w:val="center"/>
          </w:tcPr>
          <w:p w14:paraId="0F36400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w:t>
            </w:r>
          </w:p>
        </w:tc>
        <w:tc>
          <w:tcPr>
            <w:tcW w:w="1079" w:type="pct"/>
            <w:gridSpan w:val="3"/>
            <w:noWrap w:val="0"/>
            <w:vAlign w:val="center"/>
          </w:tcPr>
          <w:p w14:paraId="705AFE6C">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E1</w:t>
            </w:r>
            <w:r>
              <w:rPr>
                <w:rFonts w:hint="eastAsia" w:cs="Times New Roman"/>
                <w:color w:val="auto"/>
                <w:highlight w:val="none"/>
                <w:lang w:eastAsia="zh-CN"/>
              </w:rPr>
              <w:t>☑</w:t>
            </w:r>
          </w:p>
        </w:tc>
        <w:tc>
          <w:tcPr>
            <w:tcW w:w="1281" w:type="pct"/>
            <w:gridSpan w:val="2"/>
            <w:noWrap w:val="0"/>
            <w:vAlign w:val="center"/>
          </w:tcPr>
          <w:p w14:paraId="1A20B4B4">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E2</w:t>
            </w:r>
            <w:r>
              <w:rPr>
                <w:rFonts w:hint="eastAsia" w:cs="Times New Roman"/>
                <w:color w:val="auto"/>
                <w:highlight w:val="none"/>
                <w:lang w:eastAsia="zh-CN"/>
              </w:rPr>
              <w:t>□</w:t>
            </w:r>
          </w:p>
        </w:tc>
        <w:tc>
          <w:tcPr>
            <w:tcW w:w="1187" w:type="pct"/>
            <w:gridSpan w:val="2"/>
            <w:noWrap w:val="0"/>
            <w:vAlign w:val="center"/>
          </w:tcPr>
          <w:p w14:paraId="3D95300E">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E3</w:t>
            </w:r>
            <w:r>
              <w:rPr>
                <w:rFonts w:hint="default" w:ascii="Times New Roman" w:hAnsi="Times New Roman" w:cs="Times New Roman"/>
                <w:color w:val="auto"/>
                <w:highlight w:val="none"/>
              </w:rPr>
              <w:sym w:font="Wingdings 2" w:char="00A3"/>
            </w:r>
          </w:p>
        </w:tc>
      </w:tr>
      <w:tr w14:paraId="240C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noWrap w:val="0"/>
            <w:vAlign w:val="center"/>
          </w:tcPr>
          <w:p w14:paraId="1F7FF6B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环境风险潜势</w:t>
            </w:r>
          </w:p>
        </w:tc>
        <w:tc>
          <w:tcPr>
            <w:tcW w:w="803" w:type="pct"/>
            <w:gridSpan w:val="2"/>
            <w:noWrap w:val="0"/>
            <w:vAlign w:val="center"/>
          </w:tcPr>
          <w:p w14:paraId="3EF2E82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IV+</w:t>
            </w:r>
            <w:r>
              <w:rPr>
                <w:rFonts w:hint="eastAsia" w:cs="Times New Roman"/>
                <w:color w:val="auto"/>
                <w:highlight w:val="none"/>
                <w:lang w:eastAsia="zh-CN"/>
              </w:rPr>
              <w:t>☑</w:t>
            </w:r>
          </w:p>
        </w:tc>
        <w:tc>
          <w:tcPr>
            <w:tcW w:w="847" w:type="pct"/>
            <w:gridSpan w:val="2"/>
            <w:noWrap w:val="0"/>
            <w:vAlign w:val="center"/>
          </w:tcPr>
          <w:p w14:paraId="2A437D32">
            <w:pPr>
              <w:pStyle w:val="24"/>
              <w:bidi w:val="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IV</w:t>
            </w:r>
            <w:r>
              <w:rPr>
                <w:rFonts w:hint="eastAsia" w:cs="Times New Roman"/>
                <w:color w:val="auto"/>
                <w:highlight w:val="none"/>
                <w:lang w:eastAsia="zh-CN"/>
              </w:rPr>
              <w:t>☑</w:t>
            </w:r>
          </w:p>
        </w:tc>
        <w:tc>
          <w:tcPr>
            <w:tcW w:w="953" w:type="pct"/>
            <w:noWrap w:val="0"/>
            <w:vAlign w:val="center"/>
          </w:tcPr>
          <w:p w14:paraId="597F2884">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III</w:t>
            </w:r>
            <w:r>
              <w:rPr>
                <w:rFonts w:hint="default" w:ascii="Times New Roman" w:hAnsi="Times New Roman" w:cs="Times New Roman"/>
                <w:color w:val="auto"/>
                <w:highlight w:val="none"/>
              </w:rPr>
              <w:sym w:font="Wingdings 2" w:char="00A3"/>
            </w:r>
          </w:p>
        </w:tc>
        <w:tc>
          <w:tcPr>
            <w:tcW w:w="704" w:type="pct"/>
            <w:gridSpan w:val="2"/>
            <w:noWrap w:val="0"/>
            <w:vAlign w:val="center"/>
          </w:tcPr>
          <w:p w14:paraId="5E243C8F">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II</w:t>
            </w:r>
            <w:r>
              <w:rPr>
                <w:rFonts w:hint="default" w:ascii="Times New Roman" w:hAnsi="Times New Roman" w:cs="Times New Roman"/>
                <w:color w:val="auto"/>
                <w:highlight w:val="none"/>
                <w:lang w:eastAsia="zh-CN"/>
              </w:rPr>
              <w:t>□</w:t>
            </w:r>
          </w:p>
        </w:tc>
        <w:tc>
          <w:tcPr>
            <w:tcW w:w="810" w:type="pct"/>
            <w:noWrap w:val="0"/>
            <w:vAlign w:val="center"/>
          </w:tcPr>
          <w:p w14:paraId="56B2BC1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I</w:t>
            </w:r>
            <w:r>
              <w:rPr>
                <w:rFonts w:hint="default" w:ascii="Times New Roman" w:hAnsi="Times New Roman" w:cs="Times New Roman"/>
                <w:color w:val="auto"/>
                <w:highlight w:val="none"/>
              </w:rPr>
              <w:sym w:font="Wingdings 2" w:char="00A3"/>
            </w:r>
          </w:p>
        </w:tc>
      </w:tr>
      <w:tr w14:paraId="680D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noWrap w:val="0"/>
            <w:vAlign w:val="center"/>
          </w:tcPr>
          <w:p w14:paraId="22242FE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评价等级</w:t>
            </w:r>
          </w:p>
        </w:tc>
        <w:tc>
          <w:tcPr>
            <w:tcW w:w="1651" w:type="pct"/>
            <w:gridSpan w:val="4"/>
            <w:noWrap w:val="0"/>
            <w:vAlign w:val="center"/>
          </w:tcPr>
          <w:p w14:paraId="6860B350">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一级</w:t>
            </w:r>
            <w:r>
              <w:rPr>
                <w:rFonts w:hint="default" w:ascii="Times New Roman" w:hAnsi="Times New Roman" w:cs="Times New Roman"/>
                <w:color w:val="auto"/>
                <w:highlight w:val="none"/>
                <w:lang w:eastAsia="zh-CN"/>
              </w:rPr>
              <w:t>☑</w:t>
            </w:r>
          </w:p>
        </w:tc>
        <w:tc>
          <w:tcPr>
            <w:tcW w:w="953" w:type="pct"/>
            <w:noWrap w:val="0"/>
            <w:vAlign w:val="center"/>
          </w:tcPr>
          <w:p w14:paraId="327DCD36">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二级</w:t>
            </w:r>
            <w:r>
              <w:rPr>
                <w:rFonts w:hint="default" w:ascii="Times New Roman" w:hAnsi="Times New Roman" w:cs="Times New Roman"/>
                <w:color w:val="auto"/>
                <w:highlight w:val="none"/>
              </w:rPr>
              <w:sym w:font="Wingdings 2" w:char="00A3"/>
            </w:r>
          </w:p>
        </w:tc>
        <w:tc>
          <w:tcPr>
            <w:tcW w:w="704" w:type="pct"/>
            <w:gridSpan w:val="2"/>
            <w:noWrap w:val="0"/>
            <w:vAlign w:val="center"/>
          </w:tcPr>
          <w:p w14:paraId="6A2EE7B0">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三级</w:t>
            </w:r>
            <w:r>
              <w:rPr>
                <w:rFonts w:hint="default" w:ascii="Times New Roman" w:hAnsi="Times New Roman" w:cs="Times New Roman"/>
                <w:color w:val="auto"/>
                <w:highlight w:val="none"/>
              </w:rPr>
              <w:sym w:font="Wingdings 2" w:char="00A3"/>
            </w:r>
          </w:p>
        </w:tc>
        <w:tc>
          <w:tcPr>
            <w:tcW w:w="810" w:type="pct"/>
            <w:noWrap w:val="0"/>
            <w:vAlign w:val="center"/>
          </w:tcPr>
          <w:p w14:paraId="70FD9A37">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简单分析</w:t>
            </w:r>
            <w:r>
              <w:rPr>
                <w:rFonts w:hint="default" w:ascii="Times New Roman" w:hAnsi="Times New Roman" w:cs="Times New Roman"/>
                <w:color w:val="auto"/>
                <w:highlight w:val="none"/>
              </w:rPr>
              <w:sym w:font="Wingdings 2" w:char="00A3"/>
            </w:r>
          </w:p>
        </w:tc>
      </w:tr>
      <w:tr w14:paraId="0BA0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63" w:type="pct"/>
            <w:vMerge w:val="restart"/>
            <w:noWrap w:val="0"/>
            <w:vAlign w:val="center"/>
          </w:tcPr>
          <w:p w14:paraId="6F6A3605">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风险识别</w:t>
            </w:r>
          </w:p>
        </w:tc>
        <w:tc>
          <w:tcPr>
            <w:tcW w:w="615" w:type="pct"/>
            <w:noWrap w:val="0"/>
            <w:vAlign w:val="center"/>
          </w:tcPr>
          <w:p w14:paraId="4F51D6D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物质危险性</w:t>
            </w:r>
          </w:p>
        </w:tc>
        <w:tc>
          <w:tcPr>
            <w:tcW w:w="1651" w:type="pct"/>
            <w:gridSpan w:val="4"/>
            <w:noWrap w:val="0"/>
            <w:vAlign w:val="center"/>
          </w:tcPr>
          <w:p w14:paraId="2B0C1F9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有毒有害</w:t>
            </w:r>
            <w:r>
              <w:rPr>
                <w:rFonts w:hint="default" w:ascii="Times New Roman" w:hAnsi="Times New Roman" w:cs="Times New Roman"/>
                <w:color w:val="auto"/>
                <w:highlight w:val="none"/>
              </w:rPr>
              <w:sym w:font="Wingdings 2" w:char="0052"/>
            </w:r>
          </w:p>
        </w:tc>
        <w:tc>
          <w:tcPr>
            <w:tcW w:w="2468" w:type="pct"/>
            <w:gridSpan w:val="4"/>
            <w:noWrap w:val="0"/>
            <w:vAlign w:val="center"/>
          </w:tcPr>
          <w:p w14:paraId="7E7C871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易燃易爆</w:t>
            </w:r>
            <w:r>
              <w:rPr>
                <w:rFonts w:hint="default" w:ascii="Times New Roman" w:hAnsi="Times New Roman" w:cs="Times New Roman"/>
                <w:color w:val="auto"/>
                <w:highlight w:val="none"/>
              </w:rPr>
              <w:sym w:font="Wingdings 2" w:char="0052"/>
            </w:r>
          </w:p>
        </w:tc>
      </w:tr>
      <w:tr w14:paraId="49E8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63" w:type="pct"/>
            <w:vMerge w:val="continue"/>
            <w:noWrap w:val="0"/>
            <w:vAlign w:val="center"/>
          </w:tcPr>
          <w:p w14:paraId="48A9F3F2">
            <w:pPr>
              <w:pStyle w:val="24"/>
              <w:bidi w:val="0"/>
              <w:rPr>
                <w:rFonts w:hint="default" w:ascii="Times New Roman" w:hAnsi="Times New Roman" w:cs="Times New Roman"/>
                <w:color w:val="auto"/>
                <w:highlight w:val="none"/>
              </w:rPr>
            </w:pPr>
          </w:p>
        </w:tc>
        <w:tc>
          <w:tcPr>
            <w:tcW w:w="615" w:type="pct"/>
            <w:noWrap w:val="0"/>
            <w:vAlign w:val="center"/>
          </w:tcPr>
          <w:p w14:paraId="531B825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环境风险类型</w:t>
            </w:r>
          </w:p>
        </w:tc>
        <w:tc>
          <w:tcPr>
            <w:tcW w:w="1651" w:type="pct"/>
            <w:gridSpan w:val="4"/>
            <w:noWrap w:val="0"/>
            <w:vAlign w:val="center"/>
          </w:tcPr>
          <w:p w14:paraId="22AFCDA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泄漏</w:t>
            </w:r>
            <w:r>
              <w:rPr>
                <w:rFonts w:hint="default" w:ascii="Times New Roman" w:hAnsi="Times New Roman" w:cs="Times New Roman"/>
                <w:color w:val="auto"/>
                <w:highlight w:val="none"/>
              </w:rPr>
              <w:sym w:font="Wingdings 2" w:char="F052"/>
            </w:r>
          </w:p>
        </w:tc>
        <w:tc>
          <w:tcPr>
            <w:tcW w:w="2468" w:type="pct"/>
            <w:gridSpan w:val="4"/>
            <w:noWrap w:val="0"/>
            <w:vAlign w:val="center"/>
          </w:tcPr>
          <w:p w14:paraId="2187C068">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火灾、爆炸引发伴生/次生污染物排放</w:t>
            </w:r>
            <w:r>
              <w:rPr>
                <w:rFonts w:hint="default" w:ascii="Times New Roman" w:hAnsi="Times New Roman" w:cs="Times New Roman"/>
                <w:color w:val="auto"/>
                <w:highlight w:val="none"/>
              </w:rPr>
              <w:sym w:font="Wingdings 2" w:char="F052"/>
            </w:r>
          </w:p>
        </w:tc>
      </w:tr>
      <w:tr w14:paraId="3160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263" w:type="pct"/>
            <w:vMerge w:val="continue"/>
            <w:noWrap w:val="0"/>
            <w:vAlign w:val="center"/>
          </w:tcPr>
          <w:p w14:paraId="0F2D2541">
            <w:pPr>
              <w:pStyle w:val="24"/>
              <w:bidi w:val="0"/>
              <w:rPr>
                <w:rFonts w:hint="default" w:ascii="Times New Roman" w:hAnsi="Times New Roman" w:cs="Times New Roman"/>
                <w:color w:val="auto"/>
                <w:highlight w:val="none"/>
              </w:rPr>
            </w:pPr>
          </w:p>
        </w:tc>
        <w:tc>
          <w:tcPr>
            <w:tcW w:w="615" w:type="pct"/>
            <w:noWrap w:val="0"/>
            <w:vAlign w:val="center"/>
          </w:tcPr>
          <w:p w14:paraId="70E8454D">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影响途径</w:t>
            </w:r>
          </w:p>
        </w:tc>
        <w:tc>
          <w:tcPr>
            <w:tcW w:w="1651" w:type="pct"/>
            <w:gridSpan w:val="4"/>
            <w:noWrap w:val="0"/>
            <w:vAlign w:val="center"/>
          </w:tcPr>
          <w:p w14:paraId="2D5ABD04">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大气</w:t>
            </w:r>
            <w:r>
              <w:rPr>
                <w:rFonts w:hint="default" w:ascii="Times New Roman" w:hAnsi="Times New Roman" w:cs="Times New Roman"/>
                <w:color w:val="auto"/>
                <w:highlight w:val="none"/>
              </w:rPr>
              <w:sym w:font="Wingdings 2" w:char="F052"/>
            </w:r>
          </w:p>
        </w:tc>
        <w:tc>
          <w:tcPr>
            <w:tcW w:w="1281" w:type="pct"/>
            <w:gridSpan w:val="2"/>
            <w:noWrap w:val="0"/>
            <w:vAlign w:val="center"/>
          </w:tcPr>
          <w:p w14:paraId="0A9F08D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w:t>
            </w:r>
            <w:r>
              <w:rPr>
                <w:rFonts w:hint="default" w:ascii="Times New Roman" w:hAnsi="Times New Roman" w:cs="Times New Roman"/>
                <w:color w:val="auto"/>
                <w:highlight w:val="none"/>
              </w:rPr>
              <w:sym w:font="Wingdings 2" w:char="F052"/>
            </w:r>
          </w:p>
        </w:tc>
        <w:tc>
          <w:tcPr>
            <w:tcW w:w="1187" w:type="pct"/>
            <w:gridSpan w:val="2"/>
            <w:noWrap w:val="0"/>
            <w:vAlign w:val="center"/>
          </w:tcPr>
          <w:p w14:paraId="679C949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w:t>
            </w:r>
            <w:r>
              <w:rPr>
                <w:rFonts w:hint="default" w:ascii="Times New Roman" w:hAnsi="Times New Roman" w:cs="Times New Roman"/>
                <w:color w:val="auto"/>
                <w:highlight w:val="none"/>
              </w:rPr>
              <w:sym w:font="Wingdings 2" w:char="F052"/>
            </w:r>
          </w:p>
        </w:tc>
      </w:tr>
      <w:tr w14:paraId="3538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noWrap w:val="0"/>
            <w:vAlign w:val="center"/>
          </w:tcPr>
          <w:p w14:paraId="7EAB582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事故情形分析</w:t>
            </w:r>
          </w:p>
        </w:tc>
        <w:tc>
          <w:tcPr>
            <w:tcW w:w="825" w:type="pct"/>
            <w:gridSpan w:val="3"/>
            <w:noWrap w:val="0"/>
            <w:vAlign w:val="center"/>
          </w:tcPr>
          <w:p w14:paraId="77F41C8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源强设定方法</w:t>
            </w:r>
          </w:p>
        </w:tc>
        <w:tc>
          <w:tcPr>
            <w:tcW w:w="825" w:type="pct"/>
            <w:noWrap w:val="0"/>
            <w:vAlign w:val="center"/>
          </w:tcPr>
          <w:p w14:paraId="7A4149D0">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计算法□</w:t>
            </w:r>
          </w:p>
        </w:tc>
        <w:tc>
          <w:tcPr>
            <w:tcW w:w="1281" w:type="pct"/>
            <w:gridSpan w:val="2"/>
            <w:noWrap w:val="0"/>
            <w:vAlign w:val="center"/>
          </w:tcPr>
          <w:p w14:paraId="69E54676">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经验估算法□</w:t>
            </w:r>
          </w:p>
        </w:tc>
        <w:tc>
          <w:tcPr>
            <w:tcW w:w="1187" w:type="pct"/>
            <w:gridSpan w:val="2"/>
            <w:noWrap w:val="0"/>
            <w:vAlign w:val="center"/>
          </w:tcPr>
          <w:p w14:paraId="1EDC509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其他估算法□</w:t>
            </w:r>
          </w:p>
        </w:tc>
      </w:tr>
      <w:tr w14:paraId="490C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63" w:type="pct"/>
            <w:vMerge w:val="restart"/>
            <w:noWrap w:val="0"/>
            <w:vAlign w:val="center"/>
          </w:tcPr>
          <w:p w14:paraId="38A67E8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风险预测与评价</w:t>
            </w:r>
          </w:p>
        </w:tc>
        <w:tc>
          <w:tcPr>
            <w:tcW w:w="615" w:type="pct"/>
            <w:vMerge w:val="restart"/>
            <w:noWrap w:val="0"/>
            <w:vAlign w:val="center"/>
          </w:tcPr>
          <w:p w14:paraId="0B761DF1">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大气</w:t>
            </w:r>
          </w:p>
        </w:tc>
        <w:tc>
          <w:tcPr>
            <w:tcW w:w="825" w:type="pct"/>
            <w:gridSpan w:val="3"/>
            <w:noWrap w:val="0"/>
            <w:vAlign w:val="center"/>
          </w:tcPr>
          <w:p w14:paraId="527DF72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预测模型</w:t>
            </w:r>
          </w:p>
        </w:tc>
        <w:tc>
          <w:tcPr>
            <w:tcW w:w="825" w:type="pct"/>
            <w:noWrap w:val="0"/>
            <w:vAlign w:val="center"/>
          </w:tcPr>
          <w:p w14:paraId="225A6665">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SLAB</w:t>
            </w:r>
            <w:r>
              <w:rPr>
                <w:rFonts w:hint="default" w:ascii="Times New Roman" w:hAnsi="Times New Roman" w:cs="Times New Roman"/>
                <w:color w:val="auto"/>
                <w:highlight w:val="none"/>
              </w:rPr>
              <w:sym w:font="Wingdings 2" w:char="00A3"/>
            </w:r>
          </w:p>
        </w:tc>
        <w:tc>
          <w:tcPr>
            <w:tcW w:w="1281" w:type="pct"/>
            <w:gridSpan w:val="2"/>
            <w:noWrap w:val="0"/>
            <w:vAlign w:val="center"/>
          </w:tcPr>
          <w:p w14:paraId="25CD98DA">
            <w:pPr>
              <w:pStyle w:val="2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AFTOX</w:t>
            </w:r>
            <w:r>
              <w:rPr>
                <w:rFonts w:hint="default" w:ascii="Times New Roman" w:hAnsi="Times New Roman" w:cs="Times New Roman"/>
                <w:color w:val="auto"/>
                <w:highlight w:val="none"/>
              </w:rPr>
              <w:sym w:font="Wingdings 2" w:char="0052"/>
            </w:r>
          </w:p>
        </w:tc>
        <w:tc>
          <w:tcPr>
            <w:tcW w:w="1187" w:type="pct"/>
            <w:gridSpan w:val="2"/>
            <w:noWrap w:val="0"/>
            <w:vAlign w:val="center"/>
          </w:tcPr>
          <w:p w14:paraId="391A573B">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其他□</w:t>
            </w:r>
          </w:p>
        </w:tc>
      </w:tr>
      <w:tr w14:paraId="6686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263" w:type="pct"/>
            <w:vMerge w:val="continue"/>
            <w:noWrap w:val="0"/>
            <w:vAlign w:val="center"/>
          </w:tcPr>
          <w:p w14:paraId="31ADFECC">
            <w:pPr>
              <w:pStyle w:val="24"/>
              <w:bidi w:val="0"/>
              <w:rPr>
                <w:rFonts w:hint="default" w:ascii="Times New Roman" w:hAnsi="Times New Roman" w:cs="Times New Roman"/>
                <w:color w:val="auto"/>
                <w:highlight w:val="none"/>
              </w:rPr>
            </w:pPr>
          </w:p>
        </w:tc>
        <w:tc>
          <w:tcPr>
            <w:tcW w:w="615" w:type="pct"/>
            <w:vMerge w:val="continue"/>
            <w:noWrap w:val="0"/>
            <w:vAlign w:val="center"/>
          </w:tcPr>
          <w:p w14:paraId="6E2EB356">
            <w:pPr>
              <w:pStyle w:val="24"/>
              <w:bidi w:val="0"/>
              <w:rPr>
                <w:rFonts w:hint="default" w:ascii="Times New Roman" w:hAnsi="Times New Roman" w:cs="Times New Roman"/>
                <w:color w:val="auto"/>
                <w:highlight w:val="none"/>
              </w:rPr>
            </w:pPr>
          </w:p>
        </w:tc>
        <w:tc>
          <w:tcPr>
            <w:tcW w:w="825" w:type="pct"/>
            <w:gridSpan w:val="3"/>
            <w:noWrap w:val="0"/>
            <w:vAlign w:val="center"/>
          </w:tcPr>
          <w:p w14:paraId="08B4819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预测结果</w:t>
            </w:r>
          </w:p>
        </w:tc>
        <w:tc>
          <w:tcPr>
            <w:tcW w:w="3294" w:type="pct"/>
            <w:gridSpan w:val="5"/>
            <w:noWrap w:val="0"/>
            <w:vAlign w:val="center"/>
          </w:tcPr>
          <w:p w14:paraId="43AD527B">
            <w:pPr>
              <w:pStyle w:val="24"/>
              <w:numPr>
                <w:ilvl w:val="0"/>
                <w:numId w:val="0"/>
              </w:numPr>
              <w:bidi w:val="0"/>
              <w:spacing w:line="240" w:lineRule="auto"/>
              <w:ind w:left="0" w:leftChars="0"/>
              <w:jc w:val="left"/>
              <w:rPr>
                <w:rFonts w:hint="eastAsia"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lang w:val="en-US" w:eastAsia="zh-CN" w:bidi="ar-SA"/>
              </w:rPr>
              <w:t>（1）</w:t>
            </w:r>
            <w:r>
              <w:rPr>
                <w:rFonts w:hint="eastAsia" w:cs="Times New Roman"/>
                <w:color w:val="auto"/>
                <w:sz w:val="21"/>
                <w:szCs w:val="21"/>
                <w:highlight w:val="none"/>
                <w:lang w:val="en-US" w:eastAsia="zh-CN"/>
              </w:rPr>
              <w:t>硫酸</w:t>
            </w:r>
            <w:r>
              <w:rPr>
                <w:rFonts w:hint="default" w:ascii="Times New Roman" w:hAnsi="Times New Roman" w:cs="Times New Roman"/>
                <w:color w:val="auto"/>
                <w:sz w:val="21"/>
                <w:szCs w:val="21"/>
                <w:highlight w:val="none"/>
                <w:lang w:val="en-US" w:eastAsia="zh-CN"/>
              </w:rPr>
              <w:t>储罐发生泄漏事故时，产生的</w:t>
            </w:r>
            <w:r>
              <w:rPr>
                <w:rFonts w:hint="eastAsia" w:cs="Times New Roman"/>
                <w:color w:val="auto"/>
                <w:sz w:val="21"/>
                <w:szCs w:val="21"/>
                <w:highlight w:val="none"/>
                <w:lang w:val="en-US" w:eastAsia="zh-CN"/>
              </w:rPr>
              <w:t>硫酸雾</w:t>
            </w:r>
            <w:r>
              <w:rPr>
                <w:rFonts w:hint="default" w:ascii="Times New Roman" w:hAnsi="Times New Roman" w:cs="Times New Roman"/>
                <w:color w:val="auto"/>
                <w:sz w:val="21"/>
                <w:szCs w:val="21"/>
                <w:highlight w:val="none"/>
                <w:lang w:val="en-US" w:eastAsia="zh-CN"/>
              </w:rPr>
              <w:t>在最不利/最常见气象条件下，</w:t>
            </w:r>
            <w:r>
              <w:rPr>
                <w:rFonts w:hint="eastAsia" w:ascii="Times New Roman" w:hAnsi="Times New Roman" w:cs="Times New Roman"/>
                <w:color w:val="auto"/>
                <w:sz w:val="21"/>
                <w:szCs w:val="21"/>
                <w:highlight w:val="none"/>
                <w:lang w:val="en-US" w:eastAsia="zh-CN"/>
              </w:rPr>
              <w:t>大气毒性终点浓度-2最大范围</w:t>
            </w:r>
            <w:r>
              <w:rPr>
                <w:rFonts w:hint="eastAsia" w:cs="Times New Roman"/>
                <w:color w:val="auto"/>
                <w:sz w:val="21"/>
                <w:szCs w:val="21"/>
                <w:highlight w:val="none"/>
                <w:lang w:val="en-US" w:eastAsia="zh-CN"/>
              </w:rPr>
              <w:t>均</w:t>
            </w:r>
            <w:r>
              <w:rPr>
                <w:rFonts w:hint="eastAsia" w:ascii="Times New Roman" w:hAnsi="Times New Roman" w:cs="Times New Roman"/>
                <w:color w:val="auto"/>
                <w:sz w:val="21"/>
                <w:szCs w:val="21"/>
                <w:highlight w:val="none"/>
                <w:lang w:val="en-US" w:eastAsia="zh-CN"/>
              </w:rPr>
              <w:t>为</w:t>
            </w:r>
            <w:r>
              <w:rPr>
                <w:rFonts w:hint="eastAsia" w:cs="Times New Roman"/>
                <w:color w:val="auto"/>
                <w:sz w:val="21"/>
                <w:szCs w:val="21"/>
                <w:highlight w:val="none"/>
                <w:lang w:val="en-US" w:eastAsia="zh-CN"/>
              </w:rPr>
              <w:t>26</w:t>
            </w:r>
            <w:r>
              <w:rPr>
                <w:rFonts w:hint="eastAsia" w:ascii="Times New Roman" w:hAnsi="Times New Roman" w:cs="Times New Roman"/>
                <w:color w:val="auto"/>
                <w:sz w:val="21"/>
                <w:szCs w:val="21"/>
                <w:highlight w:val="none"/>
                <w:lang w:val="en-US" w:eastAsia="zh-CN"/>
              </w:rPr>
              <w:t>0m，</w:t>
            </w:r>
            <w:r>
              <w:rPr>
                <w:rFonts w:hint="eastAsia" w:cs="Times New Roman"/>
                <w:color w:val="auto"/>
                <w:highlight w:val="none"/>
                <w:lang w:val="en-US" w:eastAsia="zh-CN"/>
              </w:rPr>
              <w:t>影响范围内有少量散户分布，持续时间分别为15min、16min，一旦发生事故，应根据事故当天风向确定最大影响范围，并及时通知影响范围内人员在5min内全部撤离；</w:t>
            </w:r>
            <w:r>
              <w:rPr>
                <w:rFonts w:hint="eastAsia" w:ascii="Times New Roman" w:hAnsi="Times New Roman" w:cs="Times New Roman"/>
                <w:color w:val="auto"/>
                <w:sz w:val="21"/>
                <w:szCs w:val="21"/>
                <w:highlight w:val="none"/>
                <w:lang w:val="en-US" w:eastAsia="zh-CN"/>
              </w:rPr>
              <w:t>均不会出现大气毒性终点浓度-1</w:t>
            </w:r>
            <w:r>
              <w:rPr>
                <w:rFonts w:hint="eastAsia" w:cs="Times New Roman"/>
                <w:color w:val="auto"/>
                <w:sz w:val="21"/>
                <w:szCs w:val="21"/>
                <w:highlight w:val="none"/>
                <w:lang w:val="en-US" w:eastAsia="zh-CN"/>
              </w:rPr>
              <w:t>。</w:t>
            </w:r>
          </w:p>
          <w:p w14:paraId="4F545201">
            <w:pPr>
              <w:pStyle w:val="24"/>
              <w:numPr>
                <w:ilvl w:val="0"/>
                <w:numId w:val="0"/>
              </w:numPr>
              <w:bidi w:val="0"/>
              <w:spacing w:line="240" w:lineRule="auto"/>
              <w:ind w:left="0" w:leftChars="0"/>
              <w:jc w:val="left"/>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氟硅酸</w:t>
            </w:r>
            <w:r>
              <w:rPr>
                <w:rFonts w:hint="default" w:ascii="Times New Roman" w:hAnsi="Times New Roman" w:cs="Times New Roman"/>
                <w:color w:val="auto"/>
                <w:sz w:val="21"/>
                <w:szCs w:val="21"/>
                <w:highlight w:val="none"/>
                <w:lang w:val="en-US" w:eastAsia="zh-CN"/>
              </w:rPr>
              <w:t>储罐发生泄漏事故时，产生的</w:t>
            </w:r>
            <w:r>
              <w:rPr>
                <w:rFonts w:hint="eastAsia" w:cs="Times New Roman"/>
                <w:color w:val="auto"/>
                <w:sz w:val="21"/>
                <w:szCs w:val="21"/>
                <w:highlight w:val="none"/>
                <w:lang w:val="en-US" w:eastAsia="zh-CN"/>
              </w:rPr>
              <w:t>氟化物</w:t>
            </w:r>
            <w:r>
              <w:rPr>
                <w:rFonts w:hint="default" w:ascii="Times New Roman" w:hAnsi="Times New Roman" w:cs="Times New Roman"/>
                <w:color w:val="auto"/>
                <w:sz w:val="21"/>
                <w:szCs w:val="21"/>
                <w:highlight w:val="none"/>
                <w:lang w:val="en-US" w:eastAsia="zh-CN"/>
              </w:rPr>
              <w:t>在最不利/最常见气象条件下，</w:t>
            </w:r>
            <w:r>
              <w:rPr>
                <w:rFonts w:hint="eastAsia" w:ascii="Times New Roman" w:hAnsi="Times New Roman" w:cs="Times New Roman"/>
                <w:color w:val="auto"/>
                <w:sz w:val="21"/>
                <w:szCs w:val="21"/>
                <w:highlight w:val="none"/>
                <w:lang w:val="en-US" w:eastAsia="zh-CN"/>
              </w:rPr>
              <w:t>大气毒性终点浓度-2最大范围</w:t>
            </w:r>
            <w:r>
              <w:rPr>
                <w:rFonts w:hint="eastAsia" w:cs="Times New Roman"/>
                <w:color w:val="auto"/>
                <w:sz w:val="21"/>
                <w:szCs w:val="21"/>
                <w:highlight w:val="none"/>
                <w:lang w:val="en-US" w:eastAsia="zh-CN"/>
              </w:rPr>
              <w:t>均</w:t>
            </w:r>
            <w:r>
              <w:rPr>
                <w:rFonts w:hint="eastAsia" w:ascii="Times New Roman" w:hAnsi="Times New Roman" w:cs="Times New Roman"/>
                <w:color w:val="auto"/>
                <w:sz w:val="21"/>
                <w:szCs w:val="21"/>
                <w:highlight w:val="none"/>
                <w:lang w:val="en-US" w:eastAsia="zh-CN"/>
              </w:rPr>
              <w:t>为</w:t>
            </w:r>
            <w:r>
              <w:rPr>
                <w:rFonts w:hint="eastAsia" w:cs="Times New Roman"/>
                <w:color w:val="auto"/>
                <w:sz w:val="21"/>
                <w:szCs w:val="21"/>
                <w:highlight w:val="none"/>
                <w:lang w:val="en-US" w:eastAsia="zh-CN"/>
              </w:rPr>
              <w:t>50</w:t>
            </w:r>
            <w:r>
              <w:rPr>
                <w:rFonts w:hint="eastAsia" w:ascii="Times New Roman" w:hAnsi="Times New Roman" w:cs="Times New Roman"/>
                <w:color w:val="auto"/>
                <w:sz w:val="21"/>
                <w:szCs w:val="21"/>
                <w:highlight w:val="none"/>
                <w:lang w:val="en-US" w:eastAsia="zh-CN"/>
              </w:rPr>
              <w:t>m，不存在环境风险保护目标；均不会出现大气毒性终点浓度-1</w:t>
            </w:r>
            <w:r>
              <w:rPr>
                <w:rFonts w:hint="default" w:ascii="Times New Roman" w:hAnsi="Times New Roman" w:cs="Times New Roman"/>
                <w:color w:val="auto"/>
                <w:sz w:val="21"/>
                <w:szCs w:val="21"/>
                <w:highlight w:val="none"/>
                <w:lang w:val="en-US" w:eastAsia="zh-CN"/>
              </w:rPr>
              <w:t>。</w:t>
            </w:r>
          </w:p>
          <w:p w14:paraId="4DF50BD0">
            <w:pPr>
              <w:numPr>
                <w:ilvl w:val="0"/>
                <w:numId w:val="0"/>
              </w:numPr>
              <w:spacing w:line="240" w:lineRule="auto"/>
              <w:rPr>
                <w:rFonts w:hint="eastAsia" w:eastAsia="宋体"/>
                <w:color w:val="auto"/>
                <w:sz w:val="21"/>
                <w:szCs w:val="21"/>
                <w:lang w:eastAsia="zh-CN"/>
              </w:r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default" w:ascii="Times New Roman" w:hAnsi="Times New Roman" w:cs="Times New Roman"/>
                <w:color w:val="auto"/>
                <w:sz w:val="21"/>
                <w:szCs w:val="21"/>
                <w:highlight w:val="none"/>
                <w:lang w:val="en-US" w:eastAsia="zh-CN"/>
              </w:rPr>
              <w:t>火灾爆炸产生的次生污染物</w:t>
            </w:r>
            <w:r>
              <w:rPr>
                <w:rFonts w:hint="eastAsia" w:ascii="Times New Roman" w:hAnsi="Times New Roman" w:cs="Times New Roman"/>
                <w:color w:val="auto"/>
                <w:sz w:val="21"/>
                <w:szCs w:val="21"/>
                <w:highlight w:val="none"/>
                <w:lang w:val="en-US" w:eastAsia="zh-CN"/>
              </w:rPr>
              <w:t>一氧化碳</w:t>
            </w:r>
            <w:r>
              <w:rPr>
                <w:rFonts w:hint="default" w:ascii="Times New Roman" w:hAnsi="Times New Roman" w:cs="Times New Roman"/>
                <w:color w:val="auto"/>
                <w:sz w:val="21"/>
                <w:szCs w:val="21"/>
                <w:highlight w:val="none"/>
                <w:lang w:val="en-US" w:eastAsia="zh-CN"/>
              </w:rPr>
              <w:t>在最不利/最常见气象条件下，</w:t>
            </w:r>
            <w:r>
              <w:rPr>
                <w:rFonts w:hint="eastAsia" w:cs="Times New Roman"/>
                <w:color w:val="auto"/>
                <w:sz w:val="21"/>
                <w:szCs w:val="21"/>
                <w:highlight w:val="none"/>
                <w:lang w:val="en-US" w:eastAsia="zh-CN"/>
              </w:rPr>
              <w:t>均不会出现</w:t>
            </w:r>
            <w:r>
              <w:rPr>
                <w:rFonts w:hint="eastAsia" w:ascii="Times New Roman" w:hAnsi="Times New Roman" w:cs="Times New Roman"/>
                <w:color w:val="auto"/>
                <w:sz w:val="21"/>
                <w:szCs w:val="21"/>
                <w:highlight w:val="none"/>
                <w:lang w:val="en-US" w:eastAsia="zh-CN"/>
              </w:rPr>
              <w:t>大气毒性终点浓度-1、-2；二氧化硫</w:t>
            </w:r>
            <w:r>
              <w:rPr>
                <w:rFonts w:hint="default" w:ascii="Times New Roman" w:hAnsi="Times New Roman" w:cs="Times New Roman"/>
                <w:color w:val="auto"/>
                <w:sz w:val="21"/>
                <w:szCs w:val="21"/>
                <w:highlight w:val="none"/>
                <w:lang w:val="en-US" w:eastAsia="zh-CN"/>
              </w:rPr>
              <w:t>在最不利/最常见气象条件下，</w:t>
            </w:r>
            <w:r>
              <w:rPr>
                <w:rFonts w:hint="eastAsia" w:ascii="Times New Roman" w:hAnsi="Times New Roman" w:cs="Times New Roman"/>
                <w:color w:val="auto"/>
                <w:sz w:val="21"/>
                <w:szCs w:val="21"/>
                <w:highlight w:val="none"/>
                <w:lang w:val="en-US" w:eastAsia="zh-CN"/>
              </w:rPr>
              <w:t>大气毒性终点浓度-1级、-2级最大范围分别为</w:t>
            </w:r>
            <w:r>
              <w:rPr>
                <w:rFonts w:hint="eastAsia" w:cs="Times New Roman"/>
                <w:color w:val="auto"/>
                <w:sz w:val="21"/>
                <w:szCs w:val="21"/>
                <w:highlight w:val="none"/>
                <w:lang w:val="en-US" w:eastAsia="zh-CN"/>
              </w:rPr>
              <w:t>60</w:t>
            </w:r>
            <w:r>
              <w:rPr>
                <w:rFonts w:hint="eastAsia" w:ascii="Times New Roman" w:hAnsi="Times New Roman" w:cs="Times New Roman"/>
                <w:color w:val="auto"/>
                <w:sz w:val="21"/>
                <w:szCs w:val="21"/>
                <w:highlight w:val="none"/>
                <w:lang w:val="en-US" w:eastAsia="zh-CN"/>
              </w:rPr>
              <w:t>m</w:t>
            </w:r>
            <w:r>
              <w:rPr>
                <w:rFonts w:hint="eastAsia" w:cs="Times New Roman"/>
                <w:color w:val="auto"/>
                <w:sz w:val="21"/>
                <w:szCs w:val="21"/>
                <w:highlight w:val="none"/>
                <w:lang w:val="en-US" w:eastAsia="zh-CN"/>
              </w:rPr>
              <w:t>/80m</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690</w:t>
            </w:r>
            <w:r>
              <w:rPr>
                <w:rFonts w:hint="eastAsia" w:ascii="Times New Roman" w:hAnsi="Times New Roman" w:cs="Times New Roman"/>
                <w:color w:val="auto"/>
                <w:sz w:val="21"/>
                <w:szCs w:val="21"/>
                <w:highlight w:val="none"/>
                <w:lang w:val="en-US" w:eastAsia="zh-CN"/>
              </w:rPr>
              <w:t>m</w:t>
            </w:r>
            <w:r>
              <w:rPr>
                <w:rFonts w:hint="eastAsia" w:cs="Times New Roman"/>
                <w:color w:val="auto"/>
                <w:sz w:val="21"/>
                <w:szCs w:val="21"/>
                <w:highlight w:val="none"/>
                <w:lang w:val="en-US" w:eastAsia="zh-CN"/>
              </w:rPr>
              <w:t>/840m</w:t>
            </w:r>
            <w:r>
              <w:rPr>
                <w:rFonts w:hint="eastAsia" w:ascii="Times New Roman" w:hAnsi="Times New Roman" w:cs="Times New Roman"/>
                <w:color w:val="auto"/>
                <w:sz w:val="21"/>
                <w:szCs w:val="21"/>
                <w:highlight w:val="none"/>
                <w:lang w:val="en-US" w:eastAsia="zh-CN"/>
              </w:rPr>
              <w:t>，均不存在环境风险保护目标</w:t>
            </w:r>
            <w:r>
              <w:rPr>
                <w:rFonts w:hint="default" w:ascii="Times New Roman" w:hAnsi="Times New Roman" w:cs="Times New Roman"/>
                <w:color w:val="auto"/>
                <w:sz w:val="21"/>
                <w:szCs w:val="21"/>
                <w:highlight w:val="none"/>
                <w:lang w:val="en-US" w:eastAsia="zh-CN"/>
              </w:rPr>
              <w:t>。</w:t>
            </w:r>
          </w:p>
        </w:tc>
      </w:tr>
      <w:tr w14:paraId="293C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63" w:type="pct"/>
            <w:vMerge w:val="continue"/>
            <w:noWrap w:val="0"/>
            <w:vAlign w:val="center"/>
          </w:tcPr>
          <w:p w14:paraId="79E75129">
            <w:pPr>
              <w:pStyle w:val="24"/>
              <w:bidi w:val="0"/>
              <w:rPr>
                <w:rFonts w:hint="default" w:ascii="Times New Roman" w:hAnsi="Times New Roman" w:cs="Times New Roman"/>
                <w:color w:val="auto"/>
                <w:highlight w:val="none"/>
              </w:rPr>
            </w:pPr>
          </w:p>
        </w:tc>
        <w:tc>
          <w:tcPr>
            <w:tcW w:w="615" w:type="pct"/>
            <w:noWrap w:val="0"/>
            <w:vAlign w:val="center"/>
          </w:tcPr>
          <w:p w14:paraId="1E1C700C">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w:t>
            </w:r>
          </w:p>
        </w:tc>
        <w:tc>
          <w:tcPr>
            <w:tcW w:w="4120" w:type="pct"/>
            <w:gridSpan w:val="8"/>
            <w:noWrap w:val="0"/>
            <w:vAlign w:val="center"/>
          </w:tcPr>
          <w:p w14:paraId="454C8F77">
            <w:pPr>
              <w:pStyle w:val="24"/>
              <w:bidi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项目废水在事故情况下进入</w:t>
            </w:r>
            <w:r>
              <w:rPr>
                <w:rFonts w:hint="eastAsia" w:cs="Times New Roman"/>
                <w:color w:val="auto"/>
                <w:sz w:val="21"/>
                <w:szCs w:val="21"/>
                <w:highlight w:val="none"/>
                <w:lang w:val="en-US" w:eastAsia="zh-CN"/>
              </w:rPr>
              <w:t>通江河</w:t>
            </w:r>
            <w:r>
              <w:rPr>
                <w:rFonts w:hint="default" w:ascii="Times New Roman" w:hAnsi="Times New Roman" w:cs="Times New Roman"/>
                <w:color w:val="auto"/>
                <w:sz w:val="21"/>
                <w:szCs w:val="21"/>
                <w:highlight w:val="none"/>
              </w:rPr>
              <w:t>，其地表水环境中COD</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预测</w:t>
            </w:r>
            <w:r>
              <w:rPr>
                <w:rFonts w:hint="default" w:ascii="Times New Roman" w:hAnsi="Times New Roman" w:cs="Times New Roman"/>
                <w:color w:val="auto"/>
                <w:sz w:val="21"/>
                <w:szCs w:val="21"/>
                <w:highlight w:val="none"/>
              </w:rPr>
              <w:t>浓度</w:t>
            </w:r>
            <w:r>
              <w:rPr>
                <w:rFonts w:hint="default" w:ascii="Times New Roman" w:hAnsi="Times New Roman" w:cs="Times New Roman"/>
                <w:color w:val="auto"/>
                <w:sz w:val="21"/>
                <w:szCs w:val="21"/>
                <w:highlight w:val="none"/>
                <w:lang w:val="en-US" w:eastAsia="zh-CN"/>
              </w:rPr>
              <w:t>均</w:t>
            </w:r>
            <w:r>
              <w:rPr>
                <w:rFonts w:hint="default" w:ascii="Times New Roman" w:hAnsi="Times New Roman" w:cs="Times New Roman"/>
                <w:color w:val="auto"/>
                <w:sz w:val="21"/>
                <w:szCs w:val="21"/>
                <w:highlight w:val="none"/>
              </w:rPr>
              <w:t>未超过《地表水环境质量标准》（GB3838-2002）</w:t>
            </w:r>
            <w:r>
              <w:rPr>
                <w:rFonts w:hint="default" w:ascii="Times New Roman" w:hAnsi="Times New Roman" w:cs="Times New Roman"/>
                <w:color w:val="auto"/>
                <w:sz w:val="21"/>
                <w:szCs w:val="21"/>
              </w:rPr>
              <w:t>Ⅲ类</w:t>
            </w:r>
            <w:r>
              <w:rPr>
                <w:rFonts w:hint="default" w:ascii="Times New Roman" w:hAnsi="Times New Roman" w:cs="Times New Roman"/>
                <w:color w:val="auto"/>
                <w:sz w:val="21"/>
                <w:szCs w:val="21"/>
                <w:highlight w:val="none"/>
              </w:rPr>
              <w:t>标准，</w:t>
            </w:r>
            <w:r>
              <w:rPr>
                <w:rFonts w:hint="eastAsia" w:cs="Times New Roman"/>
                <w:color w:val="auto"/>
                <w:sz w:val="21"/>
                <w:szCs w:val="21"/>
                <w:highlight w:val="none"/>
                <w:lang w:val="en-US" w:eastAsia="zh-CN"/>
              </w:rPr>
              <w:t>且下游纳溪口国控断面预测浓度能达到Ⅱ类水域标准要求，</w:t>
            </w:r>
            <w:r>
              <w:rPr>
                <w:rFonts w:hint="default" w:ascii="Times New Roman" w:hAnsi="Times New Roman" w:cs="Times New Roman"/>
                <w:color w:val="auto"/>
                <w:sz w:val="21"/>
                <w:szCs w:val="21"/>
                <w:highlight w:val="none"/>
              </w:rPr>
              <w:t>即项目废水</w:t>
            </w:r>
            <w:r>
              <w:rPr>
                <w:rFonts w:hint="default" w:ascii="Times New Roman" w:hAnsi="Times New Roman" w:cs="Times New Roman"/>
                <w:color w:val="auto"/>
                <w:sz w:val="21"/>
                <w:szCs w:val="21"/>
                <w:highlight w:val="none"/>
                <w:lang w:val="en-US" w:eastAsia="zh-CN"/>
              </w:rPr>
              <w:t>事故排放</w:t>
            </w:r>
            <w:r>
              <w:rPr>
                <w:rFonts w:hint="default" w:ascii="Times New Roman" w:hAnsi="Times New Roman" w:cs="Times New Roman"/>
                <w:color w:val="auto"/>
                <w:sz w:val="21"/>
                <w:szCs w:val="21"/>
                <w:highlight w:val="none"/>
              </w:rPr>
              <w:t>不会导致</w:t>
            </w:r>
            <w:r>
              <w:rPr>
                <w:rFonts w:hint="eastAsia" w:cs="Times New Roman"/>
                <w:color w:val="auto"/>
                <w:sz w:val="21"/>
                <w:szCs w:val="21"/>
                <w:highlight w:val="none"/>
                <w:lang w:val="en-US" w:eastAsia="zh-CN"/>
              </w:rPr>
              <w:t>通江河</w:t>
            </w:r>
            <w:r>
              <w:rPr>
                <w:rFonts w:hint="default" w:ascii="Times New Roman" w:hAnsi="Times New Roman" w:cs="Times New Roman"/>
                <w:color w:val="auto"/>
                <w:sz w:val="21"/>
                <w:szCs w:val="21"/>
                <w:highlight w:val="none"/>
              </w:rPr>
              <w:t>水质超标。</w:t>
            </w:r>
          </w:p>
        </w:tc>
      </w:tr>
      <w:tr w14:paraId="48C1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263" w:type="pct"/>
            <w:vMerge w:val="continue"/>
            <w:noWrap w:val="0"/>
            <w:vAlign w:val="center"/>
          </w:tcPr>
          <w:p w14:paraId="725FBF56">
            <w:pPr>
              <w:pStyle w:val="24"/>
              <w:bidi w:val="0"/>
              <w:rPr>
                <w:rFonts w:hint="default" w:ascii="Times New Roman" w:hAnsi="Times New Roman" w:cs="Times New Roman"/>
                <w:color w:val="auto"/>
                <w:highlight w:val="none"/>
              </w:rPr>
            </w:pPr>
          </w:p>
        </w:tc>
        <w:tc>
          <w:tcPr>
            <w:tcW w:w="615" w:type="pct"/>
            <w:noWrap w:val="0"/>
            <w:vAlign w:val="center"/>
          </w:tcPr>
          <w:p w14:paraId="37B024DA">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w:t>
            </w:r>
          </w:p>
        </w:tc>
        <w:tc>
          <w:tcPr>
            <w:tcW w:w="4120" w:type="pct"/>
            <w:gridSpan w:val="8"/>
            <w:noWrap w:val="0"/>
            <w:vAlign w:val="center"/>
          </w:tcPr>
          <w:p w14:paraId="32D7A9B6">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项目非正常状况下将对下游地下水局部水质造成污染，环评要求：运营期应严格落实环评提出的地下水污染防治措施</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定期对地下水水质进行监测，如发现水质异常，</w:t>
            </w:r>
            <w:r>
              <w:rPr>
                <w:rFonts w:hint="default" w:ascii="Times New Roman" w:hAnsi="Times New Roman" w:cs="Times New Roman"/>
                <w:color w:val="auto"/>
                <w:highlight w:val="none"/>
                <w:lang w:val="en-US" w:eastAsia="zh-CN"/>
              </w:rPr>
              <w:t>应</w:t>
            </w:r>
            <w:r>
              <w:rPr>
                <w:rFonts w:hint="default" w:ascii="Times New Roman" w:hAnsi="Times New Roman" w:cs="Times New Roman"/>
                <w:color w:val="auto"/>
                <w:highlight w:val="none"/>
              </w:rPr>
              <w:t>立刻采取有效措施切断污染源并阻止污染羽的扩散迁移，将地下水控制在局部范围，避免对厂区下游地下水造成污染。</w:t>
            </w:r>
          </w:p>
        </w:tc>
      </w:tr>
      <w:tr w14:paraId="5CA8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noWrap w:val="0"/>
            <w:vAlign w:val="center"/>
          </w:tcPr>
          <w:p w14:paraId="368698DF">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重点风险</w:t>
            </w:r>
          </w:p>
          <w:p w14:paraId="084A3862">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防范措施</w:t>
            </w:r>
          </w:p>
        </w:tc>
        <w:tc>
          <w:tcPr>
            <w:tcW w:w="4120" w:type="pct"/>
            <w:gridSpan w:val="8"/>
            <w:noWrap w:val="0"/>
            <w:vAlign w:val="center"/>
          </w:tcPr>
          <w:p w14:paraId="66B0452A">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本项目在设计上考虑了环境风险防范措施，包括总平面布置、工艺及设备、自动控制、消防和火灾报警系统等方面考虑了环境风险防范措施，企业采取了风险事故废水防控体系。</w:t>
            </w:r>
          </w:p>
          <w:p w14:paraId="34CA724C">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次环评对企业编制突发环境事件应急预案提出了要求，并明确建立“企业-园区-地方政府”三级环境风险应急体系，为控制本项目可能发生的各类环境风险事故、降低并消除其环境影响，提供有效的组织保障、措施保障。</w:t>
            </w:r>
          </w:p>
        </w:tc>
      </w:tr>
      <w:tr w14:paraId="0BD2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879" w:type="pct"/>
            <w:gridSpan w:val="2"/>
            <w:noWrap w:val="0"/>
            <w:vAlign w:val="center"/>
          </w:tcPr>
          <w:p w14:paraId="08A11399">
            <w:pPr>
              <w:pStyle w:val="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评价结论与建议</w:t>
            </w:r>
          </w:p>
        </w:tc>
        <w:tc>
          <w:tcPr>
            <w:tcW w:w="4120" w:type="pct"/>
            <w:gridSpan w:val="8"/>
            <w:noWrap w:val="0"/>
            <w:vAlign w:val="center"/>
          </w:tcPr>
          <w:p w14:paraId="0A7FFC65">
            <w:pPr>
              <w:pStyle w:val="24"/>
              <w:bidi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运营期落实本报告提出的各项措施、建立和落实各项风险预警防范措施和事故</w:t>
            </w:r>
            <w:r>
              <w:rPr>
                <w:rFonts w:hint="default" w:ascii="Times New Roman" w:hAnsi="Times New Roman" w:cs="Times New Roman"/>
                <w:color w:val="auto"/>
                <w:highlight w:val="none"/>
                <w:lang w:eastAsia="zh-CN"/>
              </w:rPr>
              <w:t>应急预案</w:t>
            </w:r>
            <w:r>
              <w:rPr>
                <w:rFonts w:hint="default" w:ascii="Times New Roman" w:hAnsi="Times New Roman" w:cs="Times New Roman"/>
                <w:color w:val="auto"/>
                <w:highlight w:val="none"/>
              </w:rPr>
              <w:t>，杜绝重大安全事故和重大环境污染事故的发生，可使项目建成后风险水平处于可接受程度。</w:t>
            </w:r>
          </w:p>
        </w:tc>
      </w:tr>
      <w:tr w14:paraId="1A3B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5000" w:type="pct"/>
            <w:gridSpan w:val="10"/>
            <w:noWrap w:val="0"/>
            <w:vAlign w:val="center"/>
          </w:tcPr>
          <w:p w14:paraId="4C249D40">
            <w:pPr>
              <w:pStyle w:val="24"/>
              <w:bidi w:val="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注：</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rPr>
              <w:t>□</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rPr>
              <w:t>为勾选项；</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rPr>
              <w:t xml:space="preserve">     </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rPr>
              <w:t>为内容填写项。</w:t>
            </w:r>
          </w:p>
        </w:tc>
      </w:tr>
    </w:tbl>
    <w:p w14:paraId="5D3A0CF9">
      <w:pPr>
        <w:pStyle w:val="2"/>
        <w:bidi w:val="0"/>
        <w:ind w:left="432" w:leftChars="0" w:hanging="432" w:firstLineChars="0"/>
        <w:rPr>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5C572332">
      <w:pPr>
        <w:pStyle w:val="2"/>
        <w:bidi w:val="0"/>
        <w:ind w:left="432" w:leftChars="0" w:hanging="432" w:firstLineChars="0"/>
        <w:rPr>
          <w:color w:val="auto"/>
          <w:highlight w:val="none"/>
        </w:rPr>
      </w:pPr>
      <w:bookmarkStart w:id="235" w:name="_Toc18279"/>
      <w:r>
        <w:rPr>
          <w:rFonts w:hint="eastAsia"/>
          <w:color w:val="auto"/>
          <w:highlight w:val="none"/>
        </w:rPr>
        <w:t>环境保护措施及其可行性论证</w:t>
      </w:r>
      <w:bookmarkEnd w:id="235"/>
    </w:p>
    <w:p w14:paraId="24CA73BA">
      <w:pPr>
        <w:pStyle w:val="3"/>
        <w:bidi w:val="0"/>
        <w:rPr>
          <w:rFonts w:hint="default" w:ascii="Times New Roman" w:hAnsi="Times New Roman" w:cs="Times New Roman"/>
          <w:color w:val="auto"/>
          <w:highlight w:val="none"/>
          <w:lang w:val="en-US" w:eastAsia="zh-CN"/>
        </w:rPr>
      </w:pPr>
      <w:bookmarkStart w:id="236" w:name="_Toc461524958"/>
      <w:bookmarkStart w:id="237" w:name="_Toc91570335"/>
      <w:bookmarkStart w:id="238" w:name="_Toc12109"/>
      <w:bookmarkStart w:id="239" w:name="_Toc26604"/>
      <w:bookmarkStart w:id="240" w:name="_Toc15219"/>
      <w:bookmarkStart w:id="241" w:name="_Toc21162"/>
      <w:r>
        <w:rPr>
          <w:rFonts w:hint="eastAsia" w:ascii="Times New Roman" w:hAnsi="Times New Roman" w:cs="Times New Roman"/>
          <w:color w:val="auto"/>
          <w:highlight w:val="none"/>
          <w:lang w:val="en-US" w:eastAsia="zh-CN"/>
        </w:rPr>
        <w:t>环境保护措施可行性</w:t>
      </w:r>
      <w:bookmarkEnd w:id="236"/>
      <w:r>
        <w:rPr>
          <w:rFonts w:hint="eastAsia" w:ascii="Times New Roman" w:hAnsi="Times New Roman" w:cs="Times New Roman"/>
          <w:color w:val="auto"/>
          <w:highlight w:val="none"/>
          <w:lang w:val="en-US" w:eastAsia="zh-CN"/>
        </w:rPr>
        <w:t>论证</w:t>
      </w:r>
      <w:bookmarkEnd w:id="237"/>
      <w:bookmarkEnd w:id="238"/>
      <w:bookmarkEnd w:id="239"/>
      <w:bookmarkEnd w:id="240"/>
      <w:bookmarkEnd w:id="241"/>
    </w:p>
    <w:p w14:paraId="79633FF6">
      <w:pPr>
        <w:pStyle w:val="4"/>
        <w:bidi w:val="0"/>
        <w:ind w:left="1855" w:leftChars="0" w:hanging="1855" w:firstLineChars="0"/>
        <w:rPr>
          <w:rFonts w:hint="default"/>
          <w:color w:val="auto"/>
          <w:highlight w:val="none"/>
        </w:rPr>
      </w:pPr>
      <w:r>
        <w:rPr>
          <w:rFonts w:hint="eastAsia"/>
          <w:color w:val="auto"/>
          <w:highlight w:val="none"/>
          <w:lang w:val="en-US" w:eastAsia="zh-CN"/>
        </w:rPr>
        <w:t>废气</w:t>
      </w:r>
      <w:r>
        <w:rPr>
          <w:color w:val="auto"/>
          <w:highlight w:val="none"/>
        </w:rPr>
        <w:t>治理措施可行性</w:t>
      </w:r>
      <w:r>
        <w:rPr>
          <w:rFonts w:hint="eastAsia"/>
          <w:color w:val="auto"/>
          <w:highlight w:val="none"/>
        </w:rPr>
        <w:t>论证</w:t>
      </w:r>
    </w:p>
    <w:p w14:paraId="4D5EE1FA">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eastAsia" w:cs="Times New Roman"/>
          <w:b/>
          <w:bCs/>
          <w:color w:val="auto"/>
          <w:highlight w:val="none"/>
          <w:lang w:val="en-US" w:eastAsia="zh-CN"/>
        </w:rPr>
        <w:t>工艺废气</w:t>
      </w:r>
    </w:p>
    <w:p w14:paraId="1E58C0A2">
      <w:pPr>
        <w:pStyle w:val="26"/>
        <w:bidi w:val="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本项目工艺废气包括投料粉尘、罐区呼吸废气、生产废气</w:t>
      </w:r>
      <w:r>
        <w:rPr>
          <w:rFonts w:hint="eastAsia" w:cs="Times New Roman"/>
          <w:b w:val="0"/>
          <w:bCs w:val="0"/>
          <w:color w:val="auto"/>
          <w:highlight w:val="none"/>
          <w:lang w:val="en-US" w:eastAsia="zh-CN"/>
        </w:rPr>
        <w:t>，主要污染物</w:t>
      </w:r>
      <w:r>
        <w:rPr>
          <w:rFonts w:hint="eastAsia" w:ascii="Times New Roman" w:hAnsi="Times New Roman" w:eastAsia="宋体" w:cs="Times New Roman"/>
          <w:color w:val="auto"/>
          <w:highlight w:val="none"/>
          <w:lang w:val="en-US" w:eastAsia="zh-CN"/>
        </w:rPr>
        <w:t>为颗粒物</w:t>
      </w:r>
      <w:r>
        <w:rPr>
          <w:rFonts w:hint="eastAsia" w:cs="Times New Roman"/>
          <w:color w:val="auto"/>
          <w:highlight w:val="none"/>
          <w:lang w:val="en-US" w:eastAsia="zh-CN"/>
        </w:rPr>
        <w:t>、</w:t>
      </w:r>
      <w:r>
        <w:rPr>
          <w:rFonts w:hint="eastAsia"/>
          <w:color w:val="auto"/>
          <w:lang w:val="en-US" w:eastAsia="zh-CN"/>
        </w:rPr>
        <w:t>硫酸雾、氟化物、VOCs等。</w:t>
      </w:r>
    </w:p>
    <w:p w14:paraId="39E00112">
      <w:pPr>
        <w:pStyle w:val="26"/>
        <w:bidi w:val="0"/>
        <w:rPr>
          <w:rFonts w:hint="eastAsia"/>
          <w:color w:val="auto"/>
          <w:highlight w:val="none"/>
          <w:lang w:val="en-US" w:eastAsia="zh-CN"/>
        </w:rPr>
      </w:pP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1</w:t>
      </w: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拟采取的废气治理措施</w:t>
      </w:r>
    </w:p>
    <w:p w14:paraId="3CDC241B">
      <w:pPr>
        <w:pStyle w:val="26"/>
        <w:bidi w:val="0"/>
        <w:rPr>
          <w:rFonts w:hint="eastAsia" w:ascii="Times New Roman" w:hAnsi="Times New Roman" w:cs="Times New Roman"/>
          <w:color w:val="auto"/>
          <w:highlight w:val="none"/>
          <w:lang w:val="en-US" w:eastAsia="zh-CN"/>
        </w:rPr>
      </w:pPr>
      <w:r>
        <w:rPr>
          <w:rFonts w:hint="eastAsia"/>
          <w:color w:val="auto"/>
          <w:highlight w:val="none"/>
          <w:lang w:val="en-US" w:eastAsia="zh-CN"/>
        </w:rPr>
        <w:t>在化料罐、B料配置罐、备用配置罐、复配预混罐、复配罐投料口上方设置集气罩（共6个，单个罩面周长2.4m），丙烯酸储罐、丙烯酸羟乙酯储罐、丙烯酸计量罐、巯基乙醇计量罐、巯基丙酸计量罐、A料配置罐、B料配置罐、备用配置罐、硫酸储罐、氟硅酸储罐、硫酸滴加罐、硫酸铝反应釜、氟硅酸计量罐、无碱速凝剂合成釜、基础油储罐、乳化剂计量罐、乳化油型复配罐、水乳型复配罐排气阀设密闭集气管道（共28根），</w:t>
      </w:r>
      <w:r>
        <w:rPr>
          <w:rFonts w:hint="eastAsia" w:cs="Courier New"/>
          <w:b w:val="0"/>
          <w:color w:val="auto"/>
          <w:highlight w:val="none"/>
          <w:lang w:val="en-US" w:eastAsia="zh-CN"/>
        </w:rPr>
        <w:t>并设</w:t>
      </w:r>
      <w:r>
        <w:rPr>
          <w:rFonts w:hint="default" w:ascii="Times New Roman" w:hAnsi="Times New Roman" w:eastAsia="宋体" w:cs="Courier New"/>
          <w:b w:val="0"/>
          <w:color w:val="auto"/>
          <w:highlight w:val="none"/>
          <w:lang w:val="en-US" w:eastAsia="zh-CN"/>
        </w:rPr>
        <w:t>1套二级碱喷淋（自带除雾装置）+</w:t>
      </w:r>
      <w:r>
        <w:rPr>
          <w:rFonts w:hint="eastAsia" w:cs="Courier New"/>
          <w:b w:val="0"/>
          <w:color w:val="auto"/>
          <w:highlight w:val="none"/>
          <w:lang w:val="en-US" w:eastAsia="zh-CN"/>
        </w:rPr>
        <w:t>两级</w:t>
      </w:r>
      <w:r>
        <w:rPr>
          <w:rFonts w:hint="default" w:ascii="Times New Roman" w:hAnsi="Times New Roman" w:eastAsia="宋体" w:cs="Courier New"/>
          <w:b w:val="0"/>
          <w:color w:val="auto"/>
          <w:highlight w:val="none"/>
          <w:lang w:val="en-US" w:eastAsia="zh-CN"/>
        </w:rPr>
        <w:t>活性炭吸附装置（TA001）</w:t>
      </w:r>
      <w:r>
        <w:rPr>
          <w:rFonts w:hint="eastAsia" w:cs="Courier New"/>
          <w:b w:val="0"/>
          <w:color w:val="auto"/>
          <w:highlight w:val="none"/>
          <w:lang w:val="en-US" w:eastAsia="zh-CN"/>
        </w:rPr>
        <w:t>，工艺废气经收集处理后通过1根距地面15m高排气筒（DA001）排放</w:t>
      </w:r>
      <w:r>
        <w:rPr>
          <w:rFonts w:hint="eastAsia"/>
          <w:color w:val="auto"/>
          <w:highlight w:val="none"/>
          <w:lang w:val="en-US" w:eastAsia="zh-CN"/>
        </w:rPr>
        <w:t>。</w:t>
      </w:r>
    </w:p>
    <w:p w14:paraId="0E1B56EA">
      <w:pPr>
        <w:ind w:left="0" w:leftChars="0" w:firstLine="482" w:firstLineChars="200"/>
        <w:rPr>
          <w:rFonts w:hint="eastAsia" w:ascii="Times New Roman" w:hAnsi="Times New Roman" w:eastAsia="宋体" w:cs="Times New Roman"/>
          <w:b w:val="0"/>
          <w:bCs/>
          <w:color w:val="auto"/>
          <w:sz w:val="24"/>
          <w:lang w:val="en-US" w:eastAsia="zh-CN"/>
        </w:rPr>
      </w:pPr>
      <w:r>
        <w:rPr>
          <w:rFonts w:hint="eastAsia" w:ascii="Times New Roman" w:hAnsi="Times New Roman" w:cs="Times New Roman"/>
          <w:b/>
          <w:bCs/>
          <w:color w:val="auto"/>
          <w:highlight w:val="none"/>
          <w:lang w:val="en-US" w:eastAsia="zh-CN"/>
        </w:rPr>
        <w:t>（2）废气治理措施的可行性</w:t>
      </w:r>
    </w:p>
    <w:p w14:paraId="1716EF4F">
      <w:pPr>
        <w:pStyle w:val="26"/>
        <w:bidi w:val="0"/>
        <w:ind w:left="0" w:leftChars="0" w:firstLine="482" w:firstLineChars="200"/>
        <w:rPr>
          <w:rFonts w:hint="eastAsia"/>
          <w:b/>
          <w:bCs/>
          <w:color w:val="auto"/>
          <w:highlight w:val="none"/>
          <w:lang w:val="en-US" w:eastAsia="zh-CN"/>
        </w:rPr>
      </w:pPr>
      <w:r>
        <w:rPr>
          <w:rFonts w:hint="eastAsia" w:ascii="Times New Roman" w:hAnsi="Times New Roman"/>
          <w:b/>
          <w:bCs/>
          <w:color w:val="auto"/>
          <w:sz w:val="24"/>
          <w:szCs w:val="24"/>
          <w:lang w:val="en-US" w:eastAsia="zh-CN"/>
        </w:rPr>
        <w:t>①二级碱喷淋（自带除雾装置）+两级活性炭吸附装置</w:t>
      </w:r>
      <w:r>
        <w:rPr>
          <w:rFonts w:hint="eastAsia"/>
          <w:b/>
          <w:bCs/>
          <w:color w:val="auto"/>
          <w:highlight w:val="none"/>
          <w:lang w:val="en-US" w:eastAsia="zh-CN"/>
        </w:rPr>
        <w:t>工作原理及工艺特点</w:t>
      </w:r>
    </w:p>
    <w:p w14:paraId="258FC419">
      <w:pPr>
        <w:pStyle w:val="26"/>
        <w:bidi w:val="0"/>
        <w:ind w:left="0" w:leftChars="0" w:firstLine="480" w:firstLineChars="200"/>
        <w:rPr>
          <w:rFonts w:hint="eastAsia"/>
          <w:b w:val="0"/>
          <w:bCs w:val="0"/>
          <w:color w:val="auto"/>
          <w:highlight w:val="none"/>
          <w:lang w:val="en-US" w:eastAsia="zh-CN"/>
        </w:rPr>
      </w:pPr>
      <w:r>
        <w:rPr>
          <w:rFonts w:hint="eastAsia"/>
          <w:b w:val="0"/>
          <w:bCs w:val="0"/>
          <w:color w:val="auto"/>
          <w:highlight w:val="none"/>
          <w:lang w:val="en-US" w:eastAsia="zh-CN"/>
        </w:rPr>
        <w:t>碱喷淋塔：废气通过管道依次进入二级碱喷淋塔的底部，在喷淋塔的顶部，通过喷嘴喷洒均匀的碱性溶液（氢氧化钠），这些碱性溶液与废气中的酸性物质（</w:t>
      </w:r>
      <w:r>
        <w:rPr>
          <w:rFonts w:hint="eastAsia"/>
          <w:color w:val="auto"/>
          <w:highlight w:val="none"/>
          <w:lang w:val="en-US" w:eastAsia="zh-CN"/>
        </w:rPr>
        <w:t>硫酸雾、氟化物</w:t>
      </w:r>
      <w:r>
        <w:rPr>
          <w:rFonts w:hint="eastAsia"/>
          <w:b w:val="0"/>
          <w:bCs w:val="0"/>
          <w:color w:val="auto"/>
          <w:highlight w:val="none"/>
          <w:lang w:val="en-US" w:eastAsia="zh-CN"/>
        </w:rPr>
        <w:t>）充分接触，废气中的酸性废气与喷淋介质发生中和反应，生成无害的盐类物质和水，此外，废气中含有的少量粉尘与喷淋介质接触后，自重增加，自然沉降至喷淋塔的底部。废气中粉尘和酸性废气经去除后，通过喷淋塔顶部的除雾装置去除水雾，然后进入二级活性炭吸附装置去除废气中的有机废气。</w:t>
      </w:r>
    </w:p>
    <w:p w14:paraId="10006FAC">
      <w:pPr>
        <w:ind w:left="0" w:leftChars="0" w:firstLine="480" w:firstLineChars="200"/>
        <w:rPr>
          <w:rFonts w:hint="default" w:ascii="Times New Roman" w:hAnsi="Times New Roman" w:eastAsia="宋体" w:cs="Times New Roman"/>
          <w:i w:val="0"/>
          <w:iCs w:val="0"/>
          <w:caps w:val="0"/>
          <w:color w:val="auto"/>
          <w:spacing w:val="0"/>
          <w:sz w:val="24"/>
          <w:szCs w:val="24"/>
          <w:shd w:val="clear" w:fill="FFFFFF"/>
          <w:lang w:eastAsia="zh-CN"/>
        </w:rPr>
      </w:pPr>
      <w:r>
        <w:rPr>
          <w:rFonts w:hint="eastAsia"/>
          <w:b w:val="0"/>
          <w:bCs w:val="0"/>
          <w:color w:val="auto"/>
          <w:highlight w:val="none"/>
          <w:lang w:val="en-US" w:eastAsia="zh-CN"/>
        </w:rPr>
        <w:t>活性炭吸附装置：利用活性炭表面的吸附能力，使废气与大表面的多孔性固体物质相接触，废气中的污染物被吸附在固体表面上，使其与气体混合物分离，达到净化目的。活性炭吸附是一种对有机废气较为成熟的处理工艺。</w:t>
      </w:r>
    </w:p>
    <w:p w14:paraId="25979A1D">
      <w:pPr>
        <w:ind w:left="0" w:leftChars="0" w:firstLine="482" w:firstLineChars="200"/>
        <w:rPr>
          <w:rFonts w:hint="eastAsia" w:ascii="Times New Roman" w:hAnsi="Times New Roman"/>
          <w:color w:val="auto"/>
          <w:sz w:val="24"/>
          <w:szCs w:val="24"/>
          <w:lang w:val="en-US" w:eastAsia="zh-CN"/>
        </w:rPr>
      </w:pPr>
      <w:r>
        <w:rPr>
          <w:rFonts w:hint="eastAsia" w:ascii="Times New Roman" w:hAnsi="Times New Roman"/>
          <w:b/>
          <w:bCs/>
          <w:color w:val="auto"/>
          <w:sz w:val="24"/>
          <w:szCs w:val="24"/>
          <w:lang w:val="en-US" w:eastAsia="zh-CN"/>
        </w:rPr>
        <w:t>②《排污许可证申请与核发技术规范 专用化学产品制造工业》（HJ1103-2020）中废气治理可行技术</w:t>
      </w:r>
    </w:p>
    <w:p w14:paraId="52C487AA">
      <w:pPr>
        <w:ind w:left="0" w:leftChars="0" w:firstLine="480" w:firstLineChars="200"/>
        <w:rPr>
          <w:rFonts w:hint="eastAsia" w:ascii="Times New Roman" w:hAnsi="Times New Roman" w:cs="Times New Roman"/>
          <w:b w:val="0"/>
          <w:bCs w:val="0"/>
          <w:color w:val="auto"/>
          <w:highlight w:val="none"/>
          <w:lang w:val="en-US" w:eastAsia="zh-CN"/>
        </w:rPr>
      </w:pPr>
      <w:r>
        <w:rPr>
          <w:rFonts w:hint="default"/>
          <w:color w:val="auto"/>
          <w:highlight w:val="none"/>
          <w:lang w:val="en-US" w:eastAsia="zh-CN"/>
        </w:rPr>
        <w:t>根据</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color w:val="auto"/>
          <w:highlight w:val="none"/>
          <w:lang w:val="en-US" w:eastAsia="zh-CN"/>
        </w:rPr>
        <w:t>，专项化学用品及助剂-建工建材用化学助剂生产/反应单元产生的颗粒物、VOCs、其他废气污染防治设施为罐体密闭；废气收集处理后有组织排放；活性炭吸附；冷凝；其他。本项目采用二级碱喷淋（自带除雾装置）+两级活性炭吸附装置去除工艺废气，</w:t>
      </w:r>
      <w:r>
        <w:rPr>
          <w:rFonts w:hint="eastAsia" w:ascii="Times New Roman" w:hAnsi="Times New Roman" w:cs="Times New Roman"/>
          <w:color w:val="auto"/>
          <w:highlight w:val="none"/>
          <w:lang w:val="en-US" w:eastAsia="zh-CN"/>
        </w:rPr>
        <w:t>属于</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cs="Times New Roman"/>
          <w:b w:val="0"/>
          <w:bCs w:val="0"/>
          <w:color w:val="auto"/>
          <w:highlight w:val="none"/>
          <w:lang w:val="en-US" w:eastAsia="zh-CN"/>
        </w:rPr>
        <w:t>中废气治理可行技术。</w:t>
      </w:r>
    </w:p>
    <w:p w14:paraId="7DA0D97F">
      <w:pPr>
        <w:ind w:left="0" w:leftChars="0" w:firstLine="480" w:firstLineChars="200"/>
        <w:rPr>
          <w:rFonts w:hint="eastAsia" w:ascii="Times New Roman" w:hAnsi="Times New Roman" w:cs="Times New Roman"/>
          <w:b w:val="0"/>
          <w:bCs w:val="0"/>
          <w:color w:val="auto"/>
          <w:highlight w:val="none"/>
          <w:lang w:val="en-US" w:eastAsia="zh-CN"/>
        </w:rPr>
      </w:pPr>
      <w:r>
        <w:rPr>
          <w:rFonts w:hint="eastAsia"/>
          <w:bCs/>
          <w:color w:val="auto"/>
          <w:sz w:val="24"/>
          <w:lang w:val="en-US" w:eastAsia="zh-CN"/>
        </w:rPr>
        <w:t>同时，</w:t>
      </w:r>
      <w:r>
        <w:rPr>
          <w:rFonts w:hint="eastAsia"/>
          <w:b w:val="0"/>
          <w:bCs/>
          <w:color w:val="auto"/>
          <w:sz w:val="24"/>
          <w:highlight w:val="none"/>
          <w:lang w:val="en-US" w:eastAsia="zh-CN"/>
        </w:rPr>
        <w:t>根据《四川省挥发性有机物治理之</w:t>
      </w:r>
      <w:r>
        <w:rPr>
          <w:rFonts w:hint="default" w:ascii="Times New Roman" w:hAnsi="Times New Roman" w:cs="Times New Roman"/>
          <w:b w:val="0"/>
          <w:bCs/>
          <w:color w:val="auto"/>
          <w:sz w:val="24"/>
          <w:highlight w:val="none"/>
          <w:lang w:val="en-US" w:eastAsia="zh-CN"/>
        </w:rPr>
        <w:t>活性炭使用管理常见问题工具书》，活性炭吸附装置处理中低浓度、低湿度、低含尘的挥发性有机和无机污染物，如苯类、酮类、醇类、醚类、烷类及其混合类有机废气、酸性废气、碱性废气等；采用活性炭吸附工艺的，原则上挥发性有机物产生浓度不超过300mg/m</w:t>
      </w:r>
      <w:r>
        <w:rPr>
          <w:rFonts w:hint="default" w:ascii="Times New Roman" w:hAnsi="Times New Roman" w:cs="Times New Roman"/>
          <w:b w:val="0"/>
          <w:bCs/>
          <w:color w:val="auto"/>
          <w:sz w:val="24"/>
          <w:highlight w:val="none"/>
          <w:vertAlign w:val="superscript"/>
          <w:lang w:val="en-US" w:eastAsia="zh-CN"/>
        </w:rPr>
        <w:t>3</w:t>
      </w:r>
      <w:r>
        <w:rPr>
          <w:rFonts w:hint="default" w:ascii="Times New Roman" w:hAnsi="Times New Roman" w:cs="Times New Roman"/>
          <w:b w:val="0"/>
          <w:bCs/>
          <w:color w:val="auto"/>
          <w:sz w:val="24"/>
          <w:highlight w:val="none"/>
          <w:lang w:val="en-US" w:eastAsia="zh-CN"/>
        </w:rPr>
        <w:t>；进入活性炭吸附装置的废气温度宜低于40摄氏度，使用颗粒状活性炭的废气湿度宜低于50%、使用蜂窝状活性炭的废气湿度宜低于60%，颗粒物含量宜低于1毫克/立方米为宜。本项目</w:t>
      </w:r>
      <w:r>
        <w:rPr>
          <w:rFonts w:hint="eastAsia" w:ascii="Times New Roman" w:hAnsi="Times New Roman" w:cs="Times New Roman"/>
          <w:b w:val="0"/>
          <w:bCs/>
          <w:color w:val="auto"/>
          <w:sz w:val="24"/>
          <w:highlight w:val="none"/>
          <w:lang w:val="en-US" w:eastAsia="zh-CN"/>
        </w:rPr>
        <w:t>工艺</w:t>
      </w:r>
      <w:r>
        <w:rPr>
          <w:rFonts w:hint="default" w:ascii="Times New Roman" w:hAnsi="Times New Roman" w:cs="Times New Roman"/>
          <w:b w:val="0"/>
          <w:bCs/>
          <w:color w:val="auto"/>
          <w:sz w:val="24"/>
          <w:highlight w:val="none"/>
          <w:lang w:val="en-US" w:eastAsia="zh-CN"/>
        </w:rPr>
        <w:t>废气</w:t>
      </w:r>
      <w:r>
        <w:rPr>
          <w:rFonts w:hint="eastAsia" w:ascii="Times New Roman" w:hAnsi="Times New Roman" w:cs="Times New Roman"/>
          <w:b w:val="0"/>
          <w:bCs/>
          <w:color w:val="auto"/>
          <w:sz w:val="24"/>
          <w:highlight w:val="none"/>
          <w:lang w:val="en-US" w:eastAsia="zh-CN"/>
        </w:rPr>
        <w:t>为</w:t>
      </w:r>
      <w:r>
        <w:rPr>
          <w:rFonts w:hint="default" w:ascii="Times New Roman" w:hAnsi="Times New Roman" w:cs="Times New Roman"/>
          <w:b w:val="0"/>
          <w:bCs/>
          <w:color w:val="auto"/>
          <w:sz w:val="24"/>
          <w:highlight w:val="none"/>
          <w:lang w:val="en-US" w:eastAsia="zh-CN"/>
        </w:rPr>
        <w:t>混合类</w:t>
      </w:r>
      <w:r>
        <w:rPr>
          <w:rFonts w:hint="eastAsia" w:ascii="Times New Roman" w:hAnsi="Times New Roman" w:cs="Times New Roman"/>
          <w:b w:val="0"/>
          <w:bCs/>
          <w:color w:val="auto"/>
          <w:sz w:val="24"/>
          <w:highlight w:val="none"/>
          <w:lang w:val="en-US" w:eastAsia="zh-CN"/>
        </w:rPr>
        <w:t>粉尘、</w:t>
      </w:r>
      <w:r>
        <w:rPr>
          <w:rFonts w:hint="default" w:ascii="Times New Roman" w:hAnsi="Times New Roman" w:cs="Times New Roman"/>
          <w:b w:val="0"/>
          <w:bCs/>
          <w:color w:val="auto"/>
          <w:sz w:val="24"/>
          <w:highlight w:val="none"/>
          <w:lang w:val="en-US" w:eastAsia="zh-CN"/>
        </w:rPr>
        <w:t>有机废气、酸性废气</w:t>
      </w:r>
      <w:r>
        <w:rPr>
          <w:rFonts w:hint="eastAsia" w:ascii="Times New Roman" w:hAnsi="Times New Roman" w:cs="Times New Roman"/>
          <w:b w:val="0"/>
          <w:bCs/>
          <w:color w:val="auto"/>
          <w:sz w:val="24"/>
          <w:highlight w:val="none"/>
          <w:lang w:val="en-US" w:eastAsia="zh-CN"/>
        </w:rPr>
        <w:t>，</w:t>
      </w:r>
      <w:r>
        <w:rPr>
          <w:rFonts w:hint="default" w:ascii="Times New Roman" w:hAnsi="Times New Roman" w:cs="Times New Roman"/>
          <w:b w:val="0"/>
          <w:bCs/>
          <w:color w:val="auto"/>
          <w:sz w:val="24"/>
          <w:highlight w:val="none"/>
          <w:lang w:val="en-US" w:eastAsia="zh-CN"/>
        </w:rPr>
        <w:t>废气量较小，</w:t>
      </w:r>
      <w:r>
        <w:rPr>
          <w:rFonts w:hint="eastAsia" w:ascii="Times New Roman" w:hAnsi="Times New Roman" w:cs="Times New Roman"/>
          <w:b w:val="0"/>
          <w:bCs/>
          <w:color w:val="auto"/>
          <w:sz w:val="24"/>
          <w:highlight w:val="none"/>
          <w:lang w:val="en-US" w:eastAsia="zh-CN"/>
        </w:rPr>
        <w:t>废气进入活性炭吸附装置的</w:t>
      </w:r>
      <w:r>
        <w:rPr>
          <w:rFonts w:hint="default" w:ascii="Times New Roman" w:hAnsi="Times New Roman" w:cs="Times New Roman"/>
          <w:b w:val="0"/>
          <w:bCs/>
          <w:color w:val="auto"/>
          <w:sz w:val="24"/>
          <w:highlight w:val="none"/>
          <w:lang w:val="en-US" w:eastAsia="zh-CN"/>
        </w:rPr>
        <w:t>VOCs初始浓度</w:t>
      </w:r>
      <w:r>
        <w:rPr>
          <w:rFonts w:hint="eastAsia" w:ascii="Times New Roman" w:hAnsi="Times New Roman" w:cs="Times New Roman"/>
          <w:b w:val="0"/>
          <w:bCs/>
          <w:color w:val="auto"/>
          <w:sz w:val="24"/>
          <w:highlight w:val="none"/>
          <w:lang w:val="en-US" w:eastAsia="zh-CN"/>
        </w:rPr>
        <w:t>约</w:t>
      </w:r>
      <w:r>
        <w:rPr>
          <w:rFonts w:hint="eastAsia" w:cs="Times New Roman"/>
          <w:b w:val="0"/>
          <w:bCs/>
          <w:color w:val="auto"/>
          <w:sz w:val="24"/>
          <w:highlight w:val="none"/>
          <w:lang w:val="en-US" w:eastAsia="zh-CN"/>
        </w:rPr>
        <w:t>3.53</w:t>
      </w:r>
      <w:r>
        <w:rPr>
          <w:rFonts w:hint="default" w:ascii="Times New Roman" w:hAnsi="Times New Roman" w:cs="Times New Roman"/>
          <w:b w:val="0"/>
          <w:bCs/>
          <w:color w:val="auto"/>
          <w:sz w:val="24"/>
          <w:highlight w:val="none"/>
          <w:lang w:val="en-US" w:eastAsia="zh-CN"/>
        </w:rPr>
        <w:t>mg/m</w:t>
      </w:r>
      <w:r>
        <w:rPr>
          <w:rFonts w:hint="default" w:ascii="Times New Roman" w:hAnsi="Times New Roman" w:cs="Times New Roman"/>
          <w:b w:val="0"/>
          <w:bCs/>
          <w:color w:val="auto"/>
          <w:sz w:val="24"/>
          <w:highlight w:val="none"/>
          <w:vertAlign w:val="superscript"/>
          <w:lang w:val="en-US" w:eastAsia="zh-CN"/>
        </w:rPr>
        <w:t>3</w:t>
      </w:r>
      <w:r>
        <w:rPr>
          <w:rFonts w:hint="eastAsia" w:ascii="Times New Roman" w:hAnsi="Times New Roman" w:cs="Times New Roman"/>
          <w:b w:val="0"/>
          <w:bCs/>
          <w:color w:val="auto"/>
          <w:sz w:val="24"/>
          <w:highlight w:val="none"/>
          <w:lang w:val="en-US" w:eastAsia="zh-CN"/>
        </w:rPr>
        <w:t>，</w:t>
      </w:r>
      <w:r>
        <w:rPr>
          <w:rFonts w:hint="default" w:ascii="Times New Roman" w:hAnsi="Times New Roman" w:cs="Times New Roman"/>
          <w:b w:val="0"/>
          <w:bCs/>
          <w:color w:val="auto"/>
          <w:sz w:val="24"/>
          <w:highlight w:val="none"/>
          <w:lang w:val="en-US" w:eastAsia="zh-CN"/>
        </w:rPr>
        <w:t>废气温度</w:t>
      </w:r>
      <w:r>
        <w:rPr>
          <w:rFonts w:hint="eastAsia" w:ascii="Times New Roman" w:hAnsi="Times New Roman" w:cs="Times New Roman"/>
          <w:b w:val="0"/>
          <w:bCs/>
          <w:color w:val="auto"/>
          <w:sz w:val="24"/>
          <w:highlight w:val="none"/>
          <w:lang w:val="en-US" w:eastAsia="zh-CN"/>
        </w:rPr>
        <w:t>为常温，</w:t>
      </w:r>
      <w:r>
        <w:rPr>
          <w:rFonts w:hint="default" w:ascii="Times New Roman" w:hAnsi="Times New Roman" w:cs="Times New Roman"/>
          <w:b w:val="0"/>
          <w:bCs/>
          <w:color w:val="auto"/>
          <w:sz w:val="24"/>
          <w:highlight w:val="none"/>
          <w:lang w:val="en-US" w:eastAsia="zh-CN"/>
        </w:rPr>
        <w:t>废气</w:t>
      </w:r>
      <w:r>
        <w:rPr>
          <w:rFonts w:hint="eastAsia" w:ascii="Times New Roman" w:hAnsi="Times New Roman" w:cs="Times New Roman"/>
          <w:b w:val="0"/>
          <w:bCs/>
          <w:color w:val="auto"/>
          <w:sz w:val="24"/>
          <w:highlight w:val="none"/>
          <w:lang w:val="en-US" w:eastAsia="zh-CN"/>
        </w:rPr>
        <w:t>通过除雾装置后</w:t>
      </w:r>
      <w:r>
        <w:rPr>
          <w:rFonts w:hint="default" w:ascii="Times New Roman" w:hAnsi="Times New Roman" w:cs="Times New Roman"/>
          <w:b w:val="0"/>
          <w:bCs/>
          <w:color w:val="auto"/>
          <w:sz w:val="24"/>
          <w:highlight w:val="none"/>
          <w:lang w:val="en-US" w:eastAsia="zh-CN"/>
        </w:rPr>
        <w:t>湿度低于</w:t>
      </w:r>
      <w:r>
        <w:rPr>
          <w:rFonts w:hint="eastAsia" w:cs="Times New Roman"/>
          <w:b w:val="0"/>
          <w:bCs/>
          <w:color w:val="auto"/>
          <w:sz w:val="24"/>
          <w:highlight w:val="none"/>
          <w:lang w:val="en-US" w:eastAsia="zh-CN"/>
        </w:rPr>
        <w:t>5</w:t>
      </w:r>
      <w:r>
        <w:rPr>
          <w:rFonts w:hint="default" w:ascii="Times New Roman" w:hAnsi="Times New Roman" w:cs="Times New Roman"/>
          <w:b w:val="0"/>
          <w:bCs/>
          <w:color w:val="auto"/>
          <w:sz w:val="24"/>
          <w:highlight w:val="none"/>
          <w:lang w:val="en-US" w:eastAsia="zh-CN"/>
        </w:rPr>
        <w:t>0%</w:t>
      </w:r>
      <w:r>
        <w:rPr>
          <w:rFonts w:hint="eastAsia" w:ascii="Times New Roman" w:hAnsi="Times New Roman" w:cs="Times New Roman"/>
          <w:b w:val="0"/>
          <w:bCs/>
          <w:color w:val="auto"/>
          <w:sz w:val="24"/>
          <w:highlight w:val="none"/>
          <w:lang w:val="en-US" w:eastAsia="zh-CN"/>
        </w:rPr>
        <w:t>，</w:t>
      </w:r>
      <w:r>
        <w:rPr>
          <w:rFonts w:hint="default" w:ascii="Times New Roman" w:hAnsi="Times New Roman" w:cs="Times New Roman"/>
          <w:b w:val="0"/>
          <w:bCs/>
          <w:color w:val="auto"/>
          <w:sz w:val="24"/>
          <w:highlight w:val="none"/>
          <w:lang w:val="en-US" w:eastAsia="zh-CN"/>
        </w:rPr>
        <w:t>废气先经</w:t>
      </w:r>
      <w:r>
        <w:rPr>
          <w:rFonts w:hint="eastAsia" w:ascii="Times New Roman" w:hAnsi="Times New Roman" w:cs="Times New Roman"/>
          <w:b w:val="0"/>
          <w:bCs/>
          <w:color w:val="auto"/>
          <w:sz w:val="24"/>
          <w:highlight w:val="none"/>
          <w:lang w:val="en-US" w:eastAsia="zh-CN"/>
        </w:rPr>
        <w:t>喷淋塔</w:t>
      </w:r>
      <w:r>
        <w:rPr>
          <w:rFonts w:hint="default" w:ascii="Times New Roman" w:hAnsi="Times New Roman" w:cs="Times New Roman"/>
          <w:b w:val="0"/>
          <w:bCs/>
          <w:color w:val="auto"/>
          <w:sz w:val="24"/>
          <w:highlight w:val="none"/>
          <w:lang w:val="en-US" w:eastAsia="zh-CN"/>
        </w:rPr>
        <w:t>除尘，进入后端活性炭箱时颗粒物浓度</w:t>
      </w:r>
      <w:r>
        <w:rPr>
          <w:rFonts w:hint="eastAsia" w:ascii="Times New Roman" w:hAnsi="Times New Roman" w:cs="Times New Roman"/>
          <w:b w:val="0"/>
          <w:bCs/>
          <w:color w:val="auto"/>
          <w:sz w:val="24"/>
          <w:highlight w:val="none"/>
          <w:lang w:val="en-US" w:eastAsia="zh-CN"/>
        </w:rPr>
        <w:t>0.2</w:t>
      </w:r>
      <w:r>
        <w:rPr>
          <w:rFonts w:hint="default" w:ascii="Times New Roman" w:hAnsi="Times New Roman" w:cs="Times New Roman"/>
          <w:b w:val="0"/>
          <w:bCs/>
          <w:color w:val="auto"/>
          <w:sz w:val="24"/>
          <w:highlight w:val="none"/>
          <w:lang w:val="en-US" w:eastAsia="zh-CN"/>
        </w:rPr>
        <w:t>mg/m</w:t>
      </w:r>
      <w:r>
        <w:rPr>
          <w:rFonts w:hint="default" w:ascii="Times New Roman" w:hAnsi="Times New Roman" w:cs="Times New Roman"/>
          <w:b w:val="0"/>
          <w:bCs/>
          <w:color w:val="auto"/>
          <w:sz w:val="24"/>
          <w:highlight w:val="none"/>
          <w:vertAlign w:val="superscript"/>
          <w:lang w:val="en-US" w:eastAsia="zh-CN"/>
        </w:rPr>
        <w:t>3</w:t>
      </w:r>
      <w:r>
        <w:rPr>
          <w:rFonts w:hint="eastAsia" w:ascii="Times New Roman" w:hAnsi="Times New Roman" w:cs="Times New Roman"/>
          <w:b w:val="0"/>
          <w:bCs/>
          <w:color w:val="auto"/>
          <w:sz w:val="24"/>
          <w:highlight w:val="none"/>
          <w:lang w:val="en-US" w:eastAsia="zh-CN"/>
        </w:rPr>
        <w:t>，</w:t>
      </w:r>
      <w:r>
        <w:rPr>
          <w:rFonts w:hint="default" w:ascii="Times New Roman" w:hAnsi="Times New Roman" w:cs="Times New Roman"/>
          <w:b w:val="0"/>
          <w:bCs/>
          <w:color w:val="auto"/>
          <w:sz w:val="24"/>
          <w:highlight w:val="none"/>
          <w:lang w:val="en-US" w:eastAsia="zh-CN"/>
        </w:rPr>
        <w:t>废</w:t>
      </w:r>
      <w:r>
        <w:rPr>
          <w:rFonts w:hint="default" w:ascii="Times New Roman" w:hAnsi="Times New Roman" w:eastAsia="宋体" w:cs="Times New Roman"/>
          <w:b w:val="0"/>
          <w:bCs/>
          <w:color w:val="auto"/>
          <w:sz w:val="24"/>
          <w:lang w:val="en-US" w:eastAsia="zh-CN"/>
        </w:rPr>
        <w:t>气治理措施技术可行。</w:t>
      </w:r>
    </w:p>
    <w:p w14:paraId="3ABB2E12">
      <w:pPr>
        <w:ind w:left="0" w:leftChars="0" w:firstLine="482" w:firstLineChars="200"/>
        <w:rPr>
          <w:rFonts w:hint="default" w:ascii="Times New Roman" w:hAnsi="Times New Roman"/>
          <w:b/>
          <w:bCs/>
          <w:color w:val="auto"/>
          <w:sz w:val="24"/>
          <w:szCs w:val="24"/>
          <w:lang w:val="en-US" w:eastAsia="zh-CN"/>
        </w:rPr>
      </w:pPr>
      <w:r>
        <w:rPr>
          <w:rFonts w:hint="eastAsia" w:ascii="Times New Roman" w:hAnsi="Times New Roman"/>
          <w:b/>
          <w:bCs/>
          <w:color w:val="auto"/>
          <w:sz w:val="24"/>
          <w:szCs w:val="24"/>
          <w:lang w:val="en-US" w:eastAsia="zh-CN"/>
        </w:rPr>
        <w:t>③</w:t>
      </w:r>
      <w:r>
        <w:rPr>
          <w:rFonts w:hint="eastAsia"/>
          <w:b/>
          <w:bCs/>
          <w:color w:val="auto"/>
          <w:sz w:val="24"/>
          <w:szCs w:val="24"/>
          <w:lang w:val="en-US" w:eastAsia="zh-CN"/>
        </w:rPr>
        <w:t>达标情况</w:t>
      </w:r>
    </w:p>
    <w:p w14:paraId="536D4CF0">
      <w:pPr>
        <w:ind w:left="0" w:leftChars="0" w:firstLine="480" w:firstLineChars="200"/>
        <w:rPr>
          <w:rFonts w:hint="eastAsia" w:ascii="Times New Roman" w:hAnsi="Times New Roman" w:eastAsia="宋体" w:cs="Times New Roman"/>
          <w:b w:val="0"/>
          <w:bCs/>
          <w:color w:val="auto"/>
          <w:sz w:val="24"/>
          <w:lang w:val="en-US" w:eastAsia="zh-CN"/>
        </w:rPr>
      </w:pPr>
      <w:r>
        <w:rPr>
          <w:rFonts w:hint="eastAsia" w:cs="Times New Roman"/>
          <w:b w:val="0"/>
          <w:bCs/>
          <w:color w:val="auto"/>
          <w:sz w:val="24"/>
          <w:lang w:val="en-US" w:eastAsia="zh-CN"/>
        </w:rPr>
        <w:t>根据前文计算，</w:t>
      </w:r>
      <w:r>
        <w:rPr>
          <w:rFonts w:hint="eastAsia" w:ascii="Times New Roman" w:hAnsi="Times New Roman" w:eastAsia="宋体" w:cs="Times New Roman"/>
          <w:b w:val="0"/>
          <w:bCs/>
          <w:color w:val="auto"/>
          <w:sz w:val="24"/>
          <w:lang w:val="en-US" w:eastAsia="zh-CN"/>
        </w:rPr>
        <w:t>本项目</w:t>
      </w:r>
      <w:r>
        <w:rPr>
          <w:rFonts w:hint="eastAsia"/>
          <w:color w:val="auto"/>
          <w:lang w:val="en-US" w:eastAsia="zh-CN"/>
        </w:rPr>
        <w:t>工艺废气经收集处理后颗粒物有组织排放速率、排放浓度满足《大气污染物排放标准》（GB 16297-1996）表2中二级标准限值，硫酸雾、氟化物有组织排放浓度满足《无机化学工业污染物排放标准》（GB 31573-2015）表3中排放限值，VOCs有组织排放速率、排放浓度满足《四川省固定污染源大气挥发性有机物排放标准》（DB51/2377-2017）表3中排放限值，可以实现达标排放</w:t>
      </w:r>
      <w:r>
        <w:rPr>
          <w:rFonts w:hint="eastAsia" w:ascii="Times New Roman" w:hAnsi="Times New Roman" w:eastAsia="宋体" w:cs="Times New Roman"/>
          <w:b w:val="0"/>
          <w:bCs/>
          <w:color w:val="auto"/>
          <w:sz w:val="24"/>
          <w:lang w:val="en-US" w:eastAsia="zh-CN"/>
        </w:rPr>
        <w:t>。</w:t>
      </w:r>
    </w:p>
    <w:p w14:paraId="167CEBD3">
      <w:pPr>
        <w:pStyle w:val="26"/>
        <w:bidi w:val="0"/>
        <w:ind w:left="0" w:leftChars="0" w:firstLine="482" w:firstLineChars="20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2、质检废气</w:t>
      </w:r>
    </w:p>
    <w:p w14:paraId="3225A2B2">
      <w:pPr>
        <w:pStyle w:val="26"/>
        <w:bidi w:val="0"/>
        <w:rPr>
          <w:rFonts w:hint="eastAsia" w:cs="Courier New"/>
          <w:b w:val="0"/>
          <w:color w:val="auto"/>
          <w:highlight w:val="none"/>
          <w:lang w:val="en-US" w:eastAsia="zh-CN"/>
        </w:rPr>
      </w:pP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1</w:t>
      </w: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拟采取的废气治理措施</w:t>
      </w:r>
    </w:p>
    <w:p w14:paraId="0B7ED9F2">
      <w:pPr>
        <w:pStyle w:val="26"/>
        <w:bidi w:val="0"/>
        <w:rPr>
          <w:rFonts w:hint="eastAsia" w:ascii="Times New Roman" w:hAnsi="Times New Roman" w:eastAsia="宋体" w:cs="Courier New"/>
          <w:b w:val="0"/>
          <w:color w:val="auto"/>
          <w:highlight w:val="none"/>
          <w:lang w:val="en-US" w:eastAsia="zh-CN"/>
        </w:rPr>
      </w:pPr>
      <w:r>
        <w:rPr>
          <w:rFonts w:hint="eastAsia" w:cs="Courier New"/>
          <w:b w:val="0"/>
          <w:color w:val="auto"/>
          <w:highlight w:val="none"/>
          <w:lang w:val="en-US" w:eastAsia="zh-CN"/>
        </w:rPr>
        <w:t>质检室2个试剂柜、2个1500mm×800mm通风橱、8个Φ300mm万向罩，质检室内涉及废气产生的操作均在通风橱内或万向罩下进行，并设1套</w:t>
      </w:r>
      <w:r>
        <w:rPr>
          <w:rFonts w:hint="default" w:ascii="Times New Roman" w:hAnsi="Times New Roman" w:eastAsia="宋体" w:cs="Courier New"/>
          <w:b w:val="0"/>
          <w:color w:val="auto"/>
          <w:highlight w:val="none"/>
          <w:lang w:val="en-US" w:eastAsia="zh-CN"/>
        </w:rPr>
        <w:t>碱喷淋装置</w:t>
      </w:r>
      <w:r>
        <w:rPr>
          <w:rFonts w:hint="eastAsia" w:ascii="Times New Roman" w:hAnsi="Times New Roman" w:eastAsia="宋体" w:cs="Courier New"/>
          <w:b w:val="0"/>
          <w:color w:val="auto"/>
          <w:highlight w:val="none"/>
          <w:lang w:val="en-US" w:eastAsia="zh-CN"/>
        </w:rPr>
        <w:t>（TA0</w:t>
      </w:r>
      <w:r>
        <w:rPr>
          <w:rFonts w:hint="eastAsia" w:eastAsia="宋体" w:cs="Courier New"/>
          <w:b w:val="0"/>
          <w:color w:val="auto"/>
          <w:highlight w:val="none"/>
          <w:lang w:val="en-US" w:eastAsia="zh-CN"/>
        </w:rPr>
        <w:t>02</w:t>
      </w:r>
      <w:r>
        <w:rPr>
          <w:rFonts w:hint="eastAsia" w:ascii="Times New Roman" w:hAnsi="Times New Roman" w:eastAsia="宋体" w:cs="Courier New"/>
          <w:b w:val="0"/>
          <w:color w:val="auto"/>
          <w:highlight w:val="none"/>
          <w:lang w:val="en-US" w:eastAsia="zh-CN"/>
        </w:rPr>
        <w:t>），</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废气经收集</w:t>
      </w:r>
      <w:r>
        <w:rPr>
          <w:rFonts w:hint="default" w:ascii="Times New Roman" w:hAnsi="Times New Roman" w:eastAsia="宋体" w:cs="Courier New"/>
          <w:b w:val="0"/>
          <w:color w:val="auto"/>
          <w:highlight w:val="none"/>
          <w:lang w:val="en-US" w:eastAsia="zh-CN"/>
        </w:rPr>
        <w:t>处理后通过</w:t>
      </w:r>
      <w:r>
        <w:rPr>
          <w:rFonts w:hint="eastAsia" w:ascii="Times New Roman" w:hAnsi="Times New Roman" w:eastAsia="宋体"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ascii="Times New Roman" w:hAnsi="Times New Roman" w:eastAsia="宋体" w:cs="Courier New"/>
          <w:b w:val="0"/>
          <w:color w:val="auto"/>
          <w:highlight w:val="none"/>
          <w:lang w:val="en-US" w:eastAsia="zh-CN"/>
        </w:rPr>
        <w:t>（DA00</w:t>
      </w:r>
      <w:r>
        <w:rPr>
          <w:rFonts w:hint="eastAsia" w:eastAsia="宋体" w:cs="Courier New"/>
          <w:b w:val="0"/>
          <w:color w:val="auto"/>
          <w:highlight w:val="none"/>
          <w:lang w:val="en-US" w:eastAsia="zh-CN"/>
        </w:rPr>
        <w:t>2</w:t>
      </w:r>
      <w:r>
        <w:rPr>
          <w:rFonts w:hint="eastAsia" w:ascii="Times New Roman" w:hAnsi="Times New Roman" w:eastAsia="宋体" w:cs="Courier New"/>
          <w:b w:val="0"/>
          <w:color w:val="auto"/>
          <w:highlight w:val="none"/>
          <w:lang w:val="en-US" w:eastAsia="zh-CN"/>
        </w:rPr>
        <w:t>）</w:t>
      </w:r>
      <w:r>
        <w:rPr>
          <w:rFonts w:hint="default" w:ascii="Times New Roman" w:hAnsi="Times New Roman" w:eastAsia="宋体" w:cs="Courier New"/>
          <w:b w:val="0"/>
          <w:color w:val="auto"/>
          <w:highlight w:val="none"/>
          <w:lang w:val="en-US" w:eastAsia="zh-CN"/>
        </w:rPr>
        <w:t>排放</w:t>
      </w:r>
      <w:r>
        <w:rPr>
          <w:rFonts w:hint="eastAsia" w:ascii="Times New Roman" w:hAnsi="Times New Roman" w:eastAsia="宋体" w:cs="Courier New"/>
          <w:b w:val="0"/>
          <w:color w:val="auto"/>
          <w:highlight w:val="none"/>
          <w:lang w:val="en-US" w:eastAsia="zh-CN"/>
        </w:rPr>
        <w:t>。</w:t>
      </w:r>
    </w:p>
    <w:p w14:paraId="5E0964D9">
      <w:pPr>
        <w:pStyle w:val="26"/>
        <w:bidi w:val="0"/>
        <w:rPr>
          <w:rFonts w:hint="eastAsia" w:ascii="Times New Roman" w:hAnsi="Times New Roman" w:eastAsia="宋体" w:cs="Courier New"/>
          <w:b w:val="0"/>
          <w:color w:val="auto"/>
          <w:highlight w:val="none"/>
          <w:lang w:val="en-US" w:eastAsia="zh-CN"/>
        </w:rPr>
      </w:pPr>
      <w:r>
        <w:rPr>
          <w:rFonts w:hint="eastAsia" w:ascii="Times New Roman" w:hAnsi="Times New Roman" w:cs="Times New Roman"/>
          <w:b/>
          <w:bCs/>
          <w:color w:val="auto"/>
          <w:highlight w:val="none"/>
          <w:lang w:val="en-US" w:eastAsia="zh-CN"/>
        </w:rPr>
        <w:t>（2）废气治理措施的可行性</w:t>
      </w:r>
    </w:p>
    <w:p w14:paraId="1EABE288">
      <w:pPr>
        <w:pStyle w:val="26"/>
        <w:bidi w:val="0"/>
        <w:rPr>
          <w:rFonts w:hint="eastAsia"/>
          <w:color w:val="auto"/>
          <w:highlight w:val="none"/>
          <w:lang w:val="en-US" w:eastAsia="zh-CN"/>
        </w:rPr>
      </w:pPr>
      <w:r>
        <w:rPr>
          <w:rFonts w:hint="eastAsia"/>
          <w:color w:val="auto"/>
          <w:highlight w:val="none"/>
          <w:lang w:val="en-US" w:eastAsia="zh-CN"/>
        </w:rPr>
        <w:t>本项目采用碱喷淋去除质检废气中酸雾，</w:t>
      </w:r>
      <w:r>
        <w:rPr>
          <w:rFonts w:hint="eastAsia"/>
          <w:b w:val="0"/>
          <w:bCs w:val="0"/>
          <w:color w:val="auto"/>
          <w:highlight w:val="none"/>
          <w:lang w:val="en-US" w:eastAsia="zh-CN"/>
        </w:rPr>
        <w:t>酸雾与喷淋介质发生酸碱中和反应，生成无害的盐类物质和水。</w:t>
      </w:r>
      <w:r>
        <w:rPr>
          <w:rFonts w:hint="eastAsia" w:cs="Times New Roman"/>
          <w:b w:val="0"/>
          <w:bCs/>
          <w:color w:val="auto"/>
          <w:sz w:val="24"/>
          <w:lang w:val="en-US" w:eastAsia="zh-CN"/>
        </w:rPr>
        <w:t>根据前文计算，</w:t>
      </w:r>
      <w:r>
        <w:rPr>
          <w:rFonts w:hint="eastAsia"/>
          <w:color w:val="auto"/>
          <w:lang w:val="en-US" w:eastAsia="zh-CN"/>
        </w:rPr>
        <w:t>本项目</w:t>
      </w:r>
      <w:r>
        <w:rPr>
          <w:rFonts w:hint="eastAsia" w:cs="Times New Roman"/>
          <w:b w:val="0"/>
          <w:bCs/>
          <w:color w:val="auto"/>
          <w:sz w:val="24"/>
          <w:lang w:val="en-US" w:eastAsia="zh-CN"/>
        </w:rPr>
        <w:t>质检</w:t>
      </w:r>
      <w:r>
        <w:rPr>
          <w:rFonts w:hint="eastAsia"/>
          <w:color w:val="auto"/>
          <w:lang w:val="en-US" w:eastAsia="zh-CN"/>
        </w:rPr>
        <w:t>废气经收集处理后氯化氢、硫酸雾、氟化物有组织排放速率、排放浓度满足《大气污染物排放标准》（GB 16297-1996）表2中二级标准限值，可以实现达标排放。</w:t>
      </w:r>
    </w:p>
    <w:p w14:paraId="6C5E5EFE">
      <w:pPr>
        <w:pStyle w:val="6"/>
        <w:bidi w:val="0"/>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3</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危废暂存间</w:t>
      </w:r>
      <w:r>
        <w:rPr>
          <w:rFonts w:hint="eastAsia" w:ascii="Times New Roman" w:hAnsi="Times New Roman" w:eastAsia="宋体" w:cs="Times New Roman"/>
          <w:b/>
          <w:bCs/>
          <w:color w:val="auto"/>
          <w:highlight w:val="none"/>
          <w:lang w:val="en-US" w:eastAsia="zh-CN"/>
        </w:rPr>
        <w:t>废气</w:t>
      </w:r>
    </w:p>
    <w:p w14:paraId="6B106CC5">
      <w:pPr>
        <w:pStyle w:val="26"/>
        <w:numPr>
          <w:ilvl w:val="0"/>
          <w:numId w:val="0"/>
        </w:numPr>
        <w:bidi w:val="0"/>
        <w:ind w:firstLine="482" w:firstLineChars="200"/>
        <w:rPr>
          <w:rFonts w:hint="eastAsia"/>
          <w:bCs/>
          <w:color w:val="auto"/>
          <w:sz w:val="24"/>
          <w:highlight w:val="none"/>
          <w:lang w:val="en-US" w:eastAsia="zh-CN"/>
        </w:rPr>
      </w:pP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1</w:t>
      </w:r>
      <w:r>
        <w:rPr>
          <w:rFonts w:hint="eastAsia" w:ascii="Times New Roman" w:hAnsi="Times New Roman" w:cs="Times New Roman"/>
          <w:b/>
          <w:bCs/>
          <w:color w:val="auto"/>
          <w:highlight w:val="none"/>
          <w:lang w:eastAsia="zh-CN"/>
        </w:rPr>
        <w:t>）</w:t>
      </w:r>
      <w:r>
        <w:rPr>
          <w:rFonts w:hint="eastAsia" w:ascii="Times New Roman" w:hAnsi="Times New Roman" w:cs="Times New Roman"/>
          <w:b/>
          <w:bCs/>
          <w:color w:val="auto"/>
          <w:highlight w:val="none"/>
          <w:lang w:val="en-US" w:eastAsia="zh-CN"/>
        </w:rPr>
        <w:t>拟采取的废气治理措施</w:t>
      </w:r>
    </w:p>
    <w:p w14:paraId="2A11FF01">
      <w:pPr>
        <w:pStyle w:val="26"/>
        <w:numPr>
          <w:ilvl w:val="0"/>
          <w:numId w:val="0"/>
        </w:numPr>
        <w:bidi w:val="0"/>
        <w:ind w:firstLine="480" w:firstLineChars="200"/>
        <w:rPr>
          <w:rFonts w:hint="eastAsia" w:ascii="Times New Roman" w:hAnsi="Times New Roman" w:eastAsia="宋体" w:cs="Courier New"/>
          <w:b w:val="0"/>
          <w:color w:val="auto"/>
          <w:highlight w:val="none"/>
          <w:lang w:val="en-US" w:eastAsia="zh-CN"/>
        </w:rPr>
      </w:pPr>
      <w:r>
        <w:rPr>
          <w:rFonts w:hint="eastAsia"/>
          <w:bCs/>
          <w:color w:val="auto"/>
          <w:sz w:val="24"/>
          <w:highlight w:val="none"/>
          <w:lang w:val="en-US" w:eastAsia="zh-CN"/>
        </w:rPr>
        <w:t>本项目</w:t>
      </w:r>
      <w:r>
        <w:rPr>
          <w:rFonts w:hint="eastAsia" w:cs="Times New Roman"/>
          <w:b w:val="0"/>
          <w:bCs w:val="0"/>
          <w:color w:val="auto"/>
          <w:highlight w:val="none"/>
          <w:lang w:val="en-US" w:eastAsia="zh-CN"/>
        </w:rPr>
        <w:t>危废暂存间</w:t>
      </w:r>
      <w:r>
        <w:rPr>
          <w:rFonts w:hint="eastAsia"/>
          <w:color w:val="auto"/>
          <w:lang w:val="en-US" w:eastAsia="zh-CN"/>
        </w:rPr>
        <w:t>在保证安全的前提下</w:t>
      </w:r>
      <w:r>
        <w:rPr>
          <w:rFonts w:hint="eastAsia"/>
          <w:bCs/>
          <w:color w:val="auto"/>
          <w:sz w:val="24"/>
          <w:highlight w:val="none"/>
          <w:lang w:val="en-US" w:eastAsia="zh-CN"/>
        </w:rPr>
        <w:t>密闭设置，负压抽风，并</w:t>
      </w:r>
      <w:r>
        <w:rPr>
          <w:rFonts w:hint="eastAsia" w:cs="Courier New"/>
          <w:b w:val="0"/>
          <w:color w:val="auto"/>
          <w:highlight w:val="none"/>
          <w:lang w:val="en-US" w:eastAsia="zh-CN"/>
        </w:rPr>
        <w:t>设1套</w:t>
      </w:r>
      <w:r>
        <w:rPr>
          <w:rFonts w:hint="eastAsia" w:ascii="Times New Roman" w:hAnsi="Times New Roman" w:eastAsia="宋体" w:cs="Courier New"/>
          <w:b w:val="0"/>
          <w:color w:val="auto"/>
          <w:highlight w:val="none"/>
          <w:lang w:val="en-US" w:eastAsia="zh-CN"/>
        </w:rPr>
        <w:t>活性炭吸附装置（TA00</w:t>
      </w:r>
      <w:r>
        <w:rPr>
          <w:rFonts w:hint="eastAsia" w:eastAsia="宋体" w:cs="Courier New"/>
          <w:b w:val="0"/>
          <w:color w:val="auto"/>
          <w:highlight w:val="none"/>
          <w:lang w:val="en-US" w:eastAsia="zh-CN"/>
        </w:rPr>
        <w:t>3</w:t>
      </w:r>
      <w:r>
        <w:rPr>
          <w:rFonts w:hint="eastAsia" w:ascii="Times New Roman" w:hAnsi="Times New Roman" w:eastAsia="宋体" w:cs="Courier New"/>
          <w:b w:val="0"/>
          <w:color w:val="auto"/>
          <w:highlight w:val="none"/>
          <w:lang w:val="en-US" w:eastAsia="zh-CN"/>
        </w:rPr>
        <w:t>），</w:t>
      </w:r>
      <w:r>
        <w:rPr>
          <w:rFonts w:hint="eastAsia" w:ascii="Times New Roman" w:hAnsi="Times New Roman" w:eastAsia="宋体" w:cs="Courier New"/>
          <w:b w:val="0"/>
          <w:color w:val="auto"/>
          <w:kern w:val="2"/>
          <w:sz w:val="24"/>
          <w:szCs w:val="24"/>
          <w:highlight w:val="none"/>
          <w:lang w:val="en-US" w:eastAsia="zh-CN" w:bidi="ar-SA"/>
        </w:rPr>
        <w:t>危废暂存间</w:t>
      </w:r>
      <w:r>
        <w:rPr>
          <w:rFonts w:hint="eastAsia" w:ascii="Times New Roman" w:hAnsi="Times New Roman" w:eastAsia="宋体" w:cs="Courier New"/>
          <w:b w:val="0"/>
          <w:color w:val="auto"/>
          <w:highlight w:val="none"/>
          <w:lang w:val="en-US" w:eastAsia="zh-CN"/>
        </w:rPr>
        <w:t>废气经收集</w:t>
      </w:r>
      <w:r>
        <w:rPr>
          <w:rFonts w:hint="default" w:ascii="Times New Roman" w:hAnsi="Times New Roman" w:eastAsia="宋体" w:cs="Courier New"/>
          <w:b w:val="0"/>
          <w:color w:val="auto"/>
          <w:highlight w:val="none"/>
          <w:lang w:val="en-US" w:eastAsia="zh-CN"/>
        </w:rPr>
        <w:t>处理后直接排放</w:t>
      </w:r>
      <w:r>
        <w:rPr>
          <w:rFonts w:hint="eastAsia" w:ascii="Times New Roman" w:hAnsi="Times New Roman" w:eastAsia="宋体" w:cs="Courier New"/>
          <w:b w:val="0"/>
          <w:color w:val="auto"/>
          <w:highlight w:val="none"/>
          <w:lang w:val="en-US" w:eastAsia="zh-CN"/>
        </w:rPr>
        <w:t>。</w:t>
      </w:r>
    </w:p>
    <w:p w14:paraId="54D76C2D">
      <w:pPr>
        <w:pStyle w:val="26"/>
        <w:numPr>
          <w:ilvl w:val="0"/>
          <w:numId w:val="0"/>
        </w:numPr>
        <w:bidi w:val="0"/>
        <w:ind w:firstLine="482" w:firstLineChars="200"/>
        <w:rPr>
          <w:rFonts w:hint="eastAsia" w:ascii="Times New Roman" w:hAnsi="Times New Roman" w:eastAsia="宋体" w:cs="Times New Roman"/>
          <w:b w:val="0"/>
          <w:bCs/>
          <w:color w:val="auto"/>
          <w:sz w:val="24"/>
          <w:lang w:val="en-US" w:eastAsia="zh-CN"/>
        </w:rPr>
      </w:pPr>
      <w:r>
        <w:rPr>
          <w:rFonts w:hint="eastAsia" w:ascii="Times New Roman" w:hAnsi="Times New Roman" w:cs="Times New Roman"/>
          <w:b/>
          <w:bCs/>
          <w:color w:val="auto"/>
          <w:highlight w:val="none"/>
          <w:lang w:val="en-US" w:eastAsia="zh-CN"/>
        </w:rPr>
        <w:t>（2）废气治理措施的可行性</w:t>
      </w:r>
    </w:p>
    <w:p w14:paraId="1CB85068">
      <w:pPr>
        <w:pStyle w:val="26"/>
        <w:numPr>
          <w:ilvl w:val="0"/>
          <w:numId w:val="0"/>
        </w:numPr>
        <w:bidi w:val="0"/>
        <w:ind w:firstLine="480" w:firstLineChars="200"/>
        <w:rPr>
          <w:rFonts w:hint="eastAsia" w:ascii="Times New Roman" w:hAnsi="Times New Roman" w:eastAsia="宋体" w:cs="Courier New"/>
          <w:b w:val="0"/>
          <w:color w:val="auto"/>
          <w:highlight w:val="none"/>
          <w:lang w:val="en-US" w:eastAsia="zh-CN"/>
        </w:rPr>
      </w:pPr>
      <w:r>
        <w:rPr>
          <w:rFonts w:hint="eastAsia" w:ascii="Times New Roman" w:hAnsi="Times New Roman" w:eastAsia="宋体" w:cs="Times New Roman"/>
          <w:b w:val="0"/>
          <w:bCs/>
          <w:color w:val="auto"/>
          <w:sz w:val="24"/>
          <w:lang w:val="en-US" w:eastAsia="zh-CN"/>
        </w:rPr>
        <w:t>根据《排污许可证申请与核发技术规范 总则》（HJ942-2018）中4.5.2.1，有机废气收集治理设施包括：焚烧、吸附、催化分解、其他。</w:t>
      </w:r>
      <w:r>
        <w:rPr>
          <w:rFonts w:hint="eastAsia"/>
          <w:color w:val="auto"/>
          <w:highlight w:val="none"/>
          <w:lang w:val="en-US" w:eastAsia="zh-CN"/>
        </w:rPr>
        <w:t>本项目采用</w:t>
      </w:r>
      <w:r>
        <w:rPr>
          <w:rFonts w:hint="eastAsia"/>
          <w:b w:val="0"/>
          <w:bCs w:val="0"/>
          <w:color w:val="auto"/>
          <w:highlight w:val="none"/>
          <w:lang w:val="en-US" w:eastAsia="zh-CN"/>
        </w:rPr>
        <w:t>活性炭吸附装置去除有机废气，</w:t>
      </w:r>
      <w:r>
        <w:rPr>
          <w:rFonts w:hint="eastAsia" w:ascii="Times New Roman" w:hAnsi="Times New Roman" w:cs="Times New Roman"/>
          <w:color w:val="auto"/>
          <w:highlight w:val="none"/>
          <w:lang w:val="en-US" w:eastAsia="zh-CN"/>
        </w:rPr>
        <w:t>属于</w:t>
      </w:r>
      <w:r>
        <w:rPr>
          <w:rFonts w:hint="eastAsia" w:ascii="Times New Roman" w:hAnsi="Times New Roman" w:eastAsia="宋体" w:cs="Times New Roman"/>
          <w:b w:val="0"/>
          <w:bCs/>
          <w:color w:val="auto"/>
          <w:sz w:val="24"/>
          <w:lang w:val="en-US" w:eastAsia="zh-CN"/>
        </w:rPr>
        <w:t>《排污许可证申请与核发技术规范 总则》（HJ942-2018）</w:t>
      </w:r>
      <w:r>
        <w:rPr>
          <w:rFonts w:hint="eastAsia" w:ascii="Times New Roman" w:hAnsi="Times New Roman" w:cs="Times New Roman"/>
          <w:b w:val="0"/>
          <w:bCs w:val="0"/>
          <w:color w:val="auto"/>
          <w:highlight w:val="none"/>
          <w:lang w:val="en-US" w:eastAsia="zh-CN"/>
        </w:rPr>
        <w:t>中废气治理可行技术。</w:t>
      </w:r>
    </w:p>
    <w:p w14:paraId="6A9775D8">
      <w:pPr>
        <w:pStyle w:val="6"/>
        <w:bidi w:val="0"/>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、废气无组织排放控制措施</w:t>
      </w:r>
    </w:p>
    <w:p w14:paraId="49A71220">
      <w:pPr>
        <w:pStyle w:val="26"/>
        <w:bidi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控制措施</w:t>
      </w:r>
    </w:p>
    <w:p w14:paraId="68A33136">
      <w:pPr>
        <w:ind w:left="0" w:leftChars="0" w:firstLine="480" w:firstLineChars="200"/>
        <w:rPr>
          <w:rFonts w:hint="default" w:cs="Times New Roman"/>
          <w:color w:val="auto"/>
          <w:sz w:val="24"/>
          <w:szCs w:val="24"/>
          <w:highlight w:val="none"/>
          <w:lang w:val="en-US" w:eastAsia="zh-CN"/>
        </w:rPr>
      </w:pPr>
      <w:r>
        <w:rPr>
          <w:rFonts w:hint="default" w:ascii="Times New Roman" w:hAnsi="Times New Roman" w:eastAsia="宋体" w:cs="Times New Roman"/>
          <w:color w:val="auto"/>
          <w:sz w:val="24"/>
          <w:szCs w:val="24"/>
        </w:rPr>
        <w:t>①</w:t>
      </w:r>
      <w:r>
        <w:rPr>
          <w:rFonts w:hint="eastAsia" w:cs="Times New Roman"/>
          <w:color w:val="auto"/>
          <w:sz w:val="24"/>
          <w:szCs w:val="24"/>
          <w:highlight w:val="none"/>
          <w:lang w:val="en-US" w:eastAsia="zh-CN"/>
        </w:rPr>
        <w:t>液态原料暂存于罐区密闭储罐或仓库密闭包装桶内，固态原料暂存于仓库密闭包装袋内。</w:t>
      </w:r>
    </w:p>
    <w:p w14:paraId="0D4328DB">
      <w:pPr>
        <w:ind w:left="0" w:leftChars="0" w:firstLine="480" w:firstLineChars="200"/>
        <w:rPr>
          <w:rFonts w:hint="eastAsia" w:cs="Times New Roman"/>
          <w:color w:val="auto"/>
          <w:sz w:val="24"/>
          <w:szCs w:val="24"/>
          <w:highlight w:val="none"/>
          <w:lang w:val="en-US" w:eastAsia="zh-CN"/>
        </w:rPr>
      </w:pPr>
      <w:r>
        <w:rPr>
          <w:rFonts w:hint="default" w:ascii="Times New Roman" w:hAnsi="Times New Roman" w:eastAsia="宋体" w:cs="Times New Roman"/>
          <w:color w:val="auto"/>
          <w:sz w:val="24"/>
          <w:szCs w:val="24"/>
        </w:rPr>
        <w:t>②</w:t>
      </w:r>
      <w:r>
        <w:rPr>
          <w:rFonts w:hint="eastAsia" w:cs="Times New Roman"/>
          <w:color w:val="auto"/>
          <w:sz w:val="24"/>
          <w:szCs w:val="24"/>
          <w:highlight w:val="none"/>
          <w:lang w:val="en-US" w:eastAsia="zh-CN"/>
        </w:rPr>
        <w:t>液态原料使用时采用抽料泵</w:t>
      </w:r>
      <w:r>
        <w:rPr>
          <w:rFonts w:hint="eastAsia" w:ascii="Times New Roman" w:hAnsi="Times New Roman" w:eastAsia="宋体" w:cs="Times New Roman"/>
          <w:color w:val="auto"/>
          <w:sz w:val="24"/>
          <w:szCs w:val="24"/>
          <w:highlight w:val="none"/>
          <w:lang w:val="en-US" w:eastAsia="zh-CN"/>
        </w:rPr>
        <w:t>添加，</w:t>
      </w:r>
      <w:r>
        <w:rPr>
          <w:rFonts w:hint="eastAsia" w:cs="Times New Roman"/>
          <w:color w:val="auto"/>
          <w:sz w:val="24"/>
          <w:szCs w:val="24"/>
          <w:highlight w:val="none"/>
          <w:lang w:val="en-US" w:eastAsia="zh-CN"/>
        </w:rPr>
        <w:t>整个过程无需开盖。</w:t>
      </w:r>
    </w:p>
    <w:p w14:paraId="3275ACBC">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w:t>
      </w:r>
      <w:r>
        <w:rPr>
          <w:rFonts w:hint="eastAsia"/>
          <w:color w:val="auto"/>
          <w:kern w:val="0"/>
          <w:sz w:val="24"/>
          <w:highlight w:val="none"/>
          <w:lang w:val="en-US" w:eastAsia="zh-CN"/>
        </w:rPr>
        <w:t>原料储罐、</w:t>
      </w:r>
      <w:r>
        <w:rPr>
          <w:rFonts w:hint="eastAsia" w:cs="Times New Roman"/>
          <w:color w:val="auto"/>
          <w:sz w:val="24"/>
          <w:szCs w:val="24"/>
          <w:highlight w:val="none"/>
          <w:lang w:val="en-US" w:eastAsia="zh-CN"/>
        </w:rPr>
        <w:t>计量罐、复配罐和反应釜等均为密闭罐体，其余管道及设备均密闭设置</w:t>
      </w:r>
      <w:r>
        <w:rPr>
          <w:rFonts w:hint="eastAsia" w:ascii="Times New Roman" w:hAnsi="Times New Roman" w:eastAsia="宋体" w:cs="Times New Roman"/>
          <w:color w:val="auto"/>
          <w:sz w:val="24"/>
          <w:szCs w:val="24"/>
          <w:highlight w:val="none"/>
          <w:lang w:val="en-US" w:eastAsia="zh-CN"/>
        </w:rPr>
        <w:t>。</w:t>
      </w:r>
    </w:p>
    <w:p w14:paraId="7052F3EF">
      <w:pPr>
        <w:pStyle w:val="26"/>
        <w:bidi w:val="0"/>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④</w:t>
      </w:r>
      <w:r>
        <w:rPr>
          <w:rFonts w:hint="eastAsia" w:cs="Times New Roman"/>
          <w:color w:val="auto"/>
          <w:sz w:val="24"/>
          <w:szCs w:val="24"/>
          <w:highlight w:val="none"/>
          <w:lang w:val="en-US" w:eastAsia="zh-CN"/>
        </w:rPr>
        <w:t>本项目</w:t>
      </w:r>
      <w:r>
        <w:rPr>
          <w:rFonts w:hint="eastAsia"/>
          <w:color w:val="auto"/>
          <w:highlight w:val="none"/>
          <w:lang w:val="en-US" w:eastAsia="zh-CN"/>
        </w:rPr>
        <w:t>除</w:t>
      </w:r>
      <w:r>
        <w:rPr>
          <w:rFonts w:hint="eastAsia" w:cs="Times New Roman"/>
          <w:color w:val="auto"/>
          <w:sz w:val="24"/>
          <w:szCs w:val="24"/>
          <w:highlight w:val="none"/>
          <w:lang w:val="en-US" w:eastAsia="zh-CN"/>
        </w:rPr>
        <w:t>固态原料采用人工投料外（投料完成后，关闭罐体上方投料孔），</w:t>
      </w:r>
      <w:r>
        <w:rPr>
          <w:rFonts w:hint="eastAsia"/>
          <w:color w:val="auto"/>
          <w:kern w:val="0"/>
          <w:sz w:val="24"/>
          <w:highlight w:val="none"/>
          <w:lang w:val="en-US" w:eastAsia="zh-CN"/>
        </w:rPr>
        <w:t>生产过程全密闭，</w:t>
      </w:r>
      <w:r>
        <w:rPr>
          <w:rFonts w:hint="eastAsia" w:cs="Times New Roman"/>
          <w:color w:val="auto"/>
          <w:sz w:val="24"/>
          <w:szCs w:val="24"/>
          <w:highlight w:val="none"/>
          <w:lang w:val="en-US" w:eastAsia="zh-CN"/>
        </w:rPr>
        <w:t>罐体、反应釜上方设排气阀，排气阀连接密闭集气管道对废气进行收集。</w:t>
      </w:r>
    </w:p>
    <w:p w14:paraId="7F4A47A3">
      <w:pPr>
        <w:pStyle w:val="26"/>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⑤定期</w:t>
      </w:r>
      <w:r>
        <w:rPr>
          <w:rFonts w:hint="eastAsia" w:ascii="Times New Roman" w:hAnsi="Times New Roman" w:eastAsia="宋体" w:cs="Times New Roman"/>
          <w:color w:val="auto"/>
          <w:sz w:val="24"/>
          <w:szCs w:val="24"/>
          <w:lang w:val="en-US" w:eastAsia="zh-CN"/>
        </w:rPr>
        <w:t>对</w:t>
      </w:r>
      <w:r>
        <w:rPr>
          <w:rFonts w:hint="eastAsia" w:ascii="Times New Roman" w:hAnsi="Times New Roman" w:eastAsia="宋体" w:cs="Times New Roman"/>
          <w:b w:val="0"/>
          <w:bCs w:val="0"/>
          <w:color w:val="auto"/>
          <w:highlight w:val="none"/>
        </w:rPr>
        <w:t>设备</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rPr>
        <w:t>管线</w:t>
      </w:r>
      <w:r>
        <w:rPr>
          <w:rFonts w:hint="eastAsia" w:cs="Times New Roman"/>
          <w:b w:val="0"/>
          <w:bCs w:val="0"/>
          <w:color w:val="auto"/>
          <w:highlight w:val="none"/>
          <w:lang w:val="en-US" w:eastAsia="zh-CN"/>
        </w:rPr>
        <w:t>进行</w:t>
      </w:r>
      <w:r>
        <w:rPr>
          <w:rFonts w:hint="eastAsia" w:ascii="Times New Roman" w:hAnsi="Times New Roman" w:eastAsia="宋体" w:cs="Times New Roman"/>
          <w:b w:val="0"/>
          <w:bCs w:val="0"/>
          <w:color w:val="auto"/>
          <w:highlight w:val="none"/>
        </w:rPr>
        <w:t>泄漏</w:t>
      </w: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定期</w:t>
      </w:r>
      <w:r>
        <w:rPr>
          <w:rFonts w:hint="default" w:ascii="Times New Roman" w:hAnsi="Times New Roman" w:eastAsia="宋体" w:cs="Times New Roman"/>
          <w:color w:val="auto"/>
          <w:sz w:val="24"/>
          <w:szCs w:val="24"/>
          <w:lang w:val="en-US" w:eastAsia="zh-CN"/>
        </w:rPr>
        <w:t>检查呼吸阀的定压是否符合设定要求</w:t>
      </w:r>
      <w:r>
        <w:rPr>
          <w:rFonts w:hint="eastAsia" w:ascii="Times New Roman" w:hAnsi="Times New Roman" w:eastAsia="宋体" w:cs="Times New Roman"/>
          <w:color w:val="auto"/>
          <w:sz w:val="24"/>
          <w:szCs w:val="24"/>
          <w:lang w:val="en-US" w:eastAsia="zh-CN"/>
        </w:rPr>
        <w:t>。</w:t>
      </w:r>
    </w:p>
    <w:p w14:paraId="2DCAE430">
      <w:pPr>
        <w:pStyle w:val="26"/>
        <w:numPr>
          <w:ilvl w:val="0"/>
          <w:numId w:val="0"/>
        </w:numPr>
        <w:bidi w:val="0"/>
        <w:ind w:left="0" w:leftChars="0"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2"/>
          <w:sz w:val="24"/>
          <w:szCs w:val="24"/>
          <w:lang w:val="en-US" w:eastAsia="zh-CN" w:bidi="ar-SA"/>
        </w:rPr>
        <w:t>（2）</w:t>
      </w:r>
      <w:r>
        <w:rPr>
          <w:rFonts w:hint="default" w:ascii="Times New Roman" w:hAnsi="Times New Roman" w:eastAsia="宋体" w:cs="Times New Roman"/>
          <w:b/>
          <w:bCs/>
          <w:color w:val="auto"/>
          <w:sz w:val="24"/>
          <w:szCs w:val="24"/>
        </w:rPr>
        <w:t>卫生防护距离的划定</w:t>
      </w:r>
    </w:p>
    <w:p w14:paraId="4F11968F">
      <w:pPr>
        <w:pStyle w:val="26"/>
        <w:numPr>
          <w:ilvl w:val="0"/>
          <w:numId w:val="0"/>
        </w:numPr>
        <w:bidi w:val="0"/>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szCs w:val="24"/>
          <w:lang w:val="en-US" w:eastAsia="zh-CN"/>
        </w:rPr>
        <w:t>本</w:t>
      </w:r>
      <w:r>
        <w:rPr>
          <w:rFonts w:hint="default" w:ascii="Times New Roman" w:hAnsi="Times New Roman" w:eastAsia="宋体" w:cs="Times New Roman"/>
          <w:color w:val="auto"/>
          <w:sz w:val="24"/>
          <w:szCs w:val="24"/>
        </w:rPr>
        <w:t>项目</w:t>
      </w:r>
      <w:r>
        <w:rPr>
          <w:rFonts w:hint="eastAsia"/>
          <w:color w:val="auto"/>
          <w:sz w:val="24"/>
          <w:lang w:val="en-US" w:eastAsia="zh-CN"/>
        </w:rPr>
        <w:t>分别以</w:t>
      </w:r>
      <w:r>
        <w:rPr>
          <w:rFonts w:hint="eastAsia"/>
          <w:color w:val="auto"/>
          <w:szCs w:val="24"/>
          <w:highlight w:val="none"/>
          <w:lang w:val="en-US" w:eastAsia="zh-CN"/>
        </w:rPr>
        <w:t>生产车间、1#罐区、2#罐区及质检室边界</w:t>
      </w:r>
      <w:r>
        <w:rPr>
          <w:rFonts w:hint="eastAsia"/>
          <w:color w:val="auto"/>
          <w:sz w:val="24"/>
          <w:lang w:val="en-US" w:eastAsia="zh-CN"/>
        </w:rPr>
        <w:t>为起点划定50m卫生防护距离，</w:t>
      </w:r>
      <w:r>
        <w:rPr>
          <w:rFonts w:ascii="Times New Roman" w:hAnsi="Times New Roman"/>
          <w:color w:val="auto"/>
          <w:sz w:val="24"/>
        </w:rPr>
        <w:t>卫生防护距离</w:t>
      </w:r>
      <w:r>
        <w:rPr>
          <w:rFonts w:hint="eastAsia" w:ascii="Times New Roman" w:hAnsi="Times New Roman"/>
          <w:color w:val="auto"/>
          <w:sz w:val="24"/>
        </w:rPr>
        <w:t>包络线内不涉及居民住宅、学校、医院及食品、医药等生产企业分布</w:t>
      </w:r>
      <w:r>
        <w:rPr>
          <w:rFonts w:hint="eastAsia" w:ascii="Times New Roman" w:hAnsi="Times New Roman"/>
          <w:color w:val="auto"/>
          <w:sz w:val="24"/>
          <w:szCs w:val="24"/>
        </w:rPr>
        <w:t>，外环境满足本项目卫生防护距离要求。</w:t>
      </w:r>
    </w:p>
    <w:p w14:paraId="3C19BD2C">
      <w:pPr>
        <w:pStyle w:val="26"/>
        <w:bidi w:val="0"/>
        <w:rPr>
          <w:rFonts w:hint="default"/>
          <w:color w:val="auto"/>
          <w:highlight w:val="none"/>
        </w:rPr>
      </w:pPr>
      <w:r>
        <w:rPr>
          <w:rFonts w:hint="eastAsia"/>
          <w:color w:val="auto"/>
          <w:highlight w:val="none"/>
          <w:lang w:val="en-US" w:eastAsia="zh-CN"/>
        </w:rPr>
        <w:t>综上所述，本项目拟采取的废气治理措施满足污染物处理要求，且技术成熟，运行稳定可靠，经济可行。</w:t>
      </w:r>
    </w:p>
    <w:p w14:paraId="1E207433">
      <w:pPr>
        <w:pStyle w:val="4"/>
        <w:bidi w:val="0"/>
        <w:ind w:left="1855" w:leftChars="0" w:hanging="1855" w:firstLineChars="0"/>
        <w:rPr>
          <w:rFonts w:hint="default"/>
          <w:color w:val="auto"/>
          <w:highlight w:val="none"/>
        </w:rPr>
      </w:pPr>
      <w:r>
        <w:rPr>
          <w:color w:val="auto"/>
          <w:highlight w:val="none"/>
        </w:rPr>
        <w:t>废</w:t>
      </w:r>
      <w:r>
        <w:rPr>
          <w:rFonts w:hint="eastAsia"/>
          <w:color w:val="auto"/>
          <w:highlight w:val="none"/>
          <w:lang w:val="en-US" w:eastAsia="zh-CN"/>
        </w:rPr>
        <w:t>水</w:t>
      </w:r>
      <w:r>
        <w:rPr>
          <w:color w:val="auto"/>
          <w:highlight w:val="none"/>
        </w:rPr>
        <w:t>治理措施可行性</w:t>
      </w:r>
      <w:r>
        <w:rPr>
          <w:rFonts w:hint="eastAsia"/>
          <w:color w:val="auto"/>
          <w:highlight w:val="none"/>
        </w:rPr>
        <w:t>论证</w:t>
      </w:r>
    </w:p>
    <w:p w14:paraId="79B60D4F">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1、废水种类及水质特征</w:t>
      </w:r>
    </w:p>
    <w:p w14:paraId="52C65716">
      <w:pPr>
        <w:pStyle w:val="26"/>
        <w:bidi w:val="0"/>
        <w:rPr>
          <w:rFonts w:hint="default"/>
          <w:color w:val="auto"/>
          <w:highlight w:val="none"/>
          <w:lang w:val="en-US" w:eastAsia="zh-CN"/>
        </w:rPr>
      </w:pPr>
      <w:r>
        <w:rPr>
          <w:rFonts w:hint="eastAsia"/>
          <w:color w:val="auto"/>
          <w:highlight w:val="none"/>
          <w:lang w:val="en-US" w:eastAsia="zh-CN"/>
        </w:rPr>
        <w:t>运营期废水包括其余器皿三次后清洗废水、车间地面清洁废水、反冲洗废水、循环排污水、喷淋废水、生活污水和初期雨水，其中</w:t>
      </w:r>
      <w:r>
        <w:rPr>
          <w:rFonts w:hint="eastAsia" w:cs="Times New Roman"/>
          <w:color w:val="auto"/>
          <w:sz w:val="24"/>
          <w:szCs w:val="24"/>
          <w:lang w:val="en-US" w:eastAsia="zh-CN"/>
        </w:rPr>
        <w:t>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作为回用水用于高性能聚羧酸减水剂复配。运营期外排废水为生活污水，</w:t>
      </w:r>
      <w:r>
        <w:rPr>
          <w:rFonts w:hint="eastAsia"/>
          <w:b w:val="0"/>
          <w:bCs w:val="0"/>
          <w:color w:val="auto"/>
          <w:highlight w:val="none"/>
          <w:lang w:val="en-US" w:eastAsia="zh-CN"/>
        </w:rPr>
        <w:t>根据《排放源统计调查产排污核算方法和系数手册》中“生活源产排污核算方法和系数手册”中表1-1中城镇生活源水污染物产生系数，废水水质为：COD：325mg/L、BOD</w:t>
      </w:r>
      <w:r>
        <w:rPr>
          <w:rFonts w:hint="eastAsia"/>
          <w:b w:val="0"/>
          <w:bCs w:val="0"/>
          <w:color w:val="auto"/>
          <w:highlight w:val="none"/>
          <w:vertAlign w:val="subscript"/>
          <w:lang w:val="en-US" w:eastAsia="zh-CN"/>
        </w:rPr>
        <w:t>5</w:t>
      </w:r>
      <w:r>
        <w:rPr>
          <w:rFonts w:hint="eastAsia"/>
          <w:b w:val="0"/>
          <w:bCs w:val="0"/>
          <w:color w:val="auto"/>
          <w:highlight w:val="none"/>
          <w:lang w:val="en-US" w:eastAsia="zh-CN"/>
        </w:rPr>
        <w:t>：140mg/L、SS：200mg/L、NH</w:t>
      </w:r>
      <w:r>
        <w:rPr>
          <w:rFonts w:hint="eastAsia"/>
          <w:b w:val="0"/>
          <w:bCs w:val="0"/>
          <w:color w:val="auto"/>
          <w:highlight w:val="none"/>
          <w:vertAlign w:val="subscript"/>
          <w:lang w:val="en-US" w:eastAsia="zh-CN"/>
        </w:rPr>
        <w:t>3</w:t>
      </w:r>
      <w:r>
        <w:rPr>
          <w:rFonts w:hint="eastAsia"/>
          <w:b w:val="0"/>
          <w:bCs w:val="0"/>
          <w:color w:val="auto"/>
          <w:highlight w:val="none"/>
          <w:lang w:val="en-US" w:eastAsia="zh-CN"/>
        </w:rPr>
        <w:t>-N：37.7mg/L、TP：4.28mg/L、TN：49.8mg/L</w:t>
      </w:r>
      <w:r>
        <w:rPr>
          <w:rFonts w:hint="eastAsia" w:ascii="Times New Roman" w:hAnsi="Times New Roman"/>
          <w:color w:val="auto"/>
          <w:sz w:val="24"/>
          <w:szCs w:val="24"/>
        </w:rPr>
        <w:t>。</w:t>
      </w:r>
    </w:p>
    <w:p w14:paraId="2ACE03D5">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2、废水治理措施</w:t>
      </w:r>
    </w:p>
    <w:p w14:paraId="595CC7C6">
      <w:pPr>
        <w:pStyle w:val="26"/>
        <w:bidi w:val="0"/>
        <w:rPr>
          <w:rFonts w:hint="eastAsia"/>
          <w:color w:val="auto"/>
          <w:highlight w:val="none"/>
          <w:lang w:val="en-US" w:eastAsia="zh-CN"/>
        </w:rPr>
      </w:pPr>
      <w:r>
        <w:rPr>
          <w:rFonts w:hint="eastAsia"/>
          <w:color w:val="auto"/>
          <w:highlight w:val="none"/>
          <w:lang w:val="en-US" w:eastAsia="zh-CN"/>
        </w:rPr>
        <w:t>本项目排水采用“雨污分流、清污分流”，厂区设置</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w:t>
      </w:r>
      <w:r>
        <w:rPr>
          <w:rFonts w:hint="default" w:ascii="Times New Roman" w:hAnsi="Times New Roman" w:eastAsia="宋体" w:cs="Times New Roman"/>
          <w:color w:val="auto"/>
          <w:sz w:val="24"/>
          <w:szCs w:val="24"/>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vertAlign w:val="baseline"/>
          <w:lang w:val="en-US" w:eastAsia="zh-CN"/>
        </w:rPr>
        <w:t>沉淀池和</w:t>
      </w:r>
      <w:r>
        <w:rPr>
          <w:rFonts w:hint="default" w:ascii="Times New Roman" w:hAnsi="Times New Roman" w:cs="Times New Roman"/>
          <w:color w:val="auto"/>
          <w:lang w:val="en-US" w:eastAsia="zh-CN"/>
        </w:rPr>
        <w:t>1</w:t>
      </w:r>
      <w:r>
        <w:rPr>
          <w:rFonts w:hint="eastAsia" w:cs="Times New Roman"/>
          <w:color w:val="auto"/>
          <w:lang w:val="en-US" w:eastAsia="zh-CN"/>
        </w:rPr>
        <w:t>座</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预处理池</w:t>
      </w:r>
      <w:r>
        <w:rPr>
          <w:rFonts w:hint="eastAsia" w:cs="Times New Roman"/>
          <w:color w:val="auto"/>
          <w:lang w:val="en-US" w:eastAsia="zh-CN"/>
        </w:rPr>
        <w:t>。</w:t>
      </w:r>
      <w:r>
        <w:rPr>
          <w:rFonts w:hint="eastAsia" w:cs="Times New Roman"/>
          <w:color w:val="auto"/>
          <w:sz w:val="24"/>
          <w:szCs w:val="24"/>
          <w:lang w:val="en-US" w:eastAsia="zh-CN"/>
        </w:rPr>
        <w:t>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w:t>
      </w:r>
    </w:p>
    <w:p w14:paraId="4498145B">
      <w:pPr>
        <w:bidi w:val="0"/>
        <w:ind w:left="0" w:leftChars="0" w:firstLine="480" w:firstLineChars="200"/>
        <w:rPr>
          <w:rFonts w:hint="eastAsia"/>
          <w:color w:val="auto"/>
          <w:highlight w:val="none"/>
          <w:lang w:val="en-US" w:eastAsia="zh-CN"/>
        </w:rPr>
      </w:pPr>
      <w:r>
        <w:rPr>
          <w:rFonts w:hint="eastAsia"/>
          <w:color w:val="auto"/>
          <w:sz w:val="24"/>
          <w:lang w:val="en-US" w:eastAsia="zh-CN"/>
        </w:rPr>
        <w:t>根据巴中市生态环境局《关于通江县秋锦山产业园区综合污水处理厂及配套设施建设项目环境影响报告书的批复》（巴环境审〔2024〕34号），通江县秋锦山产业园区综合污水处理厂环境影响评价文件</w:t>
      </w:r>
      <w:r>
        <w:rPr>
          <w:rFonts w:hint="eastAsia"/>
          <w:color w:val="auto"/>
          <w:highlight w:val="none"/>
          <w:lang w:val="en-US" w:eastAsia="zh-CN"/>
        </w:rPr>
        <w:t>于2024年11月通过审批，出水标准为《城镇污水处理厂污染物排放标准》（GB18918-2002）中一级A标准；</w:t>
      </w: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因此，根据</w:t>
      </w:r>
      <w:r>
        <w:rPr>
          <w:rFonts w:hint="eastAsia"/>
          <w:color w:val="auto"/>
          <w:highlight w:val="none"/>
          <w:lang w:val="en-US" w:eastAsia="zh-CN"/>
        </w:rPr>
        <w:t>2025年7月1日实施的</w:t>
      </w:r>
      <w:r>
        <w:rPr>
          <w:rFonts w:hint="eastAsia"/>
          <w:color w:val="auto"/>
          <w:sz w:val="24"/>
          <w:lang w:val="en-US" w:eastAsia="zh-CN"/>
        </w:rPr>
        <w:t>《四川省化工园区水污染物排放标准》（DB51/3202-2024）中“4.2.1 新建排污单位自本文件实施之日起，现有排污单位自本文件实施之日起24个月后，应执行表1、表2和表3的规定及其他污染控制要求。”，</w:t>
      </w:r>
      <w:r>
        <w:rPr>
          <w:rFonts w:hint="eastAsia"/>
          <w:color w:val="auto"/>
          <w:lang w:val="en-US" w:eastAsia="zh-CN"/>
        </w:rPr>
        <w:t>通江县秋锦山产业园区综合污水处理厂</w:t>
      </w:r>
      <w:r>
        <w:rPr>
          <w:rFonts w:hint="eastAsia"/>
          <w:color w:val="auto"/>
          <w:sz w:val="24"/>
          <w:lang w:val="en-US" w:eastAsia="zh-CN"/>
        </w:rPr>
        <w:t>近期</w:t>
      </w:r>
      <w:r>
        <w:rPr>
          <w:rFonts w:hint="eastAsia"/>
          <w:color w:val="auto"/>
          <w:lang w:val="en-US" w:eastAsia="zh-CN"/>
        </w:rPr>
        <w:t>出水标准为</w:t>
      </w:r>
      <w:r>
        <w:rPr>
          <w:rFonts w:hint="eastAsia"/>
          <w:color w:val="auto"/>
          <w:highlight w:val="none"/>
          <w:lang w:val="en-US" w:eastAsia="zh-CN"/>
        </w:rPr>
        <w:t>《城镇污水处理厂污染物排放标准》（GB18918-2002）中一级A标准；2027年7月1日起，出水标准为</w:t>
      </w:r>
      <w:r>
        <w:rPr>
          <w:rFonts w:hint="eastAsia"/>
          <w:color w:val="auto"/>
          <w:sz w:val="24"/>
          <w:lang w:val="en-US" w:eastAsia="zh-CN"/>
        </w:rPr>
        <w:t>《四川省化工园区水污染物排放标准》（DB51/3202-2024）表2中直接排放二级标准</w:t>
      </w:r>
      <w:r>
        <w:rPr>
          <w:rFonts w:hint="eastAsia"/>
          <w:color w:val="auto"/>
          <w:highlight w:val="none"/>
          <w:lang w:val="en-US" w:eastAsia="zh-CN"/>
        </w:rPr>
        <w:t>。</w:t>
      </w:r>
    </w:p>
    <w:p w14:paraId="6ABDF6C2">
      <w:pPr>
        <w:pStyle w:val="26"/>
        <w:bidi w:val="0"/>
        <w:rPr>
          <w:rFonts w:hint="eastAsia" w:ascii="Times New Roman" w:hAnsi="Times New Roman" w:eastAsia="宋体" w:cs="Times New Roman"/>
          <w:b w:val="0"/>
          <w:bCs w:val="0"/>
          <w:color w:val="auto"/>
          <w:kern w:val="2"/>
          <w:sz w:val="24"/>
          <w:szCs w:val="30"/>
          <w:highlight w:val="none"/>
          <w:lang w:val="en-US" w:eastAsia="zh-CN" w:bidi="ar-SA"/>
        </w:rPr>
      </w:pPr>
      <w:r>
        <w:rPr>
          <w:rFonts w:hint="eastAsia"/>
          <w:color w:val="auto"/>
          <w:highlight w:val="none"/>
          <w:lang w:val="en-US" w:eastAsia="zh-CN"/>
        </w:rPr>
        <w:t>综上，本项目</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通过园区污水管网排入通江县秋锦山产业园区综合污水处理厂进行处理，近期水质达到《城镇污水处理厂污染物排放标准》（GB18918-2002）中一级A标准后排入通江河；2027年7月1日起，水质达到</w:t>
      </w:r>
      <w:r>
        <w:rPr>
          <w:rFonts w:hint="eastAsia"/>
          <w:color w:val="auto"/>
          <w:sz w:val="24"/>
          <w:lang w:val="en-US" w:eastAsia="zh-CN"/>
        </w:rPr>
        <w:t>《四川省化工园区水污染物排放标准》（DB51/3202-2024）表2中直接排放二级标准后</w:t>
      </w:r>
      <w:r>
        <w:rPr>
          <w:rFonts w:hint="eastAsia"/>
          <w:color w:val="auto"/>
          <w:highlight w:val="none"/>
          <w:lang w:val="en-US" w:eastAsia="zh-CN"/>
        </w:rPr>
        <w:t>排入通江河。</w:t>
      </w:r>
    </w:p>
    <w:p w14:paraId="02364810">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3、下游污水处理厂依托可行性</w:t>
      </w:r>
    </w:p>
    <w:p w14:paraId="0772CC1F">
      <w:pPr>
        <w:pStyle w:val="26"/>
        <w:bidi w:val="0"/>
        <w:ind w:left="0" w:leftChars="0" w:firstLine="480" w:firstLineChars="200"/>
        <w:rPr>
          <w:rFonts w:hint="eastAsia"/>
          <w:color w:val="auto"/>
          <w:lang w:val="en-US" w:eastAsia="zh-CN"/>
        </w:rPr>
      </w:pP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w:t>
      </w:r>
    </w:p>
    <w:p w14:paraId="183FD244">
      <w:pPr>
        <w:pStyle w:val="26"/>
        <w:bidi w:val="0"/>
        <w:rPr>
          <w:rFonts w:hint="eastAsia"/>
          <w:b w:val="0"/>
          <w:bCs w:val="0"/>
          <w:color w:val="auto"/>
          <w:lang w:val="en-US" w:eastAsia="zh-CN"/>
        </w:rPr>
      </w:pPr>
      <w:r>
        <w:rPr>
          <w:rFonts w:hint="eastAsia"/>
          <w:color w:val="auto"/>
          <w:lang w:val="en-US" w:eastAsia="zh-CN"/>
        </w:rPr>
        <w:t>本项目计划于2026年7月开工建设，2027年1月建成投产，</w:t>
      </w:r>
      <w:r>
        <w:rPr>
          <w:rFonts w:hint="eastAsia"/>
          <w:b w:val="0"/>
          <w:bCs w:val="0"/>
          <w:color w:val="auto"/>
          <w:lang w:val="en-US" w:eastAsia="zh-CN"/>
        </w:rPr>
        <w:t>环评要求：为确保项目外排废水得到可靠有效的处理，在通江县秋锦山产业园区综合污水处理厂建成投运前，本项目不得投产。同时，建设单位应尽快与污水处理厂业主单位签订污水接纳协议，确保项目外排废水得到有效处理。</w:t>
      </w:r>
    </w:p>
    <w:p w14:paraId="06FA9D7A">
      <w:pPr>
        <w:pStyle w:val="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w:t>
      </w:r>
      <w:r>
        <w:rPr>
          <w:rFonts w:hint="eastAsia" w:cs="Times New Roman"/>
          <w:color w:val="auto"/>
          <w:highlight w:val="none"/>
          <w:lang w:val="en-US" w:eastAsia="zh-CN"/>
        </w:rPr>
        <w:t>废水回用可行性</w:t>
      </w:r>
    </w:p>
    <w:p w14:paraId="23B492B6">
      <w:pPr>
        <w:pStyle w:val="26"/>
        <w:bidi w:val="0"/>
        <w:rPr>
          <w:rFonts w:hint="default"/>
          <w:b w:val="0"/>
          <w:bCs w:val="0"/>
          <w:color w:val="auto"/>
          <w:lang w:val="en-US" w:eastAsia="zh-CN"/>
        </w:rPr>
      </w:pPr>
      <w:r>
        <w:rPr>
          <w:rFonts w:hint="eastAsia" w:ascii="Times New Roman" w:hAnsi="Times New Roman" w:cs="Times New Roman"/>
          <w:b w:val="0"/>
          <w:bCs/>
          <w:color w:val="auto"/>
          <w:highlight w:val="none"/>
          <w:lang w:val="en-US" w:eastAsia="zh-CN"/>
        </w:rPr>
        <w:t>本项目</w:t>
      </w:r>
      <w:r>
        <w:rPr>
          <w:rFonts w:hint="eastAsia" w:cs="Times New Roman"/>
          <w:color w:val="auto"/>
          <w:sz w:val="24"/>
          <w:szCs w:val="24"/>
          <w:lang w:val="en-US" w:eastAsia="zh-CN"/>
        </w:rPr>
        <w:t>生产用水量为29453.5</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eastAsia" w:cs="Times New Roman"/>
          <w:color w:val="auto"/>
          <w:sz w:val="24"/>
          <w:szCs w:val="24"/>
          <w:vertAlign w:val="baseline"/>
          <w:lang w:val="en-US" w:eastAsia="zh-CN"/>
        </w:rPr>
        <w:t>a（其中去离子水用量为17211.</w:t>
      </w:r>
      <w:r>
        <w:rPr>
          <w:rFonts w:hint="eastAsia" w:cs="Times New Roman"/>
          <w:color w:val="auto"/>
          <w:sz w:val="24"/>
          <w:szCs w:val="24"/>
          <w:highlight w:val="none"/>
          <w:vertAlign w:val="baseline"/>
          <w:lang w:val="en-US" w:eastAsia="zh-CN"/>
        </w:rPr>
        <w:t>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a、其余用水量为12242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a</w:t>
      </w:r>
      <w:r>
        <w:rPr>
          <w:rFonts w:hint="eastAsia" w:cs="Times New Roman"/>
          <w:color w:val="auto"/>
          <w:sz w:val="24"/>
          <w:szCs w:val="24"/>
          <w:vertAlign w:val="baseline"/>
          <w:lang w:val="en-US" w:eastAsia="zh-CN"/>
        </w:rPr>
        <w:t>），本项目</w:t>
      </w:r>
      <w:r>
        <w:rPr>
          <w:rFonts w:hint="eastAsia" w:cs="Times New Roman"/>
          <w:color w:val="auto"/>
          <w:sz w:val="24"/>
          <w:szCs w:val="24"/>
          <w:lang w:val="en-US" w:eastAsia="zh-CN"/>
        </w:rPr>
        <w:t>初期雨水、</w:t>
      </w:r>
      <w:r>
        <w:rPr>
          <w:rFonts w:hint="eastAsia"/>
          <w:color w:val="auto"/>
          <w:highlight w:val="none"/>
          <w:lang w:val="en-US" w:eastAsia="zh-CN"/>
        </w:rPr>
        <w:t>其余器皿三次后清洗废水、车间地面清洁废水、</w:t>
      </w:r>
      <w:r>
        <w:rPr>
          <w:rFonts w:hint="eastAsia" w:cs="Times New Roman"/>
          <w:color w:val="auto"/>
          <w:sz w:val="24"/>
          <w:szCs w:val="24"/>
          <w:lang w:val="en-US" w:eastAsia="zh-CN"/>
        </w:rPr>
        <w:t>反冲洗废水、循环排污水、喷淋废水产生量为835.74m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/a，</w:t>
      </w:r>
      <w:r>
        <w:rPr>
          <w:rFonts w:hint="eastAsia" w:ascii="Times New Roman" w:hAnsi="Times New Roman" w:eastAsia="宋体" w:cs="Times New Roman"/>
          <w:color w:val="auto"/>
          <w:kern w:val="0"/>
          <w:sz w:val="24"/>
          <w:szCs w:val="24"/>
          <w:lang w:val="en-US" w:eastAsia="zh-CN" w:bidi="ar"/>
        </w:rPr>
        <w:t>远远低于生产所需</w:t>
      </w:r>
      <w:r>
        <w:rPr>
          <w:rFonts w:hint="eastAsia" w:cs="Times New Roman"/>
          <w:color w:val="auto"/>
          <w:sz w:val="24"/>
          <w:szCs w:val="24"/>
          <w:highlight w:val="none"/>
          <w:vertAlign w:val="baseline"/>
          <w:lang w:val="en-US" w:eastAsia="zh-CN"/>
        </w:rPr>
        <w:t>其余用水量</w:t>
      </w:r>
      <w:r>
        <w:rPr>
          <w:rFonts w:hint="eastAsia" w:ascii="Times New Roman" w:hAnsi="Times New Roman" w:eastAsia="宋体" w:cs="Times New Roman"/>
          <w:color w:val="auto"/>
          <w:kern w:val="0"/>
          <w:sz w:val="24"/>
          <w:szCs w:val="24"/>
          <w:lang w:val="en-US" w:eastAsia="zh-CN" w:bidi="ar"/>
        </w:rPr>
        <w:t>需求；此外，</w:t>
      </w:r>
      <w:r>
        <w:rPr>
          <w:rFonts w:hint="eastAsia"/>
          <w:color w:val="auto"/>
          <w:highlight w:val="none"/>
          <w:lang w:val="en-US" w:eastAsia="zh-CN"/>
        </w:rPr>
        <w:t>高性能聚羧酸减水剂复配对水质要求较低，</w:t>
      </w:r>
      <w:r>
        <w:rPr>
          <w:rFonts w:hint="eastAsia" w:cs="Times New Roman"/>
          <w:color w:val="auto"/>
          <w:sz w:val="24"/>
          <w:szCs w:val="24"/>
          <w:lang w:val="en-US" w:eastAsia="zh-CN"/>
        </w:rPr>
        <w:t>初期雨水、</w:t>
      </w:r>
      <w:r>
        <w:rPr>
          <w:rFonts w:hint="eastAsia"/>
          <w:color w:val="auto"/>
          <w:highlight w:val="none"/>
          <w:lang w:val="en-US" w:eastAsia="zh-CN"/>
        </w:rPr>
        <w:t>其余器皿三次后清洗废水、车间地面清洁废水（先经沉淀池沉淀）、</w:t>
      </w:r>
      <w:r>
        <w:rPr>
          <w:rFonts w:hint="eastAsia" w:cs="Times New Roman"/>
          <w:color w:val="auto"/>
          <w:sz w:val="24"/>
          <w:szCs w:val="24"/>
          <w:lang w:val="en-US" w:eastAsia="zh-CN"/>
        </w:rPr>
        <w:t>反冲洗废水、循环排污水、喷淋废水可作为</w:t>
      </w:r>
      <w:r>
        <w:rPr>
          <w:rFonts w:hint="eastAsia"/>
          <w:color w:val="auto"/>
          <w:highlight w:val="none"/>
          <w:lang w:val="en-US" w:eastAsia="zh-CN"/>
        </w:rPr>
        <w:t>回用水用使用</w:t>
      </w:r>
      <w:r>
        <w:rPr>
          <w:rFonts w:hint="eastAsia" w:ascii="Times New Roman" w:hAnsi="Times New Roman" w:cs="Times New Roman"/>
          <w:b w:val="0"/>
          <w:bCs/>
          <w:color w:val="auto"/>
          <w:highlight w:val="none"/>
          <w:lang w:val="en-US" w:eastAsia="zh-CN"/>
        </w:rPr>
        <w:t>。</w:t>
      </w:r>
    </w:p>
    <w:p w14:paraId="0B4998A4">
      <w:pPr>
        <w:pStyle w:val="26"/>
        <w:bidi w:val="0"/>
        <w:rPr>
          <w:rFonts w:hint="default"/>
          <w:color w:val="auto"/>
          <w:highlight w:val="none"/>
          <w:lang w:val="en-US" w:eastAsia="zh-CN"/>
        </w:rPr>
      </w:pPr>
      <w:r>
        <w:rPr>
          <w:rFonts w:hint="eastAsia"/>
          <w:color w:val="auto"/>
          <w:highlight w:val="none"/>
          <w:lang w:val="en-US" w:eastAsia="zh-CN"/>
        </w:rPr>
        <w:t>综上所述，本项目拟采取的废水治理措施满足污染物处理要求，治理措施技术可靠、经济可行。</w:t>
      </w:r>
    </w:p>
    <w:p w14:paraId="6DE94366">
      <w:pPr>
        <w:pStyle w:val="4"/>
        <w:bidi w:val="0"/>
        <w:ind w:left="1855" w:leftChars="0" w:hanging="1855" w:firstLineChars="0"/>
        <w:rPr>
          <w:rFonts w:hint="default"/>
          <w:color w:val="auto"/>
          <w:highlight w:val="none"/>
        </w:rPr>
      </w:pPr>
      <w:r>
        <w:rPr>
          <w:rFonts w:hint="eastAsia"/>
          <w:color w:val="auto"/>
          <w:highlight w:val="none"/>
          <w:lang w:val="en-US" w:eastAsia="zh-CN"/>
        </w:rPr>
        <w:t>噪声</w:t>
      </w:r>
      <w:r>
        <w:rPr>
          <w:color w:val="auto"/>
          <w:highlight w:val="none"/>
        </w:rPr>
        <w:t>治理措施可行性</w:t>
      </w:r>
      <w:r>
        <w:rPr>
          <w:rFonts w:hint="eastAsia"/>
          <w:color w:val="auto"/>
          <w:highlight w:val="none"/>
        </w:rPr>
        <w:t>论证</w:t>
      </w:r>
    </w:p>
    <w:p w14:paraId="3AE88660">
      <w:pPr>
        <w:pStyle w:val="26"/>
        <w:bidi w:val="0"/>
        <w:rPr>
          <w:rFonts w:ascii="Times New Roman" w:hAnsi="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cs="Times New Roman"/>
          <w:color w:val="auto"/>
          <w:highlight w:val="none"/>
        </w:rPr>
        <w:t>运营期</w:t>
      </w:r>
      <w:r>
        <w:rPr>
          <w:rFonts w:hint="default" w:ascii="Times New Roman" w:hAnsi="Times New Roman" w:eastAsia="宋体" w:cs="Times New Roman"/>
          <w:color w:val="auto"/>
          <w:sz w:val="24"/>
          <w:szCs w:val="24"/>
          <w:highlight w:val="none"/>
          <w:lang w:val="en-US" w:eastAsia="zh-CN"/>
        </w:rPr>
        <w:t>主要噪声来自</w:t>
      </w:r>
      <w:r>
        <w:rPr>
          <w:rFonts w:hint="eastAsia"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lang w:val="en-US" w:eastAsia="zh-CN"/>
        </w:rPr>
        <w:t>设备运行噪声、各类泵机及风机等辅助设备运行噪声</w:t>
      </w:r>
      <w:r>
        <w:rPr>
          <w:rFonts w:hint="eastAsia" w:cs="Times New Roman"/>
          <w:color w:val="auto"/>
          <w:sz w:val="24"/>
          <w:szCs w:val="24"/>
          <w:highlight w:val="none"/>
          <w:lang w:val="en-US" w:eastAsia="zh-CN"/>
        </w:rPr>
        <w:t>，</w:t>
      </w:r>
      <w:r>
        <w:rPr>
          <w:rFonts w:ascii="Times New Roman" w:hAnsi="Times New Roman"/>
          <w:color w:val="auto"/>
          <w:sz w:val="24"/>
          <w:szCs w:val="24"/>
          <w:highlight w:val="none"/>
        </w:rPr>
        <w:t>主要从以下几个方面进行噪声控制</w:t>
      </w:r>
      <w:r>
        <w:rPr>
          <w:rFonts w:hint="eastAsia" w:ascii="Times New Roman" w:hAnsi="Times New Roman"/>
          <w:color w:val="auto"/>
          <w:sz w:val="24"/>
          <w:szCs w:val="24"/>
          <w:highlight w:val="none"/>
        </w:rPr>
        <w:t>：</w:t>
      </w:r>
    </w:p>
    <w:p w14:paraId="7A6EBB29">
      <w:pPr>
        <w:bidi w:val="0"/>
        <w:ind w:left="0" w:leftChars="0" w:firstLine="480" w:firstLineChars="200"/>
        <w:rPr>
          <w:rFonts w:hint="eastAsia"/>
          <w:color w:val="auto"/>
          <w:lang w:val="en-US" w:eastAsia="zh-CN"/>
        </w:rPr>
      </w:pPr>
      <w:r>
        <w:rPr>
          <w:rFonts w:hint="eastAsia"/>
          <w:color w:val="auto"/>
          <w:lang w:val="en-US" w:eastAsia="zh-CN"/>
        </w:rPr>
        <w:t>①选用低噪声设备，定期进行设备检修，保证设备正常运行，减少故障性噪声排放概率。</w:t>
      </w:r>
    </w:p>
    <w:p w14:paraId="4B966480">
      <w:pPr>
        <w:bidi w:val="0"/>
        <w:ind w:left="0" w:leftChars="0" w:firstLine="480" w:firstLineChars="200"/>
        <w:rPr>
          <w:rFonts w:hint="eastAsia"/>
          <w:color w:val="auto"/>
          <w:lang w:val="en-US" w:eastAsia="zh-CN"/>
        </w:rPr>
      </w:pPr>
      <w:r>
        <w:rPr>
          <w:rFonts w:hint="eastAsia"/>
          <w:color w:val="auto"/>
          <w:lang w:val="en-US" w:eastAsia="zh-CN"/>
        </w:rPr>
        <w:t>②合理进行设备布局，生产设备均布置于室内，底部采取基础减振措施，并利用墙体隔声。</w:t>
      </w:r>
    </w:p>
    <w:p w14:paraId="0793C0A2">
      <w:pPr>
        <w:bidi w:val="0"/>
        <w:ind w:left="0" w:leftChars="0" w:firstLine="480" w:firstLineChars="200"/>
        <w:rPr>
          <w:rFonts w:hint="default"/>
          <w:color w:val="auto"/>
          <w:lang w:val="en-US" w:eastAsia="zh-CN"/>
        </w:rPr>
      </w:pPr>
      <w:r>
        <w:rPr>
          <w:rFonts w:hint="eastAsia"/>
          <w:color w:val="auto"/>
          <w:lang w:val="en-US" w:eastAsia="zh-CN"/>
        </w:rPr>
        <w:t>③空压机组、软水机组、电蒸汽发生器均设置于密闭设备间内，且空压机组采用螺杆式空压机，从源头控制噪声源强。</w:t>
      </w:r>
    </w:p>
    <w:p w14:paraId="6605802B">
      <w:pPr>
        <w:pStyle w:val="26"/>
        <w:bidi w:val="0"/>
        <w:rPr>
          <w:rFonts w:hint="eastAsia" w:ascii="Times New Roman" w:hAnsi="Times New Roman"/>
          <w:color w:val="auto"/>
          <w:sz w:val="24"/>
          <w:szCs w:val="24"/>
          <w:highlight w:val="none"/>
        </w:rPr>
      </w:pPr>
      <w:r>
        <w:rPr>
          <w:rFonts w:hint="eastAsia"/>
          <w:color w:val="auto"/>
          <w:lang w:val="en-US" w:eastAsia="zh-CN"/>
        </w:rPr>
        <w:t>④风机安装消声器，管道进出口采用柔性连接。</w:t>
      </w:r>
    </w:p>
    <w:p w14:paraId="6392F7F7">
      <w:pPr>
        <w:pStyle w:val="26"/>
        <w:bidi w:val="0"/>
        <w:rPr>
          <w:rFonts w:hint="default"/>
          <w:color w:val="auto"/>
          <w:highlight w:val="none"/>
          <w:lang w:val="en-US" w:eastAsia="zh-CN"/>
        </w:rPr>
      </w:pPr>
      <w:r>
        <w:rPr>
          <w:color w:val="auto"/>
          <w:highlight w:val="none"/>
        </w:rPr>
        <w:t>根据噪声预测结果，项目运营期在</w:t>
      </w:r>
      <w:r>
        <w:rPr>
          <w:rFonts w:hint="eastAsia"/>
          <w:color w:val="auto"/>
          <w:highlight w:val="none"/>
        </w:rPr>
        <w:t>采取本环评提出的噪声控制措施后，厂界各预测点噪声均满足《工业企业厂界环境噪声排放标准》（GB12348-2008）</w:t>
      </w:r>
      <w:r>
        <w:rPr>
          <w:color w:val="auto"/>
          <w:highlight w:val="none"/>
        </w:rPr>
        <w:t>3</w:t>
      </w:r>
      <w:r>
        <w:rPr>
          <w:rFonts w:hint="eastAsia"/>
          <w:color w:val="auto"/>
          <w:highlight w:val="none"/>
        </w:rPr>
        <w:t>类标准，实现达标排放</w:t>
      </w:r>
      <w:r>
        <w:rPr>
          <w:rFonts w:hint="eastAsia"/>
          <w:color w:val="auto"/>
          <w:highlight w:val="none"/>
          <w:lang w:eastAsia="zh-CN"/>
        </w:rPr>
        <w:t>，</w:t>
      </w:r>
      <w:r>
        <w:rPr>
          <w:rFonts w:hint="eastAsia"/>
          <w:color w:val="auto"/>
          <w:highlight w:val="none"/>
          <w:lang w:val="en-US" w:eastAsia="zh-CN"/>
        </w:rPr>
        <w:t>且声环境保护目标处噪声能满足</w:t>
      </w:r>
      <w:r>
        <w:rPr>
          <w:rFonts w:hint="eastAsia"/>
          <w:color w:val="auto"/>
          <w:highlight w:val="none"/>
          <w:lang w:eastAsia="zh-CN"/>
        </w:rPr>
        <w:t>《声环境质量标准》（GB3096-2008）2类标准，治理措施</w:t>
      </w:r>
      <w:r>
        <w:rPr>
          <w:rFonts w:hint="eastAsia"/>
          <w:color w:val="auto"/>
          <w:highlight w:val="none"/>
          <w:lang w:val="en-US" w:eastAsia="zh-CN"/>
        </w:rPr>
        <w:t>技术经济</w:t>
      </w:r>
      <w:r>
        <w:rPr>
          <w:rFonts w:hint="eastAsia"/>
          <w:color w:val="auto"/>
          <w:highlight w:val="none"/>
          <w:lang w:eastAsia="zh-CN"/>
        </w:rPr>
        <w:t>可行</w:t>
      </w:r>
      <w:r>
        <w:rPr>
          <w:rFonts w:hint="eastAsia"/>
          <w:color w:val="auto"/>
          <w:highlight w:val="none"/>
        </w:rPr>
        <w:t>。</w:t>
      </w:r>
    </w:p>
    <w:p w14:paraId="010EE2FC">
      <w:pPr>
        <w:pStyle w:val="4"/>
        <w:bidi w:val="0"/>
        <w:ind w:left="1855" w:leftChars="0" w:hanging="1855" w:firstLineChars="0"/>
        <w:rPr>
          <w:rFonts w:hint="default"/>
          <w:color w:val="auto"/>
          <w:highlight w:val="none"/>
        </w:rPr>
      </w:pPr>
      <w:r>
        <w:rPr>
          <w:rFonts w:hint="eastAsia"/>
          <w:color w:val="auto"/>
          <w:highlight w:val="none"/>
          <w:lang w:val="en-US" w:eastAsia="zh-CN"/>
        </w:rPr>
        <w:t>固体废物</w:t>
      </w:r>
      <w:r>
        <w:rPr>
          <w:color w:val="auto"/>
          <w:highlight w:val="none"/>
        </w:rPr>
        <w:t>治理措施可行性</w:t>
      </w:r>
      <w:r>
        <w:rPr>
          <w:rFonts w:hint="eastAsia"/>
          <w:color w:val="auto"/>
          <w:highlight w:val="none"/>
        </w:rPr>
        <w:t>论证</w:t>
      </w:r>
    </w:p>
    <w:p w14:paraId="38D70F37">
      <w:pPr>
        <w:pStyle w:val="26"/>
        <w:bidi w:val="0"/>
        <w:rPr>
          <w:rFonts w:hint="eastAsia" w:ascii="Times New Roman" w:hAnsi="Times New Roman" w:cs="Times New Roman"/>
          <w:b w:val="0"/>
          <w:bCs w:val="0"/>
          <w:color w:val="auto"/>
          <w:sz w:val="24"/>
          <w:szCs w:val="24"/>
          <w:highlight w:val="none"/>
        </w:rPr>
      </w:pPr>
      <w:r>
        <w:rPr>
          <w:rFonts w:hint="eastAsia" w:ascii="宋体" w:hAnsi="宋体" w:eastAsia="宋体" w:cs="宋体"/>
          <w:color w:val="auto"/>
          <w:sz w:val="24"/>
          <w:szCs w:val="24"/>
          <w:lang w:val="en-US" w:eastAsia="zh-CN"/>
        </w:rPr>
        <w:t>本</w:t>
      </w:r>
      <w:r>
        <w:rPr>
          <w:rFonts w:ascii="宋体" w:hAnsi="宋体" w:eastAsia="宋体" w:cs="宋体"/>
          <w:color w:val="auto"/>
          <w:sz w:val="24"/>
          <w:szCs w:val="24"/>
        </w:rPr>
        <w:t>项目固废按照“三化”原则进行处置，</w:t>
      </w:r>
      <w:r>
        <w:rPr>
          <w:rFonts w:hint="eastAsia" w:cs="Times New Roman"/>
          <w:color w:val="auto"/>
          <w:sz w:val="24"/>
          <w:szCs w:val="24"/>
          <w:highlight w:val="none"/>
          <w:lang w:val="en-US" w:eastAsia="zh-CN"/>
        </w:rPr>
        <w:t>废离子交换树脂</w:t>
      </w:r>
      <w:r>
        <w:rPr>
          <w:rFonts w:hint="eastAsia" w:ascii="Times New Roman" w:hAnsi="Times New Roman" w:cs="Times New Roman"/>
          <w:color w:val="auto"/>
          <w:highlight w:val="none"/>
          <w:lang w:val="en-US" w:eastAsia="zh-CN"/>
        </w:rPr>
        <w:t>交由厂家回收处理，</w:t>
      </w:r>
      <w:r>
        <w:rPr>
          <w:rFonts w:hint="eastAsia" w:ascii="Times New Roman" w:hAnsi="Times New Roman" w:eastAsia="宋体" w:cs="Times New Roman"/>
          <w:color w:val="auto"/>
          <w:sz w:val="24"/>
          <w:szCs w:val="24"/>
          <w:highlight w:val="none"/>
          <w:lang w:val="en-US" w:eastAsia="zh-CN"/>
        </w:rPr>
        <w:t>未沾染化学品的废包装材料</w:t>
      </w:r>
      <w:r>
        <w:rPr>
          <w:color w:val="auto"/>
          <w:sz w:val="24"/>
          <w:szCs w:val="24"/>
          <w:highlight w:val="none"/>
        </w:rPr>
        <w:t>外售至废旧物资回收单位</w:t>
      </w:r>
      <w:r>
        <w:rPr>
          <w:rFonts w:hint="eastAsia"/>
          <w:color w:val="auto"/>
          <w:sz w:val="24"/>
          <w:szCs w:val="24"/>
          <w:highlight w:val="none"/>
          <w:lang w:eastAsia="zh-CN"/>
        </w:rPr>
        <w:t>，</w:t>
      </w:r>
      <w:r>
        <w:rPr>
          <w:rFonts w:hint="eastAsia" w:cs="Times New Roman"/>
          <w:color w:val="auto"/>
          <w:sz w:val="24"/>
          <w:szCs w:val="24"/>
          <w:highlight w:val="none"/>
          <w:lang w:val="en-US" w:eastAsia="zh-CN"/>
        </w:rPr>
        <w:t>生活垃圾</w:t>
      </w:r>
      <w:r>
        <w:rPr>
          <w:rFonts w:ascii="Times New Roman" w:hAnsi="Times New Roman" w:cs="Times New Roman"/>
          <w:color w:val="auto"/>
          <w:sz w:val="24"/>
          <w:szCs w:val="24"/>
        </w:rPr>
        <w:t>交由环卫部门</w:t>
      </w:r>
      <w:r>
        <w:rPr>
          <w:rFonts w:hint="eastAsia" w:ascii="Times New Roman" w:hAnsi="Times New Roman" w:cs="Times New Roman"/>
          <w:color w:val="auto"/>
          <w:sz w:val="24"/>
          <w:szCs w:val="24"/>
        </w:rPr>
        <w:t>清运</w:t>
      </w:r>
      <w:r>
        <w:rPr>
          <w:rFonts w:ascii="Times New Roman" w:hAnsi="Times New Roman" w:cs="Times New Roman"/>
          <w:color w:val="auto"/>
          <w:sz w:val="24"/>
          <w:szCs w:val="24"/>
        </w:rPr>
        <w:t>处理</w:t>
      </w:r>
      <w:r>
        <w:rPr>
          <w:rFonts w:hint="eastAsia" w:ascii="Times New Roman" w:hAnsi="Times New Roman" w:cs="Times New Roman"/>
          <w:color w:val="auto"/>
          <w:sz w:val="24"/>
          <w:szCs w:val="24"/>
          <w:lang w:eastAsia="zh-CN"/>
        </w:rPr>
        <w:t>，</w:t>
      </w:r>
      <w:r>
        <w:rPr>
          <w:rFonts w:hint="eastAsia" w:cs="Times New Roman"/>
          <w:color w:val="auto"/>
          <w:sz w:val="24"/>
          <w:szCs w:val="24"/>
          <w:highlight w:val="none"/>
          <w:lang w:val="en-US" w:eastAsia="zh-CN"/>
        </w:rPr>
        <w:t>预处理池</w:t>
      </w:r>
      <w:r>
        <w:rPr>
          <w:rFonts w:hint="eastAsia" w:ascii="Times New Roman" w:hAnsi="Times New Roman" w:eastAsia="宋体" w:cs="Times New Roman"/>
          <w:color w:val="auto"/>
          <w:sz w:val="24"/>
          <w:szCs w:val="24"/>
          <w:highlight w:val="none"/>
          <w:lang w:val="en-US" w:eastAsia="zh-CN"/>
        </w:rPr>
        <w:t>污泥及沉淀池沉渣</w:t>
      </w:r>
      <w:r>
        <w:rPr>
          <w:rFonts w:hint="eastAsia" w:ascii="Times New Roman" w:hAnsi="Times New Roman" w:eastAsia="宋体" w:cs="Times New Roman"/>
          <w:b w:val="0"/>
          <w:bCs w:val="0"/>
          <w:color w:val="auto"/>
          <w:highlight w:val="none"/>
          <w:lang w:val="en-US" w:eastAsia="zh-CN"/>
        </w:rPr>
        <w:t>交由环卫部门清掏处理</w:t>
      </w:r>
      <w:r>
        <w:rPr>
          <w:rFonts w:hint="eastAsia" w:cs="Times New Roman"/>
          <w:b w:val="0"/>
          <w:bCs w:val="0"/>
          <w:color w:val="auto"/>
          <w:highlight w:val="none"/>
          <w:lang w:val="en-US" w:eastAsia="zh-CN"/>
        </w:rPr>
        <w:t>；</w:t>
      </w:r>
      <w:r>
        <w:rPr>
          <w:rFonts w:hint="eastAsia"/>
          <w:color w:val="auto"/>
          <w:sz w:val="24"/>
          <w:szCs w:val="24"/>
          <w:highlight w:val="none"/>
          <w:lang w:val="en-US" w:eastAsia="zh-CN"/>
        </w:rPr>
        <w:t>沾染化学品的废包装材料、质检废液、剩余检验样品、涉及磷及重金属器皿清洗废水、喷淋废渣、废过滤棉、废活性炭、废润滑油、废油桶、含油废棉纱手套等危险废物经收集</w:t>
      </w:r>
      <w:r>
        <w:rPr>
          <w:rFonts w:hint="eastAsia"/>
          <w:color w:val="auto"/>
          <w:sz w:val="24"/>
          <w:szCs w:val="24"/>
          <w:highlight w:val="none"/>
        </w:rPr>
        <w:t>后暂存于</w:t>
      </w:r>
      <w:r>
        <w:rPr>
          <w:rFonts w:hint="eastAsia" w:cs="Times New Roman"/>
          <w:b w:val="0"/>
          <w:bCs w:val="0"/>
          <w:color w:val="auto"/>
          <w:highlight w:val="none"/>
          <w:lang w:val="en-US" w:eastAsia="zh-CN"/>
        </w:rPr>
        <w:t>危废暂存间</w:t>
      </w:r>
      <w:r>
        <w:rPr>
          <w:rFonts w:hint="eastAsia"/>
          <w:color w:val="auto"/>
          <w:sz w:val="24"/>
          <w:szCs w:val="24"/>
          <w:highlight w:val="none"/>
        </w:rPr>
        <w:t>，定期交由具资质单位处理</w:t>
      </w:r>
      <w:r>
        <w:rPr>
          <w:rFonts w:hint="eastAsia" w:ascii="Times New Roman" w:hAnsi="Times New Roman" w:cs="Times New Roman"/>
          <w:color w:val="auto"/>
          <w:sz w:val="24"/>
          <w:szCs w:val="24"/>
          <w:highlight w:val="none"/>
        </w:rPr>
        <w:t>。</w:t>
      </w:r>
    </w:p>
    <w:p w14:paraId="76F3D0C1">
      <w:pPr>
        <w:pStyle w:val="26"/>
        <w:bidi w:val="0"/>
        <w:rPr>
          <w:color w:val="auto"/>
          <w:highlight w:val="none"/>
        </w:rPr>
      </w:pPr>
      <w:r>
        <w:rPr>
          <w:rFonts w:hint="eastAsia"/>
          <w:color w:val="auto"/>
          <w:highlight w:val="none"/>
          <w:lang w:val="en-US" w:eastAsia="zh-CN"/>
        </w:rPr>
        <w:t>危险废物暂存间进行重点防渗，</w:t>
      </w:r>
      <w:r>
        <w:rPr>
          <w:rFonts w:hint="eastAsia" w:cs="Times New Roman"/>
          <w:b w:val="0"/>
          <w:bCs w:val="0"/>
          <w:color w:val="auto"/>
          <w:sz w:val="24"/>
          <w:szCs w:val="24"/>
          <w:highlight w:val="none"/>
          <w:lang w:val="en-US" w:eastAsia="zh-CN"/>
        </w:rPr>
        <w:t>需</w:t>
      </w:r>
      <w:r>
        <w:rPr>
          <w:rFonts w:hint="eastAsia"/>
          <w:color w:val="auto"/>
          <w:lang w:val="en-US" w:eastAsia="zh-CN"/>
        </w:rPr>
        <w:t>满足渗透系数K≤10</w:t>
      </w:r>
      <w:r>
        <w:rPr>
          <w:rFonts w:hint="eastAsia"/>
          <w:color w:val="auto"/>
          <w:vertAlign w:val="superscript"/>
          <w:lang w:val="en-US" w:eastAsia="zh-CN"/>
        </w:rPr>
        <w:t>-10</w:t>
      </w:r>
      <w:r>
        <w:rPr>
          <w:rFonts w:hint="eastAsia"/>
          <w:color w:val="auto"/>
          <w:lang w:val="en-US" w:eastAsia="zh-CN"/>
        </w:rPr>
        <w:t>cm/s的防渗技术要求</w:t>
      </w:r>
      <w:r>
        <w:rPr>
          <w:rFonts w:hint="eastAsia"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highlight w:val="none"/>
        </w:rPr>
        <w:t>同时，</w:t>
      </w:r>
      <w:r>
        <w:rPr>
          <w:rFonts w:hint="eastAsia" w:cs="Times New Roman"/>
          <w:b w:val="0"/>
          <w:bCs w:val="0"/>
          <w:color w:val="auto"/>
          <w:highlight w:val="none"/>
          <w:lang w:val="en-US" w:eastAsia="zh-CN"/>
        </w:rPr>
        <w:t>危废暂存间</w:t>
      </w:r>
      <w:r>
        <w:rPr>
          <w:rFonts w:hint="eastAsia" w:ascii="Times New Roman" w:hAnsi="Times New Roman" w:cs="Times New Roman"/>
          <w:b w:val="0"/>
          <w:bCs w:val="0"/>
          <w:color w:val="auto"/>
          <w:sz w:val="24"/>
          <w:highlight w:val="none"/>
          <w:lang w:val="en-US" w:eastAsia="zh-CN"/>
        </w:rPr>
        <w:t>应</w:t>
      </w:r>
      <w:r>
        <w:rPr>
          <w:rFonts w:hint="eastAsia"/>
          <w:color w:val="auto"/>
          <w:highlight w:val="none"/>
        </w:rPr>
        <w:t>按照《危险废物识别标志设置技术规范》（</w:t>
      </w:r>
      <w:r>
        <w:rPr>
          <w:color w:val="auto"/>
          <w:highlight w:val="none"/>
        </w:rPr>
        <w:t>HJ1276-2022</w:t>
      </w:r>
      <w:r>
        <w:rPr>
          <w:rFonts w:hint="eastAsia"/>
          <w:color w:val="auto"/>
          <w:highlight w:val="none"/>
        </w:rPr>
        <w:t>）</w:t>
      </w:r>
      <w:r>
        <w:rPr>
          <w:rFonts w:hint="eastAsia"/>
          <w:color w:val="auto"/>
          <w:highlight w:val="none"/>
          <w:lang w:val="en-US" w:eastAsia="zh-CN"/>
        </w:rPr>
        <w:t>中相关要求</w:t>
      </w:r>
      <w:r>
        <w:rPr>
          <w:rFonts w:ascii="Times New Roman" w:hAnsi="Times New Roman" w:cs="Times New Roman"/>
          <w:b w:val="0"/>
          <w:bCs w:val="0"/>
          <w:color w:val="auto"/>
          <w:sz w:val="24"/>
          <w:highlight w:val="none"/>
        </w:rPr>
        <w:t>设置警示标识，</w:t>
      </w:r>
      <w:r>
        <w:rPr>
          <w:rFonts w:hint="eastAsia"/>
          <w:color w:val="auto"/>
          <w:lang w:val="en-US" w:eastAsia="zh-CN"/>
        </w:rPr>
        <w:t>进出侧设防渗斜坡，并设置地漏，室外设置</w:t>
      </w:r>
      <w:r>
        <w:rPr>
          <w:rFonts w:hint="eastAsia" w:ascii="Times New Roman" w:hAnsi="Times New Roman" w:eastAsia="宋体"/>
          <w:color w:val="auto"/>
          <w:highlight w:val="none"/>
          <w:lang w:val="en-US" w:eastAsia="zh-CN"/>
        </w:rPr>
        <w:t>1个容积</w:t>
      </w:r>
      <w:r>
        <w:rPr>
          <w:rFonts w:hint="eastAsia"/>
          <w:color w:val="auto"/>
          <w:highlight w:val="none"/>
          <w:lang w:val="en-US" w:eastAsia="zh-CN"/>
        </w:rPr>
        <w:t>10.5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color w:val="auto"/>
          <w:lang w:val="en-US" w:eastAsia="zh-CN"/>
        </w:rPr>
        <w:t>，</w:t>
      </w:r>
      <w:r>
        <w:rPr>
          <w:color w:val="auto"/>
        </w:rPr>
        <w:t>落实</w:t>
      </w:r>
      <w:r>
        <w:rPr>
          <w:rFonts w:hint="eastAsia"/>
          <w:color w:val="auto"/>
        </w:rPr>
        <w:t>防风、防晒、防雨、防漏、防渗、防腐的“六防”措施</w:t>
      </w:r>
      <w:r>
        <w:rPr>
          <w:rFonts w:hint="eastAsia" w:ascii="Times New Roman" w:hAnsi="Times New Roman" w:cs="Times New Roman"/>
          <w:b w:val="0"/>
          <w:bCs w:val="0"/>
          <w:color w:val="auto"/>
          <w:sz w:val="24"/>
          <w:highlight w:val="none"/>
          <w:lang w:eastAsia="zh-CN"/>
        </w:rPr>
        <w:t>。</w:t>
      </w:r>
      <w:r>
        <w:rPr>
          <w:rFonts w:hint="eastAsia"/>
          <w:color w:val="auto"/>
          <w:highlight w:val="none"/>
          <w:lang w:val="en-US" w:eastAsia="zh-CN"/>
        </w:rPr>
        <w:t>危险废物</w:t>
      </w:r>
      <w:r>
        <w:rPr>
          <w:rFonts w:hint="eastAsia"/>
          <w:color w:val="auto"/>
          <w:sz w:val="24"/>
          <w:szCs w:val="24"/>
          <w:highlight w:val="none"/>
        </w:rPr>
        <w:t>贮存严格按照《危险废物贮存污染控制标准》（GB</w:t>
      </w:r>
      <w:r>
        <w:rPr>
          <w:rFonts w:hint="eastAsia"/>
          <w:color w:val="auto"/>
          <w:sz w:val="24"/>
          <w:szCs w:val="24"/>
          <w:highlight w:val="none"/>
          <w:lang w:val="en-US" w:eastAsia="zh-CN"/>
        </w:rPr>
        <w:t>18597</w:t>
      </w:r>
      <w:r>
        <w:rPr>
          <w:rFonts w:hint="eastAsia"/>
          <w:color w:val="auto"/>
          <w:sz w:val="24"/>
          <w:szCs w:val="24"/>
          <w:highlight w:val="none"/>
        </w:rPr>
        <w:t>-20</w:t>
      </w:r>
      <w:r>
        <w:rPr>
          <w:rFonts w:hint="eastAsia"/>
          <w:color w:val="auto"/>
          <w:sz w:val="24"/>
          <w:szCs w:val="24"/>
          <w:highlight w:val="none"/>
          <w:lang w:val="en-US" w:eastAsia="zh-CN"/>
        </w:rPr>
        <w:t>23</w:t>
      </w:r>
      <w:r>
        <w:rPr>
          <w:rFonts w:hint="eastAsia"/>
          <w:color w:val="auto"/>
          <w:sz w:val="24"/>
          <w:szCs w:val="24"/>
          <w:highlight w:val="none"/>
        </w:rPr>
        <w:t>）要求执行</w:t>
      </w:r>
      <w:r>
        <w:rPr>
          <w:rFonts w:hint="eastAsia"/>
          <w:color w:val="auto"/>
          <w:sz w:val="24"/>
          <w:szCs w:val="24"/>
          <w:highlight w:val="none"/>
          <w:lang w:eastAsia="zh-CN"/>
        </w:rPr>
        <w:t>；</w:t>
      </w:r>
      <w:r>
        <w:rPr>
          <w:rFonts w:hint="eastAsia"/>
          <w:color w:val="auto"/>
          <w:highlight w:val="none"/>
        </w:rPr>
        <w:t>转运时必须安全转移，防止撒漏，且由</w:t>
      </w:r>
      <w:r>
        <w:rPr>
          <w:rFonts w:hint="eastAsia"/>
          <w:color w:val="auto"/>
          <w:highlight w:val="none"/>
          <w:lang w:eastAsia="zh-CN"/>
        </w:rPr>
        <w:t>具有</w:t>
      </w:r>
      <w:r>
        <w:rPr>
          <w:rFonts w:hint="eastAsia"/>
          <w:color w:val="auto"/>
          <w:highlight w:val="none"/>
          <w:lang w:val="en-US" w:eastAsia="zh-CN"/>
        </w:rPr>
        <w:t>危险废物处置</w:t>
      </w:r>
      <w:r>
        <w:rPr>
          <w:rFonts w:hint="eastAsia"/>
          <w:color w:val="auto"/>
          <w:highlight w:val="none"/>
        </w:rPr>
        <w:t>资质的单位</w:t>
      </w:r>
      <w:r>
        <w:rPr>
          <w:rFonts w:hint="eastAsia"/>
          <w:color w:val="auto"/>
          <w:highlight w:val="none"/>
          <w:lang w:eastAsia="zh-CN"/>
        </w:rPr>
        <w:t>接收</w:t>
      </w:r>
      <w:r>
        <w:rPr>
          <w:rFonts w:hint="eastAsia"/>
          <w:color w:val="auto"/>
          <w:highlight w:val="none"/>
        </w:rPr>
        <w:t>，严格按照</w:t>
      </w:r>
      <w:r>
        <w:rPr>
          <w:rFonts w:hint="eastAsia" w:ascii="Times New Roman" w:hAnsi="Times New Roman" w:cs="Times New Roman"/>
          <w:bCs/>
          <w:color w:val="auto"/>
          <w:sz w:val="24"/>
          <w:highlight w:val="none"/>
          <w:lang w:val="en-US" w:eastAsia="zh-CN"/>
        </w:rPr>
        <w:t>《危险废物转移管理办法》（部令第23号）</w:t>
      </w:r>
      <w:r>
        <w:rPr>
          <w:rFonts w:hint="eastAsia"/>
          <w:color w:val="auto"/>
          <w:highlight w:val="none"/>
        </w:rPr>
        <w:t>规定办理危险废物转移手续</w:t>
      </w:r>
      <w:r>
        <w:rPr>
          <w:rFonts w:hint="eastAsia"/>
          <w:color w:val="auto"/>
          <w:highlight w:val="none"/>
          <w:lang w:eastAsia="zh-CN"/>
        </w:rPr>
        <w:t>。</w:t>
      </w:r>
    </w:p>
    <w:p w14:paraId="0B5A040B">
      <w:pPr>
        <w:pStyle w:val="26"/>
        <w:bidi w:val="0"/>
        <w:rPr>
          <w:rFonts w:hint="eastAsia"/>
          <w:color w:val="auto"/>
          <w:highlight w:val="none"/>
          <w:lang w:val="en-US" w:eastAsia="zh-CN"/>
        </w:rPr>
      </w:pPr>
      <w:r>
        <w:rPr>
          <w:color w:val="auto"/>
          <w:highlight w:val="none"/>
        </w:rPr>
        <w:t>采取上述治理措施后，各类固体废物去向明确，可得到资源化利用或无害化处置，防止对周围环境造成二次污染。</w:t>
      </w:r>
    </w:p>
    <w:p w14:paraId="3AA0FA4A">
      <w:pPr>
        <w:pStyle w:val="4"/>
        <w:bidi w:val="0"/>
        <w:ind w:left="1855" w:leftChars="0" w:hanging="1855" w:firstLineChars="0"/>
        <w:rPr>
          <w:rFonts w:hint="default"/>
          <w:color w:val="auto"/>
          <w:highlight w:val="none"/>
        </w:rPr>
      </w:pPr>
      <w:r>
        <w:rPr>
          <w:rFonts w:hint="eastAsia"/>
          <w:color w:val="auto"/>
          <w:highlight w:val="none"/>
        </w:rPr>
        <w:t>地下水</w:t>
      </w:r>
      <w:r>
        <w:rPr>
          <w:color w:val="auto"/>
          <w:highlight w:val="none"/>
        </w:rPr>
        <w:t>污染防治措施可行性</w:t>
      </w:r>
      <w:r>
        <w:rPr>
          <w:rFonts w:hint="eastAsia"/>
          <w:color w:val="auto"/>
          <w:highlight w:val="none"/>
        </w:rPr>
        <w:t>论证</w:t>
      </w:r>
    </w:p>
    <w:p w14:paraId="4151CC9E">
      <w:pPr>
        <w:pStyle w:val="26"/>
        <w:bidi w:val="0"/>
        <w:rPr>
          <w:rFonts w:ascii="Times New Roman" w:hAnsi="Times New Roman" w:cs="Times New Roman"/>
          <w:b/>
          <w:color w:val="auto"/>
          <w:sz w:val="24"/>
          <w:szCs w:val="24"/>
          <w:highlight w:val="none"/>
        </w:rPr>
      </w:pPr>
      <w:r>
        <w:rPr>
          <w:rFonts w:hint="eastAsia"/>
          <w:color w:val="auto"/>
          <w:sz w:val="24"/>
          <w:szCs w:val="24"/>
          <w:highlight w:val="none"/>
          <w:lang w:val="en-US" w:eastAsia="zh-CN"/>
        </w:rPr>
        <w:t>本项目</w:t>
      </w:r>
      <w:r>
        <w:rPr>
          <w:rFonts w:hint="eastAsia"/>
          <w:color w:val="auto"/>
          <w:highlight w:val="none"/>
        </w:rPr>
        <w:t>根据《环境影响评价技术导则 地下水环境》（HJ610-2016）</w:t>
      </w:r>
      <w:r>
        <w:rPr>
          <w:rFonts w:hint="eastAsia"/>
          <w:color w:val="auto"/>
          <w:highlight w:val="none"/>
          <w:lang w:val="en-US" w:eastAsia="zh-CN"/>
        </w:rPr>
        <w:t>进行</w:t>
      </w:r>
      <w:r>
        <w:rPr>
          <w:color w:val="auto"/>
          <w:highlight w:val="none"/>
        </w:rPr>
        <w:t>防渗分区</w:t>
      </w:r>
      <w:r>
        <w:rPr>
          <w:rFonts w:hint="eastAsia"/>
          <w:color w:val="auto"/>
          <w:highlight w:val="none"/>
        </w:rPr>
        <w:t>，</w:t>
      </w:r>
      <w:r>
        <w:rPr>
          <w:rFonts w:hint="eastAsia"/>
          <w:color w:val="auto"/>
          <w:highlight w:val="none"/>
          <w:lang w:val="en-US" w:eastAsia="zh-CN"/>
        </w:rPr>
        <w:t>各</w:t>
      </w:r>
      <w:r>
        <w:rPr>
          <w:color w:val="auto"/>
          <w:highlight w:val="none"/>
        </w:rPr>
        <w:t>防渗</w:t>
      </w:r>
      <w:r>
        <w:rPr>
          <w:rFonts w:hint="eastAsia"/>
          <w:color w:val="auto"/>
          <w:highlight w:val="none"/>
          <w:lang w:val="en-US" w:eastAsia="zh-CN"/>
        </w:rPr>
        <w:t>分</w:t>
      </w:r>
      <w:r>
        <w:rPr>
          <w:color w:val="auto"/>
          <w:highlight w:val="none"/>
        </w:rPr>
        <w:t>区</w:t>
      </w:r>
      <w:r>
        <w:rPr>
          <w:rFonts w:hint="eastAsia"/>
          <w:color w:val="auto"/>
          <w:highlight w:val="none"/>
          <w:lang w:val="en-US" w:eastAsia="zh-CN"/>
        </w:rPr>
        <w:t>满足相应的</w:t>
      </w:r>
      <w:r>
        <w:rPr>
          <w:rFonts w:hint="eastAsia" w:ascii="Times New Roman" w:hAnsi="Times New Roman"/>
          <w:color w:val="auto"/>
          <w:sz w:val="24"/>
          <w:szCs w:val="24"/>
        </w:rPr>
        <w:t>防渗技术要求</w:t>
      </w:r>
      <w:r>
        <w:rPr>
          <w:rFonts w:hint="eastAsia" w:ascii="Times New Roman" w:hAnsi="Times New Roman" w:eastAsia="宋体" w:cs="Times New Roman"/>
          <w:color w:val="auto"/>
          <w:sz w:val="24"/>
          <w:szCs w:val="24"/>
          <w:highlight w:val="none"/>
          <w:lang w:val="en-US" w:eastAsia="zh-CN"/>
        </w:rPr>
        <w:t>，</w:t>
      </w:r>
      <w:r>
        <w:rPr>
          <w:rFonts w:hint="eastAsia"/>
          <w:color w:val="auto"/>
          <w:sz w:val="24"/>
          <w:szCs w:val="24"/>
          <w:highlight w:val="none"/>
          <w:lang w:val="en-US" w:eastAsia="zh-CN"/>
        </w:rPr>
        <w:t>并</w:t>
      </w:r>
      <w:r>
        <w:rPr>
          <w:rFonts w:hint="eastAsia" w:ascii="Times New Roman" w:hAnsi="Times New Roman" w:eastAsia="宋体" w:cs="Times New Roman"/>
          <w:color w:val="auto"/>
          <w:sz w:val="24"/>
          <w:szCs w:val="24"/>
          <w:highlight w:val="none"/>
          <w:lang w:val="en-US" w:eastAsia="zh-CN"/>
        </w:rPr>
        <w:t>采取以下</w:t>
      </w:r>
      <w:r>
        <w:rPr>
          <w:color w:val="auto"/>
          <w:highlight w:val="none"/>
        </w:rPr>
        <w:t>污染防治措施</w:t>
      </w:r>
      <w:r>
        <w:rPr>
          <w:rFonts w:hint="eastAsia" w:ascii="Times New Roman" w:hAnsi="Times New Roman" w:eastAsia="宋体" w:cs="Times New Roman"/>
          <w:color w:val="auto"/>
          <w:sz w:val="24"/>
          <w:szCs w:val="24"/>
          <w:highlight w:val="none"/>
          <w:lang w:val="en-US" w:eastAsia="zh-CN"/>
        </w:rPr>
        <w:t>：</w:t>
      </w:r>
    </w:p>
    <w:p w14:paraId="39E4CA43">
      <w:pPr>
        <w:bidi w:val="0"/>
        <w:ind w:left="0" w:leftChars="0" w:firstLine="480" w:firstLineChars="200"/>
        <w:rPr>
          <w:rFonts w:hint="default"/>
          <w:color w:val="auto"/>
          <w:lang w:val="en-US" w:eastAsia="zh-CN"/>
        </w:rPr>
      </w:pPr>
      <w:r>
        <w:rPr>
          <w:rFonts w:hint="eastAsia"/>
          <w:color w:val="auto"/>
        </w:rPr>
        <w:t>①</w:t>
      </w:r>
      <w:r>
        <w:rPr>
          <w:rFonts w:hint="default" w:ascii="Times New Roman" w:hAnsi="Times New Roman" w:eastAsia="宋体" w:cs="Times New Roman"/>
          <w:b w:val="0"/>
          <w:bCs w:val="0"/>
          <w:color w:val="auto"/>
          <w:sz w:val="24"/>
          <w:szCs w:val="24"/>
          <w:highlight w:val="none"/>
          <w:lang w:val="en-US" w:eastAsia="zh-CN"/>
        </w:rPr>
        <w:t>厂区内化学品输送管道</w:t>
      </w:r>
      <w:r>
        <w:rPr>
          <w:rFonts w:hint="eastAsia" w:cs="Times New Roman"/>
          <w:b w:val="0"/>
          <w:bCs w:val="0"/>
          <w:color w:val="auto"/>
          <w:sz w:val="24"/>
          <w:szCs w:val="24"/>
          <w:highlight w:val="none"/>
          <w:lang w:val="en-US" w:eastAsia="zh-CN"/>
        </w:rPr>
        <w:t>、生产废水输送管道</w:t>
      </w:r>
      <w:r>
        <w:rPr>
          <w:rFonts w:hint="default" w:ascii="Times New Roman" w:hAnsi="Times New Roman" w:eastAsia="宋体" w:cs="Times New Roman"/>
          <w:b w:val="0"/>
          <w:bCs w:val="0"/>
          <w:color w:val="auto"/>
          <w:sz w:val="24"/>
          <w:szCs w:val="24"/>
          <w:highlight w:val="none"/>
          <w:lang w:val="en-US" w:eastAsia="zh-CN"/>
        </w:rPr>
        <w:t>均可视化架空设置</w:t>
      </w:r>
      <w:r>
        <w:rPr>
          <w:rFonts w:hint="eastAsia" w:cs="Times New Roman"/>
          <w:b w:val="0"/>
          <w:bCs w:val="0"/>
          <w:color w:val="auto"/>
          <w:sz w:val="24"/>
          <w:szCs w:val="24"/>
          <w:highlight w:val="none"/>
          <w:lang w:val="en-US" w:eastAsia="zh-CN"/>
        </w:rPr>
        <w:t>，且设置事故废水架空收集管道。</w:t>
      </w:r>
      <w:r>
        <w:rPr>
          <w:rFonts w:hint="eastAsia"/>
          <w:color w:val="auto"/>
        </w:rPr>
        <w:t>加强各管路</w:t>
      </w:r>
      <w:r>
        <w:rPr>
          <w:rFonts w:hint="eastAsia"/>
          <w:color w:val="auto"/>
          <w:lang w:eastAsia="zh-CN"/>
        </w:rPr>
        <w:t>、</w:t>
      </w:r>
      <w:r>
        <w:rPr>
          <w:rFonts w:hint="eastAsia"/>
          <w:color w:val="auto"/>
          <w:lang w:val="en-US" w:eastAsia="zh-CN"/>
        </w:rPr>
        <w:t>设备</w:t>
      </w:r>
      <w:r>
        <w:rPr>
          <w:rFonts w:hint="eastAsia"/>
          <w:color w:val="auto"/>
        </w:rPr>
        <w:t>的检修，避免工艺过程中溶液的漏滴。</w:t>
      </w:r>
    </w:p>
    <w:p w14:paraId="4F6FFF10">
      <w:pPr>
        <w:bidi w:val="0"/>
        <w:ind w:left="0" w:leftChars="0" w:firstLine="480" w:firstLineChars="200"/>
        <w:rPr>
          <w:rFonts w:hint="eastAsia"/>
          <w:color w:val="auto"/>
        </w:rPr>
      </w:pPr>
      <w:r>
        <w:rPr>
          <w:rFonts w:hint="eastAsia"/>
          <w:color w:val="auto"/>
        </w:rPr>
        <w:t>②</w:t>
      </w:r>
      <w:r>
        <w:rPr>
          <w:rFonts w:hint="eastAsia"/>
          <w:color w:val="auto"/>
          <w:lang w:val="en-US" w:eastAsia="zh-CN"/>
        </w:rPr>
        <w:t>地面防渗工程在满足工程和防渗层结构标准要求的前提下，尽量在地表面实施防渗措施，便于泄漏物质的收集和及时发现破损的防渗层。加强对防渗工程的检查，定期进行检漏监测，若发现防渗密封材料老化或损坏，及时维修更换。</w:t>
      </w:r>
    </w:p>
    <w:p w14:paraId="3DD3D952">
      <w:pPr>
        <w:bidi w:val="0"/>
        <w:ind w:left="0" w:leftChars="0" w:firstLine="480" w:firstLineChars="200"/>
        <w:rPr>
          <w:rFonts w:hint="eastAsia"/>
          <w:color w:val="auto"/>
          <w:lang w:val="en-US" w:eastAsia="zh-CN"/>
        </w:rPr>
      </w:pPr>
      <w:r>
        <w:rPr>
          <w:rFonts w:hint="eastAsia"/>
          <w:color w:val="auto"/>
        </w:rPr>
        <w:t>③</w:t>
      </w:r>
      <w:r>
        <w:rPr>
          <w:rFonts w:hint="eastAsia" w:ascii="Times New Roman" w:hAnsi="Times New Roman" w:eastAsia="宋体"/>
          <w:color w:val="auto"/>
          <w:highlight w:val="none"/>
          <w:lang w:val="en-US" w:eastAsia="zh-CN"/>
        </w:rPr>
        <w:t>1#罐区四周设</w:t>
      </w:r>
      <w:r>
        <w:rPr>
          <w:rFonts w:hint="eastAsia"/>
          <w:color w:val="auto"/>
          <w:highlight w:val="none"/>
          <w:lang w:val="en-US" w:eastAsia="zh-CN"/>
        </w:rPr>
        <w:t>0.6</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w:t>
      </w:r>
      <w:r>
        <w:rPr>
          <w:rFonts w:hint="eastAsia"/>
          <w:color w:val="auto"/>
          <w:highlight w:val="none"/>
          <w:lang w:val="en-US" w:eastAsia="zh-CN"/>
        </w:rPr>
        <w:t>、2</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1.1</w:t>
      </w:r>
      <w:r>
        <w:rPr>
          <w:rFonts w:hint="eastAsia" w:ascii="Times New Roman" w:hAnsi="Times New Roman" w:eastAsia="宋体"/>
          <w:color w:val="auto"/>
          <w:highlight w:val="none"/>
          <w:lang w:val="en-US" w:eastAsia="zh-CN"/>
        </w:rPr>
        <w:t>m高防火堤（与围堰合建）</w:t>
      </w:r>
      <w:r>
        <w:rPr>
          <w:rFonts w:hint="eastAsia"/>
          <w:color w:val="auto"/>
          <w:highlight w:val="none"/>
          <w:lang w:val="en-US" w:eastAsia="zh-CN"/>
        </w:rPr>
        <w:t>、3</w:t>
      </w:r>
      <w:r>
        <w:rPr>
          <w:rFonts w:hint="eastAsia" w:ascii="Times New Roman" w:hAnsi="Times New Roman" w:eastAsia="宋体"/>
          <w:color w:val="auto"/>
          <w:highlight w:val="none"/>
          <w:lang w:val="en-US" w:eastAsia="zh-CN"/>
        </w:rPr>
        <w:t>#罐区四周设</w:t>
      </w:r>
      <w:r>
        <w:rPr>
          <w:rFonts w:hint="eastAsia"/>
          <w:color w:val="auto"/>
          <w:highlight w:val="none"/>
          <w:lang w:val="en-US" w:eastAsia="zh-CN"/>
        </w:rPr>
        <w:t>0.4</w:t>
      </w:r>
      <w:r>
        <w:rPr>
          <w:rFonts w:hint="eastAsia" w:ascii="Times New Roman" w:hAnsi="Times New Roman" w:eastAsia="宋体"/>
          <w:color w:val="auto"/>
          <w:highlight w:val="none"/>
          <w:lang w:val="en-US" w:eastAsia="zh-CN"/>
        </w:rPr>
        <w:t>m高防</w:t>
      </w:r>
      <w:r>
        <w:rPr>
          <w:rFonts w:hint="eastAsia"/>
          <w:color w:val="auto"/>
          <w:highlight w:val="none"/>
          <w:lang w:val="en-US" w:eastAsia="zh-CN"/>
        </w:rPr>
        <w:t>护</w:t>
      </w:r>
      <w:r>
        <w:rPr>
          <w:rFonts w:hint="eastAsia" w:ascii="Times New Roman" w:hAnsi="Times New Roman" w:eastAsia="宋体"/>
          <w:color w:val="auto"/>
          <w:highlight w:val="none"/>
          <w:lang w:val="en-US" w:eastAsia="zh-CN"/>
        </w:rPr>
        <w:t>堤（与围堰合建），且</w:t>
      </w:r>
      <w:r>
        <w:rPr>
          <w:rFonts w:hint="eastAsia"/>
          <w:color w:val="auto"/>
          <w:highlight w:val="none"/>
          <w:lang w:val="en-US" w:eastAsia="zh-CN"/>
        </w:rPr>
        <w:t>1#和2#</w:t>
      </w:r>
      <w:r>
        <w:rPr>
          <w:rFonts w:hint="eastAsia" w:ascii="Times New Roman" w:hAnsi="Times New Roman" w:eastAsia="宋体"/>
          <w:color w:val="auto"/>
          <w:highlight w:val="none"/>
          <w:lang w:val="en-US" w:eastAsia="zh-CN"/>
        </w:rPr>
        <w:t>罐区内各区域均设1个容积</w:t>
      </w:r>
      <w:r>
        <w:rPr>
          <w:rFonts w:hint="eastAsia"/>
          <w:color w:val="auto"/>
          <w:highlight w:val="none"/>
          <w:lang w:val="en-US" w:eastAsia="zh-CN"/>
        </w:rPr>
        <w:t>2.25</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池、3#</w:t>
      </w:r>
      <w:r>
        <w:rPr>
          <w:rFonts w:hint="eastAsia" w:ascii="Times New Roman" w:hAnsi="Times New Roman" w:eastAsia="宋体"/>
          <w:color w:val="auto"/>
          <w:highlight w:val="none"/>
          <w:lang w:val="en-US" w:eastAsia="zh-CN"/>
        </w:rPr>
        <w:t>罐区内设1个容积</w:t>
      </w:r>
      <w:r>
        <w:rPr>
          <w:rFonts w:hint="eastAsia"/>
          <w:color w:val="auto"/>
          <w:highlight w:val="none"/>
          <w:lang w:val="en-US" w:eastAsia="zh-CN"/>
        </w:rPr>
        <w:t>1.44</w:t>
      </w:r>
      <w:r>
        <w:rPr>
          <w:rFonts w:hint="eastAsia" w:ascii="Times New Roman" w:hAnsi="Times New Roman" w:eastAsia="宋体"/>
          <w:color w:val="auto"/>
          <w:highlight w:val="none"/>
          <w:lang w:val="en-US" w:eastAsia="zh-CN"/>
        </w:rPr>
        <w:t>m</w:t>
      </w:r>
      <w:r>
        <w:rPr>
          <w:rFonts w:hint="eastAsia" w:ascii="Times New Roman" w:hAnsi="Times New Roman" w:eastAsia="宋体"/>
          <w:color w:val="auto"/>
          <w:highlight w:val="none"/>
          <w:vertAlign w:val="superscript"/>
          <w:lang w:val="en-US" w:eastAsia="zh-CN"/>
        </w:rPr>
        <w:t>3</w:t>
      </w:r>
      <w:r>
        <w:rPr>
          <w:rFonts w:hint="eastAsia" w:ascii="Times New Roman" w:hAnsi="Times New Roman" w:eastAsia="宋体"/>
          <w:color w:val="auto"/>
          <w:highlight w:val="none"/>
          <w:lang w:val="en-US" w:eastAsia="zh-CN"/>
        </w:rPr>
        <w:t>集水</w:t>
      </w:r>
      <w:r>
        <w:rPr>
          <w:rFonts w:hint="eastAsia"/>
          <w:color w:val="auto"/>
          <w:highlight w:val="none"/>
          <w:lang w:val="en-US" w:eastAsia="zh-CN"/>
        </w:rPr>
        <w:t>池（集水池内设潜污泵，用于提升事故废水至可视化架空管廊）</w:t>
      </w:r>
      <w:r>
        <w:rPr>
          <w:rFonts w:hint="eastAsia" w:ascii="Times New Roman" w:hAnsi="Times New Roman" w:eastAsia="宋体"/>
          <w:color w:val="auto"/>
          <w:highlight w:val="none"/>
          <w:lang w:val="en-US" w:eastAsia="zh-CN"/>
        </w:rPr>
        <w:t>。</w:t>
      </w:r>
    </w:p>
    <w:p w14:paraId="103F90D0">
      <w:pPr>
        <w:bidi w:val="0"/>
        <w:ind w:left="0" w:leftChars="0" w:firstLine="480" w:firstLineChars="200"/>
        <w:rPr>
          <w:rFonts w:hint="eastAsia"/>
          <w:color w:val="auto"/>
          <w:lang w:val="en-US" w:eastAsia="zh-CN"/>
        </w:rPr>
      </w:pPr>
      <w:r>
        <w:rPr>
          <w:rFonts w:hint="eastAsia"/>
          <w:color w:val="auto"/>
          <w:sz w:val="24"/>
          <w:szCs w:val="24"/>
          <w:lang w:val="en-US" w:eastAsia="zh-CN"/>
        </w:rPr>
        <w:t>④</w:t>
      </w:r>
      <w:r>
        <w:rPr>
          <w:rFonts w:hint="eastAsia" w:cs="Times New Roman"/>
          <w:b w:val="0"/>
          <w:bCs w:val="0"/>
          <w:color w:val="auto"/>
          <w:sz w:val="24"/>
          <w:szCs w:val="24"/>
          <w:highlight w:val="none"/>
          <w:lang w:val="en-US" w:eastAsia="zh-CN"/>
        </w:rPr>
        <w:t>生产车间</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地漏，</w:t>
      </w:r>
      <w:r>
        <w:rPr>
          <w:rFonts w:hint="eastAsia" w:cs="Times New Roman"/>
          <w:b w:val="0"/>
          <w:bCs w:val="0"/>
          <w:color w:val="auto"/>
          <w:sz w:val="24"/>
          <w:szCs w:val="24"/>
          <w:highlight w:val="none"/>
          <w:lang w:val="en-US" w:eastAsia="zh-CN"/>
        </w:rPr>
        <w:t>并设置</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ascii="Times New Roman" w:hAnsi="Times New Roman" w:eastAsia="宋体" w:cs="Times New Roman"/>
          <w:b w:val="0"/>
          <w:bCs w:val="0"/>
          <w:color w:val="auto"/>
          <w:highlight w:val="none"/>
          <w:lang w:val="en-US" w:eastAsia="zh-CN"/>
        </w:rPr>
        <w:t>。</w:t>
      </w:r>
    </w:p>
    <w:p w14:paraId="4B0E0E7F">
      <w:pPr>
        <w:bidi w:val="0"/>
        <w:ind w:left="0" w:leftChars="0" w:firstLine="480" w:firstLineChars="200"/>
        <w:rPr>
          <w:rFonts w:hint="eastAsia"/>
          <w:color w:val="auto"/>
          <w:sz w:val="24"/>
          <w:szCs w:val="24"/>
          <w:lang w:val="en-US" w:eastAsia="zh-CN"/>
        </w:rPr>
      </w:pPr>
      <w:r>
        <w:rPr>
          <w:rFonts w:hint="eastAsia"/>
          <w:color w:val="auto"/>
          <w:lang w:val="en-US" w:eastAsia="zh-CN"/>
        </w:rPr>
        <w:t>⑤仓库内液体库</w:t>
      </w:r>
      <w:r>
        <w:rPr>
          <w:rFonts w:hint="eastAsia"/>
          <w:color w:val="auto"/>
          <w:sz w:val="24"/>
          <w:szCs w:val="24"/>
          <w:lang w:val="en-US" w:eastAsia="zh-CN"/>
        </w:rPr>
        <w:t>区、双氧水库房和危废暂存间</w:t>
      </w:r>
      <w:r>
        <w:rPr>
          <w:rFonts w:hint="eastAsia" w:cs="Times New Roman"/>
          <w:b w:val="0"/>
          <w:bCs w:val="0"/>
          <w:color w:val="auto"/>
          <w:sz w:val="24"/>
          <w:szCs w:val="24"/>
          <w:highlight w:val="none"/>
          <w:lang w:val="en-US" w:eastAsia="zh-CN"/>
        </w:rPr>
        <w:t>进出侧均设防渗斜坡，并设置地漏和</w:t>
      </w:r>
      <w:r>
        <w:rPr>
          <w:rFonts w:hint="eastAsia" w:ascii="Times New Roman" w:hAnsi="Times New Roman" w:eastAsia="宋体"/>
          <w:color w:val="auto"/>
          <w:sz w:val="24"/>
          <w:szCs w:val="24"/>
          <w:highlight w:val="none"/>
          <w:lang w:val="en-US" w:eastAsia="zh-CN"/>
        </w:rPr>
        <w:t>1个容积</w:t>
      </w:r>
      <w:r>
        <w:rPr>
          <w:rFonts w:hint="eastAsia"/>
          <w:color w:val="auto"/>
          <w:sz w:val="24"/>
          <w:szCs w:val="24"/>
          <w:highlight w:val="none"/>
          <w:lang w:val="en-US" w:eastAsia="zh-CN"/>
        </w:rPr>
        <w:t>10.5</w:t>
      </w:r>
      <w:r>
        <w:rPr>
          <w:rFonts w:hint="eastAsia" w:ascii="Times New Roman" w:hAnsi="Times New Roman" w:eastAsia="宋体"/>
          <w:color w:val="auto"/>
          <w:sz w:val="24"/>
          <w:szCs w:val="24"/>
          <w:highlight w:val="none"/>
          <w:lang w:val="en-US" w:eastAsia="zh-CN"/>
        </w:rPr>
        <w:t>m</w:t>
      </w:r>
      <w:r>
        <w:rPr>
          <w:rFonts w:hint="eastAsia" w:ascii="Times New Roman" w:hAnsi="Times New Roman" w:eastAsia="宋体"/>
          <w:color w:val="auto"/>
          <w:sz w:val="24"/>
          <w:szCs w:val="24"/>
          <w:highlight w:val="none"/>
          <w:vertAlign w:val="superscript"/>
          <w:lang w:val="en-US" w:eastAsia="zh-CN"/>
        </w:rPr>
        <w:t>3</w:t>
      </w:r>
      <w:r>
        <w:rPr>
          <w:rFonts w:hint="eastAsia" w:ascii="Times New Roman" w:hAnsi="Times New Roman" w:eastAsia="宋体"/>
          <w:color w:val="auto"/>
          <w:sz w:val="24"/>
          <w:szCs w:val="24"/>
          <w:highlight w:val="none"/>
          <w:lang w:val="en-US" w:eastAsia="zh-CN"/>
        </w:rPr>
        <w:t>集水</w:t>
      </w:r>
      <w:r>
        <w:rPr>
          <w:rFonts w:hint="eastAsia"/>
          <w:color w:val="auto"/>
          <w:sz w:val="24"/>
          <w:szCs w:val="24"/>
          <w:highlight w:val="none"/>
          <w:lang w:val="en-US" w:eastAsia="zh-CN"/>
        </w:rPr>
        <w:t>池（集水池内设潜污泵，用于提升事故废水至可视化架空管廊）</w:t>
      </w:r>
      <w:r>
        <w:rPr>
          <w:rFonts w:hint="eastAsia" w:cs="Times New Roman"/>
          <w:b w:val="0"/>
          <w:bCs w:val="0"/>
          <w:color w:val="auto"/>
          <w:sz w:val="24"/>
          <w:szCs w:val="24"/>
          <w:highlight w:val="none"/>
          <w:lang w:val="en-US" w:eastAsia="zh-CN"/>
        </w:rPr>
        <w:t>。</w:t>
      </w:r>
    </w:p>
    <w:p w14:paraId="4E5483CF">
      <w:pPr>
        <w:bidi w:val="0"/>
        <w:ind w:left="0" w:leftChars="0" w:firstLine="480" w:firstLineChars="200"/>
        <w:rPr>
          <w:rFonts w:hint="default"/>
          <w:color w:val="auto"/>
          <w:sz w:val="24"/>
          <w:szCs w:val="24"/>
          <w:lang w:val="en-US" w:eastAsia="zh-CN"/>
        </w:rPr>
      </w:pPr>
      <w:r>
        <w:rPr>
          <w:rFonts w:hint="eastAsia"/>
          <w:color w:val="auto"/>
          <w:sz w:val="24"/>
          <w:szCs w:val="24"/>
        </w:rPr>
        <w:t>⑥</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，用于事故</w:t>
      </w:r>
      <w:r>
        <w:rPr>
          <w:rFonts w:hint="eastAsia" w:cs="Times New Roman"/>
          <w:b w:val="0"/>
          <w:bCs w:val="0"/>
          <w:color w:val="auto"/>
          <w:sz w:val="24"/>
          <w:szCs w:val="24"/>
          <w:highlight w:val="none"/>
          <w:lang w:val="en-US" w:eastAsia="zh-CN"/>
        </w:rPr>
        <w:t>废水</w:t>
      </w:r>
      <w:r>
        <w:rPr>
          <w:rFonts w:hint="default" w:ascii="Times New Roman" w:hAnsi="Times New Roman" w:eastAsia="宋体" w:cs="Times New Roman"/>
          <w:b w:val="0"/>
          <w:bCs w:val="0"/>
          <w:color w:val="auto"/>
          <w:sz w:val="24"/>
          <w:szCs w:val="24"/>
          <w:highlight w:val="none"/>
          <w:lang w:val="en-US" w:eastAsia="zh-CN"/>
        </w:rPr>
        <w:t>的收集。</w:t>
      </w:r>
    </w:p>
    <w:p w14:paraId="7020CA01">
      <w:pPr>
        <w:bidi w:val="0"/>
        <w:ind w:left="0" w:leftChars="0" w:firstLine="480" w:firstLineChars="200"/>
        <w:rPr>
          <w:rFonts w:hint="eastAsia"/>
          <w:color w:val="auto"/>
        </w:rPr>
      </w:pPr>
      <w:r>
        <w:rPr>
          <w:rFonts w:hint="eastAsia"/>
          <w:color w:val="auto"/>
          <w:sz w:val="24"/>
          <w:szCs w:val="24"/>
        </w:rPr>
        <w:t>⑦</w:t>
      </w:r>
      <w:r>
        <w:rPr>
          <w:rFonts w:hint="eastAsia"/>
          <w:color w:val="auto"/>
        </w:rPr>
        <w:t>厂区</w:t>
      </w:r>
      <w:r>
        <w:rPr>
          <w:rFonts w:hint="eastAsia"/>
          <w:color w:val="auto"/>
          <w:lang w:val="en-US" w:eastAsia="zh-CN"/>
        </w:rPr>
        <w:t>设3口</w:t>
      </w:r>
      <w:r>
        <w:rPr>
          <w:rFonts w:hint="eastAsia"/>
          <w:color w:val="auto"/>
        </w:rPr>
        <w:t>地下水跟踪监测井</w:t>
      </w:r>
      <w:r>
        <w:rPr>
          <w:rFonts w:hint="eastAsia"/>
          <w:color w:val="auto"/>
          <w:lang w:eastAsia="zh-CN"/>
        </w:rPr>
        <w:t>，</w:t>
      </w:r>
      <w:r>
        <w:rPr>
          <w:rFonts w:hint="eastAsia"/>
          <w:color w:val="auto"/>
        </w:rPr>
        <w:t>建立地下水环境监测管理体系，严格按照环评要求对</w:t>
      </w:r>
      <w:r>
        <w:rPr>
          <w:rFonts w:hint="eastAsia"/>
          <w:color w:val="auto"/>
          <w:lang w:val="en-US" w:eastAsia="zh-CN"/>
        </w:rPr>
        <w:t>区域地下水</w:t>
      </w:r>
      <w:r>
        <w:rPr>
          <w:rFonts w:hint="eastAsia"/>
          <w:color w:val="auto"/>
        </w:rPr>
        <w:t>水质监测井进行监测，一旦发现水质异常，立刻采取有效措施（如采用水动力隔离技术）阻止污染羽的扩散迁移，将地下水控制在局部范围，避免对厂区下游地下水造成污染。</w:t>
      </w:r>
    </w:p>
    <w:p w14:paraId="17BDE94E">
      <w:pPr>
        <w:pStyle w:val="26"/>
        <w:bidi w:val="0"/>
        <w:rPr>
          <w:rFonts w:hint="default"/>
          <w:color w:val="auto"/>
          <w:highlight w:val="none"/>
        </w:rPr>
      </w:pPr>
      <w:r>
        <w:rPr>
          <w:rFonts w:hint="default"/>
          <w:color w:val="auto"/>
          <w:highlight w:val="none"/>
        </w:rPr>
        <w:t>采取上述治理措施后，可有效避免</w:t>
      </w:r>
      <w:r>
        <w:rPr>
          <w:rFonts w:hint="eastAsia"/>
          <w:color w:val="auto"/>
          <w:highlight w:val="none"/>
          <w:lang w:val="en-US" w:eastAsia="zh-CN"/>
        </w:rPr>
        <w:t>项目</w:t>
      </w:r>
      <w:r>
        <w:rPr>
          <w:rFonts w:hint="default"/>
          <w:color w:val="auto"/>
          <w:highlight w:val="none"/>
        </w:rPr>
        <w:t>运行过程中对地下水的污染</w:t>
      </w:r>
      <w:r>
        <w:rPr>
          <w:rFonts w:hint="eastAsia"/>
          <w:color w:val="auto"/>
          <w:highlight w:val="none"/>
          <w:lang w:eastAsia="zh-CN"/>
        </w:rPr>
        <w:t>，</w:t>
      </w:r>
      <w:r>
        <w:rPr>
          <w:rFonts w:hint="default"/>
          <w:color w:val="auto"/>
          <w:highlight w:val="none"/>
        </w:rPr>
        <w:t>拟采取的地下水污染防治措施可行。</w:t>
      </w:r>
    </w:p>
    <w:p w14:paraId="775769FA">
      <w:pPr>
        <w:pStyle w:val="4"/>
        <w:bidi w:val="0"/>
        <w:ind w:left="1855" w:leftChars="0" w:hanging="1855" w:firstLineChars="0"/>
        <w:rPr>
          <w:rFonts w:hint="default"/>
          <w:color w:val="auto"/>
          <w:highlight w:val="none"/>
        </w:rPr>
      </w:pPr>
      <w:r>
        <w:rPr>
          <w:rFonts w:hint="eastAsia"/>
          <w:color w:val="auto"/>
          <w:highlight w:val="none"/>
          <w:lang w:val="en-US" w:eastAsia="zh-CN"/>
        </w:rPr>
        <w:t>土壤环境保护</w:t>
      </w:r>
      <w:r>
        <w:rPr>
          <w:color w:val="auto"/>
          <w:highlight w:val="none"/>
        </w:rPr>
        <w:t>措施可行性</w:t>
      </w:r>
      <w:r>
        <w:rPr>
          <w:rFonts w:hint="eastAsia"/>
          <w:color w:val="auto"/>
          <w:highlight w:val="none"/>
        </w:rPr>
        <w:t>论证</w:t>
      </w:r>
    </w:p>
    <w:p w14:paraId="00AE5B0D">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主要从“源头控制”、“过程防控”和“跟踪监测”等方面保护土壤环境，项目采取的土壤环境保护措施包括：</w:t>
      </w:r>
    </w:p>
    <w:p w14:paraId="38C151F6">
      <w:pPr>
        <w:spacing w:line="360" w:lineRule="auto"/>
        <w:rPr>
          <w:rFonts w:ascii="Times New Roman" w:hAnsi="Times New Roman"/>
          <w:b/>
          <w:color w:val="auto"/>
          <w:sz w:val="24"/>
          <w:szCs w:val="24"/>
        </w:rPr>
      </w:pPr>
      <w:r>
        <w:rPr>
          <w:rFonts w:hint="eastAsia" w:ascii="Times New Roman" w:hAnsi="Times New Roman"/>
          <w:b/>
          <w:color w:val="auto"/>
          <w:sz w:val="24"/>
          <w:szCs w:val="24"/>
        </w:rPr>
        <w:t>（1）源头控制措施</w:t>
      </w:r>
    </w:p>
    <w:p w14:paraId="6BA2EB7D">
      <w:pPr>
        <w:spacing w:line="360" w:lineRule="auto"/>
        <w:rPr>
          <w:rFonts w:ascii="Times New Roman" w:hAnsi="Times New Roman"/>
          <w:color w:val="auto"/>
          <w:sz w:val="24"/>
          <w:szCs w:val="24"/>
        </w:rPr>
      </w:pPr>
      <w:r>
        <w:rPr>
          <w:rFonts w:hint="eastAsia" w:ascii="Times New Roman" w:hAnsi="Times New Roman"/>
          <w:color w:val="auto"/>
          <w:sz w:val="24"/>
          <w:szCs w:val="24"/>
        </w:rPr>
        <w:t>①减少有毒、有害原料的贮存。</w:t>
      </w:r>
    </w:p>
    <w:p w14:paraId="14742D22">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②</w:t>
      </w:r>
      <w:r>
        <w:rPr>
          <w:rFonts w:hint="eastAsia"/>
          <w:color w:val="auto"/>
        </w:rPr>
        <w:t>采用国内先进的工艺，</w:t>
      </w:r>
      <w:r>
        <w:rPr>
          <w:rFonts w:hint="eastAsia"/>
          <w:color w:val="auto"/>
          <w:lang w:val="en-US" w:eastAsia="zh-CN"/>
        </w:rPr>
        <w:t>生产过程中采用密闭管罐系统，</w:t>
      </w:r>
      <w:r>
        <w:rPr>
          <w:rFonts w:hint="eastAsia"/>
          <w:color w:val="auto"/>
        </w:rPr>
        <w:t>工艺设备、管道、</w:t>
      </w:r>
      <w:r>
        <w:rPr>
          <w:rFonts w:hint="eastAsia"/>
          <w:color w:val="auto"/>
          <w:lang w:val="en-US" w:eastAsia="zh-CN"/>
        </w:rPr>
        <w:t>罐体</w:t>
      </w:r>
      <w:r>
        <w:rPr>
          <w:rFonts w:hint="eastAsia"/>
          <w:color w:val="auto"/>
        </w:rPr>
        <w:t>均</w:t>
      </w:r>
      <w:r>
        <w:rPr>
          <w:color w:val="auto"/>
        </w:rPr>
        <w:t>采取防腐、防渗漏措施</w:t>
      </w:r>
      <w:r>
        <w:rPr>
          <w:rFonts w:hint="eastAsia"/>
          <w:color w:val="auto"/>
        </w:rPr>
        <w:t>，</w:t>
      </w:r>
      <w:r>
        <w:rPr>
          <w:rFonts w:hint="eastAsia"/>
          <w:color w:val="auto"/>
          <w:highlight w:val="none"/>
          <w:lang w:val="en-US" w:eastAsia="zh-CN"/>
        </w:rPr>
        <w:t>化学品输送管道可视化，</w:t>
      </w:r>
      <w:r>
        <w:rPr>
          <w:rFonts w:hint="eastAsia"/>
          <w:color w:val="auto"/>
        </w:rPr>
        <w:t>加强各管路</w:t>
      </w:r>
      <w:r>
        <w:rPr>
          <w:rFonts w:hint="eastAsia"/>
          <w:color w:val="auto"/>
          <w:lang w:eastAsia="zh-CN"/>
        </w:rPr>
        <w:t>、</w:t>
      </w:r>
      <w:r>
        <w:rPr>
          <w:rFonts w:hint="eastAsia"/>
          <w:color w:val="auto"/>
          <w:lang w:val="en-US" w:eastAsia="zh-CN"/>
        </w:rPr>
        <w:t>设备</w:t>
      </w:r>
      <w:r>
        <w:rPr>
          <w:rFonts w:hint="eastAsia"/>
          <w:color w:val="auto"/>
        </w:rPr>
        <w:t>的检修，避免工艺过程中溶液的漏滴</w:t>
      </w:r>
      <w:r>
        <w:rPr>
          <w:rFonts w:hint="eastAsia" w:ascii="Times New Roman" w:hAnsi="Times New Roman"/>
          <w:color w:val="auto"/>
          <w:sz w:val="24"/>
          <w:szCs w:val="24"/>
        </w:rPr>
        <w:t>。</w:t>
      </w:r>
    </w:p>
    <w:p w14:paraId="1A67D710">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③采用有效的大气污染治理措施，</w:t>
      </w:r>
      <w:r>
        <w:rPr>
          <w:rFonts w:hint="eastAsia"/>
          <w:color w:val="auto"/>
          <w:highlight w:val="none"/>
        </w:rPr>
        <w:t>加强</w:t>
      </w:r>
      <w:r>
        <w:rPr>
          <w:rFonts w:hint="eastAsia"/>
          <w:color w:val="auto"/>
          <w:highlight w:val="none"/>
          <w:lang w:val="en-US" w:eastAsia="zh-CN"/>
        </w:rPr>
        <w:t>废气处理系统</w:t>
      </w:r>
      <w:r>
        <w:rPr>
          <w:rFonts w:hint="eastAsia"/>
          <w:color w:val="auto"/>
          <w:highlight w:val="none"/>
        </w:rPr>
        <w:t>的日常维护和保养，</w:t>
      </w:r>
      <w:r>
        <w:rPr>
          <w:rFonts w:hint="eastAsia"/>
          <w:color w:val="auto"/>
          <w:highlight w:val="none"/>
          <w:lang w:val="en-US" w:eastAsia="zh-CN"/>
        </w:rPr>
        <w:t>及时更换活性炭和喷淋介质，保证其去除效率，</w:t>
      </w:r>
      <w:r>
        <w:rPr>
          <w:rFonts w:hint="eastAsia" w:ascii="Times New Roman" w:hAnsi="Times New Roman"/>
          <w:color w:val="auto"/>
          <w:sz w:val="24"/>
          <w:szCs w:val="24"/>
        </w:rPr>
        <w:t>减少大气污染物排放。</w:t>
      </w:r>
    </w:p>
    <w:p w14:paraId="0D30D58A">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④</w:t>
      </w:r>
      <w:r>
        <w:rPr>
          <w:rFonts w:hint="eastAsia" w:ascii="Times New Roman" w:hAnsi="Times New Roman" w:cs="Times New Roman"/>
          <w:color w:val="auto"/>
          <w:sz w:val="24"/>
          <w:szCs w:val="24"/>
          <w:highlight w:val="none"/>
        </w:rPr>
        <w:t>各防渗分区</w:t>
      </w:r>
      <w:r>
        <w:rPr>
          <w:rFonts w:hint="eastAsia" w:cs="Times New Roman"/>
          <w:color w:val="auto"/>
          <w:sz w:val="24"/>
          <w:szCs w:val="24"/>
          <w:highlight w:val="none"/>
          <w:lang w:val="en-US" w:eastAsia="zh-CN"/>
        </w:rPr>
        <w:t>严格</w:t>
      </w:r>
      <w:r>
        <w:rPr>
          <w:rFonts w:hint="eastAsia"/>
          <w:color w:val="auto"/>
          <w:highlight w:val="none"/>
        </w:rPr>
        <w:t>《环境影响评价技术导则 地下水环境》（HJ610-2016）</w:t>
      </w:r>
      <w:r>
        <w:rPr>
          <w:rFonts w:hint="eastAsia"/>
          <w:color w:val="auto"/>
          <w:highlight w:val="none"/>
          <w:lang w:val="en-US" w:eastAsia="zh-CN"/>
        </w:rPr>
        <w:t>中防渗技术要求进行防渗，</w:t>
      </w:r>
      <w:r>
        <w:rPr>
          <w:rFonts w:hint="eastAsia" w:ascii="Times New Roman" w:hAnsi="Times New Roman"/>
          <w:color w:val="auto"/>
          <w:sz w:val="24"/>
          <w:szCs w:val="24"/>
          <w:highlight w:val="none"/>
          <w:lang w:val="en-US" w:eastAsia="zh-CN"/>
        </w:rPr>
        <w:t>加强对防渗工程的检查，</w:t>
      </w:r>
      <w:r>
        <w:rPr>
          <w:rFonts w:hint="eastAsia"/>
          <w:color w:val="auto"/>
          <w:sz w:val="24"/>
          <w:szCs w:val="24"/>
          <w:highlight w:val="none"/>
          <w:lang w:val="en-US" w:eastAsia="zh-CN"/>
        </w:rPr>
        <w:t>定期进行检漏监测，</w:t>
      </w:r>
      <w:r>
        <w:rPr>
          <w:rFonts w:hint="eastAsia" w:ascii="Times New Roman" w:hAnsi="Times New Roman"/>
          <w:color w:val="auto"/>
          <w:sz w:val="24"/>
          <w:szCs w:val="24"/>
          <w:highlight w:val="none"/>
          <w:lang w:val="en-US" w:eastAsia="zh-CN"/>
        </w:rPr>
        <w:t>若发现防渗密封材料老化或损坏，及时维修更换</w:t>
      </w:r>
      <w:r>
        <w:rPr>
          <w:rFonts w:hint="eastAsia" w:ascii="Times New Roman" w:hAnsi="Times New Roman"/>
          <w:color w:val="auto"/>
          <w:sz w:val="24"/>
          <w:szCs w:val="24"/>
        </w:rPr>
        <w:t>。</w:t>
      </w:r>
    </w:p>
    <w:p w14:paraId="1BBF35E8">
      <w:pPr>
        <w:spacing w:line="360" w:lineRule="auto"/>
        <w:rPr>
          <w:rFonts w:ascii="Times New Roman" w:hAnsi="Times New Roman"/>
          <w:b/>
          <w:color w:val="auto"/>
          <w:sz w:val="24"/>
          <w:szCs w:val="24"/>
        </w:rPr>
      </w:pPr>
      <w:r>
        <w:rPr>
          <w:rFonts w:hint="eastAsia" w:ascii="Times New Roman" w:hAnsi="Times New Roman"/>
          <w:b/>
          <w:color w:val="auto"/>
          <w:sz w:val="24"/>
          <w:szCs w:val="24"/>
        </w:rPr>
        <w:t>（</w:t>
      </w:r>
      <w:r>
        <w:rPr>
          <w:rFonts w:ascii="Times New Roman" w:hAnsi="Times New Roman"/>
          <w:b/>
          <w:color w:val="auto"/>
          <w:sz w:val="24"/>
          <w:szCs w:val="24"/>
        </w:rPr>
        <w:t>2</w:t>
      </w:r>
      <w:r>
        <w:rPr>
          <w:rFonts w:hint="eastAsia" w:ascii="Times New Roman" w:hAnsi="Times New Roman"/>
          <w:b/>
          <w:color w:val="auto"/>
          <w:sz w:val="24"/>
          <w:szCs w:val="24"/>
        </w:rPr>
        <w:t>）过程防控措施</w:t>
      </w:r>
    </w:p>
    <w:p w14:paraId="5D275E30">
      <w:pPr>
        <w:pStyle w:val="26"/>
        <w:bidi w:val="0"/>
        <w:rPr>
          <w:rFonts w:hint="eastAsia" w:ascii="Times New Roman" w:hAnsi="Times New Roman" w:eastAsia="宋体"/>
          <w:color w:val="auto"/>
          <w:sz w:val="24"/>
          <w:szCs w:val="24"/>
          <w:highlight w:val="none"/>
          <w:lang w:val="en-US" w:eastAsia="zh-CN"/>
        </w:rPr>
      </w:pPr>
      <w:r>
        <w:rPr>
          <w:rFonts w:hint="eastAsia" w:ascii="Times New Roman" w:hAnsi="Times New Roman" w:eastAsia="宋体"/>
          <w:color w:val="auto"/>
          <w:highlight w:val="none"/>
          <w:lang w:val="en-US" w:eastAsia="zh-CN"/>
        </w:rPr>
        <w:t>各罐区四周设围堰</w:t>
      </w:r>
      <w:r>
        <w:rPr>
          <w:rFonts w:hint="eastAsia"/>
          <w:color w:val="auto"/>
          <w:highlight w:val="none"/>
          <w:lang w:val="en-US" w:eastAsia="zh-CN"/>
        </w:rPr>
        <w:t>和收集池；</w:t>
      </w:r>
      <w:r>
        <w:rPr>
          <w:rFonts w:hint="eastAsia"/>
          <w:color w:val="auto"/>
          <w:sz w:val="24"/>
          <w:szCs w:val="24"/>
          <w:lang w:val="en-US" w:eastAsia="zh-CN"/>
        </w:rPr>
        <w:t>仓库和</w:t>
      </w:r>
      <w:r>
        <w:rPr>
          <w:rFonts w:hint="eastAsia" w:cs="Times New Roman"/>
          <w:b w:val="0"/>
          <w:bCs w:val="0"/>
          <w:color w:val="auto"/>
          <w:highlight w:val="none"/>
          <w:lang w:val="en-US" w:eastAsia="zh-CN"/>
        </w:rPr>
        <w:t>危废暂存间</w:t>
      </w:r>
      <w:r>
        <w:rPr>
          <w:rFonts w:hint="eastAsia" w:cs="Times New Roman"/>
          <w:b w:val="0"/>
          <w:bCs w:val="0"/>
          <w:color w:val="auto"/>
          <w:sz w:val="24"/>
          <w:szCs w:val="24"/>
          <w:highlight w:val="none"/>
          <w:lang w:val="en-US" w:eastAsia="zh-CN"/>
        </w:rPr>
        <w:t>进出侧设防渗斜坡，并设地漏和</w:t>
      </w:r>
      <w:r>
        <w:rPr>
          <w:rFonts w:hint="eastAsia"/>
          <w:color w:val="auto"/>
          <w:sz w:val="24"/>
          <w:szCs w:val="24"/>
          <w:highlight w:val="none"/>
          <w:lang w:val="en-US" w:eastAsia="zh-CN"/>
        </w:rPr>
        <w:t>收集池；</w:t>
      </w:r>
      <w:r>
        <w:rPr>
          <w:rFonts w:hint="eastAsia" w:cs="Times New Roman"/>
          <w:b w:val="0"/>
          <w:bCs w:val="0"/>
          <w:color w:val="auto"/>
          <w:highlight w:val="none"/>
          <w:lang w:val="en-US" w:eastAsia="zh-CN"/>
        </w:rPr>
        <w:t>生产车间设</w:t>
      </w:r>
      <w:r>
        <w:rPr>
          <w:rFonts w:hint="eastAsia" w:cs="Times New Roman"/>
          <w:b w:val="0"/>
          <w:bCs w:val="0"/>
          <w:color w:val="auto"/>
          <w:sz w:val="24"/>
          <w:szCs w:val="24"/>
          <w:highlight w:val="none"/>
          <w:lang w:val="en-US" w:eastAsia="zh-CN"/>
        </w:rPr>
        <w:t>地漏和</w:t>
      </w:r>
      <w:r>
        <w:rPr>
          <w:rFonts w:hint="eastAsia"/>
          <w:color w:val="auto"/>
          <w:sz w:val="24"/>
          <w:szCs w:val="24"/>
          <w:highlight w:val="none"/>
          <w:lang w:val="en-US" w:eastAsia="zh-CN"/>
        </w:rPr>
        <w:t>收集池用于截留泄漏的液体物料</w:t>
      </w:r>
      <w:r>
        <w:rPr>
          <w:rFonts w:hint="eastAsia" w:cs="Times New Roman"/>
          <w:b w:val="0"/>
          <w:bCs w:val="0"/>
          <w:color w:val="auto"/>
          <w:sz w:val="24"/>
          <w:szCs w:val="24"/>
          <w:highlight w:val="none"/>
          <w:lang w:val="en-US" w:eastAsia="zh-CN"/>
        </w:rPr>
        <w:t>。</w:t>
      </w:r>
    </w:p>
    <w:p w14:paraId="669E1742">
      <w:pPr>
        <w:spacing w:line="360" w:lineRule="auto"/>
        <w:ind w:left="0" w:leftChars="0" w:firstLine="480" w:firstLineChars="200"/>
        <w:rPr>
          <w:rFonts w:ascii="Times New Roman" w:hAnsi="Times New Roman"/>
          <w:color w:val="auto"/>
          <w:sz w:val="24"/>
          <w:szCs w:val="24"/>
        </w:rPr>
      </w:pPr>
      <w:r>
        <w:rPr>
          <w:rFonts w:hint="eastAsia"/>
          <w:color w:val="auto"/>
          <w:sz w:val="24"/>
          <w:szCs w:val="24"/>
          <w:highlight w:val="none"/>
          <w:lang w:val="en-US" w:eastAsia="zh-CN"/>
        </w:rPr>
        <w:t>同时，厂区</w:t>
      </w:r>
      <w:r>
        <w:rPr>
          <w:rFonts w:hint="eastAsia" w:cs="Times New Roman"/>
          <w:b w:val="0"/>
          <w:bCs w:val="0"/>
          <w:color w:val="auto"/>
          <w:sz w:val="24"/>
          <w:szCs w:val="24"/>
          <w:highlight w:val="none"/>
          <w:lang w:val="en-US" w:eastAsia="zh-CN"/>
        </w:rPr>
        <w:t>设</w:t>
      </w:r>
      <w:r>
        <w:rPr>
          <w:rFonts w:hint="default" w:ascii="Times New Roman" w:hAnsi="Times New Roman" w:eastAsia="宋体" w:cs="Times New Roman"/>
          <w:b w:val="0"/>
          <w:bCs w:val="0"/>
          <w:color w:val="auto"/>
          <w:sz w:val="24"/>
          <w:szCs w:val="24"/>
          <w:highlight w:val="none"/>
          <w:lang w:val="en-US" w:eastAsia="zh-CN"/>
        </w:rPr>
        <w:t>1</w:t>
      </w:r>
      <w:r>
        <w:rPr>
          <w:rFonts w:hint="eastAsia" w:cs="Times New Roman"/>
          <w:b w:val="0"/>
          <w:bCs w:val="0"/>
          <w:color w:val="auto"/>
          <w:sz w:val="24"/>
          <w:szCs w:val="24"/>
          <w:highlight w:val="none"/>
          <w:lang w:val="en-US" w:eastAsia="zh-CN"/>
        </w:rPr>
        <w:t>座容积814.38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olor w:val="auto"/>
          <w:kern w:val="24"/>
          <w:sz w:val="24"/>
          <w:szCs w:val="24"/>
          <w:highlight w:val="none"/>
          <w:lang w:val="en-US" w:eastAsia="zh-CN"/>
        </w:rPr>
        <w:t>的</w:t>
      </w:r>
      <w:r>
        <w:rPr>
          <w:rFonts w:hint="eastAsia"/>
          <w:color w:val="auto"/>
          <w:sz w:val="24"/>
          <w:szCs w:val="24"/>
          <w:highlight w:val="none"/>
          <w:lang w:val="en-US" w:eastAsia="zh-CN"/>
        </w:rPr>
        <w:t>事故应急池</w:t>
      </w:r>
      <w:r>
        <w:rPr>
          <w:rFonts w:hint="default" w:ascii="Times New Roman" w:hAnsi="Times New Roman" w:eastAsia="宋体" w:cs="Times New Roman"/>
          <w:b w:val="0"/>
          <w:bCs w:val="0"/>
          <w:color w:val="auto"/>
          <w:sz w:val="24"/>
          <w:szCs w:val="24"/>
          <w:highlight w:val="none"/>
          <w:lang w:val="en-US" w:eastAsia="zh-CN"/>
        </w:rPr>
        <w:t>，用于</w:t>
      </w:r>
      <w:r>
        <w:rPr>
          <w:rFonts w:hint="eastAsia" w:cs="Times New Roman"/>
          <w:b w:val="0"/>
          <w:bCs w:val="0"/>
          <w:color w:val="auto"/>
          <w:sz w:val="24"/>
          <w:szCs w:val="24"/>
          <w:highlight w:val="none"/>
          <w:lang w:val="en-US" w:eastAsia="zh-CN"/>
        </w:rPr>
        <w:t>事故废水和</w:t>
      </w:r>
      <w:r>
        <w:rPr>
          <w:rFonts w:hint="default" w:ascii="Times New Roman" w:hAnsi="Times New Roman" w:eastAsia="宋体" w:cs="Times New Roman"/>
          <w:b w:val="0"/>
          <w:bCs w:val="0"/>
          <w:color w:val="auto"/>
          <w:sz w:val="24"/>
          <w:szCs w:val="24"/>
          <w:highlight w:val="none"/>
          <w:lang w:val="en-US" w:eastAsia="zh-CN"/>
        </w:rPr>
        <w:t>消防废水的收集</w:t>
      </w:r>
      <w:r>
        <w:rPr>
          <w:rFonts w:hint="eastAsia" w:ascii="Times New Roman" w:hAnsi="Times New Roman"/>
          <w:color w:val="auto"/>
          <w:sz w:val="24"/>
          <w:szCs w:val="24"/>
        </w:rPr>
        <w:t>。</w:t>
      </w:r>
    </w:p>
    <w:p w14:paraId="027660D4">
      <w:pPr>
        <w:spacing w:line="360" w:lineRule="auto"/>
        <w:ind w:left="0" w:leftChars="0" w:firstLine="482" w:firstLineChars="200"/>
        <w:rPr>
          <w:rFonts w:ascii="Times New Roman" w:hAnsi="Times New Roman"/>
          <w:b/>
          <w:color w:val="auto"/>
          <w:sz w:val="24"/>
          <w:szCs w:val="24"/>
        </w:rPr>
      </w:pPr>
      <w:r>
        <w:rPr>
          <w:rFonts w:hint="eastAsia" w:ascii="Times New Roman" w:hAnsi="Times New Roman"/>
          <w:b/>
          <w:color w:val="auto"/>
          <w:sz w:val="24"/>
          <w:szCs w:val="24"/>
        </w:rPr>
        <w:t>（</w:t>
      </w:r>
      <w:r>
        <w:rPr>
          <w:rFonts w:ascii="Times New Roman" w:hAnsi="Times New Roman"/>
          <w:b/>
          <w:color w:val="auto"/>
          <w:sz w:val="24"/>
          <w:szCs w:val="24"/>
        </w:rPr>
        <w:t>3</w:t>
      </w:r>
      <w:r>
        <w:rPr>
          <w:rFonts w:hint="eastAsia" w:ascii="Times New Roman" w:hAnsi="Times New Roman"/>
          <w:b/>
          <w:color w:val="auto"/>
          <w:sz w:val="24"/>
          <w:szCs w:val="24"/>
        </w:rPr>
        <w:t>）跟踪监测</w:t>
      </w:r>
    </w:p>
    <w:p w14:paraId="61C73A59">
      <w:pPr>
        <w:pStyle w:val="26"/>
        <w:bidi w:val="0"/>
        <w:rPr>
          <w:rFonts w:hint="eastAsia" w:ascii="Times New Roman" w:hAnsi="Times New Roman"/>
          <w:color w:val="auto"/>
          <w:sz w:val="24"/>
          <w:szCs w:val="24"/>
        </w:rPr>
      </w:pPr>
      <w:r>
        <w:rPr>
          <w:rFonts w:hint="eastAsia" w:ascii="Times New Roman" w:hAnsi="Times New Roman"/>
          <w:color w:val="auto"/>
          <w:sz w:val="24"/>
          <w:szCs w:val="24"/>
        </w:rPr>
        <w:t>建设单位</w:t>
      </w:r>
      <w:r>
        <w:rPr>
          <w:rFonts w:ascii="Times New Roman" w:hAnsi="Times New Roman"/>
          <w:color w:val="auto"/>
          <w:sz w:val="24"/>
          <w:szCs w:val="24"/>
        </w:rPr>
        <w:t>应建立土壤环境跟踪监测制度</w:t>
      </w:r>
      <w:r>
        <w:rPr>
          <w:rFonts w:hint="eastAsia" w:ascii="Times New Roman" w:hAnsi="Times New Roman"/>
          <w:color w:val="auto"/>
          <w:sz w:val="24"/>
          <w:szCs w:val="24"/>
        </w:rPr>
        <w:t>，以便及时发现问题，采取措施。</w:t>
      </w:r>
    </w:p>
    <w:p w14:paraId="60DB4C3E">
      <w:pPr>
        <w:pStyle w:val="26"/>
        <w:bidi w:val="0"/>
        <w:rPr>
          <w:rFonts w:hint="default"/>
          <w:color w:val="auto"/>
          <w:highlight w:val="none"/>
        </w:rPr>
      </w:pPr>
      <w:r>
        <w:rPr>
          <w:rFonts w:hint="default"/>
          <w:color w:val="auto"/>
          <w:highlight w:val="none"/>
        </w:rPr>
        <w:t>采取上述治理措施后，可有效避免</w:t>
      </w:r>
      <w:r>
        <w:rPr>
          <w:rFonts w:hint="eastAsia"/>
          <w:color w:val="auto"/>
          <w:highlight w:val="none"/>
          <w:lang w:val="en-US" w:eastAsia="zh-CN"/>
        </w:rPr>
        <w:t>项目</w:t>
      </w:r>
      <w:r>
        <w:rPr>
          <w:rFonts w:hint="default"/>
          <w:color w:val="auto"/>
          <w:highlight w:val="none"/>
        </w:rPr>
        <w:t>运行过程中对</w:t>
      </w:r>
      <w:r>
        <w:rPr>
          <w:rFonts w:hint="eastAsia"/>
          <w:color w:val="auto"/>
          <w:highlight w:val="none"/>
          <w:lang w:val="en-US" w:eastAsia="zh-CN"/>
        </w:rPr>
        <w:t>土壤</w:t>
      </w:r>
      <w:r>
        <w:rPr>
          <w:rFonts w:hint="default"/>
          <w:color w:val="auto"/>
          <w:highlight w:val="none"/>
        </w:rPr>
        <w:t>的污染</w:t>
      </w:r>
      <w:r>
        <w:rPr>
          <w:rFonts w:hint="eastAsia"/>
          <w:color w:val="auto"/>
          <w:highlight w:val="none"/>
          <w:lang w:eastAsia="zh-CN"/>
        </w:rPr>
        <w:t>，</w:t>
      </w:r>
      <w:r>
        <w:rPr>
          <w:rFonts w:hint="default"/>
          <w:color w:val="auto"/>
          <w:highlight w:val="none"/>
        </w:rPr>
        <w:t>拟采取的</w:t>
      </w:r>
      <w:r>
        <w:rPr>
          <w:rFonts w:hint="eastAsia"/>
          <w:color w:val="auto"/>
          <w:highlight w:val="none"/>
          <w:lang w:val="en-US" w:eastAsia="zh-CN"/>
        </w:rPr>
        <w:t>土壤环境保护</w:t>
      </w:r>
      <w:r>
        <w:rPr>
          <w:rFonts w:hint="default"/>
          <w:color w:val="auto"/>
          <w:highlight w:val="none"/>
        </w:rPr>
        <w:t>措施可行。</w:t>
      </w:r>
    </w:p>
    <w:p w14:paraId="28474BB3">
      <w:pPr>
        <w:pStyle w:val="4"/>
        <w:bidi w:val="0"/>
        <w:ind w:left="1855" w:leftChars="0" w:hanging="1855" w:firstLineChars="0"/>
        <w:rPr>
          <w:rFonts w:hint="default"/>
          <w:color w:val="auto"/>
          <w:highlight w:val="none"/>
        </w:rPr>
      </w:pPr>
      <w:r>
        <w:rPr>
          <w:rFonts w:hint="eastAsia"/>
          <w:color w:val="auto"/>
          <w:highlight w:val="none"/>
          <w:lang w:val="en-US" w:eastAsia="zh-CN"/>
        </w:rPr>
        <w:t>环境风险防范</w:t>
      </w:r>
      <w:r>
        <w:rPr>
          <w:color w:val="auto"/>
          <w:highlight w:val="none"/>
        </w:rPr>
        <w:t>措施可行性</w:t>
      </w:r>
      <w:r>
        <w:rPr>
          <w:rFonts w:hint="eastAsia"/>
          <w:color w:val="auto"/>
          <w:highlight w:val="none"/>
        </w:rPr>
        <w:t>论证</w:t>
      </w:r>
    </w:p>
    <w:p w14:paraId="029E9B75">
      <w:pPr>
        <w:pStyle w:val="26"/>
        <w:bidi w:val="0"/>
        <w:rPr>
          <w:rFonts w:hint="eastAsia"/>
          <w:color w:val="auto"/>
          <w:highlight w:val="none"/>
          <w:lang w:val="en-US" w:eastAsia="zh-CN"/>
        </w:rPr>
      </w:pPr>
      <w:r>
        <w:rPr>
          <w:rFonts w:hint="eastAsia"/>
          <w:color w:val="auto"/>
          <w:highlight w:val="none"/>
          <w:lang w:val="en-US" w:eastAsia="zh-CN"/>
        </w:rPr>
        <w:t>本项目存在一定的环境风险，采取的</w:t>
      </w:r>
      <w:r>
        <w:rPr>
          <w:rFonts w:hint="default" w:ascii="Times New Roman" w:hAnsi="Times New Roman" w:cs="Times New Roman"/>
          <w:color w:val="auto"/>
          <w:highlight w:val="none"/>
          <w:lang w:val="en-US" w:eastAsia="zh-CN"/>
        </w:rPr>
        <w:t>风险防范措施主要体现在防火、防爆、防泄漏及防污染物事故排放方面</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厂区建（构）筑物、罐组</w:t>
      </w:r>
      <w:r>
        <w:rPr>
          <w:rFonts w:hint="eastAsia" w:ascii="Times New Roman" w:hAnsi="Times New Roman" w:cs="Times New Roman"/>
          <w:color w:val="auto"/>
          <w:highlight w:val="none"/>
          <w:lang w:val="en-US" w:eastAsia="zh-CN"/>
        </w:rPr>
        <w:t>等防火间距严格按照《精细化工企业工程设计防火标准》（GB51283-2020）和《建筑设计防火规范》（GB50016-2014，2018年版）中相关要求执行</w:t>
      </w:r>
      <w:r>
        <w:rPr>
          <w:rFonts w:hint="eastAsia" w:cs="Times New Roman"/>
          <w:color w:val="auto"/>
          <w:highlight w:val="none"/>
          <w:lang w:val="en-US" w:eastAsia="zh-CN"/>
        </w:rPr>
        <w:t>；</w:t>
      </w:r>
      <w:r>
        <w:rPr>
          <w:rFonts w:hint="eastAsia"/>
          <w:color w:val="auto"/>
          <w:highlight w:val="none"/>
          <w:lang w:val="en-US" w:eastAsia="zh-CN"/>
        </w:rPr>
        <w:t>采用DCS分散型控制系统对泵、罐体和生产设备等的重要参数（如温度、压力、液位、流量等）进行监视、控制及报警；在生产车间、罐区、仓库和装卸区等可能存在可燃气体/有毒气体泄漏的位置设置1套可燃气体/有毒气体检测系统，信号引入中央控制室集中报警</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设置1套火灾自动监测报警系统</w:t>
      </w:r>
      <w:r>
        <w:rPr>
          <w:rFonts w:hint="eastAsia" w:cs="Times New Roman"/>
          <w:color w:val="auto"/>
          <w:highlight w:val="none"/>
          <w:lang w:val="en-US" w:eastAsia="zh-CN"/>
        </w:rPr>
        <w:t>，并设</w:t>
      </w:r>
      <w:r>
        <w:rPr>
          <w:rFonts w:hint="eastAsia" w:cs="Times New Roman"/>
          <w:b w:val="0"/>
          <w:bCs w:val="0"/>
          <w:color w:val="auto"/>
          <w:highlight w:val="none"/>
          <w:lang w:val="en-US" w:eastAsia="zh-CN"/>
        </w:rPr>
        <w:t>2个330m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消防水罐</w:t>
      </w:r>
      <w:r>
        <w:rPr>
          <w:rFonts w:hint="eastAsia" w:cs="Times New Roman"/>
          <w:color w:val="auto"/>
          <w:highlight w:val="none"/>
          <w:lang w:val="en-US" w:eastAsia="zh-CN"/>
        </w:rPr>
        <w:t>；加强废气处理系统的日常维护和保养，及时更换活性炭和喷淋介质；建立“生产单元-企业-园区”的三级事故废水防范体系等；</w:t>
      </w:r>
      <w:r>
        <w:rPr>
          <w:rFonts w:hint="eastAsia"/>
          <w:color w:val="auto"/>
          <w:lang w:val="en-US" w:eastAsia="zh-CN"/>
        </w:rPr>
        <w:t>配备足够的正压式防毒面具、护目镜等防护器具</w:t>
      </w:r>
      <w:r>
        <w:rPr>
          <w:rFonts w:hint="eastAsia" w:cs="Times New Roman"/>
          <w:color w:val="auto"/>
          <w:highlight w:val="none"/>
          <w:lang w:val="en-US" w:eastAsia="zh-CN"/>
        </w:rPr>
        <w:t>。</w:t>
      </w:r>
    </w:p>
    <w:p w14:paraId="3EB96811">
      <w:pPr>
        <w:pStyle w:val="26"/>
        <w:bidi w:val="0"/>
        <w:rPr>
          <w:rFonts w:hint="default"/>
          <w:color w:val="auto"/>
          <w:highlight w:val="none"/>
        </w:rPr>
      </w:pPr>
      <w:r>
        <w:rPr>
          <w:rFonts w:hint="eastAsia"/>
          <w:color w:val="auto"/>
          <w:highlight w:val="none"/>
        </w:rPr>
        <w:t>企业须加强管理，采取必要的风险事故防范措施</w:t>
      </w:r>
      <w:r>
        <w:rPr>
          <w:rFonts w:hint="eastAsia"/>
          <w:color w:val="auto"/>
          <w:highlight w:val="none"/>
          <w:lang w:val="en-US" w:eastAsia="zh-CN"/>
        </w:rPr>
        <w:t>和事故应急预案</w:t>
      </w:r>
      <w:r>
        <w:rPr>
          <w:rFonts w:hint="eastAsia"/>
          <w:color w:val="auto"/>
          <w:highlight w:val="none"/>
        </w:rPr>
        <w:t>，杜绝有毒有害物质泄漏和燃爆事故发生；若</w:t>
      </w:r>
      <w:r>
        <w:rPr>
          <w:rFonts w:hint="eastAsia" w:ascii="Times New Roman" w:hAnsi="Times New Roman" w:eastAsia="宋体" w:cs="Times New Roman"/>
          <w:color w:val="auto"/>
          <w:kern w:val="0"/>
          <w:sz w:val="24"/>
          <w:szCs w:val="24"/>
          <w:highlight w:val="none"/>
          <w:lang w:val="en-US" w:eastAsia="zh-CN" w:bidi="ar"/>
        </w:rPr>
        <w:t>一旦发生事故，应立即启动应急预案，根据事故当天风向确定最大影响范围，及时对影响范围内人员发布警报，并组织厂区员工、附近群众在5min内按拟定逃生路线进行疏散撤离，同时确定应急监测点，组织应急监测，直至监测达标方才恢复正常生产、生活。</w:t>
      </w:r>
      <w:r>
        <w:rPr>
          <w:rFonts w:hint="eastAsia"/>
          <w:color w:val="auto"/>
          <w:highlight w:val="none"/>
        </w:rPr>
        <w:t>通过采取</w:t>
      </w:r>
      <w:r>
        <w:rPr>
          <w:rFonts w:hint="eastAsia"/>
          <w:color w:val="auto"/>
          <w:highlight w:val="none"/>
          <w:lang w:val="en-US" w:eastAsia="zh-CN"/>
        </w:rPr>
        <w:t>有效</w:t>
      </w:r>
      <w:r>
        <w:rPr>
          <w:rFonts w:hint="eastAsia"/>
          <w:color w:val="auto"/>
          <w:highlight w:val="none"/>
        </w:rPr>
        <w:t>的风险防范措施</w:t>
      </w:r>
      <w:r>
        <w:rPr>
          <w:rFonts w:hint="eastAsia"/>
          <w:color w:val="auto"/>
          <w:highlight w:val="none"/>
          <w:lang w:val="en-US" w:eastAsia="zh-CN"/>
        </w:rPr>
        <w:t>和应急预案</w:t>
      </w:r>
      <w:r>
        <w:rPr>
          <w:rFonts w:hint="eastAsia"/>
          <w:color w:val="auto"/>
          <w:highlight w:val="none"/>
        </w:rPr>
        <w:t>，项目环境风险处于可接受水平。</w:t>
      </w:r>
    </w:p>
    <w:p w14:paraId="6F3F73EB">
      <w:pPr>
        <w:pStyle w:val="3"/>
        <w:bidi w:val="0"/>
        <w:rPr>
          <w:rFonts w:hint="eastAsia" w:ascii="Times New Roman" w:hAnsi="Times New Roman" w:cs="Times New Roman"/>
          <w:color w:val="auto"/>
          <w:highlight w:val="none"/>
          <w:lang w:val="en-US" w:eastAsia="zh-CN"/>
        </w:rPr>
      </w:pPr>
      <w:bookmarkStart w:id="242" w:name="_Toc16618"/>
      <w:bookmarkStart w:id="243" w:name="_Toc28053"/>
      <w:bookmarkStart w:id="244" w:name="_Toc1281"/>
      <w:bookmarkStart w:id="245" w:name="_Toc13744"/>
      <w:r>
        <w:rPr>
          <w:rFonts w:hint="eastAsia" w:ascii="Times New Roman" w:hAnsi="Times New Roman" w:cs="Times New Roman"/>
          <w:color w:val="auto"/>
          <w:highlight w:val="none"/>
          <w:lang w:val="en-US" w:eastAsia="zh-CN"/>
        </w:rPr>
        <w:t>环境保护措施及投资估算</w:t>
      </w:r>
      <w:bookmarkEnd w:id="242"/>
      <w:bookmarkEnd w:id="243"/>
      <w:bookmarkEnd w:id="244"/>
      <w:bookmarkEnd w:id="245"/>
    </w:p>
    <w:p w14:paraId="7AFAA509">
      <w:pPr>
        <w:pStyle w:val="26"/>
        <w:bidi w:val="0"/>
        <w:rPr>
          <w:rFonts w:hint="eastAsia" w:ascii="Times New Roman" w:hAnsi="Times New Roman"/>
          <w:color w:val="auto"/>
          <w:sz w:val="24"/>
          <w:szCs w:val="24"/>
          <w:highlight w:val="none"/>
        </w:rPr>
      </w:pPr>
      <w:r>
        <w:rPr>
          <w:rFonts w:hint="eastAsia" w:ascii="宋体" w:hAnsi="宋体"/>
          <w:color w:val="auto"/>
          <w:sz w:val="24"/>
          <w:szCs w:val="24"/>
          <w:highlight w:val="none"/>
        </w:rPr>
        <w:t>本项目需在废气、废水、噪声、固体废物等环境保护工作上投入一定资金，以确保环境污染防治工程措施落实到位，实现污染物达标排放。</w:t>
      </w:r>
      <w:r>
        <w:rPr>
          <w:rFonts w:hint="eastAsia" w:cs="Calibri"/>
          <w:color w:val="auto"/>
          <w:sz w:val="24"/>
          <w:szCs w:val="24"/>
          <w:highlight w:val="none"/>
        </w:rPr>
        <w:t>项目</w:t>
      </w:r>
      <w:r>
        <w:rPr>
          <w:rFonts w:hint="eastAsia" w:ascii="Times New Roman" w:hAnsi="Times New Roman"/>
          <w:color w:val="auto"/>
          <w:sz w:val="24"/>
          <w:szCs w:val="24"/>
          <w:highlight w:val="none"/>
        </w:rPr>
        <w:t>总投资</w:t>
      </w:r>
      <w:r>
        <w:rPr>
          <w:rFonts w:hint="eastAsia"/>
          <w:color w:val="auto"/>
          <w:sz w:val="24"/>
          <w:lang w:val="en-US" w:eastAsia="zh-CN"/>
        </w:rPr>
        <w:t>11065</w:t>
      </w:r>
      <w:r>
        <w:rPr>
          <w:rFonts w:hint="eastAsia" w:ascii="Times New Roman" w:hAnsi="Times New Roman"/>
          <w:color w:val="auto"/>
          <w:sz w:val="24"/>
          <w:szCs w:val="24"/>
          <w:highlight w:val="none"/>
        </w:rPr>
        <w:t>万元，</w:t>
      </w:r>
      <w:r>
        <w:rPr>
          <w:rFonts w:hint="eastAsia"/>
          <w:color w:val="auto"/>
          <w:highlight w:val="none"/>
        </w:rPr>
        <w:t>其中环保投资约</w:t>
      </w:r>
      <w:r>
        <w:rPr>
          <w:rFonts w:hint="eastAsia"/>
          <w:color w:val="auto"/>
          <w:highlight w:val="none"/>
          <w:lang w:val="en-US" w:eastAsia="zh-CN"/>
        </w:rPr>
        <w:t>185</w:t>
      </w:r>
      <w:r>
        <w:rPr>
          <w:color w:val="auto"/>
          <w:highlight w:val="none"/>
        </w:rPr>
        <w:t>万元</w:t>
      </w:r>
      <w:r>
        <w:rPr>
          <w:rFonts w:hint="eastAsia"/>
          <w:color w:val="auto"/>
          <w:highlight w:val="none"/>
        </w:rPr>
        <w:t>，占总投资的</w:t>
      </w:r>
      <w:r>
        <w:rPr>
          <w:rFonts w:hint="eastAsia"/>
          <w:color w:val="auto"/>
          <w:highlight w:val="none"/>
          <w:lang w:val="en-US" w:eastAsia="zh-CN"/>
        </w:rPr>
        <w:t>1.67%</w:t>
      </w:r>
      <w:r>
        <w:rPr>
          <w:rFonts w:hint="eastAsia"/>
          <w:color w:val="auto"/>
          <w:highlight w:val="none"/>
          <w:lang w:eastAsia="zh-CN"/>
        </w:rPr>
        <w:t>。</w:t>
      </w:r>
      <w:r>
        <w:rPr>
          <w:rFonts w:hint="eastAsia" w:ascii="Times New Roman" w:hAnsi="Times New Roman"/>
          <w:color w:val="auto"/>
          <w:sz w:val="24"/>
          <w:szCs w:val="24"/>
          <w:highlight w:val="none"/>
        </w:rPr>
        <w:t>主要环保措施及投资估算见</w:t>
      </w:r>
      <w:r>
        <w:rPr>
          <w:rFonts w:hint="eastAsia" w:ascii="Times New Roman" w:hAnsi="Times New Roman"/>
          <w:color w:val="auto"/>
          <w:sz w:val="24"/>
          <w:szCs w:val="24"/>
          <w:highlight w:val="none"/>
          <w:lang w:val="en-US" w:eastAsia="zh-CN"/>
        </w:rPr>
        <w:t>下</w:t>
      </w:r>
      <w:r>
        <w:rPr>
          <w:rFonts w:hint="eastAsia" w:ascii="Times New Roman" w:hAnsi="Times New Roman"/>
          <w:color w:val="auto"/>
          <w:sz w:val="24"/>
          <w:szCs w:val="24"/>
          <w:highlight w:val="none"/>
        </w:rPr>
        <w:t>表。</w:t>
      </w:r>
    </w:p>
    <w:p w14:paraId="42C4B42B">
      <w:pPr>
        <w:numPr>
          <w:ilvl w:val="0"/>
          <w:numId w:val="44"/>
        </w:numPr>
        <w:spacing w:line="360" w:lineRule="auto"/>
        <w:ind w:left="425" w:leftChars="0" w:hanging="425" w:firstLineChars="0"/>
        <w:jc w:val="center"/>
        <w:rPr>
          <w:rFonts w:ascii="Calibri" w:hAnsi="Calibri" w:eastAsia="黑体" w:cs="Calibri"/>
          <w:color w:val="auto"/>
          <w:sz w:val="21"/>
          <w:szCs w:val="21"/>
          <w:highlight w:val="none"/>
        </w:rPr>
      </w:pPr>
      <w:r>
        <w:rPr>
          <w:rFonts w:ascii="Calibri" w:hAnsi="Calibri" w:eastAsia="黑体" w:cs="Calibri"/>
          <w:color w:val="auto"/>
          <w:sz w:val="21"/>
          <w:szCs w:val="21"/>
          <w:highlight w:val="none"/>
        </w:rPr>
        <w:t>环保投资</w:t>
      </w:r>
      <w:r>
        <w:rPr>
          <w:rFonts w:hint="eastAsia" w:ascii="Calibri" w:hAnsi="Calibri" w:eastAsia="黑体" w:cs="Calibri"/>
          <w:color w:val="auto"/>
          <w:sz w:val="21"/>
          <w:szCs w:val="21"/>
          <w:highlight w:val="none"/>
        </w:rPr>
        <w:t>估算</w:t>
      </w:r>
      <w:r>
        <w:rPr>
          <w:rFonts w:ascii="Calibri" w:hAnsi="Calibri" w:eastAsia="黑体" w:cs="Calibri"/>
          <w:color w:val="auto"/>
          <w:sz w:val="21"/>
          <w:szCs w:val="21"/>
          <w:highlight w:val="none"/>
        </w:rPr>
        <w:t>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944"/>
        <w:gridCol w:w="933"/>
        <w:gridCol w:w="5481"/>
        <w:gridCol w:w="1431"/>
      </w:tblGrid>
      <w:tr w14:paraId="4075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0"/>
            <w:vAlign w:val="center"/>
          </w:tcPr>
          <w:p w14:paraId="0713EE3E">
            <w:pPr>
              <w:pStyle w:val="24"/>
              <w:bidi w:val="0"/>
              <w:spacing w:line="240" w:lineRule="auto"/>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时期</w:t>
            </w:r>
          </w:p>
        </w:tc>
        <w:tc>
          <w:tcPr>
            <w:tcW w:w="496" w:type="pct"/>
            <w:noWrap w:val="0"/>
            <w:vAlign w:val="center"/>
          </w:tcPr>
          <w:p w14:paraId="2D2C7BF3">
            <w:pPr>
              <w:pStyle w:val="24"/>
              <w:bidi w:val="0"/>
              <w:spacing w:line="240" w:lineRule="auto"/>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类别</w:t>
            </w:r>
          </w:p>
        </w:tc>
        <w:tc>
          <w:tcPr>
            <w:tcW w:w="3370" w:type="pct"/>
            <w:gridSpan w:val="2"/>
            <w:noWrap w:val="0"/>
            <w:vAlign w:val="center"/>
          </w:tcPr>
          <w:p w14:paraId="4C771D6F">
            <w:pPr>
              <w:pStyle w:val="24"/>
              <w:bidi w:val="0"/>
              <w:spacing w:line="240" w:lineRule="auto"/>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环保治理措施</w:t>
            </w:r>
          </w:p>
        </w:tc>
        <w:tc>
          <w:tcPr>
            <w:tcW w:w="752" w:type="pct"/>
            <w:noWrap w:val="0"/>
            <w:vAlign w:val="center"/>
          </w:tcPr>
          <w:p w14:paraId="19F44EF9">
            <w:pPr>
              <w:pStyle w:val="24"/>
              <w:bidi w:val="0"/>
              <w:spacing w:line="240" w:lineRule="auto"/>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投资（万元）</w:t>
            </w:r>
          </w:p>
        </w:tc>
      </w:tr>
      <w:tr w14:paraId="2056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restart"/>
            <w:noWrap w:val="0"/>
            <w:vAlign w:val="center"/>
          </w:tcPr>
          <w:p w14:paraId="52994329">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施</w:t>
            </w:r>
          </w:p>
          <w:p w14:paraId="527C4146">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工</w:t>
            </w:r>
          </w:p>
          <w:p w14:paraId="3C8E5A25">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期</w:t>
            </w:r>
          </w:p>
        </w:tc>
        <w:tc>
          <w:tcPr>
            <w:tcW w:w="496" w:type="pct"/>
            <w:vMerge w:val="restart"/>
            <w:noWrap w:val="0"/>
            <w:vAlign w:val="center"/>
          </w:tcPr>
          <w:p w14:paraId="10A5CB7F">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废气</w:t>
            </w:r>
          </w:p>
          <w:p w14:paraId="5D2BDB4C">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70EF17CE">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施工</w:t>
            </w:r>
            <w:r>
              <w:rPr>
                <w:rFonts w:hint="eastAsia" w:cs="Courier New"/>
                <w:b w:val="0"/>
                <w:bCs w:val="0"/>
                <w:color w:val="auto"/>
                <w:highlight w:val="none"/>
                <w:lang w:val="en-US" w:eastAsia="zh-CN"/>
              </w:rPr>
              <w:t>现场</w:t>
            </w:r>
            <w:r>
              <w:rPr>
                <w:rFonts w:hint="eastAsia" w:ascii="Times New Roman" w:hAnsi="Times New Roman" w:eastAsia="宋体" w:cs="Courier New"/>
                <w:b w:val="0"/>
                <w:bCs w:val="0"/>
                <w:color w:val="auto"/>
                <w:highlight w:val="none"/>
                <w:lang w:val="en-US" w:eastAsia="zh-CN"/>
              </w:rPr>
              <w:t>设置封闭围挡，主要道路硬化，定期洒水抑尘，设置喷淋、冲洗等降尘措施，车辆密闭运输，堆场使用</w:t>
            </w:r>
            <w:r>
              <w:rPr>
                <w:rFonts w:hint="eastAsia" w:cs="Courier New"/>
                <w:b w:val="0"/>
                <w:bCs w:val="0"/>
                <w:color w:val="auto"/>
                <w:highlight w:val="none"/>
                <w:lang w:val="en-US" w:eastAsia="zh-CN"/>
              </w:rPr>
              <w:t>防雨布</w:t>
            </w:r>
            <w:r>
              <w:rPr>
                <w:rFonts w:hint="eastAsia" w:ascii="Times New Roman" w:hAnsi="Times New Roman" w:eastAsia="宋体" w:cs="Courier New"/>
                <w:b w:val="0"/>
                <w:bCs w:val="0"/>
                <w:color w:val="auto"/>
                <w:highlight w:val="none"/>
                <w:lang w:val="en-US" w:eastAsia="zh-CN"/>
              </w:rPr>
              <w:t>覆盖等</w:t>
            </w:r>
            <w:r>
              <w:rPr>
                <w:rFonts w:hint="eastAsia" w:cs="Courier New"/>
                <w:b w:val="0"/>
                <w:bCs w:val="0"/>
                <w:color w:val="auto"/>
                <w:highlight w:val="none"/>
                <w:lang w:val="en-US" w:eastAsia="zh-CN"/>
              </w:rPr>
              <w:t>。</w:t>
            </w:r>
          </w:p>
        </w:tc>
        <w:tc>
          <w:tcPr>
            <w:tcW w:w="752" w:type="pct"/>
            <w:noWrap w:val="0"/>
            <w:vAlign w:val="center"/>
          </w:tcPr>
          <w:p w14:paraId="24C8A4BB">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8</w:t>
            </w:r>
          </w:p>
        </w:tc>
      </w:tr>
      <w:tr w14:paraId="5093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27AF98B6">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1B143801">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28DC81A9">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禁止使用高排放非道路移动机械，制定施工现场非道路移动机械管理制度，并加强施工设备维护和用油管理，采用环保装修材料</w:t>
            </w:r>
            <w:r>
              <w:rPr>
                <w:rFonts w:hint="eastAsia" w:cs="Courier New"/>
                <w:b w:val="0"/>
                <w:bCs w:val="0"/>
                <w:color w:val="auto"/>
                <w:highlight w:val="none"/>
                <w:lang w:val="en-US" w:eastAsia="zh-CN"/>
              </w:rPr>
              <w:t>。</w:t>
            </w:r>
          </w:p>
        </w:tc>
        <w:tc>
          <w:tcPr>
            <w:tcW w:w="752" w:type="pct"/>
            <w:noWrap w:val="0"/>
            <w:vAlign w:val="center"/>
          </w:tcPr>
          <w:p w14:paraId="69856362">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2</w:t>
            </w:r>
          </w:p>
        </w:tc>
      </w:tr>
      <w:tr w14:paraId="4BDD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0537C1AC">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restart"/>
            <w:noWrap w:val="0"/>
            <w:vAlign w:val="center"/>
          </w:tcPr>
          <w:p w14:paraId="02A7F6BD">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废水</w:t>
            </w:r>
          </w:p>
          <w:p w14:paraId="02F3393A">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659FD3B5">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设</w:t>
            </w:r>
            <w:r>
              <w:rPr>
                <w:rFonts w:hint="eastAsia" w:ascii="Times New Roman" w:hAnsi="Times New Roman" w:eastAsia="宋体" w:cs="Courier New"/>
                <w:b w:val="0"/>
                <w:bCs w:val="0"/>
                <w:color w:val="auto"/>
                <w:highlight w:val="none"/>
                <w:lang w:val="en-US" w:eastAsia="zh-CN"/>
              </w:rPr>
              <w:t>环保厕所</w:t>
            </w:r>
            <w:r>
              <w:rPr>
                <w:rFonts w:hint="eastAsia" w:cs="Courier New"/>
                <w:b w:val="0"/>
                <w:bCs w:val="0"/>
                <w:color w:val="auto"/>
                <w:highlight w:val="none"/>
                <w:lang w:val="en-US" w:eastAsia="zh-CN"/>
              </w:rPr>
              <w:t>，生活污水经</w:t>
            </w:r>
            <w:r>
              <w:rPr>
                <w:rFonts w:hint="eastAsia" w:ascii="Times New Roman" w:hAnsi="Times New Roman" w:eastAsia="宋体" w:cs="Courier New"/>
                <w:b w:val="0"/>
                <w:bCs w:val="0"/>
                <w:color w:val="auto"/>
                <w:highlight w:val="none"/>
                <w:lang w:val="en-US" w:eastAsia="zh-CN"/>
              </w:rPr>
              <w:t>收集后通过密闭罐车拉运至通江县春在污水处理厂进行处理</w:t>
            </w:r>
            <w:r>
              <w:rPr>
                <w:rFonts w:hint="eastAsia" w:cs="Courier New"/>
                <w:b w:val="0"/>
                <w:bCs w:val="0"/>
                <w:color w:val="auto"/>
                <w:highlight w:val="none"/>
                <w:lang w:val="en-US" w:eastAsia="zh-CN"/>
              </w:rPr>
              <w:t>。</w:t>
            </w:r>
          </w:p>
        </w:tc>
        <w:tc>
          <w:tcPr>
            <w:tcW w:w="752" w:type="pct"/>
            <w:noWrap w:val="0"/>
            <w:vAlign w:val="center"/>
          </w:tcPr>
          <w:p w14:paraId="71122B59">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2</w:t>
            </w:r>
          </w:p>
        </w:tc>
      </w:tr>
      <w:tr w14:paraId="6054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1D912C98">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7BB857AC">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0174DB2D">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设</w:t>
            </w:r>
            <w:r>
              <w:rPr>
                <w:rFonts w:hint="eastAsia" w:cs="Courier New"/>
                <w:b w:val="0"/>
                <w:bCs w:val="0"/>
                <w:color w:val="auto"/>
                <w:highlight w:val="none"/>
                <w:lang w:val="en-US" w:eastAsia="zh-CN"/>
              </w:rPr>
              <w:t>排水沟、</w:t>
            </w:r>
            <w:r>
              <w:rPr>
                <w:rFonts w:hint="eastAsia" w:ascii="Times New Roman" w:hAnsi="Times New Roman" w:eastAsia="宋体" w:cs="Courier New"/>
                <w:b w:val="0"/>
                <w:bCs w:val="0"/>
                <w:color w:val="auto"/>
                <w:highlight w:val="none"/>
                <w:lang w:val="en-US" w:eastAsia="zh-CN"/>
              </w:rPr>
              <w:t>沉淀池、隔油池，施工废水全部回用</w:t>
            </w:r>
            <w:r>
              <w:rPr>
                <w:rFonts w:hint="eastAsia" w:cs="Courier New"/>
                <w:b w:val="0"/>
                <w:bCs w:val="0"/>
                <w:color w:val="auto"/>
                <w:highlight w:val="none"/>
                <w:lang w:val="en-US" w:eastAsia="zh-CN"/>
              </w:rPr>
              <w:t>。</w:t>
            </w:r>
          </w:p>
        </w:tc>
        <w:tc>
          <w:tcPr>
            <w:tcW w:w="752" w:type="pct"/>
            <w:noWrap w:val="0"/>
            <w:vAlign w:val="center"/>
          </w:tcPr>
          <w:p w14:paraId="7F7F7D2D">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6</w:t>
            </w:r>
          </w:p>
        </w:tc>
      </w:tr>
      <w:tr w14:paraId="3DB1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2F0BC903">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noWrap w:val="0"/>
            <w:vAlign w:val="center"/>
          </w:tcPr>
          <w:p w14:paraId="630BFD91">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噪声</w:t>
            </w:r>
          </w:p>
          <w:p w14:paraId="3B8FAAC7">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762A581B">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选低噪声设备，合理安排施工时间，文明施工，合理布置施工平面，车辆限速、禁鸣等</w:t>
            </w:r>
            <w:r>
              <w:rPr>
                <w:rFonts w:hint="eastAsia" w:cs="Courier New"/>
                <w:b w:val="0"/>
                <w:bCs w:val="0"/>
                <w:color w:val="auto"/>
                <w:highlight w:val="none"/>
                <w:lang w:val="en-US" w:eastAsia="zh-CN"/>
              </w:rPr>
              <w:t>。</w:t>
            </w:r>
          </w:p>
        </w:tc>
        <w:tc>
          <w:tcPr>
            <w:tcW w:w="752" w:type="pct"/>
            <w:noWrap w:val="0"/>
            <w:vAlign w:val="center"/>
          </w:tcPr>
          <w:p w14:paraId="6018A23B">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default" w:ascii="Times New Roman" w:hAnsi="Times New Roman" w:cs="Times New Roman"/>
                <w:color w:val="auto"/>
                <w:highlight w:val="none"/>
                <w:lang w:val="en-US" w:eastAsia="zh-CN"/>
              </w:rPr>
              <w:t>计入主体工程投资</w:t>
            </w:r>
          </w:p>
        </w:tc>
      </w:tr>
      <w:tr w14:paraId="2367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381" w:type="pct"/>
            <w:vMerge w:val="continue"/>
            <w:noWrap w:val="0"/>
            <w:vAlign w:val="center"/>
          </w:tcPr>
          <w:p w14:paraId="6159ECE4">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noWrap w:val="0"/>
            <w:vAlign w:val="center"/>
          </w:tcPr>
          <w:p w14:paraId="42204594">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固废</w:t>
            </w:r>
          </w:p>
          <w:p w14:paraId="5B7B3F15">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102A3765">
            <w:pPr>
              <w:pStyle w:val="24"/>
              <w:bidi w:val="0"/>
              <w:spacing w:line="240" w:lineRule="auto"/>
              <w:jc w:val="left"/>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土石方全部回填</w:t>
            </w:r>
            <w:r>
              <w:rPr>
                <w:rFonts w:hint="eastAsia" w:cs="Courier New"/>
                <w:b w:val="0"/>
                <w:bCs w:val="0"/>
                <w:color w:val="auto"/>
                <w:highlight w:val="none"/>
                <w:lang w:val="en-US" w:eastAsia="zh-CN"/>
              </w:rPr>
              <w:t>利用，</w:t>
            </w:r>
            <w:r>
              <w:rPr>
                <w:rFonts w:hint="eastAsia" w:ascii="Times New Roman" w:hAnsi="Times New Roman" w:eastAsia="宋体" w:cs="Courier New"/>
                <w:b w:val="0"/>
                <w:bCs w:val="0"/>
                <w:color w:val="auto"/>
                <w:highlight w:val="none"/>
                <w:lang w:val="en-US" w:eastAsia="zh-CN"/>
              </w:rPr>
              <w:t>建筑废物分类收集处置，生活垃圾由袋装收集后交由环卫部门处置</w:t>
            </w:r>
            <w:r>
              <w:rPr>
                <w:rFonts w:hint="eastAsia" w:cs="Courier New"/>
                <w:b w:val="0"/>
                <w:bCs w:val="0"/>
                <w:color w:val="auto"/>
                <w:highlight w:val="none"/>
                <w:lang w:val="en-US" w:eastAsia="zh-CN"/>
              </w:rPr>
              <w:t>，沉淀池沉渣</w:t>
            </w:r>
            <w:r>
              <w:rPr>
                <w:rFonts w:hint="eastAsia"/>
                <w:color w:val="auto"/>
                <w:highlight w:val="none"/>
                <w:lang w:val="en-US" w:eastAsia="zh-CN"/>
              </w:rPr>
              <w:t>定期清掏交由环卫部门清运处理，</w:t>
            </w:r>
            <w:r>
              <w:rPr>
                <w:rFonts w:hint="default"/>
                <w:color w:val="auto"/>
                <w:highlight w:val="none"/>
                <w:lang w:val="en-US" w:eastAsia="zh-CN"/>
              </w:rPr>
              <w:t>隔油池</w:t>
            </w:r>
            <w:r>
              <w:rPr>
                <w:rFonts w:hint="eastAsia"/>
                <w:color w:val="auto"/>
                <w:highlight w:val="none"/>
                <w:lang w:val="en-US" w:eastAsia="zh-CN"/>
              </w:rPr>
              <w:t>油污</w:t>
            </w:r>
            <w:r>
              <w:rPr>
                <w:rFonts w:hint="default"/>
                <w:color w:val="auto"/>
                <w:highlight w:val="none"/>
                <w:lang w:val="en-US" w:eastAsia="zh-CN"/>
              </w:rPr>
              <w:t>由有资质单位定期到施工现场清</w:t>
            </w:r>
            <w:r>
              <w:rPr>
                <w:rFonts w:hint="eastAsia"/>
                <w:color w:val="auto"/>
                <w:highlight w:val="none"/>
                <w:lang w:val="en-US" w:eastAsia="zh-CN"/>
              </w:rPr>
              <w:t>运处置。</w:t>
            </w:r>
          </w:p>
        </w:tc>
        <w:tc>
          <w:tcPr>
            <w:tcW w:w="752" w:type="pct"/>
            <w:noWrap w:val="0"/>
            <w:vAlign w:val="center"/>
          </w:tcPr>
          <w:p w14:paraId="623CC84F">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2</w:t>
            </w:r>
          </w:p>
        </w:tc>
      </w:tr>
      <w:tr w14:paraId="048B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restart"/>
            <w:noWrap w:val="0"/>
            <w:vAlign w:val="center"/>
          </w:tcPr>
          <w:p w14:paraId="159145F3">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营</w:t>
            </w:r>
          </w:p>
          <w:p w14:paraId="1E7E7A6A">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运</w:t>
            </w:r>
          </w:p>
          <w:p w14:paraId="52CD5653">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期</w:t>
            </w:r>
          </w:p>
        </w:tc>
        <w:tc>
          <w:tcPr>
            <w:tcW w:w="496" w:type="pct"/>
            <w:vMerge w:val="restart"/>
            <w:noWrap w:val="0"/>
            <w:vAlign w:val="center"/>
          </w:tcPr>
          <w:p w14:paraId="1CBD6ACD">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废气</w:t>
            </w:r>
          </w:p>
          <w:p w14:paraId="0BEF927E">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shd w:val="clear" w:color="auto" w:fill="auto"/>
            <w:noWrap w:val="0"/>
            <w:vAlign w:val="center"/>
          </w:tcPr>
          <w:p w14:paraId="3487F7DF">
            <w:pPr>
              <w:pStyle w:val="24"/>
              <w:bidi w:val="0"/>
              <w:ind w:left="0" w:leftChars="0"/>
              <w:jc w:val="left"/>
              <w:rPr>
                <w:rFonts w:hint="eastAsia" w:ascii="Times New Roman" w:hAnsi="Times New Roman" w:eastAsia="宋体" w:cs="Courier New"/>
                <w:b w:val="0"/>
                <w:color w:val="auto"/>
                <w:kern w:val="2"/>
                <w:sz w:val="21"/>
                <w:szCs w:val="24"/>
                <w:highlight w:val="none"/>
                <w:lang w:val="en-US" w:eastAsia="zh-CN" w:bidi="ar-SA"/>
              </w:rPr>
            </w:pPr>
            <w:r>
              <w:rPr>
                <w:rFonts w:hint="eastAsia" w:cs="Courier New"/>
                <w:b w:val="0"/>
                <w:color w:val="auto"/>
                <w:highlight w:val="none"/>
                <w:lang w:val="en-US" w:eastAsia="zh-CN"/>
              </w:rPr>
              <w:t>投料孔上方设集气罩，罐体和反应釜排气阀设密闭集气管道，并设</w:t>
            </w:r>
            <w:r>
              <w:rPr>
                <w:rFonts w:hint="default" w:ascii="Times New Roman" w:hAnsi="Times New Roman" w:eastAsia="宋体" w:cs="Courier New"/>
                <w:b w:val="0"/>
                <w:color w:val="auto"/>
                <w:highlight w:val="none"/>
                <w:lang w:val="en-US" w:eastAsia="zh-CN"/>
              </w:rPr>
              <w:t>1套</w:t>
            </w:r>
            <w:r>
              <w:rPr>
                <w:rFonts w:hint="eastAsia" w:cs="Courier New"/>
                <w:b w:val="0"/>
                <w:color w:val="auto"/>
                <w:highlight w:val="none"/>
                <w:lang w:val="en-US" w:eastAsia="zh-CN"/>
              </w:rPr>
              <w:t>二级</w:t>
            </w:r>
            <w:r>
              <w:rPr>
                <w:rFonts w:hint="default" w:ascii="Times New Roman" w:hAnsi="Times New Roman" w:eastAsia="宋体" w:cs="Courier New"/>
                <w:b w:val="0"/>
                <w:color w:val="auto"/>
                <w:highlight w:val="none"/>
                <w:lang w:val="en-US" w:eastAsia="zh-CN"/>
              </w:rPr>
              <w:t>碱喷淋（自带除雾装置）+</w:t>
            </w:r>
            <w:r>
              <w:rPr>
                <w:rFonts w:hint="eastAsia" w:cs="Courier New"/>
                <w:b w:val="0"/>
                <w:color w:val="auto"/>
                <w:highlight w:val="none"/>
                <w:lang w:val="en-US" w:eastAsia="zh-CN"/>
              </w:rPr>
              <w:t>两级</w:t>
            </w:r>
            <w:r>
              <w:rPr>
                <w:rFonts w:hint="default" w:ascii="Times New Roman" w:hAnsi="Times New Roman" w:eastAsia="宋体" w:cs="Courier New"/>
                <w:b w:val="0"/>
                <w:color w:val="auto"/>
                <w:highlight w:val="none"/>
                <w:lang w:val="en-US" w:eastAsia="zh-CN"/>
              </w:rPr>
              <w:t>活性炭吸附装置</w:t>
            </w:r>
            <w:r>
              <w:rPr>
                <w:rFonts w:hint="eastAsia" w:cs="Courier New"/>
                <w:b w:val="0"/>
                <w:color w:val="auto"/>
                <w:highlight w:val="none"/>
                <w:lang w:val="en-US" w:eastAsia="zh-CN"/>
              </w:rPr>
              <w:t>（TA001），</w:t>
            </w:r>
            <w:r>
              <w:rPr>
                <w:rFonts w:hint="eastAsia" w:cs="Courier New"/>
                <w:b w:val="0"/>
                <w:color w:val="auto"/>
                <w:kern w:val="2"/>
                <w:sz w:val="21"/>
                <w:szCs w:val="24"/>
                <w:highlight w:val="none"/>
                <w:lang w:val="en-US" w:eastAsia="zh-CN" w:bidi="ar-SA"/>
              </w:rPr>
              <w:t>工艺</w:t>
            </w:r>
            <w:r>
              <w:rPr>
                <w:rFonts w:hint="default" w:ascii="Times New Roman" w:hAnsi="Times New Roman" w:eastAsia="宋体" w:cs="Courier New"/>
                <w:b w:val="0"/>
                <w:color w:val="auto"/>
                <w:kern w:val="2"/>
                <w:sz w:val="21"/>
                <w:szCs w:val="24"/>
                <w:highlight w:val="none"/>
                <w:lang w:val="en-US" w:eastAsia="zh-CN" w:bidi="ar-SA"/>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处理后通过</w:t>
            </w:r>
            <w:r>
              <w:rPr>
                <w:rFonts w:hint="eastAsia"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cs="Courier New"/>
                <w:b w:val="0"/>
                <w:color w:val="auto"/>
                <w:highlight w:val="none"/>
                <w:lang w:val="en-US" w:eastAsia="zh-CN"/>
              </w:rPr>
              <w:t>（DA001）</w:t>
            </w:r>
            <w:r>
              <w:rPr>
                <w:rFonts w:hint="default" w:ascii="Times New Roman" w:hAnsi="Times New Roman" w:eastAsia="宋体" w:cs="Courier New"/>
                <w:b w:val="0"/>
                <w:color w:val="auto"/>
                <w:highlight w:val="none"/>
                <w:lang w:val="en-US" w:eastAsia="zh-CN"/>
              </w:rPr>
              <w:t>排放</w:t>
            </w:r>
            <w:r>
              <w:rPr>
                <w:rFonts w:hint="eastAsia" w:cs="Courier New"/>
                <w:b w:val="0"/>
                <w:color w:val="auto"/>
                <w:highlight w:val="none"/>
                <w:lang w:val="en-US" w:eastAsia="zh-CN"/>
              </w:rPr>
              <w:t>。</w:t>
            </w:r>
          </w:p>
        </w:tc>
        <w:tc>
          <w:tcPr>
            <w:tcW w:w="752" w:type="pct"/>
            <w:noWrap w:val="0"/>
            <w:vAlign w:val="center"/>
          </w:tcPr>
          <w:p w14:paraId="57B8C77D">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30</w:t>
            </w:r>
          </w:p>
        </w:tc>
      </w:tr>
      <w:tr w14:paraId="1A68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076E9E7B">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7D28B298">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shd w:val="clear" w:color="auto" w:fill="auto"/>
            <w:noWrap w:val="0"/>
            <w:vAlign w:val="center"/>
          </w:tcPr>
          <w:p w14:paraId="04C8AAE6">
            <w:pPr>
              <w:pStyle w:val="24"/>
              <w:bidi w:val="0"/>
              <w:ind w:left="0" w:leftChars="0"/>
              <w:jc w:val="left"/>
              <w:rPr>
                <w:rFonts w:hint="eastAsia" w:ascii="Times New Roman" w:hAnsi="Times New Roman" w:eastAsia="宋体" w:cs="Courier New"/>
                <w:b w:val="0"/>
                <w:color w:val="auto"/>
                <w:kern w:val="2"/>
                <w:sz w:val="21"/>
                <w:szCs w:val="24"/>
                <w:highlight w:val="none"/>
                <w:lang w:val="en-US" w:eastAsia="zh-CN" w:bidi="ar-SA"/>
              </w:rPr>
            </w:pPr>
            <w:r>
              <w:rPr>
                <w:rFonts w:hint="eastAsia" w:cs="Courier New"/>
                <w:b w:val="0"/>
                <w:color w:val="auto"/>
                <w:highlight w:val="none"/>
                <w:lang w:val="en-US" w:eastAsia="zh-CN"/>
              </w:rPr>
              <w:t>质检室设2个试剂柜、2个通风橱、8个万向罩，并设1套</w:t>
            </w:r>
            <w:r>
              <w:rPr>
                <w:rFonts w:hint="default" w:ascii="Times New Roman" w:hAnsi="Times New Roman" w:eastAsia="宋体" w:cs="Courier New"/>
                <w:b w:val="0"/>
                <w:color w:val="auto"/>
                <w:highlight w:val="none"/>
                <w:lang w:val="en-US" w:eastAsia="zh-CN"/>
              </w:rPr>
              <w:t>碱喷淋</w:t>
            </w:r>
            <w:r>
              <w:rPr>
                <w:rFonts w:hint="eastAsia" w:cs="Courier New"/>
                <w:b w:val="0"/>
                <w:color w:val="auto"/>
                <w:highlight w:val="none"/>
                <w:lang w:val="en-US" w:eastAsia="zh-CN"/>
              </w:rPr>
              <w:t>装置</w:t>
            </w:r>
            <w:r>
              <w:rPr>
                <w:rFonts w:hint="eastAsia" w:ascii="Times New Roman" w:hAnsi="Times New Roman" w:eastAsia="宋体" w:cs="Courier New"/>
                <w:b w:val="0"/>
                <w:color w:val="auto"/>
                <w:highlight w:val="none"/>
                <w:lang w:val="en-US" w:eastAsia="zh-CN"/>
              </w:rPr>
              <w:t>（TA00</w:t>
            </w:r>
            <w:r>
              <w:rPr>
                <w:rFonts w:hint="eastAsia" w:cs="Courier New"/>
                <w:b w:val="0"/>
                <w:color w:val="auto"/>
                <w:highlight w:val="none"/>
                <w:lang w:val="en-US" w:eastAsia="zh-CN"/>
              </w:rPr>
              <w:t>2</w:t>
            </w:r>
            <w:r>
              <w:rPr>
                <w:rFonts w:hint="eastAsia" w:ascii="Times New Roman" w:hAnsi="Times New Roman" w:eastAsia="宋体" w:cs="Courier New"/>
                <w:b w:val="0"/>
                <w:color w:val="auto"/>
                <w:highlight w:val="none"/>
                <w:lang w:val="en-US" w:eastAsia="zh-CN"/>
              </w:rPr>
              <w:t>），</w:t>
            </w:r>
            <w:r>
              <w:rPr>
                <w:rFonts w:hint="eastAsia" w:cs="Courier New"/>
                <w:b w:val="0"/>
                <w:color w:val="auto"/>
                <w:highlight w:val="none"/>
                <w:lang w:val="en-US" w:eastAsia="zh-CN"/>
              </w:rPr>
              <w:t>质检</w:t>
            </w:r>
            <w:r>
              <w:rPr>
                <w:rFonts w:hint="eastAsia" w:ascii="Times New Roman" w:hAnsi="Times New Roman" w:eastAsia="宋体" w:cs="Courier New"/>
                <w:b w:val="0"/>
                <w:color w:val="auto"/>
                <w:highlight w:val="none"/>
                <w:lang w:val="en-US" w:eastAsia="zh-CN"/>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处理后通过</w:t>
            </w:r>
            <w:r>
              <w:rPr>
                <w:rFonts w:hint="eastAsia" w:cs="Courier New"/>
                <w:b w:val="0"/>
                <w:color w:val="auto"/>
                <w:highlight w:val="none"/>
                <w:lang w:val="en-US" w:eastAsia="zh-CN"/>
              </w:rPr>
              <w:t>1根距地面15m高</w:t>
            </w:r>
            <w:r>
              <w:rPr>
                <w:rFonts w:hint="default" w:ascii="Times New Roman" w:hAnsi="Times New Roman" w:eastAsia="宋体" w:cs="Courier New"/>
                <w:b w:val="0"/>
                <w:color w:val="auto"/>
                <w:highlight w:val="none"/>
                <w:lang w:val="en-US" w:eastAsia="zh-CN"/>
              </w:rPr>
              <w:t>排气筒</w:t>
            </w:r>
            <w:r>
              <w:rPr>
                <w:rFonts w:hint="eastAsia" w:cs="Courier New"/>
                <w:b w:val="0"/>
                <w:color w:val="auto"/>
                <w:highlight w:val="none"/>
                <w:lang w:val="en-US" w:eastAsia="zh-CN"/>
              </w:rPr>
              <w:t>（DA002）</w:t>
            </w:r>
            <w:r>
              <w:rPr>
                <w:rFonts w:hint="default" w:ascii="Times New Roman" w:hAnsi="Times New Roman" w:eastAsia="宋体" w:cs="Courier New"/>
                <w:b w:val="0"/>
                <w:color w:val="auto"/>
                <w:highlight w:val="none"/>
                <w:lang w:val="en-US" w:eastAsia="zh-CN"/>
              </w:rPr>
              <w:t>排放</w:t>
            </w:r>
            <w:r>
              <w:rPr>
                <w:rFonts w:hint="eastAsia" w:cs="Courier New"/>
                <w:b w:val="0"/>
                <w:color w:val="auto"/>
                <w:highlight w:val="none"/>
                <w:lang w:val="en-US" w:eastAsia="zh-CN"/>
              </w:rPr>
              <w:t>。</w:t>
            </w:r>
          </w:p>
        </w:tc>
        <w:tc>
          <w:tcPr>
            <w:tcW w:w="752" w:type="pct"/>
            <w:noWrap w:val="0"/>
            <w:vAlign w:val="center"/>
          </w:tcPr>
          <w:p w14:paraId="602709E4">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w:t>
            </w:r>
          </w:p>
        </w:tc>
      </w:tr>
      <w:tr w14:paraId="50D8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2B483601">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01490063">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shd w:val="clear" w:color="auto" w:fill="auto"/>
            <w:noWrap w:val="0"/>
            <w:vAlign w:val="center"/>
          </w:tcPr>
          <w:p w14:paraId="59F9190B">
            <w:pPr>
              <w:pStyle w:val="24"/>
              <w:bidi w:val="0"/>
              <w:ind w:left="0" w:leftChars="0"/>
              <w:jc w:val="left"/>
              <w:rPr>
                <w:rFonts w:hint="eastAsia" w:ascii="Times New Roman" w:hAnsi="Times New Roman" w:eastAsia="宋体" w:cs="Courier New"/>
                <w:b w:val="0"/>
                <w:color w:val="auto"/>
                <w:kern w:val="2"/>
                <w:sz w:val="21"/>
                <w:szCs w:val="24"/>
                <w:highlight w:val="none"/>
                <w:lang w:val="en-US" w:eastAsia="zh-CN" w:bidi="ar-SA"/>
              </w:rPr>
            </w:pPr>
            <w:r>
              <w:rPr>
                <w:rFonts w:hint="eastAsia" w:cs="Times New Roman"/>
                <w:b w:val="0"/>
                <w:bCs w:val="0"/>
                <w:color w:val="auto"/>
                <w:highlight w:val="none"/>
                <w:lang w:val="en-US" w:eastAsia="zh-CN"/>
              </w:rPr>
              <w:t>危废暂存间</w:t>
            </w:r>
            <w:r>
              <w:rPr>
                <w:rFonts w:hint="eastAsia"/>
                <w:color w:val="auto"/>
                <w:lang w:val="en-US" w:eastAsia="zh-CN"/>
              </w:rPr>
              <w:t>在保证安全的前提下</w:t>
            </w:r>
            <w:r>
              <w:rPr>
                <w:rFonts w:hint="eastAsia" w:cs="Courier New"/>
                <w:b w:val="0"/>
                <w:color w:val="auto"/>
                <w:highlight w:val="none"/>
                <w:lang w:val="en-US" w:eastAsia="zh-CN"/>
              </w:rPr>
              <w:t>密闭设置，负压</w:t>
            </w:r>
            <w:r>
              <w:rPr>
                <w:rFonts w:hint="eastAsia" w:ascii="Times New Roman" w:hAnsi="Times New Roman" w:cs="Times New Roman"/>
                <w:bCs/>
                <w:color w:val="auto"/>
                <w:kern w:val="0"/>
                <w:szCs w:val="21"/>
              </w:rPr>
              <w:t>抽风，并设1套活性炭吸附装置（T</w:t>
            </w:r>
            <w:r>
              <w:rPr>
                <w:rFonts w:ascii="Times New Roman" w:hAnsi="Times New Roman" w:cs="Times New Roman"/>
                <w:bCs/>
                <w:color w:val="auto"/>
                <w:kern w:val="0"/>
                <w:szCs w:val="21"/>
              </w:rPr>
              <w:t>A0</w:t>
            </w:r>
            <w:r>
              <w:rPr>
                <w:rFonts w:hint="eastAsia" w:ascii="Times New Roman" w:hAnsi="Times New Roman" w:cs="Times New Roman"/>
                <w:bCs/>
                <w:color w:val="auto"/>
                <w:kern w:val="0"/>
                <w:szCs w:val="21"/>
                <w:lang w:val="en-US" w:eastAsia="zh-CN"/>
              </w:rPr>
              <w:t>0</w:t>
            </w:r>
            <w:r>
              <w:rPr>
                <w:rFonts w:hint="eastAsia" w:cs="Times New Roman"/>
                <w:bCs/>
                <w:color w:val="auto"/>
                <w:kern w:val="0"/>
                <w:szCs w:val="21"/>
                <w:lang w:val="en-US" w:eastAsia="zh-CN"/>
              </w:rPr>
              <w:t>3</w:t>
            </w:r>
            <w:r>
              <w:rPr>
                <w:rFonts w:hint="eastAsia" w:ascii="Times New Roman" w:hAnsi="Times New Roman" w:cs="Times New Roman"/>
                <w:bCs/>
                <w:color w:val="auto"/>
                <w:kern w:val="0"/>
                <w:szCs w:val="21"/>
              </w:rPr>
              <w:t>）</w:t>
            </w:r>
            <w:r>
              <w:rPr>
                <w:rFonts w:hint="eastAsia" w:ascii="Times New Roman" w:hAnsi="Times New Roman" w:cs="Times New Roman"/>
                <w:bCs/>
                <w:color w:val="auto"/>
                <w:kern w:val="0"/>
                <w:szCs w:val="21"/>
                <w:lang w:eastAsia="zh-CN"/>
              </w:rPr>
              <w:t>，</w:t>
            </w:r>
            <w:r>
              <w:rPr>
                <w:rFonts w:hint="eastAsia" w:cs="Times New Roman"/>
                <w:b w:val="0"/>
                <w:bCs w:val="0"/>
                <w:color w:val="auto"/>
                <w:highlight w:val="none"/>
                <w:lang w:val="en-US" w:eastAsia="zh-CN"/>
              </w:rPr>
              <w:t>危废暂存间</w:t>
            </w:r>
            <w:r>
              <w:rPr>
                <w:rFonts w:hint="default" w:ascii="Times New Roman" w:hAnsi="Times New Roman" w:eastAsia="宋体" w:cs="Courier New"/>
                <w:b w:val="0"/>
                <w:color w:val="auto"/>
                <w:kern w:val="2"/>
                <w:sz w:val="21"/>
                <w:szCs w:val="24"/>
                <w:highlight w:val="none"/>
                <w:lang w:val="en-US" w:eastAsia="zh-CN" w:bidi="ar-SA"/>
              </w:rPr>
              <w:t>废气</w:t>
            </w:r>
            <w:r>
              <w:rPr>
                <w:rFonts w:hint="eastAsia" w:ascii="Times New Roman" w:hAnsi="Times New Roman" w:eastAsia="宋体" w:cs="Courier New"/>
                <w:b w:val="0"/>
                <w:color w:val="auto"/>
                <w:kern w:val="2"/>
                <w:sz w:val="21"/>
                <w:szCs w:val="24"/>
                <w:highlight w:val="none"/>
                <w:lang w:val="en-US" w:eastAsia="zh-CN" w:bidi="ar-SA"/>
              </w:rPr>
              <w:t>经收集</w:t>
            </w:r>
            <w:r>
              <w:rPr>
                <w:rFonts w:hint="default" w:ascii="Times New Roman" w:hAnsi="Times New Roman" w:eastAsia="宋体" w:cs="Courier New"/>
                <w:b w:val="0"/>
                <w:color w:val="auto"/>
                <w:highlight w:val="none"/>
                <w:lang w:val="en-US" w:eastAsia="zh-CN"/>
              </w:rPr>
              <w:t>处理后</w:t>
            </w:r>
            <w:r>
              <w:rPr>
                <w:rFonts w:hint="eastAsia" w:cs="Courier New"/>
                <w:b w:val="0"/>
                <w:color w:val="auto"/>
                <w:highlight w:val="none"/>
                <w:lang w:val="en-US" w:eastAsia="zh-CN"/>
              </w:rPr>
              <w:t>直接</w:t>
            </w:r>
            <w:r>
              <w:rPr>
                <w:rFonts w:hint="default" w:ascii="Times New Roman" w:hAnsi="Times New Roman" w:eastAsia="宋体" w:cs="Courier New"/>
                <w:b w:val="0"/>
                <w:color w:val="auto"/>
                <w:highlight w:val="none"/>
                <w:lang w:val="en-US" w:eastAsia="zh-CN"/>
              </w:rPr>
              <w:t>排放</w:t>
            </w:r>
            <w:r>
              <w:rPr>
                <w:rFonts w:hint="eastAsia" w:cs="Courier New"/>
                <w:b w:val="0"/>
                <w:color w:val="auto"/>
                <w:highlight w:val="none"/>
                <w:lang w:val="en-US" w:eastAsia="zh-CN"/>
              </w:rPr>
              <w:t>。</w:t>
            </w:r>
          </w:p>
        </w:tc>
        <w:tc>
          <w:tcPr>
            <w:tcW w:w="752" w:type="pct"/>
            <w:noWrap w:val="0"/>
            <w:vAlign w:val="center"/>
          </w:tcPr>
          <w:p w14:paraId="667D8285">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4</w:t>
            </w:r>
          </w:p>
        </w:tc>
      </w:tr>
      <w:tr w14:paraId="3435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358E6552">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restart"/>
            <w:noWrap w:val="0"/>
            <w:vAlign w:val="center"/>
          </w:tcPr>
          <w:p w14:paraId="2076717B">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废水</w:t>
            </w:r>
          </w:p>
          <w:p w14:paraId="30496E5B">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3B47640D">
            <w:pPr>
              <w:pStyle w:val="24"/>
              <w:bidi w:val="0"/>
              <w:spacing w:line="240" w:lineRule="auto"/>
              <w:ind w:left="0" w:leftChars="0"/>
              <w:jc w:val="left"/>
              <w:rPr>
                <w:rFonts w:hint="eastAsia" w:ascii="Times New Roman" w:hAnsi="Times New Roman" w:eastAsia="宋体" w:cs="Courier New"/>
                <w:b w:val="0"/>
                <w:bCs w:val="0"/>
                <w:color w:val="auto"/>
                <w:highlight w:val="none"/>
                <w:lang w:val="en-US" w:eastAsia="zh-CN"/>
              </w:rPr>
            </w:pPr>
            <w:r>
              <w:rPr>
                <w:rFonts w:hint="eastAsia" w:cs="Courier New"/>
                <w:b w:val="0"/>
                <w:color w:val="auto"/>
                <w:highlight w:val="none"/>
                <w:lang w:val="en-US" w:eastAsia="zh-CN"/>
              </w:rPr>
              <w:t>设</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w:t>
            </w:r>
            <w:r>
              <w:rPr>
                <w:rFonts w:hint="eastAsia" w:ascii="Times New Roman" w:hAnsi="Times New Roman" w:eastAsia="宋体" w:cs="Courier New"/>
                <w:b w:val="0"/>
                <w:color w:val="auto"/>
                <w:highlight w:val="none"/>
                <w:lang w:val="en-US" w:eastAsia="zh-CN"/>
              </w:rPr>
              <w:t>预处理池，容积</w:t>
            </w:r>
            <w:r>
              <w:rPr>
                <w:rFonts w:hint="eastAsia" w:cs="Courier New"/>
                <w:b w:val="0"/>
                <w:color w:val="auto"/>
                <w:highlight w:val="none"/>
                <w:lang w:val="en-US" w:eastAsia="zh-CN"/>
              </w:rPr>
              <w:t>8</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ascii="Times New Roman" w:hAnsi="Times New Roman" w:eastAsia="宋体" w:cs="Courier New"/>
                <w:b w:val="0"/>
                <w:color w:val="auto"/>
                <w:highlight w:val="none"/>
                <w:lang w:val="en-US" w:eastAsia="zh-CN"/>
              </w:rPr>
              <w:t>，用于处理生活污水。</w:t>
            </w:r>
          </w:p>
        </w:tc>
        <w:tc>
          <w:tcPr>
            <w:tcW w:w="752" w:type="pct"/>
            <w:noWrap w:val="0"/>
            <w:vAlign w:val="center"/>
          </w:tcPr>
          <w:p w14:paraId="6AEDB152">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w:t>
            </w:r>
          </w:p>
        </w:tc>
      </w:tr>
      <w:tr w14:paraId="1ADB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65120F1F">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5E207577">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04FD5084">
            <w:pPr>
              <w:pStyle w:val="24"/>
              <w:bidi w:val="0"/>
              <w:spacing w:line="240" w:lineRule="auto"/>
              <w:ind w:left="0" w:leftChars="0"/>
              <w:jc w:val="left"/>
              <w:rPr>
                <w:rFonts w:hint="eastAsia" w:ascii="Times New Roman" w:hAnsi="Times New Roman" w:eastAsia="宋体" w:cs="Times New Roman"/>
                <w:b w:val="0"/>
                <w:bCs w:val="0"/>
                <w:color w:val="auto"/>
                <w:highlight w:val="none"/>
                <w:lang w:val="en-US" w:eastAsia="zh-CN"/>
              </w:rPr>
            </w:pPr>
            <w:r>
              <w:rPr>
                <w:rFonts w:hint="eastAsia"/>
                <w:color w:val="auto"/>
                <w:sz w:val="21"/>
                <w:szCs w:val="21"/>
                <w:highlight w:val="none"/>
                <w:lang w:val="en-US" w:eastAsia="zh-CN"/>
              </w:rPr>
              <w:t>设1</w:t>
            </w:r>
            <w:r>
              <w:rPr>
                <w:rFonts w:hint="eastAsia" w:cs="Courier New"/>
                <w:b w:val="0"/>
                <w:color w:val="auto"/>
                <w:highlight w:val="none"/>
                <w:lang w:val="en-US" w:eastAsia="zh-CN"/>
              </w:rPr>
              <w:t>座</w:t>
            </w:r>
            <w:r>
              <w:rPr>
                <w:rFonts w:hint="eastAsia"/>
                <w:color w:val="auto"/>
                <w:sz w:val="21"/>
                <w:szCs w:val="21"/>
                <w:highlight w:val="none"/>
                <w:lang w:val="en-US" w:eastAsia="zh-CN"/>
              </w:rPr>
              <w:t>沉淀池，</w:t>
            </w:r>
            <w:r>
              <w:rPr>
                <w:rFonts w:hint="eastAsia" w:ascii="Times New Roman" w:hAnsi="Times New Roman" w:eastAsia="宋体" w:cs="Courier New"/>
                <w:b w:val="0"/>
                <w:color w:val="auto"/>
                <w:highlight w:val="none"/>
                <w:lang w:val="en-US" w:eastAsia="zh-CN"/>
              </w:rPr>
              <w:t>容积</w:t>
            </w:r>
            <w:r>
              <w:rPr>
                <w:rFonts w:hint="eastAsia" w:cs="Courier New"/>
                <w:b w:val="0"/>
                <w:color w:val="auto"/>
                <w:highlight w:val="none"/>
                <w:lang w:val="en-US" w:eastAsia="zh-CN"/>
              </w:rPr>
              <w:t>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ascii="Times New Roman" w:hAnsi="Times New Roman" w:eastAsia="宋体" w:cs="Courier New"/>
                <w:b w:val="0"/>
                <w:color w:val="auto"/>
                <w:highlight w:val="none"/>
                <w:lang w:val="en-US" w:eastAsia="zh-CN"/>
              </w:rPr>
              <w:t>，用于</w:t>
            </w:r>
            <w:r>
              <w:rPr>
                <w:rFonts w:hint="eastAsia" w:cs="Courier New"/>
                <w:b w:val="0"/>
                <w:color w:val="auto"/>
                <w:highlight w:val="none"/>
                <w:lang w:val="en-US" w:eastAsia="zh-CN"/>
              </w:rPr>
              <w:t>处理车间地面清洁废水</w:t>
            </w:r>
            <w:r>
              <w:rPr>
                <w:rFonts w:hint="eastAsia" w:ascii="Times New Roman" w:hAnsi="Times New Roman" w:eastAsia="宋体" w:cs="Courier New"/>
                <w:b w:val="0"/>
                <w:color w:val="auto"/>
                <w:highlight w:val="none"/>
                <w:lang w:val="en-US" w:eastAsia="zh-CN"/>
              </w:rPr>
              <w:t>。</w:t>
            </w:r>
          </w:p>
        </w:tc>
        <w:tc>
          <w:tcPr>
            <w:tcW w:w="752" w:type="pct"/>
            <w:noWrap w:val="0"/>
            <w:vAlign w:val="center"/>
          </w:tcPr>
          <w:p w14:paraId="00FCA12E">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10</w:t>
            </w:r>
          </w:p>
        </w:tc>
      </w:tr>
      <w:tr w14:paraId="2EFB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vMerge w:val="continue"/>
            <w:noWrap w:val="0"/>
            <w:vAlign w:val="center"/>
          </w:tcPr>
          <w:p w14:paraId="5DADCA5C">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noWrap w:val="0"/>
            <w:vAlign w:val="center"/>
          </w:tcPr>
          <w:p w14:paraId="42EFF842">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噪声</w:t>
            </w:r>
          </w:p>
          <w:p w14:paraId="0C648CC8">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51B0B411">
            <w:pPr>
              <w:pStyle w:val="24"/>
              <w:bidi w:val="0"/>
              <w:spacing w:line="240" w:lineRule="auto"/>
              <w:ind w:left="0" w:leftChars="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选</w:t>
            </w:r>
            <w:r>
              <w:rPr>
                <w:rFonts w:hint="eastAsia" w:cs="Courier New"/>
                <w:b w:val="0"/>
                <w:bCs w:val="0"/>
                <w:color w:val="auto"/>
                <w:highlight w:val="none"/>
                <w:lang w:val="en-US" w:eastAsia="zh-CN"/>
              </w:rPr>
              <w:t>用</w:t>
            </w:r>
            <w:r>
              <w:rPr>
                <w:rFonts w:hint="eastAsia" w:ascii="Times New Roman" w:hAnsi="Times New Roman" w:eastAsia="宋体" w:cs="Courier New"/>
                <w:b w:val="0"/>
                <w:bCs w:val="0"/>
                <w:color w:val="auto"/>
                <w:highlight w:val="none"/>
                <w:lang w:val="en-US" w:eastAsia="zh-CN"/>
              </w:rPr>
              <w:t>低噪声设备，定期进行设备检修；优化设备布局，利用墙体隔声或距离衰减；采取消声、减振等措施</w:t>
            </w:r>
            <w:r>
              <w:rPr>
                <w:rFonts w:hint="eastAsia" w:cs="Courier New"/>
                <w:b w:val="0"/>
                <w:bCs w:val="0"/>
                <w:color w:val="auto"/>
                <w:highlight w:val="none"/>
                <w:lang w:val="en-US" w:eastAsia="zh-CN"/>
              </w:rPr>
              <w:t>。</w:t>
            </w:r>
          </w:p>
        </w:tc>
        <w:tc>
          <w:tcPr>
            <w:tcW w:w="752" w:type="pct"/>
            <w:noWrap w:val="0"/>
            <w:vAlign w:val="center"/>
          </w:tcPr>
          <w:p w14:paraId="7027251C">
            <w:pPr>
              <w:pStyle w:val="24"/>
              <w:bidi w:val="0"/>
              <w:spacing w:line="240" w:lineRule="auto"/>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4</w:t>
            </w:r>
          </w:p>
        </w:tc>
      </w:tr>
      <w:tr w14:paraId="7049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381" w:type="pct"/>
            <w:vMerge w:val="continue"/>
            <w:noWrap w:val="0"/>
            <w:vAlign w:val="center"/>
          </w:tcPr>
          <w:p w14:paraId="557530B4">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restart"/>
            <w:noWrap w:val="0"/>
            <w:vAlign w:val="center"/>
          </w:tcPr>
          <w:p w14:paraId="6EBB5D20">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固废</w:t>
            </w:r>
          </w:p>
          <w:p w14:paraId="757DF2AB">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治理</w:t>
            </w:r>
          </w:p>
        </w:tc>
        <w:tc>
          <w:tcPr>
            <w:tcW w:w="3370" w:type="pct"/>
            <w:gridSpan w:val="2"/>
            <w:noWrap w:val="0"/>
            <w:vAlign w:val="center"/>
          </w:tcPr>
          <w:p w14:paraId="3138F4AC">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设1间</w:t>
            </w:r>
            <w:r>
              <w:rPr>
                <w:rFonts w:hint="eastAsia" w:cs="Courier New"/>
                <w:b w:val="0"/>
                <w:bCs w:val="0"/>
                <w:color w:val="auto"/>
                <w:highlight w:val="none"/>
                <w:lang w:val="en-US" w:eastAsia="zh-CN"/>
              </w:rPr>
              <w:t>一般固废暂存间</w:t>
            </w:r>
            <w:r>
              <w:rPr>
                <w:rFonts w:hint="eastAsia" w:ascii="Times New Roman" w:hAnsi="Times New Roman" w:eastAsia="宋体" w:cs="Courier New"/>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建筑</w:t>
            </w:r>
            <w:r>
              <w:rPr>
                <w:rFonts w:hint="default" w:ascii="Times New Roman" w:hAnsi="Times New Roman" w:eastAsia="宋体" w:cs="Times New Roman"/>
                <w:b w:val="0"/>
                <w:bCs w:val="0"/>
                <w:color w:val="auto"/>
                <w:highlight w:val="none"/>
                <w:lang w:val="en-US" w:eastAsia="zh-CN"/>
              </w:rPr>
              <w:t>面积</w:t>
            </w:r>
            <w:r>
              <w:rPr>
                <w:rFonts w:hint="eastAsia" w:cs="Times New Roman"/>
                <w:b w:val="0"/>
                <w:bCs w:val="0"/>
                <w:color w:val="auto"/>
                <w:highlight w:val="none"/>
                <w:lang w:val="en-US" w:eastAsia="zh-CN"/>
              </w:rPr>
              <w:t>40</w:t>
            </w:r>
            <w:r>
              <w:rPr>
                <w:rFonts w:hint="default" w:ascii="Times New Roman" w:hAnsi="Times New Roman" w:eastAsia="宋体" w:cs="Times New Roman"/>
                <w:b w:val="0"/>
                <w:bCs w:val="0"/>
                <w:color w:val="auto"/>
                <w:highlight w:val="none"/>
                <w:lang w:val="en-US" w:eastAsia="zh-CN"/>
              </w:rPr>
              <w:t>m</w:t>
            </w:r>
            <w:r>
              <w:rPr>
                <w:rFonts w:hint="default"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Courier New"/>
                <w:b w:val="0"/>
                <w:bCs w:val="0"/>
                <w:color w:val="auto"/>
                <w:highlight w:val="none"/>
                <w:lang w:val="en-US" w:eastAsia="zh-CN"/>
              </w:rPr>
              <w:t>），固体废物分类处置</w:t>
            </w:r>
            <w:r>
              <w:rPr>
                <w:rFonts w:hint="eastAsia" w:cs="Courier New"/>
                <w:b w:val="0"/>
                <w:bCs w:val="0"/>
                <w:color w:val="auto"/>
                <w:highlight w:val="none"/>
                <w:lang w:val="en-US" w:eastAsia="zh-CN"/>
              </w:rPr>
              <w:t>。</w:t>
            </w:r>
          </w:p>
        </w:tc>
        <w:tc>
          <w:tcPr>
            <w:tcW w:w="752" w:type="pct"/>
            <w:noWrap w:val="0"/>
            <w:vAlign w:val="center"/>
          </w:tcPr>
          <w:p w14:paraId="04195921">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w:t>
            </w:r>
          </w:p>
        </w:tc>
      </w:tr>
      <w:tr w14:paraId="334B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381" w:type="pct"/>
            <w:vMerge w:val="continue"/>
            <w:noWrap w:val="0"/>
            <w:vAlign w:val="center"/>
          </w:tcPr>
          <w:p w14:paraId="06D689EE">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7F9F58B9">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101CD81C">
            <w:pPr>
              <w:pStyle w:val="24"/>
              <w:bidi w:val="0"/>
              <w:spacing w:line="240" w:lineRule="auto"/>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设1间</w:t>
            </w:r>
            <w:r>
              <w:rPr>
                <w:rFonts w:hint="eastAsia" w:cs="Times New Roman"/>
                <w:b w:val="0"/>
                <w:bCs w:val="0"/>
                <w:color w:val="auto"/>
                <w:highlight w:val="none"/>
                <w:lang w:val="en-US" w:eastAsia="zh-CN"/>
              </w:rPr>
              <w:t>危废暂存间</w:t>
            </w:r>
            <w:r>
              <w:rPr>
                <w:rFonts w:hint="eastAsia" w:ascii="Times New Roman" w:hAnsi="Times New Roman" w:eastAsia="宋体" w:cs="Courier New"/>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建筑</w:t>
            </w:r>
            <w:r>
              <w:rPr>
                <w:rFonts w:hint="default" w:ascii="Times New Roman" w:hAnsi="Times New Roman" w:eastAsia="宋体" w:cs="Times New Roman"/>
                <w:b w:val="0"/>
                <w:bCs w:val="0"/>
                <w:color w:val="auto"/>
                <w:highlight w:val="none"/>
                <w:lang w:val="en-US" w:eastAsia="zh-CN"/>
              </w:rPr>
              <w:t>面积</w:t>
            </w:r>
            <w:r>
              <w:rPr>
                <w:rFonts w:hint="eastAsia" w:cs="Times New Roman"/>
                <w:b w:val="0"/>
                <w:bCs w:val="0"/>
                <w:color w:val="auto"/>
                <w:highlight w:val="none"/>
                <w:lang w:val="en-US" w:eastAsia="zh-CN"/>
              </w:rPr>
              <w:t>88</w:t>
            </w:r>
            <w:r>
              <w:rPr>
                <w:rFonts w:hint="default" w:ascii="Times New Roman" w:hAnsi="Times New Roman" w:eastAsia="宋体" w:cs="Times New Roman"/>
                <w:b w:val="0"/>
                <w:bCs w:val="0"/>
                <w:color w:val="auto"/>
                <w:highlight w:val="none"/>
                <w:lang w:val="en-US" w:eastAsia="zh-CN"/>
              </w:rPr>
              <w:t>m</w:t>
            </w:r>
            <w:r>
              <w:rPr>
                <w:rFonts w:hint="default" w:ascii="Times New Roman" w:hAnsi="Times New Roman" w:eastAsia="宋体" w:cs="Times New Roman"/>
                <w:b w:val="0"/>
                <w:bCs w:val="0"/>
                <w:color w:val="auto"/>
                <w:highlight w:val="none"/>
                <w:vertAlign w:val="superscript"/>
                <w:lang w:val="en-US" w:eastAsia="zh-CN"/>
              </w:rPr>
              <w:t>2</w:t>
            </w:r>
            <w:r>
              <w:rPr>
                <w:rFonts w:hint="eastAsia" w:ascii="Times New Roman" w:hAnsi="Times New Roman" w:eastAsia="宋体" w:cs="Courier New"/>
                <w:b w:val="0"/>
                <w:bCs w:val="0"/>
                <w:color w:val="auto"/>
                <w:highlight w:val="none"/>
                <w:lang w:val="en-US" w:eastAsia="zh-CN"/>
              </w:rPr>
              <w:t>）</w:t>
            </w:r>
            <w:r>
              <w:rPr>
                <w:rFonts w:hint="eastAsia" w:cs="Courier New"/>
                <w:b w:val="0"/>
                <w:bCs w:val="0"/>
                <w:color w:val="auto"/>
                <w:highlight w:val="none"/>
                <w:lang w:val="en-US" w:eastAsia="zh-CN"/>
              </w:rPr>
              <w:t>。</w:t>
            </w:r>
          </w:p>
        </w:tc>
        <w:tc>
          <w:tcPr>
            <w:tcW w:w="752" w:type="pct"/>
            <w:noWrap w:val="0"/>
            <w:vAlign w:val="center"/>
          </w:tcPr>
          <w:p w14:paraId="3C08EAC9">
            <w:pPr>
              <w:pStyle w:val="24"/>
              <w:bidi w:val="0"/>
              <w:spacing w:line="240" w:lineRule="auto"/>
              <w:rPr>
                <w:rFonts w:hint="default" w:ascii="Times New Roman" w:hAnsi="Times New Roman" w:cs="Courier New"/>
                <w:b w:val="0"/>
                <w:bCs w:val="0"/>
                <w:color w:val="auto"/>
                <w:highlight w:val="none"/>
                <w:lang w:val="en-US" w:eastAsia="zh-CN"/>
              </w:rPr>
            </w:pPr>
            <w:r>
              <w:rPr>
                <w:rFonts w:hint="eastAsia" w:cs="Courier New"/>
                <w:b w:val="0"/>
                <w:bCs w:val="0"/>
                <w:color w:val="auto"/>
                <w:highlight w:val="none"/>
                <w:lang w:val="en-US" w:eastAsia="zh-CN"/>
              </w:rPr>
              <w:t>5</w:t>
            </w:r>
          </w:p>
        </w:tc>
      </w:tr>
      <w:tr w14:paraId="2994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381" w:type="pct"/>
            <w:vMerge w:val="continue"/>
            <w:noWrap w:val="0"/>
            <w:vAlign w:val="center"/>
          </w:tcPr>
          <w:p w14:paraId="2C366FC1">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restart"/>
            <w:noWrap w:val="0"/>
            <w:vAlign w:val="center"/>
          </w:tcPr>
          <w:p w14:paraId="658EAD71">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地下水防渗</w:t>
            </w:r>
          </w:p>
        </w:tc>
        <w:tc>
          <w:tcPr>
            <w:tcW w:w="3370" w:type="pct"/>
            <w:gridSpan w:val="2"/>
            <w:noWrap w:val="0"/>
            <w:vAlign w:val="center"/>
          </w:tcPr>
          <w:p w14:paraId="5D27FF3A">
            <w:pPr>
              <w:pStyle w:val="24"/>
              <w:bidi w:val="0"/>
              <w:ind w:left="0" w:leftChars="0"/>
              <w:jc w:val="left"/>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采用国内先进的生产工艺，全流程采用密闭管罐系统，化学品输送</w:t>
            </w:r>
            <w:r>
              <w:rPr>
                <w:rFonts w:hint="eastAsia" w:cs="Courier New"/>
                <w:b w:val="0"/>
                <w:bCs w:val="0"/>
                <w:color w:val="auto"/>
                <w:sz w:val="21"/>
                <w:szCs w:val="21"/>
                <w:highlight w:val="none"/>
                <w:lang w:val="en-US" w:eastAsia="zh-CN"/>
              </w:rPr>
              <w:t>管道</w:t>
            </w:r>
            <w:r>
              <w:rPr>
                <w:rFonts w:hint="eastAsia" w:ascii="Times New Roman" w:hAnsi="Times New Roman" w:eastAsia="宋体" w:cs="Courier New"/>
                <w:b w:val="0"/>
                <w:bCs w:val="0"/>
                <w:color w:val="auto"/>
                <w:sz w:val="21"/>
                <w:szCs w:val="21"/>
                <w:highlight w:val="none"/>
                <w:lang w:val="en-US" w:eastAsia="zh-CN"/>
              </w:rPr>
              <w:t>均可视化</w:t>
            </w:r>
            <w:r>
              <w:rPr>
                <w:rFonts w:hint="eastAsia" w:cs="Courier New"/>
                <w:b w:val="0"/>
                <w:bCs w:val="0"/>
                <w:color w:val="auto"/>
                <w:sz w:val="21"/>
                <w:szCs w:val="21"/>
                <w:highlight w:val="none"/>
                <w:lang w:val="en-US" w:eastAsia="zh-CN"/>
              </w:rPr>
              <w:t>。</w:t>
            </w:r>
          </w:p>
        </w:tc>
        <w:tc>
          <w:tcPr>
            <w:tcW w:w="752" w:type="pct"/>
            <w:noWrap w:val="0"/>
            <w:vAlign w:val="center"/>
          </w:tcPr>
          <w:p w14:paraId="3987F531">
            <w:pPr>
              <w:pStyle w:val="24"/>
              <w:bidi w:val="0"/>
              <w:ind w:left="0" w:leftChars="0"/>
              <w:rPr>
                <w:rFonts w:hint="default" w:ascii="Times New Roman" w:hAnsi="Times New Roman" w:eastAsia="宋体" w:cs="Courier New"/>
                <w:b w:val="0"/>
                <w:bCs w:val="0"/>
                <w:color w:val="auto"/>
                <w:highlight w:val="none"/>
                <w:lang w:val="en-US" w:eastAsia="zh-CN"/>
              </w:rPr>
            </w:pPr>
            <w:r>
              <w:rPr>
                <w:rFonts w:hint="default" w:ascii="Times New Roman" w:hAnsi="Times New Roman" w:cs="Times New Roman"/>
                <w:color w:val="auto"/>
                <w:highlight w:val="none"/>
                <w:lang w:val="en-US" w:eastAsia="zh-CN"/>
              </w:rPr>
              <w:t>计入主体工程投资</w:t>
            </w:r>
          </w:p>
        </w:tc>
      </w:tr>
      <w:tr w14:paraId="1E13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381" w:type="pct"/>
            <w:vMerge w:val="continue"/>
            <w:noWrap w:val="0"/>
            <w:vAlign w:val="center"/>
          </w:tcPr>
          <w:p w14:paraId="3C237613">
            <w:pPr>
              <w:pStyle w:val="24"/>
              <w:bidi w:val="0"/>
              <w:spacing w:line="240" w:lineRule="auto"/>
              <w:rPr>
                <w:color w:val="auto"/>
              </w:rPr>
            </w:pPr>
          </w:p>
        </w:tc>
        <w:tc>
          <w:tcPr>
            <w:tcW w:w="496" w:type="pct"/>
            <w:vMerge w:val="continue"/>
            <w:noWrap w:val="0"/>
            <w:vAlign w:val="center"/>
          </w:tcPr>
          <w:p w14:paraId="078AD427">
            <w:pPr>
              <w:pStyle w:val="24"/>
              <w:bidi w:val="0"/>
              <w:spacing w:line="240" w:lineRule="auto"/>
              <w:rPr>
                <w:color w:val="auto"/>
              </w:rPr>
            </w:pPr>
          </w:p>
        </w:tc>
        <w:tc>
          <w:tcPr>
            <w:tcW w:w="3370" w:type="pct"/>
            <w:gridSpan w:val="2"/>
            <w:noWrap w:val="0"/>
            <w:vAlign w:val="center"/>
          </w:tcPr>
          <w:p w14:paraId="13632903">
            <w:pPr>
              <w:pStyle w:val="24"/>
              <w:bidi w:val="0"/>
              <w:ind w:left="0" w:leftChars="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工艺设备、管道、罐体均采取防腐、防渗漏措施，并定期检查工艺设备、管道、罐体状态</w:t>
            </w:r>
            <w:r>
              <w:rPr>
                <w:rFonts w:hint="eastAsia" w:cs="Courier New"/>
                <w:b w:val="0"/>
                <w:bCs w:val="0"/>
                <w:color w:val="auto"/>
                <w:sz w:val="21"/>
                <w:szCs w:val="21"/>
                <w:highlight w:val="none"/>
                <w:lang w:val="en-US" w:eastAsia="zh-CN"/>
              </w:rPr>
              <w:t>。</w:t>
            </w:r>
          </w:p>
        </w:tc>
        <w:tc>
          <w:tcPr>
            <w:tcW w:w="752" w:type="pct"/>
            <w:noWrap w:val="0"/>
            <w:vAlign w:val="center"/>
          </w:tcPr>
          <w:p w14:paraId="75FB55F4">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sz w:val="21"/>
                <w:szCs w:val="21"/>
                <w:highlight w:val="none"/>
                <w:lang w:val="en-US" w:eastAsia="zh-CN"/>
              </w:rPr>
              <w:t>5</w:t>
            </w:r>
          </w:p>
        </w:tc>
      </w:tr>
      <w:tr w14:paraId="4905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381" w:type="pct"/>
            <w:vMerge w:val="continue"/>
            <w:noWrap w:val="0"/>
            <w:vAlign w:val="center"/>
          </w:tcPr>
          <w:p w14:paraId="680A383D">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5178BAD4">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1FCDC3C6">
            <w:pPr>
              <w:pStyle w:val="24"/>
              <w:bidi w:val="0"/>
              <w:ind w:left="0" w:leftChars="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采取分区防渗措施</w:t>
            </w:r>
            <w:r>
              <w:rPr>
                <w:rFonts w:hint="eastAsia" w:cs="Courier New"/>
                <w:b w:val="0"/>
                <w:bCs w:val="0"/>
                <w:color w:val="auto"/>
                <w:sz w:val="21"/>
                <w:szCs w:val="21"/>
                <w:highlight w:val="none"/>
                <w:lang w:val="en-US" w:eastAsia="zh-CN"/>
              </w:rPr>
              <w:t>，定期进行检漏监测。</w:t>
            </w:r>
          </w:p>
        </w:tc>
        <w:tc>
          <w:tcPr>
            <w:tcW w:w="752" w:type="pct"/>
            <w:noWrap w:val="0"/>
            <w:vAlign w:val="center"/>
          </w:tcPr>
          <w:p w14:paraId="4A60D4F8">
            <w:pPr>
              <w:pStyle w:val="24"/>
              <w:bidi w:val="0"/>
              <w:ind w:left="0" w:leftChars="0"/>
              <w:rPr>
                <w:rFonts w:hint="eastAsia" w:ascii="Times New Roman" w:hAnsi="Times New Roman" w:eastAsia="宋体" w:cs="Courier New"/>
                <w:b w:val="0"/>
                <w:bCs w:val="0"/>
                <w:color w:val="auto"/>
                <w:highlight w:val="none"/>
                <w:lang w:val="en-US" w:eastAsia="zh-CN"/>
              </w:rPr>
            </w:pPr>
            <w:r>
              <w:rPr>
                <w:rFonts w:hint="default" w:ascii="Times New Roman" w:hAnsi="Times New Roman" w:cs="Times New Roman"/>
                <w:color w:val="auto"/>
                <w:highlight w:val="none"/>
                <w:lang w:val="en-US" w:eastAsia="zh-CN"/>
              </w:rPr>
              <w:t>计入主体工程投资</w:t>
            </w:r>
          </w:p>
        </w:tc>
      </w:tr>
      <w:tr w14:paraId="6F1C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381" w:type="pct"/>
            <w:vMerge w:val="continue"/>
            <w:noWrap w:val="0"/>
            <w:vAlign w:val="center"/>
          </w:tcPr>
          <w:p w14:paraId="0C3198B1">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024C73BD">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4F38FAB0">
            <w:pPr>
              <w:pStyle w:val="24"/>
              <w:bidi w:val="0"/>
              <w:ind w:left="0" w:leftChars="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设3口地下水跟踪监测井</w:t>
            </w:r>
            <w:r>
              <w:rPr>
                <w:rFonts w:hint="eastAsia" w:cs="Courier New"/>
                <w:b w:val="0"/>
                <w:bCs w:val="0"/>
                <w:color w:val="auto"/>
                <w:sz w:val="21"/>
                <w:szCs w:val="21"/>
                <w:highlight w:val="none"/>
                <w:lang w:val="en-US" w:eastAsia="zh-CN"/>
              </w:rPr>
              <w:t>。</w:t>
            </w:r>
          </w:p>
        </w:tc>
        <w:tc>
          <w:tcPr>
            <w:tcW w:w="752" w:type="pct"/>
            <w:noWrap w:val="0"/>
            <w:vAlign w:val="center"/>
          </w:tcPr>
          <w:p w14:paraId="55003EF5">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sz w:val="21"/>
                <w:szCs w:val="21"/>
                <w:highlight w:val="none"/>
                <w:lang w:val="en-US" w:eastAsia="zh-CN"/>
              </w:rPr>
              <w:t>5</w:t>
            </w:r>
          </w:p>
        </w:tc>
      </w:tr>
      <w:tr w14:paraId="1EEF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381" w:type="pct"/>
            <w:vMerge w:val="continue"/>
            <w:noWrap w:val="0"/>
            <w:vAlign w:val="center"/>
          </w:tcPr>
          <w:p w14:paraId="126FE395">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2610439A">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3370" w:type="pct"/>
            <w:gridSpan w:val="2"/>
            <w:noWrap w:val="0"/>
            <w:vAlign w:val="center"/>
          </w:tcPr>
          <w:p w14:paraId="3B3A48B5">
            <w:pPr>
              <w:pStyle w:val="24"/>
              <w:bidi w:val="0"/>
              <w:ind w:left="0" w:leftChars="0"/>
              <w:jc w:val="left"/>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预留地下水水质监测费</w:t>
            </w:r>
            <w:r>
              <w:rPr>
                <w:rFonts w:hint="eastAsia" w:cs="Courier New"/>
                <w:b w:val="0"/>
                <w:bCs w:val="0"/>
                <w:color w:val="auto"/>
                <w:sz w:val="21"/>
                <w:szCs w:val="21"/>
                <w:highlight w:val="none"/>
                <w:lang w:val="en-US" w:eastAsia="zh-CN"/>
              </w:rPr>
              <w:t>。</w:t>
            </w:r>
          </w:p>
        </w:tc>
        <w:tc>
          <w:tcPr>
            <w:tcW w:w="752" w:type="pct"/>
            <w:noWrap w:val="0"/>
            <w:vAlign w:val="center"/>
          </w:tcPr>
          <w:p w14:paraId="2DC76E0E">
            <w:pPr>
              <w:pStyle w:val="24"/>
              <w:bidi w:val="0"/>
              <w:ind w:left="0" w:leftChars="0"/>
              <w:rPr>
                <w:rFonts w:hint="eastAsia" w:ascii="Times New Roman" w:hAnsi="Times New Roman" w:eastAsia="宋体" w:cs="Courier New"/>
                <w:b w:val="0"/>
                <w:bCs w:val="0"/>
                <w:color w:val="auto"/>
                <w:highlight w:val="none"/>
                <w:lang w:val="en-US" w:eastAsia="zh-CN"/>
              </w:rPr>
            </w:pPr>
            <w:r>
              <w:rPr>
                <w:rFonts w:hint="eastAsia" w:cs="Courier New"/>
                <w:b w:val="0"/>
                <w:bCs w:val="0"/>
                <w:color w:val="auto"/>
                <w:sz w:val="21"/>
                <w:szCs w:val="21"/>
                <w:highlight w:val="none"/>
                <w:lang w:val="en-US" w:eastAsia="zh-CN"/>
              </w:rPr>
              <w:t>20</w:t>
            </w:r>
          </w:p>
        </w:tc>
      </w:tr>
      <w:tr w14:paraId="05D9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Merge w:val="continue"/>
            <w:noWrap w:val="0"/>
            <w:vAlign w:val="center"/>
          </w:tcPr>
          <w:p w14:paraId="0B8E55A5">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restart"/>
            <w:noWrap w:val="0"/>
            <w:vAlign w:val="center"/>
          </w:tcPr>
          <w:p w14:paraId="35BA66AD">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环境</w:t>
            </w:r>
          </w:p>
          <w:p w14:paraId="5DFB4502">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风险</w:t>
            </w:r>
          </w:p>
        </w:tc>
        <w:tc>
          <w:tcPr>
            <w:tcW w:w="490" w:type="pct"/>
            <w:shd w:val="clear" w:color="auto" w:fill="auto"/>
            <w:noWrap w:val="0"/>
            <w:vAlign w:val="center"/>
          </w:tcPr>
          <w:p w14:paraId="70EBBFB1">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总图布置、工艺设计</w:t>
            </w:r>
          </w:p>
        </w:tc>
        <w:tc>
          <w:tcPr>
            <w:tcW w:w="2880" w:type="pct"/>
            <w:shd w:val="clear" w:color="auto" w:fill="auto"/>
            <w:noWrap w:val="0"/>
            <w:vAlign w:val="top"/>
          </w:tcPr>
          <w:p w14:paraId="2EA85CF5">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1、厂区建（构）筑物、罐组</w:t>
            </w:r>
            <w:r>
              <w:rPr>
                <w:rFonts w:hint="eastAsia" w:ascii="Times New Roman" w:hAnsi="Times New Roman" w:cs="Times New Roman"/>
                <w:color w:val="auto"/>
                <w:highlight w:val="none"/>
                <w:lang w:val="en-US" w:eastAsia="zh-CN"/>
              </w:rPr>
              <w:t>等防火间距严格按照《精细化工企业工程设计防火标准》（GB51283-2020）和《建筑设计防火规范》（GB50016-2014，2018年版）中相关要求执行</w:t>
            </w:r>
            <w:r>
              <w:rPr>
                <w:rFonts w:hint="default" w:ascii="Times New Roman" w:hAnsi="Times New Roman" w:cs="Times New Roman"/>
                <w:color w:val="auto"/>
                <w:highlight w:val="none"/>
                <w:lang w:val="en-US" w:eastAsia="zh-CN"/>
              </w:rPr>
              <w:t>；</w:t>
            </w:r>
          </w:p>
          <w:p w14:paraId="55F97EFC">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2、建筑物设置安全通道、排烟系统、应急照明及疏散指示系统。</w:t>
            </w:r>
          </w:p>
          <w:p w14:paraId="23D273E2">
            <w:pPr>
              <w:pStyle w:val="24"/>
              <w:bidi w:val="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r>
              <w:rPr>
                <w:rFonts w:hint="eastAsia"/>
                <w:color w:val="auto"/>
                <w:highlight w:val="none"/>
                <w:lang w:val="en-US" w:eastAsia="zh-CN"/>
              </w:rPr>
              <w:t>采用DCS分散型控制系统对泵、罐体和生产设备等的重要参数（如温度、压力、液位、流量等）进行监视、控制及报警；并在生产车间、罐区、仓库和装卸区等可能存在可燃气体/有毒气体泄漏的位置设置1套可燃气体/有毒气体检测系统，信号引入中央控制室集中报警</w:t>
            </w:r>
            <w:r>
              <w:rPr>
                <w:rFonts w:hint="eastAsia" w:ascii="Times New Roman" w:hAnsi="Times New Roman" w:eastAsia="宋体" w:cs="Times New Roman"/>
                <w:color w:val="auto"/>
                <w:highlight w:val="none"/>
                <w:lang w:val="en-US" w:eastAsia="zh-CN"/>
              </w:rPr>
              <w:t>。</w:t>
            </w:r>
          </w:p>
          <w:p w14:paraId="67AFED6B">
            <w:pPr>
              <w:pStyle w:val="24"/>
              <w:bidi w:val="0"/>
              <w:ind w:left="0" w:leftChars="0"/>
              <w:jc w:val="both"/>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4、2#罐区四周设1.1m高防火堤，防火堤采用非燃材料建造，储罐输送物料的泵设置在防火堤外。</w:t>
            </w:r>
          </w:p>
        </w:tc>
        <w:tc>
          <w:tcPr>
            <w:tcW w:w="752" w:type="pct"/>
            <w:shd w:val="clear" w:color="auto" w:fill="auto"/>
            <w:noWrap w:val="0"/>
            <w:vAlign w:val="center"/>
          </w:tcPr>
          <w:p w14:paraId="52CBA358">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计入主体工程投资</w:t>
            </w:r>
          </w:p>
        </w:tc>
      </w:tr>
      <w:tr w14:paraId="5D5D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381" w:type="pct"/>
            <w:vMerge w:val="continue"/>
            <w:noWrap w:val="0"/>
            <w:vAlign w:val="center"/>
          </w:tcPr>
          <w:p w14:paraId="250FEFA6">
            <w:pPr>
              <w:pStyle w:val="24"/>
              <w:bidi w:val="0"/>
              <w:spacing w:line="240" w:lineRule="auto"/>
              <w:rPr>
                <w:color w:val="auto"/>
              </w:rPr>
            </w:pPr>
          </w:p>
        </w:tc>
        <w:tc>
          <w:tcPr>
            <w:tcW w:w="496" w:type="pct"/>
            <w:vMerge w:val="continue"/>
            <w:noWrap w:val="0"/>
            <w:vAlign w:val="center"/>
          </w:tcPr>
          <w:p w14:paraId="5DA15936">
            <w:pPr>
              <w:pStyle w:val="24"/>
              <w:bidi w:val="0"/>
              <w:spacing w:line="240" w:lineRule="auto"/>
              <w:rPr>
                <w:color w:val="auto"/>
              </w:rPr>
            </w:pPr>
          </w:p>
        </w:tc>
        <w:tc>
          <w:tcPr>
            <w:tcW w:w="490" w:type="pct"/>
            <w:shd w:val="clear" w:color="auto" w:fill="auto"/>
            <w:noWrap w:val="0"/>
            <w:vAlign w:val="center"/>
          </w:tcPr>
          <w:p w14:paraId="6992012B">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消防及火灾防范措施</w:t>
            </w:r>
          </w:p>
        </w:tc>
        <w:tc>
          <w:tcPr>
            <w:tcW w:w="2880" w:type="pct"/>
            <w:shd w:val="clear" w:color="auto" w:fill="auto"/>
            <w:noWrap w:val="0"/>
            <w:vAlign w:val="top"/>
          </w:tcPr>
          <w:p w14:paraId="3DEEC10F">
            <w:pPr>
              <w:pStyle w:val="24"/>
              <w:numPr>
                <w:ilvl w:val="0"/>
                <w:numId w:val="0"/>
              </w:numPr>
              <w:bidi w:val="0"/>
              <w:ind w:left="0" w:leftChars="0"/>
              <w:jc w:val="both"/>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2"/>
                <w:sz w:val="21"/>
                <w:szCs w:val="21"/>
                <w:lang w:val="en-US" w:eastAsia="zh-CN" w:bidi="ar-SA"/>
              </w:rPr>
              <w:t>1、</w:t>
            </w:r>
            <w:r>
              <w:rPr>
                <w:rFonts w:hint="default" w:ascii="Times New Roman" w:hAnsi="Times New Roman" w:cs="Times New Roman"/>
                <w:bCs/>
                <w:color w:val="auto"/>
                <w:sz w:val="21"/>
                <w:szCs w:val="21"/>
                <w:highlight w:val="none"/>
                <w:lang w:val="en-US" w:eastAsia="zh-CN"/>
              </w:rPr>
              <w:t>设</w:t>
            </w:r>
            <w:r>
              <w:rPr>
                <w:rFonts w:hint="eastAsia" w:cs="Times New Roman"/>
                <w:b w:val="0"/>
                <w:bCs w:val="0"/>
                <w:color w:val="auto"/>
                <w:highlight w:val="none"/>
                <w:lang w:val="en-US" w:eastAsia="zh-CN"/>
              </w:rPr>
              <w:t>2个330m</w:t>
            </w:r>
            <w:r>
              <w:rPr>
                <w:rFonts w:hint="eastAsia" w:cs="Times New Roman"/>
                <w:b w:val="0"/>
                <w:bCs w:val="0"/>
                <w:color w:val="auto"/>
                <w:highlight w:val="none"/>
                <w:vertAlign w:val="superscript"/>
                <w:lang w:val="en-US" w:eastAsia="zh-CN"/>
              </w:rPr>
              <w:t>3</w:t>
            </w:r>
            <w:r>
              <w:rPr>
                <w:rFonts w:hint="eastAsia" w:cs="Times New Roman"/>
                <w:b w:val="0"/>
                <w:bCs w:val="0"/>
                <w:color w:val="auto"/>
                <w:highlight w:val="none"/>
                <w:lang w:val="en-US" w:eastAsia="zh-CN"/>
              </w:rPr>
              <w:t>消防水罐</w:t>
            </w:r>
            <w:r>
              <w:rPr>
                <w:rFonts w:hint="eastAsia" w:ascii="Times New Roman" w:hAnsi="Times New Roman" w:eastAsia="宋体" w:cs="Times New Roman"/>
                <w:b w:val="0"/>
                <w:bCs w:val="0"/>
                <w:color w:val="auto"/>
                <w:sz w:val="21"/>
                <w:szCs w:val="21"/>
                <w:highlight w:val="none"/>
                <w:lang w:val="en-US" w:eastAsia="zh-CN"/>
              </w:rPr>
              <w:t>。</w:t>
            </w:r>
          </w:p>
          <w:p w14:paraId="3AD4F675">
            <w:pPr>
              <w:pStyle w:val="24"/>
              <w:numPr>
                <w:ilvl w:val="0"/>
                <w:numId w:val="0"/>
              </w:numPr>
              <w:bidi w:val="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2、在关键区域配置灭火器、</w:t>
            </w:r>
            <w:r>
              <w:rPr>
                <w:rFonts w:hint="default" w:ascii="Times New Roman" w:hAnsi="Times New Roman" w:cs="Times New Roman"/>
                <w:color w:val="auto"/>
              </w:rPr>
              <w:t>消防沙</w:t>
            </w:r>
            <w:r>
              <w:rPr>
                <w:rFonts w:hint="default" w:ascii="Times New Roman" w:hAnsi="Times New Roman" w:cs="Times New Roman"/>
                <w:color w:val="auto"/>
                <w:sz w:val="21"/>
                <w:szCs w:val="21"/>
                <w:highlight w:val="none"/>
                <w:lang w:val="en-US" w:eastAsia="zh-CN"/>
              </w:rPr>
              <w:t>等消防设施；</w:t>
            </w:r>
          </w:p>
          <w:p w14:paraId="7C27FA3D">
            <w:pPr>
              <w:pStyle w:val="24"/>
              <w:bidi w:val="0"/>
              <w:ind w:left="0" w:leftChars="0"/>
              <w:jc w:val="both"/>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highlight w:val="none"/>
                <w:lang w:val="en-US" w:eastAsia="zh-CN"/>
              </w:rPr>
              <w:t>设置1套火灾自动监测报警系统</w:t>
            </w:r>
            <w:r>
              <w:rPr>
                <w:rFonts w:hint="default" w:ascii="Times New Roman" w:hAnsi="Times New Roman" w:cs="Times New Roman"/>
                <w:color w:val="auto"/>
                <w:sz w:val="21"/>
                <w:szCs w:val="21"/>
                <w:highlight w:val="none"/>
                <w:lang w:val="en-US" w:eastAsia="zh-CN"/>
              </w:rPr>
              <w:t>。</w:t>
            </w:r>
          </w:p>
        </w:tc>
        <w:tc>
          <w:tcPr>
            <w:tcW w:w="752" w:type="pct"/>
            <w:shd w:val="clear" w:color="auto" w:fill="auto"/>
            <w:noWrap w:val="0"/>
            <w:vAlign w:val="center"/>
          </w:tcPr>
          <w:p w14:paraId="14ADAD1B">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20</w:t>
            </w:r>
          </w:p>
        </w:tc>
      </w:tr>
      <w:tr w14:paraId="4B42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Merge w:val="continue"/>
            <w:noWrap w:val="0"/>
            <w:vAlign w:val="center"/>
          </w:tcPr>
          <w:p w14:paraId="4A58910D">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640809B6">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0" w:type="pct"/>
            <w:shd w:val="clear" w:color="auto" w:fill="auto"/>
            <w:noWrap w:val="0"/>
            <w:vAlign w:val="center"/>
          </w:tcPr>
          <w:p w14:paraId="06696416">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物料输送管道风险防范措施</w:t>
            </w:r>
          </w:p>
        </w:tc>
        <w:tc>
          <w:tcPr>
            <w:tcW w:w="2880" w:type="pct"/>
            <w:shd w:val="clear" w:color="auto" w:fill="auto"/>
            <w:noWrap w:val="0"/>
            <w:vAlign w:val="top"/>
          </w:tcPr>
          <w:p w14:paraId="62407912">
            <w:pPr>
              <w:pStyle w:val="24"/>
              <w:numPr>
                <w:ilvl w:val="0"/>
                <w:numId w:val="0"/>
              </w:numPr>
              <w:bidi w:val="0"/>
              <w:ind w:left="0" w:leftChars="0"/>
              <w:jc w:val="both"/>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kern w:val="2"/>
                <w:sz w:val="21"/>
                <w:szCs w:val="21"/>
                <w:lang w:val="en-US" w:eastAsia="zh-CN" w:bidi="ar-SA"/>
              </w:rPr>
              <w:t>2、</w:t>
            </w:r>
            <w:r>
              <w:rPr>
                <w:rFonts w:hint="eastAsia" w:ascii="Times New Roman" w:hAnsi="Times New Roman" w:eastAsia="宋体" w:cs="Times New Roman"/>
                <w:bCs/>
                <w:color w:val="auto"/>
                <w:sz w:val="21"/>
                <w:szCs w:val="21"/>
                <w:highlight w:val="none"/>
                <w:lang w:val="en-US" w:eastAsia="zh-CN"/>
              </w:rPr>
              <w:t>选材要合理、质量和强度要满足工艺的要求。</w:t>
            </w:r>
          </w:p>
          <w:p w14:paraId="728CF3E9">
            <w:pPr>
              <w:pStyle w:val="24"/>
              <w:numPr>
                <w:ilvl w:val="0"/>
                <w:numId w:val="0"/>
              </w:numPr>
              <w:bidi w:val="0"/>
              <w:ind w:left="0" w:leftChars="0"/>
              <w:jc w:val="both"/>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kern w:val="2"/>
                <w:sz w:val="21"/>
                <w:szCs w:val="21"/>
                <w:lang w:val="en-US" w:eastAsia="zh-CN" w:bidi="ar-SA"/>
              </w:rPr>
              <w:t>3、</w:t>
            </w:r>
            <w:r>
              <w:rPr>
                <w:rFonts w:hint="default" w:ascii="Times New Roman" w:hAnsi="Times New Roman" w:eastAsia="宋体" w:cs="Times New Roman"/>
                <w:bCs/>
                <w:color w:val="auto"/>
                <w:sz w:val="21"/>
                <w:szCs w:val="21"/>
                <w:highlight w:val="none"/>
                <w:lang w:val="en-US" w:eastAsia="zh-CN"/>
              </w:rPr>
              <w:t>管道采用柔性布置</w:t>
            </w:r>
            <w:r>
              <w:rPr>
                <w:rFonts w:hint="eastAsia" w:ascii="Times New Roman" w:hAnsi="Times New Roman" w:eastAsia="宋体" w:cs="Times New Roman"/>
                <w:bCs/>
                <w:color w:val="auto"/>
                <w:sz w:val="21"/>
                <w:szCs w:val="21"/>
                <w:highlight w:val="none"/>
                <w:lang w:val="en-US" w:eastAsia="zh-CN"/>
              </w:rPr>
              <w:t>。</w:t>
            </w:r>
          </w:p>
          <w:p w14:paraId="0E6C1B52">
            <w:pPr>
              <w:pStyle w:val="24"/>
              <w:numPr>
                <w:ilvl w:val="0"/>
                <w:numId w:val="0"/>
              </w:numPr>
              <w:bidi w:val="0"/>
              <w:ind w:left="0" w:leftChars="0" w:firstLine="0" w:firstLineChars="0"/>
              <w:jc w:val="both"/>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lang w:val="en-US" w:eastAsia="zh-CN" w:bidi="ar-SA"/>
              </w:rPr>
              <w:t>4、</w:t>
            </w:r>
            <w:r>
              <w:rPr>
                <w:rFonts w:hint="default" w:ascii="Times New Roman" w:hAnsi="Times New Roman" w:eastAsia="宋体" w:cs="Times New Roman"/>
                <w:bCs/>
                <w:color w:val="auto"/>
                <w:sz w:val="21"/>
                <w:szCs w:val="21"/>
                <w:highlight w:val="none"/>
                <w:lang w:val="en-US" w:eastAsia="zh-CN"/>
              </w:rPr>
              <w:t>采用必要的防腐蚀措施。</w:t>
            </w:r>
          </w:p>
        </w:tc>
        <w:tc>
          <w:tcPr>
            <w:tcW w:w="752" w:type="pct"/>
            <w:shd w:val="clear" w:color="auto" w:fill="auto"/>
            <w:noWrap w:val="0"/>
            <w:vAlign w:val="center"/>
          </w:tcPr>
          <w:p w14:paraId="0DAFD3DB">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计入主体工程投资</w:t>
            </w:r>
          </w:p>
        </w:tc>
      </w:tr>
      <w:tr w14:paraId="17BE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Merge w:val="continue"/>
            <w:noWrap w:val="0"/>
            <w:vAlign w:val="center"/>
          </w:tcPr>
          <w:p w14:paraId="60559591">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26587BB1">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0" w:type="pct"/>
            <w:shd w:val="clear" w:color="auto" w:fill="auto"/>
            <w:noWrap w:val="0"/>
            <w:vAlign w:val="center"/>
          </w:tcPr>
          <w:p w14:paraId="7E7C4313">
            <w:pPr>
              <w:pStyle w:val="24"/>
              <w:bidi w:val="0"/>
              <w:ind w:left="0" w:lef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泄漏设施风险防范</w:t>
            </w:r>
          </w:p>
        </w:tc>
        <w:tc>
          <w:tcPr>
            <w:tcW w:w="2880" w:type="pct"/>
            <w:shd w:val="clear" w:color="auto" w:fill="auto"/>
            <w:noWrap w:val="0"/>
            <w:vAlign w:val="top"/>
          </w:tcPr>
          <w:p w14:paraId="3930E73D">
            <w:pPr>
              <w:pStyle w:val="26"/>
              <w:numPr>
                <w:ilvl w:val="0"/>
                <w:numId w:val="0"/>
              </w:numPr>
              <w:bidi w:val="0"/>
              <w:spacing w:line="240" w:lineRule="auto"/>
              <w:ind w:left="0" w:leftChars="0" w:firstLine="0" w:firstLineChars="0"/>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lang w:val="en-US" w:eastAsia="zh-CN" w:bidi="ar-SA"/>
              </w:rPr>
              <w:t>1、</w:t>
            </w:r>
            <w:r>
              <w:rPr>
                <w:rFonts w:hint="eastAsia" w:ascii="Times New Roman" w:hAnsi="Times New Roman" w:eastAsia="宋体"/>
                <w:color w:val="auto"/>
                <w:sz w:val="21"/>
                <w:szCs w:val="21"/>
                <w:highlight w:val="none"/>
                <w:lang w:val="en-US" w:eastAsia="zh-CN"/>
              </w:rPr>
              <w:t>1#罐区四周设</w:t>
            </w:r>
            <w:r>
              <w:rPr>
                <w:rFonts w:hint="eastAsia"/>
                <w:color w:val="auto"/>
                <w:sz w:val="21"/>
                <w:szCs w:val="21"/>
                <w:highlight w:val="none"/>
                <w:lang w:val="en-US" w:eastAsia="zh-CN"/>
              </w:rPr>
              <w:t>0.6</w:t>
            </w:r>
            <w:r>
              <w:rPr>
                <w:rFonts w:hint="eastAsia" w:ascii="Times New Roman" w:hAnsi="Times New Roman" w:eastAsia="宋体"/>
                <w:color w:val="auto"/>
                <w:sz w:val="21"/>
                <w:szCs w:val="21"/>
                <w:highlight w:val="none"/>
                <w:lang w:val="en-US" w:eastAsia="zh-CN"/>
              </w:rPr>
              <w:t>m高防</w:t>
            </w:r>
            <w:r>
              <w:rPr>
                <w:rFonts w:hint="eastAsia"/>
                <w:color w:val="auto"/>
                <w:sz w:val="21"/>
                <w:szCs w:val="21"/>
                <w:highlight w:val="none"/>
                <w:lang w:val="en-US" w:eastAsia="zh-CN"/>
              </w:rPr>
              <w:t>护</w:t>
            </w:r>
            <w:r>
              <w:rPr>
                <w:rFonts w:hint="eastAsia" w:ascii="Times New Roman" w:hAnsi="Times New Roman" w:eastAsia="宋体"/>
                <w:color w:val="auto"/>
                <w:sz w:val="21"/>
                <w:szCs w:val="21"/>
                <w:highlight w:val="none"/>
                <w:lang w:val="en-US" w:eastAsia="zh-CN"/>
              </w:rPr>
              <w:t>堤（与围堰合建）</w:t>
            </w:r>
            <w:r>
              <w:rPr>
                <w:rFonts w:hint="eastAsia"/>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t>#罐区四周设</w:t>
            </w:r>
            <w:r>
              <w:rPr>
                <w:rFonts w:hint="eastAsia"/>
                <w:color w:val="auto"/>
                <w:sz w:val="21"/>
                <w:szCs w:val="21"/>
                <w:highlight w:val="none"/>
                <w:lang w:val="en-US" w:eastAsia="zh-CN"/>
              </w:rPr>
              <w:t>1.1</w:t>
            </w:r>
            <w:r>
              <w:rPr>
                <w:rFonts w:hint="eastAsia" w:ascii="Times New Roman" w:hAnsi="Times New Roman" w:eastAsia="宋体"/>
                <w:color w:val="auto"/>
                <w:sz w:val="21"/>
                <w:szCs w:val="21"/>
                <w:highlight w:val="none"/>
                <w:lang w:val="en-US" w:eastAsia="zh-CN"/>
              </w:rPr>
              <w:t>m高防火堤（与围堰合建）</w:t>
            </w:r>
            <w:r>
              <w:rPr>
                <w:rFonts w:hint="eastAsia"/>
                <w:color w:val="auto"/>
                <w:sz w:val="21"/>
                <w:szCs w:val="21"/>
                <w:highlight w:val="none"/>
                <w:lang w:val="en-US" w:eastAsia="zh-CN"/>
              </w:rPr>
              <w:t>、3</w:t>
            </w:r>
            <w:r>
              <w:rPr>
                <w:rFonts w:hint="eastAsia" w:ascii="Times New Roman" w:hAnsi="Times New Roman" w:eastAsia="宋体"/>
                <w:color w:val="auto"/>
                <w:sz w:val="21"/>
                <w:szCs w:val="21"/>
                <w:highlight w:val="none"/>
                <w:lang w:val="en-US" w:eastAsia="zh-CN"/>
              </w:rPr>
              <w:t>#罐区四周设</w:t>
            </w:r>
            <w:r>
              <w:rPr>
                <w:rFonts w:hint="eastAsia"/>
                <w:color w:val="auto"/>
                <w:sz w:val="21"/>
                <w:szCs w:val="21"/>
                <w:highlight w:val="none"/>
                <w:lang w:val="en-US" w:eastAsia="zh-CN"/>
              </w:rPr>
              <w:t>0.4</w:t>
            </w:r>
            <w:r>
              <w:rPr>
                <w:rFonts w:hint="eastAsia" w:ascii="Times New Roman" w:hAnsi="Times New Roman" w:eastAsia="宋体"/>
                <w:color w:val="auto"/>
                <w:sz w:val="21"/>
                <w:szCs w:val="21"/>
                <w:highlight w:val="none"/>
                <w:lang w:val="en-US" w:eastAsia="zh-CN"/>
              </w:rPr>
              <w:t>m高防</w:t>
            </w:r>
            <w:r>
              <w:rPr>
                <w:rFonts w:hint="eastAsia"/>
                <w:color w:val="auto"/>
                <w:sz w:val="21"/>
                <w:szCs w:val="21"/>
                <w:highlight w:val="none"/>
                <w:lang w:val="en-US" w:eastAsia="zh-CN"/>
              </w:rPr>
              <w:t>护</w:t>
            </w:r>
            <w:r>
              <w:rPr>
                <w:rFonts w:hint="eastAsia" w:ascii="Times New Roman" w:hAnsi="Times New Roman" w:eastAsia="宋体"/>
                <w:color w:val="auto"/>
                <w:sz w:val="21"/>
                <w:szCs w:val="21"/>
                <w:highlight w:val="none"/>
                <w:lang w:val="en-US" w:eastAsia="zh-CN"/>
              </w:rPr>
              <w:t>堤（与围堰合建），且</w:t>
            </w:r>
            <w:r>
              <w:rPr>
                <w:rFonts w:hint="eastAsia"/>
                <w:color w:val="auto"/>
                <w:sz w:val="21"/>
                <w:szCs w:val="21"/>
                <w:highlight w:val="none"/>
                <w:lang w:val="en-US" w:eastAsia="zh-CN"/>
              </w:rPr>
              <w:t>1#和2#</w:t>
            </w:r>
            <w:r>
              <w:rPr>
                <w:rFonts w:hint="eastAsia" w:ascii="Times New Roman" w:hAnsi="Times New Roman" w:eastAsia="宋体"/>
                <w:color w:val="auto"/>
                <w:sz w:val="21"/>
                <w:szCs w:val="21"/>
                <w:highlight w:val="none"/>
                <w:lang w:val="en-US" w:eastAsia="zh-CN"/>
              </w:rPr>
              <w:t>罐区内各区域均设1个容积</w:t>
            </w:r>
            <w:r>
              <w:rPr>
                <w:rFonts w:hint="eastAsia"/>
                <w:color w:val="auto"/>
                <w:sz w:val="21"/>
                <w:szCs w:val="21"/>
                <w:highlight w:val="none"/>
                <w:lang w:val="en-US" w:eastAsia="zh-CN"/>
              </w:rPr>
              <w:t>2.25</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池、3#</w:t>
            </w:r>
            <w:r>
              <w:rPr>
                <w:rFonts w:hint="eastAsia" w:ascii="Times New Roman" w:hAnsi="Times New Roman" w:eastAsia="宋体"/>
                <w:color w:val="auto"/>
                <w:sz w:val="21"/>
                <w:szCs w:val="21"/>
                <w:highlight w:val="none"/>
                <w:lang w:val="en-US" w:eastAsia="zh-CN"/>
              </w:rPr>
              <w:t>罐区内设1个容积</w:t>
            </w:r>
            <w:r>
              <w:rPr>
                <w:rFonts w:hint="eastAsia"/>
                <w:color w:val="auto"/>
                <w:sz w:val="21"/>
                <w:szCs w:val="21"/>
                <w:highlight w:val="none"/>
                <w:lang w:val="en-US" w:eastAsia="zh-CN"/>
              </w:rPr>
              <w:t>1.44</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池（集水池内设潜污泵，用于提升事故废水至可视化架空管廊）</w:t>
            </w:r>
            <w:r>
              <w:rPr>
                <w:rFonts w:hint="default" w:ascii="Times New Roman" w:hAnsi="Times New Roman" w:cs="Times New Roman"/>
                <w:b w:val="0"/>
                <w:bCs w:val="0"/>
                <w:color w:val="auto"/>
                <w:sz w:val="21"/>
                <w:szCs w:val="21"/>
                <w:highlight w:val="none"/>
                <w:lang w:val="en-US" w:eastAsia="zh-CN"/>
              </w:rPr>
              <w:t>。</w:t>
            </w:r>
          </w:p>
          <w:p w14:paraId="56F9875A">
            <w:pPr>
              <w:pStyle w:val="26"/>
              <w:numPr>
                <w:ilvl w:val="0"/>
                <w:numId w:val="0"/>
              </w:numPr>
              <w:bidi w:val="0"/>
              <w:spacing w:line="240" w:lineRule="auto"/>
              <w:ind w:left="0" w:leftChars="0"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lang w:val="en-US" w:eastAsia="zh-CN" w:bidi="ar-SA"/>
              </w:rPr>
              <w:t>2、</w:t>
            </w:r>
            <w:r>
              <w:rPr>
                <w:rFonts w:hint="eastAsia" w:cs="Times New Roman"/>
                <w:b w:val="0"/>
                <w:bCs w:val="0"/>
                <w:color w:val="auto"/>
                <w:sz w:val="21"/>
                <w:szCs w:val="21"/>
                <w:highlight w:val="none"/>
                <w:lang w:val="en-US" w:eastAsia="zh-CN"/>
              </w:rPr>
              <w:t>生产车间</w:t>
            </w:r>
            <w:r>
              <w:rPr>
                <w:rFonts w:hint="default" w:ascii="Times New Roman" w:hAnsi="Times New Roman" w:cs="Times New Roman"/>
                <w:color w:val="auto"/>
                <w:sz w:val="21"/>
                <w:szCs w:val="21"/>
                <w:highlight w:val="none"/>
                <w:lang w:val="en-US" w:eastAsia="zh-CN"/>
              </w:rPr>
              <w:t>设</w:t>
            </w:r>
            <w:r>
              <w:rPr>
                <w:rFonts w:hint="eastAsia" w:cs="Times New Roman"/>
                <w:color w:val="auto"/>
                <w:sz w:val="21"/>
                <w:szCs w:val="21"/>
                <w:highlight w:val="none"/>
                <w:lang w:val="en-US" w:eastAsia="zh-CN"/>
              </w:rPr>
              <w:t>地漏，</w:t>
            </w:r>
            <w:r>
              <w:rPr>
                <w:rFonts w:hint="eastAsia" w:cs="Times New Roman"/>
                <w:b w:val="0"/>
                <w:bCs w:val="0"/>
                <w:color w:val="auto"/>
                <w:sz w:val="21"/>
                <w:szCs w:val="21"/>
                <w:highlight w:val="none"/>
                <w:lang w:val="en-US" w:eastAsia="zh-CN"/>
              </w:rPr>
              <w:t>并设置</w:t>
            </w:r>
            <w:r>
              <w:rPr>
                <w:rFonts w:hint="eastAsia" w:ascii="Times New Roman" w:hAnsi="Times New Roman" w:eastAsia="宋体"/>
                <w:color w:val="auto"/>
                <w:sz w:val="21"/>
                <w:szCs w:val="21"/>
                <w:highlight w:val="none"/>
                <w:lang w:val="en-US" w:eastAsia="zh-CN"/>
              </w:rPr>
              <w:t>1个容积</w:t>
            </w:r>
            <w:r>
              <w:rPr>
                <w:rFonts w:hint="eastAsia"/>
                <w:color w:val="auto"/>
                <w:sz w:val="21"/>
                <w:szCs w:val="21"/>
                <w:highlight w:val="none"/>
                <w:lang w:val="en-US" w:eastAsia="zh-CN"/>
              </w:rPr>
              <w:t>10.5</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池（集水池内设潜污泵，用于提升事故废水至可视化架空管廊）</w:t>
            </w:r>
            <w:r>
              <w:rPr>
                <w:rFonts w:hint="default" w:ascii="Times New Roman" w:hAnsi="Times New Roman" w:cs="Times New Roman"/>
                <w:color w:val="auto"/>
                <w:sz w:val="21"/>
                <w:szCs w:val="21"/>
                <w:highlight w:val="none"/>
                <w:lang w:val="en-US" w:eastAsia="zh-CN"/>
              </w:rPr>
              <w:t>。</w:t>
            </w:r>
          </w:p>
          <w:p w14:paraId="6F640FD3">
            <w:pPr>
              <w:pStyle w:val="26"/>
              <w:bidi w:val="0"/>
              <w:spacing w:line="240" w:lineRule="auto"/>
              <w:ind w:left="0" w:leftChars="0" w:firstLine="0" w:firstLineChars="0"/>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r>
              <w:rPr>
                <w:rFonts w:hint="eastAsia"/>
                <w:color w:val="auto"/>
                <w:sz w:val="21"/>
                <w:szCs w:val="21"/>
                <w:lang w:val="en-US" w:eastAsia="zh-CN"/>
              </w:rPr>
              <w:t>仓库内液体库区、双氧水库房和危废暂存间</w:t>
            </w:r>
            <w:r>
              <w:rPr>
                <w:rFonts w:hint="eastAsia" w:cs="Times New Roman"/>
                <w:b w:val="0"/>
                <w:bCs w:val="0"/>
                <w:color w:val="auto"/>
                <w:sz w:val="21"/>
                <w:szCs w:val="21"/>
                <w:highlight w:val="none"/>
                <w:lang w:val="en-US" w:eastAsia="zh-CN"/>
              </w:rPr>
              <w:t>进出侧均设防渗斜坡，并设置地漏和</w:t>
            </w:r>
            <w:r>
              <w:rPr>
                <w:rFonts w:hint="eastAsia" w:ascii="Times New Roman" w:hAnsi="Times New Roman" w:eastAsia="宋体"/>
                <w:color w:val="auto"/>
                <w:sz w:val="21"/>
                <w:szCs w:val="21"/>
                <w:highlight w:val="none"/>
                <w:lang w:val="en-US" w:eastAsia="zh-CN"/>
              </w:rPr>
              <w:t>1个容积</w:t>
            </w:r>
            <w:r>
              <w:rPr>
                <w:rFonts w:hint="eastAsia"/>
                <w:color w:val="auto"/>
                <w:sz w:val="21"/>
                <w:szCs w:val="21"/>
                <w:highlight w:val="none"/>
                <w:lang w:val="en-US" w:eastAsia="zh-CN"/>
              </w:rPr>
              <w:t>10.5</w:t>
            </w:r>
            <w:r>
              <w:rPr>
                <w:rFonts w:hint="eastAsia" w:ascii="Times New Roman" w:hAnsi="Times New Roman" w:eastAsia="宋体"/>
                <w:color w:val="auto"/>
                <w:sz w:val="21"/>
                <w:szCs w:val="21"/>
                <w:highlight w:val="none"/>
                <w:lang w:val="en-US" w:eastAsia="zh-CN"/>
              </w:rPr>
              <w:t>m</w:t>
            </w:r>
            <w:r>
              <w:rPr>
                <w:rFonts w:hint="eastAsia" w:ascii="Times New Roman" w:hAnsi="Times New Roman" w:eastAsia="宋体"/>
                <w:color w:val="auto"/>
                <w:sz w:val="21"/>
                <w:szCs w:val="21"/>
                <w:highlight w:val="none"/>
                <w:vertAlign w:val="superscript"/>
                <w:lang w:val="en-US" w:eastAsia="zh-CN"/>
              </w:rPr>
              <w:t>3</w:t>
            </w:r>
            <w:r>
              <w:rPr>
                <w:rFonts w:hint="eastAsia" w:ascii="Times New Roman" w:hAnsi="Times New Roman" w:eastAsia="宋体"/>
                <w:color w:val="auto"/>
                <w:sz w:val="21"/>
                <w:szCs w:val="21"/>
                <w:highlight w:val="none"/>
                <w:lang w:val="en-US" w:eastAsia="zh-CN"/>
              </w:rPr>
              <w:t>集水</w:t>
            </w:r>
            <w:r>
              <w:rPr>
                <w:rFonts w:hint="eastAsia"/>
                <w:color w:val="auto"/>
                <w:sz w:val="21"/>
                <w:szCs w:val="21"/>
                <w:highlight w:val="none"/>
                <w:lang w:val="en-US" w:eastAsia="zh-CN"/>
              </w:rPr>
              <w:t>池（集水池内设潜污泵，用于提升事故废水至可视化架空管廊）</w:t>
            </w:r>
            <w:r>
              <w:rPr>
                <w:rFonts w:hint="eastAsia" w:cs="Times New Roman"/>
                <w:b w:val="0"/>
                <w:bCs w:val="0"/>
                <w:color w:val="auto"/>
                <w:sz w:val="21"/>
                <w:szCs w:val="21"/>
                <w:highlight w:val="none"/>
                <w:lang w:val="en-US" w:eastAsia="zh-CN"/>
              </w:rPr>
              <w:t>。</w:t>
            </w:r>
          </w:p>
          <w:p w14:paraId="282FF4FD">
            <w:pPr>
              <w:pStyle w:val="26"/>
              <w:bidi w:val="0"/>
              <w:spacing w:line="240" w:lineRule="auto"/>
              <w:ind w:left="0" w:leftChars="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w:t>
            </w:r>
            <w:r>
              <w:rPr>
                <w:rFonts w:hint="eastAsia" w:cs="Times New Roman"/>
                <w:b w:val="0"/>
                <w:bCs w:val="0"/>
                <w:color w:val="auto"/>
                <w:sz w:val="21"/>
                <w:szCs w:val="21"/>
                <w:highlight w:val="none"/>
                <w:lang w:val="en-US" w:eastAsia="zh-CN"/>
              </w:rPr>
              <w:t>设</w:t>
            </w:r>
            <w:r>
              <w:rPr>
                <w:rFonts w:hint="default" w:ascii="Times New Roman" w:hAnsi="Times New Roman" w:eastAsia="宋体" w:cs="Times New Roman"/>
                <w:b w:val="0"/>
                <w:bCs w:val="0"/>
                <w:color w:val="auto"/>
                <w:sz w:val="21"/>
                <w:szCs w:val="21"/>
                <w:highlight w:val="none"/>
                <w:lang w:val="en-US" w:eastAsia="zh-CN"/>
              </w:rPr>
              <w:t>1</w:t>
            </w:r>
            <w:r>
              <w:rPr>
                <w:rFonts w:hint="eastAsia" w:cs="Times New Roman"/>
                <w:b w:val="0"/>
                <w:bCs w:val="0"/>
                <w:color w:val="auto"/>
                <w:sz w:val="21"/>
                <w:szCs w:val="21"/>
                <w:highlight w:val="none"/>
                <w:lang w:val="en-US" w:eastAsia="zh-CN"/>
              </w:rPr>
              <w:t>座容积814.38</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eastAsia"/>
                <w:color w:val="auto"/>
                <w:kern w:val="24"/>
                <w:sz w:val="21"/>
                <w:szCs w:val="21"/>
                <w:highlight w:val="none"/>
                <w:lang w:val="en-US" w:eastAsia="zh-CN"/>
              </w:rPr>
              <w:t>的</w:t>
            </w:r>
            <w:r>
              <w:rPr>
                <w:rFonts w:hint="eastAsia"/>
                <w:color w:val="auto"/>
                <w:sz w:val="21"/>
                <w:szCs w:val="21"/>
                <w:lang w:val="en-US" w:eastAsia="zh-CN"/>
              </w:rPr>
              <w:t>事故应急池</w:t>
            </w:r>
            <w:r>
              <w:rPr>
                <w:rFonts w:hint="default" w:ascii="Times New Roman" w:hAnsi="Times New Roman" w:eastAsia="宋体" w:cs="Times New Roman"/>
                <w:b w:val="0"/>
                <w:bCs w:val="0"/>
                <w:color w:val="auto"/>
                <w:sz w:val="21"/>
                <w:szCs w:val="21"/>
                <w:highlight w:val="none"/>
                <w:lang w:val="en-US" w:eastAsia="zh-CN"/>
              </w:rPr>
              <w:t>，用于事故</w:t>
            </w:r>
            <w:r>
              <w:rPr>
                <w:rFonts w:hint="eastAsia" w:cs="Times New Roman"/>
                <w:b w:val="0"/>
                <w:bCs w:val="0"/>
                <w:color w:val="auto"/>
                <w:sz w:val="21"/>
                <w:szCs w:val="21"/>
                <w:highlight w:val="none"/>
                <w:lang w:val="en-US" w:eastAsia="zh-CN"/>
              </w:rPr>
              <w:t>废水</w:t>
            </w:r>
            <w:r>
              <w:rPr>
                <w:rFonts w:hint="default" w:ascii="Times New Roman" w:hAnsi="Times New Roman" w:eastAsia="宋体" w:cs="Times New Roman"/>
                <w:b w:val="0"/>
                <w:bCs w:val="0"/>
                <w:color w:val="auto"/>
                <w:sz w:val="21"/>
                <w:szCs w:val="21"/>
                <w:highlight w:val="none"/>
                <w:lang w:val="en-US" w:eastAsia="zh-CN"/>
              </w:rPr>
              <w:t>的收集。</w:t>
            </w:r>
          </w:p>
          <w:p w14:paraId="4E35A850">
            <w:pPr>
              <w:pStyle w:val="26"/>
              <w:bidi w:val="0"/>
              <w:spacing w:line="240" w:lineRule="auto"/>
              <w:ind w:left="0" w:leftChars="0" w:firstLine="0" w:firstLine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r>
              <w:rPr>
                <w:rFonts w:hint="eastAsia" w:ascii="Times New Roman" w:hAnsi="Times New Roman" w:cs="Times New Roman"/>
                <w:b w:val="0"/>
                <w:bCs w:val="0"/>
                <w:color w:val="auto"/>
                <w:sz w:val="21"/>
                <w:szCs w:val="21"/>
                <w:highlight w:val="none"/>
                <w:u w:val="none"/>
                <w:lang w:val="en-US" w:eastAsia="zh-CN"/>
              </w:rPr>
              <w:t>化学品/废液/废水管道可视化</w:t>
            </w:r>
            <w:r>
              <w:rPr>
                <w:rFonts w:hint="eastAsia" w:ascii="Times New Roman" w:hAnsi="Times New Roman" w:eastAsia="宋体" w:cs="Times New Roman"/>
                <w:b w:val="0"/>
                <w:bCs w:val="0"/>
                <w:color w:val="auto"/>
                <w:sz w:val="21"/>
                <w:szCs w:val="21"/>
                <w:highlight w:val="none"/>
                <w:lang w:val="en-US" w:eastAsia="zh-CN"/>
              </w:rPr>
              <w:t>。</w:t>
            </w:r>
          </w:p>
          <w:p w14:paraId="2ACC0A9C">
            <w:pPr>
              <w:pStyle w:val="26"/>
              <w:bidi w:val="0"/>
              <w:spacing w:line="240" w:lineRule="auto"/>
              <w:ind w:left="0" w:leftChars="0" w:firstLine="0" w:firstLineChars="0"/>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6、定期对防渗工程进行检漏监测，并制定地下水应急响应方案。</w:t>
            </w:r>
          </w:p>
        </w:tc>
        <w:tc>
          <w:tcPr>
            <w:tcW w:w="752" w:type="pct"/>
            <w:shd w:val="clear" w:color="auto" w:fill="auto"/>
            <w:noWrap w:val="0"/>
            <w:vAlign w:val="center"/>
          </w:tcPr>
          <w:p w14:paraId="1B1708BB">
            <w:pPr>
              <w:pStyle w:val="24"/>
              <w:bidi w:val="0"/>
              <w:ind w:left="0" w:lef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40</w:t>
            </w:r>
          </w:p>
        </w:tc>
      </w:tr>
      <w:tr w14:paraId="214F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Merge w:val="continue"/>
            <w:noWrap w:val="0"/>
            <w:vAlign w:val="center"/>
          </w:tcPr>
          <w:p w14:paraId="4B6CA108">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07A62635">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0" w:type="pct"/>
            <w:shd w:val="clear" w:color="auto" w:fill="auto"/>
            <w:noWrap w:val="0"/>
            <w:vAlign w:val="center"/>
          </w:tcPr>
          <w:p w14:paraId="410A723C">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废水/废气事故排放风险防范措施</w:t>
            </w:r>
          </w:p>
        </w:tc>
        <w:tc>
          <w:tcPr>
            <w:tcW w:w="2880" w:type="pct"/>
            <w:shd w:val="clear" w:color="auto" w:fill="auto"/>
            <w:noWrap w:val="0"/>
            <w:vAlign w:val="top"/>
          </w:tcPr>
          <w:p w14:paraId="0FA5844C">
            <w:pPr>
              <w:pStyle w:val="24"/>
              <w:bidi w:val="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加强</w:t>
            </w:r>
            <w:r>
              <w:rPr>
                <w:rFonts w:hint="default" w:ascii="Times New Roman" w:hAnsi="Times New Roman" w:cs="Times New Roman"/>
                <w:color w:val="auto"/>
                <w:sz w:val="21"/>
                <w:szCs w:val="21"/>
                <w:highlight w:val="none"/>
                <w:lang w:val="en-US" w:eastAsia="zh-CN"/>
              </w:rPr>
              <w:t>废气处理系统</w:t>
            </w:r>
            <w:r>
              <w:rPr>
                <w:rFonts w:hint="default" w:ascii="Times New Roman" w:hAnsi="Times New Roman" w:cs="Times New Roman"/>
                <w:color w:val="auto"/>
                <w:sz w:val="21"/>
                <w:szCs w:val="21"/>
                <w:highlight w:val="none"/>
              </w:rPr>
              <w:t>的日常维护和保养，</w:t>
            </w:r>
            <w:r>
              <w:rPr>
                <w:rFonts w:hint="default" w:ascii="Times New Roman" w:hAnsi="Times New Roman" w:cs="Times New Roman"/>
                <w:color w:val="auto"/>
                <w:sz w:val="21"/>
                <w:szCs w:val="21"/>
                <w:highlight w:val="none"/>
                <w:lang w:val="en-US" w:eastAsia="zh-CN"/>
              </w:rPr>
              <w:t>及时更换活性炭和喷淋介质</w:t>
            </w:r>
            <w:r>
              <w:rPr>
                <w:rFonts w:hint="eastAsia" w:ascii="Times New Roman" w:hAnsi="Times New Roman" w:cs="Times New Roman"/>
                <w:color w:val="auto"/>
                <w:sz w:val="21"/>
                <w:szCs w:val="21"/>
                <w:highlight w:val="none"/>
                <w:lang w:val="en-US" w:eastAsia="zh-CN"/>
              </w:rPr>
              <w:t>。</w:t>
            </w:r>
          </w:p>
          <w:p w14:paraId="2EFF8DF0">
            <w:pPr>
              <w:pStyle w:val="24"/>
              <w:bidi w:val="0"/>
              <w:ind w:left="0" w:leftChars="0"/>
              <w:jc w:val="both"/>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建立</w:t>
            </w:r>
            <w:r>
              <w:rPr>
                <w:rFonts w:hint="default" w:ascii="Times New Roman" w:hAnsi="Times New Roman" w:eastAsia="宋体" w:cs="Times New Roman"/>
                <w:color w:val="auto"/>
                <w:kern w:val="0"/>
                <w:sz w:val="21"/>
                <w:szCs w:val="21"/>
                <w:lang w:val="en-US" w:eastAsia="zh-CN" w:bidi="ar"/>
              </w:rPr>
              <w:t>“生产单元-企业-园区</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的</w:t>
            </w:r>
            <w:r>
              <w:rPr>
                <w:rFonts w:hint="eastAsia" w:ascii="Times New Roman" w:hAnsi="Times New Roman" w:eastAsia="宋体" w:cs="Times New Roman"/>
                <w:color w:val="auto"/>
                <w:kern w:val="0"/>
                <w:sz w:val="21"/>
                <w:szCs w:val="21"/>
                <w:lang w:val="en-US" w:eastAsia="zh-CN" w:bidi="ar"/>
              </w:rPr>
              <w:t>三级事故废水防范体系。</w:t>
            </w:r>
          </w:p>
        </w:tc>
        <w:tc>
          <w:tcPr>
            <w:tcW w:w="752" w:type="pct"/>
            <w:shd w:val="clear" w:color="auto" w:fill="auto"/>
            <w:noWrap w:val="0"/>
            <w:vAlign w:val="center"/>
          </w:tcPr>
          <w:p w14:paraId="56A6CCC7">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10</w:t>
            </w:r>
          </w:p>
        </w:tc>
      </w:tr>
      <w:tr w14:paraId="35EB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Merge w:val="continue"/>
            <w:noWrap w:val="0"/>
            <w:vAlign w:val="center"/>
          </w:tcPr>
          <w:p w14:paraId="09C89E16">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1DEAD57C">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0" w:type="pct"/>
            <w:shd w:val="clear" w:color="auto" w:fill="auto"/>
            <w:noWrap w:val="0"/>
            <w:vAlign w:val="center"/>
          </w:tcPr>
          <w:p w14:paraId="6ACC463E">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地下水污染防治措施</w:t>
            </w:r>
          </w:p>
        </w:tc>
        <w:tc>
          <w:tcPr>
            <w:tcW w:w="2880" w:type="pct"/>
            <w:shd w:val="clear" w:color="auto" w:fill="auto"/>
            <w:noWrap w:val="0"/>
            <w:vAlign w:val="top"/>
          </w:tcPr>
          <w:p w14:paraId="751A1845">
            <w:pPr>
              <w:pStyle w:val="24"/>
              <w:numPr>
                <w:ilvl w:val="0"/>
                <w:numId w:val="0"/>
              </w:numPr>
              <w:bidi w:val="0"/>
              <w:spacing w:line="240" w:lineRule="auto"/>
              <w:ind w:left="0" w:leftChars="0"/>
              <w:jc w:val="both"/>
              <w:rPr>
                <w:rFonts w:hint="eastAsia"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lang w:val="en-US" w:eastAsia="zh-CN" w:bidi="ar-SA"/>
              </w:rPr>
              <w:t>1、</w:t>
            </w:r>
            <w:r>
              <w:rPr>
                <w:rFonts w:hint="default" w:ascii="Times New Roman" w:hAnsi="Times New Roman" w:cs="Times New Roman"/>
                <w:color w:val="auto"/>
                <w:sz w:val="21"/>
                <w:szCs w:val="21"/>
                <w:highlight w:val="none"/>
                <w:lang w:val="en-US" w:eastAsia="zh-CN"/>
              </w:rPr>
              <w:t>采取分区防渗</w:t>
            </w:r>
            <w:r>
              <w:rPr>
                <w:rFonts w:hint="eastAsia" w:ascii="Times New Roman" w:hAnsi="Times New Roman" w:cs="Times New Roman"/>
                <w:color w:val="auto"/>
                <w:sz w:val="21"/>
                <w:szCs w:val="21"/>
                <w:highlight w:val="none"/>
                <w:lang w:val="en-US" w:eastAsia="zh-CN"/>
              </w:rPr>
              <w:t>。</w:t>
            </w:r>
          </w:p>
          <w:p w14:paraId="7BF78B56">
            <w:pPr>
              <w:numPr>
                <w:ilvl w:val="0"/>
                <w:numId w:val="0"/>
              </w:numPr>
              <w:spacing w:line="240" w:lineRule="auto"/>
              <w:rPr>
                <w:rFonts w:hint="default"/>
                <w:color w:val="auto"/>
                <w:sz w:val="21"/>
                <w:szCs w:val="21"/>
                <w:lang w:val="en-US" w:eastAsia="zh-CN"/>
              </w:rPr>
            </w:pPr>
            <w:r>
              <w:rPr>
                <w:rFonts w:hint="default" w:ascii="Times New Roman" w:hAnsi="Times New Roman" w:eastAsia="宋体" w:cs="Times New Roman"/>
                <w:color w:val="auto"/>
                <w:kern w:val="2"/>
                <w:sz w:val="21"/>
                <w:szCs w:val="21"/>
                <w:lang w:val="en-US" w:eastAsia="zh-CN" w:bidi="ar-SA"/>
              </w:rPr>
              <w:t>2、</w:t>
            </w:r>
            <w:r>
              <w:rPr>
                <w:rFonts w:hint="eastAsia" w:ascii="Times New Roman" w:hAnsi="Times New Roman" w:eastAsia="宋体" w:cs="Courier New"/>
                <w:b w:val="0"/>
                <w:bCs w:val="0"/>
                <w:color w:val="auto"/>
                <w:sz w:val="21"/>
                <w:szCs w:val="21"/>
                <w:highlight w:val="none"/>
                <w:lang w:val="en-US" w:eastAsia="zh-CN"/>
              </w:rPr>
              <w:t>定期检查工艺设备、管道、罐体状态。</w:t>
            </w:r>
          </w:p>
          <w:p w14:paraId="4841B6BD">
            <w:pPr>
              <w:pStyle w:val="24"/>
              <w:bidi w:val="0"/>
              <w:spacing w:line="240" w:lineRule="auto"/>
              <w:jc w:val="both"/>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设3口地下水跟踪监测井</w:t>
            </w:r>
            <w:r>
              <w:rPr>
                <w:rFonts w:hint="default" w:ascii="Times New Roman" w:hAnsi="Times New Roman" w:cs="Times New Roman"/>
                <w:color w:val="auto"/>
                <w:sz w:val="21"/>
                <w:szCs w:val="21"/>
                <w:highlight w:val="none"/>
                <w:lang w:val="en-US" w:eastAsia="zh-CN"/>
              </w:rPr>
              <w:t>。</w:t>
            </w:r>
          </w:p>
          <w:p w14:paraId="0D4D4FF0">
            <w:pPr>
              <w:spacing w:line="240" w:lineRule="auto"/>
              <w:ind w:left="0" w:leftChars="0" w:firstLine="0" w:firstLineChars="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Courier New"/>
                <w:b w:val="0"/>
                <w:bCs w:val="0"/>
                <w:color w:val="auto"/>
                <w:sz w:val="21"/>
                <w:szCs w:val="21"/>
                <w:highlight w:val="none"/>
                <w:lang w:val="en-US" w:eastAsia="zh-CN"/>
              </w:rPr>
              <w:t>4、预留地下水水质监测费。</w:t>
            </w:r>
          </w:p>
        </w:tc>
        <w:tc>
          <w:tcPr>
            <w:tcW w:w="752" w:type="pct"/>
            <w:shd w:val="clear" w:color="auto" w:fill="auto"/>
            <w:noWrap w:val="0"/>
            <w:vAlign w:val="center"/>
          </w:tcPr>
          <w:p w14:paraId="1E557440">
            <w:pPr>
              <w:pStyle w:val="24"/>
              <w:bidi w:val="0"/>
              <w:ind w:left="0" w:lef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同上</w:t>
            </w:r>
          </w:p>
        </w:tc>
      </w:tr>
      <w:tr w14:paraId="761B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Merge w:val="continue"/>
            <w:noWrap w:val="0"/>
            <w:vAlign w:val="center"/>
          </w:tcPr>
          <w:p w14:paraId="58319418">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6" w:type="pct"/>
            <w:vMerge w:val="continue"/>
            <w:noWrap w:val="0"/>
            <w:vAlign w:val="center"/>
          </w:tcPr>
          <w:p w14:paraId="41E5E2C2">
            <w:pPr>
              <w:pStyle w:val="24"/>
              <w:bidi w:val="0"/>
              <w:spacing w:line="240" w:lineRule="auto"/>
              <w:rPr>
                <w:rFonts w:hint="eastAsia" w:ascii="Times New Roman" w:hAnsi="Times New Roman" w:eastAsia="宋体" w:cs="Courier New"/>
                <w:b w:val="0"/>
                <w:bCs w:val="0"/>
                <w:color w:val="auto"/>
                <w:highlight w:val="none"/>
                <w:lang w:val="en-US" w:eastAsia="zh-CN"/>
              </w:rPr>
            </w:pPr>
          </w:p>
        </w:tc>
        <w:tc>
          <w:tcPr>
            <w:tcW w:w="490" w:type="pct"/>
            <w:shd w:val="clear" w:color="auto" w:fill="auto"/>
            <w:noWrap w:val="0"/>
            <w:vAlign w:val="center"/>
          </w:tcPr>
          <w:p w14:paraId="0E44AC49">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安全教育及管理</w:t>
            </w:r>
          </w:p>
        </w:tc>
        <w:tc>
          <w:tcPr>
            <w:tcW w:w="2880" w:type="pct"/>
            <w:shd w:val="clear" w:color="auto" w:fill="auto"/>
            <w:noWrap w:val="0"/>
            <w:vAlign w:val="top"/>
          </w:tcPr>
          <w:p w14:paraId="3457CEF6">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1、加强员工安全生产和环保教育；</w:t>
            </w:r>
          </w:p>
          <w:p w14:paraId="0D5535E9">
            <w:pPr>
              <w:pStyle w:val="24"/>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2、关键岗位需持证上岗；</w:t>
            </w:r>
          </w:p>
          <w:p w14:paraId="19F7CBA6">
            <w:pPr>
              <w:pStyle w:val="24"/>
              <w:bidi w:val="0"/>
              <w:ind w:left="0" w:leftChars="0"/>
              <w:jc w:val="both"/>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3、进出厂区的车辆佩戴阻火器。</w:t>
            </w:r>
          </w:p>
        </w:tc>
        <w:tc>
          <w:tcPr>
            <w:tcW w:w="752" w:type="pct"/>
            <w:shd w:val="clear" w:color="auto" w:fill="auto"/>
            <w:noWrap w:val="0"/>
            <w:vAlign w:val="center"/>
          </w:tcPr>
          <w:p w14:paraId="5B773708">
            <w:pPr>
              <w:pStyle w:val="24"/>
              <w:bidi w:val="0"/>
              <w:ind w:left="0" w:leftChars="0"/>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纳入主体工程投资</w:t>
            </w:r>
          </w:p>
        </w:tc>
      </w:tr>
      <w:tr w14:paraId="125B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7" w:type="pct"/>
            <w:gridSpan w:val="4"/>
            <w:noWrap w:val="0"/>
            <w:vAlign w:val="center"/>
          </w:tcPr>
          <w:p w14:paraId="13EDFDF1">
            <w:pPr>
              <w:pStyle w:val="24"/>
              <w:bidi w:val="0"/>
              <w:spacing w:line="240" w:lineRule="auto"/>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合计</w:t>
            </w:r>
          </w:p>
        </w:tc>
        <w:tc>
          <w:tcPr>
            <w:tcW w:w="752" w:type="pct"/>
            <w:noWrap w:val="0"/>
            <w:vAlign w:val="center"/>
          </w:tcPr>
          <w:p w14:paraId="6A733E08">
            <w:pPr>
              <w:pStyle w:val="24"/>
              <w:bidi w:val="0"/>
              <w:spacing w:line="240" w:lineRule="auto"/>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185</w:t>
            </w:r>
          </w:p>
        </w:tc>
      </w:tr>
    </w:tbl>
    <w:p w14:paraId="5CA83D9A">
      <w:pPr>
        <w:rPr>
          <w:color w:val="auto"/>
        </w:rPr>
      </w:pPr>
    </w:p>
    <w:p w14:paraId="036CD827">
      <w:pPr>
        <w:pStyle w:val="2"/>
        <w:bidi w:val="0"/>
        <w:rPr>
          <w:color w:val="auto"/>
          <w:highlight w:val="none"/>
        </w:rPr>
      </w:pPr>
      <w:r>
        <w:rPr>
          <w:rFonts w:hint="eastAsia"/>
          <w:color w:val="auto"/>
          <w:highlight w:val="none"/>
        </w:rPr>
        <w:br w:type="page"/>
      </w:r>
      <w:bookmarkStart w:id="246" w:name="_Toc24130"/>
      <w:bookmarkStart w:id="247" w:name="_Toc20953"/>
      <w:r>
        <w:rPr>
          <w:rFonts w:hint="eastAsia"/>
          <w:color w:val="auto"/>
          <w:highlight w:val="none"/>
        </w:rPr>
        <w:t>环境影响经济损益分析</w:t>
      </w:r>
      <w:bookmarkEnd w:id="246"/>
      <w:bookmarkEnd w:id="247"/>
    </w:p>
    <w:p w14:paraId="649DC303">
      <w:pPr>
        <w:pStyle w:val="26"/>
        <w:bidi w:val="0"/>
        <w:rPr>
          <w:color w:val="auto"/>
          <w:highlight w:val="none"/>
        </w:rPr>
      </w:pPr>
      <w:r>
        <w:rPr>
          <w:rFonts w:hint="eastAsia"/>
          <w:color w:val="auto"/>
          <w:highlight w:val="none"/>
        </w:rPr>
        <w:t>环境影响经济损益分析是环境影响评价的一项主要内容，设置本专题的目的在于衡量建设项目所需投入的环保投资和能收到的环保效果，以评价项目的环境经济可行性。因而在环境经济损益分析中除计算用于控制污染所需投资费用外，同时还需估算可能收到的环境与经济效益，以实现增加地区的建设项目、扩大生产、提高经济效益的同时</w:t>
      </w:r>
      <w:r>
        <w:rPr>
          <w:rFonts w:hint="eastAsia"/>
          <w:color w:val="auto"/>
          <w:highlight w:val="none"/>
          <w:lang w:eastAsia="zh-CN"/>
        </w:rPr>
        <w:t>不至于造成</w:t>
      </w:r>
      <w:r>
        <w:rPr>
          <w:rFonts w:hint="eastAsia"/>
          <w:color w:val="auto"/>
          <w:highlight w:val="none"/>
        </w:rPr>
        <w:t>区域环境污染，做到经济效益、社会效益和环境效益的统一。</w:t>
      </w:r>
    </w:p>
    <w:p w14:paraId="4A496A5F">
      <w:pPr>
        <w:pStyle w:val="3"/>
        <w:bidi w:val="0"/>
        <w:rPr>
          <w:color w:val="auto"/>
          <w:highlight w:val="none"/>
        </w:rPr>
      </w:pPr>
      <w:bookmarkStart w:id="248" w:name="_Toc17970"/>
      <w:bookmarkStart w:id="249" w:name="_Toc17763"/>
      <w:bookmarkStart w:id="250" w:name="_Toc461524961"/>
      <w:bookmarkStart w:id="251" w:name="_Toc94200111"/>
      <w:bookmarkStart w:id="252" w:name="_Toc2237"/>
      <w:r>
        <w:rPr>
          <w:rFonts w:hint="eastAsia"/>
          <w:color w:val="auto"/>
          <w:highlight w:val="none"/>
        </w:rPr>
        <w:t>经济效益</w:t>
      </w:r>
      <w:r>
        <w:rPr>
          <w:color w:val="auto"/>
          <w:highlight w:val="none"/>
        </w:rPr>
        <w:t>分析</w:t>
      </w:r>
      <w:bookmarkEnd w:id="248"/>
      <w:bookmarkEnd w:id="249"/>
      <w:bookmarkEnd w:id="250"/>
      <w:bookmarkEnd w:id="251"/>
      <w:bookmarkEnd w:id="252"/>
    </w:p>
    <w:p w14:paraId="1CEE2EEF">
      <w:pPr>
        <w:pStyle w:val="26"/>
        <w:bidi w:val="0"/>
        <w:rPr>
          <w:rFonts w:hint="eastAsia" w:ascii="Times New Roman" w:hAnsi="Times New Roman"/>
          <w:color w:val="auto"/>
          <w:sz w:val="24"/>
          <w:szCs w:val="24"/>
          <w:highlight w:val="none"/>
        </w:rPr>
      </w:pPr>
      <w:r>
        <w:rPr>
          <w:rFonts w:hint="eastAsia"/>
          <w:color w:val="auto"/>
          <w:sz w:val="24"/>
          <w:szCs w:val="24"/>
          <w:highlight w:val="none"/>
          <w:lang w:val="en-US" w:eastAsia="zh-CN"/>
        </w:rPr>
        <w:t>本</w:t>
      </w:r>
      <w:r>
        <w:rPr>
          <w:rFonts w:hint="eastAsia" w:ascii="Times New Roman" w:hAnsi="Times New Roman"/>
          <w:color w:val="auto"/>
          <w:sz w:val="24"/>
          <w:szCs w:val="24"/>
          <w:highlight w:val="none"/>
        </w:rPr>
        <w:t>项目建成投产后，年销售收入</w:t>
      </w:r>
      <w:r>
        <w:rPr>
          <w:rFonts w:hint="eastAsia"/>
          <w:color w:val="auto"/>
          <w:sz w:val="24"/>
          <w:szCs w:val="24"/>
          <w:highlight w:val="none"/>
          <w:lang w:val="en-US" w:eastAsia="zh-CN"/>
        </w:rPr>
        <w:t>约21000</w:t>
      </w:r>
      <w:r>
        <w:rPr>
          <w:rFonts w:hint="eastAsia" w:ascii="Times New Roman" w:hAnsi="Times New Roman"/>
          <w:color w:val="auto"/>
          <w:sz w:val="24"/>
          <w:szCs w:val="24"/>
          <w:highlight w:val="none"/>
        </w:rPr>
        <w:t>万元，年总成本</w:t>
      </w:r>
      <w:r>
        <w:rPr>
          <w:rFonts w:hint="eastAsia"/>
          <w:color w:val="auto"/>
          <w:sz w:val="24"/>
          <w:szCs w:val="24"/>
          <w:highlight w:val="none"/>
          <w:lang w:val="en-US" w:eastAsia="zh-CN"/>
        </w:rPr>
        <w:t>约16000</w:t>
      </w:r>
      <w:r>
        <w:rPr>
          <w:rFonts w:hint="eastAsia" w:ascii="Times New Roman" w:hAnsi="Times New Roman"/>
          <w:color w:val="auto"/>
          <w:sz w:val="24"/>
          <w:szCs w:val="24"/>
          <w:highlight w:val="none"/>
        </w:rPr>
        <w:t>万元，年利润总额</w:t>
      </w:r>
      <w:r>
        <w:rPr>
          <w:rFonts w:hint="eastAsia"/>
          <w:color w:val="auto"/>
          <w:sz w:val="24"/>
          <w:szCs w:val="24"/>
          <w:highlight w:val="none"/>
          <w:lang w:val="en-US" w:eastAsia="zh-CN"/>
        </w:rPr>
        <w:t>约5000</w:t>
      </w:r>
      <w:r>
        <w:rPr>
          <w:rFonts w:hint="eastAsia" w:ascii="Times New Roman" w:hAnsi="Times New Roman"/>
          <w:color w:val="auto"/>
          <w:sz w:val="24"/>
          <w:szCs w:val="24"/>
          <w:highlight w:val="none"/>
        </w:rPr>
        <w:t>万元，静态投资回收期为</w:t>
      </w:r>
      <w:r>
        <w:rPr>
          <w:rFonts w:hint="eastAsia"/>
          <w:color w:val="auto"/>
          <w:sz w:val="24"/>
          <w:szCs w:val="24"/>
          <w:highlight w:val="none"/>
          <w:lang w:val="en-US" w:eastAsia="zh-CN"/>
        </w:rPr>
        <w:t>2.2</w:t>
      </w:r>
      <w:r>
        <w:rPr>
          <w:rFonts w:hint="eastAsia" w:ascii="Times New Roman" w:hAnsi="Times New Roman"/>
          <w:color w:val="auto"/>
          <w:sz w:val="24"/>
          <w:szCs w:val="24"/>
          <w:highlight w:val="none"/>
        </w:rPr>
        <w:t>年</w:t>
      </w:r>
      <w:r>
        <w:rPr>
          <w:rFonts w:hint="eastAsia"/>
          <w:color w:val="auto"/>
          <w:sz w:val="24"/>
          <w:szCs w:val="24"/>
          <w:highlight w:val="none"/>
          <w:lang w:eastAsia="zh-CN"/>
        </w:rPr>
        <w:t>。</w:t>
      </w:r>
      <w:r>
        <w:rPr>
          <w:rFonts w:hint="eastAsia" w:ascii="Times New Roman" w:hAnsi="Times New Roman"/>
          <w:color w:val="auto"/>
          <w:sz w:val="24"/>
          <w:szCs w:val="24"/>
          <w:highlight w:val="none"/>
        </w:rPr>
        <w:t>本项目财务经济效益较好，项目经济可行。</w:t>
      </w:r>
    </w:p>
    <w:p w14:paraId="23E34614">
      <w:pPr>
        <w:pStyle w:val="3"/>
        <w:bidi w:val="0"/>
        <w:rPr>
          <w:rFonts w:hint="eastAsia" w:ascii="Times New Roman" w:hAnsi="Times New Roman" w:cs="Courier New"/>
          <w:bCs/>
          <w:color w:val="auto"/>
          <w:highlight w:val="none"/>
        </w:rPr>
      </w:pPr>
      <w:bookmarkStart w:id="253" w:name="_Toc94200112"/>
      <w:bookmarkStart w:id="254" w:name="_Toc461524962"/>
      <w:bookmarkStart w:id="255" w:name="_Toc31490"/>
      <w:bookmarkStart w:id="256" w:name="_Toc11312"/>
      <w:bookmarkStart w:id="257" w:name="_Toc11965"/>
      <w:r>
        <w:rPr>
          <w:rFonts w:hint="eastAsia" w:ascii="Times New Roman" w:hAnsi="Times New Roman" w:cs="Courier New"/>
          <w:bCs/>
          <w:color w:val="auto"/>
          <w:highlight w:val="none"/>
        </w:rPr>
        <w:t>社会效益分析</w:t>
      </w:r>
      <w:bookmarkEnd w:id="253"/>
      <w:bookmarkEnd w:id="254"/>
      <w:bookmarkEnd w:id="255"/>
      <w:bookmarkEnd w:id="256"/>
      <w:bookmarkEnd w:id="257"/>
    </w:p>
    <w:p w14:paraId="57E7C6AD">
      <w:pPr>
        <w:pStyle w:val="26"/>
        <w:bidi w:val="0"/>
        <w:rPr>
          <w:rFonts w:hint="eastAsia" w:ascii="Times New Roman" w:hAnsi="Times New Roman"/>
          <w:color w:val="auto"/>
          <w:sz w:val="24"/>
          <w:szCs w:val="24"/>
        </w:rPr>
      </w:pPr>
      <w:r>
        <w:rPr>
          <w:rFonts w:hint="eastAsia" w:ascii="Times New Roman" w:hAnsi="Times New Roman"/>
          <w:color w:val="auto"/>
          <w:sz w:val="24"/>
          <w:szCs w:val="24"/>
        </w:rPr>
        <w:t>本项目的建设有着良好的市场基础，符合国家产业政策和当地发展规划，建设目标明确，技术方案科学合理，工艺设备先进适用，在为企业创造良好经济效益的同时，也可以实现巨大的社会效益。</w:t>
      </w:r>
    </w:p>
    <w:p w14:paraId="193976EE">
      <w:pPr>
        <w:pStyle w:val="26"/>
        <w:bidi w:val="0"/>
        <w:rPr>
          <w:color w:val="auto"/>
          <w:highlight w:val="none"/>
        </w:rPr>
      </w:pPr>
      <w:r>
        <w:rPr>
          <w:rFonts w:hint="eastAsia" w:ascii="Times New Roman" w:hAnsi="Times New Roman"/>
          <w:color w:val="auto"/>
          <w:sz w:val="24"/>
          <w:szCs w:val="24"/>
        </w:rPr>
        <w:t>本项目建成后</w:t>
      </w:r>
      <w:r>
        <w:rPr>
          <w:rFonts w:hint="eastAsia" w:ascii="Times New Roman" w:hAnsi="Times New Roman"/>
          <w:color w:val="auto"/>
          <w:sz w:val="24"/>
          <w:szCs w:val="24"/>
          <w:highlight w:val="none"/>
        </w:rPr>
        <w:t>年利润总额</w:t>
      </w:r>
      <w:r>
        <w:rPr>
          <w:rFonts w:hint="eastAsia"/>
          <w:color w:val="auto"/>
          <w:sz w:val="24"/>
          <w:szCs w:val="24"/>
          <w:highlight w:val="none"/>
          <w:lang w:val="en-US" w:eastAsia="zh-CN"/>
        </w:rPr>
        <w:t>约5000</w:t>
      </w:r>
      <w:r>
        <w:rPr>
          <w:rFonts w:hint="eastAsia" w:ascii="Times New Roman" w:hAnsi="Times New Roman"/>
          <w:color w:val="auto"/>
          <w:sz w:val="24"/>
          <w:szCs w:val="24"/>
          <w:highlight w:val="none"/>
        </w:rPr>
        <w:t>万元</w:t>
      </w:r>
      <w:r>
        <w:rPr>
          <w:rFonts w:hint="eastAsia" w:ascii="Times New Roman" w:hAnsi="Times New Roman"/>
          <w:color w:val="auto"/>
          <w:sz w:val="24"/>
          <w:szCs w:val="24"/>
        </w:rPr>
        <w:t>，将进一步推进地方经济建设，吸纳大量劳动力就业，提高群众的生活水平，加快实现小康社会的步伐；对当地基础设施、社会服务容量、城市化进程也会形成良性促进作用；对地方经济的可持续发展起到了巨大的推动作用。</w:t>
      </w:r>
    </w:p>
    <w:p w14:paraId="7F63F3DF">
      <w:pPr>
        <w:pStyle w:val="3"/>
        <w:bidi w:val="0"/>
        <w:rPr>
          <w:color w:val="auto"/>
          <w:highlight w:val="none"/>
        </w:rPr>
      </w:pPr>
      <w:bookmarkStart w:id="258" w:name="_Toc461524963"/>
      <w:bookmarkStart w:id="259" w:name="_Toc94200113"/>
      <w:bookmarkStart w:id="260" w:name="_Toc11462"/>
      <w:bookmarkStart w:id="261" w:name="_Toc22057"/>
      <w:bookmarkStart w:id="262" w:name="_Toc13287"/>
      <w:r>
        <w:rPr>
          <w:rFonts w:hint="eastAsia"/>
          <w:color w:val="auto"/>
          <w:highlight w:val="none"/>
        </w:rPr>
        <w:t>环境损益分析</w:t>
      </w:r>
      <w:bookmarkEnd w:id="258"/>
      <w:bookmarkEnd w:id="259"/>
      <w:bookmarkEnd w:id="260"/>
      <w:bookmarkEnd w:id="261"/>
      <w:bookmarkEnd w:id="262"/>
    </w:p>
    <w:p w14:paraId="041CFC2B">
      <w:pPr>
        <w:pStyle w:val="4"/>
        <w:bidi w:val="0"/>
        <w:rPr>
          <w:rFonts w:hint="eastAsia"/>
          <w:color w:val="auto"/>
          <w:highlight w:val="none"/>
        </w:rPr>
      </w:pPr>
      <w:r>
        <w:rPr>
          <w:rFonts w:hint="eastAsia" w:ascii="Times New Roman" w:hAnsi="Times New Roman"/>
          <w:color w:val="auto"/>
        </w:rPr>
        <w:t>环境代价分析</w:t>
      </w:r>
    </w:p>
    <w:p w14:paraId="6308AACB">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环境代价是建设项目对环境污染和破坏所造成环境损失折算的经济价值，是建设项目环境影响损益分析的核心内容，</w:t>
      </w:r>
      <w:r>
        <w:rPr>
          <w:rFonts w:ascii="Times New Roman" w:hAnsi="Times New Roman"/>
          <w:color w:val="auto"/>
          <w:sz w:val="24"/>
          <w:szCs w:val="24"/>
        </w:rPr>
        <w:t>主要包括</w:t>
      </w:r>
      <w:r>
        <w:rPr>
          <w:rFonts w:hint="eastAsia" w:ascii="Times New Roman" w:hAnsi="Times New Roman"/>
          <w:color w:val="auto"/>
          <w:sz w:val="24"/>
          <w:szCs w:val="24"/>
        </w:rPr>
        <w:t>资源和能源流失代价（</w:t>
      </w:r>
      <w:r>
        <w:rPr>
          <w:rFonts w:hint="eastAsia" w:ascii="Times New Roman" w:hAnsi="Times New Roman"/>
          <w:i/>
          <w:color w:val="auto"/>
          <w:sz w:val="24"/>
          <w:szCs w:val="24"/>
        </w:rPr>
        <w:t>A</w:t>
      </w:r>
      <w:r>
        <w:rPr>
          <w:rFonts w:hint="eastAsia" w:ascii="Times New Roman" w:hAnsi="Times New Roman"/>
          <w:color w:val="auto"/>
          <w:sz w:val="24"/>
          <w:szCs w:val="24"/>
        </w:rPr>
        <w:t>）、对环境生产和生活资料造成的损失代价（</w:t>
      </w:r>
      <w:r>
        <w:rPr>
          <w:rFonts w:hint="eastAsia" w:ascii="Times New Roman" w:hAnsi="Times New Roman"/>
          <w:i/>
          <w:color w:val="auto"/>
          <w:sz w:val="24"/>
          <w:szCs w:val="24"/>
        </w:rPr>
        <w:t>B</w:t>
      </w:r>
      <w:r>
        <w:rPr>
          <w:rFonts w:hint="eastAsia" w:ascii="Times New Roman" w:hAnsi="Times New Roman"/>
          <w:color w:val="auto"/>
          <w:sz w:val="24"/>
          <w:szCs w:val="24"/>
        </w:rPr>
        <w:t>）、对人群、动植物造成的损失代价（</w:t>
      </w:r>
      <w:r>
        <w:rPr>
          <w:rFonts w:hint="eastAsia" w:ascii="Times New Roman" w:hAnsi="Times New Roman"/>
          <w:i/>
          <w:color w:val="auto"/>
          <w:sz w:val="24"/>
          <w:szCs w:val="24"/>
        </w:rPr>
        <w:t>C</w:t>
      </w:r>
      <w:r>
        <w:rPr>
          <w:rFonts w:hint="eastAsia" w:ascii="Times New Roman" w:hAnsi="Times New Roman"/>
          <w:color w:val="auto"/>
          <w:sz w:val="24"/>
          <w:szCs w:val="24"/>
        </w:rPr>
        <w:t>）</w:t>
      </w:r>
      <w:r>
        <w:rPr>
          <w:rFonts w:ascii="Times New Roman" w:hAnsi="Times New Roman"/>
          <w:color w:val="auto"/>
          <w:sz w:val="24"/>
          <w:szCs w:val="24"/>
        </w:rPr>
        <w:t>三个部分</w:t>
      </w:r>
      <w:r>
        <w:rPr>
          <w:rFonts w:hint="eastAsia" w:ascii="Times New Roman" w:hAnsi="Times New Roman"/>
          <w:color w:val="auto"/>
          <w:sz w:val="24"/>
          <w:szCs w:val="24"/>
        </w:rPr>
        <w:t>。</w:t>
      </w:r>
    </w:p>
    <w:p w14:paraId="7FE4A873">
      <w:pPr>
        <w:pStyle w:val="29"/>
        <w:ind w:left="0" w:leftChars="0" w:firstLine="482" w:firstLineChars="200"/>
        <w:rPr>
          <w:color w:val="auto"/>
        </w:rPr>
      </w:pPr>
      <w:r>
        <w:rPr>
          <w:rFonts w:hint="eastAsia"/>
          <w:color w:val="auto"/>
        </w:rPr>
        <w:t>1、资源和能源流失代价</w:t>
      </w:r>
    </w:p>
    <w:p w14:paraId="052985ED">
      <w:pPr>
        <w:spacing w:line="360" w:lineRule="auto"/>
        <w:rPr>
          <w:rFonts w:ascii="Times New Roman" w:hAnsi="Times New Roman"/>
          <w:color w:val="auto"/>
          <w:sz w:val="24"/>
          <w:szCs w:val="24"/>
        </w:rPr>
      </w:pPr>
      <w:r>
        <w:rPr>
          <w:rFonts w:hint="eastAsia" w:ascii="Times New Roman" w:hAnsi="Times New Roman"/>
          <w:color w:val="auto"/>
          <w:sz w:val="24"/>
          <w:szCs w:val="24"/>
        </w:rPr>
        <w:t>资源和能源流失代价可</w:t>
      </w:r>
      <w:r>
        <w:rPr>
          <w:rFonts w:ascii="Times New Roman" w:hAnsi="Times New Roman"/>
          <w:color w:val="auto"/>
          <w:sz w:val="24"/>
          <w:szCs w:val="24"/>
        </w:rPr>
        <w:t>按下式进行计算：</w:t>
      </w:r>
    </w:p>
    <w:p w14:paraId="36B32437">
      <w:pPr>
        <w:spacing w:line="360" w:lineRule="auto"/>
        <w:jc w:val="center"/>
        <w:rPr>
          <w:rFonts w:ascii="Times New Roman" w:hAnsi="Times New Roman"/>
          <w:color w:val="auto"/>
          <w:sz w:val="24"/>
          <w:szCs w:val="24"/>
        </w:rPr>
      </w:pPr>
      <w:r>
        <w:rPr>
          <w:rFonts w:ascii="Times New Roman" w:hAnsi="Times New Roman"/>
          <w:color w:val="auto"/>
          <w:position w:val="-28"/>
          <w:sz w:val="24"/>
          <w:szCs w:val="24"/>
        </w:rPr>
        <w:object>
          <v:shape id="_x0000_i1051" o:spt="75" type="#_x0000_t75" style="height:36pt;width:50.25pt;" o:ole="t" filled="f" o:preferrelative="t" stroked="f" coordsize="21600,21600">
            <v:path/>
            <v:fill on="f" focussize="0,0"/>
            <v:stroke on="f" joinstyle="miter"/>
            <v:imagedata r:id="rId206" o:title=""/>
            <o:lock v:ext="edit" aspectratio="t"/>
            <w10:wrap type="none"/>
            <w10:anchorlock/>
          </v:shape>
          <o:OLEObject Type="Embed" ProgID="Equation.DSMT4" ShapeID="_x0000_i1051" DrawAspect="Content" ObjectID="_1468075751" r:id="rId205">
            <o:LockedField>false</o:LockedField>
          </o:OLEObject>
        </w:object>
      </w:r>
    </w:p>
    <w:p w14:paraId="246FB2E8">
      <w:pPr>
        <w:spacing w:line="360" w:lineRule="auto"/>
        <w:rPr>
          <w:rFonts w:ascii="Times New Roman" w:hAnsi="Times New Roman"/>
          <w:color w:val="auto"/>
          <w:sz w:val="24"/>
          <w:szCs w:val="24"/>
        </w:rPr>
      </w:pPr>
      <w:r>
        <w:rPr>
          <w:rFonts w:hint="eastAsia" w:ascii="Times New Roman" w:hAnsi="Times New Roman"/>
          <w:color w:val="auto"/>
          <w:sz w:val="24"/>
          <w:szCs w:val="24"/>
        </w:rPr>
        <w:t>式中</w:t>
      </w:r>
      <w:r>
        <w:rPr>
          <w:rFonts w:ascii="Times New Roman" w:hAnsi="Times New Roman"/>
          <w:color w:val="auto"/>
          <w:sz w:val="24"/>
          <w:szCs w:val="24"/>
        </w:rPr>
        <w:t>，</w:t>
      </w:r>
      <w:r>
        <w:rPr>
          <w:rFonts w:ascii="Times New Roman" w:hAnsi="Times New Roman"/>
          <w:i/>
          <w:color w:val="auto"/>
          <w:sz w:val="24"/>
          <w:szCs w:val="24"/>
        </w:rPr>
        <w:t>A</w:t>
      </w:r>
      <w:r>
        <w:rPr>
          <w:rFonts w:ascii="Times New Roman" w:hAnsi="Times New Roman"/>
          <w:color w:val="auto"/>
          <w:sz w:val="24"/>
          <w:szCs w:val="24"/>
        </w:rPr>
        <w:t>——</w:t>
      </w:r>
      <w:r>
        <w:rPr>
          <w:rFonts w:hint="eastAsia" w:ascii="Times New Roman" w:hAnsi="Times New Roman"/>
          <w:color w:val="auto"/>
          <w:sz w:val="24"/>
          <w:szCs w:val="24"/>
        </w:rPr>
        <w:t>资源</w:t>
      </w:r>
      <w:r>
        <w:rPr>
          <w:rFonts w:ascii="Times New Roman" w:hAnsi="Times New Roman"/>
          <w:color w:val="auto"/>
          <w:sz w:val="24"/>
          <w:szCs w:val="24"/>
        </w:rPr>
        <w:t>和能源流失代价，元</w:t>
      </w:r>
      <w:r>
        <w:rPr>
          <w:rFonts w:hint="eastAsia" w:ascii="Times New Roman" w:hAnsi="Times New Roman"/>
          <w:color w:val="auto"/>
          <w:sz w:val="24"/>
          <w:szCs w:val="24"/>
        </w:rPr>
        <w:t>/年</w:t>
      </w:r>
      <w:r>
        <w:rPr>
          <w:rFonts w:ascii="Times New Roman" w:hAnsi="Times New Roman"/>
          <w:color w:val="auto"/>
          <w:sz w:val="24"/>
          <w:szCs w:val="24"/>
        </w:rPr>
        <w:t>；</w:t>
      </w:r>
    </w:p>
    <w:p w14:paraId="3227B57F">
      <w:pPr>
        <w:spacing w:line="360" w:lineRule="auto"/>
        <w:ind w:firstLine="720" w:firstLineChars="300"/>
        <w:rPr>
          <w:rFonts w:ascii="Times New Roman" w:hAnsi="Times New Roman"/>
          <w:color w:val="auto"/>
          <w:sz w:val="24"/>
          <w:szCs w:val="24"/>
        </w:rPr>
      </w:pPr>
      <w:r>
        <w:rPr>
          <w:rFonts w:ascii="Times New Roman" w:hAnsi="Times New Roman"/>
          <w:i/>
          <w:color w:val="auto"/>
          <w:sz w:val="24"/>
          <w:szCs w:val="24"/>
        </w:rPr>
        <w:t>Q</w:t>
      </w:r>
      <w:r>
        <w:rPr>
          <w:rFonts w:ascii="Times New Roman" w:hAnsi="Times New Roman"/>
          <w:i/>
          <w:color w:val="auto"/>
          <w:sz w:val="24"/>
          <w:szCs w:val="24"/>
          <w:vertAlign w:val="subscript"/>
        </w:rPr>
        <w:t>i</w:t>
      </w:r>
      <w:r>
        <w:rPr>
          <w:rFonts w:ascii="Times New Roman" w:hAnsi="Times New Roman"/>
          <w:color w:val="auto"/>
          <w:sz w:val="24"/>
          <w:szCs w:val="24"/>
        </w:rPr>
        <w:t>——</w:t>
      </w:r>
      <w:r>
        <w:rPr>
          <w:rFonts w:hint="eastAsia" w:ascii="Times New Roman" w:hAnsi="Times New Roman"/>
          <w:color w:val="auto"/>
          <w:sz w:val="24"/>
          <w:szCs w:val="24"/>
        </w:rPr>
        <w:t>第</w:t>
      </w:r>
      <w:r>
        <w:rPr>
          <w:rFonts w:ascii="Times New Roman" w:hAnsi="Times New Roman"/>
          <w:i/>
          <w:color w:val="auto"/>
          <w:sz w:val="24"/>
          <w:szCs w:val="24"/>
        </w:rPr>
        <w:t>i</w:t>
      </w:r>
      <w:r>
        <w:rPr>
          <w:rFonts w:hint="eastAsia" w:ascii="Times New Roman" w:hAnsi="Times New Roman"/>
          <w:color w:val="auto"/>
          <w:sz w:val="24"/>
          <w:szCs w:val="24"/>
        </w:rPr>
        <w:t>种</w:t>
      </w:r>
      <w:r>
        <w:rPr>
          <w:rFonts w:ascii="Times New Roman" w:hAnsi="Times New Roman"/>
          <w:color w:val="auto"/>
          <w:sz w:val="24"/>
          <w:szCs w:val="24"/>
        </w:rPr>
        <w:t>污染物</w:t>
      </w:r>
      <w:r>
        <w:rPr>
          <w:rFonts w:hint="eastAsia" w:ascii="Times New Roman" w:hAnsi="Times New Roman"/>
          <w:color w:val="auto"/>
          <w:sz w:val="24"/>
          <w:szCs w:val="24"/>
        </w:rPr>
        <w:t>年</w:t>
      </w:r>
      <w:r>
        <w:rPr>
          <w:rFonts w:ascii="Times New Roman" w:hAnsi="Times New Roman"/>
          <w:color w:val="auto"/>
          <w:sz w:val="24"/>
          <w:szCs w:val="24"/>
        </w:rPr>
        <w:t>排放累积量，</w:t>
      </w:r>
      <w:r>
        <w:rPr>
          <w:rFonts w:hint="eastAsia" w:ascii="Times New Roman" w:hAnsi="Times New Roman"/>
          <w:color w:val="auto"/>
          <w:sz w:val="24"/>
          <w:szCs w:val="24"/>
        </w:rPr>
        <w:t>t/a；</w:t>
      </w:r>
    </w:p>
    <w:p w14:paraId="756E1CA1">
      <w:pPr>
        <w:spacing w:line="360" w:lineRule="auto"/>
        <w:ind w:firstLine="720" w:firstLineChars="300"/>
        <w:rPr>
          <w:rFonts w:ascii="Times New Roman" w:hAnsi="Times New Roman"/>
          <w:color w:val="auto"/>
          <w:sz w:val="24"/>
          <w:szCs w:val="24"/>
        </w:rPr>
      </w:pPr>
      <w:r>
        <w:rPr>
          <w:rFonts w:ascii="Times New Roman" w:hAnsi="Times New Roman"/>
          <w:i/>
          <w:color w:val="auto"/>
          <w:sz w:val="24"/>
          <w:szCs w:val="24"/>
        </w:rPr>
        <w:t>P</w:t>
      </w:r>
      <w:r>
        <w:rPr>
          <w:rFonts w:ascii="Times New Roman" w:hAnsi="Times New Roman"/>
          <w:i/>
          <w:color w:val="auto"/>
          <w:sz w:val="24"/>
          <w:szCs w:val="24"/>
          <w:vertAlign w:val="subscript"/>
        </w:rPr>
        <w:t>i</w:t>
      </w:r>
      <w:r>
        <w:rPr>
          <w:rFonts w:ascii="Times New Roman" w:hAnsi="Times New Roman"/>
          <w:color w:val="auto"/>
          <w:sz w:val="24"/>
          <w:szCs w:val="24"/>
        </w:rPr>
        <w:t>——</w:t>
      </w:r>
      <w:r>
        <w:rPr>
          <w:rFonts w:hint="eastAsia" w:ascii="Times New Roman" w:hAnsi="Times New Roman"/>
          <w:color w:val="auto"/>
          <w:sz w:val="24"/>
          <w:szCs w:val="24"/>
        </w:rPr>
        <w:t>第</w:t>
      </w:r>
      <w:r>
        <w:rPr>
          <w:rFonts w:ascii="Times New Roman" w:hAnsi="Times New Roman"/>
          <w:i/>
          <w:color w:val="auto"/>
          <w:sz w:val="24"/>
          <w:szCs w:val="24"/>
        </w:rPr>
        <w:t>i</w:t>
      </w:r>
      <w:r>
        <w:rPr>
          <w:rFonts w:hint="eastAsia" w:ascii="Times New Roman" w:hAnsi="Times New Roman"/>
          <w:color w:val="auto"/>
          <w:sz w:val="24"/>
          <w:szCs w:val="24"/>
        </w:rPr>
        <w:t>种</w:t>
      </w:r>
      <w:r>
        <w:rPr>
          <w:rFonts w:ascii="Times New Roman" w:hAnsi="Times New Roman"/>
          <w:color w:val="auto"/>
          <w:sz w:val="24"/>
          <w:szCs w:val="24"/>
        </w:rPr>
        <w:t>污染物</w:t>
      </w:r>
      <w:r>
        <w:rPr>
          <w:rFonts w:hint="eastAsia" w:ascii="Times New Roman" w:hAnsi="Times New Roman"/>
          <w:color w:val="auto"/>
          <w:sz w:val="24"/>
          <w:szCs w:val="24"/>
        </w:rPr>
        <w:t>作为</w:t>
      </w:r>
      <w:r>
        <w:rPr>
          <w:rFonts w:ascii="Times New Roman" w:hAnsi="Times New Roman"/>
          <w:color w:val="auto"/>
          <w:sz w:val="24"/>
          <w:szCs w:val="24"/>
        </w:rPr>
        <w:t>资源或能源的价格，元</w:t>
      </w:r>
      <w:r>
        <w:rPr>
          <w:rFonts w:hint="eastAsia" w:ascii="Times New Roman" w:hAnsi="Times New Roman"/>
          <w:color w:val="auto"/>
          <w:sz w:val="24"/>
          <w:szCs w:val="24"/>
        </w:rPr>
        <w:t>/</w:t>
      </w:r>
      <w:r>
        <w:rPr>
          <w:rFonts w:ascii="Times New Roman" w:hAnsi="Times New Roman"/>
          <w:color w:val="auto"/>
          <w:sz w:val="24"/>
          <w:szCs w:val="24"/>
        </w:rPr>
        <w:t>t</w:t>
      </w:r>
      <w:r>
        <w:rPr>
          <w:rFonts w:hint="eastAsia" w:ascii="Times New Roman" w:hAnsi="Times New Roman"/>
          <w:color w:val="auto"/>
          <w:sz w:val="24"/>
          <w:szCs w:val="24"/>
        </w:rPr>
        <w:t>。</w:t>
      </w:r>
    </w:p>
    <w:p w14:paraId="2321B9FE">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本项目年</w:t>
      </w:r>
      <w:r>
        <w:rPr>
          <w:rFonts w:hint="eastAsia" w:ascii="Times New Roman" w:hAnsi="Times New Roman"/>
          <w:color w:val="auto"/>
          <w:sz w:val="24"/>
          <w:szCs w:val="24"/>
        </w:rPr>
        <w:t>废水产生</w:t>
      </w:r>
      <w:r>
        <w:rPr>
          <w:rFonts w:ascii="Times New Roman" w:hAnsi="Times New Roman"/>
          <w:color w:val="auto"/>
          <w:sz w:val="24"/>
          <w:szCs w:val="24"/>
        </w:rPr>
        <w:t>量</w:t>
      </w:r>
      <w:r>
        <w:rPr>
          <w:rFonts w:hint="eastAsia"/>
          <w:color w:val="auto"/>
          <w:sz w:val="24"/>
          <w:szCs w:val="24"/>
          <w:lang w:val="en-US" w:eastAsia="zh-CN"/>
        </w:rPr>
        <w:t>为</w:t>
      </w:r>
      <w:r>
        <w:rPr>
          <w:rFonts w:hint="eastAsia" w:cs="Times New Roman"/>
          <w:color w:val="auto"/>
          <w:sz w:val="24"/>
          <w:szCs w:val="24"/>
          <w:lang w:val="en-US" w:eastAsia="zh-CN"/>
        </w:rPr>
        <w:t>1326</w:t>
      </w:r>
      <w:r>
        <w:rPr>
          <w:rFonts w:ascii="Times New Roman" w:hAnsi="Times New Roman" w:cs="Times New Roman"/>
          <w:bCs/>
          <w:color w:val="auto"/>
          <w:kern w:val="0"/>
          <w:sz w:val="24"/>
        </w:rPr>
        <w:t>m</w:t>
      </w:r>
      <w:r>
        <w:rPr>
          <w:rFonts w:ascii="Times New Roman" w:hAnsi="Times New Roman" w:cs="Times New Roman"/>
          <w:bCs/>
          <w:color w:val="auto"/>
          <w:kern w:val="0"/>
          <w:sz w:val="24"/>
          <w:vertAlign w:val="superscript"/>
        </w:rPr>
        <w:t>3</w:t>
      </w:r>
      <w:r>
        <w:rPr>
          <w:rFonts w:ascii="Times New Roman" w:hAnsi="Times New Roman" w:cs="Times New Roman"/>
          <w:color w:val="auto"/>
          <w:sz w:val="24"/>
        </w:rPr>
        <w:t>/a</w:t>
      </w:r>
      <w:r>
        <w:rPr>
          <w:rFonts w:hint="eastAsia" w:ascii="Times New Roman" w:hAnsi="Times New Roman" w:cs="Times New Roman"/>
          <w:color w:val="auto"/>
          <w:sz w:val="24"/>
        </w:rPr>
        <w:t>，废水处理价格</w:t>
      </w:r>
      <w:r>
        <w:rPr>
          <w:rFonts w:ascii="Times New Roman" w:hAnsi="Times New Roman" w:cs="Times New Roman"/>
          <w:color w:val="auto"/>
          <w:sz w:val="24"/>
        </w:rPr>
        <w:t>按5</w:t>
      </w:r>
      <w:r>
        <w:rPr>
          <w:rFonts w:hint="eastAsia" w:ascii="Times New Roman" w:hAnsi="Times New Roman" w:cs="Times New Roman"/>
          <w:color w:val="auto"/>
          <w:sz w:val="24"/>
        </w:rPr>
        <w:t>元/t计，则</w:t>
      </w:r>
      <w:r>
        <w:rPr>
          <w:rFonts w:ascii="Times New Roman" w:hAnsi="Times New Roman" w:cs="Times New Roman"/>
          <w:color w:val="auto"/>
          <w:sz w:val="24"/>
        </w:rPr>
        <w:t>项目资源和能源流失代价</w:t>
      </w:r>
      <w:r>
        <w:rPr>
          <w:rFonts w:ascii="Times New Roman" w:hAnsi="Times New Roman" w:cs="Times New Roman"/>
          <w:i/>
          <w:color w:val="auto"/>
          <w:sz w:val="24"/>
        </w:rPr>
        <w:t>A</w:t>
      </w:r>
      <w:r>
        <w:rPr>
          <w:rFonts w:ascii="Times New Roman" w:hAnsi="Times New Roman" w:cs="Times New Roman"/>
          <w:color w:val="auto"/>
          <w:sz w:val="24"/>
        </w:rPr>
        <w:t>=</w:t>
      </w:r>
      <w:r>
        <w:rPr>
          <w:rFonts w:hint="eastAsia" w:cs="Times New Roman"/>
          <w:color w:val="auto"/>
          <w:sz w:val="24"/>
          <w:szCs w:val="24"/>
          <w:lang w:val="en-US" w:eastAsia="zh-CN"/>
        </w:rPr>
        <w:t>1326</w:t>
      </w:r>
      <w:r>
        <w:rPr>
          <w:rFonts w:ascii="Times New Roman" w:hAnsi="Times New Roman" w:cstheme="minorHAnsi"/>
          <w:color w:val="auto"/>
          <w:sz w:val="24"/>
        </w:rPr>
        <w:t>t/a×5</w:t>
      </w:r>
      <w:r>
        <w:rPr>
          <w:rFonts w:hint="eastAsia" w:ascii="Times New Roman" w:hAnsi="Times New Roman" w:cs="Times New Roman"/>
          <w:color w:val="auto"/>
          <w:sz w:val="24"/>
        </w:rPr>
        <w:t>元/</w:t>
      </w:r>
      <w:r>
        <w:rPr>
          <w:rFonts w:ascii="Times New Roman" w:hAnsi="Times New Roman" w:cs="Times New Roman"/>
          <w:color w:val="auto"/>
          <w:sz w:val="24"/>
        </w:rPr>
        <w:t>t=</w:t>
      </w:r>
      <w:r>
        <w:rPr>
          <w:rFonts w:hint="eastAsia" w:cs="Times New Roman"/>
          <w:color w:val="auto"/>
          <w:sz w:val="24"/>
          <w:lang w:val="en-US" w:eastAsia="zh-CN"/>
        </w:rPr>
        <w:t>0.66</w:t>
      </w:r>
      <w:r>
        <w:rPr>
          <w:rFonts w:hint="eastAsia" w:ascii="Times New Roman" w:hAnsi="Times New Roman" w:cs="Times New Roman"/>
          <w:color w:val="auto"/>
          <w:sz w:val="24"/>
        </w:rPr>
        <w:t>万元/a</w:t>
      </w:r>
      <w:r>
        <w:rPr>
          <w:rFonts w:ascii="Times New Roman" w:hAnsi="Times New Roman" w:cs="Times New Roman"/>
          <w:color w:val="auto"/>
          <w:sz w:val="24"/>
        </w:rPr>
        <w:t>。</w:t>
      </w:r>
    </w:p>
    <w:p w14:paraId="5F5BF91C">
      <w:pPr>
        <w:pStyle w:val="29"/>
        <w:ind w:left="0" w:leftChars="0" w:firstLine="482" w:firstLineChars="200"/>
        <w:rPr>
          <w:color w:val="auto"/>
        </w:rPr>
      </w:pPr>
      <w:r>
        <w:rPr>
          <w:color w:val="auto"/>
        </w:rPr>
        <w:t>2</w:t>
      </w:r>
      <w:r>
        <w:rPr>
          <w:rFonts w:hint="eastAsia"/>
          <w:color w:val="auto"/>
        </w:rPr>
        <w:t>、生活资料造成的损失代价</w:t>
      </w:r>
    </w:p>
    <w:p w14:paraId="5ED66025">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生活资料造成的损失代价主要是因政府针对企业征收的环境保护税，根据《中华人民共和国环境保护税法》和《中华人民共和国环境保护税法实施条例》（国务院令第693号），企业建成后应缴纳环境保护税约</w:t>
      </w:r>
      <w:r>
        <w:rPr>
          <w:rFonts w:hint="eastAsia"/>
          <w:color w:val="auto"/>
          <w:sz w:val="24"/>
          <w:szCs w:val="24"/>
          <w:lang w:val="en-US" w:eastAsia="zh-CN"/>
        </w:rPr>
        <w:t>5</w:t>
      </w:r>
      <w:r>
        <w:rPr>
          <w:rFonts w:ascii="Times New Roman" w:hAnsi="Times New Roman"/>
          <w:color w:val="auto"/>
          <w:sz w:val="24"/>
          <w:szCs w:val="24"/>
        </w:rPr>
        <w:t>0</w:t>
      </w:r>
      <w:r>
        <w:rPr>
          <w:rFonts w:hint="eastAsia" w:ascii="Times New Roman" w:hAnsi="Times New Roman"/>
          <w:color w:val="auto"/>
          <w:sz w:val="24"/>
          <w:szCs w:val="24"/>
        </w:rPr>
        <w:t>万元。</w:t>
      </w:r>
    </w:p>
    <w:p w14:paraId="1D0B3289">
      <w:pPr>
        <w:pStyle w:val="29"/>
        <w:ind w:left="0" w:leftChars="0" w:firstLine="482" w:firstLineChars="200"/>
        <w:rPr>
          <w:color w:val="auto"/>
        </w:rPr>
      </w:pPr>
      <w:r>
        <w:rPr>
          <w:color w:val="auto"/>
        </w:rPr>
        <w:t>3</w:t>
      </w:r>
      <w:r>
        <w:rPr>
          <w:rFonts w:hint="eastAsia"/>
          <w:color w:val="auto"/>
        </w:rPr>
        <w:t>、对人群、动植物造成的损失代价</w:t>
      </w:r>
    </w:p>
    <w:p w14:paraId="59257FF6">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本项目</w:t>
      </w:r>
      <w:r>
        <w:rPr>
          <w:rFonts w:hint="eastAsia" w:ascii="Times New Roman" w:hAnsi="Times New Roman"/>
          <w:color w:val="auto"/>
          <w:sz w:val="24"/>
          <w:szCs w:val="24"/>
        </w:rPr>
        <w:t>周边主要为生产型企业，具有一定环境容量，在采取相应的环境保护措施后对人群和动植物影响较小。</w:t>
      </w:r>
    </w:p>
    <w:p w14:paraId="6F34A96B">
      <w:pPr>
        <w:pStyle w:val="26"/>
        <w:bidi w:val="0"/>
        <w:rPr>
          <w:color w:val="auto"/>
          <w:highlight w:val="none"/>
        </w:rPr>
      </w:pPr>
      <w:r>
        <w:rPr>
          <w:rFonts w:ascii="Times New Roman" w:hAnsi="Times New Roman"/>
          <w:color w:val="auto"/>
          <w:sz w:val="24"/>
          <w:szCs w:val="24"/>
        </w:rPr>
        <w:t>综上分析可知，本项目建成后环境代价约</w:t>
      </w:r>
      <w:r>
        <w:rPr>
          <w:rFonts w:hint="eastAsia"/>
          <w:color w:val="auto"/>
          <w:sz w:val="24"/>
          <w:szCs w:val="24"/>
          <w:lang w:val="en-US" w:eastAsia="zh-CN"/>
        </w:rPr>
        <w:t>50.66</w:t>
      </w:r>
      <w:r>
        <w:rPr>
          <w:rFonts w:hint="eastAsia" w:ascii="Times New Roman" w:hAnsi="Times New Roman"/>
          <w:color w:val="auto"/>
          <w:sz w:val="24"/>
          <w:szCs w:val="24"/>
        </w:rPr>
        <w:t>万元/年。</w:t>
      </w:r>
    </w:p>
    <w:p w14:paraId="5C3808E0">
      <w:pPr>
        <w:pStyle w:val="4"/>
        <w:bidi w:val="0"/>
        <w:rPr>
          <w:rFonts w:hint="eastAsia" w:ascii="Times New Roman" w:hAnsi="Times New Roman"/>
          <w:color w:val="auto"/>
        </w:rPr>
      </w:pPr>
      <w:r>
        <w:rPr>
          <w:rFonts w:hint="eastAsia" w:ascii="Times New Roman" w:hAnsi="Times New Roman"/>
          <w:color w:val="auto"/>
        </w:rPr>
        <w:t>环境成本分析</w:t>
      </w:r>
    </w:p>
    <w:p w14:paraId="06E8E585">
      <w:pPr>
        <w:spacing w:line="360" w:lineRule="auto"/>
        <w:rPr>
          <w:rFonts w:ascii="Times New Roman" w:hAnsi="Times New Roman"/>
          <w:color w:val="auto"/>
          <w:sz w:val="24"/>
          <w:szCs w:val="24"/>
        </w:rPr>
      </w:pPr>
      <w:r>
        <w:rPr>
          <w:rFonts w:hint="eastAsia" w:ascii="Times New Roman" w:hAnsi="Times New Roman"/>
          <w:color w:val="auto"/>
          <w:sz w:val="24"/>
          <w:szCs w:val="24"/>
        </w:rPr>
        <w:t>建设项目环境成本主要包括工程环境保护措施投资和环保设施运行及管理费用。</w:t>
      </w:r>
    </w:p>
    <w:p w14:paraId="0FCB6FB1">
      <w:pPr>
        <w:pStyle w:val="29"/>
        <w:ind w:left="0" w:leftChars="0" w:firstLine="482" w:firstLineChars="200"/>
        <w:rPr>
          <w:color w:val="auto"/>
        </w:rPr>
      </w:pPr>
      <w:r>
        <w:rPr>
          <w:rFonts w:hint="eastAsia"/>
          <w:color w:val="auto"/>
        </w:rPr>
        <w:t>1、环保工程建设投资</w:t>
      </w:r>
    </w:p>
    <w:p w14:paraId="5D1AB5D1">
      <w:pPr>
        <w:spacing w:line="360" w:lineRule="auto"/>
        <w:ind w:left="0" w:leftChars="0" w:firstLine="480" w:firstLineChars="200"/>
        <w:rPr>
          <w:rFonts w:ascii="Times New Roman" w:hAnsi="Times New Roman"/>
          <w:color w:val="auto"/>
          <w:sz w:val="24"/>
          <w:szCs w:val="24"/>
        </w:rPr>
      </w:pPr>
      <w:r>
        <w:rPr>
          <w:rFonts w:ascii="Times New Roman" w:hAnsi="Times New Roman"/>
          <w:color w:val="auto"/>
          <w:sz w:val="24"/>
          <w:szCs w:val="24"/>
        </w:rPr>
        <w:t>本项目拟采取的环保治理措施</w:t>
      </w:r>
      <w:r>
        <w:rPr>
          <w:rFonts w:hint="eastAsia" w:ascii="Times New Roman" w:hAnsi="Times New Roman"/>
          <w:color w:val="auto"/>
          <w:sz w:val="24"/>
          <w:szCs w:val="24"/>
        </w:rPr>
        <w:t>表现为废气、废水、固废处置、噪声的防治及地下水和土壤污染防治，</w:t>
      </w:r>
      <w:r>
        <w:rPr>
          <w:rFonts w:hint="eastAsia" w:ascii="Times New Roman" w:hAnsi="Times New Roman"/>
          <w:color w:val="auto"/>
          <w:sz w:val="24"/>
          <w:szCs w:val="24"/>
          <w:highlight w:val="none"/>
        </w:rPr>
        <w:t>总投资</w:t>
      </w:r>
      <w:r>
        <w:rPr>
          <w:rFonts w:hint="eastAsia"/>
          <w:color w:val="auto"/>
          <w:sz w:val="24"/>
          <w:lang w:val="en-US" w:eastAsia="zh-CN"/>
        </w:rPr>
        <w:t>11065</w:t>
      </w:r>
      <w:r>
        <w:rPr>
          <w:rFonts w:hint="eastAsia" w:ascii="Times New Roman" w:hAnsi="Times New Roman"/>
          <w:color w:val="auto"/>
          <w:sz w:val="24"/>
          <w:szCs w:val="24"/>
          <w:highlight w:val="none"/>
        </w:rPr>
        <w:t>万元，</w:t>
      </w:r>
      <w:r>
        <w:rPr>
          <w:rFonts w:hint="eastAsia"/>
          <w:color w:val="auto"/>
          <w:highlight w:val="none"/>
        </w:rPr>
        <w:t>其中环保投资约</w:t>
      </w:r>
      <w:r>
        <w:rPr>
          <w:rFonts w:hint="eastAsia"/>
          <w:color w:val="auto"/>
          <w:highlight w:val="none"/>
          <w:lang w:val="en-US" w:eastAsia="zh-CN"/>
        </w:rPr>
        <w:t>185</w:t>
      </w:r>
      <w:r>
        <w:rPr>
          <w:color w:val="auto"/>
          <w:highlight w:val="none"/>
        </w:rPr>
        <w:t>万元</w:t>
      </w:r>
      <w:r>
        <w:rPr>
          <w:rFonts w:hint="eastAsia"/>
          <w:color w:val="auto"/>
          <w:highlight w:val="none"/>
        </w:rPr>
        <w:t>，占总投资的</w:t>
      </w:r>
      <w:r>
        <w:rPr>
          <w:rFonts w:hint="eastAsia"/>
          <w:color w:val="auto"/>
          <w:highlight w:val="none"/>
          <w:lang w:val="en-US" w:eastAsia="zh-CN"/>
        </w:rPr>
        <w:t>1.67%</w:t>
      </w:r>
      <w:r>
        <w:rPr>
          <w:rFonts w:hint="eastAsia" w:ascii="Times New Roman" w:hAnsi="Times New Roman"/>
          <w:color w:val="auto"/>
          <w:sz w:val="24"/>
          <w:szCs w:val="24"/>
        </w:rPr>
        <w:t>，可有效削减污染物的排放量，实现污染物达标排放。</w:t>
      </w:r>
    </w:p>
    <w:p w14:paraId="3013979F">
      <w:pPr>
        <w:pStyle w:val="29"/>
        <w:ind w:left="0" w:leftChars="0" w:firstLine="482" w:firstLineChars="200"/>
        <w:rPr>
          <w:color w:val="auto"/>
        </w:rPr>
      </w:pPr>
      <w:r>
        <w:rPr>
          <w:color w:val="auto"/>
        </w:rPr>
        <w:t>2</w:t>
      </w:r>
      <w:r>
        <w:rPr>
          <w:rFonts w:hint="eastAsia"/>
          <w:color w:val="auto"/>
        </w:rPr>
        <w:t>、环保设施运行及管理费用</w:t>
      </w:r>
    </w:p>
    <w:p w14:paraId="41749C1A">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该部分费用一般由五个部分构成：一是设备折旧，环保设备折旧率按环保设备费5%计算，费用为</w:t>
      </w:r>
      <w:r>
        <w:rPr>
          <w:rFonts w:hint="eastAsia"/>
          <w:color w:val="auto"/>
          <w:sz w:val="24"/>
          <w:szCs w:val="24"/>
          <w:lang w:val="en-US" w:eastAsia="zh-CN"/>
        </w:rPr>
        <w:t>9.25</w:t>
      </w:r>
      <w:r>
        <w:rPr>
          <w:rFonts w:hint="eastAsia" w:ascii="Times New Roman" w:hAnsi="Times New Roman"/>
          <w:color w:val="auto"/>
          <w:sz w:val="24"/>
          <w:szCs w:val="24"/>
        </w:rPr>
        <w:t>万元</w:t>
      </w:r>
      <w:r>
        <w:rPr>
          <w:rFonts w:ascii="Times New Roman" w:hAnsi="Times New Roman"/>
          <w:color w:val="auto"/>
          <w:sz w:val="24"/>
          <w:szCs w:val="24"/>
        </w:rPr>
        <w:t>/</w:t>
      </w:r>
      <w:r>
        <w:rPr>
          <w:rFonts w:hint="eastAsia" w:ascii="Times New Roman" w:hAnsi="Times New Roman"/>
          <w:color w:val="auto"/>
          <w:sz w:val="24"/>
          <w:szCs w:val="24"/>
        </w:rPr>
        <w:t>年；二是设备大修基金，设备大修基金按环保设备费的3%计算，费用为</w:t>
      </w:r>
      <w:r>
        <w:rPr>
          <w:rFonts w:hint="eastAsia"/>
          <w:color w:val="auto"/>
          <w:sz w:val="24"/>
          <w:szCs w:val="24"/>
          <w:lang w:val="en-US" w:eastAsia="zh-CN"/>
        </w:rPr>
        <w:t>5.55</w:t>
      </w:r>
      <w:r>
        <w:rPr>
          <w:rFonts w:hint="eastAsia" w:ascii="Times New Roman" w:hAnsi="Times New Roman"/>
          <w:color w:val="auto"/>
          <w:sz w:val="24"/>
          <w:szCs w:val="24"/>
        </w:rPr>
        <w:t>万元/年；三是能源、材料消耗，本项目环保工程能源全部费用约为</w:t>
      </w:r>
      <w:r>
        <w:rPr>
          <w:rFonts w:hint="eastAsia"/>
          <w:color w:val="auto"/>
          <w:sz w:val="24"/>
          <w:szCs w:val="24"/>
          <w:lang w:val="en-US" w:eastAsia="zh-CN"/>
        </w:rPr>
        <w:t>10</w:t>
      </w:r>
      <w:r>
        <w:rPr>
          <w:rFonts w:hint="eastAsia" w:ascii="Times New Roman" w:hAnsi="Times New Roman"/>
          <w:color w:val="auto"/>
          <w:sz w:val="24"/>
          <w:szCs w:val="24"/>
        </w:rPr>
        <w:t>万元/年；四是环保工作人员成本，按目前的福利水平，企业职工平均工资、福利为</w:t>
      </w:r>
      <w:r>
        <w:rPr>
          <w:rFonts w:ascii="Times New Roman" w:hAnsi="Times New Roman"/>
          <w:color w:val="auto"/>
          <w:sz w:val="24"/>
          <w:szCs w:val="24"/>
        </w:rPr>
        <w:t>5</w:t>
      </w:r>
      <w:r>
        <w:rPr>
          <w:rFonts w:hint="eastAsia" w:ascii="Times New Roman" w:hAnsi="Times New Roman"/>
          <w:color w:val="auto"/>
          <w:sz w:val="24"/>
          <w:szCs w:val="24"/>
        </w:rPr>
        <w:t>万元/人</w:t>
      </w:r>
      <w:r>
        <w:rPr>
          <w:rFonts w:ascii="Times New Roman" w:hAnsi="Times New Roman" w:cstheme="minorHAnsi"/>
          <w:color w:val="auto"/>
          <w:sz w:val="24"/>
          <w:szCs w:val="24"/>
        </w:rPr>
        <w:t>·</w:t>
      </w:r>
      <w:r>
        <w:rPr>
          <w:rFonts w:hint="eastAsia" w:ascii="Times New Roman" w:hAnsi="Times New Roman"/>
          <w:color w:val="auto"/>
          <w:sz w:val="24"/>
          <w:szCs w:val="24"/>
        </w:rPr>
        <w:t>年，本项目环保工作人员总费用约为</w:t>
      </w:r>
      <w:r>
        <w:rPr>
          <w:rFonts w:hint="eastAsia"/>
          <w:color w:val="auto"/>
          <w:sz w:val="24"/>
          <w:szCs w:val="24"/>
          <w:lang w:val="en-US" w:eastAsia="zh-CN"/>
        </w:rPr>
        <w:t>20</w:t>
      </w:r>
      <w:r>
        <w:rPr>
          <w:rFonts w:hint="eastAsia" w:ascii="Times New Roman" w:hAnsi="Times New Roman"/>
          <w:color w:val="auto"/>
          <w:sz w:val="24"/>
          <w:szCs w:val="24"/>
        </w:rPr>
        <w:t>万元/年；五是管理费用，主要包括环保系统日常行政开支费用，按前4项总费用的3%估算，约</w:t>
      </w:r>
      <w:r>
        <w:rPr>
          <w:rFonts w:hint="eastAsia"/>
          <w:color w:val="auto"/>
          <w:sz w:val="24"/>
          <w:szCs w:val="24"/>
          <w:lang w:val="en-US" w:eastAsia="zh-CN"/>
        </w:rPr>
        <w:t>1.35</w:t>
      </w:r>
      <w:r>
        <w:rPr>
          <w:rFonts w:hint="eastAsia" w:ascii="Times New Roman" w:hAnsi="Times New Roman"/>
          <w:color w:val="auto"/>
          <w:sz w:val="24"/>
          <w:szCs w:val="24"/>
        </w:rPr>
        <w:t>万元/年。因此，本项目环境工程运行管理费用约为</w:t>
      </w:r>
      <w:r>
        <w:rPr>
          <w:rFonts w:hint="eastAsia"/>
          <w:color w:val="auto"/>
          <w:sz w:val="24"/>
          <w:szCs w:val="24"/>
          <w:lang w:val="en-US" w:eastAsia="zh-CN"/>
        </w:rPr>
        <w:t>46.15</w:t>
      </w:r>
      <w:r>
        <w:rPr>
          <w:rFonts w:hint="eastAsia" w:ascii="Times New Roman" w:hAnsi="Times New Roman"/>
          <w:color w:val="auto"/>
          <w:sz w:val="24"/>
          <w:szCs w:val="24"/>
          <w:lang w:val="en-US" w:eastAsia="zh-CN"/>
        </w:rPr>
        <w:t>万</w:t>
      </w:r>
      <w:r>
        <w:rPr>
          <w:rFonts w:hint="eastAsia" w:ascii="Times New Roman" w:hAnsi="Times New Roman"/>
          <w:color w:val="auto"/>
          <w:sz w:val="24"/>
          <w:szCs w:val="24"/>
        </w:rPr>
        <w:t>元/年。</w:t>
      </w:r>
    </w:p>
    <w:p w14:paraId="04CEBBCE">
      <w:pPr>
        <w:pStyle w:val="4"/>
        <w:bidi w:val="0"/>
        <w:rPr>
          <w:rFonts w:hint="eastAsia" w:ascii="Times New Roman" w:hAnsi="Times New Roman"/>
          <w:color w:val="auto"/>
        </w:rPr>
      </w:pPr>
      <w:bookmarkStart w:id="263" w:name="_Toc94200116"/>
      <w:bookmarkStart w:id="264" w:name="_Toc20455"/>
      <w:r>
        <w:rPr>
          <w:rFonts w:hint="eastAsia" w:ascii="Times New Roman" w:hAnsi="Times New Roman"/>
          <w:color w:val="auto"/>
        </w:rPr>
        <w:t>环境经济收益分析</w:t>
      </w:r>
      <w:bookmarkEnd w:id="263"/>
      <w:bookmarkEnd w:id="264"/>
    </w:p>
    <w:p w14:paraId="06C84240">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环境经济收益是指采取环境保护综合治理措施获取的直接经济收益。本项目提高水复用量、减少污染物排放等方面可以取得一定的经济收益，但本项目建成后在改善区域环境的经济收益很小，可忽略不计。</w:t>
      </w:r>
    </w:p>
    <w:p w14:paraId="3C36071D">
      <w:pPr>
        <w:pStyle w:val="4"/>
        <w:bidi w:val="0"/>
        <w:rPr>
          <w:rFonts w:hint="eastAsia" w:ascii="Times New Roman" w:hAnsi="Times New Roman"/>
          <w:color w:val="auto"/>
        </w:rPr>
      </w:pPr>
      <w:bookmarkStart w:id="265" w:name="_Toc94200117"/>
      <w:bookmarkStart w:id="266" w:name="_Toc30523"/>
      <w:r>
        <w:rPr>
          <w:rFonts w:hint="eastAsia" w:ascii="Times New Roman" w:hAnsi="Times New Roman"/>
          <w:color w:val="auto"/>
        </w:rPr>
        <w:t>环境经济效益分析</w:t>
      </w:r>
      <w:bookmarkEnd w:id="265"/>
      <w:bookmarkEnd w:id="266"/>
    </w:p>
    <w:p w14:paraId="08DC71E3">
      <w:pPr>
        <w:spacing w:line="360" w:lineRule="auto"/>
        <w:rPr>
          <w:rFonts w:ascii="Times New Roman" w:hAnsi="Times New Roman"/>
          <w:color w:val="auto"/>
          <w:sz w:val="24"/>
          <w:szCs w:val="24"/>
        </w:rPr>
      </w:pPr>
      <w:r>
        <w:rPr>
          <w:rFonts w:hint="eastAsia" w:ascii="Times New Roman" w:hAnsi="Times New Roman"/>
          <w:color w:val="auto"/>
          <w:sz w:val="24"/>
          <w:szCs w:val="24"/>
        </w:rPr>
        <w:t>主要从以下几个方面进行：</w:t>
      </w:r>
    </w:p>
    <w:p w14:paraId="5CB053C0">
      <w:pPr>
        <w:pStyle w:val="29"/>
        <w:ind w:left="0" w:leftChars="0" w:firstLine="482" w:firstLineChars="200"/>
        <w:rPr>
          <w:color w:val="auto"/>
        </w:rPr>
      </w:pPr>
      <w:r>
        <w:rPr>
          <w:rFonts w:hint="eastAsia"/>
          <w:color w:val="auto"/>
        </w:rPr>
        <w:t>1、环保建设费用占建设投资比例</w:t>
      </w:r>
    </w:p>
    <w:p w14:paraId="19A5D37D">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本</w:t>
      </w:r>
      <w:r>
        <w:rPr>
          <w:rFonts w:hint="eastAsia" w:cs="Calibri"/>
          <w:color w:val="auto"/>
          <w:sz w:val="24"/>
          <w:szCs w:val="24"/>
          <w:highlight w:val="none"/>
        </w:rPr>
        <w:t>项目</w:t>
      </w:r>
      <w:r>
        <w:rPr>
          <w:rFonts w:hint="eastAsia" w:ascii="Times New Roman" w:hAnsi="Times New Roman"/>
          <w:color w:val="auto"/>
          <w:sz w:val="24"/>
          <w:szCs w:val="24"/>
          <w:highlight w:val="none"/>
        </w:rPr>
        <w:t>总投资</w:t>
      </w:r>
      <w:r>
        <w:rPr>
          <w:rFonts w:hint="eastAsia"/>
          <w:color w:val="auto"/>
          <w:sz w:val="24"/>
          <w:lang w:val="en-US" w:eastAsia="zh-CN"/>
        </w:rPr>
        <w:t>11065</w:t>
      </w:r>
      <w:r>
        <w:rPr>
          <w:rFonts w:hint="eastAsia" w:ascii="Times New Roman" w:hAnsi="Times New Roman"/>
          <w:color w:val="auto"/>
          <w:sz w:val="24"/>
          <w:szCs w:val="24"/>
          <w:highlight w:val="none"/>
        </w:rPr>
        <w:t>万元，</w:t>
      </w:r>
      <w:r>
        <w:rPr>
          <w:rFonts w:hint="eastAsia"/>
          <w:color w:val="auto"/>
          <w:highlight w:val="none"/>
        </w:rPr>
        <w:t>其中环保投资约</w:t>
      </w:r>
      <w:r>
        <w:rPr>
          <w:rFonts w:hint="eastAsia"/>
          <w:color w:val="auto"/>
          <w:highlight w:val="none"/>
          <w:lang w:val="en-US" w:eastAsia="zh-CN"/>
        </w:rPr>
        <w:t>185</w:t>
      </w:r>
      <w:r>
        <w:rPr>
          <w:color w:val="auto"/>
          <w:highlight w:val="none"/>
        </w:rPr>
        <w:t>万元</w:t>
      </w:r>
      <w:r>
        <w:rPr>
          <w:rFonts w:hint="eastAsia"/>
          <w:color w:val="auto"/>
          <w:highlight w:val="none"/>
        </w:rPr>
        <w:t>，占总投资的</w:t>
      </w:r>
      <w:r>
        <w:rPr>
          <w:rFonts w:hint="eastAsia"/>
          <w:color w:val="auto"/>
          <w:highlight w:val="none"/>
          <w:lang w:val="en-US" w:eastAsia="zh-CN"/>
        </w:rPr>
        <w:t>1.67%</w:t>
      </w:r>
      <w:r>
        <w:rPr>
          <w:rFonts w:hint="eastAsia"/>
          <w:color w:val="auto"/>
          <w:highlight w:val="none"/>
          <w:lang w:eastAsia="zh-CN"/>
        </w:rPr>
        <w:t>。</w:t>
      </w:r>
    </w:p>
    <w:p w14:paraId="3C40A9B0">
      <w:pPr>
        <w:pStyle w:val="29"/>
        <w:ind w:left="0" w:leftChars="0" w:firstLine="482" w:firstLineChars="200"/>
        <w:rPr>
          <w:color w:val="auto"/>
        </w:rPr>
      </w:pPr>
      <w:r>
        <w:rPr>
          <w:color w:val="auto"/>
        </w:rPr>
        <w:t>2</w:t>
      </w:r>
      <w:r>
        <w:rPr>
          <w:rFonts w:hint="eastAsia"/>
          <w:color w:val="auto"/>
        </w:rPr>
        <w:t>、环境成本率</w:t>
      </w:r>
    </w:p>
    <w:p w14:paraId="55493303">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环境成本率是指工程单位经济效益所需的环保运行管理费用（工程总经济效益按税后利润计），环境成本率</w:t>
      </w:r>
      <w:r>
        <w:rPr>
          <w:rFonts w:ascii="Times New Roman" w:hAnsi="Times New Roman" w:cstheme="minorHAnsi"/>
          <w:color w:val="auto"/>
          <w:sz w:val="24"/>
          <w:szCs w:val="24"/>
        </w:rPr>
        <w:t>＝</w:t>
      </w:r>
      <w:r>
        <w:rPr>
          <w:rFonts w:hint="eastAsia" w:ascii="Times New Roman" w:hAnsi="Times New Roman"/>
          <w:color w:val="auto"/>
          <w:sz w:val="24"/>
          <w:szCs w:val="24"/>
        </w:rPr>
        <w:t>环保运行管理费用/工程总经</w:t>
      </w:r>
      <w:r>
        <w:rPr>
          <w:rFonts w:ascii="Times New Roman" w:hAnsi="Times New Roman" w:cstheme="minorHAnsi"/>
          <w:color w:val="auto"/>
          <w:sz w:val="24"/>
          <w:szCs w:val="24"/>
        </w:rPr>
        <w:t>济效益×10</w:t>
      </w:r>
      <w:r>
        <w:rPr>
          <w:rFonts w:hint="eastAsia" w:ascii="Times New Roman" w:hAnsi="Times New Roman"/>
          <w:color w:val="auto"/>
          <w:sz w:val="24"/>
          <w:szCs w:val="24"/>
        </w:rPr>
        <w:t>0%。根据计算可知，本项目环境成本率</w:t>
      </w:r>
      <w:r>
        <w:rPr>
          <w:rFonts w:ascii="Times New Roman" w:hAnsi="Times New Roman" w:cstheme="minorHAnsi"/>
          <w:color w:val="auto"/>
          <w:sz w:val="24"/>
          <w:szCs w:val="24"/>
        </w:rPr>
        <w:t>＝</w:t>
      </w:r>
      <w:r>
        <w:rPr>
          <w:rFonts w:hint="eastAsia"/>
          <w:color w:val="auto"/>
          <w:sz w:val="24"/>
          <w:szCs w:val="24"/>
          <w:lang w:val="en-US" w:eastAsia="zh-CN"/>
        </w:rPr>
        <w:t>46.15</w:t>
      </w:r>
      <w:r>
        <w:rPr>
          <w:rFonts w:ascii="Times New Roman" w:hAnsi="Times New Roman"/>
          <w:color w:val="auto"/>
          <w:sz w:val="24"/>
          <w:szCs w:val="24"/>
        </w:rPr>
        <w:t>/</w:t>
      </w:r>
      <w:r>
        <w:rPr>
          <w:rFonts w:hint="eastAsia"/>
          <w:color w:val="auto"/>
          <w:sz w:val="24"/>
          <w:szCs w:val="24"/>
          <w:lang w:val="en-US" w:eastAsia="zh-CN"/>
        </w:rPr>
        <w:t>5000</w:t>
      </w:r>
      <w:r>
        <w:rPr>
          <w:rFonts w:ascii="Times New Roman" w:hAnsi="Times New Roman" w:cstheme="minorHAnsi"/>
          <w:color w:val="auto"/>
          <w:sz w:val="24"/>
          <w:szCs w:val="24"/>
        </w:rPr>
        <w:t>×10</w:t>
      </w:r>
      <w:r>
        <w:rPr>
          <w:rFonts w:hint="eastAsia" w:ascii="Times New Roman" w:hAnsi="Times New Roman"/>
          <w:color w:val="auto"/>
          <w:sz w:val="24"/>
          <w:szCs w:val="24"/>
        </w:rPr>
        <w:t>0%</w:t>
      </w:r>
      <w:r>
        <w:rPr>
          <w:rFonts w:ascii="Times New Roman" w:hAnsi="Times New Roman" w:cstheme="minorHAnsi"/>
          <w:color w:val="auto"/>
          <w:sz w:val="24"/>
          <w:szCs w:val="24"/>
        </w:rPr>
        <w:t>＝</w:t>
      </w:r>
      <w:r>
        <w:rPr>
          <w:rFonts w:ascii="Times New Roman" w:hAnsi="Times New Roman"/>
          <w:color w:val="auto"/>
          <w:sz w:val="24"/>
          <w:szCs w:val="24"/>
        </w:rPr>
        <w:t>0.</w:t>
      </w:r>
      <w:r>
        <w:rPr>
          <w:rFonts w:hint="eastAsia"/>
          <w:color w:val="auto"/>
          <w:sz w:val="24"/>
          <w:szCs w:val="24"/>
          <w:lang w:val="en-US" w:eastAsia="zh-CN"/>
        </w:rPr>
        <w:t>92</w:t>
      </w:r>
      <w:r>
        <w:rPr>
          <w:rFonts w:ascii="Times New Roman" w:hAnsi="Times New Roman"/>
          <w:color w:val="auto"/>
          <w:sz w:val="24"/>
          <w:szCs w:val="24"/>
        </w:rPr>
        <w:t>%。</w:t>
      </w:r>
    </w:p>
    <w:p w14:paraId="7D98AE26">
      <w:pPr>
        <w:pStyle w:val="29"/>
        <w:ind w:left="0" w:leftChars="0" w:firstLine="482" w:firstLineChars="200"/>
        <w:rPr>
          <w:color w:val="auto"/>
        </w:rPr>
      </w:pPr>
      <w:r>
        <w:rPr>
          <w:color w:val="auto"/>
        </w:rPr>
        <w:t>3</w:t>
      </w:r>
      <w:r>
        <w:rPr>
          <w:rFonts w:hint="eastAsia"/>
          <w:color w:val="auto"/>
        </w:rPr>
        <w:t>、环境代价率</w:t>
      </w:r>
    </w:p>
    <w:p w14:paraId="6B0E2412">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环境代价率指工程单位经济效益所需的环境代价，环境代价率</w:t>
      </w:r>
      <w:r>
        <w:rPr>
          <w:rFonts w:ascii="Times New Roman" w:hAnsi="Times New Roman" w:cstheme="minorHAnsi"/>
          <w:color w:val="auto"/>
          <w:sz w:val="24"/>
          <w:szCs w:val="24"/>
        </w:rPr>
        <w:t>＝</w:t>
      </w:r>
      <w:r>
        <w:rPr>
          <w:rFonts w:hint="eastAsia" w:ascii="Times New Roman" w:hAnsi="Times New Roman"/>
          <w:color w:val="auto"/>
          <w:sz w:val="24"/>
          <w:szCs w:val="24"/>
        </w:rPr>
        <w:t>环境代价/工程总经济效益</w:t>
      </w:r>
      <w:r>
        <w:rPr>
          <w:rFonts w:ascii="Times New Roman" w:hAnsi="Times New Roman" w:cstheme="minorHAnsi"/>
          <w:color w:val="auto"/>
          <w:sz w:val="24"/>
          <w:szCs w:val="24"/>
        </w:rPr>
        <w:t>×10</w:t>
      </w:r>
      <w:r>
        <w:rPr>
          <w:rFonts w:hint="eastAsia" w:ascii="Times New Roman" w:hAnsi="Times New Roman"/>
          <w:color w:val="auto"/>
          <w:sz w:val="24"/>
          <w:szCs w:val="24"/>
        </w:rPr>
        <w:t>0%</w:t>
      </w:r>
      <w:r>
        <w:rPr>
          <w:rFonts w:ascii="Times New Roman" w:hAnsi="Times New Roman" w:cstheme="minorHAnsi"/>
          <w:color w:val="auto"/>
          <w:sz w:val="24"/>
          <w:szCs w:val="24"/>
        </w:rPr>
        <w:t>＝</w:t>
      </w:r>
      <w:r>
        <w:rPr>
          <w:rFonts w:hint="eastAsia" w:cstheme="minorHAnsi"/>
          <w:color w:val="auto"/>
          <w:sz w:val="24"/>
          <w:szCs w:val="24"/>
          <w:lang w:val="en-US" w:eastAsia="zh-CN"/>
        </w:rPr>
        <w:t>50.66</w:t>
      </w:r>
      <w:r>
        <w:rPr>
          <w:rFonts w:ascii="Times New Roman" w:hAnsi="Times New Roman"/>
          <w:color w:val="auto"/>
          <w:sz w:val="24"/>
          <w:szCs w:val="24"/>
        </w:rPr>
        <w:t>/</w:t>
      </w:r>
      <w:r>
        <w:rPr>
          <w:rFonts w:hint="eastAsia"/>
          <w:color w:val="auto"/>
          <w:sz w:val="24"/>
          <w:szCs w:val="24"/>
          <w:lang w:val="en-US" w:eastAsia="zh-CN"/>
        </w:rPr>
        <w:t>5000</w:t>
      </w:r>
      <w:r>
        <w:rPr>
          <w:rFonts w:ascii="Times New Roman" w:hAnsi="Times New Roman" w:cstheme="minorHAnsi"/>
          <w:color w:val="auto"/>
          <w:sz w:val="24"/>
          <w:szCs w:val="24"/>
        </w:rPr>
        <w:t>×10</w:t>
      </w:r>
      <w:r>
        <w:rPr>
          <w:rFonts w:hint="eastAsia" w:ascii="Times New Roman" w:hAnsi="Times New Roman"/>
          <w:color w:val="auto"/>
          <w:sz w:val="24"/>
          <w:szCs w:val="24"/>
        </w:rPr>
        <w:t>0%</w:t>
      </w:r>
      <w:r>
        <w:rPr>
          <w:rFonts w:ascii="Times New Roman" w:hAnsi="Times New Roman" w:cstheme="minorHAnsi"/>
          <w:color w:val="auto"/>
          <w:sz w:val="24"/>
          <w:szCs w:val="24"/>
        </w:rPr>
        <w:t>＝</w:t>
      </w:r>
      <w:r>
        <w:rPr>
          <w:rFonts w:hint="eastAsia"/>
          <w:color w:val="auto"/>
          <w:sz w:val="24"/>
          <w:szCs w:val="24"/>
          <w:lang w:val="en-US" w:eastAsia="zh-CN"/>
        </w:rPr>
        <w:t>1.01</w:t>
      </w:r>
      <w:r>
        <w:rPr>
          <w:rFonts w:ascii="Times New Roman" w:hAnsi="Times New Roman"/>
          <w:color w:val="auto"/>
          <w:sz w:val="24"/>
          <w:szCs w:val="24"/>
        </w:rPr>
        <w:t>%。</w:t>
      </w:r>
    </w:p>
    <w:p w14:paraId="13FC7246">
      <w:pPr>
        <w:pStyle w:val="29"/>
        <w:ind w:left="0" w:leftChars="0" w:firstLine="482" w:firstLineChars="200"/>
        <w:rPr>
          <w:color w:val="auto"/>
        </w:rPr>
      </w:pPr>
      <w:r>
        <w:rPr>
          <w:color w:val="auto"/>
        </w:rPr>
        <w:t>4</w:t>
      </w:r>
      <w:r>
        <w:rPr>
          <w:rFonts w:hint="eastAsia"/>
          <w:color w:val="auto"/>
        </w:rPr>
        <w:t>、环境经济总体效益</w:t>
      </w:r>
    </w:p>
    <w:p w14:paraId="68FDD3CA">
      <w:pPr>
        <w:spacing w:line="360" w:lineRule="auto"/>
        <w:ind w:left="0" w:leftChars="0" w:firstLine="480" w:firstLineChars="200"/>
        <w:rPr>
          <w:rFonts w:ascii="Times New Roman" w:hAnsi="Times New Roman" w:cstheme="minorHAnsi"/>
          <w:color w:val="auto"/>
          <w:sz w:val="24"/>
          <w:szCs w:val="24"/>
        </w:rPr>
      </w:pPr>
      <w:r>
        <w:rPr>
          <w:rFonts w:hint="eastAsia" w:ascii="Times New Roman" w:hAnsi="Times New Roman"/>
          <w:color w:val="auto"/>
          <w:sz w:val="24"/>
          <w:szCs w:val="24"/>
        </w:rPr>
        <w:t>环境经济总体效益</w:t>
      </w:r>
      <w:r>
        <w:rPr>
          <w:rFonts w:ascii="Times New Roman" w:hAnsi="Times New Roman" w:cstheme="minorHAnsi"/>
          <w:color w:val="auto"/>
          <w:sz w:val="24"/>
          <w:szCs w:val="24"/>
        </w:rPr>
        <w:t>＝</w:t>
      </w:r>
      <w:r>
        <w:rPr>
          <w:rFonts w:hint="eastAsia" w:ascii="Times New Roman" w:hAnsi="Times New Roman"/>
          <w:color w:val="auto"/>
          <w:sz w:val="24"/>
          <w:szCs w:val="24"/>
        </w:rPr>
        <w:t>工程总经</w:t>
      </w:r>
      <w:r>
        <w:rPr>
          <w:rFonts w:ascii="Times New Roman" w:hAnsi="Times New Roman" w:cstheme="minorHAnsi"/>
          <w:color w:val="auto"/>
          <w:sz w:val="24"/>
          <w:szCs w:val="24"/>
        </w:rPr>
        <w:t>济效益－环境代价－</w:t>
      </w:r>
      <w:r>
        <w:rPr>
          <w:rFonts w:hint="eastAsia" w:ascii="Times New Roman" w:hAnsi="Times New Roman" w:cstheme="minorHAnsi"/>
          <w:color w:val="auto"/>
          <w:sz w:val="24"/>
          <w:szCs w:val="24"/>
        </w:rPr>
        <w:t>环保运行管理费用</w:t>
      </w:r>
      <w:r>
        <w:rPr>
          <w:rFonts w:ascii="Times New Roman" w:hAnsi="Times New Roman" w:cstheme="minorHAnsi"/>
          <w:color w:val="auto"/>
          <w:sz w:val="24"/>
          <w:szCs w:val="24"/>
        </w:rPr>
        <w:t>＝</w:t>
      </w:r>
      <w:r>
        <w:rPr>
          <w:rFonts w:hint="eastAsia"/>
          <w:color w:val="auto"/>
          <w:sz w:val="24"/>
          <w:szCs w:val="24"/>
          <w:lang w:val="en-US" w:eastAsia="zh-CN"/>
        </w:rPr>
        <w:t>5000-50.66-46.15</w:t>
      </w:r>
      <w:r>
        <w:rPr>
          <w:rFonts w:ascii="Times New Roman" w:hAnsi="Times New Roman" w:cstheme="minorHAnsi"/>
          <w:color w:val="auto"/>
          <w:sz w:val="24"/>
          <w:szCs w:val="24"/>
        </w:rPr>
        <w:t>＝</w:t>
      </w:r>
      <w:r>
        <w:rPr>
          <w:rFonts w:hint="eastAsia" w:cstheme="minorHAnsi"/>
          <w:color w:val="auto"/>
          <w:sz w:val="24"/>
          <w:szCs w:val="24"/>
          <w:lang w:val="en-US" w:eastAsia="zh-CN"/>
        </w:rPr>
        <w:t>4903.19</w:t>
      </w:r>
      <w:r>
        <w:rPr>
          <w:rFonts w:hint="eastAsia" w:ascii="Times New Roman" w:hAnsi="Times New Roman" w:cstheme="minorHAnsi"/>
          <w:color w:val="auto"/>
          <w:sz w:val="24"/>
          <w:szCs w:val="24"/>
        </w:rPr>
        <w:t>万元。</w:t>
      </w:r>
    </w:p>
    <w:p w14:paraId="1C46A2D6">
      <w:pPr>
        <w:spacing w:line="360" w:lineRule="auto"/>
        <w:ind w:left="0" w:leftChars="0" w:firstLine="480" w:firstLineChars="200"/>
        <w:rPr>
          <w:rFonts w:ascii="Times New Roman" w:hAnsi="Times New Roman" w:cstheme="minorHAnsi"/>
          <w:color w:val="auto"/>
          <w:sz w:val="24"/>
          <w:szCs w:val="24"/>
        </w:rPr>
      </w:pPr>
      <w:r>
        <w:rPr>
          <w:rFonts w:ascii="Times New Roman" w:hAnsi="Times New Roman" w:cstheme="minorHAnsi"/>
          <w:color w:val="auto"/>
          <w:sz w:val="24"/>
          <w:szCs w:val="24"/>
        </w:rPr>
        <w:t>综上分析，本项目建成后环境经济总体效益明显，因项目建设所承担的环境成本率、环境代价率均处于较低水平，具有显著的环境经济效益。</w:t>
      </w:r>
    </w:p>
    <w:p w14:paraId="00D4BAB1">
      <w:pPr>
        <w:pStyle w:val="3"/>
        <w:bidi w:val="0"/>
        <w:rPr>
          <w:rFonts w:hint="eastAsia" w:ascii="Times New Roman" w:hAnsi="Times New Roman"/>
          <w:color w:val="auto"/>
          <w:highlight w:val="none"/>
        </w:rPr>
      </w:pPr>
      <w:bookmarkStart w:id="267" w:name="_Toc25679"/>
      <w:r>
        <w:rPr>
          <w:rFonts w:hint="eastAsia" w:ascii="Times New Roman" w:hAnsi="Times New Roman"/>
          <w:color w:val="auto"/>
          <w:highlight w:val="none"/>
        </w:rPr>
        <w:t>环境影响经济损益分析结论</w:t>
      </w:r>
      <w:bookmarkEnd w:id="267"/>
    </w:p>
    <w:p w14:paraId="5A6B3BCD">
      <w:pPr>
        <w:pStyle w:val="26"/>
        <w:bidi w:val="0"/>
        <w:rPr>
          <w:rFonts w:hint="eastAsia" w:ascii="Times New Roman" w:hAnsi="Times New Roman"/>
          <w:color w:val="auto"/>
          <w:sz w:val="24"/>
          <w:szCs w:val="24"/>
        </w:rPr>
      </w:pPr>
      <w:r>
        <w:rPr>
          <w:rFonts w:hint="eastAsia" w:ascii="Times New Roman" w:hAnsi="Times New Roman"/>
          <w:color w:val="auto"/>
          <w:sz w:val="24"/>
          <w:szCs w:val="24"/>
        </w:rPr>
        <w:t>本项目的经济效益较好、社会效益较好、环境效益也显著。项目的建设和生产增加了环保的费用，有效的保护环境。本项目的建设和生产过程中，将有废气、废水、固体废物和噪声等污染物的产生，将不可避免地对厂址周围地区造成一定的污染影响和危害。但只要积极采取措施加以防治，则本项目的环境负面效益影响较小。</w:t>
      </w:r>
    </w:p>
    <w:p w14:paraId="0317C0FD">
      <w:pPr>
        <w:pStyle w:val="26"/>
        <w:bidi w:val="0"/>
        <w:rPr>
          <w:color w:val="auto"/>
          <w:highlight w:val="none"/>
        </w:rPr>
      </w:pPr>
      <w:r>
        <w:rPr>
          <w:rFonts w:hint="eastAsia" w:ascii="Times New Roman" w:hAnsi="Times New Roman"/>
          <w:color w:val="auto"/>
          <w:sz w:val="24"/>
          <w:szCs w:val="24"/>
        </w:rPr>
        <w:t>总之，本项目的实施，正面效益大于负面效益，可以实现社会效益、经济效益和环境效益的和谐统一、协调发展。</w:t>
      </w:r>
    </w:p>
    <w:p w14:paraId="0E2CDEB7">
      <w:pPr>
        <w:pStyle w:val="26"/>
        <w:bidi w:val="0"/>
        <w:ind w:left="0" w:leftChars="0" w:firstLine="0" w:firstLineChars="0"/>
        <w:rPr>
          <w:rFonts w:hint="eastAsia"/>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bookmarkStart w:id="268" w:name="_Toc455997727"/>
      <w:bookmarkStart w:id="269" w:name="_Toc459634032"/>
      <w:bookmarkStart w:id="270" w:name="_Toc94200119"/>
      <w:bookmarkStart w:id="271" w:name="_Toc32605"/>
    </w:p>
    <w:p w14:paraId="679635A9">
      <w:pPr>
        <w:pStyle w:val="2"/>
        <w:bidi w:val="0"/>
        <w:rPr>
          <w:color w:val="auto"/>
          <w:highlight w:val="none"/>
        </w:rPr>
      </w:pPr>
      <w:bookmarkStart w:id="272" w:name="_Toc15090"/>
      <w:bookmarkStart w:id="273" w:name="_Toc24606"/>
      <w:r>
        <w:rPr>
          <w:rFonts w:hint="eastAsia"/>
          <w:color w:val="auto"/>
          <w:highlight w:val="none"/>
        </w:rPr>
        <w:t>环境管理与监测</w:t>
      </w:r>
      <w:bookmarkEnd w:id="268"/>
      <w:bookmarkEnd w:id="269"/>
      <w:r>
        <w:rPr>
          <w:rFonts w:hint="eastAsia"/>
          <w:color w:val="auto"/>
          <w:highlight w:val="none"/>
        </w:rPr>
        <w:t>计划</w:t>
      </w:r>
      <w:bookmarkEnd w:id="270"/>
      <w:bookmarkEnd w:id="271"/>
      <w:bookmarkEnd w:id="272"/>
      <w:bookmarkEnd w:id="273"/>
    </w:p>
    <w:p w14:paraId="2D8E8210">
      <w:pPr>
        <w:pStyle w:val="3"/>
        <w:bidi w:val="0"/>
        <w:rPr>
          <w:color w:val="auto"/>
          <w:highlight w:val="none"/>
        </w:rPr>
      </w:pPr>
      <w:bookmarkStart w:id="274" w:name="_Toc20047"/>
      <w:bookmarkStart w:id="275" w:name="_Toc459634033"/>
      <w:bookmarkStart w:id="276" w:name="_Toc26098"/>
      <w:bookmarkStart w:id="277" w:name="_Toc446770452"/>
      <w:bookmarkStart w:id="278" w:name="_Toc438828186"/>
      <w:bookmarkStart w:id="279" w:name="_Toc23200"/>
      <w:bookmarkStart w:id="280" w:name="_Toc94200120"/>
      <w:r>
        <w:rPr>
          <w:color w:val="auto"/>
          <w:highlight w:val="none"/>
        </w:rPr>
        <w:t>环境管理</w:t>
      </w:r>
      <w:bookmarkEnd w:id="274"/>
      <w:bookmarkEnd w:id="275"/>
      <w:bookmarkEnd w:id="276"/>
      <w:bookmarkEnd w:id="277"/>
      <w:bookmarkEnd w:id="278"/>
      <w:bookmarkEnd w:id="279"/>
      <w:bookmarkEnd w:id="280"/>
    </w:p>
    <w:p w14:paraId="6590BB9B">
      <w:pPr>
        <w:pStyle w:val="26"/>
        <w:bidi w:val="0"/>
        <w:rPr>
          <w:color w:val="auto"/>
          <w:sz w:val="24"/>
          <w:szCs w:val="24"/>
          <w:highlight w:val="none"/>
        </w:rPr>
      </w:pPr>
      <w:r>
        <w:rPr>
          <w:rFonts w:hint="eastAsia"/>
          <w:color w:val="auto"/>
          <w:sz w:val="24"/>
          <w:szCs w:val="24"/>
          <w:highlight w:val="none"/>
        </w:rPr>
        <w:t>为加强建设项目的环境保护管理，严格控制污染物排放，保护和改善环境，必须科学地监督管理环保设施的运行情况，以保证达到应有的治理效果。建设项目的环境管理包括</w:t>
      </w:r>
      <w:r>
        <w:rPr>
          <w:rFonts w:hint="eastAsia" w:ascii="Times New Roman" w:hAnsi="Times New Roman"/>
          <w:color w:val="auto"/>
          <w:sz w:val="24"/>
          <w:szCs w:val="24"/>
          <w:highlight w:val="none"/>
        </w:rPr>
        <w:t>生态环境主管部门</w:t>
      </w:r>
      <w:r>
        <w:rPr>
          <w:rFonts w:hint="eastAsia"/>
          <w:color w:val="auto"/>
          <w:sz w:val="24"/>
          <w:szCs w:val="24"/>
          <w:highlight w:val="none"/>
        </w:rPr>
        <w:t>监督管理、建设单位环境管理和施工单位环境管理。各级</w:t>
      </w:r>
      <w:r>
        <w:rPr>
          <w:rFonts w:hint="eastAsia" w:ascii="Times New Roman" w:hAnsi="Times New Roman"/>
          <w:color w:val="auto"/>
          <w:sz w:val="24"/>
          <w:szCs w:val="24"/>
          <w:highlight w:val="none"/>
        </w:rPr>
        <w:t>生态环境主管部门</w:t>
      </w:r>
      <w:r>
        <w:rPr>
          <w:rFonts w:hint="eastAsia"/>
          <w:color w:val="auto"/>
          <w:sz w:val="24"/>
          <w:szCs w:val="24"/>
          <w:highlight w:val="none"/>
        </w:rPr>
        <w:t>根据各自的职责，对项目实施有效的环境监督；建设单位环境管理在实行必要的管理体制和设置有效的职能机构的同时，还应建立健全环境管理规章制度；施工单位负责各个施工工序的环境管理工作，保证施工期各项环保措施的落实。</w:t>
      </w:r>
    </w:p>
    <w:p w14:paraId="3335A243">
      <w:pPr>
        <w:pStyle w:val="4"/>
        <w:bidi w:val="0"/>
        <w:rPr>
          <w:color w:val="auto"/>
          <w:highlight w:val="none"/>
        </w:rPr>
      </w:pPr>
      <w:bookmarkStart w:id="281" w:name="_Toc94200121"/>
      <w:bookmarkStart w:id="282" w:name="_Toc12071"/>
      <w:r>
        <w:rPr>
          <w:rFonts w:hint="eastAsia"/>
          <w:color w:val="auto"/>
          <w:highlight w:val="none"/>
        </w:rPr>
        <w:t>环境</w:t>
      </w:r>
      <w:r>
        <w:rPr>
          <w:color w:val="auto"/>
          <w:highlight w:val="none"/>
        </w:rPr>
        <w:t>管理</w:t>
      </w:r>
      <w:r>
        <w:rPr>
          <w:rFonts w:hint="eastAsia"/>
          <w:color w:val="auto"/>
          <w:highlight w:val="none"/>
        </w:rPr>
        <w:t>体系</w:t>
      </w:r>
      <w:bookmarkEnd w:id="281"/>
      <w:bookmarkEnd w:id="282"/>
    </w:p>
    <w:p w14:paraId="04CFEB8C">
      <w:pPr>
        <w:pStyle w:val="26"/>
        <w:bidi w:val="0"/>
        <w:rPr>
          <w:rFonts w:hint="eastAsia"/>
          <w:color w:val="auto"/>
          <w:highlight w:val="none"/>
          <w:lang w:val="en-US" w:eastAsia="zh-CN"/>
        </w:rPr>
      </w:pPr>
      <w:r>
        <w:rPr>
          <w:rFonts w:hint="eastAsia"/>
          <w:color w:val="auto"/>
          <w:highlight w:val="none"/>
          <w:lang w:val="en-US" w:eastAsia="zh-CN"/>
        </w:rPr>
        <w:t>1、环境管理体系简介</w:t>
      </w:r>
    </w:p>
    <w:p w14:paraId="670DB639">
      <w:pPr>
        <w:pStyle w:val="26"/>
        <w:bidi w:val="0"/>
        <w:rPr>
          <w:color w:val="auto"/>
          <w:highlight w:val="none"/>
        </w:rPr>
      </w:pPr>
      <w:r>
        <w:rPr>
          <w:rFonts w:hint="eastAsia"/>
          <w:color w:val="auto"/>
          <w:highlight w:val="none"/>
        </w:rPr>
        <w:t>ISO14000环境管理体系是为促进环境质量的改善而制定的一套环境管理的框架文件，</w:t>
      </w:r>
      <w:r>
        <w:rPr>
          <w:rFonts w:hint="eastAsia"/>
          <w:color w:val="auto"/>
          <w:highlight w:val="none"/>
          <w:lang w:eastAsia="zh-CN"/>
        </w:rPr>
        <w:t>目的是</w:t>
      </w:r>
      <w:r>
        <w:rPr>
          <w:rFonts w:hint="eastAsia"/>
          <w:color w:val="auto"/>
          <w:highlight w:val="none"/>
        </w:rPr>
        <w:t>加强组织（公司、企业）的环境意识、管理能力和保障措施，从而达到改善环境质量的目的。ISO14000系列标准是国际标准组织制定的国际通用标准，是环境保护领域的最新管理工具和手段。该系列标准主要有5个标准组成，即ISO14001~ISO14005，其中最重要最核心的是ISO14001标准，即《环境管理体系</w:t>
      </w:r>
      <w:r>
        <w:rPr>
          <w:rFonts w:hint="eastAsia"/>
          <w:color w:val="auto"/>
          <w:highlight w:val="none"/>
          <w:lang w:val="en-US" w:eastAsia="zh-CN"/>
        </w:rPr>
        <w:t>-</w:t>
      </w:r>
      <w:r>
        <w:rPr>
          <w:rFonts w:hint="eastAsia"/>
          <w:color w:val="auto"/>
          <w:highlight w:val="none"/>
        </w:rPr>
        <w:t>规范与指南》。该标准旨在通过规范的环境管理体系的建立和环境管理工作的开展，达到主动积极</w:t>
      </w:r>
      <w:r>
        <w:rPr>
          <w:rFonts w:hint="eastAsia"/>
          <w:color w:val="auto"/>
          <w:highlight w:val="none"/>
          <w:lang w:eastAsia="zh-CN"/>
        </w:rPr>
        <w:t>地</w:t>
      </w:r>
      <w:r>
        <w:rPr>
          <w:rFonts w:hint="eastAsia"/>
          <w:color w:val="auto"/>
          <w:highlight w:val="none"/>
        </w:rPr>
        <w:t>开展环境保护工作。企业实施该系列标准，有利于环境保护与经济持续发展，提高经济效益；有利于企业环境管理以及综合管理水平的提高。按照ISO14000系列标准的要求，建立环境管理体系，开展环境管理工作，具有特别重要的意义。</w:t>
      </w:r>
    </w:p>
    <w:p w14:paraId="5729026F">
      <w:pPr>
        <w:pStyle w:val="26"/>
        <w:bidi w:val="0"/>
        <w:rPr>
          <w:rFonts w:hint="eastAsia"/>
          <w:color w:val="auto"/>
          <w:highlight w:val="none"/>
          <w:lang w:val="en-US" w:eastAsia="zh-CN"/>
        </w:rPr>
      </w:pPr>
      <w:r>
        <w:rPr>
          <w:rFonts w:hint="eastAsia"/>
          <w:color w:val="auto"/>
          <w:highlight w:val="none"/>
          <w:lang w:val="en-US" w:eastAsia="zh-CN"/>
        </w:rPr>
        <w:t>2、ISO14000标准基本内容和要求</w:t>
      </w:r>
    </w:p>
    <w:p w14:paraId="20ACD73F">
      <w:pPr>
        <w:pStyle w:val="26"/>
        <w:bidi w:val="0"/>
        <w:rPr>
          <w:color w:val="auto"/>
          <w:highlight w:val="none"/>
        </w:rPr>
      </w:pPr>
      <w:r>
        <w:rPr>
          <w:rFonts w:hint="eastAsia"/>
          <w:color w:val="auto"/>
          <w:highlight w:val="none"/>
        </w:rPr>
        <w:t>ISO14000环境管理系列标准，主要有五大基本要求：</w:t>
      </w:r>
    </w:p>
    <w:p w14:paraId="7782387A">
      <w:pPr>
        <w:pStyle w:val="26"/>
        <w:bidi w:val="0"/>
        <w:rPr>
          <w:color w:val="auto"/>
          <w:highlight w:val="none"/>
        </w:rPr>
      </w:pPr>
      <w:r>
        <w:rPr>
          <w:rFonts w:hint="eastAsia"/>
          <w:color w:val="auto"/>
          <w:highlight w:val="none"/>
        </w:rPr>
        <w:t>①制定明确的环境方针，包括对污染预防的承诺、对有关环境法律、法规以及其应遵守的规定和承诺。</w:t>
      </w:r>
    </w:p>
    <w:p w14:paraId="0CFEE909">
      <w:pPr>
        <w:pStyle w:val="26"/>
        <w:bidi w:val="0"/>
        <w:rPr>
          <w:color w:val="auto"/>
          <w:highlight w:val="none"/>
        </w:rPr>
      </w:pPr>
      <w:r>
        <w:rPr>
          <w:rFonts w:hint="eastAsia"/>
          <w:color w:val="auto"/>
          <w:highlight w:val="none"/>
        </w:rPr>
        <w:t>②在环境方针指导下进行规划，确定可量化的目标和可测量的指标。</w:t>
      </w:r>
    </w:p>
    <w:p w14:paraId="0FF56B64">
      <w:pPr>
        <w:pStyle w:val="26"/>
        <w:bidi w:val="0"/>
        <w:rPr>
          <w:color w:val="auto"/>
          <w:highlight w:val="none"/>
        </w:rPr>
      </w:pPr>
      <w:r>
        <w:rPr>
          <w:rFonts w:hint="eastAsia"/>
          <w:color w:val="auto"/>
          <w:highlight w:val="none"/>
        </w:rPr>
        <w:t>③确保标准的实施与运行，即应建立明确的组织机构和职责，建立健全规章制度，对全体员工进行培训，增强其环境意识，并具备完成各自职责的能力。</w:t>
      </w:r>
    </w:p>
    <w:p w14:paraId="7AE13E0A">
      <w:pPr>
        <w:pStyle w:val="26"/>
        <w:bidi w:val="0"/>
        <w:rPr>
          <w:color w:val="auto"/>
          <w:highlight w:val="none"/>
        </w:rPr>
      </w:pPr>
      <w:r>
        <w:rPr>
          <w:rFonts w:hint="eastAsia"/>
          <w:color w:val="auto"/>
          <w:highlight w:val="none"/>
        </w:rPr>
        <w:t>④不断检查和采取措施，对管理体系中的指标和程序等进行监控，发现问题及时纠正。同时还应采取预防措施，避免同一问题的再发生。</w:t>
      </w:r>
    </w:p>
    <w:p w14:paraId="687706DD">
      <w:pPr>
        <w:pStyle w:val="26"/>
        <w:bidi w:val="0"/>
        <w:rPr>
          <w:color w:val="auto"/>
          <w:highlight w:val="none"/>
        </w:rPr>
      </w:pPr>
      <w:r>
        <w:rPr>
          <w:rFonts w:hint="eastAsia"/>
          <w:color w:val="auto"/>
          <w:highlight w:val="none"/>
        </w:rPr>
        <w:t>⑤定期进行管理评审，主要是在规定时间内对管理体系进行审核，提出更高的要求，不断完善对环境的承诺。</w:t>
      </w:r>
    </w:p>
    <w:p w14:paraId="41D409EB">
      <w:pPr>
        <w:pStyle w:val="26"/>
        <w:bidi w:val="0"/>
        <w:rPr>
          <w:rFonts w:hint="eastAsia"/>
          <w:color w:val="auto"/>
          <w:highlight w:val="none"/>
          <w:lang w:val="en-US" w:eastAsia="zh-CN"/>
        </w:rPr>
      </w:pPr>
      <w:r>
        <w:rPr>
          <w:rFonts w:hint="eastAsia"/>
          <w:color w:val="auto"/>
          <w:highlight w:val="none"/>
          <w:lang w:val="en-US" w:eastAsia="zh-CN"/>
        </w:rPr>
        <w:t>3、环境管理的实施</w:t>
      </w:r>
    </w:p>
    <w:p w14:paraId="28F90B3D">
      <w:pPr>
        <w:pStyle w:val="26"/>
        <w:bidi w:val="0"/>
        <w:rPr>
          <w:color w:val="auto"/>
          <w:highlight w:val="none"/>
        </w:rPr>
      </w:pPr>
      <w:r>
        <w:rPr>
          <w:rFonts w:hint="eastAsia"/>
          <w:color w:val="auto"/>
          <w:highlight w:val="none"/>
        </w:rPr>
        <w:t>按照ISO14000环境管理系列标准的要求，建设单位环境管理的实施主要从以下几个方面推进：</w:t>
      </w:r>
    </w:p>
    <w:p w14:paraId="60EE6F46">
      <w:pPr>
        <w:pStyle w:val="26"/>
        <w:bidi w:val="0"/>
        <w:rPr>
          <w:color w:val="auto"/>
          <w:highlight w:val="none"/>
        </w:rPr>
      </w:pPr>
      <w:r>
        <w:rPr>
          <w:rFonts w:hint="eastAsia"/>
          <w:color w:val="auto"/>
          <w:highlight w:val="none"/>
        </w:rPr>
        <w:t>①由企业的最高管理者制定明确的适合企业特点的环境方针，承诺对自身污染问题的预防，并遵守国家、地方的有关法律、法规</w:t>
      </w:r>
      <w:r>
        <w:rPr>
          <w:rFonts w:hint="eastAsia"/>
          <w:color w:val="auto"/>
          <w:highlight w:val="none"/>
          <w:lang w:eastAsia="zh-CN"/>
        </w:rPr>
        <w:t>以及其他</w:t>
      </w:r>
      <w:r>
        <w:rPr>
          <w:rFonts w:hint="eastAsia"/>
          <w:color w:val="auto"/>
          <w:highlight w:val="none"/>
        </w:rPr>
        <w:t>有关规定。环境方针应文件化，便于公众获取。</w:t>
      </w:r>
    </w:p>
    <w:p w14:paraId="353B897A">
      <w:pPr>
        <w:pStyle w:val="26"/>
        <w:bidi w:val="0"/>
        <w:rPr>
          <w:color w:val="auto"/>
          <w:highlight w:val="none"/>
        </w:rPr>
      </w:pPr>
      <w:r>
        <w:rPr>
          <w:rFonts w:hint="eastAsia"/>
          <w:color w:val="auto"/>
          <w:highlight w:val="none"/>
        </w:rPr>
        <w:t>②根据制定的环境方针，确定工厂各部门各岗位的环境保护目标和可量化的指标，使全体员工参与到环保工作之中。</w:t>
      </w:r>
    </w:p>
    <w:p w14:paraId="1487F5DA">
      <w:pPr>
        <w:pStyle w:val="26"/>
        <w:bidi w:val="0"/>
        <w:rPr>
          <w:color w:val="auto"/>
          <w:highlight w:val="none"/>
        </w:rPr>
      </w:pPr>
      <w:r>
        <w:rPr>
          <w:rFonts w:hint="eastAsia"/>
          <w:color w:val="auto"/>
          <w:highlight w:val="none"/>
        </w:rPr>
        <w:t>③建立必要的环保机构，确定环保专职人员。制定工厂环境保护的规章制度（岗位责任制、操作规程、安全制度、绿化管理规定等），并实施、落实环境监测制度。</w:t>
      </w:r>
    </w:p>
    <w:p w14:paraId="2747E50D">
      <w:pPr>
        <w:pStyle w:val="26"/>
        <w:bidi w:val="0"/>
        <w:rPr>
          <w:color w:val="auto"/>
          <w:highlight w:val="none"/>
        </w:rPr>
      </w:pPr>
      <w:r>
        <w:rPr>
          <w:rFonts w:hint="eastAsia"/>
          <w:color w:val="auto"/>
          <w:highlight w:val="none"/>
        </w:rPr>
        <w:t>④贯彻落实项目环保</w:t>
      </w:r>
      <w:r>
        <w:rPr>
          <w:rFonts w:hint="eastAsia" w:ascii="宋体" w:hAnsi="宋体" w:eastAsia="宋体" w:cs="宋体"/>
          <w:color w:val="auto"/>
          <w:highlight w:val="none"/>
        </w:rPr>
        <w:t>“</w:t>
      </w:r>
      <w:r>
        <w:rPr>
          <w:rFonts w:hint="eastAsia"/>
          <w:color w:val="auto"/>
          <w:highlight w:val="none"/>
        </w:rPr>
        <w:t>三同时</w:t>
      </w:r>
      <w:r>
        <w:rPr>
          <w:rFonts w:hint="eastAsia" w:ascii="宋体" w:hAnsi="宋体" w:eastAsia="宋体" w:cs="宋体"/>
          <w:color w:val="auto"/>
          <w:highlight w:val="none"/>
        </w:rPr>
        <w:t>”</w:t>
      </w:r>
      <w:r>
        <w:rPr>
          <w:rFonts w:hint="eastAsia"/>
          <w:color w:val="auto"/>
          <w:highlight w:val="none"/>
        </w:rPr>
        <w:t>制度，切实按照设计要求予以实施，以确保环保设施的建设，使环保工程达到预期效果。</w:t>
      </w:r>
    </w:p>
    <w:p w14:paraId="653BB56A">
      <w:pPr>
        <w:pStyle w:val="26"/>
        <w:bidi w:val="0"/>
        <w:rPr>
          <w:color w:val="auto"/>
          <w:highlight w:val="none"/>
        </w:rPr>
      </w:pPr>
      <w:r>
        <w:rPr>
          <w:rFonts w:hint="eastAsia"/>
          <w:color w:val="auto"/>
          <w:highlight w:val="none"/>
        </w:rPr>
        <w:t>⑤开展环境监测工作。通过监测，及时发现问题，查找生产过程、环保工作和环境管理中存在的漏洞，并采取措施予以解决，维护好公众的利益。</w:t>
      </w:r>
    </w:p>
    <w:p w14:paraId="77D949B3">
      <w:pPr>
        <w:pStyle w:val="26"/>
        <w:bidi w:val="0"/>
        <w:rPr>
          <w:color w:val="auto"/>
          <w:highlight w:val="none"/>
        </w:rPr>
      </w:pPr>
      <w:r>
        <w:rPr>
          <w:rFonts w:hint="eastAsia"/>
          <w:color w:val="auto"/>
          <w:highlight w:val="none"/>
        </w:rPr>
        <w:t>⑥加强废气处理设施监督管理，确保设备正常并高效运行。并根据污染物监测结果、设备运行指标等做好统计工作，建立污染源档案。</w:t>
      </w:r>
    </w:p>
    <w:p w14:paraId="3B3BF4BF">
      <w:pPr>
        <w:pStyle w:val="26"/>
        <w:bidi w:val="0"/>
        <w:rPr>
          <w:color w:val="auto"/>
          <w:highlight w:val="none"/>
        </w:rPr>
      </w:pPr>
      <w:r>
        <w:rPr>
          <w:rFonts w:hint="eastAsia"/>
          <w:color w:val="auto"/>
          <w:highlight w:val="none"/>
        </w:rPr>
        <w:t>⑦对企业职工进行环境保护知识的培训，</w:t>
      </w:r>
      <w:r>
        <w:rPr>
          <w:rFonts w:hint="eastAsia"/>
          <w:color w:val="auto"/>
          <w:highlight w:val="none"/>
          <w:lang w:eastAsia="zh-CN"/>
        </w:rPr>
        <w:t>增强</w:t>
      </w:r>
      <w:r>
        <w:rPr>
          <w:rFonts w:hint="eastAsia"/>
          <w:color w:val="auto"/>
          <w:highlight w:val="none"/>
        </w:rPr>
        <w:t>职工的环保意识。</w:t>
      </w:r>
    </w:p>
    <w:p w14:paraId="60EBE7A4">
      <w:pPr>
        <w:pStyle w:val="26"/>
        <w:bidi w:val="0"/>
        <w:rPr>
          <w:color w:val="auto"/>
          <w:highlight w:val="none"/>
        </w:rPr>
      </w:pPr>
      <w:r>
        <w:rPr>
          <w:rFonts w:hint="eastAsia"/>
          <w:color w:val="auto"/>
          <w:highlight w:val="none"/>
        </w:rPr>
        <w:t>⑧为了掌握全厂环保工作情况和环境管理体系中可能存在的问题，工厂应每半年或一年进行一次内部评审（内部评审工作可以自己进行，也可请有关部门帮助进行），查漏补缺，提出整改意见。</w:t>
      </w:r>
    </w:p>
    <w:p w14:paraId="0EB9B822">
      <w:pPr>
        <w:pStyle w:val="4"/>
        <w:bidi w:val="0"/>
        <w:rPr>
          <w:color w:val="auto"/>
          <w:highlight w:val="none"/>
        </w:rPr>
      </w:pPr>
      <w:bookmarkStart w:id="283" w:name="_Toc20124"/>
      <w:bookmarkStart w:id="284" w:name="_Toc94200122"/>
      <w:r>
        <w:rPr>
          <w:color w:val="auto"/>
          <w:highlight w:val="none"/>
        </w:rPr>
        <w:t>环境管理机构及职责</w:t>
      </w:r>
      <w:bookmarkEnd w:id="283"/>
      <w:bookmarkEnd w:id="284"/>
    </w:p>
    <w:p w14:paraId="2952CA66">
      <w:pPr>
        <w:pStyle w:val="26"/>
        <w:bidi w:val="0"/>
        <w:rPr>
          <w:rFonts w:hint="eastAsia"/>
          <w:color w:val="auto"/>
          <w:highlight w:val="none"/>
          <w:lang w:val="en-US" w:eastAsia="zh-CN"/>
        </w:rPr>
      </w:pPr>
      <w:r>
        <w:rPr>
          <w:rFonts w:hint="eastAsia"/>
          <w:color w:val="auto"/>
          <w:highlight w:val="none"/>
          <w:lang w:val="en-US" w:eastAsia="zh-CN"/>
        </w:rPr>
        <w:t>1、组织机构</w:t>
      </w:r>
    </w:p>
    <w:p w14:paraId="42006FFF">
      <w:pPr>
        <w:pStyle w:val="26"/>
        <w:bidi w:val="0"/>
        <w:rPr>
          <w:color w:val="auto"/>
          <w:highlight w:val="none"/>
        </w:rPr>
      </w:pPr>
      <w:r>
        <w:rPr>
          <w:rFonts w:hint="eastAsia"/>
          <w:color w:val="auto"/>
          <w:highlight w:val="none"/>
        </w:rPr>
        <w:t>根据项目实际情况，建设单位应建立环保管理机构，设</w:t>
      </w:r>
      <w:r>
        <w:rPr>
          <w:color w:val="auto"/>
          <w:highlight w:val="none"/>
        </w:rPr>
        <w:t>1</w:t>
      </w:r>
      <w:r>
        <w:rPr>
          <w:rFonts w:hint="eastAsia"/>
          <w:color w:val="auto"/>
          <w:highlight w:val="none"/>
        </w:rPr>
        <w:t>名环保主管人员和</w:t>
      </w:r>
      <w:r>
        <w:rPr>
          <w:rFonts w:hint="eastAsia"/>
          <w:color w:val="auto"/>
          <w:highlight w:val="none"/>
          <w:lang w:val="en-US" w:eastAsia="zh-CN"/>
        </w:rPr>
        <w:t>4</w:t>
      </w:r>
      <w:r>
        <w:rPr>
          <w:rFonts w:hint="eastAsia"/>
          <w:color w:val="auto"/>
          <w:highlight w:val="none"/>
        </w:rPr>
        <w:t>名环保技术人员，由主管生产的领导直接管理。此外，在主要排污岗位也应设置</w:t>
      </w:r>
      <w:r>
        <w:rPr>
          <w:rFonts w:hint="eastAsia"/>
          <w:color w:val="auto"/>
          <w:highlight w:val="none"/>
          <w:lang w:val="en-US" w:eastAsia="zh-CN"/>
        </w:rPr>
        <w:t>2~3</w:t>
      </w:r>
      <w:r>
        <w:rPr>
          <w:rFonts w:hint="eastAsia"/>
          <w:color w:val="auto"/>
          <w:highlight w:val="none"/>
        </w:rPr>
        <w:t>名兼职环保员，负责对环保设施操作进行维护保养、污染物排放情况进行监督检查，同时做好记录，建立排污档案。</w:t>
      </w:r>
    </w:p>
    <w:p w14:paraId="44F37B5C">
      <w:pPr>
        <w:pStyle w:val="26"/>
        <w:bidi w:val="0"/>
        <w:rPr>
          <w:rFonts w:hint="eastAsia"/>
          <w:color w:val="auto"/>
          <w:highlight w:val="none"/>
          <w:lang w:val="en-US" w:eastAsia="zh-CN"/>
        </w:rPr>
      </w:pPr>
      <w:r>
        <w:rPr>
          <w:rFonts w:hint="eastAsia"/>
          <w:color w:val="auto"/>
          <w:highlight w:val="none"/>
          <w:lang w:val="en-US" w:eastAsia="zh-CN"/>
        </w:rPr>
        <w:t>2、职责分工</w:t>
      </w:r>
    </w:p>
    <w:p w14:paraId="6690A8E4">
      <w:pPr>
        <w:pStyle w:val="26"/>
        <w:bidi w:val="0"/>
        <w:rPr>
          <w:color w:val="auto"/>
          <w:highlight w:val="none"/>
        </w:rPr>
      </w:pPr>
      <w:r>
        <w:rPr>
          <w:color w:val="auto"/>
          <w:highlight w:val="none"/>
        </w:rPr>
        <w:t>环境管理机构主要职责如下：</w:t>
      </w:r>
    </w:p>
    <w:p w14:paraId="78BDF56E">
      <w:pPr>
        <w:pStyle w:val="26"/>
        <w:bidi w:val="0"/>
        <w:rPr>
          <w:color w:val="auto"/>
          <w:highlight w:val="none"/>
        </w:rPr>
      </w:pPr>
      <w:r>
        <w:rPr>
          <w:rFonts w:hint="eastAsia"/>
          <w:color w:val="auto"/>
          <w:highlight w:val="none"/>
        </w:rPr>
        <w:t>①</w:t>
      </w:r>
      <w:r>
        <w:rPr>
          <w:color w:val="auto"/>
          <w:highlight w:val="none"/>
        </w:rPr>
        <w:t>环境管理机构</w:t>
      </w:r>
      <w:r>
        <w:rPr>
          <w:rFonts w:hint="eastAsia"/>
          <w:color w:val="auto"/>
          <w:highlight w:val="none"/>
        </w:rPr>
        <w:t>除负责公司内有关环保工作外，还应接受生态环境主管部门的领导检查与监督，贯彻执行各项环保法规和各项标准。</w:t>
      </w:r>
    </w:p>
    <w:p w14:paraId="399FD56C">
      <w:pPr>
        <w:pStyle w:val="26"/>
        <w:bidi w:val="0"/>
        <w:rPr>
          <w:color w:val="auto"/>
          <w:highlight w:val="none"/>
        </w:rPr>
      </w:pPr>
      <w:r>
        <w:rPr>
          <w:rFonts w:hint="eastAsia"/>
          <w:color w:val="auto"/>
          <w:highlight w:val="none"/>
        </w:rPr>
        <w:t>②组织制定和修改企业的环境污染保护管理体制规章制度，并监督执行。</w:t>
      </w:r>
    </w:p>
    <w:p w14:paraId="1FB5B0D7">
      <w:pPr>
        <w:pStyle w:val="26"/>
        <w:bidi w:val="0"/>
        <w:rPr>
          <w:color w:val="auto"/>
          <w:highlight w:val="none"/>
        </w:rPr>
      </w:pPr>
      <w:r>
        <w:rPr>
          <w:rFonts w:hint="eastAsia"/>
          <w:color w:val="auto"/>
          <w:highlight w:val="none"/>
        </w:rPr>
        <w:t>③制定并组织实施环境保护规划和标准。</w:t>
      </w:r>
    </w:p>
    <w:p w14:paraId="6E08031B">
      <w:pPr>
        <w:pStyle w:val="26"/>
        <w:bidi w:val="0"/>
        <w:rPr>
          <w:color w:val="auto"/>
          <w:highlight w:val="none"/>
        </w:rPr>
      </w:pPr>
      <w:r>
        <w:rPr>
          <w:rFonts w:hint="eastAsia"/>
          <w:color w:val="auto"/>
          <w:highlight w:val="none"/>
        </w:rPr>
        <w:t>④检查企业环境保护规划和计划。</w:t>
      </w:r>
    </w:p>
    <w:p w14:paraId="154FD143">
      <w:pPr>
        <w:pStyle w:val="26"/>
        <w:bidi w:val="0"/>
        <w:rPr>
          <w:color w:val="auto"/>
          <w:highlight w:val="none"/>
        </w:rPr>
      </w:pPr>
      <w:r>
        <w:rPr>
          <w:rFonts w:hint="eastAsia"/>
          <w:color w:val="auto"/>
          <w:highlight w:val="none"/>
        </w:rPr>
        <w:t>⑤建立资料库，管理污染源监测数据及资料的收集与存档。</w:t>
      </w:r>
    </w:p>
    <w:p w14:paraId="782F046F">
      <w:pPr>
        <w:pStyle w:val="26"/>
        <w:bidi w:val="0"/>
        <w:rPr>
          <w:color w:val="auto"/>
          <w:highlight w:val="none"/>
        </w:rPr>
      </w:pPr>
      <w:r>
        <w:rPr>
          <w:rFonts w:hint="eastAsia"/>
          <w:color w:val="auto"/>
          <w:highlight w:val="none"/>
        </w:rPr>
        <w:t>⑥加强对污染防治设施的监督管理，安排专人负责设施的具体运作，确保设施正常运行，保证污染物达标排放。</w:t>
      </w:r>
    </w:p>
    <w:p w14:paraId="07933ACA">
      <w:pPr>
        <w:pStyle w:val="26"/>
        <w:bidi w:val="0"/>
        <w:rPr>
          <w:rFonts w:cs="Calibri"/>
          <w:color w:val="auto"/>
          <w:szCs w:val="24"/>
          <w:highlight w:val="none"/>
        </w:rPr>
      </w:pPr>
      <w:r>
        <w:rPr>
          <w:rFonts w:hint="eastAsia"/>
          <w:color w:val="auto"/>
          <w:highlight w:val="none"/>
        </w:rPr>
        <w:t>⑦防范风险事故发生，协助生态环境主管部门、企业内的应急反应中</w:t>
      </w:r>
      <w:r>
        <w:rPr>
          <w:rFonts w:hint="eastAsia" w:cs="Calibri"/>
          <w:color w:val="auto"/>
          <w:szCs w:val="24"/>
          <w:highlight w:val="none"/>
        </w:rPr>
        <w:t>心或生产安全部门处理各种事故。</w:t>
      </w:r>
    </w:p>
    <w:p w14:paraId="13F1A59C">
      <w:pPr>
        <w:bidi w:val="0"/>
        <w:rPr>
          <w:color w:val="auto"/>
          <w:highlight w:val="none"/>
        </w:rPr>
      </w:pPr>
      <w:r>
        <w:rPr>
          <w:rFonts w:hint="eastAsia"/>
          <w:color w:val="auto"/>
          <w:highlight w:val="none"/>
        </w:rPr>
        <w:t>⑧开展环保知识教育，组织开展本企业的环保技术培训，提高员工的素质水平；领导和组织本企业的环境监测工作。</w:t>
      </w:r>
    </w:p>
    <w:p w14:paraId="6F1EFA00">
      <w:pPr>
        <w:pStyle w:val="4"/>
        <w:bidi w:val="0"/>
        <w:rPr>
          <w:color w:val="auto"/>
          <w:highlight w:val="none"/>
        </w:rPr>
      </w:pPr>
      <w:bookmarkStart w:id="285" w:name="_Toc26927"/>
      <w:bookmarkStart w:id="286" w:name="_Toc94200123"/>
      <w:r>
        <w:rPr>
          <w:rFonts w:hint="eastAsia"/>
          <w:color w:val="auto"/>
          <w:highlight w:val="none"/>
        </w:rPr>
        <w:t>污染物</w:t>
      </w:r>
      <w:r>
        <w:rPr>
          <w:color w:val="auto"/>
          <w:highlight w:val="none"/>
        </w:rPr>
        <w:t>排放管理要求</w:t>
      </w:r>
      <w:bookmarkEnd w:id="285"/>
      <w:bookmarkEnd w:id="286"/>
    </w:p>
    <w:p w14:paraId="6AA66729">
      <w:pPr>
        <w:pStyle w:val="26"/>
        <w:bidi w:val="0"/>
        <w:rPr>
          <w:color w:val="auto"/>
          <w:highlight w:val="none"/>
        </w:rPr>
      </w:pPr>
      <w:r>
        <w:rPr>
          <w:rFonts w:hint="eastAsia"/>
          <w:color w:val="auto"/>
          <w:highlight w:val="none"/>
        </w:rPr>
        <w:t>根据《企业事业单位环境信息公开办法》（环境保护部令第31号），</w:t>
      </w:r>
      <w:r>
        <w:rPr>
          <w:color w:val="auto"/>
          <w:highlight w:val="none"/>
        </w:rPr>
        <w:t>本项目</w:t>
      </w:r>
      <w:r>
        <w:rPr>
          <w:rFonts w:hint="eastAsia"/>
          <w:color w:val="auto"/>
          <w:highlight w:val="none"/>
        </w:rPr>
        <w:t>应当通过其网站、企业事业单位环境信息公开平台或者当地报刊等便于公众知晓的方式公开下列信息：</w:t>
      </w:r>
    </w:p>
    <w:p w14:paraId="6CB45E78">
      <w:pPr>
        <w:pStyle w:val="26"/>
        <w:bidi w:val="0"/>
        <w:rPr>
          <w:color w:val="auto"/>
          <w:highlight w:val="none"/>
        </w:rPr>
      </w:pPr>
      <w:r>
        <w:rPr>
          <w:rFonts w:hint="eastAsia"/>
          <w:color w:val="auto"/>
          <w:highlight w:val="none"/>
        </w:rPr>
        <w:t>①基础信息，包括单位名称、组织机构代码、法定代表人、生产地址、联系方式，以及生产经营和管理服务的主要内容、产品及规模；</w:t>
      </w:r>
    </w:p>
    <w:p w14:paraId="08ED869C">
      <w:pPr>
        <w:pStyle w:val="26"/>
        <w:bidi w:val="0"/>
        <w:rPr>
          <w:color w:val="auto"/>
          <w:highlight w:val="none"/>
        </w:rPr>
      </w:pPr>
      <w:r>
        <w:rPr>
          <w:rFonts w:hint="eastAsia"/>
          <w:color w:val="auto"/>
          <w:highlight w:val="none"/>
        </w:rPr>
        <w:t>②排污信息，包括主要污染物及特征污染物的名称、排放方式、排放口数量和分布情况、排放浓度和总量、超标情况，以及执行的污染物排放标准、核定的排放总量；</w:t>
      </w:r>
    </w:p>
    <w:p w14:paraId="06B57ED0">
      <w:pPr>
        <w:pStyle w:val="26"/>
        <w:bidi w:val="0"/>
        <w:rPr>
          <w:color w:val="auto"/>
          <w:highlight w:val="none"/>
        </w:rPr>
      </w:pPr>
      <w:r>
        <w:rPr>
          <w:rFonts w:hint="eastAsia"/>
          <w:color w:val="auto"/>
          <w:highlight w:val="none"/>
        </w:rPr>
        <w:t>③防治污染设施的建设和运行情况；</w:t>
      </w:r>
    </w:p>
    <w:p w14:paraId="4A44576D">
      <w:pPr>
        <w:pStyle w:val="26"/>
        <w:bidi w:val="0"/>
        <w:rPr>
          <w:rFonts w:cs="Calibri"/>
          <w:color w:val="auto"/>
          <w:szCs w:val="24"/>
          <w:highlight w:val="none"/>
        </w:rPr>
      </w:pPr>
      <w:r>
        <w:rPr>
          <w:rFonts w:hint="eastAsia"/>
          <w:color w:val="auto"/>
          <w:highlight w:val="none"/>
        </w:rPr>
        <w:t>④建设项目环境影响评价及其他环境保护行政许可情况</w:t>
      </w:r>
      <w:r>
        <w:rPr>
          <w:rFonts w:hint="eastAsia" w:cs="Calibri"/>
          <w:color w:val="auto"/>
          <w:szCs w:val="24"/>
          <w:highlight w:val="none"/>
        </w:rPr>
        <w:t>；</w:t>
      </w:r>
    </w:p>
    <w:p w14:paraId="031063C4">
      <w:pPr>
        <w:pStyle w:val="26"/>
        <w:bidi w:val="0"/>
        <w:rPr>
          <w:color w:val="auto"/>
          <w:highlight w:val="none"/>
        </w:rPr>
      </w:pPr>
      <w:r>
        <w:rPr>
          <w:rFonts w:hint="eastAsia"/>
          <w:color w:val="auto"/>
          <w:highlight w:val="none"/>
        </w:rPr>
        <w:t>⑤突发环境事件应急预案；</w:t>
      </w:r>
    </w:p>
    <w:p w14:paraId="705F0CAA">
      <w:pPr>
        <w:pStyle w:val="26"/>
        <w:bidi w:val="0"/>
        <w:rPr>
          <w:color w:val="auto"/>
          <w:highlight w:val="none"/>
        </w:rPr>
      </w:pPr>
      <w:r>
        <w:rPr>
          <w:rFonts w:hint="eastAsia"/>
          <w:color w:val="auto"/>
          <w:highlight w:val="none"/>
        </w:rPr>
        <w:t>⑥其他应当公开的环境信息。</w:t>
      </w:r>
    </w:p>
    <w:p w14:paraId="603555D7">
      <w:pPr>
        <w:pStyle w:val="4"/>
        <w:bidi w:val="0"/>
        <w:rPr>
          <w:color w:val="auto"/>
          <w:highlight w:val="none"/>
        </w:rPr>
      </w:pPr>
      <w:bookmarkStart w:id="287" w:name="_Toc94200124"/>
      <w:bookmarkStart w:id="288" w:name="_Toc12306"/>
      <w:r>
        <w:rPr>
          <w:color w:val="auto"/>
          <w:highlight w:val="none"/>
        </w:rPr>
        <w:t>环境日常管理</w:t>
      </w:r>
      <w:bookmarkEnd w:id="287"/>
      <w:bookmarkEnd w:id="288"/>
    </w:p>
    <w:p w14:paraId="36F83D02">
      <w:pPr>
        <w:pStyle w:val="26"/>
        <w:bidi w:val="0"/>
        <w:rPr>
          <w:color w:val="auto"/>
          <w:highlight w:val="none"/>
        </w:rPr>
      </w:pPr>
      <w:r>
        <w:rPr>
          <w:rFonts w:hint="eastAsia"/>
          <w:color w:val="auto"/>
          <w:highlight w:val="none"/>
        </w:rPr>
        <w:t>通过日常环境管理，防止环境污染，保护项目所在区域的环境。</w:t>
      </w:r>
    </w:p>
    <w:p w14:paraId="4B5003C8">
      <w:pPr>
        <w:pStyle w:val="26"/>
        <w:bidi w:val="0"/>
        <w:rPr>
          <w:color w:val="auto"/>
          <w:highlight w:val="none"/>
        </w:rPr>
      </w:pPr>
      <w:r>
        <w:rPr>
          <w:rFonts w:hint="eastAsia"/>
          <w:color w:val="auto"/>
          <w:highlight w:val="none"/>
        </w:rPr>
        <w:t>1、环境日常管理制度</w:t>
      </w:r>
    </w:p>
    <w:p w14:paraId="162573E7">
      <w:pPr>
        <w:pStyle w:val="26"/>
        <w:bidi w:val="0"/>
        <w:rPr>
          <w:color w:val="auto"/>
          <w:highlight w:val="none"/>
        </w:rPr>
      </w:pPr>
      <w:r>
        <w:rPr>
          <w:rFonts w:hint="eastAsia"/>
          <w:color w:val="auto"/>
          <w:highlight w:val="none"/>
        </w:rPr>
        <w:t>①保证设施的维护、保养，确保各类设施正常工作。</w:t>
      </w:r>
    </w:p>
    <w:p w14:paraId="12F558AF">
      <w:pPr>
        <w:pStyle w:val="26"/>
        <w:bidi w:val="0"/>
        <w:rPr>
          <w:color w:val="auto"/>
          <w:highlight w:val="none"/>
        </w:rPr>
      </w:pPr>
      <w:r>
        <w:rPr>
          <w:rFonts w:hint="eastAsia"/>
          <w:color w:val="auto"/>
          <w:highlight w:val="none"/>
        </w:rPr>
        <w:t>②对工作进行成绩考核及奖惩，确保最大限度</w:t>
      </w:r>
      <w:r>
        <w:rPr>
          <w:rFonts w:hint="eastAsia"/>
          <w:color w:val="auto"/>
          <w:highlight w:val="none"/>
          <w:lang w:eastAsia="zh-CN"/>
        </w:rPr>
        <w:t>地</w:t>
      </w:r>
      <w:r>
        <w:rPr>
          <w:rFonts w:hint="eastAsia"/>
          <w:color w:val="auto"/>
          <w:highlight w:val="none"/>
        </w:rPr>
        <w:t>调动企业职工的环保积极性。</w:t>
      </w:r>
    </w:p>
    <w:p w14:paraId="1388B041">
      <w:pPr>
        <w:pStyle w:val="26"/>
        <w:bidi w:val="0"/>
        <w:rPr>
          <w:color w:val="auto"/>
          <w:highlight w:val="none"/>
        </w:rPr>
      </w:pPr>
      <w:r>
        <w:rPr>
          <w:rFonts w:hint="eastAsia"/>
          <w:color w:val="auto"/>
          <w:highlight w:val="none"/>
        </w:rPr>
        <w:t>③定期进行环境监测，及时掌握环境质量</w:t>
      </w:r>
      <w:r>
        <w:rPr>
          <w:rFonts w:hint="eastAsia"/>
          <w:color w:val="auto"/>
          <w:highlight w:val="none"/>
          <w:lang w:eastAsia="zh-CN"/>
        </w:rPr>
        <w:t>总体</w:t>
      </w:r>
      <w:r>
        <w:rPr>
          <w:rFonts w:hint="eastAsia"/>
          <w:color w:val="auto"/>
          <w:highlight w:val="none"/>
        </w:rPr>
        <w:t>的变化动态，将日常的监测数据进行逐月逐年统计，并存档备案。</w:t>
      </w:r>
    </w:p>
    <w:p w14:paraId="506BDAA0">
      <w:pPr>
        <w:pStyle w:val="26"/>
        <w:bidi w:val="0"/>
        <w:rPr>
          <w:color w:val="auto"/>
          <w:highlight w:val="none"/>
        </w:rPr>
      </w:pPr>
      <w:r>
        <w:rPr>
          <w:rFonts w:hint="eastAsia"/>
          <w:color w:val="auto"/>
          <w:highlight w:val="none"/>
        </w:rPr>
        <w:t>④进行环境绿化，改善企业生态环境。</w:t>
      </w:r>
    </w:p>
    <w:p w14:paraId="53F1E908">
      <w:pPr>
        <w:pStyle w:val="26"/>
        <w:bidi w:val="0"/>
        <w:rPr>
          <w:color w:val="auto"/>
          <w:highlight w:val="none"/>
        </w:rPr>
      </w:pPr>
      <w:r>
        <w:rPr>
          <w:rFonts w:hint="eastAsia"/>
          <w:color w:val="auto"/>
          <w:highlight w:val="none"/>
        </w:rPr>
        <w:t>⑤加强环保宣传教育，以</w:t>
      </w:r>
      <w:r>
        <w:rPr>
          <w:rFonts w:hint="eastAsia"/>
          <w:color w:val="auto"/>
          <w:highlight w:val="none"/>
          <w:lang w:eastAsia="zh-CN"/>
        </w:rPr>
        <w:t>增强</w:t>
      </w:r>
      <w:r>
        <w:rPr>
          <w:rFonts w:hint="eastAsia"/>
          <w:color w:val="auto"/>
          <w:highlight w:val="none"/>
        </w:rPr>
        <w:t>职工意识。</w:t>
      </w:r>
    </w:p>
    <w:p w14:paraId="14E2212C">
      <w:pPr>
        <w:pStyle w:val="26"/>
        <w:bidi w:val="0"/>
        <w:rPr>
          <w:color w:val="auto"/>
          <w:highlight w:val="none"/>
        </w:rPr>
      </w:pPr>
      <w:r>
        <w:rPr>
          <w:rFonts w:hint="eastAsia"/>
          <w:color w:val="auto"/>
          <w:highlight w:val="none"/>
        </w:rPr>
        <w:t>⑥加强生产过程中的环保管理，确保每一工序都达到环保要求。</w:t>
      </w:r>
    </w:p>
    <w:p w14:paraId="21B0B287">
      <w:pPr>
        <w:pStyle w:val="26"/>
        <w:bidi w:val="0"/>
        <w:rPr>
          <w:color w:val="auto"/>
          <w:highlight w:val="none"/>
        </w:rPr>
      </w:pPr>
      <w:r>
        <w:rPr>
          <w:rFonts w:hint="eastAsia"/>
          <w:color w:val="auto"/>
          <w:highlight w:val="none"/>
        </w:rPr>
        <w:t>⑦制定企业污染防治计划和环保计划，确保企业污染治理和环境保护工作顺利开展。</w:t>
      </w:r>
    </w:p>
    <w:p w14:paraId="439533C7">
      <w:pPr>
        <w:pStyle w:val="26"/>
        <w:bidi w:val="0"/>
        <w:rPr>
          <w:color w:val="auto"/>
          <w:highlight w:val="none"/>
        </w:rPr>
      </w:pPr>
      <w:r>
        <w:rPr>
          <w:rFonts w:hint="eastAsia"/>
          <w:color w:val="auto"/>
          <w:highlight w:val="none"/>
        </w:rPr>
        <w:t>⑧逐步建立全厂的环境管理系统，以达到ISO14000的要求。</w:t>
      </w:r>
    </w:p>
    <w:p w14:paraId="6C8DEBF1">
      <w:pPr>
        <w:pStyle w:val="26"/>
        <w:bidi w:val="0"/>
        <w:rPr>
          <w:color w:val="auto"/>
          <w:highlight w:val="none"/>
        </w:rPr>
      </w:pPr>
      <w:r>
        <w:rPr>
          <w:rFonts w:hint="eastAsia"/>
          <w:color w:val="auto"/>
          <w:highlight w:val="none"/>
        </w:rPr>
        <w:t>⑨结合工厂实际情况，对车间</w:t>
      </w:r>
      <w:r>
        <w:rPr>
          <w:rFonts w:hint="eastAsia" w:ascii="宋体" w:hAnsi="宋体" w:eastAsia="宋体" w:cs="宋体"/>
          <w:color w:val="auto"/>
          <w:highlight w:val="none"/>
        </w:rPr>
        <w:t>“</w:t>
      </w:r>
      <w:r>
        <w:rPr>
          <w:rFonts w:hint="eastAsia"/>
          <w:color w:val="auto"/>
          <w:highlight w:val="none"/>
        </w:rPr>
        <w:t>三废</w:t>
      </w:r>
      <w:r>
        <w:rPr>
          <w:rFonts w:hint="eastAsia" w:ascii="宋体" w:hAnsi="宋体" w:eastAsia="宋体" w:cs="宋体"/>
          <w:color w:val="auto"/>
          <w:highlight w:val="none"/>
        </w:rPr>
        <w:t>”</w:t>
      </w:r>
      <w:r>
        <w:rPr>
          <w:rFonts w:hint="eastAsia"/>
          <w:color w:val="auto"/>
          <w:highlight w:val="none"/>
        </w:rPr>
        <w:t>排放指标实行定额，并进行定期考核，以减少污染物的排放量。</w:t>
      </w:r>
    </w:p>
    <w:p w14:paraId="66928924">
      <w:pPr>
        <w:pStyle w:val="26"/>
        <w:bidi w:val="0"/>
        <w:rPr>
          <w:color w:val="auto"/>
          <w:highlight w:val="none"/>
        </w:rPr>
      </w:pPr>
      <w:r>
        <w:rPr>
          <w:color w:val="auto"/>
          <w:highlight w:val="none"/>
        </w:rPr>
        <w:t>2</w:t>
      </w:r>
      <w:r>
        <w:rPr>
          <w:rFonts w:hint="eastAsia"/>
          <w:color w:val="auto"/>
          <w:highlight w:val="none"/>
        </w:rPr>
        <w:t>、日常管理台账要求</w:t>
      </w:r>
    </w:p>
    <w:p w14:paraId="17723BFC">
      <w:pPr>
        <w:pStyle w:val="26"/>
        <w:bidi w:val="0"/>
        <w:rPr>
          <w:color w:val="auto"/>
          <w:highlight w:val="none"/>
        </w:rPr>
      </w:pPr>
      <w:r>
        <w:rPr>
          <w:rFonts w:hint="eastAsia"/>
          <w:color w:val="auto"/>
          <w:highlight w:val="none"/>
        </w:rPr>
        <w:t>本项目应建立健全的环境管理制度，明确责任主体、管理重点，确保各项环境保护设施和措施的建设、运行及维护费用保障计划。建设单位作为本项目环境管理的责任主体，日常生产中，要做好相关环境管理的台账记录，主要包括台账记录、环保设施维护维修等台账记录。</w:t>
      </w:r>
    </w:p>
    <w:p w14:paraId="453A59D7">
      <w:pPr>
        <w:pStyle w:val="4"/>
        <w:bidi w:val="0"/>
        <w:rPr>
          <w:color w:val="auto"/>
          <w:highlight w:val="none"/>
        </w:rPr>
      </w:pPr>
      <w:bookmarkStart w:id="289" w:name="_Toc94200125"/>
      <w:bookmarkStart w:id="290" w:name="_Toc21319"/>
      <w:r>
        <w:rPr>
          <w:color w:val="auto"/>
          <w:highlight w:val="none"/>
        </w:rPr>
        <w:t>规范排污口</w:t>
      </w:r>
      <w:bookmarkEnd w:id="289"/>
      <w:bookmarkEnd w:id="290"/>
    </w:p>
    <w:p w14:paraId="2259524B">
      <w:pPr>
        <w:pStyle w:val="26"/>
        <w:bidi w:val="0"/>
        <w:rPr>
          <w:color w:val="auto"/>
          <w:highlight w:val="none"/>
        </w:rPr>
      </w:pPr>
      <w:r>
        <w:rPr>
          <w:rFonts w:hint="eastAsia"/>
          <w:color w:val="auto"/>
          <w:highlight w:val="none"/>
        </w:rPr>
        <w:t>根据《环境保护图形标志</w:t>
      </w:r>
      <w:r>
        <w:rPr>
          <w:rFonts w:hint="eastAsia"/>
          <w:color w:val="auto"/>
          <w:highlight w:val="none"/>
          <w:lang w:val="en-US" w:eastAsia="zh-CN"/>
        </w:rPr>
        <w:t>-</w:t>
      </w:r>
      <w:r>
        <w:rPr>
          <w:rFonts w:hint="eastAsia"/>
          <w:color w:val="auto"/>
          <w:highlight w:val="none"/>
        </w:rPr>
        <w:t>排放口（源）》（GB15562.1-1995）和《排污口规范化整治要求（试行）》（环监</w:t>
      </w:r>
      <w:r>
        <w:rPr>
          <w:rFonts w:hint="eastAsia"/>
          <w:color w:val="auto"/>
          <w:highlight w:val="none"/>
          <w:lang w:eastAsia="zh-CN"/>
        </w:rPr>
        <w:t>【</w:t>
      </w:r>
      <w:r>
        <w:rPr>
          <w:rFonts w:hint="eastAsia"/>
          <w:color w:val="auto"/>
          <w:highlight w:val="none"/>
          <w:lang w:val="en-US" w:eastAsia="zh-CN"/>
        </w:rPr>
        <w:t>1996</w:t>
      </w:r>
      <w:r>
        <w:rPr>
          <w:rFonts w:hint="eastAsia"/>
          <w:color w:val="auto"/>
          <w:highlight w:val="none"/>
          <w:lang w:eastAsia="zh-CN"/>
        </w:rPr>
        <w:t>】</w:t>
      </w:r>
      <w:r>
        <w:rPr>
          <w:rFonts w:hint="eastAsia"/>
          <w:color w:val="auto"/>
          <w:highlight w:val="none"/>
        </w:rPr>
        <w:t>470号）的要求，企业所有排放口（包括气、声、固体废物），必须按照</w:t>
      </w:r>
      <w:r>
        <w:rPr>
          <w:rFonts w:hint="eastAsia" w:ascii="宋体" w:hAnsi="宋体" w:eastAsia="宋体" w:cs="宋体"/>
          <w:color w:val="auto"/>
          <w:highlight w:val="none"/>
        </w:rPr>
        <w:t>“</w:t>
      </w:r>
      <w:r>
        <w:rPr>
          <w:rFonts w:hint="eastAsia"/>
          <w:color w:val="auto"/>
          <w:highlight w:val="none"/>
        </w:rPr>
        <w:t>便于计量监测、便于日常现场监督检查</w:t>
      </w:r>
      <w:r>
        <w:rPr>
          <w:rFonts w:hint="eastAsia" w:ascii="宋体" w:hAnsi="宋体" w:eastAsia="宋体" w:cs="宋体"/>
          <w:color w:val="auto"/>
          <w:highlight w:val="none"/>
        </w:rPr>
        <w:t>”</w:t>
      </w:r>
      <w:r>
        <w:rPr>
          <w:rFonts w:hint="eastAsia"/>
          <w:color w:val="auto"/>
          <w:highlight w:val="none"/>
        </w:rPr>
        <w:t>的原则和规范化要求，设置与之相适应的环境保护图形标志牌，绘制企业排污口分布图，对治理设施安装运行监控装置。</w:t>
      </w:r>
    </w:p>
    <w:p w14:paraId="2D4778A6">
      <w:pPr>
        <w:pStyle w:val="26"/>
        <w:bidi w:val="0"/>
        <w:rPr>
          <w:color w:val="auto"/>
          <w:highlight w:val="none"/>
        </w:rPr>
      </w:pPr>
      <w:r>
        <w:rPr>
          <w:rFonts w:hint="eastAsia"/>
          <w:color w:val="auto"/>
          <w:highlight w:val="none"/>
        </w:rPr>
        <w:t>1、固定噪声源</w:t>
      </w:r>
    </w:p>
    <w:p w14:paraId="0468620A">
      <w:pPr>
        <w:pStyle w:val="26"/>
        <w:bidi w:val="0"/>
        <w:rPr>
          <w:color w:val="auto"/>
          <w:highlight w:val="none"/>
        </w:rPr>
      </w:pPr>
      <w:r>
        <w:rPr>
          <w:rFonts w:hint="eastAsia"/>
          <w:color w:val="auto"/>
          <w:highlight w:val="none"/>
        </w:rPr>
        <w:t>对固定噪声源进行治理，且对外界影响最大处设置标志牌。</w:t>
      </w:r>
    </w:p>
    <w:p w14:paraId="1955BE75">
      <w:pPr>
        <w:pStyle w:val="26"/>
        <w:bidi w:val="0"/>
        <w:rPr>
          <w:color w:val="auto"/>
          <w:highlight w:val="none"/>
        </w:rPr>
      </w:pPr>
      <w:r>
        <w:rPr>
          <w:color w:val="auto"/>
          <w:highlight w:val="none"/>
        </w:rPr>
        <w:t>2、</w:t>
      </w:r>
      <w:r>
        <w:rPr>
          <w:rFonts w:hint="eastAsia"/>
          <w:color w:val="auto"/>
          <w:highlight w:val="none"/>
        </w:rPr>
        <w:t>设置标志牌要求</w:t>
      </w:r>
    </w:p>
    <w:p w14:paraId="6980455D">
      <w:pPr>
        <w:pStyle w:val="26"/>
        <w:bidi w:val="0"/>
        <w:rPr>
          <w:color w:val="auto"/>
          <w:highlight w:val="none"/>
        </w:rPr>
      </w:pPr>
      <w:r>
        <w:rPr>
          <w:rFonts w:hint="eastAsia"/>
          <w:color w:val="auto"/>
          <w:highlight w:val="none"/>
        </w:rPr>
        <w:t>环境保护图形标志牌由生态环境部统一定点制作，企业排污口分布图由市环境监管部门统一绘制。排放一般污染物排污口（源），设置提示式标志牌，排放有毒有害等污染物的排污口设置警告式标志牌。</w:t>
      </w:r>
    </w:p>
    <w:p w14:paraId="38503767">
      <w:pPr>
        <w:pStyle w:val="26"/>
        <w:bidi w:val="0"/>
        <w:rPr>
          <w:color w:val="auto"/>
          <w:highlight w:val="none"/>
        </w:rPr>
      </w:pPr>
      <w:r>
        <w:rPr>
          <w:rFonts w:hint="eastAsia"/>
          <w:color w:val="auto"/>
          <w:highlight w:val="none"/>
        </w:rPr>
        <w:t>标志牌设置位置在排污口附近且醒目处，高度为标志牌上缘离地面2m；排污口附近1m范围内有建筑物的，设平面式标志牌，无建筑物的设立式标志牌。</w:t>
      </w:r>
    </w:p>
    <w:p w14:paraId="2434993A">
      <w:pPr>
        <w:pStyle w:val="26"/>
        <w:bidi w:val="0"/>
        <w:rPr>
          <w:color w:val="auto"/>
          <w:highlight w:val="none"/>
        </w:rPr>
      </w:pPr>
      <w:r>
        <w:rPr>
          <w:rFonts w:hint="eastAsia"/>
          <w:color w:val="auto"/>
          <w:highlight w:val="none"/>
        </w:rPr>
        <w:t>规范化排污口的有关设置（如图形标志牌、监控装置等）属环保设施，排污单位必须负责日常的维护保养，任何单位和个人不得擅自拆除，如需变更的须报环境监管部门同意并办理变更手续。</w:t>
      </w:r>
    </w:p>
    <w:p w14:paraId="1598F692">
      <w:pPr>
        <w:pStyle w:val="26"/>
        <w:bidi w:val="0"/>
        <w:rPr>
          <w:color w:val="auto"/>
          <w:highlight w:val="none"/>
        </w:rPr>
      </w:pPr>
      <w:r>
        <w:rPr>
          <w:rFonts w:hint="eastAsia"/>
          <w:color w:val="auto"/>
          <w:highlight w:val="none"/>
        </w:rPr>
        <w:t>本项目</w:t>
      </w:r>
      <w:r>
        <w:rPr>
          <w:color w:val="auto"/>
          <w:highlight w:val="none"/>
        </w:rPr>
        <w:t>排污口</w:t>
      </w:r>
      <w:r>
        <w:rPr>
          <w:rFonts w:hint="eastAsia"/>
          <w:color w:val="auto"/>
          <w:highlight w:val="none"/>
        </w:rPr>
        <w:t>设置牌</w:t>
      </w:r>
      <w:r>
        <w:rPr>
          <w:color w:val="auto"/>
          <w:highlight w:val="none"/>
        </w:rPr>
        <w:t>可参照以下</w:t>
      </w:r>
      <w:r>
        <w:rPr>
          <w:rFonts w:hint="eastAsia"/>
          <w:color w:val="auto"/>
          <w:highlight w:val="none"/>
        </w:rPr>
        <w:t>标识</w:t>
      </w:r>
      <w:r>
        <w:rPr>
          <w:color w:val="auto"/>
          <w:highlight w:val="none"/>
        </w:rPr>
        <w:t>设置</w:t>
      </w:r>
      <w:r>
        <w:rPr>
          <w:rFonts w:hint="eastAsia"/>
          <w:color w:val="auto"/>
          <w:highlight w:val="none"/>
        </w:rPr>
        <w:t>。</w:t>
      </w:r>
    </w:p>
    <w:p w14:paraId="3974D3EA">
      <w:pPr>
        <w:pStyle w:val="28"/>
        <w:numPr>
          <w:ilvl w:val="0"/>
          <w:numId w:val="45"/>
        </w:numPr>
        <w:bidi w:val="0"/>
        <w:ind w:left="425" w:leftChars="0" w:hanging="425" w:firstLineChars="0"/>
        <w:rPr>
          <w:color w:val="auto"/>
          <w:highlight w:val="none"/>
        </w:rPr>
      </w:pPr>
      <w:r>
        <w:rPr>
          <w:rFonts w:hint="eastAsia"/>
          <w:color w:val="auto"/>
          <w:highlight w:val="none"/>
        </w:rPr>
        <w:t>排放源</w:t>
      </w:r>
      <w:r>
        <w:rPr>
          <w:color w:val="auto"/>
          <w:highlight w:val="none"/>
        </w:rPr>
        <w:t>图形标识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915"/>
        <w:gridCol w:w="1960"/>
        <w:gridCol w:w="2056"/>
        <w:gridCol w:w="1960"/>
      </w:tblGrid>
      <w:tr w14:paraId="65A9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396" w:type="dxa"/>
            <w:tcBorders>
              <w:bottom w:val="double" w:color="auto" w:sz="4" w:space="0"/>
              <w:right w:val="double" w:color="auto" w:sz="4" w:space="0"/>
            </w:tcBorders>
            <w:shd w:val="pct10" w:color="auto" w:fill="auto"/>
            <w:noWrap w:val="0"/>
            <w:vAlign w:val="center"/>
          </w:tcPr>
          <w:p w14:paraId="3FB77F87">
            <w:pPr>
              <w:pStyle w:val="24"/>
              <w:bidi w:val="0"/>
              <w:rPr>
                <w:color w:val="auto"/>
                <w:highlight w:val="none"/>
              </w:rPr>
            </w:pPr>
            <w:r>
              <w:rPr>
                <w:color w:val="auto"/>
                <w:highlight w:val="none"/>
              </w:rPr>
              <w:t>排放口</w:t>
            </w:r>
          </w:p>
        </w:tc>
        <w:tc>
          <w:tcPr>
            <w:tcW w:w="1915" w:type="dxa"/>
            <w:tcBorders>
              <w:left w:val="double" w:color="auto" w:sz="4" w:space="0"/>
              <w:bottom w:val="double" w:color="auto" w:sz="4" w:space="0"/>
            </w:tcBorders>
            <w:shd w:val="pct10" w:color="auto" w:fill="auto"/>
            <w:noWrap w:val="0"/>
            <w:vAlign w:val="center"/>
          </w:tcPr>
          <w:p w14:paraId="7B18B90D">
            <w:pPr>
              <w:pStyle w:val="24"/>
              <w:bidi w:val="0"/>
              <w:rPr>
                <w:color w:val="auto"/>
                <w:highlight w:val="none"/>
              </w:rPr>
            </w:pPr>
            <w:r>
              <w:rPr>
                <w:color w:val="auto"/>
                <w:highlight w:val="none"/>
              </w:rPr>
              <w:t>废水排口</w:t>
            </w:r>
          </w:p>
        </w:tc>
        <w:tc>
          <w:tcPr>
            <w:tcW w:w="1960" w:type="dxa"/>
            <w:tcBorders>
              <w:bottom w:val="double" w:color="auto" w:sz="4" w:space="0"/>
            </w:tcBorders>
            <w:shd w:val="pct10" w:color="auto" w:fill="auto"/>
            <w:noWrap w:val="0"/>
            <w:vAlign w:val="center"/>
          </w:tcPr>
          <w:p w14:paraId="7A96EC4D">
            <w:pPr>
              <w:pStyle w:val="24"/>
              <w:bidi w:val="0"/>
              <w:rPr>
                <w:color w:val="auto"/>
                <w:highlight w:val="none"/>
              </w:rPr>
            </w:pPr>
            <w:r>
              <w:rPr>
                <w:color w:val="auto"/>
                <w:highlight w:val="none"/>
              </w:rPr>
              <w:t>废气排口</w:t>
            </w:r>
          </w:p>
        </w:tc>
        <w:tc>
          <w:tcPr>
            <w:tcW w:w="2056" w:type="dxa"/>
            <w:tcBorders>
              <w:bottom w:val="double" w:color="auto" w:sz="4" w:space="0"/>
            </w:tcBorders>
            <w:shd w:val="pct10" w:color="auto" w:fill="auto"/>
            <w:noWrap w:val="0"/>
            <w:vAlign w:val="center"/>
          </w:tcPr>
          <w:p w14:paraId="57407FF5">
            <w:pPr>
              <w:pStyle w:val="24"/>
              <w:bidi w:val="0"/>
              <w:rPr>
                <w:color w:val="auto"/>
                <w:highlight w:val="none"/>
              </w:rPr>
            </w:pPr>
            <w:r>
              <w:rPr>
                <w:color w:val="auto"/>
                <w:highlight w:val="none"/>
              </w:rPr>
              <w:t>噪声源</w:t>
            </w:r>
          </w:p>
        </w:tc>
        <w:tc>
          <w:tcPr>
            <w:tcW w:w="1960" w:type="dxa"/>
            <w:tcBorders>
              <w:bottom w:val="double" w:color="auto" w:sz="4" w:space="0"/>
            </w:tcBorders>
            <w:shd w:val="pct10" w:color="auto" w:fill="auto"/>
            <w:noWrap w:val="0"/>
            <w:vAlign w:val="center"/>
          </w:tcPr>
          <w:p w14:paraId="6D6128F0">
            <w:pPr>
              <w:pStyle w:val="24"/>
              <w:bidi w:val="0"/>
              <w:rPr>
                <w:color w:val="auto"/>
                <w:highlight w:val="none"/>
              </w:rPr>
            </w:pPr>
            <w:r>
              <w:rPr>
                <w:color w:val="auto"/>
                <w:highlight w:val="none"/>
              </w:rPr>
              <w:t>固体废物堆场</w:t>
            </w:r>
          </w:p>
        </w:tc>
      </w:tr>
      <w:tr w14:paraId="1535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1396" w:type="dxa"/>
            <w:tcBorders>
              <w:top w:val="double" w:color="auto" w:sz="4" w:space="0"/>
              <w:right w:val="double" w:color="auto" w:sz="4" w:space="0"/>
            </w:tcBorders>
            <w:shd w:val="pct10" w:color="auto" w:fill="auto"/>
            <w:noWrap w:val="0"/>
            <w:vAlign w:val="center"/>
          </w:tcPr>
          <w:p w14:paraId="749B52A1">
            <w:pPr>
              <w:pStyle w:val="24"/>
              <w:bidi w:val="0"/>
              <w:rPr>
                <w:color w:val="auto"/>
                <w:highlight w:val="none"/>
              </w:rPr>
            </w:pPr>
            <w:r>
              <w:rPr>
                <w:color w:val="auto"/>
                <w:highlight w:val="none"/>
              </w:rPr>
              <w:t>图形符号</w:t>
            </w:r>
          </w:p>
        </w:tc>
        <w:tc>
          <w:tcPr>
            <w:tcW w:w="1915" w:type="dxa"/>
            <w:tcBorders>
              <w:top w:val="double" w:color="auto" w:sz="4" w:space="0"/>
              <w:left w:val="double" w:color="auto" w:sz="4" w:space="0"/>
            </w:tcBorders>
            <w:noWrap w:val="0"/>
            <w:vAlign w:val="center"/>
          </w:tcPr>
          <w:p w14:paraId="386C7D09">
            <w:pPr>
              <w:pStyle w:val="24"/>
              <w:bidi w:val="0"/>
              <w:rPr>
                <w:color w:val="auto"/>
                <w:highlight w:val="none"/>
              </w:rPr>
            </w:pPr>
            <w:r>
              <w:rPr>
                <w:color w:val="auto"/>
                <w:highlight w:val="none"/>
              </w:rPr>
              <w:drawing>
                <wp:inline distT="0" distB="0" distL="114300" distR="114300">
                  <wp:extent cx="1002030" cy="993775"/>
                  <wp:effectExtent l="0" t="0" r="7620" b="15875"/>
                  <wp:docPr id="28"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5"/>
                          <pic:cNvPicPr>
                            <a:picLocks noChangeAspect="1"/>
                          </pic:cNvPicPr>
                        </pic:nvPicPr>
                        <pic:blipFill>
                          <a:blip r:embed="rId207"/>
                          <a:srcRect l="8682" r="-2"/>
                          <a:stretch>
                            <a:fillRect/>
                          </a:stretch>
                        </pic:blipFill>
                        <pic:spPr>
                          <a:xfrm>
                            <a:off x="0" y="0"/>
                            <a:ext cx="1002030" cy="993775"/>
                          </a:xfrm>
                          <a:prstGeom prst="rect">
                            <a:avLst/>
                          </a:prstGeom>
                          <a:noFill/>
                          <a:ln>
                            <a:noFill/>
                          </a:ln>
                        </pic:spPr>
                      </pic:pic>
                    </a:graphicData>
                  </a:graphic>
                </wp:inline>
              </w:drawing>
            </w:r>
          </w:p>
        </w:tc>
        <w:tc>
          <w:tcPr>
            <w:tcW w:w="1960" w:type="dxa"/>
            <w:tcBorders>
              <w:top w:val="double" w:color="auto" w:sz="4" w:space="0"/>
            </w:tcBorders>
            <w:noWrap w:val="0"/>
            <w:vAlign w:val="center"/>
          </w:tcPr>
          <w:p w14:paraId="514BD9FE">
            <w:pPr>
              <w:pStyle w:val="24"/>
              <w:bidi w:val="0"/>
              <w:rPr>
                <w:color w:val="auto"/>
                <w:highlight w:val="none"/>
              </w:rPr>
            </w:pPr>
            <w:r>
              <w:rPr>
                <w:color w:val="auto"/>
                <w:highlight w:val="none"/>
              </w:rPr>
              <w:drawing>
                <wp:inline distT="0" distB="0" distL="114300" distR="114300">
                  <wp:extent cx="1002030" cy="930275"/>
                  <wp:effectExtent l="0" t="0" r="7620" b="3175"/>
                  <wp:docPr id="29"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6"/>
                          <pic:cNvPicPr>
                            <a:picLocks noChangeAspect="1"/>
                          </pic:cNvPicPr>
                        </pic:nvPicPr>
                        <pic:blipFill>
                          <a:blip r:embed="rId208"/>
                          <a:stretch>
                            <a:fillRect/>
                          </a:stretch>
                        </pic:blipFill>
                        <pic:spPr>
                          <a:xfrm>
                            <a:off x="0" y="0"/>
                            <a:ext cx="1002030" cy="930275"/>
                          </a:xfrm>
                          <a:prstGeom prst="rect">
                            <a:avLst/>
                          </a:prstGeom>
                          <a:noFill/>
                          <a:ln>
                            <a:noFill/>
                          </a:ln>
                        </pic:spPr>
                      </pic:pic>
                    </a:graphicData>
                  </a:graphic>
                </wp:inline>
              </w:drawing>
            </w:r>
          </w:p>
        </w:tc>
        <w:tc>
          <w:tcPr>
            <w:tcW w:w="2056" w:type="dxa"/>
            <w:tcBorders>
              <w:top w:val="double" w:color="auto" w:sz="4" w:space="0"/>
            </w:tcBorders>
            <w:noWrap w:val="0"/>
            <w:vAlign w:val="center"/>
          </w:tcPr>
          <w:p w14:paraId="0A3F102D">
            <w:pPr>
              <w:pStyle w:val="24"/>
              <w:bidi w:val="0"/>
              <w:rPr>
                <w:color w:val="auto"/>
                <w:highlight w:val="none"/>
              </w:rPr>
            </w:pPr>
            <w:r>
              <w:rPr>
                <w:color w:val="auto"/>
                <w:highlight w:val="none"/>
              </w:rPr>
              <w:drawing>
                <wp:inline distT="0" distB="0" distL="114300" distR="114300">
                  <wp:extent cx="1017905" cy="993775"/>
                  <wp:effectExtent l="0" t="0" r="10795" b="15875"/>
                  <wp:docPr id="14"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7"/>
                          <pic:cNvPicPr>
                            <a:picLocks noChangeAspect="1"/>
                          </pic:cNvPicPr>
                        </pic:nvPicPr>
                        <pic:blipFill>
                          <a:blip r:embed="rId209"/>
                          <a:stretch>
                            <a:fillRect/>
                          </a:stretch>
                        </pic:blipFill>
                        <pic:spPr>
                          <a:xfrm>
                            <a:off x="0" y="0"/>
                            <a:ext cx="1017905" cy="993775"/>
                          </a:xfrm>
                          <a:prstGeom prst="rect">
                            <a:avLst/>
                          </a:prstGeom>
                          <a:noFill/>
                          <a:ln>
                            <a:noFill/>
                          </a:ln>
                        </pic:spPr>
                      </pic:pic>
                    </a:graphicData>
                  </a:graphic>
                </wp:inline>
              </w:drawing>
            </w:r>
          </w:p>
        </w:tc>
        <w:tc>
          <w:tcPr>
            <w:tcW w:w="1960" w:type="dxa"/>
            <w:tcBorders>
              <w:top w:val="double" w:color="auto" w:sz="4" w:space="0"/>
            </w:tcBorders>
            <w:noWrap w:val="0"/>
            <w:vAlign w:val="center"/>
          </w:tcPr>
          <w:p w14:paraId="0932E656">
            <w:pPr>
              <w:pStyle w:val="24"/>
              <w:bidi w:val="0"/>
              <w:rPr>
                <w:color w:val="auto"/>
                <w:highlight w:val="none"/>
              </w:rPr>
            </w:pPr>
            <w:r>
              <w:rPr>
                <w:color w:val="auto"/>
                <w:highlight w:val="none"/>
              </w:rPr>
              <w:drawing>
                <wp:inline distT="0" distB="0" distL="114300" distR="114300">
                  <wp:extent cx="1025525" cy="993775"/>
                  <wp:effectExtent l="0" t="0" r="3175" b="15875"/>
                  <wp:docPr id="21"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8"/>
                          <pic:cNvPicPr>
                            <a:picLocks noChangeAspect="1"/>
                          </pic:cNvPicPr>
                        </pic:nvPicPr>
                        <pic:blipFill>
                          <a:blip r:embed="rId210"/>
                          <a:stretch>
                            <a:fillRect/>
                          </a:stretch>
                        </pic:blipFill>
                        <pic:spPr>
                          <a:xfrm>
                            <a:off x="0" y="0"/>
                            <a:ext cx="1025525" cy="993775"/>
                          </a:xfrm>
                          <a:prstGeom prst="rect">
                            <a:avLst/>
                          </a:prstGeom>
                          <a:noFill/>
                          <a:ln>
                            <a:noFill/>
                          </a:ln>
                        </pic:spPr>
                      </pic:pic>
                    </a:graphicData>
                  </a:graphic>
                </wp:inline>
              </w:drawing>
            </w:r>
          </w:p>
        </w:tc>
      </w:tr>
      <w:tr w14:paraId="5C8B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jc w:val="center"/>
        </w:trPr>
        <w:tc>
          <w:tcPr>
            <w:tcW w:w="1396" w:type="dxa"/>
            <w:tcBorders>
              <w:right w:val="double" w:color="auto" w:sz="4" w:space="0"/>
            </w:tcBorders>
            <w:shd w:val="pct10" w:color="auto" w:fill="auto"/>
            <w:noWrap w:val="0"/>
            <w:vAlign w:val="center"/>
          </w:tcPr>
          <w:p w14:paraId="719D50A3">
            <w:pPr>
              <w:pStyle w:val="24"/>
              <w:bidi w:val="0"/>
              <w:rPr>
                <w:color w:val="auto"/>
                <w:highlight w:val="none"/>
              </w:rPr>
            </w:pPr>
            <w:r>
              <w:rPr>
                <w:color w:val="auto"/>
                <w:highlight w:val="none"/>
              </w:rPr>
              <w:t>背景颜色</w:t>
            </w:r>
          </w:p>
        </w:tc>
        <w:tc>
          <w:tcPr>
            <w:tcW w:w="7891" w:type="dxa"/>
            <w:gridSpan w:val="4"/>
            <w:tcBorders>
              <w:left w:val="double" w:color="auto" w:sz="4" w:space="0"/>
            </w:tcBorders>
            <w:noWrap w:val="0"/>
            <w:vAlign w:val="center"/>
          </w:tcPr>
          <w:p w14:paraId="3EE02001">
            <w:pPr>
              <w:pStyle w:val="24"/>
              <w:bidi w:val="0"/>
              <w:rPr>
                <w:color w:val="auto"/>
                <w:highlight w:val="none"/>
              </w:rPr>
            </w:pPr>
            <w:r>
              <w:rPr>
                <w:color w:val="auto"/>
                <w:highlight w:val="none"/>
              </w:rPr>
              <w:t>绿色</w:t>
            </w:r>
          </w:p>
        </w:tc>
      </w:tr>
      <w:tr w14:paraId="49F7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396" w:type="dxa"/>
            <w:tcBorders>
              <w:right w:val="double" w:color="auto" w:sz="4" w:space="0"/>
            </w:tcBorders>
            <w:shd w:val="pct10" w:color="auto" w:fill="auto"/>
            <w:noWrap w:val="0"/>
            <w:vAlign w:val="center"/>
          </w:tcPr>
          <w:p w14:paraId="2417415A">
            <w:pPr>
              <w:pStyle w:val="24"/>
              <w:bidi w:val="0"/>
              <w:rPr>
                <w:color w:val="auto"/>
                <w:highlight w:val="none"/>
              </w:rPr>
            </w:pPr>
            <w:r>
              <w:rPr>
                <w:color w:val="auto"/>
                <w:highlight w:val="none"/>
              </w:rPr>
              <w:t>图形颜色</w:t>
            </w:r>
          </w:p>
        </w:tc>
        <w:tc>
          <w:tcPr>
            <w:tcW w:w="7891" w:type="dxa"/>
            <w:gridSpan w:val="4"/>
            <w:tcBorders>
              <w:left w:val="double" w:color="auto" w:sz="4" w:space="0"/>
            </w:tcBorders>
            <w:noWrap w:val="0"/>
            <w:vAlign w:val="center"/>
          </w:tcPr>
          <w:p w14:paraId="7FCE84DA">
            <w:pPr>
              <w:pStyle w:val="24"/>
              <w:bidi w:val="0"/>
              <w:rPr>
                <w:color w:val="auto"/>
                <w:highlight w:val="none"/>
              </w:rPr>
            </w:pPr>
            <w:r>
              <w:rPr>
                <w:color w:val="auto"/>
                <w:highlight w:val="none"/>
              </w:rPr>
              <w:t>白色</w:t>
            </w:r>
          </w:p>
        </w:tc>
      </w:tr>
    </w:tbl>
    <w:p w14:paraId="20EF7153">
      <w:pPr>
        <w:pStyle w:val="4"/>
        <w:bidi w:val="0"/>
        <w:rPr>
          <w:color w:val="auto"/>
          <w:highlight w:val="none"/>
        </w:rPr>
      </w:pPr>
      <w:bookmarkStart w:id="291" w:name="_Toc3836"/>
      <w:bookmarkStart w:id="292" w:name="_Toc94200126"/>
      <w:r>
        <w:rPr>
          <w:rFonts w:hint="eastAsia"/>
          <w:color w:val="auto"/>
          <w:highlight w:val="none"/>
        </w:rPr>
        <w:t>排污许可要求</w:t>
      </w:r>
      <w:bookmarkEnd w:id="291"/>
      <w:bookmarkEnd w:id="292"/>
    </w:p>
    <w:p w14:paraId="2362D8CC">
      <w:pPr>
        <w:pStyle w:val="26"/>
        <w:bidi w:val="0"/>
        <w:rPr>
          <w:color w:val="auto"/>
          <w:highlight w:val="none"/>
        </w:rPr>
      </w:pPr>
      <w:r>
        <w:rPr>
          <w:rFonts w:hint="eastAsia"/>
          <w:color w:val="auto"/>
          <w:highlight w:val="none"/>
        </w:rPr>
        <w:t>根据《排污许可管理办法（试行）》（环境保护部令第48号）、《排污许可证管理暂行规定》（环水体</w:t>
      </w:r>
      <w:r>
        <w:rPr>
          <w:rFonts w:hint="eastAsia"/>
          <w:color w:val="auto"/>
          <w:highlight w:val="none"/>
          <w:lang w:eastAsia="zh-CN"/>
        </w:rPr>
        <w:t>【</w:t>
      </w:r>
      <w:r>
        <w:rPr>
          <w:rFonts w:hint="eastAsia"/>
          <w:color w:val="auto"/>
          <w:highlight w:val="none"/>
          <w:lang w:val="en-US" w:eastAsia="zh-CN"/>
        </w:rPr>
        <w:t>2016</w:t>
      </w:r>
      <w:r>
        <w:rPr>
          <w:rFonts w:hint="eastAsia"/>
          <w:color w:val="auto"/>
          <w:highlight w:val="none"/>
          <w:lang w:eastAsia="zh-CN"/>
        </w:rPr>
        <w:t>】</w:t>
      </w:r>
      <w:r>
        <w:rPr>
          <w:rFonts w:hint="eastAsia"/>
          <w:color w:val="auto"/>
          <w:highlight w:val="none"/>
        </w:rPr>
        <w:t>186号）和环境保护部办公厅《关于做好环境影响评价制度与排污许可</w:t>
      </w:r>
      <w:r>
        <w:rPr>
          <w:rFonts w:hint="eastAsia"/>
          <w:color w:val="auto"/>
          <w:highlight w:val="none"/>
          <w:lang w:eastAsia="zh-CN"/>
        </w:rPr>
        <w:t>制度</w:t>
      </w:r>
      <w:r>
        <w:rPr>
          <w:rFonts w:hint="eastAsia"/>
          <w:color w:val="auto"/>
          <w:highlight w:val="none"/>
        </w:rPr>
        <w:t>衔接相关工作的通知》（环办环评</w:t>
      </w:r>
      <w:r>
        <w:rPr>
          <w:rFonts w:hint="eastAsia"/>
          <w:color w:val="auto"/>
          <w:highlight w:val="none"/>
          <w:lang w:eastAsia="zh-CN"/>
        </w:rPr>
        <w:t>【</w:t>
      </w:r>
      <w:r>
        <w:rPr>
          <w:rFonts w:hint="eastAsia"/>
          <w:color w:val="auto"/>
          <w:highlight w:val="none"/>
          <w:lang w:val="en-US" w:eastAsia="zh-CN"/>
        </w:rPr>
        <w:t>2017</w:t>
      </w:r>
      <w:r>
        <w:rPr>
          <w:rFonts w:hint="eastAsia"/>
          <w:color w:val="auto"/>
          <w:highlight w:val="none"/>
          <w:lang w:eastAsia="zh-CN"/>
        </w:rPr>
        <w:t>】</w:t>
      </w:r>
      <w:r>
        <w:rPr>
          <w:rFonts w:hint="eastAsia"/>
          <w:color w:val="auto"/>
          <w:highlight w:val="none"/>
        </w:rPr>
        <w:t>84号）的要求，建设单位应在投入生产或使用并产生实际排污行为之前，依法按照《固定污染源排污许可分类管理名录（201</w:t>
      </w:r>
      <w:r>
        <w:rPr>
          <w:color w:val="auto"/>
          <w:highlight w:val="none"/>
        </w:rPr>
        <w:t>9</w:t>
      </w:r>
      <w:r>
        <w:rPr>
          <w:rFonts w:hint="eastAsia"/>
          <w:color w:val="auto"/>
          <w:highlight w:val="none"/>
        </w:rPr>
        <w:t>年版）》（部令第</w:t>
      </w:r>
      <w:r>
        <w:rPr>
          <w:color w:val="auto"/>
          <w:highlight w:val="none"/>
        </w:rPr>
        <w:t>11</w:t>
      </w:r>
      <w:r>
        <w:rPr>
          <w:rFonts w:hint="eastAsia"/>
          <w:color w:val="auto"/>
          <w:highlight w:val="none"/>
        </w:rPr>
        <w:t>号）提交排污许可申请，申报排放污染物种类、排放浓度等，测算并申报污染物排放量，申请领取排污许可证，并按照要求编制和提交《排污许可证执行报告》。</w:t>
      </w:r>
    </w:p>
    <w:p w14:paraId="4AF80DA1">
      <w:pPr>
        <w:pStyle w:val="4"/>
        <w:bidi w:val="0"/>
        <w:rPr>
          <w:color w:val="auto"/>
          <w:highlight w:val="none"/>
        </w:rPr>
      </w:pPr>
      <w:bookmarkStart w:id="293" w:name="_Toc94200127"/>
      <w:bookmarkStart w:id="294" w:name="_Toc1296"/>
      <w:r>
        <w:rPr>
          <w:rFonts w:hint="eastAsia"/>
          <w:color w:val="auto"/>
          <w:highlight w:val="none"/>
        </w:rPr>
        <w:t>竣工环境保护验收</w:t>
      </w:r>
      <w:bookmarkEnd w:id="293"/>
      <w:bookmarkEnd w:id="294"/>
    </w:p>
    <w:p w14:paraId="62A3E253">
      <w:pPr>
        <w:pStyle w:val="26"/>
        <w:bidi w:val="0"/>
        <w:rPr>
          <w:color w:val="auto"/>
          <w:highlight w:val="none"/>
        </w:rPr>
      </w:pPr>
      <w:r>
        <w:rPr>
          <w:rFonts w:hint="eastAsia"/>
          <w:color w:val="auto"/>
          <w:highlight w:val="none"/>
        </w:rPr>
        <w:t>根据</w:t>
      </w:r>
      <w:r>
        <w:rPr>
          <w:color w:val="auto"/>
          <w:highlight w:val="none"/>
        </w:rPr>
        <w:t>《建设项目环境保护管理条例》</w:t>
      </w:r>
      <w:r>
        <w:rPr>
          <w:rFonts w:hint="eastAsia"/>
          <w:color w:val="auto"/>
          <w:highlight w:val="none"/>
        </w:rPr>
        <w:t>（</w:t>
      </w:r>
      <w:r>
        <w:rPr>
          <w:color w:val="auto"/>
          <w:highlight w:val="none"/>
        </w:rPr>
        <w:t>国务院令第682号</w:t>
      </w:r>
      <w:r>
        <w:rPr>
          <w:rFonts w:hint="eastAsia"/>
          <w:color w:val="auto"/>
          <w:highlight w:val="none"/>
        </w:rPr>
        <w:t>）和《建设项目竣工环境保护验收暂行办法》（国环规环评</w:t>
      </w:r>
      <w:r>
        <w:rPr>
          <w:rFonts w:hint="eastAsia"/>
          <w:color w:val="auto"/>
          <w:highlight w:val="none"/>
          <w:lang w:eastAsia="zh-CN"/>
        </w:rPr>
        <w:t>【</w:t>
      </w:r>
      <w:r>
        <w:rPr>
          <w:rFonts w:hint="eastAsia"/>
          <w:color w:val="auto"/>
          <w:highlight w:val="none"/>
          <w:lang w:val="en-US" w:eastAsia="zh-CN"/>
        </w:rPr>
        <w:t>2017</w:t>
      </w:r>
      <w:r>
        <w:rPr>
          <w:rFonts w:hint="eastAsia"/>
          <w:color w:val="auto"/>
          <w:highlight w:val="none"/>
          <w:lang w:eastAsia="zh-CN"/>
        </w:rPr>
        <w:t>】</w:t>
      </w:r>
      <w:r>
        <w:rPr>
          <w:rFonts w:hint="eastAsia"/>
          <w:color w:val="auto"/>
          <w:highlight w:val="none"/>
        </w:rPr>
        <w:t>4号）的要求，建设单位应作为竣工环境保护验收的责任主体，在建设项目竣工后对配套环保保护设施进行验收。</w:t>
      </w:r>
    </w:p>
    <w:p w14:paraId="0CFFA938">
      <w:pPr>
        <w:pStyle w:val="26"/>
        <w:bidi w:val="0"/>
        <w:rPr>
          <w:color w:val="auto"/>
          <w:highlight w:val="none"/>
        </w:rPr>
      </w:pPr>
      <w:r>
        <w:rPr>
          <w:rFonts w:hint="eastAsia"/>
          <w:color w:val="auto"/>
          <w:highlight w:val="none"/>
        </w:rPr>
        <w:t>①验收范围：对照环境影响报告及其批复文件核查项目选址、总平布置、建设内容、规模及产品、生产能力等情况是否发生变更。</w:t>
      </w:r>
    </w:p>
    <w:p w14:paraId="6DCCE093">
      <w:pPr>
        <w:pStyle w:val="26"/>
        <w:bidi w:val="0"/>
        <w:rPr>
          <w:color w:val="auto"/>
          <w:highlight w:val="none"/>
        </w:rPr>
      </w:pPr>
      <w:r>
        <w:rPr>
          <w:rFonts w:hint="eastAsia"/>
          <w:color w:val="auto"/>
          <w:highlight w:val="none"/>
        </w:rPr>
        <w:t>②确定验收标准：参考环评执行标准，核查建设项目竣工环保验收应执行的标准。</w:t>
      </w:r>
    </w:p>
    <w:p w14:paraId="09F1E3C4">
      <w:pPr>
        <w:pStyle w:val="26"/>
        <w:bidi w:val="0"/>
        <w:rPr>
          <w:color w:val="auto"/>
          <w:highlight w:val="none"/>
        </w:rPr>
      </w:pPr>
      <w:r>
        <w:rPr>
          <w:rFonts w:hint="eastAsia"/>
          <w:color w:val="auto"/>
          <w:highlight w:val="none"/>
        </w:rPr>
        <w:t>③核查验收工况：按照项目产品、原料、物料消耗情况，主体工程运行负荷情况等，核查建设项目竣工环境保护验收监测期间的工况。</w:t>
      </w:r>
    </w:p>
    <w:p w14:paraId="696BA189">
      <w:pPr>
        <w:pStyle w:val="26"/>
        <w:bidi w:val="0"/>
        <w:rPr>
          <w:color w:val="auto"/>
          <w:highlight w:val="none"/>
        </w:rPr>
      </w:pPr>
      <w:r>
        <w:rPr>
          <w:rFonts w:hint="eastAsia"/>
          <w:color w:val="auto"/>
          <w:highlight w:val="none"/>
        </w:rPr>
        <w:t>④核查监测结果：核查建设项目竣工环境保护设施的设计指标，判定企业环境</w:t>
      </w:r>
      <w:r>
        <w:rPr>
          <w:rFonts w:hint="eastAsia"/>
          <w:color w:val="auto"/>
          <w:szCs w:val="24"/>
          <w:highlight w:val="none"/>
        </w:rPr>
        <w:t>保护设</w:t>
      </w:r>
      <w:r>
        <w:rPr>
          <w:rFonts w:hint="eastAsia"/>
          <w:color w:val="auto"/>
          <w:highlight w:val="none"/>
        </w:rPr>
        <w:t>施运行的效率和企业内部污染控制水平。重点核查建设项目外排污染物的稳定达标排放情况；主要污染治理设施稳定运行及设施指标达标情况；污染物总量控制情况；敏感环境保护目标质量达标情况；清洁生产考核指标达标情况等。</w:t>
      </w:r>
    </w:p>
    <w:p w14:paraId="5FB88A0A">
      <w:pPr>
        <w:pStyle w:val="26"/>
        <w:bidi w:val="0"/>
        <w:rPr>
          <w:color w:val="auto"/>
          <w:highlight w:val="none"/>
        </w:rPr>
      </w:pPr>
      <w:r>
        <w:rPr>
          <w:rFonts w:hint="eastAsia"/>
          <w:color w:val="auto"/>
          <w:highlight w:val="none"/>
        </w:rPr>
        <w:t>⑤核查验收环境管理：环境管理检查涵盖了验收监测非测试性的全部内容，验收核查应包括：建设单位在设计期、施工期执行相关的各项环保制度情况，落实环评及批复中噪声防治措施情况。</w:t>
      </w:r>
    </w:p>
    <w:p w14:paraId="7516CB7A">
      <w:pPr>
        <w:pStyle w:val="26"/>
        <w:bidi w:val="0"/>
        <w:rPr>
          <w:color w:val="auto"/>
          <w:highlight w:val="none"/>
        </w:rPr>
      </w:pPr>
      <w:r>
        <w:rPr>
          <w:rFonts w:hint="eastAsia"/>
          <w:color w:val="auto"/>
          <w:highlight w:val="none"/>
        </w:rPr>
        <w:t>⑥现场验收检查：按照建设项目布局特点和工艺特点，安排现场检查。内容包括水、声、气污染源及其配套的处理设施。</w:t>
      </w:r>
    </w:p>
    <w:p w14:paraId="17B86D28">
      <w:pPr>
        <w:pStyle w:val="3"/>
        <w:bidi w:val="0"/>
        <w:rPr>
          <w:color w:val="auto"/>
          <w:highlight w:val="none"/>
        </w:rPr>
      </w:pPr>
      <w:bookmarkStart w:id="295" w:name="_Toc459634034"/>
      <w:bookmarkStart w:id="296" w:name="_Toc438828187"/>
      <w:bookmarkStart w:id="297" w:name="_Toc446770453"/>
      <w:bookmarkStart w:id="298" w:name="_Toc7083"/>
      <w:bookmarkStart w:id="299" w:name="_Toc8666"/>
      <w:bookmarkStart w:id="300" w:name="_Toc16189"/>
      <w:bookmarkStart w:id="301" w:name="_Toc94200128"/>
      <w:r>
        <w:rPr>
          <w:color w:val="auto"/>
          <w:highlight w:val="none"/>
        </w:rPr>
        <w:t>环境监测</w:t>
      </w:r>
      <w:bookmarkEnd w:id="295"/>
      <w:bookmarkEnd w:id="296"/>
      <w:bookmarkEnd w:id="297"/>
      <w:r>
        <w:rPr>
          <w:color w:val="auto"/>
          <w:highlight w:val="none"/>
        </w:rPr>
        <w:t>计划</w:t>
      </w:r>
      <w:bookmarkEnd w:id="298"/>
      <w:bookmarkEnd w:id="299"/>
      <w:bookmarkEnd w:id="300"/>
      <w:bookmarkEnd w:id="301"/>
    </w:p>
    <w:p w14:paraId="079CE177">
      <w:pPr>
        <w:pStyle w:val="4"/>
        <w:bidi w:val="0"/>
        <w:rPr>
          <w:color w:val="auto"/>
          <w:highlight w:val="none"/>
        </w:rPr>
      </w:pPr>
      <w:bookmarkStart w:id="302" w:name="_Toc20480"/>
      <w:bookmarkStart w:id="303" w:name="_Toc94200129"/>
      <w:r>
        <w:rPr>
          <w:color w:val="auto"/>
          <w:highlight w:val="none"/>
        </w:rPr>
        <w:t>环境监测的目的</w:t>
      </w:r>
      <w:bookmarkEnd w:id="302"/>
      <w:bookmarkEnd w:id="303"/>
    </w:p>
    <w:p w14:paraId="48ECF729">
      <w:pPr>
        <w:pStyle w:val="26"/>
        <w:bidi w:val="0"/>
        <w:rPr>
          <w:rFonts w:ascii="宋体" w:hAnsi="宋体"/>
          <w:color w:val="auto"/>
          <w:sz w:val="24"/>
          <w:szCs w:val="24"/>
          <w:highlight w:val="none"/>
        </w:rPr>
      </w:pPr>
      <w:r>
        <w:rPr>
          <w:rFonts w:hint="eastAsia"/>
          <w:color w:val="auto"/>
          <w:sz w:val="24"/>
          <w:szCs w:val="24"/>
          <w:highlight w:val="none"/>
        </w:rPr>
        <w:t>环境</w:t>
      </w:r>
      <w:r>
        <w:rPr>
          <w:color w:val="auto"/>
          <w:sz w:val="24"/>
          <w:szCs w:val="24"/>
          <w:highlight w:val="none"/>
        </w:rPr>
        <w:t>监测</w:t>
      </w:r>
      <w:r>
        <w:rPr>
          <w:rFonts w:hint="eastAsia"/>
          <w:color w:val="auto"/>
          <w:sz w:val="24"/>
          <w:szCs w:val="24"/>
          <w:highlight w:val="none"/>
        </w:rPr>
        <w:t>是跟踪项目的实施效果和环境质量的动态变化、防止污染事故的发生的重要</w:t>
      </w:r>
      <w:r>
        <w:rPr>
          <w:color w:val="auto"/>
          <w:sz w:val="24"/>
          <w:szCs w:val="24"/>
          <w:highlight w:val="none"/>
        </w:rPr>
        <w:t>手段</w:t>
      </w:r>
      <w:r>
        <w:rPr>
          <w:rFonts w:hint="eastAsia"/>
          <w:color w:val="auto"/>
          <w:sz w:val="24"/>
          <w:szCs w:val="24"/>
          <w:highlight w:val="none"/>
        </w:rPr>
        <w:t>，</w:t>
      </w:r>
      <w:r>
        <w:rPr>
          <w:color w:val="auto"/>
          <w:sz w:val="24"/>
          <w:szCs w:val="24"/>
          <w:highlight w:val="none"/>
        </w:rPr>
        <w:t>实施环境监测，可以做到第一时间发现污染事故，防止污染事故的扩大</w:t>
      </w:r>
      <w:r>
        <w:rPr>
          <w:rFonts w:ascii="宋体" w:hAnsi="宋体"/>
          <w:color w:val="auto"/>
          <w:sz w:val="24"/>
          <w:szCs w:val="24"/>
          <w:highlight w:val="none"/>
        </w:rPr>
        <w:t>。</w:t>
      </w:r>
    </w:p>
    <w:p w14:paraId="04FDF512">
      <w:pPr>
        <w:pStyle w:val="4"/>
        <w:bidi w:val="0"/>
        <w:rPr>
          <w:color w:val="auto"/>
          <w:highlight w:val="none"/>
        </w:rPr>
      </w:pPr>
      <w:bookmarkStart w:id="304" w:name="_Toc94200130"/>
      <w:bookmarkStart w:id="305" w:name="_Toc25219"/>
      <w:r>
        <w:rPr>
          <w:color w:val="auto"/>
          <w:highlight w:val="none"/>
        </w:rPr>
        <w:t>环境监测计划</w:t>
      </w:r>
      <w:bookmarkEnd w:id="304"/>
      <w:bookmarkEnd w:id="305"/>
    </w:p>
    <w:p w14:paraId="7085F853">
      <w:pPr>
        <w:pStyle w:val="26"/>
        <w:bidi w:val="0"/>
        <w:rPr>
          <w:color w:val="auto"/>
          <w:sz w:val="24"/>
          <w:szCs w:val="24"/>
          <w:highlight w:val="none"/>
        </w:rPr>
      </w:pPr>
      <w:r>
        <w:rPr>
          <w:rFonts w:hint="eastAsia"/>
          <w:color w:val="auto"/>
          <w:sz w:val="24"/>
          <w:szCs w:val="24"/>
          <w:highlight w:val="none"/>
        </w:rPr>
        <w:t>为落实《中华人民共和国环境保护法》《中华人民共和国大气污染防治法》《中华人民共和国水污染防治法》，指导和规范排污单位自行监测工作，监督排放标准的执行情况，减少对环境的影响，建设项目投产后，建设单位必须建立并执行环境监测制度。环境</w:t>
      </w:r>
      <w:r>
        <w:rPr>
          <w:color w:val="auto"/>
          <w:sz w:val="24"/>
          <w:szCs w:val="24"/>
          <w:highlight w:val="none"/>
        </w:rPr>
        <w:t>监测</w:t>
      </w:r>
      <w:r>
        <w:rPr>
          <w:rFonts w:hint="eastAsia"/>
          <w:color w:val="auto"/>
          <w:sz w:val="24"/>
          <w:szCs w:val="24"/>
          <w:highlight w:val="none"/>
        </w:rPr>
        <w:t>可委托有资质的第三方监测</w:t>
      </w:r>
      <w:r>
        <w:rPr>
          <w:color w:val="auto"/>
          <w:sz w:val="24"/>
          <w:szCs w:val="24"/>
          <w:highlight w:val="none"/>
        </w:rPr>
        <w:t>公司或当地环境监测站</w:t>
      </w:r>
      <w:r>
        <w:rPr>
          <w:rFonts w:hint="eastAsia"/>
          <w:color w:val="auto"/>
          <w:sz w:val="24"/>
          <w:szCs w:val="24"/>
          <w:highlight w:val="none"/>
        </w:rPr>
        <w:t>进行，同时营运过程中</w:t>
      </w:r>
      <w:r>
        <w:rPr>
          <w:color w:val="auto"/>
          <w:sz w:val="24"/>
          <w:szCs w:val="24"/>
          <w:highlight w:val="none"/>
        </w:rPr>
        <w:t>应对</w:t>
      </w:r>
      <w:r>
        <w:rPr>
          <w:rFonts w:hint="eastAsia" w:ascii="Times New Roman" w:hAnsi="Times New Roman"/>
          <w:color w:val="auto"/>
          <w:sz w:val="24"/>
          <w:szCs w:val="24"/>
          <w:highlight w:val="none"/>
        </w:rPr>
        <w:t>厂区</w:t>
      </w:r>
      <w:r>
        <w:rPr>
          <w:rFonts w:hint="eastAsia"/>
          <w:color w:val="auto"/>
          <w:sz w:val="24"/>
          <w:szCs w:val="24"/>
          <w:highlight w:val="none"/>
        </w:rPr>
        <w:t>的排污和处理设施运转进行日常检测，掌握排污状况和变化趋势。</w:t>
      </w:r>
    </w:p>
    <w:p w14:paraId="03044677">
      <w:pPr>
        <w:pStyle w:val="30"/>
        <w:bidi w:val="0"/>
        <w:rPr>
          <w:color w:val="auto"/>
          <w:highlight w:val="none"/>
        </w:rPr>
      </w:pPr>
      <w:r>
        <w:rPr>
          <w:color w:val="auto"/>
          <w:highlight w:val="none"/>
        </w:rPr>
        <w:t>1</w:t>
      </w:r>
      <w:r>
        <w:rPr>
          <w:rFonts w:hint="eastAsia"/>
          <w:color w:val="auto"/>
          <w:highlight w:val="none"/>
        </w:rPr>
        <w:t>、制定监测方案</w:t>
      </w:r>
    </w:p>
    <w:p w14:paraId="536BA515">
      <w:pPr>
        <w:pStyle w:val="26"/>
        <w:bidi w:val="0"/>
        <w:rPr>
          <w:color w:val="auto"/>
          <w:highlight w:val="none"/>
        </w:rPr>
      </w:pPr>
      <w:r>
        <w:rPr>
          <w:rFonts w:hint="eastAsia"/>
          <w:color w:val="auto"/>
          <w:highlight w:val="none"/>
        </w:rPr>
        <w:t>建设单位应查清所有污染源，确定主要污染源及主要监测指标，制定监测方案。监测方案内容包括：单位基本情况、监测点位及示意图、监测指标、执行标准及其限值、监测频次、采样和样品保存方法、监测分析方法和仪器、质量保证与质量控制等。建设单位应当在建设项目投入生产或使用并产生实际排污行为之前完成自行监测方案的编制及相关准备工作。</w:t>
      </w:r>
    </w:p>
    <w:p w14:paraId="494EBEF5">
      <w:pPr>
        <w:pStyle w:val="30"/>
        <w:bidi w:val="0"/>
        <w:rPr>
          <w:color w:val="auto"/>
          <w:highlight w:val="none"/>
        </w:rPr>
      </w:pPr>
      <w:r>
        <w:rPr>
          <w:color w:val="auto"/>
          <w:highlight w:val="none"/>
        </w:rPr>
        <w:t>2</w:t>
      </w:r>
      <w:r>
        <w:rPr>
          <w:rFonts w:hint="eastAsia"/>
          <w:color w:val="auto"/>
          <w:highlight w:val="none"/>
        </w:rPr>
        <w:t>、设置和维护监测设施</w:t>
      </w:r>
    </w:p>
    <w:p w14:paraId="6164882E">
      <w:pPr>
        <w:pStyle w:val="26"/>
        <w:bidi w:val="0"/>
        <w:rPr>
          <w:color w:val="auto"/>
          <w:highlight w:val="none"/>
        </w:rPr>
      </w:pPr>
      <w:r>
        <w:rPr>
          <w:rFonts w:hint="eastAsia"/>
          <w:color w:val="auto"/>
          <w:highlight w:val="none"/>
        </w:rPr>
        <w:t>建设单位应按照规定设置满足开展监测所需要的监测设施。废水排放口，废气（采样）监测平台、监测断面和监测孔的设置应符合监测规范要求。监测平台应便于开展监测活动，应能保证监测人员的安全。废水排放量大于100吨的，应安装自动测流设施并开展流量自动监测。</w:t>
      </w:r>
    </w:p>
    <w:p w14:paraId="7BD08B73">
      <w:pPr>
        <w:pStyle w:val="30"/>
        <w:bidi w:val="0"/>
        <w:rPr>
          <w:color w:val="auto"/>
          <w:highlight w:val="none"/>
        </w:rPr>
      </w:pPr>
      <w:r>
        <w:rPr>
          <w:color w:val="auto"/>
          <w:highlight w:val="none"/>
        </w:rPr>
        <w:t>3</w:t>
      </w:r>
      <w:r>
        <w:rPr>
          <w:rFonts w:hint="eastAsia"/>
          <w:color w:val="auto"/>
          <w:highlight w:val="none"/>
        </w:rPr>
        <w:t>、开展自行监测</w:t>
      </w:r>
    </w:p>
    <w:p w14:paraId="134993C1">
      <w:pPr>
        <w:pStyle w:val="26"/>
        <w:bidi w:val="0"/>
        <w:rPr>
          <w:rFonts w:hint="eastAsia"/>
          <w:color w:val="auto"/>
          <w:highlight w:val="none"/>
        </w:rPr>
      </w:pPr>
      <w:r>
        <w:rPr>
          <w:rFonts w:hint="eastAsia"/>
          <w:color w:val="auto"/>
          <w:highlight w:val="none"/>
        </w:rPr>
        <w:t>建设单位应委托</w:t>
      </w:r>
      <w:r>
        <w:rPr>
          <w:rFonts w:hint="eastAsia"/>
          <w:color w:val="auto"/>
          <w:highlight w:val="none"/>
          <w:lang w:eastAsia="zh-CN"/>
        </w:rPr>
        <w:t>其他</w:t>
      </w:r>
      <w:r>
        <w:rPr>
          <w:rFonts w:hint="eastAsia"/>
          <w:color w:val="auto"/>
          <w:highlight w:val="none"/>
        </w:rPr>
        <w:t>有资质的检（监）测机构代其开展自行监测，监测机构应按照最新的监测方案开展监测活动。并建立自行监测质量管理制度，按照相关技术规范要求做好监测质量保证与质量控制，做好与监测相关的数据记录，按照规定进行保存，并依据相关法规向社会公开监测结果。</w:t>
      </w:r>
    </w:p>
    <w:p w14:paraId="6F54E372">
      <w:pPr>
        <w:pStyle w:val="30"/>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4、自行监测方案</w:t>
      </w:r>
    </w:p>
    <w:p w14:paraId="63CD98AC">
      <w:pPr>
        <w:pStyle w:val="26"/>
        <w:bidi w:val="0"/>
        <w:rPr>
          <w:rFonts w:hint="eastAsia"/>
          <w:color w:val="auto"/>
          <w:highlight w:val="none"/>
          <w:lang w:val="en-US" w:eastAsia="zh-CN"/>
        </w:rPr>
      </w:pPr>
      <w:r>
        <w:rPr>
          <w:rFonts w:hint="eastAsia"/>
          <w:color w:val="auto"/>
          <w:highlight w:val="none"/>
          <w:lang w:val="en-US" w:eastAsia="zh-CN"/>
        </w:rPr>
        <w:t>本项目根据</w:t>
      </w:r>
      <w:r>
        <w:rPr>
          <w:rFonts w:hint="eastAsia" w:ascii="Times New Roman" w:hAnsi="Times New Roman" w:eastAsia="宋体" w:cs="Times New Roman"/>
          <w:color w:val="auto"/>
          <w:sz w:val="24"/>
          <w:lang w:eastAsia="zh-CN"/>
        </w:rPr>
        <w:t>《排污许可证申请与核发技术规范 专用化学产品制造工业》（HJ1103-2020）</w:t>
      </w:r>
      <w:r>
        <w:rPr>
          <w:rFonts w:hint="eastAsia" w:ascii="Times New Roman" w:hAnsi="Times New Roman" w:eastAsia="宋体" w:cs="Times New Roman"/>
          <w:color w:val="auto"/>
          <w:sz w:val="24"/>
          <w:lang w:val="en-US" w:eastAsia="zh-CN"/>
        </w:rPr>
        <w:t>和</w:t>
      </w:r>
      <w:r>
        <w:rPr>
          <w:rFonts w:hint="eastAsia" w:ascii="Times New Roman" w:hAnsi="Times New Roman" w:eastAsia="宋体" w:cs="Times New Roman"/>
          <w:color w:val="auto"/>
          <w:sz w:val="24"/>
          <w:lang w:eastAsia="zh-CN"/>
        </w:rPr>
        <w:t xml:space="preserve">《排污单位自行监测技术指南 </w:t>
      </w:r>
      <w:r>
        <w:rPr>
          <w:rFonts w:hint="eastAsia" w:cs="Times New Roman"/>
          <w:color w:val="auto"/>
          <w:sz w:val="24"/>
          <w:lang w:val="en-US" w:eastAsia="zh-CN"/>
        </w:rPr>
        <w:t>总则</w:t>
      </w:r>
      <w:r>
        <w:rPr>
          <w:rFonts w:hint="eastAsia" w:ascii="Times New Roman" w:hAnsi="Times New Roman" w:eastAsia="宋体" w:cs="Times New Roman"/>
          <w:color w:val="auto"/>
          <w:sz w:val="24"/>
          <w:lang w:eastAsia="zh-CN"/>
        </w:rPr>
        <w:t>》（HJ</w:t>
      </w:r>
      <w:r>
        <w:rPr>
          <w:rFonts w:hint="eastAsia" w:cs="Times New Roman"/>
          <w:color w:val="auto"/>
          <w:sz w:val="24"/>
          <w:lang w:val="en-US" w:eastAsia="zh-CN"/>
        </w:rPr>
        <w:t>819-2017</w:t>
      </w:r>
      <w:r>
        <w:rPr>
          <w:rFonts w:hint="eastAsia" w:ascii="Times New Roman" w:hAnsi="Times New Roman" w:eastAsia="宋体" w:cs="Times New Roman"/>
          <w:color w:val="auto"/>
          <w:sz w:val="24"/>
          <w:lang w:eastAsia="zh-CN"/>
        </w:rPr>
        <w:t>）</w:t>
      </w:r>
      <w:r>
        <w:rPr>
          <w:rFonts w:hint="eastAsia"/>
          <w:color w:val="auto"/>
          <w:highlight w:val="none"/>
        </w:rPr>
        <w:t>中相关要求，</w:t>
      </w:r>
      <w:r>
        <w:rPr>
          <w:rFonts w:hint="eastAsia"/>
          <w:color w:val="auto"/>
          <w:highlight w:val="none"/>
          <w:lang w:val="en-US" w:eastAsia="zh-CN"/>
        </w:rPr>
        <w:t>提出监测计划：</w:t>
      </w:r>
    </w:p>
    <w:p w14:paraId="57B0B2A7">
      <w:pPr>
        <w:pStyle w:val="26"/>
        <w:bidi w:val="0"/>
        <w:rPr>
          <w:rFonts w:hint="default"/>
          <w:b/>
          <w:bCs/>
          <w:color w:val="auto"/>
          <w:highlight w:val="none"/>
          <w:lang w:val="en-US" w:eastAsia="zh-CN"/>
        </w:rPr>
      </w:pPr>
      <w:r>
        <w:rPr>
          <w:rFonts w:hint="eastAsia"/>
          <w:b/>
          <w:bCs/>
          <w:color w:val="auto"/>
          <w:highlight w:val="none"/>
          <w:lang w:val="en-US" w:eastAsia="zh-CN"/>
        </w:rPr>
        <w:t>（1）废气</w:t>
      </w:r>
    </w:p>
    <w:p w14:paraId="4BE2A617">
      <w:pPr>
        <w:pStyle w:val="26"/>
        <w:numPr>
          <w:ilvl w:val="0"/>
          <w:numId w:val="46"/>
        </w:numPr>
        <w:tabs>
          <w:tab w:val="left" w:pos="0"/>
        </w:tabs>
        <w:ind w:left="425" w:leftChars="0" w:hanging="425" w:firstLineChars="0"/>
        <w:jc w:val="center"/>
        <w:rPr>
          <w:rFonts w:hint="eastAsia" w:ascii="Times New Roman" w:hAnsi="Times New Roman" w:eastAsia="黑体" w:cs="Times New Roman"/>
          <w:color w:val="auto"/>
          <w:sz w:val="21"/>
          <w:szCs w:val="21"/>
          <w:highlight w:val="none"/>
          <w:lang w:val="en-US" w:eastAsia="zh-CN"/>
        </w:rPr>
      </w:pPr>
      <w:r>
        <w:rPr>
          <w:rFonts w:hint="eastAsia" w:ascii="Times New Roman" w:hAnsi="Times New Roman" w:eastAsia="黑体" w:cs="Times New Roman"/>
          <w:color w:val="auto"/>
          <w:sz w:val="21"/>
          <w:szCs w:val="21"/>
          <w:highlight w:val="none"/>
          <w:lang w:val="en-US" w:eastAsia="zh-CN"/>
        </w:rPr>
        <w:t>有组织废气监测计划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2225"/>
        <w:gridCol w:w="1277"/>
        <w:gridCol w:w="4906"/>
      </w:tblGrid>
      <w:tr w14:paraId="2B70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noWrap w:val="0"/>
            <w:vAlign w:val="center"/>
          </w:tcPr>
          <w:p w14:paraId="403E67D3">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监测点位</w:t>
            </w:r>
          </w:p>
        </w:tc>
        <w:tc>
          <w:tcPr>
            <w:tcW w:w="1169" w:type="pct"/>
            <w:noWrap w:val="0"/>
            <w:vAlign w:val="center"/>
          </w:tcPr>
          <w:p w14:paraId="7A0A3F72">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监测指标</w:t>
            </w:r>
          </w:p>
        </w:tc>
        <w:tc>
          <w:tcPr>
            <w:tcW w:w="671" w:type="pct"/>
            <w:noWrap w:val="0"/>
            <w:vAlign w:val="center"/>
          </w:tcPr>
          <w:p w14:paraId="70084AE6">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监测频次</w:t>
            </w:r>
          </w:p>
        </w:tc>
        <w:tc>
          <w:tcPr>
            <w:tcW w:w="2578" w:type="pct"/>
            <w:noWrap w:val="0"/>
            <w:vAlign w:val="center"/>
          </w:tcPr>
          <w:p w14:paraId="7BB1F3AA">
            <w:pPr>
              <w:pStyle w:val="24"/>
              <w:bidi w:val="0"/>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执行排放标准</w:t>
            </w:r>
          </w:p>
        </w:tc>
      </w:tr>
      <w:tr w14:paraId="3362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restart"/>
            <w:noWrap w:val="0"/>
            <w:vAlign w:val="center"/>
          </w:tcPr>
          <w:p w14:paraId="27705613">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DA001</w:t>
            </w:r>
          </w:p>
        </w:tc>
        <w:tc>
          <w:tcPr>
            <w:tcW w:w="1169" w:type="pct"/>
            <w:noWrap w:val="0"/>
            <w:vAlign w:val="center"/>
          </w:tcPr>
          <w:p w14:paraId="58EC3A3B">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颗粒物</w:t>
            </w:r>
          </w:p>
        </w:tc>
        <w:tc>
          <w:tcPr>
            <w:tcW w:w="671" w:type="pct"/>
            <w:noWrap w:val="0"/>
            <w:vAlign w:val="center"/>
          </w:tcPr>
          <w:p w14:paraId="0D92AE15">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noWrap w:val="0"/>
            <w:vAlign w:val="center"/>
          </w:tcPr>
          <w:p w14:paraId="72B1BE5A">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《大气污染物综合排放标准》（GB16297-1996）表2中二级标准</w:t>
            </w:r>
          </w:p>
        </w:tc>
      </w:tr>
      <w:tr w14:paraId="5CC8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40872D33">
            <w:pPr>
              <w:pStyle w:val="24"/>
              <w:bidi w:val="0"/>
              <w:rPr>
                <w:rFonts w:hint="default"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4F7CDA8E">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硫酸雾</w:t>
            </w:r>
          </w:p>
        </w:tc>
        <w:tc>
          <w:tcPr>
            <w:tcW w:w="671" w:type="pct"/>
            <w:noWrap w:val="0"/>
            <w:vAlign w:val="center"/>
          </w:tcPr>
          <w:p w14:paraId="2F290705">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restart"/>
            <w:noWrap w:val="0"/>
            <w:vAlign w:val="center"/>
          </w:tcPr>
          <w:p w14:paraId="6EFE9536">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《无机化学工业污染物排放标准》（GB 31573-2015）表3中排放限值</w:t>
            </w:r>
          </w:p>
        </w:tc>
      </w:tr>
      <w:tr w14:paraId="5E52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7FB8FAE6">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18A92CF1">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71" w:type="pct"/>
            <w:noWrap w:val="0"/>
            <w:vAlign w:val="center"/>
          </w:tcPr>
          <w:p w14:paraId="755AADC0">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686863E8">
            <w:pPr>
              <w:pStyle w:val="24"/>
              <w:bidi w:val="0"/>
              <w:rPr>
                <w:rFonts w:hint="eastAsia" w:ascii="Times New Roman" w:hAnsi="Times New Roman" w:eastAsia="宋体" w:cs="Times New Roman"/>
                <w:b w:val="0"/>
                <w:bCs w:val="0"/>
                <w:color w:val="auto"/>
                <w:sz w:val="21"/>
                <w:szCs w:val="21"/>
                <w:highlight w:val="none"/>
                <w:lang w:val="en-US" w:eastAsia="zh-CN"/>
              </w:rPr>
            </w:pPr>
          </w:p>
        </w:tc>
      </w:tr>
      <w:tr w14:paraId="768D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39ED99F9">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106B45D8">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VOCs</w:t>
            </w:r>
          </w:p>
        </w:tc>
        <w:tc>
          <w:tcPr>
            <w:tcW w:w="671" w:type="pct"/>
            <w:noWrap w:val="0"/>
            <w:vAlign w:val="center"/>
          </w:tcPr>
          <w:p w14:paraId="3DA6B82F">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noWrap w:val="0"/>
            <w:vAlign w:val="center"/>
          </w:tcPr>
          <w:p w14:paraId="3378CF9B">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《四川省固定污染源大气挥发性有机物排放标准》（DB51/2377-2017）表 3中排放限值</w:t>
            </w:r>
          </w:p>
        </w:tc>
      </w:tr>
      <w:tr w14:paraId="0426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7A1E4D0B">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7B4D1674">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71" w:type="pct"/>
            <w:noWrap w:val="0"/>
            <w:vAlign w:val="center"/>
          </w:tcPr>
          <w:p w14:paraId="50972916">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restart"/>
            <w:noWrap w:val="0"/>
            <w:vAlign w:val="center"/>
          </w:tcPr>
          <w:p w14:paraId="4409C547">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《恶臭污染物排放标准》（GB14554-93）表2中排放限值</w:t>
            </w:r>
          </w:p>
        </w:tc>
      </w:tr>
      <w:tr w14:paraId="240C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164B17F6">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28E6A019">
            <w:pPr>
              <w:pStyle w:val="24"/>
              <w:bidi w:val="0"/>
              <w:ind w:left="0" w:left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臭气浓度</w:t>
            </w:r>
          </w:p>
        </w:tc>
        <w:tc>
          <w:tcPr>
            <w:tcW w:w="671" w:type="pct"/>
            <w:noWrap w:val="0"/>
            <w:vAlign w:val="center"/>
          </w:tcPr>
          <w:p w14:paraId="18157E4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7D0C2520">
            <w:pPr>
              <w:pStyle w:val="24"/>
              <w:bidi w:val="0"/>
              <w:rPr>
                <w:rFonts w:hint="eastAsia" w:ascii="Times New Roman" w:hAnsi="Times New Roman" w:eastAsia="宋体" w:cs="Times New Roman"/>
                <w:b w:val="0"/>
                <w:bCs w:val="0"/>
                <w:color w:val="auto"/>
                <w:sz w:val="21"/>
                <w:szCs w:val="21"/>
                <w:highlight w:val="none"/>
                <w:lang w:val="en-US" w:eastAsia="zh-CN"/>
              </w:rPr>
            </w:pPr>
          </w:p>
        </w:tc>
      </w:tr>
      <w:tr w14:paraId="29D5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restart"/>
            <w:noWrap w:val="0"/>
            <w:vAlign w:val="center"/>
          </w:tcPr>
          <w:p w14:paraId="34A16797">
            <w:pPr>
              <w:pStyle w:val="24"/>
              <w:bidi w:val="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DA00</w:t>
            </w:r>
            <w:r>
              <w:rPr>
                <w:rFonts w:hint="eastAsia" w:cs="Times New Roman"/>
                <w:b w:val="0"/>
                <w:bCs w:val="0"/>
                <w:color w:val="auto"/>
                <w:sz w:val="21"/>
                <w:szCs w:val="21"/>
                <w:highlight w:val="none"/>
                <w:lang w:val="en-US" w:eastAsia="zh-CN"/>
              </w:rPr>
              <w:t>2</w:t>
            </w:r>
          </w:p>
        </w:tc>
        <w:tc>
          <w:tcPr>
            <w:tcW w:w="1169" w:type="pct"/>
            <w:noWrap w:val="0"/>
            <w:vAlign w:val="center"/>
          </w:tcPr>
          <w:p w14:paraId="02622A56">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eastAsia="宋体" w:cs="Times New Roman"/>
                <w:b w:val="0"/>
                <w:bCs w:val="0"/>
                <w:color w:val="auto"/>
                <w:sz w:val="21"/>
                <w:szCs w:val="21"/>
                <w:highlight w:val="none"/>
                <w:lang w:val="en-US" w:eastAsia="zh-CN"/>
              </w:rPr>
              <w:t>氯化氢</w:t>
            </w:r>
          </w:p>
        </w:tc>
        <w:tc>
          <w:tcPr>
            <w:tcW w:w="671" w:type="pct"/>
            <w:noWrap w:val="0"/>
            <w:vAlign w:val="center"/>
          </w:tcPr>
          <w:p w14:paraId="2FE1B14E">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restart"/>
            <w:noWrap w:val="0"/>
            <w:vAlign w:val="center"/>
          </w:tcPr>
          <w:p w14:paraId="793309CA">
            <w:pPr>
              <w:pStyle w:val="24"/>
              <w:bidi w:val="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《大气污染物综合排放标准》（GB16297-1996）表2中二级标准</w:t>
            </w:r>
          </w:p>
        </w:tc>
      </w:tr>
      <w:tr w14:paraId="3C07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556189D5">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noWrap w:val="0"/>
            <w:vAlign w:val="center"/>
          </w:tcPr>
          <w:p w14:paraId="5318F232">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硫酸雾</w:t>
            </w:r>
          </w:p>
        </w:tc>
        <w:tc>
          <w:tcPr>
            <w:tcW w:w="671" w:type="pct"/>
            <w:noWrap w:val="0"/>
            <w:vAlign w:val="center"/>
          </w:tcPr>
          <w:p w14:paraId="2074FA7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3586C410">
            <w:pPr>
              <w:pStyle w:val="24"/>
              <w:bidi w:val="0"/>
              <w:rPr>
                <w:rFonts w:hint="eastAsia" w:ascii="Times New Roman" w:hAnsi="Times New Roman" w:eastAsia="宋体" w:cs="Courier New"/>
                <w:b w:val="0"/>
                <w:bCs w:val="0"/>
                <w:color w:val="auto"/>
                <w:sz w:val="21"/>
                <w:szCs w:val="21"/>
                <w:highlight w:val="none"/>
                <w:lang w:val="en-US" w:eastAsia="zh-CN"/>
              </w:rPr>
            </w:pPr>
          </w:p>
        </w:tc>
      </w:tr>
      <w:tr w14:paraId="6BC8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1" w:type="pct"/>
            <w:vMerge w:val="continue"/>
            <w:noWrap w:val="0"/>
            <w:vAlign w:val="center"/>
          </w:tcPr>
          <w:p w14:paraId="3B5E9EC0">
            <w:pPr>
              <w:pStyle w:val="24"/>
              <w:bidi w:val="0"/>
              <w:rPr>
                <w:rFonts w:hint="eastAsia" w:ascii="Times New Roman" w:hAnsi="Times New Roman" w:eastAsia="宋体" w:cs="Times New Roman"/>
                <w:b w:val="0"/>
                <w:bCs w:val="0"/>
                <w:color w:val="auto"/>
                <w:sz w:val="21"/>
                <w:szCs w:val="21"/>
                <w:highlight w:val="none"/>
                <w:lang w:val="en-US" w:eastAsia="zh-CN"/>
              </w:rPr>
            </w:pPr>
          </w:p>
        </w:tc>
        <w:tc>
          <w:tcPr>
            <w:tcW w:w="1169" w:type="pct"/>
            <w:noWrap w:val="0"/>
            <w:vAlign w:val="center"/>
          </w:tcPr>
          <w:p w14:paraId="60539748">
            <w:pPr>
              <w:pStyle w:val="24"/>
              <w:bidi w:val="0"/>
              <w:ind w:left="0" w:leftChars="0"/>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氟化物</w:t>
            </w:r>
          </w:p>
        </w:tc>
        <w:tc>
          <w:tcPr>
            <w:tcW w:w="671" w:type="pct"/>
            <w:noWrap w:val="0"/>
            <w:vAlign w:val="center"/>
          </w:tcPr>
          <w:p w14:paraId="735BE395">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8" w:type="pct"/>
            <w:vMerge w:val="continue"/>
            <w:noWrap w:val="0"/>
            <w:vAlign w:val="center"/>
          </w:tcPr>
          <w:p w14:paraId="7A5C0BBB">
            <w:pPr>
              <w:pStyle w:val="24"/>
              <w:bidi w:val="0"/>
              <w:rPr>
                <w:rFonts w:hint="eastAsia" w:ascii="Times New Roman" w:hAnsi="Times New Roman" w:eastAsia="宋体" w:cs="Times New Roman"/>
                <w:b w:val="0"/>
                <w:bCs w:val="0"/>
                <w:color w:val="auto"/>
                <w:sz w:val="21"/>
                <w:szCs w:val="21"/>
                <w:highlight w:val="none"/>
                <w:lang w:val="en-US" w:eastAsia="zh-CN"/>
              </w:rPr>
            </w:pPr>
          </w:p>
        </w:tc>
      </w:tr>
    </w:tbl>
    <w:p w14:paraId="7BB7C887">
      <w:pPr>
        <w:pStyle w:val="26"/>
        <w:numPr>
          <w:ilvl w:val="0"/>
          <w:numId w:val="46"/>
        </w:numPr>
        <w:tabs>
          <w:tab w:val="left" w:pos="0"/>
        </w:tabs>
        <w:ind w:left="425" w:leftChars="0" w:hanging="425"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无组织废气监测计划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2225"/>
        <w:gridCol w:w="1275"/>
        <w:gridCol w:w="4891"/>
      </w:tblGrid>
      <w:tr w14:paraId="08BB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noWrap w:val="0"/>
            <w:vAlign w:val="center"/>
          </w:tcPr>
          <w:p w14:paraId="4D6DBF0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1169" w:type="pct"/>
            <w:noWrap w:val="0"/>
            <w:vAlign w:val="center"/>
          </w:tcPr>
          <w:p w14:paraId="31E9459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监测指标</w:t>
            </w:r>
          </w:p>
        </w:tc>
        <w:tc>
          <w:tcPr>
            <w:tcW w:w="670" w:type="pct"/>
            <w:noWrap w:val="0"/>
            <w:vAlign w:val="center"/>
          </w:tcPr>
          <w:p w14:paraId="063F184E">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监测频次</w:t>
            </w:r>
          </w:p>
        </w:tc>
        <w:tc>
          <w:tcPr>
            <w:tcW w:w="2570" w:type="pct"/>
            <w:noWrap w:val="0"/>
            <w:vAlign w:val="center"/>
          </w:tcPr>
          <w:p w14:paraId="5AE0F849">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执行排放标准</w:t>
            </w:r>
          </w:p>
        </w:tc>
      </w:tr>
      <w:tr w14:paraId="2D75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noWrap w:val="0"/>
            <w:vAlign w:val="center"/>
          </w:tcPr>
          <w:p w14:paraId="5256AAF1">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厂房外监控点</w:t>
            </w:r>
          </w:p>
        </w:tc>
        <w:tc>
          <w:tcPr>
            <w:tcW w:w="1169" w:type="pct"/>
            <w:noWrap w:val="0"/>
            <w:vAlign w:val="center"/>
          </w:tcPr>
          <w:p w14:paraId="3AFE4196">
            <w:pPr>
              <w:pStyle w:val="24"/>
              <w:bidi w:val="0"/>
              <w:ind w:left="0"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VOCs</w:t>
            </w:r>
          </w:p>
        </w:tc>
        <w:tc>
          <w:tcPr>
            <w:tcW w:w="670" w:type="pct"/>
            <w:noWrap w:val="0"/>
            <w:vAlign w:val="center"/>
          </w:tcPr>
          <w:p w14:paraId="01924043">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1次/年</w:t>
            </w:r>
          </w:p>
        </w:tc>
        <w:tc>
          <w:tcPr>
            <w:tcW w:w="2570" w:type="pct"/>
            <w:noWrap w:val="0"/>
            <w:vAlign w:val="center"/>
          </w:tcPr>
          <w:p w14:paraId="28E2A852">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《挥发性有机物无组织排放控制标准》（GB37822-2019）中表A.1厂区内无组织特别排放限值</w:t>
            </w:r>
          </w:p>
        </w:tc>
      </w:tr>
      <w:tr w14:paraId="0454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restart"/>
            <w:noWrap w:val="0"/>
            <w:vAlign w:val="center"/>
          </w:tcPr>
          <w:p w14:paraId="27A50C3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厂界</w:t>
            </w:r>
          </w:p>
        </w:tc>
        <w:tc>
          <w:tcPr>
            <w:tcW w:w="1169" w:type="pct"/>
            <w:shd w:val="clear" w:color="auto" w:fill="auto"/>
            <w:noWrap w:val="0"/>
            <w:vAlign w:val="center"/>
          </w:tcPr>
          <w:p w14:paraId="73744050">
            <w:pPr>
              <w:pStyle w:val="24"/>
              <w:bidi w:val="0"/>
              <w:ind w:left="0" w:lef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颗粒物</w:t>
            </w:r>
          </w:p>
        </w:tc>
        <w:tc>
          <w:tcPr>
            <w:tcW w:w="670" w:type="pct"/>
            <w:noWrap w:val="0"/>
            <w:vAlign w:val="center"/>
          </w:tcPr>
          <w:p w14:paraId="381C332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noWrap w:val="0"/>
            <w:vAlign w:val="center"/>
          </w:tcPr>
          <w:p w14:paraId="54D160B4">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《大气污染物综合排放标准》（GB16297-1996）表2中二级标准</w:t>
            </w:r>
          </w:p>
        </w:tc>
      </w:tr>
      <w:tr w14:paraId="122F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5C5CF43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7410AFB5">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硫酸雾</w:t>
            </w:r>
          </w:p>
        </w:tc>
        <w:tc>
          <w:tcPr>
            <w:tcW w:w="670" w:type="pct"/>
            <w:noWrap w:val="0"/>
            <w:vAlign w:val="center"/>
          </w:tcPr>
          <w:p w14:paraId="42485379">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restart"/>
            <w:noWrap w:val="0"/>
            <w:vAlign w:val="center"/>
          </w:tcPr>
          <w:p w14:paraId="4A6482E6">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《无机化学工业污染物排放标准》（GB 31573-2015）表5中排放限值</w:t>
            </w:r>
          </w:p>
        </w:tc>
      </w:tr>
      <w:tr w14:paraId="792F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790776FA">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2E1ED3F3">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氟化物</w:t>
            </w:r>
          </w:p>
        </w:tc>
        <w:tc>
          <w:tcPr>
            <w:tcW w:w="670" w:type="pct"/>
            <w:noWrap w:val="0"/>
            <w:vAlign w:val="center"/>
          </w:tcPr>
          <w:p w14:paraId="049DD903">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continue"/>
            <w:noWrap w:val="0"/>
            <w:vAlign w:val="center"/>
          </w:tcPr>
          <w:p w14:paraId="45D1BD1F">
            <w:pPr>
              <w:pStyle w:val="24"/>
              <w:bidi w:val="0"/>
              <w:rPr>
                <w:rFonts w:hint="eastAsia" w:ascii="Times New Roman" w:hAnsi="Times New Roman" w:eastAsia="宋体" w:cs="Courier New"/>
                <w:b w:val="0"/>
                <w:bCs w:val="0"/>
                <w:color w:val="auto"/>
                <w:sz w:val="21"/>
                <w:szCs w:val="21"/>
                <w:highlight w:val="none"/>
                <w:lang w:val="en-US" w:eastAsia="zh-CN"/>
              </w:rPr>
            </w:pPr>
          </w:p>
        </w:tc>
      </w:tr>
      <w:tr w14:paraId="7935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462B3928">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78904CAE">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氯化氢</w:t>
            </w:r>
          </w:p>
        </w:tc>
        <w:tc>
          <w:tcPr>
            <w:tcW w:w="670" w:type="pct"/>
            <w:noWrap w:val="0"/>
            <w:vAlign w:val="center"/>
          </w:tcPr>
          <w:p w14:paraId="0C3EAC6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noWrap w:val="0"/>
            <w:vAlign w:val="center"/>
          </w:tcPr>
          <w:p w14:paraId="3F08E18C">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《大气污染物综合排放标准》（GB16297-1996）表2中二级标准</w:t>
            </w:r>
          </w:p>
        </w:tc>
      </w:tr>
      <w:tr w14:paraId="6EC1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200BDA72">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04B93E5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VOCs</w:t>
            </w:r>
          </w:p>
        </w:tc>
        <w:tc>
          <w:tcPr>
            <w:tcW w:w="670" w:type="pct"/>
            <w:noWrap w:val="0"/>
            <w:vAlign w:val="center"/>
          </w:tcPr>
          <w:p w14:paraId="40477D77">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noWrap w:val="0"/>
            <w:vAlign w:val="center"/>
          </w:tcPr>
          <w:p w14:paraId="1A7140E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《四川省固定污染源大气挥发性有机物排放标准》（DB51/2377-2017）表5中排放限值</w:t>
            </w:r>
          </w:p>
        </w:tc>
      </w:tr>
      <w:tr w14:paraId="4077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47D98681">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7AC6EFA7">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eastAsia="宋体" w:cs="Times New Roman"/>
                <w:b w:val="0"/>
                <w:bCs w:val="0"/>
                <w:color w:val="auto"/>
                <w:sz w:val="21"/>
                <w:szCs w:val="21"/>
                <w:highlight w:val="none"/>
                <w:lang w:val="en-US" w:eastAsia="zh-CN"/>
              </w:rPr>
              <w:t>NH</w:t>
            </w:r>
            <w:r>
              <w:rPr>
                <w:rFonts w:hint="eastAsia" w:eastAsia="宋体" w:cs="Times New Roman"/>
                <w:b w:val="0"/>
                <w:bCs w:val="0"/>
                <w:color w:val="auto"/>
                <w:sz w:val="21"/>
                <w:szCs w:val="21"/>
                <w:highlight w:val="none"/>
                <w:vertAlign w:val="subscript"/>
                <w:lang w:val="en-US" w:eastAsia="zh-CN"/>
              </w:rPr>
              <w:t>3</w:t>
            </w:r>
          </w:p>
        </w:tc>
        <w:tc>
          <w:tcPr>
            <w:tcW w:w="670" w:type="pct"/>
            <w:noWrap w:val="0"/>
            <w:vAlign w:val="center"/>
          </w:tcPr>
          <w:p w14:paraId="36FBF8C6">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restart"/>
            <w:noWrap w:val="0"/>
            <w:vAlign w:val="center"/>
          </w:tcPr>
          <w:p w14:paraId="14585A73">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highlight w:val="none"/>
                <w:lang w:val="en-US" w:eastAsia="zh-CN"/>
              </w:rPr>
              <w:t>《恶臭污染物排放标准》（GB14554-93）表1中排放限值</w:t>
            </w:r>
          </w:p>
        </w:tc>
      </w:tr>
      <w:tr w14:paraId="0C77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90" w:type="pct"/>
            <w:vMerge w:val="continue"/>
            <w:noWrap w:val="0"/>
            <w:vAlign w:val="center"/>
          </w:tcPr>
          <w:p w14:paraId="4013155B">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p>
        </w:tc>
        <w:tc>
          <w:tcPr>
            <w:tcW w:w="1169" w:type="pct"/>
            <w:shd w:val="clear" w:color="auto" w:fill="auto"/>
            <w:noWrap w:val="0"/>
            <w:vAlign w:val="center"/>
          </w:tcPr>
          <w:p w14:paraId="40FBFFEA">
            <w:pPr>
              <w:pStyle w:val="24"/>
              <w:bidi w:val="0"/>
              <w:ind w:left="0" w:lef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臭气浓度</w:t>
            </w:r>
          </w:p>
        </w:tc>
        <w:tc>
          <w:tcPr>
            <w:tcW w:w="670" w:type="pct"/>
            <w:noWrap w:val="0"/>
            <w:vAlign w:val="center"/>
          </w:tcPr>
          <w:p w14:paraId="4879343F">
            <w:pPr>
              <w:pStyle w:val="24"/>
              <w:bidi w:val="0"/>
              <w:ind w:left="0" w:leftChars="0"/>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1次/</w:t>
            </w:r>
            <w:r>
              <w:rPr>
                <w:rFonts w:hint="eastAsia" w:cs="Times New Roman"/>
                <w:b w:val="0"/>
                <w:bCs w:val="0"/>
                <w:color w:val="auto"/>
                <w:sz w:val="21"/>
                <w:szCs w:val="21"/>
                <w:highlight w:val="none"/>
                <w:lang w:val="en-US" w:eastAsia="zh-CN"/>
              </w:rPr>
              <w:t>半</w:t>
            </w:r>
            <w:r>
              <w:rPr>
                <w:rFonts w:hint="eastAsia" w:ascii="Times New Roman" w:hAnsi="Times New Roman" w:eastAsia="宋体" w:cs="Times New Roman"/>
                <w:b w:val="0"/>
                <w:bCs w:val="0"/>
                <w:color w:val="auto"/>
                <w:sz w:val="21"/>
                <w:szCs w:val="21"/>
                <w:highlight w:val="none"/>
                <w:lang w:val="en-US" w:eastAsia="zh-CN"/>
              </w:rPr>
              <w:t>年</w:t>
            </w:r>
          </w:p>
        </w:tc>
        <w:tc>
          <w:tcPr>
            <w:tcW w:w="2570" w:type="pct"/>
            <w:vMerge w:val="continue"/>
            <w:noWrap w:val="0"/>
            <w:vAlign w:val="center"/>
          </w:tcPr>
          <w:p w14:paraId="6804367F">
            <w:pPr>
              <w:pStyle w:val="24"/>
              <w:bidi w:val="0"/>
              <w:rPr>
                <w:rFonts w:hint="eastAsia" w:ascii="Times New Roman" w:hAnsi="Times New Roman" w:eastAsia="宋体" w:cs="Courier New"/>
                <w:b w:val="0"/>
                <w:bCs w:val="0"/>
                <w:color w:val="auto"/>
                <w:sz w:val="21"/>
                <w:szCs w:val="21"/>
                <w:highlight w:val="none"/>
                <w:lang w:val="en-US" w:eastAsia="zh-CN"/>
              </w:rPr>
            </w:pPr>
          </w:p>
        </w:tc>
      </w:tr>
    </w:tbl>
    <w:p w14:paraId="5303DF81">
      <w:pPr>
        <w:pStyle w:val="26"/>
        <w:bidi w:val="0"/>
        <w:rPr>
          <w:rFonts w:hint="default"/>
          <w:b/>
          <w:bCs/>
          <w:color w:val="auto"/>
          <w:highlight w:val="none"/>
          <w:lang w:val="en-US" w:eastAsia="zh-CN"/>
        </w:rPr>
      </w:pPr>
      <w:r>
        <w:rPr>
          <w:rFonts w:hint="eastAsia"/>
          <w:b/>
          <w:bCs/>
          <w:color w:val="auto"/>
          <w:highlight w:val="none"/>
          <w:lang w:val="en-US" w:eastAsia="zh-CN"/>
        </w:rPr>
        <w:t>（2）废水</w:t>
      </w:r>
    </w:p>
    <w:p w14:paraId="067DB1D1">
      <w:pPr>
        <w:pStyle w:val="26"/>
        <w:numPr>
          <w:ilvl w:val="0"/>
          <w:numId w:val="46"/>
        </w:numPr>
        <w:tabs>
          <w:tab w:val="left" w:pos="0"/>
        </w:tabs>
        <w:ind w:left="425" w:leftChars="0" w:hanging="425"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废水监测计划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315"/>
        <w:gridCol w:w="1459"/>
        <w:gridCol w:w="3577"/>
      </w:tblGrid>
      <w:tr w14:paraId="458F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4C84F17C">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1742" w:type="pct"/>
            <w:noWrap w:val="0"/>
            <w:vAlign w:val="center"/>
          </w:tcPr>
          <w:p w14:paraId="3721B3FB">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监测指标</w:t>
            </w:r>
          </w:p>
        </w:tc>
        <w:tc>
          <w:tcPr>
            <w:tcW w:w="767" w:type="pct"/>
            <w:noWrap w:val="0"/>
            <w:vAlign w:val="center"/>
          </w:tcPr>
          <w:p w14:paraId="0755CD5D">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监测频次</w:t>
            </w:r>
          </w:p>
        </w:tc>
        <w:tc>
          <w:tcPr>
            <w:tcW w:w="1879" w:type="pct"/>
            <w:noWrap w:val="0"/>
            <w:vAlign w:val="center"/>
          </w:tcPr>
          <w:p w14:paraId="3460D56A">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执行排放标准</w:t>
            </w:r>
          </w:p>
        </w:tc>
      </w:tr>
      <w:tr w14:paraId="1C1E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79EFB319">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厂区废水总排口</w:t>
            </w:r>
          </w:p>
        </w:tc>
        <w:tc>
          <w:tcPr>
            <w:tcW w:w="1742" w:type="pct"/>
            <w:noWrap w:val="0"/>
            <w:vAlign w:val="center"/>
          </w:tcPr>
          <w:p w14:paraId="3CE2E76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olor w:val="auto"/>
                <w:highlight w:val="none"/>
                <w:lang w:val="en-US" w:eastAsia="zh-CN"/>
              </w:rPr>
              <w:t>pH、</w:t>
            </w:r>
            <w:r>
              <w:rPr>
                <w:rFonts w:hint="eastAsia" w:ascii="Times New Roman" w:hAnsi="Times New Roman" w:eastAsia="宋体" w:cs="Courier New"/>
                <w:b w:val="0"/>
                <w:bCs w:val="0"/>
                <w:color w:val="auto"/>
                <w:sz w:val="21"/>
                <w:szCs w:val="21"/>
                <w:highlight w:val="none"/>
                <w:lang w:val="en-US" w:eastAsia="zh-CN"/>
              </w:rPr>
              <w:t>COD</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BOD</w:t>
            </w:r>
            <w:r>
              <w:rPr>
                <w:rFonts w:hint="eastAsia" w:ascii="Times New Roman" w:hAnsi="Times New Roman" w:eastAsia="宋体" w:cs="Courier New"/>
                <w:b w:val="0"/>
                <w:bCs w:val="0"/>
                <w:color w:val="auto"/>
                <w:sz w:val="21"/>
                <w:szCs w:val="21"/>
                <w:highlight w:val="none"/>
                <w:vertAlign w:val="subscript"/>
                <w:lang w:val="en-US" w:eastAsia="zh-CN"/>
              </w:rPr>
              <w:t>5</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NH</w:t>
            </w:r>
            <w:r>
              <w:rPr>
                <w:rFonts w:hint="eastAsia" w:ascii="Times New Roman" w:hAnsi="Times New Roman" w:eastAsia="宋体" w:cs="Courier New"/>
                <w:b w:val="0"/>
                <w:bCs w:val="0"/>
                <w:color w:val="auto"/>
                <w:sz w:val="21"/>
                <w:szCs w:val="21"/>
                <w:highlight w:val="none"/>
                <w:vertAlign w:val="subscript"/>
                <w:lang w:val="en-US" w:eastAsia="zh-CN"/>
              </w:rPr>
              <w:t>3</w:t>
            </w:r>
            <w:r>
              <w:rPr>
                <w:rFonts w:hint="eastAsia" w:ascii="Times New Roman" w:hAnsi="Times New Roman" w:eastAsia="宋体" w:cs="Courier New"/>
                <w:b w:val="0"/>
                <w:bCs w:val="0"/>
                <w:color w:val="auto"/>
                <w:sz w:val="21"/>
                <w:szCs w:val="21"/>
                <w:highlight w:val="none"/>
                <w:lang w:val="en-US" w:eastAsia="zh-CN"/>
              </w:rPr>
              <w:t>-N、TP、SS</w:t>
            </w:r>
          </w:p>
        </w:tc>
        <w:tc>
          <w:tcPr>
            <w:tcW w:w="767" w:type="pct"/>
            <w:noWrap w:val="0"/>
            <w:vAlign w:val="center"/>
          </w:tcPr>
          <w:p w14:paraId="150BB863">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1次/半年</w:t>
            </w:r>
          </w:p>
        </w:tc>
        <w:tc>
          <w:tcPr>
            <w:tcW w:w="1879" w:type="pct"/>
            <w:noWrap w:val="0"/>
            <w:vAlign w:val="center"/>
          </w:tcPr>
          <w:p w14:paraId="0DC8163A">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default" w:ascii="Times New Roman" w:hAnsi="Times New Roman" w:eastAsia="宋体" w:cs="Courier New"/>
                <w:b w:val="0"/>
                <w:bCs w:val="0"/>
                <w:color w:val="auto"/>
                <w:sz w:val="21"/>
                <w:szCs w:val="21"/>
                <w:highlight w:val="none"/>
                <w:lang w:val="en-US" w:eastAsia="zh-CN"/>
              </w:rPr>
              <w:t>《四川省化工园区水污染物排放标准》（DB51/3202-2024）表1中间接排放标准</w:t>
            </w:r>
          </w:p>
        </w:tc>
      </w:tr>
      <w:tr w14:paraId="553E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11" w:type="pct"/>
            <w:noWrap w:val="0"/>
            <w:vAlign w:val="center"/>
          </w:tcPr>
          <w:p w14:paraId="23E37CE1">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雨水排放口</w:t>
            </w:r>
          </w:p>
        </w:tc>
        <w:tc>
          <w:tcPr>
            <w:tcW w:w="1742" w:type="pct"/>
            <w:noWrap w:val="0"/>
            <w:vAlign w:val="center"/>
          </w:tcPr>
          <w:p w14:paraId="1D249C9B">
            <w:pPr>
              <w:pStyle w:val="24"/>
              <w:bidi w:val="0"/>
              <w:ind w:left="0" w:leftChars="0"/>
              <w:rPr>
                <w:rFonts w:hint="eastAsia"/>
                <w:color w:val="auto"/>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COD</w:t>
            </w:r>
            <w:r>
              <w:rPr>
                <w:rFonts w:hint="eastAsia"/>
                <w:color w:val="auto"/>
                <w:highlight w:val="none"/>
                <w:lang w:val="en-US" w:eastAsia="zh-CN"/>
              </w:rPr>
              <w:t>、</w:t>
            </w:r>
            <w:r>
              <w:rPr>
                <w:rFonts w:hint="eastAsia" w:ascii="Times New Roman" w:hAnsi="Times New Roman" w:eastAsia="宋体" w:cs="Courier New"/>
                <w:b w:val="0"/>
                <w:bCs w:val="0"/>
                <w:color w:val="auto"/>
                <w:sz w:val="21"/>
                <w:szCs w:val="21"/>
                <w:highlight w:val="none"/>
                <w:lang w:val="en-US" w:eastAsia="zh-CN"/>
              </w:rPr>
              <w:t>SS</w:t>
            </w:r>
          </w:p>
        </w:tc>
        <w:tc>
          <w:tcPr>
            <w:tcW w:w="767" w:type="pct"/>
            <w:noWrap w:val="0"/>
            <w:vAlign w:val="center"/>
          </w:tcPr>
          <w:p w14:paraId="529677D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1次/月*</w:t>
            </w:r>
          </w:p>
        </w:tc>
        <w:tc>
          <w:tcPr>
            <w:tcW w:w="1879" w:type="pct"/>
            <w:noWrap w:val="0"/>
            <w:vAlign w:val="center"/>
          </w:tcPr>
          <w:p w14:paraId="6A84326A">
            <w:pPr>
              <w:pStyle w:val="24"/>
              <w:bidi w:val="0"/>
              <w:ind w:left="0" w:leftChars="0"/>
              <w:rPr>
                <w:rFonts w:hint="eastAsia" w:ascii="Times New Roman" w:hAnsi="Times New Roman"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w:t>
            </w:r>
          </w:p>
        </w:tc>
      </w:tr>
      <w:tr w14:paraId="4517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000" w:type="pct"/>
            <w:gridSpan w:val="4"/>
            <w:noWrap w:val="0"/>
            <w:vAlign w:val="center"/>
          </w:tcPr>
          <w:p w14:paraId="4764CAB8">
            <w:pPr>
              <w:pStyle w:val="24"/>
              <w:bidi w:val="0"/>
              <w:ind w:left="0" w:leftChars="0"/>
              <w:jc w:val="both"/>
              <w:rPr>
                <w:rFonts w:hint="default" w:ascii="Times New Roman" w:hAnsi="Times New Roman" w:cs="Courier New"/>
                <w:b w:val="0"/>
                <w:bCs w:val="0"/>
                <w:color w:val="auto"/>
                <w:sz w:val="21"/>
                <w:szCs w:val="21"/>
                <w:highlight w:val="none"/>
                <w:lang w:val="en-US" w:eastAsia="zh-CN"/>
              </w:rPr>
            </w:pPr>
            <w:r>
              <w:rPr>
                <w:rFonts w:hint="eastAsia" w:ascii="Times New Roman" w:hAnsi="Times New Roman" w:cs="Courier New"/>
                <w:b w:val="0"/>
                <w:bCs w:val="0"/>
                <w:color w:val="auto"/>
                <w:sz w:val="21"/>
                <w:szCs w:val="21"/>
                <w:highlight w:val="none"/>
                <w:lang w:val="en-US" w:eastAsia="zh-CN"/>
              </w:rPr>
              <w:t>注：雨水排放口每月有流动水排放时开展一次监测。如监测一年无异常情况，可放宽至每季度有流动水排放时开展一次监测。</w:t>
            </w:r>
          </w:p>
        </w:tc>
      </w:tr>
    </w:tbl>
    <w:p w14:paraId="438FE1A1">
      <w:pPr>
        <w:pStyle w:val="2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（3）噪声</w:t>
      </w:r>
    </w:p>
    <w:p w14:paraId="51AED45D">
      <w:pPr>
        <w:pStyle w:val="26"/>
        <w:numPr>
          <w:ilvl w:val="0"/>
          <w:numId w:val="46"/>
        </w:numPr>
        <w:tabs>
          <w:tab w:val="left" w:pos="0"/>
        </w:tabs>
        <w:ind w:left="425" w:leftChars="0" w:hanging="425"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噪声监测计划</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315"/>
        <w:gridCol w:w="1460"/>
        <w:gridCol w:w="3576"/>
      </w:tblGrid>
      <w:tr w14:paraId="0C71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63" w:type="dxa"/>
            <w:noWrap w:val="0"/>
            <w:vAlign w:val="center"/>
          </w:tcPr>
          <w:p w14:paraId="5FCF3E4D">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3315" w:type="dxa"/>
            <w:noWrap w:val="0"/>
            <w:vAlign w:val="center"/>
          </w:tcPr>
          <w:p w14:paraId="6CF395F7">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监测指标</w:t>
            </w:r>
          </w:p>
        </w:tc>
        <w:tc>
          <w:tcPr>
            <w:tcW w:w="1460" w:type="dxa"/>
            <w:noWrap w:val="0"/>
            <w:vAlign w:val="center"/>
          </w:tcPr>
          <w:p w14:paraId="55F40A0C">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监测频次</w:t>
            </w:r>
          </w:p>
        </w:tc>
        <w:tc>
          <w:tcPr>
            <w:tcW w:w="3576" w:type="dxa"/>
            <w:noWrap w:val="0"/>
            <w:vAlign w:val="center"/>
          </w:tcPr>
          <w:p w14:paraId="0E59A073">
            <w:pPr>
              <w:pStyle w:val="24"/>
              <w:bidi w:val="0"/>
              <w:ind w:left="0" w:leftChars="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执行排放标准</w:t>
            </w:r>
          </w:p>
        </w:tc>
      </w:tr>
      <w:tr w14:paraId="5717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63" w:type="dxa"/>
            <w:noWrap w:val="0"/>
            <w:vAlign w:val="center"/>
          </w:tcPr>
          <w:p w14:paraId="4F05614C">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厂界四周</w:t>
            </w:r>
          </w:p>
        </w:tc>
        <w:tc>
          <w:tcPr>
            <w:tcW w:w="3315" w:type="dxa"/>
            <w:noWrap w:val="0"/>
            <w:vAlign w:val="center"/>
          </w:tcPr>
          <w:p w14:paraId="2AAE8DD6">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color w:val="auto"/>
              </w:rPr>
              <w:t>厂界噪声</w:t>
            </w:r>
          </w:p>
        </w:tc>
        <w:tc>
          <w:tcPr>
            <w:tcW w:w="1460" w:type="dxa"/>
            <w:noWrap w:val="0"/>
            <w:vAlign w:val="center"/>
          </w:tcPr>
          <w:p w14:paraId="6379420F">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eastAsia="宋体" w:cs="Courier New"/>
                <w:b w:val="0"/>
                <w:bCs w:val="0"/>
                <w:color w:val="auto"/>
                <w:sz w:val="21"/>
                <w:szCs w:val="21"/>
                <w:highlight w:val="none"/>
                <w:lang w:val="en-US" w:eastAsia="zh-CN"/>
              </w:rPr>
              <w:t>1次/</w:t>
            </w:r>
            <w:r>
              <w:rPr>
                <w:rFonts w:hint="eastAsia" w:cs="Courier New"/>
                <w:b w:val="0"/>
                <w:bCs w:val="0"/>
                <w:color w:val="auto"/>
                <w:sz w:val="21"/>
                <w:szCs w:val="21"/>
                <w:highlight w:val="none"/>
                <w:lang w:val="en-US" w:eastAsia="zh-CN"/>
              </w:rPr>
              <w:t>季度</w:t>
            </w:r>
          </w:p>
        </w:tc>
        <w:tc>
          <w:tcPr>
            <w:tcW w:w="3576" w:type="dxa"/>
            <w:noWrap w:val="0"/>
            <w:vAlign w:val="center"/>
          </w:tcPr>
          <w:p w14:paraId="47018024">
            <w:pPr>
              <w:pStyle w:val="24"/>
              <w:bidi w:val="0"/>
              <w:ind w:left="0" w:leftChars="0"/>
              <w:rPr>
                <w:rFonts w:hint="default" w:ascii="Times New Roman" w:hAnsi="Times New Roman" w:eastAsia="宋体" w:cs="Courier New"/>
                <w:b w:val="0"/>
                <w:bCs w:val="0"/>
                <w:color w:val="auto"/>
                <w:sz w:val="21"/>
                <w:szCs w:val="21"/>
                <w:highlight w:val="none"/>
                <w:lang w:val="en-US" w:eastAsia="zh-CN"/>
              </w:rPr>
            </w:pPr>
            <w:r>
              <w:rPr>
                <w:rFonts w:hint="eastAsia" w:ascii="Times New Roman" w:hAnsi="Times New Roman"/>
                <w:color w:val="auto"/>
                <w:szCs w:val="21"/>
              </w:rPr>
              <w:t>《工业企业厂界环境噪声排放标准》（GB12348-2008）3类标准</w:t>
            </w:r>
          </w:p>
        </w:tc>
      </w:tr>
    </w:tbl>
    <w:p w14:paraId="4522713F">
      <w:pPr>
        <w:pStyle w:val="2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（4）地下水</w:t>
      </w:r>
    </w:p>
    <w:p w14:paraId="43573B86">
      <w:pPr>
        <w:pStyle w:val="26"/>
        <w:numPr>
          <w:ilvl w:val="0"/>
          <w:numId w:val="46"/>
        </w:numPr>
        <w:tabs>
          <w:tab w:val="left" w:pos="0"/>
        </w:tabs>
        <w:ind w:left="425" w:leftChars="0" w:hanging="425"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地下水跟踪监测计划表</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50"/>
        <w:gridCol w:w="2210"/>
        <w:gridCol w:w="670"/>
        <w:gridCol w:w="890"/>
        <w:gridCol w:w="1640"/>
        <w:gridCol w:w="1498"/>
        <w:gridCol w:w="738"/>
      </w:tblGrid>
      <w:tr w14:paraId="4711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3F1DB399">
            <w:pPr>
              <w:pStyle w:val="24"/>
              <w:bidi w:val="0"/>
              <w:jc w:val="center"/>
              <w:rPr>
                <w:rFonts w:hint="default"/>
                <w:b/>
                <w:bCs/>
                <w:color w:val="auto"/>
                <w:highlight w:val="none"/>
                <w:lang w:val="en-US" w:eastAsia="zh-CN"/>
              </w:rPr>
            </w:pPr>
            <w:r>
              <w:rPr>
                <w:rFonts w:hint="eastAsia"/>
                <w:b/>
                <w:bCs/>
                <w:color w:val="auto"/>
                <w:highlight w:val="none"/>
                <w:lang w:val="en-US" w:eastAsia="zh-CN"/>
              </w:rPr>
              <w:t>编号</w:t>
            </w:r>
          </w:p>
        </w:tc>
        <w:tc>
          <w:tcPr>
            <w:tcW w:w="604" w:type="pct"/>
            <w:noWrap w:val="0"/>
            <w:vAlign w:val="center"/>
          </w:tcPr>
          <w:p w14:paraId="18E73B82">
            <w:pPr>
              <w:pStyle w:val="24"/>
              <w:bidi w:val="0"/>
              <w:jc w:val="center"/>
              <w:rPr>
                <w:rFonts w:hint="default"/>
                <w:b/>
                <w:bCs/>
                <w:color w:val="auto"/>
                <w:highlight w:val="none"/>
                <w:lang w:val="en-US" w:eastAsia="zh-CN"/>
              </w:rPr>
            </w:pPr>
            <w:r>
              <w:rPr>
                <w:rFonts w:hint="eastAsia"/>
                <w:b/>
                <w:bCs/>
                <w:color w:val="auto"/>
                <w:highlight w:val="none"/>
                <w:lang w:val="en-US" w:eastAsia="zh-CN"/>
              </w:rPr>
              <w:t>监测点位</w:t>
            </w:r>
          </w:p>
        </w:tc>
        <w:tc>
          <w:tcPr>
            <w:tcW w:w="1162" w:type="pct"/>
            <w:noWrap w:val="0"/>
            <w:vAlign w:val="center"/>
          </w:tcPr>
          <w:p w14:paraId="3CB9E6B1">
            <w:pPr>
              <w:pStyle w:val="24"/>
              <w:bidi w:val="0"/>
              <w:jc w:val="center"/>
              <w:rPr>
                <w:rFonts w:hint="default"/>
                <w:b/>
                <w:bCs/>
                <w:color w:val="auto"/>
                <w:highlight w:val="none"/>
                <w:lang w:val="en-US" w:eastAsia="zh-CN"/>
              </w:rPr>
            </w:pPr>
            <w:r>
              <w:rPr>
                <w:rFonts w:hint="eastAsia"/>
                <w:b/>
                <w:bCs/>
                <w:color w:val="auto"/>
                <w:highlight w:val="none"/>
                <w:lang w:val="en-US" w:eastAsia="zh-CN"/>
              </w:rPr>
              <w:t>经纬度</w:t>
            </w:r>
          </w:p>
        </w:tc>
        <w:tc>
          <w:tcPr>
            <w:tcW w:w="352" w:type="pct"/>
            <w:noWrap w:val="0"/>
            <w:vAlign w:val="center"/>
          </w:tcPr>
          <w:p w14:paraId="5A64FC73">
            <w:pPr>
              <w:pStyle w:val="24"/>
              <w:bidi w:val="0"/>
              <w:jc w:val="center"/>
              <w:rPr>
                <w:rFonts w:hint="default"/>
                <w:b/>
                <w:bCs/>
                <w:color w:val="auto"/>
                <w:highlight w:val="none"/>
                <w:lang w:val="en-US" w:eastAsia="zh-CN"/>
              </w:rPr>
            </w:pPr>
            <w:r>
              <w:rPr>
                <w:rFonts w:hint="eastAsia"/>
                <w:b/>
                <w:bCs/>
                <w:color w:val="auto"/>
                <w:highlight w:val="none"/>
                <w:lang w:val="en-US" w:eastAsia="zh-CN"/>
              </w:rPr>
              <w:t>井深</w:t>
            </w:r>
          </w:p>
        </w:tc>
        <w:tc>
          <w:tcPr>
            <w:tcW w:w="468" w:type="pct"/>
            <w:noWrap w:val="0"/>
            <w:vAlign w:val="center"/>
          </w:tcPr>
          <w:p w14:paraId="7A1D52FF">
            <w:pPr>
              <w:pStyle w:val="24"/>
              <w:bidi w:val="0"/>
              <w:jc w:val="center"/>
              <w:rPr>
                <w:rFonts w:hint="eastAsia"/>
                <w:b/>
                <w:bCs/>
                <w:color w:val="auto"/>
                <w:highlight w:val="none"/>
                <w:lang w:val="en-US" w:eastAsia="zh-CN"/>
              </w:rPr>
            </w:pPr>
            <w:r>
              <w:rPr>
                <w:rFonts w:hint="eastAsia"/>
                <w:b/>
                <w:bCs/>
                <w:color w:val="auto"/>
                <w:highlight w:val="none"/>
                <w:lang w:val="en-US" w:eastAsia="zh-CN"/>
              </w:rPr>
              <w:t>井结构</w:t>
            </w:r>
          </w:p>
        </w:tc>
        <w:tc>
          <w:tcPr>
            <w:tcW w:w="862" w:type="pct"/>
            <w:noWrap w:val="0"/>
            <w:vAlign w:val="center"/>
          </w:tcPr>
          <w:p w14:paraId="463F470F">
            <w:pPr>
              <w:pStyle w:val="24"/>
              <w:bidi w:val="0"/>
              <w:jc w:val="center"/>
              <w:rPr>
                <w:rFonts w:hint="default"/>
                <w:b/>
                <w:bCs/>
                <w:color w:val="auto"/>
                <w:highlight w:val="none"/>
                <w:lang w:val="en-US" w:eastAsia="zh-CN"/>
              </w:rPr>
            </w:pPr>
            <w:r>
              <w:rPr>
                <w:rFonts w:hint="eastAsia"/>
                <w:b/>
                <w:bCs/>
                <w:color w:val="auto"/>
                <w:highlight w:val="none"/>
                <w:lang w:val="en-US" w:eastAsia="zh-CN"/>
              </w:rPr>
              <w:t>监测层位</w:t>
            </w:r>
          </w:p>
        </w:tc>
        <w:tc>
          <w:tcPr>
            <w:tcW w:w="788" w:type="pct"/>
            <w:noWrap w:val="0"/>
            <w:vAlign w:val="center"/>
          </w:tcPr>
          <w:p w14:paraId="5EF72E2B">
            <w:pPr>
              <w:pStyle w:val="24"/>
              <w:bidi w:val="0"/>
              <w:jc w:val="center"/>
              <w:rPr>
                <w:rFonts w:hint="default"/>
                <w:b/>
                <w:bCs/>
                <w:color w:val="auto"/>
                <w:highlight w:val="none"/>
                <w:lang w:val="en-US" w:eastAsia="zh-CN"/>
              </w:rPr>
            </w:pPr>
            <w:r>
              <w:rPr>
                <w:rFonts w:hint="eastAsia"/>
                <w:b/>
                <w:bCs/>
                <w:color w:val="auto"/>
                <w:highlight w:val="none"/>
                <w:lang w:val="en-US" w:eastAsia="zh-CN"/>
              </w:rPr>
              <w:t>监测指标</w:t>
            </w:r>
          </w:p>
        </w:tc>
        <w:tc>
          <w:tcPr>
            <w:tcW w:w="388" w:type="pct"/>
            <w:noWrap w:val="0"/>
            <w:vAlign w:val="center"/>
          </w:tcPr>
          <w:p w14:paraId="5B253D88">
            <w:pPr>
              <w:pStyle w:val="24"/>
              <w:bidi w:val="0"/>
              <w:jc w:val="center"/>
              <w:rPr>
                <w:rFonts w:hint="default"/>
                <w:b/>
                <w:bCs/>
                <w:color w:val="auto"/>
                <w:highlight w:val="none"/>
                <w:lang w:val="en-US" w:eastAsia="zh-CN"/>
              </w:rPr>
            </w:pPr>
            <w:r>
              <w:rPr>
                <w:rFonts w:hint="eastAsia"/>
                <w:b/>
                <w:bCs/>
                <w:color w:val="auto"/>
                <w:highlight w:val="none"/>
                <w:lang w:val="en-US" w:eastAsia="zh-CN"/>
              </w:rPr>
              <w:t>监测频率</w:t>
            </w:r>
          </w:p>
        </w:tc>
      </w:tr>
      <w:tr w14:paraId="7FCC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0B1BA706">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D1</w:t>
            </w:r>
          </w:p>
        </w:tc>
        <w:tc>
          <w:tcPr>
            <w:tcW w:w="604" w:type="pct"/>
            <w:noWrap w:val="0"/>
            <w:vAlign w:val="center"/>
          </w:tcPr>
          <w:p w14:paraId="1063E41E">
            <w:pPr>
              <w:pStyle w:val="24"/>
              <w:bidi w:val="0"/>
              <w:ind w:left="0" w:leftChars="0"/>
              <w:rPr>
                <w:rFonts w:hint="default" w:eastAsia="宋体"/>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项目上游</w:t>
            </w:r>
          </w:p>
        </w:tc>
        <w:tc>
          <w:tcPr>
            <w:tcW w:w="1162" w:type="pct"/>
            <w:noWrap w:val="0"/>
            <w:vAlign w:val="center"/>
          </w:tcPr>
          <w:p w14:paraId="2410B903">
            <w:pPr>
              <w:pStyle w:val="24"/>
              <w:bidi w:val="0"/>
              <w:ind w:left="0" w:leftChars="0"/>
              <w:jc w:val="center"/>
              <w:rPr>
                <w:rFonts w:hint="default"/>
                <w:b w:val="0"/>
                <w:bCs w:val="0"/>
                <w:color w:val="auto"/>
                <w:highlight w:val="none"/>
                <w:lang w:val="en-US" w:eastAsia="zh-CN"/>
              </w:rPr>
            </w:pPr>
            <w:r>
              <w:rPr>
                <w:rFonts w:hint="default"/>
                <w:b w:val="0"/>
                <w:bCs w:val="0"/>
                <w:color w:val="auto"/>
                <w:highlight w:val="none"/>
                <w:lang w:val="en-US" w:eastAsia="zh-CN"/>
              </w:rPr>
              <w:t>107.231269,31.879736</w:t>
            </w:r>
          </w:p>
        </w:tc>
        <w:tc>
          <w:tcPr>
            <w:tcW w:w="670" w:type="dxa"/>
            <w:vMerge w:val="restart"/>
            <w:noWrap w:val="0"/>
            <w:vAlign w:val="center"/>
          </w:tcPr>
          <w:p w14:paraId="4770D586">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100</w:t>
            </w:r>
            <w:r>
              <w:rPr>
                <w:rFonts w:hint="eastAsia" w:eastAsia="宋体"/>
                <w:b w:val="0"/>
                <w:bCs w:val="0"/>
                <w:color w:val="auto"/>
                <w:highlight w:val="none"/>
                <w:lang w:val="en-US" w:eastAsia="zh-CN"/>
              </w:rPr>
              <w:t>m</w:t>
            </w:r>
          </w:p>
        </w:tc>
        <w:tc>
          <w:tcPr>
            <w:tcW w:w="890" w:type="dxa"/>
            <w:vMerge w:val="restart"/>
            <w:noWrap w:val="0"/>
            <w:vAlign w:val="center"/>
          </w:tcPr>
          <w:p w14:paraId="07A5F738">
            <w:pPr>
              <w:pStyle w:val="24"/>
              <w:bidi w:val="0"/>
              <w:ind w:left="0" w:leftChars="0"/>
              <w:jc w:val="center"/>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钢管井</w:t>
            </w:r>
          </w:p>
        </w:tc>
        <w:tc>
          <w:tcPr>
            <w:tcW w:w="1640" w:type="dxa"/>
            <w:vMerge w:val="restart"/>
            <w:noWrap w:val="0"/>
            <w:vAlign w:val="center"/>
          </w:tcPr>
          <w:p w14:paraId="4F3B3514">
            <w:pPr>
              <w:pStyle w:val="24"/>
              <w:bidi w:val="0"/>
              <w:ind w:left="0" w:leftChars="0"/>
              <w:jc w:val="center"/>
              <w:rPr>
                <w:rFonts w:hint="eastAsia"/>
                <w:b w:val="0"/>
                <w:bCs w:val="0"/>
                <w:color w:val="auto"/>
                <w:highlight w:val="none"/>
                <w:lang w:val="en-US" w:eastAsia="zh-CN"/>
              </w:rPr>
            </w:pPr>
            <w:r>
              <w:rPr>
                <w:rFonts w:hint="eastAsia" w:ascii="Times New Roman" w:hAnsi="Times New Roman"/>
                <w:color w:val="auto"/>
                <w:szCs w:val="20"/>
                <w:highlight w:val="none"/>
              </w:rPr>
              <w:t>白垩系白龙组(K</w:t>
            </w:r>
            <w:r>
              <w:rPr>
                <w:rFonts w:hint="eastAsia" w:ascii="Times New Roman" w:hAnsi="Times New Roman"/>
                <w:color w:val="auto"/>
                <w:szCs w:val="20"/>
                <w:highlight w:val="none"/>
                <w:vertAlign w:val="subscript"/>
              </w:rPr>
              <w:t>1</w:t>
            </w:r>
            <w:r>
              <w:rPr>
                <w:rFonts w:hint="eastAsia"/>
                <w:color w:val="auto"/>
                <w:szCs w:val="20"/>
                <w:highlight w:val="none"/>
                <w:lang w:val="en-US" w:eastAsia="zh-CN"/>
              </w:rPr>
              <w:t>b</w:t>
            </w:r>
            <w:r>
              <w:rPr>
                <w:rFonts w:hint="eastAsia" w:ascii="Times New Roman" w:hAnsi="Times New Roman"/>
                <w:color w:val="auto"/>
                <w:szCs w:val="20"/>
                <w:highlight w:val="none"/>
              </w:rPr>
              <w:t>)</w:t>
            </w:r>
          </w:p>
        </w:tc>
        <w:tc>
          <w:tcPr>
            <w:tcW w:w="788" w:type="pct"/>
            <w:vMerge w:val="restart"/>
            <w:noWrap w:val="0"/>
            <w:vAlign w:val="center"/>
          </w:tcPr>
          <w:p w14:paraId="6E363615">
            <w:pPr>
              <w:pStyle w:val="24"/>
              <w:bidi w:val="0"/>
              <w:ind w:left="0" w:leftChars="0"/>
              <w:jc w:val="center"/>
              <w:rPr>
                <w:rFonts w:hint="default" w:eastAsia="宋体"/>
                <w:b w:val="0"/>
                <w:bCs w:val="0"/>
                <w:color w:val="auto"/>
                <w:highlight w:val="none"/>
                <w:lang w:val="en-US" w:eastAsia="zh-CN"/>
              </w:rPr>
            </w:pPr>
            <w:r>
              <w:rPr>
                <w:bCs/>
                <w:color w:val="auto"/>
                <w:sz w:val="21"/>
                <w:szCs w:val="21"/>
                <w:highlight w:val="none"/>
              </w:rPr>
              <w:t>pH、</w:t>
            </w:r>
            <w:r>
              <w:rPr>
                <w:rFonts w:hint="eastAsia"/>
                <w:bCs/>
                <w:color w:val="auto"/>
                <w:sz w:val="21"/>
                <w:szCs w:val="21"/>
                <w:highlight w:val="none"/>
                <w:lang w:val="en-US" w:eastAsia="zh-CN"/>
              </w:rPr>
              <w:t>耗氧量、钠、硫酸根、氟化物、铁、总磷、铝</w:t>
            </w:r>
          </w:p>
        </w:tc>
        <w:tc>
          <w:tcPr>
            <w:tcW w:w="388" w:type="pct"/>
            <w:vMerge w:val="restart"/>
            <w:noWrap w:val="0"/>
            <w:vAlign w:val="center"/>
          </w:tcPr>
          <w:p w14:paraId="70C64BCF">
            <w:pPr>
              <w:pStyle w:val="24"/>
              <w:bidi w:val="0"/>
              <w:ind w:left="0" w:leftChars="0"/>
              <w:jc w:val="center"/>
              <w:rPr>
                <w:rFonts w:hint="eastAsia" w:eastAsia="宋体"/>
                <w:b w:val="0"/>
                <w:bCs w:val="0"/>
                <w:color w:val="auto"/>
                <w:highlight w:val="none"/>
                <w:lang w:val="en-US" w:eastAsia="zh-CN"/>
              </w:rPr>
            </w:pPr>
            <w:r>
              <w:rPr>
                <w:rFonts w:hint="eastAsia"/>
                <w:b w:val="0"/>
                <w:bCs w:val="0"/>
                <w:color w:val="auto"/>
                <w:highlight w:val="none"/>
                <w:lang w:val="en-US" w:eastAsia="zh-CN"/>
              </w:rPr>
              <w:t>1</w:t>
            </w:r>
            <w:r>
              <w:rPr>
                <w:rFonts w:hint="eastAsia"/>
                <w:b w:val="0"/>
                <w:bCs w:val="0"/>
                <w:color w:val="auto"/>
                <w:highlight w:val="none"/>
              </w:rPr>
              <w:t>次/</w:t>
            </w:r>
            <w:r>
              <w:rPr>
                <w:rFonts w:hint="eastAsia"/>
                <w:b w:val="0"/>
                <w:bCs w:val="0"/>
                <w:color w:val="auto"/>
                <w:highlight w:val="none"/>
                <w:lang w:val="en-US" w:eastAsia="zh-CN"/>
              </w:rPr>
              <w:t>半年</w:t>
            </w:r>
          </w:p>
        </w:tc>
      </w:tr>
      <w:tr w14:paraId="7D29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1984677D">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D2</w:t>
            </w:r>
          </w:p>
        </w:tc>
        <w:tc>
          <w:tcPr>
            <w:tcW w:w="604" w:type="pct"/>
            <w:noWrap w:val="0"/>
            <w:vAlign w:val="center"/>
          </w:tcPr>
          <w:p w14:paraId="687B984D">
            <w:pPr>
              <w:pStyle w:val="24"/>
              <w:bidi w:val="0"/>
              <w:ind w:left="0" w:leftChars="0"/>
              <w:rPr>
                <w:rFonts w:hint="default"/>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项目厂址</w:t>
            </w:r>
          </w:p>
        </w:tc>
        <w:tc>
          <w:tcPr>
            <w:tcW w:w="1162" w:type="pct"/>
            <w:noWrap w:val="0"/>
            <w:vAlign w:val="center"/>
          </w:tcPr>
          <w:p w14:paraId="72136842">
            <w:pPr>
              <w:pStyle w:val="24"/>
              <w:bidi w:val="0"/>
              <w:ind w:left="0" w:leftChars="0"/>
              <w:jc w:val="center"/>
              <w:rPr>
                <w:rFonts w:hint="default" w:eastAsia="宋体"/>
                <w:b w:val="0"/>
                <w:bCs w:val="0"/>
                <w:color w:val="auto"/>
                <w:highlight w:val="none"/>
                <w:lang w:val="en-US" w:eastAsia="zh-CN"/>
              </w:rPr>
            </w:pPr>
            <w:r>
              <w:rPr>
                <w:rFonts w:hint="default" w:eastAsia="宋体"/>
                <w:b w:val="0"/>
                <w:bCs w:val="0"/>
                <w:color w:val="auto"/>
                <w:highlight w:val="none"/>
                <w:lang w:val="en-US" w:eastAsia="zh-CN"/>
              </w:rPr>
              <w:t>107.230527,31.879206</w:t>
            </w:r>
          </w:p>
        </w:tc>
        <w:tc>
          <w:tcPr>
            <w:tcW w:w="352" w:type="pct"/>
            <w:vMerge w:val="continue"/>
            <w:noWrap w:val="0"/>
            <w:vAlign w:val="center"/>
          </w:tcPr>
          <w:p w14:paraId="5AC7B46F">
            <w:pPr>
              <w:pStyle w:val="24"/>
              <w:bidi w:val="0"/>
              <w:ind w:left="0" w:leftChars="0"/>
              <w:jc w:val="center"/>
              <w:rPr>
                <w:rFonts w:hint="default" w:eastAsia="宋体"/>
                <w:b w:val="0"/>
                <w:bCs w:val="0"/>
                <w:color w:val="auto"/>
                <w:highlight w:val="none"/>
                <w:lang w:val="en-US" w:eastAsia="zh-CN"/>
              </w:rPr>
            </w:pPr>
          </w:p>
        </w:tc>
        <w:tc>
          <w:tcPr>
            <w:tcW w:w="468" w:type="pct"/>
            <w:vMerge w:val="continue"/>
            <w:noWrap w:val="0"/>
            <w:vAlign w:val="center"/>
          </w:tcPr>
          <w:p w14:paraId="071D704E">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p>
        </w:tc>
        <w:tc>
          <w:tcPr>
            <w:tcW w:w="862" w:type="pct"/>
            <w:vMerge w:val="continue"/>
            <w:noWrap w:val="0"/>
            <w:vAlign w:val="center"/>
          </w:tcPr>
          <w:p w14:paraId="61ACAAC9">
            <w:pPr>
              <w:pStyle w:val="24"/>
              <w:bidi w:val="0"/>
              <w:ind w:left="0" w:leftChars="0"/>
              <w:jc w:val="center"/>
              <w:rPr>
                <w:rFonts w:hint="eastAsia"/>
                <w:b w:val="0"/>
                <w:bCs w:val="0"/>
                <w:color w:val="auto"/>
                <w:highlight w:val="none"/>
                <w:lang w:val="en-US" w:eastAsia="zh-CN"/>
              </w:rPr>
            </w:pPr>
          </w:p>
        </w:tc>
        <w:tc>
          <w:tcPr>
            <w:tcW w:w="788" w:type="pct"/>
            <w:vMerge w:val="continue"/>
            <w:noWrap w:val="0"/>
            <w:vAlign w:val="center"/>
          </w:tcPr>
          <w:p w14:paraId="037F2318">
            <w:pPr>
              <w:pStyle w:val="24"/>
              <w:bidi w:val="0"/>
              <w:ind w:left="0" w:leftChars="0"/>
              <w:jc w:val="both"/>
              <w:rPr>
                <w:rFonts w:hint="eastAsia"/>
                <w:b w:val="0"/>
                <w:bCs w:val="0"/>
                <w:color w:val="auto"/>
                <w:highlight w:val="none"/>
                <w:lang w:val="en-US" w:eastAsia="zh-CN"/>
              </w:rPr>
            </w:pPr>
          </w:p>
        </w:tc>
        <w:tc>
          <w:tcPr>
            <w:tcW w:w="388" w:type="pct"/>
            <w:vMerge w:val="continue"/>
            <w:noWrap w:val="0"/>
            <w:vAlign w:val="center"/>
          </w:tcPr>
          <w:p w14:paraId="1A79E8CE">
            <w:pPr>
              <w:pStyle w:val="24"/>
              <w:bidi w:val="0"/>
              <w:ind w:left="0" w:leftChars="0"/>
              <w:jc w:val="center"/>
              <w:rPr>
                <w:rFonts w:hint="eastAsia" w:eastAsia="宋体"/>
                <w:b w:val="0"/>
                <w:bCs w:val="0"/>
                <w:color w:val="auto"/>
                <w:highlight w:val="none"/>
                <w:lang w:val="en-US" w:eastAsia="zh-CN"/>
              </w:rPr>
            </w:pPr>
          </w:p>
        </w:tc>
      </w:tr>
      <w:tr w14:paraId="43FA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14:paraId="2E0D0CCC">
            <w:pPr>
              <w:pStyle w:val="24"/>
              <w:bidi w:val="0"/>
              <w:ind w:left="0" w:leftChars="0"/>
              <w:jc w:val="center"/>
              <w:rPr>
                <w:rFonts w:hint="default"/>
                <w:b w:val="0"/>
                <w:bCs w:val="0"/>
                <w:color w:val="auto"/>
                <w:highlight w:val="none"/>
                <w:lang w:val="en-US" w:eastAsia="zh-CN"/>
              </w:rPr>
            </w:pPr>
            <w:r>
              <w:rPr>
                <w:rFonts w:hint="eastAsia"/>
                <w:b w:val="0"/>
                <w:bCs w:val="0"/>
                <w:color w:val="auto"/>
                <w:highlight w:val="none"/>
                <w:lang w:val="en-US" w:eastAsia="zh-CN"/>
              </w:rPr>
              <w:t>D3</w:t>
            </w:r>
          </w:p>
        </w:tc>
        <w:tc>
          <w:tcPr>
            <w:tcW w:w="604" w:type="pct"/>
            <w:noWrap w:val="0"/>
            <w:vAlign w:val="center"/>
          </w:tcPr>
          <w:p w14:paraId="34E8D6F7">
            <w:pPr>
              <w:pStyle w:val="24"/>
              <w:bidi w:val="0"/>
              <w:ind w:left="0" w:leftChars="0"/>
              <w:rPr>
                <w:rFonts w:hint="default"/>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项目下游</w:t>
            </w:r>
          </w:p>
        </w:tc>
        <w:tc>
          <w:tcPr>
            <w:tcW w:w="1162" w:type="pct"/>
            <w:noWrap w:val="0"/>
            <w:vAlign w:val="center"/>
          </w:tcPr>
          <w:p w14:paraId="4EB57B9E">
            <w:pPr>
              <w:pStyle w:val="24"/>
              <w:bidi w:val="0"/>
              <w:ind w:left="0" w:leftChars="0"/>
              <w:jc w:val="center"/>
              <w:rPr>
                <w:rFonts w:hint="eastAsia"/>
                <w:b w:val="0"/>
                <w:bCs w:val="0"/>
                <w:color w:val="auto"/>
                <w:highlight w:val="none"/>
                <w:lang w:val="en-US" w:eastAsia="zh-CN"/>
              </w:rPr>
            </w:pPr>
            <w:r>
              <w:rPr>
                <w:rFonts w:hint="eastAsia"/>
                <w:b w:val="0"/>
                <w:bCs w:val="0"/>
                <w:color w:val="auto"/>
                <w:highlight w:val="none"/>
                <w:lang w:val="en-US" w:eastAsia="zh-CN"/>
              </w:rPr>
              <w:t>107.229740,31.879128</w:t>
            </w:r>
          </w:p>
        </w:tc>
        <w:tc>
          <w:tcPr>
            <w:tcW w:w="352" w:type="pct"/>
            <w:vMerge w:val="continue"/>
            <w:noWrap w:val="0"/>
            <w:vAlign w:val="center"/>
          </w:tcPr>
          <w:p w14:paraId="0294CB8A">
            <w:pPr>
              <w:pStyle w:val="24"/>
              <w:bidi w:val="0"/>
              <w:ind w:left="0" w:leftChars="0"/>
              <w:jc w:val="center"/>
              <w:rPr>
                <w:rFonts w:hint="default"/>
                <w:b w:val="0"/>
                <w:bCs w:val="0"/>
                <w:color w:val="auto"/>
                <w:highlight w:val="none"/>
                <w:lang w:val="en-US" w:eastAsia="zh-CN"/>
              </w:rPr>
            </w:pPr>
          </w:p>
        </w:tc>
        <w:tc>
          <w:tcPr>
            <w:tcW w:w="468" w:type="pct"/>
            <w:vMerge w:val="continue"/>
            <w:noWrap w:val="0"/>
            <w:vAlign w:val="center"/>
          </w:tcPr>
          <w:p w14:paraId="752CB96F">
            <w:pPr>
              <w:pStyle w:val="24"/>
              <w:bidi w:val="0"/>
              <w:ind w:left="0" w:leftChars="0"/>
              <w:jc w:val="center"/>
              <w:rPr>
                <w:rFonts w:hint="eastAsia" w:ascii="Times New Roman" w:hAnsi="Times New Roman" w:eastAsia="宋体" w:cs="Courier New"/>
                <w:b w:val="0"/>
                <w:bCs w:val="0"/>
                <w:color w:val="auto"/>
                <w:kern w:val="2"/>
                <w:sz w:val="21"/>
                <w:szCs w:val="24"/>
                <w:highlight w:val="none"/>
                <w:lang w:val="en-US" w:eastAsia="zh-CN" w:bidi="ar-SA"/>
              </w:rPr>
            </w:pPr>
          </w:p>
        </w:tc>
        <w:tc>
          <w:tcPr>
            <w:tcW w:w="862" w:type="pct"/>
            <w:vMerge w:val="continue"/>
            <w:noWrap w:val="0"/>
            <w:vAlign w:val="center"/>
          </w:tcPr>
          <w:p w14:paraId="4C1B91BC">
            <w:pPr>
              <w:pStyle w:val="24"/>
              <w:bidi w:val="0"/>
              <w:ind w:left="0" w:leftChars="0"/>
              <w:jc w:val="center"/>
              <w:rPr>
                <w:rFonts w:hint="eastAsia"/>
                <w:b w:val="0"/>
                <w:bCs w:val="0"/>
                <w:color w:val="auto"/>
                <w:highlight w:val="none"/>
                <w:lang w:val="en-US" w:eastAsia="zh-CN"/>
              </w:rPr>
            </w:pPr>
          </w:p>
        </w:tc>
        <w:tc>
          <w:tcPr>
            <w:tcW w:w="788" w:type="pct"/>
            <w:vMerge w:val="continue"/>
            <w:noWrap w:val="0"/>
            <w:vAlign w:val="center"/>
          </w:tcPr>
          <w:p w14:paraId="12C52E33">
            <w:pPr>
              <w:pStyle w:val="24"/>
              <w:bidi w:val="0"/>
              <w:ind w:left="0" w:leftChars="0"/>
              <w:jc w:val="both"/>
              <w:rPr>
                <w:rFonts w:hint="eastAsia"/>
                <w:b w:val="0"/>
                <w:bCs w:val="0"/>
                <w:color w:val="auto"/>
                <w:highlight w:val="none"/>
                <w:lang w:val="en-US" w:eastAsia="zh-CN"/>
              </w:rPr>
            </w:pPr>
          </w:p>
        </w:tc>
        <w:tc>
          <w:tcPr>
            <w:tcW w:w="388" w:type="pct"/>
            <w:vMerge w:val="continue"/>
            <w:noWrap w:val="0"/>
            <w:vAlign w:val="center"/>
          </w:tcPr>
          <w:p w14:paraId="29527F12">
            <w:pPr>
              <w:pStyle w:val="24"/>
              <w:bidi w:val="0"/>
              <w:ind w:left="0" w:leftChars="0"/>
              <w:jc w:val="center"/>
              <w:rPr>
                <w:rFonts w:hint="eastAsia"/>
                <w:b w:val="0"/>
                <w:bCs w:val="0"/>
                <w:color w:val="auto"/>
                <w:highlight w:val="none"/>
                <w:lang w:val="en-US" w:eastAsia="zh-CN"/>
              </w:rPr>
            </w:pPr>
          </w:p>
        </w:tc>
      </w:tr>
    </w:tbl>
    <w:p w14:paraId="79609226">
      <w:pPr>
        <w:pStyle w:val="26"/>
        <w:bidi w:val="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（5）土壤</w:t>
      </w:r>
    </w:p>
    <w:p w14:paraId="5662D5B5">
      <w:pPr>
        <w:pStyle w:val="26"/>
        <w:numPr>
          <w:ilvl w:val="0"/>
          <w:numId w:val="46"/>
        </w:numPr>
        <w:tabs>
          <w:tab w:val="left" w:pos="0"/>
        </w:tabs>
        <w:ind w:left="425" w:leftChars="0" w:hanging="425" w:firstLineChars="0"/>
        <w:jc w:val="center"/>
        <w:rPr>
          <w:rFonts w:hint="eastAsia" w:eastAsia="黑体" w:cs="Times New Roman"/>
          <w:color w:val="auto"/>
          <w:sz w:val="21"/>
          <w:szCs w:val="21"/>
          <w:highlight w:val="none"/>
          <w:lang w:val="en-US" w:eastAsia="zh-CN"/>
        </w:rPr>
      </w:pPr>
      <w:r>
        <w:rPr>
          <w:rFonts w:hint="eastAsia" w:eastAsia="黑体" w:cs="Times New Roman"/>
          <w:color w:val="auto"/>
          <w:sz w:val="21"/>
          <w:szCs w:val="21"/>
          <w:highlight w:val="none"/>
          <w:lang w:val="en-US" w:eastAsia="zh-CN"/>
        </w:rPr>
        <w:t>土壤环境跟踪监测计划</w:t>
      </w:r>
    </w:p>
    <w:tbl>
      <w:tblPr>
        <w:tblStyle w:val="2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117"/>
        <w:gridCol w:w="783"/>
        <w:gridCol w:w="1400"/>
        <w:gridCol w:w="1340"/>
        <w:gridCol w:w="790"/>
        <w:gridCol w:w="3333"/>
      </w:tblGrid>
      <w:tr w14:paraId="4F27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9" w:type="pct"/>
            <w:shd w:val="clear" w:color="auto" w:fill="auto"/>
            <w:vAlign w:val="center"/>
          </w:tcPr>
          <w:p w14:paraId="6E3D17B3">
            <w:pPr>
              <w:pStyle w:val="24"/>
              <w:bidi w:val="0"/>
              <w:rPr>
                <w:rFonts w:hint="default" w:ascii="Times New Roman" w:hAnsi="Times New Roman" w:eastAsia="宋体" w:cs="Courier New"/>
                <w:b/>
                <w:bCs/>
                <w:color w:val="auto"/>
                <w:sz w:val="21"/>
                <w:szCs w:val="21"/>
                <w:highlight w:val="none"/>
                <w:lang w:val="en-US" w:eastAsia="zh-CN"/>
              </w:rPr>
            </w:pPr>
            <w:r>
              <w:rPr>
                <w:rFonts w:hint="eastAsia" w:cs="Courier New"/>
                <w:b/>
                <w:bCs/>
                <w:color w:val="auto"/>
                <w:sz w:val="21"/>
                <w:szCs w:val="21"/>
                <w:highlight w:val="none"/>
                <w:lang w:val="en-US" w:eastAsia="zh-CN"/>
              </w:rPr>
              <w:t>编号</w:t>
            </w:r>
          </w:p>
        </w:tc>
        <w:tc>
          <w:tcPr>
            <w:tcW w:w="587" w:type="pct"/>
            <w:shd w:val="clear" w:color="auto" w:fill="auto"/>
            <w:vAlign w:val="center"/>
          </w:tcPr>
          <w:p w14:paraId="4B355548">
            <w:pPr>
              <w:pStyle w:val="24"/>
              <w:bidi w:val="0"/>
              <w:rPr>
                <w:rFonts w:hint="eastAsia" w:ascii="Times New Roman" w:hAnsi="Times New Roman" w:eastAsia="宋体" w:cs="Courier New"/>
                <w:b/>
                <w:bCs/>
                <w:color w:val="auto"/>
                <w:sz w:val="21"/>
                <w:szCs w:val="21"/>
                <w:highlight w:val="none"/>
                <w:lang w:val="en-US" w:eastAsia="zh-CN"/>
              </w:rPr>
            </w:pPr>
            <w:r>
              <w:rPr>
                <w:rFonts w:hint="eastAsia" w:ascii="Times New Roman" w:hAnsi="Times New Roman" w:eastAsia="宋体" w:cs="Courier New"/>
                <w:b/>
                <w:bCs/>
                <w:color w:val="auto"/>
                <w:sz w:val="21"/>
                <w:szCs w:val="21"/>
                <w:highlight w:val="none"/>
                <w:lang w:val="en-US" w:eastAsia="zh-CN"/>
              </w:rPr>
              <w:t>监测点位</w:t>
            </w:r>
          </w:p>
        </w:tc>
        <w:tc>
          <w:tcPr>
            <w:tcW w:w="411" w:type="pct"/>
            <w:shd w:val="clear" w:color="auto" w:fill="auto"/>
            <w:vAlign w:val="center"/>
          </w:tcPr>
          <w:p w14:paraId="66AE3954">
            <w:pPr>
              <w:pStyle w:val="24"/>
              <w:bidi w:val="0"/>
              <w:ind w:left="0" w:leftChars="0"/>
              <w:rPr>
                <w:rFonts w:hint="default" w:ascii="Times New Roman" w:hAnsi="Times New Roman" w:eastAsia="宋体"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监测层位</w:t>
            </w:r>
          </w:p>
        </w:tc>
        <w:tc>
          <w:tcPr>
            <w:tcW w:w="736" w:type="pct"/>
            <w:shd w:val="clear" w:color="auto" w:fill="auto"/>
            <w:vAlign w:val="center"/>
          </w:tcPr>
          <w:p w14:paraId="28E18902">
            <w:pPr>
              <w:pStyle w:val="24"/>
              <w:bidi w:val="0"/>
              <w:ind w:left="0" w:leftChars="0"/>
              <w:rPr>
                <w:rFonts w:hint="default" w:ascii="Times New Roman" w:hAnsi="Times New Roman" w:eastAsia="宋体" w:cs="Courier New"/>
                <w:b/>
                <w:bCs/>
                <w:color w:val="auto"/>
                <w:kern w:val="2"/>
                <w:sz w:val="21"/>
                <w:szCs w:val="21"/>
                <w:highlight w:val="none"/>
                <w:lang w:val="en-US" w:eastAsia="zh-CN" w:bidi="ar-SA"/>
              </w:rPr>
            </w:pPr>
            <w:r>
              <w:rPr>
                <w:rFonts w:hint="eastAsia" w:cs="Courier New"/>
                <w:b/>
                <w:bCs/>
                <w:color w:val="auto"/>
                <w:kern w:val="2"/>
                <w:sz w:val="21"/>
                <w:szCs w:val="21"/>
                <w:highlight w:val="none"/>
                <w:lang w:val="en-US" w:eastAsia="zh-CN" w:bidi="ar-SA"/>
              </w:rPr>
              <w:t>采样深度</w:t>
            </w:r>
          </w:p>
        </w:tc>
        <w:tc>
          <w:tcPr>
            <w:tcW w:w="705" w:type="pct"/>
            <w:shd w:val="clear" w:color="auto" w:fill="auto"/>
            <w:vAlign w:val="center"/>
          </w:tcPr>
          <w:p w14:paraId="64981115">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监测指标</w:t>
            </w:r>
          </w:p>
        </w:tc>
        <w:tc>
          <w:tcPr>
            <w:tcW w:w="415" w:type="pct"/>
            <w:shd w:val="clear" w:color="auto" w:fill="auto"/>
            <w:vAlign w:val="center"/>
          </w:tcPr>
          <w:p w14:paraId="3AB337A7">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监测频次</w:t>
            </w:r>
          </w:p>
        </w:tc>
        <w:tc>
          <w:tcPr>
            <w:tcW w:w="1753" w:type="pct"/>
            <w:shd w:val="clear" w:color="auto" w:fill="auto"/>
            <w:vAlign w:val="center"/>
          </w:tcPr>
          <w:p w14:paraId="0647A8F0">
            <w:pPr>
              <w:pStyle w:val="24"/>
              <w:bidi w:val="0"/>
              <w:ind w:left="0" w:leftChars="0"/>
              <w:rPr>
                <w:rFonts w:hint="eastAsia"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sz w:val="21"/>
                <w:szCs w:val="21"/>
                <w:highlight w:val="none"/>
                <w:lang w:val="en-US" w:eastAsia="zh-CN"/>
              </w:rPr>
              <w:t>执行排放标准</w:t>
            </w:r>
          </w:p>
        </w:tc>
      </w:tr>
      <w:tr w14:paraId="7A9D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89" w:type="pct"/>
            <w:shd w:val="clear" w:color="auto" w:fill="auto"/>
            <w:vAlign w:val="center"/>
          </w:tcPr>
          <w:p w14:paraId="0A834CE3">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T1</w:t>
            </w:r>
          </w:p>
        </w:tc>
        <w:tc>
          <w:tcPr>
            <w:tcW w:w="587" w:type="pct"/>
            <w:shd w:val="clear" w:color="auto" w:fill="auto"/>
            <w:vAlign w:val="center"/>
          </w:tcPr>
          <w:p w14:paraId="3E0B625B">
            <w:pPr>
              <w:pStyle w:val="24"/>
              <w:bidi w:val="0"/>
              <w:rPr>
                <w:rFonts w:hint="default"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罐区西南侧</w:t>
            </w:r>
          </w:p>
        </w:tc>
        <w:tc>
          <w:tcPr>
            <w:tcW w:w="411" w:type="pct"/>
            <w:shd w:val="clear" w:color="auto" w:fill="auto"/>
            <w:vAlign w:val="center"/>
          </w:tcPr>
          <w:p w14:paraId="4931CBDD">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深层土壤</w:t>
            </w:r>
          </w:p>
        </w:tc>
        <w:tc>
          <w:tcPr>
            <w:tcW w:w="736" w:type="pct"/>
            <w:shd w:val="clear" w:color="auto" w:fill="auto"/>
            <w:vAlign w:val="center"/>
          </w:tcPr>
          <w:p w14:paraId="1FC94D06">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kern w:val="2"/>
                <w:sz w:val="21"/>
                <w:szCs w:val="21"/>
                <w:highlight w:val="none"/>
                <w:lang w:val="en-US" w:eastAsia="zh-CN" w:bidi="ar-SA"/>
              </w:rPr>
              <w:t>低于罐区防渗工程与土壤接触面</w:t>
            </w:r>
          </w:p>
        </w:tc>
        <w:tc>
          <w:tcPr>
            <w:tcW w:w="705" w:type="pct"/>
            <w:vMerge w:val="restart"/>
            <w:shd w:val="clear" w:color="auto" w:fill="auto"/>
            <w:vAlign w:val="center"/>
          </w:tcPr>
          <w:p w14:paraId="273A1FDB">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pH、</w:t>
            </w:r>
            <w:r>
              <w:rPr>
                <w:rFonts w:hint="eastAsia" w:ascii="Times New Roman" w:hAnsi="Times New Roman" w:eastAsia="宋体" w:cs="Courier New"/>
                <w:b w:val="0"/>
                <w:bCs w:val="0"/>
                <w:color w:val="auto"/>
                <w:sz w:val="21"/>
                <w:szCs w:val="21"/>
                <w:highlight w:val="none"/>
                <w:lang w:val="en-US" w:eastAsia="zh-CN"/>
              </w:rPr>
              <w:t>氟化物</w:t>
            </w:r>
            <w:r>
              <w:rPr>
                <w:rFonts w:hint="eastAsia" w:cs="Courier New"/>
                <w:b w:val="0"/>
                <w:bCs w:val="0"/>
                <w:color w:val="auto"/>
                <w:sz w:val="21"/>
                <w:szCs w:val="21"/>
                <w:highlight w:val="none"/>
                <w:lang w:val="en-US" w:eastAsia="zh-CN"/>
              </w:rPr>
              <w:t>、</w:t>
            </w:r>
            <w:r>
              <w:rPr>
                <w:rFonts w:hint="eastAsia" w:ascii="Times New Roman" w:hAnsi="Times New Roman" w:cs="Times New Roman"/>
                <w:color w:val="auto"/>
                <w:sz w:val="21"/>
                <w:szCs w:val="21"/>
              </w:rPr>
              <w:t>石油烃</w:t>
            </w:r>
            <w:r>
              <w:rPr>
                <w:rFonts w:ascii="Times New Roman" w:hAnsi="Times New Roman" w:cs="Times New Roman"/>
                <w:color w:val="auto"/>
                <w:sz w:val="21"/>
                <w:szCs w:val="21"/>
              </w:rPr>
              <w:t>（</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10</w:t>
            </w:r>
            <w:r>
              <w:rPr>
                <w:rFonts w:hint="eastAsia" w:ascii="Times New Roman" w:hAnsi="Times New Roman" w:cs="Times New Roman"/>
                <w:color w:val="auto"/>
                <w:sz w:val="21"/>
                <w:szCs w:val="21"/>
              </w:rPr>
              <w:t>-C</w:t>
            </w:r>
            <w:r>
              <w:rPr>
                <w:rFonts w:hint="eastAsia" w:ascii="Times New Roman" w:hAnsi="Times New Roman" w:cs="Times New Roman"/>
                <w:color w:val="auto"/>
                <w:sz w:val="21"/>
                <w:szCs w:val="21"/>
                <w:vertAlign w:val="subscript"/>
              </w:rPr>
              <w:t>40</w:t>
            </w:r>
            <w:r>
              <w:rPr>
                <w:rFonts w:ascii="Times New Roman" w:hAnsi="Times New Roman" w:cs="Times New Roman"/>
                <w:color w:val="auto"/>
                <w:sz w:val="21"/>
                <w:szCs w:val="21"/>
              </w:rPr>
              <w:t>）</w:t>
            </w:r>
          </w:p>
        </w:tc>
        <w:tc>
          <w:tcPr>
            <w:tcW w:w="415" w:type="pct"/>
            <w:shd w:val="clear" w:color="auto" w:fill="auto"/>
            <w:vAlign w:val="center"/>
          </w:tcPr>
          <w:p w14:paraId="3C033111">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1次/3年</w:t>
            </w:r>
          </w:p>
        </w:tc>
        <w:tc>
          <w:tcPr>
            <w:tcW w:w="1753" w:type="pct"/>
            <w:vMerge w:val="restart"/>
            <w:shd w:val="clear" w:color="auto" w:fill="auto"/>
            <w:vAlign w:val="center"/>
          </w:tcPr>
          <w:p w14:paraId="2A1C018E">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ascii="Times New Roman" w:hAnsi="Times New Roman" w:eastAsia="宋体" w:cs="Courier New"/>
                <w:b w:val="0"/>
                <w:bCs w:val="0"/>
                <w:color w:val="auto"/>
                <w:sz w:val="21"/>
                <w:szCs w:val="21"/>
                <w:highlight w:val="none"/>
                <w:lang w:val="en-US" w:eastAsia="zh-CN"/>
              </w:rPr>
              <w:t>《土壤环境质量 建设用地土壤污染风险管控标准（试行）》（GB36600-2018）</w:t>
            </w:r>
            <w:r>
              <w:rPr>
                <w:rFonts w:hint="eastAsia" w:cs="Courier New"/>
                <w:b w:val="0"/>
                <w:bCs w:val="0"/>
                <w:color w:val="auto"/>
                <w:sz w:val="21"/>
                <w:szCs w:val="21"/>
                <w:highlight w:val="none"/>
                <w:lang w:val="en-US" w:eastAsia="zh-CN"/>
              </w:rPr>
              <w:t>、</w:t>
            </w:r>
            <w:r>
              <w:rPr>
                <w:rFonts w:hint="eastAsia" w:cstheme="minorHAnsi"/>
                <w:color w:val="auto"/>
                <w:sz w:val="21"/>
                <w:szCs w:val="21"/>
                <w:lang w:val="en-US" w:eastAsia="zh-CN"/>
              </w:rPr>
              <w:t>《四川省建设用地土壤污染风险管控标准》（DB51/2978-2023）</w:t>
            </w:r>
            <w:r>
              <w:rPr>
                <w:rFonts w:hint="eastAsia" w:ascii="Times New Roman" w:hAnsi="Times New Roman" w:eastAsia="宋体" w:cs="Courier New"/>
                <w:b w:val="0"/>
                <w:bCs w:val="0"/>
                <w:color w:val="auto"/>
                <w:sz w:val="21"/>
                <w:szCs w:val="21"/>
                <w:highlight w:val="none"/>
                <w:lang w:val="en-US" w:eastAsia="zh-CN"/>
              </w:rPr>
              <w:t>第二类用地土壤污染风险筛选值</w:t>
            </w:r>
          </w:p>
        </w:tc>
      </w:tr>
      <w:tr w14:paraId="093C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89" w:type="pct"/>
            <w:shd w:val="clear" w:color="auto" w:fill="auto"/>
            <w:vAlign w:val="center"/>
          </w:tcPr>
          <w:p w14:paraId="2C5ACF6F">
            <w:pPr>
              <w:pStyle w:val="24"/>
              <w:bidi w:val="0"/>
              <w:rPr>
                <w:rFonts w:hint="default"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T2</w:t>
            </w:r>
          </w:p>
        </w:tc>
        <w:tc>
          <w:tcPr>
            <w:tcW w:w="587" w:type="pct"/>
            <w:shd w:val="clear" w:color="auto" w:fill="auto"/>
            <w:vAlign w:val="center"/>
          </w:tcPr>
          <w:p w14:paraId="2F723C98">
            <w:pPr>
              <w:pStyle w:val="24"/>
              <w:bidi w:val="0"/>
              <w:rPr>
                <w:rFonts w:hint="eastAsia" w:ascii="Times New Roman" w:hAnsi="Times New Roman" w:eastAsia="宋体" w:cs="Courier New"/>
                <w:b w:val="0"/>
                <w:bCs w:val="0"/>
                <w:color w:val="auto"/>
                <w:sz w:val="21"/>
                <w:szCs w:val="21"/>
                <w:highlight w:val="none"/>
                <w:lang w:val="en-US" w:eastAsia="zh-CN"/>
              </w:rPr>
            </w:pPr>
            <w:r>
              <w:rPr>
                <w:rFonts w:hint="eastAsia" w:cs="Courier New"/>
                <w:b w:val="0"/>
                <w:bCs w:val="0"/>
                <w:color w:val="auto"/>
                <w:sz w:val="21"/>
                <w:szCs w:val="21"/>
                <w:highlight w:val="none"/>
                <w:lang w:val="en-US" w:eastAsia="zh-CN"/>
              </w:rPr>
              <w:t>厂区西南侧厂界</w:t>
            </w:r>
          </w:p>
        </w:tc>
        <w:tc>
          <w:tcPr>
            <w:tcW w:w="411" w:type="pct"/>
            <w:shd w:val="clear" w:color="auto" w:fill="auto"/>
            <w:vAlign w:val="center"/>
          </w:tcPr>
          <w:p w14:paraId="2ED396A2">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表层土壤</w:t>
            </w:r>
          </w:p>
        </w:tc>
        <w:tc>
          <w:tcPr>
            <w:tcW w:w="736" w:type="pct"/>
            <w:shd w:val="clear" w:color="auto" w:fill="auto"/>
            <w:vAlign w:val="center"/>
          </w:tcPr>
          <w:p w14:paraId="2DA07F99">
            <w:pPr>
              <w:pStyle w:val="24"/>
              <w:bidi w:val="0"/>
              <w:ind w:left="0" w:leftChars="0"/>
              <w:rPr>
                <w:rFonts w:hint="eastAsia"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0~0.5m</w:t>
            </w:r>
          </w:p>
        </w:tc>
        <w:tc>
          <w:tcPr>
            <w:tcW w:w="705" w:type="pct"/>
            <w:vMerge w:val="continue"/>
            <w:vAlign w:val="center"/>
          </w:tcPr>
          <w:p w14:paraId="6C00A0AD">
            <w:pPr>
              <w:pStyle w:val="24"/>
              <w:bidi w:val="0"/>
              <w:rPr>
                <w:rFonts w:hint="eastAsia" w:ascii="Times New Roman" w:hAnsi="Times New Roman" w:eastAsia="宋体" w:cs="Courier New"/>
                <w:b w:val="0"/>
                <w:bCs w:val="0"/>
                <w:color w:val="auto"/>
                <w:sz w:val="21"/>
                <w:szCs w:val="21"/>
                <w:highlight w:val="none"/>
                <w:lang w:val="en-US" w:eastAsia="zh-CN"/>
              </w:rPr>
            </w:pPr>
          </w:p>
        </w:tc>
        <w:tc>
          <w:tcPr>
            <w:tcW w:w="415" w:type="pct"/>
            <w:shd w:val="clear" w:color="auto" w:fill="auto"/>
            <w:vAlign w:val="center"/>
          </w:tcPr>
          <w:p w14:paraId="181A8C7C">
            <w:pPr>
              <w:pStyle w:val="24"/>
              <w:bidi w:val="0"/>
              <w:ind w:left="0" w:leftChars="0"/>
              <w:rPr>
                <w:rFonts w:hint="default" w:ascii="Times New Roman" w:hAnsi="Times New Roman" w:eastAsia="宋体" w:cs="Courier New"/>
                <w:b w:val="0"/>
                <w:bCs w:val="0"/>
                <w:color w:val="auto"/>
                <w:kern w:val="2"/>
                <w:sz w:val="21"/>
                <w:szCs w:val="21"/>
                <w:highlight w:val="none"/>
                <w:lang w:val="en-US" w:eastAsia="zh-CN" w:bidi="ar-SA"/>
              </w:rPr>
            </w:pPr>
            <w:r>
              <w:rPr>
                <w:rFonts w:hint="eastAsia" w:cs="Courier New"/>
                <w:b w:val="0"/>
                <w:bCs w:val="0"/>
                <w:color w:val="auto"/>
                <w:sz w:val="21"/>
                <w:szCs w:val="21"/>
                <w:highlight w:val="none"/>
                <w:lang w:val="en-US" w:eastAsia="zh-CN"/>
              </w:rPr>
              <w:t>1次/年</w:t>
            </w:r>
          </w:p>
        </w:tc>
        <w:tc>
          <w:tcPr>
            <w:tcW w:w="1753" w:type="pct"/>
            <w:vMerge w:val="continue"/>
            <w:vAlign w:val="center"/>
          </w:tcPr>
          <w:p w14:paraId="50C19F3B">
            <w:pPr>
              <w:pStyle w:val="24"/>
              <w:bidi w:val="0"/>
              <w:rPr>
                <w:rFonts w:hint="default" w:cs="Courier New"/>
                <w:b w:val="0"/>
                <w:bCs w:val="0"/>
                <w:color w:val="auto"/>
                <w:sz w:val="21"/>
                <w:szCs w:val="21"/>
                <w:highlight w:val="none"/>
                <w:lang w:val="en-US" w:eastAsia="zh-CN"/>
              </w:rPr>
            </w:pPr>
          </w:p>
        </w:tc>
      </w:tr>
    </w:tbl>
    <w:p w14:paraId="41E436E6">
      <w:pPr>
        <w:pStyle w:val="26"/>
        <w:bidi w:val="0"/>
        <w:rPr>
          <w:color w:val="auto"/>
          <w:highlight w:val="none"/>
        </w:rPr>
        <w:sectPr>
          <w:pgSz w:w="11906" w:h="16838"/>
          <w:pgMar w:top="1474" w:right="1247" w:bottom="1304" w:left="1361" w:header="851" w:footer="992" w:gutter="0"/>
          <w:pgBorders>
            <w:top w:val="none" w:sz="0" w:space="0"/>
            <w:left w:val="none" w:sz="0" w:space="0"/>
            <w:bottom w:val="none" w:sz="0" w:space="0"/>
            <w:right w:val="none" w:sz="0" w:space="0"/>
          </w:pgBorders>
          <w:pgNumType w:fmt="decimal"/>
          <w:cols w:space="0" w:num="1"/>
          <w:rtlGutter w:val="0"/>
          <w:docGrid w:type="lines" w:linePitch="343" w:charSpace="0"/>
        </w:sectPr>
      </w:pPr>
    </w:p>
    <w:p w14:paraId="7CEF1C62">
      <w:pPr>
        <w:pStyle w:val="2"/>
        <w:bidi w:val="0"/>
        <w:rPr>
          <w:color w:val="auto"/>
          <w:highlight w:val="none"/>
        </w:rPr>
      </w:pPr>
      <w:bookmarkStart w:id="306" w:name="_Toc31530"/>
      <w:bookmarkStart w:id="307" w:name="_Toc31686"/>
      <w:bookmarkStart w:id="308" w:name="_Toc5289"/>
      <w:bookmarkStart w:id="309" w:name="_Toc94200131"/>
      <w:r>
        <w:rPr>
          <w:color w:val="auto"/>
          <w:highlight w:val="none"/>
        </w:rPr>
        <w:t>环境影响评价结论</w:t>
      </w:r>
      <w:bookmarkEnd w:id="306"/>
      <w:bookmarkEnd w:id="307"/>
      <w:bookmarkEnd w:id="308"/>
      <w:bookmarkEnd w:id="309"/>
    </w:p>
    <w:p w14:paraId="1B8C0028">
      <w:pPr>
        <w:pStyle w:val="3"/>
        <w:bidi w:val="0"/>
        <w:rPr>
          <w:color w:val="auto"/>
          <w:highlight w:val="none"/>
        </w:rPr>
      </w:pPr>
      <w:bookmarkStart w:id="310" w:name="_Toc461524975"/>
      <w:bookmarkStart w:id="311" w:name="_Toc6297"/>
      <w:bookmarkStart w:id="312" w:name="_Toc14345"/>
      <w:bookmarkStart w:id="313" w:name="_Toc94200132"/>
      <w:bookmarkStart w:id="314" w:name="_Toc6020"/>
      <w:r>
        <w:rPr>
          <w:color w:val="auto"/>
          <w:highlight w:val="none"/>
        </w:rPr>
        <w:t>评价结论</w:t>
      </w:r>
      <w:bookmarkEnd w:id="310"/>
      <w:bookmarkEnd w:id="311"/>
      <w:bookmarkEnd w:id="312"/>
      <w:bookmarkEnd w:id="313"/>
      <w:bookmarkEnd w:id="314"/>
    </w:p>
    <w:p w14:paraId="2CF86036">
      <w:pPr>
        <w:pStyle w:val="4"/>
        <w:bidi w:val="0"/>
        <w:rPr>
          <w:color w:val="auto"/>
          <w:highlight w:val="none"/>
        </w:rPr>
      </w:pPr>
      <w:bookmarkStart w:id="315" w:name="_Toc30543"/>
      <w:bookmarkStart w:id="316" w:name="_Toc94200133"/>
      <w:r>
        <w:rPr>
          <w:rFonts w:hint="eastAsia"/>
          <w:color w:val="auto"/>
          <w:highlight w:val="none"/>
        </w:rPr>
        <w:t>建设</w:t>
      </w:r>
      <w:r>
        <w:rPr>
          <w:color w:val="auto"/>
          <w:highlight w:val="none"/>
        </w:rPr>
        <w:t>项目概况</w:t>
      </w:r>
      <w:bookmarkEnd w:id="315"/>
      <w:bookmarkEnd w:id="316"/>
    </w:p>
    <w:p w14:paraId="55B7E3E9">
      <w:pPr>
        <w:pStyle w:val="26"/>
        <w:bidi w:val="0"/>
        <w:rPr>
          <w:rFonts w:hint="default" w:ascii="宋体" w:hAnsi="宋体" w:eastAsia="宋体"/>
          <w:color w:val="auto"/>
          <w:sz w:val="24"/>
          <w:szCs w:val="24"/>
          <w:highlight w:val="none"/>
          <w:lang w:val="en-US" w:eastAsia="zh-CN"/>
        </w:rPr>
      </w:pPr>
      <w:r>
        <w:rPr>
          <w:rFonts w:hint="eastAsia"/>
          <w:color w:val="auto"/>
          <w:sz w:val="24"/>
          <w:lang w:eastAsia="zh-CN"/>
        </w:rPr>
        <w:t>四川诚正建科新材料有限公司聚羧酸减水剂与无碱速凝剂生产项目</w:t>
      </w:r>
      <w:r>
        <w:rPr>
          <w:rFonts w:hint="eastAsia" w:ascii="Times New Roman"/>
          <w:color w:val="auto"/>
          <w:sz w:val="24"/>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highlight w:val="none"/>
        </w:rPr>
        <w:t>主</w:t>
      </w:r>
      <w:r>
        <w:rPr>
          <w:rFonts w:hint="eastAsia" w:ascii="Times New Roman"/>
          <w:color w:val="auto"/>
          <w:sz w:val="24"/>
        </w:rPr>
        <w:t>要</w:t>
      </w:r>
      <w:r>
        <w:rPr>
          <w:rFonts w:ascii="Times New Roman"/>
          <w:color w:val="auto"/>
          <w:sz w:val="24"/>
        </w:rPr>
        <w:t>建设内容</w:t>
      </w:r>
      <w:r>
        <w:rPr>
          <w:color w:val="auto"/>
        </w:rPr>
        <w:t>包括</w:t>
      </w:r>
      <w:r>
        <w:rPr>
          <w:rFonts w:hint="eastAsia"/>
          <w:color w:val="auto"/>
          <w:lang w:val="en-US" w:eastAsia="zh-CN"/>
        </w:rPr>
        <w:t>1栋生产车间、3个罐区、1栋综合楼、1栋仓库和公用工程间、装卸区</w:t>
      </w:r>
      <w:r>
        <w:rPr>
          <w:color w:val="auto"/>
        </w:rPr>
        <w:t>等相关配套设施</w:t>
      </w:r>
      <w:r>
        <w:rPr>
          <w:rFonts w:hint="eastAsia"/>
          <w:color w:val="auto"/>
        </w:rPr>
        <w:t>，</w:t>
      </w:r>
      <w:r>
        <w:rPr>
          <w:rFonts w:hint="eastAsia"/>
          <w:color w:val="auto"/>
          <w:lang w:val="en-US" w:eastAsia="zh-CN"/>
        </w:rPr>
        <w:t>年产聚羧酸减水剂母液12000t（含减水型8000t、保坍型4000t，其中7200t（减水型4800t、保坍型2400t）用于生产高性能聚羧酸减水剂、4800t（减水型3200t、保坍型1600t）外售）、高性能聚羧酸减水剂20000t（含标准型15000t、缓凝型2500t、早强型2500t）、无碱速凝剂40000t、乳化型脱模剂10000t（含乳化油型5000t、水乳型5000t）。</w:t>
      </w:r>
      <w:r>
        <w:rPr>
          <w:rFonts w:hint="eastAsia" w:ascii="Times New Roman" w:hAnsi="Times New Roman"/>
          <w:color w:val="auto"/>
          <w:sz w:val="24"/>
          <w:szCs w:val="24"/>
        </w:rPr>
        <w:t>项目</w:t>
      </w:r>
      <w:r>
        <w:rPr>
          <w:rFonts w:hint="eastAsia" w:ascii="Times New Roman" w:hAnsi="Times New Roman"/>
          <w:color w:val="auto"/>
          <w:sz w:val="24"/>
          <w:szCs w:val="24"/>
          <w:highlight w:val="none"/>
        </w:rPr>
        <w:t>总投资</w:t>
      </w:r>
      <w:r>
        <w:rPr>
          <w:rFonts w:hint="eastAsia"/>
          <w:color w:val="auto"/>
          <w:sz w:val="24"/>
          <w:lang w:val="en-US" w:eastAsia="zh-CN"/>
        </w:rPr>
        <w:t>11065</w:t>
      </w:r>
      <w:r>
        <w:rPr>
          <w:rFonts w:hint="eastAsia" w:ascii="Times New Roman" w:hAnsi="Times New Roman"/>
          <w:color w:val="auto"/>
          <w:sz w:val="24"/>
          <w:szCs w:val="24"/>
          <w:highlight w:val="none"/>
        </w:rPr>
        <w:t>万元，</w:t>
      </w:r>
      <w:r>
        <w:rPr>
          <w:rFonts w:hint="eastAsia"/>
          <w:color w:val="auto"/>
          <w:highlight w:val="none"/>
        </w:rPr>
        <w:t>其中环保投资约</w:t>
      </w:r>
      <w:r>
        <w:rPr>
          <w:rFonts w:hint="eastAsia"/>
          <w:color w:val="auto"/>
          <w:highlight w:val="none"/>
          <w:lang w:val="en-US" w:eastAsia="zh-CN"/>
        </w:rPr>
        <w:t>185</w:t>
      </w:r>
      <w:r>
        <w:rPr>
          <w:color w:val="auto"/>
          <w:highlight w:val="none"/>
        </w:rPr>
        <w:t>万元</w:t>
      </w:r>
      <w:r>
        <w:rPr>
          <w:rFonts w:hint="eastAsia"/>
          <w:color w:val="auto"/>
          <w:highlight w:val="none"/>
        </w:rPr>
        <w:t>，占总投资的</w:t>
      </w:r>
      <w:r>
        <w:rPr>
          <w:rFonts w:hint="eastAsia"/>
          <w:color w:val="auto"/>
          <w:highlight w:val="none"/>
          <w:lang w:val="en-US" w:eastAsia="zh-CN"/>
        </w:rPr>
        <w:t>1.67%</w:t>
      </w:r>
      <w:r>
        <w:rPr>
          <w:rFonts w:hint="eastAsia" w:ascii="Times New Roman" w:hAnsi="Times New Roman"/>
          <w:color w:val="auto"/>
          <w:sz w:val="24"/>
          <w:szCs w:val="24"/>
        </w:rPr>
        <w:t>。</w:t>
      </w:r>
    </w:p>
    <w:p w14:paraId="2CB4795C">
      <w:pPr>
        <w:pStyle w:val="4"/>
        <w:bidi w:val="0"/>
        <w:rPr>
          <w:color w:val="auto"/>
          <w:highlight w:val="none"/>
        </w:rPr>
      </w:pPr>
      <w:bookmarkStart w:id="317" w:name="_Toc11910"/>
      <w:bookmarkStart w:id="318" w:name="_Toc94200134"/>
      <w:r>
        <w:rPr>
          <w:color w:val="auto"/>
          <w:highlight w:val="none"/>
        </w:rPr>
        <w:t>产业政策符合性</w:t>
      </w:r>
      <w:bookmarkEnd w:id="317"/>
      <w:bookmarkEnd w:id="318"/>
    </w:p>
    <w:p w14:paraId="362C32CD">
      <w:pPr>
        <w:spacing w:line="360" w:lineRule="auto"/>
        <w:ind w:left="0" w:leftChars="0" w:firstLine="480" w:firstLineChars="200"/>
        <w:rPr>
          <w:rFonts w:hint="eastAsia"/>
          <w:bCs/>
          <w:color w:val="auto"/>
          <w:kern w:val="0"/>
          <w:sz w:val="24"/>
          <w:lang w:val="en-US" w:eastAsia="zh-CN"/>
        </w:rPr>
      </w:pPr>
      <w:r>
        <w:rPr>
          <w:rFonts w:hint="eastAsia"/>
          <w:bCs/>
          <w:color w:val="auto"/>
          <w:kern w:val="0"/>
          <w:sz w:val="24"/>
          <w:lang w:val="en-US" w:eastAsia="zh-CN"/>
        </w:rPr>
        <w:t>本项目为混凝土添加剂生产，</w:t>
      </w:r>
      <w:r>
        <w:rPr>
          <w:rFonts w:hint="eastAsia" w:cstheme="minorHAnsi"/>
          <w:bCs/>
          <w:color w:val="auto"/>
          <w:szCs w:val="24"/>
          <w:lang w:val="en-US" w:eastAsia="zh-CN"/>
        </w:rPr>
        <w:t>根据通江县经济和信息化局《关于聚羧酸减水剂和无碱速凝剂生产项目行业类别的情况说明》，</w:t>
      </w:r>
      <w:r>
        <w:rPr>
          <w:rFonts w:hint="eastAsia" w:cs="Times New Roman"/>
          <w:color w:val="auto"/>
          <w:kern w:val="2"/>
          <w:sz w:val="24"/>
          <w:szCs w:val="24"/>
          <w:lang w:val="en-US" w:eastAsia="zh-CN" w:bidi="ar-SA"/>
        </w:rPr>
        <w:t>本项目</w:t>
      </w:r>
      <w:r>
        <w:rPr>
          <w:rFonts w:hint="eastAsia"/>
          <w:bCs/>
          <w:color w:val="auto"/>
          <w:kern w:val="0"/>
          <w:sz w:val="24"/>
          <w:lang w:val="en-US" w:eastAsia="zh-CN"/>
        </w:rPr>
        <w:t>属于《国民经济行业分类》（GB/T4754-2017）中“</w:t>
      </w:r>
      <w:r>
        <w:rPr>
          <w:rFonts w:hint="eastAsia"/>
          <w:bCs/>
          <w:i/>
          <w:iCs/>
          <w:color w:val="auto"/>
          <w:kern w:val="0"/>
          <w:sz w:val="24"/>
          <w:lang w:val="en-US" w:eastAsia="zh-CN"/>
        </w:rPr>
        <w:t>C2662 专项化学用品制造</w:t>
      </w:r>
      <w:r>
        <w:rPr>
          <w:rFonts w:hint="eastAsia"/>
          <w:bCs/>
          <w:color w:val="auto"/>
          <w:kern w:val="0"/>
          <w:sz w:val="24"/>
          <w:lang w:val="en-US" w:eastAsia="zh-CN"/>
        </w:rPr>
        <w:t>”。根据《产业结构调整指导目录（2024年本）》，项目不属于鼓励类、限制类、淘汰类，且根据《促进产业结构调整暂行规定》（国发〔2005〕40号）第十三条规定“不属于鼓励类、限制类和淘汰类，且符合国家有关法律、法规和政策规定的，为允许类”，本项目为允许类。此外，根据《四川省国家重点生态功能区产业准入负面清单（第一批）（试行）》，项目不属于通江县限制类、禁止类产业。</w:t>
      </w:r>
    </w:p>
    <w:p w14:paraId="137926D0">
      <w:pPr>
        <w:spacing w:line="360" w:lineRule="auto"/>
        <w:ind w:left="0" w:leftChars="0" w:firstLine="480" w:firstLineChars="200"/>
        <w:rPr>
          <w:rFonts w:hint="eastAsia"/>
          <w:color w:val="auto"/>
          <w:kern w:val="0"/>
          <w:sz w:val="24"/>
          <w:lang w:val="en-US" w:eastAsia="zh-CN"/>
        </w:rPr>
      </w:pPr>
      <w:r>
        <w:rPr>
          <w:rFonts w:hint="eastAsia"/>
          <w:color w:val="auto"/>
          <w:kern w:val="0"/>
          <w:sz w:val="24"/>
          <w:lang w:val="en-US" w:eastAsia="zh-CN"/>
        </w:rPr>
        <w:t>根据四川省发展和改革委员会 四川省经济和信息化厅关于印发《四川省“两高”项目管理目录（试行）》的通知（川发改环资函〔2024〕259号），本项目不属于纳入“两高”管理范围的产品或工艺（工序）；本项目也不涉及《环境保护综合名录（2021年版）》中高污染、高环境风险产品，不属于高污染项目。</w:t>
      </w:r>
    </w:p>
    <w:p w14:paraId="376B7C65">
      <w:pPr>
        <w:spacing w:line="360" w:lineRule="auto"/>
        <w:ind w:left="0" w:leftChars="0" w:firstLine="480" w:firstLineChars="200"/>
        <w:rPr>
          <w:rFonts w:hint="eastAsia"/>
          <w:color w:val="auto"/>
          <w:kern w:val="0"/>
          <w:sz w:val="24"/>
          <w:lang w:val="en-US" w:eastAsia="zh-CN"/>
        </w:rPr>
      </w:pPr>
      <w:r>
        <w:rPr>
          <w:rFonts w:hint="eastAsia"/>
          <w:color w:val="auto"/>
          <w:kern w:val="0"/>
          <w:sz w:val="24"/>
          <w:lang w:val="en-US" w:eastAsia="zh-CN"/>
        </w:rPr>
        <w:t>同时，四川巴中经济开发区经济发展局对本项目进行了备案（川投资备〔2603-511924-04-01-913052〕FGQB-0026号）。</w:t>
      </w:r>
    </w:p>
    <w:p w14:paraId="3C631C4B">
      <w:pPr>
        <w:pStyle w:val="26"/>
        <w:bidi w:val="0"/>
        <w:rPr>
          <w:rFonts w:hint="default" w:ascii="Times New Roman" w:hAnsi="Times New Roman" w:cs="Times New Roman"/>
          <w:color w:val="auto"/>
          <w:highlight w:val="none"/>
          <w:lang w:val="en-US" w:eastAsia="zh-CN"/>
        </w:rPr>
      </w:pPr>
      <w:r>
        <w:rPr>
          <w:rFonts w:hint="eastAsia"/>
          <w:color w:val="auto"/>
          <w:sz w:val="24"/>
          <w:lang w:val="en-US" w:eastAsia="zh-CN"/>
        </w:rPr>
        <w:t>因此</w:t>
      </w:r>
      <w:r>
        <w:rPr>
          <w:rFonts w:hint="eastAsia"/>
          <w:color w:val="auto"/>
          <w:sz w:val="24"/>
        </w:rPr>
        <w:t>，</w:t>
      </w:r>
      <w:r>
        <w:rPr>
          <w:rFonts w:cstheme="minorHAnsi"/>
          <w:color w:val="auto"/>
          <w:sz w:val="24"/>
          <w:szCs w:val="24"/>
        </w:rPr>
        <w:t>本项目符合国家现行产业政策</w:t>
      </w:r>
      <w:r>
        <w:rPr>
          <w:rFonts w:ascii="Times New Roman" w:hAnsi="Times New Roman"/>
          <w:color w:val="auto"/>
          <w:sz w:val="24"/>
          <w:szCs w:val="24"/>
        </w:rPr>
        <w:t>。</w:t>
      </w:r>
    </w:p>
    <w:p w14:paraId="7C4F3FC2">
      <w:pPr>
        <w:pStyle w:val="4"/>
        <w:bidi w:val="0"/>
        <w:rPr>
          <w:color w:val="auto"/>
          <w:highlight w:val="none"/>
        </w:rPr>
      </w:pPr>
      <w:bookmarkStart w:id="319" w:name="_Toc94200135"/>
      <w:bookmarkStart w:id="320" w:name="_Toc5643"/>
      <w:r>
        <w:rPr>
          <w:color w:val="auto"/>
          <w:highlight w:val="none"/>
        </w:rPr>
        <w:t>规划符合性</w:t>
      </w:r>
      <w:bookmarkEnd w:id="319"/>
      <w:bookmarkEnd w:id="320"/>
    </w:p>
    <w:p w14:paraId="2A7C0839">
      <w:pPr>
        <w:pStyle w:val="29"/>
        <w:ind w:left="0" w:leftChars="0" w:firstLine="482" w:firstLineChars="200"/>
        <w:rPr>
          <w:color w:val="auto"/>
        </w:rPr>
      </w:pPr>
      <w:r>
        <w:rPr>
          <w:rFonts w:hint="eastAsia"/>
          <w:color w:val="auto"/>
        </w:rPr>
        <w:t>1、</w:t>
      </w:r>
      <w:r>
        <w:rPr>
          <w:color w:val="auto"/>
        </w:rPr>
        <w:t>与</w:t>
      </w:r>
      <w:r>
        <w:rPr>
          <w:rFonts w:hint="default" w:ascii="Times New Roman" w:hAnsi="Times New Roman" w:eastAsia="宋体" w:cs="Times New Roman"/>
          <w:b/>
          <w:bCs/>
          <w:color w:val="auto"/>
          <w:lang w:val="en-US" w:eastAsia="zh-CN"/>
        </w:rPr>
        <w:t>《巴中市国土空间总体规划（2021-2035年）》</w:t>
      </w:r>
      <w:r>
        <w:rPr>
          <w:rFonts w:hint="eastAsia" w:ascii="Times New Roman" w:hAnsi="Times New Roman" w:eastAsia="宋体" w:cs="Times New Roman"/>
          <w:b/>
          <w:bCs/>
          <w:color w:val="auto"/>
          <w:lang w:val="en-US" w:eastAsia="zh-CN"/>
        </w:rPr>
        <w:t>、</w:t>
      </w:r>
      <w:r>
        <w:rPr>
          <w:rFonts w:hint="default" w:ascii="Times New Roman" w:hAnsi="Times New Roman" w:eastAsia="宋体" w:cs="Times New Roman"/>
          <w:b/>
          <w:bCs/>
          <w:color w:val="auto"/>
          <w:lang w:val="en-US" w:eastAsia="zh-CN"/>
        </w:rPr>
        <w:t>《通江县国土空间总体规划（2021-2035年）》</w:t>
      </w:r>
      <w:r>
        <w:rPr>
          <w:color w:val="auto"/>
        </w:rPr>
        <w:t>符合性</w:t>
      </w:r>
    </w:p>
    <w:p w14:paraId="29185BC5">
      <w:pPr>
        <w:pStyle w:val="26"/>
        <w:bidi w:val="0"/>
        <w:rPr>
          <w:rFonts w:hint="eastAsia"/>
          <w:color w:val="auto"/>
          <w:sz w:val="24"/>
          <w:szCs w:val="24"/>
          <w:highlight w:val="none"/>
          <w:lang w:val="en-US" w:eastAsia="zh-CN"/>
        </w:rPr>
      </w:pPr>
      <w:r>
        <w:rPr>
          <w:rFonts w:hint="eastAsia"/>
          <w:color w:val="auto"/>
          <w:sz w:val="24"/>
          <w:szCs w:val="24"/>
          <w:highlight w:val="none"/>
          <w:lang w:val="en-US" w:eastAsia="zh-CN"/>
        </w:rPr>
        <w:t>根据</w:t>
      </w:r>
      <w:r>
        <w:rPr>
          <w:rFonts w:hint="eastAsia"/>
          <w:b w:val="0"/>
          <w:bCs/>
          <w:color w:val="auto"/>
          <w:sz w:val="24"/>
          <w:lang w:val="en-US" w:eastAsia="zh-CN" w:bidi="en-US"/>
        </w:rPr>
        <w:t>《巴中市国土空间总体规划（2021-2035年）</w:t>
      </w:r>
      <w:r>
        <w:rPr>
          <w:rFonts w:hint="eastAsia"/>
          <w:color w:val="auto"/>
          <w:sz w:val="24"/>
          <w:szCs w:val="24"/>
          <w:highlight w:val="none"/>
          <w:lang w:val="en-US" w:eastAsia="zh-CN"/>
        </w:rPr>
        <w:t>-市域城镇开发边界图》，本项目位于城镇开发边界内；根据本项目地块</w:t>
      </w:r>
      <w:r>
        <w:rPr>
          <w:rFonts w:hint="eastAsia" w:cs="Times New Roman"/>
          <w:color w:val="auto"/>
          <w:kern w:val="2"/>
          <w:sz w:val="24"/>
          <w:szCs w:val="30"/>
          <w:lang w:val="en-US" w:eastAsia="zh-CN" w:bidi="ar-SA"/>
        </w:rPr>
        <w:t>《国有建设用地使用权出让合同》</w:t>
      </w:r>
      <w:r>
        <w:rPr>
          <w:rFonts w:hint="eastAsia"/>
          <w:color w:val="auto"/>
          <w:sz w:val="24"/>
          <w:szCs w:val="24"/>
          <w:highlight w:val="none"/>
          <w:lang w:val="en-US" w:eastAsia="zh-CN"/>
        </w:rPr>
        <w:t>（不动产单元代码：511921005002GB00006W00000000、合同编号：511921-2025P-21）和《</w:t>
      </w:r>
      <w:r>
        <w:rPr>
          <w:rFonts w:hint="eastAsia"/>
          <w:color w:val="auto"/>
          <w:sz w:val="24"/>
          <w:lang w:val="en-US" w:eastAsia="zh-CN"/>
        </w:rPr>
        <w:t>四川巴中经济开发区金堂区块</w:t>
      </w:r>
      <w:r>
        <w:rPr>
          <w:rFonts w:hint="eastAsia"/>
          <w:color w:val="auto"/>
          <w:sz w:val="24"/>
          <w:szCs w:val="24"/>
          <w:highlight w:val="none"/>
          <w:lang w:val="en-US" w:eastAsia="zh-CN"/>
        </w:rPr>
        <w:t>土地使用规划图》，本项目用地性质为三类工业用地；本项目</w:t>
      </w:r>
      <w:r>
        <w:rPr>
          <w:rFonts w:hint="eastAsia" w:ascii="Times New Roman"/>
          <w:color w:val="auto"/>
          <w:sz w:val="24"/>
          <w:lang w:val="en-US" w:eastAsia="zh-CN"/>
        </w:rPr>
        <w:t>为</w:t>
      </w:r>
      <w:r>
        <w:rPr>
          <w:rFonts w:hint="eastAsia"/>
          <w:bCs/>
          <w:color w:val="auto"/>
          <w:kern w:val="0"/>
          <w:sz w:val="24"/>
          <w:lang w:val="en-US" w:eastAsia="zh-CN"/>
        </w:rPr>
        <w:t>混凝土添加剂生产</w:t>
      </w:r>
      <w:r>
        <w:rPr>
          <w:rFonts w:hint="eastAsia" w:ascii="Times New Roman"/>
          <w:color w:val="auto"/>
          <w:sz w:val="24"/>
          <w:lang w:val="en-US" w:eastAsia="zh-CN"/>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lang w:val="en-US" w:eastAsia="zh-CN"/>
        </w:rPr>
        <w:t>，本项目</w:t>
      </w:r>
      <w:r>
        <w:rPr>
          <w:rFonts w:hint="eastAsia"/>
          <w:color w:val="auto"/>
          <w:sz w:val="24"/>
          <w:lang w:val="en-US" w:eastAsia="zh-CN"/>
        </w:rPr>
        <w:t>生产所需</w:t>
      </w:r>
      <w:r>
        <w:rPr>
          <w:rFonts w:hint="eastAsia" w:ascii="Times New Roman"/>
          <w:color w:val="auto"/>
          <w:sz w:val="24"/>
          <w:lang w:val="en-US" w:eastAsia="zh-CN"/>
        </w:rPr>
        <w:t>部分</w:t>
      </w:r>
      <w:r>
        <w:rPr>
          <w:rFonts w:hint="eastAsia"/>
          <w:color w:val="auto"/>
          <w:sz w:val="24"/>
          <w:lang w:val="en-US" w:eastAsia="zh-CN"/>
        </w:rPr>
        <w:t>原辅材料</w:t>
      </w:r>
      <w:r>
        <w:rPr>
          <w:rFonts w:hint="eastAsia" w:ascii="Times New Roman"/>
          <w:color w:val="auto"/>
          <w:sz w:val="24"/>
          <w:lang w:val="en-US" w:eastAsia="zh-CN"/>
        </w:rPr>
        <w:t>取自天然气化工产业链的下游产品或衍生中间体</w:t>
      </w:r>
      <w:r>
        <w:rPr>
          <w:rFonts w:hint="eastAsia"/>
          <w:color w:val="auto"/>
          <w:sz w:val="24"/>
          <w:lang w:val="en-US" w:eastAsia="zh-CN"/>
        </w:rPr>
        <w:t>，</w:t>
      </w:r>
      <w:r>
        <w:rPr>
          <w:rFonts w:hint="eastAsia" w:ascii="Times New Roman"/>
          <w:color w:val="auto"/>
          <w:sz w:val="24"/>
          <w:lang w:val="en-US" w:eastAsia="zh-CN"/>
        </w:rPr>
        <w:t>与</w:t>
      </w:r>
      <w:r>
        <w:rPr>
          <w:rFonts w:hint="eastAsia"/>
          <w:color w:val="auto"/>
          <w:sz w:val="24"/>
          <w:lang w:val="en-US" w:eastAsia="zh-CN"/>
        </w:rPr>
        <w:t>其主导产业-</w:t>
      </w:r>
      <w:r>
        <w:rPr>
          <w:rFonts w:hint="eastAsia" w:ascii="Times New Roman"/>
          <w:color w:val="auto"/>
          <w:sz w:val="24"/>
          <w:lang w:val="en-US" w:eastAsia="zh-CN"/>
        </w:rPr>
        <w:t>天然气化工新材料高度契合。</w:t>
      </w:r>
      <w:r>
        <w:rPr>
          <w:rFonts w:hint="eastAsia"/>
          <w:color w:val="auto"/>
          <w:sz w:val="24"/>
          <w:szCs w:val="24"/>
          <w:highlight w:val="none"/>
          <w:lang w:val="en-US" w:eastAsia="zh-CN"/>
        </w:rPr>
        <w:t>因此，本项目符合《巴中市国土空间总体规划（2021-2035年）》、《通江县国土空间总体规划（2021-2035年）》中相关要求。</w:t>
      </w:r>
    </w:p>
    <w:p w14:paraId="67E67B22">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rPr>
        <w:t>、与</w:t>
      </w:r>
      <w:r>
        <w:rPr>
          <w:rFonts w:hint="eastAsia"/>
          <w:color w:val="auto"/>
          <w:lang w:val="en-US" w:eastAsia="zh-CN"/>
        </w:rPr>
        <w:t>《</w:t>
      </w:r>
      <w:r>
        <w:rPr>
          <w:rFonts w:hint="default"/>
          <w:color w:val="auto"/>
          <w:lang w:val="en-US" w:eastAsia="zh-CN"/>
        </w:rPr>
        <w:t>巴中市工业园区发展规划（2022</w:t>
      </w:r>
      <w:r>
        <w:rPr>
          <w:rFonts w:hint="eastAsia"/>
          <w:color w:val="auto"/>
          <w:lang w:val="en-US" w:eastAsia="zh-CN"/>
        </w:rPr>
        <w:t>-</w:t>
      </w:r>
      <w:r>
        <w:rPr>
          <w:rFonts w:hint="default"/>
          <w:color w:val="auto"/>
          <w:lang w:val="en-US" w:eastAsia="zh-CN"/>
        </w:rPr>
        <w:t>2027年）</w:t>
      </w:r>
      <w:r>
        <w:rPr>
          <w:rFonts w:hint="eastAsia"/>
          <w:color w:val="auto"/>
          <w:lang w:val="en-US" w:eastAsia="zh-CN"/>
        </w:rPr>
        <w:t>》</w:t>
      </w:r>
      <w:r>
        <w:rPr>
          <w:rFonts w:hint="eastAsia" w:ascii="Times New Roman" w:hAnsi="Times New Roman" w:eastAsia="宋体" w:cs="Times New Roman"/>
          <w:color w:val="auto"/>
        </w:rPr>
        <w:t>符合性</w:t>
      </w:r>
    </w:p>
    <w:p w14:paraId="23D11297">
      <w:pPr>
        <w:pStyle w:val="26"/>
        <w:bidi w:val="0"/>
        <w:rPr>
          <w:rFonts w:hint="eastAsia" w:ascii="Times New Roman" w:hAnsi="Times New Roman" w:eastAsia="宋体" w:cs="Times New Roman"/>
          <w:b w:val="0"/>
          <w:bCs w:val="0"/>
          <w:color w:val="auto"/>
          <w:highlight w:val="none"/>
          <w:lang w:val="en-US" w:eastAsia="zh-CN"/>
        </w:rPr>
      </w:pPr>
      <w:r>
        <w:rPr>
          <w:rFonts w:hint="eastAsia"/>
          <w:color w:val="auto"/>
          <w:sz w:val="24"/>
          <w:szCs w:val="24"/>
          <w:highlight w:val="none"/>
          <w:lang w:val="en-US" w:eastAsia="zh-CN"/>
        </w:rPr>
        <w:t>本项目</w:t>
      </w:r>
      <w:r>
        <w:rPr>
          <w:rFonts w:hint="eastAsia" w:ascii="Times New Roman"/>
          <w:color w:val="auto"/>
          <w:sz w:val="24"/>
          <w:lang w:val="en-US" w:eastAsia="zh-CN"/>
        </w:rPr>
        <w:t>为</w:t>
      </w:r>
      <w:r>
        <w:rPr>
          <w:rFonts w:hint="eastAsia"/>
          <w:bCs/>
          <w:color w:val="auto"/>
          <w:kern w:val="0"/>
          <w:sz w:val="24"/>
          <w:lang w:val="en-US" w:eastAsia="zh-CN"/>
        </w:rPr>
        <w:t>混凝土添加剂生产</w:t>
      </w:r>
      <w:r>
        <w:rPr>
          <w:rFonts w:hint="eastAsia" w:ascii="Times New Roman"/>
          <w:color w:val="auto"/>
          <w:sz w:val="24"/>
          <w:lang w:val="en-US" w:eastAsia="zh-CN"/>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lang w:val="en-US" w:eastAsia="zh-CN"/>
        </w:rPr>
        <w:t>，本项目</w:t>
      </w:r>
      <w:r>
        <w:rPr>
          <w:rFonts w:hint="eastAsia"/>
          <w:color w:val="auto"/>
          <w:sz w:val="24"/>
          <w:lang w:val="en-US" w:eastAsia="zh-CN"/>
        </w:rPr>
        <w:t>生产所需</w:t>
      </w:r>
      <w:r>
        <w:rPr>
          <w:rFonts w:hint="eastAsia" w:ascii="Times New Roman"/>
          <w:color w:val="auto"/>
          <w:sz w:val="24"/>
          <w:lang w:val="en-US" w:eastAsia="zh-CN"/>
        </w:rPr>
        <w:t>部分</w:t>
      </w:r>
      <w:r>
        <w:rPr>
          <w:rFonts w:hint="eastAsia"/>
          <w:color w:val="auto"/>
          <w:sz w:val="24"/>
          <w:lang w:val="en-US" w:eastAsia="zh-CN"/>
        </w:rPr>
        <w:t>原辅材料</w:t>
      </w:r>
      <w:r>
        <w:rPr>
          <w:rFonts w:hint="eastAsia" w:ascii="Times New Roman"/>
          <w:color w:val="auto"/>
          <w:sz w:val="24"/>
          <w:lang w:val="en-US" w:eastAsia="zh-CN"/>
        </w:rPr>
        <w:t>取自天然气化工产业链的下游产品或衍生中间体</w:t>
      </w:r>
      <w:r>
        <w:rPr>
          <w:rFonts w:hint="eastAsia"/>
          <w:color w:val="auto"/>
          <w:sz w:val="24"/>
          <w:lang w:val="en-US" w:eastAsia="zh-CN"/>
        </w:rPr>
        <w:t>，</w:t>
      </w:r>
      <w:r>
        <w:rPr>
          <w:rFonts w:hint="eastAsia" w:ascii="Times New Roman"/>
          <w:color w:val="auto"/>
          <w:sz w:val="24"/>
          <w:lang w:val="en-US" w:eastAsia="zh-CN"/>
        </w:rPr>
        <w:t>与</w:t>
      </w:r>
      <w:r>
        <w:rPr>
          <w:rFonts w:hint="eastAsia"/>
          <w:color w:val="auto"/>
          <w:sz w:val="24"/>
          <w:lang w:val="en-US" w:eastAsia="zh-CN"/>
        </w:rPr>
        <w:t>其主导产业-</w:t>
      </w:r>
      <w:r>
        <w:rPr>
          <w:rFonts w:hint="eastAsia" w:ascii="Times New Roman"/>
          <w:color w:val="auto"/>
          <w:sz w:val="24"/>
          <w:lang w:val="en-US" w:eastAsia="zh-CN"/>
        </w:rPr>
        <w:t>天然气化工新材料高度契合。</w:t>
      </w:r>
      <w:r>
        <w:rPr>
          <w:rFonts w:hint="eastAsia"/>
          <w:color w:val="auto"/>
          <w:sz w:val="24"/>
          <w:szCs w:val="24"/>
          <w:highlight w:val="none"/>
          <w:lang w:val="en-US" w:eastAsia="zh-CN"/>
        </w:rPr>
        <w:t>因此，本项目符合《巴中市工业园区发展规划（2022-2027年）》中相关要求。</w:t>
      </w:r>
    </w:p>
    <w:p w14:paraId="08F4C185">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、与</w:t>
      </w:r>
      <w:r>
        <w:rPr>
          <w:rFonts w:hint="eastAsia"/>
          <w:color w:val="auto"/>
          <w:lang w:val="en-US" w:eastAsia="zh-CN"/>
        </w:rPr>
        <w:t>四川巴中经济开发区规</w:t>
      </w:r>
      <w:r>
        <w:rPr>
          <w:rFonts w:hint="eastAsia"/>
          <w:color w:val="auto"/>
        </w:rPr>
        <w:t>划</w:t>
      </w:r>
      <w:r>
        <w:rPr>
          <w:rFonts w:hint="eastAsia" w:ascii="Times New Roman" w:hAnsi="Times New Roman" w:eastAsia="宋体" w:cs="Times New Roman"/>
          <w:color w:val="auto"/>
        </w:rPr>
        <w:t>符合性</w:t>
      </w:r>
    </w:p>
    <w:p w14:paraId="57192566">
      <w:pPr>
        <w:pStyle w:val="26"/>
        <w:bidi w:val="0"/>
        <w:rPr>
          <w:rFonts w:hint="eastAsia" w:ascii="Times New Roman" w:hAnsi="Times New Roman" w:eastAsia="宋体" w:cs="Times New Roman"/>
          <w:color w:val="auto"/>
          <w:lang w:val="en-US" w:eastAsia="zh-CN"/>
        </w:rPr>
      </w:pPr>
      <w:r>
        <w:rPr>
          <w:rFonts w:hint="eastAsia" w:cs="Times New Roman"/>
          <w:color w:val="auto"/>
          <w:highlight w:val="none"/>
          <w:lang w:val="en-US" w:eastAsia="zh-CN"/>
        </w:rPr>
        <w:t>本项目生产所需部分原辅材料取自天然气化工产业链的下游产品或衍生中间体，与其主导产业-天然气化工高度契合；</w:t>
      </w:r>
      <w:r>
        <w:rPr>
          <w:rFonts w:hint="eastAsia" w:ascii="Times New Roman" w:hAnsi="Times New Roman" w:eastAsia="宋体" w:cs="Times New Roman"/>
          <w:b w:val="0"/>
          <w:bCs w:val="0"/>
          <w:color w:val="auto"/>
          <w:highlight w:val="none"/>
          <w:lang w:val="en-US" w:eastAsia="zh-CN"/>
        </w:rPr>
        <w:t>清洁生产水平可达到</w:t>
      </w:r>
      <w:r>
        <w:rPr>
          <w:rFonts w:hint="eastAsia" w:cs="Times New Roman"/>
          <w:b w:val="0"/>
          <w:bCs w:val="0"/>
          <w:color w:val="auto"/>
          <w:highlight w:val="none"/>
          <w:lang w:val="en-US" w:eastAsia="zh-CN"/>
        </w:rPr>
        <w:t>国内</w:t>
      </w:r>
      <w:r>
        <w:rPr>
          <w:rFonts w:hint="eastAsia" w:ascii="Times New Roman" w:hAnsi="Times New Roman" w:eastAsia="宋体" w:cs="Times New Roman"/>
          <w:b w:val="0"/>
          <w:bCs w:val="0"/>
          <w:color w:val="auto"/>
          <w:highlight w:val="none"/>
          <w:lang w:val="en-US" w:eastAsia="zh-CN"/>
        </w:rPr>
        <w:t>先进水平，</w:t>
      </w:r>
      <w:r>
        <w:rPr>
          <w:rFonts w:hint="eastAsia" w:cs="Times New Roman"/>
          <w:b w:val="0"/>
          <w:bCs w:val="0"/>
          <w:color w:val="auto"/>
          <w:highlight w:val="none"/>
          <w:lang w:val="en-US" w:eastAsia="zh-CN"/>
        </w:rPr>
        <w:t>符合园区环境准入要求，</w:t>
      </w:r>
      <w:r>
        <w:rPr>
          <w:rFonts w:hint="eastAsia" w:ascii="Times New Roman" w:hAnsi="Times New Roman" w:eastAsia="宋体" w:cs="Times New Roman"/>
          <w:b w:val="0"/>
          <w:bCs w:val="0"/>
          <w:color w:val="auto"/>
          <w:highlight w:val="none"/>
          <w:lang w:val="en-US" w:eastAsia="zh-CN"/>
        </w:rPr>
        <w:t>符合规划环评中相关要求。</w:t>
      </w:r>
    </w:p>
    <w:p w14:paraId="2803FC27">
      <w:pPr>
        <w:pStyle w:val="26"/>
        <w:bidi w:val="0"/>
        <w:rPr>
          <w:rFonts w:hint="default" w:ascii="Times New Roman" w:hAnsi="Times New Roman" w:eastAsia="宋体" w:cs="Times New Roman"/>
          <w:color w:val="auto"/>
          <w:lang w:val="en-US" w:eastAsia="zh-CN"/>
        </w:rPr>
      </w:pPr>
      <w:r>
        <w:rPr>
          <w:rFonts w:hint="eastAsia" w:cs="Times New Roman"/>
          <w:color w:val="auto"/>
          <w:sz w:val="24"/>
          <w:szCs w:val="24"/>
          <w:lang w:val="en-US" w:eastAsia="zh-CN"/>
        </w:rPr>
        <w:t>同时，</w:t>
      </w:r>
      <w:r>
        <w:rPr>
          <w:rFonts w:hint="eastAsia" w:ascii="Times New Roman" w:hAnsi="Times New Roman" w:eastAsia="宋体" w:cs="Times New Roman"/>
          <w:b w:val="0"/>
          <w:bCs w:val="0"/>
          <w:color w:val="auto"/>
          <w:highlight w:val="none"/>
          <w:lang w:val="en-US" w:eastAsia="zh-CN"/>
        </w:rPr>
        <w:t>本项目</w:t>
      </w:r>
      <w:r>
        <w:rPr>
          <w:rFonts w:hint="eastAsia" w:ascii="Times New Roman" w:hAnsi="Times New Roman" w:cs="Times New Roman"/>
          <w:color w:val="auto"/>
          <w:sz w:val="24"/>
          <w:szCs w:val="24"/>
          <w:lang w:val="en-US" w:eastAsia="zh-CN"/>
        </w:rPr>
        <w:t>符合</w:t>
      </w:r>
      <w:r>
        <w:rPr>
          <w:rFonts w:hint="eastAsia" w:cs="Times New Roman"/>
          <w:color w:val="auto"/>
          <w:sz w:val="24"/>
          <w:szCs w:val="24"/>
          <w:lang w:val="en-US" w:eastAsia="zh-CN"/>
        </w:rPr>
        <w:t>巴中</w:t>
      </w:r>
      <w:r>
        <w:rPr>
          <w:rFonts w:hint="eastAsia" w:ascii="Times New Roman" w:hAnsi="Times New Roman" w:cs="Times New Roman"/>
          <w:color w:val="auto"/>
          <w:sz w:val="24"/>
          <w:szCs w:val="24"/>
          <w:lang w:val="en-US" w:eastAsia="zh-CN"/>
        </w:rPr>
        <w:t>市生态环境分区管控要求</w:t>
      </w:r>
      <w:r>
        <w:rPr>
          <w:rFonts w:hint="eastAsia" w:cs="Times New Roman"/>
          <w:color w:val="auto"/>
          <w:sz w:val="24"/>
          <w:szCs w:val="24"/>
          <w:lang w:val="en-US" w:eastAsia="zh-CN"/>
        </w:rPr>
        <w:t>；符合长江保护相关法规政策</w:t>
      </w:r>
      <w:r>
        <w:rPr>
          <w:rFonts w:hint="eastAsia" w:ascii="Times New Roman" w:hAnsi="Times New Roman" w:cs="Times New Roman"/>
          <w:color w:val="auto"/>
          <w:sz w:val="24"/>
          <w:szCs w:val="24"/>
          <w:lang w:val="en-US" w:eastAsia="zh-CN"/>
        </w:rPr>
        <w:t>、《关于加强高耗能、高排放建设项目生态环境源头防控的指导意见》等相关要求</w:t>
      </w:r>
      <w:r>
        <w:rPr>
          <w:rFonts w:hint="eastAsia" w:cs="Times New Roman"/>
          <w:color w:val="auto"/>
          <w:sz w:val="24"/>
          <w:szCs w:val="24"/>
          <w:lang w:val="en-US" w:eastAsia="zh-CN"/>
        </w:rPr>
        <w:t>，</w:t>
      </w:r>
      <w:r>
        <w:rPr>
          <w:rFonts w:hint="eastAsia" w:ascii="Times New Roman" w:hAnsi="Times New Roman" w:cs="Times New Roman"/>
          <w:color w:val="auto"/>
          <w:sz w:val="24"/>
          <w:szCs w:val="24"/>
        </w:rPr>
        <w:t>符合大气污染防治、水污染防治及</w:t>
      </w:r>
      <w:r>
        <w:rPr>
          <w:rFonts w:hint="eastAsia" w:ascii="Times New Roman" w:hAnsi="Times New Roman"/>
          <w:color w:val="auto"/>
          <w:sz w:val="24"/>
        </w:rPr>
        <w:t>土壤</w:t>
      </w:r>
      <w:r>
        <w:rPr>
          <w:rFonts w:ascii="Times New Roman" w:hAnsi="Times New Roman"/>
          <w:color w:val="auto"/>
          <w:sz w:val="24"/>
        </w:rPr>
        <w:t>污染防治</w:t>
      </w:r>
      <w:r>
        <w:rPr>
          <w:rFonts w:hint="eastAsia" w:ascii="Times New Roman" w:hAnsi="Times New Roman" w:cs="Times New Roman"/>
          <w:color w:val="auto"/>
          <w:sz w:val="24"/>
          <w:szCs w:val="24"/>
        </w:rPr>
        <w:t>相关法规、规范的相关要求</w:t>
      </w:r>
      <w:r>
        <w:rPr>
          <w:rFonts w:hint="eastAsia" w:ascii="Times New Roman" w:hAnsi="Times New Roman" w:cs="Times New Roman"/>
          <w:bCs/>
          <w:color w:val="auto"/>
          <w:sz w:val="24"/>
        </w:rPr>
        <w:t>。</w:t>
      </w:r>
    </w:p>
    <w:p w14:paraId="052C7594">
      <w:pPr>
        <w:pStyle w:val="4"/>
        <w:bidi w:val="0"/>
        <w:rPr>
          <w:color w:val="auto"/>
          <w:highlight w:val="none"/>
        </w:rPr>
      </w:pPr>
      <w:bookmarkStart w:id="321" w:name="_Toc94200136"/>
      <w:bookmarkStart w:id="322" w:name="_Toc25203"/>
      <w:r>
        <w:rPr>
          <w:color w:val="auto"/>
          <w:highlight w:val="none"/>
        </w:rPr>
        <w:t>选址合理性</w:t>
      </w:r>
      <w:bookmarkEnd w:id="321"/>
      <w:bookmarkEnd w:id="322"/>
    </w:p>
    <w:p w14:paraId="7E8CA374">
      <w:pPr>
        <w:spacing w:line="360" w:lineRule="auto"/>
        <w:ind w:left="0" w:leftChars="0" w:firstLine="480" w:firstLineChars="200"/>
        <w:rPr>
          <w:rFonts w:hint="default" w:cs="Times New Roman"/>
          <w:color w:val="auto"/>
          <w:kern w:val="0"/>
          <w:sz w:val="24"/>
          <w:szCs w:val="24"/>
          <w:highlight w:val="none"/>
          <w:lang w:val="en-US" w:eastAsia="zh-CN" w:bidi="ar"/>
        </w:rPr>
      </w:pPr>
      <w:r>
        <w:rPr>
          <w:rFonts w:hint="eastAsia"/>
          <w:color w:val="auto"/>
          <w:sz w:val="24"/>
          <w:lang w:val="en-US" w:eastAsia="zh-CN"/>
        </w:rPr>
        <w:t>本项目位于经</w:t>
      </w:r>
      <w:r>
        <w:rPr>
          <w:rFonts w:hint="eastAsia" w:ascii="Times New Roman"/>
          <w:color w:val="auto"/>
          <w:sz w:val="24"/>
          <w:lang w:val="en-US" w:eastAsia="zh-CN"/>
        </w:rPr>
        <w:t>认定的化工园区</w:t>
      </w:r>
      <w:r>
        <w:rPr>
          <w:rFonts w:hint="eastAsia"/>
          <w:color w:val="auto"/>
          <w:sz w:val="24"/>
          <w:lang w:val="en-US" w:eastAsia="zh-CN"/>
        </w:rPr>
        <w:t>（巴中曾口-金堂化工园区）内，</w:t>
      </w:r>
      <w:r>
        <w:rPr>
          <w:rFonts w:hint="eastAsia" w:ascii="Times New Roman" w:hAnsi="Times New Roman" w:eastAsia="宋体" w:cs="Times New Roman"/>
          <w:color w:val="auto"/>
          <w:kern w:val="0"/>
          <w:sz w:val="24"/>
          <w:szCs w:val="24"/>
          <w:lang w:val="en-US" w:eastAsia="zh-CN" w:bidi="ar"/>
        </w:rPr>
        <w:t>除本项目外，金堂区块暂无企业入驻。本项目东北侧有少量</w:t>
      </w:r>
      <w:r>
        <w:rPr>
          <w:rFonts w:hint="eastAsia" w:cs="Times New Roman"/>
          <w:color w:val="auto"/>
          <w:kern w:val="0"/>
          <w:sz w:val="24"/>
          <w:szCs w:val="24"/>
          <w:highlight w:val="none"/>
          <w:lang w:val="en-US" w:eastAsia="zh-CN" w:bidi="ar"/>
        </w:rPr>
        <w:t>散户分布，上述散户位于金堂区块划定的300m安全控制线内。</w:t>
      </w:r>
    </w:p>
    <w:p w14:paraId="220D74E9">
      <w:pPr>
        <w:spacing w:line="360" w:lineRule="auto"/>
        <w:ind w:left="0" w:leftChars="0" w:firstLine="480" w:firstLineChars="200"/>
        <w:rPr>
          <w:rFonts w:hint="eastAsia" w:ascii="Times New Roman" w:hAnsi="Times New Roman" w:eastAsia="宋体" w:cs="Times New Roman"/>
          <w:color w:val="auto"/>
          <w:sz w:val="24"/>
          <w:lang w:val="en-US" w:eastAsia="zh-CN"/>
        </w:rPr>
      </w:pPr>
      <w:r>
        <w:rPr>
          <w:rFonts w:ascii="Times New Roman" w:hAnsi="Times New Roman"/>
          <w:color w:val="auto"/>
          <w:sz w:val="24"/>
          <w:szCs w:val="24"/>
        </w:rPr>
        <w:t>本</w:t>
      </w:r>
      <w:r>
        <w:rPr>
          <w:rFonts w:hint="eastAsia" w:ascii="Times New Roman" w:hAnsi="Times New Roman"/>
          <w:color w:val="auto"/>
          <w:sz w:val="24"/>
          <w:szCs w:val="24"/>
          <w:lang w:val="en-US" w:eastAsia="zh-CN"/>
        </w:rPr>
        <w:t>项目废气</w:t>
      </w:r>
      <w:r>
        <w:rPr>
          <w:rFonts w:hint="eastAsia"/>
          <w:color w:val="auto"/>
          <w:sz w:val="24"/>
          <w:szCs w:val="24"/>
          <w:lang w:val="en-US" w:eastAsia="zh-CN"/>
        </w:rPr>
        <w:t>主要为粉尘、酸性</w:t>
      </w:r>
      <w:r>
        <w:rPr>
          <w:rFonts w:hint="eastAsia" w:ascii="Times New Roman" w:hAnsi="Times New Roman"/>
          <w:color w:val="auto"/>
          <w:sz w:val="24"/>
          <w:szCs w:val="24"/>
          <w:lang w:val="en-US" w:eastAsia="zh-CN"/>
        </w:rPr>
        <w:t>废气</w:t>
      </w:r>
      <w:r>
        <w:rPr>
          <w:rFonts w:hint="eastAsia"/>
          <w:color w:val="auto"/>
          <w:sz w:val="24"/>
          <w:szCs w:val="24"/>
          <w:lang w:val="en-US" w:eastAsia="zh-CN"/>
        </w:rPr>
        <w:t>和</w:t>
      </w:r>
      <w:r>
        <w:rPr>
          <w:rFonts w:hint="eastAsia" w:ascii="Times New Roman" w:hAnsi="Times New Roman"/>
          <w:color w:val="auto"/>
          <w:sz w:val="24"/>
          <w:szCs w:val="24"/>
          <w:lang w:val="en-US" w:eastAsia="zh-CN"/>
        </w:rPr>
        <w:t>有机废气，产生量较小，经收集处理后均可实现达标排放，根据大气环境影响预测结果可知，各环境保护目标在叠加环境质量现状浓度</w:t>
      </w:r>
      <w:r>
        <w:rPr>
          <w:rFonts w:hint="eastAsia"/>
          <w:color w:val="auto"/>
          <w:sz w:val="24"/>
          <w:szCs w:val="24"/>
          <w:lang w:val="en-US" w:eastAsia="zh-CN"/>
        </w:rPr>
        <w:t>和拟建、在建项目排放的同类污染物</w:t>
      </w:r>
      <w:r>
        <w:rPr>
          <w:rFonts w:hint="eastAsia" w:ascii="Times New Roman" w:hAnsi="Times New Roman"/>
          <w:color w:val="auto"/>
          <w:sz w:val="24"/>
          <w:szCs w:val="24"/>
          <w:lang w:val="en-US" w:eastAsia="zh-CN"/>
        </w:rPr>
        <w:t>后预测污染物浓度均</w:t>
      </w:r>
      <w:r>
        <w:rPr>
          <w:rFonts w:hint="eastAsia"/>
          <w:color w:val="auto"/>
          <w:sz w:val="24"/>
          <w:szCs w:val="24"/>
          <w:lang w:val="en-US" w:eastAsia="zh-CN"/>
        </w:rPr>
        <w:t>满足</w:t>
      </w:r>
      <w:r>
        <w:rPr>
          <w:rFonts w:hint="eastAsia" w:ascii="Times New Roman" w:hAnsi="Times New Roman"/>
          <w:color w:val="auto"/>
          <w:sz w:val="24"/>
          <w:szCs w:val="24"/>
          <w:lang w:val="en-US" w:eastAsia="zh-CN"/>
        </w:rPr>
        <w:t>环境质量标准，</w:t>
      </w:r>
      <w:r>
        <w:rPr>
          <w:rFonts w:hint="eastAsia"/>
          <w:color w:val="auto"/>
          <w:sz w:val="24"/>
          <w:szCs w:val="24"/>
          <w:lang w:val="en-US" w:eastAsia="zh-CN"/>
        </w:rPr>
        <w:t>本项目</w:t>
      </w:r>
      <w:r>
        <w:rPr>
          <w:rFonts w:hint="eastAsia" w:ascii="Times New Roman" w:hAnsi="Times New Roman"/>
          <w:color w:val="auto"/>
          <w:sz w:val="24"/>
          <w:szCs w:val="24"/>
          <w:lang w:val="en-US" w:eastAsia="zh-CN"/>
        </w:rPr>
        <w:t>运营期外排废气对区域环境贡献值较低，不会造成环境保护目标环境质量超标，不会改变区域环境功能</w:t>
      </w:r>
      <w:r>
        <w:rPr>
          <w:rFonts w:hint="eastAsia"/>
          <w:color w:val="auto"/>
          <w:sz w:val="24"/>
          <w:lang w:eastAsia="zh-CN"/>
        </w:rPr>
        <w:t>；</w:t>
      </w:r>
      <w:r>
        <w:rPr>
          <w:rFonts w:hint="eastAsia"/>
          <w:color w:val="auto"/>
          <w:sz w:val="24"/>
        </w:rPr>
        <w:t>本项目</w:t>
      </w:r>
      <w:r>
        <w:rPr>
          <w:rFonts w:hint="eastAsia"/>
          <w:color w:val="auto"/>
          <w:sz w:val="24"/>
          <w:lang w:val="en-US" w:eastAsia="zh-CN"/>
        </w:rPr>
        <w:t>分别以</w:t>
      </w:r>
      <w:r>
        <w:rPr>
          <w:rFonts w:hint="eastAsia"/>
          <w:color w:val="auto"/>
          <w:szCs w:val="24"/>
          <w:highlight w:val="none"/>
          <w:lang w:val="en-US" w:eastAsia="zh-CN"/>
        </w:rPr>
        <w:t>生产车间、1#罐区、2#罐区及质检室边界</w:t>
      </w:r>
      <w:r>
        <w:rPr>
          <w:rFonts w:hint="eastAsia"/>
          <w:color w:val="auto"/>
          <w:sz w:val="24"/>
          <w:lang w:val="en-US" w:eastAsia="zh-CN"/>
        </w:rPr>
        <w:t>为起点划定50m卫生防护距离，</w:t>
      </w:r>
      <w:r>
        <w:rPr>
          <w:rFonts w:ascii="Times New Roman" w:hAnsi="Times New Roman"/>
          <w:color w:val="auto"/>
          <w:sz w:val="24"/>
        </w:rPr>
        <w:t>卫生防护距离</w:t>
      </w:r>
      <w:r>
        <w:rPr>
          <w:rFonts w:hint="eastAsia" w:ascii="Times New Roman" w:hAnsi="Times New Roman"/>
          <w:color w:val="auto"/>
          <w:sz w:val="24"/>
        </w:rPr>
        <w:t>包络线内不涉及居民住宅、学校、医院及食品、医药等生产企业分布</w:t>
      </w:r>
      <w:r>
        <w:rPr>
          <w:rFonts w:hint="eastAsia" w:ascii="Times New Roman" w:hAnsi="Times New Roman"/>
          <w:color w:val="auto"/>
          <w:sz w:val="24"/>
          <w:szCs w:val="24"/>
        </w:rPr>
        <w:t>，外环境满足本项目卫生防护距离要求。</w:t>
      </w:r>
      <w:r>
        <w:rPr>
          <w:rFonts w:ascii="Times New Roman" w:hAnsi="Times New Roman" w:cs="Times New Roman"/>
          <w:color w:val="auto"/>
          <w:sz w:val="24"/>
        </w:rPr>
        <w:t>本项目</w:t>
      </w:r>
      <w:r>
        <w:rPr>
          <w:rFonts w:hint="eastAsia" w:ascii="Times New Roman" w:hAnsi="Times New Roman"/>
          <w:color w:val="auto"/>
          <w:sz w:val="24"/>
          <w:szCs w:val="24"/>
          <w:lang w:val="en-US" w:eastAsia="zh-CN"/>
        </w:rPr>
        <w:t>罐区四周设置</w:t>
      </w:r>
      <w:r>
        <w:rPr>
          <w:rFonts w:hint="eastAsia"/>
          <w:color w:val="auto"/>
          <w:sz w:val="24"/>
          <w:szCs w:val="24"/>
          <w:lang w:val="en-US" w:eastAsia="zh-CN"/>
        </w:rPr>
        <w:t>围堰和集水池</w:t>
      </w:r>
      <w:r>
        <w:rPr>
          <w:rFonts w:hint="eastAsia" w:ascii="Times New Roman" w:hAnsi="Times New Roman"/>
          <w:color w:val="auto"/>
          <w:sz w:val="24"/>
          <w:szCs w:val="24"/>
          <w:lang w:val="en-US" w:eastAsia="zh-CN"/>
        </w:rPr>
        <w:t>，</w:t>
      </w:r>
      <w:r>
        <w:rPr>
          <w:rFonts w:hint="eastAsia"/>
          <w:color w:val="auto"/>
          <w:sz w:val="24"/>
          <w:szCs w:val="24"/>
          <w:lang w:val="en-US" w:eastAsia="zh-CN"/>
        </w:rPr>
        <w:t>生产车间、仓库、危废暂存间设</w:t>
      </w:r>
      <w:r>
        <w:rPr>
          <w:rFonts w:hint="eastAsia" w:cs="Times New Roman"/>
          <w:color w:val="auto"/>
          <w:kern w:val="0"/>
          <w:sz w:val="24"/>
          <w:szCs w:val="24"/>
          <w:lang w:val="en-US" w:eastAsia="zh-CN" w:bidi="ar"/>
        </w:rPr>
        <w:t>地漏和集水池，用于收集泄漏物料，</w:t>
      </w:r>
      <w:r>
        <w:rPr>
          <w:rFonts w:hint="eastAsia"/>
          <w:color w:val="auto"/>
          <w:sz w:val="24"/>
          <w:szCs w:val="24"/>
          <w:lang w:val="en-US" w:eastAsia="zh-CN"/>
        </w:rPr>
        <w:t>可确保发生泄漏时物料不下河</w:t>
      </w:r>
      <w:r>
        <w:rPr>
          <w:rFonts w:ascii="Times New Roman" w:hAnsi="Times New Roman" w:cs="Times New Roman"/>
          <w:color w:val="auto"/>
          <w:sz w:val="24"/>
        </w:rPr>
        <w:t>。</w:t>
      </w:r>
      <w:r>
        <w:rPr>
          <w:rFonts w:hint="eastAsia" w:cs="Times New Roman"/>
          <w:color w:val="auto"/>
          <w:sz w:val="24"/>
          <w:lang w:val="en-US" w:eastAsia="zh-CN"/>
        </w:rPr>
        <w:t>本项目</w:t>
      </w:r>
      <w:r>
        <w:rPr>
          <w:rFonts w:hint="eastAsia" w:cs="Times New Roman"/>
          <w:color w:val="auto"/>
          <w:highlight w:val="none"/>
          <w:lang w:val="en-US" w:eastAsia="zh-CN"/>
        </w:rPr>
        <w:t>硫酸</w:t>
      </w:r>
      <w:r>
        <w:rPr>
          <w:rFonts w:hint="default" w:ascii="Times New Roman" w:hAnsi="Times New Roman" w:eastAsia="宋体" w:cs="Times New Roman"/>
          <w:color w:val="auto"/>
          <w:kern w:val="0"/>
          <w:sz w:val="24"/>
          <w:szCs w:val="24"/>
          <w:highlight w:val="none"/>
          <w:lang w:val="en-US" w:eastAsia="zh-CN" w:bidi="ar"/>
        </w:rPr>
        <w:t>储罐</w:t>
      </w:r>
      <w:r>
        <w:rPr>
          <w:rFonts w:hint="default" w:ascii="Times New Roman" w:hAnsi="Times New Roman" w:cs="Times New Roman"/>
          <w:color w:val="auto"/>
          <w:highlight w:val="none"/>
          <w:lang w:val="en-US" w:eastAsia="zh-CN"/>
        </w:rPr>
        <w:t>发生泄漏事故时，</w:t>
      </w:r>
      <w:r>
        <w:rPr>
          <w:rFonts w:hint="eastAsia" w:ascii="Times New Roman" w:hAnsi="Times New Roman" w:eastAsia="宋体" w:cs="Times New Roman"/>
          <w:color w:val="auto"/>
          <w:kern w:val="0"/>
          <w:sz w:val="24"/>
          <w:szCs w:val="24"/>
          <w:lang w:val="en-US" w:eastAsia="zh-CN" w:bidi="ar"/>
        </w:rPr>
        <w:t>东北侧</w:t>
      </w:r>
      <w:r>
        <w:rPr>
          <w:rFonts w:hint="eastAsia" w:cs="Times New Roman"/>
          <w:color w:val="auto"/>
          <w:kern w:val="0"/>
          <w:sz w:val="24"/>
          <w:szCs w:val="24"/>
          <w:highlight w:val="none"/>
          <w:lang w:val="en-US" w:eastAsia="zh-CN" w:bidi="ar"/>
        </w:rPr>
        <w:t>散户出现了</w:t>
      </w:r>
      <w:r>
        <w:rPr>
          <w:rFonts w:hint="default" w:ascii="Times New Roman" w:hAnsi="Times New Roman" w:eastAsia="宋体" w:cs="Times New Roman"/>
          <w:color w:val="auto"/>
          <w:kern w:val="0"/>
          <w:sz w:val="24"/>
          <w:szCs w:val="24"/>
          <w:highlight w:val="none"/>
          <w:lang w:val="en-US" w:eastAsia="zh-CN" w:bidi="ar"/>
        </w:rPr>
        <w:t>毒性终点浓度-2值</w:t>
      </w:r>
      <w:r>
        <w:rPr>
          <w:rFonts w:hint="eastAsia"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环评要求：</w:t>
      </w:r>
      <w:r>
        <w:rPr>
          <w:rFonts w:hint="eastAsia" w:ascii="Times New Roman" w:hAnsi="Times New Roman" w:eastAsia="宋体" w:cs="Times New Roman"/>
          <w:color w:val="auto"/>
          <w:kern w:val="0"/>
          <w:sz w:val="24"/>
          <w:szCs w:val="24"/>
          <w:highlight w:val="none"/>
          <w:lang w:val="en-US" w:eastAsia="zh-CN" w:bidi="ar"/>
        </w:rPr>
        <w:t>一旦发生事故，应立即启动应急预案，根据事故当天风向确定最大影响范围，及时对影响范围内人员发布警报，并组织厂区员工、附近群众在5min内按拟定逃生路线进行疏散撤离。</w:t>
      </w:r>
    </w:p>
    <w:p w14:paraId="509E97A6">
      <w:pPr>
        <w:pStyle w:val="26"/>
        <w:bidi w:val="0"/>
        <w:rPr>
          <w:rFonts w:hint="eastAsia" w:ascii="Times New Roman"/>
          <w:color w:val="auto"/>
          <w:sz w:val="24"/>
        </w:rPr>
      </w:pPr>
      <w:r>
        <w:rPr>
          <w:color w:val="auto"/>
          <w:sz w:val="24"/>
        </w:rPr>
        <w:t>综上所述</w:t>
      </w:r>
      <w:r>
        <w:rPr>
          <w:rFonts w:hint="eastAsia"/>
          <w:color w:val="auto"/>
          <w:sz w:val="24"/>
        </w:rPr>
        <w:t>，本</w:t>
      </w:r>
      <w:r>
        <w:rPr>
          <w:rFonts w:hint="eastAsia" w:ascii="Times New Roman"/>
          <w:color w:val="auto"/>
          <w:sz w:val="24"/>
        </w:rPr>
        <w:t>项目</w:t>
      </w:r>
      <w:r>
        <w:rPr>
          <w:rFonts w:hint="eastAsia" w:ascii="Times New Roman" w:hAnsi="Times New Roman" w:eastAsia="宋体" w:cs="Times New Roman"/>
          <w:color w:val="auto"/>
          <w:kern w:val="0"/>
          <w:sz w:val="24"/>
          <w:szCs w:val="24"/>
          <w:lang w:val="en-US" w:eastAsia="zh-CN" w:bidi="ar"/>
        </w:rPr>
        <w:t>东北侧有少量</w:t>
      </w:r>
      <w:r>
        <w:rPr>
          <w:rFonts w:hint="eastAsia" w:cs="Times New Roman"/>
          <w:color w:val="auto"/>
          <w:kern w:val="0"/>
          <w:sz w:val="24"/>
          <w:szCs w:val="24"/>
          <w:highlight w:val="none"/>
          <w:lang w:val="en-US" w:eastAsia="zh-CN" w:bidi="ar"/>
        </w:rPr>
        <w:t>散户分布，</w:t>
      </w:r>
      <w:r>
        <w:rPr>
          <w:rFonts w:hint="eastAsia" w:ascii="Times New Roman"/>
          <w:color w:val="auto"/>
          <w:sz w:val="24"/>
        </w:rPr>
        <w:t>存在一定的环境制约因素，在充分落实报告书中提出的各项环保措施</w:t>
      </w:r>
      <w:r>
        <w:rPr>
          <w:rFonts w:hint="eastAsia" w:ascii="Times New Roman"/>
          <w:color w:val="auto"/>
          <w:sz w:val="24"/>
          <w:lang w:eastAsia="zh-CN"/>
        </w:rPr>
        <w:t>、</w:t>
      </w:r>
      <w:bookmarkStart w:id="323" w:name="_Toc29075"/>
      <w:bookmarkStart w:id="324" w:name="_Toc12138"/>
      <w:bookmarkStart w:id="325" w:name="_Toc25612"/>
      <w:r>
        <w:rPr>
          <w:rFonts w:hint="default" w:ascii="Times New Roman" w:hAnsi="Times New Roman" w:cs="Times New Roman"/>
          <w:color w:val="auto"/>
          <w:highlight w:val="none"/>
          <w:lang w:val="en-US" w:eastAsia="zh-CN"/>
        </w:rPr>
        <w:t>环境风险防范措施</w:t>
      </w:r>
      <w:bookmarkEnd w:id="323"/>
      <w:bookmarkEnd w:id="324"/>
      <w:bookmarkEnd w:id="325"/>
      <w:r>
        <w:rPr>
          <w:rFonts w:hint="eastAsia" w:cs="Times New Roman"/>
          <w:color w:val="auto"/>
          <w:highlight w:val="none"/>
          <w:lang w:val="en-US" w:eastAsia="zh-CN"/>
        </w:rPr>
        <w:t>和</w:t>
      </w:r>
      <w:r>
        <w:rPr>
          <w:rFonts w:hint="eastAsia" w:ascii="Times New Roman"/>
          <w:color w:val="auto"/>
          <w:sz w:val="24"/>
        </w:rPr>
        <w:t>管理要求，确保污染物达标排放</w:t>
      </w:r>
      <w:r>
        <w:rPr>
          <w:rFonts w:hint="eastAsia" w:ascii="Times New Roman"/>
          <w:color w:val="auto"/>
          <w:sz w:val="24"/>
          <w:lang w:eastAsia="zh-CN"/>
        </w:rPr>
        <w:t>、</w:t>
      </w:r>
      <w:r>
        <w:rPr>
          <w:rFonts w:hint="default" w:ascii="Times New Roman" w:hAnsi="Times New Roman" w:eastAsia="宋体" w:cs="Times New Roman"/>
          <w:color w:val="auto"/>
          <w:szCs w:val="24"/>
          <w:highlight w:val="none"/>
        </w:rPr>
        <w:t>杜绝有毒有害物</w:t>
      </w:r>
      <w:r>
        <w:rPr>
          <w:rFonts w:hint="default" w:ascii="Times New Roman" w:hAnsi="Times New Roman" w:cs="Times New Roman"/>
          <w:color w:val="auto"/>
          <w:highlight w:val="none"/>
        </w:rPr>
        <w:t>质泄漏及燃爆事故发生</w:t>
      </w:r>
      <w:r>
        <w:rPr>
          <w:rFonts w:hint="eastAsia" w:ascii="Times New Roman"/>
          <w:color w:val="auto"/>
          <w:sz w:val="24"/>
        </w:rPr>
        <w:t>的前提下，选址与外环境基本相容，</w:t>
      </w:r>
      <w:r>
        <w:rPr>
          <w:color w:val="auto"/>
          <w:sz w:val="24"/>
          <w:szCs w:val="24"/>
        </w:rPr>
        <w:t>选址</w:t>
      </w:r>
      <w:r>
        <w:rPr>
          <w:rFonts w:hint="eastAsia"/>
          <w:color w:val="auto"/>
          <w:sz w:val="24"/>
          <w:szCs w:val="24"/>
        </w:rPr>
        <w:t>基本</w:t>
      </w:r>
      <w:r>
        <w:rPr>
          <w:color w:val="auto"/>
          <w:sz w:val="24"/>
          <w:szCs w:val="24"/>
        </w:rPr>
        <w:t>合理</w:t>
      </w:r>
      <w:r>
        <w:rPr>
          <w:rFonts w:hint="eastAsia"/>
          <w:color w:val="auto"/>
          <w:sz w:val="24"/>
          <w:szCs w:val="24"/>
        </w:rPr>
        <w:t>。</w:t>
      </w:r>
    </w:p>
    <w:p w14:paraId="78D2AE77">
      <w:pPr>
        <w:pStyle w:val="4"/>
        <w:bidi w:val="0"/>
        <w:rPr>
          <w:color w:val="auto"/>
          <w:highlight w:val="none"/>
        </w:rPr>
      </w:pPr>
      <w:bookmarkStart w:id="326" w:name="_Toc94200137"/>
      <w:bookmarkStart w:id="327" w:name="_Toc13571"/>
      <w:r>
        <w:rPr>
          <w:color w:val="auto"/>
          <w:highlight w:val="none"/>
        </w:rPr>
        <w:t>环境质量现状</w:t>
      </w:r>
      <w:bookmarkEnd w:id="326"/>
      <w:bookmarkEnd w:id="327"/>
    </w:p>
    <w:p w14:paraId="2480FA8C">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1、环境空气质量</w:t>
      </w:r>
    </w:p>
    <w:p w14:paraId="2B23551C">
      <w:pPr>
        <w:pStyle w:val="26"/>
        <w:ind w:firstLine="480"/>
        <w:rPr>
          <w:rFonts w:hint="default" w:ascii="Times New Roman" w:hAnsi="Times New Roman" w:cs="Times New Roman"/>
          <w:color w:val="auto"/>
          <w:highlight w:val="none"/>
        </w:rPr>
      </w:pPr>
      <w:r>
        <w:rPr>
          <w:rFonts w:hint="eastAsia"/>
          <w:color w:val="auto"/>
        </w:rPr>
        <w:t>根据</w:t>
      </w:r>
      <w:r>
        <w:rPr>
          <w:rFonts w:hint="eastAsia"/>
          <w:color w:val="auto"/>
          <w:lang w:val="en-US" w:eastAsia="zh-CN"/>
        </w:rPr>
        <w:t>通江中学自动监测站</w:t>
      </w:r>
      <w:r>
        <w:rPr>
          <w:rFonts w:hint="default"/>
          <w:color w:val="auto"/>
          <w:lang w:val="en-US" w:eastAsia="zh-CN"/>
        </w:rPr>
        <w:t>20</w:t>
      </w:r>
      <w:r>
        <w:rPr>
          <w:rFonts w:hint="eastAsia"/>
          <w:color w:val="auto"/>
          <w:lang w:val="en-US" w:eastAsia="zh-CN"/>
        </w:rPr>
        <w:t>25</w:t>
      </w:r>
      <w:r>
        <w:rPr>
          <w:rFonts w:hint="default"/>
          <w:color w:val="auto"/>
          <w:lang w:val="en-US" w:eastAsia="zh-CN"/>
        </w:rPr>
        <w:t>年连续一年</w:t>
      </w:r>
      <w:r>
        <w:rPr>
          <w:rFonts w:hint="eastAsia"/>
          <w:color w:val="auto"/>
          <w:lang w:val="en-US" w:eastAsia="zh-CN"/>
        </w:rPr>
        <w:t>的</w:t>
      </w:r>
      <w:r>
        <w:rPr>
          <w:color w:val="auto"/>
        </w:rPr>
        <w:t>例行监测数据</w:t>
      </w:r>
      <w:r>
        <w:rPr>
          <w:rFonts w:hint="eastAsia"/>
          <w:color w:val="auto"/>
          <w:lang w:eastAsia="zh-CN"/>
        </w:rPr>
        <w:t>，</w:t>
      </w:r>
      <w:r>
        <w:rPr>
          <w:rFonts w:hint="eastAsia"/>
          <w:color w:val="auto"/>
          <w:lang w:val="en-US" w:eastAsia="zh-CN"/>
        </w:rPr>
        <w:t>按照HJ663中各评价项目的年评价指标进行判定，PM</w:t>
      </w:r>
      <w:r>
        <w:rPr>
          <w:rFonts w:hint="eastAsia"/>
          <w:color w:val="auto"/>
          <w:vertAlign w:val="subscript"/>
          <w:lang w:val="en-US" w:eastAsia="zh-CN"/>
        </w:rPr>
        <w:t>2.5</w:t>
      </w:r>
      <w:r>
        <w:rPr>
          <w:rFonts w:hint="eastAsia"/>
          <w:color w:val="auto"/>
          <w:lang w:val="en-US" w:eastAsia="zh-CN"/>
        </w:rPr>
        <w:t>保证率日均值超标</w:t>
      </w:r>
      <w:r>
        <w:rPr>
          <w:rFonts w:hint="eastAsia"/>
          <w:color w:val="auto"/>
        </w:rPr>
        <w:t>，本项目评价区域为</w:t>
      </w:r>
      <w:r>
        <w:rPr>
          <w:rFonts w:hint="eastAsia"/>
          <w:color w:val="auto"/>
          <w:lang w:val="en-US" w:eastAsia="zh-CN"/>
        </w:rPr>
        <w:t>不</w:t>
      </w:r>
      <w:r>
        <w:rPr>
          <w:rFonts w:hint="eastAsia"/>
          <w:color w:val="auto"/>
        </w:rPr>
        <w:t>达标区。</w:t>
      </w:r>
      <w:r>
        <w:rPr>
          <w:rFonts w:hint="eastAsia"/>
          <w:color w:val="auto"/>
          <w:szCs w:val="24"/>
          <w:lang w:val="en-US" w:eastAsia="zh-CN"/>
        </w:rPr>
        <w:t>根据补充监测结果，</w:t>
      </w:r>
      <w:r>
        <w:rPr>
          <w:rFonts w:hint="default" w:ascii="Times New Roman" w:hAnsi="Times New Roman" w:cs="Times New Roman"/>
          <w:color w:val="auto"/>
          <w:highlight w:val="none"/>
          <w:lang w:val="en-US" w:eastAsia="zh-CN"/>
        </w:rPr>
        <w:t>评价区域环境空气中</w:t>
      </w:r>
      <w:r>
        <w:rPr>
          <w:rFonts w:hint="eastAsia" w:ascii="Times New Roman" w:hAnsi="Times New Roman" w:cs="Times New Roman"/>
          <w:color w:val="auto"/>
          <w:highlight w:val="none"/>
          <w:lang w:val="en-US" w:eastAsia="zh-CN"/>
        </w:rPr>
        <w:t>TSP</w:t>
      </w:r>
      <w:r>
        <w:rPr>
          <w:rFonts w:hint="default" w:ascii="Times New Roman" w:hAnsi="Times New Roman" w:cs="Times New Roman"/>
          <w:color w:val="auto"/>
          <w:highlight w:val="none"/>
          <w:lang w:val="en-US" w:eastAsia="zh-CN"/>
        </w:rPr>
        <w:t>满足</w:t>
      </w:r>
      <w:r>
        <w:rPr>
          <w:color w:val="auto"/>
          <w:szCs w:val="24"/>
        </w:rPr>
        <w:t>《环境空气质量标准》（</w:t>
      </w:r>
      <w:r>
        <w:rPr>
          <w:rFonts w:hint="eastAsia"/>
          <w:color w:val="auto"/>
          <w:szCs w:val="24"/>
          <w:lang w:eastAsia="zh-CN"/>
        </w:rPr>
        <w:t>GB3095-2026</w:t>
      </w:r>
      <w:r>
        <w:rPr>
          <w:color w:val="auto"/>
          <w:szCs w:val="24"/>
        </w:rPr>
        <w:t>）</w:t>
      </w:r>
      <w:r>
        <w:rPr>
          <w:rFonts w:hint="eastAsia"/>
          <w:color w:val="auto"/>
          <w:szCs w:val="24"/>
          <w:lang w:val="en-US" w:eastAsia="zh-CN"/>
        </w:rPr>
        <w:t>表2中</w:t>
      </w:r>
      <w:r>
        <w:rPr>
          <w:color w:val="auto"/>
          <w:szCs w:val="24"/>
        </w:rPr>
        <w:t>二级标准</w:t>
      </w:r>
      <w:r>
        <w:rPr>
          <w:rFonts w:hint="eastAsia"/>
          <w:color w:val="auto"/>
          <w:szCs w:val="24"/>
          <w:lang w:eastAsia="zh-CN"/>
        </w:rPr>
        <w:t>，</w:t>
      </w:r>
      <w:r>
        <w:rPr>
          <w:rFonts w:hint="eastAsia" w:ascii="Times New Roman" w:hAnsi="Times New Roman" w:cs="Times New Roman"/>
          <w:color w:val="auto"/>
          <w:sz w:val="24"/>
          <w:szCs w:val="24"/>
          <w:lang w:val="en-US" w:eastAsia="zh-CN"/>
        </w:rPr>
        <w:t>氟化物</w:t>
      </w:r>
      <w:r>
        <w:rPr>
          <w:rFonts w:hint="default" w:ascii="Times New Roman" w:hAnsi="Times New Roman" w:cs="Times New Roman"/>
          <w:color w:val="auto"/>
          <w:highlight w:val="none"/>
          <w:lang w:val="en-US" w:eastAsia="zh-CN"/>
        </w:rPr>
        <w:t>满足</w:t>
      </w:r>
      <w:r>
        <w:rPr>
          <w:rFonts w:hint="eastAsia" w:ascii="Times New Roman" w:hAnsi="Times New Roman" w:cs="Times New Roman"/>
          <w:color w:val="auto"/>
          <w:sz w:val="24"/>
          <w:szCs w:val="24"/>
          <w:lang w:val="en-US" w:eastAsia="zh-CN"/>
        </w:rPr>
        <w:t>《环境空气质量标准》（GB3095-2026）附录A中浓度限值</w:t>
      </w:r>
      <w:r>
        <w:rPr>
          <w:rFonts w:hint="eastAsia" w:cs="Times New Roman"/>
          <w:color w:val="auto"/>
          <w:sz w:val="24"/>
          <w:szCs w:val="24"/>
          <w:lang w:val="en-US" w:eastAsia="zh-CN"/>
        </w:rPr>
        <w:t>，</w:t>
      </w:r>
      <w:r>
        <w:rPr>
          <w:rFonts w:hint="eastAsia" w:ascii="Times New Roman" w:hAnsi="Times New Roman" w:cs="Times New Roman"/>
          <w:color w:val="auto"/>
          <w:sz w:val="24"/>
          <w:szCs w:val="24"/>
          <w:lang w:val="en-US" w:eastAsia="zh-CN"/>
        </w:rPr>
        <w:t>氯化氢、硫酸、氨</w:t>
      </w:r>
      <w:r>
        <w:rPr>
          <w:rFonts w:hint="default" w:ascii="Times New Roman" w:hAnsi="Times New Roman" w:cs="Times New Roman"/>
          <w:color w:val="auto"/>
          <w:highlight w:val="none"/>
          <w:lang w:val="en-US" w:eastAsia="zh-CN"/>
        </w:rPr>
        <w:t>满足《环境影响评价技术导则 大气环境》（HJ2.2-2018）附录D中限值</w:t>
      </w:r>
      <w:r>
        <w:rPr>
          <w:rFonts w:hint="default" w:ascii="Times New Roman" w:hAnsi="Times New Roman" w:cs="Times New Roman"/>
          <w:color w:val="auto"/>
          <w:highlight w:val="none"/>
        </w:rPr>
        <w:t>。</w:t>
      </w:r>
    </w:p>
    <w:p w14:paraId="6E7E2E4B">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2、地表水环境质量</w:t>
      </w:r>
    </w:p>
    <w:p w14:paraId="4DEE70A3">
      <w:pPr>
        <w:pStyle w:val="26"/>
        <w:bidi w:val="0"/>
        <w:rPr>
          <w:rFonts w:hint="default" w:ascii="Times New Roman" w:hAnsi="Times New Roman" w:eastAsia="宋体"/>
          <w:color w:val="auto"/>
          <w:sz w:val="24"/>
          <w:szCs w:val="24"/>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eastAsia="宋体" w:cs="Times New Roman"/>
          <w:bCs/>
          <w:color w:val="auto"/>
          <w:sz w:val="24"/>
        </w:rPr>
        <w:t>《2024年</w:t>
      </w:r>
      <w:r>
        <w:rPr>
          <w:rFonts w:hint="eastAsia" w:cs="Times New Roman"/>
          <w:bCs/>
          <w:color w:val="auto"/>
          <w:sz w:val="24"/>
          <w:lang w:val="en-US" w:eastAsia="zh-CN"/>
        </w:rPr>
        <w:t>巴中市生态</w:t>
      </w:r>
      <w:r>
        <w:rPr>
          <w:rFonts w:hint="default" w:ascii="Times New Roman" w:hAnsi="Times New Roman" w:eastAsia="宋体" w:cs="Times New Roman"/>
          <w:bCs/>
          <w:color w:val="auto"/>
          <w:sz w:val="24"/>
        </w:rPr>
        <w:t>环境</w:t>
      </w:r>
      <w:r>
        <w:rPr>
          <w:rFonts w:hint="eastAsia" w:cs="Times New Roman"/>
          <w:bCs/>
          <w:color w:val="auto"/>
          <w:sz w:val="24"/>
          <w:lang w:val="en-US" w:eastAsia="zh-CN"/>
        </w:rPr>
        <w:t>状况</w:t>
      </w:r>
      <w:r>
        <w:rPr>
          <w:rFonts w:hint="default" w:ascii="Times New Roman" w:hAnsi="Times New Roman" w:eastAsia="宋体" w:cs="Times New Roman"/>
          <w:bCs/>
          <w:color w:val="auto"/>
          <w:sz w:val="24"/>
        </w:rPr>
        <w:t>公报</w:t>
      </w:r>
      <w:r>
        <w:rPr>
          <w:rFonts w:hint="default" w:ascii="Times New Roman" w:hAnsi="Times New Roman" w:cs="Times New Roman"/>
          <w:color w:val="auto"/>
          <w:sz w:val="24"/>
          <w:szCs w:val="24"/>
        </w:rPr>
        <w:t>》</w:t>
      </w:r>
      <w:r>
        <w:rPr>
          <w:rFonts w:hint="eastAsia" w:cs="Times New Roman"/>
          <w:color w:val="auto"/>
          <w:highlight w:val="none"/>
          <w:lang w:val="en-US" w:eastAsia="zh-CN"/>
        </w:rPr>
        <w:t>，</w:t>
      </w:r>
      <w:r>
        <w:rPr>
          <w:rFonts w:hint="default" w:ascii="Times New Roman" w:hAnsi="Times New Roman" w:cs="Times New Roman"/>
          <w:color w:val="auto"/>
          <w:highlight w:val="none"/>
        </w:rPr>
        <w:t>本项目所在地表水环境评价区域为达标区</w:t>
      </w:r>
      <w:r>
        <w:rPr>
          <w:rFonts w:cs="Calibri"/>
          <w:color w:val="auto"/>
          <w:sz w:val="24"/>
          <w:szCs w:val="24"/>
          <w:highlight w:val="none"/>
        </w:rPr>
        <w:t>。</w:t>
      </w:r>
    </w:p>
    <w:p w14:paraId="325DCDAF">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3、地下水环境质量</w:t>
      </w:r>
    </w:p>
    <w:p w14:paraId="57FAE086">
      <w:pPr>
        <w:pStyle w:val="26"/>
        <w:bidi w:val="0"/>
        <w:rPr>
          <w:rFonts w:hint="default" w:ascii="Times New Roman" w:hAnsi="Times New Roman" w:cs="Times New Roman"/>
          <w:color w:val="auto"/>
          <w:szCs w:val="22"/>
          <w:highlight w:val="none"/>
          <w:lang w:bidi="ar"/>
        </w:rPr>
      </w:pPr>
      <w:r>
        <w:rPr>
          <w:rFonts w:hint="default" w:ascii="Times New Roman" w:hAnsi="Times New Roman" w:cs="Times New Roman"/>
          <w:color w:val="auto"/>
          <w:szCs w:val="22"/>
          <w:highlight w:val="none"/>
          <w:lang w:bidi="ar"/>
        </w:rPr>
        <w:t>评价</w:t>
      </w:r>
      <w:r>
        <w:rPr>
          <w:rFonts w:hint="eastAsia" w:cs="Times New Roman"/>
          <w:color w:val="auto"/>
          <w:szCs w:val="22"/>
          <w:highlight w:val="none"/>
          <w:lang w:val="en-US" w:eastAsia="zh-CN" w:bidi="ar"/>
        </w:rPr>
        <w:t>区域</w:t>
      </w:r>
      <w:r>
        <w:rPr>
          <w:rFonts w:hint="default" w:ascii="Times New Roman" w:hAnsi="Times New Roman" w:cs="Times New Roman"/>
          <w:color w:val="auto"/>
          <w:szCs w:val="22"/>
          <w:highlight w:val="none"/>
          <w:lang w:bidi="ar"/>
        </w:rPr>
        <w:t>地下水监测点位</w:t>
      </w:r>
      <w:r>
        <w:rPr>
          <w:rFonts w:hint="eastAsia" w:ascii="Times New Roman" w:hAnsi="Times New Roman" w:cs="Times New Roman"/>
          <w:color w:val="auto"/>
          <w:szCs w:val="22"/>
          <w:highlight w:val="none"/>
          <w:lang w:val="en-US" w:eastAsia="zh-CN" w:bidi="ar"/>
        </w:rPr>
        <w:t>各项</w:t>
      </w:r>
      <w:r>
        <w:rPr>
          <w:rFonts w:hint="default" w:ascii="Times New Roman" w:hAnsi="Times New Roman" w:cs="Times New Roman"/>
          <w:color w:val="auto"/>
          <w:szCs w:val="22"/>
          <w:highlight w:val="none"/>
          <w:lang w:bidi="ar"/>
        </w:rPr>
        <w:t>监测因子均满足《地下水质量标准》（GB/T14848-2017）中Ⅲ类标准要求。</w:t>
      </w:r>
    </w:p>
    <w:p w14:paraId="5D73B1D4">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4、土壤环境质量</w:t>
      </w:r>
    </w:p>
    <w:p w14:paraId="033D1500">
      <w:pPr>
        <w:pStyle w:val="26"/>
        <w:bidi w:val="0"/>
        <w:rPr>
          <w:rFonts w:hint="default" w:ascii="Times New Roman" w:hAnsi="Times New Roman" w:cs="Times New Roman"/>
          <w:color w:val="auto"/>
          <w:szCs w:val="22"/>
          <w:highlight w:val="none"/>
          <w:lang w:bidi="ar"/>
        </w:rPr>
      </w:pPr>
      <w:r>
        <w:rPr>
          <w:rFonts w:hint="eastAsia" w:ascii="Times New Roman" w:hAnsi="Times New Roman"/>
          <w:color w:val="auto"/>
          <w:sz w:val="24"/>
          <w:szCs w:val="24"/>
        </w:rPr>
        <w:t>厂区内各监测点</w:t>
      </w:r>
      <w:r>
        <w:rPr>
          <w:rFonts w:hint="eastAsia" w:ascii="Times New Roman" w:hAnsi="Times New Roman"/>
          <w:color w:val="auto"/>
          <w:sz w:val="24"/>
          <w:szCs w:val="24"/>
          <w:lang w:val="en-US" w:eastAsia="zh-CN"/>
        </w:rPr>
        <w:t>及</w:t>
      </w:r>
      <w:r>
        <w:rPr>
          <w:rFonts w:hint="eastAsia" w:cstheme="minorHAnsi"/>
          <w:color w:val="auto"/>
          <w:sz w:val="24"/>
          <w:szCs w:val="24"/>
          <w:lang w:val="en-US" w:eastAsia="zh-CN"/>
        </w:rPr>
        <w:t>T9、T11满足</w:t>
      </w:r>
      <w:r>
        <w:rPr>
          <w:rFonts w:hint="eastAsia" w:cstheme="minorHAnsi"/>
          <w:color w:val="auto"/>
          <w:sz w:val="24"/>
          <w:szCs w:val="24"/>
        </w:rPr>
        <w:t>《土壤环境质量</w:t>
      </w:r>
      <w:r>
        <w:rPr>
          <w:rFonts w:hint="eastAsia" w:cstheme="minorHAnsi"/>
          <w:color w:val="auto"/>
          <w:sz w:val="24"/>
          <w:szCs w:val="24"/>
          <w:lang w:val="en-US" w:eastAsia="zh-CN"/>
        </w:rPr>
        <w:t xml:space="preserve"> </w:t>
      </w:r>
      <w:r>
        <w:rPr>
          <w:rFonts w:hint="eastAsia" w:cstheme="minorHAnsi"/>
          <w:color w:val="auto"/>
          <w:sz w:val="24"/>
          <w:szCs w:val="24"/>
        </w:rPr>
        <w:t>建设用地土壤污染风险管控标准（试行）》（GB36600-2018）表1、表2中建设用地土壤污染风险第二类用地筛选值</w:t>
      </w:r>
      <w:r>
        <w:rPr>
          <w:rFonts w:hint="eastAsia" w:cstheme="minorHAnsi"/>
          <w:color w:val="auto"/>
          <w:sz w:val="24"/>
          <w:szCs w:val="24"/>
          <w:lang w:eastAsia="zh-CN"/>
        </w:rPr>
        <w:t>（</w:t>
      </w:r>
      <w:r>
        <w:rPr>
          <w:rFonts w:hint="eastAsia" w:cstheme="minorHAnsi"/>
          <w:color w:val="auto"/>
          <w:sz w:val="24"/>
          <w:szCs w:val="24"/>
          <w:lang w:val="en-US" w:eastAsia="zh-CN"/>
        </w:rPr>
        <w:t>其中氟化物满足《四川省建设用地土壤污染风险管控标准》（DB51/2978-2023）</w:t>
      </w:r>
      <w:r>
        <w:rPr>
          <w:rFonts w:hint="eastAsia" w:cstheme="minorHAnsi"/>
          <w:color w:val="auto"/>
          <w:sz w:val="24"/>
          <w:szCs w:val="24"/>
        </w:rPr>
        <w:t>表1中建设用地土壤污染风险第</w:t>
      </w:r>
      <w:r>
        <w:rPr>
          <w:rFonts w:hint="eastAsia" w:cstheme="minorHAnsi"/>
          <w:color w:val="auto"/>
          <w:sz w:val="24"/>
          <w:szCs w:val="24"/>
          <w:lang w:val="en-US" w:eastAsia="zh-CN"/>
        </w:rPr>
        <w:t>二</w:t>
      </w:r>
      <w:r>
        <w:rPr>
          <w:rFonts w:hint="eastAsia" w:cstheme="minorHAnsi"/>
          <w:color w:val="auto"/>
          <w:sz w:val="24"/>
          <w:szCs w:val="24"/>
        </w:rPr>
        <w:t>类用地筛选值</w:t>
      </w:r>
      <w:r>
        <w:rPr>
          <w:rFonts w:hint="eastAsia" w:cstheme="minorHAnsi"/>
          <w:color w:val="auto"/>
          <w:sz w:val="24"/>
          <w:szCs w:val="24"/>
          <w:lang w:eastAsia="zh-CN"/>
        </w:rPr>
        <w:t>）；</w:t>
      </w:r>
      <w:r>
        <w:rPr>
          <w:rFonts w:hint="eastAsia" w:cstheme="minorHAnsi"/>
          <w:color w:val="auto"/>
          <w:sz w:val="24"/>
          <w:szCs w:val="24"/>
          <w:lang w:val="en-US" w:eastAsia="zh-CN"/>
        </w:rPr>
        <w:t>T8、T10满足</w:t>
      </w:r>
      <w:r>
        <w:rPr>
          <w:rFonts w:hint="eastAsia" w:cstheme="minorHAnsi"/>
          <w:color w:val="auto"/>
          <w:sz w:val="24"/>
          <w:szCs w:val="24"/>
        </w:rPr>
        <w:t>《土壤环境质量 农用地土壤污染风险管控标准（试行）》（GB15618-2018）</w:t>
      </w:r>
      <w:r>
        <w:rPr>
          <w:rFonts w:hint="eastAsia" w:cstheme="minorHAnsi"/>
          <w:color w:val="auto"/>
          <w:sz w:val="24"/>
          <w:szCs w:val="24"/>
          <w:lang w:val="en-US" w:eastAsia="zh-CN"/>
        </w:rPr>
        <w:t>表1中农</w:t>
      </w:r>
      <w:r>
        <w:rPr>
          <w:rFonts w:hint="eastAsia" w:cstheme="minorHAnsi"/>
          <w:color w:val="auto"/>
          <w:sz w:val="24"/>
          <w:szCs w:val="24"/>
        </w:rPr>
        <w:t>用地土壤污染风险筛选值</w:t>
      </w:r>
      <w:r>
        <w:rPr>
          <w:rFonts w:hint="eastAsia" w:cstheme="minorHAnsi"/>
          <w:color w:val="auto"/>
          <w:sz w:val="24"/>
          <w:szCs w:val="24"/>
          <w:lang w:eastAsia="zh-CN"/>
        </w:rPr>
        <w:t>（</w:t>
      </w:r>
      <w:r>
        <w:rPr>
          <w:rFonts w:hint="eastAsia" w:cstheme="minorHAnsi"/>
          <w:color w:val="auto"/>
          <w:sz w:val="24"/>
          <w:szCs w:val="24"/>
          <w:lang w:val="en-US" w:eastAsia="zh-CN"/>
        </w:rPr>
        <w:t>其中石油烃</w:t>
      </w:r>
      <w:r>
        <w:rPr>
          <w:rFonts w:hint="eastAsia" w:cstheme="minorHAnsi"/>
          <w:color w:val="auto"/>
          <w:sz w:val="24"/>
          <w:szCs w:val="24"/>
        </w:rPr>
        <w:t>（C</w:t>
      </w:r>
      <w:r>
        <w:rPr>
          <w:rFonts w:hint="eastAsia" w:cstheme="minorHAnsi"/>
          <w:color w:val="auto"/>
          <w:sz w:val="24"/>
          <w:szCs w:val="24"/>
          <w:vertAlign w:val="subscript"/>
        </w:rPr>
        <w:t>10</w:t>
      </w:r>
      <w:r>
        <w:rPr>
          <w:rFonts w:hint="eastAsia" w:cstheme="minorHAnsi"/>
          <w:color w:val="auto"/>
          <w:sz w:val="24"/>
          <w:szCs w:val="24"/>
        </w:rPr>
        <w:t>-C</w:t>
      </w:r>
      <w:r>
        <w:rPr>
          <w:rFonts w:hint="eastAsia" w:cstheme="minorHAnsi"/>
          <w:color w:val="auto"/>
          <w:sz w:val="24"/>
          <w:szCs w:val="24"/>
          <w:vertAlign w:val="subscript"/>
        </w:rPr>
        <w:t>40</w:t>
      </w:r>
      <w:r>
        <w:rPr>
          <w:rFonts w:hint="eastAsia" w:cstheme="minorHAnsi"/>
          <w:color w:val="auto"/>
          <w:sz w:val="24"/>
          <w:szCs w:val="24"/>
        </w:rPr>
        <w:t>）</w:t>
      </w:r>
      <w:r>
        <w:rPr>
          <w:rFonts w:hint="eastAsia" w:cstheme="minorHAnsi"/>
          <w:color w:val="auto"/>
          <w:sz w:val="24"/>
          <w:szCs w:val="24"/>
          <w:lang w:val="en-US" w:eastAsia="zh-CN"/>
        </w:rPr>
        <w:t>满足《农用地土壤环境风险评价技术规定(试行) 》（环办土壤函〔2018〕1479 号）附表1-3中农用地土壤其他增测项目评价参考值</w:t>
      </w:r>
      <w:r>
        <w:rPr>
          <w:rFonts w:hint="eastAsia" w:cstheme="minorHAnsi"/>
          <w:color w:val="auto"/>
          <w:sz w:val="24"/>
          <w:szCs w:val="24"/>
          <w:lang w:eastAsia="zh-CN"/>
        </w:rPr>
        <w:t>）</w:t>
      </w:r>
      <w:r>
        <w:rPr>
          <w:rFonts w:hint="eastAsia" w:ascii="Times New Roman" w:hAnsi="Times New Roman"/>
          <w:color w:val="auto"/>
          <w:sz w:val="24"/>
        </w:rPr>
        <w:t>。</w:t>
      </w:r>
    </w:p>
    <w:p w14:paraId="3ECF4185">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5、声环境质量</w:t>
      </w:r>
    </w:p>
    <w:p w14:paraId="65D148FF">
      <w:pPr>
        <w:pStyle w:val="26"/>
        <w:bidi w:val="0"/>
        <w:rPr>
          <w:color w:val="auto"/>
          <w:highlight w:val="none"/>
        </w:rPr>
      </w:pPr>
      <w:r>
        <w:rPr>
          <w:rFonts w:hint="eastAsia" w:cs="Times New Roman"/>
          <w:color w:val="auto"/>
          <w:highlight w:val="none"/>
          <w:lang w:val="en-US" w:eastAsia="zh-CN"/>
        </w:rPr>
        <w:t>厂界</w:t>
      </w:r>
      <w:r>
        <w:rPr>
          <w:rFonts w:hint="eastAsia"/>
          <w:color w:val="auto"/>
          <w:highlight w:val="none"/>
          <w:lang w:val="en-US" w:eastAsia="zh-CN"/>
        </w:rPr>
        <w:t>各监测点</w:t>
      </w:r>
      <w:r>
        <w:rPr>
          <w:color w:val="auto"/>
          <w:highlight w:val="none"/>
        </w:rPr>
        <w:t>噪声</w:t>
      </w:r>
      <w:r>
        <w:rPr>
          <w:rFonts w:hint="eastAsia"/>
          <w:color w:val="auto"/>
          <w:highlight w:val="none"/>
          <w:lang w:val="en-US" w:eastAsia="zh-CN"/>
        </w:rPr>
        <w:t>监测值</w:t>
      </w:r>
      <w:r>
        <w:rPr>
          <w:color w:val="auto"/>
          <w:highlight w:val="none"/>
        </w:rPr>
        <w:t>均</w:t>
      </w:r>
      <w:r>
        <w:rPr>
          <w:rFonts w:hint="eastAsia"/>
          <w:color w:val="auto"/>
          <w:highlight w:val="none"/>
          <w:lang w:val="en-US" w:eastAsia="zh-CN"/>
        </w:rPr>
        <w:t>满足</w:t>
      </w:r>
      <w:r>
        <w:rPr>
          <w:color w:val="auto"/>
          <w:highlight w:val="none"/>
        </w:rPr>
        <w:t>《声环境质量标准》（GB3096-2008）3类标准</w:t>
      </w:r>
      <w:r>
        <w:rPr>
          <w:rFonts w:hint="eastAsia"/>
          <w:color w:val="auto"/>
          <w:highlight w:val="none"/>
          <w:lang w:eastAsia="zh-CN"/>
        </w:rPr>
        <w:t>，</w:t>
      </w:r>
      <w:r>
        <w:rPr>
          <w:rFonts w:hint="eastAsia"/>
          <w:color w:val="auto"/>
          <w:highlight w:val="none"/>
          <w:lang w:val="en-US" w:eastAsia="zh-CN"/>
        </w:rPr>
        <w:t>声环境敏感目标处</w:t>
      </w:r>
      <w:r>
        <w:rPr>
          <w:color w:val="auto"/>
          <w:highlight w:val="none"/>
        </w:rPr>
        <w:t>噪声</w:t>
      </w:r>
      <w:r>
        <w:rPr>
          <w:rFonts w:hint="eastAsia"/>
          <w:color w:val="auto"/>
          <w:highlight w:val="none"/>
          <w:lang w:val="en-US" w:eastAsia="zh-CN"/>
        </w:rPr>
        <w:t>监测值满足</w:t>
      </w:r>
      <w:r>
        <w:rPr>
          <w:color w:val="auto"/>
          <w:highlight w:val="none"/>
        </w:rPr>
        <w:t>《声环境质量标准》（GB3096-2008）</w:t>
      </w:r>
      <w:r>
        <w:rPr>
          <w:rFonts w:hint="eastAsia"/>
          <w:color w:val="auto"/>
          <w:highlight w:val="none"/>
          <w:lang w:val="en-US" w:eastAsia="zh-CN"/>
        </w:rPr>
        <w:t>2</w:t>
      </w:r>
      <w:r>
        <w:rPr>
          <w:color w:val="auto"/>
          <w:highlight w:val="none"/>
        </w:rPr>
        <w:t>类标准</w:t>
      </w:r>
      <w:r>
        <w:rPr>
          <w:rFonts w:hint="eastAsia"/>
          <w:color w:val="auto"/>
          <w:highlight w:val="none"/>
        </w:rPr>
        <w:t>。</w:t>
      </w:r>
    </w:p>
    <w:p w14:paraId="7C5BBBE0">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6、生态环境质量</w:t>
      </w:r>
    </w:p>
    <w:p w14:paraId="1E437CF9">
      <w:pPr>
        <w:pStyle w:val="26"/>
        <w:bidi w:val="0"/>
        <w:rPr>
          <w:rFonts w:ascii="Times New Roman" w:hAnsi="Times New Roman"/>
          <w:color w:val="auto"/>
          <w:sz w:val="24"/>
          <w:szCs w:val="24"/>
          <w:highlight w:val="none"/>
        </w:rPr>
      </w:pPr>
      <w:r>
        <w:rPr>
          <w:rFonts w:hint="default" w:ascii="Times New Roman" w:hAnsi="Times New Roman" w:cs="Times New Roman"/>
          <w:color w:val="auto"/>
          <w:highlight w:val="none"/>
        </w:rPr>
        <w:t>本项目位于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default" w:ascii="Times New Roman" w:hAnsi="Times New Roman" w:cs="Times New Roman"/>
          <w:color w:val="auto"/>
          <w:highlight w:val="none"/>
        </w:rPr>
        <w:t>，项目所在区域人类活动频繁，不存在原生植被。根据调查，本项目所在区域</w:t>
      </w:r>
      <w:r>
        <w:rPr>
          <w:rFonts w:hint="eastAsia" w:cs="Times New Roman"/>
          <w:color w:val="auto"/>
          <w:highlight w:val="none"/>
          <w:lang w:val="en-US" w:eastAsia="zh-CN"/>
        </w:rPr>
        <w:t>内</w:t>
      </w:r>
      <w:r>
        <w:rPr>
          <w:rFonts w:hint="default" w:ascii="Times New Roman" w:hAnsi="Times New Roman" w:cs="Times New Roman"/>
          <w:color w:val="auto"/>
          <w:highlight w:val="none"/>
        </w:rPr>
        <w:t>无自然保护区、风景名胜区等，无列入国家及地方保护名录的珍稀濒危动植物及古、大、珍、奇树木分布</w:t>
      </w:r>
      <w:r>
        <w:rPr>
          <w:rFonts w:hint="eastAsia" w:cs="Times New Roman"/>
          <w:color w:val="auto"/>
          <w:highlight w:val="none"/>
          <w:lang w:eastAsia="zh-CN"/>
        </w:rPr>
        <w:t>。</w:t>
      </w:r>
    </w:p>
    <w:p w14:paraId="205739AE">
      <w:pPr>
        <w:pStyle w:val="4"/>
        <w:bidi w:val="0"/>
        <w:rPr>
          <w:color w:val="auto"/>
          <w:highlight w:val="none"/>
        </w:rPr>
      </w:pPr>
      <w:bookmarkStart w:id="328" w:name="_Toc5101"/>
      <w:bookmarkStart w:id="329" w:name="_Toc94200138"/>
      <w:r>
        <w:rPr>
          <w:rFonts w:hint="eastAsia"/>
          <w:color w:val="auto"/>
          <w:highlight w:val="none"/>
        </w:rPr>
        <w:t>达标排放与总量控制</w:t>
      </w:r>
      <w:bookmarkEnd w:id="328"/>
      <w:bookmarkEnd w:id="329"/>
    </w:p>
    <w:p w14:paraId="2FE94E83">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1、达标排放</w:t>
      </w:r>
    </w:p>
    <w:p w14:paraId="24C13CF5">
      <w:pPr>
        <w:pStyle w:val="26"/>
        <w:bidi w:val="0"/>
        <w:rPr>
          <w:color w:val="auto"/>
          <w:highlight w:val="none"/>
        </w:rPr>
      </w:pPr>
      <w:r>
        <w:rPr>
          <w:rFonts w:hint="eastAsia"/>
          <w:color w:val="auto"/>
          <w:highlight w:val="none"/>
        </w:rPr>
        <w:t>根据环评预测分析，建设单位在严格落实本报告中提出的各项污染物防治措施后，各项污染物可实现达标排放。</w:t>
      </w:r>
    </w:p>
    <w:p w14:paraId="1C4BE093">
      <w:pPr>
        <w:pStyle w:val="29"/>
        <w:ind w:left="0" w:leftChars="0"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2、总量控制</w:t>
      </w:r>
    </w:p>
    <w:p w14:paraId="0231842D">
      <w:pPr>
        <w:pStyle w:val="26"/>
        <w:bidi w:val="0"/>
        <w:rPr>
          <w:rFonts w:hint="eastAsia"/>
          <w:color w:val="auto"/>
          <w:highlight w:val="none"/>
          <w:lang w:val="en-US" w:eastAsia="zh-CN"/>
        </w:rPr>
      </w:pPr>
      <w:bookmarkStart w:id="330" w:name="_Toc94200139"/>
      <w:bookmarkStart w:id="331" w:name="_Toc14731"/>
      <w:r>
        <w:rPr>
          <w:rFonts w:hint="eastAsia"/>
          <w:color w:val="auto"/>
          <w:highlight w:val="none"/>
          <w:lang w:val="en-US" w:eastAsia="zh-CN"/>
        </w:rPr>
        <w:t>根据计算，</w:t>
      </w:r>
      <w:r>
        <w:rPr>
          <w:rFonts w:hint="eastAsia"/>
          <w:color w:val="auto"/>
          <w:highlight w:val="none"/>
        </w:rPr>
        <w:t>本</w:t>
      </w:r>
      <w:r>
        <w:rPr>
          <w:rFonts w:hint="eastAsia"/>
          <w:color w:val="auto"/>
          <w:highlight w:val="none"/>
          <w:lang w:val="en-US" w:eastAsia="zh-CN"/>
        </w:rPr>
        <w:t>项目总量控制指标建议如下：</w:t>
      </w:r>
    </w:p>
    <w:p w14:paraId="0C3C86E4">
      <w:pPr>
        <w:pStyle w:val="26"/>
        <w:bidi w:val="0"/>
        <w:rPr>
          <w:rFonts w:hint="eastAsia"/>
          <w:color w:val="auto"/>
          <w:highlight w:val="none"/>
          <w:lang w:val="en-US" w:eastAsia="zh-CN"/>
        </w:rPr>
      </w:pPr>
    </w:p>
    <w:p w14:paraId="013EC95D">
      <w:pPr>
        <w:pStyle w:val="26"/>
        <w:bidi w:val="0"/>
        <w:rPr>
          <w:rFonts w:hint="eastAsia"/>
          <w:color w:val="auto"/>
          <w:highlight w:val="none"/>
          <w:lang w:val="en-US" w:eastAsia="zh-CN"/>
        </w:rPr>
      </w:pPr>
    </w:p>
    <w:p w14:paraId="09154FD1">
      <w:pPr>
        <w:pStyle w:val="26"/>
        <w:numPr>
          <w:ilvl w:val="0"/>
          <w:numId w:val="47"/>
        </w:numPr>
        <w:bidi w:val="0"/>
        <w:ind w:left="425" w:leftChars="0" w:hanging="425" w:firstLineChars="0"/>
        <w:jc w:val="center"/>
        <w:rPr>
          <w:rFonts w:hint="eastAsia"/>
          <w:color w:val="auto"/>
          <w:sz w:val="21"/>
          <w:szCs w:val="21"/>
          <w:highlight w:val="none"/>
          <w:lang w:val="en-US" w:eastAsia="zh-CN"/>
        </w:rPr>
      </w:pPr>
      <w:r>
        <w:rPr>
          <w:rFonts w:ascii="Times New Roman" w:hAnsi="Times New Roman" w:eastAsia="黑体"/>
          <w:color w:val="auto"/>
          <w:sz w:val="21"/>
          <w:szCs w:val="21"/>
        </w:rPr>
        <w:t>总量控制指标建议</w:t>
      </w:r>
    </w:p>
    <w:tbl>
      <w:tblPr>
        <w:tblStyle w:val="2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867"/>
        <w:gridCol w:w="2126"/>
        <w:gridCol w:w="1980"/>
        <w:gridCol w:w="2706"/>
      </w:tblGrid>
      <w:tr w14:paraId="51E5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1416" w:type="pct"/>
            <w:gridSpan w:val="2"/>
            <w:noWrap w:val="0"/>
            <w:vAlign w:val="center"/>
          </w:tcPr>
          <w:p w14:paraId="70B38424">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bCs/>
                <w:color w:val="auto"/>
                <w:highlight w:val="none"/>
                <w:lang w:val="en-US" w:eastAsia="zh-CN"/>
              </w:rPr>
              <w:t>类型</w:t>
            </w:r>
          </w:p>
        </w:tc>
        <w:tc>
          <w:tcPr>
            <w:tcW w:w="1118" w:type="pct"/>
            <w:noWrap w:val="0"/>
            <w:vAlign w:val="center"/>
          </w:tcPr>
          <w:p w14:paraId="5AE0B53F">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bCs/>
                <w:color w:val="auto"/>
                <w:highlight w:val="none"/>
                <w:lang w:val="en-US" w:eastAsia="zh-CN"/>
              </w:rPr>
              <w:t>污染物</w:t>
            </w:r>
          </w:p>
        </w:tc>
        <w:tc>
          <w:tcPr>
            <w:tcW w:w="1041" w:type="pct"/>
            <w:noWrap w:val="0"/>
            <w:vAlign w:val="center"/>
          </w:tcPr>
          <w:p w14:paraId="1CC9AF77">
            <w:pPr>
              <w:pStyle w:val="24"/>
              <w:bidi w:val="0"/>
              <w:ind w:left="0" w:leftChars="0"/>
              <w:rPr>
                <w:rFonts w:hint="eastAsia" w:ascii="Times New Roman" w:hAnsi="Times New Roman" w:eastAsia="宋体" w:cs="Courier New"/>
                <w:b/>
                <w:bCs/>
                <w:color w:val="auto"/>
                <w:highlight w:val="none"/>
                <w:lang w:val="en-US" w:eastAsia="zh-CN"/>
              </w:rPr>
            </w:pPr>
            <w:r>
              <w:rPr>
                <w:rFonts w:hint="eastAsia" w:ascii="Times New Roman" w:hAnsi="Times New Roman" w:eastAsia="宋体" w:cs="Courier New"/>
                <w:b/>
                <w:bCs/>
                <w:color w:val="auto"/>
                <w:highlight w:val="none"/>
                <w:lang w:val="en-US" w:eastAsia="zh-CN"/>
              </w:rPr>
              <w:t>总量控制</w:t>
            </w:r>
            <w:r>
              <w:rPr>
                <w:rFonts w:hint="eastAsia" w:cs="Courier New"/>
                <w:b/>
                <w:bCs/>
                <w:color w:val="auto"/>
                <w:highlight w:val="none"/>
                <w:lang w:val="en-US" w:eastAsia="zh-CN"/>
              </w:rPr>
              <w:t>（t/a）</w:t>
            </w:r>
          </w:p>
        </w:tc>
        <w:tc>
          <w:tcPr>
            <w:tcW w:w="1423" w:type="pct"/>
            <w:noWrap w:val="0"/>
            <w:vAlign w:val="center"/>
          </w:tcPr>
          <w:p w14:paraId="28D23775">
            <w:pPr>
              <w:pStyle w:val="24"/>
              <w:bidi w:val="0"/>
              <w:ind w:left="0" w:leftChars="0"/>
              <w:rPr>
                <w:rFonts w:hint="eastAsia" w:ascii="Times New Roman" w:hAnsi="Times New Roman" w:eastAsia="宋体" w:cs="Courier New"/>
                <w:b/>
                <w:bCs/>
                <w:color w:val="auto"/>
                <w:kern w:val="2"/>
                <w:sz w:val="21"/>
                <w:szCs w:val="24"/>
                <w:highlight w:val="none"/>
                <w:lang w:val="en-US" w:eastAsia="zh-CN" w:bidi="ar-SA"/>
              </w:rPr>
            </w:pPr>
            <w:r>
              <w:rPr>
                <w:rFonts w:hint="eastAsia" w:ascii="Times New Roman" w:hAnsi="Times New Roman" w:eastAsia="宋体" w:cs="Courier New"/>
                <w:b/>
                <w:bCs/>
                <w:color w:val="auto"/>
                <w:highlight w:val="none"/>
                <w:lang w:val="en-US" w:eastAsia="zh-CN"/>
              </w:rPr>
              <w:t>排放去向</w:t>
            </w:r>
          </w:p>
        </w:tc>
      </w:tr>
      <w:tr w14:paraId="42BA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restart"/>
            <w:noWrap w:val="0"/>
            <w:vAlign w:val="center"/>
          </w:tcPr>
          <w:p w14:paraId="46A177A6">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废水</w:t>
            </w:r>
          </w:p>
        </w:tc>
        <w:tc>
          <w:tcPr>
            <w:tcW w:w="981" w:type="pct"/>
            <w:vMerge w:val="restart"/>
            <w:noWrap w:val="0"/>
            <w:vAlign w:val="center"/>
          </w:tcPr>
          <w:p w14:paraId="4589B44C">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企业排口</w:t>
            </w:r>
          </w:p>
        </w:tc>
        <w:tc>
          <w:tcPr>
            <w:tcW w:w="1118" w:type="pct"/>
            <w:noWrap w:val="0"/>
            <w:vAlign w:val="center"/>
          </w:tcPr>
          <w:p w14:paraId="67F89F1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COD</w:t>
            </w:r>
          </w:p>
        </w:tc>
        <w:tc>
          <w:tcPr>
            <w:tcW w:w="1041" w:type="pct"/>
            <w:noWrap w:val="0"/>
            <w:vAlign w:val="center"/>
          </w:tcPr>
          <w:p w14:paraId="1D9C5C0F">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0.6630</w:t>
            </w:r>
          </w:p>
        </w:tc>
        <w:tc>
          <w:tcPr>
            <w:tcW w:w="1423" w:type="pct"/>
            <w:vMerge w:val="restart"/>
            <w:noWrap w:val="0"/>
            <w:vAlign w:val="center"/>
          </w:tcPr>
          <w:p w14:paraId="2D0D8E6F">
            <w:pPr>
              <w:pStyle w:val="24"/>
              <w:bidi w:val="0"/>
              <w:rPr>
                <w:rFonts w:hint="default" w:ascii="Times New Roman" w:hAnsi="Times New Roman" w:eastAsia="宋体" w:cs="Courier New"/>
                <w:b w:val="0"/>
                <w:bCs w:val="0"/>
                <w:color w:val="auto"/>
                <w:highlight w:val="none"/>
                <w:lang w:val="en-US" w:eastAsia="zh-CN"/>
              </w:rPr>
            </w:pPr>
            <w:r>
              <w:rPr>
                <w:rFonts w:hint="default" w:ascii="Times New Roman" w:hAnsi="Times New Roman" w:eastAsia="宋体" w:cs="Courier New"/>
                <w:b w:val="0"/>
                <w:bCs w:val="0"/>
                <w:color w:val="auto"/>
                <w:highlight w:val="none"/>
                <w:lang w:val="en-US" w:eastAsia="zh-CN"/>
              </w:rPr>
              <w:t>通江县秋锦山产业园区综合污水处理厂</w:t>
            </w:r>
          </w:p>
        </w:tc>
      </w:tr>
      <w:tr w14:paraId="5092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continue"/>
            <w:noWrap w:val="0"/>
            <w:vAlign w:val="center"/>
          </w:tcPr>
          <w:p w14:paraId="43B9185C">
            <w:pPr>
              <w:pStyle w:val="24"/>
              <w:bidi w:val="0"/>
              <w:rPr>
                <w:rFonts w:hint="eastAsia" w:ascii="Times New Roman" w:hAnsi="Times New Roman" w:eastAsia="宋体" w:cs="Courier New"/>
                <w:b w:val="0"/>
                <w:bCs w:val="0"/>
                <w:color w:val="auto"/>
                <w:highlight w:val="none"/>
                <w:lang w:val="en-US" w:eastAsia="zh-CN"/>
              </w:rPr>
            </w:pPr>
          </w:p>
        </w:tc>
        <w:tc>
          <w:tcPr>
            <w:tcW w:w="981" w:type="pct"/>
            <w:vMerge w:val="continue"/>
            <w:noWrap w:val="0"/>
            <w:vAlign w:val="center"/>
          </w:tcPr>
          <w:p w14:paraId="494C5264">
            <w:pPr>
              <w:pStyle w:val="24"/>
              <w:bidi w:val="0"/>
              <w:rPr>
                <w:rFonts w:hint="eastAsia" w:ascii="Times New Roman" w:hAnsi="Times New Roman" w:eastAsia="宋体" w:cs="Courier New"/>
                <w:b w:val="0"/>
                <w:bCs w:val="0"/>
                <w:color w:val="auto"/>
                <w:highlight w:val="none"/>
                <w:lang w:val="en-US" w:eastAsia="zh-CN"/>
              </w:rPr>
            </w:pPr>
          </w:p>
        </w:tc>
        <w:tc>
          <w:tcPr>
            <w:tcW w:w="1118" w:type="pct"/>
            <w:shd w:val="clear" w:color="auto" w:fill="auto"/>
            <w:noWrap w:val="0"/>
            <w:vAlign w:val="center"/>
          </w:tcPr>
          <w:p w14:paraId="31ABD7C3">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NH</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-N</w:t>
            </w:r>
          </w:p>
        </w:tc>
        <w:tc>
          <w:tcPr>
            <w:tcW w:w="1041" w:type="pct"/>
            <w:shd w:val="clear" w:color="auto" w:fill="auto"/>
            <w:noWrap w:val="0"/>
            <w:vAlign w:val="center"/>
          </w:tcPr>
          <w:p w14:paraId="48483B9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0.0597</w:t>
            </w:r>
          </w:p>
        </w:tc>
        <w:tc>
          <w:tcPr>
            <w:tcW w:w="1423" w:type="pct"/>
            <w:vMerge w:val="continue"/>
            <w:noWrap w:val="0"/>
            <w:vAlign w:val="center"/>
          </w:tcPr>
          <w:p w14:paraId="2EC86564">
            <w:pPr>
              <w:pStyle w:val="24"/>
              <w:bidi w:val="0"/>
              <w:rPr>
                <w:rFonts w:hint="eastAsia" w:ascii="Times New Roman" w:hAnsi="Times New Roman" w:eastAsia="宋体" w:cs="Courier New"/>
                <w:b w:val="0"/>
                <w:bCs w:val="0"/>
                <w:color w:val="auto"/>
                <w:highlight w:val="none"/>
                <w:lang w:val="en-US" w:eastAsia="zh-CN"/>
              </w:rPr>
            </w:pPr>
          </w:p>
        </w:tc>
      </w:tr>
      <w:tr w14:paraId="5788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continue"/>
            <w:noWrap w:val="0"/>
            <w:vAlign w:val="center"/>
          </w:tcPr>
          <w:p w14:paraId="3D211BDE">
            <w:pPr>
              <w:pStyle w:val="24"/>
              <w:bidi w:val="0"/>
              <w:rPr>
                <w:rFonts w:hint="eastAsia" w:ascii="Times New Roman" w:hAnsi="Times New Roman" w:eastAsia="宋体" w:cs="Courier New"/>
                <w:b w:val="0"/>
                <w:bCs w:val="0"/>
                <w:color w:val="auto"/>
                <w:highlight w:val="none"/>
                <w:lang w:val="en-US" w:eastAsia="zh-CN"/>
              </w:rPr>
            </w:pPr>
          </w:p>
        </w:tc>
        <w:tc>
          <w:tcPr>
            <w:tcW w:w="981" w:type="pct"/>
            <w:vMerge w:val="restart"/>
            <w:noWrap w:val="0"/>
            <w:vAlign w:val="center"/>
          </w:tcPr>
          <w:p w14:paraId="3DDFACA1">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污水处理厂排口</w:t>
            </w:r>
          </w:p>
        </w:tc>
        <w:tc>
          <w:tcPr>
            <w:tcW w:w="1118" w:type="pct"/>
            <w:noWrap w:val="0"/>
            <w:vAlign w:val="center"/>
          </w:tcPr>
          <w:p w14:paraId="3F416F55">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COD</w:t>
            </w:r>
          </w:p>
        </w:tc>
        <w:tc>
          <w:tcPr>
            <w:tcW w:w="1041" w:type="pct"/>
            <w:noWrap w:val="0"/>
            <w:vAlign w:val="center"/>
          </w:tcPr>
          <w:p w14:paraId="47DD3622">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0.0663</w:t>
            </w:r>
          </w:p>
        </w:tc>
        <w:tc>
          <w:tcPr>
            <w:tcW w:w="1423" w:type="pct"/>
            <w:vMerge w:val="restart"/>
            <w:noWrap w:val="0"/>
            <w:vAlign w:val="center"/>
          </w:tcPr>
          <w:p w14:paraId="08D907E3">
            <w:pPr>
              <w:pStyle w:val="24"/>
              <w:bidi w:val="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通江河</w:t>
            </w:r>
          </w:p>
        </w:tc>
      </w:tr>
      <w:tr w14:paraId="3F5F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34" w:type="pct"/>
            <w:vMerge w:val="continue"/>
            <w:noWrap w:val="0"/>
            <w:vAlign w:val="center"/>
          </w:tcPr>
          <w:p w14:paraId="4822BD3C">
            <w:pPr>
              <w:pStyle w:val="24"/>
              <w:bidi w:val="0"/>
              <w:rPr>
                <w:rFonts w:hint="eastAsia" w:ascii="Times New Roman" w:hAnsi="Times New Roman" w:eastAsia="宋体" w:cs="Courier New"/>
                <w:b w:val="0"/>
                <w:bCs w:val="0"/>
                <w:color w:val="auto"/>
                <w:highlight w:val="none"/>
                <w:lang w:val="en-US" w:eastAsia="zh-CN"/>
              </w:rPr>
            </w:pPr>
          </w:p>
        </w:tc>
        <w:tc>
          <w:tcPr>
            <w:tcW w:w="981" w:type="pct"/>
            <w:vMerge w:val="continue"/>
            <w:noWrap w:val="0"/>
            <w:vAlign w:val="center"/>
          </w:tcPr>
          <w:p w14:paraId="1F8BD927">
            <w:pPr>
              <w:pStyle w:val="24"/>
              <w:bidi w:val="0"/>
              <w:rPr>
                <w:rFonts w:hint="eastAsia" w:ascii="Times New Roman" w:hAnsi="Times New Roman" w:eastAsia="宋体" w:cs="Courier New"/>
                <w:b w:val="0"/>
                <w:bCs w:val="0"/>
                <w:color w:val="auto"/>
                <w:highlight w:val="none"/>
                <w:lang w:val="en-US" w:eastAsia="zh-CN"/>
              </w:rPr>
            </w:pPr>
          </w:p>
        </w:tc>
        <w:tc>
          <w:tcPr>
            <w:tcW w:w="1118" w:type="pct"/>
            <w:shd w:val="clear" w:color="auto" w:fill="auto"/>
            <w:noWrap w:val="0"/>
            <w:vAlign w:val="center"/>
          </w:tcPr>
          <w:p w14:paraId="2B784FED">
            <w:pPr>
              <w:pStyle w:val="24"/>
              <w:bidi w:val="0"/>
              <w:ind w:left="0" w:leftChars="0"/>
              <w:rPr>
                <w:rFonts w:hint="eastAsia" w:ascii="Times New Roman" w:hAnsi="Times New Roman" w:eastAsia="宋体" w:cs="Courier New"/>
                <w:b w:val="0"/>
                <w:bCs w:val="0"/>
                <w:color w:val="auto"/>
                <w:kern w:val="2"/>
                <w:sz w:val="21"/>
                <w:szCs w:val="24"/>
                <w:highlight w:val="none"/>
                <w:lang w:val="en-US" w:eastAsia="zh-CN" w:bidi="ar-SA"/>
              </w:rPr>
            </w:pPr>
            <w:r>
              <w:rPr>
                <w:rFonts w:hint="eastAsia" w:ascii="Times New Roman" w:hAnsi="Times New Roman" w:eastAsia="宋体" w:cs="Courier New"/>
                <w:b w:val="0"/>
                <w:bCs w:val="0"/>
                <w:color w:val="auto"/>
                <w:highlight w:val="none"/>
                <w:lang w:val="en-US" w:eastAsia="zh-CN"/>
              </w:rPr>
              <w:t>NH</w:t>
            </w:r>
            <w:r>
              <w:rPr>
                <w:rFonts w:hint="eastAsia" w:ascii="Times New Roman" w:hAnsi="Times New Roman" w:eastAsia="宋体" w:cs="Courier New"/>
                <w:b w:val="0"/>
                <w:bCs w:val="0"/>
                <w:color w:val="auto"/>
                <w:highlight w:val="none"/>
                <w:vertAlign w:val="subscript"/>
                <w:lang w:val="en-US" w:eastAsia="zh-CN"/>
              </w:rPr>
              <w:t>3</w:t>
            </w:r>
            <w:r>
              <w:rPr>
                <w:rFonts w:hint="eastAsia" w:ascii="Times New Roman" w:hAnsi="Times New Roman" w:eastAsia="宋体" w:cs="Courier New"/>
                <w:b w:val="0"/>
                <w:bCs w:val="0"/>
                <w:color w:val="auto"/>
                <w:highlight w:val="none"/>
                <w:lang w:val="en-US" w:eastAsia="zh-CN"/>
              </w:rPr>
              <w:t>-N</w:t>
            </w:r>
          </w:p>
        </w:tc>
        <w:tc>
          <w:tcPr>
            <w:tcW w:w="1041" w:type="pct"/>
            <w:shd w:val="clear" w:color="auto" w:fill="auto"/>
            <w:noWrap w:val="0"/>
            <w:vAlign w:val="center"/>
          </w:tcPr>
          <w:p w14:paraId="01C58CB5">
            <w:pPr>
              <w:pStyle w:val="24"/>
              <w:bidi w:val="0"/>
              <w:ind w:left="0" w:leftChars="0"/>
              <w:rPr>
                <w:rFonts w:hint="default" w:ascii="Times New Roman" w:hAnsi="Times New Roman" w:eastAsia="宋体" w:cs="Courier New"/>
                <w:b w:val="0"/>
                <w:bCs w:val="0"/>
                <w:color w:val="auto"/>
                <w:kern w:val="2"/>
                <w:sz w:val="21"/>
                <w:szCs w:val="24"/>
                <w:highlight w:val="none"/>
                <w:lang w:val="en-US" w:eastAsia="zh-CN" w:bidi="ar-SA"/>
              </w:rPr>
            </w:pPr>
            <w:r>
              <w:rPr>
                <w:rFonts w:hint="eastAsia" w:cs="Courier New"/>
                <w:b w:val="0"/>
                <w:bCs w:val="0"/>
                <w:color w:val="auto"/>
                <w:kern w:val="2"/>
                <w:sz w:val="21"/>
                <w:szCs w:val="24"/>
                <w:highlight w:val="none"/>
                <w:lang w:val="en-US" w:eastAsia="zh-CN" w:bidi="ar-SA"/>
              </w:rPr>
              <w:t>0.0066</w:t>
            </w:r>
          </w:p>
        </w:tc>
        <w:tc>
          <w:tcPr>
            <w:tcW w:w="1423" w:type="pct"/>
            <w:vMerge w:val="continue"/>
            <w:noWrap w:val="0"/>
            <w:vAlign w:val="center"/>
          </w:tcPr>
          <w:p w14:paraId="06DE259D">
            <w:pPr>
              <w:pStyle w:val="24"/>
              <w:bidi w:val="0"/>
              <w:rPr>
                <w:rFonts w:hint="eastAsia" w:cs="Courier New"/>
                <w:b w:val="0"/>
                <w:bCs w:val="0"/>
                <w:color w:val="auto"/>
                <w:highlight w:val="none"/>
                <w:lang w:val="en-US" w:eastAsia="zh-CN"/>
              </w:rPr>
            </w:pPr>
          </w:p>
        </w:tc>
      </w:tr>
      <w:tr w14:paraId="0985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416" w:type="pct"/>
            <w:gridSpan w:val="2"/>
            <w:noWrap w:val="0"/>
            <w:vAlign w:val="center"/>
          </w:tcPr>
          <w:p w14:paraId="4408D957">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废气</w:t>
            </w:r>
          </w:p>
        </w:tc>
        <w:tc>
          <w:tcPr>
            <w:tcW w:w="1118" w:type="pct"/>
            <w:noWrap w:val="0"/>
            <w:vAlign w:val="center"/>
          </w:tcPr>
          <w:p w14:paraId="38289239">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VOCs</w:t>
            </w:r>
          </w:p>
        </w:tc>
        <w:tc>
          <w:tcPr>
            <w:tcW w:w="1041" w:type="pct"/>
            <w:noWrap w:val="0"/>
            <w:vAlign w:val="center"/>
          </w:tcPr>
          <w:p w14:paraId="329AEEEF">
            <w:pPr>
              <w:pStyle w:val="24"/>
              <w:bidi w:val="0"/>
              <w:ind w:left="0" w:leftChars="0"/>
              <w:rPr>
                <w:rFonts w:hint="default" w:ascii="Times New Roman" w:hAnsi="Times New Roman" w:eastAsia="宋体" w:cs="Courier New"/>
                <w:b w:val="0"/>
                <w:bCs w:val="0"/>
                <w:color w:val="auto"/>
                <w:highlight w:val="none"/>
                <w:lang w:val="en-US" w:eastAsia="zh-CN"/>
              </w:rPr>
            </w:pPr>
            <w:r>
              <w:rPr>
                <w:rFonts w:hint="eastAsia" w:cs="Courier New"/>
                <w:b w:val="0"/>
                <w:bCs w:val="0"/>
                <w:color w:val="auto"/>
                <w:highlight w:val="none"/>
                <w:lang w:val="en-US" w:eastAsia="zh-CN"/>
              </w:rPr>
              <w:t>0.0423</w:t>
            </w:r>
          </w:p>
        </w:tc>
        <w:tc>
          <w:tcPr>
            <w:tcW w:w="1423" w:type="pct"/>
            <w:noWrap w:val="0"/>
            <w:vAlign w:val="center"/>
          </w:tcPr>
          <w:p w14:paraId="50AD7882">
            <w:pPr>
              <w:pStyle w:val="24"/>
              <w:bidi w:val="0"/>
              <w:rPr>
                <w:rFonts w:hint="eastAsia" w:ascii="Times New Roman" w:hAnsi="Times New Roman" w:eastAsia="宋体" w:cs="Courier New"/>
                <w:b w:val="0"/>
                <w:bCs w:val="0"/>
                <w:color w:val="auto"/>
                <w:highlight w:val="none"/>
                <w:lang w:val="en-US" w:eastAsia="zh-CN"/>
              </w:rPr>
            </w:pPr>
            <w:r>
              <w:rPr>
                <w:rFonts w:hint="eastAsia" w:ascii="Times New Roman" w:hAnsi="Times New Roman" w:eastAsia="宋体" w:cs="Courier New"/>
                <w:b w:val="0"/>
                <w:bCs w:val="0"/>
                <w:color w:val="auto"/>
                <w:highlight w:val="none"/>
                <w:lang w:val="en-US" w:eastAsia="zh-CN"/>
              </w:rPr>
              <w:t>大气环境</w:t>
            </w:r>
          </w:p>
        </w:tc>
      </w:tr>
      <w:bookmarkEnd w:id="330"/>
      <w:bookmarkEnd w:id="331"/>
    </w:tbl>
    <w:p w14:paraId="7B7E71CB">
      <w:pPr>
        <w:pStyle w:val="4"/>
        <w:bidi w:val="0"/>
        <w:rPr>
          <w:color w:val="auto"/>
          <w:highlight w:val="none"/>
        </w:rPr>
      </w:pPr>
      <w:r>
        <w:rPr>
          <w:rFonts w:ascii="Times New Roman" w:hAnsi="Times New Roman"/>
          <w:color w:val="auto"/>
        </w:rPr>
        <w:t>环境保护措施</w:t>
      </w:r>
      <w:r>
        <w:rPr>
          <w:rFonts w:hint="eastAsia" w:ascii="Times New Roman" w:hAnsi="Times New Roman"/>
          <w:color w:val="auto"/>
        </w:rPr>
        <w:t>及其可行性结论</w:t>
      </w:r>
    </w:p>
    <w:p w14:paraId="4675FC05">
      <w:pPr>
        <w:pStyle w:val="29"/>
        <w:ind w:left="0" w:leftChars="0" w:firstLine="482" w:firstLineChars="200"/>
        <w:rPr>
          <w:color w:val="auto"/>
        </w:rPr>
      </w:pPr>
      <w:r>
        <w:rPr>
          <w:rFonts w:hint="eastAsia"/>
          <w:color w:val="auto"/>
        </w:rPr>
        <w:t>1、废气</w:t>
      </w:r>
    </w:p>
    <w:p w14:paraId="257F8162">
      <w:pPr>
        <w:spacing w:line="360" w:lineRule="auto"/>
        <w:ind w:left="0" w:leftChars="0" w:firstLine="480" w:firstLineChars="200"/>
        <w:rPr>
          <w:rFonts w:hint="default" w:ascii="Times New Roman" w:hAnsi="Times New Roman" w:eastAsiaTheme="minorEastAsia"/>
          <w:color w:val="auto"/>
          <w:sz w:val="24"/>
          <w:szCs w:val="24"/>
          <w:lang w:val="en-US" w:eastAsia="zh-CN"/>
        </w:rPr>
      </w:pPr>
      <w:r>
        <w:rPr>
          <w:rFonts w:hint="eastAsia" w:ascii="Times New Roman" w:hAnsi="Times New Roman"/>
          <w:color w:val="auto"/>
          <w:sz w:val="24"/>
          <w:szCs w:val="24"/>
          <w:lang w:val="en-US" w:eastAsia="zh-CN"/>
        </w:rPr>
        <w:t>本项目</w:t>
      </w:r>
      <w:r>
        <w:rPr>
          <w:rFonts w:hint="eastAsia"/>
          <w:color w:val="auto"/>
          <w:sz w:val="24"/>
          <w:szCs w:val="24"/>
          <w:lang w:val="en-US" w:eastAsia="zh-CN"/>
        </w:rPr>
        <w:t>工艺废气</w:t>
      </w:r>
      <w:r>
        <w:rPr>
          <w:rFonts w:hint="eastAsia" w:cs="Courier New"/>
          <w:b w:val="0"/>
          <w:color w:val="auto"/>
          <w:highlight w:val="none"/>
          <w:lang w:val="en-US" w:eastAsia="zh-CN"/>
        </w:rPr>
        <w:t>设</w:t>
      </w:r>
      <w:r>
        <w:rPr>
          <w:rFonts w:hint="default" w:ascii="Times New Roman" w:hAnsi="Times New Roman" w:eastAsia="宋体" w:cs="Courier New"/>
          <w:b w:val="0"/>
          <w:color w:val="auto"/>
          <w:highlight w:val="none"/>
          <w:lang w:val="en-US" w:eastAsia="zh-CN"/>
        </w:rPr>
        <w:t>1套二级碱喷淋（自带除雾装置）+</w:t>
      </w:r>
      <w:r>
        <w:rPr>
          <w:rFonts w:hint="eastAsia" w:cs="Courier New"/>
          <w:b w:val="0"/>
          <w:color w:val="auto"/>
          <w:highlight w:val="none"/>
          <w:lang w:val="en-US" w:eastAsia="zh-CN"/>
        </w:rPr>
        <w:t>两级</w:t>
      </w:r>
      <w:r>
        <w:rPr>
          <w:rFonts w:hint="default" w:ascii="Times New Roman" w:hAnsi="Times New Roman" w:eastAsia="宋体" w:cs="Courier New"/>
          <w:b w:val="0"/>
          <w:color w:val="auto"/>
          <w:highlight w:val="none"/>
          <w:lang w:val="en-US" w:eastAsia="zh-CN"/>
        </w:rPr>
        <w:t>活性炭吸附装置</w:t>
      </w:r>
      <w:r>
        <w:rPr>
          <w:rFonts w:hint="eastAsia" w:ascii="Times New Roman" w:hAnsi="Times New Roman"/>
          <w:color w:val="auto"/>
          <w:sz w:val="24"/>
          <w:szCs w:val="24"/>
          <w:lang w:val="en-US" w:eastAsia="zh-CN"/>
        </w:rPr>
        <w:t>，质检废气设1套碱喷淋（自带除雾装置）装置，</w:t>
      </w:r>
      <w:r>
        <w:rPr>
          <w:rFonts w:hint="eastAsia" w:cs="Times New Roman"/>
          <w:b w:val="0"/>
          <w:bCs w:val="0"/>
          <w:color w:val="auto"/>
          <w:highlight w:val="none"/>
          <w:lang w:val="en-US" w:eastAsia="zh-CN"/>
        </w:rPr>
        <w:t>危废暂存间</w:t>
      </w:r>
      <w:r>
        <w:rPr>
          <w:rFonts w:hint="eastAsia" w:ascii="Times New Roman" w:hAnsi="Times New Roman"/>
          <w:color w:val="auto"/>
          <w:sz w:val="24"/>
          <w:szCs w:val="24"/>
          <w:lang w:val="en-US" w:eastAsia="zh-CN"/>
        </w:rPr>
        <w:t>废气设1套活性炭吸附装置，</w:t>
      </w:r>
      <w:r>
        <w:rPr>
          <w:rFonts w:hint="eastAsia" w:cs="Courier New"/>
          <w:b w:val="0"/>
          <w:color w:val="auto"/>
          <w:highlight w:val="none"/>
          <w:lang w:val="en-US" w:eastAsia="zh-CN"/>
        </w:rPr>
        <w:t>上述废气经收集</w:t>
      </w:r>
      <w:r>
        <w:rPr>
          <w:rFonts w:hint="eastAsia" w:ascii="Times New Roman" w:hAnsi="Times New Roman"/>
          <w:color w:val="auto"/>
          <w:sz w:val="24"/>
          <w:szCs w:val="24"/>
        </w:rPr>
        <w:t>处理后</w:t>
      </w:r>
      <w:r>
        <w:rPr>
          <w:rFonts w:hint="eastAsia" w:ascii="Times New Roman" w:hAnsi="Times New Roman"/>
          <w:color w:val="auto"/>
          <w:sz w:val="24"/>
          <w:szCs w:val="24"/>
          <w:lang w:val="en-US" w:eastAsia="zh-CN"/>
        </w:rPr>
        <w:t>均</w:t>
      </w:r>
      <w:r>
        <w:rPr>
          <w:rFonts w:hint="eastAsia" w:ascii="Times New Roman" w:hAnsi="Times New Roman"/>
          <w:color w:val="auto"/>
          <w:sz w:val="24"/>
          <w:szCs w:val="24"/>
        </w:rPr>
        <w:t>可实现达标排放</w:t>
      </w:r>
      <w:r>
        <w:rPr>
          <w:rFonts w:hint="eastAsia"/>
          <w:color w:val="auto"/>
          <w:sz w:val="24"/>
          <w:szCs w:val="24"/>
          <w:lang w:eastAsia="zh-CN"/>
        </w:rPr>
        <w:t>。</w:t>
      </w:r>
      <w:r>
        <w:rPr>
          <w:rFonts w:hint="eastAsia"/>
          <w:color w:val="auto"/>
          <w:sz w:val="24"/>
          <w:szCs w:val="24"/>
          <w:lang w:val="en-US" w:eastAsia="zh-CN"/>
        </w:rPr>
        <w:t>同时，</w:t>
      </w:r>
      <w:r>
        <w:rPr>
          <w:rFonts w:hint="eastAsia"/>
          <w:color w:val="auto"/>
          <w:sz w:val="24"/>
        </w:rPr>
        <w:t>本项目</w:t>
      </w:r>
      <w:r>
        <w:rPr>
          <w:rFonts w:hint="eastAsia"/>
          <w:color w:val="auto"/>
          <w:sz w:val="24"/>
          <w:lang w:val="en-US" w:eastAsia="zh-CN"/>
        </w:rPr>
        <w:t>分别以</w:t>
      </w:r>
      <w:r>
        <w:rPr>
          <w:rFonts w:hint="eastAsia"/>
          <w:color w:val="auto"/>
          <w:szCs w:val="24"/>
          <w:highlight w:val="none"/>
          <w:lang w:val="en-US" w:eastAsia="zh-CN"/>
        </w:rPr>
        <w:t>生产车间、1#罐区、2#罐区及质检室边界</w:t>
      </w:r>
      <w:r>
        <w:rPr>
          <w:rFonts w:hint="eastAsia"/>
          <w:color w:val="auto"/>
          <w:sz w:val="24"/>
          <w:lang w:val="en-US" w:eastAsia="zh-CN"/>
        </w:rPr>
        <w:t>为起点划定50m卫生防护距离，</w:t>
      </w:r>
      <w:r>
        <w:rPr>
          <w:rFonts w:ascii="Times New Roman" w:hAnsi="Times New Roman"/>
          <w:color w:val="auto"/>
          <w:sz w:val="24"/>
        </w:rPr>
        <w:t>卫生防护距离</w:t>
      </w:r>
      <w:r>
        <w:rPr>
          <w:rFonts w:hint="eastAsia" w:ascii="Times New Roman" w:hAnsi="Times New Roman"/>
          <w:color w:val="auto"/>
          <w:sz w:val="24"/>
        </w:rPr>
        <w:t>包络线内不涉及居民住宅、学校、医院及食品、医药等生产企业分布</w:t>
      </w:r>
      <w:r>
        <w:rPr>
          <w:rFonts w:hint="eastAsia" w:ascii="Times New Roman" w:hAnsi="Times New Roman"/>
          <w:color w:val="auto"/>
          <w:sz w:val="24"/>
          <w:szCs w:val="24"/>
        </w:rPr>
        <w:t>，外环境满足本项目卫生防护距离要求。</w:t>
      </w:r>
    </w:p>
    <w:p w14:paraId="3A3CA763">
      <w:pPr>
        <w:spacing w:line="360" w:lineRule="auto"/>
        <w:ind w:left="0" w:leftChars="0" w:firstLine="480" w:firstLineChars="200"/>
        <w:rPr>
          <w:rFonts w:ascii="Times New Roman" w:hAnsi="Times New Roman"/>
          <w:b w:val="0"/>
          <w:bCs/>
          <w:color w:val="auto"/>
          <w:sz w:val="24"/>
          <w:szCs w:val="24"/>
        </w:rPr>
      </w:pPr>
      <w:r>
        <w:rPr>
          <w:rFonts w:ascii="Times New Roman" w:hAnsi="Times New Roman"/>
          <w:b w:val="0"/>
          <w:bCs/>
          <w:color w:val="auto"/>
          <w:sz w:val="24"/>
          <w:szCs w:val="24"/>
        </w:rPr>
        <w:t>综上所述</w:t>
      </w:r>
      <w:r>
        <w:rPr>
          <w:rFonts w:hint="eastAsia" w:ascii="Times New Roman" w:hAnsi="Times New Roman"/>
          <w:b w:val="0"/>
          <w:bCs/>
          <w:color w:val="auto"/>
          <w:sz w:val="24"/>
          <w:szCs w:val="24"/>
        </w:rPr>
        <w:t>，</w:t>
      </w:r>
      <w:r>
        <w:rPr>
          <w:rFonts w:ascii="Times New Roman" w:hAnsi="Times New Roman"/>
          <w:b w:val="0"/>
          <w:bCs/>
          <w:color w:val="auto"/>
          <w:sz w:val="24"/>
          <w:szCs w:val="24"/>
        </w:rPr>
        <w:t>本项目采取的废气治理措施</w:t>
      </w:r>
      <w:r>
        <w:rPr>
          <w:rFonts w:hint="eastAsia" w:ascii="Times New Roman" w:hAnsi="Times New Roman"/>
          <w:b w:val="0"/>
          <w:bCs/>
          <w:color w:val="auto"/>
          <w:sz w:val="24"/>
          <w:szCs w:val="24"/>
        </w:rPr>
        <w:t>技术可靠</w:t>
      </w:r>
      <w:r>
        <w:rPr>
          <w:rFonts w:hint="eastAsia" w:ascii="Times New Roman" w:hAnsi="Times New Roman"/>
          <w:b w:val="0"/>
          <w:bCs/>
          <w:color w:val="auto"/>
          <w:sz w:val="24"/>
          <w:szCs w:val="24"/>
          <w:lang w:eastAsia="zh-CN"/>
        </w:rPr>
        <w:t>、</w:t>
      </w:r>
      <w:r>
        <w:rPr>
          <w:rFonts w:hint="eastAsia" w:ascii="Times New Roman" w:hAnsi="Times New Roman"/>
          <w:b w:val="0"/>
          <w:bCs/>
          <w:color w:val="auto"/>
          <w:sz w:val="24"/>
          <w:szCs w:val="24"/>
          <w:lang w:val="en-US" w:eastAsia="zh-CN"/>
        </w:rPr>
        <w:t>经济可行</w:t>
      </w:r>
      <w:r>
        <w:rPr>
          <w:rFonts w:hint="eastAsia" w:ascii="Times New Roman" w:hAnsi="Times New Roman"/>
          <w:b w:val="0"/>
          <w:bCs/>
          <w:color w:val="auto"/>
          <w:sz w:val="24"/>
          <w:szCs w:val="24"/>
          <w:lang w:eastAsia="zh-CN"/>
        </w:rPr>
        <w:t>，</w:t>
      </w:r>
      <w:r>
        <w:rPr>
          <w:rFonts w:hint="eastAsia" w:ascii="Times New Roman" w:hAnsi="Times New Roman"/>
          <w:b w:val="0"/>
          <w:bCs/>
          <w:color w:val="auto"/>
          <w:sz w:val="24"/>
          <w:szCs w:val="24"/>
        </w:rPr>
        <w:t>各废气治理措施均为目前国内先进的</w:t>
      </w:r>
      <w:r>
        <w:rPr>
          <w:rFonts w:hint="eastAsia" w:ascii="Times New Roman" w:hAnsi="Times New Roman"/>
          <w:b w:val="0"/>
          <w:bCs/>
          <w:color w:val="auto"/>
          <w:sz w:val="24"/>
          <w:szCs w:val="24"/>
          <w:lang w:val="en-US" w:eastAsia="zh-CN"/>
        </w:rPr>
        <w:t>同类型</w:t>
      </w:r>
      <w:r>
        <w:rPr>
          <w:rFonts w:hint="eastAsia" w:ascii="Times New Roman" w:hAnsi="Times New Roman"/>
          <w:b w:val="0"/>
          <w:bCs/>
          <w:color w:val="auto"/>
          <w:sz w:val="24"/>
          <w:szCs w:val="24"/>
        </w:rPr>
        <w:t>企业普遍采用的成熟工艺。因此，项目废气治理措施从环保、技术、经济角度可行。</w:t>
      </w:r>
    </w:p>
    <w:p w14:paraId="1A2F66D3">
      <w:pPr>
        <w:pStyle w:val="29"/>
        <w:ind w:left="0" w:leftChars="0" w:firstLine="482" w:firstLineChars="200"/>
        <w:rPr>
          <w:color w:val="auto"/>
        </w:rPr>
      </w:pPr>
      <w:r>
        <w:rPr>
          <w:rFonts w:hint="eastAsia"/>
          <w:color w:val="auto"/>
        </w:rPr>
        <w:t>2、废水</w:t>
      </w:r>
    </w:p>
    <w:p w14:paraId="3761E3F8">
      <w:pPr>
        <w:pStyle w:val="26"/>
        <w:bidi w:val="0"/>
        <w:rPr>
          <w:rFonts w:hint="eastAsia" w:cs="Times New Roman"/>
          <w:color w:val="auto"/>
          <w:sz w:val="24"/>
          <w:szCs w:val="24"/>
          <w:lang w:val="en-US" w:eastAsia="zh-CN"/>
        </w:rPr>
      </w:pPr>
      <w:r>
        <w:rPr>
          <w:rFonts w:hint="eastAsia"/>
          <w:color w:val="auto"/>
          <w:highlight w:val="none"/>
          <w:lang w:val="en-US" w:eastAsia="zh-CN"/>
        </w:rPr>
        <w:t>本项目废水包括其余器皿三次后清洗废水、车间地面清洁废水、反冲洗废水、循环排污水、喷淋废水、生活污水和初期雨水，其中</w:t>
      </w:r>
      <w:r>
        <w:rPr>
          <w:rFonts w:hint="eastAsia" w:cs="Times New Roman"/>
          <w:color w:val="auto"/>
          <w:sz w:val="24"/>
          <w:szCs w:val="24"/>
          <w:lang w:val="en-US" w:eastAsia="zh-CN"/>
        </w:rPr>
        <w:t>初期雨水（先经</w:t>
      </w:r>
      <w:r>
        <w:rPr>
          <w:rFonts w:hint="default" w:ascii="Times New Roman" w:hAnsi="Times New Roman" w:cs="Times New Roman"/>
          <w:color w:val="auto"/>
          <w:lang w:val="en-US" w:eastAsia="zh-CN"/>
        </w:rPr>
        <w:t>1</w:t>
      </w:r>
      <w:r>
        <w:rPr>
          <w:rFonts w:hint="eastAsia" w:cs="Times New Roman"/>
          <w:color w:val="auto"/>
          <w:lang w:val="en-US" w:eastAsia="zh-CN"/>
        </w:rPr>
        <w:t>座191.3</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初期雨水池</w:t>
      </w:r>
      <w:r>
        <w:rPr>
          <w:rFonts w:hint="eastAsia" w:cs="Times New Roman"/>
          <w:color w:val="auto"/>
          <w:lang w:val="en-US" w:eastAsia="zh-CN"/>
        </w:rPr>
        <w:t>收集后</w:t>
      </w:r>
      <w:r>
        <w:rPr>
          <w:rFonts w:hint="eastAsia" w:cs="Times New Roman"/>
          <w:color w:val="auto"/>
          <w:sz w:val="24"/>
          <w:szCs w:val="24"/>
          <w:lang w:val="en-US" w:eastAsia="zh-CN"/>
        </w:rPr>
        <w:t>）、</w:t>
      </w:r>
      <w:r>
        <w:rPr>
          <w:rFonts w:hint="eastAsia"/>
          <w:color w:val="auto"/>
          <w:highlight w:val="none"/>
          <w:lang w:val="en-US" w:eastAsia="zh-CN"/>
        </w:rPr>
        <w:t>其余器皿三次后清洗废水、车间地面清洁废水（先经</w:t>
      </w:r>
      <w:r>
        <w:rPr>
          <w:rFonts w:hint="eastAsia" w:ascii="Times New Roman" w:hAnsi="Times New Roman" w:eastAsia="宋体" w:cs="Courier New"/>
          <w:b w:val="0"/>
          <w:color w:val="auto"/>
          <w:highlight w:val="none"/>
          <w:lang w:val="en-US" w:eastAsia="zh-CN"/>
        </w:rPr>
        <w:t>1</w:t>
      </w:r>
      <w:r>
        <w:rPr>
          <w:rFonts w:hint="eastAsia" w:cs="Courier New"/>
          <w:b w:val="0"/>
          <w:color w:val="auto"/>
          <w:highlight w:val="none"/>
          <w:lang w:val="en-US" w:eastAsia="zh-CN"/>
        </w:rPr>
        <w:t>座85</w:t>
      </w:r>
      <w:r>
        <w:rPr>
          <w:rFonts w:hint="eastAsia" w:ascii="Times New Roman" w:hAnsi="Times New Roman" w:eastAsia="宋体" w:cs="Courier New"/>
          <w:b w:val="0"/>
          <w:color w:val="auto"/>
          <w:highlight w:val="none"/>
          <w:lang w:val="en-US" w:eastAsia="zh-CN"/>
        </w:rPr>
        <w:t>m</w:t>
      </w:r>
      <w:r>
        <w:rPr>
          <w:rFonts w:hint="eastAsia" w:ascii="Times New Roman" w:hAnsi="Times New Roman" w:eastAsia="宋体" w:cs="Courier New"/>
          <w:b w:val="0"/>
          <w:color w:val="auto"/>
          <w:highlight w:val="none"/>
          <w:vertAlign w:val="superscript"/>
          <w:lang w:val="en-US" w:eastAsia="zh-CN"/>
        </w:rPr>
        <w:t>3</w:t>
      </w:r>
      <w:r>
        <w:rPr>
          <w:rFonts w:hint="eastAsia" w:cs="Courier New"/>
          <w:b w:val="0"/>
          <w:color w:val="auto"/>
          <w:highlight w:val="none"/>
          <w:lang w:val="en-US" w:eastAsia="zh-CN"/>
        </w:rPr>
        <w:t>沉淀池沉淀后</w:t>
      </w:r>
      <w:r>
        <w:rPr>
          <w:rFonts w:hint="eastAsia"/>
          <w:color w:val="auto"/>
          <w:highlight w:val="none"/>
          <w:lang w:val="en-US" w:eastAsia="zh-CN"/>
        </w:rPr>
        <w:t>）、</w:t>
      </w:r>
      <w:r>
        <w:rPr>
          <w:rFonts w:hint="eastAsia" w:cs="Times New Roman"/>
          <w:color w:val="auto"/>
          <w:sz w:val="24"/>
          <w:szCs w:val="24"/>
          <w:lang w:val="en-US" w:eastAsia="zh-CN"/>
        </w:rPr>
        <w:t>反冲洗废水、循环排污水、喷淋废水</w:t>
      </w:r>
      <w:r>
        <w:rPr>
          <w:rFonts w:hint="eastAsia"/>
          <w:color w:val="auto"/>
          <w:highlight w:val="none"/>
          <w:lang w:val="en-US" w:eastAsia="zh-CN"/>
        </w:rPr>
        <w:t>作为回用水用于高性能聚羧酸减水剂复配。运营期外排废水为生活污水，</w:t>
      </w:r>
      <w:r>
        <w:rPr>
          <w:rFonts w:hint="eastAsia" w:ascii="Times New Roman" w:hAnsi="Times New Roman" w:eastAsia="宋体" w:cs="Times New Roman"/>
          <w:color w:val="auto"/>
          <w:sz w:val="24"/>
          <w:szCs w:val="24"/>
          <w:lang w:val="en-US" w:eastAsia="zh-CN"/>
        </w:rPr>
        <w:t>生活污水经预处理池</w:t>
      </w:r>
      <w:r>
        <w:rPr>
          <w:rFonts w:hint="eastAsia" w:cs="Times New Roman"/>
          <w:color w:val="auto"/>
          <w:sz w:val="24"/>
          <w:szCs w:val="24"/>
          <w:lang w:val="en-US" w:eastAsia="zh-CN"/>
        </w:rPr>
        <w:t>处理达到</w:t>
      </w:r>
      <w:r>
        <w:rPr>
          <w:rFonts w:hint="eastAsia"/>
          <w:color w:val="auto"/>
          <w:sz w:val="24"/>
          <w:lang w:val="en-US" w:eastAsia="zh-CN"/>
        </w:rPr>
        <w:t>《四川省化工园区水污染物排放标准》（DB51/3202-2024）表1中间接排放标准</w:t>
      </w:r>
      <w:r>
        <w:rPr>
          <w:rFonts w:hint="eastAsia" w:cs="Times New Roman"/>
          <w:color w:val="auto"/>
          <w:sz w:val="24"/>
          <w:szCs w:val="24"/>
          <w:lang w:val="en-US" w:eastAsia="zh-CN"/>
        </w:rPr>
        <w:t>后</w:t>
      </w:r>
      <w:r>
        <w:rPr>
          <w:rFonts w:hint="eastAsia"/>
          <w:color w:val="auto"/>
          <w:highlight w:val="none"/>
          <w:lang w:val="en-US" w:eastAsia="zh-CN"/>
        </w:rPr>
        <w:t>通过园区污水管网排入通江县秋锦山产业园区综合污水处理厂进一步处理。</w:t>
      </w:r>
    </w:p>
    <w:p w14:paraId="6469EFDD">
      <w:pPr>
        <w:pStyle w:val="26"/>
        <w:bidi w:val="0"/>
        <w:ind w:left="0" w:leftChars="0" w:firstLine="480" w:firstLineChars="200"/>
        <w:rPr>
          <w:rFonts w:hint="eastAsia"/>
          <w:color w:val="auto"/>
          <w:lang w:val="en-US" w:eastAsia="zh-CN"/>
        </w:rPr>
      </w:pPr>
      <w:r>
        <w:rPr>
          <w:rFonts w:hint="eastAsia"/>
          <w:color w:val="auto"/>
          <w:lang w:val="en-US" w:eastAsia="zh-CN"/>
        </w:rPr>
        <w:t>根据四川巴中经济开发区通江园区管理委员会《关于巴中曾口-金堂化工园区金堂区块聚羧酸减水剂和无碱速凝剂生产项目污水处理的情况说明》可知，通江县秋锦山产业园区综合污水处理厂目前正在进行设备安装，预计2026年8月建成投运。</w:t>
      </w:r>
    </w:p>
    <w:p w14:paraId="75FA674A">
      <w:pPr>
        <w:spacing w:line="360" w:lineRule="auto"/>
        <w:ind w:left="0" w:leftChars="0" w:firstLine="480" w:firstLineChars="200"/>
        <w:rPr>
          <w:rFonts w:ascii="Times New Roman" w:hAnsi="Times New Roman"/>
          <w:color w:val="auto"/>
          <w:sz w:val="24"/>
          <w:szCs w:val="24"/>
        </w:rPr>
      </w:pPr>
      <w:r>
        <w:rPr>
          <w:rFonts w:hint="eastAsia"/>
          <w:color w:val="auto"/>
          <w:lang w:val="en-US" w:eastAsia="zh-CN"/>
        </w:rPr>
        <w:t>本项目计划于2026年7月开工建设，2027年1月建成投产，</w:t>
      </w:r>
      <w:r>
        <w:rPr>
          <w:rFonts w:hint="eastAsia"/>
          <w:b w:val="0"/>
          <w:bCs w:val="0"/>
          <w:color w:val="auto"/>
          <w:lang w:val="en-US" w:eastAsia="zh-CN"/>
        </w:rPr>
        <w:t>环评要求：为确保项目外排废水得到可靠有效的处理，在通江县秋锦山产业园区综合污水处理厂建成投运前，本项目不得投产。同时，建设单位应尽快与污水处理厂业主单位签订污水接纳协议，确保项目外排废水得到有效处理。</w:t>
      </w:r>
    </w:p>
    <w:p w14:paraId="048919DA">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根据分析，本项目污水处理</w:t>
      </w:r>
      <w:r>
        <w:rPr>
          <w:rFonts w:hint="eastAsia" w:ascii="Times New Roman" w:hAnsi="Times New Roman"/>
          <w:color w:val="auto"/>
          <w:sz w:val="24"/>
          <w:szCs w:val="24"/>
          <w:lang w:val="en-US" w:eastAsia="zh-CN"/>
        </w:rPr>
        <w:t>设施</w:t>
      </w:r>
      <w:r>
        <w:rPr>
          <w:rFonts w:hint="eastAsia" w:ascii="Times New Roman" w:hAnsi="Times New Roman"/>
          <w:color w:val="auto"/>
          <w:sz w:val="24"/>
          <w:szCs w:val="24"/>
        </w:rPr>
        <w:t>的设计处理能力以及处理工艺均满足全厂废水的处理需求，废水治理措施从环保角度可行。</w:t>
      </w:r>
    </w:p>
    <w:p w14:paraId="015F1D5B">
      <w:pPr>
        <w:pStyle w:val="29"/>
        <w:ind w:left="0" w:leftChars="0" w:firstLine="482" w:firstLineChars="200"/>
        <w:rPr>
          <w:color w:val="auto"/>
        </w:rPr>
      </w:pPr>
      <w:r>
        <w:rPr>
          <w:rFonts w:hint="eastAsia"/>
          <w:color w:val="auto"/>
          <w:lang w:val="en-US" w:eastAsia="zh-CN"/>
        </w:rPr>
        <w:t>3</w:t>
      </w:r>
      <w:r>
        <w:rPr>
          <w:rFonts w:hint="eastAsia"/>
          <w:color w:val="auto"/>
        </w:rPr>
        <w:t>、噪声</w:t>
      </w:r>
    </w:p>
    <w:p w14:paraId="468DE5E4">
      <w:pPr>
        <w:pStyle w:val="26"/>
        <w:bidi w:val="0"/>
        <w:rPr>
          <w:rFonts w:ascii="Times New Roman" w:hAnsi="Times New Roman"/>
          <w:color w:val="auto"/>
          <w:sz w:val="24"/>
          <w:szCs w:val="24"/>
        </w:rPr>
      </w:pPr>
      <w:r>
        <w:rPr>
          <w:rFonts w:hint="eastAsia" w:ascii="Times New Roman" w:hAnsi="Times New Roman"/>
          <w:color w:val="auto"/>
          <w:sz w:val="24"/>
          <w:szCs w:val="24"/>
        </w:rPr>
        <w:t>本项目主要噪声源来自各</w:t>
      </w:r>
      <w:r>
        <w:rPr>
          <w:rFonts w:hint="eastAsia" w:ascii="Times New Roman" w:hAnsi="Times New Roman"/>
          <w:color w:val="auto"/>
          <w:sz w:val="24"/>
          <w:szCs w:val="24"/>
          <w:lang w:val="en-US" w:eastAsia="zh-CN"/>
        </w:rPr>
        <w:t>厂房</w:t>
      </w:r>
      <w:r>
        <w:rPr>
          <w:rFonts w:hint="eastAsia"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lang w:val="en-US" w:eastAsia="zh-CN"/>
        </w:rPr>
        <w:t>设备运行噪声、各类泵机及风机等辅助设备运行噪声</w:t>
      </w:r>
      <w:r>
        <w:rPr>
          <w:rFonts w:hint="eastAsia" w:ascii="Times New Roman" w:hAnsi="Times New Roman"/>
          <w:color w:val="auto"/>
          <w:sz w:val="24"/>
          <w:szCs w:val="24"/>
        </w:rPr>
        <w:t>，噪声源强</w:t>
      </w:r>
      <w:r>
        <w:rPr>
          <w:rFonts w:hint="eastAsia" w:ascii="Times New Roman" w:hAnsi="Times New Roman"/>
          <w:color w:val="auto"/>
          <w:sz w:val="24"/>
          <w:szCs w:val="24"/>
          <w:lang w:val="en-US" w:eastAsia="zh-CN"/>
        </w:rPr>
        <w:t>6</w:t>
      </w:r>
      <w:r>
        <w:rPr>
          <w:rFonts w:ascii="Times New Roman" w:hAnsi="Times New Roman"/>
          <w:color w:val="auto"/>
          <w:sz w:val="24"/>
          <w:szCs w:val="24"/>
        </w:rPr>
        <w:t>0</w:t>
      </w:r>
      <w:r>
        <w:rPr>
          <w:rFonts w:hint="eastAsia" w:ascii="Times New Roman" w:hAnsi="Times New Roman"/>
          <w:color w:val="auto"/>
          <w:sz w:val="24"/>
          <w:szCs w:val="24"/>
        </w:rPr>
        <w:t>~</w:t>
      </w:r>
      <w:r>
        <w:rPr>
          <w:rFonts w:ascii="Times New Roman" w:hAnsi="Times New Roman"/>
          <w:color w:val="auto"/>
          <w:sz w:val="24"/>
          <w:szCs w:val="24"/>
        </w:rPr>
        <w:t>95</w:t>
      </w:r>
      <w:r>
        <w:rPr>
          <w:rFonts w:hint="eastAsia" w:ascii="Times New Roman" w:hAnsi="Times New Roman"/>
          <w:color w:val="auto"/>
          <w:sz w:val="24"/>
          <w:szCs w:val="24"/>
        </w:rPr>
        <w:t>dB（A）之间</w:t>
      </w:r>
      <w:r>
        <w:rPr>
          <w:rFonts w:hint="eastAsia" w:ascii="Times New Roman" w:hAnsi="Times New Roman"/>
          <w:color w:val="auto"/>
          <w:sz w:val="24"/>
          <w:szCs w:val="24"/>
          <w:lang w:eastAsia="zh-CN"/>
        </w:rPr>
        <w:t>。</w:t>
      </w:r>
      <w:r>
        <w:rPr>
          <w:rFonts w:hint="eastAsia" w:ascii="Times New Roman" w:hAnsi="Times New Roman"/>
          <w:color w:val="auto"/>
          <w:sz w:val="24"/>
          <w:szCs w:val="24"/>
        </w:rPr>
        <w:t>本</w:t>
      </w:r>
      <w:r>
        <w:rPr>
          <w:rFonts w:ascii="Times New Roman" w:hAnsi="Times New Roman"/>
          <w:color w:val="auto"/>
          <w:sz w:val="24"/>
          <w:szCs w:val="24"/>
        </w:rPr>
        <w:t>项目主要从以下几个方面进行噪声控制</w:t>
      </w:r>
      <w:r>
        <w:rPr>
          <w:rFonts w:hint="eastAsia" w:ascii="Times New Roman" w:hAnsi="Times New Roman"/>
          <w:color w:val="auto"/>
          <w:sz w:val="24"/>
          <w:szCs w:val="24"/>
        </w:rPr>
        <w:t>：</w:t>
      </w:r>
      <w:r>
        <w:rPr>
          <w:rFonts w:hint="eastAsia" w:ascii="Times New Roman" w:hAnsi="Times New Roman" w:eastAsia="宋体" w:cs="Times New Roman"/>
          <w:color w:val="auto"/>
          <w:sz w:val="24"/>
          <w:szCs w:val="24"/>
          <w:highlight w:val="none"/>
          <w:lang w:val="en-US" w:eastAsia="zh-CN"/>
        </w:rPr>
        <w:t>选用低噪声设备，定期进行设备检修，保证设备正常运行，减少故障性噪声排放概率</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合理进行设备布局，</w:t>
      </w:r>
      <w:r>
        <w:rPr>
          <w:rFonts w:hint="eastAsia" w:cs="Times New Roman"/>
          <w:color w:val="auto"/>
          <w:sz w:val="24"/>
          <w:szCs w:val="24"/>
          <w:highlight w:val="none"/>
          <w:lang w:val="en-US" w:eastAsia="zh-CN"/>
        </w:rPr>
        <w:t>生产设备均布置于室内，底部采取基础减振措施，并利用墙体隔声；</w:t>
      </w:r>
      <w:r>
        <w:rPr>
          <w:rFonts w:hint="eastAsia"/>
          <w:color w:val="auto"/>
          <w:lang w:val="en-US" w:eastAsia="zh-CN"/>
        </w:rPr>
        <w:t>空压机组、软水机组、电蒸汽发生器均设置于密闭设备间内，且空压机组采用螺杆式空压机，从源头控制噪声源强；</w:t>
      </w:r>
      <w:r>
        <w:rPr>
          <w:rFonts w:hint="eastAsia" w:ascii="Times New Roman" w:hAnsi="Times New Roman" w:eastAsia="宋体" w:cs="Times New Roman"/>
          <w:color w:val="auto"/>
          <w:sz w:val="24"/>
          <w:szCs w:val="24"/>
          <w:highlight w:val="none"/>
          <w:lang w:val="en-US" w:eastAsia="zh-CN"/>
        </w:rPr>
        <w:t>风机安装消声器，管道进出口采用柔性连接。</w:t>
      </w:r>
    </w:p>
    <w:p w14:paraId="6046CB1B">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rPr>
        <w:t>根据噪声预测结果</w:t>
      </w:r>
      <w:r>
        <w:rPr>
          <w:rFonts w:hint="eastAsia" w:ascii="Times New Roman" w:hAnsi="Times New Roman"/>
          <w:color w:val="auto"/>
          <w:sz w:val="24"/>
          <w:szCs w:val="24"/>
          <w:lang w:val="en-US" w:eastAsia="zh-CN"/>
        </w:rPr>
        <w:t>可知</w:t>
      </w:r>
      <w:r>
        <w:rPr>
          <w:rFonts w:hint="eastAsia" w:ascii="Times New Roman" w:hAnsi="Times New Roman"/>
          <w:color w:val="auto"/>
          <w:sz w:val="24"/>
          <w:szCs w:val="24"/>
        </w:rPr>
        <w:t>，</w:t>
      </w:r>
      <w:r>
        <w:rPr>
          <w:rFonts w:hint="eastAsia"/>
          <w:color w:val="auto"/>
          <w:highlight w:val="none"/>
        </w:rPr>
        <w:t>厂界各预测点噪声均满足《工业企业厂界环境噪声排放标准》（GB12348-2008）</w:t>
      </w:r>
      <w:r>
        <w:rPr>
          <w:color w:val="auto"/>
          <w:highlight w:val="none"/>
        </w:rPr>
        <w:t>3</w:t>
      </w:r>
      <w:r>
        <w:rPr>
          <w:rFonts w:hint="eastAsia"/>
          <w:color w:val="auto"/>
          <w:highlight w:val="none"/>
        </w:rPr>
        <w:t>类标准，实现达标排放</w:t>
      </w:r>
      <w:r>
        <w:rPr>
          <w:rFonts w:hint="eastAsia"/>
          <w:color w:val="auto"/>
          <w:highlight w:val="none"/>
          <w:lang w:eastAsia="zh-CN"/>
        </w:rPr>
        <w:t>，</w:t>
      </w:r>
      <w:r>
        <w:rPr>
          <w:rFonts w:hint="eastAsia"/>
          <w:color w:val="auto"/>
          <w:highlight w:val="none"/>
          <w:lang w:val="en-US" w:eastAsia="zh-CN"/>
        </w:rPr>
        <w:t>且声环境保护目标处噪声能满足</w:t>
      </w:r>
      <w:r>
        <w:rPr>
          <w:rFonts w:hint="eastAsia"/>
          <w:color w:val="auto"/>
          <w:highlight w:val="none"/>
          <w:lang w:eastAsia="zh-CN"/>
        </w:rPr>
        <w:t>《声环境质量标准》（GB3096-2008）2类标准</w:t>
      </w:r>
      <w:r>
        <w:rPr>
          <w:rFonts w:hint="eastAsia" w:ascii="Times New Roman" w:hAnsi="Times New Roman" w:cs="Times New Roman"/>
          <w:color w:val="auto"/>
          <w:sz w:val="24"/>
          <w:szCs w:val="24"/>
        </w:rPr>
        <w:t>，治理措施可行。</w:t>
      </w:r>
    </w:p>
    <w:p w14:paraId="5321BC9C">
      <w:pPr>
        <w:pStyle w:val="29"/>
        <w:ind w:left="0" w:leftChars="0" w:firstLine="482" w:firstLineChars="200"/>
        <w:rPr>
          <w:color w:val="auto"/>
        </w:rPr>
      </w:pPr>
      <w:r>
        <w:rPr>
          <w:rFonts w:hint="eastAsia"/>
          <w:color w:val="auto"/>
          <w:lang w:val="en-US" w:eastAsia="zh-CN"/>
        </w:rPr>
        <w:t>4</w:t>
      </w:r>
      <w:r>
        <w:rPr>
          <w:rFonts w:hint="eastAsia"/>
          <w:color w:val="auto"/>
        </w:rPr>
        <w:t>、固体废物</w:t>
      </w:r>
    </w:p>
    <w:p w14:paraId="785004A6">
      <w:pPr>
        <w:spacing w:line="360" w:lineRule="auto"/>
        <w:ind w:left="0"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采取本报告中提出各类固体废物治理措施后，各类固体废物去向明确，可得到资源化利用或无害化处置，防止对周围环境造成二次污染。</w:t>
      </w:r>
    </w:p>
    <w:p w14:paraId="539EBD34">
      <w:pPr>
        <w:pStyle w:val="29"/>
        <w:ind w:left="0" w:leftChars="0" w:firstLine="482" w:firstLineChars="200"/>
        <w:rPr>
          <w:color w:val="auto"/>
        </w:rPr>
      </w:pPr>
      <w:r>
        <w:rPr>
          <w:rFonts w:hint="eastAsia"/>
          <w:color w:val="auto"/>
          <w:lang w:val="en-US" w:eastAsia="zh-CN"/>
        </w:rPr>
        <w:t>5</w:t>
      </w:r>
      <w:r>
        <w:rPr>
          <w:rFonts w:hint="eastAsia"/>
          <w:color w:val="auto"/>
        </w:rPr>
        <w:t>、地下水污染防治</w:t>
      </w:r>
    </w:p>
    <w:p w14:paraId="0E3C47EC">
      <w:pPr>
        <w:spacing w:line="360" w:lineRule="auto"/>
        <w:ind w:left="0" w:leftChars="0"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本</w:t>
      </w:r>
      <w:r>
        <w:rPr>
          <w:rFonts w:hint="eastAsia" w:ascii="Times New Roman" w:hAnsi="Times New Roman"/>
          <w:color w:val="auto"/>
          <w:sz w:val="24"/>
          <w:szCs w:val="24"/>
        </w:rPr>
        <w:t>项目采取的防渗措施满足《环境影响评价技术导则 地下水环境》（HJ610-2016）中防渗技术要求，</w:t>
      </w:r>
      <w:r>
        <w:rPr>
          <w:rFonts w:hint="eastAsia" w:ascii="Times New Roman" w:hAnsi="Times New Roman"/>
          <w:color w:val="auto"/>
          <w:sz w:val="24"/>
        </w:rPr>
        <w:t>正常状况下由于采取了严格的防渗措施，污染物不会发生渗漏对地下水造成污染；</w:t>
      </w:r>
      <w:r>
        <w:rPr>
          <w:rFonts w:hint="eastAsia"/>
          <w:color w:val="auto"/>
          <w:highlight w:val="none"/>
        </w:rPr>
        <w:t>非正常状况下将对下游地下水局部水质造成污染</w:t>
      </w:r>
      <w:r>
        <w:rPr>
          <w:rFonts w:hint="eastAsia" w:ascii="Times New Roman" w:hAnsi="Times New Roman"/>
          <w:color w:val="auto"/>
          <w:sz w:val="24"/>
        </w:rPr>
        <w:t>。建设单位在严格按照本环评提出的污染防控措施建设、落实地下水环境监测与管理要求、制定地下水污染应急响应</w:t>
      </w:r>
      <w:r>
        <w:rPr>
          <w:rFonts w:hint="eastAsia"/>
          <w:color w:val="auto"/>
          <w:sz w:val="24"/>
          <w:lang w:val="en-US" w:eastAsia="zh-CN"/>
        </w:rPr>
        <w:t>应</w:t>
      </w:r>
      <w:r>
        <w:rPr>
          <w:rFonts w:hint="eastAsia" w:ascii="Times New Roman" w:hAnsi="Times New Roman"/>
          <w:color w:val="auto"/>
          <w:sz w:val="24"/>
          <w:lang w:val="en-US" w:eastAsia="zh-CN"/>
        </w:rPr>
        <w:t>急</w:t>
      </w:r>
      <w:r>
        <w:rPr>
          <w:rFonts w:hint="eastAsia" w:ascii="Times New Roman" w:hAnsi="Times New Roman"/>
          <w:color w:val="auto"/>
          <w:sz w:val="24"/>
        </w:rPr>
        <w:t>预案的基础上，项目建设对区域地下水环境是可接受的。</w:t>
      </w:r>
    </w:p>
    <w:p w14:paraId="2CEF487A">
      <w:pPr>
        <w:pStyle w:val="29"/>
        <w:ind w:left="0" w:leftChars="0" w:firstLine="482" w:firstLineChars="200"/>
        <w:rPr>
          <w:color w:val="auto"/>
        </w:rPr>
      </w:pPr>
      <w:r>
        <w:rPr>
          <w:rFonts w:hint="eastAsia"/>
          <w:color w:val="auto"/>
          <w:lang w:val="en-US" w:eastAsia="zh-CN"/>
        </w:rPr>
        <w:t>6</w:t>
      </w:r>
      <w:r>
        <w:rPr>
          <w:rFonts w:hint="eastAsia"/>
          <w:color w:val="auto"/>
        </w:rPr>
        <w:t>、土壤环境保护措施</w:t>
      </w:r>
    </w:p>
    <w:p w14:paraId="3908301B">
      <w:pPr>
        <w:pStyle w:val="26"/>
        <w:bidi w:val="0"/>
        <w:rPr>
          <w:rFonts w:hint="eastAsia"/>
          <w:color w:val="auto"/>
          <w:highlight w:val="none"/>
          <w:lang w:val="en-US" w:eastAsia="zh-CN"/>
        </w:rPr>
      </w:pPr>
      <w:r>
        <w:rPr>
          <w:rFonts w:hint="eastAsia" w:ascii="Times New Roman" w:hAnsi="Times New Roman"/>
          <w:color w:val="auto"/>
          <w:sz w:val="24"/>
          <w:szCs w:val="24"/>
        </w:rPr>
        <w:t>本项目土壤影响途径包括大气沉降、地面漫流和垂直入渗，</w:t>
      </w:r>
      <w:r>
        <w:rPr>
          <w:rFonts w:ascii="Times New Roman" w:hAnsi="Times New Roman"/>
          <w:color w:val="auto"/>
          <w:sz w:val="24"/>
          <w:szCs w:val="24"/>
        </w:rPr>
        <w:t>正常工况下排放污染物对土壤环境</w:t>
      </w:r>
      <w:r>
        <w:rPr>
          <w:rFonts w:hint="eastAsia"/>
          <w:color w:val="auto"/>
          <w:sz w:val="24"/>
          <w:szCs w:val="24"/>
          <w:lang w:val="en-US" w:eastAsia="zh-CN"/>
        </w:rPr>
        <w:t>影响较小，发生非正常状况后，土壤中污染物</w:t>
      </w:r>
      <w:r>
        <w:rPr>
          <w:rFonts w:hint="eastAsia" w:ascii="Times New Roman" w:hAnsi="Times New Roman"/>
          <w:color w:val="auto"/>
          <w:sz w:val="24"/>
          <w:szCs w:val="24"/>
        </w:rPr>
        <w:t>增量很小，预测值满足相应标准要求</w:t>
      </w:r>
      <w:r>
        <w:rPr>
          <w:rFonts w:hint="eastAsia"/>
          <w:color w:val="auto"/>
          <w:sz w:val="24"/>
          <w:szCs w:val="24"/>
          <w:lang w:eastAsia="zh-CN"/>
        </w:rPr>
        <w:t>。</w:t>
      </w:r>
      <w:r>
        <w:rPr>
          <w:rFonts w:hint="eastAsia"/>
          <w:color w:val="auto"/>
          <w:sz w:val="24"/>
          <w:szCs w:val="24"/>
          <w:lang w:val="en-US" w:eastAsia="zh-CN"/>
        </w:rPr>
        <w:t>本项目</w:t>
      </w:r>
      <w:r>
        <w:rPr>
          <w:rFonts w:hint="eastAsia" w:ascii="Times New Roman" w:hAnsi="Times New Roman"/>
          <w:color w:val="auto"/>
          <w:sz w:val="24"/>
          <w:szCs w:val="24"/>
        </w:rPr>
        <w:t>主要从“源头控制”、“过程防控”和“跟踪监测”等方面保护土壤环境，</w:t>
      </w:r>
      <w:r>
        <w:rPr>
          <w:rFonts w:hint="eastAsia"/>
          <w:color w:val="auto"/>
          <w:sz w:val="24"/>
          <w:szCs w:val="24"/>
          <w:lang w:val="en-US" w:eastAsia="zh-CN"/>
        </w:rPr>
        <w:t>且</w:t>
      </w:r>
      <w:r>
        <w:rPr>
          <w:rFonts w:hint="eastAsia" w:ascii="Times New Roman" w:hAnsi="Times New Roman"/>
          <w:color w:val="auto"/>
          <w:sz w:val="24"/>
          <w:szCs w:val="24"/>
        </w:rPr>
        <w:t>通过对厂区土壤定期监测，可及时发现土壤污染，并采取有效的污染防控措施。</w:t>
      </w:r>
    </w:p>
    <w:p w14:paraId="1860567A">
      <w:pPr>
        <w:pStyle w:val="4"/>
        <w:bidi w:val="0"/>
        <w:rPr>
          <w:color w:val="auto"/>
          <w:highlight w:val="none"/>
        </w:rPr>
      </w:pPr>
      <w:r>
        <w:rPr>
          <w:rFonts w:hint="eastAsia"/>
          <w:color w:val="auto"/>
          <w:highlight w:val="none"/>
        </w:rPr>
        <w:t>环境风险评价结论</w:t>
      </w:r>
    </w:p>
    <w:p w14:paraId="5A7D7990">
      <w:pPr>
        <w:pStyle w:val="26"/>
        <w:bidi w:val="0"/>
        <w:rPr>
          <w:rFonts w:hint="eastAsia"/>
          <w:color w:val="auto"/>
          <w:highlight w:val="none"/>
        </w:rPr>
      </w:pPr>
      <w:r>
        <w:rPr>
          <w:rFonts w:hint="eastAsia"/>
          <w:color w:val="auto"/>
          <w:highlight w:val="none"/>
          <w:lang w:val="en-US" w:eastAsia="zh-CN"/>
        </w:rPr>
        <w:t>本项目</w:t>
      </w:r>
      <w:r>
        <w:rPr>
          <w:rFonts w:hint="default" w:ascii="Times New Roman" w:hAnsi="Times New Roman" w:eastAsia="宋体" w:cs="Times New Roman"/>
          <w:color w:val="auto"/>
          <w:szCs w:val="24"/>
          <w:highlight w:val="none"/>
        </w:rPr>
        <w:t>存在一定风险，风险事故会对周围环境造成一定程度的影响，企业须加强管理，采取必要的风险事故防范措施，杜绝有毒有害物</w:t>
      </w:r>
      <w:r>
        <w:rPr>
          <w:rFonts w:hint="default" w:ascii="Times New Roman" w:hAnsi="Times New Roman" w:cs="Times New Roman"/>
          <w:color w:val="auto"/>
          <w:highlight w:val="none"/>
        </w:rPr>
        <w:t>质泄漏及燃爆事故发生；同时若一旦发生事故，则应立即启动应急预案，判断风向、及时对下风向的敏感点发布警报，并组织附近群众在短时间内进行疏散</w:t>
      </w:r>
      <w:r>
        <w:rPr>
          <w:rFonts w:hint="eastAsia"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撤离，通过采取严密的风险防范措施，项目环境</w:t>
      </w:r>
      <w:r>
        <w:rPr>
          <w:rFonts w:hint="eastAsia" w:cs="Times New Roman"/>
          <w:color w:val="auto"/>
          <w:highlight w:val="none"/>
          <w:lang w:val="en-US" w:eastAsia="zh-CN"/>
        </w:rPr>
        <w:t>风险</w:t>
      </w:r>
      <w:r>
        <w:rPr>
          <w:rFonts w:hint="default" w:ascii="Times New Roman" w:hAnsi="Times New Roman" w:cs="Times New Roman"/>
          <w:color w:val="auto"/>
          <w:highlight w:val="none"/>
        </w:rPr>
        <w:t>处于可接受水平。</w:t>
      </w:r>
    </w:p>
    <w:p w14:paraId="73A56E2B">
      <w:pPr>
        <w:pStyle w:val="4"/>
        <w:bidi w:val="0"/>
        <w:rPr>
          <w:color w:val="auto"/>
          <w:highlight w:val="none"/>
        </w:rPr>
      </w:pPr>
      <w:bookmarkStart w:id="332" w:name="_Toc94200141"/>
      <w:bookmarkStart w:id="333" w:name="_Toc21290"/>
      <w:r>
        <w:rPr>
          <w:rFonts w:hint="eastAsia"/>
          <w:color w:val="auto"/>
          <w:highlight w:val="none"/>
        </w:rPr>
        <w:t>公众意见采纳情况</w:t>
      </w:r>
      <w:bookmarkEnd w:id="332"/>
      <w:bookmarkEnd w:id="333"/>
    </w:p>
    <w:p w14:paraId="3B4EC1A5">
      <w:pPr>
        <w:pStyle w:val="26"/>
        <w:bidi w:val="0"/>
        <w:rPr>
          <w:color w:val="auto"/>
          <w:highlight w:val="none"/>
        </w:rPr>
      </w:pPr>
      <w:r>
        <w:rPr>
          <w:rFonts w:hint="eastAsia"/>
          <w:color w:val="auto"/>
          <w:highlight w:val="none"/>
        </w:rPr>
        <w:t>根据建设单位提供的《</w:t>
      </w:r>
      <w:r>
        <w:rPr>
          <w:rFonts w:hint="eastAsia"/>
          <w:color w:val="auto"/>
          <w:sz w:val="24"/>
          <w:lang w:eastAsia="zh-CN"/>
        </w:rPr>
        <w:t>四川诚正建科新材料有限公司聚羧酸减水剂与无碱速凝剂生产项目</w:t>
      </w:r>
      <w:r>
        <w:rPr>
          <w:rFonts w:hint="eastAsia"/>
          <w:color w:val="auto"/>
          <w:highlight w:val="none"/>
        </w:rPr>
        <w:t>环境影响评价公众参与说明》，</w:t>
      </w:r>
      <w:r>
        <w:rPr>
          <w:rFonts w:hint="default" w:ascii="Times New Roman" w:hAnsi="Times New Roman" w:cs="Times New Roman"/>
          <w:color w:val="auto"/>
          <w:highlight w:val="none"/>
        </w:rPr>
        <w:t>建设单位在</w:t>
      </w:r>
      <w:r>
        <w:rPr>
          <w:rFonts w:hint="default" w:ascii="Times New Roman" w:hAnsi="Times New Roman" w:cs="Times New Roman"/>
          <w:color w:val="auto"/>
          <w:highlight w:val="none"/>
          <w:lang w:val="en-US" w:eastAsia="zh-CN"/>
        </w:rPr>
        <w:t>环评</w:t>
      </w:r>
      <w:r>
        <w:rPr>
          <w:rFonts w:hint="default" w:ascii="Times New Roman" w:hAnsi="Times New Roman" w:cs="Times New Roman"/>
          <w:color w:val="auto"/>
          <w:highlight w:val="none"/>
        </w:rPr>
        <w:t>期间开展的遵循了依法、有序、公开、便利的原则，充分保障了公众环境保护知情权、参与权、表达权和监督权，</w:t>
      </w:r>
      <w:r>
        <w:rPr>
          <w:rFonts w:hint="default" w:ascii="Times New Roman" w:hAnsi="Times New Roman" w:cs="Times New Roman"/>
          <w:color w:val="auto"/>
          <w:highlight w:val="none"/>
          <w:lang w:val="en-US" w:eastAsia="zh-CN"/>
        </w:rPr>
        <w:t>公示期间未收到反馈意见</w:t>
      </w:r>
      <w:r>
        <w:rPr>
          <w:rFonts w:hint="default" w:ascii="Times New Roman" w:hAnsi="Times New Roman" w:cs="Times New Roman"/>
          <w:color w:val="auto"/>
          <w:highlight w:val="none"/>
        </w:rPr>
        <w:t>，本次</w:t>
      </w:r>
      <w:r>
        <w:rPr>
          <w:rFonts w:hint="default" w:ascii="Times New Roman" w:hAnsi="Times New Roman" w:cs="Times New Roman"/>
          <w:color w:val="auto"/>
          <w:highlight w:val="none"/>
          <w:lang w:val="en-US" w:eastAsia="zh-CN"/>
        </w:rPr>
        <w:t>公众参与</w:t>
      </w:r>
      <w:r>
        <w:rPr>
          <w:rFonts w:hint="default" w:ascii="Times New Roman" w:hAnsi="Times New Roman" w:cs="Times New Roman"/>
          <w:color w:val="auto"/>
          <w:highlight w:val="none"/>
        </w:rPr>
        <w:t>符合《环境影响评价公众参与办法》（</w:t>
      </w:r>
      <w:r>
        <w:rPr>
          <w:rFonts w:hint="eastAsia"/>
          <w:color w:val="auto"/>
          <w:lang w:val="en-US" w:eastAsia="zh-CN"/>
        </w:rPr>
        <w:t>生态环境部 部令第4号</w:t>
      </w:r>
      <w:r>
        <w:rPr>
          <w:rFonts w:hint="default" w:ascii="Times New Roman" w:hAnsi="Times New Roman" w:cs="Times New Roman"/>
          <w:color w:val="auto"/>
          <w:highlight w:val="none"/>
        </w:rPr>
        <w:t>）中有关要求</w:t>
      </w:r>
      <w:r>
        <w:rPr>
          <w:color w:val="auto"/>
          <w:highlight w:val="none"/>
        </w:rPr>
        <w:t>。</w:t>
      </w:r>
    </w:p>
    <w:p w14:paraId="055FA7EC">
      <w:pPr>
        <w:pStyle w:val="4"/>
        <w:bidi w:val="0"/>
        <w:rPr>
          <w:color w:val="auto"/>
          <w:highlight w:val="none"/>
        </w:rPr>
      </w:pPr>
      <w:bookmarkStart w:id="334" w:name="_Toc29149"/>
      <w:bookmarkStart w:id="335" w:name="_Toc94200142"/>
      <w:r>
        <w:rPr>
          <w:rFonts w:hint="eastAsia"/>
          <w:color w:val="auto"/>
          <w:highlight w:val="none"/>
        </w:rPr>
        <w:t>建设项目环境</w:t>
      </w:r>
      <w:r>
        <w:rPr>
          <w:rFonts w:hint="eastAsia"/>
          <w:color w:val="auto"/>
          <w:highlight w:val="none"/>
          <w:lang w:val="en-US" w:eastAsia="zh-CN"/>
        </w:rPr>
        <w:t>影响</w:t>
      </w:r>
      <w:r>
        <w:rPr>
          <w:rFonts w:hint="eastAsia"/>
          <w:color w:val="auto"/>
          <w:highlight w:val="none"/>
        </w:rPr>
        <w:t>可行性结论</w:t>
      </w:r>
      <w:bookmarkEnd w:id="334"/>
      <w:bookmarkEnd w:id="335"/>
    </w:p>
    <w:p w14:paraId="4C00E5A2">
      <w:pPr>
        <w:pStyle w:val="26"/>
        <w:bidi w:val="0"/>
        <w:rPr>
          <w:rFonts w:hint="eastAsia"/>
          <w:color w:val="auto"/>
          <w:highlight w:val="none"/>
        </w:rPr>
      </w:pPr>
      <w:r>
        <w:rPr>
          <w:rFonts w:hint="eastAsia"/>
          <w:color w:val="auto"/>
          <w:sz w:val="24"/>
          <w:lang w:eastAsia="zh-CN"/>
        </w:rPr>
        <w:t>四川诚正建科新材料有限公司聚羧酸减水剂与无碱速凝剂生产项目</w:t>
      </w:r>
      <w:r>
        <w:rPr>
          <w:rFonts w:hint="eastAsia" w:ascii="Times New Roman"/>
          <w:color w:val="auto"/>
          <w:sz w:val="24"/>
        </w:rPr>
        <w:t>位于</w:t>
      </w:r>
      <w:r>
        <w:rPr>
          <w:rFonts w:hint="eastAsia"/>
          <w:color w:val="auto"/>
          <w:sz w:val="24"/>
          <w:lang w:val="en-US" w:eastAsia="zh-CN"/>
        </w:rPr>
        <w:t>四川巴中经济开发区金堂区块（巴中曾口-金堂化工园区）</w:t>
      </w:r>
      <w:r>
        <w:rPr>
          <w:rFonts w:hint="eastAsia"/>
          <w:color w:val="auto"/>
          <w:sz w:val="24"/>
          <w:szCs w:val="24"/>
          <w:lang w:val="en-US" w:eastAsia="zh-CN"/>
        </w:rPr>
        <w:t>内</w:t>
      </w:r>
      <w:r>
        <w:rPr>
          <w:rFonts w:hint="eastAsia" w:ascii="Times New Roman"/>
          <w:color w:val="auto"/>
          <w:sz w:val="24"/>
        </w:rPr>
        <w:t>，项目建设</w:t>
      </w:r>
      <w:r>
        <w:rPr>
          <w:rFonts w:ascii="Times New Roman" w:hAnsi="Times New Roman"/>
          <w:color w:val="auto"/>
          <w:sz w:val="24"/>
          <w:szCs w:val="24"/>
        </w:rPr>
        <w:t>符合</w:t>
      </w:r>
      <w:r>
        <w:rPr>
          <w:rFonts w:cstheme="minorHAnsi"/>
          <w:color w:val="auto"/>
          <w:sz w:val="24"/>
          <w:szCs w:val="24"/>
        </w:rPr>
        <w:t>国家现行产业政策</w:t>
      </w:r>
      <w:r>
        <w:rPr>
          <w:rFonts w:hint="eastAsia" w:cstheme="minorHAnsi"/>
          <w:color w:val="auto"/>
          <w:sz w:val="24"/>
          <w:szCs w:val="24"/>
          <w:lang w:eastAsia="zh-CN"/>
        </w:rPr>
        <w:t>，</w:t>
      </w:r>
      <w:r>
        <w:rPr>
          <w:rFonts w:hint="eastAsia" w:ascii="Times New Roman" w:hAnsi="Times New Roman"/>
          <w:color w:val="auto"/>
          <w:sz w:val="24"/>
          <w:szCs w:val="24"/>
        </w:rPr>
        <w:t>符合</w:t>
      </w:r>
      <w:r>
        <w:rPr>
          <w:rFonts w:hint="eastAsia" w:ascii="Times New Roman" w:hAnsi="Times New Roman"/>
          <w:color w:val="auto"/>
          <w:sz w:val="24"/>
          <w:szCs w:val="24"/>
          <w:lang w:val="en-US" w:eastAsia="zh-CN"/>
        </w:rPr>
        <w:t>《</w:t>
      </w:r>
      <w:r>
        <w:rPr>
          <w:rFonts w:hint="eastAsia"/>
          <w:color w:val="auto"/>
          <w:sz w:val="24"/>
          <w:szCs w:val="24"/>
          <w:lang w:val="en-US" w:eastAsia="zh-CN"/>
        </w:rPr>
        <w:t>巴中市</w:t>
      </w:r>
      <w:r>
        <w:rPr>
          <w:rFonts w:hint="eastAsia" w:ascii="Times New Roman" w:hAnsi="Times New Roman"/>
          <w:color w:val="auto"/>
          <w:sz w:val="24"/>
          <w:szCs w:val="24"/>
          <w:lang w:val="en-US" w:eastAsia="zh-CN"/>
        </w:rPr>
        <w:t>国土空间总体规划</w:t>
      </w:r>
      <w:r>
        <w:rPr>
          <w:rFonts w:hint="eastAsia" w:ascii="Times New Roman" w:hAnsi="Times New Roman"/>
          <w:color w:val="auto"/>
          <w:sz w:val="24"/>
          <w:szCs w:val="24"/>
          <w:lang w:eastAsia="zh-CN"/>
        </w:rPr>
        <w:t>（20</w:t>
      </w:r>
      <w:r>
        <w:rPr>
          <w:rFonts w:hint="eastAsia" w:ascii="Times New Roman" w:hAnsi="Times New Roman"/>
          <w:color w:val="auto"/>
          <w:sz w:val="24"/>
          <w:szCs w:val="24"/>
          <w:lang w:val="en-US" w:eastAsia="zh-CN"/>
        </w:rPr>
        <w:t>21</w:t>
      </w:r>
      <w:r>
        <w:rPr>
          <w:rFonts w:hint="eastAsia" w:ascii="Times New Roman" w:hAnsi="Times New Roman"/>
          <w:color w:val="auto"/>
          <w:sz w:val="24"/>
          <w:szCs w:val="24"/>
          <w:lang w:eastAsia="zh-CN"/>
        </w:rPr>
        <w:t>-20</w:t>
      </w:r>
      <w:r>
        <w:rPr>
          <w:rFonts w:hint="eastAsia" w:ascii="Times New Roman" w:hAnsi="Times New Roman"/>
          <w:color w:val="auto"/>
          <w:sz w:val="24"/>
          <w:szCs w:val="24"/>
          <w:lang w:val="en-US" w:eastAsia="zh-CN"/>
        </w:rPr>
        <w:t>35</w:t>
      </w:r>
      <w:r>
        <w:rPr>
          <w:rFonts w:hint="eastAsia" w:ascii="Times New Roman" w:hAnsi="Times New Roman"/>
          <w:color w:val="auto"/>
          <w:sz w:val="24"/>
          <w:szCs w:val="24"/>
          <w:lang w:eastAsia="zh-CN"/>
        </w:rPr>
        <w:t>）》</w:t>
      </w:r>
      <w:r>
        <w:rPr>
          <w:rFonts w:hint="eastAsia"/>
          <w:color w:val="auto"/>
          <w:sz w:val="24"/>
          <w:szCs w:val="24"/>
          <w:lang w:val="en-US" w:eastAsia="zh-CN"/>
        </w:rPr>
        <w:t>、《通江县国土空间总体规划（2021-2035年）》和</w:t>
      </w:r>
      <w:r>
        <w:rPr>
          <w:rFonts w:hint="eastAsia"/>
          <w:color w:val="auto"/>
          <w:sz w:val="24"/>
          <w:lang w:val="en-US" w:eastAsia="zh-CN"/>
        </w:rPr>
        <w:t>四川巴中经济开发区规划修编</w:t>
      </w:r>
      <w:r>
        <w:rPr>
          <w:rFonts w:hint="eastAsia" w:cs="Times New Roman"/>
          <w:color w:val="auto"/>
          <w:sz w:val="24"/>
          <w:szCs w:val="24"/>
          <w:lang w:val="en-US" w:eastAsia="zh-CN"/>
        </w:rPr>
        <w:t>及规划环评</w:t>
      </w:r>
      <w:r>
        <w:rPr>
          <w:rFonts w:hint="eastAsia" w:ascii="Times New Roman" w:hAnsi="Times New Roman" w:cs="Times New Roman"/>
          <w:color w:val="auto"/>
          <w:sz w:val="24"/>
          <w:szCs w:val="24"/>
        </w:rPr>
        <w:t>中相关要求</w:t>
      </w:r>
      <w:r>
        <w:rPr>
          <w:rFonts w:hint="eastAsia" w:cs="Times New Roman"/>
          <w:color w:val="auto"/>
          <w:sz w:val="24"/>
          <w:szCs w:val="24"/>
          <w:lang w:eastAsia="zh-CN"/>
        </w:rPr>
        <w:t>，符合</w:t>
      </w:r>
      <w:r>
        <w:rPr>
          <w:rFonts w:hint="eastAsia" w:cs="Times New Roman"/>
          <w:color w:val="auto"/>
          <w:sz w:val="24"/>
          <w:szCs w:val="24"/>
          <w:lang w:val="en-US" w:eastAsia="zh-CN"/>
        </w:rPr>
        <w:t>巴中</w:t>
      </w:r>
      <w:r>
        <w:rPr>
          <w:rFonts w:hint="eastAsia" w:ascii="Times New Roman" w:hAnsi="Times New Roman" w:cs="Times New Roman"/>
          <w:color w:val="auto"/>
          <w:sz w:val="24"/>
          <w:szCs w:val="24"/>
          <w:lang w:val="en-US" w:eastAsia="zh-CN"/>
        </w:rPr>
        <w:t>市生态环境分区管控要求</w:t>
      </w:r>
      <w:r>
        <w:rPr>
          <w:rFonts w:hint="eastAsia" w:cs="Times New Roman"/>
          <w:color w:val="auto"/>
          <w:sz w:val="24"/>
          <w:szCs w:val="24"/>
          <w:lang w:eastAsia="zh-CN"/>
        </w:rPr>
        <w:t>。</w:t>
      </w:r>
      <w:r>
        <w:rPr>
          <w:rFonts w:hint="eastAsia"/>
          <w:color w:val="auto"/>
          <w:sz w:val="24"/>
        </w:rPr>
        <w:t>本</w:t>
      </w:r>
      <w:r>
        <w:rPr>
          <w:rFonts w:hint="eastAsia" w:ascii="Times New Roman"/>
          <w:color w:val="auto"/>
          <w:sz w:val="24"/>
        </w:rPr>
        <w:t>项目存在一定的环境制约因素，在充分落实报告书中提出的各项</w:t>
      </w:r>
      <w:r>
        <w:rPr>
          <w:rFonts w:hint="default" w:ascii="Times New Roman" w:hAnsi="Times New Roman" w:cs="Times New Roman"/>
          <w:color w:val="auto"/>
          <w:highlight w:val="none"/>
          <w:lang w:val="en-US" w:eastAsia="zh-CN"/>
        </w:rPr>
        <w:t>环境风险防范措施</w:t>
      </w:r>
      <w:r>
        <w:rPr>
          <w:rFonts w:hint="eastAsia" w:cs="Times New Roman"/>
          <w:color w:val="auto"/>
          <w:highlight w:val="none"/>
          <w:lang w:val="en-US" w:eastAsia="zh-CN"/>
        </w:rPr>
        <w:t>，</w:t>
      </w:r>
      <w:r>
        <w:rPr>
          <w:rFonts w:hint="default" w:ascii="Times New Roman" w:hAnsi="Times New Roman" w:eastAsia="宋体" w:cs="Times New Roman"/>
          <w:color w:val="auto"/>
          <w:szCs w:val="24"/>
          <w:highlight w:val="none"/>
        </w:rPr>
        <w:t>杜绝有毒有害物</w:t>
      </w:r>
      <w:r>
        <w:rPr>
          <w:rFonts w:hint="default" w:ascii="Times New Roman" w:hAnsi="Times New Roman" w:cs="Times New Roman"/>
          <w:color w:val="auto"/>
          <w:highlight w:val="none"/>
        </w:rPr>
        <w:t>质泄漏及燃爆事故发生</w:t>
      </w:r>
      <w:r>
        <w:rPr>
          <w:rFonts w:hint="eastAsia" w:ascii="Times New Roman"/>
          <w:color w:val="auto"/>
          <w:sz w:val="24"/>
        </w:rPr>
        <w:t>的前提下，选址与外环境基本相容，</w:t>
      </w:r>
      <w:r>
        <w:rPr>
          <w:color w:val="auto"/>
          <w:sz w:val="24"/>
          <w:szCs w:val="24"/>
        </w:rPr>
        <w:t>选址</w:t>
      </w:r>
      <w:r>
        <w:rPr>
          <w:rFonts w:hint="eastAsia"/>
          <w:color w:val="auto"/>
          <w:sz w:val="24"/>
          <w:szCs w:val="24"/>
        </w:rPr>
        <w:t>基本</w:t>
      </w:r>
      <w:r>
        <w:rPr>
          <w:color w:val="auto"/>
          <w:sz w:val="24"/>
          <w:szCs w:val="24"/>
        </w:rPr>
        <w:t>合理</w:t>
      </w:r>
      <w:r>
        <w:rPr>
          <w:rFonts w:hint="eastAsia"/>
          <w:color w:val="auto"/>
          <w:sz w:val="24"/>
          <w:szCs w:val="24"/>
          <w:lang w:eastAsia="zh-CN"/>
        </w:rPr>
        <w:t>，总平面布置合理</w:t>
      </w:r>
      <w:r>
        <w:rPr>
          <w:rFonts w:hint="eastAsia"/>
          <w:color w:val="auto"/>
          <w:sz w:val="24"/>
          <w:lang w:eastAsia="zh-CN"/>
        </w:rPr>
        <w:t>。</w:t>
      </w:r>
      <w:r>
        <w:rPr>
          <w:rFonts w:hint="default" w:ascii="Times New Roman" w:hAnsi="Times New Roman" w:cs="Times New Roman"/>
          <w:color w:val="auto"/>
          <w:highlight w:val="none"/>
          <w:lang w:val="en-US" w:eastAsia="zh-CN"/>
        </w:rPr>
        <w:t>项目产生的</w:t>
      </w:r>
      <w:r>
        <w:rPr>
          <w:rFonts w:hint="default" w:ascii="Times New Roman" w:hAnsi="Times New Roman" w:cs="Times New Roman"/>
          <w:color w:val="auto"/>
          <w:highlight w:val="none"/>
        </w:rPr>
        <w:t>废气、废水、噪声、固体废物拟采取的环境保护措施技术可靠、经济可行，公众参与符合《环境影响评价公众参与办法》（</w:t>
      </w:r>
      <w:r>
        <w:rPr>
          <w:rFonts w:hint="eastAsia"/>
          <w:color w:val="auto"/>
          <w:lang w:val="en-US" w:eastAsia="zh-CN"/>
        </w:rPr>
        <w:t>生态环境部 部令第4号</w:t>
      </w:r>
      <w:r>
        <w:rPr>
          <w:rFonts w:hint="default" w:ascii="Times New Roman" w:hAnsi="Times New Roman" w:cs="Times New Roman"/>
          <w:color w:val="auto"/>
          <w:highlight w:val="none"/>
        </w:rPr>
        <w:t>）中有关要求。建设单位只要认真落实本报告中提出的各项污染防治措施，</w:t>
      </w:r>
      <w:r>
        <w:rPr>
          <w:rFonts w:hint="default" w:ascii="Times New Roman" w:hAnsi="Times New Roman" w:cs="Times New Roman"/>
          <w:color w:val="auto"/>
          <w:highlight w:val="none"/>
          <w:lang w:val="en-US" w:eastAsia="zh-CN"/>
        </w:rPr>
        <w:t>保证环境保护设施有效运行，</w:t>
      </w:r>
      <w:r>
        <w:rPr>
          <w:rFonts w:hint="default" w:ascii="Times New Roman" w:hAnsi="Times New Roman" w:cs="Times New Roman"/>
          <w:color w:val="auto"/>
          <w:highlight w:val="none"/>
        </w:rPr>
        <w:t>确保污染物稳定达标排放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认真落实</w:t>
      </w:r>
      <w:r>
        <w:rPr>
          <w:rFonts w:hint="default" w:ascii="Times New Roman" w:hAnsi="Times New Roman" w:cs="Times New Roman"/>
          <w:color w:val="auto"/>
          <w:highlight w:val="none"/>
        </w:rPr>
        <w:t>环境风险防范措施</w:t>
      </w:r>
      <w:r>
        <w:rPr>
          <w:rFonts w:hint="default" w:ascii="Times New Roman" w:hAnsi="Times New Roman" w:cs="Times New Roman"/>
          <w:color w:val="auto"/>
          <w:highlight w:val="none"/>
          <w:lang w:val="en-US" w:eastAsia="zh-CN"/>
        </w:rPr>
        <w:t>及应急预案，</w:t>
      </w:r>
      <w:r>
        <w:rPr>
          <w:rFonts w:hint="eastAsia" w:cs="Times New Roman"/>
          <w:color w:val="auto"/>
          <w:sz w:val="24"/>
          <w:szCs w:val="24"/>
          <w:lang w:eastAsia="zh-CN"/>
        </w:rPr>
        <w:t>从环保角度而言，本项目建设是可行的。</w:t>
      </w:r>
    </w:p>
    <w:p w14:paraId="0CA9BC17">
      <w:pPr>
        <w:pStyle w:val="3"/>
        <w:bidi w:val="0"/>
        <w:rPr>
          <w:color w:val="auto"/>
          <w:highlight w:val="none"/>
        </w:rPr>
      </w:pPr>
      <w:bookmarkStart w:id="336" w:name="_Toc461524976"/>
      <w:bookmarkStart w:id="337" w:name="_Toc3615"/>
      <w:bookmarkStart w:id="338" w:name="_Toc27088"/>
      <w:bookmarkStart w:id="339" w:name="_Toc94200143"/>
      <w:bookmarkStart w:id="340" w:name="_Toc27072"/>
      <w:r>
        <w:rPr>
          <w:color w:val="auto"/>
          <w:highlight w:val="none"/>
        </w:rPr>
        <w:t>要求及建议</w:t>
      </w:r>
      <w:bookmarkEnd w:id="336"/>
      <w:bookmarkEnd w:id="337"/>
      <w:bookmarkEnd w:id="338"/>
      <w:bookmarkEnd w:id="339"/>
      <w:bookmarkEnd w:id="340"/>
    </w:p>
    <w:p w14:paraId="77EF3BBF">
      <w:pPr>
        <w:pStyle w:val="26"/>
        <w:bidi w:val="0"/>
        <w:rPr>
          <w:rFonts w:hint="default"/>
          <w:color w:val="auto"/>
          <w:highlight w:val="none"/>
          <w:lang w:val="en-US" w:eastAsia="zh-CN"/>
        </w:rPr>
      </w:pPr>
      <w:r>
        <w:rPr>
          <w:rFonts w:hint="default"/>
          <w:color w:val="auto"/>
          <w:highlight w:val="none"/>
          <w:lang w:val="en-US" w:eastAsia="zh-CN"/>
        </w:rPr>
        <w:t>1、建设单位必须严格落实本环评中提出的污染防治措施，确保各类污染物实现稳定达标排放。</w:t>
      </w:r>
    </w:p>
    <w:p w14:paraId="05B885EC">
      <w:pPr>
        <w:pStyle w:val="26"/>
        <w:bidi w:val="0"/>
        <w:rPr>
          <w:rFonts w:hint="eastAsia" w:eastAsia="宋体"/>
          <w:color w:val="auto"/>
          <w:highlight w:val="none"/>
          <w:lang w:val="en-US" w:eastAsia="zh-CN"/>
        </w:rPr>
      </w:pPr>
      <w:r>
        <w:rPr>
          <w:rFonts w:hint="default"/>
          <w:color w:val="auto"/>
          <w:highlight w:val="none"/>
          <w:lang w:val="en-US" w:eastAsia="zh-CN"/>
        </w:rPr>
        <w:t>2、</w:t>
      </w:r>
      <w:r>
        <w:rPr>
          <w:rFonts w:ascii="宋体" w:hAnsi="宋体" w:eastAsia="宋体" w:cs="宋体"/>
          <w:color w:val="auto"/>
          <w:sz w:val="24"/>
          <w:szCs w:val="24"/>
        </w:rPr>
        <w:t>生产过程中，</w:t>
      </w:r>
      <w:r>
        <w:rPr>
          <w:rFonts w:hint="default"/>
          <w:color w:val="auto"/>
          <w:highlight w:val="none"/>
          <w:lang w:val="en-US" w:eastAsia="zh-CN"/>
        </w:rPr>
        <w:t>加强环境管理，</w:t>
      </w:r>
      <w:r>
        <w:rPr>
          <w:rFonts w:ascii="宋体" w:hAnsi="宋体" w:eastAsia="宋体" w:cs="宋体"/>
          <w:color w:val="auto"/>
          <w:sz w:val="24"/>
          <w:szCs w:val="24"/>
        </w:rPr>
        <w:t>积极推行清洁生产，减少跑、冒、滴、漏；加强环保设备运行管理和维护，杜绝事故排放</w:t>
      </w:r>
      <w:r>
        <w:rPr>
          <w:rFonts w:hint="eastAsia" w:ascii="宋体" w:hAnsi="宋体" w:eastAsia="宋体" w:cs="宋体"/>
          <w:color w:val="auto"/>
          <w:sz w:val="24"/>
          <w:szCs w:val="24"/>
          <w:lang w:eastAsia="zh-CN"/>
        </w:rPr>
        <w:t>。</w:t>
      </w:r>
    </w:p>
    <w:p w14:paraId="6A5B9EA6">
      <w:pPr>
        <w:pStyle w:val="26"/>
        <w:bidi w:val="0"/>
        <w:rPr>
          <w:rFonts w:hint="default"/>
          <w:color w:val="auto"/>
          <w:highlight w:val="none"/>
          <w:lang w:val="en-US" w:eastAsia="zh-CN"/>
        </w:rPr>
      </w:pPr>
      <w:r>
        <w:rPr>
          <w:rFonts w:hint="eastAsia"/>
          <w:color w:val="auto"/>
          <w:highlight w:val="none"/>
          <w:lang w:val="en-US" w:eastAsia="zh-CN"/>
        </w:rPr>
        <w:t>3、</w:t>
      </w:r>
      <w:r>
        <w:rPr>
          <w:rFonts w:ascii="宋体" w:hAnsi="宋体" w:eastAsia="宋体" w:cs="宋体"/>
          <w:color w:val="auto"/>
          <w:sz w:val="24"/>
          <w:szCs w:val="24"/>
        </w:rPr>
        <w:t>严格按照相关要求对罐区</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生产车间</w:t>
      </w:r>
      <w:r>
        <w:rPr>
          <w:rFonts w:ascii="宋体" w:hAnsi="宋体" w:eastAsia="宋体" w:cs="宋体"/>
          <w:color w:val="auto"/>
          <w:sz w:val="24"/>
          <w:szCs w:val="24"/>
        </w:rPr>
        <w:t>、</w:t>
      </w:r>
      <w:r>
        <w:rPr>
          <w:rFonts w:hint="eastAsia" w:ascii="宋体" w:hAnsi="宋体" w:cs="宋体"/>
          <w:color w:val="auto"/>
          <w:sz w:val="24"/>
          <w:szCs w:val="24"/>
          <w:lang w:val="en-US" w:eastAsia="zh-CN"/>
        </w:rPr>
        <w:t>液体仓库、</w:t>
      </w:r>
      <w:r>
        <w:rPr>
          <w:rFonts w:hint="eastAsia" w:cs="Times New Roman"/>
          <w:b w:val="0"/>
          <w:bCs w:val="0"/>
          <w:color w:val="auto"/>
          <w:highlight w:val="none"/>
          <w:lang w:val="en-US" w:eastAsia="zh-CN"/>
        </w:rPr>
        <w:t>危废暂存间</w:t>
      </w:r>
      <w:r>
        <w:rPr>
          <w:rFonts w:ascii="宋体" w:hAnsi="宋体" w:eastAsia="宋体" w:cs="宋体"/>
          <w:color w:val="auto"/>
          <w:sz w:val="24"/>
          <w:szCs w:val="24"/>
        </w:rPr>
        <w:t>等区域进行</w:t>
      </w:r>
      <w:r>
        <w:rPr>
          <w:rFonts w:hint="eastAsia" w:ascii="宋体" w:hAnsi="宋体" w:eastAsia="宋体" w:cs="宋体"/>
          <w:color w:val="auto"/>
          <w:sz w:val="24"/>
          <w:szCs w:val="24"/>
          <w:lang w:val="en-US" w:eastAsia="zh-CN"/>
        </w:rPr>
        <w:t>重点</w:t>
      </w:r>
      <w:r>
        <w:rPr>
          <w:rFonts w:ascii="宋体" w:hAnsi="宋体" w:eastAsia="宋体" w:cs="宋体"/>
          <w:color w:val="auto"/>
          <w:sz w:val="24"/>
          <w:szCs w:val="24"/>
        </w:rPr>
        <w:t>防渗处理，避免污染地下水。</w:t>
      </w:r>
    </w:p>
    <w:p w14:paraId="52734839">
      <w:pPr>
        <w:pStyle w:val="26"/>
        <w:bidi w:val="0"/>
        <w:rPr>
          <w:rFonts w:hint="eastAsia" w:eastAsia="宋体"/>
          <w:color w:val="auto"/>
          <w:highlight w:val="none"/>
          <w:lang w:val="en-US" w:eastAsia="zh-CN"/>
        </w:rPr>
      </w:pPr>
      <w:r>
        <w:rPr>
          <w:rFonts w:hint="eastAsia"/>
          <w:color w:val="auto"/>
          <w:highlight w:val="none"/>
          <w:lang w:val="en-US" w:eastAsia="zh-CN"/>
        </w:rPr>
        <w:t>4、</w:t>
      </w:r>
      <w:r>
        <w:rPr>
          <w:rFonts w:ascii="宋体" w:hAnsi="宋体" w:eastAsia="宋体" w:cs="宋体"/>
          <w:color w:val="auto"/>
          <w:sz w:val="24"/>
          <w:szCs w:val="24"/>
        </w:rPr>
        <w:t>按照有关规定开展项目安全评价，确保项目安全运营</w:t>
      </w:r>
      <w:r>
        <w:rPr>
          <w:rFonts w:hint="eastAsia" w:ascii="宋体" w:hAnsi="宋体" w:eastAsia="宋体" w:cs="宋体"/>
          <w:color w:val="auto"/>
          <w:sz w:val="24"/>
          <w:szCs w:val="24"/>
          <w:lang w:eastAsia="zh-CN"/>
        </w:rPr>
        <w:t>。</w:t>
      </w:r>
    </w:p>
    <w:p w14:paraId="242FFD17">
      <w:pPr>
        <w:pStyle w:val="26"/>
        <w:bidi w:val="0"/>
        <w:rPr>
          <w:rFonts w:hint="default"/>
          <w:color w:val="auto"/>
          <w:highlight w:val="none"/>
          <w:lang w:val="en-US" w:eastAsia="zh-CN"/>
        </w:rPr>
      </w:pPr>
      <w:r>
        <w:rPr>
          <w:rFonts w:hint="eastAsia"/>
          <w:color w:val="auto"/>
          <w:highlight w:val="none"/>
          <w:lang w:val="en-US" w:eastAsia="zh-CN"/>
        </w:rPr>
        <w:t>5</w:t>
      </w:r>
      <w:r>
        <w:rPr>
          <w:rFonts w:hint="default"/>
          <w:color w:val="auto"/>
          <w:highlight w:val="none"/>
          <w:lang w:val="en-US" w:eastAsia="zh-CN"/>
        </w:rPr>
        <w:t>、定期委托监测机构进行污染源监测，同时建立污染源档案。</w:t>
      </w:r>
    </w:p>
    <w:p w14:paraId="29332EDE">
      <w:pPr>
        <w:ind w:left="0" w:leftChars="0" w:firstLine="480" w:firstLineChars="200"/>
        <w:rPr>
          <w:rFonts w:hint="default"/>
          <w:color w:val="auto"/>
        </w:rPr>
      </w:pPr>
      <w:r>
        <w:rPr>
          <w:rFonts w:hint="eastAsia"/>
          <w:color w:val="auto"/>
          <w:highlight w:val="none"/>
          <w:lang w:val="en-US" w:eastAsia="zh-CN"/>
        </w:rPr>
        <w:t>6</w:t>
      </w:r>
      <w:r>
        <w:rPr>
          <w:rFonts w:hint="default"/>
          <w:color w:val="auto"/>
          <w:highlight w:val="none"/>
          <w:lang w:val="en-US" w:eastAsia="zh-CN"/>
        </w:rPr>
        <w:t>、企业成立风险事故应急处理领导小组，加强对员工安全教育和事故演练，负责处理企业突发安全、风险事故，将事故风险降至最低。</w:t>
      </w:r>
    </w:p>
    <w:p w14:paraId="7FC9503E">
      <w:pPr>
        <w:ind w:left="0" w:leftChars="0" w:firstLine="480" w:firstLineChars="200"/>
        <w:rPr>
          <w:color w:val="auto"/>
        </w:rPr>
      </w:pPr>
    </w:p>
    <w:sectPr>
      <w:footerReference r:id="rId12" w:type="default"/>
      <w:pgSz w:w="11906" w:h="16838"/>
      <w:pgMar w:top="1474" w:right="1247" w:bottom="1304" w:left="1361" w:header="851" w:footer="992" w:gutter="0"/>
      <w:cols w:space="0" w:num="1"/>
      <w:rtlGutter w:val="0"/>
      <w:docGrid w:type="lines" w:linePitch="34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80"/>
    <w:family w:val="auto"/>
    <w:pitch w:val="default"/>
    <w:sig w:usb0="00000000" w:usb1="00000000" w:usb2="00000000" w:usb3="00000000" w:csb0="00020000" w:csb1="00000000"/>
  </w:font>
  <w:font w:name="Cambria Math">
    <w:panose1 w:val="02040503050406030204"/>
    <w:charset w:val="00"/>
    <w:family w:val="auto"/>
    <w:pitch w:val="default"/>
    <w:sig w:usb0="E00002FF" w:usb1="420024FF" w:usb2="00000000" w:usb3="00000000" w:csb0="2000019F" w:csb1="00000000"/>
  </w:font>
  <w:font w:name="System">
    <w:altName w:val="宋体"/>
    <w:panose1 w:val="00000000000000000000"/>
    <w:charset w:val="86"/>
    <w:family w:val="swiss"/>
    <w:pitch w:val="default"/>
    <w:sig w:usb0="00000000" w:usb1="0000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Helv">
    <w:altName w:val="Segoe Print"/>
    <w:panose1 w:val="020B060402020203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566C">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1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0069A">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U5IgxAgAAZQ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6VOSIMQIAAGUEAAAOAAAAAAAAAAEAIAAAAB8BAABkcnMvZTJvRG9jLnhtbFBLBQYA&#10;AAAABgAGAFkBAADCBQAAAAA=&#10;">
              <v:fill on="f" focussize="0,0"/>
              <v:stroke on="f" weight="0.5pt"/>
              <v:imagedata o:title=""/>
              <o:lock v:ext="edit" aspectratio="f"/>
              <v:textbox inset="0mm,0mm,0mm,0mm" style="mso-fit-shape-to-text:t;">
                <w:txbxContent>
                  <w:p w14:paraId="3920069A">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54F5D">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8AACB">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14:paraId="08B8AACB">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2A97F">
    <w:pPr>
      <w:pStyle w:val="1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5C76F">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oehQz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oehQzAgAAZQQAAA4AAAAAAAAAAQAgAAAAHwEAAGRycy9lMm9Eb2MueG1sUEsF&#10;BgAAAAAGAAYAWQEAAMQFAAAAAA==&#10;">
              <v:fill on="f" focussize="0,0"/>
              <v:stroke on="f" weight="0.5pt"/>
              <v:imagedata o:title=""/>
              <o:lock v:ext="edit" aspectratio="f"/>
              <v:textbox inset="0mm,0mm,0mm,0mm" style="mso-fit-shape-to-text:t;">
                <w:txbxContent>
                  <w:p w14:paraId="57C5C76F">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D2CC5">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57BB6">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BB57BB6">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8511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94619">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694619">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33CB">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90A95">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G3d4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K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G3d4zAgAAZQQAAA4AAAAAAAAAAQAgAAAAHwEAAGRycy9lMm9Eb2MueG1sUEsF&#10;BgAAAAAGAAYAWQEAAMQFAAAAAA==&#10;">
              <v:fill on="f" focussize="0,0"/>
              <v:stroke on="f" weight="0.5pt"/>
              <v:imagedata o:title=""/>
              <o:lock v:ext="edit" aspectratio="f"/>
              <v:textbox inset="0mm,0mm,0mm,0mm" style="mso-fit-shape-to-text:t;">
                <w:txbxContent>
                  <w:p w14:paraId="18590A9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77B9">
    <w:pPr>
      <w:pStyle w:val="16"/>
      <w:pBdr>
        <w:bottom w:val="none" w:color="auto" w:sz="0" w:space="1"/>
      </w:pBdr>
      <w:ind w:left="0" w:leftChars="0" w:firstLine="0" w:firstLineChars="0"/>
      <w:jc w:val="center"/>
      <w:rPr>
        <w:rFonts w:hint="default"/>
        <w:color w:val="0070C0"/>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79FCF">
    <w:pPr>
      <w:pStyle w:val="16"/>
      <w:pBdr>
        <w:bottom w:val="single" w:color="auto" w:sz="4" w:space="1"/>
      </w:pBdr>
      <w:ind w:left="0" w:leftChars="0" w:firstLine="0" w:firstLineChars="0"/>
      <w:jc w:val="center"/>
      <w:rPr>
        <w:rFonts w:hint="default"/>
        <w:color w:val="auto"/>
        <w:lang w:val="en-US"/>
      </w:rPr>
    </w:pPr>
    <w:r>
      <w:rPr>
        <w:rFonts w:hint="eastAsia"/>
        <w:color w:val="auto"/>
        <w:lang w:val="en-US" w:eastAsia="zh-CN"/>
      </w:rPr>
      <w:t>聚羧酸减水剂与无碱速凝剂生产项目环境影响报告书</w:t>
    </w:r>
  </w:p>
  <w:p w14:paraId="3FE4DA4D">
    <w:pPr>
      <w:pStyle w:val="16"/>
      <w:ind w:left="0"/>
      <w:jc w:val="center"/>
      <w:rPr>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EC89F"/>
    <w:multiLevelType w:val="singleLevel"/>
    <w:tmpl w:val="833EC89F"/>
    <w:lvl w:ilvl="0" w:tentative="0">
      <w:start w:val="1"/>
      <w:numFmt w:val="decimal"/>
      <w:suff w:val="nothing"/>
      <w:lvlText w:val="（%1）"/>
      <w:lvlJc w:val="left"/>
    </w:lvl>
  </w:abstractNum>
  <w:abstractNum w:abstractNumId="1">
    <w:nsid w:val="8A518597"/>
    <w:multiLevelType w:val="singleLevel"/>
    <w:tmpl w:val="8A518597"/>
    <w:lvl w:ilvl="0" w:tentative="0">
      <w:start w:val="1"/>
      <w:numFmt w:val="decimal"/>
      <w:suff w:val="nothing"/>
      <w:lvlText w:val="（%1）"/>
      <w:lvlJc w:val="left"/>
    </w:lvl>
  </w:abstractNum>
  <w:abstractNum w:abstractNumId="2">
    <w:nsid w:val="8DA69E04"/>
    <w:multiLevelType w:val="singleLevel"/>
    <w:tmpl w:val="8DA69E04"/>
    <w:lvl w:ilvl="0" w:tentative="0">
      <w:start w:val="1"/>
      <w:numFmt w:val="decimal"/>
      <w:suff w:val="nothing"/>
      <w:lvlText w:val="（%1）"/>
      <w:lvlJc w:val="left"/>
    </w:lvl>
  </w:abstractNum>
  <w:abstractNum w:abstractNumId="3">
    <w:nsid w:val="9F442A49"/>
    <w:multiLevelType w:val="singleLevel"/>
    <w:tmpl w:val="9F442A49"/>
    <w:lvl w:ilvl="0" w:tentative="0">
      <w:start w:val="1"/>
      <w:numFmt w:val="decimal"/>
      <w:lvlText w:val="图2.7-%1"/>
      <w:lvlJc w:val="left"/>
      <w:pPr>
        <w:tabs>
          <w:tab w:val="left" w:pos="420"/>
        </w:tabs>
        <w:ind w:left="425" w:leftChars="0" w:hanging="425" w:firstLineChars="0"/>
      </w:pPr>
      <w:rPr>
        <w:rFonts w:hint="default" w:ascii="Times New Roman" w:hAnsi="Times New Roman" w:eastAsia="黑体" w:cs="黑体"/>
        <w:sz w:val="21"/>
      </w:rPr>
    </w:lvl>
  </w:abstractNum>
  <w:abstractNum w:abstractNumId="4">
    <w:nsid w:val="A30F7BC9"/>
    <w:multiLevelType w:val="singleLevel"/>
    <w:tmpl w:val="A30F7BC9"/>
    <w:lvl w:ilvl="0" w:tentative="0">
      <w:start w:val="1"/>
      <w:numFmt w:val="decimal"/>
      <w:lvlText w:val="表3.3-%1"/>
      <w:lvlJc w:val="left"/>
      <w:pPr>
        <w:tabs>
          <w:tab w:val="left" w:pos="420"/>
        </w:tabs>
        <w:ind w:left="425" w:leftChars="0" w:hanging="425" w:firstLineChars="0"/>
      </w:pPr>
      <w:rPr>
        <w:rFonts w:hint="default" w:ascii="Times New Roman" w:hAnsi="Times New Roman" w:eastAsia="黑体" w:cs="黑体"/>
        <w:sz w:val="21"/>
      </w:rPr>
    </w:lvl>
  </w:abstractNum>
  <w:abstractNum w:abstractNumId="5">
    <w:nsid w:val="A3DF8B0C"/>
    <w:multiLevelType w:val="singleLevel"/>
    <w:tmpl w:val="A3DF8B0C"/>
    <w:lvl w:ilvl="0" w:tentative="0">
      <w:start w:val="1"/>
      <w:numFmt w:val="decimal"/>
      <w:lvlText w:val="表7.2-%1"/>
      <w:lvlJc w:val="left"/>
      <w:pPr>
        <w:tabs>
          <w:tab w:val="left" w:pos="420"/>
        </w:tabs>
        <w:ind w:left="425" w:hanging="425"/>
      </w:pPr>
      <w:rPr>
        <w:rFonts w:hint="default" w:ascii="Times New Roman" w:hAnsi="Times New Roman" w:eastAsia="黑体" w:cs="宋体"/>
        <w:sz w:val="21"/>
      </w:rPr>
    </w:lvl>
  </w:abstractNum>
  <w:abstractNum w:abstractNumId="6">
    <w:nsid w:val="A9B99F4C"/>
    <w:multiLevelType w:val="singleLevel"/>
    <w:tmpl w:val="A9B99F4C"/>
    <w:lvl w:ilvl="0" w:tentative="0">
      <w:start w:val="1"/>
      <w:numFmt w:val="decimal"/>
      <w:lvlText w:val="表2.6-%1"/>
      <w:lvlJc w:val="left"/>
      <w:pPr>
        <w:tabs>
          <w:tab w:val="left" w:pos="420"/>
        </w:tabs>
        <w:ind w:left="425" w:leftChars="0" w:hanging="425" w:firstLineChars="0"/>
      </w:pPr>
      <w:rPr>
        <w:rFonts w:hint="default" w:ascii="Times New Roman" w:hAnsi="Times New Roman" w:eastAsia="黑体" w:cs="黑体"/>
        <w:sz w:val="21"/>
      </w:rPr>
    </w:lvl>
  </w:abstractNum>
  <w:abstractNum w:abstractNumId="7">
    <w:nsid w:val="AA24D498"/>
    <w:multiLevelType w:val="singleLevel"/>
    <w:tmpl w:val="AA24D498"/>
    <w:lvl w:ilvl="0" w:tentative="0">
      <w:start w:val="1"/>
      <w:numFmt w:val="decimal"/>
      <w:lvlText w:val="图6.10-%1"/>
      <w:lvlJc w:val="left"/>
      <w:pPr>
        <w:tabs>
          <w:tab w:val="left" w:pos="420"/>
        </w:tabs>
        <w:ind w:left="425" w:leftChars="0" w:hanging="425" w:firstLineChars="0"/>
      </w:pPr>
      <w:rPr>
        <w:rFonts w:hint="default" w:ascii="Times New Roman" w:hAnsi="Times New Roman" w:eastAsia="黑体" w:cs="黑体"/>
        <w:sz w:val="21"/>
      </w:rPr>
    </w:lvl>
  </w:abstractNum>
  <w:abstractNum w:abstractNumId="8">
    <w:nsid w:val="AC7F5C5D"/>
    <w:multiLevelType w:val="singleLevel"/>
    <w:tmpl w:val="AC7F5C5D"/>
    <w:lvl w:ilvl="0" w:tentative="0">
      <w:start w:val="1"/>
      <w:numFmt w:val="decimal"/>
      <w:lvlText w:val="图6.1-%1"/>
      <w:lvlJc w:val="left"/>
      <w:pPr>
        <w:tabs>
          <w:tab w:val="left" w:pos="420"/>
        </w:tabs>
        <w:ind w:left="425" w:leftChars="0" w:hanging="425" w:firstLineChars="0"/>
      </w:pPr>
      <w:rPr>
        <w:rFonts w:hint="default" w:ascii="Times New Roman" w:hAnsi="Times New Roman" w:eastAsia="黑体" w:cs="黑体"/>
        <w:sz w:val="21"/>
      </w:rPr>
    </w:lvl>
  </w:abstractNum>
  <w:abstractNum w:abstractNumId="9">
    <w:nsid w:val="B05BB229"/>
    <w:multiLevelType w:val="singleLevel"/>
    <w:tmpl w:val="B05BB229"/>
    <w:lvl w:ilvl="0" w:tentative="0">
      <w:start w:val="1"/>
      <w:numFmt w:val="decimal"/>
      <w:suff w:val="nothing"/>
      <w:lvlText w:val="（%1）"/>
      <w:lvlJc w:val="left"/>
    </w:lvl>
  </w:abstractNum>
  <w:abstractNum w:abstractNumId="10">
    <w:nsid w:val="B1854DEB"/>
    <w:multiLevelType w:val="singleLevel"/>
    <w:tmpl w:val="B1854DEB"/>
    <w:lvl w:ilvl="0" w:tentative="0">
      <w:start w:val="1"/>
      <w:numFmt w:val="decimal"/>
      <w:lvlText w:val="表6.15-%1"/>
      <w:lvlJc w:val="left"/>
      <w:pPr>
        <w:tabs>
          <w:tab w:val="left" w:pos="420"/>
        </w:tabs>
        <w:ind w:left="425" w:leftChars="0" w:hanging="425" w:firstLineChars="0"/>
      </w:pPr>
      <w:rPr>
        <w:rFonts w:hint="default" w:ascii="Times New Roman" w:hAnsi="Times New Roman" w:eastAsia="黑体" w:cs="黑体"/>
      </w:rPr>
    </w:lvl>
  </w:abstractNum>
  <w:abstractNum w:abstractNumId="11">
    <w:nsid w:val="B198F67E"/>
    <w:multiLevelType w:val="singleLevel"/>
    <w:tmpl w:val="B198F67E"/>
    <w:lvl w:ilvl="0" w:tentative="0">
      <w:start w:val="1"/>
      <w:numFmt w:val="decimal"/>
      <w:lvlText w:val="图5.2-%1"/>
      <w:lvlJc w:val="left"/>
      <w:pPr>
        <w:tabs>
          <w:tab w:val="left" w:pos="420"/>
        </w:tabs>
        <w:ind w:left="0" w:firstLine="420"/>
      </w:pPr>
      <w:rPr>
        <w:rFonts w:hint="default" w:ascii="Times New Roman" w:hAnsi="Times New Roman" w:eastAsia="黑体" w:cs="黑体"/>
        <w:b w:val="0"/>
        <w:bCs/>
        <w:sz w:val="21"/>
      </w:rPr>
    </w:lvl>
  </w:abstractNum>
  <w:abstractNum w:abstractNumId="12">
    <w:nsid w:val="BB3D27C4"/>
    <w:multiLevelType w:val="singleLevel"/>
    <w:tmpl w:val="BB3D27C4"/>
    <w:lvl w:ilvl="0" w:tentative="0">
      <w:start w:val="1"/>
      <w:numFmt w:val="decimal"/>
      <w:lvlText w:val="表6.13-%1"/>
      <w:lvlJc w:val="left"/>
      <w:pPr>
        <w:tabs>
          <w:tab w:val="left" w:pos="420"/>
        </w:tabs>
        <w:ind w:left="425" w:leftChars="0" w:hanging="425" w:firstLineChars="0"/>
      </w:pPr>
      <w:rPr>
        <w:rFonts w:hint="default" w:ascii="Times New Roman" w:hAnsi="Times New Roman" w:eastAsia="黑体" w:cs="黑体"/>
      </w:rPr>
    </w:lvl>
  </w:abstractNum>
  <w:abstractNum w:abstractNumId="13">
    <w:nsid w:val="BBA4CD3A"/>
    <w:multiLevelType w:val="singleLevel"/>
    <w:tmpl w:val="BBA4CD3A"/>
    <w:lvl w:ilvl="0" w:tentative="0">
      <w:start w:val="1"/>
      <w:numFmt w:val="decimal"/>
      <w:suff w:val="nothing"/>
      <w:lvlText w:val="%1、"/>
      <w:lvlJc w:val="left"/>
      <w:pPr>
        <w:tabs>
          <w:tab w:val="left" w:pos="0"/>
        </w:tabs>
        <w:ind w:left="420"/>
      </w:pPr>
      <w:rPr>
        <w:rFonts w:hint="default"/>
      </w:rPr>
    </w:lvl>
  </w:abstractNum>
  <w:abstractNum w:abstractNumId="14">
    <w:nsid w:val="BC1BBBF9"/>
    <w:multiLevelType w:val="singleLevel"/>
    <w:tmpl w:val="BC1BBBF9"/>
    <w:lvl w:ilvl="0" w:tentative="0">
      <w:start w:val="1"/>
      <w:numFmt w:val="decimal"/>
      <w:lvlText w:val="表9.2-%1"/>
      <w:lvlJc w:val="left"/>
      <w:pPr>
        <w:tabs>
          <w:tab w:val="left" w:pos="420"/>
        </w:tabs>
        <w:ind w:left="425" w:leftChars="0" w:hanging="425" w:firstLineChars="0"/>
      </w:pPr>
      <w:rPr>
        <w:rFonts w:hint="default" w:ascii="Times New Roman" w:hAnsi="Times New Roman" w:eastAsia="黑体" w:cs="黑体"/>
        <w:sz w:val="21"/>
      </w:rPr>
    </w:lvl>
  </w:abstractNum>
  <w:abstractNum w:abstractNumId="15">
    <w:nsid w:val="C5426288"/>
    <w:multiLevelType w:val="singleLevel"/>
    <w:tmpl w:val="C5426288"/>
    <w:lvl w:ilvl="0" w:tentative="0">
      <w:start w:val="1"/>
      <w:numFmt w:val="decimal"/>
      <w:suff w:val="nothing"/>
      <w:lvlText w:val="（%1）"/>
      <w:lvlJc w:val="left"/>
    </w:lvl>
  </w:abstractNum>
  <w:abstractNum w:abstractNumId="16">
    <w:nsid w:val="C61A2D32"/>
    <w:multiLevelType w:val="singleLevel"/>
    <w:tmpl w:val="C61A2D32"/>
    <w:lvl w:ilvl="0" w:tentative="0">
      <w:start w:val="1"/>
      <w:numFmt w:val="decimal"/>
      <w:lvlText w:val="表5.2-%1"/>
      <w:lvlJc w:val="left"/>
      <w:pPr>
        <w:tabs>
          <w:tab w:val="left" w:pos="420"/>
        </w:tabs>
        <w:ind w:left="0" w:firstLine="420"/>
      </w:pPr>
      <w:rPr>
        <w:rFonts w:hint="default" w:ascii="Times New Roman" w:hAnsi="Times New Roman" w:eastAsia="黑体" w:cs="黑体"/>
        <w:sz w:val="21"/>
        <w:szCs w:val="21"/>
      </w:rPr>
    </w:lvl>
  </w:abstractNum>
  <w:abstractNum w:abstractNumId="17">
    <w:nsid w:val="C89F2EA4"/>
    <w:multiLevelType w:val="singleLevel"/>
    <w:tmpl w:val="C89F2EA4"/>
    <w:lvl w:ilvl="0" w:tentative="0">
      <w:start w:val="1"/>
      <w:numFmt w:val="decimal"/>
      <w:suff w:val="space"/>
      <w:lvlText w:val="图6.7-%1"/>
      <w:lvlJc w:val="left"/>
      <w:pPr>
        <w:ind w:left="425" w:leftChars="0" w:hanging="425" w:firstLineChars="0"/>
      </w:pPr>
      <w:rPr>
        <w:rFonts w:hint="default" w:ascii="Times New Roman" w:hAnsi="Times New Roman" w:eastAsia="黑体" w:cs="黑体"/>
        <w:sz w:val="21"/>
      </w:rPr>
    </w:lvl>
  </w:abstractNum>
  <w:abstractNum w:abstractNumId="18">
    <w:nsid w:val="CA519906"/>
    <w:multiLevelType w:val="singleLevel"/>
    <w:tmpl w:val="CA519906"/>
    <w:lvl w:ilvl="0" w:tentative="0">
      <w:start w:val="1"/>
      <w:numFmt w:val="decimal"/>
      <w:suff w:val="nothing"/>
      <w:lvlText w:val="（%1）"/>
      <w:lvlJc w:val="left"/>
    </w:lvl>
  </w:abstractNum>
  <w:abstractNum w:abstractNumId="19">
    <w:nsid w:val="DB668515"/>
    <w:multiLevelType w:val="singleLevel"/>
    <w:tmpl w:val="DB668515"/>
    <w:lvl w:ilvl="0" w:tentative="0">
      <w:start w:val="1"/>
      <w:numFmt w:val="decimal"/>
      <w:lvlText w:val="表3.4-%1"/>
      <w:lvlJc w:val="left"/>
      <w:pPr>
        <w:tabs>
          <w:tab w:val="left" w:pos="420"/>
        </w:tabs>
        <w:ind w:left="425" w:leftChars="0" w:hanging="425" w:firstLineChars="0"/>
      </w:pPr>
      <w:rPr>
        <w:rFonts w:hint="default" w:ascii="Times New Roman" w:hAnsi="Times New Roman" w:eastAsia="黑体" w:cs="黑体"/>
        <w:sz w:val="21"/>
      </w:rPr>
    </w:lvl>
  </w:abstractNum>
  <w:abstractNum w:abstractNumId="20">
    <w:nsid w:val="EA1FE767"/>
    <w:multiLevelType w:val="singleLevel"/>
    <w:tmpl w:val="EA1FE767"/>
    <w:lvl w:ilvl="0" w:tentative="0">
      <w:start w:val="1"/>
      <w:numFmt w:val="decimal"/>
      <w:lvlText w:val="表6.5-%1"/>
      <w:lvlJc w:val="left"/>
      <w:pPr>
        <w:tabs>
          <w:tab w:val="left" w:pos="420"/>
        </w:tabs>
        <w:ind w:left="425" w:leftChars="0" w:hanging="425" w:firstLineChars="0"/>
      </w:pPr>
      <w:rPr>
        <w:rFonts w:hint="default" w:ascii="Times New Roman" w:hAnsi="Times New Roman" w:eastAsia="黑体" w:cs="宋体"/>
        <w:sz w:val="21"/>
      </w:rPr>
    </w:lvl>
  </w:abstractNum>
  <w:abstractNum w:abstractNumId="21">
    <w:nsid w:val="ECEAFCDE"/>
    <w:multiLevelType w:val="singleLevel"/>
    <w:tmpl w:val="ECEAFCDE"/>
    <w:lvl w:ilvl="0" w:tentative="0">
      <w:start w:val="1"/>
      <w:numFmt w:val="decimal"/>
      <w:lvlText w:val="图2.5-%1"/>
      <w:lvlJc w:val="left"/>
      <w:pPr>
        <w:tabs>
          <w:tab w:val="left" w:pos="420"/>
        </w:tabs>
        <w:ind w:left="425" w:leftChars="0" w:hanging="425" w:firstLineChars="0"/>
      </w:pPr>
      <w:rPr>
        <w:rFonts w:hint="default" w:ascii="Times New Roman" w:hAnsi="Times New Roman" w:eastAsia="黑体" w:cs="宋体"/>
        <w:sz w:val="21"/>
      </w:rPr>
    </w:lvl>
  </w:abstractNum>
  <w:abstractNum w:abstractNumId="22">
    <w:nsid w:val="F5C60AB2"/>
    <w:multiLevelType w:val="singleLevel"/>
    <w:tmpl w:val="F5C60AB2"/>
    <w:lvl w:ilvl="0" w:tentative="0">
      <w:start w:val="1"/>
      <w:numFmt w:val="decimal"/>
      <w:lvlText w:val="表2.7-%1"/>
      <w:lvlJc w:val="left"/>
      <w:pPr>
        <w:tabs>
          <w:tab w:val="left" w:pos="420"/>
        </w:tabs>
        <w:ind w:left="425" w:leftChars="0" w:hanging="425" w:firstLineChars="0"/>
      </w:pPr>
      <w:rPr>
        <w:rFonts w:hint="default" w:ascii="Times New Roman" w:hAnsi="Times New Roman" w:eastAsia="黑体" w:cs="黑体"/>
        <w:sz w:val="21"/>
      </w:rPr>
    </w:lvl>
  </w:abstractNum>
  <w:abstractNum w:abstractNumId="23">
    <w:nsid w:val="F858AE7C"/>
    <w:multiLevelType w:val="singleLevel"/>
    <w:tmpl w:val="F858AE7C"/>
    <w:lvl w:ilvl="0" w:tentative="0">
      <w:start w:val="1"/>
      <w:numFmt w:val="decimal"/>
      <w:lvlText w:val="表3.7-%1"/>
      <w:lvlJc w:val="left"/>
      <w:pPr>
        <w:tabs>
          <w:tab w:val="left" w:pos="420"/>
        </w:tabs>
        <w:ind w:left="425" w:leftChars="0" w:hanging="425" w:firstLineChars="0"/>
      </w:pPr>
      <w:rPr>
        <w:rFonts w:hint="default" w:ascii="Times New Roman" w:hAnsi="Times New Roman" w:eastAsia="黑体" w:cs="黑体"/>
        <w:sz w:val="21"/>
      </w:rPr>
    </w:lvl>
  </w:abstractNum>
  <w:abstractNum w:abstractNumId="24">
    <w:nsid w:val="FC834585"/>
    <w:multiLevelType w:val="singleLevel"/>
    <w:tmpl w:val="FC834585"/>
    <w:lvl w:ilvl="0" w:tentative="0">
      <w:start w:val="1"/>
      <w:numFmt w:val="decimal"/>
      <w:lvlText w:val="图6.4-%1"/>
      <w:lvlJc w:val="left"/>
      <w:pPr>
        <w:tabs>
          <w:tab w:val="left" w:pos="420"/>
        </w:tabs>
        <w:ind w:left="425" w:leftChars="0" w:hanging="425" w:firstLineChars="0"/>
      </w:pPr>
      <w:rPr>
        <w:rFonts w:hint="default" w:ascii="Times New Roman" w:hAnsi="Times New Roman" w:eastAsia="黑体" w:cs="宋体"/>
        <w:sz w:val="21"/>
      </w:rPr>
    </w:lvl>
  </w:abstractNum>
  <w:abstractNum w:abstractNumId="25">
    <w:nsid w:val="FCA386AC"/>
    <w:multiLevelType w:val="singleLevel"/>
    <w:tmpl w:val="FCA386AC"/>
    <w:lvl w:ilvl="0" w:tentative="0">
      <w:start w:val="1"/>
      <w:numFmt w:val="decimal"/>
      <w:lvlText w:val="图6.5-%1"/>
      <w:lvlJc w:val="left"/>
      <w:pPr>
        <w:tabs>
          <w:tab w:val="left" w:pos="420"/>
        </w:tabs>
        <w:ind w:left="425" w:leftChars="0" w:hanging="425" w:firstLineChars="0"/>
      </w:pPr>
      <w:rPr>
        <w:rFonts w:hint="default" w:ascii="Times New Roman" w:hAnsi="Times New Roman" w:eastAsia="黑体" w:cs="宋体"/>
        <w:sz w:val="21"/>
      </w:rPr>
    </w:lvl>
  </w:abstractNum>
  <w:abstractNum w:abstractNumId="26">
    <w:nsid w:val="FEDB2E57"/>
    <w:multiLevelType w:val="singleLevel"/>
    <w:tmpl w:val="FEDB2E57"/>
    <w:lvl w:ilvl="0" w:tentative="0">
      <w:start w:val="1"/>
      <w:numFmt w:val="decimal"/>
      <w:lvlText w:val="表10.1-%1"/>
      <w:lvlJc w:val="left"/>
      <w:pPr>
        <w:tabs>
          <w:tab w:val="left" w:pos="420"/>
        </w:tabs>
        <w:ind w:left="425" w:leftChars="0" w:hanging="425" w:firstLineChars="0"/>
      </w:pPr>
      <w:rPr>
        <w:rFonts w:hint="default" w:ascii="Times New Roman" w:hAnsi="Times New Roman" w:eastAsia="黑体" w:cs="宋体"/>
        <w:sz w:val="21"/>
      </w:rPr>
    </w:lvl>
  </w:abstractNum>
  <w:abstractNum w:abstractNumId="27">
    <w:nsid w:val="1D9C66D7"/>
    <w:multiLevelType w:val="singleLevel"/>
    <w:tmpl w:val="1D9C66D7"/>
    <w:lvl w:ilvl="0" w:tentative="0">
      <w:start w:val="1"/>
      <w:numFmt w:val="decimal"/>
      <w:lvlText w:val="图6.11-%1"/>
      <w:lvlJc w:val="left"/>
      <w:pPr>
        <w:tabs>
          <w:tab w:val="left" w:pos="420"/>
        </w:tabs>
        <w:ind w:left="425" w:leftChars="0" w:hanging="425" w:firstLineChars="0"/>
      </w:pPr>
      <w:rPr>
        <w:rFonts w:hint="default" w:ascii="Times New Roman" w:hAnsi="Times New Roman" w:eastAsia="黑体" w:cs="黑体"/>
        <w:sz w:val="21"/>
      </w:rPr>
    </w:lvl>
  </w:abstractNum>
  <w:abstractNum w:abstractNumId="28">
    <w:nsid w:val="283A727E"/>
    <w:multiLevelType w:val="singleLevel"/>
    <w:tmpl w:val="283A727E"/>
    <w:lvl w:ilvl="0" w:tentative="0">
      <w:start w:val="1"/>
      <w:numFmt w:val="decimal"/>
      <w:lvlText w:val="图1.3-%1"/>
      <w:lvlJc w:val="left"/>
      <w:pPr>
        <w:tabs>
          <w:tab w:val="left" w:pos="420"/>
        </w:tabs>
        <w:ind w:left="425" w:leftChars="0" w:hanging="425" w:firstLineChars="0"/>
      </w:pPr>
      <w:rPr>
        <w:rFonts w:hint="default" w:eastAsia="黑体"/>
        <w:sz w:val="21"/>
        <w:szCs w:val="21"/>
      </w:rPr>
    </w:lvl>
  </w:abstractNum>
  <w:abstractNum w:abstractNumId="29">
    <w:nsid w:val="2C0458E5"/>
    <w:multiLevelType w:val="singleLevel"/>
    <w:tmpl w:val="2C0458E5"/>
    <w:lvl w:ilvl="0" w:tentative="0">
      <w:start w:val="1"/>
      <w:numFmt w:val="decimal"/>
      <w:pStyle w:val="27"/>
      <w:lvlText w:val="表3.1-%1"/>
      <w:lvlJc w:val="left"/>
      <w:pPr>
        <w:tabs>
          <w:tab w:val="left" w:pos="420"/>
        </w:tabs>
        <w:ind w:left="425" w:hanging="425"/>
      </w:pPr>
      <w:rPr>
        <w:rFonts w:hint="default"/>
      </w:rPr>
    </w:lvl>
  </w:abstractNum>
  <w:abstractNum w:abstractNumId="30">
    <w:nsid w:val="2FD2AEB7"/>
    <w:multiLevelType w:val="singleLevel"/>
    <w:tmpl w:val="2FD2AEB7"/>
    <w:lvl w:ilvl="0" w:tentative="0">
      <w:start w:val="1"/>
      <w:numFmt w:val="decimal"/>
      <w:lvlText w:val="表6.6-%1"/>
      <w:lvlJc w:val="left"/>
      <w:pPr>
        <w:tabs>
          <w:tab w:val="left" w:pos="420"/>
        </w:tabs>
        <w:ind w:left="425" w:leftChars="0" w:hanging="425" w:firstLineChars="0"/>
      </w:pPr>
      <w:rPr>
        <w:rFonts w:hint="default" w:ascii="Times New Roman" w:hAnsi="Times New Roman" w:eastAsia="黑体" w:cs="黑体"/>
        <w:sz w:val="21"/>
      </w:rPr>
    </w:lvl>
  </w:abstractNum>
  <w:abstractNum w:abstractNumId="31">
    <w:nsid w:val="3815C5AC"/>
    <w:multiLevelType w:val="singleLevel"/>
    <w:tmpl w:val="3815C5AC"/>
    <w:lvl w:ilvl="0" w:tentative="0">
      <w:start w:val="1"/>
      <w:numFmt w:val="decimal"/>
      <w:lvlText w:val="表2.5-%1"/>
      <w:lvlJc w:val="left"/>
      <w:pPr>
        <w:tabs>
          <w:tab w:val="left" w:pos="420"/>
        </w:tabs>
        <w:ind w:left="425" w:leftChars="0" w:hanging="425" w:firstLineChars="0"/>
      </w:pPr>
      <w:rPr>
        <w:rFonts w:hint="default" w:ascii="Times New Roman" w:hAnsi="Times New Roman" w:eastAsia="黑体" w:cs="宋体"/>
        <w:sz w:val="21"/>
      </w:rPr>
    </w:lvl>
  </w:abstractNum>
  <w:abstractNum w:abstractNumId="32">
    <w:nsid w:val="449AE042"/>
    <w:multiLevelType w:val="singleLevel"/>
    <w:tmpl w:val="449AE042"/>
    <w:lvl w:ilvl="0" w:tentative="0">
      <w:start w:val="1"/>
      <w:numFmt w:val="decimal"/>
      <w:lvlText w:val="图3.1-%1"/>
      <w:lvlJc w:val="left"/>
      <w:pPr>
        <w:tabs>
          <w:tab w:val="left" w:pos="420"/>
        </w:tabs>
        <w:ind w:left="425" w:leftChars="0" w:hanging="425" w:firstLineChars="0"/>
      </w:pPr>
      <w:rPr>
        <w:rFonts w:hint="default" w:ascii="Times New Roman" w:hAnsi="Times New Roman" w:eastAsia="黑体" w:cs="宋体"/>
        <w:color w:val="auto"/>
        <w:sz w:val="21"/>
      </w:rPr>
    </w:lvl>
  </w:abstractNum>
  <w:abstractNum w:abstractNumId="33">
    <w:nsid w:val="4548102B"/>
    <w:multiLevelType w:val="singleLevel"/>
    <w:tmpl w:val="4548102B"/>
    <w:lvl w:ilvl="0" w:tentative="0">
      <w:start w:val="1"/>
      <w:numFmt w:val="decimal"/>
      <w:lvlText w:val="表6.7-%1"/>
      <w:lvlJc w:val="left"/>
      <w:pPr>
        <w:tabs>
          <w:tab w:val="left" w:pos="420"/>
        </w:tabs>
        <w:ind w:left="425" w:leftChars="0" w:hanging="425" w:firstLineChars="0"/>
      </w:pPr>
      <w:rPr>
        <w:rFonts w:hint="default" w:ascii="Times New Roman" w:hAnsi="Times New Roman" w:eastAsia="黑体" w:cs="黑体"/>
        <w:sz w:val="21"/>
      </w:rPr>
    </w:lvl>
  </w:abstractNum>
  <w:abstractNum w:abstractNumId="34">
    <w:nsid w:val="4A9CF148"/>
    <w:multiLevelType w:val="singleLevel"/>
    <w:tmpl w:val="4A9CF148"/>
    <w:lvl w:ilvl="0" w:tentative="0">
      <w:start w:val="1"/>
      <w:numFmt w:val="decimal"/>
      <w:lvlText w:val="图3.3-%1"/>
      <w:lvlJc w:val="left"/>
      <w:pPr>
        <w:tabs>
          <w:tab w:val="left" w:pos="420"/>
        </w:tabs>
        <w:ind w:left="425" w:leftChars="0" w:hanging="425" w:firstLineChars="0"/>
      </w:pPr>
      <w:rPr>
        <w:rFonts w:hint="default" w:ascii="Times New Roman" w:hAnsi="Times New Roman" w:eastAsia="黑体" w:cs="宋体"/>
        <w:b w:val="0"/>
        <w:bCs w:val="0"/>
        <w:sz w:val="21"/>
        <w:szCs w:val="21"/>
      </w:rPr>
    </w:lvl>
  </w:abstractNum>
  <w:abstractNum w:abstractNumId="35">
    <w:nsid w:val="4BE69CC0"/>
    <w:multiLevelType w:val="singleLevel"/>
    <w:tmpl w:val="4BE69CC0"/>
    <w:lvl w:ilvl="0" w:tentative="0">
      <w:start w:val="1"/>
      <w:numFmt w:val="decimal"/>
      <w:lvlText w:val="表1.5-%1"/>
      <w:lvlJc w:val="left"/>
      <w:pPr>
        <w:tabs>
          <w:tab w:val="left" w:pos="420"/>
        </w:tabs>
        <w:ind w:left="425" w:leftChars="0" w:hanging="425" w:firstLineChars="0"/>
      </w:pPr>
      <w:rPr>
        <w:rFonts w:hint="default" w:eastAsia="黑体"/>
        <w:sz w:val="21"/>
        <w:szCs w:val="21"/>
      </w:rPr>
    </w:lvl>
  </w:abstractNum>
  <w:abstractNum w:abstractNumId="36">
    <w:nsid w:val="4D1BEB2D"/>
    <w:multiLevelType w:val="multilevel"/>
    <w:tmpl w:val="4D1BEB2D"/>
    <w:lvl w:ilvl="0" w:tentative="0">
      <w:start w:val="1"/>
      <w:numFmt w:val="decimal"/>
      <w:pStyle w:val="2"/>
      <w:suff w:val="space"/>
      <w:lvlText w:val="%1"/>
      <w:lvlJc w:val="left"/>
      <w:pPr>
        <w:ind w:left="432" w:hanging="432"/>
      </w:pPr>
      <w:rPr>
        <w:rFonts w:hint="eastAsia" w:ascii="Times New Roman" w:hAnsi="Times New Roman"/>
        <w:b w:val="0"/>
        <w:i w:val="0"/>
        <w:iCs w:val="0"/>
        <w:caps w:val="0"/>
        <w:smallCaps w:val="0"/>
        <w:strike w:val="0"/>
        <w:dstrike w:val="0"/>
        <w:vanish w:val="0"/>
        <w:spacing w:val="0"/>
        <w:position w:val="0"/>
        <w:u w:val="none"/>
        <w:vertAlign w:val="baseline"/>
      </w:rPr>
    </w:lvl>
    <w:lvl w:ilvl="1" w:tentative="0">
      <w:start w:val="1"/>
      <w:numFmt w:val="decimal"/>
      <w:pStyle w:val="3"/>
      <w:isLgl/>
      <w:suff w:val="nothing"/>
      <w:lvlText w:val="%1.%2 "/>
      <w:lvlJc w:val="left"/>
      <w:pPr>
        <w:ind w:left="576" w:hanging="576"/>
      </w:pPr>
      <w:rPr>
        <w:rFonts w:hint="eastAsia" w:ascii="Times New Roman" w:hAnsi="Times New Roman"/>
        <w:b w:val="0"/>
        <w:i w:val="0"/>
        <w:iCs w:val="0"/>
        <w:caps w:val="0"/>
        <w:smallCaps w:val="0"/>
        <w:strike w:val="0"/>
        <w:dstrike w:val="0"/>
        <w:vanish w:val="0"/>
        <w:spacing w:val="0"/>
        <w:position w:val="0"/>
        <w:u w:val="none"/>
        <w:vertAlign w:val="baseline"/>
      </w:rPr>
    </w:lvl>
    <w:lvl w:ilvl="2" w:tentative="0">
      <w:start w:val="1"/>
      <w:numFmt w:val="decimal"/>
      <w:pStyle w:val="4"/>
      <w:isLgl/>
      <w:suff w:val="nothing"/>
      <w:lvlText w:val="%1.%2.%3 "/>
      <w:lvlJc w:val="left"/>
      <w:pPr>
        <w:ind w:left="1855" w:hanging="720"/>
      </w:pPr>
      <w:rPr>
        <w:rFonts w:hint="eastAsia" w:ascii="Times New Roman" w:hAnsi="Times New Roman" w:cs="Times New Roman"/>
        <w:b w:val="0"/>
        <w:i w:val="0"/>
        <w:iCs w:val="0"/>
        <w:caps w:val="0"/>
        <w:smallCaps w:val="0"/>
        <w:strike w:val="0"/>
        <w:dstrike w:val="0"/>
        <w:vanish w:val="0"/>
        <w:spacing w:val="0"/>
        <w:position w:val="0"/>
        <w:u w:val="none"/>
        <w:vertAlign w:val="baseline"/>
      </w:rPr>
    </w:lvl>
    <w:lvl w:ilvl="3" w:tentative="0">
      <w:start w:val="1"/>
      <w:numFmt w:val="decimal"/>
      <w:pStyle w:val="5"/>
      <w:isLgl/>
      <w:suff w:val="nothing"/>
      <w:lvlText w:val="%1.%2.%3.%4 "/>
      <w:lvlJc w:val="left"/>
      <w:pPr>
        <w:ind w:left="864" w:hanging="864"/>
      </w:pPr>
      <w:rPr>
        <w:rFonts w:hint="default" w:ascii="Times New Roman" w:hAnsi="Times New Roman"/>
        <w:b w:val="0"/>
        <w:i w:val="0"/>
        <w:iCs w:val="0"/>
        <w:caps w:val="0"/>
        <w:smallCaps w:val="0"/>
        <w:strike w:val="0"/>
        <w:dstrike w:val="0"/>
        <w:vanish w:val="0"/>
        <w:color w:val="auto"/>
        <w:spacing w:val="0"/>
        <w:position w:val="0"/>
        <w:u w:val="none"/>
        <w:vertAlign w:val="baseline"/>
      </w:rPr>
    </w:lvl>
    <w:lvl w:ilvl="4" w:tentative="0">
      <w:start w:val="1"/>
      <w:numFmt w:val="decimal"/>
      <w:isLgl/>
      <w:lvlText w:val="%1.%2.%3.%4.%5 "/>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7">
    <w:nsid w:val="56B6D079"/>
    <w:multiLevelType w:val="singleLevel"/>
    <w:tmpl w:val="56B6D079"/>
    <w:lvl w:ilvl="0" w:tentative="0">
      <w:start w:val="1"/>
      <w:numFmt w:val="decimal"/>
      <w:lvlText w:val="表6.3-%1"/>
      <w:lvlJc w:val="left"/>
      <w:pPr>
        <w:tabs>
          <w:tab w:val="left" w:pos="420"/>
        </w:tabs>
        <w:ind w:left="567" w:leftChars="0" w:hanging="327" w:firstLineChars="0"/>
      </w:pPr>
      <w:rPr>
        <w:rFonts w:hint="default" w:ascii="Times New Roman" w:hAnsi="Times New Roman" w:eastAsia="黑体" w:cs="黑体"/>
        <w:sz w:val="21"/>
      </w:rPr>
    </w:lvl>
  </w:abstractNum>
  <w:abstractNum w:abstractNumId="38">
    <w:nsid w:val="5DBD3162"/>
    <w:multiLevelType w:val="singleLevel"/>
    <w:tmpl w:val="5DBD3162"/>
    <w:lvl w:ilvl="0" w:tentative="0">
      <w:start w:val="1"/>
      <w:numFmt w:val="decimal"/>
      <w:lvlText w:val="表3.1-%1"/>
      <w:lvlJc w:val="left"/>
      <w:pPr>
        <w:tabs>
          <w:tab w:val="left" w:pos="420"/>
        </w:tabs>
        <w:ind w:left="0" w:firstLine="403"/>
      </w:pPr>
      <w:rPr>
        <w:rFonts w:hint="default" w:ascii="Times New Roman" w:hAnsi="Times New Roman" w:eastAsia="黑体" w:cs="宋体"/>
        <w:sz w:val="21"/>
        <w:szCs w:val="21"/>
      </w:rPr>
    </w:lvl>
  </w:abstractNum>
  <w:abstractNum w:abstractNumId="39">
    <w:nsid w:val="5E0AAC05"/>
    <w:multiLevelType w:val="singleLevel"/>
    <w:tmpl w:val="5E0AAC05"/>
    <w:lvl w:ilvl="0" w:tentative="0">
      <w:start w:val="1"/>
      <w:numFmt w:val="decimal"/>
      <w:lvlText w:val="表4.3-%1"/>
      <w:lvlJc w:val="left"/>
      <w:pPr>
        <w:tabs>
          <w:tab w:val="left" w:pos="420"/>
        </w:tabs>
        <w:ind w:left="425" w:leftChars="0" w:hanging="425" w:firstLineChars="0"/>
      </w:pPr>
      <w:rPr>
        <w:rFonts w:hint="default" w:ascii="Times New Roman" w:hAnsi="Times New Roman" w:eastAsia="黑体" w:cs="黑体"/>
        <w:sz w:val="21"/>
      </w:rPr>
    </w:lvl>
  </w:abstractNum>
  <w:abstractNum w:abstractNumId="40">
    <w:nsid w:val="63D8DE3E"/>
    <w:multiLevelType w:val="singleLevel"/>
    <w:tmpl w:val="63D8DE3E"/>
    <w:lvl w:ilvl="0" w:tentative="0">
      <w:start w:val="1"/>
      <w:numFmt w:val="decimal"/>
      <w:lvlText w:val="表6.2-%1"/>
      <w:lvlJc w:val="left"/>
      <w:pPr>
        <w:tabs>
          <w:tab w:val="left" w:pos="420"/>
        </w:tabs>
        <w:ind w:left="425" w:leftChars="0" w:hanging="425" w:firstLineChars="0"/>
      </w:pPr>
      <w:rPr>
        <w:rFonts w:hint="default" w:ascii="Times New Roman" w:hAnsi="Times New Roman" w:eastAsia="黑体" w:cs="黑体"/>
        <w:sz w:val="21"/>
      </w:rPr>
    </w:lvl>
  </w:abstractNum>
  <w:abstractNum w:abstractNumId="41">
    <w:nsid w:val="65BB4A1F"/>
    <w:multiLevelType w:val="singleLevel"/>
    <w:tmpl w:val="65BB4A1F"/>
    <w:lvl w:ilvl="0" w:tentative="0">
      <w:start w:val="1"/>
      <w:numFmt w:val="decimal"/>
      <w:lvlText w:val="表6.10-%1"/>
      <w:lvlJc w:val="left"/>
      <w:pPr>
        <w:tabs>
          <w:tab w:val="left" w:pos="420"/>
        </w:tabs>
        <w:ind w:left="425" w:leftChars="0" w:hanging="425" w:firstLineChars="0"/>
      </w:pPr>
      <w:rPr>
        <w:rFonts w:hint="default" w:ascii="Times New Roman" w:hAnsi="Times New Roman" w:eastAsia="黑体" w:cs="黑体"/>
        <w:sz w:val="21"/>
      </w:rPr>
    </w:lvl>
  </w:abstractNum>
  <w:abstractNum w:abstractNumId="42">
    <w:nsid w:val="676DECCC"/>
    <w:multiLevelType w:val="singleLevel"/>
    <w:tmpl w:val="676DECCC"/>
    <w:lvl w:ilvl="0" w:tentative="0">
      <w:start w:val="1"/>
      <w:numFmt w:val="decimal"/>
      <w:lvlText w:val="表9.1-%1"/>
      <w:lvlJc w:val="left"/>
      <w:pPr>
        <w:tabs>
          <w:tab w:val="left" w:pos="420"/>
        </w:tabs>
        <w:ind w:left="425" w:leftChars="0" w:hanging="425" w:firstLineChars="0"/>
      </w:pPr>
      <w:rPr>
        <w:rFonts w:hint="default" w:ascii="Times New Roman" w:hAnsi="Times New Roman" w:eastAsia="黑体" w:cs="黑体"/>
      </w:rPr>
    </w:lvl>
  </w:abstractNum>
  <w:abstractNum w:abstractNumId="43">
    <w:nsid w:val="729CE8A0"/>
    <w:multiLevelType w:val="singleLevel"/>
    <w:tmpl w:val="729CE8A0"/>
    <w:lvl w:ilvl="0" w:tentative="0">
      <w:start w:val="1"/>
      <w:numFmt w:val="decimal"/>
      <w:lvlText w:val="图3.2-%1"/>
      <w:lvlJc w:val="left"/>
      <w:pPr>
        <w:tabs>
          <w:tab w:val="left" w:pos="420"/>
        </w:tabs>
        <w:ind w:left="425" w:leftChars="0" w:hanging="425" w:firstLineChars="0"/>
      </w:pPr>
      <w:rPr>
        <w:rFonts w:hint="default" w:ascii="Times New Roman" w:hAnsi="Times New Roman" w:eastAsia="黑体" w:cs="黑体"/>
        <w:sz w:val="21"/>
      </w:rPr>
    </w:lvl>
  </w:abstractNum>
  <w:abstractNum w:abstractNumId="44">
    <w:nsid w:val="761F65BD"/>
    <w:multiLevelType w:val="singleLevel"/>
    <w:tmpl w:val="761F65BD"/>
    <w:lvl w:ilvl="0" w:tentative="0">
      <w:start w:val="1"/>
      <w:numFmt w:val="decimal"/>
      <w:lvlText w:val="表2.3-%1"/>
      <w:lvlJc w:val="left"/>
      <w:pPr>
        <w:tabs>
          <w:tab w:val="left" w:pos="420"/>
        </w:tabs>
        <w:ind w:left="425" w:leftChars="0" w:hanging="425" w:firstLineChars="0"/>
      </w:pPr>
      <w:rPr>
        <w:rFonts w:hint="default" w:eastAsia="黑体"/>
        <w:sz w:val="21"/>
        <w:szCs w:val="21"/>
      </w:rPr>
    </w:lvl>
  </w:abstractNum>
  <w:abstractNum w:abstractNumId="45">
    <w:nsid w:val="7E5EACAA"/>
    <w:multiLevelType w:val="singleLevel"/>
    <w:tmpl w:val="7E5EACAA"/>
    <w:lvl w:ilvl="0" w:tentative="0">
      <w:start w:val="1"/>
      <w:numFmt w:val="decimal"/>
      <w:lvlText w:val="表6.12-%1"/>
      <w:lvlJc w:val="left"/>
      <w:pPr>
        <w:tabs>
          <w:tab w:val="left" w:pos="420"/>
        </w:tabs>
        <w:ind w:left="425" w:leftChars="0" w:hanging="425" w:firstLineChars="0"/>
      </w:pPr>
      <w:rPr>
        <w:rFonts w:hint="default" w:ascii="Times New Roman" w:hAnsi="Times New Roman" w:eastAsia="黑体" w:cs="黑体"/>
      </w:rPr>
    </w:lvl>
  </w:abstractNum>
  <w:abstractNum w:abstractNumId="46">
    <w:nsid w:val="7EEF083B"/>
    <w:multiLevelType w:val="singleLevel"/>
    <w:tmpl w:val="7EEF083B"/>
    <w:lvl w:ilvl="0" w:tentative="0">
      <w:start w:val="1"/>
      <w:numFmt w:val="decimal"/>
      <w:lvlText w:val="表6.4-%1"/>
      <w:lvlJc w:val="left"/>
      <w:pPr>
        <w:tabs>
          <w:tab w:val="left" w:pos="420"/>
        </w:tabs>
        <w:ind w:left="425" w:leftChars="0" w:hanging="425" w:firstLineChars="0"/>
      </w:pPr>
      <w:rPr>
        <w:rFonts w:hint="default" w:ascii="Times New Roman" w:hAnsi="Times New Roman" w:eastAsia="黑体" w:cs="黑体"/>
        <w:sz w:val="21"/>
      </w:rPr>
    </w:lvl>
  </w:abstractNum>
  <w:num w:numId="1">
    <w:abstractNumId w:val="36"/>
  </w:num>
  <w:num w:numId="2">
    <w:abstractNumId w:val="29"/>
  </w:num>
  <w:num w:numId="3">
    <w:abstractNumId w:val="28"/>
  </w:num>
  <w:num w:numId="4">
    <w:abstractNumId w:val="13"/>
  </w:num>
  <w:num w:numId="5">
    <w:abstractNumId w:val="35"/>
  </w:num>
  <w:num w:numId="6">
    <w:abstractNumId w:val="18"/>
  </w:num>
  <w:num w:numId="7">
    <w:abstractNumId w:val="9"/>
  </w:num>
  <w:num w:numId="8">
    <w:abstractNumId w:val="2"/>
  </w:num>
  <w:num w:numId="9">
    <w:abstractNumId w:val="1"/>
  </w:num>
  <w:num w:numId="10">
    <w:abstractNumId w:val="0"/>
  </w:num>
  <w:num w:numId="11">
    <w:abstractNumId w:val="44"/>
  </w:num>
  <w:num w:numId="12">
    <w:abstractNumId w:val="31"/>
  </w:num>
  <w:num w:numId="13">
    <w:abstractNumId w:val="21"/>
  </w:num>
  <w:num w:numId="14">
    <w:abstractNumId w:val="6"/>
  </w:num>
  <w:num w:numId="15">
    <w:abstractNumId w:val="22"/>
  </w:num>
  <w:num w:numId="16">
    <w:abstractNumId w:val="3"/>
  </w:num>
  <w:num w:numId="17">
    <w:abstractNumId w:val="38"/>
  </w:num>
  <w:num w:numId="18">
    <w:abstractNumId w:val="32"/>
  </w:num>
  <w:num w:numId="19">
    <w:abstractNumId w:val="43"/>
  </w:num>
  <w:num w:numId="20">
    <w:abstractNumId w:val="4"/>
  </w:num>
  <w:num w:numId="21">
    <w:abstractNumId w:val="34"/>
  </w:num>
  <w:num w:numId="22">
    <w:abstractNumId w:val="19"/>
  </w:num>
  <w:num w:numId="23">
    <w:abstractNumId w:val="23"/>
  </w:num>
  <w:num w:numId="24">
    <w:abstractNumId w:val="39"/>
  </w:num>
  <w:num w:numId="25">
    <w:abstractNumId w:val="16"/>
  </w:num>
  <w:num w:numId="26">
    <w:abstractNumId w:val="11"/>
  </w:num>
  <w:num w:numId="27">
    <w:abstractNumId w:val="15"/>
  </w:num>
  <w:num w:numId="28">
    <w:abstractNumId w:val="8"/>
  </w:num>
  <w:num w:numId="29">
    <w:abstractNumId w:val="40"/>
  </w:num>
  <w:num w:numId="30">
    <w:abstractNumId w:val="37"/>
  </w:num>
  <w:num w:numId="31">
    <w:abstractNumId w:val="46"/>
  </w:num>
  <w:num w:numId="32">
    <w:abstractNumId w:val="24"/>
  </w:num>
  <w:num w:numId="33">
    <w:abstractNumId w:val="20"/>
  </w:num>
  <w:num w:numId="34">
    <w:abstractNumId w:val="25"/>
  </w:num>
  <w:num w:numId="35">
    <w:abstractNumId w:val="30"/>
  </w:num>
  <w:num w:numId="36">
    <w:abstractNumId w:val="33"/>
  </w:num>
  <w:num w:numId="37">
    <w:abstractNumId w:val="17"/>
  </w:num>
  <w:num w:numId="38">
    <w:abstractNumId w:val="7"/>
  </w:num>
  <w:num w:numId="39">
    <w:abstractNumId w:val="41"/>
  </w:num>
  <w:num w:numId="40">
    <w:abstractNumId w:val="27"/>
  </w:num>
  <w:num w:numId="41">
    <w:abstractNumId w:val="45"/>
  </w:num>
  <w:num w:numId="42">
    <w:abstractNumId w:val="12"/>
  </w:num>
  <w:num w:numId="43">
    <w:abstractNumId w:val="10"/>
  </w:num>
  <w:num w:numId="44">
    <w:abstractNumId w:val="5"/>
  </w:num>
  <w:num w:numId="45">
    <w:abstractNumId w:val="42"/>
  </w:num>
  <w:num w:numId="46">
    <w:abstractNumId w:val="14"/>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40"/>
  <w:drawingGridVerticalSpacing w:val="171"/>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7A1683"/>
    <w:rsid w:val="00F473B5"/>
    <w:rsid w:val="01A733EC"/>
    <w:rsid w:val="02D72D1E"/>
    <w:rsid w:val="03303547"/>
    <w:rsid w:val="03B14587"/>
    <w:rsid w:val="047974F6"/>
    <w:rsid w:val="04F02BE0"/>
    <w:rsid w:val="055E3149"/>
    <w:rsid w:val="059E36F3"/>
    <w:rsid w:val="05C55D30"/>
    <w:rsid w:val="094B52CF"/>
    <w:rsid w:val="0ADC375E"/>
    <w:rsid w:val="0BFB03CE"/>
    <w:rsid w:val="0C223A88"/>
    <w:rsid w:val="0D99476A"/>
    <w:rsid w:val="0DB77A48"/>
    <w:rsid w:val="1018566D"/>
    <w:rsid w:val="1074424E"/>
    <w:rsid w:val="11336F0C"/>
    <w:rsid w:val="114A473B"/>
    <w:rsid w:val="12046FD4"/>
    <w:rsid w:val="12CB2AB6"/>
    <w:rsid w:val="12CD73C6"/>
    <w:rsid w:val="13AA159E"/>
    <w:rsid w:val="147A1683"/>
    <w:rsid w:val="14C1224E"/>
    <w:rsid w:val="164E081E"/>
    <w:rsid w:val="16C4214F"/>
    <w:rsid w:val="189F7032"/>
    <w:rsid w:val="197D7D98"/>
    <w:rsid w:val="19B72AEF"/>
    <w:rsid w:val="1E1B192D"/>
    <w:rsid w:val="1EBE6904"/>
    <w:rsid w:val="20F973EA"/>
    <w:rsid w:val="217A36BF"/>
    <w:rsid w:val="21926043"/>
    <w:rsid w:val="2233154D"/>
    <w:rsid w:val="22990FCC"/>
    <w:rsid w:val="23B21C8B"/>
    <w:rsid w:val="24A563F4"/>
    <w:rsid w:val="279A600E"/>
    <w:rsid w:val="27D063FA"/>
    <w:rsid w:val="28626BF0"/>
    <w:rsid w:val="291D44CD"/>
    <w:rsid w:val="2CEA1936"/>
    <w:rsid w:val="2CF85B24"/>
    <w:rsid w:val="2FA06136"/>
    <w:rsid w:val="2FB84657"/>
    <w:rsid w:val="311F10B0"/>
    <w:rsid w:val="317F0FFC"/>
    <w:rsid w:val="31EC3324"/>
    <w:rsid w:val="32BF50D1"/>
    <w:rsid w:val="346631BE"/>
    <w:rsid w:val="34E24AFB"/>
    <w:rsid w:val="350F2AD3"/>
    <w:rsid w:val="35487054"/>
    <w:rsid w:val="36BA4777"/>
    <w:rsid w:val="37854125"/>
    <w:rsid w:val="389B2C9C"/>
    <w:rsid w:val="38DA7161"/>
    <w:rsid w:val="39323757"/>
    <w:rsid w:val="393D5CB5"/>
    <w:rsid w:val="39F20325"/>
    <w:rsid w:val="3B471B5C"/>
    <w:rsid w:val="3BE825E9"/>
    <w:rsid w:val="3C3C072D"/>
    <w:rsid w:val="3EEB1073"/>
    <w:rsid w:val="3F3213AD"/>
    <w:rsid w:val="3FD54969"/>
    <w:rsid w:val="405C7CDD"/>
    <w:rsid w:val="406E6E72"/>
    <w:rsid w:val="42182F35"/>
    <w:rsid w:val="428016C6"/>
    <w:rsid w:val="43AC0516"/>
    <w:rsid w:val="44557097"/>
    <w:rsid w:val="454C301F"/>
    <w:rsid w:val="4625141D"/>
    <w:rsid w:val="47AA63F4"/>
    <w:rsid w:val="480245B2"/>
    <w:rsid w:val="480C2163"/>
    <w:rsid w:val="48354B77"/>
    <w:rsid w:val="49E56B69"/>
    <w:rsid w:val="4A047C45"/>
    <w:rsid w:val="4B050D33"/>
    <w:rsid w:val="4C3B2896"/>
    <w:rsid w:val="4D94552B"/>
    <w:rsid w:val="4DD5647D"/>
    <w:rsid w:val="4F1A3377"/>
    <w:rsid w:val="4F3B4295"/>
    <w:rsid w:val="4F674123"/>
    <w:rsid w:val="4FDC241B"/>
    <w:rsid w:val="50C5432B"/>
    <w:rsid w:val="51623387"/>
    <w:rsid w:val="521431F6"/>
    <w:rsid w:val="53775D5B"/>
    <w:rsid w:val="55EB10B2"/>
    <w:rsid w:val="56F54F6B"/>
    <w:rsid w:val="57962CBF"/>
    <w:rsid w:val="57C3DA13"/>
    <w:rsid w:val="57E71C2D"/>
    <w:rsid w:val="5AB3240D"/>
    <w:rsid w:val="5AEA35DB"/>
    <w:rsid w:val="5CB013D7"/>
    <w:rsid w:val="5CFD1C22"/>
    <w:rsid w:val="5D125B74"/>
    <w:rsid w:val="5DE60629"/>
    <w:rsid w:val="5E4109EA"/>
    <w:rsid w:val="5E57247E"/>
    <w:rsid w:val="5F1339D8"/>
    <w:rsid w:val="5F31049A"/>
    <w:rsid w:val="5FB36D75"/>
    <w:rsid w:val="600D5D38"/>
    <w:rsid w:val="602914C9"/>
    <w:rsid w:val="623552C8"/>
    <w:rsid w:val="64E35BA2"/>
    <w:rsid w:val="68667D97"/>
    <w:rsid w:val="68A51AEC"/>
    <w:rsid w:val="68BB5E0A"/>
    <w:rsid w:val="68C3245C"/>
    <w:rsid w:val="6C72000E"/>
    <w:rsid w:val="6D644D4B"/>
    <w:rsid w:val="6E4A6D3E"/>
    <w:rsid w:val="6F424F32"/>
    <w:rsid w:val="6F6C88BD"/>
    <w:rsid w:val="6FF675CE"/>
    <w:rsid w:val="705E6612"/>
    <w:rsid w:val="71EC28FD"/>
    <w:rsid w:val="721E4C88"/>
    <w:rsid w:val="735F6D3B"/>
    <w:rsid w:val="73E058BA"/>
    <w:rsid w:val="73FDA2CD"/>
    <w:rsid w:val="74DB14EF"/>
    <w:rsid w:val="75323898"/>
    <w:rsid w:val="75986A70"/>
    <w:rsid w:val="766C1E9B"/>
    <w:rsid w:val="76FBBB2B"/>
    <w:rsid w:val="777FAFAC"/>
    <w:rsid w:val="78913F79"/>
    <w:rsid w:val="7AAF3593"/>
    <w:rsid w:val="7B314489"/>
    <w:rsid w:val="7B3F65A6"/>
    <w:rsid w:val="7B406801"/>
    <w:rsid w:val="7BFF2ABA"/>
    <w:rsid w:val="7C7021E4"/>
    <w:rsid w:val="7C875809"/>
    <w:rsid w:val="7CF17AA4"/>
    <w:rsid w:val="7CF436B6"/>
    <w:rsid w:val="7E4F5468"/>
    <w:rsid w:val="7E84136A"/>
    <w:rsid w:val="7EE11C9F"/>
    <w:rsid w:val="7FF8685B"/>
    <w:rsid w:val="CFD2BDD0"/>
    <w:rsid w:val="DDBC9195"/>
    <w:rsid w:val="E7FFE1DA"/>
    <w:rsid w:val="EF7A84AA"/>
    <w:rsid w:val="FBBB62FC"/>
    <w:rsid w:val="FF78CB6E"/>
    <w:rsid w:val="FFFB0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ind w:left="482"/>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ind w:left="432" w:hanging="432"/>
      <w:contextualSpacing/>
      <w:outlineLvl w:val="0"/>
    </w:pPr>
    <w:rPr>
      <w:rFonts w:eastAsia="黑体" w:cs="Courier New"/>
      <w:bCs/>
      <w:kern w:val="44"/>
      <w:sz w:val="32"/>
      <w:szCs w:val="36"/>
    </w:rPr>
  </w:style>
  <w:style w:type="paragraph" w:styleId="3">
    <w:name w:val="heading 2"/>
    <w:basedOn w:val="1"/>
    <w:next w:val="1"/>
    <w:qFormat/>
    <w:uiPriority w:val="0"/>
    <w:pPr>
      <w:keepNext/>
      <w:keepLines/>
      <w:numPr>
        <w:ilvl w:val="1"/>
        <w:numId w:val="1"/>
      </w:numPr>
      <w:ind w:left="576" w:hanging="576"/>
      <w:contextualSpacing/>
      <w:outlineLvl w:val="1"/>
    </w:pPr>
    <w:rPr>
      <w:rFonts w:eastAsia="黑体" w:cs="Courier New"/>
      <w:bCs/>
      <w:sz w:val="30"/>
      <w:szCs w:val="30"/>
    </w:rPr>
  </w:style>
  <w:style w:type="paragraph" w:styleId="4">
    <w:name w:val="heading 3"/>
    <w:basedOn w:val="1"/>
    <w:qFormat/>
    <w:uiPriority w:val="0"/>
    <w:pPr>
      <w:numPr>
        <w:ilvl w:val="2"/>
        <w:numId w:val="1"/>
      </w:numPr>
      <w:ind w:left="0" w:firstLine="0"/>
      <w:contextualSpacing/>
      <w:outlineLvl w:val="2"/>
    </w:pPr>
    <w:rPr>
      <w:rFonts w:ascii="Times New Roman" w:hAnsi="Times New Roman" w:eastAsia="黑体" w:cs="Courier New"/>
      <w:bCs/>
      <w:sz w:val="28"/>
      <w:szCs w:val="28"/>
    </w:rPr>
  </w:style>
  <w:style w:type="paragraph" w:styleId="5">
    <w:name w:val="heading 4"/>
    <w:basedOn w:val="1"/>
    <w:next w:val="1"/>
    <w:qFormat/>
    <w:uiPriority w:val="0"/>
    <w:pPr>
      <w:keepNext/>
      <w:keepLines/>
      <w:numPr>
        <w:ilvl w:val="3"/>
        <w:numId w:val="1"/>
      </w:numPr>
      <w:ind w:left="0" w:firstLine="0"/>
      <w:outlineLvl w:val="3"/>
    </w:pPr>
    <w:rPr>
      <w:rFonts w:ascii="Times New Roman" w:hAnsi="Times New Roman" w:eastAsia="黑体" w:cs="Courier New"/>
      <w:bCs/>
      <w:szCs w:val="21"/>
    </w:rPr>
  </w:style>
  <w:style w:type="paragraph" w:styleId="6">
    <w:name w:val="heading 5"/>
    <w:basedOn w:val="1"/>
    <w:next w:val="1"/>
    <w:qFormat/>
    <w:uiPriority w:val="0"/>
    <w:pPr>
      <w:keepNext/>
      <w:keepLines/>
      <w:ind w:left="0" w:firstLine="200" w:firstLineChars="200"/>
      <w:outlineLvl w:val="4"/>
    </w:pPr>
    <w:rPr>
      <w:b/>
      <w:bCs/>
      <w:szCs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8">
    <w:name w:val="Normal Indent"/>
    <w:basedOn w:val="1"/>
    <w:qFormat/>
    <w:uiPriority w:val="0"/>
    <w:pPr>
      <w:adjustRightInd w:val="0"/>
      <w:spacing w:line="312" w:lineRule="atLeast"/>
      <w:ind w:firstLine="420" w:firstLineChars="200"/>
      <w:textAlignment w:val="baseline"/>
    </w:pPr>
    <w:rPr>
      <w:rFonts w:eastAsia="宋体"/>
    </w:rPr>
  </w:style>
  <w:style w:type="paragraph" w:styleId="9">
    <w:name w:val="annotation text"/>
    <w:basedOn w:val="1"/>
    <w:qFormat/>
    <w:uiPriority w:val="0"/>
    <w:pPr>
      <w:jc w:val="left"/>
    </w:pPr>
  </w:style>
  <w:style w:type="paragraph" w:styleId="10">
    <w:name w:val="Body Text"/>
    <w:basedOn w:val="1"/>
    <w:next w:val="1"/>
    <w:unhideWhenUsed/>
    <w:qFormat/>
    <w:uiPriority w:val="0"/>
    <w:pPr>
      <w:spacing w:after="120"/>
    </w:pPr>
  </w:style>
  <w:style w:type="paragraph" w:styleId="11">
    <w:name w:val="Body Text Indent"/>
    <w:basedOn w:val="1"/>
    <w:next w:val="12"/>
    <w:qFormat/>
    <w:uiPriority w:val="99"/>
    <w:pPr>
      <w:spacing w:line="360" w:lineRule="auto"/>
      <w:ind w:firstLine="566" w:firstLineChars="202"/>
    </w:pPr>
    <w:rPr>
      <w:rFonts w:ascii="宋体"/>
      <w:sz w:val="28"/>
    </w:rPr>
  </w:style>
  <w:style w:type="paragraph" w:styleId="12">
    <w:name w:val="Body Text First Indent"/>
    <w:basedOn w:val="1"/>
    <w:qFormat/>
    <w:uiPriority w:val="0"/>
    <w:pPr>
      <w:spacing w:after="120" w:afterLines="0"/>
      <w:ind w:firstLine="420" w:firstLineChars="100"/>
    </w:pPr>
    <w:rPr>
      <w:sz w:val="21"/>
    </w:rPr>
  </w:style>
  <w:style w:type="paragraph" w:styleId="13">
    <w:name w:val="toc 3"/>
    <w:basedOn w:val="1"/>
    <w:next w:val="1"/>
    <w:qFormat/>
    <w:uiPriority w:val="39"/>
    <w:pPr>
      <w:ind w:left="420"/>
      <w:jc w:val="left"/>
    </w:pPr>
    <w:rPr>
      <w:rFonts w:cs="Calibri"/>
      <w:i/>
      <w:iCs/>
      <w:sz w:val="20"/>
      <w:szCs w:val="20"/>
    </w:rPr>
  </w:style>
  <w:style w:type="paragraph" w:styleId="14">
    <w:name w:val="Plain Text"/>
    <w:basedOn w:val="1"/>
    <w:qFormat/>
    <w:uiPriority w:val="0"/>
    <w:rPr>
      <w:rFonts w:ascii="宋体" w:hAnsi="Courier New"/>
      <w:sz w:val="24"/>
      <w:szCs w:val="20"/>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39"/>
    <w:pPr>
      <w:ind w:left="0"/>
    </w:pPr>
    <w:rPr>
      <w:b/>
    </w:rPr>
  </w:style>
  <w:style w:type="paragraph" w:styleId="18">
    <w:name w:val="toc 2"/>
    <w:basedOn w:val="1"/>
    <w:next w:val="1"/>
    <w:qFormat/>
    <w:uiPriority w:val="39"/>
    <w:pPr>
      <w:ind w:left="420" w:leftChars="200"/>
    </w:pPr>
    <w:rPr>
      <w:sz w:val="21"/>
    </w:rPr>
  </w:style>
  <w:style w:type="paragraph" w:styleId="19">
    <w:name w:val="Body Text First Indent 2"/>
    <w:basedOn w:val="11"/>
    <w:next w:val="1"/>
    <w:qFormat/>
    <w:uiPriority w:val="0"/>
    <w:pPr>
      <w:spacing w:after="120" w:afterLines="0" w:line="240" w:lineRule="auto"/>
      <w:ind w:left="420" w:leftChars="200" w:firstLine="420" w:firstLineChars="200"/>
    </w:pPr>
    <w:rPr>
      <w:sz w:val="21"/>
    </w:rPr>
  </w:style>
  <w:style w:type="table" w:styleId="21">
    <w:name w:val="Table Grid"/>
    <w:basedOn w:val="20"/>
    <w:qFormat/>
    <w:uiPriority w:val="39"/>
    <w:pPr>
      <w:widowControl w:val="0"/>
      <w:ind w:left="48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u w:val="single"/>
    </w:rPr>
  </w:style>
  <w:style w:type="paragraph" w:customStyle="1" w:styleId="24">
    <w:name w:val="表格内容"/>
    <w:basedOn w:val="25"/>
    <w:qFormat/>
    <w:uiPriority w:val="0"/>
    <w:pPr>
      <w:spacing w:before="10" w:after="10" w:line="240" w:lineRule="auto"/>
      <w:ind w:left="0"/>
      <w:jc w:val="center"/>
    </w:pPr>
    <w:rPr>
      <w:rFonts w:ascii="Times New Roman" w:hAnsi="Times New Roman" w:eastAsia="宋体" w:cs="Courier New"/>
      <w:sz w:val="21"/>
    </w:rPr>
  </w:style>
  <w:style w:type="paragraph" w:customStyle="1" w:styleId="25">
    <w:name w:val="表格"/>
    <w:basedOn w:val="1"/>
    <w:qFormat/>
    <w:uiPriority w:val="0"/>
    <w:pPr>
      <w:adjustRightInd w:val="0"/>
      <w:snapToGrid w:val="0"/>
      <w:spacing w:beforeLines="10" w:afterLines="10" w:line="259" w:lineRule="auto"/>
      <w:jc w:val="center"/>
    </w:pPr>
    <w:rPr>
      <w:rFonts w:ascii="宋体"/>
    </w:rPr>
  </w:style>
  <w:style w:type="paragraph" w:customStyle="1" w:styleId="26">
    <w:name w:val="正文-欣欣"/>
    <w:basedOn w:val="14"/>
    <w:link w:val="32"/>
    <w:qFormat/>
    <w:uiPriority w:val="0"/>
    <w:pPr>
      <w:ind w:left="0" w:firstLine="200" w:firstLineChars="200"/>
      <w:contextualSpacing/>
      <w:jc w:val="both"/>
    </w:pPr>
    <w:rPr>
      <w:rFonts w:ascii="Times New Roman" w:hAnsi="Times New Roman" w:eastAsia="宋体"/>
      <w:szCs w:val="30"/>
    </w:rPr>
  </w:style>
  <w:style w:type="paragraph" w:customStyle="1" w:styleId="27">
    <w:name w:val="表3.1-"/>
    <w:basedOn w:val="28"/>
    <w:next w:val="26"/>
    <w:qFormat/>
    <w:uiPriority w:val="0"/>
    <w:pPr>
      <w:numPr>
        <w:ilvl w:val="0"/>
        <w:numId w:val="2"/>
      </w:numPr>
    </w:pPr>
    <w:rPr>
      <w:rFonts w:ascii="Times New Roman" w:hAnsi="Times New Roman" w:cs="Times New Roman"/>
      <w:color w:val="0070C0"/>
      <w:szCs w:val="21"/>
    </w:rPr>
  </w:style>
  <w:style w:type="paragraph" w:customStyle="1" w:styleId="28">
    <w:name w:val="表格标题-xin"/>
    <w:basedOn w:val="1"/>
    <w:next w:val="1"/>
    <w:semiHidden/>
    <w:qFormat/>
    <w:uiPriority w:val="0"/>
    <w:pPr>
      <w:snapToGrid w:val="0"/>
      <w:ind w:left="0"/>
      <w:jc w:val="center"/>
    </w:pPr>
    <w:rPr>
      <w:rFonts w:ascii="Times New Roman" w:hAnsi="Times New Roman" w:eastAsia="黑体"/>
      <w:sz w:val="21"/>
    </w:rPr>
  </w:style>
  <w:style w:type="paragraph" w:customStyle="1" w:styleId="29">
    <w:name w:val="四级标题"/>
    <w:basedOn w:val="1"/>
    <w:autoRedefine/>
    <w:qFormat/>
    <w:uiPriority w:val="0"/>
    <w:pPr>
      <w:spacing w:line="360" w:lineRule="auto"/>
      <w:ind w:firstLine="200" w:firstLineChars="200"/>
      <w:outlineLvl w:val="3"/>
    </w:pPr>
    <w:rPr>
      <w:rFonts w:ascii="Times New Roman" w:hAnsi="Times New Roman" w:cs="Times New Roman"/>
      <w:b/>
      <w:sz w:val="24"/>
      <w:szCs w:val="24"/>
    </w:rPr>
  </w:style>
  <w:style w:type="paragraph" w:customStyle="1" w:styleId="30">
    <w:name w:val="正文-加粗"/>
    <w:basedOn w:val="1"/>
    <w:qFormat/>
    <w:uiPriority w:val="0"/>
    <w:pPr>
      <w:keepNext w:val="0"/>
      <w:keepLines w:val="0"/>
      <w:widowControl w:val="0"/>
      <w:suppressLineNumbers w:val="0"/>
      <w:adjustRightInd w:val="0"/>
      <w:spacing w:before="0" w:beforeAutospacing="0" w:after="0" w:afterAutospacing="0" w:line="360" w:lineRule="auto"/>
      <w:ind w:left="0" w:right="0" w:firstLine="480" w:firstLineChars="200"/>
      <w:jc w:val="both"/>
    </w:pPr>
    <w:rPr>
      <w:b/>
      <w:szCs w:val="21"/>
    </w:rPr>
  </w:style>
  <w:style w:type="paragraph" w:customStyle="1" w:styleId="31">
    <w:name w:val="表格首行"/>
    <w:basedOn w:val="1"/>
    <w:next w:val="1"/>
    <w:qFormat/>
    <w:uiPriority w:val="0"/>
    <w:pPr>
      <w:spacing w:line="240" w:lineRule="auto"/>
      <w:ind w:left="0"/>
      <w:jc w:val="center"/>
    </w:pPr>
    <w:rPr>
      <w:rFonts w:cs="宋体"/>
      <w:b/>
      <w:sz w:val="21"/>
      <w:szCs w:val="20"/>
    </w:rPr>
  </w:style>
  <w:style w:type="character" w:customStyle="1" w:styleId="32">
    <w:name w:val="正文-欣欣 Char"/>
    <w:link w:val="26"/>
    <w:qFormat/>
    <w:uiPriority w:val="0"/>
    <w:rPr>
      <w:rFonts w:ascii="Times New Roman" w:hAnsi="Times New Roman" w:eastAsia="宋体"/>
      <w:szCs w:val="30"/>
    </w:rPr>
  </w:style>
  <w:style w:type="paragraph" w:customStyle="1" w:styleId="33">
    <w:name w:val="正文-小四"/>
    <w:basedOn w:val="1"/>
    <w:qFormat/>
    <w:uiPriority w:val="0"/>
    <w:pPr>
      <w:snapToGrid w:val="0"/>
      <w:ind w:left="0" w:firstLine="200" w:firstLineChars="200"/>
      <w:jc w:val="both"/>
    </w:pPr>
    <w:rPr>
      <w:rFonts w:ascii="Times New Roman" w:hAnsi="Times New Roman" w:eastAsia="宋体"/>
      <w:bCs/>
      <w:u w:val="single"/>
    </w:rPr>
  </w:style>
  <w:style w:type="paragraph" w:customStyle="1" w:styleId="34">
    <w:name w:val="表格格式"/>
    <w:basedOn w:val="1"/>
    <w:qFormat/>
    <w:uiPriority w:val="0"/>
    <w:pPr>
      <w:spacing w:line="240" w:lineRule="auto"/>
      <w:jc w:val="center"/>
    </w:pPr>
    <w:rPr>
      <w:sz w:val="21"/>
      <w:szCs w:val="18"/>
    </w:rPr>
  </w:style>
  <w:style w:type="paragraph" w:customStyle="1" w:styleId="35">
    <w:name w:val="Default1"/>
    <w:qFormat/>
    <w:uiPriority w:val="0"/>
    <w:pPr>
      <w:widowControl w:val="0"/>
    </w:pPr>
    <w:rPr>
      <w:rFonts w:ascii="宋体" w:hAnsi="Times New Roman" w:eastAsia="宋体" w:cs="宋体"/>
      <w:color w:val="000000"/>
      <w:kern w:val="2"/>
      <w:sz w:val="24"/>
    </w:rPr>
  </w:style>
  <w:style w:type="paragraph" w:styleId="36">
    <w:name w:val="No Spacing"/>
    <w:qFormat/>
    <w:uiPriority w:val="1"/>
    <w:pPr>
      <w:widowControl w:val="0"/>
      <w:spacing w:line="340" w:lineRule="exact"/>
      <w:jc w:val="center"/>
    </w:pPr>
    <w:rPr>
      <w:rFonts w:ascii="Times New Roman" w:hAnsi="Times New Roman" w:eastAsia="宋体" w:cs="Times New Roman"/>
      <w:kern w:val="2"/>
      <w:sz w:val="24"/>
      <w:szCs w:val="24"/>
      <w:lang w:val="en-US" w:eastAsia="zh-CN" w:bidi="ar-SA"/>
    </w:rPr>
  </w:style>
  <w:style w:type="paragraph" w:customStyle="1" w:styleId="37">
    <w:name w:val="插表插图"/>
    <w:basedOn w:val="1"/>
    <w:qFormat/>
    <w:uiPriority w:val="0"/>
    <w:pPr>
      <w:adjustRightInd w:val="0"/>
      <w:snapToGrid w:val="0"/>
      <w:spacing w:before="10" w:beforeLines="10" w:after="10" w:afterLines="10" w:line="259" w:lineRule="auto"/>
      <w:jc w:val="center"/>
    </w:pPr>
    <w:rPr>
      <w:rFonts w:ascii="宋体" w:hAnsi="宋体" w:eastAsia="宋体"/>
    </w:rPr>
  </w:style>
  <w:style w:type="paragraph" w:customStyle="1" w:styleId="38">
    <w:name w:val="正文 首行缩进:  2 字符"/>
    <w:qFormat/>
    <w:uiPriority w:val="99"/>
    <w:pPr>
      <w:widowControl w:val="0"/>
      <w:spacing w:line="360" w:lineRule="auto"/>
      <w:ind w:firstLine="579" w:firstLineChars="200"/>
      <w:jc w:val="both"/>
    </w:pPr>
    <w:rPr>
      <w:rFonts w:ascii="Times New Roman" w:hAnsi="Times New Roman" w:eastAsia="宋体" w:cs="宋体"/>
      <w:kern w:val="2"/>
      <w:sz w:val="28"/>
      <w:lang w:val="en-US" w:eastAsia="zh-CN" w:bidi="ar-SA"/>
    </w:rPr>
  </w:style>
  <w:style w:type="paragraph" w:customStyle="1" w:styleId="39">
    <w:name w:val="二级标题"/>
    <w:basedOn w:val="1"/>
    <w:autoRedefine/>
    <w:qFormat/>
    <w:uiPriority w:val="99"/>
    <w:pPr>
      <w:outlineLvl w:val="1"/>
    </w:pPr>
    <w:rPr>
      <w:rFonts w:eastAsia="黑体"/>
      <w:sz w:val="30"/>
    </w:rPr>
  </w:style>
  <w:style w:type="paragraph" w:customStyle="1" w:styleId="40">
    <w:name w:val="三级标题"/>
    <w:basedOn w:val="1"/>
    <w:autoRedefine/>
    <w:qFormat/>
    <w:uiPriority w:val="99"/>
    <w:pPr>
      <w:outlineLvl w:val="2"/>
    </w:pPr>
    <w:rPr>
      <w:rFonts w:eastAsia="黑体"/>
      <w:sz w:val="28"/>
    </w:rPr>
  </w:style>
  <w:style w:type="paragraph" w:customStyle="1" w:styleId="41">
    <w:name w:val="应填表格"/>
    <w:basedOn w:val="1"/>
    <w:qFormat/>
    <w:uiPriority w:val="0"/>
    <w:pPr>
      <w:adjustRightInd w:val="0"/>
      <w:spacing w:before="40" w:after="40"/>
      <w:jc w:val="left"/>
      <w:textAlignment w:val="baseline"/>
    </w:pPr>
    <w:rPr>
      <w:kern w:val="0"/>
      <w:sz w:val="24"/>
      <w:szCs w:val="20"/>
    </w:rPr>
  </w:style>
  <w:style w:type="paragraph" w:customStyle="1" w:styleId="42">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rPr>
  </w:style>
  <w:style w:type="paragraph" w:customStyle="1" w:styleId="43">
    <w:name w:val="图件标题-xin"/>
    <w:basedOn w:val="28"/>
    <w:next w:val="1"/>
    <w:semiHidden/>
    <w:qFormat/>
    <w:uiPriority w:val="0"/>
  </w:style>
  <w:style w:type="paragraph" w:customStyle="1" w:styleId="44">
    <w:name w:val="正文-J"/>
    <w:basedOn w:val="14"/>
    <w:qFormat/>
    <w:uiPriority w:val="0"/>
    <w:pPr>
      <w:ind w:left="0" w:firstLine="200" w:firstLineChars="200"/>
      <w:contextualSpacing/>
      <w:jc w:val="both"/>
    </w:pPr>
    <w:rPr>
      <w:rFonts w:ascii="Times New Roman" w:hAnsi="Times New Roman" w:eastAsia="宋体"/>
      <w:szCs w:val="30"/>
    </w:rPr>
  </w:style>
</w:styles>
</file>

<file path=word/_rels/document.xml.rels><?xml version="1.0" encoding="UTF-8" standalone="yes"?>
<Relationships xmlns="http://schemas.openxmlformats.org/package/2006/relationships"><Relationship Id="rId99" Type="http://schemas.openxmlformats.org/officeDocument/2006/relationships/image" Target="media/image64.png"/><Relationship Id="rId98" Type="http://schemas.openxmlformats.org/officeDocument/2006/relationships/image" Target="media/image63.jpeg"/><Relationship Id="rId97" Type="http://schemas.openxmlformats.org/officeDocument/2006/relationships/image" Target="media/image62.jpeg"/><Relationship Id="rId96" Type="http://schemas.openxmlformats.org/officeDocument/2006/relationships/image" Target="media/image61.jpeg"/><Relationship Id="rId95" Type="http://schemas.openxmlformats.org/officeDocument/2006/relationships/image" Target="media/image60.png"/><Relationship Id="rId94" Type="http://schemas.openxmlformats.org/officeDocument/2006/relationships/image" Target="media/image59.jpeg"/><Relationship Id="rId93" Type="http://schemas.openxmlformats.org/officeDocument/2006/relationships/image" Target="media/image58.png"/><Relationship Id="rId92" Type="http://schemas.openxmlformats.org/officeDocument/2006/relationships/image" Target="media/image57.png"/><Relationship Id="rId91" Type="http://schemas.openxmlformats.org/officeDocument/2006/relationships/image" Target="media/image56.png"/><Relationship Id="rId90" Type="http://schemas.openxmlformats.org/officeDocument/2006/relationships/image" Target="media/image55.wmf"/><Relationship Id="rId9" Type="http://schemas.openxmlformats.org/officeDocument/2006/relationships/footer" Target="footer3.xml"/><Relationship Id="rId89" Type="http://schemas.openxmlformats.org/officeDocument/2006/relationships/oleObject" Target="embeddings/oleObject22.bin"/><Relationship Id="rId88" Type="http://schemas.openxmlformats.org/officeDocument/2006/relationships/image" Target="media/image54.wmf"/><Relationship Id="rId87" Type="http://schemas.openxmlformats.org/officeDocument/2006/relationships/oleObject" Target="embeddings/oleObject21.bin"/><Relationship Id="rId86" Type="http://schemas.openxmlformats.org/officeDocument/2006/relationships/image" Target="media/image53.wmf"/><Relationship Id="rId85" Type="http://schemas.openxmlformats.org/officeDocument/2006/relationships/oleObject" Target="embeddings/oleObject20.bin"/><Relationship Id="rId84" Type="http://schemas.openxmlformats.org/officeDocument/2006/relationships/image" Target="media/image52.wmf"/><Relationship Id="rId83" Type="http://schemas.openxmlformats.org/officeDocument/2006/relationships/oleObject" Target="embeddings/oleObject19.bin"/><Relationship Id="rId82" Type="http://schemas.openxmlformats.org/officeDocument/2006/relationships/image" Target="media/image51.png"/><Relationship Id="rId81" Type="http://schemas.openxmlformats.org/officeDocument/2006/relationships/image" Target="media/image50.wmf"/><Relationship Id="rId80" Type="http://schemas.openxmlformats.org/officeDocument/2006/relationships/oleObject" Target="embeddings/oleObject18.bin"/><Relationship Id="rId8" Type="http://schemas.openxmlformats.org/officeDocument/2006/relationships/footer" Target="footer2.xml"/><Relationship Id="rId79" Type="http://schemas.openxmlformats.org/officeDocument/2006/relationships/image" Target="media/image49.wmf"/><Relationship Id="rId78" Type="http://schemas.openxmlformats.org/officeDocument/2006/relationships/oleObject" Target="embeddings/oleObject17.bin"/><Relationship Id="rId77" Type="http://schemas.openxmlformats.org/officeDocument/2006/relationships/image" Target="media/image48.png"/><Relationship Id="rId76" Type="http://schemas.openxmlformats.org/officeDocument/2006/relationships/image" Target="media/image47.wmf"/><Relationship Id="rId75" Type="http://schemas.openxmlformats.org/officeDocument/2006/relationships/oleObject" Target="embeddings/oleObject16.bin"/><Relationship Id="rId74" Type="http://schemas.openxmlformats.org/officeDocument/2006/relationships/image" Target="media/image46.png"/><Relationship Id="rId73" Type="http://schemas.openxmlformats.org/officeDocument/2006/relationships/image" Target="media/image45.png"/><Relationship Id="rId72" Type="http://schemas.openxmlformats.org/officeDocument/2006/relationships/image" Target="media/image44.pn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footer" Target="footer1.xml"/><Relationship Id="rId69" Type="http://schemas.openxmlformats.org/officeDocument/2006/relationships/image" Target="media/image41.png"/><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png"/><Relationship Id="rId62" Type="http://schemas.openxmlformats.org/officeDocument/2006/relationships/image" Target="media/image34.png"/><Relationship Id="rId61" Type="http://schemas.openxmlformats.org/officeDocument/2006/relationships/image" Target="media/image33.png"/><Relationship Id="rId60" Type="http://schemas.openxmlformats.org/officeDocument/2006/relationships/image" Target="media/image32.png"/><Relationship Id="rId6" Type="http://schemas.openxmlformats.org/officeDocument/2006/relationships/header" Target="header2.xml"/><Relationship Id="rId59" Type="http://schemas.openxmlformats.org/officeDocument/2006/relationships/image" Target="media/image31.wmf"/><Relationship Id="rId58" Type="http://schemas.openxmlformats.org/officeDocument/2006/relationships/oleObject" Target="embeddings/oleObject15.bin"/><Relationship Id="rId57" Type="http://schemas.openxmlformats.org/officeDocument/2006/relationships/image" Target="media/image30.wmf"/><Relationship Id="rId56" Type="http://schemas.openxmlformats.org/officeDocument/2006/relationships/oleObject" Target="embeddings/oleObject14.bin"/><Relationship Id="rId55" Type="http://schemas.openxmlformats.org/officeDocument/2006/relationships/image" Target="media/image29.wmf"/><Relationship Id="rId54" Type="http://schemas.openxmlformats.org/officeDocument/2006/relationships/oleObject" Target="embeddings/oleObject13.bin"/><Relationship Id="rId53" Type="http://schemas.openxmlformats.org/officeDocument/2006/relationships/image" Target="media/image28.emf"/><Relationship Id="rId52" Type="http://schemas.openxmlformats.org/officeDocument/2006/relationships/image" Target="media/image27.emf"/><Relationship Id="rId51" Type="http://schemas.openxmlformats.org/officeDocument/2006/relationships/image" Target="media/image26.png"/><Relationship Id="rId50" Type="http://schemas.openxmlformats.org/officeDocument/2006/relationships/image" Target="media/image25.wmf"/><Relationship Id="rId5" Type="http://schemas.openxmlformats.org/officeDocument/2006/relationships/header" Target="header1.xml"/><Relationship Id="rId49" Type="http://schemas.openxmlformats.org/officeDocument/2006/relationships/oleObject" Target="embeddings/oleObject12.bin"/><Relationship Id="rId48" Type="http://schemas.openxmlformats.org/officeDocument/2006/relationships/image" Target="media/image24.wmf"/><Relationship Id="rId47" Type="http://schemas.openxmlformats.org/officeDocument/2006/relationships/oleObject" Target="embeddings/oleObject11.bin"/><Relationship Id="rId46" Type="http://schemas.openxmlformats.org/officeDocument/2006/relationships/image" Target="media/image23.wmf"/><Relationship Id="rId45" Type="http://schemas.openxmlformats.org/officeDocument/2006/relationships/oleObject" Target="embeddings/oleObject10.bin"/><Relationship Id="rId44" Type="http://schemas.openxmlformats.org/officeDocument/2006/relationships/image" Target="media/image22.wmf"/><Relationship Id="rId43" Type="http://schemas.openxmlformats.org/officeDocument/2006/relationships/image" Target="media/image21.wmf"/><Relationship Id="rId42" Type="http://schemas.openxmlformats.org/officeDocument/2006/relationships/image" Target="media/image20.png"/><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endnotes" Target="endnotes.xml"/><Relationship Id="rId39" Type="http://schemas.openxmlformats.org/officeDocument/2006/relationships/oleObject" Target="embeddings/oleObject9.bin"/><Relationship Id="rId38" Type="http://schemas.openxmlformats.org/officeDocument/2006/relationships/image" Target="media/image17.wmf"/><Relationship Id="rId37" Type="http://schemas.openxmlformats.org/officeDocument/2006/relationships/oleObject" Target="embeddings/oleObject8.bin"/><Relationship Id="rId36" Type="http://schemas.openxmlformats.org/officeDocument/2006/relationships/image" Target="media/image16.wmf"/><Relationship Id="rId35" Type="http://schemas.openxmlformats.org/officeDocument/2006/relationships/oleObject" Target="embeddings/oleObject7.bin"/><Relationship Id="rId34" Type="http://schemas.openxmlformats.org/officeDocument/2006/relationships/image" Target="media/image15.emf"/><Relationship Id="rId33" Type="http://schemas.openxmlformats.org/officeDocument/2006/relationships/oleObject" Target="embeddings/oleObject6.bin"/><Relationship Id="rId32" Type="http://schemas.openxmlformats.org/officeDocument/2006/relationships/image" Target="media/image14.emf"/><Relationship Id="rId31" Type="http://schemas.openxmlformats.org/officeDocument/2006/relationships/oleObject" Target="embeddings/oleObject5.bin"/><Relationship Id="rId30" Type="http://schemas.openxmlformats.org/officeDocument/2006/relationships/image" Target="media/image13.emf"/><Relationship Id="rId3" Type="http://schemas.openxmlformats.org/officeDocument/2006/relationships/footnotes" Target="footnotes.xml"/><Relationship Id="rId29" Type="http://schemas.openxmlformats.org/officeDocument/2006/relationships/oleObject" Target="embeddings/oleObject4.bin"/><Relationship Id="rId28" Type="http://schemas.openxmlformats.org/officeDocument/2006/relationships/image" Target="media/image12.emf"/><Relationship Id="rId27" Type="http://schemas.openxmlformats.org/officeDocument/2006/relationships/oleObject" Target="embeddings/oleObject3.bin"/><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jpeg"/><Relationship Id="rId23" Type="http://schemas.openxmlformats.org/officeDocument/2006/relationships/image" Target="media/image8.png"/><Relationship Id="rId22" Type="http://schemas.openxmlformats.org/officeDocument/2006/relationships/image" Target="media/image7.png"/><Relationship Id="rId213" Type="http://schemas.openxmlformats.org/officeDocument/2006/relationships/fontTable" Target="fontTable.xml"/><Relationship Id="rId212" Type="http://schemas.openxmlformats.org/officeDocument/2006/relationships/numbering" Target="numbering.xml"/><Relationship Id="rId211" Type="http://schemas.openxmlformats.org/officeDocument/2006/relationships/customXml" Target="../customXml/item1.xml"/><Relationship Id="rId210" Type="http://schemas.openxmlformats.org/officeDocument/2006/relationships/image" Target="media/image170.png"/><Relationship Id="rId21" Type="http://schemas.openxmlformats.org/officeDocument/2006/relationships/image" Target="media/image6.png"/><Relationship Id="rId209" Type="http://schemas.openxmlformats.org/officeDocument/2006/relationships/image" Target="media/image169.png"/><Relationship Id="rId208" Type="http://schemas.openxmlformats.org/officeDocument/2006/relationships/image" Target="media/image168.png"/><Relationship Id="rId207" Type="http://schemas.openxmlformats.org/officeDocument/2006/relationships/image" Target="media/image167.png"/><Relationship Id="rId206" Type="http://schemas.openxmlformats.org/officeDocument/2006/relationships/image" Target="media/image166.wmf"/><Relationship Id="rId205" Type="http://schemas.openxmlformats.org/officeDocument/2006/relationships/oleObject" Target="embeddings/oleObject27.bin"/><Relationship Id="rId204" Type="http://schemas.openxmlformats.org/officeDocument/2006/relationships/image" Target="media/image165.png"/><Relationship Id="rId203" Type="http://schemas.openxmlformats.org/officeDocument/2006/relationships/image" Target="media/image164.emf"/><Relationship Id="rId202" Type="http://schemas.openxmlformats.org/officeDocument/2006/relationships/oleObject" Target="embeddings/oleObject26.bin"/><Relationship Id="rId201" Type="http://schemas.openxmlformats.org/officeDocument/2006/relationships/image" Target="media/image163.wmf"/><Relationship Id="rId200" Type="http://schemas.openxmlformats.org/officeDocument/2006/relationships/oleObject" Target="embeddings/oleObject25.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image" Target="media/image162.emf"/><Relationship Id="rId198" Type="http://schemas.openxmlformats.org/officeDocument/2006/relationships/image" Target="media/image161.emf"/><Relationship Id="rId197" Type="http://schemas.openxmlformats.org/officeDocument/2006/relationships/image" Target="media/image160.png"/><Relationship Id="rId196" Type="http://schemas.openxmlformats.org/officeDocument/2006/relationships/image" Target="media/image159.png"/><Relationship Id="rId195" Type="http://schemas.openxmlformats.org/officeDocument/2006/relationships/image" Target="media/image158.emf"/><Relationship Id="rId194" Type="http://schemas.openxmlformats.org/officeDocument/2006/relationships/image" Target="media/image157.emf"/><Relationship Id="rId193" Type="http://schemas.openxmlformats.org/officeDocument/2006/relationships/image" Target="media/image156.emf"/><Relationship Id="rId192" Type="http://schemas.openxmlformats.org/officeDocument/2006/relationships/image" Target="media/image155.emf"/><Relationship Id="rId191" Type="http://schemas.openxmlformats.org/officeDocument/2006/relationships/image" Target="media/image154.png"/><Relationship Id="rId190" Type="http://schemas.openxmlformats.org/officeDocument/2006/relationships/image" Target="media/image153.png"/><Relationship Id="rId19" Type="http://schemas.openxmlformats.org/officeDocument/2006/relationships/oleObject" Target="embeddings/oleObject2.bin"/><Relationship Id="rId189" Type="http://schemas.openxmlformats.org/officeDocument/2006/relationships/image" Target="media/image152.emf"/><Relationship Id="rId188" Type="http://schemas.openxmlformats.org/officeDocument/2006/relationships/image" Target="media/image151.emf"/><Relationship Id="rId187" Type="http://schemas.openxmlformats.org/officeDocument/2006/relationships/image" Target="media/image150.png"/><Relationship Id="rId186" Type="http://schemas.openxmlformats.org/officeDocument/2006/relationships/image" Target="media/image149.png"/><Relationship Id="rId185" Type="http://schemas.openxmlformats.org/officeDocument/2006/relationships/image" Target="media/image148.png"/><Relationship Id="rId184" Type="http://schemas.openxmlformats.org/officeDocument/2006/relationships/image" Target="media/image147.png"/><Relationship Id="rId183" Type="http://schemas.openxmlformats.org/officeDocument/2006/relationships/image" Target="media/image146.png"/><Relationship Id="rId182" Type="http://schemas.openxmlformats.org/officeDocument/2006/relationships/image" Target="media/image145.png"/><Relationship Id="rId181" Type="http://schemas.openxmlformats.org/officeDocument/2006/relationships/image" Target="media/image144.png"/><Relationship Id="rId180" Type="http://schemas.openxmlformats.org/officeDocument/2006/relationships/image" Target="media/image143.png"/><Relationship Id="rId18" Type="http://schemas.openxmlformats.org/officeDocument/2006/relationships/image" Target="media/image4.jpeg"/><Relationship Id="rId179" Type="http://schemas.openxmlformats.org/officeDocument/2006/relationships/image" Target="media/image142.png"/><Relationship Id="rId178" Type="http://schemas.openxmlformats.org/officeDocument/2006/relationships/image" Target="media/image141.png"/><Relationship Id="rId177" Type="http://schemas.openxmlformats.org/officeDocument/2006/relationships/image" Target="media/image140.png"/><Relationship Id="rId176" Type="http://schemas.openxmlformats.org/officeDocument/2006/relationships/image" Target="media/image139.wmf"/><Relationship Id="rId175" Type="http://schemas.openxmlformats.org/officeDocument/2006/relationships/oleObject" Target="embeddings/oleObject24.bin"/><Relationship Id="rId174" Type="http://schemas.openxmlformats.org/officeDocument/2006/relationships/image" Target="media/image138.png"/><Relationship Id="rId173" Type="http://schemas.openxmlformats.org/officeDocument/2006/relationships/image" Target="media/image137.png"/><Relationship Id="rId172" Type="http://schemas.openxmlformats.org/officeDocument/2006/relationships/image" Target="media/image136.png"/><Relationship Id="rId171" Type="http://schemas.openxmlformats.org/officeDocument/2006/relationships/image" Target="media/image135.wmf"/><Relationship Id="rId170" Type="http://schemas.openxmlformats.org/officeDocument/2006/relationships/oleObject" Target="embeddings/oleObject23.bin"/><Relationship Id="rId17" Type="http://schemas.openxmlformats.org/officeDocument/2006/relationships/image" Target="media/image3.png"/><Relationship Id="rId169" Type="http://schemas.openxmlformats.org/officeDocument/2006/relationships/image" Target="media/image134.png"/><Relationship Id="rId168" Type="http://schemas.openxmlformats.org/officeDocument/2006/relationships/image" Target="media/image133.png"/><Relationship Id="rId167" Type="http://schemas.openxmlformats.org/officeDocument/2006/relationships/image" Target="media/image132.png"/><Relationship Id="rId166" Type="http://schemas.openxmlformats.org/officeDocument/2006/relationships/image" Target="media/image131.png"/><Relationship Id="rId165" Type="http://schemas.openxmlformats.org/officeDocument/2006/relationships/image" Target="media/image130.png"/><Relationship Id="rId164" Type="http://schemas.openxmlformats.org/officeDocument/2006/relationships/image" Target="media/image129.png"/><Relationship Id="rId163" Type="http://schemas.openxmlformats.org/officeDocument/2006/relationships/image" Target="media/image128.jpeg"/><Relationship Id="rId162" Type="http://schemas.openxmlformats.org/officeDocument/2006/relationships/image" Target="media/image127.jpeg"/><Relationship Id="rId161" Type="http://schemas.openxmlformats.org/officeDocument/2006/relationships/image" Target="media/image126.jpeg"/><Relationship Id="rId160" Type="http://schemas.openxmlformats.org/officeDocument/2006/relationships/image" Target="media/image125.jpeg"/><Relationship Id="rId16" Type="http://schemas.openxmlformats.org/officeDocument/2006/relationships/image" Target="media/image2.png"/><Relationship Id="rId159" Type="http://schemas.openxmlformats.org/officeDocument/2006/relationships/image" Target="media/image124.jpeg"/><Relationship Id="rId158" Type="http://schemas.openxmlformats.org/officeDocument/2006/relationships/image" Target="media/image123.jpeg"/><Relationship Id="rId157" Type="http://schemas.openxmlformats.org/officeDocument/2006/relationships/image" Target="media/image122.jpeg"/><Relationship Id="rId156" Type="http://schemas.openxmlformats.org/officeDocument/2006/relationships/image" Target="media/image121.jpeg"/><Relationship Id="rId155" Type="http://schemas.openxmlformats.org/officeDocument/2006/relationships/image" Target="media/image120.jpeg"/><Relationship Id="rId154" Type="http://schemas.openxmlformats.org/officeDocument/2006/relationships/image" Target="media/image119.jpeg"/><Relationship Id="rId153" Type="http://schemas.openxmlformats.org/officeDocument/2006/relationships/image" Target="media/image118.jpeg"/><Relationship Id="rId152" Type="http://schemas.openxmlformats.org/officeDocument/2006/relationships/image" Target="media/image117.jpeg"/><Relationship Id="rId151" Type="http://schemas.openxmlformats.org/officeDocument/2006/relationships/image" Target="media/image116.jpeg"/><Relationship Id="rId150" Type="http://schemas.openxmlformats.org/officeDocument/2006/relationships/image" Target="media/image115.jpeg"/><Relationship Id="rId15" Type="http://schemas.openxmlformats.org/officeDocument/2006/relationships/image" Target="media/image1.emf"/><Relationship Id="rId149" Type="http://schemas.openxmlformats.org/officeDocument/2006/relationships/image" Target="media/image114.jpeg"/><Relationship Id="rId148" Type="http://schemas.openxmlformats.org/officeDocument/2006/relationships/image" Target="media/image113.jpeg"/><Relationship Id="rId147" Type="http://schemas.openxmlformats.org/officeDocument/2006/relationships/image" Target="media/image112.jpeg"/><Relationship Id="rId146" Type="http://schemas.openxmlformats.org/officeDocument/2006/relationships/image" Target="media/image111.jpeg"/><Relationship Id="rId145" Type="http://schemas.openxmlformats.org/officeDocument/2006/relationships/image" Target="media/image110.jpeg"/><Relationship Id="rId144" Type="http://schemas.openxmlformats.org/officeDocument/2006/relationships/image" Target="media/image109.jpeg"/><Relationship Id="rId143" Type="http://schemas.openxmlformats.org/officeDocument/2006/relationships/image" Target="media/image108.jpeg"/><Relationship Id="rId142" Type="http://schemas.openxmlformats.org/officeDocument/2006/relationships/image" Target="media/image107.jpeg"/><Relationship Id="rId141" Type="http://schemas.openxmlformats.org/officeDocument/2006/relationships/image" Target="media/image106.jpeg"/><Relationship Id="rId140" Type="http://schemas.openxmlformats.org/officeDocument/2006/relationships/image" Target="media/image105.jpeg"/><Relationship Id="rId14" Type="http://schemas.openxmlformats.org/officeDocument/2006/relationships/oleObject" Target="embeddings/oleObject1.bin"/><Relationship Id="rId139" Type="http://schemas.openxmlformats.org/officeDocument/2006/relationships/image" Target="media/image104.jpeg"/><Relationship Id="rId138" Type="http://schemas.openxmlformats.org/officeDocument/2006/relationships/image" Target="media/image103.jpeg"/><Relationship Id="rId137" Type="http://schemas.openxmlformats.org/officeDocument/2006/relationships/image" Target="media/image102.jpeg"/><Relationship Id="rId136" Type="http://schemas.openxmlformats.org/officeDocument/2006/relationships/image" Target="media/image101.jpeg"/><Relationship Id="rId135" Type="http://schemas.openxmlformats.org/officeDocument/2006/relationships/image" Target="media/image100.jpeg"/><Relationship Id="rId134" Type="http://schemas.openxmlformats.org/officeDocument/2006/relationships/image" Target="media/image99.jpeg"/><Relationship Id="rId133" Type="http://schemas.openxmlformats.org/officeDocument/2006/relationships/image" Target="media/image98.jpeg"/><Relationship Id="rId132" Type="http://schemas.openxmlformats.org/officeDocument/2006/relationships/image" Target="media/image97.jpeg"/><Relationship Id="rId131" Type="http://schemas.openxmlformats.org/officeDocument/2006/relationships/image" Target="media/image96.jpeg"/><Relationship Id="rId130" Type="http://schemas.openxmlformats.org/officeDocument/2006/relationships/image" Target="media/image95.jpeg"/><Relationship Id="rId13" Type="http://schemas.openxmlformats.org/officeDocument/2006/relationships/theme" Target="theme/theme1.xml"/><Relationship Id="rId129" Type="http://schemas.openxmlformats.org/officeDocument/2006/relationships/image" Target="media/image94.jpeg"/><Relationship Id="rId128" Type="http://schemas.openxmlformats.org/officeDocument/2006/relationships/image" Target="media/image93.jpeg"/><Relationship Id="rId127" Type="http://schemas.openxmlformats.org/officeDocument/2006/relationships/image" Target="media/image92.jpeg"/><Relationship Id="rId126" Type="http://schemas.openxmlformats.org/officeDocument/2006/relationships/image" Target="media/image91.jpeg"/><Relationship Id="rId125" Type="http://schemas.openxmlformats.org/officeDocument/2006/relationships/image" Target="media/image90.jpeg"/><Relationship Id="rId124" Type="http://schemas.openxmlformats.org/officeDocument/2006/relationships/image" Target="media/image89.jpeg"/><Relationship Id="rId123" Type="http://schemas.openxmlformats.org/officeDocument/2006/relationships/image" Target="media/image88.jpeg"/><Relationship Id="rId122" Type="http://schemas.openxmlformats.org/officeDocument/2006/relationships/image" Target="media/image87.jpeg"/><Relationship Id="rId121" Type="http://schemas.openxmlformats.org/officeDocument/2006/relationships/image" Target="media/image86.jpeg"/><Relationship Id="rId120" Type="http://schemas.openxmlformats.org/officeDocument/2006/relationships/image" Target="media/image85.jpeg"/><Relationship Id="rId12" Type="http://schemas.openxmlformats.org/officeDocument/2006/relationships/footer" Target="footer6.xml"/><Relationship Id="rId119" Type="http://schemas.openxmlformats.org/officeDocument/2006/relationships/image" Target="media/image84.jpeg"/><Relationship Id="rId118" Type="http://schemas.openxmlformats.org/officeDocument/2006/relationships/image" Target="media/image83.jpeg"/><Relationship Id="rId117" Type="http://schemas.openxmlformats.org/officeDocument/2006/relationships/image" Target="media/image82.jpeg"/><Relationship Id="rId116" Type="http://schemas.openxmlformats.org/officeDocument/2006/relationships/image" Target="media/image81.jpeg"/><Relationship Id="rId115" Type="http://schemas.openxmlformats.org/officeDocument/2006/relationships/image" Target="media/image80.jpeg"/><Relationship Id="rId114" Type="http://schemas.openxmlformats.org/officeDocument/2006/relationships/image" Target="media/image79.wmf"/><Relationship Id="rId113" Type="http://schemas.openxmlformats.org/officeDocument/2006/relationships/image" Target="media/image78.wmf"/><Relationship Id="rId112" Type="http://schemas.openxmlformats.org/officeDocument/2006/relationships/image" Target="media/image77.wmf"/><Relationship Id="rId111" Type="http://schemas.openxmlformats.org/officeDocument/2006/relationships/image" Target="media/image76.wmf"/><Relationship Id="rId110" Type="http://schemas.openxmlformats.org/officeDocument/2006/relationships/image" Target="media/image75.wmf"/><Relationship Id="rId11" Type="http://schemas.openxmlformats.org/officeDocument/2006/relationships/footer" Target="footer5.xml"/><Relationship Id="rId109" Type="http://schemas.openxmlformats.org/officeDocument/2006/relationships/image" Target="media/image74.wmf"/><Relationship Id="rId108" Type="http://schemas.openxmlformats.org/officeDocument/2006/relationships/image" Target="media/image73.png"/><Relationship Id="rId107" Type="http://schemas.openxmlformats.org/officeDocument/2006/relationships/image" Target="media/image72.jpeg"/><Relationship Id="rId106" Type="http://schemas.openxmlformats.org/officeDocument/2006/relationships/image" Target="media/image71.jpeg"/><Relationship Id="rId105" Type="http://schemas.openxmlformats.org/officeDocument/2006/relationships/image" Target="media/image70.jpeg"/><Relationship Id="rId104" Type="http://schemas.openxmlformats.org/officeDocument/2006/relationships/image" Target="media/image69.jpeg"/><Relationship Id="rId103" Type="http://schemas.openxmlformats.org/officeDocument/2006/relationships/image" Target="media/image68.jpeg"/><Relationship Id="rId102" Type="http://schemas.openxmlformats.org/officeDocument/2006/relationships/image" Target="media/image67.wmf"/><Relationship Id="rId101" Type="http://schemas.openxmlformats.org/officeDocument/2006/relationships/image" Target="media/image66.png"/><Relationship Id="rId100" Type="http://schemas.openxmlformats.org/officeDocument/2006/relationships/image" Target="media/image65.pn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403</Pages>
  <Words>92</Words>
  <Characters>92</Characters>
  <Lines>0</Lines>
  <Paragraphs>0</Paragraphs>
  <TotalTime>2</TotalTime>
  <ScaleCrop>false</ScaleCrop>
  <LinksUpToDate>false</LinksUpToDate>
  <CharactersWithSpaces>92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2026-01-12T17:04:00Z</dcterms:created>
  <dc:creator>木火通明</dc:creator>
  <cp:lastModifiedBy>等风</cp:lastModifiedBy>
  <dcterms:modified xsi:type="dcterms:W3CDTF">2026-05-14T02:16:04Z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D11C02CD90F843189B73664A183CB629_13</vt:lpwstr>
  </property>
  <property fmtid="{D5CDD505-2E9C-101B-9397-08002B2CF9AE}" pid="4" name="KSOTemplateDocerSaveRecord">
    <vt:lpwstr>eyJoZGlkIjoiNDE1YjM3OTVhNDdiNDkzZDkyYTdiMjQzNmVhMGI4OWIiLCJ1c2VySWQiOiI1MTQ5MTEwMzUifQ==</vt:lpwstr>
  </property>
</Properties>
</file>